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564" w:rsidRPr="00FF0F1B" w:rsidRDefault="00EB3564" w:rsidP="00B47C56">
      <w:pPr>
        <w:snapToGrid w:val="0"/>
        <w:spacing w:line="360" w:lineRule="auto"/>
        <w:jc w:val="both"/>
        <w:rPr>
          <w:rFonts w:ascii="Book Antiqua" w:eastAsia="Times New Roman" w:hAnsi="Book Antiqua" w:cs="宋体"/>
          <w:i/>
          <w:color w:val="000000"/>
          <w:sz w:val="24"/>
        </w:rPr>
      </w:pPr>
      <w:bookmarkStart w:id="0" w:name="OLE_LINK346"/>
      <w:bookmarkStart w:id="1" w:name="OLE_LINK347"/>
      <w:bookmarkStart w:id="2" w:name="OLE_LINK350"/>
      <w:bookmarkStart w:id="3" w:name="OLE_LINK31"/>
      <w:bookmarkStart w:id="4" w:name="OLE_LINK32"/>
      <w:bookmarkStart w:id="5" w:name="OLE_LINK33"/>
      <w:bookmarkStart w:id="6" w:name="OLE_LINK34"/>
      <w:r w:rsidRPr="00FF0F1B">
        <w:rPr>
          <w:rFonts w:ascii="Book Antiqua" w:eastAsia="Times New Roman" w:hAnsi="Book Antiqua" w:cs="宋体"/>
          <w:b/>
          <w:color w:val="0033CC"/>
          <w:sz w:val="24"/>
        </w:rPr>
        <w:t>Name of journal:</w:t>
      </w:r>
      <w:r w:rsidRPr="00FF0F1B">
        <w:rPr>
          <w:rFonts w:ascii="Book Antiqua" w:eastAsia="Times New Roman" w:hAnsi="Book Antiqua" w:cs="宋体"/>
          <w:b/>
          <w:color w:val="000000"/>
          <w:sz w:val="24"/>
        </w:rPr>
        <w:t xml:space="preserve"> </w:t>
      </w:r>
      <w:r w:rsidRPr="00FF0F1B">
        <w:rPr>
          <w:rFonts w:ascii="Book Antiqua" w:eastAsia="Times New Roman" w:hAnsi="Book Antiqua" w:cs="宋体"/>
          <w:i/>
          <w:color w:val="000000"/>
          <w:sz w:val="24"/>
        </w:rPr>
        <w:t>World Journal of Gastroenterology</w:t>
      </w:r>
    </w:p>
    <w:p w:rsidR="00EB3564" w:rsidRPr="00FF0F1B" w:rsidRDefault="00EB3564" w:rsidP="00B47C56">
      <w:pPr>
        <w:snapToGrid w:val="0"/>
        <w:spacing w:line="360" w:lineRule="auto"/>
        <w:jc w:val="both"/>
        <w:rPr>
          <w:rFonts w:ascii="Book Antiqua" w:hAnsi="Book Antiqua" w:cs="宋体"/>
          <w:b/>
          <w:i/>
          <w:color w:val="000000"/>
          <w:sz w:val="24"/>
          <w:lang w:eastAsia="zh-CN"/>
        </w:rPr>
      </w:pPr>
      <w:r w:rsidRPr="00FF0F1B">
        <w:rPr>
          <w:rFonts w:ascii="Book Antiqua" w:eastAsia="Times New Roman" w:hAnsi="Book Antiqua" w:cs="Arial"/>
          <w:b/>
          <w:color w:val="0033CC"/>
          <w:sz w:val="24"/>
        </w:rPr>
        <w:t>ESPS Manuscript NO:</w:t>
      </w:r>
      <w:r w:rsidRPr="00FF0F1B">
        <w:rPr>
          <w:rFonts w:ascii="Book Antiqua" w:eastAsia="Times New Roman" w:hAnsi="Book Antiqua" w:cs="Arial"/>
          <w:b/>
          <w:color w:val="222222"/>
          <w:sz w:val="24"/>
        </w:rPr>
        <w:t xml:space="preserve"> </w:t>
      </w:r>
      <w:r w:rsidRPr="00FF0F1B">
        <w:rPr>
          <w:rFonts w:ascii="Book Antiqua" w:hAnsi="Book Antiqua" w:cs="Arial"/>
          <w:b/>
          <w:color w:val="222222"/>
          <w:sz w:val="24"/>
          <w:lang w:eastAsia="zh-CN"/>
        </w:rPr>
        <w:t>1028</w:t>
      </w:r>
    </w:p>
    <w:p w:rsidR="00EB3564" w:rsidRPr="00FF0F1B" w:rsidRDefault="00EB3564" w:rsidP="00B47C56">
      <w:pPr>
        <w:suppressAutoHyphens/>
        <w:autoSpaceDE w:val="0"/>
        <w:autoSpaceDN w:val="0"/>
        <w:adjustRightInd w:val="0"/>
        <w:snapToGrid w:val="0"/>
        <w:spacing w:line="360" w:lineRule="auto"/>
        <w:jc w:val="both"/>
        <w:rPr>
          <w:rFonts w:ascii="Book Antiqua" w:hAnsi="Book Antiqua"/>
          <w:b/>
          <w:color w:val="000000"/>
          <w:sz w:val="24"/>
          <w:lang w:eastAsia="zh-CN"/>
        </w:rPr>
      </w:pPr>
      <w:r w:rsidRPr="00FF0F1B">
        <w:rPr>
          <w:rFonts w:ascii="Book Antiqua" w:eastAsia="Times New Roman" w:hAnsi="Book Antiqua"/>
          <w:b/>
          <w:color w:val="0033CC"/>
          <w:sz w:val="24"/>
        </w:rPr>
        <w:t>Columns:</w:t>
      </w:r>
      <w:r w:rsidRPr="00FF0F1B">
        <w:rPr>
          <w:rFonts w:ascii="Book Antiqua" w:eastAsia="Times New Roman" w:hAnsi="Book Antiqua"/>
          <w:b/>
          <w:color w:val="000000"/>
          <w:sz w:val="24"/>
        </w:rPr>
        <w:t xml:space="preserve"> </w:t>
      </w:r>
      <w:r w:rsidRPr="00FF0F1B">
        <w:rPr>
          <w:rFonts w:ascii="Book Antiqua" w:hAnsi="Book Antiqua"/>
          <w:b/>
          <w:color w:val="000000"/>
          <w:sz w:val="24"/>
          <w:lang w:eastAsia="zh-CN"/>
        </w:rPr>
        <w:t>ORIGINAL ARTICLE</w:t>
      </w:r>
    </w:p>
    <w:bookmarkEnd w:id="0"/>
    <w:bookmarkEnd w:id="1"/>
    <w:bookmarkEnd w:id="2"/>
    <w:p w:rsidR="00EB3564" w:rsidRPr="00FF0F1B" w:rsidRDefault="00EB3564" w:rsidP="00B47C56">
      <w:pPr>
        <w:snapToGrid w:val="0"/>
        <w:spacing w:line="360" w:lineRule="auto"/>
        <w:jc w:val="both"/>
        <w:rPr>
          <w:rFonts w:ascii="Book Antiqua" w:hAnsi="Book Antiqua"/>
          <w:b/>
          <w:sz w:val="24"/>
          <w:szCs w:val="24"/>
          <w:lang w:val="tr-TR" w:eastAsia="zh-CN"/>
        </w:rPr>
      </w:pPr>
    </w:p>
    <w:p w:rsidR="00EB3564" w:rsidRPr="00FF0F1B" w:rsidRDefault="00EB3564" w:rsidP="00B47C56">
      <w:pPr>
        <w:snapToGrid w:val="0"/>
        <w:spacing w:line="360" w:lineRule="auto"/>
        <w:jc w:val="both"/>
        <w:rPr>
          <w:rFonts w:ascii="Book Antiqua" w:eastAsia="Times New Roman" w:hAnsi="Book Antiqua"/>
          <w:b/>
          <w:sz w:val="24"/>
          <w:szCs w:val="24"/>
          <w:lang w:val="en-US"/>
        </w:rPr>
      </w:pPr>
      <w:r w:rsidRPr="00FF0F1B">
        <w:rPr>
          <w:rFonts w:ascii="Book Antiqua" w:eastAsia="Times New Roman" w:hAnsi="Book Antiqua"/>
          <w:b/>
          <w:sz w:val="24"/>
          <w:szCs w:val="24"/>
          <w:lang w:val="tr-TR"/>
        </w:rPr>
        <w:t xml:space="preserve">Effect of growth hormone, hyperbarýc oxygen and combýned </w:t>
      </w:r>
      <w:r w:rsidRPr="00FF0F1B">
        <w:rPr>
          <w:rFonts w:ascii="Book Antiqua" w:eastAsia="Times New Roman" w:hAnsi="Book Antiqua"/>
          <w:b/>
          <w:sz w:val="24"/>
          <w:szCs w:val="24"/>
          <w:lang w:val="en-US"/>
        </w:rPr>
        <w:t>therapy on the gastric serosa</w:t>
      </w:r>
    </w:p>
    <w:bookmarkEnd w:id="3"/>
    <w:bookmarkEnd w:id="4"/>
    <w:bookmarkEnd w:id="5"/>
    <w:bookmarkEnd w:id="6"/>
    <w:p w:rsidR="00EB3564" w:rsidRPr="00FF0F1B" w:rsidRDefault="00EB3564" w:rsidP="00B47C56">
      <w:pPr>
        <w:snapToGrid w:val="0"/>
        <w:spacing w:line="360" w:lineRule="auto"/>
        <w:jc w:val="both"/>
        <w:rPr>
          <w:rFonts w:ascii="Book Antiqua" w:eastAsia="Times New Roman" w:hAnsi="Book Antiqua"/>
          <w:b/>
          <w:sz w:val="24"/>
          <w:szCs w:val="24"/>
          <w:lang w:val="en-US"/>
        </w:rPr>
      </w:pPr>
    </w:p>
    <w:p w:rsidR="00EB3564" w:rsidRPr="00FF0F1B" w:rsidRDefault="00EB3564" w:rsidP="00B47C56">
      <w:pPr>
        <w:snapToGrid w:val="0"/>
        <w:spacing w:line="360" w:lineRule="auto"/>
        <w:jc w:val="both"/>
        <w:rPr>
          <w:rFonts w:ascii="Book Antiqua" w:eastAsia="Times New Roman" w:hAnsi="Book Antiqua"/>
          <w:sz w:val="24"/>
        </w:rPr>
      </w:pPr>
      <w:r w:rsidRPr="00FF0F1B">
        <w:rPr>
          <w:rFonts w:ascii="Book Antiqua" w:eastAsia="Times New Roman" w:hAnsi="Book Antiqua"/>
          <w:b/>
          <w:sz w:val="24"/>
          <w:szCs w:val="24"/>
          <w:lang w:val="en-US"/>
        </w:rPr>
        <w:t>Adas</w:t>
      </w:r>
      <w:r w:rsidRPr="00FF0F1B">
        <w:rPr>
          <w:rFonts w:ascii="Book Antiqua" w:hAnsi="Book Antiqua"/>
          <w:b/>
          <w:sz w:val="24"/>
          <w:szCs w:val="24"/>
          <w:lang w:val="en-US" w:eastAsia="zh-CN"/>
        </w:rPr>
        <w:t xml:space="preserve"> G </w:t>
      </w:r>
      <w:r w:rsidRPr="00FF0F1B">
        <w:rPr>
          <w:rFonts w:ascii="Book Antiqua" w:hAnsi="Book Antiqua"/>
          <w:b/>
          <w:i/>
          <w:sz w:val="24"/>
          <w:szCs w:val="24"/>
          <w:lang w:val="en-US" w:eastAsia="zh-CN"/>
        </w:rPr>
        <w:t>et al</w:t>
      </w:r>
      <w:r w:rsidRPr="00FF0F1B">
        <w:rPr>
          <w:rFonts w:ascii="Book Antiqua" w:hAnsi="Book Antiqua"/>
          <w:b/>
          <w:sz w:val="24"/>
          <w:szCs w:val="24"/>
          <w:lang w:val="en-US" w:eastAsia="zh-CN"/>
        </w:rPr>
        <w:t xml:space="preserve">. </w:t>
      </w:r>
      <w:r w:rsidRPr="00FF0F1B">
        <w:rPr>
          <w:rFonts w:ascii="Book Antiqua" w:eastAsia="Times New Roman" w:hAnsi="Book Antiqua"/>
          <w:sz w:val="24"/>
        </w:rPr>
        <w:t xml:space="preserve"> </w:t>
      </w:r>
      <w:r w:rsidRPr="00FF0F1B">
        <w:rPr>
          <w:rFonts w:ascii="Book Antiqua" w:eastAsia="Times New Roman" w:hAnsi="Book Antiqua"/>
          <w:sz w:val="24"/>
          <w:szCs w:val="24"/>
          <w:lang w:val="tr-TR"/>
        </w:rPr>
        <w:t>Growth hormone and hyperbarýc oxygen therapy</w:t>
      </w:r>
    </w:p>
    <w:p w:rsidR="00EB3564" w:rsidRPr="00FF0F1B" w:rsidRDefault="00EB3564" w:rsidP="00B47C56">
      <w:pPr>
        <w:snapToGrid w:val="0"/>
        <w:spacing w:line="360" w:lineRule="auto"/>
        <w:jc w:val="both"/>
        <w:rPr>
          <w:rFonts w:ascii="Book Antiqua" w:hAnsi="Book Antiqua"/>
          <w:b/>
          <w:sz w:val="24"/>
          <w:szCs w:val="24"/>
          <w:lang w:eastAsia="zh-CN"/>
        </w:rPr>
      </w:pPr>
    </w:p>
    <w:p w:rsidR="00EB3564" w:rsidRPr="00FF0F1B" w:rsidRDefault="00EB3564" w:rsidP="00B47C56">
      <w:pPr>
        <w:snapToGrid w:val="0"/>
        <w:spacing w:line="360" w:lineRule="auto"/>
        <w:jc w:val="both"/>
        <w:rPr>
          <w:rFonts w:ascii="Book Antiqua" w:eastAsia="Times New Roman" w:hAnsi="Book Antiqua"/>
          <w:sz w:val="24"/>
          <w:szCs w:val="24"/>
          <w:vertAlign w:val="superscript"/>
          <w:lang w:val="en-US"/>
        </w:rPr>
      </w:pPr>
      <w:bookmarkStart w:id="7" w:name="OLE_LINK35"/>
      <w:bookmarkStart w:id="8" w:name="OLE_LINK36"/>
      <w:r w:rsidRPr="00FF0F1B">
        <w:rPr>
          <w:rFonts w:ascii="Book Antiqua" w:eastAsia="Times New Roman" w:hAnsi="Book Antiqua"/>
          <w:sz w:val="24"/>
          <w:szCs w:val="24"/>
          <w:lang w:val="en-US"/>
        </w:rPr>
        <w:t>Gokhan Adas, Mine Adas, Soykan Arikan, Ahu Kemik Sarvan, Akin Savas Toklu, Selva Mert, Gul Barut, Sedat Kamali, Bora Koc, Fýrat Tutal</w:t>
      </w:r>
      <w:bookmarkEnd w:id="7"/>
      <w:bookmarkEnd w:id="8"/>
    </w:p>
    <w:p w:rsidR="00EB3564" w:rsidRPr="00FF0F1B" w:rsidRDefault="00EB3564" w:rsidP="00B47C56">
      <w:pPr>
        <w:snapToGrid w:val="0"/>
        <w:spacing w:line="360" w:lineRule="auto"/>
        <w:jc w:val="both"/>
        <w:rPr>
          <w:rFonts w:ascii="Book Antiqua" w:eastAsia="Times New Roman" w:hAnsi="Book Antiqua"/>
          <w:sz w:val="24"/>
          <w:szCs w:val="24"/>
          <w:vertAlign w:val="superscript"/>
          <w:lang w:val="en-US"/>
        </w:rPr>
      </w:pPr>
    </w:p>
    <w:p w:rsidR="00EB3564" w:rsidRPr="00FF0F1B" w:rsidRDefault="00EB3564" w:rsidP="00B47C56">
      <w:pPr>
        <w:snapToGrid w:val="0"/>
        <w:spacing w:line="360" w:lineRule="auto"/>
        <w:jc w:val="both"/>
        <w:rPr>
          <w:rFonts w:ascii="Book Antiqua" w:hAnsi="Book Antiqua"/>
          <w:sz w:val="24"/>
          <w:szCs w:val="24"/>
          <w:lang w:val="en-US" w:eastAsia="zh-CN"/>
        </w:rPr>
      </w:pPr>
      <w:r w:rsidRPr="00FF0F1B">
        <w:rPr>
          <w:rFonts w:ascii="Book Antiqua" w:eastAsia="Times New Roman" w:hAnsi="Book Antiqua"/>
          <w:b/>
          <w:sz w:val="24"/>
          <w:szCs w:val="24"/>
          <w:lang w:val="en-US"/>
        </w:rPr>
        <w:t>Gokhan Adas, Bora Koc,</w:t>
      </w:r>
      <w:r w:rsidRPr="00FF0F1B">
        <w:rPr>
          <w:rFonts w:ascii="Book Antiqua" w:eastAsia="Times New Roman" w:hAnsi="Book Antiqua"/>
          <w:sz w:val="24"/>
          <w:szCs w:val="24"/>
          <w:lang w:val="en-US"/>
        </w:rPr>
        <w:t xml:space="preserve"> Department of Surgery, Bakýrkoy Dr. Sadi Konuk Training and Research Hospital, 34147 Istanbul, Turkey</w:t>
      </w:r>
    </w:p>
    <w:p w:rsidR="00EB3564" w:rsidRPr="00FF0F1B" w:rsidRDefault="00EB3564" w:rsidP="00B47C56">
      <w:pPr>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jc w:val="both"/>
        <w:rPr>
          <w:rFonts w:ascii="Book Antiqua" w:hAnsi="Book Antiqua"/>
          <w:sz w:val="24"/>
          <w:szCs w:val="24"/>
          <w:lang w:val="en-US" w:eastAsia="zh-CN"/>
        </w:rPr>
      </w:pPr>
      <w:r w:rsidRPr="00FF0F1B">
        <w:rPr>
          <w:rFonts w:ascii="Book Antiqua" w:eastAsia="Times New Roman" w:hAnsi="Book Antiqua"/>
          <w:b/>
          <w:sz w:val="24"/>
          <w:szCs w:val="24"/>
          <w:lang w:val="en-US"/>
        </w:rPr>
        <w:t>Mine Adas</w:t>
      </w:r>
      <w:r w:rsidRPr="00FF0F1B">
        <w:rPr>
          <w:rFonts w:ascii="Book Antiqua" w:eastAsia="Times New Roman" w:hAnsi="Book Antiqua"/>
          <w:sz w:val="24"/>
          <w:szCs w:val="24"/>
          <w:lang w:val="en-US"/>
        </w:rPr>
        <w:t>, Department of Endocrinology, Okmeydani Training and Research Hospital, 34384 Istanbul, Turkey</w:t>
      </w:r>
    </w:p>
    <w:p w:rsidR="00EB3564" w:rsidRPr="00FF0F1B" w:rsidRDefault="00EB3564" w:rsidP="00B47C56">
      <w:pPr>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jc w:val="both"/>
        <w:rPr>
          <w:rFonts w:ascii="Book Antiqua" w:hAnsi="Book Antiqua"/>
          <w:sz w:val="24"/>
          <w:szCs w:val="24"/>
          <w:lang w:val="en-US" w:eastAsia="zh-CN"/>
        </w:rPr>
      </w:pPr>
      <w:r w:rsidRPr="00FF0F1B">
        <w:rPr>
          <w:rFonts w:ascii="Book Antiqua" w:eastAsia="Times New Roman" w:hAnsi="Book Antiqua"/>
          <w:b/>
          <w:sz w:val="24"/>
          <w:szCs w:val="24"/>
          <w:lang w:val="en-US"/>
        </w:rPr>
        <w:t>Soykan Arikan,</w:t>
      </w:r>
      <w:r w:rsidRPr="00FF0F1B">
        <w:rPr>
          <w:rFonts w:ascii="Book Antiqua" w:eastAsia="Times New Roman" w:hAnsi="Book Antiqua"/>
          <w:sz w:val="24"/>
          <w:szCs w:val="24"/>
          <w:lang w:val="en-US"/>
        </w:rPr>
        <w:t xml:space="preserve"> Department of Surgery, Istanbul Training and Research Hospital, 34098 Istanbul, Turkey</w:t>
      </w:r>
    </w:p>
    <w:p w:rsidR="00EB3564" w:rsidRPr="00FF0F1B" w:rsidRDefault="00EB3564" w:rsidP="00B47C56">
      <w:pPr>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jc w:val="both"/>
        <w:rPr>
          <w:rFonts w:ascii="Book Antiqua" w:hAnsi="Book Antiqua"/>
          <w:sz w:val="24"/>
          <w:szCs w:val="24"/>
          <w:lang w:val="en-US" w:eastAsia="zh-CN"/>
        </w:rPr>
      </w:pPr>
      <w:r w:rsidRPr="00FF0F1B">
        <w:rPr>
          <w:rFonts w:ascii="Book Antiqua" w:eastAsia="Times New Roman" w:hAnsi="Book Antiqua"/>
          <w:b/>
          <w:sz w:val="24"/>
          <w:szCs w:val="24"/>
          <w:lang w:val="en-US"/>
        </w:rPr>
        <w:t>Ahu Kemik Sarvan</w:t>
      </w:r>
      <w:r w:rsidRPr="00FF0F1B">
        <w:rPr>
          <w:rFonts w:ascii="Book Antiqua" w:eastAsia="Times New Roman" w:hAnsi="Book Antiqua"/>
          <w:sz w:val="24"/>
          <w:szCs w:val="24"/>
          <w:lang w:val="en-US"/>
        </w:rPr>
        <w:t>, Department of Biochemistry, Istanbul Faculty of Medicine, 34091 Istanbul, Turkey</w:t>
      </w:r>
    </w:p>
    <w:p w:rsidR="00EB3564" w:rsidRPr="00FF0F1B" w:rsidRDefault="00EB3564" w:rsidP="00B47C56">
      <w:pPr>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jc w:val="both"/>
        <w:rPr>
          <w:rFonts w:ascii="Book Antiqua" w:hAnsi="Book Antiqua"/>
          <w:sz w:val="24"/>
          <w:szCs w:val="24"/>
          <w:lang w:val="en-US" w:eastAsia="zh-CN"/>
        </w:rPr>
      </w:pPr>
      <w:r w:rsidRPr="00FF0F1B">
        <w:rPr>
          <w:rFonts w:ascii="Book Antiqua" w:eastAsia="Times New Roman" w:hAnsi="Book Antiqua"/>
          <w:b/>
          <w:sz w:val="24"/>
          <w:szCs w:val="24"/>
          <w:lang w:val="en-US"/>
        </w:rPr>
        <w:t>Akin Savas Toklu, Selva Mert,</w:t>
      </w:r>
      <w:r w:rsidRPr="00FF0F1B">
        <w:rPr>
          <w:rFonts w:ascii="Book Antiqua" w:eastAsia="Times New Roman" w:hAnsi="Book Antiqua"/>
          <w:sz w:val="24"/>
          <w:szCs w:val="24"/>
          <w:lang w:val="en-US"/>
        </w:rPr>
        <w:t xml:space="preserve"> Department of Underwater and Hyperbaric Medicine,</w:t>
      </w:r>
      <w:r w:rsidRPr="00FF0F1B">
        <w:rPr>
          <w:rFonts w:ascii="Book Antiqua" w:eastAsia="Times New Roman" w:hAnsi="Book Antiqua"/>
          <w:sz w:val="24"/>
          <w:szCs w:val="24"/>
          <w:vertAlign w:val="superscript"/>
          <w:lang w:val="en-US"/>
        </w:rPr>
        <w:t xml:space="preserve"> </w:t>
      </w:r>
      <w:r w:rsidRPr="00FF0F1B">
        <w:rPr>
          <w:rFonts w:ascii="Book Antiqua" w:eastAsia="Times New Roman" w:hAnsi="Book Antiqua"/>
          <w:sz w:val="24"/>
          <w:szCs w:val="24"/>
          <w:lang w:val="en-US"/>
        </w:rPr>
        <w:t>Istanbul Faculty of Medicine, 34091 Istanbul, Turkey</w:t>
      </w:r>
    </w:p>
    <w:p w:rsidR="00EB3564" w:rsidRPr="00FF0F1B" w:rsidRDefault="00EB3564" w:rsidP="00B47C56">
      <w:pPr>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jc w:val="both"/>
        <w:rPr>
          <w:rFonts w:ascii="Book Antiqua" w:hAnsi="Book Antiqua"/>
          <w:sz w:val="24"/>
          <w:szCs w:val="24"/>
          <w:lang w:val="en-US" w:eastAsia="zh-CN"/>
        </w:rPr>
      </w:pPr>
      <w:r w:rsidRPr="00FF0F1B">
        <w:rPr>
          <w:rFonts w:ascii="Book Antiqua" w:eastAsia="Times New Roman" w:hAnsi="Book Antiqua"/>
          <w:b/>
          <w:sz w:val="24"/>
          <w:szCs w:val="24"/>
          <w:lang w:val="en-US"/>
        </w:rPr>
        <w:t>Gul Barut,</w:t>
      </w:r>
      <w:r w:rsidRPr="00FF0F1B">
        <w:rPr>
          <w:rFonts w:ascii="Book Antiqua" w:eastAsia="Times New Roman" w:hAnsi="Book Antiqua"/>
          <w:sz w:val="24"/>
          <w:szCs w:val="24"/>
          <w:lang w:val="en-US"/>
        </w:rPr>
        <w:t xml:space="preserve"> Department of Pathology, Haseki Training and Research Hospital, 34096 Istanbul, Turkey</w:t>
      </w:r>
    </w:p>
    <w:p w:rsidR="00EB3564" w:rsidRPr="00FF0F1B" w:rsidRDefault="00EB3564" w:rsidP="00B47C56">
      <w:pPr>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jc w:val="both"/>
        <w:rPr>
          <w:rFonts w:ascii="Book Antiqua" w:eastAsia="Times New Roman" w:hAnsi="Book Antiqua"/>
          <w:sz w:val="24"/>
          <w:szCs w:val="24"/>
          <w:lang w:val="en-US"/>
        </w:rPr>
      </w:pPr>
      <w:r w:rsidRPr="00FF0F1B">
        <w:rPr>
          <w:rFonts w:ascii="Book Antiqua" w:eastAsia="Times New Roman" w:hAnsi="Book Antiqua"/>
          <w:b/>
          <w:sz w:val="24"/>
          <w:szCs w:val="24"/>
          <w:lang w:val="en-US"/>
        </w:rPr>
        <w:lastRenderedPageBreak/>
        <w:t xml:space="preserve">Sedat Kamali, Fýrat Tutal, </w:t>
      </w:r>
      <w:r w:rsidRPr="00FF0F1B">
        <w:rPr>
          <w:rFonts w:ascii="Book Antiqua" w:eastAsia="Times New Roman" w:hAnsi="Book Antiqua"/>
          <w:sz w:val="24"/>
          <w:szCs w:val="24"/>
          <w:lang w:val="en-US"/>
        </w:rPr>
        <w:t>Department of Surgery, Okmeydaný training and Research Hospital, 34384 Istanbul, Turkey</w:t>
      </w:r>
    </w:p>
    <w:p w:rsidR="00EB3564" w:rsidRPr="00FF0F1B" w:rsidRDefault="00EB3564" w:rsidP="00B47C56">
      <w:pPr>
        <w:snapToGrid w:val="0"/>
        <w:spacing w:line="360" w:lineRule="auto"/>
        <w:jc w:val="both"/>
        <w:rPr>
          <w:rFonts w:ascii="Book Antiqua" w:eastAsia="Times New Roman" w:hAnsi="Book Antiqua"/>
          <w:b/>
          <w:sz w:val="24"/>
          <w:szCs w:val="24"/>
          <w:lang w:val="en-US"/>
        </w:rPr>
      </w:pPr>
    </w:p>
    <w:p w:rsidR="00EB3564" w:rsidRPr="00FF0F1B" w:rsidRDefault="00EB3564" w:rsidP="00B47C56">
      <w:pPr>
        <w:snapToGrid w:val="0"/>
        <w:spacing w:line="360" w:lineRule="auto"/>
        <w:jc w:val="both"/>
        <w:rPr>
          <w:rFonts w:ascii="Book Antiqua" w:eastAsia="Times New Roman" w:hAnsi="Book Antiqua"/>
          <w:sz w:val="24"/>
        </w:rPr>
      </w:pPr>
      <w:r w:rsidRPr="00FF0F1B">
        <w:rPr>
          <w:rFonts w:ascii="Book Antiqua" w:eastAsia="Times New Roman" w:hAnsi="Book Antiqua"/>
          <w:b/>
          <w:color w:val="000000"/>
          <w:sz w:val="24"/>
        </w:rPr>
        <w:t>Author contributions:</w:t>
      </w:r>
      <w:r w:rsidRPr="00FF0F1B">
        <w:rPr>
          <w:rFonts w:ascii="Book Antiqua" w:eastAsia="Times New Roman" w:hAnsi="Book Antiqua"/>
          <w:b/>
          <w:sz w:val="24"/>
        </w:rPr>
        <w:t xml:space="preserve"> </w:t>
      </w:r>
      <w:r w:rsidRPr="00FF0F1B">
        <w:rPr>
          <w:rFonts w:ascii="Book Antiqua" w:eastAsia="Times New Roman" w:hAnsi="Book Antiqua"/>
          <w:sz w:val="24"/>
        </w:rPr>
        <w:t>Adas G ,Adas M and Arýkan S performed the majority of experiments; Koc B, Kemik SA, Toklu AS and Barut G provided vital reagents and analytical tools and were also involved in editing the manuscript; Kamalý S and Tutal F designed the study and wrote the manuscript.</w:t>
      </w:r>
    </w:p>
    <w:p w:rsidR="00EB3564" w:rsidRPr="00FF0F1B" w:rsidRDefault="00EB3564" w:rsidP="00B47C56">
      <w:pPr>
        <w:snapToGrid w:val="0"/>
        <w:spacing w:line="360" w:lineRule="auto"/>
        <w:jc w:val="both"/>
        <w:rPr>
          <w:rFonts w:ascii="Book Antiqua" w:hAnsi="Book Antiqua"/>
          <w:sz w:val="24"/>
          <w:szCs w:val="24"/>
          <w:lang w:eastAsia="zh-CN"/>
        </w:rPr>
      </w:pPr>
    </w:p>
    <w:p w:rsidR="00EB3564" w:rsidRPr="00FF0F1B" w:rsidRDefault="00EB3564" w:rsidP="00B47C56">
      <w:pPr>
        <w:pStyle w:val="ac"/>
        <w:snapToGrid w:val="0"/>
        <w:spacing w:line="360" w:lineRule="auto"/>
        <w:jc w:val="both"/>
        <w:rPr>
          <w:rFonts w:ascii="Book Antiqua" w:hAnsi="Book Antiqua"/>
          <w:lang w:eastAsia="zh-CN"/>
        </w:rPr>
      </w:pPr>
      <w:bookmarkStart w:id="9" w:name="OLE_LINK77"/>
      <w:bookmarkStart w:id="10" w:name="OLE_LINK78"/>
      <w:r w:rsidRPr="00FF0F1B">
        <w:rPr>
          <w:rFonts w:ascii="Book Antiqua" w:hAnsi="Book Antiqua" w:cs="Gulim"/>
          <w:b/>
          <w:sz w:val="24"/>
        </w:rPr>
        <w:t>Correspondence to</w:t>
      </w:r>
      <w:r w:rsidRPr="00FF0F1B">
        <w:rPr>
          <w:rFonts w:ascii="Book Antiqua" w:hAnsi="Book Antiqua" w:cs="Gulim"/>
          <w:b/>
          <w:bCs/>
          <w:sz w:val="24"/>
        </w:rPr>
        <w:t>:</w:t>
      </w:r>
      <w:r w:rsidRPr="00FF0F1B">
        <w:rPr>
          <w:rFonts w:ascii="Book Antiqua" w:hAnsi="Book Antiqua"/>
          <w:b/>
          <w:sz w:val="24"/>
          <w:szCs w:val="24"/>
          <w:lang w:val="en-US"/>
        </w:rPr>
        <w:t xml:space="preserve"> Bora Koc,</w:t>
      </w:r>
      <w:r w:rsidRPr="00FF0F1B">
        <w:rPr>
          <w:rFonts w:ascii="Book Antiqua" w:hAnsi="Book Antiqua"/>
          <w:b/>
          <w:sz w:val="24"/>
          <w:szCs w:val="24"/>
          <w:lang w:val="en-US" w:eastAsia="zh-CN"/>
        </w:rPr>
        <w:t xml:space="preserve"> MD,</w:t>
      </w:r>
      <w:r w:rsidRPr="00FF0F1B">
        <w:rPr>
          <w:rFonts w:ascii="Book Antiqua" w:hAnsi="Book Antiqua"/>
          <w:sz w:val="24"/>
          <w:szCs w:val="24"/>
          <w:lang w:val="en-US"/>
        </w:rPr>
        <w:t xml:space="preserve"> Department of Surgery, Bakırkoy Dr. Sadi Konuk Training and Research Hospital, 34147 Istanbul, Turkey</w:t>
      </w:r>
      <w:r w:rsidRPr="00FF0F1B">
        <w:rPr>
          <w:rFonts w:ascii="Book Antiqua" w:hAnsi="Book Antiqua"/>
          <w:sz w:val="24"/>
          <w:szCs w:val="24"/>
          <w:lang w:val="en-US" w:eastAsia="zh-CN"/>
        </w:rPr>
        <w:t>.</w:t>
      </w:r>
      <w:r w:rsidRPr="00FF0F1B">
        <w:rPr>
          <w:rFonts w:ascii="Book Antiqua" w:hAnsi="Book Antiqua"/>
        </w:rPr>
        <w:t xml:space="preserve"> </w:t>
      </w:r>
    </w:p>
    <w:p w:rsidR="00EB3564" w:rsidRPr="00A10F83" w:rsidRDefault="00EB3564" w:rsidP="00B47C56">
      <w:pPr>
        <w:pStyle w:val="ac"/>
        <w:snapToGrid w:val="0"/>
        <w:spacing w:line="360" w:lineRule="auto"/>
        <w:jc w:val="both"/>
        <w:rPr>
          <w:rFonts w:ascii="Book Antiqua" w:hAnsi="Book Antiqua" w:cs="Gulim"/>
          <w:b/>
          <w:bCs/>
          <w:sz w:val="24"/>
          <w:lang w:val="fr-FR" w:eastAsia="zh-CN"/>
        </w:rPr>
      </w:pPr>
      <w:r w:rsidRPr="00A10F83">
        <w:rPr>
          <w:rFonts w:ascii="Book Antiqua" w:hAnsi="Book Antiqua"/>
          <w:sz w:val="24"/>
          <w:szCs w:val="24"/>
          <w:lang w:val="fr-FR" w:eastAsia="zh-CN"/>
        </w:rPr>
        <w:t>drborakoc@hotmail.com</w:t>
      </w:r>
    </w:p>
    <w:p w:rsidR="00EB3564" w:rsidRPr="00A10F83" w:rsidRDefault="00EB3564" w:rsidP="00B47C56">
      <w:pPr>
        <w:pStyle w:val="ac"/>
        <w:snapToGrid w:val="0"/>
        <w:spacing w:line="360" w:lineRule="auto"/>
        <w:jc w:val="both"/>
        <w:rPr>
          <w:rFonts w:ascii="Book Antiqua" w:hAnsi="Book Antiqua" w:cs="Gulim"/>
          <w:b/>
          <w:bCs/>
          <w:sz w:val="24"/>
          <w:lang w:val="fr-FR" w:eastAsia="zh-CN"/>
        </w:rPr>
      </w:pPr>
    </w:p>
    <w:p w:rsidR="00EB3564" w:rsidRPr="00A10F83" w:rsidRDefault="00EB3564" w:rsidP="00B47C56">
      <w:pPr>
        <w:autoSpaceDE w:val="0"/>
        <w:autoSpaceDN w:val="0"/>
        <w:adjustRightInd w:val="0"/>
        <w:snapToGrid w:val="0"/>
        <w:spacing w:line="360" w:lineRule="auto"/>
        <w:jc w:val="both"/>
        <w:rPr>
          <w:rFonts w:ascii="Book Antiqua" w:hAnsi="Book Antiqua"/>
          <w:color w:val="000000"/>
          <w:sz w:val="24"/>
          <w:lang w:val="fr-FR"/>
        </w:rPr>
      </w:pPr>
      <w:bookmarkStart w:id="11" w:name="OLE_LINK65"/>
      <w:bookmarkStart w:id="12" w:name="OLE_LINK106"/>
      <w:bookmarkStart w:id="13" w:name="OLE_LINK331"/>
      <w:bookmarkStart w:id="14" w:name="OLE_LINK207"/>
      <w:bookmarkStart w:id="15" w:name="OLE_LINK208"/>
      <w:r w:rsidRPr="00A10F83">
        <w:rPr>
          <w:rFonts w:ascii="Book Antiqua" w:hAnsi="Book Antiqua"/>
          <w:b/>
          <w:bCs/>
          <w:color w:val="000000"/>
          <w:sz w:val="24"/>
          <w:lang w:val="fr-FR"/>
        </w:rPr>
        <w:t xml:space="preserve">Telephone: </w:t>
      </w:r>
      <w:r w:rsidRPr="00A10F83">
        <w:rPr>
          <w:rFonts w:ascii="Book Antiqua" w:hAnsi="Book Antiqua"/>
          <w:color w:val="000000"/>
          <w:sz w:val="24"/>
          <w:lang w:val="fr-FR"/>
        </w:rPr>
        <w:t>+90</w:t>
      </w:r>
      <w:r w:rsidRPr="00A10F83">
        <w:rPr>
          <w:rFonts w:ascii="Book Antiqua" w:hAnsi="Book Antiqua"/>
          <w:color w:val="000000"/>
          <w:sz w:val="24"/>
          <w:lang w:val="fr-FR" w:eastAsia="zh-CN"/>
        </w:rPr>
        <w:t>-</w:t>
      </w:r>
      <w:r w:rsidRPr="00A10F83">
        <w:rPr>
          <w:rFonts w:ascii="Book Antiqua" w:hAnsi="Book Antiqua"/>
          <w:color w:val="000000"/>
          <w:sz w:val="24"/>
          <w:lang w:val="fr-FR"/>
        </w:rPr>
        <w:t>533</w:t>
      </w:r>
      <w:r w:rsidRPr="00A10F83">
        <w:rPr>
          <w:rFonts w:ascii="Book Antiqua" w:hAnsi="Book Antiqua"/>
          <w:color w:val="000000"/>
          <w:sz w:val="24"/>
          <w:lang w:val="fr-FR" w:eastAsia="zh-CN"/>
        </w:rPr>
        <w:t>-</w:t>
      </w:r>
      <w:r w:rsidRPr="00A10F83">
        <w:rPr>
          <w:rFonts w:ascii="Book Antiqua" w:hAnsi="Book Antiqua"/>
          <w:color w:val="000000"/>
          <w:sz w:val="24"/>
          <w:lang w:val="fr-FR"/>
        </w:rPr>
        <w:t xml:space="preserve">4948090    </w:t>
      </w:r>
      <w:r w:rsidRPr="00A10F83">
        <w:rPr>
          <w:rFonts w:ascii="Book Antiqua" w:hAnsi="Book Antiqua"/>
          <w:color w:val="000000"/>
          <w:sz w:val="24"/>
          <w:lang w:val="fr-FR" w:eastAsia="zh-CN"/>
        </w:rPr>
        <w:t xml:space="preserve">               </w:t>
      </w:r>
      <w:r w:rsidRPr="00A10F83">
        <w:rPr>
          <w:rFonts w:ascii="Book Antiqua" w:hAnsi="Book Antiqua"/>
          <w:color w:val="000000"/>
          <w:sz w:val="24"/>
          <w:lang w:val="fr-FR"/>
        </w:rPr>
        <w:t xml:space="preserve"> </w:t>
      </w:r>
      <w:bookmarkStart w:id="16" w:name="OLE_LINK42"/>
      <w:bookmarkStart w:id="17" w:name="OLE_LINK128"/>
      <w:r w:rsidRPr="00A10F83">
        <w:rPr>
          <w:rFonts w:ascii="Book Antiqua" w:hAnsi="Book Antiqua"/>
          <w:b/>
          <w:bCs/>
          <w:color w:val="000000"/>
          <w:sz w:val="24"/>
          <w:lang w:val="fr-FR"/>
        </w:rPr>
        <w:t xml:space="preserve"> Fax:</w:t>
      </w:r>
      <w:r w:rsidRPr="00A10F83">
        <w:rPr>
          <w:rFonts w:ascii="Book Antiqua" w:hAnsi="Book Antiqua"/>
          <w:color w:val="000000"/>
          <w:sz w:val="24"/>
          <w:lang w:val="fr-FR"/>
        </w:rPr>
        <w:t xml:space="preserve"> +</w:t>
      </w:r>
      <w:bookmarkEnd w:id="11"/>
      <w:bookmarkEnd w:id="12"/>
      <w:bookmarkEnd w:id="16"/>
      <w:bookmarkEnd w:id="17"/>
      <w:r w:rsidRPr="00A10F83">
        <w:rPr>
          <w:rFonts w:ascii="Book Antiqua" w:hAnsi="Book Antiqua"/>
          <w:color w:val="000000"/>
          <w:sz w:val="24"/>
          <w:lang w:val="fr-FR"/>
        </w:rPr>
        <w:t>90</w:t>
      </w:r>
      <w:r w:rsidRPr="00A10F83">
        <w:rPr>
          <w:rFonts w:ascii="Book Antiqua" w:hAnsi="Book Antiqua"/>
          <w:color w:val="000000"/>
          <w:sz w:val="24"/>
          <w:lang w:val="fr-FR" w:eastAsia="zh-CN"/>
        </w:rPr>
        <w:t>-</w:t>
      </w:r>
      <w:r w:rsidRPr="00A10F83">
        <w:rPr>
          <w:rFonts w:ascii="Book Antiqua" w:hAnsi="Book Antiqua"/>
          <w:color w:val="000000"/>
          <w:sz w:val="24"/>
          <w:lang w:val="fr-FR"/>
        </w:rPr>
        <w:t>212</w:t>
      </w:r>
      <w:r w:rsidRPr="00A10F83">
        <w:rPr>
          <w:rFonts w:ascii="Book Antiqua" w:hAnsi="Book Antiqua"/>
          <w:color w:val="000000"/>
          <w:sz w:val="24"/>
          <w:lang w:val="fr-FR" w:eastAsia="zh-CN"/>
        </w:rPr>
        <w:t>-</w:t>
      </w:r>
      <w:r w:rsidRPr="00A10F83">
        <w:rPr>
          <w:rFonts w:ascii="Book Antiqua" w:hAnsi="Book Antiqua"/>
          <w:color w:val="000000"/>
          <w:sz w:val="24"/>
          <w:lang w:val="fr-FR"/>
        </w:rPr>
        <w:t>2217777</w:t>
      </w:r>
    </w:p>
    <w:p w:rsidR="00EB3564" w:rsidRPr="00FF0F1B" w:rsidRDefault="00EB3564" w:rsidP="00B47C56">
      <w:pPr>
        <w:snapToGrid w:val="0"/>
        <w:spacing w:line="360" w:lineRule="auto"/>
        <w:jc w:val="both"/>
        <w:rPr>
          <w:rFonts w:ascii="Book Antiqua" w:hAnsi="Book Antiqua"/>
          <w:sz w:val="24"/>
        </w:rPr>
      </w:pPr>
      <w:bookmarkStart w:id="18" w:name="OLE_LINK145"/>
      <w:bookmarkStart w:id="19" w:name="OLE_LINK215"/>
      <w:bookmarkStart w:id="20" w:name="OLE_LINK352"/>
      <w:bookmarkStart w:id="21" w:name="OLE_LINK364"/>
      <w:bookmarkEnd w:id="13"/>
      <w:r w:rsidRPr="00FF0F1B">
        <w:rPr>
          <w:rFonts w:ascii="Book Antiqua" w:hAnsi="Book Antiqua"/>
          <w:b/>
          <w:sz w:val="24"/>
        </w:rPr>
        <w:t>Received:</w:t>
      </w:r>
      <w:r w:rsidRPr="00FF0F1B">
        <w:rPr>
          <w:rFonts w:ascii="Book Antiqua" w:hAnsi="Book Antiqua"/>
          <w:b/>
          <w:sz w:val="24"/>
          <w:lang w:eastAsia="zh-CN"/>
        </w:rPr>
        <w:t xml:space="preserve"> </w:t>
      </w:r>
      <w:r w:rsidRPr="00FF0F1B">
        <w:rPr>
          <w:rFonts w:ascii="Book Antiqua" w:hAnsi="Book Antiqua"/>
          <w:sz w:val="24"/>
          <w:lang w:eastAsia="zh-CN"/>
        </w:rPr>
        <w:t xml:space="preserve">November 5, 2012  </w:t>
      </w:r>
      <w:r w:rsidRPr="00FF0F1B">
        <w:rPr>
          <w:rFonts w:ascii="Book Antiqua" w:hAnsi="Book Antiqua"/>
          <w:sz w:val="24"/>
        </w:rPr>
        <w:t xml:space="preserve"> </w:t>
      </w:r>
      <w:r>
        <w:rPr>
          <w:rFonts w:ascii="Book Antiqua" w:hAnsi="Book Antiqua"/>
          <w:sz w:val="24"/>
          <w:lang w:eastAsia="zh-CN"/>
        </w:rPr>
        <w:t xml:space="preserve">              </w:t>
      </w:r>
      <w:r w:rsidRPr="00FF0F1B">
        <w:rPr>
          <w:rFonts w:ascii="Book Antiqua" w:hAnsi="Book Antiqua"/>
          <w:b/>
          <w:sz w:val="24"/>
        </w:rPr>
        <w:t xml:space="preserve">  Revised: </w:t>
      </w:r>
      <w:r w:rsidRPr="00FF0F1B">
        <w:rPr>
          <w:rFonts w:ascii="Book Antiqua" w:hAnsi="Book Antiqua"/>
          <w:sz w:val="24"/>
          <w:lang w:eastAsia="zh-CN"/>
        </w:rPr>
        <w:t>December 13, 2012</w:t>
      </w:r>
      <w:r w:rsidRPr="00FF0F1B">
        <w:rPr>
          <w:rFonts w:ascii="Book Antiqua" w:hAnsi="Book Antiqua"/>
          <w:sz w:val="24"/>
        </w:rPr>
        <w:t xml:space="preserve"> </w:t>
      </w:r>
      <w:bookmarkStart w:id="22" w:name="OLE_LINK103"/>
      <w:bookmarkStart w:id="23" w:name="OLE_LINK104"/>
      <w:bookmarkStart w:id="24" w:name="OLE_LINK69"/>
      <w:bookmarkStart w:id="25" w:name="OLE_LINK70"/>
    </w:p>
    <w:p w:rsidR="00FE3A80" w:rsidRPr="005032FF" w:rsidRDefault="00EB3564" w:rsidP="00FE3A80">
      <w:pPr>
        <w:rPr>
          <w:rFonts w:ascii="Book Antiqua" w:hAnsi="Book Antiqua"/>
          <w:sz w:val="24"/>
          <w:szCs w:val="24"/>
        </w:rPr>
      </w:pPr>
      <w:bookmarkStart w:id="26" w:name="OLE_LINK303"/>
      <w:bookmarkStart w:id="27" w:name="OLE_LINK304"/>
      <w:r w:rsidRPr="00FF0F1B">
        <w:rPr>
          <w:rFonts w:ascii="Book Antiqua" w:hAnsi="Book Antiqua"/>
          <w:b/>
          <w:sz w:val="24"/>
        </w:rPr>
        <w:t xml:space="preserve">Accepted: </w:t>
      </w:r>
      <w:r>
        <w:rPr>
          <w:rFonts w:ascii="Book Antiqua" w:hAnsi="Book Antiqua"/>
          <w:b/>
          <w:sz w:val="24"/>
          <w:lang w:eastAsia="zh-CN"/>
        </w:rPr>
        <w:t xml:space="preserve">   </w:t>
      </w:r>
      <w:r w:rsidR="00FE3A80" w:rsidRPr="005032FF">
        <w:rPr>
          <w:rFonts w:ascii="Book Antiqua" w:hAnsi="Book Antiqua"/>
          <w:sz w:val="24"/>
          <w:szCs w:val="24"/>
        </w:rPr>
        <w:t>January 11, 2013</w:t>
      </w:r>
    </w:p>
    <w:p w:rsidR="00EB3564" w:rsidRPr="00FF0F1B" w:rsidRDefault="00EB3564" w:rsidP="00B47C56">
      <w:pPr>
        <w:snapToGrid w:val="0"/>
        <w:spacing w:line="360" w:lineRule="auto"/>
        <w:jc w:val="both"/>
        <w:rPr>
          <w:rFonts w:ascii="Book Antiqua" w:hAnsi="Book Antiqua"/>
          <w:b/>
          <w:sz w:val="24"/>
          <w:lang w:eastAsia="zh-CN"/>
        </w:rPr>
      </w:pPr>
      <w:bookmarkStart w:id="28" w:name="_GoBack"/>
      <w:bookmarkEnd w:id="28"/>
      <w:r>
        <w:rPr>
          <w:rFonts w:ascii="Book Antiqua" w:hAnsi="Book Antiqua"/>
          <w:b/>
          <w:sz w:val="24"/>
          <w:lang w:eastAsia="zh-CN"/>
        </w:rPr>
        <w:t xml:space="preserve">                              </w:t>
      </w:r>
      <w:r w:rsidRPr="00FF0F1B">
        <w:rPr>
          <w:rFonts w:ascii="Book Antiqua" w:hAnsi="Book Antiqua"/>
          <w:b/>
          <w:sz w:val="24"/>
        </w:rPr>
        <w:t xml:space="preserve"> Published online: </w:t>
      </w:r>
      <w:bookmarkEnd w:id="22"/>
      <w:bookmarkEnd w:id="23"/>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p w:rsidR="00EB3564" w:rsidRPr="00FF0F1B" w:rsidRDefault="00EB3564" w:rsidP="00B47C56">
      <w:pPr>
        <w:snapToGrid w:val="0"/>
        <w:spacing w:line="360" w:lineRule="auto"/>
        <w:jc w:val="both"/>
        <w:rPr>
          <w:rFonts w:ascii="Book Antiqua" w:hAnsi="Book Antiqua"/>
          <w:b/>
          <w:sz w:val="24"/>
          <w:lang w:eastAsia="zh-CN"/>
        </w:rPr>
      </w:pPr>
    </w:p>
    <w:bookmarkEnd w:id="14"/>
    <w:bookmarkEnd w:id="15"/>
    <w:bookmarkEnd w:id="18"/>
    <w:bookmarkEnd w:id="19"/>
    <w:bookmarkEnd w:id="20"/>
    <w:bookmarkEnd w:id="21"/>
    <w:bookmarkEnd w:id="24"/>
    <w:bookmarkEnd w:id="25"/>
    <w:bookmarkEnd w:id="26"/>
    <w:bookmarkEnd w:id="27"/>
    <w:p w:rsidR="00EB3564" w:rsidRPr="00FF0F1B" w:rsidRDefault="00EB3564" w:rsidP="00B47C56">
      <w:pPr>
        <w:pStyle w:val="ac"/>
        <w:snapToGrid w:val="0"/>
        <w:spacing w:line="360" w:lineRule="auto"/>
        <w:jc w:val="both"/>
        <w:rPr>
          <w:rFonts w:ascii="Book Antiqua" w:hAnsi="Book Antiqua"/>
          <w:b/>
          <w:color w:val="000000"/>
          <w:sz w:val="24"/>
          <w:lang w:eastAsia="zh-CN"/>
        </w:rPr>
      </w:pPr>
      <w:r w:rsidRPr="00FF0F1B">
        <w:rPr>
          <w:rFonts w:ascii="Book Antiqua" w:hAnsi="Book Antiqua"/>
          <w:b/>
          <w:color w:val="000000"/>
          <w:sz w:val="24"/>
        </w:rPr>
        <w:t>Abstract</w:t>
      </w:r>
    </w:p>
    <w:p w:rsidR="00EB3564" w:rsidRPr="00FF0F1B" w:rsidRDefault="00EB3564" w:rsidP="00B47C56">
      <w:pPr>
        <w:snapToGrid w:val="0"/>
        <w:spacing w:line="360" w:lineRule="auto"/>
        <w:jc w:val="both"/>
        <w:rPr>
          <w:rFonts w:ascii="Book Antiqua" w:hAnsi="Book Antiqua"/>
          <w:sz w:val="24"/>
          <w:szCs w:val="24"/>
          <w:lang w:val="en-US" w:eastAsia="zh-CN"/>
        </w:rPr>
      </w:pPr>
      <w:bookmarkStart w:id="29" w:name="OLE_LINK305"/>
      <w:bookmarkStart w:id="30" w:name="OLE_LINK306"/>
      <w:bookmarkStart w:id="31" w:name="OLE_LINK201"/>
      <w:bookmarkStart w:id="32" w:name="OLE_LINK82"/>
      <w:r w:rsidRPr="00FF0F1B">
        <w:rPr>
          <w:rFonts w:ascii="Book Antiqua" w:hAnsi="Book Antiqua" w:cs="Arial"/>
          <w:b/>
          <w:sz w:val="24"/>
        </w:rPr>
        <w:t>AIM</w:t>
      </w:r>
      <w:bookmarkEnd w:id="29"/>
      <w:bookmarkEnd w:id="30"/>
      <w:r w:rsidRPr="00FF0F1B">
        <w:rPr>
          <w:rFonts w:ascii="Book Antiqua" w:hAnsi="Book Antiqua" w:cs="Arial"/>
          <w:b/>
          <w:sz w:val="24"/>
          <w:lang w:eastAsia="zh-CN"/>
        </w:rPr>
        <w:t>:</w:t>
      </w:r>
      <w:r w:rsidRPr="00FF0F1B">
        <w:rPr>
          <w:rFonts w:ascii="Book Antiqua" w:hAnsi="Book Antiqua"/>
          <w:b/>
          <w:color w:val="000000"/>
          <w:sz w:val="24"/>
        </w:rPr>
        <w:t xml:space="preserve"> </w:t>
      </w:r>
      <w:bookmarkStart w:id="33" w:name="OLE_LINK119"/>
      <w:bookmarkStart w:id="34" w:name="OLE_LINK120"/>
      <w:bookmarkEnd w:id="31"/>
      <w:r w:rsidRPr="00FF0F1B">
        <w:rPr>
          <w:rFonts w:ascii="Book Antiqua" w:hAnsi="Book Antiqua"/>
          <w:sz w:val="24"/>
          <w:szCs w:val="24"/>
          <w:lang w:val="en-US" w:eastAsia="zh-CN"/>
        </w:rPr>
        <w:t>T</w:t>
      </w:r>
      <w:r w:rsidRPr="00FF0F1B">
        <w:rPr>
          <w:rFonts w:ascii="Book Antiqua" w:hAnsi="Book Antiqua"/>
          <w:sz w:val="24"/>
          <w:szCs w:val="24"/>
          <w:lang w:val="en-US"/>
        </w:rPr>
        <w:t>o investigate the role of growth hormone (GH), hyperbaric oxygen therapy and combined therapy on the intestinal neomucosa formation of the gastric serosa.</w:t>
      </w:r>
    </w:p>
    <w:p w:rsidR="00EB3564" w:rsidRPr="00FF0F1B" w:rsidRDefault="00EB3564" w:rsidP="00B47C56">
      <w:pPr>
        <w:snapToGrid w:val="0"/>
        <w:spacing w:line="360" w:lineRule="auto"/>
        <w:jc w:val="both"/>
        <w:rPr>
          <w:rFonts w:ascii="Book Antiqua" w:hAnsi="Book Antiqua" w:cs="Arial"/>
          <w:sz w:val="24"/>
          <w:lang w:val="en-US" w:eastAsia="zh-CN"/>
        </w:rPr>
      </w:pPr>
    </w:p>
    <w:p w:rsidR="00EB3564" w:rsidRPr="00FF0F1B" w:rsidRDefault="00EB3564" w:rsidP="00B47C56">
      <w:pPr>
        <w:snapToGrid w:val="0"/>
        <w:spacing w:line="360" w:lineRule="auto"/>
        <w:jc w:val="both"/>
        <w:rPr>
          <w:rFonts w:ascii="Book Antiqua" w:hAnsi="Book Antiqua"/>
          <w:sz w:val="24"/>
          <w:szCs w:val="24"/>
          <w:lang w:val="en-US"/>
        </w:rPr>
      </w:pPr>
      <w:r w:rsidRPr="00FF0F1B">
        <w:rPr>
          <w:rFonts w:ascii="Book Antiqua" w:hAnsi="Book Antiqua" w:cs="Arial"/>
          <w:b/>
          <w:sz w:val="24"/>
        </w:rPr>
        <w:t>METHODS</w:t>
      </w:r>
      <w:r w:rsidRPr="00FF0F1B">
        <w:rPr>
          <w:rFonts w:ascii="Book Antiqua" w:hAnsi="Book Antiqua" w:cs="Arial"/>
          <w:b/>
          <w:sz w:val="24"/>
          <w:lang w:eastAsia="zh-CN"/>
        </w:rPr>
        <w:t>:</w:t>
      </w:r>
      <w:r w:rsidRPr="00FF0F1B">
        <w:rPr>
          <w:rFonts w:ascii="Book Antiqua" w:hAnsi="Book Antiqua"/>
          <w:color w:val="000000"/>
          <w:sz w:val="24"/>
        </w:rPr>
        <w:t xml:space="preserve"> </w:t>
      </w:r>
      <w:bookmarkStart w:id="35" w:name="OLE_LINK105"/>
      <w:bookmarkStart w:id="36" w:name="OLE_LINK137"/>
      <w:r w:rsidRPr="00FF0F1B">
        <w:rPr>
          <w:rFonts w:ascii="Book Antiqua" w:hAnsi="Book Antiqua"/>
          <w:bCs/>
          <w:color w:val="000000"/>
          <w:sz w:val="24"/>
          <w:szCs w:val="24"/>
          <w:lang w:val="en-US"/>
        </w:rPr>
        <w:t>Forty-eight male Wistar-albino rats, weighing 250-280</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g, were used in this study.</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 xml:space="preserve">The rats were divided into </w:t>
      </w:r>
      <w:r w:rsidRPr="00FF0F1B">
        <w:rPr>
          <w:rFonts w:ascii="Book Antiqua" w:hAnsi="Book Antiqua"/>
          <w:sz w:val="24"/>
          <w:szCs w:val="24"/>
          <w:lang w:val="en-US"/>
        </w:rPr>
        <w:t>four groups (</w:t>
      </w:r>
      <w:r w:rsidRPr="00FF0F1B">
        <w:rPr>
          <w:rFonts w:ascii="Book Antiqua" w:hAnsi="Book Antiqua"/>
          <w:i/>
          <w:sz w:val="24"/>
          <w:szCs w:val="24"/>
          <w:lang w:val="en-US"/>
        </w:rPr>
        <w:t>n</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w:t>
      </w:r>
      <w:r w:rsidRPr="00FF0F1B">
        <w:rPr>
          <w:rFonts w:ascii="Book Antiqua" w:hAnsi="Book Antiqua"/>
          <w:sz w:val="24"/>
          <w:szCs w:val="24"/>
          <w:lang w:val="en-US" w:eastAsia="zh-CN"/>
        </w:rPr>
        <w:t xml:space="preserve"> </w:t>
      </w:r>
      <w:r w:rsidRPr="00FF0F1B">
        <w:rPr>
          <w:rFonts w:ascii="Book Antiqua" w:hAnsi="Book Antiqua"/>
          <w:sz w:val="24"/>
          <w:szCs w:val="24"/>
          <w:lang w:val="en-US"/>
        </w:rPr>
        <w:t>12); Group 1</w:t>
      </w:r>
      <w:r w:rsidRPr="00FF0F1B">
        <w:rPr>
          <w:rFonts w:ascii="Book Antiqua" w:hAnsi="Book Antiqua"/>
          <w:sz w:val="24"/>
          <w:szCs w:val="24"/>
          <w:lang w:val="en-US" w:eastAsia="zh-CN"/>
        </w:rPr>
        <w:t>,</w:t>
      </w:r>
      <w:r w:rsidRPr="00FF0F1B">
        <w:rPr>
          <w:rFonts w:ascii="Book Antiqua" w:hAnsi="Book Antiqua"/>
          <w:sz w:val="24"/>
          <w:szCs w:val="24"/>
          <w:lang w:val="en-US"/>
        </w:rPr>
        <w:t xml:space="preserve"> control, gastric serosal patch Group 2, gastric serosalpatch + GH; Group 3, gastric serosal patch + hyperbaric oxygen therapy (HBOT); and Group 4</w:t>
      </w:r>
      <w:r w:rsidRPr="00FF0F1B">
        <w:rPr>
          <w:rFonts w:ascii="Book Antiqua" w:hAnsi="Book Antiqua"/>
          <w:sz w:val="24"/>
          <w:szCs w:val="24"/>
          <w:lang w:val="en-US" w:eastAsia="zh-CN"/>
        </w:rPr>
        <w:t>,</w:t>
      </w:r>
      <w:r w:rsidRPr="00FF0F1B">
        <w:rPr>
          <w:rFonts w:ascii="Book Antiqua" w:hAnsi="Book Antiqua"/>
          <w:sz w:val="24"/>
          <w:szCs w:val="24"/>
          <w:lang w:val="en-US"/>
        </w:rPr>
        <w:t xml:space="preserve"> gastric serosal patch + GH + HBOT. Abdominal access was achieved through a midline incision, and after the 1-cm-long defect was created in the jejunum, a 1 cm</w:t>
      </w:r>
      <w:r w:rsidRPr="00FF0F1B">
        <w:rPr>
          <w:rFonts w:ascii="Book Antiqua" w:hAnsi="Book Antiqua"/>
          <w:sz w:val="24"/>
          <w:szCs w:val="24"/>
          <w:lang w:val="en-US" w:eastAsia="zh-CN"/>
        </w:rPr>
        <w:t xml:space="preserve"> </w:t>
      </w:r>
      <w:r w:rsidRPr="00FF0F1B">
        <w:rPr>
          <w:rFonts w:ascii="Book Antiqua" w:hAnsi="Book Antiqua"/>
          <w:sz w:val="24"/>
          <w:szCs w:val="24"/>
          <w:lang w:val="en-US"/>
        </w:rPr>
        <w:t>×</w:t>
      </w:r>
      <w:r w:rsidRPr="00FF0F1B">
        <w:rPr>
          <w:rFonts w:ascii="Book Antiqua" w:hAnsi="Book Antiqua"/>
          <w:sz w:val="24"/>
          <w:szCs w:val="24"/>
          <w:lang w:val="en-US" w:eastAsia="zh-CN"/>
        </w:rPr>
        <w:t xml:space="preserve"> </w:t>
      </w:r>
      <w:r w:rsidRPr="00FF0F1B">
        <w:rPr>
          <w:rFonts w:ascii="Book Antiqua" w:hAnsi="Book Antiqua"/>
          <w:sz w:val="24"/>
          <w:szCs w:val="24"/>
          <w:lang w:val="en-US"/>
        </w:rPr>
        <w:t>1 cm patch of the gastric corpus was anastomosed to the jejunal defect. Venous blood samples were taken to determine the</w:t>
      </w:r>
      <w:r w:rsidRPr="00FF0F1B">
        <w:rPr>
          <w:rFonts w:ascii="Book Antiqua" w:hAnsi="Book Antiqua"/>
        </w:rPr>
        <w:t xml:space="preserve"> </w:t>
      </w:r>
      <w:r w:rsidRPr="00FF0F1B">
        <w:rPr>
          <w:rFonts w:ascii="Book Antiqua" w:hAnsi="Book Antiqua"/>
          <w:sz w:val="24"/>
          <w:szCs w:val="24"/>
          <w:lang w:val="en-US"/>
        </w:rPr>
        <w:t>insulin like growth factor (IGF-1) and insulin like growth factor binding protein 3 (IGFBP-3)</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basal levels. HBOT was performed in Groups 3 and 4. In Groups 2 and 4, </w:t>
      </w:r>
      <w:bookmarkStart w:id="37" w:name="OLE_LINK402"/>
      <w:bookmarkStart w:id="38" w:name="OLE_LINK403"/>
      <w:r w:rsidRPr="00FF0F1B">
        <w:rPr>
          <w:rFonts w:ascii="Book Antiqua" w:hAnsi="Book Antiqua"/>
          <w:sz w:val="24"/>
          <w:szCs w:val="24"/>
          <w:lang w:val="en-US"/>
        </w:rPr>
        <w:t>human GH</w:t>
      </w:r>
      <w:bookmarkEnd w:id="37"/>
      <w:bookmarkEnd w:id="38"/>
      <w:r w:rsidRPr="00FF0F1B">
        <w:rPr>
          <w:rFonts w:ascii="Book Antiqua" w:hAnsi="Book Antiqua"/>
          <w:sz w:val="24"/>
          <w:szCs w:val="24"/>
          <w:lang w:val="en-US"/>
        </w:rPr>
        <w:t xml:space="preserve"> was given subcutaneously at a dose of 2</w:t>
      </w:r>
      <w:r w:rsidRPr="00FF0F1B">
        <w:rPr>
          <w:rFonts w:ascii="Book Antiqua" w:hAnsi="Book Antiqua"/>
          <w:sz w:val="24"/>
          <w:szCs w:val="24"/>
          <w:lang w:val="en-US" w:eastAsia="zh-CN"/>
        </w:rPr>
        <w:t xml:space="preserve"> </w:t>
      </w:r>
      <w:r w:rsidRPr="00FF0F1B">
        <w:rPr>
          <w:rFonts w:ascii="Book Antiqua" w:hAnsi="Book Antiqua"/>
          <w:sz w:val="24"/>
          <w:szCs w:val="24"/>
          <w:lang w:val="en-US"/>
        </w:rPr>
        <w:t>mg per kg/d for 28 d, beginning on the operation day. All animals were sacrificed 60 d after surgery. The jejunal segment and the gastric</w:t>
      </w:r>
      <w:bookmarkStart w:id="39" w:name="OLE_LINK404"/>
      <w:bookmarkStart w:id="40" w:name="OLE_LINK405"/>
      <w:r w:rsidRPr="00FF0F1B">
        <w:rPr>
          <w:rFonts w:ascii="Book Antiqua" w:hAnsi="Book Antiqua"/>
          <w:sz w:val="24"/>
          <w:szCs w:val="24"/>
          <w:lang w:val="en-US"/>
        </w:rPr>
        <w:t xml:space="preserve"> anastomotic area</w:t>
      </w:r>
      <w:bookmarkEnd w:id="39"/>
      <w:bookmarkEnd w:id="40"/>
      <w:r w:rsidRPr="00FF0F1B">
        <w:rPr>
          <w:rFonts w:ascii="Book Antiqua" w:hAnsi="Book Antiqua"/>
          <w:sz w:val="24"/>
          <w:szCs w:val="24"/>
          <w:lang w:val="en-US"/>
        </w:rPr>
        <w:t xml:space="preserve"> were excised for histological examination. The inflammatory process, granulation, collagen deposition and fibroblast activity at the neomucosa formation were studied and scored. Additionally, the villus density, villus height, and crypt depth were counted and recorded. The measurements of villus height and crypt depth were calculated with an ocular micrometer. New vessel growth was determined by calculatingeach new vessel in a 1 mm</w:t>
      </w:r>
      <w:r w:rsidRPr="00FF0F1B">
        <w:rPr>
          <w:rFonts w:ascii="Book Antiqua" w:hAnsi="Book Antiqua"/>
          <w:sz w:val="24"/>
          <w:szCs w:val="24"/>
          <w:vertAlign w:val="superscript"/>
          <w:lang w:val="en-US"/>
        </w:rPr>
        <w:t>2</w:t>
      </w:r>
      <w:r w:rsidRPr="00FF0F1B">
        <w:rPr>
          <w:rFonts w:ascii="Book Antiqua" w:hAnsi="Book Antiqua"/>
          <w:sz w:val="24"/>
          <w:szCs w:val="24"/>
          <w:lang w:val="en-US"/>
        </w:rPr>
        <w:t xml:space="preserve"> area.</w:t>
      </w:r>
    </w:p>
    <w:p w:rsidR="00EB3564" w:rsidRPr="00FF0F1B" w:rsidRDefault="00EB3564" w:rsidP="00B47C56">
      <w:pPr>
        <w:snapToGrid w:val="0"/>
        <w:spacing w:line="360" w:lineRule="auto"/>
        <w:jc w:val="both"/>
        <w:rPr>
          <w:rFonts w:ascii="Book Antiqua" w:hAnsi="Book Antiqua" w:cs="Tahoma"/>
          <w:sz w:val="24"/>
          <w:lang w:eastAsia="zh-CN"/>
        </w:rPr>
      </w:pPr>
    </w:p>
    <w:p w:rsidR="00EB3564" w:rsidRPr="00FF0F1B" w:rsidRDefault="00EB3564" w:rsidP="00B47C56">
      <w:pPr>
        <w:snapToGrid w:val="0"/>
        <w:spacing w:line="360" w:lineRule="auto"/>
        <w:jc w:val="both"/>
        <w:rPr>
          <w:rFonts w:ascii="Book Antiqua" w:hAnsi="Book Antiqua"/>
          <w:sz w:val="24"/>
        </w:rPr>
      </w:pPr>
      <w:r w:rsidRPr="00FF0F1B">
        <w:rPr>
          <w:rFonts w:ascii="Book Antiqua" w:hAnsi="Book Antiqua" w:cs="Tahoma"/>
          <w:b/>
          <w:sz w:val="24"/>
        </w:rPr>
        <w:t>R</w:t>
      </w:r>
      <w:bookmarkStart w:id="41" w:name="OLE_LINK29"/>
      <w:r w:rsidRPr="00FF0F1B">
        <w:rPr>
          <w:rFonts w:ascii="Book Antiqua" w:hAnsi="Book Antiqua" w:cs="Tahoma"/>
          <w:b/>
          <w:sz w:val="24"/>
        </w:rPr>
        <w:t>ESULTS</w:t>
      </w:r>
      <w:bookmarkEnd w:id="35"/>
      <w:r w:rsidRPr="00FF0F1B">
        <w:rPr>
          <w:rFonts w:ascii="Book Antiqua" w:hAnsi="Book Antiqua" w:cs="Tahoma"/>
          <w:b/>
          <w:sz w:val="24"/>
          <w:lang w:eastAsia="zh-CN"/>
        </w:rPr>
        <w:t>:</w:t>
      </w:r>
      <w:r w:rsidRPr="00FF0F1B">
        <w:rPr>
          <w:rFonts w:ascii="Book Antiqua" w:hAnsi="Book Antiqua" w:cs="Tahoma"/>
          <w:sz w:val="24"/>
          <w:lang w:eastAsia="zh-CN"/>
        </w:rPr>
        <w:t xml:space="preserve"> </w:t>
      </w:r>
      <w:bookmarkStart w:id="42" w:name="OLE_LINK140"/>
      <w:bookmarkStart w:id="43" w:name="OLE_LINK110"/>
      <w:r w:rsidRPr="00FF0F1B">
        <w:rPr>
          <w:rFonts w:ascii="Book Antiqua" w:hAnsi="Book Antiqua"/>
          <w:sz w:val="24"/>
          <w:szCs w:val="24"/>
          <w:lang w:val="en-US"/>
        </w:rPr>
        <w:t>In the histological comparison of groups, no significant differences were observed between the control group and Groups 2 and 3 with respect to epithelialization, granulation, fibroblastic activity and the inflammatory process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&gt;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but significant differences were present between the control group and all others groups (Groups 2, 3, and 4) with respect to angiogenesis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0.01) and </w:t>
      </w:r>
      <w:r w:rsidRPr="00FF0F1B">
        <w:rPr>
          <w:rFonts w:ascii="Book Antiqua" w:hAnsi="Book Antiqua"/>
          <w:bCs/>
          <w:color w:val="000000"/>
          <w:sz w:val="24"/>
          <w:szCs w:val="24"/>
          <w:lang w:val="en-US"/>
        </w:rPr>
        <w:t>collagen deposition (</w:t>
      </w:r>
      <w:r w:rsidRPr="00FF0F1B">
        <w:rPr>
          <w:rFonts w:ascii="Book Antiqua" w:hAnsi="Book Antiqua"/>
          <w:bCs/>
          <w:i/>
          <w:color w:val="000000"/>
          <w:sz w:val="24"/>
          <w:szCs w:val="24"/>
          <w:lang w:val="en-US"/>
        </w:rPr>
        <w:t>P</w:t>
      </w:r>
      <w:r w:rsidRPr="00FF0F1B">
        <w:rPr>
          <w:rFonts w:ascii="Book Antiqua" w:hAnsi="Book Antiqua"/>
          <w:bCs/>
          <w:i/>
          <w:color w:val="000000"/>
          <w:sz w:val="24"/>
          <w:szCs w:val="24"/>
          <w:lang w:val="en-US" w:eastAsia="zh-CN"/>
        </w:rPr>
        <w:t xml:space="preserve"> </w:t>
      </w:r>
      <w:r w:rsidRPr="00FF0F1B">
        <w:rPr>
          <w:rFonts w:ascii="Book Antiqua" w:hAnsi="Book Antiqua"/>
          <w:bCs/>
          <w:color w:val="000000"/>
          <w:sz w:val="24"/>
          <w:szCs w:val="24"/>
          <w:lang w:val="en-US"/>
        </w:rPr>
        <w:t>&lt;</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 xml:space="preserve">0.05, </w:t>
      </w:r>
      <w:r w:rsidRPr="00FF0F1B">
        <w:rPr>
          <w:rFonts w:ascii="Book Antiqua" w:hAnsi="Book Antiqua"/>
          <w:bCs/>
          <w:i/>
          <w:color w:val="000000"/>
          <w:sz w:val="24"/>
          <w:szCs w:val="24"/>
          <w:lang w:val="en-US"/>
        </w:rPr>
        <w:t>P</w:t>
      </w:r>
      <w:r w:rsidRPr="00FF0F1B">
        <w:rPr>
          <w:rFonts w:ascii="Book Antiqua" w:hAnsi="Book Antiqua"/>
          <w:bCs/>
          <w:i/>
          <w:color w:val="000000"/>
          <w:sz w:val="24"/>
          <w:szCs w:val="24"/>
          <w:lang w:val="en-US" w:eastAsia="zh-CN"/>
        </w:rPr>
        <w:t xml:space="preserve"> </w:t>
      </w:r>
      <w:r w:rsidRPr="00FF0F1B">
        <w:rPr>
          <w:rFonts w:ascii="Book Antiqua" w:hAnsi="Book Antiqua"/>
          <w:bCs/>
          <w:color w:val="000000"/>
          <w:sz w:val="24"/>
          <w:szCs w:val="24"/>
          <w:lang w:val="en-US"/>
        </w:rPr>
        <w:t>&lt;</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0.01)</w:t>
      </w:r>
      <w:r w:rsidRPr="00FF0F1B">
        <w:rPr>
          <w:rFonts w:ascii="Book Antiqua" w:hAnsi="Book Antiqua"/>
          <w:sz w:val="24"/>
          <w:szCs w:val="24"/>
          <w:lang w:val="en-US"/>
        </w:rPr>
        <w:t xml:space="preserve">. Significant differences between the control group and group 4 were also observed with respect to epithelialization and </w:t>
      </w:r>
      <w:r w:rsidRPr="00FF0F1B">
        <w:rPr>
          <w:rFonts w:ascii="Book Antiqua" w:hAnsi="Book Antiqua"/>
          <w:sz w:val="24"/>
          <w:szCs w:val="24"/>
          <w:lang w:val="en-US"/>
        </w:rPr>
        <w:lastRenderedPageBreak/>
        <w:t>fibroblastic activity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0.01 and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respectively). There were significiant differences in villus density in all of groups compared with the control group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Crypt depth was significiantly greater in group 4 than in the control group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but no other groups had deeper crypts. However, villus height was significiantly longer in Groups 2 and 4 than in the control group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0.05). The comparison of groups revealed, significant difference between control group and Groups 2 and 4) with respect to the </w:t>
      </w:r>
      <w:r w:rsidRPr="00FF0F1B">
        <w:rPr>
          <w:rFonts w:ascii="Book Antiqua" w:hAnsi="Book Antiqua"/>
          <w:color w:val="000000"/>
          <w:sz w:val="24"/>
          <w:szCs w:val="24"/>
          <w:lang w:val="en-US"/>
        </w:rPr>
        <w:t>levels of</w:t>
      </w:r>
      <w:r w:rsidRPr="00FF0F1B">
        <w:rPr>
          <w:rFonts w:ascii="Book Antiqua" w:hAnsi="Book Antiqua"/>
          <w:sz w:val="24"/>
          <w:szCs w:val="24"/>
          <w:lang w:val="en-US"/>
        </w:rPr>
        <w:t xml:space="preserve"> IGF-1 and IGFBP-3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0.01) three weeks after the operation.</w:t>
      </w:r>
    </w:p>
    <w:p w:rsidR="00EB3564" w:rsidRPr="00FF0F1B" w:rsidRDefault="00EB3564" w:rsidP="00B47C56">
      <w:pPr>
        <w:snapToGrid w:val="0"/>
        <w:spacing w:line="360" w:lineRule="auto"/>
        <w:jc w:val="both"/>
        <w:rPr>
          <w:rFonts w:ascii="Book Antiqua" w:hAnsi="Book Antiqua" w:cs="Tahoma"/>
          <w:sz w:val="24"/>
          <w:lang w:eastAsia="zh-CN"/>
        </w:rPr>
      </w:pPr>
      <w:r w:rsidRPr="00FF0F1B">
        <w:rPr>
          <w:rFonts w:ascii="Book Antiqua" w:hAnsi="Book Antiqua" w:cs="Tahoma"/>
          <w:sz w:val="24"/>
        </w:rPr>
        <w:t xml:space="preserve"> </w:t>
      </w:r>
      <w:bookmarkStart w:id="44" w:name="OLE_LINK74"/>
      <w:bookmarkStart w:id="45" w:name="OLE_LINK75"/>
      <w:bookmarkStart w:id="46" w:name="OLE_LINK129"/>
      <w:bookmarkEnd w:id="36"/>
      <w:bookmarkEnd w:id="42"/>
    </w:p>
    <w:p w:rsidR="00EB3564" w:rsidRPr="00FF0F1B" w:rsidRDefault="00EB3564" w:rsidP="00B47C56">
      <w:pPr>
        <w:snapToGrid w:val="0"/>
        <w:spacing w:line="360" w:lineRule="auto"/>
        <w:jc w:val="both"/>
        <w:rPr>
          <w:rFonts w:ascii="Book Antiqua" w:hAnsi="Book Antiqua"/>
          <w:color w:val="000000"/>
          <w:sz w:val="24"/>
          <w:lang w:eastAsia="zh-CN"/>
        </w:rPr>
      </w:pPr>
      <w:r w:rsidRPr="00FF0F1B">
        <w:rPr>
          <w:rFonts w:ascii="Book Antiqua" w:hAnsi="Book Antiqua" w:cs="Tahoma"/>
          <w:b/>
          <w:sz w:val="24"/>
        </w:rPr>
        <w:t>CONCLUSION</w:t>
      </w:r>
      <w:r w:rsidRPr="00FF0F1B">
        <w:rPr>
          <w:rFonts w:ascii="Book Antiqua" w:hAnsi="Book Antiqua" w:cs="Tahoma"/>
          <w:b/>
          <w:sz w:val="24"/>
          <w:lang w:eastAsia="zh-CN"/>
        </w:rPr>
        <w:t>:</w:t>
      </w:r>
      <w:r w:rsidRPr="00FF0F1B">
        <w:rPr>
          <w:rFonts w:ascii="Book Antiqua" w:hAnsi="Book Antiqua"/>
          <w:sz w:val="24"/>
          <w:szCs w:val="24"/>
          <w:lang w:val="en-US"/>
        </w:rPr>
        <w:t xml:space="preserve"> HBOT or GH and combined therapy augmented on neomucosal formation. The </w:t>
      </w:r>
      <w:r w:rsidRPr="00FF0F1B">
        <w:rPr>
          <w:rFonts w:ascii="Book Antiqua" w:hAnsi="Book Antiqua"/>
          <w:sz w:val="24"/>
          <w:szCs w:val="24"/>
          <w:lang w:val="en-US" w:eastAsia="tr-TR"/>
        </w:rPr>
        <w:t>u</w:t>
      </w:r>
      <w:r w:rsidRPr="00FF0F1B">
        <w:rPr>
          <w:rFonts w:ascii="Book Antiqua" w:hAnsi="Book Antiqua"/>
          <w:sz w:val="24"/>
          <w:szCs w:val="24"/>
          <w:lang w:val="en-US"/>
        </w:rPr>
        <w:t>se of combined therapy produced a synergistic effect on the histological, morphological and functional parameters.</w:t>
      </w:r>
    </w:p>
    <w:p w:rsidR="00EB3564" w:rsidRPr="00FF0F1B" w:rsidRDefault="00EB3564" w:rsidP="00B47C56">
      <w:pPr>
        <w:snapToGrid w:val="0"/>
        <w:spacing w:line="360" w:lineRule="auto"/>
        <w:jc w:val="both"/>
        <w:rPr>
          <w:rFonts w:ascii="Book Antiqua" w:hAnsi="Book Antiqua"/>
          <w:color w:val="000000"/>
          <w:sz w:val="24"/>
          <w:lang w:eastAsia="zh-CN"/>
        </w:rPr>
      </w:pPr>
    </w:p>
    <w:p w:rsidR="00EB3564" w:rsidRPr="00FF0F1B" w:rsidRDefault="00EB3564" w:rsidP="00A83BCE">
      <w:pPr>
        <w:spacing w:line="360" w:lineRule="auto"/>
        <w:rPr>
          <w:rFonts w:ascii="Book Antiqua" w:hAnsi="Book Antiqua"/>
          <w:sz w:val="24"/>
        </w:rPr>
      </w:pPr>
      <w:bookmarkStart w:id="47" w:name="OLE_LINK98"/>
      <w:bookmarkStart w:id="48" w:name="OLE_LINK156"/>
      <w:bookmarkStart w:id="49" w:name="OLE_LINK196"/>
      <w:bookmarkStart w:id="50" w:name="OLE_LINK217"/>
      <w:bookmarkStart w:id="51" w:name="OLE_LINK242"/>
      <w:bookmarkStart w:id="52" w:name="OLE_LINK247"/>
      <w:bookmarkStart w:id="53" w:name="OLE_LINK311"/>
      <w:bookmarkStart w:id="54" w:name="OLE_LINK312"/>
      <w:bookmarkStart w:id="55" w:name="OLE_LINK325"/>
      <w:bookmarkStart w:id="56" w:name="OLE_LINK330"/>
      <w:bookmarkStart w:id="57" w:name="OLE_LINK30"/>
      <w:bookmarkStart w:id="58" w:name="OLE_LINK44"/>
      <w:bookmarkStart w:id="59" w:name="OLE_LINK54"/>
      <w:bookmarkStart w:id="60" w:name="OLE_LINK117"/>
      <w:bookmarkStart w:id="61" w:name="OLE_LINK118"/>
      <w:r w:rsidRPr="00FF0F1B">
        <w:rPr>
          <w:rFonts w:ascii="Book Antiqua" w:hAnsi="Book Antiqua"/>
          <w:sz w:val="24"/>
        </w:rPr>
        <w:t>© 201</w:t>
      </w:r>
      <w:r>
        <w:rPr>
          <w:rFonts w:ascii="Book Antiqua" w:hAnsi="Book Antiqua"/>
          <w:sz w:val="24"/>
          <w:lang w:eastAsia="zh-CN"/>
        </w:rPr>
        <w:t>3</w:t>
      </w:r>
      <w:r w:rsidRPr="00FF0F1B">
        <w:rPr>
          <w:rFonts w:ascii="Book Antiqua" w:hAnsi="Book Antiqua"/>
          <w:sz w:val="24"/>
        </w:rPr>
        <w:t xml:space="preserve"> Baishideng. All rights reserved.  </w:t>
      </w:r>
    </w:p>
    <w:p w:rsidR="00EB3564" w:rsidRPr="00FF0F1B" w:rsidRDefault="00EB3564" w:rsidP="00B47C56">
      <w:pPr>
        <w:snapToGrid w:val="0"/>
        <w:spacing w:line="360" w:lineRule="auto"/>
        <w:jc w:val="both"/>
        <w:rPr>
          <w:rFonts w:ascii="Book Antiqua" w:hAnsi="Book Antiqua"/>
          <w:sz w:val="24"/>
        </w:rPr>
      </w:pPr>
    </w:p>
    <w:bookmarkEnd w:id="47"/>
    <w:bookmarkEnd w:id="48"/>
    <w:bookmarkEnd w:id="49"/>
    <w:bookmarkEnd w:id="50"/>
    <w:bookmarkEnd w:id="51"/>
    <w:bookmarkEnd w:id="52"/>
    <w:bookmarkEnd w:id="53"/>
    <w:bookmarkEnd w:id="54"/>
    <w:bookmarkEnd w:id="55"/>
    <w:bookmarkEnd w:id="56"/>
    <w:p w:rsidR="00EB3564" w:rsidRPr="00FF0F1B" w:rsidRDefault="00EB3564" w:rsidP="00B47C56">
      <w:pPr>
        <w:tabs>
          <w:tab w:val="left" w:pos="1650"/>
        </w:tabs>
        <w:snapToGrid w:val="0"/>
        <w:spacing w:line="360" w:lineRule="auto"/>
        <w:jc w:val="both"/>
        <w:rPr>
          <w:rFonts w:ascii="Book Antiqua" w:hAnsi="Book Antiqua"/>
          <w:sz w:val="24"/>
        </w:rPr>
      </w:pPr>
      <w:r w:rsidRPr="00FF0F1B">
        <w:rPr>
          <w:rFonts w:ascii="Book Antiqua" w:hAnsi="Book Antiqua"/>
          <w:b/>
          <w:sz w:val="24"/>
        </w:rPr>
        <w:t xml:space="preserve">Key words: </w:t>
      </w:r>
      <w:r w:rsidRPr="00FF0F1B">
        <w:rPr>
          <w:rFonts w:ascii="Book Antiqua" w:hAnsi="Book Antiqua"/>
          <w:sz w:val="24"/>
        </w:rPr>
        <w:t>Growth hormone</w:t>
      </w:r>
      <w:r w:rsidRPr="00FF0F1B">
        <w:rPr>
          <w:rFonts w:ascii="Book Antiqua" w:hAnsi="Book Antiqua"/>
          <w:sz w:val="24"/>
          <w:lang w:eastAsia="zh-CN"/>
        </w:rPr>
        <w:t>;</w:t>
      </w:r>
      <w:r w:rsidRPr="00FF0F1B">
        <w:rPr>
          <w:rFonts w:ascii="Book Antiqua" w:hAnsi="Book Antiqua"/>
          <w:sz w:val="24"/>
        </w:rPr>
        <w:t xml:space="preserve"> Hyperbaric oxygen</w:t>
      </w:r>
      <w:r w:rsidRPr="00FF0F1B">
        <w:rPr>
          <w:rFonts w:ascii="Book Antiqua" w:hAnsi="Book Antiqua"/>
          <w:sz w:val="24"/>
          <w:lang w:eastAsia="zh-CN"/>
        </w:rPr>
        <w:t>;</w:t>
      </w:r>
      <w:r w:rsidRPr="00FF0F1B">
        <w:rPr>
          <w:rFonts w:ascii="Book Antiqua" w:hAnsi="Book Antiqua"/>
          <w:sz w:val="24"/>
        </w:rPr>
        <w:t xml:space="preserve"> Neomucosa</w:t>
      </w:r>
      <w:r w:rsidRPr="00FF0F1B">
        <w:rPr>
          <w:rFonts w:ascii="Book Antiqua" w:hAnsi="Book Antiqua"/>
          <w:sz w:val="24"/>
          <w:lang w:eastAsia="zh-CN"/>
        </w:rPr>
        <w:t>;</w:t>
      </w:r>
      <w:r w:rsidRPr="00FF0F1B">
        <w:rPr>
          <w:rFonts w:ascii="Book Antiqua" w:hAnsi="Book Antiqua"/>
          <w:sz w:val="24"/>
        </w:rPr>
        <w:t xml:space="preserve"> Short bowel syndrome</w:t>
      </w:r>
      <w:r w:rsidRPr="00FF0F1B">
        <w:rPr>
          <w:rFonts w:ascii="Book Antiqua" w:hAnsi="Book Antiqua"/>
          <w:sz w:val="24"/>
          <w:lang w:eastAsia="zh-CN"/>
        </w:rPr>
        <w:t>;</w:t>
      </w:r>
      <w:r w:rsidRPr="00FF0F1B">
        <w:rPr>
          <w:rFonts w:ascii="Book Antiqua" w:hAnsi="Book Antiqua"/>
          <w:sz w:val="24"/>
        </w:rPr>
        <w:t xml:space="preserve"> Hypoxia </w:t>
      </w:r>
    </w:p>
    <w:bookmarkEnd w:id="57"/>
    <w:bookmarkEnd w:id="58"/>
    <w:bookmarkEnd w:id="59"/>
    <w:bookmarkEnd w:id="60"/>
    <w:bookmarkEnd w:id="61"/>
    <w:p w:rsidR="00EB3564" w:rsidRPr="00FF0F1B" w:rsidRDefault="00EB3564" w:rsidP="00B47C56">
      <w:pPr>
        <w:snapToGrid w:val="0"/>
        <w:spacing w:line="360" w:lineRule="auto"/>
        <w:jc w:val="both"/>
        <w:rPr>
          <w:rFonts w:ascii="Book Antiqua" w:hAnsi="Book Antiqua"/>
          <w:sz w:val="24"/>
          <w:lang w:eastAsia="zh-CN"/>
        </w:rPr>
      </w:pPr>
    </w:p>
    <w:p w:rsidR="00EB3564" w:rsidRPr="00FF0F1B" w:rsidRDefault="00EB3564" w:rsidP="00B47C56">
      <w:pPr>
        <w:snapToGrid w:val="0"/>
        <w:spacing w:line="360" w:lineRule="auto"/>
        <w:jc w:val="both"/>
        <w:rPr>
          <w:rFonts w:ascii="Book Antiqua" w:hAnsi="Book Antiqua"/>
          <w:sz w:val="24"/>
          <w:szCs w:val="24"/>
          <w:lang w:val="en-US" w:eastAsia="zh-CN"/>
        </w:rPr>
      </w:pPr>
      <w:bookmarkStart w:id="62" w:name="OLE_LINK335"/>
      <w:bookmarkStart w:id="63" w:name="OLE_LINK336"/>
      <w:bookmarkStart w:id="64" w:name="OLE_LINK271"/>
      <w:bookmarkStart w:id="65" w:name="OLE_LINK272"/>
      <w:bookmarkStart w:id="66" w:name="OLE_LINK300"/>
      <w:bookmarkStart w:id="67" w:name="OLE_LINK302"/>
      <w:bookmarkEnd w:id="32"/>
      <w:bookmarkEnd w:id="33"/>
      <w:bookmarkEnd w:id="34"/>
      <w:bookmarkEnd w:id="41"/>
      <w:bookmarkEnd w:id="43"/>
      <w:bookmarkEnd w:id="44"/>
      <w:bookmarkEnd w:id="45"/>
      <w:bookmarkEnd w:id="46"/>
      <w:r w:rsidRPr="00FF0F1B">
        <w:rPr>
          <w:rFonts w:ascii="Book Antiqua" w:hAnsi="Book Antiqua"/>
          <w:sz w:val="24"/>
          <w:szCs w:val="24"/>
          <w:lang w:val="en-US"/>
        </w:rPr>
        <w:t xml:space="preserve">Adas G, Adas M, Arikan S, Sarvan AK, Toklu AS, Mert S, Barut G, Kamali S, Koc B, Tutal F. </w:t>
      </w:r>
      <w:r w:rsidRPr="00FF0F1B">
        <w:rPr>
          <w:rFonts w:ascii="Book Antiqua" w:hAnsi="Book Antiqua"/>
          <w:sz w:val="24"/>
          <w:szCs w:val="24"/>
          <w:lang w:val="tr-TR"/>
        </w:rPr>
        <w:t xml:space="preserve">Effect of growth hormone, hyperbarıc oxygen and combıned </w:t>
      </w:r>
      <w:r w:rsidRPr="00FF0F1B">
        <w:rPr>
          <w:rFonts w:ascii="Book Antiqua" w:hAnsi="Book Antiqua"/>
          <w:sz w:val="24"/>
          <w:szCs w:val="24"/>
          <w:lang w:val="en-US"/>
        </w:rPr>
        <w:t xml:space="preserve">therapy on the gastric serosa. </w:t>
      </w:r>
    </w:p>
    <w:p w:rsidR="00EB3564" w:rsidRPr="00FF0F1B" w:rsidRDefault="00EB3564" w:rsidP="00B47C56">
      <w:pPr>
        <w:snapToGrid w:val="0"/>
        <w:spacing w:line="360" w:lineRule="auto"/>
        <w:jc w:val="both"/>
        <w:rPr>
          <w:rFonts w:ascii="Book Antiqua" w:hAnsi="Book Antiqua"/>
          <w:b/>
          <w:sz w:val="24"/>
          <w:szCs w:val="24"/>
          <w:lang w:val="en-US"/>
        </w:rPr>
      </w:pPr>
      <w:r w:rsidRPr="00FF0F1B">
        <w:rPr>
          <w:rFonts w:ascii="Book Antiqua" w:hAnsi="Book Antiqua"/>
          <w:i/>
          <w:sz w:val="24"/>
        </w:rPr>
        <w:t>World J Gastroenterol</w:t>
      </w:r>
      <w:r w:rsidRPr="00FF0F1B">
        <w:rPr>
          <w:rFonts w:ascii="Book Antiqua" w:hAnsi="Book Antiqua"/>
          <w:sz w:val="24"/>
        </w:rPr>
        <w:t xml:space="preserve"> </w:t>
      </w:r>
      <w:bookmarkEnd w:id="62"/>
      <w:bookmarkEnd w:id="63"/>
      <w:r w:rsidRPr="00FF0F1B">
        <w:rPr>
          <w:rFonts w:ascii="Book Antiqua" w:hAnsi="Book Antiqua"/>
          <w:sz w:val="24"/>
        </w:rPr>
        <w:t>201</w:t>
      </w:r>
      <w:r>
        <w:rPr>
          <w:rFonts w:ascii="Book Antiqua" w:hAnsi="Book Antiqua"/>
          <w:sz w:val="24"/>
          <w:lang w:eastAsia="zh-CN"/>
        </w:rPr>
        <w:t>3</w:t>
      </w:r>
      <w:r w:rsidRPr="00FF0F1B">
        <w:rPr>
          <w:rFonts w:ascii="Book Antiqua" w:hAnsi="Book Antiqua"/>
          <w:sz w:val="24"/>
        </w:rPr>
        <w:t xml:space="preserve">;  </w:t>
      </w:r>
    </w:p>
    <w:p w:rsidR="00EB3564" w:rsidRPr="00FF0F1B" w:rsidRDefault="00EB3564" w:rsidP="00B47C56">
      <w:pPr>
        <w:pStyle w:val="p0"/>
        <w:snapToGrid w:val="0"/>
        <w:spacing w:line="360" w:lineRule="auto"/>
        <w:jc w:val="both"/>
        <w:rPr>
          <w:rFonts w:ascii="Book Antiqua" w:hAnsi="Book Antiqua"/>
          <w:sz w:val="24"/>
          <w:szCs w:val="24"/>
        </w:rPr>
      </w:pPr>
      <w:r w:rsidRPr="00FF0F1B">
        <w:rPr>
          <w:rFonts w:ascii="Book Antiqua" w:hAnsi="Book Antiqua"/>
          <w:b/>
          <w:bCs/>
          <w:sz w:val="24"/>
          <w:szCs w:val="24"/>
        </w:rPr>
        <w:t>Available from:</w:t>
      </w:r>
      <w:r w:rsidRPr="00FF0F1B">
        <w:rPr>
          <w:rFonts w:ascii="Book Antiqua" w:hAnsi="Book Antiqua"/>
          <w:sz w:val="24"/>
          <w:szCs w:val="24"/>
        </w:rPr>
        <w:t xml:space="preserve"> </w:t>
      </w:r>
      <w:r w:rsidRPr="00FF0F1B">
        <w:rPr>
          <w:rFonts w:ascii="Book Antiqua" w:hAnsi="Book Antiqua"/>
          <w:color w:val="000000"/>
          <w:sz w:val="24"/>
        </w:rPr>
        <w:t xml:space="preserve">URL: http://www.wjgnet.com/esps/  </w:t>
      </w:r>
    </w:p>
    <w:p w:rsidR="00EB3564" w:rsidRPr="00A10F83" w:rsidRDefault="00EB3564" w:rsidP="00B47C56">
      <w:pPr>
        <w:snapToGrid w:val="0"/>
        <w:spacing w:line="360" w:lineRule="auto"/>
        <w:jc w:val="both"/>
        <w:rPr>
          <w:rFonts w:ascii="Book Antiqua" w:hAnsi="Book Antiqua"/>
          <w:color w:val="000000"/>
          <w:sz w:val="24"/>
          <w:lang w:val="pt-BR"/>
        </w:rPr>
      </w:pPr>
      <w:r w:rsidRPr="00A10F83">
        <w:rPr>
          <w:rFonts w:ascii="Book Antiqua" w:hAnsi="Book Antiqua"/>
          <w:b/>
          <w:bCs/>
          <w:sz w:val="24"/>
          <w:lang w:val="pt-BR"/>
        </w:rPr>
        <w:t xml:space="preserve">DOI: </w:t>
      </w:r>
      <w:r w:rsidRPr="00A10F83">
        <w:rPr>
          <w:rFonts w:ascii="Book Antiqua" w:hAnsi="Book Antiqua"/>
          <w:color w:val="000000"/>
          <w:sz w:val="24"/>
          <w:lang w:val="pt-BR"/>
        </w:rPr>
        <w:t>http://dx.doi.org/10.3748/wjg.</w:t>
      </w:r>
      <w:r w:rsidRPr="00A10F83">
        <w:rPr>
          <w:rFonts w:ascii="Book Antiqua" w:hAnsi="Book Antiqua"/>
          <w:color w:val="000000"/>
          <w:sz w:val="24"/>
          <w:lang w:val="pt-BR" w:eastAsia="zh-CN"/>
        </w:rPr>
        <w:t>19</w:t>
      </w:r>
      <w:r w:rsidRPr="00A10F83">
        <w:rPr>
          <w:rFonts w:ascii="Book Antiqua" w:hAnsi="Book Antiqua"/>
          <w:color w:val="000000"/>
          <w:sz w:val="24"/>
          <w:lang w:val="pt-BR"/>
        </w:rPr>
        <w:t>.0000</w:t>
      </w:r>
    </w:p>
    <w:bookmarkEnd w:id="64"/>
    <w:bookmarkEnd w:id="65"/>
    <w:bookmarkEnd w:id="66"/>
    <w:bookmarkEnd w:id="67"/>
    <w:p w:rsidR="00EB3564" w:rsidRPr="00A10F83" w:rsidRDefault="00EB3564" w:rsidP="00B47C56">
      <w:pPr>
        <w:pStyle w:val="ac"/>
        <w:snapToGrid w:val="0"/>
        <w:spacing w:line="360" w:lineRule="auto"/>
        <w:jc w:val="both"/>
        <w:rPr>
          <w:rFonts w:ascii="Book Antiqua" w:hAnsi="Book Antiqua"/>
          <w:b/>
          <w:color w:val="FF0000"/>
          <w:sz w:val="24"/>
          <w:lang w:val="pt-BR" w:eastAsia="zh-CN"/>
        </w:rPr>
      </w:pPr>
    </w:p>
    <w:p w:rsidR="00EB3564" w:rsidRPr="00A10F83" w:rsidRDefault="00EB3564" w:rsidP="00B47C56">
      <w:pPr>
        <w:snapToGrid w:val="0"/>
        <w:spacing w:line="360" w:lineRule="auto"/>
        <w:jc w:val="both"/>
        <w:rPr>
          <w:rFonts w:ascii="Book Antiqua" w:hAnsi="Book Antiqua"/>
          <w:b/>
          <w:sz w:val="24"/>
          <w:szCs w:val="24"/>
          <w:lang w:val="pt-BR" w:eastAsia="zh-CN"/>
        </w:rPr>
      </w:pPr>
      <w:bookmarkStart w:id="68" w:name="OLE_LINK1"/>
      <w:bookmarkStart w:id="69" w:name="OLE_LINK2"/>
      <w:bookmarkEnd w:id="9"/>
      <w:bookmarkEnd w:id="10"/>
    </w:p>
    <w:p w:rsidR="00EB3564" w:rsidRPr="00A10F83" w:rsidRDefault="00EB3564" w:rsidP="00B47C56">
      <w:pPr>
        <w:snapToGrid w:val="0"/>
        <w:spacing w:line="360" w:lineRule="auto"/>
        <w:jc w:val="both"/>
        <w:rPr>
          <w:rFonts w:ascii="Book Antiqua" w:hAnsi="Book Antiqua"/>
          <w:b/>
          <w:sz w:val="24"/>
          <w:szCs w:val="24"/>
          <w:lang w:val="pt-BR" w:eastAsia="zh-CN"/>
        </w:rPr>
      </w:pPr>
    </w:p>
    <w:p w:rsidR="00EB3564" w:rsidRPr="00A10F83" w:rsidRDefault="00EB3564" w:rsidP="00B47C56">
      <w:pPr>
        <w:snapToGrid w:val="0"/>
        <w:spacing w:line="360" w:lineRule="auto"/>
        <w:jc w:val="both"/>
        <w:rPr>
          <w:rFonts w:ascii="Book Antiqua" w:hAnsi="Book Antiqua"/>
          <w:b/>
          <w:sz w:val="24"/>
          <w:szCs w:val="24"/>
          <w:lang w:val="pt-BR" w:eastAsia="zh-CN"/>
        </w:rPr>
      </w:pPr>
    </w:p>
    <w:p w:rsidR="00EB3564" w:rsidRPr="00A10F83" w:rsidRDefault="00EB3564" w:rsidP="00B47C56">
      <w:pPr>
        <w:snapToGrid w:val="0"/>
        <w:spacing w:line="360" w:lineRule="auto"/>
        <w:jc w:val="both"/>
        <w:rPr>
          <w:rFonts w:ascii="Book Antiqua" w:hAnsi="Book Antiqua"/>
          <w:b/>
          <w:sz w:val="24"/>
          <w:szCs w:val="24"/>
          <w:lang w:val="pt-BR" w:eastAsia="zh-CN"/>
        </w:rPr>
      </w:pPr>
    </w:p>
    <w:p w:rsidR="00EB3564" w:rsidRPr="00A10F83" w:rsidRDefault="00EB3564" w:rsidP="00B47C56">
      <w:pPr>
        <w:snapToGrid w:val="0"/>
        <w:spacing w:line="360" w:lineRule="auto"/>
        <w:jc w:val="both"/>
        <w:rPr>
          <w:rFonts w:ascii="Book Antiqua" w:hAnsi="Book Antiqua"/>
          <w:b/>
          <w:sz w:val="24"/>
          <w:szCs w:val="24"/>
          <w:lang w:val="pt-BR" w:eastAsia="zh-CN"/>
        </w:rPr>
      </w:pPr>
    </w:p>
    <w:p w:rsidR="00EB3564" w:rsidRPr="00A10F83" w:rsidRDefault="00EB3564" w:rsidP="00B47C56">
      <w:pPr>
        <w:snapToGrid w:val="0"/>
        <w:spacing w:line="360" w:lineRule="auto"/>
        <w:jc w:val="both"/>
        <w:rPr>
          <w:rFonts w:ascii="Book Antiqua" w:hAnsi="Book Antiqua"/>
          <w:b/>
          <w:sz w:val="24"/>
          <w:szCs w:val="24"/>
          <w:lang w:val="pt-BR" w:eastAsia="zh-CN"/>
        </w:rPr>
      </w:pPr>
    </w:p>
    <w:p w:rsidR="00EB3564" w:rsidRPr="00A10F83" w:rsidRDefault="00EB3564" w:rsidP="00B47C56">
      <w:pPr>
        <w:snapToGrid w:val="0"/>
        <w:spacing w:line="360" w:lineRule="auto"/>
        <w:jc w:val="both"/>
        <w:rPr>
          <w:rFonts w:ascii="Book Antiqua" w:hAnsi="Book Antiqua"/>
          <w:b/>
          <w:sz w:val="24"/>
          <w:szCs w:val="24"/>
          <w:lang w:val="pt-BR" w:eastAsia="zh-CN"/>
        </w:rPr>
      </w:pPr>
    </w:p>
    <w:p w:rsidR="00EB3564" w:rsidRPr="00FF0F1B" w:rsidRDefault="00EB3564" w:rsidP="00B47C56">
      <w:pPr>
        <w:snapToGrid w:val="0"/>
        <w:spacing w:line="360" w:lineRule="auto"/>
        <w:jc w:val="both"/>
        <w:rPr>
          <w:rFonts w:ascii="Book Antiqua" w:hAnsi="Book Antiqua"/>
          <w:b/>
          <w:sz w:val="24"/>
          <w:szCs w:val="24"/>
          <w:lang w:eastAsia="zh-CN"/>
        </w:rPr>
      </w:pPr>
      <w:r w:rsidRPr="00FF0F1B">
        <w:rPr>
          <w:rFonts w:ascii="Book Antiqua" w:hAnsi="Book Antiqua"/>
          <w:b/>
          <w:sz w:val="24"/>
          <w:szCs w:val="24"/>
          <w:lang w:eastAsia="zh-CN"/>
        </w:rPr>
        <w:t>INTRODUCTION</w:t>
      </w:r>
    </w:p>
    <w:p w:rsidR="00EB3564" w:rsidRPr="00FF0F1B" w:rsidRDefault="00EB3564" w:rsidP="00B47C56">
      <w:pPr>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t xml:space="preserve">Short bowel syndrome (SBS) is a significant problem in clinical medicine that emerged at the beginning of the last century, when the first resections of the gastrointestinal tract were performed </w:t>
      </w:r>
      <w:r w:rsidRPr="00FF0F1B">
        <w:rPr>
          <w:rFonts w:ascii="Book Antiqua" w:hAnsi="Book Antiqua"/>
          <w:sz w:val="24"/>
          <w:szCs w:val="24"/>
          <w:vertAlign w:val="superscript"/>
          <w:lang w:val="en-US"/>
        </w:rPr>
        <w:t>[1]</w:t>
      </w:r>
      <w:r w:rsidRPr="00FF0F1B">
        <w:rPr>
          <w:rFonts w:ascii="Book Antiqua" w:hAnsi="Book Antiqua"/>
          <w:sz w:val="24"/>
          <w:szCs w:val="24"/>
          <w:lang w:val="en-US"/>
        </w:rPr>
        <w:t>. SBS a malabsorptive disorder characterized by the loss of intestinal length,</w:t>
      </w:r>
      <w:r w:rsidRPr="00FF0F1B">
        <w:rPr>
          <w:rFonts w:ascii="Book Antiqua" w:hAnsi="Book Antiqua"/>
          <w:sz w:val="24"/>
          <w:szCs w:val="24"/>
          <w:lang w:val="en-US" w:eastAsia="zh-CN"/>
        </w:rPr>
        <w:t xml:space="preserve"> </w:t>
      </w:r>
      <w:r w:rsidRPr="00FF0F1B">
        <w:rPr>
          <w:rFonts w:ascii="Book Antiqua" w:hAnsi="Book Antiqua"/>
          <w:sz w:val="24"/>
          <w:szCs w:val="24"/>
          <w:lang w:val="en-US"/>
        </w:rPr>
        <w:t>occurs when patients have &lt; 200</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cm of the post-duodenal small intestine, resulting in inadequate digestion and/or nutrient absorption </w:t>
      </w:r>
      <w:r w:rsidRPr="00FF0F1B">
        <w:rPr>
          <w:rFonts w:ascii="Book Antiqua" w:hAnsi="Book Antiqua"/>
          <w:sz w:val="24"/>
          <w:szCs w:val="24"/>
          <w:vertAlign w:val="superscript"/>
          <w:lang w:val="en-US"/>
        </w:rPr>
        <w:t>[2-5]</w:t>
      </w:r>
      <w:r w:rsidRPr="00FF0F1B">
        <w:rPr>
          <w:rFonts w:ascii="Book Antiqua" w:hAnsi="Book Antiqua"/>
          <w:sz w:val="24"/>
          <w:szCs w:val="24"/>
          <w:lang w:val="en-US"/>
        </w:rPr>
        <w:t xml:space="preserve">. Depending on the extent, degree, and location of the intestinal resection, patients may experience severe malabsorption of fluids, electrolytes, and other nutrients. Many become dependent on long-term parenteral nutrition, which has been a life maintenance therapy </w:t>
      </w:r>
      <w:r w:rsidRPr="00FF0F1B">
        <w:rPr>
          <w:rFonts w:ascii="Book Antiqua" w:hAnsi="Book Antiqua"/>
          <w:sz w:val="24"/>
          <w:szCs w:val="24"/>
          <w:vertAlign w:val="superscript"/>
          <w:lang w:val="en-US"/>
        </w:rPr>
        <w:t>[6]</w:t>
      </w:r>
      <w:r w:rsidRPr="00FF0F1B">
        <w:rPr>
          <w:rFonts w:ascii="Book Antiqua" w:hAnsi="Book Antiqua"/>
          <w:sz w:val="24"/>
          <w:szCs w:val="24"/>
          <w:lang w:val="en-US"/>
        </w:rPr>
        <w:t>. Even in the best hands, this treatment can be associated with nutritional deficiencies, septic complications and life-threatening organ failure</w:t>
      </w:r>
      <w:r w:rsidRPr="00FF0F1B">
        <w:rPr>
          <w:rFonts w:ascii="Book Antiqua" w:hAnsi="Book Antiqua"/>
          <w:sz w:val="24"/>
          <w:szCs w:val="24"/>
          <w:vertAlign w:val="superscript"/>
          <w:lang w:val="en-US"/>
        </w:rPr>
        <w:t>[7-9]</w:t>
      </w:r>
      <w:r w:rsidRPr="00FF0F1B">
        <w:rPr>
          <w:rFonts w:ascii="Book Antiqua" w:hAnsi="Book Antiqua"/>
          <w:sz w:val="24"/>
          <w:szCs w:val="24"/>
          <w:lang w:val="en-US"/>
        </w:rPr>
        <w:t xml:space="preserve">.Another important factor is the time allowed for post-enterectomy or in utero bowel loss adaptation, which is the compensatory process in the remnant small intestine that includes mucosal regeneration, villous hypertrophy, bowel dilatation and lengthening, and delayed motility </w:t>
      </w:r>
      <w:r w:rsidRPr="00FF0F1B">
        <w:rPr>
          <w:rFonts w:ascii="Book Antiqua" w:hAnsi="Book Antiqua"/>
          <w:sz w:val="24"/>
          <w:szCs w:val="24"/>
          <w:vertAlign w:val="superscript"/>
          <w:lang w:val="en-US"/>
        </w:rPr>
        <w:t>[10]</w:t>
      </w:r>
      <w:r w:rsidRPr="00FF0F1B">
        <w:rPr>
          <w:rFonts w:ascii="Book Antiqua" w:hAnsi="Book Antiqua"/>
          <w:sz w:val="24"/>
          <w:szCs w:val="24"/>
          <w:lang w:val="en-US"/>
        </w:rPr>
        <w:t xml:space="preserve">. Growth hormone (GH), glutamine, and dietary modification have been proposed as a regimen to enhance bowel adaptation </w:t>
      </w:r>
      <w:r w:rsidRPr="00FF0F1B">
        <w:rPr>
          <w:rFonts w:ascii="Book Antiqua" w:hAnsi="Book Antiqua"/>
          <w:sz w:val="24"/>
          <w:szCs w:val="24"/>
          <w:vertAlign w:val="superscript"/>
          <w:lang w:val="en-US"/>
        </w:rPr>
        <w:t>[3,6,7]</w:t>
      </w:r>
      <w:r w:rsidRPr="00FF0F1B">
        <w:rPr>
          <w:rFonts w:ascii="Book Antiqua" w:hAnsi="Book Antiqua"/>
          <w:sz w:val="24"/>
          <w:szCs w:val="24"/>
          <w:lang w:val="en-US"/>
        </w:rPr>
        <w:t xml:space="preserve">. Growth hormone administration produced a positive nitrogen balance at all levels of energy intake </w:t>
      </w:r>
      <w:r w:rsidRPr="00FF0F1B">
        <w:rPr>
          <w:rFonts w:ascii="Book Antiqua" w:hAnsi="Book Antiqua"/>
          <w:sz w:val="24"/>
          <w:szCs w:val="24"/>
          <w:vertAlign w:val="superscript"/>
          <w:lang w:val="en-US"/>
        </w:rPr>
        <w:t>[4,5,11,12]</w:t>
      </w:r>
      <w:r w:rsidRPr="00FF0F1B">
        <w:rPr>
          <w:rFonts w:ascii="Book Antiqua" w:hAnsi="Book Antiqua"/>
          <w:sz w:val="24"/>
          <w:szCs w:val="24"/>
          <w:lang w:val="en-US"/>
        </w:rPr>
        <w:t xml:space="preserve">. Evidence supporting the use of growth hormone in the SBS includes the observation that exogenous growth hormone stimulates structural and functional intestinal adaptation </w:t>
      </w:r>
      <w:r w:rsidRPr="00FF0F1B">
        <w:rPr>
          <w:rFonts w:ascii="Book Antiqua" w:hAnsi="Book Antiqua"/>
          <w:sz w:val="24"/>
          <w:szCs w:val="24"/>
          <w:vertAlign w:val="superscript"/>
          <w:lang w:val="en-US"/>
        </w:rPr>
        <w:t>[13,14]</w:t>
      </w:r>
      <w:r w:rsidRPr="00FF0F1B">
        <w:rPr>
          <w:rFonts w:ascii="Book Antiqua" w:hAnsi="Book Antiqua"/>
          <w:sz w:val="24"/>
          <w:szCs w:val="24"/>
          <w:lang w:val="en-US"/>
        </w:rPr>
        <w:t>.</w:t>
      </w:r>
    </w:p>
    <w:p w:rsidR="00EB3564" w:rsidRPr="00FF0F1B" w:rsidRDefault="00EB3564" w:rsidP="00FE3A80">
      <w:pPr>
        <w:snapToGrid w:val="0"/>
        <w:spacing w:line="360" w:lineRule="auto"/>
        <w:ind w:firstLineChars="100" w:firstLine="240"/>
        <w:jc w:val="both"/>
        <w:rPr>
          <w:rFonts w:ascii="Book Antiqua" w:hAnsi="Book Antiqua"/>
          <w:sz w:val="24"/>
          <w:szCs w:val="24"/>
          <w:lang w:val="en-US"/>
        </w:rPr>
      </w:pPr>
      <w:r w:rsidRPr="00FF0F1B">
        <w:rPr>
          <w:rFonts w:ascii="Book Antiqua" w:hAnsi="Book Antiqua"/>
          <w:sz w:val="24"/>
          <w:szCs w:val="24"/>
          <w:lang w:val="en-US"/>
        </w:rPr>
        <w:t xml:space="preserve">The treatment consists of surgery to slow intestinal transit or increase the area of absorption.  Reconstructive procedures on the remnant bowel and intestinal transplantation are areas of special interest to surgeons working in this field </w:t>
      </w:r>
      <w:r w:rsidRPr="00FF0F1B">
        <w:rPr>
          <w:rFonts w:ascii="Book Antiqua" w:hAnsi="Book Antiqua"/>
          <w:sz w:val="24"/>
          <w:szCs w:val="24"/>
          <w:vertAlign w:val="superscript"/>
          <w:lang w:val="en-US"/>
        </w:rPr>
        <w:t>[4,10,15]</w:t>
      </w:r>
      <w:r w:rsidRPr="00FF0F1B">
        <w:rPr>
          <w:rFonts w:ascii="Book Antiqua" w:hAnsi="Book Antiqua"/>
          <w:sz w:val="24"/>
          <w:szCs w:val="24"/>
          <w:lang w:val="en-US"/>
        </w:rPr>
        <w:t xml:space="preserve">. Another potential technique for increasing the intestinal surface area is the growth of new intestinal mucosa, which takes advantage of the regenerative capability of the intestine </w:t>
      </w:r>
      <w:r w:rsidRPr="00FF0F1B">
        <w:rPr>
          <w:rFonts w:ascii="Book Antiqua" w:hAnsi="Book Antiqua"/>
          <w:sz w:val="24"/>
          <w:szCs w:val="24"/>
          <w:vertAlign w:val="superscript"/>
          <w:lang w:val="en-US"/>
        </w:rPr>
        <w:t>[10]</w:t>
      </w:r>
      <w:r w:rsidRPr="00FF0F1B">
        <w:rPr>
          <w:rFonts w:ascii="Book Antiqua" w:hAnsi="Book Antiqua"/>
          <w:sz w:val="24"/>
          <w:szCs w:val="24"/>
          <w:lang w:val="en-US"/>
        </w:rPr>
        <w:t xml:space="preserve">. Some researchers made gastric anastomosis and, colonic and abdominal wall flaps between intestinal defects in experimental SBS to expand the mucosal surface. The regenerated intestine develops by lateral ingrowth from the surrounding mucosa and becomes functionally normal intestinal mucosa </w:t>
      </w:r>
      <w:r w:rsidRPr="00FF0F1B">
        <w:rPr>
          <w:rFonts w:ascii="Book Antiqua" w:hAnsi="Book Antiqua"/>
          <w:sz w:val="24"/>
          <w:szCs w:val="24"/>
          <w:vertAlign w:val="superscript"/>
          <w:lang w:val="en-US"/>
        </w:rPr>
        <w:t>[16-19]</w:t>
      </w:r>
      <w:r w:rsidRPr="00FF0F1B">
        <w:rPr>
          <w:rFonts w:ascii="Book Antiqua" w:hAnsi="Book Antiqua"/>
          <w:sz w:val="24"/>
          <w:szCs w:val="24"/>
          <w:lang w:val="en-US"/>
        </w:rPr>
        <w:t>.</w:t>
      </w:r>
    </w:p>
    <w:p w:rsidR="00EB3564" w:rsidRPr="00FF0F1B" w:rsidRDefault="00EB3564" w:rsidP="00FE3A80">
      <w:pPr>
        <w:snapToGrid w:val="0"/>
        <w:spacing w:line="360" w:lineRule="auto"/>
        <w:ind w:firstLineChars="100" w:firstLine="240"/>
        <w:jc w:val="both"/>
        <w:rPr>
          <w:rFonts w:ascii="Book Antiqua" w:hAnsi="Book Antiqua"/>
          <w:sz w:val="24"/>
          <w:szCs w:val="24"/>
          <w:lang w:val="en-US"/>
        </w:rPr>
      </w:pPr>
      <w:r w:rsidRPr="00FF0F1B">
        <w:rPr>
          <w:rFonts w:ascii="Book Antiqua" w:hAnsi="Book Antiqua"/>
          <w:sz w:val="24"/>
          <w:szCs w:val="24"/>
          <w:lang w:val="en-US"/>
        </w:rPr>
        <w:lastRenderedPageBreak/>
        <w:t xml:space="preserve">In gastrointestinal surgery, if the degree of hypoxia is sufficient to interfere with tissue viability, the tissues become necrosed, resulting in delayed wound healing </w:t>
      </w:r>
      <w:r w:rsidRPr="00FF0F1B">
        <w:rPr>
          <w:rFonts w:ascii="Book Antiqua" w:hAnsi="Book Antiqua"/>
          <w:sz w:val="24"/>
          <w:szCs w:val="24"/>
          <w:vertAlign w:val="superscript"/>
          <w:lang w:val="en-US"/>
        </w:rPr>
        <w:t>[20]</w:t>
      </w:r>
      <w:r w:rsidRPr="00FF0F1B">
        <w:rPr>
          <w:rFonts w:ascii="Book Antiqua" w:hAnsi="Book Antiqua"/>
          <w:sz w:val="24"/>
          <w:szCs w:val="24"/>
          <w:lang w:val="en-US"/>
        </w:rPr>
        <w:t xml:space="preserve">. Ischemic wounds heal poorly and become infected. Tissue hypoxia can be reversed using hyperbaric oxygen therapy (HBOT). The effects of HBOT result from increased pressure and hyperoxia. Several studies have shown that increased oxygen tension with HBOT not only prevents the adverse effects of ischemia but also accelerates healing in different types of wounds </w:t>
      </w:r>
      <w:r w:rsidRPr="00FF0F1B">
        <w:rPr>
          <w:rFonts w:ascii="Book Antiqua" w:hAnsi="Book Antiqua"/>
          <w:sz w:val="24"/>
          <w:szCs w:val="24"/>
          <w:vertAlign w:val="superscript"/>
          <w:lang w:val="en-US"/>
        </w:rPr>
        <w:t>[21]</w:t>
      </w:r>
      <w:r w:rsidRPr="00FF0F1B">
        <w:rPr>
          <w:rFonts w:ascii="Book Antiqua" w:hAnsi="Book Antiqua"/>
          <w:sz w:val="24"/>
          <w:szCs w:val="24"/>
          <w:lang w:val="en-US"/>
        </w:rPr>
        <w:t>.</w:t>
      </w:r>
    </w:p>
    <w:p w:rsidR="00EB3564" w:rsidRPr="00FF0F1B" w:rsidRDefault="00EB3564" w:rsidP="00FE3A80">
      <w:pPr>
        <w:snapToGrid w:val="0"/>
        <w:spacing w:line="360" w:lineRule="auto"/>
        <w:ind w:firstLineChars="100" w:firstLine="240"/>
        <w:jc w:val="both"/>
        <w:rPr>
          <w:rFonts w:ascii="Book Antiqua" w:hAnsi="Book Antiqua"/>
          <w:sz w:val="24"/>
          <w:szCs w:val="24"/>
          <w:lang w:val="en-US"/>
        </w:rPr>
      </w:pPr>
      <w:r w:rsidRPr="00FF0F1B">
        <w:rPr>
          <w:rFonts w:ascii="Book Antiqua" w:hAnsi="Book Antiqua"/>
          <w:sz w:val="24"/>
          <w:szCs w:val="24"/>
          <w:lang w:val="en-US"/>
        </w:rPr>
        <w:t>The serosal patch technique is one of the most popular methods. However, in many cases, only short segments of the small intestine can be patched because of the limited serosal surface and anatomical factors. In this experimental study, we used a gastric serosal patch to form neomucosa in ileum defects. Our aim in the present work was to investigate the role of GH, HBOT and combined therapy on the intestinal neomucosa formation of the gastric serosa.</w:t>
      </w:r>
    </w:p>
    <w:p w:rsidR="00EB3564" w:rsidRPr="00FF0F1B" w:rsidRDefault="00EB3564" w:rsidP="00B47C56">
      <w:pPr>
        <w:snapToGrid w:val="0"/>
        <w:spacing w:line="360" w:lineRule="auto"/>
        <w:jc w:val="both"/>
        <w:rPr>
          <w:rFonts w:ascii="Book Antiqua" w:hAnsi="Book Antiqua"/>
          <w:b/>
          <w:sz w:val="24"/>
        </w:rPr>
      </w:pPr>
      <w:bookmarkStart w:id="70" w:name="OLE_LINK113"/>
      <w:bookmarkStart w:id="71" w:name="OLE_LINK126"/>
      <w:bookmarkStart w:id="72" w:name="OLE_LINK133"/>
      <w:bookmarkStart w:id="73" w:name="OLE_LINK170"/>
      <w:bookmarkStart w:id="74" w:name="OLE_LINK315"/>
      <w:bookmarkEnd w:id="68"/>
      <w:bookmarkEnd w:id="69"/>
    </w:p>
    <w:p w:rsidR="00EB3564" w:rsidRPr="00FF0F1B" w:rsidRDefault="00EB3564" w:rsidP="00B47C56">
      <w:pPr>
        <w:snapToGrid w:val="0"/>
        <w:spacing w:line="360" w:lineRule="auto"/>
        <w:jc w:val="both"/>
        <w:rPr>
          <w:rFonts w:ascii="Book Antiqua" w:hAnsi="Book Antiqua"/>
          <w:b/>
          <w:sz w:val="24"/>
        </w:rPr>
      </w:pPr>
      <w:r w:rsidRPr="00FF0F1B">
        <w:rPr>
          <w:rFonts w:ascii="Book Antiqua" w:hAnsi="Book Antiqua"/>
          <w:b/>
          <w:sz w:val="24"/>
        </w:rPr>
        <w:t>MATERIALS AND METHODS</w:t>
      </w:r>
    </w:p>
    <w:bookmarkEnd w:id="70"/>
    <w:bookmarkEnd w:id="71"/>
    <w:bookmarkEnd w:id="72"/>
    <w:bookmarkEnd w:id="73"/>
    <w:bookmarkEnd w:id="74"/>
    <w:p w:rsidR="00EB3564" w:rsidRPr="00FF0F1B" w:rsidRDefault="00EB3564" w:rsidP="00B47C56">
      <w:pPr>
        <w:autoSpaceDE w:val="0"/>
        <w:autoSpaceDN w:val="0"/>
        <w:adjustRightInd w:val="0"/>
        <w:snapToGrid w:val="0"/>
        <w:spacing w:line="360" w:lineRule="auto"/>
        <w:jc w:val="both"/>
        <w:rPr>
          <w:rFonts w:ascii="Book Antiqua" w:hAnsi="Book Antiqua"/>
          <w:b/>
          <w:i/>
          <w:iCs/>
          <w:color w:val="000000"/>
          <w:sz w:val="24"/>
          <w:szCs w:val="24"/>
          <w:lang w:val="en-US"/>
        </w:rPr>
      </w:pPr>
      <w:r w:rsidRPr="00FF0F1B">
        <w:rPr>
          <w:rFonts w:ascii="Book Antiqua" w:hAnsi="Book Antiqua"/>
          <w:i/>
          <w:iCs/>
          <w:color w:val="000000"/>
          <w:sz w:val="24"/>
          <w:szCs w:val="24"/>
          <w:lang w:val="en-US"/>
        </w:rPr>
        <w:t xml:space="preserve"> </w:t>
      </w:r>
      <w:r w:rsidRPr="00FF0F1B">
        <w:rPr>
          <w:rFonts w:ascii="Book Antiqua" w:hAnsi="Book Antiqua"/>
          <w:b/>
          <w:i/>
          <w:iCs/>
          <w:color w:val="000000"/>
          <w:sz w:val="24"/>
          <w:szCs w:val="24"/>
          <w:lang w:val="en-US"/>
        </w:rPr>
        <w:t>Animals</w:t>
      </w:r>
    </w:p>
    <w:p w:rsidR="00EB3564" w:rsidRPr="00FF0F1B" w:rsidRDefault="00EB3564" w:rsidP="00A83BCE">
      <w:pPr>
        <w:autoSpaceDE w:val="0"/>
        <w:autoSpaceDN w:val="0"/>
        <w:adjustRightInd w:val="0"/>
        <w:snapToGrid w:val="0"/>
        <w:spacing w:line="360" w:lineRule="auto"/>
        <w:jc w:val="both"/>
        <w:rPr>
          <w:rFonts w:ascii="Book Antiqua" w:hAnsi="Book Antiqua"/>
          <w:bCs/>
          <w:color w:val="000000"/>
          <w:sz w:val="24"/>
          <w:szCs w:val="24"/>
          <w:lang w:val="en-US"/>
        </w:rPr>
      </w:pPr>
      <w:r w:rsidRPr="00FF0F1B">
        <w:rPr>
          <w:rFonts w:ascii="Book Antiqua" w:hAnsi="Book Antiqua"/>
          <w:bCs/>
          <w:color w:val="000000"/>
          <w:sz w:val="24"/>
          <w:szCs w:val="24"/>
          <w:lang w:val="en-US"/>
        </w:rPr>
        <w:t xml:space="preserve">Forty-eight male Wistar-albino rats (Istanbul University, Institute of Experimental Medicine and Research, Turkey), weighing 250-280 g, were used in the study. The study was approved by the ethics committee of Istanbul University, Istanbul Medical School. All animals were housed incages in a room at a constant temperature of 22 ± 2 ºC. The rats were fed a standard chow diet and tap water. </w:t>
      </w:r>
    </w:p>
    <w:p w:rsidR="00EB3564" w:rsidRPr="00FF0F1B" w:rsidRDefault="00EB3564" w:rsidP="00B47C56">
      <w:pPr>
        <w:autoSpaceDE w:val="0"/>
        <w:autoSpaceDN w:val="0"/>
        <w:adjustRightInd w:val="0"/>
        <w:snapToGrid w:val="0"/>
        <w:spacing w:line="360" w:lineRule="auto"/>
        <w:jc w:val="both"/>
        <w:rPr>
          <w:rFonts w:ascii="Book Antiqua" w:hAnsi="Book Antiqua"/>
          <w:b/>
          <w:i/>
          <w:iCs/>
          <w:color w:val="000000"/>
          <w:sz w:val="24"/>
          <w:szCs w:val="24"/>
          <w:lang w:val="en-US"/>
        </w:rPr>
      </w:pPr>
    </w:p>
    <w:p w:rsidR="00EB3564" w:rsidRPr="00FF0F1B" w:rsidRDefault="00EB3564" w:rsidP="00B47C56">
      <w:pPr>
        <w:autoSpaceDE w:val="0"/>
        <w:autoSpaceDN w:val="0"/>
        <w:adjustRightInd w:val="0"/>
        <w:snapToGrid w:val="0"/>
        <w:spacing w:line="360" w:lineRule="auto"/>
        <w:jc w:val="both"/>
        <w:rPr>
          <w:rFonts w:ascii="Book Antiqua" w:hAnsi="Book Antiqua"/>
          <w:b/>
          <w:i/>
          <w:iCs/>
          <w:color w:val="000000"/>
          <w:sz w:val="24"/>
          <w:szCs w:val="24"/>
          <w:lang w:val="en-US"/>
        </w:rPr>
      </w:pPr>
      <w:r w:rsidRPr="00FF0F1B">
        <w:rPr>
          <w:rFonts w:ascii="Book Antiqua" w:hAnsi="Book Antiqua"/>
          <w:b/>
          <w:i/>
          <w:iCs/>
          <w:color w:val="000000"/>
          <w:sz w:val="24"/>
          <w:szCs w:val="24"/>
          <w:lang w:val="en-US"/>
        </w:rPr>
        <w:t>Study design</w:t>
      </w:r>
    </w:p>
    <w:p w:rsidR="00EB3564" w:rsidRPr="00FF0F1B" w:rsidRDefault="00EB3564" w:rsidP="00A83BCE">
      <w:pPr>
        <w:autoSpaceDE w:val="0"/>
        <w:autoSpaceDN w:val="0"/>
        <w:adjustRightInd w:val="0"/>
        <w:snapToGrid w:val="0"/>
        <w:spacing w:line="360" w:lineRule="auto"/>
        <w:jc w:val="both"/>
        <w:rPr>
          <w:rFonts w:ascii="Book Antiqua" w:hAnsi="Book Antiqua"/>
          <w:sz w:val="24"/>
          <w:szCs w:val="24"/>
          <w:lang w:val="en-US" w:eastAsia="zh-CN"/>
        </w:rPr>
      </w:pPr>
      <w:r w:rsidRPr="00FF0F1B">
        <w:rPr>
          <w:rFonts w:ascii="Book Antiqua" w:hAnsi="Book Antiqua"/>
          <w:bCs/>
          <w:color w:val="000000"/>
          <w:sz w:val="24"/>
          <w:szCs w:val="24"/>
          <w:lang w:val="en-US"/>
        </w:rPr>
        <w:t xml:space="preserve">The rats were divided into </w:t>
      </w:r>
      <w:r w:rsidRPr="00FF0F1B">
        <w:rPr>
          <w:rFonts w:ascii="Book Antiqua" w:hAnsi="Book Antiqua"/>
          <w:sz w:val="24"/>
          <w:szCs w:val="24"/>
          <w:lang w:val="en-US"/>
        </w:rPr>
        <w:t>four groups (</w:t>
      </w:r>
      <w:r w:rsidRPr="00FF0F1B">
        <w:rPr>
          <w:rFonts w:ascii="Book Antiqua" w:hAnsi="Book Antiqua"/>
          <w:i/>
          <w:sz w:val="24"/>
          <w:szCs w:val="24"/>
          <w:lang w:val="en-US"/>
        </w:rPr>
        <w:t>n</w:t>
      </w:r>
      <w:r w:rsidRPr="00FF0F1B">
        <w:rPr>
          <w:rFonts w:ascii="Book Antiqua" w:hAnsi="Book Antiqua"/>
          <w:sz w:val="24"/>
          <w:szCs w:val="24"/>
          <w:lang w:val="en-US"/>
        </w:rPr>
        <w:t>=12). Group 1</w:t>
      </w:r>
      <w:r w:rsidRPr="00FF0F1B">
        <w:rPr>
          <w:rFonts w:ascii="Book Antiqua" w:hAnsi="Book Antiqua"/>
          <w:sz w:val="24"/>
          <w:szCs w:val="24"/>
          <w:lang w:val="en-US" w:eastAsia="zh-CN"/>
        </w:rPr>
        <w:t>,</w:t>
      </w:r>
      <w:r w:rsidRPr="00FF0F1B">
        <w:rPr>
          <w:rFonts w:ascii="Book Antiqua" w:hAnsi="Book Antiqua"/>
          <w:sz w:val="24"/>
          <w:szCs w:val="24"/>
          <w:lang w:val="en-US"/>
        </w:rPr>
        <w:t xml:space="preserve"> control; gastric serosal patch</w:t>
      </w:r>
      <w:r w:rsidRPr="00FF0F1B">
        <w:rPr>
          <w:rFonts w:ascii="Book Antiqua" w:hAnsi="Book Antiqua"/>
          <w:sz w:val="24"/>
          <w:szCs w:val="24"/>
          <w:lang w:val="en-US" w:eastAsia="zh-CN"/>
        </w:rPr>
        <w:t>;</w:t>
      </w:r>
    </w:p>
    <w:p w:rsidR="00EB3564" w:rsidRPr="00FF0F1B" w:rsidRDefault="00EB3564" w:rsidP="00A83BCE">
      <w:pPr>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t>Group 2</w:t>
      </w:r>
      <w:r w:rsidRPr="00FF0F1B">
        <w:rPr>
          <w:rFonts w:ascii="Book Antiqua" w:hAnsi="Book Antiqua"/>
          <w:sz w:val="24"/>
          <w:szCs w:val="24"/>
          <w:lang w:val="en-US" w:eastAsia="zh-CN"/>
        </w:rPr>
        <w:t>,</w:t>
      </w:r>
      <w:r w:rsidRPr="00FF0F1B">
        <w:rPr>
          <w:rFonts w:ascii="Book Antiqua" w:hAnsi="Book Antiqua"/>
          <w:sz w:val="24"/>
          <w:szCs w:val="24"/>
          <w:lang w:val="en-US"/>
        </w:rPr>
        <w:t xml:space="preserve"> gastric serosalpatch + GH</w:t>
      </w:r>
      <w:r w:rsidRPr="00FF0F1B">
        <w:rPr>
          <w:rFonts w:ascii="Book Antiqua" w:hAnsi="Book Antiqua"/>
          <w:sz w:val="24"/>
          <w:szCs w:val="24"/>
          <w:lang w:val="en-US" w:eastAsia="zh-CN"/>
        </w:rPr>
        <w:t xml:space="preserve">; </w:t>
      </w:r>
      <w:r w:rsidRPr="00FF0F1B">
        <w:rPr>
          <w:rFonts w:ascii="Book Antiqua" w:hAnsi="Book Antiqua"/>
          <w:sz w:val="24"/>
          <w:szCs w:val="24"/>
          <w:lang w:val="en-US"/>
        </w:rPr>
        <w:t>Group 3: gastric serosal patch + HBOT</w:t>
      </w:r>
      <w:r w:rsidRPr="00FF0F1B">
        <w:rPr>
          <w:rFonts w:ascii="Book Antiqua" w:hAnsi="Book Antiqua"/>
          <w:sz w:val="24"/>
          <w:szCs w:val="24"/>
          <w:lang w:val="en-US" w:eastAsia="zh-CN"/>
        </w:rPr>
        <w:t xml:space="preserve">; </w:t>
      </w:r>
      <w:r w:rsidRPr="00FF0F1B">
        <w:rPr>
          <w:rFonts w:ascii="Book Antiqua" w:hAnsi="Book Antiqua"/>
          <w:sz w:val="24"/>
          <w:szCs w:val="24"/>
          <w:lang w:val="en-US"/>
        </w:rPr>
        <w:t>Group 4</w:t>
      </w:r>
      <w:r w:rsidRPr="00FF0F1B">
        <w:rPr>
          <w:rFonts w:ascii="Book Antiqua" w:hAnsi="Book Antiqua"/>
          <w:sz w:val="24"/>
          <w:szCs w:val="24"/>
          <w:lang w:val="en-US" w:eastAsia="zh-CN"/>
        </w:rPr>
        <w:t>,</w:t>
      </w:r>
      <w:r w:rsidRPr="00FF0F1B">
        <w:rPr>
          <w:rFonts w:ascii="Book Antiqua" w:hAnsi="Book Antiqua"/>
          <w:sz w:val="24"/>
          <w:szCs w:val="24"/>
          <w:lang w:val="en-US"/>
        </w:rPr>
        <w:t xml:space="preserve"> gastric serosal patch + GH + HBOT.</w:t>
      </w:r>
    </w:p>
    <w:p w:rsidR="00EB3564" w:rsidRPr="00FF0F1B" w:rsidRDefault="00EB3564" w:rsidP="00B47C56">
      <w:pPr>
        <w:autoSpaceDE w:val="0"/>
        <w:autoSpaceDN w:val="0"/>
        <w:adjustRightInd w:val="0"/>
        <w:snapToGrid w:val="0"/>
        <w:spacing w:line="360" w:lineRule="auto"/>
        <w:jc w:val="both"/>
        <w:rPr>
          <w:rFonts w:ascii="Book Antiqua" w:hAnsi="Book Antiqua"/>
          <w:b/>
          <w:i/>
          <w:sz w:val="24"/>
          <w:szCs w:val="24"/>
          <w:lang w:val="en-US"/>
        </w:rPr>
      </w:pPr>
    </w:p>
    <w:p w:rsidR="00EB3564" w:rsidRPr="00FF0F1B" w:rsidRDefault="00EB3564" w:rsidP="00A83BCE">
      <w:pPr>
        <w:snapToGrid w:val="0"/>
        <w:spacing w:line="360" w:lineRule="auto"/>
        <w:jc w:val="both"/>
        <w:rPr>
          <w:rFonts w:ascii="Book Antiqua" w:hAnsi="Book Antiqua"/>
          <w:sz w:val="24"/>
          <w:szCs w:val="24"/>
          <w:lang w:val="en-US"/>
        </w:rPr>
      </w:pPr>
      <w:r w:rsidRPr="00FF0F1B">
        <w:rPr>
          <w:rFonts w:ascii="Book Antiqua" w:hAnsi="Book Antiqua"/>
          <w:b/>
          <w:i/>
          <w:sz w:val="24"/>
          <w:szCs w:val="24"/>
          <w:lang w:val="en-US"/>
        </w:rPr>
        <w:t>Surgical procedure</w:t>
      </w:r>
      <w:r w:rsidRPr="00FF0F1B">
        <w:rPr>
          <w:rFonts w:ascii="Book Antiqua" w:hAnsi="Book Antiqua"/>
          <w:sz w:val="24"/>
          <w:szCs w:val="24"/>
          <w:lang w:val="en-US"/>
        </w:rPr>
        <w:t xml:space="preserve"> </w:t>
      </w:r>
    </w:p>
    <w:p w:rsidR="00EB3564" w:rsidRPr="00FF0F1B" w:rsidRDefault="00EB3564" w:rsidP="00A83BCE">
      <w:pPr>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t xml:space="preserve">After one night of fasting, the animals were anaesthetized with an intramuscular injection of ketamine hydrochloride (50-100 mg per kg of body weight). Abdominal access was achieved through a midline incision, and the jejunum was incised at1 cm </w:t>
      </w:r>
      <w:r w:rsidRPr="00FF0F1B">
        <w:rPr>
          <w:rFonts w:ascii="Book Antiqua" w:hAnsi="Book Antiqua"/>
          <w:sz w:val="24"/>
          <w:szCs w:val="24"/>
          <w:lang w:val="en-US"/>
        </w:rPr>
        <w:lastRenderedPageBreak/>
        <w:t>longitudinally. After the 1-cm-long defect was created in the jejunum, a 1 cm</w:t>
      </w:r>
      <w:r w:rsidRPr="00FF0F1B">
        <w:rPr>
          <w:rFonts w:ascii="Book Antiqua" w:hAnsi="Book Antiqua"/>
          <w:sz w:val="24"/>
          <w:szCs w:val="24"/>
          <w:lang w:val="en-US" w:eastAsia="zh-CN"/>
        </w:rPr>
        <w:t xml:space="preserve"> </w:t>
      </w:r>
      <w:r w:rsidRPr="00FF0F1B">
        <w:rPr>
          <w:rFonts w:ascii="Book Antiqua" w:hAnsi="Book Antiqua"/>
          <w:sz w:val="24"/>
          <w:szCs w:val="24"/>
          <w:lang w:val="en-US"/>
        </w:rPr>
        <w:t>×</w:t>
      </w:r>
      <w:r w:rsidRPr="00FF0F1B">
        <w:rPr>
          <w:rFonts w:ascii="Book Antiqua" w:hAnsi="Book Antiqua"/>
          <w:sz w:val="24"/>
          <w:szCs w:val="24"/>
          <w:lang w:val="en-US" w:eastAsia="zh-CN"/>
        </w:rPr>
        <w:t xml:space="preserve"> </w:t>
      </w:r>
      <w:r w:rsidRPr="00FF0F1B">
        <w:rPr>
          <w:rFonts w:ascii="Book Antiqua" w:hAnsi="Book Antiqua"/>
          <w:sz w:val="24"/>
          <w:szCs w:val="24"/>
          <w:lang w:val="en-US"/>
        </w:rPr>
        <w:t>1 cm patch of the gastric corpus was anastomosed tothe jejunal defect with interrupted 6/0 polypropylene sutures (Figure 1A and B).During the operation, venous blood samples (portal vein) were taken to determine the like growth factor (IGF-1) and insulin like growth factor binding protein 3 (IGFBP-3)</w:t>
      </w:r>
      <w:r w:rsidRPr="00FF0F1B">
        <w:rPr>
          <w:rFonts w:ascii="Book Antiqua" w:hAnsi="Book Antiqua"/>
          <w:sz w:val="24"/>
          <w:szCs w:val="24"/>
          <w:lang w:val="en-US" w:eastAsia="zh-CN"/>
        </w:rPr>
        <w:t xml:space="preserve"> </w:t>
      </w:r>
      <w:r w:rsidRPr="00FF0F1B">
        <w:rPr>
          <w:rFonts w:ascii="Book Antiqua" w:hAnsi="Book Antiqua"/>
          <w:sz w:val="24"/>
          <w:szCs w:val="24"/>
          <w:lang w:val="en-US"/>
        </w:rPr>
        <w:t>basal levels. After the bleeding control had been performed, 2</w:t>
      </w:r>
      <w:r w:rsidRPr="00FF0F1B">
        <w:rPr>
          <w:rFonts w:ascii="Book Antiqua" w:hAnsi="Book Antiqua"/>
          <w:sz w:val="24"/>
          <w:szCs w:val="24"/>
          <w:lang w:val="en-US" w:eastAsia="zh-CN"/>
        </w:rPr>
        <w:t xml:space="preserve"> </w:t>
      </w:r>
      <w:r w:rsidRPr="00FF0F1B">
        <w:rPr>
          <w:rFonts w:ascii="Book Antiqua" w:hAnsi="Book Antiqua"/>
          <w:sz w:val="24"/>
          <w:szCs w:val="24"/>
          <w:lang w:val="en-US"/>
        </w:rPr>
        <w:t>cc of 0.9% NaCl was injected into the intraperitoneal area, and the abdomen was closed with 3/0 continuous silk sutures. Twelve hours after the surgery, water was given;</w:t>
      </w:r>
      <w:r w:rsidRPr="00FF0F1B">
        <w:rPr>
          <w:rFonts w:ascii="Book Antiqua" w:hAnsi="Book Antiqua"/>
          <w:sz w:val="24"/>
          <w:szCs w:val="24"/>
          <w:lang w:val="en-US" w:eastAsia="zh-CN"/>
        </w:rPr>
        <w:t xml:space="preserve"> </w:t>
      </w:r>
      <w:r w:rsidRPr="00FF0F1B">
        <w:rPr>
          <w:rFonts w:ascii="Book Antiqua" w:hAnsi="Book Antiqua"/>
          <w:sz w:val="24"/>
          <w:szCs w:val="24"/>
          <w:lang w:val="en-US"/>
        </w:rPr>
        <w:t>twenty-four hours after the surgery, food was given.</w:t>
      </w:r>
    </w:p>
    <w:p w:rsidR="00EB3564" w:rsidRPr="00FF0F1B" w:rsidRDefault="00EB3564" w:rsidP="00B47C56">
      <w:pPr>
        <w:snapToGrid w:val="0"/>
        <w:spacing w:line="360" w:lineRule="auto"/>
        <w:jc w:val="both"/>
        <w:rPr>
          <w:rFonts w:ascii="Book Antiqua" w:hAnsi="Book Antiqua"/>
          <w:b/>
          <w:i/>
          <w:sz w:val="24"/>
          <w:szCs w:val="24"/>
          <w:lang w:val="en-US"/>
        </w:rPr>
      </w:pPr>
    </w:p>
    <w:p w:rsidR="00EB3564" w:rsidRPr="00FF0F1B" w:rsidRDefault="00EB3564" w:rsidP="00B47C56">
      <w:pPr>
        <w:snapToGrid w:val="0"/>
        <w:spacing w:line="360" w:lineRule="auto"/>
        <w:jc w:val="both"/>
        <w:rPr>
          <w:rFonts w:ascii="Book Antiqua" w:hAnsi="Book Antiqua"/>
          <w:b/>
          <w:i/>
          <w:sz w:val="24"/>
          <w:szCs w:val="24"/>
          <w:lang w:val="en-US"/>
        </w:rPr>
      </w:pPr>
      <w:r w:rsidRPr="00FF0F1B">
        <w:rPr>
          <w:rFonts w:ascii="Book Antiqua" w:hAnsi="Book Antiqua"/>
          <w:b/>
          <w:i/>
          <w:sz w:val="24"/>
          <w:szCs w:val="24"/>
          <w:lang w:val="en-US"/>
        </w:rPr>
        <w:t xml:space="preserve"> Treatment</w:t>
      </w:r>
    </w:p>
    <w:p w:rsidR="00EB3564" w:rsidRPr="00FF0F1B" w:rsidRDefault="00EB3564" w:rsidP="00A83BCE">
      <w:pPr>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t xml:space="preserve">HBOT was started 12 h after the surgery and completed after 12 d. The HBOT was performed 3 times per day for the first 4 d, 2 times per day for the following 4 d and then once per day for the remaining 4 d. This therapy was applied in the </w:t>
      </w:r>
      <w:r w:rsidRPr="00FF0F1B">
        <w:rPr>
          <w:rFonts w:ascii="Book Antiqua" w:hAnsi="Book Antiqua"/>
          <w:sz w:val="24"/>
          <w:lang w:val="en-US"/>
        </w:rPr>
        <w:t xml:space="preserve">Istanbul Faculty of Medicine, Department of Underwater and Hyperbaric Medicine. </w:t>
      </w:r>
      <w:r w:rsidRPr="00FF0F1B">
        <w:rPr>
          <w:rFonts w:ascii="Book Antiqua" w:hAnsi="Book Antiqua"/>
          <w:sz w:val="24"/>
          <w:szCs w:val="24"/>
          <w:lang w:val="en-US"/>
        </w:rPr>
        <w:t>The total number of HBOT sessions was 24. The treatments were conducted in a small research chamber (0.4</w:t>
      </w:r>
      <w:r w:rsidRPr="00FF0F1B">
        <w:rPr>
          <w:rFonts w:ascii="Book Antiqua" w:hAnsi="Book Antiqua"/>
          <w:sz w:val="24"/>
          <w:szCs w:val="24"/>
          <w:lang w:val="en-US" w:eastAsia="zh-CN"/>
        </w:rPr>
        <w:t xml:space="preserve"> </w:t>
      </w:r>
      <w:r w:rsidRPr="00FF0F1B">
        <w:rPr>
          <w:rFonts w:ascii="Book Antiqua" w:hAnsi="Book Antiqua"/>
          <w:sz w:val="24"/>
          <w:szCs w:val="24"/>
          <w:lang w:val="en-US"/>
        </w:rPr>
        <w:t>m</w:t>
      </w:r>
      <w:r w:rsidRPr="00FF0F1B">
        <w:rPr>
          <w:rFonts w:ascii="Book Antiqua" w:hAnsi="Book Antiqua"/>
          <w:sz w:val="24"/>
          <w:szCs w:val="24"/>
          <w:vertAlign w:val="superscript"/>
          <w:lang w:val="en-US"/>
        </w:rPr>
        <w:t>3</w:t>
      </w:r>
      <w:r w:rsidRPr="00FF0F1B">
        <w:rPr>
          <w:rFonts w:ascii="Book Antiqua" w:hAnsi="Book Antiqua"/>
          <w:sz w:val="24"/>
          <w:szCs w:val="24"/>
          <w:lang w:val="en-US"/>
        </w:rPr>
        <w:t>). The chamber was flushed with oxygen for 10 min to vent the air inside before compression, and thus the animals could be pressurized with 100 % oxygen. The HBOT sessions consisted of 10 min</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of compression to 2.5 atmosphere absolute (ATA), 60 min at 2.5 ATA and 10 min of decompression to the surface pressure. </w:t>
      </w:r>
    </w:p>
    <w:p w:rsidR="00EB3564" w:rsidRPr="00FF0F1B" w:rsidRDefault="00EB3564" w:rsidP="00FE3A80">
      <w:pPr>
        <w:snapToGrid w:val="0"/>
        <w:spacing w:line="360" w:lineRule="auto"/>
        <w:ind w:firstLineChars="100" w:firstLine="240"/>
        <w:jc w:val="both"/>
        <w:rPr>
          <w:rFonts w:ascii="Book Antiqua" w:hAnsi="Book Antiqua"/>
          <w:sz w:val="24"/>
          <w:szCs w:val="24"/>
          <w:lang w:val="en-US"/>
        </w:rPr>
      </w:pPr>
      <w:r w:rsidRPr="00FF0F1B">
        <w:rPr>
          <w:rFonts w:ascii="Book Antiqua" w:hAnsi="Book Antiqua"/>
          <w:sz w:val="24"/>
          <w:szCs w:val="24"/>
          <w:lang w:val="en-US"/>
        </w:rPr>
        <w:t>In Groups 2 and 4,</w:t>
      </w:r>
      <w:r w:rsidRPr="00FF0F1B">
        <w:rPr>
          <w:rFonts w:ascii="Book Antiqua" w:hAnsi="Book Antiqua"/>
          <w:sz w:val="24"/>
          <w:szCs w:val="24"/>
          <w:lang w:val="en-US" w:eastAsia="zh-CN"/>
        </w:rPr>
        <w:t xml:space="preserve"> </w:t>
      </w:r>
      <w:r w:rsidRPr="00FF0F1B">
        <w:rPr>
          <w:rFonts w:ascii="Book Antiqua" w:hAnsi="Book Antiqua"/>
          <w:sz w:val="24"/>
          <w:szCs w:val="24"/>
          <w:lang w:val="en-US"/>
        </w:rPr>
        <w:t>h</w:t>
      </w:r>
      <w:r w:rsidRPr="00FF0F1B">
        <w:rPr>
          <w:rFonts w:ascii="Book Antiqua" w:hAnsi="Book Antiqua"/>
          <w:sz w:val="24"/>
          <w:szCs w:val="24"/>
          <w:lang w:val="en-US" w:eastAsia="zh-CN"/>
        </w:rPr>
        <w:t xml:space="preserve">uman </w:t>
      </w:r>
      <w:r w:rsidRPr="00FF0F1B">
        <w:rPr>
          <w:rFonts w:ascii="Book Antiqua" w:hAnsi="Book Antiqua"/>
          <w:sz w:val="24"/>
          <w:szCs w:val="24"/>
          <w:lang w:val="en-US"/>
        </w:rPr>
        <w:t>GH was given</w:t>
      </w:r>
      <w:r w:rsidRPr="00FF0F1B">
        <w:rPr>
          <w:rFonts w:ascii="Book Antiqua" w:hAnsi="Book Antiqua"/>
          <w:sz w:val="24"/>
          <w:szCs w:val="24"/>
          <w:lang w:val="en-US" w:eastAsia="zh-CN"/>
        </w:rPr>
        <w:t xml:space="preserve"> </w:t>
      </w:r>
      <w:r w:rsidRPr="00FF0F1B">
        <w:rPr>
          <w:rFonts w:ascii="Book Antiqua" w:hAnsi="Book Antiqua"/>
          <w:sz w:val="24"/>
          <w:szCs w:val="24"/>
          <w:lang w:val="en-US"/>
        </w:rPr>
        <w:t>(Norditropin 4IU-1.3</w:t>
      </w:r>
      <w:r w:rsidRPr="00FF0F1B">
        <w:rPr>
          <w:rFonts w:ascii="Book Antiqua" w:hAnsi="Book Antiqua"/>
          <w:sz w:val="24"/>
          <w:szCs w:val="24"/>
          <w:lang w:val="en-US" w:eastAsia="zh-CN"/>
        </w:rPr>
        <w:t xml:space="preserve"> </w:t>
      </w:r>
      <w:r w:rsidRPr="00FF0F1B">
        <w:rPr>
          <w:rFonts w:ascii="Book Antiqua" w:hAnsi="Book Antiqua"/>
          <w:sz w:val="24"/>
          <w:szCs w:val="24"/>
          <w:lang w:val="en-US"/>
        </w:rPr>
        <w:t>mg, Novo Nordisk-Denmark) subcutaneously at a dose of 2</w:t>
      </w:r>
      <w:r w:rsidRPr="00FF0F1B">
        <w:rPr>
          <w:rFonts w:ascii="Book Antiqua" w:hAnsi="Book Antiqua"/>
          <w:sz w:val="24"/>
          <w:szCs w:val="24"/>
          <w:lang w:val="en-US" w:eastAsia="zh-CN"/>
        </w:rPr>
        <w:t xml:space="preserve"> </w:t>
      </w:r>
      <w:r w:rsidRPr="00FF0F1B">
        <w:rPr>
          <w:rFonts w:ascii="Book Antiqua" w:hAnsi="Book Antiqua"/>
          <w:sz w:val="24"/>
          <w:szCs w:val="24"/>
          <w:lang w:val="en-US"/>
        </w:rPr>
        <w:t>mg per kg/d</w:t>
      </w:r>
      <w:r w:rsidRPr="00FF0F1B">
        <w:rPr>
          <w:rFonts w:ascii="Book Antiqua" w:hAnsi="Book Antiqua"/>
          <w:sz w:val="24"/>
          <w:szCs w:val="24"/>
          <w:vertAlign w:val="superscript"/>
          <w:lang w:val="en-US"/>
        </w:rPr>
        <w:t xml:space="preserve"> </w:t>
      </w:r>
      <w:r w:rsidRPr="00FF0F1B">
        <w:rPr>
          <w:rFonts w:ascii="Book Antiqua" w:hAnsi="Book Antiqua"/>
          <w:sz w:val="24"/>
          <w:szCs w:val="24"/>
          <w:vertAlign w:val="superscript"/>
          <w:lang w:val="en-US" w:eastAsia="zh-CN"/>
        </w:rPr>
        <w:t>[</w:t>
      </w:r>
      <w:r w:rsidRPr="00FF0F1B">
        <w:rPr>
          <w:rFonts w:ascii="Book Antiqua" w:hAnsi="Book Antiqua"/>
          <w:sz w:val="24"/>
          <w:szCs w:val="24"/>
          <w:vertAlign w:val="superscript"/>
          <w:lang w:val="en-US"/>
        </w:rPr>
        <w:t>22-25</w:t>
      </w:r>
      <w:r w:rsidRPr="00FF0F1B">
        <w:rPr>
          <w:rFonts w:ascii="Book Antiqua" w:hAnsi="Book Antiqua"/>
          <w:sz w:val="24"/>
          <w:szCs w:val="24"/>
          <w:vertAlign w:val="superscript"/>
          <w:lang w:val="en-US" w:eastAsia="zh-CN"/>
        </w:rPr>
        <w:t>]</w:t>
      </w:r>
      <w:r w:rsidRPr="00FF0F1B">
        <w:rPr>
          <w:rFonts w:ascii="Book Antiqua" w:hAnsi="Book Antiqua"/>
          <w:sz w:val="24"/>
          <w:szCs w:val="24"/>
          <w:lang w:val="en-US"/>
        </w:rPr>
        <w:t xml:space="preserve"> for 28 d, beginning on the operation day. </w:t>
      </w:r>
    </w:p>
    <w:p w:rsidR="00EB3564" w:rsidRPr="00FF0F1B" w:rsidRDefault="00EB3564" w:rsidP="00A83BCE">
      <w:pPr>
        <w:snapToGrid w:val="0"/>
        <w:spacing w:line="360" w:lineRule="auto"/>
        <w:jc w:val="both"/>
        <w:rPr>
          <w:rFonts w:ascii="Book Antiqua" w:hAnsi="Book Antiqua"/>
          <w:sz w:val="24"/>
          <w:szCs w:val="24"/>
          <w:lang w:val="en-US" w:eastAsia="zh-CN"/>
        </w:rPr>
      </w:pPr>
    </w:p>
    <w:p w:rsidR="00EB3564" w:rsidRPr="00FF0F1B" w:rsidRDefault="00EB3564" w:rsidP="00B47C56">
      <w:pPr>
        <w:pStyle w:val="a4"/>
        <w:snapToGrid w:val="0"/>
        <w:ind w:firstLine="0"/>
        <w:rPr>
          <w:rFonts w:ascii="Book Antiqua" w:hAnsi="Book Antiqua"/>
          <w:b/>
          <w:bCs/>
          <w:i/>
          <w:szCs w:val="24"/>
          <w:lang w:val="en-US"/>
        </w:rPr>
      </w:pPr>
      <w:r w:rsidRPr="00FF0F1B">
        <w:rPr>
          <w:rFonts w:ascii="Book Antiqua" w:hAnsi="Book Antiqua"/>
          <w:b/>
          <w:bCs/>
          <w:i/>
          <w:szCs w:val="24"/>
          <w:lang w:val="en-US"/>
        </w:rPr>
        <w:t xml:space="preserve"> Histopathological assessment</w:t>
      </w:r>
    </w:p>
    <w:p w:rsidR="00EB3564" w:rsidRPr="00FF0F1B" w:rsidRDefault="00EB3564" w:rsidP="00A83BCE">
      <w:pPr>
        <w:pStyle w:val="a4"/>
        <w:snapToGrid w:val="0"/>
        <w:ind w:firstLine="0"/>
        <w:rPr>
          <w:rFonts w:ascii="Book Antiqua" w:hAnsi="Book Antiqua"/>
          <w:szCs w:val="24"/>
          <w:lang w:val="en-US"/>
        </w:rPr>
      </w:pPr>
      <w:r w:rsidRPr="00FF0F1B">
        <w:rPr>
          <w:rFonts w:ascii="Book Antiqua" w:hAnsi="Book Antiqua"/>
          <w:szCs w:val="24"/>
          <w:lang w:val="en-US"/>
        </w:rPr>
        <w:t>All of the rats were sacrificed 60 days after the operation. The anastomosis, including the jejunal segment and the gastric anastomotic area, was excised (Figure 1</w:t>
      </w:r>
      <w:r w:rsidRPr="00FF0F1B">
        <w:rPr>
          <w:rFonts w:ascii="Book Antiqua" w:hAnsi="Book Antiqua"/>
          <w:szCs w:val="24"/>
          <w:lang w:val="en-US" w:eastAsia="zh-CN"/>
        </w:rPr>
        <w:t>C</w:t>
      </w:r>
      <w:r w:rsidRPr="00FF0F1B">
        <w:rPr>
          <w:rFonts w:ascii="Book Antiqua" w:hAnsi="Book Antiqua"/>
          <w:szCs w:val="24"/>
          <w:lang w:val="en-US"/>
        </w:rPr>
        <w:t xml:space="preserve"> </w:t>
      </w:r>
      <w:r w:rsidRPr="00FF0F1B">
        <w:rPr>
          <w:rFonts w:ascii="Book Antiqua" w:hAnsi="Book Antiqua"/>
          <w:szCs w:val="24"/>
          <w:lang w:val="en-US" w:eastAsia="zh-CN"/>
        </w:rPr>
        <w:t>and D</w:t>
      </w:r>
      <w:r w:rsidRPr="00FF0F1B">
        <w:rPr>
          <w:rFonts w:ascii="Book Antiqua" w:hAnsi="Book Antiqua"/>
          <w:szCs w:val="24"/>
          <w:lang w:val="en-US"/>
        </w:rPr>
        <w:t>).</w:t>
      </w:r>
      <w:r w:rsidRPr="00FF0F1B">
        <w:rPr>
          <w:rFonts w:ascii="Book Antiqua" w:hAnsi="Book Antiqua"/>
          <w:szCs w:val="24"/>
          <w:lang w:val="en-US" w:eastAsia="zh-CN"/>
        </w:rPr>
        <w:t xml:space="preserve"> </w:t>
      </w:r>
      <w:r w:rsidRPr="00FF0F1B">
        <w:rPr>
          <w:rFonts w:ascii="Book Antiqua" w:hAnsi="Book Antiqua"/>
          <w:lang w:val="en-US"/>
        </w:rPr>
        <w:t>To clean the fat tissues</w:t>
      </w:r>
      <w:r w:rsidRPr="00FF0F1B">
        <w:rPr>
          <w:rFonts w:ascii="Book Antiqua" w:hAnsi="Book Antiqua"/>
          <w:szCs w:val="24"/>
          <w:lang w:val="en-US"/>
        </w:rPr>
        <w:t>, the anastomotic area was washed with distilled water. The edges of the a</w:t>
      </w:r>
      <w:r w:rsidRPr="00FF0F1B">
        <w:rPr>
          <w:rFonts w:ascii="Book Antiqua" w:hAnsi="Book Antiqua"/>
          <w:lang w:val="en-US"/>
        </w:rPr>
        <w:t>nastomotic area were determined by following the subject line of the non-absorbablesuture</w:t>
      </w:r>
      <w:r w:rsidRPr="00FF0F1B">
        <w:rPr>
          <w:rFonts w:ascii="Book Antiqua" w:hAnsi="Book Antiqua"/>
          <w:szCs w:val="24"/>
          <w:lang w:val="en-US"/>
        </w:rPr>
        <w:t xml:space="preserve">. Then, the area was fixed in 10% formalin for approximately 24 </w:t>
      </w:r>
      <w:r w:rsidRPr="00FF0F1B">
        <w:rPr>
          <w:rFonts w:ascii="Book Antiqua" w:hAnsi="Book Antiqua"/>
          <w:szCs w:val="24"/>
          <w:lang w:val="en-US"/>
        </w:rPr>
        <w:lastRenderedPageBreak/>
        <w:t>h and embedded in a paraffin block. Transverse sections of the embedded tissue, 4</w:t>
      </w:r>
      <w:r w:rsidRPr="00FF0F1B">
        <w:rPr>
          <w:rFonts w:ascii="Book Antiqua" w:hAnsi="Book Antiqua"/>
          <w:szCs w:val="24"/>
          <w:lang w:val="en-US" w:eastAsia="zh-CN"/>
        </w:rPr>
        <w:t xml:space="preserve"> </w:t>
      </w:r>
      <w:bookmarkStart w:id="75" w:name="OLE_LINK190"/>
      <w:bookmarkStart w:id="76" w:name="OLE_LINK191"/>
      <w:bookmarkStart w:id="77" w:name="OLE_LINK236"/>
      <w:bookmarkStart w:id="78" w:name="OLE_LINK238"/>
      <w:bookmarkStart w:id="79" w:name="OLE_LINK262"/>
      <w:r w:rsidRPr="00FF0F1B">
        <w:rPr>
          <w:rFonts w:ascii="Book Antiqua" w:hAnsi="Book Antiqua"/>
          <w:color w:val="000000"/>
        </w:rPr>
        <w:t>μ</w:t>
      </w:r>
      <w:bookmarkEnd w:id="75"/>
      <w:bookmarkEnd w:id="76"/>
      <w:bookmarkEnd w:id="77"/>
      <w:bookmarkEnd w:id="78"/>
      <w:bookmarkEnd w:id="79"/>
      <w:r w:rsidRPr="00FF0F1B">
        <w:rPr>
          <w:rFonts w:ascii="Book Antiqua" w:hAnsi="Book Antiqua"/>
          <w:szCs w:val="24"/>
          <w:lang w:val="en-US"/>
        </w:rPr>
        <w:t>m in thickness, were stained with hematoxylin and eosin, and the histological assessment was performed in a blinded manner. The intestinal neomucosa, inflammatory process, granulation and fibroblast activity at the neomucosa formation were studied and scored (from 0 to 3; 0:</w:t>
      </w:r>
      <w:r w:rsidRPr="00FF0F1B">
        <w:rPr>
          <w:rFonts w:ascii="Book Antiqua" w:hAnsi="Book Antiqua"/>
          <w:szCs w:val="24"/>
          <w:lang w:val="en-US" w:eastAsia="zh-CN"/>
        </w:rPr>
        <w:t xml:space="preserve"> </w:t>
      </w:r>
      <w:r w:rsidRPr="00FF0F1B">
        <w:rPr>
          <w:rFonts w:ascii="Book Antiqua" w:hAnsi="Book Antiqua"/>
          <w:szCs w:val="24"/>
          <w:lang w:val="en-US"/>
        </w:rPr>
        <w:t>none, 1:</w:t>
      </w:r>
      <w:r w:rsidRPr="00FF0F1B">
        <w:rPr>
          <w:rFonts w:ascii="Book Antiqua" w:hAnsi="Book Antiqua"/>
          <w:szCs w:val="24"/>
          <w:lang w:val="en-US" w:eastAsia="zh-CN"/>
        </w:rPr>
        <w:t xml:space="preserve"> </w:t>
      </w:r>
      <w:r w:rsidRPr="00FF0F1B">
        <w:rPr>
          <w:rFonts w:ascii="Book Antiqua" w:hAnsi="Book Antiqua"/>
          <w:szCs w:val="24"/>
          <w:lang w:val="en-US"/>
        </w:rPr>
        <w:t>slight, 2:</w:t>
      </w:r>
      <w:r w:rsidRPr="00FF0F1B">
        <w:rPr>
          <w:rFonts w:ascii="Book Antiqua" w:hAnsi="Book Antiqua"/>
          <w:szCs w:val="24"/>
          <w:lang w:val="en-US" w:eastAsia="zh-CN"/>
        </w:rPr>
        <w:t xml:space="preserve"> </w:t>
      </w:r>
      <w:r w:rsidRPr="00FF0F1B">
        <w:rPr>
          <w:rFonts w:ascii="Book Antiqua" w:hAnsi="Book Antiqua"/>
          <w:szCs w:val="24"/>
          <w:lang w:val="en-US"/>
        </w:rPr>
        <w:t>moderate, 3:</w:t>
      </w:r>
      <w:r w:rsidRPr="00FF0F1B">
        <w:rPr>
          <w:rFonts w:ascii="Book Antiqua" w:hAnsi="Book Antiqua"/>
          <w:szCs w:val="24"/>
          <w:lang w:val="en-US" w:eastAsia="zh-CN"/>
        </w:rPr>
        <w:t xml:space="preserve"> </w:t>
      </w:r>
      <w:r w:rsidRPr="00FF0F1B">
        <w:rPr>
          <w:rFonts w:ascii="Book Antiqua" w:hAnsi="Book Antiqua"/>
          <w:szCs w:val="24"/>
          <w:lang w:val="en-US"/>
        </w:rPr>
        <w:t>dense).</w:t>
      </w:r>
      <w:r w:rsidRPr="00FF0F1B">
        <w:rPr>
          <w:rFonts w:ascii="Book Antiqua" w:hAnsi="Book Antiqua"/>
          <w:szCs w:val="24"/>
          <w:lang w:val="en-US" w:eastAsia="zh-CN"/>
        </w:rPr>
        <w:t xml:space="preserve"> </w:t>
      </w:r>
      <w:r w:rsidRPr="00FF0F1B">
        <w:rPr>
          <w:rFonts w:ascii="Book Antiqua" w:hAnsi="Book Antiqua"/>
          <w:szCs w:val="24"/>
          <w:lang w:val="en-US"/>
        </w:rPr>
        <w:t>Masson’s trichrome staining was performed to distinguish the cells from the surrounding connective tissue. Three dyes were employed, and solution C was used to stain for collagen. Collagen deposition in the neomucosa was scored according to the density in the tissue (from 0 to 3; 0:</w:t>
      </w:r>
      <w:r w:rsidRPr="00FF0F1B">
        <w:rPr>
          <w:rFonts w:ascii="Book Antiqua" w:hAnsi="Book Antiqua"/>
          <w:szCs w:val="24"/>
          <w:lang w:val="en-US" w:eastAsia="zh-CN"/>
        </w:rPr>
        <w:t xml:space="preserve"> </w:t>
      </w:r>
      <w:r w:rsidRPr="00FF0F1B">
        <w:rPr>
          <w:rFonts w:ascii="Book Antiqua" w:hAnsi="Book Antiqua"/>
          <w:szCs w:val="24"/>
          <w:lang w:val="en-US"/>
        </w:rPr>
        <w:t>none, 1:</w:t>
      </w:r>
      <w:r w:rsidRPr="00FF0F1B">
        <w:rPr>
          <w:rFonts w:ascii="Book Antiqua" w:hAnsi="Book Antiqua"/>
          <w:szCs w:val="24"/>
          <w:lang w:val="en-US" w:eastAsia="zh-CN"/>
        </w:rPr>
        <w:t xml:space="preserve"> </w:t>
      </w:r>
      <w:r w:rsidRPr="00FF0F1B">
        <w:rPr>
          <w:rFonts w:ascii="Book Antiqua" w:hAnsi="Book Antiqua"/>
          <w:szCs w:val="24"/>
          <w:lang w:val="en-US"/>
        </w:rPr>
        <w:t>slight, 2:</w:t>
      </w:r>
      <w:r w:rsidRPr="00FF0F1B">
        <w:rPr>
          <w:rFonts w:ascii="Book Antiqua" w:hAnsi="Book Antiqua"/>
          <w:szCs w:val="24"/>
          <w:lang w:val="en-US" w:eastAsia="zh-CN"/>
        </w:rPr>
        <w:t xml:space="preserve"> </w:t>
      </w:r>
      <w:r w:rsidRPr="00FF0F1B">
        <w:rPr>
          <w:rFonts w:ascii="Book Antiqua" w:hAnsi="Book Antiqua"/>
          <w:szCs w:val="24"/>
          <w:lang w:val="en-US"/>
        </w:rPr>
        <w:t>moderate, 3:</w:t>
      </w:r>
      <w:r w:rsidRPr="00FF0F1B">
        <w:rPr>
          <w:rFonts w:ascii="Book Antiqua" w:hAnsi="Book Antiqua"/>
          <w:szCs w:val="24"/>
          <w:lang w:val="en-US" w:eastAsia="zh-CN"/>
        </w:rPr>
        <w:t xml:space="preserve"> </w:t>
      </w:r>
      <w:r w:rsidRPr="00FF0F1B">
        <w:rPr>
          <w:rFonts w:ascii="Book Antiqua" w:hAnsi="Book Antiqua"/>
          <w:szCs w:val="24"/>
          <w:lang w:val="en-US"/>
        </w:rPr>
        <w:t xml:space="preserve">dense). Small intestinal epithelial cell lineages (goblet cells and enteroendocrine cells) were identified within the regenerated intestinal mucosa.The goblet cells were stained by the periodic acid-Schiff stain, andmucin was identified with alcian blue staining, pH 2.5. The alcian blue staining at pH 2.5 was used because the acid mucins of the small intestine are primarily sialo mucins </w:t>
      </w:r>
      <w:r w:rsidRPr="00FF0F1B">
        <w:rPr>
          <w:rFonts w:ascii="Book Antiqua" w:hAnsi="Book Antiqua"/>
          <w:szCs w:val="24"/>
          <w:vertAlign w:val="superscript"/>
          <w:lang w:val="en-US" w:eastAsia="zh-CN"/>
        </w:rPr>
        <w:t>[</w:t>
      </w:r>
      <w:r w:rsidRPr="00FF0F1B">
        <w:rPr>
          <w:rFonts w:ascii="Book Antiqua" w:hAnsi="Book Antiqua"/>
          <w:szCs w:val="24"/>
          <w:vertAlign w:val="superscript"/>
          <w:lang w:val="en-US"/>
        </w:rPr>
        <w:t>26</w:t>
      </w:r>
      <w:r w:rsidRPr="00FF0F1B">
        <w:rPr>
          <w:rFonts w:ascii="Book Antiqua" w:hAnsi="Book Antiqua"/>
          <w:szCs w:val="24"/>
          <w:vertAlign w:val="superscript"/>
          <w:lang w:val="en-US" w:eastAsia="zh-CN"/>
        </w:rPr>
        <w:t>]</w:t>
      </w:r>
      <w:r w:rsidRPr="00FF0F1B">
        <w:rPr>
          <w:rFonts w:ascii="Book Antiqua" w:hAnsi="Book Antiqua"/>
          <w:szCs w:val="24"/>
          <w:lang w:val="en-US"/>
        </w:rPr>
        <w:t>. The enteroendocrine cells were identified by immune histochemicalstaining.</w:t>
      </w:r>
    </w:p>
    <w:p w:rsidR="00EB3564" w:rsidRPr="00FF0F1B" w:rsidRDefault="00EB3564" w:rsidP="00FE3A80">
      <w:pPr>
        <w:pStyle w:val="a4"/>
        <w:snapToGrid w:val="0"/>
        <w:ind w:firstLineChars="100" w:firstLine="240"/>
        <w:rPr>
          <w:rFonts w:ascii="Book Antiqua" w:hAnsi="Book Antiqua"/>
          <w:szCs w:val="24"/>
          <w:lang w:val="en-US"/>
        </w:rPr>
      </w:pPr>
      <w:r w:rsidRPr="00FF0F1B">
        <w:rPr>
          <w:rFonts w:ascii="Book Antiqua" w:hAnsi="Book Antiqua"/>
          <w:szCs w:val="24"/>
          <w:lang w:val="en-US"/>
        </w:rPr>
        <w:t>Additionally, the villus density, villus height, and crypt depth were determined and recorded. The villus density was scored (from 0 to 3).</w:t>
      </w:r>
      <w:r w:rsidRPr="00FF0F1B">
        <w:rPr>
          <w:rFonts w:ascii="Book Antiqua" w:hAnsi="Book Antiqua"/>
          <w:szCs w:val="24"/>
          <w:lang w:val="en-US" w:eastAsia="zh-CN"/>
        </w:rPr>
        <w:t xml:space="preserve"> </w:t>
      </w:r>
      <w:r w:rsidRPr="00FF0F1B">
        <w:rPr>
          <w:rFonts w:ascii="Book Antiqua" w:hAnsi="Book Antiqua"/>
          <w:szCs w:val="24"/>
          <w:lang w:val="en-US"/>
        </w:rPr>
        <w:t>The measurements of villus height and crypt depth were calculated with an ocular micrometer. New vessel growth was determined by calculating each new vessel in a 1 mm</w:t>
      </w:r>
      <w:r w:rsidRPr="00FF0F1B">
        <w:rPr>
          <w:rFonts w:ascii="Book Antiqua" w:hAnsi="Book Antiqua"/>
          <w:szCs w:val="24"/>
          <w:vertAlign w:val="superscript"/>
          <w:lang w:val="en-US"/>
        </w:rPr>
        <w:t>2</w:t>
      </w:r>
      <w:r w:rsidRPr="00FF0F1B">
        <w:rPr>
          <w:rFonts w:ascii="Book Antiqua" w:hAnsi="Book Antiqua"/>
          <w:szCs w:val="24"/>
          <w:vertAlign w:val="superscript"/>
          <w:lang w:val="en-US" w:eastAsia="zh-CN"/>
        </w:rPr>
        <w:t xml:space="preserve"> </w:t>
      </w:r>
      <w:r w:rsidRPr="00FF0F1B">
        <w:rPr>
          <w:rFonts w:ascii="Book Antiqua" w:hAnsi="Book Antiqua"/>
          <w:szCs w:val="24"/>
          <w:lang w:val="en-US"/>
        </w:rPr>
        <w:t>area.</w:t>
      </w:r>
    </w:p>
    <w:p w:rsidR="00EB3564" w:rsidRPr="00FF0F1B" w:rsidRDefault="00EB3564" w:rsidP="0043140B">
      <w:pPr>
        <w:pStyle w:val="a4"/>
        <w:snapToGrid w:val="0"/>
        <w:ind w:firstLine="0"/>
        <w:rPr>
          <w:rFonts w:ascii="Book Antiqua" w:hAnsi="Book Antiqua"/>
          <w:szCs w:val="24"/>
          <w:lang w:val="en-US" w:eastAsia="zh-CN"/>
        </w:rPr>
      </w:pPr>
    </w:p>
    <w:p w:rsidR="00EB3564" w:rsidRPr="00FF0F1B" w:rsidRDefault="00EB3564" w:rsidP="00B47C56">
      <w:pPr>
        <w:pStyle w:val="a4"/>
        <w:snapToGrid w:val="0"/>
        <w:ind w:firstLine="0"/>
        <w:rPr>
          <w:rFonts w:ascii="Book Antiqua" w:hAnsi="Book Antiqua"/>
          <w:b/>
          <w:i/>
          <w:szCs w:val="24"/>
          <w:lang w:val="en-US"/>
        </w:rPr>
      </w:pPr>
      <w:r w:rsidRPr="00FF0F1B">
        <w:rPr>
          <w:rFonts w:ascii="Book Antiqua" w:hAnsi="Book Antiqua"/>
          <w:b/>
          <w:i/>
          <w:szCs w:val="24"/>
          <w:lang w:val="en-US"/>
        </w:rPr>
        <w:t>Growth hormone assessment</w:t>
      </w:r>
    </w:p>
    <w:p w:rsidR="00EB3564" w:rsidRPr="00FF0F1B" w:rsidRDefault="00EB3564" w:rsidP="0043140B">
      <w:pPr>
        <w:pStyle w:val="a4"/>
        <w:snapToGrid w:val="0"/>
        <w:ind w:firstLine="0"/>
        <w:rPr>
          <w:rFonts w:ascii="Book Antiqua" w:hAnsi="Book Antiqua"/>
          <w:szCs w:val="24"/>
          <w:lang w:val="en-US"/>
        </w:rPr>
      </w:pPr>
      <w:r w:rsidRPr="00FF0F1B">
        <w:rPr>
          <w:rFonts w:ascii="Book Antiqua" w:hAnsi="Book Antiqua"/>
          <w:szCs w:val="24"/>
          <w:lang w:val="en-US"/>
        </w:rPr>
        <w:t>To determine the growth hormone efficacy, we assessed the venous IGF-1 and IGFBP-3 levels at the beginning of treatment and on postoperative day 21. Blood samples were taken from the tail vein of the rats.  The analyses were performed in a biochemistry laboratory, at the Cerrahpasa Medical Faculty, University of Istanbul. The levels of IGF-1 and IGFBP-3 were measured by double-antibody, immune-radiometric assays. The IGF-1 antibody was from Immunotech France, and the IGFBP-3 antibody was from, Diagnostic Systems Laboratories. The mean intra batch coefficients of variation calculated from the quality-control samples in this study were 5.6% and 2.7%, for IGF-1 and IGFBP-3, respectively.</w:t>
      </w:r>
    </w:p>
    <w:p w:rsidR="00EB3564" w:rsidRPr="00FF0F1B" w:rsidRDefault="00EB3564" w:rsidP="00B47C56">
      <w:pPr>
        <w:pStyle w:val="a4"/>
        <w:snapToGrid w:val="0"/>
        <w:ind w:firstLine="0"/>
        <w:rPr>
          <w:rFonts w:ascii="Book Antiqua" w:hAnsi="Book Antiqua"/>
          <w:szCs w:val="24"/>
          <w:lang w:val="en-US" w:eastAsia="zh-CN"/>
        </w:rPr>
      </w:pPr>
    </w:p>
    <w:p w:rsidR="00EB3564" w:rsidRPr="00FF0F1B" w:rsidRDefault="00EB3564" w:rsidP="00B47C56">
      <w:pPr>
        <w:pStyle w:val="a4"/>
        <w:snapToGrid w:val="0"/>
        <w:ind w:firstLine="0"/>
        <w:rPr>
          <w:rFonts w:ascii="Book Antiqua" w:hAnsi="Book Antiqua"/>
          <w:b/>
          <w:bCs/>
          <w:i/>
          <w:szCs w:val="24"/>
          <w:lang w:val="en-US"/>
        </w:rPr>
      </w:pPr>
      <w:r w:rsidRPr="00FF0F1B">
        <w:rPr>
          <w:rFonts w:ascii="Book Antiqua" w:hAnsi="Book Antiqua"/>
          <w:b/>
          <w:bCs/>
          <w:i/>
          <w:szCs w:val="24"/>
          <w:lang w:val="en-US"/>
        </w:rPr>
        <w:lastRenderedPageBreak/>
        <w:t xml:space="preserve"> Statistical analysis</w:t>
      </w:r>
    </w:p>
    <w:p w:rsidR="00EB3564" w:rsidRPr="00FF0F1B" w:rsidRDefault="00EB3564" w:rsidP="0043140B">
      <w:pPr>
        <w:autoSpaceDE w:val="0"/>
        <w:autoSpaceDN w:val="0"/>
        <w:adjustRightInd w:val="0"/>
        <w:snapToGrid w:val="0"/>
        <w:spacing w:line="360" w:lineRule="auto"/>
        <w:jc w:val="both"/>
        <w:rPr>
          <w:rFonts w:ascii="Book Antiqua" w:hAnsi="Book Antiqua"/>
          <w:bCs/>
          <w:color w:val="000000"/>
          <w:sz w:val="24"/>
          <w:szCs w:val="24"/>
          <w:lang w:val="en-US"/>
        </w:rPr>
      </w:pPr>
      <w:r w:rsidRPr="00FF0F1B">
        <w:rPr>
          <w:rFonts w:ascii="Book Antiqua" w:hAnsi="Book Antiqua"/>
          <w:bCs/>
          <w:color w:val="000000"/>
          <w:sz w:val="24"/>
          <w:szCs w:val="24"/>
          <w:lang w:val="en-US"/>
        </w:rPr>
        <w:t>The statistical analysis was performed using SPSS 16.0 for Windows. Spearman’s test was used for the intergroup correlations. Differences in the histological parameters between the treatment and control groups were analyzed non-parametrically with the Student-</w:t>
      </w:r>
      <w:r w:rsidRPr="00FF0F1B">
        <w:rPr>
          <w:rFonts w:ascii="Book Antiqua" w:hAnsi="Book Antiqua"/>
          <w:bCs/>
          <w:i/>
          <w:color w:val="000000"/>
          <w:sz w:val="24"/>
          <w:szCs w:val="24"/>
          <w:lang w:val="en-US"/>
        </w:rPr>
        <w:t>t</w:t>
      </w:r>
      <w:r w:rsidRPr="00FF0F1B">
        <w:rPr>
          <w:rFonts w:ascii="Book Antiqua" w:hAnsi="Book Antiqua"/>
          <w:bCs/>
          <w:color w:val="000000"/>
          <w:sz w:val="24"/>
          <w:szCs w:val="24"/>
          <w:lang w:val="en-US"/>
        </w:rPr>
        <w:t xml:space="preserve"> test. All data were expressed as the mean</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 xml:space="preserve">± SD, and </w:t>
      </w:r>
      <w:r w:rsidRPr="00FF0F1B">
        <w:rPr>
          <w:rFonts w:ascii="Book Antiqua" w:hAnsi="Book Antiqua"/>
          <w:bCs/>
          <w:i/>
          <w:color w:val="000000"/>
          <w:sz w:val="24"/>
          <w:szCs w:val="24"/>
          <w:lang w:val="en-US"/>
        </w:rPr>
        <w:t>P</w:t>
      </w:r>
      <w:r w:rsidRPr="00FF0F1B">
        <w:rPr>
          <w:rFonts w:ascii="Book Antiqua" w:hAnsi="Book Antiqua"/>
          <w:bCs/>
          <w:i/>
          <w:color w:val="000000"/>
          <w:sz w:val="24"/>
          <w:szCs w:val="24"/>
          <w:lang w:val="en-US" w:eastAsia="zh-CN"/>
        </w:rPr>
        <w:t xml:space="preserve"> </w:t>
      </w:r>
      <w:r w:rsidRPr="00FF0F1B">
        <w:rPr>
          <w:rFonts w:ascii="Book Antiqua" w:hAnsi="Book Antiqua"/>
          <w:bCs/>
          <w:color w:val="000000"/>
          <w:sz w:val="24"/>
          <w:szCs w:val="24"/>
          <w:lang w:val="en-US"/>
        </w:rPr>
        <w:t>&lt;</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0.05 was accepted as significant.</w:t>
      </w:r>
    </w:p>
    <w:p w:rsidR="00EB3564" w:rsidRPr="00FF0F1B" w:rsidRDefault="00EB3564" w:rsidP="00B47C56">
      <w:pPr>
        <w:snapToGrid w:val="0"/>
        <w:spacing w:line="360" w:lineRule="auto"/>
        <w:jc w:val="both"/>
        <w:rPr>
          <w:rFonts w:ascii="Book Antiqua" w:hAnsi="Book Antiqua"/>
          <w:b/>
          <w:sz w:val="24"/>
          <w:szCs w:val="24"/>
          <w:lang w:val="en-US" w:eastAsia="zh-CN"/>
        </w:rPr>
      </w:pPr>
    </w:p>
    <w:p w:rsidR="00EB3564" w:rsidRPr="00FF0F1B" w:rsidRDefault="00EB3564" w:rsidP="00B47C56">
      <w:pPr>
        <w:snapToGrid w:val="0"/>
        <w:spacing w:line="360" w:lineRule="auto"/>
        <w:jc w:val="both"/>
        <w:rPr>
          <w:rFonts w:ascii="Book Antiqua" w:hAnsi="Book Antiqua"/>
          <w:sz w:val="24"/>
          <w:szCs w:val="24"/>
          <w:lang w:val="en-US"/>
        </w:rPr>
      </w:pPr>
      <w:r w:rsidRPr="00FF0F1B">
        <w:rPr>
          <w:rFonts w:ascii="Book Antiqua" w:hAnsi="Book Antiqua"/>
          <w:b/>
          <w:sz w:val="24"/>
          <w:szCs w:val="24"/>
          <w:lang w:val="en-US"/>
        </w:rPr>
        <w:t>RESULTS</w:t>
      </w:r>
    </w:p>
    <w:p w:rsidR="00EB3564" w:rsidRPr="00FF0F1B" w:rsidRDefault="00EB3564" w:rsidP="00B47C56">
      <w:pPr>
        <w:snapToGrid w:val="0"/>
        <w:spacing w:line="360" w:lineRule="auto"/>
        <w:jc w:val="both"/>
        <w:rPr>
          <w:rFonts w:ascii="Book Antiqua" w:hAnsi="Book Antiqua"/>
          <w:b/>
          <w:i/>
          <w:sz w:val="24"/>
          <w:szCs w:val="24"/>
          <w:lang w:val="en-US"/>
        </w:rPr>
      </w:pPr>
      <w:r w:rsidRPr="00FF0F1B">
        <w:rPr>
          <w:rFonts w:ascii="Book Antiqua" w:hAnsi="Book Antiqua"/>
          <w:b/>
          <w:i/>
          <w:sz w:val="24"/>
          <w:szCs w:val="24"/>
          <w:lang w:val="en-US"/>
        </w:rPr>
        <w:t>Mortality analysis</w:t>
      </w:r>
    </w:p>
    <w:p w:rsidR="00EB3564" w:rsidRPr="00FF0F1B" w:rsidRDefault="00EB3564" w:rsidP="00B47C56">
      <w:pPr>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t>Seven rats died in the early phase (in the first week) of the study. Upon post-mortem examination, we discovered that two had anastomotic leakage and sepsis, two had ileus, and three had pneumothorax.</w:t>
      </w:r>
    </w:p>
    <w:p w:rsidR="00EB3564" w:rsidRPr="00FF0F1B" w:rsidRDefault="00EB3564" w:rsidP="00B47C56">
      <w:pPr>
        <w:snapToGrid w:val="0"/>
        <w:spacing w:line="360" w:lineRule="auto"/>
        <w:jc w:val="both"/>
        <w:rPr>
          <w:rFonts w:ascii="Book Antiqua" w:hAnsi="Book Antiqua"/>
          <w:b/>
          <w:i/>
          <w:sz w:val="24"/>
          <w:szCs w:val="24"/>
          <w:lang w:val="en-US"/>
        </w:rPr>
      </w:pPr>
    </w:p>
    <w:p w:rsidR="00EB3564" w:rsidRPr="00FF0F1B" w:rsidRDefault="00EB3564" w:rsidP="00B47C56">
      <w:pPr>
        <w:snapToGrid w:val="0"/>
        <w:spacing w:line="360" w:lineRule="auto"/>
        <w:jc w:val="both"/>
        <w:rPr>
          <w:rFonts w:ascii="Book Antiqua" w:hAnsi="Book Antiqua"/>
          <w:b/>
          <w:i/>
          <w:sz w:val="24"/>
          <w:szCs w:val="24"/>
          <w:lang w:val="en-US" w:eastAsia="zh-CN"/>
        </w:rPr>
      </w:pPr>
      <w:r w:rsidRPr="00FF0F1B">
        <w:rPr>
          <w:rFonts w:ascii="Book Antiqua" w:hAnsi="Book Antiqua"/>
          <w:b/>
          <w:i/>
          <w:sz w:val="24"/>
          <w:szCs w:val="24"/>
          <w:lang w:val="en-US"/>
        </w:rPr>
        <w:t>Histological evaluation</w:t>
      </w:r>
    </w:p>
    <w:p w:rsidR="00EB3564" w:rsidRPr="00FF0F1B" w:rsidRDefault="00EB3564" w:rsidP="00B47C56">
      <w:pPr>
        <w:autoSpaceDE w:val="0"/>
        <w:autoSpaceDN w:val="0"/>
        <w:adjustRightInd w:val="0"/>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t>In the histological comparison of the groups, no significant differences were observed between the control group and Groups 2 and 3 with respect to epithelialization, granulation, fibroblastic activity and the inflammatory process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&gt;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but significant differences were observed between the control group and all other groups (Groups 2</w:t>
      </w:r>
      <w:r w:rsidRPr="00FF0F1B">
        <w:rPr>
          <w:rFonts w:ascii="Book Antiqua" w:hAnsi="Book Antiqua"/>
          <w:sz w:val="24"/>
          <w:szCs w:val="24"/>
          <w:lang w:val="en-US" w:eastAsia="zh-CN"/>
        </w:rPr>
        <w:t>-</w:t>
      </w:r>
      <w:r w:rsidRPr="00FF0F1B">
        <w:rPr>
          <w:rFonts w:ascii="Book Antiqua" w:hAnsi="Book Antiqua"/>
          <w:sz w:val="24"/>
          <w:szCs w:val="24"/>
          <w:lang w:val="en-US"/>
        </w:rPr>
        <w:t>4) with respect to angiogenesis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0.01) and </w:t>
      </w:r>
      <w:r w:rsidRPr="00FF0F1B">
        <w:rPr>
          <w:rFonts w:ascii="Book Antiqua" w:hAnsi="Book Antiqua"/>
          <w:bCs/>
          <w:color w:val="000000"/>
          <w:sz w:val="24"/>
          <w:szCs w:val="24"/>
          <w:lang w:val="en-US"/>
        </w:rPr>
        <w:t>collagen deposition (</w:t>
      </w:r>
      <w:r w:rsidRPr="00FF0F1B">
        <w:rPr>
          <w:rFonts w:ascii="Book Antiqua" w:hAnsi="Book Antiqua"/>
          <w:bCs/>
          <w:i/>
          <w:color w:val="000000"/>
          <w:sz w:val="24"/>
          <w:szCs w:val="24"/>
          <w:lang w:val="en-US"/>
        </w:rPr>
        <w:t>P</w:t>
      </w:r>
      <w:r w:rsidRPr="00FF0F1B">
        <w:rPr>
          <w:rFonts w:ascii="Book Antiqua" w:hAnsi="Book Antiqua"/>
          <w:bCs/>
          <w:i/>
          <w:color w:val="000000"/>
          <w:sz w:val="24"/>
          <w:szCs w:val="24"/>
          <w:lang w:val="en-US" w:eastAsia="zh-CN"/>
        </w:rPr>
        <w:t xml:space="preserve"> </w:t>
      </w:r>
      <w:r w:rsidRPr="00FF0F1B">
        <w:rPr>
          <w:rFonts w:ascii="Book Antiqua" w:hAnsi="Book Antiqua"/>
          <w:bCs/>
          <w:color w:val="000000"/>
          <w:sz w:val="24"/>
          <w:szCs w:val="24"/>
          <w:lang w:val="en-US"/>
        </w:rPr>
        <w:t>&lt;</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 xml:space="preserve">0.05, </w:t>
      </w:r>
      <w:r w:rsidRPr="00FF0F1B">
        <w:rPr>
          <w:rFonts w:ascii="Book Antiqua" w:hAnsi="Book Antiqua"/>
          <w:bCs/>
          <w:i/>
          <w:color w:val="000000"/>
          <w:sz w:val="24"/>
          <w:szCs w:val="24"/>
          <w:lang w:val="en-US"/>
        </w:rPr>
        <w:t>P</w:t>
      </w:r>
      <w:r w:rsidRPr="00FF0F1B">
        <w:rPr>
          <w:rFonts w:ascii="Book Antiqua" w:hAnsi="Book Antiqua"/>
          <w:bCs/>
          <w:i/>
          <w:color w:val="000000"/>
          <w:sz w:val="24"/>
          <w:szCs w:val="24"/>
          <w:lang w:val="en-US" w:eastAsia="zh-CN"/>
        </w:rPr>
        <w:t xml:space="preserve"> </w:t>
      </w:r>
      <w:r w:rsidRPr="00FF0F1B">
        <w:rPr>
          <w:rFonts w:ascii="Book Antiqua" w:hAnsi="Book Antiqua"/>
          <w:bCs/>
          <w:color w:val="000000"/>
          <w:sz w:val="24"/>
          <w:szCs w:val="24"/>
          <w:lang w:val="en-US"/>
        </w:rPr>
        <w:t>&lt;</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0.01)</w:t>
      </w:r>
      <w:r w:rsidRPr="00FF0F1B">
        <w:rPr>
          <w:rFonts w:ascii="Book Antiqua" w:hAnsi="Book Antiqua"/>
          <w:sz w:val="24"/>
          <w:szCs w:val="24"/>
          <w:lang w:val="en-US"/>
        </w:rPr>
        <w:t xml:space="preserve"> (Figure 2). We also found significant differences between the control group and Group 4 with respect to epithelializationand fibroblastic activity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0.01 and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respectively).</w:t>
      </w:r>
      <w:r w:rsidRPr="00FF0F1B">
        <w:rPr>
          <w:rFonts w:ascii="Book Antiqua" w:hAnsi="Book Antiqua"/>
          <w:sz w:val="24"/>
          <w:szCs w:val="24"/>
          <w:lang w:val="en-US" w:eastAsia="zh-CN"/>
        </w:rPr>
        <w:t xml:space="preserve"> </w:t>
      </w:r>
      <w:r w:rsidRPr="00FF0F1B">
        <w:rPr>
          <w:rFonts w:ascii="Book Antiqua" w:hAnsi="Book Antiqua"/>
          <w:sz w:val="24"/>
          <w:szCs w:val="24"/>
          <w:lang w:val="en-US"/>
        </w:rPr>
        <w:t>Two histological parameters were significantly different in Groups 2 and 3, and four histological parameters were significantly different in Group 4. These parameters in Group 4 were epithelialization, fibroblastic activity, angiogenesis and collagen deposition. The histological features and results are given in Table</w:t>
      </w:r>
      <w:r w:rsidRPr="00FF0F1B">
        <w:rPr>
          <w:rFonts w:ascii="Book Antiqua" w:hAnsi="Book Antiqua"/>
          <w:sz w:val="24"/>
          <w:szCs w:val="24"/>
          <w:lang w:val="en-US" w:eastAsia="zh-CN"/>
        </w:rPr>
        <w:t xml:space="preserve"> </w:t>
      </w:r>
      <w:r w:rsidRPr="00FF0F1B">
        <w:rPr>
          <w:rFonts w:ascii="Book Antiqua" w:hAnsi="Book Antiqua"/>
          <w:sz w:val="24"/>
          <w:szCs w:val="24"/>
          <w:lang w:val="en-US"/>
        </w:rPr>
        <w:t>1.</w:t>
      </w:r>
    </w:p>
    <w:p w:rsidR="00EB3564" w:rsidRPr="00FF0F1B" w:rsidRDefault="00EB3564" w:rsidP="00B47C56">
      <w:pPr>
        <w:autoSpaceDE w:val="0"/>
        <w:autoSpaceDN w:val="0"/>
        <w:adjustRightInd w:val="0"/>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jc w:val="both"/>
        <w:rPr>
          <w:rFonts w:ascii="Book Antiqua" w:hAnsi="Book Antiqua"/>
          <w:b/>
          <w:i/>
          <w:sz w:val="24"/>
          <w:szCs w:val="24"/>
          <w:lang w:val="en-US" w:eastAsia="zh-CN"/>
        </w:rPr>
      </w:pPr>
      <w:r w:rsidRPr="00FF0F1B">
        <w:rPr>
          <w:rFonts w:ascii="Book Antiqua" w:hAnsi="Book Antiqua"/>
          <w:b/>
          <w:i/>
          <w:sz w:val="24"/>
          <w:szCs w:val="24"/>
          <w:lang w:val="en-US"/>
        </w:rPr>
        <w:t>Morphologic evaluation</w:t>
      </w:r>
    </w:p>
    <w:p w:rsidR="00EB3564" w:rsidRPr="00FF0F1B" w:rsidRDefault="00EB3564" w:rsidP="00B47C56">
      <w:pPr>
        <w:snapToGrid w:val="0"/>
        <w:spacing w:line="360" w:lineRule="auto"/>
        <w:jc w:val="both"/>
        <w:rPr>
          <w:rFonts w:ascii="Book Antiqua" w:hAnsi="Book Antiqua"/>
          <w:b/>
          <w:i/>
          <w:sz w:val="24"/>
          <w:szCs w:val="24"/>
          <w:lang w:val="en-US"/>
        </w:rPr>
      </w:pPr>
      <w:r w:rsidRPr="00FF0F1B">
        <w:rPr>
          <w:rFonts w:ascii="Book Antiqua" w:hAnsi="Book Antiqua"/>
          <w:sz w:val="24"/>
          <w:szCs w:val="24"/>
          <w:lang w:val="en-US"/>
        </w:rPr>
        <w:t>For the morphological evaluation, we measured the villus density (mm</w:t>
      </w:r>
      <w:r w:rsidRPr="00FF0F1B">
        <w:rPr>
          <w:rFonts w:ascii="Book Antiqua" w:hAnsi="Book Antiqua"/>
          <w:sz w:val="24"/>
          <w:szCs w:val="24"/>
          <w:vertAlign w:val="superscript"/>
          <w:lang w:val="en-US"/>
        </w:rPr>
        <w:t>2</w:t>
      </w:r>
      <w:r w:rsidRPr="00FF0F1B">
        <w:rPr>
          <w:rFonts w:ascii="Book Antiqua" w:hAnsi="Book Antiqua"/>
          <w:sz w:val="24"/>
          <w:szCs w:val="24"/>
          <w:lang w:val="en-US"/>
        </w:rPr>
        <w:t xml:space="preserve">), villus height and crypt depth in the neomucosa. By 60 d, the luminal surface of the neomucosa tissue was nearly covered by mucosal epithelium. The neomucosa had a </w:t>
      </w:r>
      <w:r w:rsidRPr="00FF0F1B">
        <w:rPr>
          <w:rFonts w:ascii="Book Antiqua" w:hAnsi="Book Antiqua"/>
          <w:sz w:val="24"/>
          <w:szCs w:val="24"/>
          <w:lang w:val="en-US"/>
        </w:rPr>
        <w:lastRenderedPageBreak/>
        <w:t xml:space="preserve">typical small intestinal phenotype (Figure 1C and D). </w:t>
      </w:r>
      <w:bookmarkStart w:id="80" w:name="OLE_LINK410"/>
      <w:bookmarkStart w:id="81" w:name="OLE_LINK411"/>
      <w:r w:rsidRPr="00FF0F1B">
        <w:rPr>
          <w:rFonts w:ascii="Book Antiqua" w:hAnsi="Book Antiqua"/>
          <w:sz w:val="24"/>
          <w:szCs w:val="24"/>
          <w:lang w:val="en-US"/>
        </w:rPr>
        <w:t xml:space="preserve">There were significant differences in the villus density in all of the groups compared with the control group </w:t>
      </w:r>
      <w:bookmarkEnd w:id="80"/>
      <w:bookmarkEnd w:id="81"/>
      <w:r w:rsidRPr="00FF0F1B">
        <w:rPr>
          <w:rFonts w:ascii="Book Antiqua" w:hAnsi="Book Antiqua"/>
          <w:sz w:val="24"/>
          <w:szCs w:val="24"/>
          <w:lang w:val="en-US"/>
        </w:rPr>
        <w:t>(</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The crypt depth was significantly greater in group 4 than in the control group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but no other groups had deeper crypts. However, the villus height was significantly longer in Groups 2 and 4 than in the control group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(Figure 3). The comparison of the morphological characteristics and activation of the neomucosa between the groups revealed significant differences between the control group and Groups 2</w:t>
      </w:r>
      <w:r w:rsidRPr="00FF0F1B">
        <w:rPr>
          <w:rFonts w:ascii="Book Antiqua" w:hAnsi="Book Antiqua"/>
          <w:sz w:val="24"/>
          <w:szCs w:val="24"/>
          <w:lang w:val="en-US" w:eastAsia="zh-CN"/>
        </w:rPr>
        <w:t>-</w:t>
      </w:r>
      <w:r w:rsidRPr="00FF0F1B">
        <w:rPr>
          <w:rFonts w:ascii="Book Antiqua" w:hAnsi="Book Antiqua"/>
          <w:sz w:val="24"/>
          <w:szCs w:val="24"/>
          <w:lang w:val="en-US"/>
        </w:rPr>
        <w:t xml:space="preserve">4, with respect to the number of goblet cells and mucin secretion, respectively (both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0.01) (Figure 2C</w:t>
      </w:r>
      <w:r w:rsidRPr="00FF0F1B">
        <w:rPr>
          <w:rFonts w:ascii="Book Antiqua" w:hAnsi="Book Antiqua"/>
          <w:sz w:val="24"/>
          <w:szCs w:val="24"/>
          <w:lang w:val="en-US" w:eastAsia="zh-CN"/>
        </w:rPr>
        <w:t xml:space="preserve"> and </w:t>
      </w:r>
      <w:r w:rsidRPr="00FF0F1B">
        <w:rPr>
          <w:rFonts w:ascii="Book Antiqua" w:hAnsi="Book Antiqua"/>
          <w:sz w:val="24"/>
          <w:szCs w:val="24"/>
          <w:lang w:val="en-US"/>
        </w:rPr>
        <w:t>D).</w:t>
      </w:r>
      <w:r w:rsidRPr="00FF0F1B">
        <w:rPr>
          <w:rFonts w:ascii="Book Antiqua" w:hAnsi="Book Antiqua"/>
          <w:sz w:val="24"/>
          <w:szCs w:val="24"/>
          <w:lang w:val="en-US" w:eastAsia="zh-CN"/>
        </w:rPr>
        <w:t xml:space="preserve"> </w:t>
      </w:r>
      <w:r w:rsidRPr="00FF0F1B">
        <w:rPr>
          <w:rFonts w:ascii="Book Antiqua" w:hAnsi="Book Antiqua"/>
          <w:sz w:val="24"/>
          <w:szCs w:val="24"/>
          <w:lang w:val="en-US"/>
        </w:rPr>
        <w:t>When we analyzed all of the groups, we obtained the highest significant differences in Group 4.</w:t>
      </w:r>
      <w:r w:rsidRPr="00FF0F1B">
        <w:rPr>
          <w:rFonts w:ascii="Book Antiqua" w:hAnsi="Book Antiqua"/>
          <w:sz w:val="24"/>
          <w:szCs w:val="24"/>
          <w:lang w:val="en-US" w:eastAsia="zh-CN"/>
        </w:rPr>
        <w:t xml:space="preserve"> </w:t>
      </w:r>
      <w:r w:rsidRPr="00FF0F1B">
        <w:rPr>
          <w:rFonts w:ascii="Book Antiqua" w:hAnsi="Book Antiqua"/>
          <w:sz w:val="24"/>
          <w:szCs w:val="24"/>
          <w:lang w:val="en-US"/>
        </w:rPr>
        <w:t>The morphological and functional features in all groups are given in Table</w:t>
      </w:r>
      <w:r w:rsidRPr="00FF0F1B">
        <w:rPr>
          <w:rFonts w:ascii="Book Antiqua" w:hAnsi="Book Antiqua"/>
          <w:sz w:val="24"/>
          <w:szCs w:val="24"/>
          <w:lang w:val="en-US" w:eastAsia="zh-CN"/>
        </w:rPr>
        <w:t xml:space="preserve"> 1</w:t>
      </w:r>
      <w:r w:rsidRPr="00FF0F1B">
        <w:rPr>
          <w:rFonts w:ascii="Book Antiqua" w:hAnsi="Book Antiqua"/>
          <w:sz w:val="24"/>
          <w:szCs w:val="24"/>
          <w:lang w:val="en-US"/>
        </w:rPr>
        <w:t>. We could not make</w:t>
      </w:r>
      <w:r w:rsidRPr="00FF0F1B">
        <w:rPr>
          <w:rFonts w:ascii="Book Antiqua" w:hAnsi="Book Antiqua"/>
          <w:sz w:val="24"/>
          <w:szCs w:val="24"/>
          <w:lang w:val="en-US" w:eastAsia="zh-CN"/>
        </w:rPr>
        <w:t xml:space="preserve"> </w:t>
      </w:r>
      <w:r w:rsidRPr="00FF0F1B">
        <w:rPr>
          <w:rFonts w:ascii="Book Antiqua" w:hAnsi="Book Antiqua"/>
          <w:sz w:val="24"/>
          <w:szCs w:val="24"/>
          <w:lang w:val="en-US"/>
        </w:rPr>
        <w:t>any comparisons between in groups, because the immunohistochemical staining was too weak.</w:t>
      </w:r>
    </w:p>
    <w:p w:rsidR="00EB3564" w:rsidRPr="00FF0F1B" w:rsidRDefault="00EB3564" w:rsidP="00B47C56">
      <w:pPr>
        <w:snapToGrid w:val="0"/>
        <w:spacing w:line="360" w:lineRule="auto"/>
        <w:jc w:val="both"/>
        <w:rPr>
          <w:rFonts w:ascii="Book Antiqua" w:hAnsi="Book Antiqua"/>
          <w:sz w:val="24"/>
          <w:szCs w:val="24"/>
          <w:lang w:val="en-US"/>
        </w:rPr>
      </w:pPr>
    </w:p>
    <w:p w:rsidR="00EB3564" w:rsidRPr="00FF0F1B" w:rsidRDefault="00EB3564" w:rsidP="00B47C56">
      <w:pPr>
        <w:snapToGrid w:val="0"/>
        <w:spacing w:line="360" w:lineRule="auto"/>
        <w:jc w:val="both"/>
        <w:rPr>
          <w:rFonts w:ascii="Book Antiqua" w:hAnsi="Book Antiqua"/>
          <w:b/>
          <w:i/>
          <w:sz w:val="24"/>
          <w:szCs w:val="24"/>
          <w:lang w:val="en-US"/>
        </w:rPr>
      </w:pPr>
      <w:r w:rsidRPr="00FF0F1B">
        <w:rPr>
          <w:rFonts w:ascii="Book Antiqua" w:hAnsi="Book Antiqua"/>
          <w:b/>
          <w:i/>
          <w:sz w:val="24"/>
          <w:szCs w:val="24"/>
          <w:lang w:val="en-US"/>
        </w:rPr>
        <w:t>Growth hormone determination</w:t>
      </w:r>
    </w:p>
    <w:p w:rsidR="00EB3564" w:rsidRPr="00FF0F1B" w:rsidRDefault="00EB3564" w:rsidP="0043140B">
      <w:pPr>
        <w:autoSpaceDE w:val="0"/>
        <w:autoSpaceDN w:val="0"/>
        <w:adjustRightInd w:val="0"/>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t>To determine the effect of the growth hormone, we measured the IGF-1 and IGFBP-3 blood levels in the rats.</w:t>
      </w:r>
      <w:r w:rsidRPr="00FF0F1B">
        <w:rPr>
          <w:rFonts w:ascii="Book Antiqua" w:hAnsi="Book Antiqua"/>
          <w:sz w:val="24"/>
          <w:szCs w:val="24"/>
          <w:lang w:val="en-US" w:eastAsia="zh-CN"/>
        </w:rPr>
        <w:t xml:space="preserve"> </w:t>
      </w:r>
      <w:r w:rsidRPr="00FF0F1B">
        <w:rPr>
          <w:rFonts w:ascii="Book Antiqua" w:hAnsi="Book Antiqua"/>
          <w:sz w:val="24"/>
          <w:szCs w:val="24"/>
          <w:lang w:val="en-US"/>
        </w:rPr>
        <w:t>The comparisons revealed no significant differences between the control group and Groups 2 and 4 in the blood levels of IGF-1 and IGFBP-3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&gt;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w:t>
      </w:r>
      <w:r w:rsidRPr="00FF0F1B">
        <w:rPr>
          <w:rFonts w:ascii="Book Antiqua" w:hAnsi="Book Antiqua"/>
          <w:sz w:val="24"/>
          <w:szCs w:val="24"/>
          <w:lang w:val="en-US" w:eastAsia="zh-CN"/>
        </w:rPr>
        <w:t xml:space="preserve"> </w:t>
      </w:r>
      <w:r w:rsidRPr="00FF0F1B">
        <w:rPr>
          <w:rFonts w:ascii="Book Antiqua" w:hAnsi="Book Antiqua"/>
          <w:sz w:val="24"/>
          <w:szCs w:val="24"/>
          <w:lang w:val="en-US"/>
        </w:rPr>
        <w:t>per-operatively but significant differences between the control group and the other groups (Group</w:t>
      </w:r>
      <w:r w:rsidRPr="00FF0F1B">
        <w:rPr>
          <w:rFonts w:ascii="Book Antiqua" w:hAnsi="Book Antiqua"/>
          <w:sz w:val="24"/>
          <w:szCs w:val="24"/>
          <w:lang w:val="en-US" w:eastAsia="zh-CN"/>
        </w:rPr>
        <w:t>s</w:t>
      </w:r>
      <w:r w:rsidRPr="00FF0F1B">
        <w:rPr>
          <w:rFonts w:ascii="Book Antiqua" w:hAnsi="Book Antiqua"/>
          <w:sz w:val="24"/>
          <w:szCs w:val="24"/>
          <w:lang w:val="en-US"/>
        </w:rPr>
        <w:t xml:space="preserve"> 2 and 4) in the levels of IGF-1 and IGFBP-3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0.01) three weeks after the operation (Table</w:t>
      </w:r>
      <w:r w:rsidRPr="00FF0F1B">
        <w:rPr>
          <w:rFonts w:ascii="Book Antiqua" w:hAnsi="Book Antiqua"/>
          <w:sz w:val="24"/>
          <w:szCs w:val="24"/>
          <w:lang w:val="en-US" w:eastAsia="zh-CN"/>
        </w:rPr>
        <w:t xml:space="preserve"> 2</w:t>
      </w:r>
      <w:r w:rsidRPr="00FF0F1B">
        <w:rPr>
          <w:rFonts w:ascii="Book Antiqua" w:hAnsi="Book Antiqua"/>
          <w:sz w:val="24"/>
          <w:szCs w:val="24"/>
          <w:lang w:val="en-US"/>
        </w:rPr>
        <w:t>).</w:t>
      </w:r>
      <w:r w:rsidRPr="00FF0F1B">
        <w:rPr>
          <w:rFonts w:ascii="Book Antiqua" w:hAnsi="Book Antiqua"/>
          <w:sz w:val="24"/>
          <w:szCs w:val="24"/>
          <w:lang w:val="en-US" w:eastAsia="zh-CN"/>
        </w:rPr>
        <w:t xml:space="preserve"> </w:t>
      </w:r>
      <w:r w:rsidRPr="00FF0F1B">
        <w:rPr>
          <w:rFonts w:ascii="Book Antiqua" w:hAnsi="Book Antiqua"/>
          <w:sz w:val="24"/>
          <w:szCs w:val="24"/>
          <w:lang w:val="en-US"/>
        </w:rPr>
        <w:t>We also compared the per- and post-operative results within each group. There were significant differences in Groups 2 and 4 (</w:t>
      </w:r>
      <w:r w:rsidRPr="00FF0F1B">
        <w:rPr>
          <w:rFonts w:ascii="Book Antiqua" w:hAnsi="Book Antiqua"/>
          <w:i/>
          <w:sz w:val="24"/>
          <w:szCs w:val="24"/>
          <w:lang w:val="en-US"/>
        </w:rPr>
        <w:t>P</w:t>
      </w:r>
      <w:r w:rsidRPr="00FF0F1B">
        <w:rPr>
          <w:rFonts w:ascii="Book Antiqua" w:hAnsi="Book Antiqua"/>
          <w:i/>
          <w:sz w:val="24"/>
          <w:szCs w:val="24"/>
          <w:lang w:val="en-US" w:eastAsia="zh-CN"/>
        </w:rPr>
        <w:t xml:space="preserve"> </w:t>
      </w:r>
      <w:r w:rsidRPr="00FF0F1B">
        <w:rPr>
          <w:rFonts w:ascii="Book Antiqua" w:hAnsi="Book Antiqua"/>
          <w:sz w:val="24"/>
          <w:szCs w:val="24"/>
          <w:lang w:val="en-US"/>
        </w:rPr>
        <w:t>&lt;</w:t>
      </w:r>
      <w:r w:rsidRPr="00FF0F1B">
        <w:rPr>
          <w:rFonts w:ascii="Book Antiqua" w:hAnsi="Book Antiqua"/>
          <w:sz w:val="24"/>
          <w:szCs w:val="24"/>
          <w:lang w:val="en-US" w:eastAsia="zh-CN"/>
        </w:rPr>
        <w:t xml:space="preserve"> </w:t>
      </w:r>
      <w:r w:rsidRPr="00FF0F1B">
        <w:rPr>
          <w:rFonts w:ascii="Book Antiqua" w:hAnsi="Book Antiqua"/>
          <w:sz w:val="24"/>
          <w:szCs w:val="24"/>
          <w:lang w:val="en-US"/>
        </w:rPr>
        <w:t>0.05, Table</w:t>
      </w:r>
      <w:r w:rsidRPr="00FF0F1B">
        <w:rPr>
          <w:rFonts w:ascii="Book Antiqua" w:hAnsi="Book Antiqua"/>
          <w:sz w:val="24"/>
          <w:szCs w:val="24"/>
          <w:lang w:val="en-US" w:eastAsia="zh-CN"/>
        </w:rPr>
        <w:t xml:space="preserve"> 2</w:t>
      </w:r>
      <w:r w:rsidRPr="00FF0F1B">
        <w:rPr>
          <w:rFonts w:ascii="Book Antiqua" w:hAnsi="Book Antiqua"/>
          <w:sz w:val="24"/>
          <w:szCs w:val="24"/>
          <w:lang w:val="en-US"/>
        </w:rPr>
        <w:t>).</w:t>
      </w:r>
    </w:p>
    <w:p w:rsidR="00EB3564" w:rsidRPr="00FF0F1B" w:rsidRDefault="00EB3564" w:rsidP="00B47C56">
      <w:pPr>
        <w:autoSpaceDE w:val="0"/>
        <w:autoSpaceDN w:val="0"/>
        <w:adjustRightInd w:val="0"/>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jc w:val="both"/>
        <w:rPr>
          <w:rFonts w:ascii="Book Antiqua" w:hAnsi="Book Antiqua"/>
          <w:b/>
          <w:sz w:val="24"/>
          <w:szCs w:val="24"/>
          <w:lang w:val="en-US"/>
        </w:rPr>
      </w:pPr>
      <w:r w:rsidRPr="00FF0F1B">
        <w:rPr>
          <w:rFonts w:ascii="Book Antiqua" w:hAnsi="Book Antiqua"/>
          <w:b/>
          <w:sz w:val="24"/>
          <w:szCs w:val="24"/>
          <w:lang w:val="en-US"/>
        </w:rPr>
        <w:t>DISCUSSION</w:t>
      </w:r>
    </w:p>
    <w:p w:rsidR="00EB3564" w:rsidRPr="00FF0F1B" w:rsidRDefault="00EB3564" w:rsidP="0043140B">
      <w:pPr>
        <w:autoSpaceDE w:val="0"/>
        <w:autoSpaceDN w:val="0"/>
        <w:adjustRightInd w:val="0"/>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t xml:space="preserve">The use of serosal patching to grow new intestinal mucosa is a technique for enlarging the intestinal surface. In the literature, different animal models have been utilized to study the growth of intestinal neomucosa in full thickness defects patched with a variety of surfaces, including colonic serosa, abdominal wall, pedicle flaps, and prosthetic material. The serosal patch technique is one of the most popular methods. However, in many cases, only short segments of small intestine can be </w:t>
      </w:r>
      <w:r w:rsidRPr="00FF0F1B">
        <w:rPr>
          <w:rFonts w:ascii="Book Antiqua" w:hAnsi="Book Antiqua"/>
          <w:sz w:val="24"/>
          <w:szCs w:val="24"/>
          <w:lang w:val="en-US"/>
        </w:rPr>
        <w:lastRenderedPageBreak/>
        <w:t xml:space="preserve">patched because of the limited serosal surface and anatomical factors </w:t>
      </w:r>
      <w:r w:rsidRPr="00FF0F1B">
        <w:rPr>
          <w:rFonts w:ascii="Book Antiqua" w:hAnsi="Book Antiqua"/>
          <w:sz w:val="24"/>
          <w:szCs w:val="24"/>
          <w:vertAlign w:val="superscript"/>
          <w:lang w:val="en-US"/>
        </w:rPr>
        <w:t>[10, 27]</w:t>
      </w:r>
      <w:r w:rsidRPr="00FF0F1B">
        <w:rPr>
          <w:rFonts w:ascii="Book Antiqua" w:hAnsi="Book Antiqua"/>
          <w:sz w:val="24"/>
          <w:szCs w:val="24"/>
          <w:lang w:val="en-US"/>
        </w:rPr>
        <w:t xml:space="preserve">. The peritoneal surface has also been utilized to develop epithelial cells. In a rat model, </w:t>
      </w:r>
      <w:r w:rsidRPr="00FF0F1B">
        <w:rPr>
          <w:rFonts w:ascii="Book Antiqua" w:hAnsi="Book Antiqua"/>
          <w:sz w:val="24"/>
          <w:szCs w:val="24"/>
          <w:lang w:val="en-US" w:eastAsia="zh-CN"/>
        </w:rPr>
        <w:t>researchers</w:t>
      </w:r>
      <w:r w:rsidRPr="00FF0F1B">
        <w:rPr>
          <w:rFonts w:ascii="Book Antiqua" w:hAnsi="Book Antiqua"/>
          <w:sz w:val="24"/>
          <w:szCs w:val="24"/>
          <w:lang w:val="en-US"/>
        </w:rPr>
        <w:t xml:space="preserve"> folded the colon to form a seromuscular tunnel and sutured the two ends to the transacted ileum. After 6-12 wk, a pouch in which a single layer of cylindrical epithelium had developed showed evidence of disaccharidase activity </w:t>
      </w:r>
      <w:r w:rsidRPr="00FF0F1B">
        <w:rPr>
          <w:rFonts w:ascii="Book Antiqua" w:hAnsi="Book Antiqua"/>
          <w:sz w:val="24"/>
          <w:szCs w:val="24"/>
          <w:vertAlign w:val="superscript"/>
          <w:lang w:val="en-US"/>
        </w:rPr>
        <w:t>[10]</w:t>
      </w:r>
      <w:r w:rsidRPr="00FF0F1B">
        <w:rPr>
          <w:rFonts w:ascii="Book Antiqua" w:hAnsi="Book Antiqua"/>
          <w:sz w:val="24"/>
          <w:szCs w:val="24"/>
          <w:lang w:val="en-US"/>
        </w:rPr>
        <w:t xml:space="preserve">. Erez </w:t>
      </w:r>
      <w:r w:rsidRPr="00FF0F1B">
        <w:rPr>
          <w:rFonts w:ascii="Book Antiqua" w:hAnsi="Book Antiqua"/>
          <w:i/>
          <w:sz w:val="24"/>
          <w:szCs w:val="24"/>
          <w:lang w:val="en-US" w:eastAsia="zh-CN"/>
        </w:rPr>
        <w:t xml:space="preserve">et al </w:t>
      </w:r>
      <w:r w:rsidRPr="00FF0F1B">
        <w:rPr>
          <w:rFonts w:ascii="Book Antiqua" w:hAnsi="Book Antiqua"/>
          <w:sz w:val="24"/>
          <w:szCs w:val="24"/>
          <w:vertAlign w:val="superscript"/>
          <w:lang w:val="en-US" w:eastAsia="zh-CN"/>
        </w:rPr>
        <w:t>[28]</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showed that using pigs and rats, one could successfully enlarge the small bowel surface by growing new mucosa on the parietal peritoneum following entero-peritoneal anastomosis. Some important advantages of this technique include the absorption of fluids and electrolytes through the peritoneum, and slowing of the bowel transit time. Bragg </w:t>
      </w:r>
      <w:r w:rsidRPr="00ED61A1">
        <w:rPr>
          <w:rFonts w:ascii="宋体" w:hAnsi="宋体"/>
          <w:i/>
          <w:sz w:val="24"/>
          <w:szCs w:val="24"/>
          <w:lang w:val="en-US" w:eastAsia="zh-CN"/>
        </w:rPr>
        <w:t>et al</w:t>
      </w:r>
      <w:r w:rsidRPr="00FF0F1B">
        <w:rPr>
          <w:rFonts w:ascii="Book Antiqua" w:hAnsi="Book Antiqua"/>
          <w:sz w:val="24"/>
          <w:szCs w:val="24"/>
          <w:lang w:val="en-US"/>
        </w:rPr>
        <w:t xml:space="preserve"> </w:t>
      </w:r>
      <w:r w:rsidRPr="00FF0F1B">
        <w:rPr>
          <w:rFonts w:ascii="Book Antiqua" w:hAnsi="Book Antiqua"/>
          <w:sz w:val="24"/>
          <w:szCs w:val="24"/>
          <w:vertAlign w:val="superscript"/>
          <w:lang w:val="en-US"/>
        </w:rPr>
        <w:t>[29]</w:t>
      </w:r>
      <w:r w:rsidRPr="00FF0F1B">
        <w:rPr>
          <w:rFonts w:ascii="Book Antiqua" w:hAnsi="Book Antiqua"/>
          <w:sz w:val="24"/>
          <w:szCs w:val="24"/>
          <w:lang w:val="en-US"/>
        </w:rPr>
        <w:t xml:space="preserve"> used colonic serosa for patching, and by eight weeks, the defects were completely covered by neomucosa. In this study, we used the gastric serosal surface as a patch. An extensive literature search did not reveal a previous report of the use of the gastric serosal surface for this technique. We selected thegastric serosalsurface because the gastric </w:t>
      </w:r>
      <w:bookmarkStart w:id="82" w:name="OLE_LINK406"/>
      <w:bookmarkStart w:id="83" w:name="OLE_LINK407"/>
      <w:r w:rsidRPr="00FF0F1B">
        <w:rPr>
          <w:rFonts w:ascii="Book Antiqua" w:hAnsi="Book Antiqua"/>
          <w:sz w:val="24"/>
          <w:szCs w:val="24"/>
          <w:lang w:val="en-US"/>
        </w:rPr>
        <w:t>serosa constitutes</w:t>
      </w:r>
      <w:bookmarkEnd w:id="82"/>
      <w:bookmarkEnd w:id="83"/>
      <w:r w:rsidRPr="00FF0F1B">
        <w:rPr>
          <w:rFonts w:ascii="Book Antiqua" w:hAnsi="Book Antiqua"/>
          <w:sz w:val="24"/>
          <w:szCs w:val="24"/>
          <w:lang w:val="en-US"/>
        </w:rPr>
        <w:t xml:space="preserve"> a large area and because it is anatomically close to the small intestine. Furthermore, the stomach tissue is thick and has a wide network of collateral blood vessels. The fitness for surgery is also influenced by the interaction of the main vein with the easily protected neomucosa structure, the ability of the serosal flap of the small bowel to easily move to the surface, and the quick self-renewal and large surface area of the gastric surface, enabling the surgical operation to be repeated multiple times. In our study, we demonstrated that neomucosal formation occurred two months after the operation. To prevent short bowel syndrome, it is important that the surface area of the bowel increases rapidly after the surgery to allow the absorption of nutrients to occur. To increase the rate of neomucosal formation, we used GH and HBOT together. To our knowledge, this study is the first to report the use of both these techniques together to encourage </w:t>
      </w:r>
      <w:bookmarkStart w:id="84" w:name="OLE_LINK408"/>
      <w:bookmarkStart w:id="85" w:name="OLE_LINK409"/>
      <w:r w:rsidRPr="00FF0F1B">
        <w:rPr>
          <w:rFonts w:ascii="Book Antiqua" w:hAnsi="Book Antiqua"/>
          <w:sz w:val="24"/>
          <w:szCs w:val="24"/>
          <w:lang w:val="en-US"/>
        </w:rPr>
        <w:t>neomucosal formation</w:t>
      </w:r>
      <w:bookmarkEnd w:id="84"/>
      <w:bookmarkEnd w:id="85"/>
      <w:r w:rsidRPr="00FF0F1B">
        <w:rPr>
          <w:rFonts w:ascii="Book Antiqua" w:hAnsi="Book Antiqua"/>
          <w:sz w:val="24"/>
          <w:szCs w:val="24"/>
          <w:lang w:val="en-US"/>
        </w:rPr>
        <w:t>.</w:t>
      </w:r>
    </w:p>
    <w:p w:rsidR="00EB3564" w:rsidRPr="00FF0F1B" w:rsidRDefault="00EB3564" w:rsidP="00FE3A80">
      <w:pPr>
        <w:snapToGrid w:val="0"/>
        <w:spacing w:line="360" w:lineRule="auto"/>
        <w:ind w:firstLineChars="100" w:firstLine="240"/>
        <w:jc w:val="both"/>
        <w:rPr>
          <w:rFonts w:ascii="Book Antiqua" w:hAnsi="Book Antiqua"/>
          <w:sz w:val="24"/>
          <w:szCs w:val="24"/>
          <w:lang w:val="en-US"/>
        </w:rPr>
      </w:pPr>
      <w:r w:rsidRPr="00FF0F1B">
        <w:rPr>
          <w:rFonts w:ascii="Book Antiqua" w:hAnsi="Book Antiqua"/>
          <w:sz w:val="24"/>
          <w:szCs w:val="24"/>
          <w:lang w:val="en-US"/>
        </w:rPr>
        <w:t xml:space="preserve">There are a number of peptide growth factors, such as IGF-1, or general growth factors, such as GH, that are used as promoting factors for intestinal hyperplasia and adaptation </w:t>
      </w:r>
      <w:r w:rsidRPr="00FF0F1B">
        <w:rPr>
          <w:rFonts w:ascii="Book Antiqua" w:hAnsi="Book Antiqua"/>
          <w:sz w:val="24"/>
          <w:szCs w:val="24"/>
          <w:vertAlign w:val="superscript"/>
          <w:lang w:val="en-US"/>
        </w:rPr>
        <w:t xml:space="preserve">[1,2,6,14,30,31] </w:t>
      </w:r>
      <w:r w:rsidRPr="00FF0F1B">
        <w:rPr>
          <w:rFonts w:ascii="Book Antiqua" w:hAnsi="Book Antiqua"/>
          <w:sz w:val="24"/>
          <w:szCs w:val="24"/>
          <w:lang w:val="en-US"/>
        </w:rPr>
        <w:t>.</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GH is expressed throughout the intestinal epithelium and in the lamina propria, muscularis mucosa, submucosa, and muscularispropria, indicating the potential for direct GH action within the intestine. GH has been shown </w:t>
      </w:r>
      <w:r w:rsidRPr="00FF0F1B">
        <w:rPr>
          <w:rFonts w:ascii="Book Antiqua" w:hAnsi="Book Antiqua"/>
          <w:sz w:val="24"/>
          <w:szCs w:val="24"/>
          <w:lang w:val="en-US"/>
        </w:rPr>
        <w:lastRenderedPageBreak/>
        <w:t xml:space="preserve">to directly promote wound healing and growth of the intestine by increasing cell proliferation and collagen deposition </w:t>
      </w:r>
      <w:r w:rsidRPr="00FF0F1B">
        <w:rPr>
          <w:rFonts w:ascii="Book Antiqua" w:hAnsi="Book Antiqua"/>
          <w:sz w:val="24"/>
          <w:szCs w:val="24"/>
          <w:vertAlign w:val="superscript"/>
          <w:lang w:val="en-US"/>
        </w:rPr>
        <w:t>[14]</w:t>
      </w:r>
      <w:r w:rsidRPr="00FF0F1B">
        <w:rPr>
          <w:rFonts w:ascii="Book Antiqua" w:hAnsi="Book Antiqua"/>
          <w:sz w:val="24"/>
          <w:szCs w:val="24"/>
          <w:lang w:val="en-US"/>
        </w:rPr>
        <w:t xml:space="preserve">. In neomucosa formation, Thompson investigated the effect of epidermal growth factor (EGF), and octreotide-induced enterocyte apoptosis. Compared with the controls, the EGF group had decreased apoptosis in the crypt and villus </w:t>
      </w:r>
      <w:r w:rsidRPr="00FF0F1B">
        <w:rPr>
          <w:rFonts w:ascii="Book Antiqua" w:hAnsi="Book Antiqua"/>
          <w:sz w:val="24"/>
          <w:szCs w:val="24"/>
          <w:vertAlign w:val="superscript"/>
          <w:lang w:val="en-US"/>
        </w:rPr>
        <w:t>[32]</w:t>
      </w:r>
      <w:r w:rsidRPr="00FF0F1B">
        <w:rPr>
          <w:rFonts w:ascii="Book Antiqua" w:hAnsi="Book Antiqua"/>
          <w:sz w:val="24"/>
          <w:szCs w:val="24"/>
          <w:lang w:val="en-US"/>
        </w:rPr>
        <w:t xml:space="preserve">. Circulating GH binds to the GH receptor in the target cells and stimulates the production of IGF-1 in the liver and other target tissues, including the intestine </w:t>
      </w:r>
      <w:r w:rsidRPr="00FF0F1B">
        <w:rPr>
          <w:rFonts w:ascii="Book Antiqua" w:hAnsi="Book Antiqua"/>
          <w:sz w:val="24"/>
          <w:szCs w:val="24"/>
          <w:vertAlign w:val="superscript"/>
          <w:lang w:val="en-US"/>
        </w:rPr>
        <w:t>[14]</w:t>
      </w:r>
      <w:r w:rsidRPr="00FF0F1B">
        <w:rPr>
          <w:rFonts w:ascii="Book Antiqua" w:hAnsi="Book Antiqua"/>
          <w:sz w:val="24"/>
          <w:szCs w:val="24"/>
          <w:lang w:val="en-US"/>
        </w:rPr>
        <w:t xml:space="preserve">.  Clinical trials of GH treatment have reported significantly increased levels of IGF-1 and IGF-binding protein-3 </w:t>
      </w:r>
      <w:r w:rsidRPr="00FF0F1B">
        <w:rPr>
          <w:rFonts w:ascii="Book Antiqua" w:hAnsi="Book Antiqua"/>
          <w:sz w:val="24"/>
          <w:szCs w:val="24"/>
          <w:vertAlign w:val="superscript"/>
          <w:lang w:val="en-US"/>
        </w:rPr>
        <w:t>[14, 33-35]</w:t>
      </w:r>
      <w:r w:rsidRPr="00FF0F1B">
        <w:rPr>
          <w:rFonts w:ascii="Book Antiqua" w:hAnsi="Book Antiqua"/>
          <w:sz w:val="24"/>
          <w:szCs w:val="24"/>
          <w:lang w:val="en-US"/>
        </w:rPr>
        <w:t xml:space="preserve">. </w:t>
      </w:r>
      <w:r w:rsidRPr="00FF0F1B">
        <w:rPr>
          <w:rFonts w:ascii="Book Antiqua" w:hAnsi="Book Antiqua"/>
          <w:color w:val="000000"/>
          <w:sz w:val="24"/>
          <w:szCs w:val="24"/>
          <w:lang w:val="en-US" w:eastAsia="tr-TR"/>
        </w:rPr>
        <w:t>In the GH treatment group, to control the efficacy of the GH, we assessed the level of the IGF-1 and IGF-binding protein at the end of three weeks. Groups 2 and 4 had significantly higher levels of these hormones at the end of week three compared with the control group (</w:t>
      </w:r>
      <w:r w:rsidRPr="00FF0F1B">
        <w:rPr>
          <w:rFonts w:ascii="Book Antiqua" w:hAnsi="Book Antiqua"/>
          <w:i/>
          <w:color w:val="000000"/>
          <w:sz w:val="24"/>
          <w:szCs w:val="24"/>
          <w:lang w:val="en-US" w:eastAsia="tr-TR"/>
        </w:rPr>
        <w:t>P</w:t>
      </w:r>
      <w:r w:rsidRPr="00FF0F1B">
        <w:rPr>
          <w:rFonts w:ascii="Book Antiqua" w:hAnsi="Book Antiqua"/>
          <w:color w:val="000000"/>
          <w:sz w:val="24"/>
          <w:szCs w:val="24"/>
          <w:lang w:val="en-US" w:eastAsia="tr-TR"/>
        </w:rPr>
        <w:t xml:space="preserve"> &lt;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eastAsia="tr-TR"/>
        </w:rPr>
        <w:t>0.01).</w:t>
      </w:r>
    </w:p>
    <w:p w:rsidR="00EB3564" w:rsidRPr="00FF0F1B" w:rsidRDefault="00EB3564" w:rsidP="00FE3A80">
      <w:pPr>
        <w:snapToGrid w:val="0"/>
        <w:spacing w:line="360" w:lineRule="auto"/>
        <w:ind w:firstLineChars="100" w:firstLine="240"/>
        <w:jc w:val="both"/>
        <w:rPr>
          <w:rFonts w:ascii="Book Antiqua" w:hAnsi="Book Antiqua"/>
          <w:color w:val="000000"/>
          <w:sz w:val="24"/>
          <w:szCs w:val="24"/>
          <w:lang w:val="en-US" w:eastAsia="tr-TR"/>
        </w:rPr>
      </w:pPr>
      <w:r w:rsidRPr="00FF0F1B">
        <w:rPr>
          <w:rFonts w:ascii="Book Antiqua" w:hAnsi="Book Antiqua"/>
          <w:sz w:val="24"/>
          <w:szCs w:val="24"/>
          <w:lang w:val="en-US"/>
        </w:rPr>
        <w:t xml:space="preserve">Oxygen is an essential material for cell metabolism, and reparative processes, such as cell proliferation and collagen synthesis </w:t>
      </w:r>
      <w:r w:rsidRPr="00FF0F1B">
        <w:rPr>
          <w:rFonts w:ascii="Book Antiqua" w:hAnsi="Book Antiqua"/>
          <w:sz w:val="24"/>
          <w:szCs w:val="24"/>
          <w:vertAlign w:val="superscript"/>
          <w:lang w:val="en-US"/>
        </w:rPr>
        <w:t>[21,36,37]</w:t>
      </w:r>
      <w:r w:rsidRPr="00FF0F1B">
        <w:rPr>
          <w:rFonts w:ascii="Book Antiqua" w:hAnsi="Book Antiqua"/>
          <w:sz w:val="24"/>
          <w:szCs w:val="24"/>
          <w:lang w:val="en-US"/>
        </w:rPr>
        <w:t xml:space="preserve">, have an especially increased demand for oxygen. Evidence from animal and cell line studies has shown that HBOT, the administration of pure oxygen at pressures greater than 1 ATA, results in increased growth factor production, such as platelet-related growth factor, transforming growth factor-β1 and vascular endothelial growth factor, and improved wound healing </w:t>
      </w:r>
      <w:r w:rsidRPr="00FF0F1B">
        <w:rPr>
          <w:rFonts w:ascii="Book Antiqua" w:hAnsi="Book Antiqua"/>
          <w:sz w:val="24"/>
          <w:szCs w:val="24"/>
          <w:vertAlign w:val="superscript"/>
          <w:lang w:val="en-US"/>
        </w:rPr>
        <w:t>[38,39]</w:t>
      </w:r>
      <w:r w:rsidRPr="00FF0F1B">
        <w:rPr>
          <w:rFonts w:ascii="Book Antiqua" w:hAnsi="Book Antiqua"/>
          <w:sz w:val="24"/>
          <w:szCs w:val="24"/>
          <w:lang w:val="en-US"/>
        </w:rPr>
        <w:t xml:space="preserve">. Hyperoxygenation can also increase collagen production, enabling these rapidly migrating fibroblasts to lay down larger, stronger beds of collagen for the advancing capillary beds, leading to increased granulation tissue formation and enhanced overall healing </w:t>
      </w:r>
      <w:r w:rsidRPr="00FF0F1B">
        <w:rPr>
          <w:rFonts w:ascii="Book Antiqua" w:hAnsi="Book Antiqua"/>
          <w:sz w:val="24"/>
          <w:szCs w:val="24"/>
          <w:vertAlign w:val="superscript"/>
          <w:lang w:val="en-US"/>
        </w:rPr>
        <w:t>[40]</w:t>
      </w:r>
      <w:r w:rsidRPr="00FF0F1B">
        <w:rPr>
          <w:rFonts w:ascii="Book Antiqua" w:hAnsi="Book Antiqua"/>
          <w:sz w:val="24"/>
          <w:szCs w:val="24"/>
          <w:lang w:val="en-US"/>
        </w:rPr>
        <w:t xml:space="preserve">. </w:t>
      </w:r>
      <w:r w:rsidRPr="00FF0F1B">
        <w:rPr>
          <w:rFonts w:ascii="Book Antiqua" w:hAnsi="Book Antiqua"/>
          <w:color w:val="000000"/>
          <w:sz w:val="24"/>
          <w:szCs w:val="24"/>
          <w:lang w:val="en-US" w:eastAsia="tr-TR"/>
        </w:rPr>
        <w:t>A search of the literature did not reveal any data on HBOT regarding neomucosa formation</w:t>
      </w:r>
      <w:r w:rsidRPr="00FF0F1B">
        <w:rPr>
          <w:rFonts w:ascii="Book Antiqua" w:hAnsi="Book Antiqua"/>
          <w:sz w:val="24"/>
          <w:szCs w:val="24"/>
          <w:lang w:val="en-US"/>
        </w:rPr>
        <w:t xml:space="preserve">. In plastic surgery, hyperbaric oxygen has also been used for the management of wounds requiring skin grafting and for the treatment of ischemic flaps </w:t>
      </w:r>
      <w:r w:rsidRPr="00FF0F1B">
        <w:rPr>
          <w:rFonts w:ascii="Book Antiqua" w:hAnsi="Book Antiqua"/>
          <w:sz w:val="24"/>
          <w:szCs w:val="24"/>
          <w:vertAlign w:val="superscript"/>
          <w:lang w:val="en-US"/>
        </w:rPr>
        <w:t>[39]</w:t>
      </w:r>
      <w:r w:rsidRPr="00FF0F1B">
        <w:rPr>
          <w:rFonts w:ascii="Book Antiqua" w:hAnsi="Book Antiqua"/>
          <w:sz w:val="24"/>
          <w:szCs w:val="24"/>
          <w:lang w:val="en-US"/>
        </w:rPr>
        <w:t xml:space="preserve">. Additionally, HBOT has been reported to improve, the healing of foot ulcers and glucose metabolism in patients with diabetes mellitus </w:t>
      </w:r>
      <w:r w:rsidRPr="00FF0F1B">
        <w:rPr>
          <w:rFonts w:ascii="Book Antiqua" w:hAnsi="Book Antiqua"/>
          <w:sz w:val="24"/>
          <w:szCs w:val="24"/>
          <w:vertAlign w:val="superscript"/>
          <w:lang w:val="en-US"/>
        </w:rPr>
        <w:t>[36]</w:t>
      </w:r>
      <w:r w:rsidRPr="00FF0F1B">
        <w:rPr>
          <w:rFonts w:ascii="Book Antiqua" w:hAnsi="Book Antiqua"/>
          <w:sz w:val="24"/>
          <w:szCs w:val="24"/>
          <w:lang w:val="en-US"/>
        </w:rPr>
        <w:t xml:space="preserve">. Angiogenesis is a process in which new blood vessels originate by budding or spouting from pre-existing vessels. HBOT increases angiogenesis, which is an important step in wound healing </w:t>
      </w:r>
      <w:r w:rsidRPr="00FF0F1B">
        <w:rPr>
          <w:rFonts w:ascii="Book Antiqua" w:hAnsi="Book Antiqua"/>
          <w:sz w:val="24"/>
          <w:szCs w:val="24"/>
          <w:vertAlign w:val="superscript"/>
          <w:lang w:val="en-US"/>
        </w:rPr>
        <w:t>[21]</w:t>
      </w:r>
      <w:r w:rsidRPr="00FF0F1B">
        <w:rPr>
          <w:rFonts w:ascii="Book Antiqua" w:hAnsi="Book Antiqua"/>
          <w:sz w:val="24"/>
          <w:szCs w:val="24"/>
          <w:lang w:val="en-US"/>
        </w:rPr>
        <w:t xml:space="preserve">. Huddy </w:t>
      </w:r>
      <w:r w:rsidRPr="00FF0F1B">
        <w:rPr>
          <w:rFonts w:ascii="Book Antiqua" w:hAnsi="Book Antiqua"/>
          <w:i/>
          <w:sz w:val="24"/>
          <w:szCs w:val="24"/>
          <w:lang w:val="en-US"/>
        </w:rPr>
        <w:t>et al</w:t>
      </w:r>
      <w:r w:rsidRPr="00FF0F1B">
        <w:rPr>
          <w:rFonts w:ascii="Book Antiqua" w:hAnsi="Book Antiqua"/>
          <w:i/>
          <w:sz w:val="24"/>
          <w:szCs w:val="24"/>
          <w:vertAlign w:val="superscript"/>
          <w:lang w:val="en-US"/>
        </w:rPr>
        <w:t xml:space="preserve"> </w:t>
      </w:r>
      <w:r w:rsidRPr="00FF0F1B">
        <w:rPr>
          <w:rFonts w:ascii="Book Antiqua" w:hAnsi="Book Antiqua"/>
          <w:sz w:val="24"/>
          <w:szCs w:val="24"/>
          <w:vertAlign w:val="superscript"/>
          <w:lang w:val="en-US" w:eastAsia="zh-CN"/>
        </w:rPr>
        <w:t>[</w:t>
      </w:r>
      <w:r w:rsidRPr="00FF0F1B">
        <w:rPr>
          <w:rFonts w:ascii="Book Antiqua" w:hAnsi="Book Antiqua"/>
          <w:sz w:val="24"/>
          <w:szCs w:val="24"/>
          <w:vertAlign w:val="superscript"/>
          <w:lang w:val="en-US"/>
        </w:rPr>
        <w:t>41</w:t>
      </w:r>
      <w:r w:rsidRPr="00FF0F1B">
        <w:rPr>
          <w:rFonts w:ascii="Book Antiqua" w:hAnsi="Book Antiqua"/>
          <w:sz w:val="24"/>
          <w:szCs w:val="24"/>
          <w:vertAlign w:val="superscript"/>
          <w:lang w:val="en-US" w:eastAsia="zh-CN"/>
        </w:rPr>
        <w:t>]</w:t>
      </w:r>
      <w:r w:rsidRPr="00FF0F1B">
        <w:rPr>
          <w:rFonts w:ascii="Book Antiqua" w:hAnsi="Book Antiqua"/>
          <w:sz w:val="24"/>
          <w:szCs w:val="24"/>
          <w:lang w:val="en-US"/>
        </w:rPr>
        <w:t xml:space="preserve"> published the results of giving HBOT to a patient who had suffered from short bowel syndrome with stomal complications. After the therapy, the patient rapidly made natural adaptations. </w:t>
      </w:r>
      <w:r w:rsidRPr="00FF0F1B">
        <w:rPr>
          <w:rFonts w:ascii="Book Antiqua" w:hAnsi="Book Antiqua"/>
          <w:sz w:val="24"/>
          <w:szCs w:val="24"/>
          <w:lang w:val="en-US"/>
        </w:rPr>
        <w:lastRenderedPageBreak/>
        <w:t>Neovascularization has been suggested as the mechanism by which HBOT acts.</w:t>
      </w:r>
      <w:r w:rsidRPr="00FF0F1B">
        <w:rPr>
          <w:rFonts w:ascii="Book Antiqua" w:hAnsi="Book Antiqua"/>
          <w:sz w:val="24"/>
          <w:szCs w:val="24"/>
          <w:lang w:val="en-US" w:eastAsia="zh-CN"/>
        </w:rPr>
        <w:t xml:space="preserve"> </w:t>
      </w:r>
      <w:r w:rsidRPr="00FF0F1B">
        <w:rPr>
          <w:rFonts w:ascii="Book Antiqua" w:hAnsi="Book Antiqua"/>
          <w:color w:val="000000"/>
          <w:sz w:val="24"/>
          <w:szCs w:val="24"/>
          <w:lang w:val="en-US" w:eastAsia="tr-TR"/>
        </w:rPr>
        <w:t>In our study, angiogenesis was significantly different in Group 3, which was given HBOT, compared with the control group (</w:t>
      </w:r>
      <w:r w:rsidRPr="00FF0F1B">
        <w:rPr>
          <w:rFonts w:ascii="Book Antiqua" w:hAnsi="Book Antiqua"/>
          <w:i/>
          <w:color w:val="000000"/>
          <w:sz w:val="24"/>
          <w:szCs w:val="24"/>
          <w:lang w:val="en-US" w:eastAsia="tr-TR"/>
        </w:rPr>
        <w:t>P</w:t>
      </w:r>
      <w:r w:rsidRPr="00FF0F1B">
        <w:rPr>
          <w:rFonts w:ascii="Book Antiqua" w:hAnsi="Book Antiqua"/>
          <w:color w:val="000000"/>
          <w:sz w:val="24"/>
          <w:szCs w:val="24"/>
          <w:lang w:val="en-US" w:eastAsia="tr-TR"/>
        </w:rPr>
        <w:t xml:space="preserve"> &lt;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eastAsia="tr-TR"/>
        </w:rPr>
        <w:t>0.01). Moreover, collagen (Masson trichrome) was significantly different in group 3 compared with the control group (</w:t>
      </w:r>
      <w:r w:rsidRPr="00FF0F1B">
        <w:rPr>
          <w:rFonts w:ascii="Book Antiqua" w:hAnsi="Book Antiqua"/>
          <w:i/>
          <w:color w:val="000000"/>
          <w:sz w:val="24"/>
          <w:szCs w:val="24"/>
          <w:lang w:val="en-US" w:eastAsia="tr-TR"/>
        </w:rPr>
        <w:t>P</w:t>
      </w:r>
      <w:r w:rsidRPr="00FF0F1B">
        <w:rPr>
          <w:rFonts w:ascii="Book Antiqua" w:hAnsi="Book Antiqua"/>
          <w:color w:val="000000"/>
          <w:sz w:val="24"/>
          <w:szCs w:val="24"/>
          <w:lang w:val="en-US" w:eastAsia="tr-TR"/>
        </w:rPr>
        <w:t xml:space="preserve"> &lt;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eastAsia="tr-TR"/>
        </w:rPr>
        <w:t xml:space="preserve">0.05). This situation is consistent with other data reported in the literature in which HBOT increased the formation of collagen and angiogenesis. </w:t>
      </w:r>
      <w:r w:rsidRPr="00FF0F1B">
        <w:rPr>
          <w:rFonts w:ascii="Book Antiqua" w:hAnsi="Book Antiqua"/>
          <w:sz w:val="24"/>
          <w:szCs w:val="24"/>
          <w:lang w:val="en-US"/>
        </w:rPr>
        <w:t xml:space="preserve">The exact mechanism by which HBOT enhances neomucosal formation is not known. There is no direct evidence regarding the mechanism by which HBOT improved neomucosa formation in our study. </w:t>
      </w:r>
      <w:r w:rsidRPr="00FF0F1B">
        <w:rPr>
          <w:rFonts w:ascii="Book Antiqua" w:hAnsi="Book Antiqua"/>
          <w:color w:val="000000"/>
          <w:sz w:val="24"/>
          <w:szCs w:val="24"/>
          <w:lang w:val="en-US" w:eastAsia="tr-TR"/>
        </w:rPr>
        <w:t xml:space="preserve">We thought our use of HBOT directly increased angiogenesis and collagen formation. Furthermore, HBOT may have increased the levels of some growth factors. To further examine the role of HBOT in wound healing, a more in-depth analysis of growth factors is warranted. </w:t>
      </w:r>
      <w:r w:rsidRPr="00FF0F1B">
        <w:rPr>
          <w:rFonts w:ascii="Book Antiqua" w:hAnsi="Book Antiqua"/>
          <w:sz w:val="24"/>
          <w:szCs w:val="24"/>
          <w:lang w:val="en-US"/>
        </w:rPr>
        <w:t>In our study, we found some adverse side effects of HBOT. Three animals died of pneumo-thorax with the use of HBOT at the beginning. We believe that during the HBOT therapy, the tension pneumo-thorax complication can occur rarely in experimental animals; this condition was a cause of animal deaths in our study. The pneumo-thorax, could be caused directly by the high pressure of the HBOT. Murphy</w:t>
      </w:r>
      <w:r w:rsidRPr="00FF0F1B">
        <w:rPr>
          <w:rFonts w:ascii="Book Antiqua" w:hAnsi="Book Antiqua"/>
          <w:i/>
          <w:sz w:val="24"/>
          <w:szCs w:val="24"/>
          <w:lang w:val="en-US"/>
        </w:rPr>
        <w:t xml:space="preserve"> et al</w:t>
      </w:r>
      <w:r w:rsidRPr="00FF0F1B">
        <w:rPr>
          <w:rFonts w:ascii="Book Antiqua" w:hAnsi="Book Antiqua"/>
          <w:sz w:val="24"/>
          <w:szCs w:val="24"/>
          <w:lang w:val="en-US"/>
        </w:rPr>
        <w:t xml:space="preserve"> </w:t>
      </w:r>
      <w:r w:rsidRPr="00FF0F1B">
        <w:rPr>
          <w:rFonts w:ascii="Book Antiqua" w:hAnsi="Book Antiqua"/>
          <w:sz w:val="24"/>
          <w:szCs w:val="24"/>
          <w:vertAlign w:val="superscript"/>
          <w:lang w:val="en-US"/>
        </w:rPr>
        <w:t>[42]</w:t>
      </w:r>
      <w:r w:rsidRPr="00FF0F1B">
        <w:rPr>
          <w:rFonts w:ascii="Book Antiqua" w:hAnsi="Book Antiqua"/>
          <w:sz w:val="24"/>
          <w:szCs w:val="24"/>
          <w:vertAlign w:val="superscript"/>
          <w:lang w:val="en-US" w:eastAsia="zh-CN"/>
        </w:rPr>
        <w:t xml:space="preserve"> </w:t>
      </w:r>
      <w:r w:rsidRPr="00FF0F1B">
        <w:rPr>
          <w:rFonts w:ascii="Book Antiqua" w:hAnsi="Book Antiqua"/>
          <w:sz w:val="24"/>
          <w:szCs w:val="24"/>
          <w:lang w:val="en-US"/>
        </w:rPr>
        <w:t xml:space="preserve">showed that tension pneumo-thorax occurred in 3 patients who underwent HBOT. </w:t>
      </w:r>
      <w:r w:rsidRPr="00FF0F1B">
        <w:rPr>
          <w:rFonts w:ascii="Book Antiqua" w:hAnsi="Book Antiqua"/>
          <w:color w:val="000000"/>
          <w:sz w:val="24"/>
          <w:szCs w:val="24"/>
          <w:lang w:val="en-US" w:eastAsia="tr-TR"/>
        </w:rPr>
        <w:t>The GH and HBOT combined treatment had positive effects in all group 4.</w:t>
      </w:r>
    </w:p>
    <w:p w:rsidR="00EB3564" w:rsidRPr="00FF0F1B" w:rsidRDefault="00EB3564" w:rsidP="00FE3A80">
      <w:pPr>
        <w:snapToGrid w:val="0"/>
        <w:spacing w:line="360" w:lineRule="auto"/>
        <w:ind w:firstLineChars="100" w:firstLine="240"/>
        <w:jc w:val="both"/>
        <w:rPr>
          <w:rFonts w:ascii="Book Antiqua" w:hAnsi="Book Antiqua"/>
          <w:sz w:val="24"/>
          <w:szCs w:val="24"/>
          <w:lang w:val="en-US" w:eastAsia="tr-TR"/>
        </w:rPr>
      </w:pPr>
      <w:r w:rsidRPr="00FF0F1B">
        <w:rPr>
          <w:rFonts w:ascii="Book Antiqua" w:hAnsi="Book Antiqua"/>
          <w:sz w:val="24"/>
          <w:szCs w:val="24"/>
          <w:lang w:val="en-US" w:eastAsia="tr-TR"/>
        </w:rPr>
        <w:t>Studies on the management of short bowel syndrome have continued worldwide. Early attempts at increasing the surface area by serosal patching with regeneration from the margins of the wound were limited by the marked contraction of the defects created, and thus only a modest gain in the surface area was achieved. The use of stem cells isolated from the intestine should lead to further progression of intestinal regeneration</w:t>
      </w:r>
      <w:r w:rsidRPr="00FF0F1B">
        <w:rPr>
          <w:rFonts w:ascii="Book Antiqua" w:hAnsi="Book Antiqua"/>
          <w:sz w:val="24"/>
          <w:szCs w:val="24"/>
          <w:vertAlign w:val="superscript"/>
          <w:lang w:val="en-US" w:eastAsia="tr-TR"/>
        </w:rPr>
        <w:t>[43]</w:t>
      </w:r>
      <w:r w:rsidRPr="00FF0F1B">
        <w:rPr>
          <w:rFonts w:ascii="Book Antiqua" w:hAnsi="Book Antiqua"/>
          <w:sz w:val="24"/>
          <w:szCs w:val="24"/>
          <w:lang w:val="en-US" w:eastAsia="tr-TR"/>
        </w:rPr>
        <w:t>. The current techniques for experimental intestinal tissue engineering employ artificial biodegradable scaffolds in a 3-dimensional structure in which organoid units are seeded</w:t>
      </w:r>
      <w:r w:rsidRPr="00FF0F1B">
        <w:rPr>
          <w:rFonts w:ascii="Book Antiqua" w:hAnsi="Book Antiqua"/>
          <w:sz w:val="24"/>
          <w:szCs w:val="24"/>
          <w:vertAlign w:val="superscript"/>
          <w:lang w:val="en-US" w:eastAsia="tr-TR"/>
        </w:rPr>
        <w:t>[43,44]</w:t>
      </w:r>
      <w:r w:rsidRPr="00FF0F1B">
        <w:rPr>
          <w:rFonts w:ascii="Book Antiqua" w:hAnsi="Book Antiqua"/>
          <w:sz w:val="24"/>
          <w:szCs w:val="24"/>
          <w:lang w:val="en-US" w:eastAsia="tr-TR"/>
        </w:rPr>
        <w:t>. Although these results have been reported as experimental studies, they have not been tested in clinical studies yet. Our study is a pilot study and also an experimental study model. We suggest that using this method in appropriate cases is easy. These adaptations will be increased with the combined use of growth hormone and HBOT.</w:t>
      </w:r>
    </w:p>
    <w:p w:rsidR="00EB3564" w:rsidRPr="00FF0F1B" w:rsidRDefault="00EB3564" w:rsidP="00FE3A80">
      <w:pPr>
        <w:snapToGrid w:val="0"/>
        <w:spacing w:line="360" w:lineRule="auto"/>
        <w:ind w:firstLineChars="100" w:firstLine="240"/>
        <w:jc w:val="both"/>
        <w:rPr>
          <w:rFonts w:ascii="Book Antiqua" w:hAnsi="Book Antiqua"/>
          <w:sz w:val="24"/>
          <w:szCs w:val="24"/>
          <w:lang w:val="en-US" w:eastAsia="zh-CN"/>
        </w:rPr>
      </w:pPr>
      <w:r w:rsidRPr="00FF0F1B">
        <w:rPr>
          <w:rFonts w:ascii="Book Antiqua" w:hAnsi="Book Antiqua"/>
          <w:sz w:val="24"/>
          <w:szCs w:val="24"/>
          <w:lang w:val="en-US"/>
        </w:rPr>
        <w:lastRenderedPageBreak/>
        <w:t>In conclusion, this study demonstrated that intestinal neomucosa can be successfully produced on a gastric serosal surface. In addition, HBOT, GH and their combined therapy augmented neomucosal formation. The combination therapy appears to be more effective. The simultaneous use of both therapies produced a synergistic effect on the histological, morphologic and functional parameters.</w:t>
      </w:r>
    </w:p>
    <w:p w:rsidR="00EB3564" w:rsidRDefault="00EB3564" w:rsidP="00FE3A80">
      <w:pPr>
        <w:snapToGrid w:val="0"/>
        <w:spacing w:line="360" w:lineRule="auto"/>
        <w:ind w:firstLineChars="100" w:firstLine="240"/>
        <w:jc w:val="both"/>
        <w:rPr>
          <w:rFonts w:ascii="Book Antiqua" w:hAnsi="Book Antiqua"/>
          <w:sz w:val="24"/>
          <w:szCs w:val="24"/>
          <w:lang w:val="en-US" w:eastAsia="zh-CN"/>
        </w:rPr>
      </w:pPr>
    </w:p>
    <w:p w:rsidR="00EB3564" w:rsidRPr="001E00B9" w:rsidRDefault="00EB3564" w:rsidP="001E00B9">
      <w:pPr>
        <w:snapToGrid w:val="0"/>
        <w:spacing w:line="360" w:lineRule="auto"/>
        <w:jc w:val="both"/>
        <w:rPr>
          <w:rFonts w:ascii="Book Antiqua" w:hAnsi="Book Antiqua"/>
          <w:b/>
          <w:sz w:val="24"/>
          <w:szCs w:val="24"/>
          <w:lang w:val="en-US" w:eastAsia="zh-CN"/>
        </w:rPr>
      </w:pPr>
      <w:r w:rsidRPr="001E00B9">
        <w:rPr>
          <w:rFonts w:ascii="Book Antiqua" w:hAnsi="Book Antiqua"/>
          <w:b/>
          <w:sz w:val="24"/>
          <w:szCs w:val="24"/>
          <w:lang w:val="en-US" w:eastAsia="zh-CN"/>
        </w:rPr>
        <w:t>COMMENTS</w:t>
      </w:r>
    </w:p>
    <w:p w:rsidR="00EB3564" w:rsidRPr="001E00B9" w:rsidRDefault="00EB3564" w:rsidP="00FF0F1B">
      <w:pPr>
        <w:spacing w:line="273" w:lineRule="auto"/>
        <w:rPr>
          <w:rFonts w:ascii="Book Antiqua" w:hAnsi="Book Antiqua" w:cs="宋体"/>
          <w:b/>
          <w:bCs/>
          <w:i/>
          <w:sz w:val="24"/>
          <w:szCs w:val="24"/>
          <w:lang w:val="en-US" w:eastAsia="zh-CN"/>
        </w:rPr>
      </w:pPr>
      <w:r w:rsidRPr="001E00B9">
        <w:rPr>
          <w:rFonts w:ascii="Book Antiqua" w:hAnsi="Book Antiqua" w:cs="宋体"/>
          <w:b/>
          <w:bCs/>
          <w:i/>
          <w:sz w:val="24"/>
          <w:szCs w:val="24"/>
          <w:lang w:val="en-US" w:eastAsia="zh-CN"/>
        </w:rPr>
        <w:t>Background</w:t>
      </w:r>
    </w:p>
    <w:p w:rsidR="00EB3564" w:rsidRDefault="00EB3564" w:rsidP="001E00B9">
      <w:pPr>
        <w:spacing w:line="360" w:lineRule="auto"/>
        <w:jc w:val="both"/>
        <w:rPr>
          <w:rFonts w:ascii="Book Antiqua" w:hAnsi="Book Antiqua" w:cs="宋体"/>
          <w:sz w:val="24"/>
          <w:szCs w:val="24"/>
          <w:lang w:val="en-US" w:eastAsia="zh-CN"/>
        </w:rPr>
      </w:pPr>
      <w:r w:rsidRPr="00FF0F1B">
        <w:rPr>
          <w:rFonts w:ascii="Book Antiqua" w:hAnsi="Book Antiqua" w:cs="宋体"/>
          <w:sz w:val="24"/>
          <w:szCs w:val="24"/>
          <w:lang w:val="en-US" w:eastAsia="zh-CN"/>
        </w:rPr>
        <w:t>Short bowel syndrome (SBS) is a malabsorptive disorder characterized by loss of intestinal length and occurs when patients have &lt; 200</w:t>
      </w:r>
      <w:r>
        <w:rPr>
          <w:rFonts w:ascii="Book Antiqua" w:hAnsi="Book Antiqua" w:cs="宋体"/>
          <w:sz w:val="24"/>
          <w:szCs w:val="24"/>
          <w:lang w:val="en-US" w:eastAsia="zh-CN"/>
        </w:rPr>
        <w:t xml:space="preserve"> </w:t>
      </w:r>
      <w:r w:rsidRPr="00FF0F1B">
        <w:rPr>
          <w:rFonts w:ascii="Book Antiqua" w:hAnsi="Book Antiqua" w:cs="宋体"/>
          <w:sz w:val="24"/>
          <w:szCs w:val="24"/>
          <w:lang w:val="en-US" w:eastAsia="zh-CN"/>
        </w:rPr>
        <w:t>cm post-duodenal small intestine, resulting in inadequate digestion and/or nutrient. Treatment consists of surgery to slow intestinal transit or to increase the area of absorption.  Reconstructive procedures on the remnant bowel and intestinal transplantation are areas of special interest to surgeons working in this field. Another potential technique for increasing the intestinal surface area is the growth of new intestinal mucosa, which takes advantage of the regenerative capability of the intestine. The regenerated intestine develops by lateral in growth from the surrounding mucosa and is functionally to normal intestinal mucosa</w:t>
      </w:r>
      <w:r>
        <w:rPr>
          <w:rFonts w:ascii="Book Antiqua" w:hAnsi="Book Antiqua" w:cs="宋体"/>
          <w:sz w:val="24"/>
          <w:szCs w:val="24"/>
          <w:lang w:val="en-US" w:eastAsia="zh-CN"/>
        </w:rPr>
        <w:t>.</w:t>
      </w:r>
    </w:p>
    <w:p w:rsidR="00EB3564" w:rsidRPr="00FF0F1B" w:rsidRDefault="00EB3564" w:rsidP="001E00B9">
      <w:pPr>
        <w:spacing w:line="360" w:lineRule="auto"/>
        <w:jc w:val="both"/>
        <w:rPr>
          <w:rFonts w:ascii="Book Antiqua" w:hAnsi="Book Antiqua" w:cs="宋体"/>
          <w:sz w:val="24"/>
          <w:szCs w:val="24"/>
          <w:lang w:val="en-US" w:eastAsia="zh-CN"/>
        </w:rPr>
      </w:pPr>
    </w:p>
    <w:p w:rsidR="00EB3564" w:rsidRPr="001E00B9" w:rsidRDefault="00EB3564" w:rsidP="00FF0F1B">
      <w:pPr>
        <w:spacing w:line="360" w:lineRule="auto"/>
        <w:jc w:val="both"/>
        <w:rPr>
          <w:rFonts w:ascii="Book Antiqua" w:hAnsi="Book Antiqua" w:cs="宋体"/>
          <w:b/>
          <w:bCs/>
          <w:i/>
          <w:sz w:val="24"/>
          <w:szCs w:val="24"/>
          <w:lang w:val="en-US" w:eastAsia="zh-CN"/>
        </w:rPr>
      </w:pPr>
      <w:r w:rsidRPr="001E00B9">
        <w:rPr>
          <w:rFonts w:ascii="Book Antiqua" w:hAnsi="Book Antiqua" w:cs="宋体"/>
          <w:b/>
          <w:bCs/>
          <w:i/>
          <w:sz w:val="24"/>
          <w:szCs w:val="24"/>
          <w:lang w:val="en-US" w:eastAsia="zh-CN"/>
        </w:rPr>
        <w:t>Research frontiers</w:t>
      </w:r>
    </w:p>
    <w:p w:rsidR="00EB3564" w:rsidRPr="00FF0F1B" w:rsidRDefault="00EB3564" w:rsidP="001E00B9">
      <w:pPr>
        <w:spacing w:line="360" w:lineRule="auto"/>
        <w:jc w:val="both"/>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The serosal patch technique is one of the most popular technique to treat short bowel syndrome. In this experimental study, </w:t>
      </w:r>
      <w:r>
        <w:rPr>
          <w:rFonts w:ascii="Book Antiqua" w:hAnsi="Book Antiqua" w:cs="宋体"/>
          <w:sz w:val="24"/>
          <w:szCs w:val="24"/>
          <w:lang w:val="en-US" w:eastAsia="zh-CN"/>
        </w:rPr>
        <w:t>authors</w:t>
      </w:r>
      <w:r w:rsidRPr="00FF0F1B">
        <w:rPr>
          <w:rFonts w:ascii="Book Antiqua" w:hAnsi="Book Antiqua" w:cs="宋体"/>
          <w:sz w:val="24"/>
          <w:szCs w:val="24"/>
          <w:lang w:val="en-US" w:eastAsia="zh-CN"/>
        </w:rPr>
        <w:t xml:space="preserve"> used gastric serosal patch to form neomucosa in ileum defects. In literature search did not reveal a previous report of the use of the gastric serosal surface for this technique. Moreover in the present work is to investigate the role of growth hormon, hyperbaric oxygen therapy (HBOT) and combined therapy on intestinal neomucosa formation of the gastric serosa. Evidence supporting the use of growth hormone in the SBS includes the fact that exogenous growth hormone stimulates structural and functional intestinal adaptation. Several studies have shown that increased oxygen tension with HBOT not only prevents adverse effects of ischemia but also accelerates healing in different types of wounds.</w:t>
      </w:r>
    </w:p>
    <w:p w:rsidR="00EB3564" w:rsidRPr="00FF0F1B" w:rsidRDefault="00EB3564" w:rsidP="00FF0F1B">
      <w:pPr>
        <w:spacing w:line="360" w:lineRule="auto"/>
        <w:jc w:val="both"/>
        <w:rPr>
          <w:rFonts w:ascii="Book Antiqua" w:hAnsi="Book Antiqua" w:cs="宋体"/>
          <w:sz w:val="24"/>
          <w:szCs w:val="24"/>
          <w:lang w:val="en-US" w:eastAsia="zh-CN"/>
        </w:rPr>
      </w:pPr>
    </w:p>
    <w:p w:rsidR="00EB3564" w:rsidRPr="001E00B9" w:rsidRDefault="00EB3564" w:rsidP="00FF0F1B">
      <w:pPr>
        <w:spacing w:line="360" w:lineRule="auto"/>
        <w:jc w:val="both"/>
        <w:rPr>
          <w:rFonts w:ascii="Book Antiqua" w:hAnsi="Book Antiqua" w:cs="宋体"/>
          <w:b/>
          <w:bCs/>
          <w:i/>
          <w:sz w:val="24"/>
          <w:szCs w:val="24"/>
          <w:lang w:val="en-US" w:eastAsia="zh-CN"/>
        </w:rPr>
      </w:pPr>
      <w:r w:rsidRPr="001E00B9">
        <w:rPr>
          <w:rFonts w:ascii="Book Antiqua" w:hAnsi="Book Antiqua" w:cs="宋体"/>
          <w:b/>
          <w:bCs/>
          <w:i/>
          <w:sz w:val="24"/>
          <w:szCs w:val="24"/>
          <w:lang w:val="en-US" w:eastAsia="zh-CN"/>
        </w:rPr>
        <w:lastRenderedPageBreak/>
        <w:t>Innovations and breakthroughs</w:t>
      </w:r>
    </w:p>
    <w:p w:rsidR="00EB3564" w:rsidRPr="00FF0F1B" w:rsidRDefault="00EB3564" w:rsidP="001E00B9">
      <w:pPr>
        <w:snapToGrid w:val="0"/>
        <w:spacing w:line="360" w:lineRule="auto"/>
        <w:jc w:val="both"/>
        <w:rPr>
          <w:rFonts w:ascii="Book Antiqua" w:hAnsi="Book Antiqua" w:cs="宋体"/>
          <w:sz w:val="24"/>
          <w:szCs w:val="24"/>
          <w:lang w:val="en-US" w:eastAsia="zh-CN"/>
        </w:rPr>
      </w:pPr>
      <w:r w:rsidRPr="00FF0F1B">
        <w:rPr>
          <w:rFonts w:ascii="Book Antiqua" w:hAnsi="Book Antiqua" w:cs="宋体"/>
          <w:sz w:val="24"/>
          <w:szCs w:val="24"/>
          <w:lang w:val="en-US" w:eastAsia="zh-CN"/>
        </w:rPr>
        <w:t>In this experimental study, 1</w:t>
      </w:r>
      <w:r>
        <w:rPr>
          <w:rFonts w:ascii="Book Antiqua" w:hAnsi="Book Antiqua" w:cs="宋体"/>
          <w:sz w:val="24"/>
          <w:szCs w:val="24"/>
          <w:lang w:val="en-US" w:eastAsia="zh-CN"/>
        </w:rPr>
        <w:t xml:space="preserve"> </w:t>
      </w:r>
      <w:r w:rsidRPr="00FF0F1B">
        <w:rPr>
          <w:rFonts w:ascii="Book Antiqua" w:hAnsi="Book Antiqua" w:cs="宋体"/>
          <w:sz w:val="24"/>
          <w:szCs w:val="24"/>
          <w:lang w:val="en-US" w:eastAsia="zh-CN"/>
        </w:rPr>
        <w:t>cm-long defect was created in the jejunum, after that a 1</w:t>
      </w:r>
      <w:r w:rsidRPr="001E00B9">
        <w:rPr>
          <w:rFonts w:ascii="Book Antiqua" w:hAnsi="Book Antiqua" w:cs="宋体"/>
          <w:sz w:val="24"/>
          <w:szCs w:val="24"/>
          <w:lang w:val="en-US" w:eastAsia="zh-CN"/>
        </w:rPr>
        <w:t xml:space="preserve"> </w:t>
      </w:r>
      <w:r w:rsidRPr="00FF0F1B">
        <w:rPr>
          <w:rFonts w:ascii="Book Antiqua" w:hAnsi="Book Antiqua" w:cs="宋体"/>
          <w:sz w:val="24"/>
          <w:szCs w:val="24"/>
          <w:lang w:val="en-US" w:eastAsia="zh-CN"/>
        </w:rPr>
        <w:t>cm</w:t>
      </w:r>
      <w:r>
        <w:rPr>
          <w:rFonts w:ascii="Book Antiqua" w:hAnsi="Book Antiqua" w:cs="宋体"/>
          <w:sz w:val="24"/>
          <w:szCs w:val="24"/>
          <w:lang w:val="en-US" w:eastAsia="zh-CN"/>
        </w:rPr>
        <w:t xml:space="preserve"> × </w:t>
      </w:r>
      <w:r w:rsidRPr="00FF0F1B">
        <w:rPr>
          <w:rFonts w:ascii="Book Antiqua" w:hAnsi="Book Antiqua" w:cs="宋体"/>
          <w:sz w:val="24"/>
          <w:szCs w:val="24"/>
          <w:lang w:val="en-US" w:eastAsia="zh-CN"/>
        </w:rPr>
        <w:t xml:space="preserve">1 cm patch of the gastric corpus was anastomosed tothe jejunal defect with interrupted 6/0 polypropylene sutures. HBOT was started 12 h after the surgery and completed to 12 d. </w:t>
      </w:r>
      <w:r w:rsidRPr="00FF0F1B">
        <w:rPr>
          <w:rFonts w:ascii="Book Antiqua" w:hAnsi="Book Antiqua"/>
          <w:sz w:val="24"/>
          <w:szCs w:val="24"/>
          <w:lang w:val="en-US"/>
        </w:rPr>
        <w:t>Growth hormone (GH)</w:t>
      </w:r>
      <w:r w:rsidRPr="00FF0F1B">
        <w:rPr>
          <w:rFonts w:ascii="Book Antiqua" w:hAnsi="Book Antiqua" w:cs="宋体"/>
          <w:sz w:val="24"/>
          <w:szCs w:val="24"/>
          <w:lang w:val="en-US" w:eastAsia="zh-CN"/>
        </w:rPr>
        <w:t xml:space="preserve"> were given subcutaneou</w:t>
      </w:r>
      <w:r>
        <w:rPr>
          <w:rFonts w:ascii="Book Antiqua" w:hAnsi="Book Antiqua" w:cs="宋体"/>
          <w:sz w:val="24"/>
          <w:szCs w:val="24"/>
          <w:lang w:val="en-US" w:eastAsia="zh-CN"/>
        </w:rPr>
        <w:t>sly at a dose of 2 mg per kg/d</w:t>
      </w:r>
      <w:r w:rsidRPr="00FF0F1B">
        <w:rPr>
          <w:rFonts w:ascii="Book Antiqua" w:hAnsi="Book Antiqua" w:cs="宋体"/>
          <w:sz w:val="24"/>
          <w:szCs w:val="24"/>
          <w:lang w:val="en-US" w:eastAsia="zh-CN"/>
        </w:rPr>
        <w:t xml:space="preserve"> for 28 d</w:t>
      </w:r>
      <w:r>
        <w:rPr>
          <w:rFonts w:ascii="Book Antiqua" w:hAnsi="Book Antiqua" w:cs="宋体"/>
          <w:sz w:val="24"/>
          <w:szCs w:val="24"/>
          <w:lang w:val="en-US" w:eastAsia="zh-CN"/>
        </w:rPr>
        <w:t xml:space="preserve"> beginning on the operation day</w:t>
      </w:r>
      <w:r w:rsidRPr="00FF0F1B">
        <w:rPr>
          <w:rFonts w:ascii="Book Antiqua" w:hAnsi="Book Antiqua" w:cs="宋体"/>
          <w:sz w:val="24"/>
          <w:szCs w:val="24"/>
          <w:lang w:val="en-US" w:eastAsia="zh-CN"/>
        </w:rPr>
        <w:t>. In order to increase the rate of neomucosal formation, we used the GH and HBOT together. This is the first study to report using these two techniques together to encourage neomucosal formation.</w:t>
      </w:r>
    </w:p>
    <w:p w:rsidR="00EB3564" w:rsidRPr="00FF0F1B" w:rsidRDefault="00EB3564" w:rsidP="00FF0F1B">
      <w:pPr>
        <w:snapToGrid w:val="0"/>
        <w:spacing w:line="360" w:lineRule="auto"/>
        <w:ind w:firstLine="708"/>
        <w:jc w:val="both"/>
        <w:rPr>
          <w:rFonts w:ascii="Book Antiqua" w:hAnsi="Book Antiqua" w:cs="宋体"/>
          <w:sz w:val="24"/>
          <w:szCs w:val="24"/>
          <w:lang w:val="en-US" w:eastAsia="zh-CN"/>
        </w:rPr>
      </w:pPr>
    </w:p>
    <w:p w:rsidR="00EB3564" w:rsidRPr="001E00B9" w:rsidRDefault="00EB3564" w:rsidP="00FF0F1B">
      <w:pPr>
        <w:snapToGrid w:val="0"/>
        <w:spacing w:line="360" w:lineRule="auto"/>
        <w:jc w:val="both"/>
        <w:rPr>
          <w:rFonts w:ascii="Book Antiqua" w:hAnsi="Book Antiqua" w:cs="宋体"/>
          <w:b/>
          <w:bCs/>
          <w:i/>
          <w:sz w:val="24"/>
          <w:szCs w:val="24"/>
          <w:lang w:val="en-US" w:eastAsia="zh-CN"/>
        </w:rPr>
      </w:pPr>
      <w:r w:rsidRPr="001E00B9">
        <w:rPr>
          <w:rFonts w:ascii="Book Antiqua" w:hAnsi="Book Antiqua" w:cs="宋体"/>
          <w:b/>
          <w:bCs/>
          <w:i/>
          <w:sz w:val="24"/>
          <w:szCs w:val="24"/>
          <w:lang w:val="en-US" w:eastAsia="zh-CN"/>
        </w:rPr>
        <w:t>Applications</w:t>
      </w:r>
    </w:p>
    <w:p w:rsidR="00EB3564" w:rsidRDefault="00EB3564" w:rsidP="00FF0F1B">
      <w:pPr>
        <w:spacing w:line="360" w:lineRule="auto"/>
        <w:jc w:val="both"/>
        <w:rPr>
          <w:rFonts w:ascii="Book Antiqua" w:hAnsi="Book Antiqua" w:cs="宋体"/>
          <w:sz w:val="24"/>
          <w:szCs w:val="24"/>
          <w:lang w:val="en-US" w:eastAsia="zh-CN"/>
        </w:rPr>
      </w:pPr>
      <w:r>
        <w:rPr>
          <w:rFonts w:ascii="Book Antiqua" w:hAnsi="Book Antiqua" w:cs="宋体"/>
          <w:sz w:val="24"/>
          <w:szCs w:val="24"/>
          <w:lang w:val="en-US" w:eastAsia="zh-CN"/>
        </w:rPr>
        <w:t>Their</w:t>
      </w:r>
      <w:r w:rsidRPr="00FF0F1B">
        <w:rPr>
          <w:rFonts w:ascii="Book Antiqua" w:hAnsi="Book Antiqua" w:cs="宋体"/>
          <w:sz w:val="24"/>
          <w:szCs w:val="24"/>
          <w:lang w:val="en-US" w:eastAsia="zh-CN"/>
        </w:rPr>
        <w:t xml:space="preserve"> study is a surface expander research and also is </w:t>
      </w:r>
      <w:r>
        <w:rPr>
          <w:rFonts w:ascii="Book Antiqua" w:hAnsi="Book Antiqua" w:cs="宋体"/>
          <w:sz w:val="24"/>
          <w:szCs w:val="24"/>
          <w:lang w:val="en-US" w:eastAsia="zh-CN"/>
        </w:rPr>
        <w:t>an experimental study model. Authors</w:t>
      </w:r>
      <w:r w:rsidRPr="00FF0F1B">
        <w:rPr>
          <w:rFonts w:ascii="Book Antiqua" w:hAnsi="Book Antiqua" w:cs="宋体"/>
          <w:sz w:val="24"/>
          <w:szCs w:val="24"/>
          <w:lang w:val="en-US" w:eastAsia="zh-CN"/>
        </w:rPr>
        <w:t xml:space="preserve"> suggest that it is easy to use of this method in</w:t>
      </w:r>
      <w:r>
        <w:rPr>
          <w:rFonts w:ascii="Book Antiqua" w:hAnsi="Book Antiqua" w:cs="宋体"/>
          <w:sz w:val="24"/>
          <w:szCs w:val="24"/>
          <w:lang w:val="en-US" w:eastAsia="zh-CN"/>
        </w:rPr>
        <w:t xml:space="preserve"> the appropriate cases. These </w:t>
      </w:r>
      <w:r w:rsidRPr="00FF0F1B">
        <w:rPr>
          <w:rFonts w:ascii="Book Antiqua" w:hAnsi="Book Antiqua" w:cs="宋体"/>
          <w:sz w:val="24"/>
          <w:szCs w:val="24"/>
          <w:lang w:val="en-US" w:eastAsia="zh-CN"/>
        </w:rPr>
        <w:t>adaptation will be increased with the together</w:t>
      </w:r>
      <w:r>
        <w:rPr>
          <w:rFonts w:ascii="Book Antiqua" w:hAnsi="Book Antiqua" w:cs="宋体"/>
          <w:sz w:val="24"/>
          <w:szCs w:val="24"/>
          <w:lang w:val="en-US" w:eastAsia="zh-CN"/>
        </w:rPr>
        <w:t xml:space="preserve">ness use of growth hormone and </w:t>
      </w:r>
      <w:r w:rsidRPr="00FF0F1B">
        <w:rPr>
          <w:rFonts w:ascii="Book Antiqua" w:hAnsi="Book Antiqua" w:cs="宋体"/>
          <w:sz w:val="24"/>
          <w:szCs w:val="24"/>
          <w:lang w:val="en-US" w:eastAsia="zh-CN"/>
        </w:rPr>
        <w:t>HBOT.</w:t>
      </w:r>
    </w:p>
    <w:p w:rsidR="00EB3564" w:rsidRPr="00FF0F1B" w:rsidRDefault="00EB3564" w:rsidP="00FF0F1B">
      <w:pPr>
        <w:spacing w:line="360" w:lineRule="auto"/>
        <w:jc w:val="both"/>
        <w:rPr>
          <w:rFonts w:ascii="Book Antiqua" w:hAnsi="Book Antiqua" w:cs="宋体"/>
          <w:sz w:val="24"/>
          <w:szCs w:val="24"/>
          <w:lang w:val="en-US" w:eastAsia="zh-CN"/>
        </w:rPr>
      </w:pPr>
    </w:p>
    <w:p w:rsidR="00EB3564" w:rsidRPr="001E00B9" w:rsidRDefault="00EB3564" w:rsidP="00FF0F1B">
      <w:pPr>
        <w:spacing w:line="360" w:lineRule="auto"/>
        <w:jc w:val="both"/>
        <w:rPr>
          <w:rFonts w:ascii="Book Antiqua" w:hAnsi="Book Antiqua" w:cs="宋体"/>
          <w:b/>
          <w:bCs/>
          <w:i/>
          <w:sz w:val="24"/>
          <w:szCs w:val="24"/>
          <w:lang w:val="en-US" w:eastAsia="zh-CN"/>
        </w:rPr>
      </w:pPr>
      <w:r w:rsidRPr="001E00B9">
        <w:rPr>
          <w:rFonts w:ascii="Book Antiqua" w:hAnsi="Book Antiqua" w:cs="宋体"/>
          <w:b/>
          <w:bCs/>
          <w:i/>
          <w:sz w:val="24"/>
          <w:szCs w:val="24"/>
          <w:lang w:val="en-US" w:eastAsia="zh-CN"/>
        </w:rPr>
        <w:t>Terminology</w:t>
      </w:r>
    </w:p>
    <w:p w:rsidR="00EB3564" w:rsidRDefault="00EB3564" w:rsidP="00FF0F1B">
      <w:pPr>
        <w:spacing w:line="360" w:lineRule="auto"/>
        <w:jc w:val="both"/>
        <w:rPr>
          <w:rFonts w:ascii="Book Antiqua" w:hAnsi="Book Antiqua" w:cs="宋体"/>
          <w:sz w:val="24"/>
          <w:szCs w:val="24"/>
          <w:lang w:val="en-US" w:eastAsia="zh-CN"/>
        </w:rPr>
      </w:pPr>
      <w:r w:rsidRPr="00FF0F1B">
        <w:rPr>
          <w:rFonts w:ascii="Book Antiqua" w:hAnsi="Book Antiqua" w:cs="宋体"/>
          <w:sz w:val="24"/>
          <w:szCs w:val="24"/>
          <w:lang w:val="en-US" w:eastAsia="zh-CN"/>
        </w:rPr>
        <w:t>SBS, also short gut syndrome or simply short gut</w:t>
      </w:r>
      <w:r>
        <w:rPr>
          <w:rFonts w:ascii="Book Antiqua" w:hAnsi="Book Antiqua" w:cs="宋体"/>
          <w:sz w:val="24"/>
          <w:szCs w:val="24"/>
          <w:lang w:val="en-US" w:eastAsia="zh-CN"/>
        </w:rPr>
        <w:t>,</w:t>
      </w:r>
      <w:r w:rsidRPr="00FF0F1B">
        <w:rPr>
          <w:rFonts w:ascii="Book Antiqua" w:hAnsi="Book Antiqua" w:cs="宋体"/>
          <w:sz w:val="24"/>
          <w:szCs w:val="24"/>
          <w:lang w:val="en-US" w:eastAsia="zh-CN"/>
        </w:rPr>
        <w:t xml:space="preserve"> is a </w:t>
      </w:r>
      <w:hyperlink r:id="rId8" w:tooltip="Malabsorption" w:history="1">
        <w:r w:rsidRPr="001E00B9">
          <w:rPr>
            <w:rFonts w:ascii="Book Antiqua" w:hAnsi="Book Antiqua" w:cs="宋体"/>
            <w:sz w:val="24"/>
            <w:szCs w:val="24"/>
            <w:lang w:val="en-US" w:eastAsia="zh-CN"/>
          </w:rPr>
          <w:t>malabsorption</w:t>
        </w:r>
      </w:hyperlink>
      <w:r w:rsidRPr="00FF0F1B">
        <w:rPr>
          <w:rFonts w:ascii="Book Antiqua" w:hAnsi="Book Antiqua" w:cs="宋体"/>
          <w:sz w:val="24"/>
          <w:szCs w:val="24"/>
          <w:lang w:val="en-US" w:eastAsia="zh-CN"/>
        </w:rPr>
        <w:t xml:space="preserve"> disorder caused by the </w:t>
      </w:r>
      <w:hyperlink r:id="rId9" w:tooltip="Surgery" w:history="1">
        <w:r w:rsidRPr="001E00B9">
          <w:rPr>
            <w:rFonts w:ascii="Book Antiqua" w:hAnsi="Book Antiqua" w:cs="宋体"/>
            <w:sz w:val="24"/>
            <w:szCs w:val="24"/>
            <w:lang w:val="en-US" w:eastAsia="zh-CN"/>
          </w:rPr>
          <w:t>surgical</w:t>
        </w:r>
      </w:hyperlink>
      <w:r w:rsidRPr="00FF0F1B">
        <w:rPr>
          <w:rFonts w:ascii="Book Antiqua" w:hAnsi="Book Antiqua" w:cs="宋体"/>
          <w:sz w:val="24"/>
          <w:szCs w:val="24"/>
          <w:lang w:val="en-US" w:eastAsia="zh-CN"/>
        </w:rPr>
        <w:t xml:space="preserve"> removal of the </w:t>
      </w:r>
      <w:hyperlink r:id="rId10" w:tooltip="Small intestine" w:history="1">
        <w:r w:rsidRPr="001E00B9">
          <w:rPr>
            <w:rFonts w:ascii="Book Antiqua" w:hAnsi="Book Antiqua" w:cs="宋体"/>
            <w:sz w:val="24"/>
            <w:szCs w:val="24"/>
            <w:lang w:val="en-US" w:eastAsia="zh-CN"/>
          </w:rPr>
          <w:t>small intestine</w:t>
        </w:r>
      </w:hyperlink>
      <w:r w:rsidRPr="00FF0F1B">
        <w:rPr>
          <w:rFonts w:ascii="Book Antiqua" w:hAnsi="Book Antiqua" w:cs="宋体"/>
          <w:sz w:val="24"/>
          <w:szCs w:val="24"/>
          <w:lang w:val="en-US" w:eastAsia="zh-CN"/>
        </w:rPr>
        <w:t>, or rarely due to the complete dysfunction of a large segment of bowel.</w:t>
      </w:r>
    </w:p>
    <w:p w:rsidR="00EB3564" w:rsidRPr="00FF0F1B" w:rsidRDefault="00EB3564" w:rsidP="00FF0F1B">
      <w:pPr>
        <w:spacing w:line="360" w:lineRule="auto"/>
        <w:jc w:val="both"/>
        <w:rPr>
          <w:rFonts w:ascii="Book Antiqua" w:hAnsi="Book Antiqua" w:cs="宋体"/>
          <w:sz w:val="24"/>
          <w:szCs w:val="24"/>
          <w:lang w:val="en-US" w:eastAsia="zh-CN"/>
        </w:rPr>
      </w:pPr>
    </w:p>
    <w:p w:rsidR="00EB3564" w:rsidRPr="001E00B9" w:rsidRDefault="00EB3564" w:rsidP="00FF0F1B">
      <w:pPr>
        <w:spacing w:line="360" w:lineRule="auto"/>
        <w:jc w:val="both"/>
        <w:rPr>
          <w:rFonts w:ascii="Book Antiqua" w:hAnsi="Book Antiqua" w:cs="宋体"/>
          <w:b/>
          <w:bCs/>
          <w:i/>
          <w:sz w:val="24"/>
          <w:szCs w:val="24"/>
          <w:lang w:val="en-US" w:eastAsia="zh-CN"/>
        </w:rPr>
      </w:pPr>
      <w:r w:rsidRPr="001E00B9">
        <w:rPr>
          <w:rFonts w:ascii="Book Antiqua" w:hAnsi="Book Antiqua" w:cs="宋体"/>
          <w:b/>
          <w:bCs/>
          <w:i/>
          <w:sz w:val="24"/>
          <w:szCs w:val="24"/>
          <w:lang w:val="en-US" w:eastAsia="zh-CN"/>
        </w:rPr>
        <w:t>Peer review</w:t>
      </w:r>
    </w:p>
    <w:p w:rsidR="00EB3564" w:rsidRPr="00FF0F1B" w:rsidRDefault="00EB3564" w:rsidP="00FF0F1B">
      <w:pPr>
        <w:spacing w:line="360" w:lineRule="auto"/>
        <w:jc w:val="both"/>
        <w:rPr>
          <w:rFonts w:ascii="Book Antiqua" w:hAnsi="Book Antiqua" w:cs="宋体"/>
          <w:sz w:val="24"/>
          <w:szCs w:val="24"/>
          <w:lang w:val="en-US" w:eastAsia="zh-CN"/>
        </w:rPr>
      </w:pPr>
      <w:r w:rsidRPr="00FF0F1B">
        <w:rPr>
          <w:rFonts w:ascii="Book Antiqua" w:hAnsi="Book Antiqua" w:cs="宋体"/>
          <w:sz w:val="24"/>
          <w:szCs w:val="24"/>
          <w:lang w:val="en-US" w:eastAsia="zh-CN"/>
        </w:rPr>
        <w:t>This study demonstrated that intestinal neomucosa can be successfully raised on a gastric serosal surface. In addition, HBOT or GH and combined therapy augmented on neomucosal formation. Combination therapies seem to be more effective.</w:t>
      </w:r>
      <w:r w:rsidRPr="00FF0F1B">
        <w:rPr>
          <w:rFonts w:ascii="Book Antiqua" w:hAnsi="Book Antiqua" w:cs="宋体"/>
          <w:color w:val="FF0000"/>
          <w:sz w:val="24"/>
          <w:szCs w:val="24"/>
          <w:lang w:val="en-US" w:eastAsia="zh-CN"/>
        </w:rPr>
        <w:t xml:space="preserve"> </w:t>
      </w:r>
      <w:r w:rsidRPr="00FF0F1B">
        <w:rPr>
          <w:rFonts w:ascii="Book Antiqua" w:hAnsi="Book Antiqua" w:cs="宋体"/>
          <w:sz w:val="24"/>
          <w:szCs w:val="24"/>
          <w:lang w:val="en-US" w:eastAsia="zh-CN"/>
        </w:rPr>
        <w:t>Simultaneous use of combined therapy produced synergistic effect on histological, morphologic and functional parameters.</w:t>
      </w:r>
    </w:p>
    <w:p w:rsidR="00EB3564" w:rsidRPr="00FF0F1B" w:rsidRDefault="00EB3564" w:rsidP="00FF0F1B">
      <w:pPr>
        <w:spacing w:line="360" w:lineRule="auto"/>
        <w:jc w:val="both"/>
        <w:rPr>
          <w:rFonts w:ascii="Book Antiqua" w:hAnsi="Book Antiqua" w:cs="宋体"/>
          <w:sz w:val="24"/>
          <w:szCs w:val="24"/>
          <w:lang w:val="en-US" w:eastAsia="zh-CN"/>
        </w:rPr>
      </w:pPr>
    </w:p>
    <w:p w:rsidR="00EB3564" w:rsidRPr="00FF0F1B" w:rsidRDefault="00EB3564" w:rsidP="00FF0F1B">
      <w:pPr>
        <w:snapToGrid w:val="0"/>
        <w:spacing w:line="360" w:lineRule="auto"/>
        <w:jc w:val="both"/>
        <w:rPr>
          <w:rFonts w:ascii="Book Antiqua" w:hAnsi="Book Antiqua"/>
          <w:sz w:val="24"/>
          <w:szCs w:val="24"/>
          <w:lang w:val="en-US" w:eastAsia="zh-CN"/>
        </w:rPr>
      </w:pPr>
      <w:r w:rsidRPr="00FF0F1B">
        <w:rPr>
          <w:rFonts w:ascii="Book Antiqua" w:hAnsi="Book Antiqua"/>
          <w:b/>
          <w:sz w:val="24"/>
          <w:szCs w:val="24"/>
          <w:lang w:val="en-US"/>
        </w:rPr>
        <w:t>REFERENCES</w:t>
      </w:r>
      <w:bookmarkStart w:id="86" w:name="OLE_LINK17"/>
      <w:bookmarkStart w:id="87" w:name="OLE_LINK18"/>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1 </w:t>
      </w:r>
      <w:r w:rsidRPr="00FF0F1B">
        <w:rPr>
          <w:rFonts w:ascii="Book Antiqua" w:hAnsi="Book Antiqua" w:cs="宋体"/>
          <w:b/>
          <w:bCs/>
          <w:sz w:val="24"/>
          <w:szCs w:val="24"/>
          <w:lang w:val="en-US" w:eastAsia="zh-CN"/>
        </w:rPr>
        <w:t>Misiakos EP</w:t>
      </w:r>
      <w:r w:rsidRPr="00FF0F1B">
        <w:rPr>
          <w:rFonts w:ascii="Book Antiqua" w:hAnsi="Book Antiqua" w:cs="宋体"/>
          <w:sz w:val="24"/>
          <w:szCs w:val="24"/>
          <w:lang w:val="en-US" w:eastAsia="zh-CN"/>
        </w:rPr>
        <w:t xml:space="preserve">, Macheras A, Kapetanakis T, Liakakos T. Short bowel syndrome: current medical and surgical trends. </w:t>
      </w:r>
      <w:r w:rsidRPr="00FF0F1B">
        <w:rPr>
          <w:rFonts w:ascii="Book Antiqua" w:hAnsi="Book Antiqua" w:cs="宋体"/>
          <w:i/>
          <w:iCs/>
          <w:sz w:val="24"/>
          <w:szCs w:val="24"/>
          <w:lang w:val="en-US" w:eastAsia="zh-CN"/>
        </w:rPr>
        <w:t>J Clin Gastroenterol</w:t>
      </w:r>
      <w:r w:rsidRPr="00FF0F1B">
        <w:rPr>
          <w:rFonts w:ascii="Book Antiqua" w:hAnsi="Book Antiqua" w:cs="宋体"/>
          <w:sz w:val="24"/>
          <w:szCs w:val="24"/>
          <w:lang w:val="en-US" w:eastAsia="zh-CN"/>
        </w:rPr>
        <w:t xml:space="preserve"> 2007; </w:t>
      </w:r>
      <w:r w:rsidRPr="00FF0F1B">
        <w:rPr>
          <w:rFonts w:ascii="Book Antiqua" w:hAnsi="Book Antiqua" w:cs="宋体"/>
          <w:b/>
          <w:bCs/>
          <w:sz w:val="24"/>
          <w:szCs w:val="24"/>
          <w:lang w:val="en-US" w:eastAsia="zh-CN"/>
        </w:rPr>
        <w:t>41</w:t>
      </w:r>
      <w:r w:rsidRPr="00FF0F1B">
        <w:rPr>
          <w:rFonts w:ascii="Book Antiqua" w:hAnsi="Book Antiqua" w:cs="宋体"/>
          <w:sz w:val="24"/>
          <w:szCs w:val="24"/>
          <w:lang w:val="en-US" w:eastAsia="zh-CN"/>
        </w:rPr>
        <w:t>: 5-18 [PMID: 17198059 DOI: 10.1097/01.mcg.0000212617.74337.e9]</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 </w:t>
      </w:r>
      <w:r w:rsidRPr="00FF0F1B">
        <w:rPr>
          <w:rFonts w:ascii="Book Antiqua" w:hAnsi="Book Antiqua" w:cs="宋体"/>
          <w:b/>
          <w:bCs/>
          <w:sz w:val="24"/>
          <w:szCs w:val="24"/>
          <w:lang w:val="en-US" w:eastAsia="zh-CN"/>
        </w:rPr>
        <w:t>Messing B</w:t>
      </w:r>
      <w:r w:rsidRPr="00FF0F1B">
        <w:rPr>
          <w:rFonts w:ascii="Book Antiqua" w:hAnsi="Book Antiqua" w:cs="宋体"/>
          <w:sz w:val="24"/>
          <w:szCs w:val="24"/>
          <w:lang w:val="en-US" w:eastAsia="zh-CN"/>
        </w:rPr>
        <w:t xml:space="preserve">, Blethen S, Dibaise JK, Matarese LE, Steiger E. Treatment of adult short bowel syndrome with recombinant human growth hormone: a review of clinical </w:t>
      </w:r>
      <w:r w:rsidRPr="00FF0F1B">
        <w:rPr>
          <w:rFonts w:ascii="Book Antiqua" w:hAnsi="Book Antiqua" w:cs="宋体"/>
          <w:sz w:val="24"/>
          <w:szCs w:val="24"/>
          <w:lang w:val="en-US" w:eastAsia="zh-CN"/>
        </w:rPr>
        <w:lastRenderedPageBreak/>
        <w:t xml:space="preserve">studies. </w:t>
      </w:r>
      <w:r w:rsidRPr="00FF0F1B">
        <w:rPr>
          <w:rFonts w:ascii="Book Antiqua" w:hAnsi="Book Antiqua" w:cs="宋体"/>
          <w:i/>
          <w:iCs/>
          <w:sz w:val="24"/>
          <w:szCs w:val="24"/>
          <w:lang w:val="en-US" w:eastAsia="zh-CN"/>
        </w:rPr>
        <w:t>J Clin Gastroenterol</w:t>
      </w:r>
      <w:r w:rsidRPr="00FF0F1B">
        <w:rPr>
          <w:rFonts w:ascii="Book Antiqua" w:hAnsi="Book Antiqua" w:cs="宋体"/>
          <w:sz w:val="24"/>
          <w:szCs w:val="24"/>
          <w:lang w:val="en-US" w:eastAsia="zh-CN"/>
        </w:rPr>
        <w:t xml:space="preserve"> </w:t>
      </w:r>
      <w:r>
        <w:rPr>
          <w:rFonts w:ascii="Book Antiqua" w:hAnsi="Book Antiqua" w:cs="宋体"/>
          <w:sz w:val="24"/>
          <w:szCs w:val="24"/>
          <w:lang w:val="en-US" w:eastAsia="zh-CN"/>
        </w:rPr>
        <w:t>2006</w:t>
      </w:r>
      <w:r w:rsidRPr="00FF0F1B">
        <w:rPr>
          <w:rFonts w:ascii="Book Antiqua" w:hAnsi="Book Antiqua" w:cs="宋体"/>
          <w:sz w:val="24"/>
          <w:szCs w:val="24"/>
          <w:lang w:val="en-US" w:eastAsia="zh-CN"/>
        </w:rPr>
        <w:t xml:space="preserve">; </w:t>
      </w:r>
      <w:r w:rsidRPr="00FF0F1B">
        <w:rPr>
          <w:rFonts w:ascii="Book Antiqua" w:hAnsi="Book Antiqua" w:cs="宋体"/>
          <w:b/>
          <w:bCs/>
          <w:sz w:val="24"/>
          <w:szCs w:val="24"/>
          <w:lang w:val="en-US" w:eastAsia="zh-CN"/>
        </w:rPr>
        <w:t>40 Suppl 2</w:t>
      </w:r>
      <w:r w:rsidRPr="00FF0F1B">
        <w:rPr>
          <w:rFonts w:ascii="Book Antiqua" w:hAnsi="Book Antiqua" w:cs="宋体"/>
          <w:sz w:val="24"/>
          <w:szCs w:val="24"/>
          <w:lang w:val="en-US" w:eastAsia="zh-CN"/>
        </w:rPr>
        <w:t>: S75-S84 [PMID: 16770166 DOI: 10.1097/01.mcg.0000212677.06549.80]</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 </w:t>
      </w:r>
      <w:r w:rsidRPr="00FF0F1B">
        <w:rPr>
          <w:rFonts w:ascii="Book Antiqua" w:hAnsi="Book Antiqua" w:cs="宋体"/>
          <w:b/>
          <w:bCs/>
          <w:sz w:val="24"/>
          <w:szCs w:val="24"/>
          <w:lang w:val="en-US" w:eastAsia="zh-CN"/>
        </w:rPr>
        <w:t>Byrne TA</w:t>
      </w:r>
      <w:r w:rsidRPr="00FF0F1B">
        <w:rPr>
          <w:rFonts w:ascii="Book Antiqua" w:hAnsi="Book Antiqua" w:cs="宋体"/>
          <w:sz w:val="24"/>
          <w:szCs w:val="24"/>
          <w:lang w:val="en-US" w:eastAsia="zh-CN"/>
        </w:rPr>
        <w:t xml:space="preserve">, Wilmore DW, Iyer K, Dibaise J, Clancy K, Robinson MK, Chang P, Gertner JM, Lautz D. Growth hormone, glutamine, and an optimal diet reduces parenteral nutrition in patients with short bowel syndrome: a prospective, randomized, placebo-controlled, double-blind clinical trial. </w:t>
      </w:r>
      <w:r w:rsidRPr="00FF0F1B">
        <w:rPr>
          <w:rFonts w:ascii="Book Antiqua" w:hAnsi="Book Antiqua" w:cs="宋体"/>
          <w:i/>
          <w:iCs/>
          <w:sz w:val="24"/>
          <w:szCs w:val="24"/>
          <w:lang w:val="en-US" w:eastAsia="zh-CN"/>
        </w:rPr>
        <w:t>Ann Surg</w:t>
      </w:r>
      <w:r w:rsidRPr="00FF0F1B">
        <w:rPr>
          <w:rFonts w:ascii="Book Antiqua" w:hAnsi="Book Antiqua" w:cs="宋体"/>
          <w:sz w:val="24"/>
          <w:szCs w:val="24"/>
          <w:lang w:val="en-US" w:eastAsia="zh-CN"/>
        </w:rPr>
        <w:t xml:space="preserve"> 2005; </w:t>
      </w:r>
      <w:r w:rsidRPr="00FF0F1B">
        <w:rPr>
          <w:rFonts w:ascii="Book Antiqua" w:hAnsi="Book Antiqua" w:cs="宋体"/>
          <w:b/>
          <w:bCs/>
          <w:sz w:val="24"/>
          <w:szCs w:val="24"/>
          <w:lang w:val="en-US" w:eastAsia="zh-CN"/>
        </w:rPr>
        <w:t>242</w:t>
      </w:r>
      <w:r w:rsidRPr="00FF0F1B">
        <w:rPr>
          <w:rFonts w:ascii="Book Antiqua" w:hAnsi="Book Antiqua" w:cs="宋体"/>
          <w:sz w:val="24"/>
          <w:szCs w:val="24"/>
          <w:lang w:val="en-US" w:eastAsia="zh-CN"/>
        </w:rPr>
        <w:t>: 655-661 [PMID: 16244538 DOI: 10.1097/01.sla.0000186479.53295.14]</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4 </w:t>
      </w:r>
      <w:r w:rsidRPr="00FF0F1B">
        <w:rPr>
          <w:rFonts w:ascii="Book Antiqua" w:hAnsi="Book Antiqua" w:cs="宋体"/>
          <w:b/>
          <w:sz w:val="24"/>
          <w:szCs w:val="24"/>
          <w:lang w:val="en-US" w:eastAsia="zh-CN"/>
        </w:rPr>
        <w:t>Whang EE</w:t>
      </w:r>
      <w:r w:rsidRPr="00FF0F1B">
        <w:rPr>
          <w:rFonts w:ascii="Book Antiqua" w:hAnsi="Book Antiqua" w:cs="宋体"/>
          <w:sz w:val="24"/>
          <w:szCs w:val="24"/>
          <w:lang w:val="en-US" w:eastAsia="zh-CN"/>
        </w:rPr>
        <w:t>, Ashley WS, Zinner JM. Small intestine. In: Burinicardi CF editor.Schwartz’s principles of surgery.</w:t>
      </w:r>
      <w:r>
        <w:rPr>
          <w:rFonts w:ascii="Book Antiqua" w:hAnsi="Book Antiqua" w:cs="宋体"/>
          <w:sz w:val="24"/>
          <w:szCs w:val="24"/>
          <w:lang w:val="en-US" w:eastAsia="zh-CN"/>
        </w:rPr>
        <w:t xml:space="preserve"> </w:t>
      </w:r>
      <w:r w:rsidRPr="00FF0F1B">
        <w:rPr>
          <w:rFonts w:ascii="Book Antiqua" w:hAnsi="Book Antiqua" w:cs="宋体"/>
          <w:sz w:val="24"/>
          <w:szCs w:val="24"/>
          <w:lang w:val="en-US" w:eastAsia="zh-CN"/>
        </w:rPr>
        <w:t>New York: McGraw-Hill, 2003</w:t>
      </w:r>
      <w:r>
        <w:rPr>
          <w:rFonts w:ascii="Book Antiqua" w:hAnsi="Book Antiqua" w:cs="宋体"/>
          <w:sz w:val="24"/>
          <w:szCs w:val="24"/>
          <w:lang w:val="en-US" w:eastAsia="zh-CN"/>
        </w:rPr>
        <w:t>: 1017-1054</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5</w:t>
      </w:r>
      <w:r>
        <w:rPr>
          <w:rFonts w:ascii="Book Antiqua" w:hAnsi="Book Antiqua" w:cs="宋体"/>
          <w:sz w:val="24"/>
          <w:szCs w:val="24"/>
          <w:lang w:val="en-US" w:eastAsia="zh-CN"/>
        </w:rPr>
        <w:t xml:space="preserve"> </w:t>
      </w:r>
      <w:r w:rsidRPr="00FF0F1B">
        <w:rPr>
          <w:rFonts w:ascii="Book Antiqua" w:hAnsi="Book Antiqua" w:cs="宋体"/>
          <w:b/>
          <w:sz w:val="24"/>
          <w:szCs w:val="24"/>
          <w:lang w:val="en-US" w:eastAsia="zh-CN"/>
        </w:rPr>
        <w:t>Evers MB</w:t>
      </w:r>
      <w:r w:rsidRPr="00FF0F1B">
        <w:rPr>
          <w:rFonts w:ascii="Book Antiqua" w:hAnsi="Book Antiqua" w:cs="宋体"/>
          <w:sz w:val="24"/>
          <w:szCs w:val="24"/>
          <w:lang w:val="en-US" w:eastAsia="zh-CN"/>
        </w:rPr>
        <w:t>. Small intestine. In: Towsnsend MC editor. Textbook of surgery.</w:t>
      </w:r>
      <w:r>
        <w:rPr>
          <w:rFonts w:ascii="Book Antiqua" w:hAnsi="Book Antiqua" w:cs="宋体"/>
          <w:sz w:val="24"/>
          <w:szCs w:val="24"/>
          <w:lang w:val="en-US" w:eastAsia="zh-CN"/>
        </w:rPr>
        <w:t xml:space="preserve"> </w:t>
      </w:r>
      <w:r w:rsidRPr="00FF0F1B">
        <w:rPr>
          <w:rFonts w:ascii="Book Antiqua" w:hAnsi="Book Antiqua" w:cs="宋体"/>
          <w:sz w:val="24"/>
          <w:szCs w:val="24"/>
          <w:lang w:val="en-US" w:eastAsia="zh-CN"/>
        </w:rPr>
        <w:t>Philadelphia: Elsevier Saunders, 2004</w:t>
      </w:r>
      <w:r>
        <w:rPr>
          <w:rFonts w:ascii="Book Antiqua" w:hAnsi="Book Antiqua" w:cs="宋体"/>
          <w:sz w:val="24"/>
          <w:szCs w:val="24"/>
          <w:lang w:val="en-US" w:eastAsia="zh-CN"/>
        </w:rPr>
        <w:t>: 1323-1380</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6 </w:t>
      </w:r>
      <w:r w:rsidRPr="00FF0F1B">
        <w:rPr>
          <w:rFonts w:ascii="Book Antiqua" w:hAnsi="Book Antiqua" w:cs="宋体"/>
          <w:b/>
          <w:bCs/>
          <w:sz w:val="24"/>
          <w:szCs w:val="24"/>
          <w:lang w:val="en-US" w:eastAsia="zh-CN"/>
        </w:rPr>
        <w:t>Matarese LE</w:t>
      </w:r>
      <w:r w:rsidRPr="00FF0F1B">
        <w:rPr>
          <w:rFonts w:ascii="Book Antiqua" w:hAnsi="Book Antiqua" w:cs="宋体"/>
          <w:sz w:val="24"/>
          <w:szCs w:val="24"/>
          <w:lang w:val="en-US" w:eastAsia="zh-CN"/>
        </w:rPr>
        <w:t xml:space="preserve">, Seidner DL, Steiger E. Growth hormone, glutamine, and modified diet for intestinal adaptation. </w:t>
      </w:r>
      <w:r w:rsidRPr="00FF0F1B">
        <w:rPr>
          <w:rFonts w:ascii="Book Antiqua" w:hAnsi="Book Antiqua" w:cs="宋体"/>
          <w:i/>
          <w:iCs/>
          <w:sz w:val="24"/>
          <w:szCs w:val="24"/>
          <w:lang w:val="en-US" w:eastAsia="zh-CN"/>
        </w:rPr>
        <w:t>J Am Diet Assoc</w:t>
      </w:r>
      <w:r w:rsidRPr="00FF0F1B">
        <w:rPr>
          <w:rFonts w:ascii="Book Antiqua" w:hAnsi="Book Antiqua" w:cs="宋体"/>
          <w:sz w:val="24"/>
          <w:szCs w:val="24"/>
          <w:lang w:val="en-US" w:eastAsia="zh-CN"/>
        </w:rPr>
        <w:t xml:space="preserve"> 2004; </w:t>
      </w:r>
      <w:r w:rsidRPr="00FF0F1B">
        <w:rPr>
          <w:rFonts w:ascii="Book Antiqua" w:hAnsi="Book Antiqua" w:cs="宋体"/>
          <w:b/>
          <w:bCs/>
          <w:sz w:val="24"/>
          <w:szCs w:val="24"/>
          <w:lang w:val="en-US" w:eastAsia="zh-CN"/>
        </w:rPr>
        <w:t>104</w:t>
      </w:r>
      <w:r w:rsidRPr="00FF0F1B">
        <w:rPr>
          <w:rFonts w:ascii="Book Antiqua" w:hAnsi="Book Antiqua" w:cs="宋体"/>
          <w:sz w:val="24"/>
          <w:szCs w:val="24"/>
          <w:lang w:val="en-US" w:eastAsia="zh-CN"/>
        </w:rPr>
        <w:t>: 1265-1272 [PMID: 15281045 DOI: 10.1016/j.jada.2004.05.202]</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7 </w:t>
      </w:r>
      <w:r w:rsidRPr="00FF0F1B">
        <w:rPr>
          <w:rFonts w:ascii="Book Antiqua" w:hAnsi="Book Antiqua" w:cs="宋体"/>
          <w:b/>
          <w:bCs/>
          <w:sz w:val="24"/>
          <w:szCs w:val="24"/>
          <w:lang w:val="en-US" w:eastAsia="zh-CN"/>
        </w:rPr>
        <w:t>Li-Ling M</w:t>
      </w:r>
      <w:r w:rsidRPr="00FF0F1B">
        <w:rPr>
          <w:rFonts w:ascii="Book Antiqua" w:hAnsi="Book Antiqua" w:cs="宋体"/>
          <w:sz w:val="24"/>
          <w:szCs w:val="24"/>
          <w:lang w:val="en-US" w:eastAsia="zh-CN"/>
        </w:rPr>
        <w:t xml:space="preserve">. The effectiveness of growth hormone, glutamine and a low-fat diet containing high-carbohydrate on the enhancement of the function of remnant intestine among patients with short bowel syndrome: a review of published trials. </w:t>
      </w:r>
      <w:r w:rsidRPr="00FF0F1B">
        <w:rPr>
          <w:rFonts w:ascii="Book Antiqua" w:hAnsi="Book Antiqua" w:cs="宋体"/>
          <w:i/>
          <w:iCs/>
          <w:sz w:val="24"/>
          <w:szCs w:val="24"/>
          <w:lang w:val="en-US" w:eastAsia="zh-CN"/>
        </w:rPr>
        <w:t>Clin Nutr</w:t>
      </w:r>
      <w:r w:rsidRPr="00FF0F1B">
        <w:rPr>
          <w:rFonts w:ascii="Book Antiqua" w:hAnsi="Book Antiqua" w:cs="宋体"/>
          <w:sz w:val="24"/>
          <w:szCs w:val="24"/>
          <w:lang w:val="en-US" w:eastAsia="zh-CN"/>
        </w:rPr>
        <w:t xml:space="preserve"> 2001; </w:t>
      </w:r>
      <w:r w:rsidRPr="00FF0F1B">
        <w:rPr>
          <w:rFonts w:ascii="Book Antiqua" w:hAnsi="Book Antiqua" w:cs="宋体"/>
          <w:b/>
          <w:bCs/>
          <w:sz w:val="24"/>
          <w:szCs w:val="24"/>
          <w:lang w:val="en-US" w:eastAsia="zh-CN"/>
        </w:rPr>
        <w:t>20</w:t>
      </w:r>
      <w:r w:rsidRPr="00FF0F1B">
        <w:rPr>
          <w:rFonts w:ascii="Book Antiqua" w:hAnsi="Book Antiqua" w:cs="宋体"/>
          <w:sz w:val="24"/>
          <w:szCs w:val="24"/>
          <w:lang w:val="en-US" w:eastAsia="zh-CN"/>
        </w:rPr>
        <w:t>: 199-204 [PMID: 11407865 DOI: 10.1054/clnu.2001.0423]</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8 </w:t>
      </w:r>
      <w:r w:rsidRPr="00FF0F1B">
        <w:rPr>
          <w:rFonts w:ascii="Book Antiqua" w:hAnsi="Book Antiqua" w:cs="宋体"/>
          <w:b/>
          <w:bCs/>
          <w:sz w:val="24"/>
          <w:szCs w:val="24"/>
          <w:lang w:val="en-US" w:eastAsia="zh-CN"/>
        </w:rPr>
        <w:t>Alexander JW</w:t>
      </w:r>
      <w:r w:rsidRPr="00FF0F1B">
        <w:rPr>
          <w:rFonts w:ascii="Book Antiqua" w:hAnsi="Book Antiqua" w:cs="宋体"/>
          <w:sz w:val="24"/>
          <w:szCs w:val="24"/>
          <w:lang w:val="en-US" w:eastAsia="zh-CN"/>
        </w:rPr>
        <w:t xml:space="preserve">, Gianotti L, Pyles T, Carey MA, Babcock GF. Distribution and survival of Escherichia coli translocating from the intestine after thermal injury. </w:t>
      </w:r>
      <w:r w:rsidRPr="00FF0F1B">
        <w:rPr>
          <w:rFonts w:ascii="Book Antiqua" w:hAnsi="Book Antiqua" w:cs="宋体"/>
          <w:i/>
          <w:iCs/>
          <w:sz w:val="24"/>
          <w:szCs w:val="24"/>
          <w:lang w:val="en-US" w:eastAsia="zh-CN"/>
        </w:rPr>
        <w:t>Ann Surg</w:t>
      </w:r>
      <w:r w:rsidRPr="00FF0F1B">
        <w:rPr>
          <w:rFonts w:ascii="Book Antiqua" w:hAnsi="Book Antiqua" w:cs="宋体"/>
          <w:sz w:val="24"/>
          <w:szCs w:val="24"/>
          <w:lang w:val="en-US" w:eastAsia="zh-CN"/>
        </w:rPr>
        <w:t xml:space="preserve"> 1991; </w:t>
      </w:r>
      <w:r w:rsidRPr="00FF0F1B">
        <w:rPr>
          <w:rFonts w:ascii="Book Antiqua" w:hAnsi="Book Antiqua" w:cs="宋体"/>
          <w:b/>
          <w:bCs/>
          <w:sz w:val="24"/>
          <w:szCs w:val="24"/>
          <w:lang w:val="en-US" w:eastAsia="zh-CN"/>
        </w:rPr>
        <w:t>213</w:t>
      </w:r>
      <w:r w:rsidRPr="00FF0F1B">
        <w:rPr>
          <w:rFonts w:ascii="Book Antiqua" w:hAnsi="Book Antiqua" w:cs="宋体"/>
          <w:sz w:val="24"/>
          <w:szCs w:val="24"/>
          <w:lang w:val="en-US" w:eastAsia="zh-CN"/>
        </w:rPr>
        <w:t>: 558-66; discussion 566-7 [PMID: 2039286 DOI: 10.1097/00000658-199106000-00005]</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9 </w:t>
      </w:r>
      <w:r w:rsidRPr="00FF0F1B">
        <w:rPr>
          <w:rFonts w:ascii="Book Antiqua" w:hAnsi="Book Antiqua" w:cs="宋体"/>
          <w:b/>
          <w:bCs/>
          <w:sz w:val="24"/>
          <w:szCs w:val="24"/>
          <w:lang w:val="en-US" w:eastAsia="zh-CN"/>
        </w:rPr>
        <w:t>Buchman AL</w:t>
      </w:r>
      <w:r w:rsidRPr="00FF0F1B">
        <w:rPr>
          <w:rFonts w:ascii="Book Antiqua" w:hAnsi="Book Antiqua" w:cs="宋体"/>
          <w:sz w:val="24"/>
          <w:szCs w:val="24"/>
          <w:lang w:val="en-US" w:eastAsia="zh-CN"/>
        </w:rPr>
        <w:t xml:space="preserve">, Moukarzel A, Ament ME, Gornbein J, Goodson B, Carlson C, Hawkins RA. Serious renal impairment is associated with long-term parenteral nutrition. </w:t>
      </w:r>
      <w:r w:rsidRPr="00FF0F1B">
        <w:rPr>
          <w:rFonts w:ascii="Book Antiqua" w:hAnsi="Book Antiqua" w:cs="宋体"/>
          <w:i/>
          <w:iCs/>
          <w:sz w:val="24"/>
          <w:szCs w:val="24"/>
          <w:lang w:val="en-US" w:eastAsia="zh-CN"/>
        </w:rPr>
        <w:t>JPEN J Parenter Enteral Nutr</w:t>
      </w:r>
      <w:r w:rsidRPr="00FF0F1B">
        <w:rPr>
          <w:rFonts w:ascii="Book Antiqua" w:hAnsi="Book Antiqua" w:cs="宋体"/>
          <w:sz w:val="24"/>
          <w:szCs w:val="24"/>
          <w:lang w:val="en-US" w:eastAsia="zh-CN"/>
        </w:rPr>
        <w:t xml:space="preserve"> </w:t>
      </w:r>
      <w:r>
        <w:rPr>
          <w:rFonts w:ascii="Book Antiqua" w:hAnsi="Book Antiqua" w:cs="宋体"/>
          <w:sz w:val="24"/>
          <w:szCs w:val="24"/>
          <w:lang w:val="en-US" w:eastAsia="zh-CN"/>
        </w:rPr>
        <w:t>1992</w:t>
      </w:r>
      <w:r w:rsidRPr="00FF0F1B">
        <w:rPr>
          <w:rFonts w:ascii="Book Antiqua" w:hAnsi="Book Antiqua" w:cs="宋体"/>
          <w:sz w:val="24"/>
          <w:szCs w:val="24"/>
          <w:lang w:val="en-US" w:eastAsia="zh-CN"/>
        </w:rPr>
        <w:t xml:space="preserve">; </w:t>
      </w:r>
      <w:r w:rsidRPr="00FF0F1B">
        <w:rPr>
          <w:rFonts w:ascii="Book Antiqua" w:hAnsi="Book Antiqua" w:cs="宋体"/>
          <w:b/>
          <w:bCs/>
          <w:sz w:val="24"/>
          <w:szCs w:val="24"/>
          <w:lang w:val="en-US" w:eastAsia="zh-CN"/>
        </w:rPr>
        <w:t>17</w:t>
      </w:r>
      <w:r w:rsidRPr="00FF0F1B">
        <w:rPr>
          <w:rFonts w:ascii="Book Antiqua" w:hAnsi="Book Antiqua" w:cs="宋体"/>
          <w:sz w:val="24"/>
          <w:szCs w:val="24"/>
          <w:lang w:val="en-US" w:eastAsia="zh-CN"/>
        </w:rPr>
        <w:t>: 438-444 [PMID: 8289410 DOI: 10.1177/0148607193017005438]</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10 </w:t>
      </w:r>
      <w:r w:rsidRPr="00FF0F1B">
        <w:rPr>
          <w:rFonts w:ascii="Book Antiqua" w:hAnsi="Book Antiqua" w:cs="宋体"/>
          <w:b/>
          <w:bCs/>
          <w:sz w:val="24"/>
          <w:szCs w:val="24"/>
          <w:lang w:val="en-US" w:eastAsia="zh-CN"/>
        </w:rPr>
        <w:t>Freud E</w:t>
      </w:r>
      <w:r w:rsidRPr="00FF0F1B">
        <w:rPr>
          <w:rFonts w:ascii="Book Antiqua" w:hAnsi="Book Antiqua" w:cs="宋体"/>
          <w:sz w:val="24"/>
          <w:szCs w:val="24"/>
          <w:lang w:val="en-US" w:eastAsia="zh-CN"/>
        </w:rPr>
        <w:t xml:space="preserve">, Eshet R. Insights from animal models for growing intestinal neomucosa with serosal patching--a still untapped technique for the treatment of short bowel syndrome. </w:t>
      </w:r>
      <w:r w:rsidRPr="00FF0F1B">
        <w:rPr>
          <w:rFonts w:ascii="Book Antiqua" w:hAnsi="Book Antiqua" w:cs="宋体"/>
          <w:i/>
          <w:iCs/>
          <w:sz w:val="24"/>
          <w:szCs w:val="24"/>
          <w:lang w:val="en-US" w:eastAsia="zh-CN"/>
        </w:rPr>
        <w:t>Lab Anim</w:t>
      </w:r>
      <w:r w:rsidRPr="00FF0F1B">
        <w:rPr>
          <w:rFonts w:ascii="Book Antiqua" w:hAnsi="Book Antiqua" w:cs="宋体"/>
          <w:sz w:val="24"/>
          <w:szCs w:val="24"/>
          <w:lang w:val="en-US" w:eastAsia="zh-CN"/>
        </w:rPr>
        <w:t xml:space="preserve"> 2001; </w:t>
      </w:r>
      <w:r w:rsidRPr="00FF0F1B">
        <w:rPr>
          <w:rFonts w:ascii="Book Antiqua" w:hAnsi="Book Antiqua" w:cs="宋体"/>
          <w:b/>
          <w:bCs/>
          <w:sz w:val="24"/>
          <w:szCs w:val="24"/>
          <w:lang w:val="en-US" w:eastAsia="zh-CN"/>
        </w:rPr>
        <w:t>35</w:t>
      </w:r>
      <w:r w:rsidRPr="00FF0F1B">
        <w:rPr>
          <w:rFonts w:ascii="Book Antiqua" w:hAnsi="Book Antiqua" w:cs="宋体"/>
          <w:sz w:val="24"/>
          <w:szCs w:val="24"/>
          <w:lang w:val="en-US" w:eastAsia="zh-CN"/>
        </w:rPr>
        <w:t>: 180-187 [PMID: 11315169 DOI: 10.1258/0023677011911453]</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11</w:t>
      </w:r>
      <w:r>
        <w:rPr>
          <w:rFonts w:ascii="Book Antiqua" w:hAnsi="Book Antiqua" w:cs="宋体"/>
          <w:sz w:val="24"/>
          <w:szCs w:val="24"/>
          <w:lang w:val="en-US" w:eastAsia="zh-CN"/>
        </w:rPr>
        <w:t xml:space="preserve"> </w:t>
      </w:r>
      <w:r w:rsidRPr="00FF0F1B">
        <w:rPr>
          <w:rFonts w:ascii="Book Antiqua" w:hAnsi="Book Antiqua" w:cs="宋体"/>
          <w:b/>
          <w:sz w:val="24"/>
          <w:szCs w:val="24"/>
          <w:lang w:val="en-US" w:eastAsia="zh-CN"/>
        </w:rPr>
        <w:t>Bengtsson BA</w:t>
      </w:r>
      <w:r>
        <w:rPr>
          <w:rFonts w:ascii="Book Antiqua" w:hAnsi="Book Antiqua" w:cs="宋体"/>
          <w:sz w:val="24"/>
          <w:szCs w:val="24"/>
          <w:lang w:val="en-US" w:eastAsia="zh-CN"/>
        </w:rPr>
        <w:t xml:space="preserve">, </w:t>
      </w:r>
      <w:r w:rsidRPr="00FF0F1B">
        <w:rPr>
          <w:rFonts w:ascii="Book Antiqua" w:hAnsi="Book Antiqua" w:cs="宋体"/>
          <w:sz w:val="24"/>
          <w:szCs w:val="24"/>
          <w:lang w:val="en-US" w:eastAsia="zh-CN"/>
        </w:rPr>
        <w:t xml:space="preserve">Monson </w:t>
      </w:r>
      <w:r>
        <w:rPr>
          <w:rFonts w:ascii="Book Antiqua" w:hAnsi="Book Antiqua" w:cs="宋体"/>
          <w:sz w:val="24"/>
          <w:szCs w:val="24"/>
          <w:lang w:val="en-US" w:eastAsia="zh-CN"/>
        </w:rPr>
        <w:t>J</w:t>
      </w:r>
      <w:r w:rsidRPr="00FF0F1B">
        <w:rPr>
          <w:rFonts w:ascii="Book Antiqua" w:hAnsi="Book Antiqua" w:cs="宋体"/>
          <w:sz w:val="24"/>
          <w:szCs w:val="24"/>
          <w:lang w:val="en-US" w:eastAsia="zh-CN"/>
        </w:rPr>
        <w:t>P. Future directions of growth hormone research</w:t>
      </w:r>
      <w:r>
        <w:rPr>
          <w:rFonts w:ascii="Book Antiqua" w:hAnsi="Book Antiqua" w:cs="宋体"/>
          <w:sz w:val="24"/>
          <w:szCs w:val="24"/>
          <w:lang w:val="en-US" w:eastAsia="zh-CN"/>
        </w:rPr>
        <w:t>.</w:t>
      </w:r>
      <w:r w:rsidRPr="00FF0F1B">
        <w:rPr>
          <w:rFonts w:ascii="Book Antiqua" w:hAnsi="Book Antiqua" w:cs="宋体"/>
          <w:sz w:val="24"/>
          <w:szCs w:val="24"/>
          <w:lang w:val="en-US" w:eastAsia="zh-CN"/>
        </w:rPr>
        <w:t xml:space="preserve"> In: John MP editor. GH Replacement in Adults. London: Oxford PharmaGenesis Ltd, 2000</w:t>
      </w:r>
      <w:r>
        <w:rPr>
          <w:rFonts w:ascii="Book Antiqua" w:hAnsi="Book Antiqua" w:cs="宋体"/>
          <w:sz w:val="24"/>
          <w:szCs w:val="24"/>
          <w:lang w:val="en-US" w:eastAsia="zh-CN"/>
        </w:rPr>
        <w:t>: 202-208</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12</w:t>
      </w:r>
      <w:r>
        <w:rPr>
          <w:rFonts w:ascii="Book Antiqua" w:hAnsi="Book Antiqua" w:cs="宋体"/>
          <w:sz w:val="24"/>
          <w:szCs w:val="24"/>
          <w:lang w:val="en-US" w:eastAsia="zh-CN"/>
        </w:rPr>
        <w:t xml:space="preserve"> </w:t>
      </w:r>
      <w:r w:rsidRPr="00FF0F1B">
        <w:rPr>
          <w:rFonts w:ascii="Book Antiqua" w:hAnsi="Book Antiqua" w:cs="宋体"/>
          <w:b/>
          <w:sz w:val="24"/>
          <w:szCs w:val="24"/>
          <w:lang w:val="en-US" w:eastAsia="zh-CN"/>
        </w:rPr>
        <w:t>Weekers F</w:t>
      </w:r>
      <w:r w:rsidRPr="00FF0F1B">
        <w:rPr>
          <w:rFonts w:ascii="Book Antiqua" w:hAnsi="Book Antiqua" w:cs="宋体"/>
          <w:sz w:val="24"/>
          <w:szCs w:val="24"/>
          <w:lang w:val="en-US" w:eastAsia="zh-CN"/>
        </w:rPr>
        <w:t xml:space="preserve">, Van den Berghe G. The catabolic syndrome of prolonged critical </w:t>
      </w:r>
      <w:r>
        <w:rPr>
          <w:rFonts w:ascii="Book Antiqua" w:hAnsi="Book Antiqua" w:cs="宋体"/>
          <w:sz w:val="24"/>
          <w:szCs w:val="24"/>
          <w:lang w:val="en-US" w:eastAsia="zh-CN"/>
        </w:rPr>
        <w:t>illness.</w:t>
      </w:r>
      <w:r w:rsidRPr="00FF0F1B">
        <w:rPr>
          <w:rFonts w:ascii="Book Antiqua" w:hAnsi="Book Antiqua" w:cs="宋体"/>
          <w:sz w:val="24"/>
          <w:szCs w:val="24"/>
          <w:lang w:val="en-US" w:eastAsia="zh-CN"/>
        </w:rPr>
        <w:t xml:space="preserve"> In: Abs R, Rasmussen FU editors. Growth Hormone Deficiency in Adults. Oxford: Oxford PharmaGenesis Ltd, 2004</w:t>
      </w:r>
      <w:r>
        <w:rPr>
          <w:rFonts w:ascii="Book Antiqua" w:hAnsi="Book Antiqua" w:cs="宋体"/>
          <w:sz w:val="24"/>
          <w:szCs w:val="24"/>
          <w:lang w:val="en-US" w:eastAsia="zh-CN"/>
        </w:rPr>
        <w:t>: 299-313</w:t>
      </w:r>
    </w:p>
    <w:p w:rsidR="00EB3564" w:rsidRPr="00A10F83" w:rsidRDefault="00EB3564" w:rsidP="00FF0F1B">
      <w:pPr>
        <w:rPr>
          <w:rFonts w:ascii="Book Antiqua" w:hAnsi="Book Antiqua" w:cs="宋体"/>
          <w:sz w:val="24"/>
          <w:szCs w:val="24"/>
          <w:lang w:val="pt-BR" w:eastAsia="zh-CN"/>
        </w:rPr>
      </w:pPr>
      <w:r w:rsidRPr="00FF0F1B">
        <w:rPr>
          <w:rFonts w:ascii="Book Antiqua" w:hAnsi="Book Antiqua" w:cs="宋体"/>
          <w:sz w:val="24"/>
          <w:szCs w:val="24"/>
          <w:lang w:val="en-US" w:eastAsia="zh-CN"/>
        </w:rPr>
        <w:t xml:space="preserve">13 </w:t>
      </w:r>
      <w:r w:rsidRPr="00FF0F1B">
        <w:rPr>
          <w:rFonts w:ascii="Book Antiqua" w:hAnsi="Book Antiqua" w:cs="宋体"/>
          <w:b/>
          <w:bCs/>
          <w:sz w:val="24"/>
          <w:szCs w:val="24"/>
          <w:lang w:val="en-US" w:eastAsia="zh-CN"/>
        </w:rPr>
        <w:t>Shulman DI</w:t>
      </w:r>
      <w:r w:rsidRPr="00FF0F1B">
        <w:rPr>
          <w:rFonts w:ascii="Book Antiqua" w:hAnsi="Book Antiqua" w:cs="宋体"/>
          <w:sz w:val="24"/>
          <w:szCs w:val="24"/>
          <w:lang w:val="en-US" w:eastAsia="zh-CN"/>
        </w:rPr>
        <w:t xml:space="preserve">, Hu CS, Duckett G, Lavallee-Grey M. Effects of short-term growth hormone therapy in rats undergoing 75% small intestinal resection. </w:t>
      </w:r>
      <w:r w:rsidRPr="00A10F83">
        <w:rPr>
          <w:rFonts w:ascii="Book Antiqua" w:hAnsi="Book Antiqua" w:cs="宋体"/>
          <w:i/>
          <w:iCs/>
          <w:sz w:val="24"/>
          <w:szCs w:val="24"/>
          <w:lang w:val="pt-BR" w:eastAsia="zh-CN"/>
        </w:rPr>
        <w:t>J Pediatr Gastroenterol Nutr</w:t>
      </w:r>
      <w:r w:rsidRPr="00A10F83">
        <w:rPr>
          <w:rFonts w:ascii="Book Antiqua" w:hAnsi="Book Antiqua" w:cs="宋体"/>
          <w:sz w:val="24"/>
          <w:szCs w:val="24"/>
          <w:lang w:val="pt-BR" w:eastAsia="zh-CN"/>
        </w:rPr>
        <w:t xml:space="preserve"> 1992; </w:t>
      </w:r>
      <w:r w:rsidRPr="00A10F83">
        <w:rPr>
          <w:rFonts w:ascii="Book Antiqua" w:hAnsi="Book Antiqua" w:cs="宋体"/>
          <w:b/>
          <w:bCs/>
          <w:sz w:val="24"/>
          <w:szCs w:val="24"/>
          <w:lang w:val="pt-BR" w:eastAsia="zh-CN"/>
        </w:rPr>
        <w:t>14</w:t>
      </w:r>
      <w:r w:rsidRPr="00A10F83">
        <w:rPr>
          <w:rFonts w:ascii="Book Antiqua" w:hAnsi="Book Antiqua" w:cs="宋体"/>
          <w:sz w:val="24"/>
          <w:szCs w:val="24"/>
          <w:lang w:val="pt-BR" w:eastAsia="zh-CN"/>
        </w:rPr>
        <w:t>: 3-11 [PMID: 1573509 DOI: 10.1097/00005176-199201000-00002]</w:t>
      </w:r>
    </w:p>
    <w:p w:rsidR="00EB3564" w:rsidRPr="00FF0F1B" w:rsidRDefault="00EB3564" w:rsidP="00FF0F1B">
      <w:pPr>
        <w:rPr>
          <w:rFonts w:ascii="Book Antiqua" w:hAnsi="Book Antiqua" w:cs="宋体"/>
          <w:sz w:val="24"/>
          <w:szCs w:val="24"/>
          <w:lang w:val="en-US" w:eastAsia="zh-CN"/>
        </w:rPr>
      </w:pPr>
      <w:r w:rsidRPr="00A10F83">
        <w:rPr>
          <w:rFonts w:ascii="Book Antiqua" w:hAnsi="Book Antiqua" w:cs="宋体"/>
          <w:sz w:val="24"/>
          <w:szCs w:val="24"/>
          <w:lang w:val="pt-BR" w:eastAsia="zh-CN"/>
        </w:rPr>
        <w:t xml:space="preserve">14 </w:t>
      </w:r>
      <w:r w:rsidRPr="00A10F83">
        <w:rPr>
          <w:rFonts w:ascii="Book Antiqua" w:hAnsi="Book Antiqua" w:cs="宋体"/>
          <w:b/>
          <w:bCs/>
          <w:sz w:val="24"/>
          <w:szCs w:val="24"/>
          <w:lang w:val="pt-BR" w:eastAsia="zh-CN"/>
        </w:rPr>
        <w:t>Pereira PM</w:t>
      </w:r>
      <w:r w:rsidRPr="00A10F83">
        <w:rPr>
          <w:rFonts w:ascii="Book Antiqua" w:hAnsi="Book Antiqua" w:cs="宋体"/>
          <w:sz w:val="24"/>
          <w:szCs w:val="24"/>
          <w:lang w:val="pt-BR" w:eastAsia="zh-CN"/>
        </w:rPr>
        <w:t xml:space="preserve">, Bines JE. </w:t>
      </w:r>
      <w:r w:rsidRPr="00FF0F1B">
        <w:rPr>
          <w:rFonts w:ascii="Book Antiqua" w:hAnsi="Book Antiqua" w:cs="宋体"/>
          <w:sz w:val="24"/>
          <w:szCs w:val="24"/>
          <w:lang w:val="en-US" w:eastAsia="zh-CN"/>
        </w:rPr>
        <w:t xml:space="preserve">New growth factor therapies aimed at improving intestinal adaptation in short bowel syndrome. </w:t>
      </w:r>
      <w:r w:rsidRPr="00FF0F1B">
        <w:rPr>
          <w:rFonts w:ascii="Book Antiqua" w:hAnsi="Book Antiqua" w:cs="宋体"/>
          <w:i/>
          <w:iCs/>
          <w:sz w:val="24"/>
          <w:szCs w:val="24"/>
          <w:lang w:val="en-US" w:eastAsia="zh-CN"/>
        </w:rPr>
        <w:t>J Gastroenterol Hepatol</w:t>
      </w:r>
      <w:r w:rsidRPr="00FF0F1B">
        <w:rPr>
          <w:rFonts w:ascii="Book Antiqua" w:hAnsi="Book Antiqua" w:cs="宋体"/>
          <w:sz w:val="24"/>
          <w:szCs w:val="24"/>
          <w:lang w:val="en-US" w:eastAsia="zh-CN"/>
        </w:rPr>
        <w:t xml:space="preserve"> 2006; </w:t>
      </w:r>
      <w:r w:rsidRPr="00FF0F1B">
        <w:rPr>
          <w:rFonts w:ascii="Book Antiqua" w:hAnsi="Book Antiqua" w:cs="宋体"/>
          <w:b/>
          <w:bCs/>
          <w:sz w:val="24"/>
          <w:szCs w:val="24"/>
          <w:lang w:val="en-US" w:eastAsia="zh-CN"/>
        </w:rPr>
        <w:t>21</w:t>
      </w:r>
      <w:r w:rsidRPr="00FF0F1B">
        <w:rPr>
          <w:rFonts w:ascii="Book Antiqua" w:hAnsi="Book Antiqua" w:cs="宋体"/>
          <w:sz w:val="24"/>
          <w:szCs w:val="24"/>
          <w:lang w:val="en-US" w:eastAsia="zh-CN"/>
        </w:rPr>
        <w:t>: 932-940 [PMID: 16724975 DOI: 10.1111/j.1440-1746.2006.04351.x]</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15 </w:t>
      </w:r>
      <w:r w:rsidRPr="00FF0F1B">
        <w:rPr>
          <w:rFonts w:ascii="Book Antiqua" w:hAnsi="Book Antiqua" w:cs="宋体"/>
          <w:b/>
          <w:bCs/>
          <w:sz w:val="24"/>
          <w:szCs w:val="24"/>
          <w:lang w:val="en-US" w:eastAsia="zh-CN"/>
        </w:rPr>
        <w:t>Byrne TA</w:t>
      </w:r>
      <w:r w:rsidRPr="00FF0F1B">
        <w:rPr>
          <w:rFonts w:ascii="Book Antiqua" w:hAnsi="Book Antiqua" w:cs="宋体"/>
          <w:sz w:val="24"/>
          <w:szCs w:val="24"/>
          <w:lang w:val="en-US" w:eastAsia="zh-CN"/>
        </w:rPr>
        <w:t xml:space="preserve">, Persinger RL, Young LS, Ziegler TR, Wilmore DW. A new treatment for patients with short-bowel syndrome. Growth hormone, glutamine, and a </w:t>
      </w:r>
      <w:r w:rsidRPr="00FF0F1B">
        <w:rPr>
          <w:rFonts w:ascii="Book Antiqua" w:hAnsi="Book Antiqua" w:cs="宋体"/>
          <w:sz w:val="24"/>
          <w:szCs w:val="24"/>
          <w:lang w:val="en-US" w:eastAsia="zh-CN"/>
        </w:rPr>
        <w:lastRenderedPageBreak/>
        <w:t xml:space="preserve">modified diet. </w:t>
      </w:r>
      <w:r w:rsidRPr="00FF0F1B">
        <w:rPr>
          <w:rFonts w:ascii="Book Antiqua" w:hAnsi="Book Antiqua" w:cs="宋体"/>
          <w:i/>
          <w:iCs/>
          <w:sz w:val="24"/>
          <w:szCs w:val="24"/>
          <w:lang w:val="en-US" w:eastAsia="zh-CN"/>
        </w:rPr>
        <w:t>Ann Surg</w:t>
      </w:r>
      <w:r w:rsidRPr="00FF0F1B">
        <w:rPr>
          <w:rFonts w:ascii="Book Antiqua" w:hAnsi="Book Antiqua" w:cs="宋体"/>
          <w:sz w:val="24"/>
          <w:szCs w:val="24"/>
          <w:lang w:val="en-US" w:eastAsia="zh-CN"/>
        </w:rPr>
        <w:t xml:space="preserve"> 1995; </w:t>
      </w:r>
      <w:r w:rsidRPr="00FF0F1B">
        <w:rPr>
          <w:rFonts w:ascii="Book Antiqua" w:hAnsi="Book Antiqua" w:cs="宋体"/>
          <w:b/>
          <w:bCs/>
          <w:sz w:val="24"/>
          <w:szCs w:val="24"/>
          <w:lang w:val="en-US" w:eastAsia="zh-CN"/>
        </w:rPr>
        <w:t>222</w:t>
      </w:r>
      <w:r w:rsidRPr="00FF0F1B">
        <w:rPr>
          <w:rFonts w:ascii="Book Antiqua" w:hAnsi="Book Antiqua" w:cs="宋体"/>
          <w:sz w:val="24"/>
          <w:szCs w:val="24"/>
          <w:lang w:val="en-US" w:eastAsia="zh-CN"/>
        </w:rPr>
        <w:t>: 243-54; discussion 254-5 [PMID: 7677455 DOI: 10.1097/00000658-199509000-00003]</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16 </w:t>
      </w:r>
      <w:r w:rsidRPr="00FF0F1B">
        <w:rPr>
          <w:rFonts w:ascii="Book Antiqua" w:hAnsi="Book Antiqua" w:cs="宋体"/>
          <w:b/>
          <w:bCs/>
          <w:sz w:val="24"/>
          <w:szCs w:val="24"/>
          <w:lang w:val="en-US" w:eastAsia="zh-CN"/>
        </w:rPr>
        <w:t>Tait IS</w:t>
      </w:r>
      <w:r w:rsidRPr="00FF0F1B">
        <w:rPr>
          <w:rFonts w:ascii="Book Antiqua" w:hAnsi="Book Antiqua" w:cs="宋体"/>
          <w:sz w:val="24"/>
          <w:szCs w:val="24"/>
          <w:lang w:val="en-US" w:eastAsia="zh-CN"/>
        </w:rPr>
        <w:t xml:space="preserve">, Flint N, Campbell FC, Evans GS. Generation of neomucosa in vivo by transplantation of dissociated rat postnatal small intestinal epithelium. </w:t>
      </w:r>
      <w:r w:rsidRPr="00FF0F1B">
        <w:rPr>
          <w:rFonts w:ascii="Book Antiqua" w:hAnsi="Book Antiqua" w:cs="宋体"/>
          <w:i/>
          <w:iCs/>
          <w:sz w:val="24"/>
          <w:szCs w:val="24"/>
          <w:lang w:val="en-US" w:eastAsia="zh-CN"/>
        </w:rPr>
        <w:t>Differentiation</w:t>
      </w:r>
      <w:r w:rsidRPr="00FF0F1B">
        <w:rPr>
          <w:rFonts w:ascii="Book Antiqua" w:hAnsi="Book Antiqua" w:cs="宋体"/>
          <w:sz w:val="24"/>
          <w:szCs w:val="24"/>
          <w:lang w:val="en-US" w:eastAsia="zh-CN"/>
        </w:rPr>
        <w:t xml:space="preserve"> 1994; </w:t>
      </w:r>
      <w:r w:rsidRPr="00FF0F1B">
        <w:rPr>
          <w:rFonts w:ascii="Book Antiqua" w:hAnsi="Book Antiqua" w:cs="宋体"/>
          <w:b/>
          <w:bCs/>
          <w:sz w:val="24"/>
          <w:szCs w:val="24"/>
          <w:lang w:val="en-US" w:eastAsia="zh-CN"/>
        </w:rPr>
        <w:t>56</w:t>
      </w:r>
      <w:r w:rsidRPr="00FF0F1B">
        <w:rPr>
          <w:rFonts w:ascii="Book Antiqua" w:hAnsi="Book Antiqua" w:cs="宋体"/>
          <w:sz w:val="24"/>
          <w:szCs w:val="24"/>
          <w:lang w:val="en-US" w:eastAsia="zh-CN"/>
        </w:rPr>
        <w:t>: 91-100 [PMID: 8026650 DOI: 10.1007/s002580050025]</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17 </w:t>
      </w:r>
      <w:r w:rsidRPr="00FF0F1B">
        <w:rPr>
          <w:rFonts w:ascii="Book Antiqua" w:hAnsi="Book Antiqua" w:cs="宋体"/>
          <w:b/>
          <w:bCs/>
          <w:sz w:val="24"/>
          <w:szCs w:val="24"/>
          <w:lang w:val="en-US" w:eastAsia="zh-CN"/>
        </w:rPr>
        <w:t>Tait IS</w:t>
      </w:r>
      <w:r w:rsidRPr="00FF0F1B">
        <w:rPr>
          <w:rFonts w:ascii="Book Antiqua" w:hAnsi="Book Antiqua" w:cs="宋体"/>
          <w:sz w:val="24"/>
          <w:szCs w:val="24"/>
          <w:lang w:val="en-US" w:eastAsia="zh-CN"/>
        </w:rPr>
        <w:t xml:space="preserve">, Penny JI, Campbell FC. Does neomucosa induced by small bowel stem cell transplantation have adequate function? </w:t>
      </w:r>
      <w:r w:rsidRPr="00FF0F1B">
        <w:rPr>
          <w:rFonts w:ascii="Book Antiqua" w:hAnsi="Book Antiqua" w:cs="宋体"/>
          <w:i/>
          <w:iCs/>
          <w:sz w:val="24"/>
          <w:szCs w:val="24"/>
          <w:lang w:val="en-US" w:eastAsia="zh-CN"/>
        </w:rPr>
        <w:t>Am J Surg</w:t>
      </w:r>
      <w:r w:rsidRPr="00FF0F1B">
        <w:rPr>
          <w:rFonts w:ascii="Book Antiqua" w:hAnsi="Book Antiqua" w:cs="宋体"/>
          <w:sz w:val="24"/>
          <w:szCs w:val="24"/>
          <w:lang w:val="en-US" w:eastAsia="zh-CN"/>
        </w:rPr>
        <w:t xml:space="preserve"> 1995; </w:t>
      </w:r>
      <w:r w:rsidRPr="00FF0F1B">
        <w:rPr>
          <w:rFonts w:ascii="Book Antiqua" w:hAnsi="Book Antiqua" w:cs="宋体"/>
          <w:b/>
          <w:bCs/>
          <w:sz w:val="24"/>
          <w:szCs w:val="24"/>
          <w:lang w:val="en-US" w:eastAsia="zh-CN"/>
        </w:rPr>
        <w:t>169</w:t>
      </w:r>
      <w:r w:rsidRPr="00FF0F1B">
        <w:rPr>
          <w:rFonts w:ascii="Book Antiqua" w:hAnsi="Book Antiqua" w:cs="宋体"/>
          <w:sz w:val="24"/>
          <w:szCs w:val="24"/>
          <w:lang w:val="en-US" w:eastAsia="zh-CN"/>
        </w:rPr>
        <w:t>: 120-125 [PMID: 7817980 DOI: 10.1016/S0002-9610(99)80119-6]</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18 </w:t>
      </w:r>
      <w:r w:rsidRPr="00FF0F1B">
        <w:rPr>
          <w:rFonts w:ascii="Book Antiqua" w:hAnsi="Book Antiqua" w:cs="宋体"/>
          <w:b/>
          <w:bCs/>
          <w:sz w:val="24"/>
          <w:szCs w:val="24"/>
          <w:lang w:val="en-US" w:eastAsia="zh-CN"/>
        </w:rPr>
        <w:t>Kamei Y</w:t>
      </w:r>
      <w:r w:rsidRPr="00FF0F1B">
        <w:rPr>
          <w:rFonts w:ascii="Book Antiqua" w:hAnsi="Book Antiqua" w:cs="宋体"/>
          <w:sz w:val="24"/>
          <w:szCs w:val="24"/>
          <w:lang w:val="en-US" w:eastAsia="zh-CN"/>
        </w:rPr>
        <w:t xml:space="preserve">, Torii S. A new composite gastric seromuscular and omental pedicle flap. </w:t>
      </w:r>
      <w:r w:rsidRPr="00FF0F1B">
        <w:rPr>
          <w:rFonts w:ascii="Book Antiqua" w:hAnsi="Book Antiqua" w:cs="宋体"/>
          <w:i/>
          <w:iCs/>
          <w:sz w:val="24"/>
          <w:szCs w:val="24"/>
          <w:lang w:val="en-US" w:eastAsia="zh-CN"/>
        </w:rPr>
        <w:t>Ann Surg</w:t>
      </w:r>
      <w:r w:rsidRPr="00FF0F1B">
        <w:rPr>
          <w:rFonts w:ascii="Book Antiqua" w:hAnsi="Book Antiqua" w:cs="宋体"/>
          <w:sz w:val="24"/>
          <w:szCs w:val="24"/>
          <w:lang w:val="en-US" w:eastAsia="zh-CN"/>
        </w:rPr>
        <w:t xml:space="preserve"> 1994; </w:t>
      </w:r>
      <w:r w:rsidRPr="00FF0F1B">
        <w:rPr>
          <w:rFonts w:ascii="Book Antiqua" w:hAnsi="Book Antiqua" w:cs="宋体"/>
          <w:b/>
          <w:bCs/>
          <w:sz w:val="24"/>
          <w:szCs w:val="24"/>
          <w:lang w:val="en-US" w:eastAsia="zh-CN"/>
        </w:rPr>
        <w:t>220</w:t>
      </w:r>
      <w:r w:rsidRPr="00FF0F1B">
        <w:rPr>
          <w:rFonts w:ascii="Book Antiqua" w:hAnsi="Book Antiqua" w:cs="宋体"/>
          <w:sz w:val="24"/>
          <w:szCs w:val="24"/>
          <w:lang w:val="en-US" w:eastAsia="zh-CN"/>
        </w:rPr>
        <w:t>: 97-101 [PMID: 8024365]</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19 </w:t>
      </w:r>
      <w:r w:rsidRPr="00FF0F1B">
        <w:rPr>
          <w:rFonts w:ascii="Book Antiqua" w:hAnsi="Book Antiqua" w:cs="宋体"/>
          <w:b/>
          <w:bCs/>
          <w:sz w:val="24"/>
          <w:szCs w:val="24"/>
          <w:lang w:val="en-US" w:eastAsia="zh-CN"/>
        </w:rPr>
        <w:t>Tait IS</w:t>
      </w:r>
      <w:r w:rsidRPr="00FF0F1B">
        <w:rPr>
          <w:rFonts w:ascii="Book Antiqua" w:hAnsi="Book Antiqua" w:cs="宋体"/>
          <w:sz w:val="24"/>
          <w:szCs w:val="24"/>
          <w:lang w:val="en-US" w:eastAsia="zh-CN"/>
        </w:rPr>
        <w:t xml:space="preserve">, Evans GS, Flint N, Campbell FC. Colonic mucosal replacement by syngeneic small intestinal stem cell transplantation. </w:t>
      </w:r>
      <w:r w:rsidRPr="00FF0F1B">
        <w:rPr>
          <w:rFonts w:ascii="Book Antiqua" w:hAnsi="Book Antiqua" w:cs="宋体"/>
          <w:i/>
          <w:iCs/>
          <w:sz w:val="24"/>
          <w:szCs w:val="24"/>
          <w:lang w:val="en-US" w:eastAsia="zh-CN"/>
        </w:rPr>
        <w:t>Am J Surg</w:t>
      </w:r>
      <w:r w:rsidRPr="00FF0F1B">
        <w:rPr>
          <w:rFonts w:ascii="Book Antiqua" w:hAnsi="Book Antiqua" w:cs="宋体"/>
          <w:sz w:val="24"/>
          <w:szCs w:val="24"/>
          <w:lang w:val="en-US" w:eastAsia="zh-CN"/>
        </w:rPr>
        <w:t xml:space="preserve"> 1994; </w:t>
      </w:r>
      <w:r w:rsidRPr="00FF0F1B">
        <w:rPr>
          <w:rFonts w:ascii="Book Antiqua" w:hAnsi="Book Antiqua" w:cs="宋体"/>
          <w:b/>
          <w:bCs/>
          <w:sz w:val="24"/>
          <w:szCs w:val="24"/>
          <w:lang w:val="en-US" w:eastAsia="zh-CN"/>
        </w:rPr>
        <w:t>167</w:t>
      </w:r>
      <w:r w:rsidRPr="00FF0F1B">
        <w:rPr>
          <w:rFonts w:ascii="Book Antiqua" w:hAnsi="Book Antiqua" w:cs="宋体"/>
          <w:sz w:val="24"/>
          <w:szCs w:val="24"/>
          <w:lang w:val="en-US" w:eastAsia="zh-CN"/>
        </w:rPr>
        <w:t>: 67-72 [PMID: 8311142 DOI: 10.1016/0002-9610(94)90055-8]</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20 </w:t>
      </w:r>
      <w:r w:rsidRPr="00FF0F1B">
        <w:rPr>
          <w:rFonts w:ascii="Book Antiqua" w:hAnsi="Book Antiqua" w:cs="宋体"/>
          <w:b/>
          <w:bCs/>
          <w:sz w:val="24"/>
          <w:szCs w:val="24"/>
          <w:lang w:val="en-US" w:eastAsia="zh-CN"/>
        </w:rPr>
        <w:t>Garcia JG</w:t>
      </w:r>
      <w:r w:rsidRPr="00FF0F1B">
        <w:rPr>
          <w:rFonts w:ascii="Book Antiqua" w:hAnsi="Book Antiqua" w:cs="宋体"/>
          <w:sz w:val="24"/>
          <w:szCs w:val="24"/>
          <w:lang w:val="en-US" w:eastAsia="zh-CN"/>
        </w:rPr>
        <w:t xml:space="preserve">, Criado FJ, Persona MA, Alonso AG. Healing of colonic ischemic anastomoses in the rat: role of superoxide radicals. </w:t>
      </w:r>
      <w:r w:rsidRPr="00FF0F1B">
        <w:rPr>
          <w:rFonts w:ascii="Book Antiqua" w:hAnsi="Book Antiqua" w:cs="宋体"/>
          <w:i/>
          <w:iCs/>
          <w:sz w:val="24"/>
          <w:szCs w:val="24"/>
          <w:lang w:val="en-US" w:eastAsia="zh-CN"/>
        </w:rPr>
        <w:t>Dis Colon Rectum</w:t>
      </w:r>
      <w:r w:rsidRPr="00FF0F1B">
        <w:rPr>
          <w:rFonts w:ascii="Book Antiqua" w:hAnsi="Book Antiqua" w:cs="宋体"/>
          <w:sz w:val="24"/>
          <w:szCs w:val="24"/>
          <w:lang w:val="en-US" w:eastAsia="zh-CN"/>
        </w:rPr>
        <w:t xml:space="preserve"> 1998; </w:t>
      </w:r>
      <w:r w:rsidRPr="00FF0F1B">
        <w:rPr>
          <w:rFonts w:ascii="Book Antiqua" w:hAnsi="Book Antiqua" w:cs="宋体"/>
          <w:b/>
          <w:bCs/>
          <w:sz w:val="24"/>
          <w:szCs w:val="24"/>
          <w:lang w:val="en-US" w:eastAsia="zh-CN"/>
        </w:rPr>
        <w:t>41</w:t>
      </w:r>
      <w:r w:rsidRPr="00FF0F1B">
        <w:rPr>
          <w:rFonts w:ascii="Book Antiqua" w:hAnsi="Book Antiqua" w:cs="宋体"/>
          <w:sz w:val="24"/>
          <w:szCs w:val="24"/>
          <w:lang w:val="en-US" w:eastAsia="zh-CN"/>
        </w:rPr>
        <w:t>: 892-895 [PMID: 9678376]</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21 </w:t>
      </w:r>
      <w:r w:rsidRPr="00FF0F1B">
        <w:rPr>
          <w:rFonts w:ascii="Book Antiqua" w:hAnsi="Book Antiqua" w:cs="宋体"/>
          <w:b/>
          <w:bCs/>
          <w:sz w:val="24"/>
          <w:szCs w:val="24"/>
          <w:lang w:val="en-US" w:eastAsia="zh-CN"/>
        </w:rPr>
        <w:t>Hamzao</w:t>
      </w:r>
      <w:r w:rsidRPr="00FF0F1B">
        <w:rPr>
          <w:rFonts w:ascii="Book Antiqua" w:eastAsia="MS Mincho" w:hAnsi="Book Antiqua" w:cs="MS Mincho"/>
          <w:b/>
          <w:bCs/>
          <w:sz w:val="24"/>
          <w:szCs w:val="24"/>
          <w:lang w:val="en-US" w:eastAsia="zh-CN"/>
        </w:rPr>
        <w:t>ğ</w:t>
      </w:r>
      <w:r w:rsidRPr="00FF0F1B">
        <w:rPr>
          <w:rFonts w:ascii="Book Antiqua" w:hAnsi="Book Antiqua" w:cs="宋体"/>
          <w:b/>
          <w:bCs/>
          <w:sz w:val="24"/>
          <w:szCs w:val="24"/>
          <w:lang w:val="en-US" w:eastAsia="zh-CN"/>
        </w:rPr>
        <w:t>lu I</w:t>
      </w:r>
      <w:r w:rsidRPr="00FF0F1B">
        <w:rPr>
          <w:rFonts w:ascii="Book Antiqua" w:hAnsi="Book Antiqua" w:cs="宋体"/>
          <w:sz w:val="24"/>
          <w:szCs w:val="24"/>
          <w:lang w:val="en-US" w:eastAsia="zh-CN"/>
        </w:rPr>
        <w:t>, Karahasano</w:t>
      </w:r>
      <w:r w:rsidRPr="00FF0F1B">
        <w:rPr>
          <w:rFonts w:ascii="Book Antiqua" w:eastAsia="MS Mincho" w:hAnsi="Book Antiqua" w:cs="MS Mincho"/>
          <w:sz w:val="24"/>
          <w:szCs w:val="24"/>
          <w:lang w:val="en-US" w:eastAsia="zh-CN"/>
        </w:rPr>
        <w:t>ğ</w:t>
      </w:r>
      <w:r w:rsidRPr="00FF0F1B">
        <w:rPr>
          <w:rFonts w:ascii="Book Antiqua" w:hAnsi="Book Antiqua" w:cs="宋体"/>
          <w:sz w:val="24"/>
          <w:szCs w:val="24"/>
          <w:lang w:val="en-US" w:eastAsia="zh-CN"/>
        </w:rPr>
        <w:t>lu T, Aydin S, Sahin DA, Carkman S, Sariyar M, Alemdaro</w:t>
      </w:r>
      <w:r w:rsidRPr="00FF0F1B">
        <w:rPr>
          <w:rFonts w:ascii="Book Antiqua" w:eastAsia="MS Mincho" w:hAnsi="Book Antiqua" w:cs="MS Mincho"/>
          <w:sz w:val="24"/>
          <w:szCs w:val="24"/>
          <w:lang w:val="en-US" w:eastAsia="zh-CN"/>
        </w:rPr>
        <w:t>ğ</w:t>
      </w:r>
      <w:r w:rsidRPr="00FF0F1B">
        <w:rPr>
          <w:rFonts w:ascii="Book Antiqua" w:hAnsi="Book Antiqua" w:cs="宋体"/>
          <w:sz w:val="24"/>
          <w:szCs w:val="24"/>
          <w:lang w:val="en-US" w:eastAsia="zh-CN"/>
        </w:rPr>
        <w:t xml:space="preserve">lu K. The effects of hyperbaric oxygen on normal and ischemic colon anastomoses. </w:t>
      </w:r>
      <w:r w:rsidRPr="00FF0F1B">
        <w:rPr>
          <w:rFonts w:ascii="Book Antiqua" w:hAnsi="Book Antiqua" w:cs="宋体"/>
          <w:i/>
          <w:iCs/>
          <w:sz w:val="24"/>
          <w:szCs w:val="24"/>
          <w:lang w:val="en-US" w:eastAsia="zh-CN"/>
        </w:rPr>
        <w:t>Am J Surg</w:t>
      </w:r>
      <w:r w:rsidRPr="00FF0F1B">
        <w:rPr>
          <w:rFonts w:ascii="Book Antiqua" w:hAnsi="Book Antiqua" w:cs="宋体"/>
          <w:sz w:val="24"/>
          <w:szCs w:val="24"/>
          <w:lang w:val="en-US" w:eastAsia="zh-CN"/>
        </w:rPr>
        <w:t xml:space="preserve"> 1998; </w:t>
      </w:r>
      <w:r w:rsidRPr="00FF0F1B">
        <w:rPr>
          <w:rFonts w:ascii="Book Antiqua" w:hAnsi="Book Antiqua" w:cs="宋体"/>
          <w:b/>
          <w:bCs/>
          <w:sz w:val="24"/>
          <w:szCs w:val="24"/>
          <w:lang w:val="en-US" w:eastAsia="zh-CN"/>
        </w:rPr>
        <w:t>176</w:t>
      </w:r>
      <w:r w:rsidRPr="00FF0F1B">
        <w:rPr>
          <w:rFonts w:ascii="Book Antiqua" w:hAnsi="Book Antiqua" w:cs="宋体"/>
          <w:sz w:val="24"/>
          <w:szCs w:val="24"/>
          <w:lang w:val="en-US" w:eastAsia="zh-CN"/>
        </w:rPr>
        <w:t>: 458-461 [PMID: 9874433 DOI: 10.1016/S0002-9610(98)00234-7]</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22 </w:t>
      </w:r>
      <w:r w:rsidRPr="00FF0F1B">
        <w:rPr>
          <w:rFonts w:ascii="Book Antiqua" w:hAnsi="Book Antiqua" w:cs="宋体"/>
          <w:b/>
          <w:bCs/>
          <w:sz w:val="24"/>
          <w:szCs w:val="24"/>
          <w:lang w:val="en-US" w:eastAsia="zh-CN"/>
        </w:rPr>
        <w:t>Christensen H</w:t>
      </w:r>
      <w:r w:rsidRPr="00FF0F1B">
        <w:rPr>
          <w:rFonts w:ascii="Book Antiqua" w:hAnsi="Book Antiqua" w:cs="宋体"/>
          <w:sz w:val="24"/>
          <w:szCs w:val="24"/>
          <w:lang w:val="en-US" w:eastAsia="zh-CN"/>
        </w:rPr>
        <w:t xml:space="preserve">, Oxlund H. Growth hormone increases the collagen deposition rate and breaking strength of left colonic anastomoses in rats. </w:t>
      </w:r>
      <w:r w:rsidRPr="00FF0F1B">
        <w:rPr>
          <w:rFonts w:ascii="Book Antiqua" w:hAnsi="Book Antiqua" w:cs="宋体"/>
          <w:i/>
          <w:iCs/>
          <w:sz w:val="24"/>
          <w:szCs w:val="24"/>
          <w:lang w:val="en-US" w:eastAsia="zh-CN"/>
        </w:rPr>
        <w:t>Surgery</w:t>
      </w:r>
      <w:r w:rsidRPr="00FF0F1B">
        <w:rPr>
          <w:rFonts w:ascii="Book Antiqua" w:hAnsi="Book Antiqua" w:cs="宋体"/>
          <w:sz w:val="24"/>
          <w:szCs w:val="24"/>
          <w:lang w:val="en-US" w:eastAsia="zh-CN"/>
        </w:rPr>
        <w:t xml:space="preserve"> 1994; </w:t>
      </w:r>
      <w:r w:rsidRPr="00FF0F1B">
        <w:rPr>
          <w:rFonts w:ascii="Book Antiqua" w:hAnsi="Book Antiqua" w:cs="宋体"/>
          <w:b/>
          <w:bCs/>
          <w:sz w:val="24"/>
          <w:szCs w:val="24"/>
          <w:lang w:val="en-US" w:eastAsia="zh-CN"/>
        </w:rPr>
        <w:t>116</w:t>
      </w:r>
      <w:r w:rsidRPr="00FF0F1B">
        <w:rPr>
          <w:rFonts w:ascii="Book Antiqua" w:hAnsi="Book Antiqua" w:cs="宋体"/>
          <w:sz w:val="24"/>
          <w:szCs w:val="24"/>
          <w:lang w:val="en-US" w:eastAsia="zh-CN"/>
        </w:rPr>
        <w:t>: 550-556 [PMID: 8079185]</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23 </w:t>
      </w:r>
      <w:r w:rsidRPr="00FF0F1B">
        <w:rPr>
          <w:rFonts w:ascii="Book Antiqua" w:hAnsi="Book Antiqua" w:cs="宋体"/>
          <w:b/>
          <w:bCs/>
          <w:sz w:val="24"/>
          <w:szCs w:val="24"/>
          <w:lang w:val="en-US" w:eastAsia="zh-CN"/>
        </w:rPr>
        <w:t>Christensen H</w:t>
      </w:r>
      <w:r w:rsidRPr="00FF0F1B">
        <w:rPr>
          <w:rFonts w:ascii="Book Antiqua" w:hAnsi="Book Antiqua" w:cs="宋体"/>
          <w:sz w:val="24"/>
          <w:szCs w:val="24"/>
          <w:lang w:val="en-US" w:eastAsia="zh-CN"/>
        </w:rPr>
        <w:t xml:space="preserve">, Chemnitz J, Christensen BC, Oxlund H. Collagen structural organization of healing colonic anastomoses and the effect of growth hormone treatment. </w:t>
      </w:r>
      <w:r w:rsidRPr="00FF0F1B">
        <w:rPr>
          <w:rFonts w:ascii="Book Antiqua" w:hAnsi="Book Antiqua" w:cs="宋体"/>
          <w:i/>
          <w:iCs/>
          <w:sz w:val="24"/>
          <w:szCs w:val="24"/>
          <w:lang w:val="en-US" w:eastAsia="zh-CN"/>
        </w:rPr>
        <w:t>Dis Colon Rectum</w:t>
      </w:r>
      <w:r w:rsidRPr="00FF0F1B">
        <w:rPr>
          <w:rFonts w:ascii="Book Antiqua" w:hAnsi="Book Antiqua" w:cs="宋体"/>
          <w:sz w:val="24"/>
          <w:szCs w:val="24"/>
          <w:lang w:val="en-US" w:eastAsia="zh-CN"/>
        </w:rPr>
        <w:t xml:space="preserve"> 1995; </w:t>
      </w:r>
      <w:r w:rsidRPr="00FF0F1B">
        <w:rPr>
          <w:rFonts w:ascii="Book Antiqua" w:hAnsi="Book Antiqua" w:cs="宋体"/>
          <w:b/>
          <w:bCs/>
          <w:sz w:val="24"/>
          <w:szCs w:val="24"/>
          <w:lang w:val="en-US" w:eastAsia="zh-CN"/>
        </w:rPr>
        <w:t>38</w:t>
      </w:r>
      <w:r w:rsidRPr="00FF0F1B">
        <w:rPr>
          <w:rFonts w:ascii="Book Antiqua" w:hAnsi="Book Antiqua" w:cs="宋体"/>
          <w:sz w:val="24"/>
          <w:szCs w:val="24"/>
          <w:lang w:val="en-US" w:eastAsia="zh-CN"/>
        </w:rPr>
        <w:t>: 1200-1205 [PMID: 7587764 DOI: 10.1007/BF02048337]</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24 </w:t>
      </w:r>
      <w:r w:rsidRPr="00FF0F1B">
        <w:rPr>
          <w:rFonts w:ascii="Book Antiqua" w:hAnsi="Book Antiqua" w:cs="宋体"/>
          <w:b/>
          <w:bCs/>
          <w:sz w:val="24"/>
          <w:szCs w:val="24"/>
          <w:lang w:val="en-US" w:eastAsia="zh-CN"/>
        </w:rPr>
        <w:t>Tei TM</w:t>
      </w:r>
      <w:r w:rsidRPr="00FF0F1B">
        <w:rPr>
          <w:rFonts w:ascii="Book Antiqua" w:hAnsi="Book Antiqua" w:cs="宋体"/>
          <w:sz w:val="24"/>
          <w:szCs w:val="24"/>
          <w:lang w:val="en-US" w:eastAsia="zh-CN"/>
        </w:rPr>
        <w:t xml:space="preserve">, Kissmeyer-Nielsen P, Christensen H, Flyvbjerg A. Growth hormone treatment increases transmural colonic growth in GH-deficient dwarf rats. </w:t>
      </w:r>
      <w:r w:rsidRPr="00FF0F1B">
        <w:rPr>
          <w:rFonts w:ascii="Book Antiqua" w:hAnsi="Book Antiqua" w:cs="宋体"/>
          <w:i/>
          <w:iCs/>
          <w:sz w:val="24"/>
          <w:szCs w:val="24"/>
          <w:lang w:val="en-US" w:eastAsia="zh-CN"/>
        </w:rPr>
        <w:t>Growth Horm IGF Res</w:t>
      </w:r>
      <w:r w:rsidRPr="00FF0F1B">
        <w:rPr>
          <w:rFonts w:ascii="Book Antiqua" w:hAnsi="Book Antiqua" w:cs="宋体"/>
          <w:sz w:val="24"/>
          <w:szCs w:val="24"/>
          <w:lang w:val="en-US" w:eastAsia="zh-CN"/>
        </w:rPr>
        <w:t xml:space="preserve"> 2000; </w:t>
      </w:r>
      <w:r w:rsidRPr="00FF0F1B">
        <w:rPr>
          <w:rFonts w:ascii="Book Antiqua" w:hAnsi="Book Antiqua" w:cs="宋体"/>
          <w:b/>
          <w:bCs/>
          <w:sz w:val="24"/>
          <w:szCs w:val="24"/>
          <w:lang w:val="en-US" w:eastAsia="zh-CN"/>
        </w:rPr>
        <w:t>10</w:t>
      </w:r>
      <w:r w:rsidRPr="00FF0F1B">
        <w:rPr>
          <w:rFonts w:ascii="Book Antiqua" w:hAnsi="Book Antiqua" w:cs="宋体"/>
          <w:sz w:val="24"/>
          <w:szCs w:val="24"/>
          <w:lang w:val="en-US" w:eastAsia="zh-CN"/>
        </w:rPr>
        <w:t>: 85-92 [PMID: 10931746 DOI: 10.1054/ghir.2000.0144]</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25 </w:t>
      </w:r>
      <w:r w:rsidRPr="00FF0F1B">
        <w:rPr>
          <w:rFonts w:ascii="Book Antiqua" w:hAnsi="Book Antiqua" w:cs="宋体"/>
          <w:b/>
          <w:bCs/>
          <w:sz w:val="24"/>
          <w:szCs w:val="24"/>
          <w:lang w:val="en-US" w:eastAsia="zh-CN"/>
        </w:rPr>
        <w:t>Li Y</w:t>
      </w:r>
      <w:r w:rsidRPr="00FF0F1B">
        <w:rPr>
          <w:rFonts w:ascii="Book Antiqua" w:hAnsi="Book Antiqua" w:cs="宋体"/>
          <w:sz w:val="24"/>
          <w:szCs w:val="24"/>
          <w:lang w:val="en-US" w:eastAsia="zh-CN"/>
        </w:rPr>
        <w:t xml:space="preserve">, Bao Y, Jiang T, Tan L, Liu F, Li J. Combination of fibrin glue with growth hormone augments healing of incomplete intestinal anastomoses in a rat model of intra-abdominal sepsis: a dynamic study. </w:t>
      </w:r>
      <w:r w:rsidRPr="00FF0F1B">
        <w:rPr>
          <w:rFonts w:ascii="Book Antiqua" w:hAnsi="Book Antiqua" w:cs="宋体"/>
          <w:i/>
          <w:iCs/>
          <w:sz w:val="24"/>
          <w:szCs w:val="24"/>
          <w:lang w:val="en-US" w:eastAsia="zh-CN"/>
        </w:rPr>
        <w:t>J Invest Surg</w:t>
      </w:r>
      <w:r w:rsidRPr="00FF0F1B">
        <w:rPr>
          <w:rFonts w:ascii="Book Antiqua" w:hAnsi="Book Antiqua" w:cs="宋体"/>
          <w:sz w:val="24"/>
          <w:szCs w:val="24"/>
          <w:lang w:val="en-US" w:eastAsia="zh-CN"/>
        </w:rPr>
        <w:t xml:space="preserve"> </w:t>
      </w:r>
      <w:r>
        <w:rPr>
          <w:rFonts w:ascii="Book Antiqua" w:hAnsi="Book Antiqua" w:cs="宋体"/>
          <w:sz w:val="24"/>
          <w:szCs w:val="24"/>
          <w:lang w:val="en-US" w:eastAsia="zh-CN"/>
        </w:rPr>
        <w:t>2007</w:t>
      </w:r>
      <w:r w:rsidRPr="00FF0F1B">
        <w:rPr>
          <w:rFonts w:ascii="Book Antiqua" w:hAnsi="Book Antiqua" w:cs="宋体"/>
          <w:sz w:val="24"/>
          <w:szCs w:val="24"/>
          <w:lang w:val="en-US" w:eastAsia="zh-CN"/>
        </w:rPr>
        <w:t xml:space="preserve">; </w:t>
      </w:r>
      <w:r w:rsidRPr="00FF0F1B">
        <w:rPr>
          <w:rFonts w:ascii="Book Antiqua" w:hAnsi="Book Antiqua" w:cs="宋体"/>
          <w:b/>
          <w:bCs/>
          <w:sz w:val="24"/>
          <w:szCs w:val="24"/>
          <w:lang w:val="en-US" w:eastAsia="zh-CN"/>
        </w:rPr>
        <w:t>20</w:t>
      </w:r>
      <w:r w:rsidRPr="00FF0F1B">
        <w:rPr>
          <w:rFonts w:ascii="Book Antiqua" w:hAnsi="Book Antiqua" w:cs="宋体"/>
          <w:sz w:val="24"/>
          <w:szCs w:val="24"/>
          <w:lang w:val="en-US" w:eastAsia="zh-CN"/>
        </w:rPr>
        <w:t>: 301-306 [PMID: 17972218 DOI: 10.1080/08941930701598826]</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26 </w:t>
      </w:r>
      <w:r w:rsidRPr="00FF0F1B">
        <w:rPr>
          <w:rFonts w:ascii="Book Antiqua" w:hAnsi="Book Antiqua" w:cs="宋体"/>
          <w:b/>
          <w:sz w:val="24"/>
          <w:szCs w:val="24"/>
          <w:lang w:val="en-US" w:eastAsia="zh-CN"/>
        </w:rPr>
        <w:t>Segel HG</w:t>
      </w:r>
      <w:r w:rsidRPr="00FF0F1B">
        <w:rPr>
          <w:rFonts w:ascii="Book Antiqua" w:hAnsi="Book Antiqua" w:cs="宋体"/>
          <w:sz w:val="24"/>
          <w:szCs w:val="24"/>
          <w:lang w:val="en-US" w:eastAsia="zh-CN"/>
        </w:rPr>
        <w:t>, Petras ER. Small intestine. In: Sternberg SS editor. Histology for pathologists. New York: Lippincott-Raven, 1997</w:t>
      </w:r>
      <w:r>
        <w:rPr>
          <w:rFonts w:ascii="Book Antiqua" w:hAnsi="Book Antiqua" w:cs="宋体"/>
          <w:sz w:val="24"/>
          <w:szCs w:val="24"/>
          <w:lang w:val="en-US" w:eastAsia="zh-CN"/>
        </w:rPr>
        <w:t>: 547-569</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27 </w:t>
      </w:r>
      <w:r w:rsidRPr="00FF0F1B">
        <w:rPr>
          <w:rFonts w:ascii="Book Antiqua" w:hAnsi="Book Antiqua" w:cs="宋体"/>
          <w:b/>
          <w:bCs/>
          <w:sz w:val="24"/>
          <w:szCs w:val="24"/>
          <w:lang w:val="en-US" w:eastAsia="zh-CN"/>
        </w:rPr>
        <w:t>Saday C</w:t>
      </w:r>
      <w:r w:rsidRPr="00FF0F1B">
        <w:rPr>
          <w:rFonts w:ascii="Book Antiqua" w:hAnsi="Book Antiqua" w:cs="宋体"/>
          <w:sz w:val="24"/>
          <w:szCs w:val="24"/>
          <w:lang w:val="en-US" w:eastAsia="zh-CN"/>
        </w:rPr>
        <w:t xml:space="preserve">, Mir E. A surgical model to increase the intestinal absorptive surface: intestinal lengthening and growing neomucosa in the same approach. </w:t>
      </w:r>
      <w:r w:rsidRPr="00FF0F1B">
        <w:rPr>
          <w:rFonts w:ascii="Book Antiqua" w:hAnsi="Book Antiqua" w:cs="宋体"/>
          <w:i/>
          <w:iCs/>
          <w:sz w:val="24"/>
          <w:szCs w:val="24"/>
          <w:lang w:val="en-US" w:eastAsia="zh-CN"/>
        </w:rPr>
        <w:t>J Surg Res</w:t>
      </w:r>
      <w:r w:rsidRPr="00FF0F1B">
        <w:rPr>
          <w:rFonts w:ascii="Book Antiqua" w:hAnsi="Book Antiqua" w:cs="宋体"/>
          <w:sz w:val="24"/>
          <w:szCs w:val="24"/>
          <w:lang w:val="en-US" w:eastAsia="zh-CN"/>
        </w:rPr>
        <w:t xml:space="preserve"> 1996; </w:t>
      </w:r>
      <w:r w:rsidRPr="00FF0F1B">
        <w:rPr>
          <w:rFonts w:ascii="Book Antiqua" w:hAnsi="Book Antiqua" w:cs="宋体"/>
          <w:b/>
          <w:bCs/>
          <w:sz w:val="24"/>
          <w:szCs w:val="24"/>
          <w:lang w:val="en-US" w:eastAsia="zh-CN"/>
        </w:rPr>
        <w:t>62</w:t>
      </w:r>
      <w:r w:rsidRPr="00FF0F1B">
        <w:rPr>
          <w:rFonts w:ascii="Book Antiqua" w:hAnsi="Book Antiqua" w:cs="宋体"/>
          <w:sz w:val="24"/>
          <w:szCs w:val="24"/>
          <w:lang w:val="en-US" w:eastAsia="zh-CN"/>
        </w:rPr>
        <w:t>: 184-191 [PMID: 8632637 DOI: 10.1006/jsre.1996.0193]</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28 </w:t>
      </w:r>
      <w:r w:rsidRPr="00FF0F1B">
        <w:rPr>
          <w:rFonts w:ascii="Book Antiqua" w:hAnsi="Book Antiqua" w:cs="宋体"/>
          <w:b/>
          <w:bCs/>
          <w:sz w:val="24"/>
          <w:szCs w:val="24"/>
          <w:lang w:val="en-US" w:eastAsia="zh-CN"/>
        </w:rPr>
        <w:t>Erez I</w:t>
      </w:r>
      <w:r w:rsidRPr="00FF0F1B">
        <w:rPr>
          <w:rFonts w:ascii="Book Antiqua" w:hAnsi="Book Antiqua" w:cs="宋体"/>
          <w:sz w:val="24"/>
          <w:szCs w:val="24"/>
          <w:lang w:val="en-US" w:eastAsia="zh-CN"/>
        </w:rPr>
        <w:t xml:space="preserve">, Rode H, Cywes S. [Enteroperitoneal anastomosis for short bowel syndrome]. </w:t>
      </w:r>
      <w:r w:rsidRPr="00FF0F1B">
        <w:rPr>
          <w:rFonts w:ascii="Book Antiqua" w:hAnsi="Book Antiqua" w:cs="宋体"/>
          <w:i/>
          <w:iCs/>
          <w:sz w:val="24"/>
          <w:szCs w:val="24"/>
          <w:lang w:val="en-US" w:eastAsia="zh-CN"/>
        </w:rPr>
        <w:t>Harefuah</w:t>
      </w:r>
      <w:r w:rsidRPr="00FF0F1B">
        <w:rPr>
          <w:rFonts w:ascii="Book Antiqua" w:hAnsi="Book Antiqua" w:cs="宋体"/>
          <w:sz w:val="24"/>
          <w:szCs w:val="24"/>
          <w:lang w:val="en-US" w:eastAsia="zh-CN"/>
        </w:rPr>
        <w:t xml:space="preserve"> 1992; </w:t>
      </w:r>
      <w:r w:rsidRPr="00FF0F1B">
        <w:rPr>
          <w:rFonts w:ascii="Book Antiqua" w:hAnsi="Book Antiqua" w:cs="宋体"/>
          <w:b/>
          <w:bCs/>
          <w:sz w:val="24"/>
          <w:szCs w:val="24"/>
          <w:lang w:val="en-US" w:eastAsia="zh-CN"/>
        </w:rPr>
        <w:t>123</w:t>
      </w:r>
      <w:r w:rsidRPr="00FF0F1B">
        <w:rPr>
          <w:rFonts w:ascii="Book Antiqua" w:hAnsi="Book Antiqua" w:cs="宋体"/>
          <w:sz w:val="24"/>
          <w:szCs w:val="24"/>
          <w:lang w:val="en-US" w:eastAsia="zh-CN"/>
        </w:rPr>
        <w:t>: 5-8, 72 [PMID: 1505847]</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29 </w:t>
      </w:r>
      <w:r w:rsidRPr="00FF0F1B">
        <w:rPr>
          <w:rFonts w:ascii="Book Antiqua" w:hAnsi="Book Antiqua" w:cs="宋体"/>
          <w:b/>
          <w:bCs/>
          <w:sz w:val="24"/>
          <w:szCs w:val="24"/>
          <w:lang w:val="en-US" w:eastAsia="zh-CN"/>
        </w:rPr>
        <w:t>Bragg LE</w:t>
      </w:r>
      <w:r w:rsidRPr="00FF0F1B">
        <w:rPr>
          <w:rFonts w:ascii="Book Antiqua" w:hAnsi="Book Antiqua" w:cs="宋体"/>
          <w:sz w:val="24"/>
          <w:szCs w:val="24"/>
          <w:lang w:val="en-US" w:eastAsia="zh-CN"/>
        </w:rPr>
        <w:t xml:space="preserve">, Thompson JS. The influence of serosal patch size on the growth of small intestinal neomucosa. </w:t>
      </w:r>
      <w:r w:rsidRPr="00FF0F1B">
        <w:rPr>
          <w:rFonts w:ascii="Book Antiqua" w:hAnsi="Book Antiqua" w:cs="宋体"/>
          <w:i/>
          <w:iCs/>
          <w:sz w:val="24"/>
          <w:szCs w:val="24"/>
          <w:lang w:val="en-US" w:eastAsia="zh-CN"/>
        </w:rPr>
        <w:t>J Surg Res</w:t>
      </w:r>
      <w:r w:rsidRPr="00FF0F1B">
        <w:rPr>
          <w:rFonts w:ascii="Book Antiqua" w:hAnsi="Book Antiqua" w:cs="宋体"/>
          <w:sz w:val="24"/>
          <w:szCs w:val="24"/>
          <w:lang w:val="en-US" w:eastAsia="zh-CN"/>
        </w:rPr>
        <w:t xml:space="preserve"> 1986; </w:t>
      </w:r>
      <w:r w:rsidRPr="00FF0F1B">
        <w:rPr>
          <w:rFonts w:ascii="Book Antiqua" w:hAnsi="Book Antiqua" w:cs="宋体"/>
          <w:b/>
          <w:bCs/>
          <w:sz w:val="24"/>
          <w:szCs w:val="24"/>
          <w:lang w:val="en-US" w:eastAsia="zh-CN"/>
        </w:rPr>
        <w:t>40</w:t>
      </w:r>
      <w:r w:rsidRPr="00FF0F1B">
        <w:rPr>
          <w:rFonts w:ascii="Book Antiqua" w:hAnsi="Book Antiqua" w:cs="宋体"/>
          <w:sz w:val="24"/>
          <w:szCs w:val="24"/>
          <w:lang w:val="en-US" w:eastAsia="zh-CN"/>
        </w:rPr>
        <w:t>: 426-431 [PMID: 3090369 DOI: 10.1016/0022-4804(86)90210-6]</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lastRenderedPageBreak/>
        <w:t xml:space="preserve">30 </w:t>
      </w:r>
      <w:r w:rsidRPr="00FF0F1B">
        <w:rPr>
          <w:rFonts w:ascii="Book Antiqua" w:hAnsi="Book Antiqua" w:cs="宋体"/>
          <w:b/>
          <w:bCs/>
          <w:sz w:val="24"/>
          <w:szCs w:val="24"/>
          <w:lang w:val="en-US" w:eastAsia="zh-CN"/>
        </w:rPr>
        <w:t>Zhou X</w:t>
      </w:r>
      <w:r w:rsidRPr="00FF0F1B">
        <w:rPr>
          <w:rFonts w:ascii="Book Antiqua" w:hAnsi="Book Antiqua" w:cs="宋体"/>
          <w:sz w:val="24"/>
          <w:szCs w:val="24"/>
          <w:lang w:val="en-US" w:eastAsia="zh-CN"/>
        </w:rPr>
        <w:t xml:space="preserve">, Li YX, Li N, Li JS. Effect of bowel rehabilitative therapy on structural adaptation of remnant small intestine: animal experiment. </w:t>
      </w:r>
      <w:r w:rsidRPr="00FF0F1B">
        <w:rPr>
          <w:rFonts w:ascii="Book Antiqua" w:hAnsi="Book Antiqua" w:cs="宋体"/>
          <w:i/>
          <w:iCs/>
          <w:sz w:val="24"/>
          <w:szCs w:val="24"/>
          <w:lang w:val="en-US" w:eastAsia="zh-CN"/>
        </w:rPr>
        <w:t>World J Gastroenterol</w:t>
      </w:r>
      <w:r w:rsidRPr="00FF0F1B">
        <w:rPr>
          <w:rFonts w:ascii="Book Antiqua" w:hAnsi="Book Antiqua" w:cs="宋体"/>
          <w:sz w:val="24"/>
          <w:szCs w:val="24"/>
          <w:lang w:val="en-US" w:eastAsia="zh-CN"/>
        </w:rPr>
        <w:t xml:space="preserve"> 2001; </w:t>
      </w:r>
      <w:r w:rsidRPr="00FF0F1B">
        <w:rPr>
          <w:rFonts w:ascii="Book Antiqua" w:hAnsi="Book Antiqua" w:cs="宋体"/>
          <w:b/>
          <w:bCs/>
          <w:sz w:val="24"/>
          <w:szCs w:val="24"/>
          <w:lang w:val="en-US" w:eastAsia="zh-CN"/>
        </w:rPr>
        <w:t>7</w:t>
      </w:r>
      <w:r w:rsidRPr="00FF0F1B">
        <w:rPr>
          <w:rFonts w:ascii="Book Antiqua" w:hAnsi="Book Antiqua" w:cs="宋体"/>
          <w:sz w:val="24"/>
          <w:szCs w:val="24"/>
          <w:lang w:val="en-US" w:eastAsia="zh-CN"/>
        </w:rPr>
        <w:t>: 66-73 [PMID: 11819735]</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31 </w:t>
      </w:r>
      <w:r w:rsidRPr="00FF0F1B">
        <w:rPr>
          <w:rFonts w:ascii="Book Antiqua" w:hAnsi="Book Antiqua" w:cs="宋体"/>
          <w:b/>
          <w:bCs/>
          <w:sz w:val="24"/>
          <w:szCs w:val="24"/>
          <w:lang w:val="en-US" w:eastAsia="zh-CN"/>
        </w:rPr>
        <w:t>Botsios DS</w:t>
      </w:r>
      <w:r w:rsidRPr="00FF0F1B">
        <w:rPr>
          <w:rFonts w:ascii="Book Antiqua" w:hAnsi="Book Antiqua" w:cs="宋体"/>
          <w:sz w:val="24"/>
          <w:szCs w:val="24"/>
          <w:lang w:val="en-US" w:eastAsia="zh-CN"/>
        </w:rPr>
        <w:t xml:space="preserve">, Vasiliadis KD. Factors enhancing intestinal adaptation after bowel compensation. </w:t>
      </w:r>
      <w:r w:rsidRPr="00FF0F1B">
        <w:rPr>
          <w:rFonts w:ascii="Book Antiqua" w:hAnsi="Book Antiqua" w:cs="宋体"/>
          <w:i/>
          <w:iCs/>
          <w:sz w:val="24"/>
          <w:szCs w:val="24"/>
          <w:lang w:val="en-US" w:eastAsia="zh-CN"/>
        </w:rPr>
        <w:t>Dig Dis</w:t>
      </w:r>
      <w:r w:rsidRPr="00FF0F1B">
        <w:rPr>
          <w:rFonts w:ascii="Book Antiqua" w:hAnsi="Book Antiqua" w:cs="宋体"/>
          <w:sz w:val="24"/>
          <w:szCs w:val="24"/>
          <w:lang w:val="en-US" w:eastAsia="zh-CN"/>
        </w:rPr>
        <w:t xml:space="preserve"> 2003; </w:t>
      </w:r>
      <w:r w:rsidRPr="00FF0F1B">
        <w:rPr>
          <w:rFonts w:ascii="Book Antiqua" w:hAnsi="Book Antiqua" w:cs="宋体"/>
          <w:b/>
          <w:bCs/>
          <w:sz w:val="24"/>
          <w:szCs w:val="24"/>
          <w:lang w:val="en-US" w:eastAsia="zh-CN"/>
        </w:rPr>
        <w:t>21</w:t>
      </w:r>
      <w:r w:rsidRPr="00FF0F1B">
        <w:rPr>
          <w:rFonts w:ascii="Book Antiqua" w:hAnsi="Book Antiqua" w:cs="宋体"/>
          <w:sz w:val="24"/>
          <w:szCs w:val="24"/>
          <w:lang w:val="en-US" w:eastAsia="zh-CN"/>
        </w:rPr>
        <w:t>: 228-236 [PMID: 14571096 DOI: 10.1159/000073340]</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32 </w:t>
      </w:r>
      <w:r w:rsidRPr="00FF0F1B">
        <w:rPr>
          <w:rFonts w:ascii="Book Antiqua" w:hAnsi="Book Antiqua" w:cs="宋体"/>
          <w:b/>
          <w:bCs/>
          <w:sz w:val="24"/>
          <w:szCs w:val="24"/>
          <w:lang w:val="en-US" w:eastAsia="zh-CN"/>
        </w:rPr>
        <w:t>Thompson JS</w:t>
      </w:r>
      <w:r w:rsidRPr="00FF0F1B">
        <w:rPr>
          <w:rFonts w:ascii="Book Antiqua" w:hAnsi="Book Antiqua" w:cs="宋体"/>
          <w:sz w:val="24"/>
          <w:szCs w:val="24"/>
          <w:lang w:val="en-US" w:eastAsia="zh-CN"/>
        </w:rPr>
        <w:t xml:space="preserve">. Epidermal growth factor inhibits somatostatin-induced apoptosis. </w:t>
      </w:r>
      <w:r w:rsidRPr="00FF0F1B">
        <w:rPr>
          <w:rFonts w:ascii="Book Antiqua" w:hAnsi="Book Antiqua" w:cs="宋体"/>
          <w:i/>
          <w:iCs/>
          <w:sz w:val="24"/>
          <w:szCs w:val="24"/>
          <w:lang w:val="en-US" w:eastAsia="zh-CN"/>
        </w:rPr>
        <w:t>J Surg Res</w:t>
      </w:r>
      <w:r w:rsidRPr="00FF0F1B">
        <w:rPr>
          <w:rFonts w:ascii="Book Antiqua" w:hAnsi="Book Antiqua" w:cs="宋体"/>
          <w:sz w:val="24"/>
          <w:szCs w:val="24"/>
          <w:lang w:val="en-US" w:eastAsia="zh-CN"/>
        </w:rPr>
        <w:t xml:space="preserve"> 1999; </w:t>
      </w:r>
      <w:r w:rsidRPr="00FF0F1B">
        <w:rPr>
          <w:rFonts w:ascii="Book Antiqua" w:hAnsi="Book Antiqua" w:cs="宋体"/>
          <w:b/>
          <w:bCs/>
          <w:sz w:val="24"/>
          <w:szCs w:val="24"/>
          <w:lang w:val="en-US" w:eastAsia="zh-CN"/>
        </w:rPr>
        <w:t>81</w:t>
      </w:r>
      <w:r w:rsidRPr="00FF0F1B">
        <w:rPr>
          <w:rFonts w:ascii="Book Antiqua" w:hAnsi="Book Antiqua" w:cs="宋体"/>
          <w:sz w:val="24"/>
          <w:szCs w:val="24"/>
          <w:lang w:val="en-US" w:eastAsia="zh-CN"/>
        </w:rPr>
        <w:t>: 95-100 [PMID: 9889066 DOI: 10.1006/jsre.1998.5468]</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33 </w:t>
      </w:r>
      <w:r w:rsidRPr="00FF0F1B">
        <w:rPr>
          <w:rFonts w:ascii="Book Antiqua" w:hAnsi="Book Antiqua" w:cs="宋体"/>
          <w:b/>
          <w:bCs/>
          <w:sz w:val="24"/>
          <w:szCs w:val="24"/>
          <w:lang w:val="en-US" w:eastAsia="zh-CN"/>
        </w:rPr>
        <w:t>Seguy D</w:t>
      </w:r>
      <w:r w:rsidRPr="00FF0F1B">
        <w:rPr>
          <w:rFonts w:ascii="Book Antiqua" w:hAnsi="Book Antiqua" w:cs="宋体"/>
          <w:sz w:val="24"/>
          <w:szCs w:val="24"/>
          <w:lang w:val="en-US" w:eastAsia="zh-CN"/>
        </w:rPr>
        <w:t xml:space="preserve">, Vahedi K, Kapel N, Souberbielle JC, Messing B. Low-dose growth hormone in adult home parenteral nutrition-dependent short bowel syndrome patients: a positive study. </w:t>
      </w:r>
      <w:r w:rsidRPr="00FF0F1B">
        <w:rPr>
          <w:rFonts w:ascii="Book Antiqua" w:hAnsi="Book Antiqua" w:cs="宋体"/>
          <w:i/>
          <w:iCs/>
          <w:sz w:val="24"/>
          <w:szCs w:val="24"/>
          <w:lang w:val="en-US" w:eastAsia="zh-CN"/>
        </w:rPr>
        <w:t>Gastroenterology</w:t>
      </w:r>
      <w:r w:rsidRPr="00FF0F1B">
        <w:rPr>
          <w:rFonts w:ascii="Book Antiqua" w:hAnsi="Book Antiqua" w:cs="宋体"/>
          <w:sz w:val="24"/>
          <w:szCs w:val="24"/>
          <w:lang w:val="en-US" w:eastAsia="zh-CN"/>
        </w:rPr>
        <w:t xml:space="preserve"> 2003; </w:t>
      </w:r>
      <w:r w:rsidRPr="00FF0F1B">
        <w:rPr>
          <w:rFonts w:ascii="Book Antiqua" w:hAnsi="Book Antiqua" w:cs="宋体"/>
          <w:b/>
          <w:bCs/>
          <w:sz w:val="24"/>
          <w:szCs w:val="24"/>
          <w:lang w:val="en-US" w:eastAsia="zh-CN"/>
        </w:rPr>
        <w:t>124</w:t>
      </w:r>
      <w:r w:rsidRPr="00FF0F1B">
        <w:rPr>
          <w:rFonts w:ascii="Book Antiqua" w:hAnsi="Book Antiqua" w:cs="宋体"/>
          <w:sz w:val="24"/>
          <w:szCs w:val="24"/>
          <w:lang w:val="en-US" w:eastAsia="zh-CN"/>
        </w:rPr>
        <w:t>: 293-302 [PMID: 12557135 DOI: 10.1053/gast.2003.50057]</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34 </w:t>
      </w:r>
      <w:r w:rsidRPr="00FF0F1B">
        <w:rPr>
          <w:rFonts w:ascii="Book Antiqua" w:hAnsi="Book Antiqua" w:cs="宋体"/>
          <w:b/>
          <w:bCs/>
          <w:sz w:val="24"/>
          <w:szCs w:val="24"/>
          <w:lang w:val="en-US" w:eastAsia="zh-CN"/>
        </w:rPr>
        <w:t>Raschke M</w:t>
      </w:r>
      <w:r w:rsidRPr="00FF0F1B">
        <w:rPr>
          <w:rFonts w:ascii="Book Antiqua" w:hAnsi="Book Antiqua" w:cs="宋体"/>
          <w:sz w:val="24"/>
          <w:szCs w:val="24"/>
          <w:lang w:val="en-US" w:eastAsia="zh-CN"/>
        </w:rPr>
        <w:t xml:space="preserve">, Rasmussen MH, Govender S, Segal D, Suntum M, Christiansen JS. Effects of growth hormone in patients with tibial fracture: a randomised, double-blind, placebo-controlled clinical trial. </w:t>
      </w:r>
      <w:r w:rsidRPr="00FF0F1B">
        <w:rPr>
          <w:rFonts w:ascii="Book Antiqua" w:hAnsi="Book Antiqua" w:cs="宋体"/>
          <w:i/>
          <w:iCs/>
          <w:sz w:val="24"/>
          <w:szCs w:val="24"/>
          <w:lang w:val="en-US" w:eastAsia="zh-CN"/>
        </w:rPr>
        <w:t>Eur J Endocrinol</w:t>
      </w:r>
      <w:r w:rsidRPr="00FF0F1B">
        <w:rPr>
          <w:rFonts w:ascii="Book Antiqua" w:hAnsi="Book Antiqua" w:cs="宋体"/>
          <w:sz w:val="24"/>
          <w:szCs w:val="24"/>
          <w:lang w:val="en-US" w:eastAsia="zh-CN"/>
        </w:rPr>
        <w:t xml:space="preserve"> 2007; </w:t>
      </w:r>
      <w:r w:rsidRPr="00FF0F1B">
        <w:rPr>
          <w:rFonts w:ascii="Book Antiqua" w:hAnsi="Book Antiqua" w:cs="宋体"/>
          <w:b/>
          <w:bCs/>
          <w:sz w:val="24"/>
          <w:szCs w:val="24"/>
          <w:lang w:val="en-US" w:eastAsia="zh-CN"/>
        </w:rPr>
        <w:t>156</w:t>
      </w:r>
      <w:r w:rsidRPr="00FF0F1B">
        <w:rPr>
          <w:rFonts w:ascii="Book Antiqua" w:hAnsi="Book Antiqua" w:cs="宋体"/>
          <w:sz w:val="24"/>
          <w:szCs w:val="24"/>
          <w:lang w:val="en-US" w:eastAsia="zh-CN"/>
        </w:rPr>
        <w:t>: 341-351 [PMID: 17322494 DOI: 10.1530/EJE-06-0598]</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35 </w:t>
      </w:r>
      <w:r w:rsidRPr="00FF0F1B">
        <w:rPr>
          <w:rFonts w:ascii="Book Antiqua" w:hAnsi="Book Antiqua" w:cs="宋体"/>
          <w:b/>
          <w:bCs/>
          <w:sz w:val="24"/>
          <w:szCs w:val="24"/>
          <w:lang w:val="en-US" w:eastAsia="zh-CN"/>
        </w:rPr>
        <w:t>Sevette A</w:t>
      </w:r>
      <w:r w:rsidRPr="00FF0F1B">
        <w:rPr>
          <w:rFonts w:ascii="Book Antiqua" w:hAnsi="Book Antiqua" w:cs="宋体"/>
          <w:sz w:val="24"/>
          <w:szCs w:val="24"/>
          <w:lang w:val="en-US" w:eastAsia="zh-CN"/>
        </w:rPr>
        <w:t xml:space="preserve">, Smith RC, Aslani A, Kee AJ, Hansen R, Barratt SM, Baxter RC. Does growth hormone allow more efficient nitrogen sparing in postoperative patients requiring parenteral nutrition? A double-blind, placebo-controlled randomised trial. </w:t>
      </w:r>
      <w:r w:rsidRPr="00FF0F1B">
        <w:rPr>
          <w:rFonts w:ascii="Book Antiqua" w:hAnsi="Book Antiqua" w:cs="宋体"/>
          <w:i/>
          <w:iCs/>
          <w:sz w:val="24"/>
          <w:szCs w:val="24"/>
          <w:lang w:val="en-US" w:eastAsia="zh-CN"/>
        </w:rPr>
        <w:t>Clin Nutr</w:t>
      </w:r>
      <w:r w:rsidRPr="00FF0F1B">
        <w:rPr>
          <w:rFonts w:ascii="Book Antiqua" w:hAnsi="Book Antiqua" w:cs="宋体"/>
          <w:sz w:val="24"/>
          <w:szCs w:val="24"/>
          <w:lang w:val="en-US" w:eastAsia="zh-CN"/>
        </w:rPr>
        <w:t xml:space="preserve"> 2005; </w:t>
      </w:r>
      <w:r w:rsidRPr="00FF0F1B">
        <w:rPr>
          <w:rFonts w:ascii="Book Antiqua" w:hAnsi="Book Antiqua" w:cs="宋体"/>
          <w:b/>
          <w:bCs/>
          <w:sz w:val="24"/>
          <w:szCs w:val="24"/>
          <w:lang w:val="en-US" w:eastAsia="zh-CN"/>
        </w:rPr>
        <w:t>24</w:t>
      </w:r>
      <w:r w:rsidRPr="00FF0F1B">
        <w:rPr>
          <w:rFonts w:ascii="Book Antiqua" w:hAnsi="Book Antiqua" w:cs="宋体"/>
          <w:sz w:val="24"/>
          <w:szCs w:val="24"/>
          <w:lang w:val="en-US" w:eastAsia="zh-CN"/>
        </w:rPr>
        <w:t>: 943-955 [PMID: 16083996 DOI: 10.1016/j.clnu.2005.06.006]</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36 </w:t>
      </w:r>
      <w:r w:rsidRPr="00FF0F1B">
        <w:rPr>
          <w:rFonts w:ascii="Book Antiqua" w:hAnsi="Book Antiqua" w:cs="宋体"/>
          <w:b/>
          <w:bCs/>
          <w:sz w:val="24"/>
          <w:szCs w:val="24"/>
          <w:lang w:val="en-US" w:eastAsia="zh-CN"/>
        </w:rPr>
        <w:t>Chen SJ</w:t>
      </w:r>
      <w:r w:rsidRPr="00FF0F1B">
        <w:rPr>
          <w:rFonts w:ascii="Book Antiqua" w:hAnsi="Book Antiqua" w:cs="宋体"/>
          <w:sz w:val="24"/>
          <w:szCs w:val="24"/>
          <w:lang w:val="en-US" w:eastAsia="zh-CN"/>
        </w:rPr>
        <w:t xml:space="preserve">, Yu CT, Cheng YL, Yu SY, Lo HC. Effects of hyperbaric oxygen therapy on circulating interleukin-8, nitric oxide, and insulin-like growth factors in patients with type 2 diabetes mellitus. </w:t>
      </w:r>
      <w:r w:rsidRPr="00FF0F1B">
        <w:rPr>
          <w:rFonts w:ascii="Book Antiqua" w:hAnsi="Book Antiqua" w:cs="宋体"/>
          <w:i/>
          <w:iCs/>
          <w:sz w:val="24"/>
          <w:szCs w:val="24"/>
          <w:lang w:val="en-US" w:eastAsia="zh-CN"/>
        </w:rPr>
        <w:t>Clin Biochem</w:t>
      </w:r>
      <w:r w:rsidRPr="00FF0F1B">
        <w:rPr>
          <w:rFonts w:ascii="Book Antiqua" w:hAnsi="Book Antiqua" w:cs="宋体"/>
          <w:sz w:val="24"/>
          <w:szCs w:val="24"/>
          <w:lang w:val="en-US" w:eastAsia="zh-CN"/>
        </w:rPr>
        <w:t xml:space="preserve"> 2007; </w:t>
      </w:r>
      <w:r w:rsidRPr="00FF0F1B">
        <w:rPr>
          <w:rFonts w:ascii="Book Antiqua" w:hAnsi="Book Antiqua" w:cs="宋体"/>
          <w:b/>
          <w:bCs/>
          <w:sz w:val="24"/>
          <w:szCs w:val="24"/>
          <w:lang w:val="en-US" w:eastAsia="zh-CN"/>
        </w:rPr>
        <w:t>40</w:t>
      </w:r>
      <w:r w:rsidRPr="00FF0F1B">
        <w:rPr>
          <w:rFonts w:ascii="Book Antiqua" w:hAnsi="Book Antiqua" w:cs="宋体"/>
          <w:sz w:val="24"/>
          <w:szCs w:val="24"/>
          <w:lang w:val="en-US" w:eastAsia="zh-CN"/>
        </w:rPr>
        <w:t>: 30-36 [PMID: 16996047 DOI: 10.1016/j.clinbiochem.2006.07.007]</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37 </w:t>
      </w:r>
      <w:r w:rsidRPr="00FF0F1B">
        <w:rPr>
          <w:rFonts w:ascii="Book Antiqua" w:hAnsi="Book Antiqua" w:cs="宋体"/>
          <w:b/>
          <w:bCs/>
          <w:sz w:val="24"/>
          <w:szCs w:val="24"/>
          <w:lang w:val="en-US" w:eastAsia="zh-CN"/>
        </w:rPr>
        <w:t>Rachmilewitz D</w:t>
      </w:r>
      <w:r w:rsidRPr="00FF0F1B">
        <w:rPr>
          <w:rFonts w:ascii="Book Antiqua" w:hAnsi="Book Antiqua" w:cs="宋体"/>
          <w:sz w:val="24"/>
          <w:szCs w:val="24"/>
          <w:lang w:val="en-US" w:eastAsia="zh-CN"/>
        </w:rPr>
        <w:t xml:space="preserve">, Karmeli F, Okon E, Rubenstein I, Better OS. Hyperbaric oxygen: a novel modality to ameliorate experimental colitis. </w:t>
      </w:r>
      <w:r w:rsidRPr="00FF0F1B">
        <w:rPr>
          <w:rFonts w:ascii="Book Antiqua" w:hAnsi="Book Antiqua" w:cs="宋体"/>
          <w:i/>
          <w:iCs/>
          <w:sz w:val="24"/>
          <w:szCs w:val="24"/>
          <w:lang w:val="en-US" w:eastAsia="zh-CN"/>
        </w:rPr>
        <w:t>Gut</w:t>
      </w:r>
      <w:r w:rsidRPr="00FF0F1B">
        <w:rPr>
          <w:rFonts w:ascii="Book Antiqua" w:hAnsi="Book Antiqua" w:cs="宋体"/>
          <w:sz w:val="24"/>
          <w:szCs w:val="24"/>
          <w:lang w:val="en-US" w:eastAsia="zh-CN"/>
        </w:rPr>
        <w:t xml:space="preserve"> 1998; </w:t>
      </w:r>
      <w:r w:rsidRPr="00FF0F1B">
        <w:rPr>
          <w:rFonts w:ascii="Book Antiqua" w:hAnsi="Book Antiqua" w:cs="宋体"/>
          <w:b/>
          <w:bCs/>
          <w:sz w:val="24"/>
          <w:szCs w:val="24"/>
          <w:lang w:val="en-US" w:eastAsia="zh-CN"/>
        </w:rPr>
        <w:t>43</w:t>
      </w:r>
      <w:r w:rsidRPr="00FF0F1B">
        <w:rPr>
          <w:rFonts w:ascii="Book Antiqua" w:hAnsi="Book Antiqua" w:cs="宋体"/>
          <w:sz w:val="24"/>
          <w:szCs w:val="24"/>
          <w:lang w:val="en-US" w:eastAsia="zh-CN"/>
        </w:rPr>
        <w:t>: 512-518 [PMID: 9824579 DOI: 10.1136/gut.43.4.512]</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38 </w:t>
      </w:r>
      <w:r w:rsidRPr="00FF0F1B">
        <w:rPr>
          <w:rFonts w:ascii="Book Antiqua" w:hAnsi="Book Antiqua" w:cs="宋体"/>
          <w:b/>
          <w:bCs/>
          <w:sz w:val="24"/>
          <w:szCs w:val="24"/>
          <w:lang w:val="en-US" w:eastAsia="zh-CN"/>
        </w:rPr>
        <w:t>Kang TS</w:t>
      </w:r>
      <w:r w:rsidRPr="00FF0F1B">
        <w:rPr>
          <w:rFonts w:ascii="Book Antiqua" w:hAnsi="Book Antiqua" w:cs="宋体"/>
          <w:sz w:val="24"/>
          <w:szCs w:val="24"/>
          <w:lang w:val="en-US" w:eastAsia="zh-CN"/>
        </w:rPr>
        <w:t xml:space="preserve">, Gorti GK, Quan SY, Ho M, Koch RJ. Effect of hyperbaric oxygen on the growth factor profile of fibroblasts. </w:t>
      </w:r>
      <w:r w:rsidRPr="00FF0F1B">
        <w:rPr>
          <w:rFonts w:ascii="Book Antiqua" w:hAnsi="Book Antiqua" w:cs="宋体"/>
          <w:i/>
          <w:iCs/>
          <w:sz w:val="24"/>
          <w:szCs w:val="24"/>
          <w:lang w:val="en-US" w:eastAsia="zh-CN"/>
        </w:rPr>
        <w:t>Arch Facial Plast Surg</w:t>
      </w:r>
      <w:r w:rsidRPr="00FF0F1B">
        <w:rPr>
          <w:rFonts w:ascii="Book Antiqua" w:hAnsi="Book Antiqua" w:cs="宋体"/>
          <w:sz w:val="24"/>
          <w:szCs w:val="24"/>
          <w:lang w:val="en-US" w:eastAsia="zh-CN"/>
        </w:rPr>
        <w:t xml:space="preserve"> </w:t>
      </w:r>
      <w:r>
        <w:rPr>
          <w:rFonts w:ascii="Book Antiqua" w:hAnsi="Book Antiqua" w:cs="宋体"/>
          <w:sz w:val="24"/>
          <w:szCs w:val="24"/>
          <w:lang w:val="en-US" w:eastAsia="zh-CN"/>
        </w:rPr>
        <w:t>2004</w:t>
      </w:r>
      <w:r w:rsidRPr="00FF0F1B">
        <w:rPr>
          <w:rFonts w:ascii="Book Antiqua" w:hAnsi="Book Antiqua" w:cs="宋体"/>
          <w:sz w:val="24"/>
          <w:szCs w:val="24"/>
          <w:lang w:val="en-US" w:eastAsia="zh-CN"/>
        </w:rPr>
        <w:t xml:space="preserve">; </w:t>
      </w:r>
      <w:r w:rsidRPr="00FF0F1B">
        <w:rPr>
          <w:rFonts w:ascii="Book Antiqua" w:hAnsi="Book Antiqua" w:cs="宋体"/>
          <w:b/>
          <w:bCs/>
          <w:sz w:val="24"/>
          <w:szCs w:val="24"/>
          <w:lang w:val="en-US" w:eastAsia="zh-CN"/>
        </w:rPr>
        <w:t>6</w:t>
      </w:r>
      <w:r w:rsidRPr="00FF0F1B">
        <w:rPr>
          <w:rFonts w:ascii="Book Antiqua" w:hAnsi="Book Antiqua" w:cs="宋体"/>
          <w:sz w:val="24"/>
          <w:szCs w:val="24"/>
          <w:lang w:val="en-US" w:eastAsia="zh-CN"/>
        </w:rPr>
        <w:t>: 31-35 [PMID: 14732642 DOI: 10.1001/archfaci.6.1.31]</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39 </w:t>
      </w:r>
      <w:r w:rsidRPr="00FF0F1B">
        <w:rPr>
          <w:rFonts w:ascii="Book Antiqua" w:hAnsi="Book Antiqua" w:cs="宋体"/>
          <w:b/>
          <w:bCs/>
          <w:sz w:val="24"/>
          <w:szCs w:val="24"/>
          <w:lang w:val="en-US" w:eastAsia="zh-CN"/>
        </w:rPr>
        <w:t>Friedman HI</w:t>
      </w:r>
      <w:r w:rsidRPr="00FF0F1B">
        <w:rPr>
          <w:rFonts w:ascii="Book Antiqua" w:hAnsi="Book Antiqua" w:cs="宋体"/>
          <w:sz w:val="24"/>
          <w:szCs w:val="24"/>
          <w:lang w:val="en-US" w:eastAsia="zh-CN"/>
        </w:rPr>
        <w:t xml:space="preserve">, Fitzmaurice M, Lefaivre JF, Vecchiolla T, Clarke D. An evidence-based appraisal of the use of hyperbaric oxygen on flaps and grafts. </w:t>
      </w:r>
      <w:r w:rsidRPr="00FF0F1B">
        <w:rPr>
          <w:rFonts w:ascii="Book Antiqua" w:hAnsi="Book Antiqua" w:cs="宋体"/>
          <w:i/>
          <w:iCs/>
          <w:sz w:val="24"/>
          <w:szCs w:val="24"/>
          <w:lang w:val="en-US" w:eastAsia="zh-CN"/>
        </w:rPr>
        <w:t>Plast Reconstr Surg</w:t>
      </w:r>
      <w:r w:rsidRPr="00FF0F1B">
        <w:rPr>
          <w:rFonts w:ascii="Book Antiqua" w:hAnsi="Book Antiqua" w:cs="宋体"/>
          <w:sz w:val="24"/>
          <w:szCs w:val="24"/>
          <w:lang w:val="en-US" w:eastAsia="zh-CN"/>
        </w:rPr>
        <w:t xml:space="preserve"> 2006; </w:t>
      </w:r>
      <w:r w:rsidRPr="00FF0F1B">
        <w:rPr>
          <w:rFonts w:ascii="Book Antiqua" w:hAnsi="Book Antiqua" w:cs="宋体"/>
          <w:b/>
          <w:bCs/>
          <w:sz w:val="24"/>
          <w:szCs w:val="24"/>
          <w:lang w:val="en-US" w:eastAsia="zh-CN"/>
        </w:rPr>
        <w:t>117</w:t>
      </w:r>
      <w:r w:rsidRPr="00FF0F1B">
        <w:rPr>
          <w:rFonts w:ascii="Book Antiqua" w:hAnsi="Book Antiqua" w:cs="宋体"/>
          <w:sz w:val="24"/>
          <w:szCs w:val="24"/>
          <w:lang w:val="en-US" w:eastAsia="zh-CN"/>
        </w:rPr>
        <w:t>: 175S-190S; discussion 191S-192S [PMID: 16799386 DOI: 10.1097/01.prs.0000222555.84962.86]</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40 </w:t>
      </w:r>
      <w:r w:rsidRPr="00FF0F1B">
        <w:rPr>
          <w:rFonts w:ascii="Book Antiqua" w:hAnsi="Book Antiqua" w:cs="宋体"/>
          <w:b/>
          <w:bCs/>
          <w:sz w:val="24"/>
          <w:szCs w:val="24"/>
          <w:lang w:val="en-US" w:eastAsia="zh-CN"/>
        </w:rPr>
        <w:t>Akta</w:t>
      </w:r>
      <w:r w:rsidRPr="00FF0F1B">
        <w:rPr>
          <w:rFonts w:ascii="Book Antiqua" w:eastAsia="MS Mincho" w:hAnsi="Book Antiqua" w:cs="MS Mincho"/>
          <w:b/>
          <w:bCs/>
          <w:sz w:val="24"/>
          <w:szCs w:val="24"/>
          <w:lang w:val="en-US" w:eastAsia="zh-CN"/>
        </w:rPr>
        <w:t>ş</w:t>
      </w:r>
      <w:r w:rsidRPr="00FF0F1B">
        <w:rPr>
          <w:rFonts w:ascii="Book Antiqua" w:hAnsi="Book Antiqua" w:cs="宋体"/>
          <w:b/>
          <w:bCs/>
          <w:sz w:val="24"/>
          <w:szCs w:val="24"/>
          <w:lang w:val="en-US" w:eastAsia="zh-CN"/>
        </w:rPr>
        <w:t xml:space="preserve"> S</w:t>
      </w:r>
      <w:r w:rsidRPr="00FF0F1B">
        <w:rPr>
          <w:rFonts w:ascii="Book Antiqua" w:hAnsi="Book Antiqua" w:cs="宋体"/>
          <w:sz w:val="24"/>
          <w:szCs w:val="24"/>
          <w:lang w:val="en-US" w:eastAsia="zh-CN"/>
        </w:rPr>
        <w:t xml:space="preserve">, Toklu AS, Olgaç V. Hyperbaric oxygen therapy in adriamycin extravasation: an experimental animal study. </w:t>
      </w:r>
      <w:r w:rsidRPr="00FF0F1B">
        <w:rPr>
          <w:rFonts w:ascii="Book Antiqua" w:hAnsi="Book Antiqua" w:cs="宋体"/>
          <w:i/>
          <w:iCs/>
          <w:sz w:val="24"/>
          <w:szCs w:val="24"/>
          <w:lang w:val="en-US" w:eastAsia="zh-CN"/>
        </w:rPr>
        <w:t>Ann Plast Surg</w:t>
      </w:r>
      <w:r w:rsidRPr="00FF0F1B">
        <w:rPr>
          <w:rFonts w:ascii="Book Antiqua" w:hAnsi="Book Antiqua" w:cs="宋体"/>
          <w:sz w:val="24"/>
          <w:szCs w:val="24"/>
          <w:lang w:val="en-US" w:eastAsia="zh-CN"/>
        </w:rPr>
        <w:t xml:space="preserve"> 2000; </w:t>
      </w:r>
      <w:r w:rsidRPr="00FF0F1B">
        <w:rPr>
          <w:rFonts w:ascii="Book Antiqua" w:hAnsi="Book Antiqua" w:cs="宋体"/>
          <w:b/>
          <w:bCs/>
          <w:sz w:val="24"/>
          <w:szCs w:val="24"/>
          <w:lang w:val="en-US" w:eastAsia="zh-CN"/>
        </w:rPr>
        <w:t>45</w:t>
      </w:r>
      <w:r w:rsidRPr="00FF0F1B">
        <w:rPr>
          <w:rFonts w:ascii="Book Antiqua" w:hAnsi="Book Antiqua" w:cs="宋体"/>
          <w:sz w:val="24"/>
          <w:szCs w:val="24"/>
          <w:lang w:val="en-US" w:eastAsia="zh-CN"/>
        </w:rPr>
        <w:t>: 167-171 [PMID: 10949345 DOI: 10.1097/00000637-200045020-00012]</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41 </w:t>
      </w:r>
      <w:r w:rsidRPr="00FF0F1B">
        <w:rPr>
          <w:rFonts w:ascii="Book Antiqua" w:hAnsi="Book Antiqua" w:cs="宋体"/>
          <w:b/>
          <w:bCs/>
          <w:sz w:val="24"/>
          <w:szCs w:val="24"/>
          <w:lang w:val="en-US" w:eastAsia="zh-CN"/>
        </w:rPr>
        <w:t>Huddy JE</w:t>
      </w:r>
      <w:r w:rsidRPr="00FF0F1B">
        <w:rPr>
          <w:rFonts w:ascii="Book Antiqua" w:hAnsi="Book Antiqua" w:cs="宋体"/>
          <w:sz w:val="24"/>
          <w:szCs w:val="24"/>
          <w:lang w:val="en-US" w:eastAsia="zh-CN"/>
        </w:rPr>
        <w:t xml:space="preserve">, Patel P, Johnson MW, Hamilton-Farrell MR, Ede RJ, Sanderson JD. Hyperbaric oxygen as a treatment for malabsorption in a radiation-damaged short bowel. </w:t>
      </w:r>
      <w:r w:rsidRPr="00FF0F1B">
        <w:rPr>
          <w:rFonts w:ascii="Book Antiqua" w:hAnsi="Book Antiqua" w:cs="宋体"/>
          <w:i/>
          <w:iCs/>
          <w:sz w:val="24"/>
          <w:szCs w:val="24"/>
          <w:lang w:val="en-US" w:eastAsia="zh-CN"/>
        </w:rPr>
        <w:t>Eur J Gastroenterol Hepatol</w:t>
      </w:r>
      <w:r w:rsidRPr="00FF0F1B">
        <w:rPr>
          <w:rFonts w:ascii="Book Antiqua" w:hAnsi="Book Antiqua" w:cs="宋体"/>
          <w:sz w:val="24"/>
          <w:szCs w:val="24"/>
          <w:lang w:val="en-US" w:eastAsia="zh-CN"/>
        </w:rPr>
        <w:t xml:space="preserve"> 2006; </w:t>
      </w:r>
      <w:r w:rsidRPr="00FF0F1B">
        <w:rPr>
          <w:rFonts w:ascii="Book Antiqua" w:hAnsi="Book Antiqua" w:cs="宋体"/>
          <w:b/>
          <w:bCs/>
          <w:sz w:val="24"/>
          <w:szCs w:val="24"/>
          <w:lang w:val="en-US" w:eastAsia="zh-CN"/>
        </w:rPr>
        <w:t>18</w:t>
      </w:r>
      <w:r w:rsidRPr="00FF0F1B">
        <w:rPr>
          <w:rFonts w:ascii="Book Antiqua" w:hAnsi="Book Antiqua" w:cs="宋体"/>
          <w:sz w:val="24"/>
          <w:szCs w:val="24"/>
          <w:lang w:val="en-US" w:eastAsia="zh-CN"/>
        </w:rPr>
        <w:t>: 685-688 [PMID: 16702860 DOI: 10.1097/00042737-200606000-00017]</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42 </w:t>
      </w:r>
      <w:r w:rsidRPr="00FF0F1B">
        <w:rPr>
          <w:rFonts w:ascii="Book Antiqua" w:hAnsi="Book Antiqua" w:cs="宋体"/>
          <w:b/>
          <w:bCs/>
          <w:sz w:val="24"/>
          <w:szCs w:val="24"/>
          <w:lang w:val="en-US" w:eastAsia="zh-CN"/>
        </w:rPr>
        <w:t>Murphy DG</w:t>
      </w:r>
      <w:r w:rsidRPr="00FF0F1B">
        <w:rPr>
          <w:rFonts w:ascii="Book Antiqua" w:hAnsi="Book Antiqua" w:cs="宋体"/>
          <w:sz w:val="24"/>
          <w:szCs w:val="24"/>
          <w:lang w:val="en-US" w:eastAsia="zh-CN"/>
        </w:rPr>
        <w:t xml:space="preserve">, Sloan EP, Hart RG, Narasimhan K, Barreca RS. Tension pneumothorax associated with hyperbaric oxygen therapy. </w:t>
      </w:r>
      <w:r w:rsidRPr="00FF0F1B">
        <w:rPr>
          <w:rFonts w:ascii="Book Antiqua" w:hAnsi="Book Antiqua" w:cs="宋体"/>
          <w:i/>
          <w:iCs/>
          <w:sz w:val="24"/>
          <w:szCs w:val="24"/>
          <w:lang w:val="en-US" w:eastAsia="zh-CN"/>
        </w:rPr>
        <w:t>Am J Emerg Med</w:t>
      </w:r>
      <w:r w:rsidRPr="00FF0F1B">
        <w:rPr>
          <w:rFonts w:ascii="Book Antiqua" w:hAnsi="Book Antiqua" w:cs="宋体"/>
          <w:sz w:val="24"/>
          <w:szCs w:val="24"/>
          <w:lang w:val="en-US" w:eastAsia="zh-CN"/>
        </w:rPr>
        <w:t xml:space="preserve"> 1991; </w:t>
      </w:r>
      <w:r w:rsidRPr="00FF0F1B">
        <w:rPr>
          <w:rFonts w:ascii="Book Antiqua" w:hAnsi="Book Antiqua" w:cs="宋体"/>
          <w:b/>
          <w:bCs/>
          <w:sz w:val="24"/>
          <w:szCs w:val="24"/>
          <w:lang w:val="en-US" w:eastAsia="zh-CN"/>
        </w:rPr>
        <w:t>9</w:t>
      </w:r>
      <w:r w:rsidRPr="00FF0F1B">
        <w:rPr>
          <w:rFonts w:ascii="Book Antiqua" w:hAnsi="Book Antiqua" w:cs="宋体"/>
          <w:sz w:val="24"/>
          <w:szCs w:val="24"/>
          <w:lang w:val="en-US" w:eastAsia="zh-CN"/>
        </w:rPr>
        <w:t>: 176-179 [PMID: 1994949 DOI: 10.1016/0735-6757(91)90186-N]</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t xml:space="preserve">43 </w:t>
      </w:r>
      <w:r w:rsidRPr="00FF0F1B">
        <w:rPr>
          <w:rFonts w:ascii="Book Antiqua" w:hAnsi="Book Antiqua" w:cs="宋体"/>
          <w:b/>
          <w:bCs/>
          <w:sz w:val="24"/>
          <w:szCs w:val="24"/>
          <w:lang w:val="en-US" w:eastAsia="zh-CN"/>
        </w:rPr>
        <w:t>Thompson JS</w:t>
      </w:r>
      <w:r w:rsidRPr="00FF0F1B">
        <w:rPr>
          <w:rFonts w:ascii="Book Antiqua" w:hAnsi="Book Antiqua" w:cs="宋体"/>
          <w:sz w:val="24"/>
          <w:szCs w:val="24"/>
          <w:lang w:val="en-US" w:eastAsia="zh-CN"/>
        </w:rPr>
        <w:t xml:space="preserve">, Rochling FA, Weseman RA, Mercer DF. Current management of short bowel syndrome. </w:t>
      </w:r>
      <w:r w:rsidRPr="00FF0F1B">
        <w:rPr>
          <w:rFonts w:ascii="Book Antiqua" w:hAnsi="Book Antiqua" w:cs="宋体"/>
          <w:i/>
          <w:iCs/>
          <w:sz w:val="24"/>
          <w:szCs w:val="24"/>
          <w:lang w:val="en-US" w:eastAsia="zh-CN"/>
        </w:rPr>
        <w:t>Curr Probl Surg</w:t>
      </w:r>
      <w:r w:rsidRPr="00FF0F1B">
        <w:rPr>
          <w:rFonts w:ascii="Book Antiqua" w:hAnsi="Book Antiqua" w:cs="宋体"/>
          <w:sz w:val="24"/>
          <w:szCs w:val="24"/>
          <w:lang w:val="en-US" w:eastAsia="zh-CN"/>
        </w:rPr>
        <w:t xml:space="preserve"> 2012; </w:t>
      </w:r>
      <w:r w:rsidRPr="00FF0F1B">
        <w:rPr>
          <w:rFonts w:ascii="Book Antiqua" w:hAnsi="Book Antiqua" w:cs="宋体"/>
          <w:b/>
          <w:bCs/>
          <w:sz w:val="24"/>
          <w:szCs w:val="24"/>
          <w:lang w:val="en-US" w:eastAsia="zh-CN"/>
        </w:rPr>
        <w:t>49</w:t>
      </w:r>
      <w:r w:rsidRPr="00FF0F1B">
        <w:rPr>
          <w:rFonts w:ascii="Book Antiqua" w:hAnsi="Book Antiqua" w:cs="宋体"/>
          <w:sz w:val="24"/>
          <w:szCs w:val="24"/>
          <w:lang w:val="en-US" w:eastAsia="zh-CN"/>
        </w:rPr>
        <w:t>: 52-115 [PMID: 22244264 DOI: 10.1067/j.cpsurg.2011.10.002]</w:t>
      </w:r>
    </w:p>
    <w:p w:rsidR="00EB3564" w:rsidRPr="00FF0F1B" w:rsidRDefault="00EB3564" w:rsidP="00FF0F1B">
      <w:pPr>
        <w:rPr>
          <w:rFonts w:ascii="Book Antiqua" w:hAnsi="Book Antiqua" w:cs="宋体"/>
          <w:sz w:val="24"/>
          <w:szCs w:val="24"/>
          <w:lang w:val="en-US" w:eastAsia="zh-CN"/>
        </w:rPr>
      </w:pPr>
      <w:r w:rsidRPr="00FF0F1B">
        <w:rPr>
          <w:rFonts w:ascii="Book Antiqua" w:hAnsi="Book Antiqua" w:cs="宋体"/>
          <w:sz w:val="24"/>
          <w:szCs w:val="24"/>
          <w:lang w:val="en-US" w:eastAsia="zh-CN"/>
        </w:rPr>
        <w:lastRenderedPageBreak/>
        <w:t xml:space="preserve">44 </w:t>
      </w:r>
      <w:r w:rsidRPr="00FF0F1B">
        <w:rPr>
          <w:rFonts w:ascii="Book Antiqua" w:hAnsi="Book Antiqua" w:cs="宋体"/>
          <w:b/>
          <w:bCs/>
          <w:sz w:val="24"/>
          <w:szCs w:val="24"/>
          <w:lang w:val="en-US" w:eastAsia="zh-CN"/>
        </w:rPr>
        <w:t>Sala FG</w:t>
      </w:r>
      <w:r w:rsidRPr="00FF0F1B">
        <w:rPr>
          <w:rFonts w:ascii="Book Antiqua" w:hAnsi="Book Antiqua" w:cs="宋体"/>
          <w:sz w:val="24"/>
          <w:szCs w:val="24"/>
          <w:lang w:val="en-US" w:eastAsia="zh-CN"/>
        </w:rPr>
        <w:t xml:space="preserve">, Kunisaki SM, Ochoa ER, Vacanti J, Grikscheit TC. Tissue-engineered small intestine and stomach form from autologous tissue in a preclinical large animal model. </w:t>
      </w:r>
      <w:r w:rsidRPr="00FF0F1B">
        <w:rPr>
          <w:rFonts w:ascii="Book Antiqua" w:hAnsi="Book Antiqua" w:cs="宋体"/>
          <w:i/>
          <w:iCs/>
          <w:sz w:val="24"/>
          <w:szCs w:val="24"/>
          <w:lang w:val="en-US" w:eastAsia="zh-CN"/>
        </w:rPr>
        <w:t>J Surg Res</w:t>
      </w:r>
      <w:r w:rsidRPr="00FF0F1B">
        <w:rPr>
          <w:rFonts w:ascii="Book Antiqua" w:hAnsi="Book Antiqua" w:cs="宋体"/>
          <w:sz w:val="24"/>
          <w:szCs w:val="24"/>
          <w:lang w:val="en-US" w:eastAsia="zh-CN"/>
        </w:rPr>
        <w:t xml:space="preserve"> 2009; </w:t>
      </w:r>
      <w:r w:rsidRPr="00FF0F1B">
        <w:rPr>
          <w:rFonts w:ascii="Book Antiqua" w:hAnsi="Book Antiqua" w:cs="宋体"/>
          <w:b/>
          <w:bCs/>
          <w:sz w:val="24"/>
          <w:szCs w:val="24"/>
          <w:lang w:val="en-US" w:eastAsia="zh-CN"/>
        </w:rPr>
        <w:t>156</w:t>
      </w:r>
      <w:r w:rsidRPr="00FF0F1B">
        <w:rPr>
          <w:rFonts w:ascii="Book Antiqua" w:hAnsi="Book Antiqua" w:cs="宋体"/>
          <w:sz w:val="24"/>
          <w:szCs w:val="24"/>
          <w:lang w:val="en-US" w:eastAsia="zh-CN"/>
        </w:rPr>
        <w:t>: 205-212 [PMID: 19665143 DOI: 10.1016/j.jss.2009.03.062]</w:t>
      </w:r>
    </w:p>
    <w:p w:rsidR="00EB3564" w:rsidRDefault="00EB3564" w:rsidP="00FF0F1B">
      <w:pPr>
        <w:tabs>
          <w:tab w:val="left" w:pos="180"/>
          <w:tab w:val="left" w:pos="360"/>
        </w:tabs>
        <w:wordWrap w:val="0"/>
        <w:spacing w:line="360" w:lineRule="auto"/>
        <w:jc w:val="right"/>
        <w:rPr>
          <w:rFonts w:ascii="Book Antiqua" w:hAnsi="Book Antiqua" w:cs="Tahoma"/>
          <w:b/>
          <w:color w:val="000000"/>
          <w:sz w:val="24"/>
          <w:lang w:eastAsia="zh-CN"/>
        </w:rPr>
      </w:pPr>
      <w:bookmarkStart w:id="88" w:name="OLE_LINK141"/>
      <w:bookmarkStart w:id="89" w:name="OLE_LINK164"/>
      <w:bookmarkStart w:id="90" w:name="OLE_LINK177"/>
      <w:bookmarkStart w:id="91" w:name="OLE_LINK180"/>
      <w:bookmarkStart w:id="92" w:name="OLE_LINK172"/>
      <w:bookmarkStart w:id="93" w:name="OLE_LINK187"/>
      <w:bookmarkStart w:id="94" w:name="OLE_LINK192"/>
      <w:bookmarkStart w:id="95" w:name="OLE_LINK193"/>
      <w:bookmarkStart w:id="96" w:name="OLE_LINK214"/>
      <w:bookmarkStart w:id="97" w:name="OLE_LINK213"/>
      <w:bookmarkStart w:id="98" w:name="OLE_LINK239"/>
      <w:bookmarkStart w:id="99" w:name="OLE_LINK249"/>
      <w:bookmarkStart w:id="100" w:name="OLE_LINK281"/>
      <w:bookmarkStart w:id="101" w:name="OLE_LINK268"/>
      <w:bookmarkStart w:id="102" w:name="OLE_LINK314"/>
      <w:bookmarkStart w:id="103" w:name="OLE_LINK320"/>
      <w:bookmarkStart w:id="104" w:name="OLE_LINK322"/>
      <w:bookmarkStart w:id="105" w:name="OLE_LINK340"/>
      <w:bookmarkStart w:id="106" w:name="OLE_LINK323"/>
      <w:bookmarkStart w:id="107" w:name="OLE_LINK387"/>
      <w:bookmarkStart w:id="108" w:name="OLE_LINK416"/>
      <w:bookmarkStart w:id="109" w:name="OLE_LINK332"/>
      <w:bookmarkStart w:id="110" w:name="OLE_LINK344"/>
      <w:bookmarkStart w:id="111" w:name="OLE_LINK345"/>
      <w:bookmarkStart w:id="112" w:name="OLE_LINK356"/>
      <w:bookmarkStart w:id="113" w:name="OLE_LINK360"/>
      <w:bookmarkStart w:id="114" w:name="OLE_LINK385"/>
      <w:bookmarkStart w:id="115" w:name="OLE_LINK396"/>
      <w:bookmarkStart w:id="116" w:name="OLE_LINK357"/>
      <w:bookmarkStart w:id="117" w:name="OLE_LINK379"/>
      <w:bookmarkStart w:id="118" w:name="OLE_LINK390"/>
      <w:bookmarkStart w:id="119" w:name="OLE_LINK367"/>
      <w:bookmarkStart w:id="120" w:name="OLE_LINK368"/>
      <w:bookmarkStart w:id="121" w:name="OLE_LINK371"/>
      <w:bookmarkStart w:id="122" w:name="OLE_LINK393"/>
      <w:bookmarkStart w:id="123" w:name="OLE_LINK417"/>
      <w:bookmarkStart w:id="124" w:name="OLE_LINK438"/>
      <w:bookmarkStart w:id="125" w:name="OLE_LINK441"/>
      <w:bookmarkStart w:id="126" w:name="OLE_LINK369"/>
      <w:bookmarkStart w:id="127" w:name="OLE_LINK136"/>
      <w:bookmarkStart w:id="128" w:name="OLE_LINK138"/>
      <w:bookmarkStart w:id="129" w:name="OLE_LINK397"/>
    </w:p>
    <w:p w:rsidR="00EB3564" w:rsidRPr="003635E2" w:rsidRDefault="00EB3564" w:rsidP="00FF0F1B">
      <w:pPr>
        <w:tabs>
          <w:tab w:val="left" w:pos="180"/>
          <w:tab w:val="left" w:pos="360"/>
        </w:tabs>
        <w:spacing w:line="360" w:lineRule="auto"/>
        <w:jc w:val="right"/>
        <w:rPr>
          <w:rFonts w:ascii="Book Antiqua" w:hAnsi="Book Antiqua" w:cs="Tahoma"/>
          <w:b/>
          <w:color w:val="000000"/>
          <w:sz w:val="24"/>
        </w:rPr>
      </w:pPr>
      <w:r w:rsidRPr="003635E2">
        <w:rPr>
          <w:rFonts w:ascii="Book Antiqua" w:eastAsia="Times New Roman" w:hAnsi="Book Antiqua" w:cs="Tahoma"/>
          <w:b/>
          <w:color w:val="000000"/>
          <w:sz w:val="24"/>
        </w:rPr>
        <w:t xml:space="preserve">P-Reviewer </w:t>
      </w:r>
      <w:r w:rsidRPr="00FF0F1B">
        <w:rPr>
          <w:rFonts w:ascii="Book Antiqua" w:hAnsi="Book Antiqua" w:cs="Tahoma"/>
          <w:color w:val="000000"/>
          <w:sz w:val="24"/>
        </w:rPr>
        <w:t>Yang Z</w:t>
      </w:r>
      <w:r>
        <w:rPr>
          <w:rFonts w:ascii="Book Antiqua" w:hAnsi="Book Antiqua" w:cs="Tahoma"/>
          <w:b/>
          <w:color w:val="000000"/>
          <w:sz w:val="24"/>
          <w:lang w:eastAsia="zh-CN"/>
        </w:rPr>
        <w:t xml:space="preserve"> </w:t>
      </w:r>
      <w:r w:rsidRPr="003635E2">
        <w:rPr>
          <w:rFonts w:ascii="Book Antiqua" w:hAnsi="Book Antiqua" w:cs="Tahoma"/>
          <w:b/>
          <w:color w:val="000000"/>
          <w:sz w:val="24"/>
        </w:rPr>
        <w:t xml:space="preserve">S-Editor </w:t>
      </w:r>
      <w:r w:rsidRPr="003635E2">
        <w:rPr>
          <w:rFonts w:ascii="Book Antiqua" w:eastAsia="Times New Roman" w:hAnsi="Book Antiqua" w:cs="Tahoma"/>
          <w:color w:val="000000"/>
          <w:sz w:val="24"/>
        </w:rPr>
        <w:t xml:space="preserve">Gou </w:t>
      </w:r>
      <w:r w:rsidRPr="003635E2">
        <w:rPr>
          <w:rFonts w:ascii="Book Antiqua" w:hAnsi="Book Antiqua" w:cs="Tahoma"/>
          <w:color w:val="000000"/>
          <w:sz w:val="24"/>
        </w:rPr>
        <w:t>S</w:t>
      </w:r>
      <w:r w:rsidRPr="003635E2">
        <w:rPr>
          <w:rFonts w:ascii="Book Antiqua" w:eastAsia="Times New Roman" w:hAnsi="Book Antiqua" w:cs="Tahoma"/>
          <w:color w:val="000000"/>
          <w:sz w:val="24"/>
        </w:rPr>
        <w:t>X</w:t>
      </w:r>
      <w:r w:rsidRPr="003635E2">
        <w:rPr>
          <w:rFonts w:ascii="Book Antiqua" w:hAnsi="Book Antiqua" w:cs="Tahoma"/>
          <w:color w:val="000000"/>
          <w:sz w:val="24"/>
        </w:rPr>
        <w:t xml:space="preserve"> </w:t>
      </w:r>
      <w:r w:rsidRPr="003635E2">
        <w:rPr>
          <w:rFonts w:ascii="Book Antiqua" w:hAnsi="Book Antiqua" w:cs="Tahoma"/>
          <w:b/>
          <w:color w:val="000000"/>
          <w:sz w:val="24"/>
        </w:rPr>
        <w:t xml:space="preserve">  L-Editor    E-Editor</w:t>
      </w:r>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EB3564" w:rsidRPr="00FF0F1B" w:rsidRDefault="00EB3564" w:rsidP="00FF0F1B">
      <w:pPr>
        <w:snapToGrid w:val="0"/>
        <w:spacing w:line="360" w:lineRule="auto"/>
        <w:jc w:val="both"/>
        <w:rPr>
          <w:rFonts w:ascii="Book Antiqua" w:hAnsi="Book Antiqua"/>
          <w:sz w:val="24"/>
          <w:szCs w:val="24"/>
          <w:lang w:eastAsia="zh-CN"/>
        </w:rPr>
      </w:pPr>
    </w:p>
    <w:bookmarkEnd w:id="86"/>
    <w:bookmarkEnd w:id="87"/>
    <w:p w:rsidR="00EB3564" w:rsidRPr="00FF0F1B" w:rsidRDefault="00EB3564" w:rsidP="00D56ED6">
      <w:pPr>
        <w:snapToGrid w:val="0"/>
        <w:spacing w:line="360" w:lineRule="auto"/>
        <w:jc w:val="both"/>
        <w:rPr>
          <w:rFonts w:ascii="Book Antiqua" w:hAnsi="Book Antiqua"/>
          <w:sz w:val="24"/>
          <w:szCs w:val="24"/>
          <w:lang w:val="en-US" w:eastAsia="zh-CN"/>
        </w:rPr>
      </w:pPr>
    </w:p>
    <w:p w:rsidR="00EB3564" w:rsidRPr="00FF0F1B" w:rsidRDefault="0074033C" w:rsidP="00D56ED6">
      <w:pPr>
        <w:snapToGrid w:val="0"/>
        <w:spacing w:line="360" w:lineRule="auto"/>
        <w:jc w:val="both"/>
        <w:rPr>
          <w:rFonts w:ascii="Book Antiqua" w:hAnsi="Book Antiqua"/>
          <w:sz w:val="24"/>
          <w:szCs w:val="24"/>
          <w:lang w:val="en-US"/>
        </w:rPr>
      </w:pPr>
      <w:r>
        <w:rPr>
          <w:rFonts w:ascii="Book Antiqua" w:hAnsi="Book Antiqua"/>
          <w:noProof/>
          <w:sz w:val="24"/>
          <w:szCs w:val="24"/>
          <w:lang w:val="en-US" w:eastAsia="zh-CN"/>
        </w:rPr>
        <w:drawing>
          <wp:inline distT="0" distB="0" distL="0" distR="0">
            <wp:extent cx="5701030" cy="41744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1030" cy="4174490"/>
                    </a:xfrm>
                    <a:prstGeom prst="rect">
                      <a:avLst/>
                    </a:prstGeom>
                    <a:noFill/>
                    <a:ln>
                      <a:noFill/>
                    </a:ln>
                  </pic:spPr>
                </pic:pic>
              </a:graphicData>
            </a:graphic>
          </wp:inline>
        </w:drawing>
      </w:r>
    </w:p>
    <w:p w:rsidR="00EB3564" w:rsidRPr="00FF0F1B" w:rsidRDefault="00EB3564" w:rsidP="00D56ED6">
      <w:pPr>
        <w:snapToGrid w:val="0"/>
        <w:spacing w:line="360" w:lineRule="auto"/>
        <w:jc w:val="both"/>
        <w:rPr>
          <w:rFonts w:ascii="Book Antiqua" w:hAnsi="Book Antiqua"/>
          <w:sz w:val="24"/>
          <w:szCs w:val="24"/>
          <w:lang w:val="en-US"/>
        </w:rPr>
      </w:pPr>
    </w:p>
    <w:p w:rsidR="00EB3564" w:rsidRPr="00FF0F1B" w:rsidRDefault="00EB3564" w:rsidP="00D56ED6">
      <w:pPr>
        <w:snapToGrid w:val="0"/>
        <w:spacing w:line="360" w:lineRule="auto"/>
        <w:jc w:val="both"/>
        <w:rPr>
          <w:rFonts w:ascii="Book Antiqua" w:hAnsi="Book Antiqua"/>
          <w:sz w:val="24"/>
          <w:szCs w:val="24"/>
          <w:lang w:val="en-US"/>
        </w:rPr>
      </w:pPr>
      <w:r w:rsidRPr="00FF0F1B">
        <w:rPr>
          <w:rFonts w:ascii="Book Antiqua" w:hAnsi="Book Antiqua"/>
          <w:b/>
          <w:sz w:val="24"/>
          <w:szCs w:val="24"/>
          <w:lang w:val="en-US"/>
        </w:rPr>
        <w:t>Figure 1</w:t>
      </w:r>
      <w:r w:rsidRPr="00FF0F1B">
        <w:rPr>
          <w:rFonts w:ascii="Book Antiqua" w:hAnsi="Book Antiqua"/>
          <w:sz w:val="24"/>
          <w:szCs w:val="24"/>
          <w:lang w:val="en-US"/>
        </w:rPr>
        <w:t xml:space="preserve"> </w:t>
      </w:r>
      <w:r w:rsidRPr="00FF0F1B">
        <w:rPr>
          <w:rFonts w:ascii="Book Antiqua" w:hAnsi="Book Antiqua"/>
          <w:b/>
          <w:sz w:val="24"/>
          <w:szCs w:val="24"/>
          <w:lang w:val="en-US"/>
        </w:rPr>
        <w:t>Surgical procedure and histopathological assessment</w:t>
      </w:r>
      <w:r w:rsidRPr="00FF0F1B">
        <w:rPr>
          <w:rFonts w:ascii="Book Antiqua" w:hAnsi="Book Antiqua"/>
          <w:b/>
          <w:sz w:val="24"/>
          <w:szCs w:val="24"/>
          <w:lang w:val="en-US" w:eastAsia="zh-CN"/>
        </w:rPr>
        <w:t>.</w:t>
      </w:r>
      <w:r w:rsidRPr="00FF0F1B">
        <w:rPr>
          <w:rFonts w:ascii="Book Antiqua" w:hAnsi="Book Antiqua"/>
          <w:sz w:val="24"/>
          <w:szCs w:val="24"/>
          <w:lang w:val="en-US" w:eastAsia="zh-CN"/>
        </w:rPr>
        <w:t xml:space="preserve"> </w:t>
      </w:r>
      <w:r w:rsidRPr="00FF0F1B">
        <w:rPr>
          <w:rFonts w:ascii="Book Antiqua" w:hAnsi="Book Antiqua"/>
          <w:sz w:val="24"/>
          <w:szCs w:val="24"/>
          <w:lang w:val="en-US"/>
        </w:rPr>
        <w:t>A</w:t>
      </w:r>
      <w:r w:rsidRPr="00FF0F1B">
        <w:rPr>
          <w:rFonts w:ascii="Book Antiqua" w:hAnsi="Book Antiqua"/>
          <w:sz w:val="24"/>
          <w:szCs w:val="24"/>
          <w:lang w:val="en-US" w:eastAsia="zh-CN"/>
        </w:rPr>
        <w:t xml:space="preserve">, </w:t>
      </w:r>
      <w:r w:rsidRPr="00FF0F1B">
        <w:rPr>
          <w:rFonts w:ascii="Book Antiqua" w:hAnsi="Book Antiqua"/>
          <w:sz w:val="24"/>
          <w:szCs w:val="24"/>
          <w:lang w:val="en-US"/>
        </w:rPr>
        <w:t>B: Anastomotic line is shown between the gastric surface and jejunum, C</w:t>
      </w:r>
      <w:r w:rsidRPr="00FF0F1B">
        <w:rPr>
          <w:rFonts w:ascii="Book Antiqua" w:hAnsi="Book Antiqua"/>
          <w:sz w:val="24"/>
          <w:szCs w:val="24"/>
          <w:lang w:val="en-US" w:eastAsia="zh-CN"/>
        </w:rPr>
        <w:t xml:space="preserve">: </w:t>
      </w:r>
      <w:r w:rsidRPr="00FF0F1B">
        <w:rPr>
          <w:rFonts w:ascii="Book Antiqua" w:hAnsi="Book Antiqua"/>
          <w:sz w:val="24"/>
          <w:szCs w:val="24"/>
          <w:lang w:val="en-US"/>
        </w:rPr>
        <w:t>Outer surface of the neomucosa formation is shown with the jejunal segment</w:t>
      </w:r>
      <w:r w:rsidRPr="00FF0F1B">
        <w:rPr>
          <w:rFonts w:ascii="Book Antiqua" w:hAnsi="Book Antiqua"/>
          <w:sz w:val="24"/>
          <w:szCs w:val="24"/>
          <w:lang w:val="en-US" w:eastAsia="zh-CN"/>
        </w:rPr>
        <w:t>;</w:t>
      </w:r>
      <w:r w:rsidRPr="00FF0F1B">
        <w:rPr>
          <w:rFonts w:ascii="Book Antiqua" w:hAnsi="Book Antiqua"/>
          <w:sz w:val="24"/>
          <w:szCs w:val="24"/>
          <w:lang w:val="en-US"/>
        </w:rPr>
        <w:t xml:space="preserve"> D</w:t>
      </w:r>
      <w:r w:rsidRPr="00FF0F1B">
        <w:rPr>
          <w:rFonts w:ascii="Book Antiqua" w:hAnsi="Book Antiqua"/>
          <w:sz w:val="24"/>
          <w:szCs w:val="24"/>
          <w:lang w:val="en-US" w:eastAsia="zh-CN"/>
        </w:rPr>
        <w:t>:</w:t>
      </w:r>
      <w:r w:rsidRPr="00FF0F1B">
        <w:rPr>
          <w:rFonts w:ascii="Book Antiqua" w:hAnsi="Book Antiqua"/>
          <w:sz w:val="24"/>
          <w:szCs w:val="24"/>
          <w:lang w:val="en-US"/>
        </w:rPr>
        <w:t xml:space="preserve"> Inner surface of the neomucosa is shown, and the neomucosa has a typical small intestinal phenotype.</w:t>
      </w:r>
    </w:p>
    <w:p w:rsidR="00EB3564" w:rsidRPr="00FF0F1B" w:rsidRDefault="00EB3564" w:rsidP="00D56ED6">
      <w:pPr>
        <w:snapToGrid w:val="0"/>
        <w:spacing w:line="360" w:lineRule="auto"/>
        <w:jc w:val="both"/>
        <w:rPr>
          <w:rFonts w:ascii="Book Antiqua" w:hAnsi="Book Antiqua"/>
          <w:sz w:val="24"/>
          <w:szCs w:val="24"/>
          <w:lang w:val="en-US"/>
        </w:rPr>
      </w:pPr>
    </w:p>
    <w:p w:rsidR="00EB3564" w:rsidRPr="00FF0F1B" w:rsidRDefault="00EB3564" w:rsidP="00D56ED6">
      <w:pPr>
        <w:snapToGrid w:val="0"/>
        <w:spacing w:line="360" w:lineRule="auto"/>
        <w:jc w:val="both"/>
        <w:rPr>
          <w:rFonts w:ascii="Book Antiqua" w:hAnsi="Book Antiqua"/>
          <w:sz w:val="24"/>
          <w:szCs w:val="24"/>
          <w:lang w:val="en-US"/>
        </w:rPr>
      </w:pPr>
    </w:p>
    <w:p w:rsidR="00EB3564" w:rsidRPr="00FF0F1B" w:rsidRDefault="00EB3564" w:rsidP="00D56ED6">
      <w:pPr>
        <w:snapToGrid w:val="0"/>
        <w:spacing w:line="360" w:lineRule="auto"/>
        <w:jc w:val="both"/>
        <w:rPr>
          <w:rFonts w:ascii="Book Antiqua" w:hAnsi="Book Antiqua"/>
          <w:sz w:val="24"/>
          <w:szCs w:val="24"/>
          <w:lang w:val="en-US"/>
        </w:rPr>
      </w:pPr>
    </w:p>
    <w:p w:rsidR="00EB3564" w:rsidRPr="00FF0F1B" w:rsidRDefault="00EB3564" w:rsidP="00D56ED6">
      <w:pPr>
        <w:snapToGrid w:val="0"/>
        <w:spacing w:line="360" w:lineRule="auto"/>
        <w:jc w:val="both"/>
        <w:rPr>
          <w:rFonts w:ascii="Book Antiqua" w:hAnsi="Book Antiqua"/>
          <w:sz w:val="24"/>
          <w:szCs w:val="24"/>
          <w:lang w:val="en-US"/>
        </w:rPr>
      </w:pPr>
    </w:p>
    <w:p w:rsidR="00EB3564" w:rsidRPr="00FF0F1B" w:rsidRDefault="00EB3564" w:rsidP="005A570A">
      <w:pPr>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br w:type="page"/>
      </w:r>
      <w:bookmarkStart w:id="130" w:name="OLE_LINK354"/>
      <w:bookmarkStart w:id="131" w:name="OLE_LINK355"/>
      <w:r w:rsidR="0074033C">
        <w:rPr>
          <w:rFonts w:ascii="Book Antiqua" w:hAnsi="Book Antiqua"/>
          <w:noProof/>
          <w:sz w:val="24"/>
          <w:szCs w:val="24"/>
          <w:lang w:val="en-US" w:eastAsia="zh-CN"/>
        </w:rPr>
        <w:lastRenderedPageBreak/>
        <w:drawing>
          <wp:inline distT="0" distB="0" distL="0" distR="0">
            <wp:extent cx="5725160" cy="3959860"/>
            <wp:effectExtent l="0" t="0" r="8890" b="254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3959860"/>
                    </a:xfrm>
                    <a:prstGeom prst="rect">
                      <a:avLst/>
                    </a:prstGeom>
                    <a:noFill/>
                    <a:ln>
                      <a:noFill/>
                    </a:ln>
                  </pic:spPr>
                </pic:pic>
              </a:graphicData>
            </a:graphic>
          </wp:inline>
        </w:drawing>
      </w:r>
      <w:bookmarkEnd w:id="130"/>
      <w:bookmarkEnd w:id="131"/>
    </w:p>
    <w:p w:rsidR="00EB3564" w:rsidRPr="00FF0F1B" w:rsidRDefault="00EB3564" w:rsidP="005A570A">
      <w:pPr>
        <w:snapToGrid w:val="0"/>
        <w:spacing w:line="360" w:lineRule="auto"/>
        <w:jc w:val="both"/>
        <w:rPr>
          <w:rFonts w:ascii="Book Antiqua" w:hAnsi="Book Antiqua"/>
          <w:sz w:val="24"/>
          <w:szCs w:val="24"/>
          <w:lang w:val="en-US"/>
        </w:rPr>
      </w:pPr>
    </w:p>
    <w:p w:rsidR="00EB3564" w:rsidRPr="00FF0F1B" w:rsidRDefault="00EB3564" w:rsidP="005A570A">
      <w:pPr>
        <w:snapToGrid w:val="0"/>
        <w:spacing w:line="360" w:lineRule="auto"/>
        <w:jc w:val="both"/>
        <w:rPr>
          <w:rFonts w:ascii="Book Antiqua" w:hAnsi="Book Antiqua"/>
          <w:sz w:val="24"/>
          <w:szCs w:val="24"/>
          <w:lang w:val="en-US" w:eastAsia="zh-CN"/>
        </w:rPr>
      </w:pPr>
      <w:r w:rsidRPr="00FF0F1B">
        <w:rPr>
          <w:rFonts w:ascii="Book Antiqua" w:hAnsi="Book Antiqua"/>
          <w:b/>
          <w:sz w:val="24"/>
          <w:szCs w:val="24"/>
          <w:lang w:val="en-US"/>
        </w:rPr>
        <w:t xml:space="preserve">Figure 2 Histological </w:t>
      </w:r>
      <w:r w:rsidRPr="00FF0F1B">
        <w:rPr>
          <w:rFonts w:ascii="Book Antiqua" w:hAnsi="Book Antiqua"/>
          <w:b/>
          <w:sz w:val="24"/>
          <w:szCs w:val="24"/>
          <w:lang w:val="en-US" w:eastAsia="zh-CN"/>
        </w:rPr>
        <w:t xml:space="preserve">and </w:t>
      </w:r>
      <w:r w:rsidRPr="00FF0F1B">
        <w:rPr>
          <w:rFonts w:ascii="Book Antiqua" w:hAnsi="Book Antiqua"/>
          <w:b/>
          <w:sz w:val="24"/>
          <w:szCs w:val="24"/>
          <w:lang w:val="en-US"/>
        </w:rPr>
        <w:t>morphologic evaluation</w:t>
      </w:r>
      <w:r w:rsidRPr="00FF0F1B">
        <w:rPr>
          <w:rFonts w:ascii="Book Antiqua" w:hAnsi="Book Antiqua"/>
          <w:b/>
          <w:sz w:val="24"/>
          <w:szCs w:val="24"/>
          <w:lang w:val="en-US" w:eastAsia="zh-CN"/>
        </w:rPr>
        <w:t>.</w:t>
      </w:r>
      <w:r w:rsidRPr="00FF0F1B">
        <w:rPr>
          <w:rFonts w:ascii="Book Antiqua" w:hAnsi="Book Antiqua"/>
          <w:sz w:val="24"/>
          <w:szCs w:val="24"/>
          <w:lang w:val="en-US" w:eastAsia="zh-CN"/>
        </w:rPr>
        <w:t xml:space="preserve"> </w:t>
      </w:r>
      <w:r w:rsidRPr="00FF0F1B">
        <w:rPr>
          <w:rFonts w:ascii="Book Antiqua" w:hAnsi="Book Antiqua"/>
          <w:sz w:val="24"/>
          <w:szCs w:val="24"/>
          <w:lang w:val="en-US"/>
        </w:rPr>
        <w:t>A: Unexpected neomucosal formation. The gastric corpus mucosa can be seen. The squamous epithelium and lamellar keratinization formed from the anastomosis (HE</w:t>
      </w:r>
      <w:r w:rsidRPr="00FF0F1B">
        <w:rPr>
          <w:rFonts w:ascii="Book Antiqua" w:hAnsi="Book Antiqua"/>
          <w:sz w:val="24"/>
          <w:szCs w:val="24"/>
          <w:lang w:val="en-US" w:eastAsia="zh-CN"/>
        </w:rPr>
        <w:t xml:space="preserve"> </w:t>
      </w:r>
      <w:r w:rsidRPr="00FF0F1B">
        <w:rPr>
          <w:rFonts w:ascii="Book Antiqua" w:hAnsi="Book Antiqua"/>
          <w:sz w:val="24"/>
          <w:szCs w:val="24"/>
          <w:lang w:val="en-US"/>
        </w:rPr>
        <w:t>×100) (Group 3)</w:t>
      </w:r>
      <w:r w:rsidRPr="00FF0F1B">
        <w:rPr>
          <w:rFonts w:ascii="Book Antiqua" w:hAnsi="Book Antiqua"/>
          <w:sz w:val="24"/>
          <w:szCs w:val="24"/>
          <w:lang w:val="en-US" w:eastAsia="zh-CN"/>
        </w:rPr>
        <w:t xml:space="preserve">; </w:t>
      </w:r>
      <w:r w:rsidRPr="00FF0F1B">
        <w:rPr>
          <w:rFonts w:ascii="Book Antiqua" w:hAnsi="Book Antiqua"/>
          <w:sz w:val="24"/>
          <w:szCs w:val="24"/>
          <w:lang w:val="en-US"/>
        </w:rPr>
        <w:t>B</w:t>
      </w:r>
      <w:r w:rsidRPr="00FF0F1B">
        <w:rPr>
          <w:rFonts w:ascii="Book Antiqua" w:hAnsi="Book Antiqua"/>
          <w:sz w:val="24"/>
          <w:szCs w:val="24"/>
          <w:lang w:val="en-US" w:eastAsia="zh-CN"/>
        </w:rPr>
        <w:t>:</w:t>
      </w:r>
      <w:r w:rsidRPr="00FF0F1B">
        <w:rPr>
          <w:rFonts w:ascii="Book Antiqua" w:hAnsi="Book Antiqua"/>
          <w:sz w:val="24"/>
          <w:szCs w:val="24"/>
          <w:lang w:val="en-US"/>
        </w:rPr>
        <w:t xml:space="preserve"> Granulation tissue and newly formed neomucosa. The blue area is connective tissue (Masson Trichrome ×100) (Group 4)</w:t>
      </w:r>
      <w:r w:rsidRPr="00FF0F1B">
        <w:rPr>
          <w:rFonts w:ascii="Book Antiqua" w:hAnsi="Book Antiqua"/>
          <w:sz w:val="24"/>
          <w:szCs w:val="24"/>
          <w:lang w:val="en-US" w:eastAsia="zh-CN"/>
        </w:rPr>
        <w:t xml:space="preserve">; </w:t>
      </w:r>
      <w:r w:rsidRPr="00FF0F1B">
        <w:rPr>
          <w:rFonts w:ascii="Book Antiqua" w:hAnsi="Book Antiqua"/>
          <w:sz w:val="24"/>
          <w:szCs w:val="24"/>
          <w:lang w:val="en-US"/>
        </w:rPr>
        <w:t>C</w:t>
      </w:r>
      <w:r w:rsidRPr="00FF0F1B">
        <w:rPr>
          <w:rFonts w:ascii="Book Antiqua" w:hAnsi="Book Antiqua"/>
          <w:sz w:val="24"/>
          <w:szCs w:val="24"/>
          <w:lang w:val="en-US" w:eastAsia="zh-CN"/>
        </w:rPr>
        <w:t>:</w:t>
      </w:r>
      <w:r w:rsidRPr="00FF0F1B">
        <w:rPr>
          <w:rFonts w:ascii="Book Antiqua" w:hAnsi="Book Antiqua"/>
          <w:sz w:val="24"/>
          <w:szCs w:val="24"/>
          <w:lang w:val="en-US"/>
        </w:rPr>
        <w:t xml:space="preserve"> In the gastric mucosa of the large granulation tissue, newly formed goblet cells can be seen (HE</w:t>
      </w:r>
      <w:r w:rsidRPr="00FF0F1B">
        <w:rPr>
          <w:rFonts w:ascii="Book Antiqua" w:hAnsi="Book Antiqua"/>
          <w:sz w:val="24"/>
          <w:szCs w:val="24"/>
          <w:lang w:val="en-US" w:eastAsia="zh-CN"/>
        </w:rPr>
        <w:t xml:space="preserve"> </w:t>
      </w:r>
      <w:r w:rsidRPr="00FF0F1B">
        <w:rPr>
          <w:rFonts w:ascii="Book Antiqua" w:hAnsi="Book Antiqua"/>
          <w:sz w:val="24"/>
          <w:szCs w:val="24"/>
          <w:lang w:val="en-US"/>
        </w:rPr>
        <w:t>×100) (Group 4)</w:t>
      </w:r>
      <w:r w:rsidRPr="00FF0F1B">
        <w:rPr>
          <w:rFonts w:ascii="Book Antiqua" w:hAnsi="Book Antiqua"/>
          <w:sz w:val="24"/>
          <w:szCs w:val="24"/>
          <w:lang w:val="en-US" w:eastAsia="zh-CN"/>
        </w:rPr>
        <w:t>;</w:t>
      </w:r>
      <w:r w:rsidRPr="00FF0F1B">
        <w:rPr>
          <w:rFonts w:ascii="Book Antiqua" w:hAnsi="Book Antiqua"/>
          <w:sz w:val="24"/>
          <w:szCs w:val="24"/>
          <w:lang w:val="en-US"/>
        </w:rPr>
        <w:t xml:space="preserve"> D</w:t>
      </w:r>
      <w:r w:rsidRPr="00FF0F1B">
        <w:rPr>
          <w:rFonts w:ascii="Book Antiqua" w:hAnsi="Book Antiqua"/>
          <w:sz w:val="24"/>
          <w:szCs w:val="24"/>
          <w:lang w:val="en-US" w:eastAsia="zh-CN"/>
        </w:rPr>
        <w:t xml:space="preserve">: </w:t>
      </w:r>
      <w:r w:rsidRPr="00FF0F1B">
        <w:rPr>
          <w:rFonts w:ascii="Book Antiqua" w:hAnsi="Book Antiqua"/>
          <w:sz w:val="24"/>
          <w:szCs w:val="24"/>
          <w:lang w:val="en-US"/>
        </w:rPr>
        <w:t>The left side shows the gastric mucosa, and the right side shows newly formed neomucosa that contains mucin. The granulation tissue is reduced(HE ×100) (Group 4).</w:t>
      </w:r>
    </w:p>
    <w:p w:rsidR="00EB3564" w:rsidRPr="00FF0F1B" w:rsidRDefault="00EB3564" w:rsidP="005A570A">
      <w:pPr>
        <w:snapToGrid w:val="0"/>
        <w:spacing w:line="360" w:lineRule="auto"/>
        <w:jc w:val="both"/>
        <w:rPr>
          <w:rFonts w:ascii="Book Antiqua" w:hAnsi="Book Antiqua"/>
          <w:sz w:val="24"/>
          <w:szCs w:val="24"/>
          <w:lang w:val="en-US" w:eastAsia="zh-CN"/>
        </w:rPr>
      </w:pPr>
    </w:p>
    <w:p w:rsidR="00EB3564" w:rsidRPr="00FF0F1B" w:rsidRDefault="00EB3564" w:rsidP="005A570A">
      <w:pPr>
        <w:snapToGrid w:val="0"/>
        <w:spacing w:line="360" w:lineRule="auto"/>
        <w:jc w:val="both"/>
        <w:rPr>
          <w:rFonts w:ascii="Book Antiqua" w:hAnsi="Book Antiqua"/>
          <w:sz w:val="24"/>
          <w:szCs w:val="24"/>
          <w:lang w:val="en-US" w:eastAsia="zh-CN"/>
        </w:rPr>
      </w:pPr>
    </w:p>
    <w:p w:rsidR="00EB3564" w:rsidRPr="00FF0F1B" w:rsidRDefault="00EB3564" w:rsidP="00D56ED6">
      <w:pPr>
        <w:snapToGrid w:val="0"/>
        <w:spacing w:line="360" w:lineRule="auto"/>
        <w:jc w:val="both"/>
        <w:rPr>
          <w:rFonts w:ascii="Book Antiqua" w:hAnsi="Book Antiqua"/>
          <w:sz w:val="24"/>
          <w:szCs w:val="24"/>
          <w:lang w:val="en-US"/>
        </w:rPr>
      </w:pPr>
      <w:r w:rsidRPr="00FF0F1B">
        <w:rPr>
          <w:rFonts w:ascii="Book Antiqua" w:hAnsi="Book Antiqua"/>
          <w:sz w:val="24"/>
          <w:szCs w:val="24"/>
          <w:lang w:val="en-US"/>
        </w:rPr>
        <w:lastRenderedPageBreak/>
        <w:t xml:space="preserve"> </w:t>
      </w:r>
      <w:r w:rsidR="0074033C">
        <w:rPr>
          <w:rFonts w:ascii="Book Antiqua" w:hAnsi="Book Antiqua"/>
          <w:noProof/>
          <w:sz w:val="24"/>
          <w:szCs w:val="24"/>
          <w:lang w:val="en-US" w:eastAsia="zh-CN"/>
        </w:rPr>
        <w:drawing>
          <wp:inline distT="0" distB="0" distL="0" distR="0">
            <wp:extent cx="5716905" cy="4095115"/>
            <wp:effectExtent l="0" t="0" r="0" b="635"/>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4095115"/>
                    </a:xfrm>
                    <a:prstGeom prst="rect">
                      <a:avLst/>
                    </a:prstGeom>
                    <a:noFill/>
                    <a:ln>
                      <a:noFill/>
                    </a:ln>
                  </pic:spPr>
                </pic:pic>
              </a:graphicData>
            </a:graphic>
          </wp:inline>
        </w:drawing>
      </w:r>
    </w:p>
    <w:p w:rsidR="00EB3564" w:rsidRPr="00FF0F1B" w:rsidRDefault="00EB3564" w:rsidP="00D56ED6">
      <w:pPr>
        <w:snapToGrid w:val="0"/>
        <w:spacing w:line="360" w:lineRule="auto"/>
        <w:jc w:val="both"/>
        <w:rPr>
          <w:rFonts w:ascii="Book Antiqua" w:hAnsi="Book Antiqua"/>
          <w:sz w:val="24"/>
          <w:szCs w:val="24"/>
          <w:lang w:val="en-US"/>
        </w:rPr>
      </w:pPr>
      <w:r w:rsidRPr="00FF0F1B">
        <w:rPr>
          <w:rFonts w:ascii="Book Antiqua" w:hAnsi="Book Antiqua"/>
          <w:b/>
          <w:sz w:val="24"/>
          <w:szCs w:val="24"/>
          <w:lang w:val="en-US"/>
        </w:rPr>
        <w:t>Figure 3 There were significant differences in the villus density in all of the groups compared with the control group</w:t>
      </w:r>
      <w:r w:rsidRPr="00FF0F1B">
        <w:rPr>
          <w:rFonts w:ascii="Book Antiqua" w:hAnsi="Book Antiqua"/>
          <w:b/>
          <w:sz w:val="24"/>
          <w:szCs w:val="24"/>
          <w:lang w:val="en-US" w:eastAsia="zh-CN"/>
        </w:rPr>
        <w:t>.</w:t>
      </w:r>
      <w:r w:rsidRPr="00FF0F1B">
        <w:rPr>
          <w:rFonts w:ascii="Book Antiqua" w:hAnsi="Book Antiqua"/>
          <w:sz w:val="24"/>
          <w:szCs w:val="24"/>
          <w:lang w:val="en-US" w:eastAsia="zh-CN"/>
        </w:rPr>
        <w:t xml:space="preserve"> </w:t>
      </w:r>
      <w:r w:rsidRPr="00FF0F1B">
        <w:rPr>
          <w:rFonts w:ascii="Book Antiqua" w:hAnsi="Book Antiqua"/>
          <w:sz w:val="24"/>
          <w:szCs w:val="24"/>
          <w:lang w:val="en-US"/>
        </w:rPr>
        <w:t>A: Gastric corpus mucosa on the left, newly formed thin neomucosa on the right. The muscularispropria has not yet formed. The granulation tissue regressed (HE</w:t>
      </w:r>
      <w:r w:rsidRPr="00FF0F1B">
        <w:rPr>
          <w:rFonts w:ascii="Book Antiqua" w:hAnsi="Book Antiqua"/>
          <w:sz w:val="24"/>
          <w:szCs w:val="24"/>
          <w:lang w:val="en-US" w:eastAsia="zh-CN"/>
        </w:rPr>
        <w:t xml:space="preserve"> </w:t>
      </w:r>
      <w:r w:rsidRPr="00FF0F1B">
        <w:rPr>
          <w:rFonts w:ascii="Book Antiqua" w:hAnsi="Book Antiqua"/>
          <w:sz w:val="24"/>
          <w:szCs w:val="24"/>
          <w:lang w:val="en-US"/>
        </w:rPr>
        <w:t>×100) (Group 3)</w:t>
      </w:r>
      <w:r w:rsidRPr="00FF0F1B">
        <w:rPr>
          <w:rFonts w:ascii="Book Antiqua" w:hAnsi="Book Antiqua"/>
          <w:sz w:val="24"/>
          <w:szCs w:val="24"/>
          <w:lang w:val="en-US" w:eastAsia="zh-CN"/>
        </w:rPr>
        <w:t xml:space="preserve">; </w:t>
      </w:r>
      <w:r w:rsidRPr="00FF0F1B">
        <w:rPr>
          <w:rFonts w:ascii="Book Antiqua" w:hAnsi="Book Antiqua"/>
          <w:sz w:val="24"/>
          <w:szCs w:val="24"/>
          <w:lang w:val="en-US"/>
        </w:rPr>
        <w:t>B</w:t>
      </w:r>
      <w:r w:rsidRPr="00FF0F1B">
        <w:rPr>
          <w:rFonts w:ascii="Book Antiqua" w:hAnsi="Book Antiqua"/>
          <w:sz w:val="24"/>
          <w:szCs w:val="24"/>
          <w:lang w:val="en-US" w:eastAsia="zh-CN"/>
        </w:rPr>
        <w:t xml:space="preserve">: </w:t>
      </w:r>
      <w:r w:rsidRPr="00FF0F1B">
        <w:rPr>
          <w:rFonts w:ascii="Book Antiqua" w:hAnsi="Book Antiqua"/>
          <w:sz w:val="24"/>
          <w:szCs w:val="24"/>
          <w:lang w:val="en-US"/>
        </w:rPr>
        <w:t>Neomucosa formation is observed at the bottom of the gastric mucosa (HE</w:t>
      </w:r>
      <w:r w:rsidRPr="00FF0F1B">
        <w:rPr>
          <w:rFonts w:ascii="Book Antiqua" w:hAnsi="Book Antiqua"/>
          <w:sz w:val="24"/>
          <w:szCs w:val="24"/>
          <w:lang w:val="en-US" w:eastAsia="zh-CN"/>
        </w:rPr>
        <w:t xml:space="preserve"> </w:t>
      </w:r>
      <w:r w:rsidRPr="00FF0F1B">
        <w:rPr>
          <w:rFonts w:ascii="Book Antiqua" w:hAnsi="Book Antiqua"/>
          <w:sz w:val="24"/>
          <w:szCs w:val="24"/>
          <w:lang w:val="en-US"/>
        </w:rPr>
        <w:t>×125) (Group 4)</w:t>
      </w:r>
      <w:r w:rsidRPr="00FF0F1B">
        <w:rPr>
          <w:rFonts w:ascii="Book Antiqua" w:hAnsi="Book Antiqua"/>
          <w:sz w:val="24"/>
          <w:szCs w:val="24"/>
          <w:lang w:val="en-US" w:eastAsia="zh-CN"/>
        </w:rPr>
        <w:t>;</w:t>
      </w:r>
      <w:r w:rsidRPr="00FF0F1B">
        <w:rPr>
          <w:rFonts w:ascii="Book Antiqua" w:hAnsi="Book Antiqua"/>
          <w:sz w:val="24"/>
          <w:szCs w:val="24"/>
          <w:lang w:val="en-US"/>
        </w:rPr>
        <w:t xml:space="preserve"> C</w:t>
      </w:r>
      <w:r w:rsidRPr="00FF0F1B">
        <w:rPr>
          <w:rFonts w:ascii="Book Antiqua" w:hAnsi="Book Antiqua"/>
          <w:sz w:val="24"/>
          <w:szCs w:val="24"/>
          <w:lang w:val="en-US" w:eastAsia="zh-CN"/>
        </w:rPr>
        <w:t>:</w:t>
      </w:r>
      <w:r w:rsidRPr="00FF0F1B">
        <w:rPr>
          <w:rFonts w:ascii="Book Antiqua" w:hAnsi="Book Antiqua"/>
          <w:sz w:val="24"/>
          <w:szCs w:val="24"/>
          <w:lang w:val="en-US"/>
        </w:rPr>
        <w:t xml:space="preserve"> The granulation tissue is in the middle, with newly formed neomucosa on either side. At the bottom, the stomach tissue is visible (HE x100) (Group 2)</w:t>
      </w:r>
      <w:r w:rsidRPr="00FF0F1B">
        <w:rPr>
          <w:rFonts w:ascii="Book Antiqua" w:hAnsi="Book Antiqua"/>
          <w:sz w:val="24"/>
          <w:szCs w:val="24"/>
          <w:lang w:val="en-US" w:eastAsia="zh-CN"/>
        </w:rPr>
        <w:t>;</w:t>
      </w:r>
      <w:r w:rsidRPr="00FF0F1B">
        <w:rPr>
          <w:rFonts w:ascii="Book Antiqua" w:hAnsi="Book Antiqua"/>
          <w:sz w:val="24"/>
          <w:szCs w:val="24"/>
          <w:lang w:val="en-US"/>
        </w:rPr>
        <w:t xml:space="preserve"> D</w:t>
      </w:r>
      <w:r w:rsidRPr="00FF0F1B">
        <w:rPr>
          <w:rFonts w:ascii="Book Antiqua" w:hAnsi="Book Antiqua"/>
          <w:sz w:val="24"/>
          <w:szCs w:val="24"/>
          <w:lang w:val="en-US" w:eastAsia="zh-CN"/>
        </w:rPr>
        <w:t>:</w:t>
      </w:r>
      <w:r w:rsidRPr="00FF0F1B">
        <w:rPr>
          <w:rFonts w:ascii="Book Antiqua" w:hAnsi="Book Antiqua"/>
          <w:sz w:val="24"/>
          <w:szCs w:val="24"/>
          <w:lang w:val="en-US"/>
        </w:rPr>
        <w:t xml:space="preserve"> The early development of the mucosal layer and granulation tissue (HEx125) (Group 1).</w:t>
      </w:r>
    </w:p>
    <w:p w:rsidR="00EB3564" w:rsidRPr="00FF0F1B" w:rsidRDefault="00EB3564" w:rsidP="00D56ED6">
      <w:pPr>
        <w:snapToGrid w:val="0"/>
        <w:spacing w:line="360" w:lineRule="auto"/>
        <w:jc w:val="both"/>
        <w:rPr>
          <w:rFonts w:ascii="Book Antiqua" w:hAnsi="Book Antiqua"/>
          <w:sz w:val="24"/>
          <w:szCs w:val="24"/>
          <w:lang w:val="en-US"/>
        </w:rPr>
      </w:pPr>
    </w:p>
    <w:p w:rsidR="00EB3564" w:rsidRPr="00FF0F1B" w:rsidRDefault="00EB3564" w:rsidP="00D56ED6">
      <w:pPr>
        <w:tabs>
          <w:tab w:val="left" w:pos="1365"/>
        </w:tabs>
        <w:snapToGrid w:val="0"/>
        <w:spacing w:line="360" w:lineRule="auto"/>
        <w:jc w:val="both"/>
        <w:rPr>
          <w:rFonts w:ascii="Book Antiqua" w:hAnsi="Book Antiqua"/>
          <w:sz w:val="24"/>
          <w:szCs w:val="24"/>
          <w:lang w:val="en-US" w:eastAsia="zh-CN"/>
        </w:rPr>
      </w:pPr>
    </w:p>
    <w:p w:rsidR="00EB3564" w:rsidRPr="00FF0F1B" w:rsidRDefault="00EB3564" w:rsidP="00D56ED6">
      <w:pPr>
        <w:snapToGrid w:val="0"/>
        <w:spacing w:line="360" w:lineRule="auto"/>
        <w:jc w:val="both"/>
        <w:rPr>
          <w:rFonts w:ascii="Book Antiqua" w:hAnsi="Book Antiqua"/>
          <w:sz w:val="24"/>
          <w:szCs w:val="24"/>
          <w:lang w:val="en-US" w:eastAsia="zh-CN"/>
        </w:rPr>
      </w:pPr>
    </w:p>
    <w:p w:rsidR="00EB3564" w:rsidRPr="00FF0F1B" w:rsidRDefault="00EB3564" w:rsidP="00D56ED6">
      <w:pPr>
        <w:pStyle w:val="ae"/>
        <w:snapToGrid w:val="0"/>
        <w:spacing w:line="360" w:lineRule="auto"/>
        <w:rPr>
          <w:rFonts w:ascii="Book Antiqua" w:hAnsi="Book Antiqua" w:cs="Arial"/>
          <w:kern w:val="0"/>
        </w:rPr>
      </w:pPr>
    </w:p>
    <w:p w:rsidR="00EB3564" w:rsidRPr="00FF0F1B" w:rsidRDefault="00EB3564" w:rsidP="00D56ED6">
      <w:pPr>
        <w:snapToGrid w:val="0"/>
        <w:spacing w:line="360" w:lineRule="auto"/>
        <w:jc w:val="both"/>
        <w:rPr>
          <w:rFonts w:ascii="Book Antiqua" w:hAnsi="Book Antiqua"/>
          <w:sz w:val="24"/>
          <w:szCs w:val="24"/>
          <w:lang w:val="en-US" w:eastAsia="zh-CN"/>
        </w:rPr>
      </w:pPr>
    </w:p>
    <w:p w:rsidR="00EB3564" w:rsidRPr="00FF0F1B" w:rsidRDefault="00EB3564" w:rsidP="00D56ED6">
      <w:pPr>
        <w:snapToGrid w:val="0"/>
        <w:spacing w:line="360" w:lineRule="auto"/>
        <w:jc w:val="both"/>
        <w:rPr>
          <w:rFonts w:ascii="Book Antiqua" w:hAnsi="Book Antiqua"/>
          <w:sz w:val="24"/>
          <w:szCs w:val="24"/>
          <w:lang w:val="en-US" w:eastAsia="zh-CN"/>
        </w:rPr>
      </w:pPr>
    </w:p>
    <w:p w:rsidR="00EB3564" w:rsidRPr="00FF0F1B" w:rsidRDefault="00EB3564" w:rsidP="00B47C56">
      <w:pPr>
        <w:snapToGrid w:val="0"/>
        <w:spacing w:line="360" w:lineRule="auto"/>
        <w:ind w:left="720"/>
        <w:jc w:val="both"/>
        <w:rPr>
          <w:rFonts w:ascii="Book Antiqua" w:hAnsi="Book Antiqua"/>
          <w:sz w:val="24"/>
          <w:szCs w:val="24"/>
          <w:lang w:val="en-US"/>
        </w:rPr>
      </w:pPr>
    </w:p>
    <w:p w:rsidR="00EB3564" w:rsidRPr="00FF0F1B" w:rsidRDefault="00EB3564" w:rsidP="00B47C56">
      <w:pPr>
        <w:snapToGrid w:val="0"/>
        <w:spacing w:line="360" w:lineRule="auto"/>
        <w:jc w:val="both"/>
        <w:rPr>
          <w:rFonts w:ascii="Book Antiqua" w:hAnsi="Book Antiqua"/>
          <w:sz w:val="24"/>
          <w:szCs w:val="24"/>
          <w:lang w:val="en-US"/>
        </w:rPr>
      </w:pPr>
      <w:r w:rsidRPr="00FF0F1B">
        <w:rPr>
          <w:rFonts w:ascii="Book Antiqua" w:hAnsi="Book Antiqua"/>
          <w:b/>
          <w:sz w:val="24"/>
          <w:szCs w:val="24"/>
          <w:lang w:val="en-US"/>
        </w:rPr>
        <w:t>Table 1 Histological features of healing</w:t>
      </w:r>
      <w:r w:rsidRPr="00FF0F1B">
        <w:rPr>
          <w:rFonts w:ascii="Book Antiqua" w:hAnsi="Book Antiqua"/>
          <w:b/>
          <w:sz w:val="24"/>
          <w:szCs w:val="24"/>
          <w:lang w:val="en-US" w:eastAsia="zh-CN"/>
        </w:rPr>
        <w:t>,</w:t>
      </w:r>
      <w:r w:rsidRPr="00FF0F1B">
        <w:rPr>
          <w:rFonts w:ascii="Book Antiqua" w:hAnsi="Book Antiqua"/>
          <w:b/>
          <w:sz w:val="24"/>
          <w:szCs w:val="24"/>
          <w:lang w:val="en-US"/>
        </w:rPr>
        <w:t xml:space="preserve"> </w:t>
      </w:r>
      <w:r w:rsidRPr="00FF0F1B">
        <w:rPr>
          <w:rFonts w:ascii="Book Antiqua" w:hAnsi="Book Antiqua"/>
          <w:b/>
          <w:bCs/>
          <w:color w:val="000000"/>
          <w:sz w:val="24"/>
          <w:szCs w:val="24"/>
          <w:lang w:val="en-US"/>
        </w:rPr>
        <w:t>morphological and functional</w:t>
      </w:r>
      <w:r w:rsidRPr="00FF0F1B">
        <w:rPr>
          <w:rFonts w:ascii="Book Antiqua" w:hAnsi="Book Antiqua"/>
          <w:b/>
          <w:bCs/>
          <w:color w:val="000000"/>
          <w:sz w:val="24"/>
          <w:szCs w:val="24"/>
          <w:lang w:val="en-US" w:eastAsia="zh-CN"/>
        </w:rPr>
        <w:t xml:space="preserve"> </w:t>
      </w:r>
      <w:r w:rsidRPr="00FF0F1B">
        <w:rPr>
          <w:rFonts w:ascii="Book Antiqua" w:hAnsi="Book Antiqua"/>
          <w:b/>
          <w:bCs/>
          <w:color w:val="000000"/>
          <w:sz w:val="24"/>
          <w:szCs w:val="24"/>
          <w:lang w:val="en-US"/>
        </w:rPr>
        <w:t>findings</w:t>
      </w:r>
      <w:r w:rsidRPr="00FF0F1B">
        <w:rPr>
          <w:rFonts w:ascii="Book Antiqua" w:hAnsi="Book Antiqua"/>
          <w:b/>
          <w:sz w:val="24"/>
          <w:szCs w:val="24"/>
          <w:lang w:val="en-US"/>
        </w:rPr>
        <w:t xml:space="preserve"> and</w:t>
      </w:r>
      <w:r w:rsidRPr="00FF0F1B">
        <w:rPr>
          <w:rFonts w:ascii="Book Antiqua" w:hAnsi="Book Antiqua"/>
          <w:b/>
          <w:sz w:val="24"/>
          <w:szCs w:val="24"/>
          <w:lang w:val="en-US" w:eastAsia="zh-CN"/>
        </w:rPr>
        <w:t xml:space="preserve"> </w:t>
      </w:r>
      <w:r w:rsidRPr="00FF0F1B">
        <w:rPr>
          <w:rFonts w:ascii="Book Antiqua" w:hAnsi="Book Antiqua"/>
          <w:b/>
          <w:sz w:val="24"/>
          <w:szCs w:val="24"/>
          <w:lang w:val="en-US"/>
        </w:rPr>
        <w:t>neomucosa formation</w:t>
      </w:r>
    </w:p>
    <w:tbl>
      <w:tblPr>
        <w:tblW w:w="10740" w:type="dxa"/>
        <w:tblInd w:w="2" w:type="dxa"/>
        <w:tblBorders>
          <w:top w:val="single" w:sz="8" w:space="0" w:color="000000"/>
          <w:bottom w:val="single" w:sz="8" w:space="0" w:color="000000"/>
        </w:tblBorders>
        <w:tblLook w:val="00A0" w:firstRow="1" w:lastRow="0" w:firstColumn="1" w:lastColumn="0" w:noHBand="0" w:noVBand="0"/>
      </w:tblPr>
      <w:tblGrid>
        <w:gridCol w:w="2193"/>
        <w:gridCol w:w="1150"/>
        <w:gridCol w:w="1056"/>
        <w:gridCol w:w="1108"/>
        <w:gridCol w:w="1642"/>
        <w:gridCol w:w="1039"/>
        <w:gridCol w:w="1276"/>
        <w:gridCol w:w="1276"/>
      </w:tblGrid>
      <w:tr w:rsidR="00EB3564" w:rsidRPr="00FF0F1B">
        <w:tc>
          <w:tcPr>
            <w:tcW w:w="0" w:type="auto"/>
            <w:tcBorders>
              <w:top w:val="single" w:sz="8" w:space="0" w:color="000000"/>
              <w:bottom w:val="single" w:sz="8" w:space="0" w:color="000000"/>
            </w:tcBorders>
          </w:tcPr>
          <w:p w:rsidR="00EB3564" w:rsidRPr="00FF0F1B" w:rsidRDefault="00EB3564" w:rsidP="00036AF4">
            <w:pPr>
              <w:snapToGrid w:val="0"/>
              <w:spacing w:line="360" w:lineRule="auto"/>
              <w:jc w:val="center"/>
              <w:rPr>
                <w:rFonts w:ascii="Book Antiqua" w:hAnsi="Book Antiqua"/>
                <w:bCs/>
                <w:color w:val="000000"/>
                <w:sz w:val="24"/>
                <w:szCs w:val="24"/>
                <w:lang w:val="en-US"/>
              </w:rPr>
            </w:pPr>
          </w:p>
        </w:tc>
        <w:tc>
          <w:tcPr>
            <w:tcW w:w="0" w:type="auto"/>
            <w:tcBorders>
              <w:top w:val="single" w:sz="8" w:space="0" w:color="000000"/>
              <w:bottom w:val="single" w:sz="8" w:space="0" w:color="000000"/>
            </w:tcBorders>
          </w:tcPr>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Group 1</w:t>
            </w:r>
          </w:p>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(control)</w:t>
            </w:r>
          </w:p>
        </w:tc>
        <w:tc>
          <w:tcPr>
            <w:tcW w:w="0" w:type="auto"/>
            <w:tcBorders>
              <w:top w:val="single" w:sz="8" w:space="0" w:color="000000"/>
              <w:bottom w:val="single" w:sz="8" w:space="0" w:color="000000"/>
            </w:tcBorders>
          </w:tcPr>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Group2</w:t>
            </w:r>
          </w:p>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(GH )</w:t>
            </w:r>
          </w:p>
        </w:tc>
        <w:tc>
          <w:tcPr>
            <w:tcW w:w="0" w:type="auto"/>
            <w:tcBorders>
              <w:top w:val="single" w:sz="8" w:space="0" w:color="000000"/>
              <w:bottom w:val="single" w:sz="8" w:space="0" w:color="000000"/>
            </w:tcBorders>
          </w:tcPr>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Group 3</w:t>
            </w:r>
          </w:p>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(HBO</w:t>
            </w:r>
            <w:r w:rsidRPr="00FF0F1B">
              <w:rPr>
                <w:rFonts w:ascii="Book Antiqua" w:hAnsi="Book Antiqua"/>
                <w:b/>
                <w:bCs/>
                <w:color w:val="000000"/>
                <w:sz w:val="24"/>
                <w:szCs w:val="24"/>
                <w:lang w:val="en-US" w:eastAsia="zh-CN"/>
              </w:rPr>
              <w:t>T</w:t>
            </w:r>
            <w:r w:rsidRPr="00FF0F1B">
              <w:rPr>
                <w:rFonts w:ascii="Book Antiqua" w:hAnsi="Book Antiqua"/>
                <w:b/>
                <w:bCs/>
                <w:color w:val="000000"/>
                <w:sz w:val="24"/>
                <w:szCs w:val="24"/>
                <w:lang w:val="en-US"/>
              </w:rPr>
              <w:t>)</w:t>
            </w:r>
          </w:p>
        </w:tc>
        <w:tc>
          <w:tcPr>
            <w:tcW w:w="0" w:type="auto"/>
            <w:tcBorders>
              <w:top w:val="single" w:sz="8" w:space="0" w:color="000000"/>
              <w:bottom w:val="single" w:sz="8" w:space="0" w:color="000000"/>
            </w:tcBorders>
          </w:tcPr>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Group 4</w:t>
            </w:r>
          </w:p>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(GH+HBO</w:t>
            </w:r>
            <w:r w:rsidRPr="00FF0F1B">
              <w:rPr>
                <w:rFonts w:ascii="Book Antiqua" w:hAnsi="Book Antiqua"/>
                <w:b/>
                <w:bCs/>
                <w:color w:val="000000"/>
                <w:sz w:val="24"/>
                <w:szCs w:val="24"/>
                <w:lang w:val="en-US" w:eastAsia="zh-CN"/>
              </w:rPr>
              <w:t>T</w:t>
            </w:r>
            <w:r w:rsidRPr="00FF0F1B">
              <w:rPr>
                <w:rFonts w:ascii="Book Antiqua" w:hAnsi="Book Antiqua"/>
                <w:b/>
                <w:bCs/>
                <w:color w:val="000000"/>
                <w:sz w:val="24"/>
                <w:szCs w:val="24"/>
                <w:lang w:val="en-US"/>
              </w:rPr>
              <w:t>)</w:t>
            </w:r>
          </w:p>
        </w:tc>
        <w:tc>
          <w:tcPr>
            <w:tcW w:w="1039" w:type="dxa"/>
            <w:tcBorders>
              <w:top w:val="single" w:sz="8" w:space="0" w:color="000000"/>
              <w:bottom w:val="single" w:sz="8" w:space="0" w:color="000000"/>
            </w:tcBorders>
          </w:tcPr>
          <w:p w:rsidR="00EB3564" w:rsidRPr="00FF0F1B" w:rsidRDefault="00EB3564" w:rsidP="00036AF4">
            <w:pPr>
              <w:snapToGrid w:val="0"/>
              <w:spacing w:line="360" w:lineRule="auto"/>
              <w:jc w:val="center"/>
              <w:rPr>
                <w:rFonts w:ascii="Book Antiqua" w:hAnsi="Book Antiqua"/>
                <w:b/>
                <w:bCs/>
                <w:color w:val="000000"/>
                <w:sz w:val="24"/>
                <w:szCs w:val="24"/>
                <w:vertAlign w:val="superscript"/>
                <w:lang w:val="en-US"/>
              </w:rPr>
            </w:pPr>
            <w:r w:rsidRPr="00FF0F1B">
              <w:rPr>
                <w:rFonts w:ascii="Book Antiqua" w:hAnsi="Book Antiqua"/>
                <w:b/>
                <w:i/>
                <w:color w:val="000000"/>
                <w:sz w:val="24"/>
                <w:szCs w:val="24"/>
                <w:lang w:val="en-US"/>
              </w:rPr>
              <w:t>P</w:t>
            </w:r>
            <w:r w:rsidRPr="00FF0F1B">
              <w:rPr>
                <w:rFonts w:ascii="Book Antiqua" w:hAnsi="Book Antiqua"/>
                <w:b/>
                <w:bCs/>
                <w:color w:val="000000"/>
                <w:sz w:val="24"/>
                <w:szCs w:val="24"/>
                <w:vertAlign w:val="superscript"/>
                <w:lang w:val="en-US"/>
              </w:rPr>
              <w:t>1</w:t>
            </w:r>
          </w:p>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(1-2)</w:t>
            </w:r>
          </w:p>
        </w:tc>
        <w:tc>
          <w:tcPr>
            <w:tcW w:w="1276" w:type="dxa"/>
            <w:tcBorders>
              <w:top w:val="single" w:sz="8" w:space="0" w:color="000000"/>
              <w:bottom w:val="single" w:sz="8" w:space="0" w:color="000000"/>
            </w:tcBorders>
          </w:tcPr>
          <w:p w:rsidR="00EB3564" w:rsidRPr="00FF0F1B" w:rsidRDefault="00EB3564" w:rsidP="00036AF4">
            <w:pPr>
              <w:snapToGrid w:val="0"/>
              <w:spacing w:line="360" w:lineRule="auto"/>
              <w:jc w:val="center"/>
              <w:rPr>
                <w:rFonts w:ascii="Book Antiqua" w:hAnsi="Book Antiqua"/>
                <w:b/>
                <w:bCs/>
                <w:color w:val="000000"/>
                <w:sz w:val="24"/>
                <w:szCs w:val="24"/>
                <w:vertAlign w:val="superscript"/>
                <w:lang w:val="en-US"/>
              </w:rPr>
            </w:pPr>
            <w:r w:rsidRPr="00FF0F1B">
              <w:rPr>
                <w:rFonts w:ascii="Book Antiqua" w:hAnsi="Book Antiqua"/>
                <w:b/>
                <w:i/>
                <w:color w:val="000000"/>
                <w:sz w:val="24"/>
                <w:szCs w:val="24"/>
                <w:lang w:val="en-US"/>
              </w:rPr>
              <w:t>P</w:t>
            </w:r>
            <w:r w:rsidRPr="00FF0F1B">
              <w:rPr>
                <w:rFonts w:ascii="Book Antiqua" w:hAnsi="Book Antiqua"/>
                <w:b/>
                <w:bCs/>
                <w:color w:val="000000"/>
                <w:sz w:val="24"/>
                <w:szCs w:val="24"/>
                <w:vertAlign w:val="superscript"/>
                <w:lang w:val="en-US"/>
              </w:rPr>
              <w:t>2</w:t>
            </w:r>
          </w:p>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(1-3)</w:t>
            </w:r>
          </w:p>
        </w:tc>
        <w:tc>
          <w:tcPr>
            <w:tcW w:w="1276" w:type="dxa"/>
            <w:tcBorders>
              <w:top w:val="single" w:sz="8" w:space="0" w:color="000000"/>
              <w:bottom w:val="single" w:sz="8" w:space="0" w:color="000000"/>
            </w:tcBorders>
          </w:tcPr>
          <w:p w:rsidR="00EB3564" w:rsidRPr="00FF0F1B" w:rsidRDefault="00EB3564" w:rsidP="00036AF4">
            <w:pPr>
              <w:snapToGrid w:val="0"/>
              <w:spacing w:line="360" w:lineRule="auto"/>
              <w:jc w:val="center"/>
              <w:rPr>
                <w:rFonts w:ascii="Book Antiqua" w:hAnsi="Book Antiqua"/>
                <w:b/>
                <w:bCs/>
                <w:color w:val="000000"/>
                <w:sz w:val="24"/>
                <w:szCs w:val="24"/>
                <w:vertAlign w:val="superscript"/>
                <w:lang w:val="en-US"/>
              </w:rPr>
            </w:pPr>
            <w:r w:rsidRPr="00FF0F1B">
              <w:rPr>
                <w:rFonts w:ascii="Book Antiqua" w:hAnsi="Book Antiqua"/>
                <w:b/>
                <w:i/>
                <w:color w:val="000000"/>
                <w:sz w:val="24"/>
                <w:szCs w:val="24"/>
                <w:lang w:val="en-US"/>
              </w:rPr>
              <w:t>P</w:t>
            </w:r>
            <w:r w:rsidRPr="00FF0F1B">
              <w:rPr>
                <w:rFonts w:ascii="Book Antiqua" w:hAnsi="Book Antiqua"/>
                <w:b/>
                <w:bCs/>
                <w:color w:val="000000"/>
                <w:sz w:val="24"/>
                <w:szCs w:val="24"/>
                <w:vertAlign w:val="superscript"/>
                <w:lang w:val="en-US"/>
              </w:rPr>
              <w:t>3</w:t>
            </w:r>
          </w:p>
          <w:p w:rsidR="00EB3564" w:rsidRPr="00FF0F1B" w:rsidRDefault="00EB3564" w:rsidP="00036AF4">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(1-4)</w:t>
            </w:r>
          </w:p>
        </w:tc>
      </w:tr>
      <w:tr w:rsidR="00EB3564" w:rsidRPr="00FF0F1B">
        <w:tc>
          <w:tcPr>
            <w:tcW w:w="0" w:type="auto"/>
            <w:gridSpan w:val="4"/>
            <w:tcBorders>
              <w:top w:val="single" w:sz="8" w:space="0" w:color="000000"/>
            </w:tcBorders>
          </w:tcPr>
          <w:p w:rsidR="00EB3564" w:rsidRPr="00FF0F1B" w:rsidRDefault="00EB3564" w:rsidP="00D56ED6">
            <w:pPr>
              <w:snapToGrid w:val="0"/>
              <w:spacing w:line="360" w:lineRule="auto"/>
              <w:rPr>
                <w:rFonts w:ascii="Book Antiqua" w:hAnsi="Book Antiqua"/>
                <w:color w:val="000000"/>
                <w:sz w:val="24"/>
                <w:szCs w:val="24"/>
                <w:lang w:val="en-US"/>
              </w:rPr>
            </w:pPr>
            <w:r w:rsidRPr="00FF0F1B">
              <w:rPr>
                <w:rFonts w:ascii="Book Antiqua" w:hAnsi="Book Antiqua"/>
                <w:bCs/>
                <w:color w:val="000000"/>
                <w:sz w:val="24"/>
                <w:szCs w:val="24"/>
                <w:lang w:val="en-US"/>
              </w:rPr>
              <w:t>Histological</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findings of wound healing</w:t>
            </w:r>
          </w:p>
        </w:tc>
        <w:tc>
          <w:tcPr>
            <w:tcW w:w="0" w:type="auto"/>
            <w:tcBorders>
              <w:top w:val="single" w:sz="8" w:space="0" w:color="000000"/>
            </w:tcBorders>
          </w:tcPr>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1039" w:type="dxa"/>
            <w:tcBorders>
              <w:top w:val="single" w:sz="8" w:space="0" w:color="000000"/>
            </w:tcBorders>
          </w:tcPr>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1276" w:type="dxa"/>
            <w:tcBorders>
              <w:top w:val="single" w:sz="8" w:space="0" w:color="000000"/>
            </w:tcBorders>
          </w:tcPr>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1276" w:type="dxa"/>
            <w:tcBorders>
              <w:top w:val="single" w:sz="8" w:space="0" w:color="000000"/>
            </w:tcBorders>
          </w:tcPr>
          <w:p w:rsidR="00EB3564" w:rsidRPr="00FF0F1B" w:rsidRDefault="00EB3564" w:rsidP="00036AF4">
            <w:pPr>
              <w:snapToGrid w:val="0"/>
              <w:spacing w:line="360" w:lineRule="auto"/>
              <w:jc w:val="center"/>
              <w:rPr>
                <w:rFonts w:ascii="Book Antiqua" w:hAnsi="Book Antiqua"/>
                <w:color w:val="000000"/>
                <w:sz w:val="24"/>
                <w:szCs w:val="24"/>
                <w:lang w:val="en-US"/>
              </w:rPr>
            </w:pPr>
          </w:p>
        </w:tc>
      </w:tr>
      <w:tr w:rsidR="00EB3564" w:rsidRPr="00FF0F1B">
        <w:tc>
          <w:tcPr>
            <w:tcW w:w="0" w:type="auto"/>
          </w:tcPr>
          <w:p w:rsidR="00EB3564" w:rsidRPr="00FF0F1B" w:rsidRDefault="00EB3564" w:rsidP="00036AF4">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Epithelialization</w:t>
            </w: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0.3</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1.3</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1.7</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1039"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r>
      <w:tr w:rsidR="00EB3564" w:rsidRPr="00FF0F1B">
        <w:tc>
          <w:tcPr>
            <w:tcW w:w="0" w:type="auto"/>
          </w:tcPr>
          <w:p w:rsidR="00EB3564" w:rsidRPr="00FF0F1B" w:rsidRDefault="00EB3564" w:rsidP="00036AF4">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Granulation</w:t>
            </w:r>
          </w:p>
          <w:p w:rsidR="00EB3564" w:rsidRPr="00FF0F1B" w:rsidRDefault="00EB3564" w:rsidP="00036AF4">
            <w:pPr>
              <w:snapToGrid w:val="0"/>
              <w:spacing w:line="360" w:lineRule="auto"/>
              <w:jc w:val="center"/>
              <w:rPr>
                <w:rFonts w:ascii="Book Antiqua" w:hAnsi="Book Antiqua"/>
                <w:bCs/>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2.4</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1.4</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1.9</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1.1</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1039"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r>
      <w:tr w:rsidR="00EB3564" w:rsidRPr="00FF0F1B">
        <w:tc>
          <w:tcPr>
            <w:tcW w:w="0" w:type="auto"/>
          </w:tcPr>
          <w:p w:rsidR="00EB3564" w:rsidRPr="00FF0F1B" w:rsidRDefault="00EB3564" w:rsidP="00036AF4">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Fibroblast</w:t>
            </w: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1.7</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1.8</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2.4</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1039"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r>
      <w:tr w:rsidR="00EB3564" w:rsidRPr="00FF0F1B">
        <w:tc>
          <w:tcPr>
            <w:tcW w:w="0" w:type="auto"/>
          </w:tcPr>
          <w:p w:rsidR="00EB3564" w:rsidRPr="00FF0F1B" w:rsidRDefault="00EB3564" w:rsidP="00036AF4">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Inflammation</w:t>
            </w: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1.4</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1.1</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1.2</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1.2</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1039"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r>
      <w:tr w:rsidR="00EB3564" w:rsidRPr="00FF0F1B">
        <w:tc>
          <w:tcPr>
            <w:tcW w:w="0" w:type="auto"/>
          </w:tcPr>
          <w:p w:rsidR="00EB3564" w:rsidRPr="00FF0F1B" w:rsidRDefault="00EB3564" w:rsidP="00036AF4">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Angiogenesis</w:t>
            </w: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4.4</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7.5</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7.2</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8.9</w:t>
            </w:r>
          </w:p>
          <w:p w:rsidR="00EB3564" w:rsidRPr="00FF0F1B" w:rsidRDefault="00EB3564" w:rsidP="00036AF4">
            <w:pPr>
              <w:snapToGrid w:val="0"/>
              <w:spacing w:line="360" w:lineRule="auto"/>
              <w:jc w:val="center"/>
              <w:rPr>
                <w:rFonts w:ascii="Book Antiqua" w:hAnsi="Book Antiqua"/>
                <w:color w:val="000000"/>
                <w:sz w:val="24"/>
                <w:szCs w:val="24"/>
                <w:lang w:val="en-US"/>
              </w:rPr>
            </w:pPr>
          </w:p>
        </w:tc>
        <w:tc>
          <w:tcPr>
            <w:tcW w:w="1039"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r>
      <w:tr w:rsidR="00EB3564" w:rsidRPr="00FF0F1B">
        <w:tc>
          <w:tcPr>
            <w:tcW w:w="0" w:type="auto"/>
          </w:tcPr>
          <w:p w:rsidR="00EB3564" w:rsidRPr="00FF0F1B" w:rsidRDefault="00EB3564" w:rsidP="00036AF4">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Collagen deposition</w:t>
            </w: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0.9</w:t>
            </w: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2.2</w:t>
            </w: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1.6</w:t>
            </w:r>
          </w:p>
        </w:tc>
        <w:tc>
          <w:tcPr>
            <w:tcW w:w="0" w:type="auto"/>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2.6</w:t>
            </w:r>
          </w:p>
        </w:tc>
        <w:tc>
          <w:tcPr>
            <w:tcW w:w="1039"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036AF4">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r>
      <w:tr w:rsidR="00EB3564" w:rsidRPr="00FF0F1B">
        <w:tc>
          <w:tcPr>
            <w:tcW w:w="0" w:type="auto"/>
            <w:gridSpan w:val="4"/>
          </w:tcPr>
          <w:p w:rsidR="00EB3564" w:rsidRPr="00FF0F1B" w:rsidRDefault="00EB3564" w:rsidP="00D56ED6">
            <w:pPr>
              <w:snapToGrid w:val="0"/>
              <w:spacing w:line="360" w:lineRule="auto"/>
              <w:rPr>
                <w:rFonts w:ascii="Book Antiqua" w:hAnsi="Book Antiqua"/>
                <w:color w:val="000000"/>
                <w:sz w:val="24"/>
                <w:szCs w:val="24"/>
                <w:lang w:val="en-US"/>
              </w:rPr>
            </w:pPr>
            <w:r w:rsidRPr="00FF0F1B">
              <w:rPr>
                <w:rFonts w:ascii="Book Antiqua" w:hAnsi="Book Antiqua"/>
                <w:bCs/>
                <w:color w:val="000000"/>
                <w:sz w:val="24"/>
                <w:szCs w:val="24"/>
                <w:lang w:val="en-US"/>
              </w:rPr>
              <w:t>Morphological and functional</w:t>
            </w:r>
            <w:r w:rsidRPr="00FF0F1B">
              <w:rPr>
                <w:rFonts w:ascii="Book Antiqua" w:hAnsi="Book Antiqua"/>
                <w:bCs/>
                <w:color w:val="000000"/>
                <w:sz w:val="24"/>
                <w:szCs w:val="24"/>
                <w:lang w:val="en-US" w:eastAsia="zh-CN"/>
              </w:rPr>
              <w:t xml:space="preserve"> </w:t>
            </w:r>
            <w:r w:rsidRPr="00FF0F1B">
              <w:rPr>
                <w:rFonts w:ascii="Book Antiqua" w:hAnsi="Book Antiqua"/>
                <w:bCs/>
                <w:color w:val="000000"/>
                <w:sz w:val="24"/>
                <w:szCs w:val="24"/>
                <w:lang w:val="en-US"/>
              </w:rPr>
              <w:t>findings</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p>
        </w:tc>
        <w:tc>
          <w:tcPr>
            <w:tcW w:w="1039" w:type="dxa"/>
          </w:tcPr>
          <w:p w:rsidR="00EB3564" w:rsidRPr="00FF0F1B" w:rsidRDefault="00EB3564" w:rsidP="005F7E0C">
            <w:pPr>
              <w:snapToGrid w:val="0"/>
              <w:spacing w:line="360" w:lineRule="auto"/>
              <w:jc w:val="center"/>
              <w:rPr>
                <w:rFonts w:ascii="Book Antiqua" w:hAnsi="Book Antiqua"/>
                <w:color w:val="000000"/>
                <w:sz w:val="24"/>
                <w:szCs w:val="24"/>
                <w:lang w:val="en-US"/>
              </w:rPr>
            </w:pP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p>
        </w:tc>
      </w:tr>
      <w:tr w:rsidR="00EB3564" w:rsidRPr="00FF0F1B">
        <w:tc>
          <w:tcPr>
            <w:tcW w:w="0" w:type="auto"/>
          </w:tcPr>
          <w:p w:rsidR="00EB3564" w:rsidRPr="00FF0F1B" w:rsidRDefault="00EB3564" w:rsidP="005F7E0C">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Villus</w:t>
            </w:r>
          </w:p>
          <w:p w:rsidR="00EB3564" w:rsidRPr="00FF0F1B" w:rsidRDefault="00EB3564" w:rsidP="005F7E0C">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density</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0.2</w:t>
            </w:r>
          </w:p>
          <w:p w:rsidR="00EB3564" w:rsidRPr="00FF0F1B" w:rsidRDefault="00EB3564" w:rsidP="005F7E0C">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1.3</w:t>
            </w:r>
          </w:p>
          <w:p w:rsidR="00EB3564" w:rsidRPr="00FF0F1B" w:rsidRDefault="00EB3564" w:rsidP="005F7E0C">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1.1</w:t>
            </w:r>
          </w:p>
          <w:p w:rsidR="00EB3564" w:rsidRPr="00FF0F1B" w:rsidRDefault="00EB3564" w:rsidP="005F7E0C">
            <w:pPr>
              <w:snapToGrid w:val="0"/>
              <w:spacing w:line="360" w:lineRule="auto"/>
              <w:jc w:val="center"/>
              <w:rPr>
                <w:rFonts w:ascii="Book Antiqua" w:hAnsi="Book Antiqua"/>
                <w:color w:val="000000"/>
                <w:sz w:val="24"/>
                <w:szCs w:val="24"/>
                <w:lang w:val="en-US"/>
              </w:rPr>
            </w:pP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w:t>
            </w:r>
          </w:p>
          <w:p w:rsidR="00EB3564" w:rsidRPr="00FF0F1B" w:rsidRDefault="00EB3564" w:rsidP="005F7E0C">
            <w:pPr>
              <w:snapToGrid w:val="0"/>
              <w:spacing w:line="360" w:lineRule="auto"/>
              <w:jc w:val="center"/>
              <w:rPr>
                <w:rFonts w:ascii="Book Antiqua" w:hAnsi="Book Antiqua"/>
                <w:color w:val="000000"/>
                <w:sz w:val="24"/>
                <w:szCs w:val="24"/>
                <w:lang w:val="en-US"/>
              </w:rPr>
            </w:pPr>
          </w:p>
        </w:tc>
        <w:tc>
          <w:tcPr>
            <w:tcW w:w="1039"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r>
      <w:tr w:rsidR="00EB3564" w:rsidRPr="00FF0F1B">
        <w:tc>
          <w:tcPr>
            <w:tcW w:w="0" w:type="auto"/>
          </w:tcPr>
          <w:p w:rsidR="00EB3564" w:rsidRPr="00FF0F1B" w:rsidRDefault="00EB3564" w:rsidP="005F7E0C">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Villus height</w:t>
            </w:r>
          </w:p>
          <w:p w:rsidR="00EB3564" w:rsidRPr="00FF0F1B" w:rsidRDefault="00EB3564" w:rsidP="005F7E0C">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w:t>
            </w:r>
            <w:r w:rsidRPr="00FF0F1B">
              <w:rPr>
                <w:rFonts w:ascii="Book Antiqua" w:hAnsi="Book Antiqua"/>
                <w:color w:val="000000"/>
                <w:sz w:val="24"/>
              </w:rPr>
              <w:t>μ</w:t>
            </w:r>
            <w:r w:rsidRPr="00FF0F1B">
              <w:rPr>
                <w:rFonts w:ascii="Book Antiqua" w:hAnsi="Book Antiqua"/>
                <w:bCs/>
                <w:color w:val="000000"/>
                <w:sz w:val="24"/>
                <w:szCs w:val="24"/>
                <w:lang w:val="en-US"/>
              </w:rPr>
              <w:t>m)</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101</w:t>
            </w:r>
          </w:p>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(70-109)</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135</w:t>
            </w:r>
          </w:p>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(98-153)</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118</w:t>
            </w:r>
          </w:p>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(81-129)</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153</w:t>
            </w:r>
          </w:p>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(119-181)</w:t>
            </w:r>
          </w:p>
        </w:tc>
        <w:tc>
          <w:tcPr>
            <w:tcW w:w="1039"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r>
      <w:tr w:rsidR="00EB3564" w:rsidRPr="00FF0F1B">
        <w:tc>
          <w:tcPr>
            <w:tcW w:w="0" w:type="auto"/>
          </w:tcPr>
          <w:p w:rsidR="00EB3564" w:rsidRPr="00FF0F1B" w:rsidRDefault="00EB3564" w:rsidP="005F7E0C">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Crypt depth</w:t>
            </w:r>
          </w:p>
          <w:p w:rsidR="00EB3564" w:rsidRPr="00FF0F1B" w:rsidRDefault="00EB3564" w:rsidP="005F7E0C">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w:t>
            </w:r>
            <w:r w:rsidRPr="00FF0F1B">
              <w:rPr>
                <w:rFonts w:ascii="Book Antiqua" w:hAnsi="Book Antiqua"/>
                <w:color w:val="000000"/>
                <w:sz w:val="24"/>
              </w:rPr>
              <w:t>μ</w:t>
            </w:r>
            <w:r w:rsidRPr="00FF0F1B">
              <w:rPr>
                <w:rFonts w:ascii="Book Antiqua" w:hAnsi="Book Antiqua"/>
                <w:bCs/>
                <w:color w:val="000000"/>
                <w:sz w:val="24"/>
                <w:szCs w:val="24"/>
                <w:lang w:val="en-US"/>
              </w:rPr>
              <w:t>m)</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83</w:t>
            </w:r>
          </w:p>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(74-88)</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102</w:t>
            </w:r>
          </w:p>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(82-114)</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93</w:t>
            </w:r>
          </w:p>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(76-101)</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120</w:t>
            </w:r>
          </w:p>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(101-133)</w:t>
            </w:r>
          </w:p>
        </w:tc>
        <w:tc>
          <w:tcPr>
            <w:tcW w:w="1039"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&gt;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r>
      <w:tr w:rsidR="00EB3564" w:rsidRPr="00FF0F1B">
        <w:tc>
          <w:tcPr>
            <w:tcW w:w="0" w:type="auto"/>
          </w:tcPr>
          <w:p w:rsidR="00EB3564" w:rsidRPr="00FF0F1B" w:rsidRDefault="00EB3564" w:rsidP="005F7E0C">
            <w:pPr>
              <w:snapToGrid w:val="0"/>
              <w:spacing w:line="360" w:lineRule="auto"/>
              <w:jc w:val="center"/>
              <w:rPr>
                <w:rFonts w:ascii="Book Antiqua" w:hAnsi="Book Antiqua"/>
                <w:bCs/>
                <w:color w:val="000000"/>
                <w:sz w:val="24"/>
                <w:szCs w:val="24"/>
                <w:lang w:val="en-US" w:eastAsia="zh-CN"/>
              </w:rPr>
            </w:pPr>
            <w:r w:rsidRPr="00FF0F1B">
              <w:rPr>
                <w:rFonts w:ascii="Book Antiqua" w:hAnsi="Book Antiqua"/>
                <w:bCs/>
                <w:color w:val="000000"/>
                <w:sz w:val="24"/>
                <w:szCs w:val="24"/>
                <w:lang w:val="en-US"/>
              </w:rPr>
              <w:t>Goblet cells</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0.2</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1.4</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1.1</w:t>
            </w:r>
          </w:p>
        </w:tc>
        <w:tc>
          <w:tcPr>
            <w:tcW w:w="0" w:type="auto"/>
          </w:tcPr>
          <w:p w:rsidR="00EB3564" w:rsidRPr="00FF0F1B" w:rsidRDefault="00EB3564" w:rsidP="005F7E0C">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2.2</w:t>
            </w:r>
          </w:p>
        </w:tc>
        <w:tc>
          <w:tcPr>
            <w:tcW w:w="1039"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r>
      <w:tr w:rsidR="00EB3564" w:rsidRPr="00FF0F1B">
        <w:tc>
          <w:tcPr>
            <w:tcW w:w="0" w:type="auto"/>
            <w:tcBorders>
              <w:bottom w:val="single" w:sz="8" w:space="0" w:color="000000"/>
            </w:tcBorders>
          </w:tcPr>
          <w:p w:rsidR="00EB3564" w:rsidRPr="00FF0F1B" w:rsidRDefault="00EB3564" w:rsidP="005F7E0C">
            <w:pPr>
              <w:snapToGrid w:val="0"/>
              <w:spacing w:line="360" w:lineRule="auto"/>
              <w:jc w:val="center"/>
              <w:rPr>
                <w:rFonts w:ascii="Book Antiqua" w:hAnsi="Book Antiqua"/>
                <w:bCs/>
                <w:color w:val="000000"/>
                <w:sz w:val="24"/>
                <w:szCs w:val="24"/>
                <w:lang w:val="en-US" w:eastAsia="zh-CN"/>
              </w:rPr>
            </w:pPr>
            <w:r w:rsidRPr="00FF0F1B">
              <w:rPr>
                <w:rFonts w:ascii="Book Antiqua" w:hAnsi="Book Antiqua"/>
                <w:bCs/>
                <w:color w:val="000000"/>
                <w:sz w:val="24"/>
                <w:szCs w:val="24"/>
                <w:lang w:val="en-US"/>
              </w:rPr>
              <w:t>Mucin</w:t>
            </w:r>
          </w:p>
        </w:tc>
        <w:tc>
          <w:tcPr>
            <w:tcW w:w="0" w:type="auto"/>
            <w:tcBorders>
              <w:bottom w:val="single" w:sz="8" w:space="0" w:color="000000"/>
            </w:tcBorders>
          </w:tcPr>
          <w:p w:rsidR="00EB3564" w:rsidRPr="00FF0F1B" w:rsidRDefault="00EB3564" w:rsidP="005F7E0C">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0.2</w:t>
            </w:r>
          </w:p>
        </w:tc>
        <w:tc>
          <w:tcPr>
            <w:tcW w:w="0" w:type="auto"/>
            <w:tcBorders>
              <w:bottom w:val="single" w:sz="8" w:space="0" w:color="000000"/>
            </w:tcBorders>
          </w:tcPr>
          <w:p w:rsidR="00EB3564" w:rsidRPr="00FF0F1B" w:rsidRDefault="00EB3564" w:rsidP="005F7E0C">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1.7</w:t>
            </w:r>
          </w:p>
        </w:tc>
        <w:tc>
          <w:tcPr>
            <w:tcW w:w="0" w:type="auto"/>
            <w:tcBorders>
              <w:bottom w:val="single" w:sz="8" w:space="0" w:color="000000"/>
            </w:tcBorders>
          </w:tcPr>
          <w:p w:rsidR="00EB3564" w:rsidRPr="00FF0F1B" w:rsidRDefault="00EB3564" w:rsidP="005F7E0C">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1.2</w:t>
            </w:r>
          </w:p>
        </w:tc>
        <w:tc>
          <w:tcPr>
            <w:tcW w:w="0" w:type="auto"/>
            <w:tcBorders>
              <w:bottom w:val="single" w:sz="8" w:space="0" w:color="000000"/>
            </w:tcBorders>
          </w:tcPr>
          <w:p w:rsidR="00EB3564" w:rsidRPr="00FF0F1B" w:rsidRDefault="00EB3564" w:rsidP="005F7E0C">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2.2</w:t>
            </w:r>
          </w:p>
        </w:tc>
        <w:tc>
          <w:tcPr>
            <w:tcW w:w="1039" w:type="dxa"/>
            <w:tcBorders>
              <w:bottom w:val="single" w:sz="8" w:space="0" w:color="000000"/>
            </w:tcBorders>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Borders>
              <w:bottom w:val="single" w:sz="8" w:space="0" w:color="000000"/>
            </w:tcBorders>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c>
          <w:tcPr>
            <w:tcW w:w="1276" w:type="dxa"/>
            <w:tcBorders>
              <w:bottom w:val="single" w:sz="8" w:space="0" w:color="000000"/>
            </w:tcBorders>
          </w:tcPr>
          <w:p w:rsidR="00EB3564" w:rsidRPr="00FF0F1B" w:rsidRDefault="00EB3564" w:rsidP="005F7E0C">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0.01</w:t>
            </w:r>
          </w:p>
        </w:tc>
      </w:tr>
    </w:tbl>
    <w:p w:rsidR="00EB3564" w:rsidRPr="00FF0F1B" w:rsidRDefault="00EB3564" w:rsidP="00036AF4">
      <w:pPr>
        <w:snapToGrid w:val="0"/>
        <w:spacing w:line="360" w:lineRule="auto"/>
        <w:jc w:val="both"/>
        <w:rPr>
          <w:rFonts w:ascii="Book Antiqua" w:hAnsi="Book Antiqua"/>
          <w:lang w:eastAsia="zh-CN"/>
        </w:rPr>
      </w:pPr>
      <w:r w:rsidRPr="00FF0F1B">
        <w:rPr>
          <w:rFonts w:ascii="Book Antiqua" w:hAnsi="Book Antiqua"/>
          <w:sz w:val="24"/>
          <w:szCs w:val="24"/>
          <w:lang w:eastAsia="zh-CN"/>
        </w:rPr>
        <w:t>A</w:t>
      </w:r>
      <w:r w:rsidRPr="00FF0F1B">
        <w:rPr>
          <w:rFonts w:ascii="Book Antiqua" w:hAnsi="Book Antiqua"/>
          <w:sz w:val="24"/>
          <w:szCs w:val="24"/>
          <w:lang w:val="en-US"/>
        </w:rPr>
        <w:t>ll parameters scored from 0 to 3, angiogenesis counted within 1</w:t>
      </w:r>
      <w:r w:rsidRPr="00FF0F1B">
        <w:rPr>
          <w:rFonts w:ascii="Book Antiqua" w:hAnsi="Book Antiqua"/>
          <w:sz w:val="24"/>
          <w:szCs w:val="24"/>
          <w:lang w:val="en-US" w:eastAsia="zh-CN"/>
        </w:rPr>
        <w:t xml:space="preserve"> </w:t>
      </w:r>
      <w:r w:rsidRPr="00FF0F1B">
        <w:rPr>
          <w:rFonts w:ascii="Book Antiqua" w:hAnsi="Book Antiqua"/>
          <w:sz w:val="24"/>
          <w:szCs w:val="24"/>
          <w:lang w:val="en-US"/>
        </w:rPr>
        <w:t>mm</w:t>
      </w:r>
      <w:r w:rsidRPr="00FF0F1B">
        <w:rPr>
          <w:rFonts w:ascii="Book Antiqua" w:hAnsi="Book Antiqua"/>
          <w:sz w:val="24"/>
          <w:szCs w:val="24"/>
          <w:vertAlign w:val="superscript"/>
          <w:lang w:val="en-US"/>
        </w:rPr>
        <w:t>2</w:t>
      </w:r>
      <w:r w:rsidRPr="00FF0F1B">
        <w:rPr>
          <w:rFonts w:ascii="Book Antiqua" w:hAnsi="Book Antiqua"/>
          <w:sz w:val="24"/>
          <w:szCs w:val="24"/>
          <w:lang w:val="en-US" w:eastAsia="zh-CN"/>
        </w:rPr>
        <w:t xml:space="preserve">, </w:t>
      </w:r>
      <w:r w:rsidRPr="00FF0F1B">
        <w:rPr>
          <w:rFonts w:ascii="Book Antiqua" w:hAnsi="Book Antiqua"/>
          <w:sz w:val="24"/>
          <w:szCs w:val="24"/>
          <w:lang w:val="en-US"/>
        </w:rPr>
        <w:t>villus density, goblet cells, mucin secretion and collagen deposition, scored from 0 to 3</w:t>
      </w:r>
      <w:r w:rsidRPr="00FF0F1B">
        <w:rPr>
          <w:rFonts w:ascii="Book Antiqua" w:hAnsi="Book Antiqua"/>
          <w:sz w:val="24"/>
          <w:szCs w:val="24"/>
          <w:lang w:val="en-US" w:eastAsia="zh-CN"/>
        </w:rPr>
        <w:t xml:space="preserve">. </w:t>
      </w:r>
      <w:r w:rsidRPr="00FF0F1B">
        <w:rPr>
          <w:rFonts w:ascii="Book Antiqua" w:hAnsi="Book Antiqua"/>
          <w:sz w:val="24"/>
          <w:szCs w:val="24"/>
          <w:lang w:val="en-US"/>
        </w:rPr>
        <w:t xml:space="preserve">The </w:t>
      </w:r>
      <w:r w:rsidRPr="00FF0F1B">
        <w:rPr>
          <w:rFonts w:ascii="Book Antiqua" w:hAnsi="Book Antiqua"/>
          <w:i/>
          <w:color w:val="000000"/>
          <w:sz w:val="24"/>
          <w:szCs w:val="24"/>
          <w:lang w:val="en-US"/>
        </w:rPr>
        <w:t>P</w:t>
      </w:r>
      <w:r w:rsidRPr="00FF0F1B">
        <w:rPr>
          <w:rFonts w:ascii="Book Antiqua" w:hAnsi="Book Antiqua"/>
          <w:sz w:val="24"/>
          <w:szCs w:val="24"/>
          <w:vertAlign w:val="superscript"/>
          <w:lang w:val="en-US"/>
        </w:rPr>
        <w:t>1</w:t>
      </w:r>
      <w:r w:rsidRPr="00FF0F1B">
        <w:rPr>
          <w:rFonts w:ascii="Book Antiqua" w:hAnsi="Book Antiqua"/>
          <w:sz w:val="24"/>
          <w:szCs w:val="24"/>
          <w:lang w:val="en-US"/>
        </w:rPr>
        <w:t xml:space="preserve"> value compares Groups 1 and 2, </w:t>
      </w:r>
      <w:r w:rsidRPr="00FF0F1B">
        <w:rPr>
          <w:rFonts w:ascii="Book Antiqua" w:hAnsi="Book Antiqua"/>
          <w:i/>
          <w:color w:val="000000"/>
          <w:sz w:val="24"/>
          <w:szCs w:val="24"/>
          <w:lang w:val="en-US"/>
        </w:rPr>
        <w:t>P</w:t>
      </w:r>
      <w:r w:rsidRPr="00FF0F1B">
        <w:rPr>
          <w:rFonts w:ascii="Book Antiqua" w:hAnsi="Book Antiqua"/>
          <w:sz w:val="24"/>
          <w:szCs w:val="24"/>
          <w:vertAlign w:val="superscript"/>
          <w:lang w:val="en-US"/>
        </w:rPr>
        <w:t>2</w:t>
      </w:r>
      <w:r w:rsidRPr="00FF0F1B">
        <w:rPr>
          <w:rFonts w:ascii="Book Antiqua" w:hAnsi="Book Antiqua"/>
          <w:sz w:val="24"/>
          <w:szCs w:val="24"/>
          <w:lang w:val="en-US"/>
        </w:rPr>
        <w:t xml:space="preserve"> value compares Groups 1 and 3, and </w:t>
      </w:r>
      <w:r w:rsidRPr="00FF0F1B">
        <w:rPr>
          <w:rFonts w:ascii="Book Antiqua" w:hAnsi="Book Antiqua"/>
          <w:i/>
          <w:color w:val="000000"/>
          <w:sz w:val="24"/>
          <w:szCs w:val="24"/>
          <w:lang w:val="en-US"/>
        </w:rPr>
        <w:t>P</w:t>
      </w:r>
      <w:r w:rsidRPr="00FF0F1B">
        <w:rPr>
          <w:rFonts w:ascii="Book Antiqua" w:hAnsi="Book Antiqua"/>
          <w:sz w:val="24"/>
          <w:szCs w:val="24"/>
          <w:vertAlign w:val="superscript"/>
          <w:lang w:val="en-US"/>
        </w:rPr>
        <w:t xml:space="preserve">3 </w:t>
      </w:r>
      <w:r w:rsidRPr="00FF0F1B">
        <w:rPr>
          <w:rFonts w:ascii="Book Antiqua" w:hAnsi="Book Antiqua"/>
          <w:sz w:val="24"/>
          <w:szCs w:val="24"/>
          <w:lang w:val="en-US"/>
        </w:rPr>
        <w:t>value compares Groups 1 and 4. All values are expressed as the mean ± SD. NS: Non-significant</w:t>
      </w:r>
      <w:r w:rsidRPr="00FF0F1B">
        <w:rPr>
          <w:rFonts w:ascii="Book Antiqua" w:hAnsi="Book Antiqua"/>
          <w:sz w:val="24"/>
          <w:szCs w:val="24"/>
          <w:lang w:val="en-US" w:eastAsia="zh-CN"/>
        </w:rPr>
        <w:t>;</w:t>
      </w:r>
      <w:r w:rsidRPr="00FF0F1B">
        <w:rPr>
          <w:rFonts w:ascii="Book Antiqua" w:hAnsi="Book Antiqua"/>
          <w:sz w:val="24"/>
          <w:szCs w:val="24"/>
          <w:lang w:val="en-US"/>
        </w:rPr>
        <w:t xml:space="preserve"> GH</w:t>
      </w:r>
      <w:r w:rsidRPr="00FF0F1B">
        <w:rPr>
          <w:rFonts w:ascii="Book Antiqua" w:hAnsi="Book Antiqua"/>
          <w:sz w:val="24"/>
          <w:szCs w:val="24"/>
          <w:lang w:val="en-US" w:eastAsia="zh-CN"/>
        </w:rPr>
        <w:t xml:space="preserve">: </w:t>
      </w:r>
      <w:r w:rsidRPr="00FF0F1B">
        <w:rPr>
          <w:rFonts w:ascii="Book Antiqua" w:hAnsi="Book Antiqua"/>
          <w:sz w:val="24"/>
          <w:szCs w:val="24"/>
          <w:lang w:val="en-US"/>
        </w:rPr>
        <w:t>Growth hormone</w:t>
      </w:r>
      <w:r w:rsidRPr="00FF0F1B">
        <w:rPr>
          <w:rFonts w:ascii="Book Antiqua" w:hAnsi="Book Antiqua"/>
          <w:sz w:val="24"/>
          <w:szCs w:val="24"/>
          <w:lang w:val="en-US" w:eastAsia="zh-CN"/>
        </w:rPr>
        <w:t>;</w:t>
      </w:r>
      <w:r w:rsidRPr="00FF0F1B">
        <w:rPr>
          <w:rFonts w:ascii="Book Antiqua" w:hAnsi="Book Antiqua"/>
          <w:sz w:val="24"/>
          <w:szCs w:val="24"/>
          <w:lang w:val="en-US"/>
        </w:rPr>
        <w:t xml:space="preserve"> HBOT</w:t>
      </w:r>
      <w:r w:rsidRPr="00FF0F1B">
        <w:rPr>
          <w:rFonts w:ascii="Book Antiqua" w:hAnsi="Book Antiqua"/>
          <w:sz w:val="24"/>
          <w:szCs w:val="24"/>
          <w:lang w:val="en-US" w:eastAsia="zh-CN"/>
        </w:rPr>
        <w:t xml:space="preserve">: </w:t>
      </w:r>
      <w:r w:rsidRPr="00FF0F1B">
        <w:rPr>
          <w:rFonts w:ascii="Book Antiqua" w:hAnsi="Book Antiqua"/>
          <w:sz w:val="24"/>
          <w:szCs w:val="24"/>
          <w:lang w:val="en-US"/>
        </w:rPr>
        <w:t>Hyperbaric oxygen therapy</w:t>
      </w:r>
      <w:r w:rsidRPr="00FF0F1B">
        <w:rPr>
          <w:rFonts w:ascii="Book Antiqua" w:hAnsi="Book Antiqua"/>
          <w:sz w:val="24"/>
          <w:szCs w:val="24"/>
          <w:lang w:val="en-US" w:eastAsia="zh-CN"/>
        </w:rPr>
        <w:t>.</w:t>
      </w:r>
    </w:p>
    <w:p w:rsidR="00EB3564" w:rsidRPr="00FF0F1B" w:rsidRDefault="00EB3564" w:rsidP="00036AF4">
      <w:pPr>
        <w:snapToGrid w:val="0"/>
        <w:spacing w:line="360" w:lineRule="auto"/>
        <w:jc w:val="both"/>
        <w:rPr>
          <w:rFonts w:ascii="Book Antiqua" w:hAnsi="Book Antiqua"/>
          <w:sz w:val="24"/>
          <w:szCs w:val="24"/>
          <w:lang w:eastAsia="zh-CN"/>
        </w:rPr>
      </w:pPr>
    </w:p>
    <w:p w:rsidR="00EB3564" w:rsidRPr="00FF0F1B" w:rsidRDefault="00EB3564" w:rsidP="00B47C56">
      <w:pPr>
        <w:snapToGrid w:val="0"/>
        <w:spacing w:line="360" w:lineRule="auto"/>
        <w:jc w:val="both"/>
        <w:rPr>
          <w:rFonts w:ascii="Book Antiqua" w:hAnsi="Book Antiqua"/>
          <w:b/>
          <w:sz w:val="24"/>
          <w:szCs w:val="24"/>
          <w:lang w:val="en-US" w:eastAsia="zh-CN"/>
        </w:rPr>
      </w:pPr>
    </w:p>
    <w:p w:rsidR="00EB3564" w:rsidRPr="00FF0F1B" w:rsidRDefault="00EB3564" w:rsidP="00B47C56">
      <w:pPr>
        <w:snapToGrid w:val="0"/>
        <w:spacing w:line="360" w:lineRule="auto"/>
        <w:jc w:val="both"/>
        <w:rPr>
          <w:rFonts w:ascii="Book Antiqua" w:hAnsi="Book Antiqua"/>
          <w:b/>
          <w:sz w:val="24"/>
          <w:szCs w:val="24"/>
          <w:lang w:val="en-US" w:eastAsia="zh-CN"/>
        </w:rPr>
      </w:pPr>
      <w:r w:rsidRPr="00FF0F1B">
        <w:rPr>
          <w:rFonts w:ascii="Book Antiqua" w:hAnsi="Book Antiqua"/>
          <w:b/>
          <w:sz w:val="24"/>
          <w:szCs w:val="24"/>
          <w:lang w:val="en-US"/>
        </w:rPr>
        <w:t xml:space="preserve">Table </w:t>
      </w:r>
      <w:r w:rsidRPr="00FF0F1B">
        <w:rPr>
          <w:rFonts w:ascii="Book Antiqua" w:hAnsi="Book Antiqua"/>
          <w:b/>
          <w:sz w:val="24"/>
          <w:szCs w:val="24"/>
          <w:lang w:val="en-US" w:eastAsia="zh-CN"/>
        </w:rPr>
        <w:t>2</w:t>
      </w:r>
      <w:r w:rsidRPr="00FF0F1B">
        <w:rPr>
          <w:rFonts w:ascii="Book Antiqua" w:hAnsi="Book Antiqua"/>
          <w:b/>
          <w:sz w:val="24"/>
          <w:szCs w:val="24"/>
          <w:lang w:val="en-US"/>
        </w:rPr>
        <w:t xml:space="preserve"> The per-operative and 3-wk post-operative venous levels of like growth factor and insulin like growth factor binding protein 3 (nmol/</w:t>
      </w:r>
      <w:r w:rsidRPr="00FF0F1B">
        <w:rPr>
          <w:rFonts w:ascii="Book Antiqua" w:hAnsi="Book Antiqua"/>
          <w:b/>
          <w:sz w:val="24"/>
          <w:szCs w:val="24"/>
          <w:lang w:val="en-US" w:eastAsia="zh-CN"/>
        </w:rPr>
        <w:t>L</w:t>
      </w:r>
      <w:r w:rsidRPr="00FF0F1B">
        <w:rPr>
          <w:rFonts w:ascii="Book Antiqua" w:hAnsi="Book Antiqua"/>
          <w:b/>
          <w:sz w:val="24"/>
          <w:szCs w:val="24"/>
          <w:lang w:val="en-US"/>
        </w:rPr>
        <w:t>)</w:t>
      </w:r>
    </w:p>
    <w:tbl>
      <w:tblPr>
        <w:tblW w:w="5000" w:type="pct"/>
        <w:tblInd w:w="2" w:type="dxa"/>
        <w:tblBorders>
          <w:top w:val="single" w:sz="8" w:space="0" w:color="000000"/>
          <w:bottom w:val="single" w:sz="8" w:space="0" w:color="000000"/>
        </w:tblBorders>
        <w:tblLook w:val="00A0" w:firstRow="1" w:lastRow="0" w:firstColumn="1" w:lastColumn="0" w:noHBand="0" w:noVBand="0"/>
      </w:tblPr>
      <w:tblGrid>
        <w:gridCol w:w="1595"/>
        <w:gridCol w:w="1622"/>
        <w:gridCol w:w="1793"/>
        <w:gridCol w:w="1915"/>
        <w:gridCol w:w="1059"/>
        <w:gridCol w:w="1304"/>
      </w:tblGrid>
      <w:tr w:rsidR="00EB3564" w:rsidRPr="00FF0F1B">
        <w:tc>
          <w:tcPr>
            <w:tcW w:w="859" w:type="pct"/>
            <w:tcBorders>
              <w:top w:val="single" w:sz="8" w:space="0" w:color="000000"/>
              <w:left w:val="nil"/>
              <w:bottom w:val="single" w:sz="8" w:space="0" w:color="000000"/>
              <w:right w:val="nil"/>
            </w:tcBorders>
          </w:tcPr>
          <w:p w:rsidR="00EB3564" w:rsidRPr="00FF0F1B" w:rsidRDefault="00EB3564" w:rsidP="00B47C56">
            <w:pPr>
              <w:snapToGrid w:val="0"/>
              <w:spacing w:line="360" w:lineRule="auto"/>
              <w:jc w:val="both"/>
              <w:rPr>
                <w:rFonts w:ascii="Book Antiqua" w:hAnsi="Book Antiqua"/>
                <w:b/>
                <w:bCs/>
                <w:color w:val="000000"/>
                <w:sz w:val="24"/>
                <w:szCs w:val="24"/>
                <w:lang w:val="en-US"/>
              </w:rPr>
            </w:pPr>
          </w:p>
          <w:p w:rsidR="00EB3564" w:rsidRPr="00FF0F1B" w:rsidRDefault="00EB3564" w:rsidP="00B47C56">
            <w:pPr>
              <w:snapToGrid w:val="0"/>
              <w:spacing w:line="360" w:lineRule="auto"/>
              <w:jc w:val="both"/>
              <w:rPr>
                <w:rFonts w:ascii="Book Antiqua" w:hAnsi="Book Antiqua"/>
                <w:b/>
                <w:bCs/>
                <w:color w:val="000000"/>
                <w:sz w:val="24"/>
                <w:szCs w:val="24"/>
                <w:lang w:val="en-US"/>
              </w:rPr>
            </w:pPr>
          </w:p>
        </w:tc>
        <w:tc>
          <w:tcPr>
            <w:tcW w:w="873" w:type="pct"/>
            <w:tcBorders>
              <w:top w:val="single" w:sz="8" w:space="0" w:color="000000"/>
              <w:left w:val="nil"/>
              <w:bottom w:val="single" w:sz="8" w:space="0" w:color="000000"/>
              <w:right w:val="nil"/>
            </w:tcBorders>
          </w:tcPr>
          <w:p w:rsidR="00EB3564" w:rsidRPr="00FF0F1B" w:rsidRDefault="00EB3564" w:rsidP="00D56ED6">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Group 1</w:t>
            </w:r>
          </w:p>
          <w:p w:rsidR="00EB3564" w:rsidRPr="00FF0F1B" w:rsidRDefault="00EB3564" w:rsidP="00D56ED6">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(control)</w:t>
            </w:r>
          </w:p>
        </w:tc>
        <w:tc>
          <w:tcPr>
            <w:tcW w:w="965" w:type="pct"/>
            <w:tcBorders>
              <w:top w:val="single" w:sz="8" w:space="0" w:color="000000"/>
              <w:left w:val="nil"/>
              <w:bottom w:val="single" w:sz="8" w:space="0" w:color="000000"/>
              <w:right w:val="nil"/>
            </w:tcBorders>
          </w:tcPr>
          <w:p w:rsidR="00EB3564" w:rsidRPr="00FF0F1B" w:rsidRDefault="00EB3564" w:rsidP="00D56ED6">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Group 2</w:t>
            </w:r>
          </w:p>
          <w:p w:rsidR="00EB3564" w:rsidRPr="00FF0F1B" w:rsidRDefault="00EB3564" w:rsidP="00D56ED6">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(GH therapy)</w:t>
            </w:r>
          </w:p>
        </w:tc>
        <w:tc>
          <w:tcPr>
            <w:tcW w:w="1031" w:type="pct"/>
            <w:tcBorders>
              <w:top w:val="single" w:sz="8" w:space="0" w:color="000000"/>
              <w:left w:val="nil"/>
              <w:bottom w:val="single" w:sz="8" w:space="0" w:color="000000"/>
              <w:right w:val="nil"/>
            </w:tcBorders>
          </w:tcPr>
          <w:p w:rsidR="00EB3564" w:rsidRPr="00FF0F1B" w:rsidRDefault="00EB3564" w:rsidP="00D56ED6">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Group 4</w:t>
            </w:r>
          </w:p>
          <w:p w:rsidR="00EB3564" w:rsidRPr="00FF0F1B" w:rsidRDefault="00EB3564" w:rsidP="00D56ED6">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(GH+HBO therapy)</w:t>
            </w:r>
          </w:p>
        </w:tc>
        <w:tc>
          <w:tcPr>
            <w:tcW w:w="570" w:type="pct"/>
            <w:tcBorders>
              <w:top w:val="single" w:sz="8" w:space="0" w:color="000000"/>
              <w:left w:val="nil"/>
              <w:bottom w:val="single" w:sz="8" w:space="0" w:color="000000"/>
              <w:right w:val="nil"/>
            </w:tcBorders>
          </w:tcPr>
          <w:p w:rsidR="00EB3564" w:rsidRPr="00FF0F1B" w:rsidRDefault="00EB3564" w:rsidP="00D56ED6">
            <w:pPr>
              <w:snapToGrid w:val="0"/>
              <w:spacing w:line="360" w:lineRule="auto"/>
              <w:jc w:val="center"/>
              <w:rPr>
                <w:rFonts w:ascii="Book Antiqua" w:hAnsi="Book Antiqua"/>
                <w:b/>
                <w:bCs/>
                <w:color w:val="000000"/>
                <w:sz w:val="24"/>
                <w:szCs w:val="24"/>
                <w:vertAlign w:val="superscript"/>
                <w:lang w:val="en-US"/>
              </w:rPr>
            </w:pPr>
            <w:r w:rsidRPr="00FF0F1B">
              <w:rPr>
                <w:rFonts w:ascii="Book Antiqua" w:hAnsi="Book Antiqua"/>
                <w:b/>
                <w:bCs/>
                <w:i/>
                <w:color w:val="000000"/>
                <w:sz w:val="24"/>
                <w:szCs w:val="24"/>
                <w:lang w:val="en-US" w:eastAsia="zh-CN"/>
              </w:rPr>
              <w:t>P</w:t>
            </w:r>
            <w:r w:rsidRPr="00FF0F1B">
              <w:rPr>
                <w:rFonts w:ascii="Book Antiqua" w:hAnsi="Book Antiqua"/>
                <w:b/>
                <w:bCs/>
                <w:color w:val="000000"/>
                <w:sz w:val="24"/>
                <w:szCs w:val="24"/>
                <w:vertAlign w:val="superscript"/>
                <w:lang w:val="en-US"/>
              </w:rPr>
              <w:t>1</w:t>
            </w:r>
          </w:p>
          <w:p w:rsidR="00EB3564" w:rsidRPr="00FF0F1B" w:rsidRDefault="00EB3564" w:rsidP="00D56ED6">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(1-2)</w:t>
            </w:r>
          </w:p>
        </w:tc>
        <w:tc>
          <w:tcPr>
            <w:tcW w:w="702" w:type="pct"/>
            <w:tcBorders>
              <w:top w:val="single" w:sz="8" w:space="0" w:color="000000"/>
              <w:left w:val="nil"/>
              <w:bottom w:val="single" w:sz="8" w:space="0" w:color="000000"/>
              <w:right w:val="nil"/>
            </w:tcBorders>
          </w:tcPr>
          <w:p w:rsidR="00EB3564" w:rsidRPr="00FF0F1B" w:rsidRDefault="00EB3564" w:rsidP="00D56ED6">
            <w:pPr>
              <w:snapToGrid w:val="0"/>
              <w:spacing w:line="360" w:lineRule="auto"/>
              <w:jc w:val="center"/>
              <w:rPr>
                <w:rFonts w:ascii="Book Antiqua" w:hAnsi="Book Antiqua"/>
                <w:b/>
                <w:bCs/>
                <w:color w:val="000000"/>
                <w:sz w:val="24"/>
                <w:szCs w:val="24"/>
                <w:vertAlign w:val="superscript"/>
                <w:lang w:val="en-US"/>
              </w:rPr>
            </w:pPr>
            <w:r w:rsidRPr="00FF0F1B">
              <w:rPr>
                <w:rFonts w:ascii="Book Antiqua" w:hAnsi="Book Antiqua"/>
                <w:b/>
                <w:bCs/>
                <w:i/>
                <w:color w:val="000000"/>
                <w:sz w:val="24"/>
                <w:szCs w:val="24"/>
                <w:lang w:val="en-US" w:eastAsia="zh-CN"/>
              </w:rPr>
              <w:t>P</w:t>
            </w:r>
            <w:r w:rsidRPr="00FF0F1B">
              <w:rPr>
                <w:rFonts w:ascii="Book Antiqua" w:hAnsi="Book Antiqua"/>
                <w:b/>
                <w:bCs/>
                <w:color w:val="000000"/>
                <w:sz w:val="24"/>
                <w:szCs w:val="24"/>
                <w:vertAlign w:val="superscript"/>
                <w:lang w:val="en-US"/>
              </w:rPr>
              <w:t>2</w:t>
            </w:r>
          </w:p>
          <w:p w:rsidR="00EB3564" w:rsidRPr="00FF0F1B" w:rsidRDefault="00EB3564" w:rsidP="00D56ED6">
            <w:pPr>
              <w:snapToGrid w:val="0"/>
              <w:spacing w:line="360" w:lineRule="auto"/>
              <w:jc w:val="center"/>
              <w:rPr>
                <w:rFonts w:ascii="Book Antiqua" w:hAnsi="Book Antiqua"/>
                <w:b/>
                <w:bCs/>
                <w:color w:val="000000"/>
                <w:sz w:val="24"/>
                <w:szCs w:val="24"/>
                <w:lang w:val="en-US"/>
              </w:rPr>
            </w:pPr>
            <w:r w:rsidRPr="00FF0F1B">
              <w:rPr>
                <w:rFonts w:ascii="Book Antiqua" w:hAnsi="Book Antiqua"/>
                <w:b/>
                <w:bCs/>
                <w:color w:val="000000"/>
                <w:sz w:val="24"/>
                <w:szCs w:val="24"/>
                <w:lang w:val="en-US"/>
              </w:rPr>
              <w:t>(1-4)</w:t>
            </w:r>
          </w:p>
        </w:tc>
      </w:tr>
      <w:tr w:rsidR="00EB3564" w:rsidRPr="00FF0F1B">
        <w:tc>
          <w:tcPr>
            <w:tcW w:w="1" w:type="pct"/>
            <w:gridSpan w:val="6"/>
            <w:tcBorders>
              <w:left w:val="nil"/>
              <w:right w:val="nil"/>
            </w:tcBorders>
          </w:tcPr>
          <w:p w:rsidR="00EB3564" w:rsidRPr="00FF0F1B" w:rsidRDefault="00EB3564" w:rsidP="00D56ED6">
            <w:pPr>
              <w:snapToGrid w:val="0"/>
              <w:spacing w:line="360" w:lineRule="auto"/>
              <w:rPr>
                <w:rFonts w:ascii="Book Antiqua" w:hAnsi="Book Antiqua"/>
                <w:color w:val="000000"/>
                <w:sz w:val="24"/>
                <w:szCs w:val="24"/>
                <w:lang w:val="en-US"/>
              </w:rPr>
            </w:pPr>
            <w:r w:rsidRPr="00FF0F1B">
              <w:rPr>
                <w:rFonts w:ascii="Book Antiqua" w:hAnsi="Book Antiqua"/>
                <w:bCs/>
                <w:color w:val="000000"/>
                <w:sz w:val="24"/>
                <w:szCs w:val="24"/>
                <w:lang w:val="en-US" w:eastAsia="zh-CN"/>
              </w:rPr>
              <w:t xml:space="preserve">Before </w:t>
            </w:r>
            <w:r w:rsidRPr="00FF0F1B">
              <w:rPr>
                <w:rFonts w:ascii="Book Antiqua" w:hAnsi="Book Antiqua"/>
                <w:bCs/>
                <w:color w:val="000000"/>
                <w:sz w:val="24"/>
                <w:szCs w:val="24"/>
                <w:lang w:val="en-US"/>
              </w:rPr>
              <w:t>the surgery</w:t>
            </w:r>
          </w:p>
        </w:tc>
      </w:tr>
      <w:tr w:rsidR="00EB3564" w:rsidRPr="00FF0F1B">
        <w:tc>
          <w:tcPr>
            <w:tcW w:w="859" w:type="pct"/>
            <w:tcBorders>
              <w:left w:val="nil"/>
              <w:right w:val="nil"/>
            </w:tcBorders>
          </w:tcPr>
          <w:p w:rsidR="00EB3564" w:rsidRPr="00FF0F1B" w:rsidRDefault="00EB3564" w:rsidP="00D56ED6">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IGF-1</w:t>
            </w:r>
          </w:p>
          <w:p w:rsidR="00EB3564" w:rsidRPr="00FF0F1B" w:rsidRDefault="00EB3564" w:rsidP="00D56ED6">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(nmol/</w:t>
            </w:r>
            <w:r w:rsidRPr="00FF0F1B">
              <w:rPr>
                <w:rFonts w:ascii="Book Antiqua" w:hAnsi="Book Antiqua"/>
                <w:bCs/>
                <w:color w:val="000000"/>
                <w:sz w:val="24"/>
                <w:szCs w:val="24"/>
                <w:lang w:val="en-US" w:eastAsia="zh-CN"/>
              </w:rPr>
              <w:t>L</w:t>
            </w:r>
            <w:r w:rsidRPr="00FF0F1B">
              <w:rPr>
                <w:rFonts w:ascii="Book Antiqua" w:hAnsi="Book Antiqua"/>
                <w:bCs/>
                <w:color w:val="000000"/>
                <w:sz w:val="24"/>
                <w:szCs w:val="24"/>
                <w:lang w:val="en-US"/>
              </w:rPr>
              <w:t>)</w:t>
            </w:r>
          </w:p>
        </w:tc>
        <w:tc>
          <w:tcPr>
            <w:tcW w:w="873"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445</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(402-482)</w:t>
            </w:r>
          </w:p>
        </w:tc>
        <w:tc>
          <w:tcPr>
            <w:tcW w:w="965"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421</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(405-460)</w:t>
            </w:r>
          </w:p>
        </w:tc>
        <w:tc>
          <w:tcPr>
            <w:tcW w:w="1031"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431</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(395-470)</w:t>
            </w:r>
          </w:p>
        </w:tc>
        <w:tc>
          <w:tcPr>
            <w:tcW w:w="570"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NS</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NS</w:t>
            </w:r>
          </w:p>
        </w:tc>
        <w:tc>
          <w:tcPr>
            <w:tcW w:w="702"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NS</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NS</w:t>
            </w:r>
          </w:p>
        </w:tc>
      </w:tr>
      <w:tr w:rsidR="00EB3564" w:rsidRPr="00FF0F1B">
        <w:tc>
          <w:tcPr>
            <w:tcW w:w="859" w:type="pct"/>
          </w:tcPr>
          <w:p w:rsidR="00EB3564" w:rsidRPr="00FF0F1B" w:rsidRDefault="00EB3564" w:rsidP="00D56ED6">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IGFBP-3</w:t>
            </w:r>
          </w:p>
          <w:p w:rsidR="00EB3564" w:rsidRPr="00FF0F1B" w:rsidRDefault="00EB3564" w:rsidP="00D56ED6">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(nmol/</w:t>
            </w:r>
            <w:r w:rsidRPr="00FF0F1B">
              <w:rPr>
                <w:rFonts w:ascii="Book Antiqua" w:hAnsi="Book Antiqua"/>
                <w:bCs/>
                <w:color w:val="000000"/>
                <w:sz w:val="24"/>
                <w:szCs w:val="24"/>
                <w:lang w:val="en-US" w:eastAsia="zh-CN"/>
              </w:rPr>
              <w:t>L</w:t>
            </w:r>
            <w:r w:rsidRPr="00FF0F1B">
              <w:rPr>
                <w:rFonts w:ascii="Book Antiqua" w:hAnsi="Book Antiqua"/>
                <w:bCs/>
                <w:color w:val="000000"/>
                <w:sz w:val="24"/>
                <w:szCs w:val="24"/>
                <w:lang w:val="en-US"/>
              </w:rPr>
              <w:t>)</w:t>
            </w:r>
          </w:p>
        </w:tc>
        <w:tc>
          <w:tcPr>
            <w:tcW w:w="873" w:type="pct"/>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2250</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(2100-2350)</w:t>
            </w:r>
          </w:p>
        </w:tc>
        <w:tc>
          <w:tcPr>
            <w:tcW w:w="965" w:type="pct"/>
          </w:tcPr>
          <w:p w:rsidR="00EB3564" w:rsidRPr="00FF0F1B" w:rsidRDefault="00EB3564" w:rsidP="00D56ED6">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2170</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(2000-2300)</w:t>
            </w:r>
          </w:p>
        </w:tc>
        <w:tc>
          <w:tcPr>
            <w:tcW w:w="1031" w:type="pct"/>
          </w:tcPr>
          <w:p w:rsidR="00EB3564" w:rsidRPr="00FF0F1B" w:rsidRDefault="00EB3564" w:rsidP="00D56ED6">
            <w:pPr>
              <w:snapToGrid w:val="0"/>
              <w:spacing w:line="360" w:lineRule="auto"/>
              <w:jc w:val="center"/>
              <w:rPr>
                <w:rFonts w:ascii="Book Antiqua" w:hAnsi="Book Antiqua"/>
                <w:color w:val="000000"/>
                <w:sz w:val="24"/>
                <w:szCs w:val="24"/>
                <w:lang w:val="en-US" w:eastAsia="zh-CN"/>
              </w:rPr>
            </w:pPr>
            <w:r w:rsidRPr="00FF0F1B">
              <w:rPr>
                <w:rFonts w:ascii="Book Antiqua" w:hAnsi="Book Antiqua"/>
                <w:color w:val="000000"/>
                <w:sz w:val="24"/>
                <w:szCs w:val="24"/>
                <w:lang w:val="en-US"/>
              </w:rPr>
              <w:t>2147</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(2025-2350)</w:t>
            </w:r>
          </w:p>
        </w:tc>
        <w:tc>
          <w:tcPr>
            <w:tcW w:w="570" w:type="pct"/>
          </w:tcPr>
          <w:p w:rsidR="00EB3564" w:rsidRPr="00FF0F1B" w:rsidRDefault="00EB3564" w:rsidP="00D56ED6">
            <w:pPr>
              <w:snapToGrid w:val="0"/>
              <w:spacing w:line="360" w:lineRule="auto"/>
              <w:jc w:val="center"/>
              <w:rPr>
                <w:rFonts w:ascii="Book Antiqua" w:hAnsi="Book Antiqua"/>
                <w:color w:val="000000"/>
                <w:sz w:val="24"/>
                <w:szCs w:val="24"/>
                <w:lang w:val="en-US"/>
              </w:rPr>
            </w:pPr>
          </w:p>
        </w:tc>
        <w:tc>
          <w:tcPr>
            <w:tcW w:w="702" w:type="pct"/>
          </w:tcPr>
          <w:p w:rsidR="00EB3564" w:rsidRPr="00FF0F1B" w:rsidRDefault="00EB3564" w:rsidP="00D56ED6">
            <w:pPr>
              <w:snapToGrid w:val="0"/>
              <w:spacing w:line="360" w:lineRule="auto"/>
              <w:jc w:val="center"/>
              <w:rPr>
                <w:rFonts w:ascii="Book Antiqua" w:hAnsi="Book Antiqua"/>
                <w:color w:val="000000"/>
                <w:sz w:val="24"/>
                <w:szCs w:val="24"/>
                <w:lang w:val="en-US"/>
              </w:rPr>
            </w:pPr>
          </w:p>
        </w:tc>
      </w:tr>
      <w:tr w:rsidR="00EB3564" w:rsidRPr="00FF0F1B">
        <w:tc>
          <w:tcPr>
            <w:tcW w:w="5000" w:type="pct"/>
            <w:gridSpan w:val="6"/>
            <w:tcBorders>
              <w:left w:val="nil"/>
              <w:right w:val="nil"/>
            </w:tcBorders>
          </w:tcPr>
          <w:p w:rsidR="00EB3564" w:rsidRPr="00FF0F1B" w:rsidRDefault="00EB3564" w:rsidP="00D56ED6">
            <w:pPr>
              <w:snapToGrid w:val="0"/>
              <w:spacing w:line="360" w:lineRule="auto"/>
              <w:rPr>
                <w:rFonts w:ascii="Book Antiqua" w:hAnsi="Book Antiqua"/>
                <w:bCs/>
                <w:color w:val="000000"/>
                <w:sz w:val="24"/>
                <w:szCs w:val="24"/>
                <w:lang w:val="en-US" w:eastAsia="zh-CN"/>
              </w:rPr>
            </w:pPr>
            <w:r w:rsidRPr="00FF0F1B">
              <w:rPr>
                <w:rFonts w:ascii="Book Antiqua" w:hAnsi="Book Antiqua"/>
                <w:bCs/>
                <w:color w:val="000000"/>
                <w:sz w:val="24"/>
                <w:szCs w:val="24"/>
                <w:lang w:val="en-US" w:eastAsia="zh-CN"/>
              </w:rPr>
              <w:t>A</w:t>
            </w:r>
            <w:r w:rsidRPr="00FF0F1B">
              <w:rPr>
                <w:rFonts w:ascii="Book Antiqua" w:hAnsi="Book Antiqua"/>
                <w:bCs/>
                <w:color w:val="000000"/>
                <w:sz w:val="24"/>
                <w:szCs w:val="24"/>
                <w:lang w:val="en-US"/>
              </w:rPr>
              <w:t>fter the surgery (3 wk)</w:t>
            </w:r>
          </w:p>
        </w:tc>
      </w:tr>
      <w:tr w:rsidR="00EB3564" w:rsidRPr="00FF0F1B">
        <w:tc>
          <w:tcPr>
            <w:tcW w:w="859" w:type="pct"/>
          </w:tcPr>
          <w:p w:rsidR="00EB3564" w:rsidRPr="00FF0F1B" w:rsidRDefault="00EB3564" w:rsidP="00D56ED6">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IGF-1</w:t>
            </w:r>
          </w:p>
          <w:p w:rsidR="00EB3564" w:rsidRPr="00FF0F1B" w:rsidRDefault="00EB3564" w:rsidP="00D56ED6">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(nmol/</w:t>
            </w:r>
            <w:r w:rsidRPr="00FF0F1B">
              <w:rPr>
                <w:rFonts w:ascii="Book Antiqua" w:hAnsi="Book Antiqua"/>
                <w:bCs/>
                <w:color w:val="000000"/>
                <w:sz w:val="24"/>
                <w:szCs w:val="24"/>
                <w:lang w:val="en-US" w:eastAsia="zh-CN"/>
              </w:rPr>
              <w:t>L</w:t>
            </w:r>
            <w:r w:rsidRPr="00FF0F1B">
              <w:rPr>
                <w:rFonts w:ascii="Book Antiqua" w:hAnsi="Book Antiqua"/>
                <w:bCs/>
                <w:color w:val="000000"/>
                <w:sz w:val="24"/>
                <w:szCs w:val="24"/>
                <w:lang w:val="en-US"/>
              </w:rPr>
              <w:t>)</w:t>
            </w:r>
          </w:p>
        </w:tc>
        <w:tc>
          <w:tcPr>
            <w:tcW w:w="873" w:type="pct"/>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445</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(415-500)</w:t>
            </w:r>
          </w:p>
        </w:tc>
        <w:tc>
          <w:tcPr>
            <w:tcW w:w="965" w:type="pct"/>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799</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(755-875)</w:t>
            </w:r>
          </w:p>
        </w:tc>
        <w:tc>
          <w:tcPr>
            <w:tcW w:w="1031" w:type="pct"/>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813</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(775-900)</w:t>
            </w:r>
          </w:p>
        </w:tc>
        <w:tc>
          <w:tcPr>
            <w:tcW w:w="570" w:type="pct"/>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702" w:type="pct"/>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r>
      <w:tr w:rsidR="00EB3564" w:rsidRPr="00FF0F1B">
        <w:tc>
          <w:tcPr>
            <w:tcW w:w="859" w:type="pct"/>
            <w:tcBorders>
              <w:left w:val="nil"/>
              <w:right w:val="nil"/>
            </w:tcBorders>
          </w:tcPr>
          <w:p w:rsidR="00EB3564" w:rsidRPr="00FF0F1B" w:rsidRDefault="00EB3564" w:rsidP="00D56ED6">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IGFBP-3</w:t>
            </w:r>
          </w:p>
          <w:p w:rsidR="00EB3564" w:rsidRPr="00FF0F1B" w:rsidRDefault="00EB3564" w:rsidP="00D56ED6">
            <w:pPr>
              <w:snapToGrid w:val="0"/>
              <w:spacing w:line="360" w:lineRule="auto"/>
              <w:jc w:val="center"/>
              <w:rPr>
                <w:rFonts w:ascii="Book Antiqua" w:hAnsi="Book Antiqua"/>
                <w:bCs/>
                <w:color w:val="000000"/>
                <w:sz w:val="24"/>
                <w:szCs w:val="24"/>
                <w:lang w:val="en-US"/>
              </w:rPr>
            </w:pPr>
            <w:r w:rsidRPr="00FF0F1B">
              <w:rPr>
                <w:rFonts w:ascii="Book Antiqua" w:hAnsi="Book Antiqua"/>
                <w:bCs/>
                <w:color w:val="000000"/>
                <w:sz w:val="24"/>
                <w:szCs w:val="24"/>
                <w:lang w:val="en-US"/>
              </w:rPr>
              <w:t>(nmol/</w:t>
            </w:r>
            <w:r w:rsidRPr="00FF0F1B">
              <w:rPr>
                <w:rFonts w:ascii="Book Antiqua" w:hAnsi="Book Antiqua"/>
                <w:bCs/>
                <w:color w:val="000000"/>
                <w:sz w:val="24"/>
                <w:szCs w:val="24"/>
                <w:lang w:val="en-US" w:eastAsia="zh-CN"/>
              </w:rPr>
              <w:t>L</w:t>
            </w:r>
            <w:r w:rsidRPr="00FF0F1B">
              <w:rPr>
                <w:rFonts w:ascii="Book Antiqua" w:hAnsi="Book Antiqua"/>
                <w:bCs/>
                <w:color w:val="000000"/>
                <w:sz w:val="24"/>
                <w:szCs w:val="24"/>
                <w:lang w:val="en-US"/>
              </w:rPr>
              <w:t>)</w:t>
            </w:r>
          </w:p>
        </w:tc>
        <w:tc>
          <w:tcPr>
            <w:tcW w:w="873"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2290</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(2050-2500)</w:t>
            </w:r>
          </w:p>
        </w:tc>
        <w:tc>
          <w:tcPr>
            <w:tcW w:w="965"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3300</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(3000-3600)</w:t>
            </w:r>
          </w:p>
        </w:tc>
        <w:tc>
          <w:tcPr>
            <w:tcW w:w="1031"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3328</w:t>
            </w:r>
          </w:p>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(3000-3650)</w:t>
            </w:r>
          </w:p>
        </w:tc>
        <w:tc>
          <w:tcPr>
            <w:tcW w:w="570"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702" w:type="pct"/>
            <w:tcBorders>
              <w:left w:val="nil"/>
              <w:right w:val="nil"/>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r>
      <w:tr w:rsidR="00EB3564" w:rsidRPr="00FF0F1B">
        <w:tc>
          <w:tcPr>
            <w:tcW w:w="859" w:type="pct"/>
            <w:tcBorders>
              <w:bottom w:val="single" w:sz="8" w:space="0" w:color="000000"/>
            </w:tcBorders>
          </w:tcPr>
          <w:p w:rsidR="00EB3564" w:rsidRPr="00FF0F1B" w:rsidRDefault="00EB3564" w:rsidP="00D56ED6">
            <w:pPr>
              <w:snapToGrid w:val="0"/>
              <w:spacing w:line="360" w:lineRule="auto"/>
              <w:jc w:val="center"/>
              <w:rPr>
                <w:rFonts w:ascii="Book Antiqua" w:hAnsi="Book Antiqua"/>
                <w:bCs/>
                <w:i/>
                <w:color w:val="000000"/>
                <w:sz w:val="24"/>
                <w:szCs w:val="24"/>
                <w:lang w:val="en-US"/>
              </w:rPr>
            </w:pPr>
            <w:r w:rsidRPr="00FF0F1B">
              <w:rPr>
                <w:rFonts w:ascii="Book Antiqua" w:hAnsi="Book Antiqua"/>
                <w:bCs/>
                <w:i/>
                <w:color w:val="000000"/>
                <w:sz w:val="24"/>
                <w:szCs w:val="24"/>
                <w:lang w:val="en-US"/>
              </w:rPr>
              <w:t>P</w:t>
            </w:r>
          </w:p>
        </w:tc>
        <w:tc>
          <w:tcPr>
            <w:tcW w:w="873" w:type="pct"/>
            <w:tcBorders>
              <w:bottom w:val="single" w:sz="8" w:space="0" w:color="000000"/>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NS</w:t>
            </w:r>
          </w:p>
        </w:tc>
        <w:tc>
          <w:tcPr>
            <w:tcW w:w="965" w:type="pct"/>
            <w:tcBorders>
              <w:bottom w:val="single" w:sz="8" w:space="0" w:color="000000"/>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1031" w:type="pct"/>
            <w:tcBorders>
              <w:bottom w:val="single" w:sz="8" w:space="0" w:color="000000"/>
            </w:tcBorders>
          </w:tcPr>
          <w:p w:rsidR="00EB3564" w:rsidRPr="00FF0F1B" w:rsidRDefault="00EB3564" w:rsidP="00D56ED6">
            <w:pPr>
              <w:snapToGrid w:val="0"/>
              <w:spacing w:line="360" w:lineRule="auto"/>
              <w:jc w:val="center"/>
              <w:rPr>
                <w:rFonts w:ascii="Book Antiqua" w:hAnsi="Book Antiqua"/>
                <w:color w:val="000000"/>
                <w:sz w:val="24"/>
                <w:szCs w:val="24"/>
                <w:lang w:val="en-US"/>
              </w:rPr>
            </w:pPr>
            <w:r w:rsidRPr="00FF0F1B">
              <w:rPr>
                <w:rFonts w:ascii="Book Antiqua" w:hAnsi="Book Antiqua"/>
                <w:color w:val="000000"/>
                <w:sz w:val="24"/>
                <w:szCs w:val="24"/>
                <w:lang w:val="en-US"/>
              </w:rPr>
              <w:t>&lt;</w:t>
            </w:r>
            <w:r w:rsidRPr="00FF0F1B">
              <w:rPr>
                <w:rFonts w:ascii="Book Antiqua" w:hAnsi="Book Antiqua"/>
                <w:color w:val="000000"/>
                <w:sz w:val="24"/>
                <w:szCs w:val="24"/>
                <w:lang w:val="en-US" w:eastAsia="zh-CN"/>
              </w:rPr>
              <w:t xml:space="preserve"> </w:t>
            </w:r>
            <w:r w:rsidRPr="00FF0F1B">
              <w:rPr>
                <w:rFonts w:ascii="Book Antiqua" w:hAnsi="Book Antiqua"/>
                <w:color w:val="000000"/>
                <w:sz w:val="24"/>
                <w:szCs w:val="24"/>
                <w:lang w:val="en-US"/>
              </w:rPr>
              <w:t>0.05</w:t>
            </w:r>
          </w:p>
        </w:tc>
        <w:tc>
          <w:tcPr>
            <w:tcW w:w="570" w:type="pct"/>
            <w:tcBorders>
              <w:bottom w:val="single" w:sz="8" w:space="0" w:color="000000"/>
            </w:tcBorders>
          </w:tcPr>
          <w:p w:rsidR="00EB3564" w:rsidRPr="00FF0F1B" w:rsidRDefault="00EB3564" w:rsidP="00D56ED6">
            <w:pPr>
              <w:snapToGrid w:val="0"/>
              <w:spacing w:line="360" w:lineRule="auto"/>
              <w:jc w:val="center"/>
              <w:rPr>
                <w:rFonts w:ascii="Book Antiqua" w:hAnsi="Book Antiqua"/>
                <w:color w:val="000000"/>
                <w:sz w:val="24"/>
                <w:szCs w:val="24"/>
                <w:lang w:val="en-US"/>
              </w:rPr>
            </w:pPr>
          </w:p>
        </w:tc>
        <w:tc>
          <w:tcPr>
            <w:tcW w:w="702" w:type="pct"/>
            <w:tcBorders>
              <w:bottom w:val="single" w:sz="8" w:space="0" w:color="000000"/>
            </w:tcBorders>
          </w:tcPr>
          <w:p w:rsidR="00EB3564" w:rsidRPr="00FF0F1B" w:rsidRDefault="00EB3564" w:rsidP="00D56ED6">
            <w:pPr>
              <w:snapToGrid w:val="0"/>
              <w:spacing w:line="360" w:lineRule="auto"/>
              <w:jc w:val="center"/>
              <w:rPr>
                <w:rFonts w:ascii="Book Antiqua" w:hAnsi="Book Antiqua"/>
                <w:color w:val="000000"/>
                <w:sz w:val="24"/>
                <w:szCs w:val="24"/>
                <w:lang w:val="en-US"/>
              </w:rPr>
            </w:pPr>
          </w:p>
        </w:tc>
      </w:tr>
    </w:tbl>
    <w:p w:rsidR="00EB3564" w:rsidRPr="00FF0F1B" w:rsidRDefault="00EB3564" w:rsidP="00D56ED6">
      <w:pPr>
        <w:snapToGrid w:val="0"/>
        <w:spacing w:line="360" w:lineRule="auto"/>
        <w:jc w:val="both"/>
        <w:rPr>
          <w:rFonts w:ascii="Book Antiqua" w:hAnsi="Book Antiqua" w:cs="Arial"/>
        </w:rPr>
      </w:pPr>
      <w:r w:rsidRPr="00FF0F1B">
        <w:rPr>
          <w:rFonts w:ascii="Book Antiqua" w:hAnsi="Book Antiqua"/>
          <w:sz w:val="24"/>
          <w:szCs w:val="24"/>
          <w:lang w:val="en-US"/>
        </w:rPr>
        <w:t xml:space="preserve">The </w:t>
      </w:r>
      <w:r w:rsidRPr="00FF0F1B">
        <w:rPr>
          <w:rFonts w:ascii="Book Antiqua" w:hAnsi="Book Antiqua"/>
          <w:i/>
          <w:sz w:val="24"/>
          <w:szCs w:val="24"/>
          <w:lang w:val="en-US"/>
        </w:rPr>
        <w:t>P</w:t>
      </w:r>
      <w:r w:rsidRPr="00FF0F1B">
        <w:rPr>
          <w:rFonts w:ascii="Book Antiqua" w:hAnsi="Book Antiqua"/>
          <w:sz w:val="24"/>
          <w:szCs w:val="24"/>
          <w:lang w:val="en-US"/>
        </w:rPr>
        <w:t xml:space="preserve"> value compares the per- and post-operative levels within the same group, </w:t>
      </w:r>
      <w:r w:rsidRPr="00FF0F1B">
        <w:rPr>
          <w:rFonts w:ascii="Book Antiqua" w:hAnsi="Book Antiqua"/>
          <w:i/>
          <w:sz w:val="24"/>
          <w:szCs w:val="24"/>
          <w:lang w:val="en-US"/>
        </w:rPr>
        <w:t>P</w:t>
      </w:r>
      <w:r w:rsidRPr="00FF0F1B">
        <w:rPr>
          <w:rFonts w:ascii="Book Antiqua" w:hAnsi="Book Antiqua"/>
          <w:sz w:val="24"/>
          <w:szCs w:val="24"/>
          <w:vertAlign w:val="superscript"/>
          <w:lang w:val="en-US"/>
        </w:rPr>
        <w:t xml:space="preserve"> 1</w:t>
      </w:r>
      <w:r w:rsidRPr="00FF0F1B">
        <w:rPr>
          <w:rFonts w:ascii="Book Antiqua" w:hAnsi="Book Antiqua"/>
          <w:sz w:val="24"/>
          <w:szCs w:val="24"/>
          <w:lang w:val="en-US"/>
        </w:rPr>
        <w:t xml:space="preserve"> value compares the levels between Groups 1 and 2, and </w:t>
      </w:r>
      <w:r w:rsidRPr="00FF0F1B">
        <w:rPr>
          <w:rFonts w:ascii="Book Antiqua" w:hAnsi="Book Antiqua"/>
          <w:i/>
          <w:sz w:val="24"/>
          <w:szCs w:val="24"/>
          <w:lang w:val="en-US"/>
        </w:rPr>
        <w:t>P</w:t>
      </w:r>
      <w:r w:rsidRPr="00FF0F1B">
        <w:rPr>
          <w:rFonts w:ascii="Book Antiqua" w:hAnsi="Book Antiqua"/>
          <w:sz w:val="24"/>
          <w:szCs w:val="24"/>
          <w:vertAlign w:val="superscript"/>
          <w:lang w:val="en-US"/>
        </w:rPr>
        <w:t xml:space="preserve"> 2</w:t>
      </w:r>
      <w:r w:rsidRPr="00FF0F1B">
        <w:rPr>
          <w:rFonts w:ascii="Book Antiqua" w:hAnsi="Book Antiqua"/>
          <w:sz w:val="24"/>
          <w:szCs w:val="24"/>
          <w:lang w:val="en-US"/>
        </w:rPr>
        <w:t xml:space="preserve"> value compares the levels between Groups 1 and 4. All values are expressed as the mean ± SD. NS: Non-significant</w:t>
      </w:r>
      <w:r w:rsidRPr="00FF0F1B">
        <w:rPr>
          <w:rFonts w:ascii="Book Antiqua" w:hAnsi="Book Antiqua"/>
          <w:sz w:val="24"/>
          <w:szCs w:val="24"/>
          <w:lang w:val="en-US" w:eastAsia="zh-CN"/>
        </w:rPr>
        <w:t>;</w:t>
      </w:r>
      <w:r w:rsidRPr="00FF0F1B">
        <w:rPr>
          <w:rFonts w:ascii="Book Antiqua" w:hAnsi="Book Antiqua"/>
          <w:sz w:val="24"/>
          <w:szCs w:val="24"/>
          <w:lang w:val="en-US"/>
        </w:rPr>
        <w:t xml:space="preserve"> GH</w:t>
      </w:r>
      <w:r w:rsidRPr="00FF0F1B">
        <w:rPr>
          <w:rFonts w:ascii="Book Antiqua" w:hAnsi="Book Antiqua"/>
          <w:sz w:val="24"/>
          <w:szCs w:val="24"/>
          <w:lang w:val="en-US" w:eastAsia="zh-CN"/>
        </w:rPr>
        <w:t xml:space="preserve">: </w:t>
      </w:r>
      <w:r w:rsidRPr="00FF0F1B">
        <w:rPr>
          <w:rFonts w:ascii="Book Antiqua" w:hAnsi="Book Antiqua"/>
          <w:sz w:val="24"/>
          <w:szCs w:val="24"/>
          <w:lang w:val="en-US"/>
        </w:rPr>
        <w:t>Growth hormone</w:t>
      </w:r>
      <w:r w:rsidRPr="00FF0F1B">
        <w:rPr>
          <w:rFonts w:ascii="Book Antiqua" w:hAnsi="Book Antiqua"/>
          <w:sz w:val="24"/>
          <w:szCs w:val="24"/>
          <w:lang w:val="en-US" w:eastAsia="zh-CN"/>
        </w:rPr>
        <w:t>;</w:t>
      </w:r>
      <w:r w:rsidRPr="00FF0F1B">
        <w:rPr>
          <w:rFonts w:ascii="Book Antiqua" w:hAnsi="Book Antiqua"/>
          <w:sz w:val="24"/>
          <w:szCs w:val="24"/>
          <w:lang w:val="en-US"/>
        </w:rPr>
        <w:t xml:space="preserve"> HBOT</w:t>
      </w:r>
      <w:r w:rsidRPr="00FF0F1B">
        <w:rPr>
          <w:rFonts w:ascii="Book Antiqua" w:hAnsi="Book Antiqua"/>
          <w:sz w:val="24"/>
          <w:szCs w:val="24"/>
          <w:lang w:val="en-US" w:eastAsia="zh-CN"/>
        </w:rPr>
        <w:t xml:space="preserve">: </w:t>
      </w:r>
      <w:r w:rsidRPr="00FF0F1B">
        <w:rPr>
          <w:rFonts w:ascii="Book Antiqua" w:hAnsi="Book Antiqua"/>
          <w:sz w:val="24"/>
          <w:szCs w:val="24"/>
          <w:lang w:val="en-US"/>
        </w:rPr>
        <w:t>Hyperbaric oxygen therapy</w:t>
      </w:r>
      <w:r w:rsidRPr="00FF0F1B">
        <w:rPr>
          <w:rFonts w:ascii="Book Antiqua" w:hAnsi="Book Antiqua"/>
          <w:sz w:val="24"/>
          <w:szCs w:val="24"/>
          <w:lang w:val="en-US" w:eastAsia="zh-CN"/>
        </w:rPr>
        <w:t xml:space="preserve">; </w:t>
      </w:r>
      <w:r w:rsidRPr="00FF0F1B">
        <w:rPr>
          <w:rFonts w:ascii="Book Antiqua" w:hAnsi="Book Antiqua"/>
          <w:sz w:val="24"/>
          <w:szCs w:val="24"/>
          <w:lang w:val="en-US"/>
        </w:rPr>
        <w:t>IGF-1</w:t>
      </w:r>
      <w:r w:rsidRPr="00FF0F1B">
        <w:rPr>
          <w:rFonts w:ascii="Book Antiqua" w:hAnsi="Book Antiqua"/>
          <w:sz w:val="24"/>
          <w:szCs w:val="24"/>
          <w:lang w:val="en-US" w:eastAsia="zh-CN"/>
        </w:rPr>
        <w:t xml:space="preserve">: </w:t>
      </w:r>
      <w:r w:rsidRPr="00FF0F1B">
        <w:rPr>
          <w:rFonts w:ascii="Book Antiqua" w:hAnsi="Book Antiqua"/>
          <w:sz w:val="24"/>
          <w:szCs w:val="24"/>
          <w:lang w:val="en-US"/>
        </w:rPr>
        <w:t>Like growth factor</w:t>
      </w:r>
      <w:r w:rsidRPr="00FF0F1B">
        <w:rPr>
          <w:rFonts w:ascii="Book Antiqua" w:hAnsi="Book Antiqua"/>
          <w:sz w:val="24"/>
          <w:szCs w:val="24"/>
          <w:lang w:val="en-US" w:eastAsia="zh-CN"/>
        </w:rPr>
        <w:t>;</w:t>
      </w:r>
      <w:r w:rsidRPr="00FF0F1B">
        <w:rPr>
          <w:rFonts w:ascii="Book Antiqua" w:hAnsi="Book Antiqua"/>
          <w:sz w:val="24"/>
          <w:szCs w:val="24"/>
          <w:lang w:val="en-US"/>
        </w:rPr>
        <w:t xml:space="preserve"> IGFBP-3</w:t>
      </w:r>
      <w:r w:rsidRPr="00FF0F1B">
        <w:rPr>
          <w:rFonts w:ascii="Book Antiqua" w:hAnsi="Book Antiqua"/>
          <w:sz w:val="24"/>
          <w:szCs w:val="24"/>
          <w:lang w:val="en-US" w:eastAsia="zh-CN"/>
        </w:rPr>
        <w:t xml:space="preserve">: </w:t>
      </w:r>
      <w:r w:rsidRPr="00FF0F1B">
        <w:rPr>
          <w:rFonts w:ascii="Book Antiqua" w:hAnsi="Book Antiqua"/>
          <w:sz w:val="24"/>
          <w:szCs w:val="24"/>
          <w:lang w:val="en-US"/>
        </w:rPr>
        <w:t>Insulin like growth factor binding protein 3</w:t>
      </w:r>
      <w:r w:rsidRPr="00FF0F1B">
        <w:rPr>
          <w:rFonts w:ascii="Book Antiqua" w:hAnsi="Book Antiqua"/>
          <w:sz w:val="24"/>
          <w:szCs w:val="24"/>
          <w:lang w:val="en-US" w:eastAsia="zh-CN"/>
        </w:rPr>
        <w:t>.</w:t>
      </w:r>
      <w:r w:rsidRPr="00FF0F1B">
        <w:rPr>
          <w:rFonts w:ascii="Book Antiqua" w:hAnsi="Book Antiqua" w:cs="Arial"/>
        </w:rPr>
        <w:t xml:space="preserve"> </w:t>
      </w:r>
    </w:p>
    <w:p w:rsidR="00EB3564" w:rsidRPr="00FF0F1B" w:rsidRDefault="00EB3564" w:rsidP="00B47C56">
      <w:pPr>
        <w:snapToGrid w:val="0"/>
        <w:spacing w:line="360" w:lineRule="auto"/>
        <w:jc w:val="both"/>
        <w:rPr>
          <w:rFonts w:ascii="Book Antiqua" w:hAnsi="Book Antiqua"/>
          <w:sz w:val="24"/>
          <w:szCs w:val="24"/>
          <w:lang w:val="en-US" w:eastAsia="zh-CN"/>
        </w:rPr>
      </w:pPr>
    </w:p>
    <w:sectPr w:rsidR="00EB3564" w:rsidRPr="00FF0F1B" w:rsidSect="00F06346">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7F2" w:rsidRDefault="00B077F2" w:rsidP="00736282">
      <w:r>
        <w:separator/>
      </w:r>
    </w:p>
  </w:endnote>
  <w:endnote w:type="continuationSeparator" w:id="0">
    <w:p w:rsidR="00B077F2" w:rsidRDefault="00B077F2" w:rsidP="00736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564" w:rsidRDefault="00B077F2">
    <w:pPr>
      <w:pStyle w:val="a8"/>
      <w:jc w:val="right"/>
    </w:pPr>
    <w:r>
      <w:fldChar w:fldCharType="begin"/>
    </w:r>
    <w:r>
      <w:instrText xml:space="preserve"> PAGE   \* MERGEFORMAT </w:instrText>
    </w:r>
    <w:r>
      <w:fldChar w:fldCharType="separate"/>
    </w:r>
    <w:r w:rsidR="0074033C">
      <w:rPr>
        <w:noProof/>
      </w:rPr>
      <w:t>2</w:t>
    </w:r>
    <w:r>
      <w:rPr>
        <w:noProof/>
      </w:rPr>
      <w:fldChar w:fldCharType="end"/>
    </w:r>
  </w:p>
  <w:p w:rsidR="00EB3564" w:rsidRPr="00736282" w:rsidRDefault="00EB3564">
    <w:pPr>
      <w:pStyle w:val="a8"/>
      <w:rPr>
        <w:lang w:val="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7F2" w:rsidRDefault="00B077F2" w:rsidP="00736282">
      <w:r>
        <w:separator/>
      </w:r>
    </w:p>
  </w:footnote>
  <w:footnote w:type="continuationSeparator" w:id="0">
    <w:p w:rsidR="00B077F2" w:rsidRDefault="00B077F2" w:rsidP="007362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88E180A"/>
    <w:lvl w:ilvl="0">
      <w:start w:val="1"/>
      <w:numFmt w:val="bullet"/>
      <w:lvlText w:val=""/>
      <w:lvlJc w:val="left"/>
      <w:pPr>
        <w:tabs>
          <w:tab w:val="num" w:pos="643"/>
        </w:tabs>
        <w:ind w:left="643" w:hanging="360"/>
      </w:pPr>
      <w:rPr>
        <w:rFonts w:ascii="Symbol" w:hAnsi="Symbol" w:hint="default"/>
      </w:rPr>
    </w:lvl>
  </w:abstractNum>
  <w:abstractNum w:abstractNumId="1">
    <w:nsid w:val="006D100C"/>
    <w:multiLevelType w:val="hybridMultilevel"/>
    <w:tmpl w:val="A282ED1C"/>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
    <w:nsid w:val="0AF46452"/>
    <w:multiLevelType w:val="hybridMultilevel"/>
    <w:tmpl w:val="E488E558"/>
    <w:lvl w:ilvl="0" w:tplc="041F000F">
      <w:start w:val="1"/>
      <w:numFmt w:val="decimal"/>
      <w:lvlText w:val="%1."/>
      <w:lvlJc w:val="left"/>
      <w:pPr>
        <w:ind w:left="360" w:hanging="360"/>
      </w:pPr>
      <w:rPr>
        <w:rFonts w:cs="Times New Roman"/>
      </w:rPr>
    </w:lvl>
    <w:lvl w:ilvl="1" w:tplc="041F0019">
      <w:start w:val="1"/>
      <w:numFmt w:val="lowerLetter"/>
      <w:lvlText w:val="%2."/>
      <w:lvlJc w:val="left"/>
      <w:pPr>
        <w:ind w:left="1080" w:hanging="360"/>
      </w:pPr>
      <w:rPr>
        <w:rFonts w:cs="Times New Roman"/>
      </w:rPr>
    </w:lvl>
    <w:lvl w:ilvl="2" w:tplc="041F001B">
      <w:start w:val="1"/>
      <w:numFmt w:val="lowerRoman"/>
      <w:lvlText w:val="%3."/>
      <w:lvlJc w:val="right"/>
      <w:pPr>
        <w:ind w:left="1800" w:hanging="180"/>
      </w:pPr>
      <w:rPr>
        <w:rFonts w:cs="Times New Roman"/>
      </w:rPr>
    </w:lvl>
    <w:lvl w:ilvl="3" w:tplc="041F000F">
      <w:start w:val="1"/>
      <w:numFmt w:val="decimal"/>
      <w:lvlText w:val="%4."/>
      <w:lvlJc w:val="left"/>
      <w:pPr>
        <w:ind w:left="2520" w:hanging="360"/>
      </w:pPr>
      <w:rPr>
        <w:rFonts w:cs="Times New Roman"/>
      </w:rPr>
    </w:lvl>
    <w:lvl w:ilvl="4" w:tplc="041F0019">
      <w:start w:val="1"/>
      <w:numFmt w:val="lowerLetter"/>
      <w:lvlText w:val="%5."/>
      <w:lvlJc w:val="left"/>
      <w:pPr>
        <w:ind w:left="3240" w:hanging="360"/>
      </w:pPr>
      <w:rPr>
        <w:rFonts w:cs="Times New Roman"/>
      </w:rPr>
    </w:lvl>
    <w:lvl w:ilvl="5" w:tplc="041F001B">
      <w:start w:val="1"/>
      <w:numFmt w:val="lowerRoman"/>
      <w:lvlText w:val="%6."/>
      <w:lvlJc w:val="right"/>
      <w:pPr>
        <w:ind w:left="3960" w:hanging="180"/>
      </w:pPr>
      <w:rPr>
        <w:rFonts w:cs="Times New Roman"/>
      </w:rPr>
    </w:lvl>
    <w:lvl w:ilvl="6" w:tplc="041F000F">
      <w:start w:val="1"/>
      <w:numFmt w:val="decimal"/>
      <w:lvlText w:val="%7."/>
      <w:lvlJc w:val="left"/>
      <w:pPr>
        <w:ind w:left="4680" w:hanging="360"/>
      </w:pPr>
      <w:rPr>
        <w:rFonts w:cs="Times New Roman"/>
      </w:rPr>
    </w:lvl>
    <w:lvl w:ilvl="7" w:tplc="041F0019">
      <w:start w:val="1"/>
      <w:numFmt w:val="lowerLetter"/>
      <w:lvlText w:val="%8."/>
      <w:lvlJc w:val="left"/>
      <w:pPr>
        <w:ind w:left="5400" w:hanging="360"/>
      </w:pPr>
      <w:rPr>
        <w:rFonts w:cs="Times New Roman"/>
      </w:rPr>
    </w:lvl>
    <w:lvl w:ilvl="8" w:tplc="041F001B">
      <w:start w:val="1"/>
      <w:numFmt w:val="lowerRoman"/>
      <w:lvlText w:val="%9."/>
      <w:lvlJc w:val="right"/>
      <w:pPr>
        <w:ind w:left="6120" w:hanging="180"/>
      </w:pPr>
      <w:rPr>
        <w:rFonts w:cs="Times New Roman"/>
      </w:rPr>
    </w:lvl>
  </w:abstractNum>
  <w:abstractNum w:abstractNumId="3">
    <w:nsid w:val="3B556060"/>
    <w:multiLevelType w:val="hybridMultilevel"/>
    <w:tmpl w:val="1AE8A35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4">
    <w:nsid w:val="4C081BCF"/>
    <w:multiLevelType w:val="hybridMultilevel"/>
    <w:tmpl w:val="F502DA5E"/>
    <w:lvl w:ilvl="0" w:tplc="462C76BE">
      <w:start w:val="1"/>
      <w:numFmt w:val="decimal"/>
      <w:lvlText w:val="%1-"/>
      <w:lvlJc w:val="left"/>
      <w:pPr>
        <w:tabs>
          <w:tab w:val="num" w:pos="927"/>
        </w:tabs>
        <w:ind w:left="927" w:hanging="360"/>
      </w:pPr>
      <w:rPr>
        <w:rFonts w:cs="Times New Roman" w:hint="default"/>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5">
    <w:nsid w:val="684F7A5C"/>
    <w:multiLevelType w:val="hybridMultilevel"/>
    <w:tmpl w:val="B0DC6874"/>
    <w:lvl w:ilvl="0" w:tplc="14682F22">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6">
    <w:nsid w:val="76754258"/>
    <w:multiLevelType w:val="hybridMultilevel"/>
    <w:tmpl w:val="FA8A15CA"/>
    <w:lvl w:ilvl="0" w:tplc="D2ACA8F2">
      <w:start w:val="1"/>
      <w:numFmt w:val="decimal"/>
      <w:lvlText w:val="%1-"/>
      <w:lvlJc w:val="left"/>
      <w:pPr>
        <w:ind w:left="720" w:hanging="360"/>
      </w:pPr>
      <w:rPr>
        <w:rFonts w:cs="Times New Roman" w:hint="default"/>
        <w:sz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7">
    <w:nsid w:val="777F0A56"/>
    <w:multiLevelType w:val="hybridMultilevel"/>
    <w:tmpl w:val="E488E558"/>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num w:numId="1">
    <w:abstractNumId w:val="3"/>
  </w:num>
  <w:num w:numId="2">
    <w:abstractNumId w:val="1"/>
  </w:num>
  <w:num w:numId="3">
    <w:abstractNumId w:val="2"/>
  </w:num>
  <w:num w:numId="4">
    <w:abstractNumId w:val="4"/>
  </w:num>
  <w:num w:numId="5">
    <w:abstractNumId w:val="0"/>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08"/>
  <w:hyphenationZone w:val="425"/>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9C1"/>
    <w:rsid w:val="00000C06"/>
    <w:rsid w:val="00002390"/>
    <w:rsid w:val="00002769"/>
    <w:rsid w:val="00010058"/>
    <w:rsid w:val="00015239"/>
    <w:rsid w:val="000163F5"/>
    <w:rsid w:val="0002515A"/>
    <w:rsid w:val="00025C5F"/>
    <w:rsid w:val="00025F92"/>
    <w:rsid w:val="000279B4"/>
    <w:rsid w:val="00036AF4"/>
    <w:rsid w:val="000372F7"/>
    <w:rsid w:val="0003783B"/>
    <w:rsid w:val="00044546"/>
    <w:rsid w:val="000475EF"/>
    <w:rsid w:val="000501A3"/>
    <w:rsid w:val="0005301B"/>
    <w:rsid w:val="000621F1"/>
    <w:rsid w:val="0006321D"/>
    <w:rsid w:val="00072417"/>
    <w:rsid w:val="0007307C"/>
    <w:rsid w:val="0008061E"/>
    <w:rsid w:val="0008078D"/>
    <w:rsid w:val="000871C7"/>
    <w:rsid w:val="00091C64"/>
    <w:rsid w:val="000A01E5"/>
    <w:rsid w:val="000A42C1"/>
    <w:rsid w:val="000B1B9D"/>
    <w:rsid w:val="000B6BC3"/>
    <w:rsid w:val="000B7EC3"/>
    <w:rsid w:val="000C2094"/>
    <w:rsid w:val="000C660D"/>
    <w:rsid w:val="000D0DFB"/>
    <w:rsid w:val="000D28DE"/>
    <w:rsid w:val="000E6BA3"/>
    <w:rsid w:val="000F3182"/>
    <w:rsid w:val="0011032E"/>
    <w:rsid w:val="00112D22"/>
    <w:rsid w:val="00126400"/>
    <w:rsid w:val="0013106D"/>
    <w:rsid w:val="001313CE"/>
    <w:rsid w:val="00131968"/>
    <w:rsid w:val="00135F5F"/>
    <w:rsid w:val="00136596"/>
    <w:rsid w:val="0013669D"/>
    <w:rsid w:val="00140173"/>
    <w:rsid w:val="00142C15"/>
    <w:rsid w:val="00147F45"/>
    <w:rsid w:val="00150916"/>
    <w:rsid w:val="001521D7"/>
    <w:rsid w:val="001545DA"/>
    <w:rsid w:val="00160A50"/>
    <w:rsid w:val="00160BBD"/>
    <w:rsid w:val="00163387"/>
    <w:rsid w:val="00163B71"/>
    <w:rsid w:val="00173DAD"/>
    <w:rsid w:val="00176260"/>
    <w:rsid w:val="00177E5F"/>
    <w:rsid w:val="00183829"/>
    <w:rsid w:val="00185865"/>
    <w:rsid w:val="00186685"/>
    <w:rsid w:val="00186699"/>
    <w:rsid w:val="0018722E"/>
    <w:rsid w:val="00191E66"/>
    <w:rsid w:val="00191F16"/>
    <w:rsid w:val="001A1336"/>
    <w:rsid w:val="001A2E8E"/>
    <w:rsid w:val="001B05EA"/>
    <w:rsid w:val="001B20CE"/>
    <w:rsid w:val="001C017E"/>
    <w:rsid w:val="001C0EE3"/>
    <w:rsid w:val="001C2C3D"/>
    <w:rsid w:val="001C35E2"/>
    <w:rsid w:val="001C3C08"/>
    <w:rsid w:val="001C3F1A"/>
    <w:rsid w:val="001C41EF"/>
    <w:rsid w:val="001D0B9D"/>
    <w:rsid w:val="001D49A3"/>
    <w:rsid w:val="001D58A1"/>
    <w:rsid w:val="001E00B9"/>
    <w:rsid w:val="001E1C3B"/>
    <w:rsid w:val="001E700C"/>
    <w:rsid w:val="0020035A"/>
    <w:rsid w:val="002058A5"/>
    <w:rsid w:val="0021242E"/>
    <w:rsid w:val="002170F9"/>
    <w:rsid w:val="00223FA2"/>
    <w:rsid w:val="00224060"/>
    <w:rsid w:val="00231D38"/>
    <w:rsid w:val="002321CC"/>
    <w:rsid w:val="00236869"/>
    <w:rsid w:val="0025121F"/>
    <w:rsid w:val="00251D60"/>
    <w:rsid w:val="00251F8E"/>
    <w:rsid w:val="00261585"/>
    <w:rsid w:val="00261E73"/>
    <w:rsid w:val="00262196"/>
    <w:rsid w:val="00264547"/>
    <w:rsid w:val="00265E3E"/>
    <w:rsid w:val="00273460"/>
    <w:rsid w:val="002735AE"/>
    <w:rsid w:val="00274692"/>
    <w:rsid w:val="00276E00"/>
    <w:rsid w:val="002834DA"/>
    <w:rsid w:val="00285546"/>
    <w:rsid w:val="00290525"/>
    <w:rsid w:val="00290A81"/>
    <w:rsid w:val="002A3894"/>
    <w:rsid w:val="002A6B71"/>
    <w:rsid w:val="002A7823"/>
    <w:rsid w:val="002A7F4F"/>
    <w:rsid w:val="002B6193"/>
    <w:rsid w:val="002B6C92"/>
    <w:rsid w:val="002B6E9B"/>
    <w:rsid w:val="002B76C0"/>
    <w:rsid w:val="002C2EF6"/>
    <w:rsid w:val="002C5D64"/>
    <w:rsid w:val="002C7C9F"/>
    <w:rsid w:val="002D106A"/>
    <w:rsid w:val="002E17DF"/>
    <w:rsid w:val="002E489D"/>
    <w:rsid w:val="002E5973"/>
    <w:rsid w:val="002F13C1"/>
    <w:rsid w:val="002F2AF7"/>
    <w:rsid w:val="002F3804"/>
    <w:rsid w:val="002F38BA"/>
    <w:rsid w:val="002F79EA"/>
    <w:rsid w:val="003041E5"/>
    <w:rsid w:val="00307760"/>
    <w:rsid w:val="003127EC"/>
    <w:rsid w:val="0031490F"/>
    <w:rsid w:val="00316A03"/>
    <w:rsid w:val="003370EB"/>
    <w:rsid w:val="00340C5F"/>
    <w:rsid w:val="00342A8E"/>
    <w:rsid w:val="00347865"/>
    <w:rsid w:val="00354C9B"/>
    <w:rsid w:val="00360C2E"/>
    <w:rsid w:val="0036212B"/>
    <w:rsid w:val="00362490"/>
    <w:rsid w:val="003635E2"/>
    <w:rsid w:val="003639C2"/>
    <w:rsid w:val="0037285D"/>
    <w:rsid w:val="00374FEE"/>
    <w:rsid w:val="00376194"/>
    <w:rsid w:val="00376DAC"/>
    <w:rsid w:val="00376F15"/>
    <w:rsid w:val="00380A12"/>
    <w:rsid w:val="0038237B"/>
    <w:rsid w:val="00383698"/>
    <w:rsid w:val="003915C3"/>
    <w:rsid w:val="00396D81"/>
    <w:rsid w:val="003A7D56"/>
    <w:rsid w:val="003A7D91"/>
    <w:rsid w:val="003B0498"/>
    <w:rsid w:val="003B536E"/>
    <w:rsid w:val="003B64BA"/>
    <w:rsid w:val="003B7844"/>
    <w:rsid w:val="003C44A8"/>
    <w:rsid w:val="003D1899"/>
    <w:rsid w:val="003D5358"/>
    <w:rsid w:val="003E2135"/>
    <w:rsid w:val="003E5F33"/>
    <w:rsid w:val="003E682D"/>
    <w:rsid w:val="003E69CE"/>
    <w:rsid w:val="003E6A90"/>
    <w:rsid w:val="003F7202"/>
    <w:rsid w:val="004038CA"/>
    <w:rsid w:val="0040531F"/>
    <w:rsid w:val="00407006"/>
    <w:rsid w:val="00410767"/>
    <w:rsid w:val="004128A6"/>
    <w:rsid w:val="00416630"/>
    <w:rsid w:val="0042203A"/>
    <w:rsid w:val="0042583C"/>
    <w:rsid w:val="0043000C"/>
    <w:rsid w:val="0043140B"/>
    <w:rsid w:val="00440E0E"/>
    <w:rsid w:val="00442253"/>
    <w:rsid w:val="00446CFF"/>
    <w:rsid w:val="004513EC"/>
    <w:rsid w:val="004553A2"/>
    <w:rsid w:val="00455850"/>
    <w:rsid w:val="00456C1B"/>
    <w:rsid w:val="00456FCF"/>
    <w:rsid w:val="004620BB"/>
    <w:rsid w:val="0046260E"/>
    <w:rsid w:val="00462B15"/>
    <w:rsid w:val="00466DE8"/>
    <w:rsid w:val="004714FA"/>
    <w:rsid w:val="00472080"/>
    <w:rsid w:val="00472225"/>
    <w:rsid w:val="004742B7"/>
    <w:rsid w:val="00482698"/>
    <w:rsid w:val="004827AA"/>
    <w:rsid w:val="00482931"/>
    <w:rsid w:val="00487121"/>
    <w:rsid w:val="00491220"/>
    <w:rsid w:val="00492599"/>
    <w:rsid w:val="004A4BD5"/>
    <w:rsid w:val="004B0891"/>
    <w:rsid w:val="004B4A6D"/>
    <w:rsid w:val="004C37D3"/>
    <w:rsid w:val="004C7AD2"/>
    <w:rsid w:val="004D1F40"/>
    <w:rsid w:val="004D2FD4"/>
    <w:rsid w:val="004D311C"/>
    <w:rsid w:val="004D76D7"/>
    <w:rsid w:val="004E0786"/>
    <w:rsid w:val="004F1812"/>
    <w:rsid w:val="00501B2A"/>
    <w:rsid w:val="00502A62"/>
    <w:rsid w:val="00507AB4"/>
    <w:rsid w:val="00510025"/>
    <w:rsid w:val="005160C2"/>
    <w:rsid w:val="0052184B"/>
    <w:rsid w:val="0052291C"/>
    <w:rsid w:val="00523647"/>
    <w:rsid w:val="00523A38"/>
    <w:rsid w:val="00523AD6"/>
    <w:rsid w:val="00524FA9"/>
    <w:rsid w:val="00542A02"/>
    <w:rsid w:val="00544D2C"/>
    <w:rsid w:val="0055174A"/>
    <w:rsid w:val="00556251"/>
    <w:rsid w:val="00562FF1"/>
    <w:rsid w:val="005646A4"/>
    <w:rsid w:val="00574038"/>
    <w:rsid w:val="005740E1"/>
    <w:rsid w:val="0057662F"/>
    <w:rsid w:val="00580739"/>
    <w:rsid w:val="0058639F"/>
    <w:rsid w:val="005968A7"/>
    <w:rsid w:val="005A1461"/>
    <w:rsid w:val="005A1C5B"/>
    <w:rsid w:val="005A3B16"/>
    <w:rsid w:val="005A542E"/>
    <w:rsid w:val="005A570A"/>
    <w:rsid w:val="005A5ABC"/>
    <w:rsid w:val="005B1BB7"/>
    <w:rsid w:val="005B619C"/>
    <w:rsid w:val="005B7E5D"/>
    <w:rsid w:val="005C08C7"/>
    <w:rsid w:val="005C16DD"/>
    <w:rsid w:val="005D02E4"/>
    <w:rsid w:val="005D2A34"/>
    <w:rsid w:val="005D5B23"/>
    <w:rsid w:val="005D5EBC"/>
    <w:rsid w:val="005E1084"/>
    <w:rsid w:val="005E4AE8"/>
    <w:rsid w:val="005F00FA"/>
    <w:rsid w:val="005F74AC"/>
    <w:rsid w:val="005F7E0C"/>
    <w:rsid w:val="00601C1F"/>
    <w:rsid w:val="00603942"/>
    <w:rsid w:val="00604CD4"/>
    <w:rsid w:val="00604E50"/>
    <w:rsid w:val="00610C18"/>
    <w:rsid w:val="00611A7B"/>
    <w:rsid w:val="006123A2"/>
    <w:rsid w:val="006137A9"/>
    <w:rsid w:val="006200F4"/>
    <w:rsid w:val="00625C0B"/>
    <w:rsid w:val="006267A6"/>
    <w:rsid w:val="00632507"/>
    <w:rsid w:val="0065554C"/>
    <w:rsid w:val="006658BB"/>
    <w:rsid w:val="00665B80"/>
    <w:rsid w:val="006662FA"/>
    <w:rsid w:val="0066660D"/>
    <w:rsid w:val="006666D3"/>
    <w:rsid w:val="00676BBE"/>
    <w:rsid w:val="00682CE7"/>
    <w:rsid w:val="00691392"/>
    <w:rsid w:val="006A1247"/>
    <w:rsid w:val="006A39FF"/>
    <w:rsid w:val="006A3DA3"/>
    <w:rsid w:val="006A7A2C"/>
    <w:rsid w:val="006B2DEF"/>
    <w:rsid w:val="006B3C0C"/>
    <w:rsid w:val="006B4EDA"/>
    <w:rsid w:val="006C220A"/>
    <w:rsid w:val="006C23F0"/>
    <w:rsid w:val="006C6DDA"/>
    <w:rsid w:val="006E03E2"/>
    <w:rsid w:val="006E13E7"/>
    <w:rsid w:val="006E475D"/>
    <w:rsid w:val="006E7A59"/>
    <w:rsid w:val="006F0869"/>
    <w:rsid w:val="006F1EA5"/>
    <w:rsid w:val="006F6C90"/>
    <w:rsid w:val="006F77F3"/>
    <w:rsid w:val="007043D8"/>
    <w:rsid w:val="00705076"/>
    <w:rsid w:val="0070787C"/>
    <w:rsid w:val="007137E8"/>
    <w:rsid w:val="00732779"/>
    <w:rsid w:val="00732C7D"/>
    <w:rsid w:val="00736282"/>
    <w:rsid w:val="007365BB"/>
    <w:rsid w:val="00736CFA"/>
    <w:rsid w:val="0074033C"/>
    <w:rsid w:val="007469C1"/>
    <w:rsid w:val="00750849"/>
    <w:rsid w:val="0075670A"/>
    <w:rsid w:val="00760F9D"/>
    <w:rsid w:val="007626E6"/>
    <w:rsid w:val="0077025C"/>
    <w:rsid w:val="00770E52"/>
    <w:rsid w:val="007847CA"/>
    <w:rsid w:val="00791E3E"/>
    <w:rsid w:val="00792783"/>
    <w:rsid w:val="007935CC"/>
    <w:rsid w:val="00794CBB"/>
    <w:rsid w:val="00796045"/>
    <w:rsid w:val="00797EB3"/>
    <w:rsid w:val="007A5CCD"/>
    <w:rsid w:val="007B6E32"/>
    <w:rsid w:val="007C260F"/>
    <w:rsid w:val="007C26D3"/>
    <w:rsid w:val="007D3B87"/>
    <w:rsid w:val="007D3D39"/>
    <w:rsid w:val="007D6345"/>
    <w:rsid w:val="007D7656"/>
    <w:rsid w:val="007E0C53"/>
    <w:rsid w:val="007E1103"/>
    <w:rsid w:val="007E4A7B"/>
    <w:rsid w:val="007E5C9D"/>
    <w:rsid w:val="007E75ED"/>
    <w:rsid w:val="007F23F4"/>
    <w:rsid w:val="00800194"/>
    <w:rsid w:val="008075C6"/>
    <w:rsid w:val="008128C2"/>
    <w:rsid w:val="00826576"/>
    <w:rsid w:val="00831B9E"/>
    <w:rsid w:val="00834571"/>
    <w:rsid w:val="00836131"/>
    <w:rsid w:val="0084014F"/>
    <w:rsid w:val="00840A43"/>
    <w:rsid w:val="00841698"/>
    <w:rsid w:val="0084187E"/>
    <w:rsid w:val="008439C9"/>
    <w:rsid w:val="00845A7F"/>
    <w:rsid w:val="00847D86"/>
    <w:rsid w:val="00851C9B"/>
    <w:rsid w:val="00851FE6"/>
    <w:rsid w:val="008571D4"/>
    <w:rsid w:val="00861CEA"/>
    <w:rsid w:val="0087158B"/>
    <w:rsid w:val="00872C6E"/>
    <w:rsid w:val="00873372"/>
    <w:rsid w:val="0087400E"/>
    <w:rsid w:val="00875810"/>
    <w:rsid w:val="00877B07"/>
    <w:rsid w:val="00885F23"/>
    <w:rsid w:val="008868B2"/>
    <w:rsid w:val="00887350"/>
    <w:rsid w:val="008937D0"/>
    <w:rsid w:val="008A6CD5"/>
    <w:rsid w:val="008A7BBF"/>
    <w:rsid w:val="008B1B39"/>
    <w:rsid w:val="008B3EC1"/>
    <w:rsid w:val="008B4980"/>
    <w:rsid w:val="008B6497"/>
    <w:rsid w:val="008C1CB8"/>
    <w:rsid w:val="008C58FE"/>
    <w:rsid w:val="008D09E0"/>
    <w:rsid w:val="008D13DC"/>
    <w:rsid w:val="008D2367"/>
    <w:rsid w:val="008D2E48"/>
    <w:rsid w:val="008D6FAA"/>
    <w:rsid w:val="008E4780"/>
    <w:rsid w:val="008E57DF"/>
    <w:rsid w:val="008E6764"/>
    <w:rsid w:val="008F3D78"/>
    <w:rsid w:val="009035B6"/>
    <w:rsid w:val="00906AFF"/>
    <w:rsid w:val="00920D0D"/>
    <w:rsid w:val="00921519"/>
    <w:rsid w:val="00922EF6"/>
    <w:rsid w:val="00932BD6"/>
    <w:rsid w:val="00934652"/>
    <w:rsid w:val="00934E97"/>
    <w:rsid w:val="00937812"/>
    <w:rsid w:val="00942337"/>
    <w:rsid w:val="00955EE1"/>
    <w:rsid w:val="00962015"/>
    <w:rsid w:val="00963E5B"/>
    <w:rsid w:val="009770F4"/>
    <w:rsid w:val="00985281"/>
    <w:rsid w:val="009948FC"/>
    <w:rsid w:val="009959DC"/>
    <w:rsid w:val="009A311C"/>
    <w:rsid w:val="009B0B8B"/>
    <w:rsid w:val="009B205B"/>
    <w:rsid w:val="009B227A"/>
    <w:rsid w:val="009B383C"/>
    <w:rsid w:val="009B3C52"/>
    <w:rsid w:val="009C3DAE"/>
    <w:rsid w:val="009C6F15"/>
    <w:rsid w:val="009D0CDD"/>
    <w:rsid w:val="009D21D6"/>
    <w:rsid w:val="009D280B"/>
    <w:rsid w:val="009D4F5F"/>
    <w:rsid w:val="009E1A87"/>
    <w:rsid w:val="009E2D27"/>
    <w:rsid w:val="00A01C23"/>
    <w:rsid w:val="00A07BB5"/>
    <w:rsid w:val="00A10F83"/>
    <w:rsid w:val="00A13221"/>
    <w:rsid w:val="00A20A53"/>
    <w:rsid w:val="00A26E5E"/>
    <w:rsid w:val="00A27FE2"/>
    <w:rsid w:val="00A42284"/>
    <w:rsid w:val="00A4311B"/>
    <w:rsid w:val="00A4409A"/>
    <w:rsid w:val="00A50322"/>
    <w:rsid w:val="00A52778"/>
    <w:rsid w:val="00A53A19"/>
    <w:rsid w:val="00A555AD"/>
    <w:rsid w:val="00A64B91"/>
    <w:rsid w:val="00A800B2"/>
    <w:rsid w:val="00A8138A"/>
    <w:rsid w:val="00A82D07"/>
    <w:rsid w:val="00A83BCE"/>
    <w:rsid w:val="00A86D69"/>
    <w:rsid w:val="00A87081"/>
    <w:rsid w:val="00A91C17"/>
    <w:rsid w:val="00A93851"/>
    <w:rsid w:val="00A957C7"/>
    <w:rsid w:val="00A96AFB"/>
    <w:rsid w:val="00A97A80"/>
    <w:rsid w:val="00AA2D2A"/>
    <w:rsid w:val="00AA3E82"/>
    <w:rsid w:val="00AB258D"/>
    <w:rsid w:val="00AD23C7"/>
    <w:rsid w:val="00AD3014"/>
    <w:rsid w:val="00AD76DD"/>
    <w:rsid w:val="00AE4BA4"/>
    <w:rsid w:val="00AF19BF"/>
    <w:rsid w:val="00AF2E30"/>
    <w:rsid w:val="00AF394E"/>
    <w:rsid w:val="00AF70D1"/>
    <w:rsid w:val="00B05161"/>
    <w:rsid w:val="00B077F2"/>
    <w:rsid w:val="00B10D06"/>
    <w:rsid w:val="00B136EA"/>
    <w:rsid w:val="00B13A32"/>
    <w:rsid w:val="00B15D73"/>
    <w:rsid w:val="00B201D6"/>
    <w:rsid w:val="00B22858"/>
    <w:rsid w:val="00B22BD4"/>
    <w:rsid w:val="00B250D3"/>
    <w:rsid w:val="00B25EC0"/>
    <w:rsid w:val="00B30AB4"/>
    <w:rsid w:val="00B315BF"/>
    <w:rsid w:val="00B368DC"/>
    <w:rsid w:val="00B4445B"/>
    <w:rsid w:val="00B47C56"/>
    <w:rsid w:val="00B54486"/>
    <w:rsid w:val="00B57CC5"/>
    <w:rsid w:val="00B76A99"/>
    <w:rsid w:val="00B76C60"/>
    <w:rsid w:val="00B81AD3"/>
    <w:rsid w:val="00B8246A"/>
    <w:rsid w:val="00B9581B"/>
    <w:rsid w:val="00BA2D2A"/>
    <w:rsid w:val="00BA41F0"/>
    <w:rsid w:val="00BB615D"/>
    <w:rsid w:val="00BB75E6"/>
    <w:rsid w:val="00BE11AF"/>
    <w:rsid w:val="00BE6B34"/>
    <w:rsid w:val="00BF4451"/>
    <w:rsid w:val="00BF4C77"/>
    <w:rsid w:val="00BF6E51"/>
    <w:rsid w:val="00C03133"/>
    <w:rsid w:val="00C114D4"/>
    <w:rsid w:val="00C1414C"/>
    <w:rsid w:val="00C16406"/>
    <w:rsid w:val="00C208CF"/>
    <w:rsid w:val="00C20FB6"/>
    <w:rsid w:val="00C24133"/>
    <w:rsid w:val="00C24F55"/>
    <w:rsid w:val="00C273F8"/>
    <w:rsid w:val="00C31F00"/>
    <w:rsid w:val="00C36B35"/>
    <w:rsid w:val="00C4069B"/>
    <w:rsid w:val="00C4161A"/>
    <w:rsid w:val="00C42913"/>
    <w:rsid w:val="00C531FB"/>
    <w:rsid w:val="00C5447A"/>
    <w:rsid w:val="00C62DBE"/>
    <w:rsid w:val="00C64ACD"/>
    <w:rsid w:val="00C6578A"/>
    <w:rsid w:val="00C65924"/>
    <w:rsid w:val="00C67D29"/>
    <w:rsid w:val="00C71602"/>
    <w:rsid w:val="00C73C8A"/>
    <w:rsid w:val="00C7505E"/>
    <w:rsid w:val="00C75E33"/>
    <w:rsid w:val="00C77607"/>
    <w:rsid w:val="00C9715B"/>
    <w:rsid w:val="00CA4EAA"/>
    <w:rsid w:val="00CB3CE7"/>
    <w:rsid w:val="00CB536C"/>
    <w:rsid w:val="00CB5789"/>
    <w:rsid w:val="00CC3FAE"/>
    <w:rsid w:val="00CC46D6"/>
    <w:rsid w:val="00CC49FD"/>
    <w:rsid w:val="00CC4DAE"/>
    <w:rsid w:val="00CC527F"/>
    <w:rsid w:val="00CC613A"/>
    <w:rsid w:val="00CC6E32"/>
    <w:rsid w:val="00CD06B8"/>
    <w:rsid w:val="00CD222F"/>
    <w:rsid w:val="00CD65DB"/>
    <w:rsid w:val="00CE514B"/>
    <w:rsid w:val="00CE737D"/>
    <w:rsid w:val="00CE7F9A"/>
    <w:rsid w:val="00D05171"/>
    <w:rsid w:val="00D0597A"/>
    <w:rsid w:val="00D05EA5"/>
    <w:rsid w:val="00D06482"/>
    <w:rsid w:val="00D15872"/>
    <w:rsid w:val="00D179A4"/>
    <w:rsid w:val="00D20B95"/>
    <w:rsid w:val="00D22881"/>
    <w:rsid w:val="00D313D0"/>
    <w:rsid w:val="00D3399E"/>
    <w:rsid w:val="00D4131C"/>
    <w:rsid w:val="00D47D5B"/>
    <w:rsid w:val="00D55319"/>
    <w:rsid w:val="00D56ED6"/>
    <w:rsid w:val="00D610A2"/>
    <w:rsid w:val="00D64193"/>
    <w:rsid w:val="00D75151"/>
    <w:rsid w:val="00D759DD"/>
    <w:rsid w:val="00D80B4B"/>
    <w:rsid w:val="00D81A22"/>
    <w:rsid w:val="00D81A99"/>
    <w:rsid w:val="00DA606E"/>
    <w:rsid w:val="00DA7FE9"/>
    <w:rsid w:val="00DB6E88"/>
    <w:rsid w:val="00DC4B23"/>
    <w:rsid w:val="00DD1453"/>
    <w:rsid w:val="00DD2CD1"/>
    <w:rsid w:val="00DD3E92"/>
    <w:rsid w:val="00DD4D37"/>
    <w:rsid w:val="00DE4D3F"/>
    <w:rsid w:val="00DE53A4"/>
    <w:rsid w:val="00DE72B9"/>
    <w:rsid w:val="00E1069D"/>
    <w:rsid w:val="00E259F7"/>
    <w:rsid w:val="00E301E4"/>
    <w:rsid w:val="00E3360A"/>
    <w:rsid w:val="00E34010"/>
    <w:rsid w:val="00E37A07"/>
    <w:rsid w:val="00E410FC"/>
    <w:rsid w:val="00E41342"/>
    <w:rsid w:val="00E41A4A"/>
    <w:rsid w:val="00E445AD"/>
    <w:rsid w:val="00E57A91"/>
    <w:rsid w:val="00E624EF"/>
    <w:rsid w:val="00E63636"/>
    <w:rsid w:val="00E65241"/>
    <w:rsid w:val="00E67FCA"/>
    <w:rsid w:val="00E74919"/>
    <w:rsid w:val="00E8267A"/>
    <w:rsid w:val="00E8428F"/>
    <w:rsid w:val="00E843D5"/>
    <w:rsid w:val="00E91FE7"/>
    <w:rsid w:val="00EA1119"/>
    <w:rsid w:val="00EA1DA6"/>
    <w:rsid w:val="00EA4187"/>
    <w:rsid w:val="00EB2DE2"/>
    <w:rsid w:val="00EB3564"/>
    <w:rsid w:val="00EB6447"/>
    <w:rsid w:val="00EC7550"/>
    <w:rsid w:val="00ED61A1"/>
    <w:rsid w:val="00EE4C78"/>
    <w:rsid w:val="00EE7D46"/>
    <w:rsid w:val="00EF2686"/>
    <w:rsid w:val="00EF31E3"/>
    <w:rsid w:val="00EF3952"/>
    <w:rsid w:val="00EF5C99"/>
    <w:rsid w:val="00F00F97"/>
    <w:rsid w:val="00F02806"/>
    <w:rsid w:val="00F05C03"/>
    <w:rsid w:val="00F06346"/>
    <w:rsid w:val="00F06348"/>
    <w:rsid w:val="00F10BFF"/>
    <w:rsid w:val="00F11196"/>
    <w:rsid w:val="00F12BB4"/>
    <w:rsid w:val="00F20E17"/>
    <w:rsid w:val="00F32B75"/>
    <w:rsid w:val="00F343CF"/>
    <w:rsid w:val="00F5127C"/>
    <w:rsid w:val="00F54B11"/>
    <w:rsid w:val="00F64861"/>
    <w:rsid w:val="00F74DF7"/>
    <w:rsid w:val="00F7560F"/>
    <w:rsid w:val="00F802EE"/>
    <w:rsid w:val="00F83B11"/>
    <w:rsid w:val="00F8566B"/>
    <w:rsid w:val="00F86B13"/>
    <w:rsid w:val="00F86CFB"/>
    <w:rsid w:val="00F87F26"/>
    <w:rsid w:val="00F90698"/>
    <w:rsid w:val="00F93876"/>
    <w:rsid w:val="00F94081"/>
    <w:rsid w:val="00FA75F4"/>
    <w:rsid w:val="00FB01A3"/>
    <w:rsid w:val="00FC635F"/>
    <w:rsid w:val="00FC7AF6"/>
    <w:rsid w:val="00FE3A80"/>
    <w:rsid w:val="00FF0F1B"/>
    <w:rsid w:val="00FF59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400"/>
    <w:rPr>
      <w:rFonts w:ascii="Times New Roman" w:hAnsi="Times New Roman"/>
      <w:kern w:val="0"/>
      <w:sz w:val="20"/>
      <w:szCs w:val="20"/>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85281"/>
    <w:pPr>
      <w:ind w:left="720"/>
    </w:pPr>
  </w:style>
  <w:style w:type="paragraph" w:styleId="a4">
    <w:name w:val="Body Text Indent"/>
    <w:basedOn w:val="a"/>
    <w:link w:val="Char"/>
    <w:uiPriority w:val="99"/>
    <w:rsid w:val="00BB615D"/>
    <w:pPr>
      <w:spacing w:line="360" w:lineRule="auto"/>
      <w:ind w:firstLine="567"/>
      <w:jc w:val="both"/>
    </w:pPr>
    <w:rPr>
      <w:sz w:val="24"/>
      <w:lang w:val="tr-TR"/>
    </w:rPr>
  </w:style>
  <w:style w:type="character" w:customStyle="1" w:styleId="Char">
    <w:name w:val="正文文本缩进 Char"/>
    <w:basedOn w:val="a0"/>
    <w:link w:val="a4"/>
    <w:uiPriority w:val="99"/>
    <w:locked/>
    <w:rsid w:val="00BB615D"/>
    <w:rPr>
      <w:rFonts w:ascii="Times New Roman" w:hAnsi="Times New Roman" w:cs="Times New Roman"/>
      <w:sz w:val="20"/>
      <w:szCs w:val="20"/>
    </w:rPr>
  </w:style>
  <w:style w:type="table" w:styleId="a5">
    <w:name w:val="Table Grid"/>
    <w:basedOn w:val="a1"/>
    <w:uiPriority w:val="99"/>
    <w:rsid w:val="0031490F"/>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1">
    <w:name w:val="Açık Gölgeleme1"/>
    <w:uiPriority w:val="99"/>
    <w:rsid w:val="001313CE"/>
    <w:rPr>
      <w:color w:val="000000"/>
      <w:kern w:val="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AkGlgeleme-Vurgu11">
    <w:name w:val="Açık Gölgeleme - Vurgu 11"/>
    <w:uiPriority w:val="99"/>
    <w:rsid w:val="001313CE"/>
    <w:rPr>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a6">
    <w:name w:val="Balloon Text"/>
    <w:basedOn w:val="a"/>
    <w:link w:val="Char0"/>
    <w:uiPriority w:val="99"/>
    <w:semiHidden/>
    <w:rsid w:val="0084187E"/>
    <w:rPr>
      <w:rFonts w:ascii="Tahoma" w:hAnsi="Tahoma" w:cs="Tahoma"/>
      <w:sz w:val="16"/>
      <w:szCs w:val="16"/>
    </w:rPr>
  </w:style>
  <w:style w:type="character" w:customStyle="1" w:styleId="Char0">
    <w:name w:val="批注框文本 Char"/>
    <w:basedOn w:val="a0"/>
    <w:link w:val="a6"/>
    <w:uiPriority w:val="99"/>
    <w:semiHidden/>
    <w:locked/>
    <w:rsid w:val="0084187E"/>
    <w:rPr>
      <w:rFonts w:ascii="Tahoma" w:hAnsi="Tahoma" w:cs="Tahoma"/>
      <w:sz w:val="16"/>
      <w:szCs w:val="16"/>
      <w:lang w:val="en-AU"/>
    </w:rPr>
  </w:style>
  <w:style w:type="paragraph" w:styleId="a7">
    <w:name w:val="header"/>
    <w:basedOn w:val="a"/>
    <w:link w:val="Char1"/>
    <w:uiPriority w:val="99"/>
    <w:rsid w:val="00736282"/>
    <w:pPr>
      <w:tabs>
        <w:tab w:val="center" w:pos="4536"/>
        <w:tab w:val="right" w:pos="9072"/>
      </w:tabs>
    </w:pPr>
  </w:style>
  <w:style w:type="character" w:customStyle="1" w:styleId="Char1">
    <w:name w:val="页眉 Char"/>
    <w:basedOn w:val="a0"/>
    <w:link w:val="a7"/>
    <w:uiPriority w:val="99"/>
    <w:locked/>
    <w:rsid w:val="00736282"/>
    <w:rPr>
      <w:rFonts w:ascii="Times New Roman" w:hAnsi="Times New Roman" w:cs="Times New Roman"/>
      <w:sz w:val="20"/>
      <w:szCs w:val="20"/>
      <w:lang w:val="en-AU"/>
    </w:rPr>
  </w:style>
  <w:style w:type="paragraph" w:styleId="a8">
    <w:name w:val="footer"/>
    <w:basedOn w:val="a"/>
    <w:link w:val="Char2"/>
    <w:uiPriority w:val="99"/>
    <w:rsid w:val="00736282"/>
    <w:pPr>
      <w:tabs>
        <w:tab w:val="center" w:pos="4536"/>
        <w:tab w:val="right" w:pos="9072"/>
      </w:tabs>
    </w:pPr>
  </w:style>
  <w:style w:type="character" w:customStyle="1" w:styleId="Char2">
    <w:name w:val="页脚 Char"/>
    <w:basedOn w:val="a0"/>
    <w:link w:val="a8"/>
    <w:uiPriority w:val="99"/>
    <w:locked/>
    <w:rsid w:val="00736282"/>
    <w:rPr>
      <w:rFonts w:ascii="Times New Roman" w:hAnsi="Times New Roman" w:cs="Times New Roman"/>
      <w:sz w:val="20"/>
      <w:szCs w:val="20"/>
      <w:lang w:val="en-AU"/>
    </w:rPr>
  </w:style>
  <w:style w:type="character" w:styleId="a9">
    <w:name w:val="Hyperlink"/>
    <w:basedOn w:val="a0"/>
    <w:uiPriority w:val="99"/>
    <w:rsid w:val="001A2E8E"/>
    <w:rPr>
      <w:rFonts w:cs="Times New Roman"/>
      <w:color w:val="0000FF"/>
      <w:u w:val="single"/>
    </w:rPr>
  </w:style>
  <w:style w:type="character" w:customStyle="1" w:styleId="ti">
    <w:name w:val="ti"/>
    <w:basedOn w:val="a0"/>
    <w:uiPriority w:val="99"/>
    <w:rsid w:val="001A2E8E"/>
    <w:rPr>
      <w:rFonts w:cs="Times New Roman"/>
    </w:rPr>
  </w:style>
  <w:style w:type="character" w:customStyle="1" w:styleId="linkbar">
    <w:name w:val="linkbar"/>
    <w:basedOn w:val="a0"/>
    <w:uiPriority w:val="99"/>
    <w:rsid w:val="001A2E8E"/>
    <w:rPr>
      <w:rFonts w:cs="Times New Roman"/>
    </w:rPr>
  </w:style>
  <w:style w:type="paragraph" w:styleId="aa">
    <w:name w:val="caption"/>
    <w:basedOn w:val="a"/>
    <w:next w:val="a"/>
    <w:uiPriority w:val="99"/>
    <w:qFormat/>
    <w:rsid w:val="00EF3952"/>
    <w:rPr>
      <w:b/>
      <w:bCs/>
    </w:rPr>
  </w:style>
  <w:style w:type="character" w:styleId="ab">
    <w:name w:val="annotation reference"/>
    <w:basedOn w:val="a0"/>
    <w:uiPriority w:val="99"/>
    <w:semiHidden/>
    <w:rsid w:val="00307760"/>
    <w:rPr>
      <w:rFonts w:cs="Times New Roman"/>
      <w:sz w:val="21"/>
      <w:szCs w:val="21"/>
    </w:rPr>
  </w:style>
  <w:style w:type="paragraph" w:styleId="ac">
    <w:name w:val="annotation text"/>
    <w:basedOn w:val="a"/>
    <w:link w:val="Char3"/>
    <w:uiPriority w:val="99"/>
    <w:semiHidden/>
    <w:rsid w:val="00307760"/>
  </w:style>
  <w:style w:type="character" w:customStyle="1" w:styleId="Char3">
    <w:name w:val="批注文字 Char"/>
    <w:basedOn w:val="a0"/>
    <w:link w:val="ac"/>
    <w:uiPriority w:val="99"/>
    <w:locked/>
    <w:rsid w:val="00307760"/>
    <w:rPr>
      <w:rFonts w:ascii="Times New Roman" w:hAnsi="Times New Roman" w:cs="Times New Roman"/>
      <w:lang w:val="en-AU" w:eastAsia="en-US"/>
    </w:rPr>
  </w:style>
  <w:style w:type="paragraph" w:styleId="ad">
    <w:name w:val="annotation subject"/>
    <w:basedOn w:val="ac"/>
    <w:next w:val="ac"/>
    <w:link w:val="Char4"/>
    <w:uiPriority w:val="99"/>
    <w:semiHidden/>
    <w:rsid w:val="00307760"/>
    <w:rPr>
      <w:b/>
      <w:bCs/>
    </w:rPr>
  </w:style>
  <w:style w:type="character" w:customStyle="1" w:styleId="Char4">
    <w:name w:val="批注主题 Char"/>
    <w:basedOn w:val="Char3"/>
    <w:link w:val="ad"/>
    <w:uiPriority w:val="99"/>
    <w:semiHidden/>
    <w:locked/>
    <w:rsid w:val="00307760"/>
    <w:rPr>
      <w:rFonts w:ascii="Times New Roman" w:hAnsi="Times New Roman" w:cs="Times New Roman"/>
      <w:b/>
      <w:bCs/>
      <w:lang w:val="en-AU" w:eastAsia="en-US"/>
    </w:rPr>
  </w:style>
  <w:style w:type="character" w:customStyle="1" w:styleId="Char10">
    <w:name w:val="批注文字 Char1"/>
    <w:basedOn w:val="a0"/>
    <w:uiPriority w:val="99"/>
    <w:semiHidden/>
    <w:rsid w:val="00307760"/>
    <w:rPr>
      <w:rFonts w:eastAsia="宋体" w:cs="Times New Roman"/>
      <w:kern w:val="2"/>
      <w:sz w:val="24"/>
      <w:szCs w:val="24"/>
      <w:lang w:val="en-US" w:eastAsia="zh-CN" w:bidi="ar-SA"/>
    </w:rPr>
  </w:style>
  <w:style w:type="character" w:customStyle="1" w:styleId="trans">
    <w:name w:val="trans"/>
    <w:basedOn w:val="a0"/>
    <w:uiPriority w:val="99"/>
    <w:rsid w:val="00307760"/>
    <w:rPr>
      <w:rFonts w:cs="Times New Roman"/>
    </w:rPr>
  </w:style>
  <w:style w:type="paragraph" w:customStyle="1" w:styleId="p0">
    <w:name w:val="p0"/>
    <w:basedOn w:val="a"/>
    <w:uiPriority w:val="99"/>
    <w:rsid w:val="00307760"/>
    <w:pPr>
      <w:spacing w:line="240" w:lineRule="atLeast"/>
    </w:pPr>
    <w:rPr>
      <w:rFonts w:ascii="Century" w:hAnsi="Century" w:cs="宋体"/>
      <w:sz w:val="21"/>
      <w:szCs w:val="21"/>
      <w:lang w:val="en-US" w:eastAsia="zh-CN"/>
    </w:rPr>
  </w:style>
  <w:style w:type="paragraph" w:styleId="ae">
    <w:name w:val="Plain Text"/>
    <w:basedOn w:val="a"/>
    <w:link w:val="Char5"/>
    <w:uiPriority w:val="99"/>
    <w:rsid w:val="00523A38"/>
    <w:pPr>
      <w:widowControl w:val="0"/>
      <w:jc w:val="both"/>
    </w:pPr>
    <w:rPr>
      <w:rFonts w:ascii="宋体" w:hAnsi="Courier New" w:cs="Courier New"/>
      <w:kern w:val="2"/>
      <w:sz w:val="21"/>
      <w:szCs w:val="21"/>
      <w:lang w:val="en-US" w:eastAsia="zh-CN"/>
    </w:rPr>
  </w:style>
  <w:style w:type="character" w:customStyle="1" w:styleId="Char5">
    <w:name w:val="纯文本 Char"/>
    <w:basedOn w:val="a0"/>
    <w:link w:val="ae"/>
    <w:uiPriority w:val="99"/>
    <w:locked/>
    <w:rsid w:val="00523A38"/>
    <w:rPr>
      <w:rFonts w:ascii="宋体" w:eastAsia="宋体" w:hAnsi="Courier New" w:cs="Courier New"/>
      <w:kern w:val="2"/>
      <w:sz w:val="21"/>
      <w:szCs w:val="21"/>
    </w:rPr>
  </w:style>
  <w:style w:type="character" w:customStyle="1" w:styleId="webdict">
    <w:name w:val="webdict"/>
    <w:basedOn w:val="a0"/>
    <w:uiPriority w:val="99"/>
    <w:rsid w:val="00523A38"/>
    <w:rPr>
      <w:rFonts w:cs="Times New Roman"/>
    </w:rPr>
  </w:style>
  <w:style w:type="paragraph" w:customStyle="1" w:styleId="p16">
    <w:name w:val="p16"/>
    <w:basedOn w:val="a"/>
    <w:uiPriority w:val="99"/>
    <w:rsid w:val="00FF0F1B"/>
    <w:pPr>
      <w:spacing w:after="200" w:line="273" w:lineRule="auto"/>
      <w:ind w:left="720"/>
    </w:pPr>
    <w:rPr>
      <w:rFonts w:ascii="Calibri" w:hAnsi="Calibri" w:cs="宋体"/>
      <w:sz w:val="22"/>
      <w:szCs w:val="22"/>
      <w:lang w:val="en-US" w:eastAsia="zh-CN"/>
    </w:rPr>
  </w:style>
  <w:style w:type="character" w:customStyle="1" w:styleId="15">
    <w:name w:val="15"/>
    <w:basedOn w:val="a0"/>
    <w:uiPriority w:val="99"/>
    <w:rsid w:val="00FF0F1B"/>
    <w:rPr>
      <w:rFonts w:ascii="Times New Roman" w:hAnsi="Times New Roman" w:cs="Times New Roman"/>
      <w:color w:val="0000FF"/>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400"/>
    <w:rPr>
      <w:rFonts w:ascii="Times New Roman" w:hAnsi="Times New Roman"/>
      <w:kern w:val="0"/>
      <w:sz w:val="20"/>
      <w:szCs w:val="20"/>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85281"/>
    <w:pPr>
      <w:ind w:left="720"/>
    </w:pPr>
  </w:style>
  <w:style w:type="paragraph" w:styleId="a4">
    <w:name w:val="Body Text Indent"/>
    <w:basedOn w:val="a"/>
    <w:link w:val="Char"/>
    <w:uiPriority w:val="99"/>
    <w:rsid w:val="00BB615D"/>
    <w:pPr>
      <w:spacing w:line="360" w:lineRule="auto"/>
      <w:ind w:firstLine="567"/>
      <w:jc w:val="both"/>
    </w:pPr>
    <w:rPr>
      <w:sz w:val="24"/>
      <w:lang w:val="tr-TR"/>
    </w:rPr>
  </w:style>
  <w:style w:type="character" w:customStyle="1" w:styleId="Char">
    <w:name w:val="正文文本缩进 Char"/>
    <w:basedOn w:val="a0"/>
    <w:link w:val="a4"/>
    <w:uiPriority w:val="99"/>
    <w:locked/>
    <w:rsid w:val="00BB615D"/>
    <w:rPr>
      <w:rFonts w:ascii="Times New Roman" w:hAnsi="Times New Roman" w:cs="Times New Roman"/>
      <w:sz w:val="20"/>
      <w:szCs w:val="20"/>
    </w:rPr>
  </w:style>
  <w:style w:type="table" w:styleId="a5">
    <w:name w:val="Table Grid"/>
    <w:basedOn w:val="a1"/>
    <w:uiPriority w:val="99"/>
    <w:rsid w:val="0031490F"/>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1">
    <w:name w:val="Açık Gölgeleme1"/>
    <w:uiPriority w:val="99"/>
    <w:rsid w:val="001313CE"/>
    <w:rPr>
      <w:color w:val="000000"/>
      <w:kern w:val="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AkGlgeleme-Vurgu11">
    <w:name w:val="Açık Gölgeleme - Vurgu 11"/>
    <w:uiPriority w:val="99"/>
    <w:rsid w:val="001313CE"/>
    <w:rPr>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a6">
    <w:name w:val="Balloon Text"/>
    <w:basedOn w:val="a"/>
    <w:link w:val="Char0"/>
    <w:uiPriority w:val="99"/>
    <w:semiHidden/>
    <w:rsid w:val="0084187E"/>
    <w:rPr>
      <w:rFonts w:ascii="Tahoma" w:hAnsi="Tahoma" w:cs="Tahoma"/>
      <w:sz w:val="16"/>
      <w:szCs w:val="16"/>
    </w:rPr>
  </w:style>
  <w:style w:type="character" w:customStyle="1" w:styleId="Char0">
    <w:name w:val="批注框文本 Char"/>
    <w:basedOn w:val="a0"/>
    <w:link w:val="a6"/>
    <w:uiPriority w:val="99"/>
    <w:semiHidden/>
    <w:locked/>
    <w:rsid w:val="0084187E"/>
    <w:rPr>
      <w:rFonts w:ascii="Tahoma" w:hAnsi="Tahoma" w:cs="Tahoma"/>
      <w:sz w:val="16"/>
      <w:szCs w:val="16"/>
      <w:lang w:val="en-AU"/>
    </w:rPr>
  </w:style>
  <w:style w:type="paragraph" w:styleId="a7">
    <w:name w:val="header"/>
    <w:basedOn w:val="a"/>
    <w:link w:val="Char1"/>
    <w:uiPriority w:val="99"/>
    <w:rsid w:val="00736282"/>
    <w:pPr>
      <w:tabs>
        <w:tab w:val="center" w:pos="4536"/>
        <w:tab w:val="right" w:pos="9072"/>
      </w:tabs>
    </w:pPr>
  </w:style>
  <w:style w:type="character" w:customStyle="1" w:styleId="Char1">
    <w:name w:val="页眉 Char"/>
    <w:basedOn w:val="a0"/>
    <w:link w:val="a7"/>
    <w:uiPriority w:val="99"/>
    <w:locked/>
    <w:rsid w:val="00736282"/>
    <w:rPr>
      <w:rFonts w:ascii="Times New Roman" w:hAnsi="Times New Roman" w:cs="Times New Roman"/>
      <w:sz w:val="20"/>
      <w:szCs w:val="20"/>
      <w:lang w:val="en-AU"/>
    </w:rPr>
  </w:style>
  <w:style w:type="paragraph" w:styleId="a8">
    <w:name w:val="footer"/>
    <w:basedOn w:val="a"/>
    <w:link w:val="Char2"/>
    <w:uiPriority w:val="99"/>
    <w:rsid w:val="00736282"/>
    <w:pPr>
      <w:tabs>
        <w:tab w:val="center" w:pos="4536"/>
        <w:tab w:val="right" w:pos="9072"/>
      </w:tabs>
    </w:pPr>
  </w:style>
  <w:style w:type="character" w:customStyle="1" w:styleId="Char2">
    <w:name w:val="页脚 Char"/>
    <w:basedOn w:val="a0"/>
    <w:link w:val="a8"/>
    <w:uiPriority w:val="99"/>
    <w:locked/>
    <w:rsid w:val="00736282"/>
    <w:rPr>
      <w:rFonts w:ascii="Times New Roman" w:hAnsi="Times New Roman" w:cs="Times New Roman"/>
      <w:sz w:val="20"/>
      <w:szCs w:val="20"/>
      <w:lang w:val="en-AU"/>
    </w:rPr>
  </w:style>
  <w:style w:type="character" w:styleId="a9">
    <w:name w:val="Hyperlink"/>
    <w:basedOn w:val="a0"/>
    <w:uiPriority w:val="99"/>
    <w:rsid w:val="001A2E8E"/>
    <w:rPr>
      <w:rFonts w:cs="Times New Roman"/>
      <w:color w:val="0000FF"/>
      <w:u w:val="single"/>
    </w:rPr>
  </w:style>
  <w:style w:type="character" w:customStyle="1" w:styleId="ti">
    <w:name w:val="ti"/>
    <w:basedOn w:val="a0"/>
    <w:uiPriority w:val="99"/>
    <w:rsid w:val="001A2E8E"/>
    <w:rPr>
      <w:rFonts w:cs="Times New Roman"/>
    </w:rPr>
  </w:style>
  <w:style w:type="character" w:customStyle="1" w:styleId="linkbar">
    <w:name w:val="linkbar"/>
    <w:basedOn w:val="a0"/>
    <w:uiPriority w:val="99"/>
    <w:rsid w:val="001A2E8E"/>
    <w:rPr>
      <w:rFonts w:cs="Times New Roman"/>
    </w:rPr>
  </w:style>
  <w:style w:type="paragraph" w:styleId="aa">
    <w:name w:val="caption"/>
    <w:basedOn w:val="a"/>
    <w:next w:val="a"/>
    <w:uiPriority w:val="99"/>
    <w:qFormat/>
    <w:rsid w:val="00EF3952"/>
    <w:rPr>
      <w:b/>
      <w:bCs/>
    </w:rPr>
  </w:style>
  <w:style w:type="character" w:styleId="ab">
    <w:name w:val="annotation reference"/>
    <w:basedOn w:val="a0"/>
    <w:uiPriority w:val="99"/>
    <w:semiHidden/>
    <w:rsid w:val="00307760"/>
    <w:rPr>
      <w:rFonts w:cs="Times New Roman"/>
      <w:sz w:val="21"/>
      <w:szCs w:val="21"/>
    </w:rPr>
  </w:style>
  <w:style w:type="paragraph" w:styleId="ac">
    <w:name w:val="annotation text"/>
    <w:basedOn w:val="a"/>
    <w:link w:val="Char3"/>
    <w:uiPriority w:val="99"/>
    <w:semiHidden/>
    <w:rsid w:val="00307760"/>
  </w:style>
  <w:style w:type="character" w:customStyle="1" w:styleId="Char3">
    <w:name w:val="批注文字 Char"/>
    <w:basedOn w:val="a0"/>
    <w:link w:val="ac"/>
    <w:uiPriority w:val="99"/>
    <w:locked/>
    <w:rsid w:val="00307760"/>
    <w:rPr>
      <w:rFonts w:ascii="Times New Roman" w:hAnsi="Times New Roman" w:cs="Times New Roman"/>
      <w:lang w:val="en-AU" w:eastAsia="en-US"/>
    </w:rPr>
  </w:style>
  <w:style w:type="paragraph" w:styleId="ad">
    <w:name w:val="annotation subject"/>
    <w:basedOn w:val="ac"/>
    <w:next w:val="ac"/>
    <w:link w:val="Char4"/>
    <w:uiPriority w:val="99"/>
    <w:semiHidden/>
    <w:rsid w:val="00307760"/>
    <w:rPr>
      <w:b/>
      <w:bCs/>
    </w:rPr>
  </w:style>
  <w:style w:type="character" w:customStyle="1" w:styleId="Char4">
    <w:name w:val="批注主题 Char"/>
    <w:basedOn w:val="Char3"/>
    <w:link w:val="ad"/>
    <w:uiPriority w:val="99"/>
    <w:semiHidden/>
    <w:locked/>
    <w:rsid w:val="00307760"/>
    <w:rPr>
      <w:rFonts w:ascii="Times New Roman" w:hAnsi="Times New Roman" w:cs="Times New Roman"/>
      <w:b/>
      <w:bCs/>
      <w:lang w:val="en-AU" w:eastAsia="en-US"/>
    </w:rPr>
  </w:style>
  <w:style w:type="character" w:customStyle="1" w:styleId="Char10">
    <w:name w:val="批注文字 Char1"/>
    <w:basedOn w:val="a0"/>
    <w:uiPriority w:val="99"/>
    <w:semiHidden/>
    <w:rsid w:val="00307760"/>
    <w:rPr>
      <w:rFonts w:eastAsia="宋体" w:cs="Times New Roman"/>
      <w:kern w:val="2"/>
      <w:sz w:val="24"/>
      <w:szCs w:val="24"/>
      <w:lang w:val="en-US" w:eastAsia="zh-CN" w:bidi="ar-SA"/>
    </w:rPr>
  </w:style>
  <w:style w:type="character" w:customStyle="1" w:styleId="trans">
    <w:name w:val="trans"/>
    <w:basedOn w:val="a0"/>
    <w:uiPriority w:val="99"/>
    <w:rsid w:val="00307760"/>
    <w:rPr>
      <w:rFonts w:cs="Times New Roman"/>
    </w:rPr>
  </w:style>
  <w:style w:type="paragraph" w:customStyle="1" w:styleId="p0">
    <w:name w:val="p0"/>
    <w:basedOn w:val="a"/>
    <w:uiPriority w:val="99"/>
    <w:rsid w:val="00307760"/>
    <w:pPr>
      <w:spacing w:line="240" w:lineRule="atLeast"/>
    </w:pPr>
    <w:rPr>
      <w:rFonts w:ascii="Century" w:hAnsi="Century" w:cs="宋体"/>
      <w:sz w:val="21"/>
      <w:szCs w:val="21"/>
      <w:lang w:val="en-US" w:eastAsia="zh-CN"/>
    </w:rPr>
  </w:style>
  <w:style w:type="paragraph" w:styleId="ae">
    <w:name w:val="Plain Text"/>
    <w:basedOn w:val="a"/>
    <w:link w:val="Char5"/>
    <w:uiPriority w:val="99"/>
    <w:rsid w:val="00523A38"/>
    <w:pPr>
      <w:widowControl w:val="0"/>
      <w:jc w:val="both"/>
    </w:pPr>
    <w:rPr>
      <w:rFonts w:ascii="宋体" w:hAnsi="Courier New" w:cs="Courier New"/>
      <w:kern w:val="2"/>
      <w:sz w:val="21"/>
      <w:szCs w:val="21"/>
      <w:lang w:val="en-US" w:eastAsia="zh-CN"/>
    </w:rPr>
  </w:style>
  <w:style w:type="character" w:customStyle="1" w:styleId="Char5">
    <w:name w:val="纯文本 Char"/>
    <w:basedOn w:val="a0"/>
    <w:link w:val="ae"/>
    <w:uiPriority w:val="99"/>
    <w:locked/>
    <w:rsid w:val="00523A38"/>
    <w:rPr>
      <w:rFonts w:ascii="宋体" w:eastAsia="宋体" w:hAnsi="Courier New" w:cs="Courier New"/>
      <w:kern w:val="2"/>
      <w:sz w:val="21"/>
      <w:szCs w:val="21"/>
    </w:rPr>
  </w:style>
  <w:style w:type="character" w:customStyle="1" w:styleId="webdict">
    <w:name w:val="webdict"/>
    <w:basedOn w:val="a0"/>
    <w:uiPriority w:val="99"/>
    <w:rsid w:val="00523A38"/>
    <w:rPr>
      <w:rFonts w:cs="Times New Roman"/>
    </w:rPr>
  </w:style>
  <w:style w:type="paragraph" w:customStyle="1" w:styleId="p16">
    <w:name w:val="p16"/>
    <w:basedOn w:val="a"/>
    <w:uiPriority w:val="99"/>
    <w:rsid w:val="00FF0F1B"/>
    <w:pPr>
      <w:spacing w:after="200" w:line="273" w:lineRule="auto"/>
      <w:ind w:left="720"/>
    </w:pPr>
    <w:rPr>
      <w:rFonts w:ascii="Calibri" w:hAnsi="Calibri" w:cs="宋体"/>
      <w:sz w:val="22"/>
      <w:szCs w:val="22"/>
      <w:lang w:val="en-US" w:eastAsia="zh-CN"/>
    </w:rPr>
  </w:style>
  <w:style w:type="character" w:customStyle="1" w:styleId="15">
    <w:name w:val="15"/>
    <w:basedOn w:val="a0"/>
    <w:uiPriority w:val="99"/>
    <w:rsid w:val="00FF0F1B"/>
    <w:rPr>
      <w:rFonts w:ascii="Times New Roman" w:hAnsi="Times New Roman" w:cs="Times New Roman"/>
      <w:color w:val="0000FF"/>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503415">
      <w:marLeft w:val="0"/>
      <w:marRight w:val="0"/>
      <w:marTop w:val="0"/>
      <w:marBottom w:val="0"/>
      <w:divBdr>
        <w:top w:val="none" w:sz="0" w:space="0" w:color="auto"/>
        <w:left w:val="none" w:sz="0" w:space="0" w:color="auto"/>
        <w:bottom w:val="none" w:sz="0" w:space="0" w:color="auto"/>
        <w:right w:val="none" w:sz="0" w:space="0" w:color="auto"/>
      </w:divBdr>
    </w:div>
    <w:div w:id="911503422">
      <w:marLeft w:val="0"/>
      <w:marRight w:val="0"/>
      <w:marTop w:val="0"/>
      <w:marBottom w:val="0"/>
      <w:divBdr>
        <w:top w:val="none" w:sz="0" w:space="0" w:color="auto"/>
        <w:left w:val="none" w:sz="0" w:space="0" w:color="auto"/>
        <w:bottom w:val="none" w:sz="0" w:space="0" w:color="auto"/>
        <w:right w:val="none" w:sz="0" w:space="0" w:color="auto"/>
      </w:divBdr>
      <w:divsChild>
        <w:div w:id="911503417">
          <w:marLeft w:val="120"/>
          <w:marRight w:val="120"/>
          <w:marTop w:val="45"/>
          <w:marBottom w:val="0"/>
          <w:divBdr>
            <w:top w:val="none" w:sz="0" w:space="0" w:color="auto"/>
            <w:left w:val="none" w:sz="0" w:space="0" w:color="auto"/>
            <w:bottom w:val="none" w:sz="0" w:space="0" w:color="auto"/>
            <w:right w:val="none" w:sz="0" w:space="0" w:color="auto"/>
          </w:divBdr>
          <w:divsChild>
            <w:div w:id="91150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24">
      <w:marLeft w:val="0"/>
      <w:marRight w:val="0"/>
      <w:marTop w:val="0"/>
      <w:marBottom w:val="0"/>
      <w:divBdr>
        <w:top w:val="none" w:sz="0" w:space="0" w:color="auto"/>
        <w:left w:val="none" w:sz="0" w:space="0" w:color="auto"/>
        <w:bottom w:val="none" w:sz="0" w:space="0" w:color="auto"/>
        <w:right w:val="none" w:sz="0" w:space="0" w:color="auto"/>
      </w:divBdr>
    </w:div>
    <w:div w:id="911503431">
      <w:marLeft w:val="0"/>
      <w:marRight w:val="0"/>
      <w:marTop w:val="0"/>
      <w:marBottom w:val="0"/>
      <w:divBdr>
        <w:top w:val="none" w:sz="0" w:space="0" w:color="auto"/>
        <w:left w:val="none" w:sz="0" w:space="0" w:color="auto"/>
        <w:bottom w:val="none" w:sz="0" w:space="0" w:color="auto"/>
        <w:right w:val="none" w:sz="0" w:space="0" w:color="auto"/>
      </w:divBdr>
      <w:divsChild>
        <w:div w:id="911503511">
          <w:marLeft w:val="120"/>
          <w:marRight w:val="120"/>
          <w:marTop w:val="45"/>
          <w:marBottom w:val="0"/>
          <w:divBdr>
            <w:top w:val="none" w:sz="0" w:space="0" w:color="auto"/>
            <w:left w:val="none" w:sz="0" w:space="0" w:color="auto"/>
            <w:bottom w:val="none" w:sz="0" w:space="0" w:color="auto"/>
            <w:right w:val="none" w:sz="0" w:space="0" w:color="auto"/>
          </w:divBdr>
          <w:divsChild>
            <w:div w:id="9115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32">
      <w:marLeft w:val="0"/>
      <w:marRight w:val="0"/>
      <w:marTop w:val="0"/>
      <w:marBottom w:val="0"/>
      <w:divBdr>
        <w:top w:val="none" w:sz="0" w:space="0" w:color="auto"/>
        <w:left w:val="none" w:sz="0" w:space="0" w:color="auto"/>
        <w:bottom w:val="none" w:sz="0" w:space="0" w:color="auto"/>
        <w:right w:val="none" w:sz="0" w:space="0" w:color="auto"/>
      </w:divBdr>
      <w:divsChild>
        <w:div w:id="911503469">
          <w:marLeft w:val="120"/>
          <w:marRight w:val="120"/>
          <w:marTop w:val="45"/>
          <w:marBottom w:val="0"/>
          <w:divBdr>
            <w:top w:val="none" w:sz="0" w:space="0" w:color="auto"/>
            <w:left w:val="none" w:sz="0" w:space="0" w:color="auto"/>
            <w:bottom w:val="none" w:sz="0" w:space="0" w:color="auto"/>
            <w:right w:val="none" w:sz="0" w:space="0" w:color="auto"/>
          </w:divBdr>
          <w:divsChild>
            <w:div w:id="9115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33">
      <w:marLeft w:val="0"/>
      <w:marRight w:val="0"/>
      <w:marTop w:val="0"/>
      <w:marBottom w:val="0"/>
      <w:divBdr>
        <w:top w:val="none" w:sz="0" w:space="0" w:color="auto"/>
        <w:left w:val="none" w:sz="0" w:space="0" w:color="auto"/>
        <w:bottom w:val="none" w:sz="0" w:space="0" w:color="auto"/>
        <w:right w:val="none" w:sz="0" w:space="0" w:color="auto"/>
      </w:divBdr>
      <w:divsChild>
        <w:div w:id="911503418">
          <w:marLeft w:val="120"/>
          <w:marRight w:val="120"/>
          <w:marTop w:val="45"/>
          <w:marBottom w:val="0"/>
          <w:divBdr>
            <w:top w:val="none" w:sz="0" w:space="0" w:color="auto"/>
            <w:left w:val="none" w:sz="0" w:space="0" w:color="auto"/>
            <w:bottom w:val="none" w:sz="0" w:space="0" w:color="auto"/>
            <w:right w:val="none" w:sz="0" w:space="0" w:color="auto"/>
          </w:divBdr>
          <w:divsChild>
            <w:div w:id="9115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43">
      <w:marLeft w:val="0"/>
      <w:marRight w:val="0"/>
      <w:marTop w:val="0"/>
      <w:marBottom w:val="0"/>
      <w:divBdr>
        <w:top w:val="none" w:sz="0" w:space="0" w:color="auto"/>
        <w:left w:val="none" w:sz="0" w:space="0" w:color="auto"/>
        <w:bottom w:val="none" w:sz="0" w:space="0" w:color="auto"/>
        <w:right w:val="none" w:sz="0" w:space="0" w:color="auto"/>
      </w:divBdr>
      <w:divsChild>
        <w:div w:id="911503489">
          <w:marLeft w:val="120"/>
          <w:marRight w:val="120"/>
          <w:marTop w:val="45"/>
          <w:marBottom w:val="0"/>
          <w:divBdr>
            <w:top w:val="none" w:sz="0" w:space="0" w:color="auto"/>
            <w:left w:val="none" w:sz="0" w:space="0" w:color="auto"/>
            <w:bottom w:val="none" w:sz="0" w:space="0" w:color="auto"/>
            <w:right w:val="none" w:sz="0" w:space="0" w:color="auto"/>
          </w:divBdr>
          <w:divsChild>
            <w:div w:id="911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48">
      <w:marLeft w:val="0"/>
      <w:marRight w:val="0"/>
      <w:marTop w:val="0"/>
      <w:marBottom w:val="0"/>
      <w:divBdr>
        <w:top w:val="none" w:sz="0" w:space="0" w:color="auto"/>
        <w:left w:val="none" w:sz="0" w:space="0" w:color="auto"/>
        <w:bottom w:val="none" w:sz="0" w:space="0" w:color="auto"/>
        <w:right w:val="none" w:sz="0" w:space="0" w:color="auto"/>
      </w:divBdr>
    </w:div>
    <w:div w:id="911503472">
      <w:marLeft w:val="0"/>
      <w:marRight w:val="0"/>
      <w:marTop w:val="0"/>
      <w:marBottom w:val="0"/>
      <w:divBdr>
        <w:top w:val="none" w:sz="0" w:space="0" w:color="auto"/>
        <w:left w:val="none" w:sz="0" w:space="0" w:color="auto"/>
        <w:bottom w:val="none" w:sz="0" w:space="0" w:color="auto"/>
        <w:right w:val="none" w:sz="0" w:space="0" w:color="auto"/>
      </w:divBdr>
      <w:divsChild>
        <w:div w:id="911503510">
          <w:marLeft w:val="120"/>
          <w:marRight w:val="120"/>
          <w:marTop w:val="45"/>
          <w:marBottom w:val="0"/>
          <w:divBdr>
            <w:top w:val="none" w:sz="0" w:space="0" w:color="auto"/>
            <w:left w:val="none" w:sz="0" w:space="0" w:color="auto"/>
            <w:bottom w:val="none" w:sz="0" w:space="0" w:color="auto"/>
            <w:right w:val="none" w:sz="0" w:space="0" w:color="auto"/>
          </w:divBdr>
          <w:divsChild>
            <w:div w:id="9115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73">
      <w:marLeft w:val="0"/>
      <w:marRight w:val="0"/>
      <w:marTop w:val="0"/>
      <w:marBottom w:val="0"/>
      <w:divBdr>
        <w:top w:val="none" w:sz="0" w:space="0" w:color="auto"/>
        <w:left w:val="none" w:sz="0" w:space="0" w:color="auto"/>
        <w:bottom w:val="none" w:sz="0" w:space="0" w:color="auto"/>
        <w:right w:val="none" w:sz="0" w:space="0" w:color="auto"/>
      </w:divBdr>
      <w:divsChild>
        <w:div w:id="911503471">
          <w:marLeft w:val="0"/>
          <w:marRight w:val="0"/>
          <w:marTop w:val="0"/>
          <w:marBottom w:val="0"/>
          <w:divBdr>
            <w:top w:val="none" w:sz="0" w:space="0" w:color="auto"/>
            <w:left w:val="none" w:sz="0" w:space="0" w:color="auto"/>
            <w:bottom w:val="none" w:sz="0" w:space="0" w:color="auto"/>
            <w:right w:val="none" w:sz="0" w:space="0" w:color="auto"/>
          </w:divBdr>
          <w:divsChild>
            <w:div w:id="911503419">
              <w:marLeft w:val="0"/>
              <w:marRight w:val="0"/>
              <w:marTop w:val="0"/>
              <w:marBottom w:val="0"/>
              <w:divBdr>
                <w:top w:val="none" w:sz="0" w:space="0" w:color="auto"/>
                <w:left w:val="none" w:sz="0" w:space="0" w:color="auto"/>
                <w:bottom w:val="none" w:sz="0" w:space="0" w:color="auto"/>
                <w:right w:val="none" w:sz="0" w:space="0" w:color="auto"/>
              </w:divBdr>
            </w:div>
            <w:div w:id="911503421">
              <w:marLeft w:val="0"/>
              <w:marRight w:val="0"/>
              <w:marTop w:val="0"/>
              <w:marBottom w:val="0"/>
              <w:divBdr>
                <w:top w:val="none" w:sz="0" w:space="0" w:color="auto"/>
                <w:left w:val="none" w:sz="0" w:space="0" w:color="auto"/>
                <w:bottom w:val="none" w:sz="0" w:space="0" w:color="auto"/>
                <w:right w:val="none" w:sz="0" w:space="0" w:color="auto"/>
              </w:divBdr>
            </w:div>
            <w:div w:id="911503425">
              <w:marLeft w:val="0"/>
              <w:marRight w:val="0"/>
              <w:marTop w:val="0"/>
              <w:marBottom w:val="0"/>
              <w:divBdr>
                <w:top w:val="none" w:sz="0" w:space="0" w:color="auto"/>
                <w:left w:val="none" w:sz="0" w:space="0" w:color="auto"/>
                <w:bottom w:val="none" w:sz="0" w:space="0" w:color="auto"/>
                <w:right w:val="none" w:sz="0" w:space="0" w:color="auto"/>
              </w:divBdr>
            </w:div>
            <w:div w:id="911503428">
              <w:marLeft w:val="0"/>
              <w:marRight w:val="0"/>
              <w:marTop w:val="0"/>
              <w:marBottom w:val="0"/>
              <w:divBdr>
                <w:top w:val="none" w:sz="0" w:space="0" w:color="auto"/>
                <w:left w:val="none" w:sz="0" w:space="0" w:color="auto"/>
                <w:bottom w:val="none" w:sz="0" w:space="0" w:color="auto"/>
                <w:right w:val="none" w:sz="0" w:space="0" w:color="auto"/>
              </w:divBdr>
            </w:div>
            <w:div w:id="911503429">
              <w:marLeft w:val="0"/>
              <w:marRight w:val="0"/>
              <w:marTop w:val="0"/>
              <w:marBottom w:val="0"/>
              <w:divBdr>
                <w:top w:val="none" w:sz="0" w:space="0" w:color="auto"/>
                <w:left w:val="none" w:sz="0" w:space="0" w:color="auto"/>
                <w:bottom w:val="none" w:sz="0" w:space="0" w:color="auto"/>
                <w:right w:val="none" w:sz="0" w:space="0" w:color="auto"/>
              </w:divBdr>
            </w:div>
            <w:div w:id="911503430">
              <w:marLeft w:val="0"/>
              <w:marRight w:val="0"/>
              <w:marTop w:val="0"/>
              <w:marBottom w:val="0"/>
              <w:divBdr>
                <w:top w:val="none" w:sz="0" w:space="0" w:color="auto"/>
                <w:left w:val="none" w:sz="0" w:space="0" w:color="auto"/>
                <w:bottom w:val="none" w:sz="0" w:space="0" w:color="auto"/>
                <w:right w:val="none" w:sz="0" w:space="0" w:color="auto"/>
              </w:divBdr>
            </w:div>
            <w:div w:id="911503436">
              <w:marLeft w:val="0"/>
              <w:marRight w:val="0"/>
              <w:marTop w:val="0"/>
              <w:marBottom w:val="0"/>
              <w:divBdr>
                <w:top w:val="none" w:sz="0" w:space="0" w:color="auto"/>
                <w:left w:val="none" w:sz="0" w:space="0" w:color="auto"/>
                <w:bottom w:val="none" w:sz="0" w:space="0" w:color="auto"/>
                <w:right w:val="none" w:sz="0" w:space="0" w:color="auto"/>
              </w:divBdr>
            </w:div>
            <w:div w:id="911503437">
              <w:marLeft w:val="0"/>
              <w:marRight w:val="0"/>
              <w:marTop w:val="0"/>
              <w:marBottom w:val="0"/>
              <w:divBdr>
                <w:top w:val="none" w:sz="0" w:space="0" w:color="auto"/>
                <w:left w:val="none" w:sz="0" w:space="0" w:color="auto"/>
                <w:bottom w:val="none" w:sz="0" w:space="0" w:color="auto"/>
                <w:right w:val="none" w:sz="0" w:space="0" w:color="auto"/>
              </w:divBdr>
            </w:div>
            <w:div w:id="911503442">
              <w:marLeft w:val="0"/>
              <w:marRight w:val="0"/>
              <w:marTop w:val="0"/>
              <w:marBottom w:val="0"/>
              <w:divBdr>
                <w:top w:val="none" w:sz="0" w:space="0" w:color="auto"/>
                <w:left w:val="none" w:sz="0" w:space="0" w:color="auto"/>
                <w:bottom w:val="none" w:sz="0" w:space="0" w:color="auto"/>
                <w:right w:val="none" w:sz="0" w:space="0" w:color="auto"/>
              </w:divBdr>
            </w:div>
            <w:div w:id="911503444">
              <w:marLeft w:val="0"/>
              <w:marRight w:val="0"/>
              <w:marTop w:val="0"/>
              <w:marBottom w:val="0"/>
              <w:divBdr>
                <w:top w:val="none" w:sz="0" w:space="0" w:color="auto"/>
                <w:left w:val="none" w:sz="0" w:space="0" w:color="auto"/>
                <w:bottom w:val="none" w:sz="0" w:space="0" w:color="auto"/>
                <w:right w:val="none" w:sz="0" w:space="0" w:color="auto"/>
              </w:divBdr>
            </w:div>
            <w:div w:id="911503445">
              <w:marLeft w:val="0"/>
              <w:marRight w:val="0"/>
              <w:marTop w:val="0"/>
              <w:marBottom w:val="0"/>
              <w:divBdr>
                <w:top w:val="none" w:sz="0" w:space="0" w:color="auto"/>
                <w:left w:val="none" w:sz="0" w:space="0" w:color="auto"/>
                <w:bottom w:val="none" w:sz="0" w:space="0" w:color="auto"/>
                <w:right w:val="none" w:sz="0" w:space="0" w:color="auto"/>
              </w:divBdr>
            </w:div>
            <w:div w:id="911503447">
              <w:marLeft w:val="0"/>
              <w:marRight w:val="0"/>
              <w:marTop w:val="0"/>
              <w:marBottom w:val="0"/>
              <w:divBdr>
                <w:top w:val="none" w:sz="0" w:space="0" w:color="auto"/>
                <w:left w:val="none" w:sz="0" w:space="0" w:color="auto"/>
                <w:bottom w:val="none" w:sz="0" w:space="0" w:color="auto"/>
                <w:right w:val="none" w:sz="0" w:space="0" w:color="auto"/>
              </w:divBdr>
            </w:div>
            <w:div w:id="911503449">
              <w:marLeft w:val="0"/>
              <w:marRight w:val="0"/>
              <w:marTop w:val="0"/>
              <w:marBottom w:val="0"/>
              <w:divBdr>
                <w:top w:val="none" w:sz="0" w:space="0" w:color="auto"/>
                <w:left w:val="none" w:sz="0" w:space="0" w:color="auto"/>
                <w:bottom w:val="none" w:sz="0" w:space="0" w:color="auto"/>
                <w:right w:val="none" w:sz="0" w:space="0" w:color="auto"/>
              </w:divBdr>
            </w:div>
            <w:div w:id="911503452">
              <w:marLeft w:val="0"/>
              <w:marRight w:val="0"/>
              <w:marTop w:val="0"/>
              <w:marBottom w:val="0"/>
              <w:divBdr>
                <w:top w:val="none" w:sz="0" w:space="0" w:color="auto"/>
                <w:left w:val="none" w:sz="0" w:space="0" w:color="auto"/>
                <w:bottom w:val="none" w:sz="0" w:space="0" w:color="auto"/>
                <w:right w:val="none" w:sz="0" w:space="0" w:color="auto"/>
              </w:divBdr>
            </w:div>
            <w:div w:id="911503454">
              <w:marLeft w:val="0"/>
              <w:marRight w:val="0"/>
              <w:marTop w:val="0"/>
              <w:marBottom w:val="0"/>
              <w:divBdr>
                <w:top w:val="none" w:sz="0" w:space="0" w:color="auto"/>
                <w:left w:val="none" w:sz="0" w:space="0" w:color="auto"/>
                <w:bottom w:val="none" w:sz="0" w:space="0" w:color="auto"/>
                <w:right w:val="none" w:sz="0" w:space="0" w:color="auto"/>
              </w:divBdr>
            </w:div>
            <w:div w:id="911503458">
              <w:marLeft w:val="0"/>
              <w:marRight w:val="0"/>
              <w:marTop w:val="0"/>
              <w:marBottom w:val="0"/>
              <w:divBdr>
                <w:top w:val="none" w:sz="0" w:space="0" w:color="auto"/>
                <w:left w:val="none" w:sz="0" w:space="0" w:color="auto"/>
                <w:bottom w:val="none" w:sz="0" w:space="0" w:color="auto"/>
                <w:right w:val="none" w:sz="0" w:space="0" w:color="auto"/>
              </w:divBdr>
            </w:div>
            <w:div w:id="911503459">
              <w:marLeft w:val="0"/>
              <w:marRight w:val="0"/>
              <w:marTop w:val="0"/>
              <w:marBottom w:val="0"/>
              <w:divBdr>
                <w:top w:val="none" w:sz="0" w:space="0" w:color="auto"/>
                <w:left w:val="none" w:sz="0" w:space="0" w:color="auto"/>
                <w:bottom w:val="none" w:sz="0" w:space="0" w:color="auto"/>
                <w:right w:val="none" w:sz="0" w:space="0" w:color="auto"/>
              </w:divBdr>
            </w:div>
            <w:div w:id="911503460">
              <w:marLeft w:val="0"/>
              <w:marRight w:val="0"/>
              <w:marTop w:val="0"/>
              <w:marBottom w:val="0"/>
              <w:divBdr>
                <w:top w:val="none" w:sz="0" w:space="0" w:color="auto"/>
                <w:left w:val="none" w:sz="0" w:space="0" w:color="auto"/>
                <w:bottom w:val="none" w:sz="0" w:space="0" w:color="auto"/>
                <w:right w:val="none" w:sz="0" w:space="0" w:color="auto"/>
              </w:divBdr>
            </w:div>
            <w:div w:id="911503461">
              <w:marLeft w:val="0"/>
              <w:marRight w:val="0"/>
              <w:marTop w:val="0"/>
              <w:marBottom w:val="0"/>
              <w:divBdr>
                <w:top w:val="none" w:sz="0" w:space="0" w:color="auto"/>
                <w:left w:val="none" w:sz="0" w:space="0" w:color="auto"/>
                <w:bottom w:val="none" w:sz="0" w:space="0" w:color="auto"/>
                <w:right w:val="none" w:sz="0" w:space="0" w:color="auto"/>
              </w:divBdr>
            </w:div>
            <w:div w:id="911503462">
              <w:marLeft w:val="0"/>
              <w:marRight w:val="0"/>
              <w:marTop w:val="0"/>
              <w:marBottom w:val="0"/>
              <w:divBdr>
                <w:top w:val="none" w:sz="0" w:space="0" w:color="auto"/>
                <w:left w:val="none" w:sz="0" w:space="0" w:color="auto"/>
                <w:bottom w:val="none" w:sz="0" w:space="0" w:color="auto"/>
                <w:right w:val="none" w:sz="0" w:space="0" w:color="auto"/>
              </w:divBdr>
            </w:div>
            <w:div w:id="911503463">
              <w:marLeft w:val="0"/>
              <w:marRight w:val="0"/>
              <w:marTop w:val="0"/>
              <w:marBottom w:val="0"/>
              <w:divBdr>
                <w:top w:val="none" w:sz="0" w:space="0" w:color="auto"/>
                <w:left w:val="none" w:sz="0" w:space="0" w:color="auto"/>
                <w:bottom w:val="none" w:sz="0" w:space="0" w:color="auto"/>
                <w:right w:val="none" w:sz="0" w:space="0" w:color="auto"/>
              </w:divBdr>
            </w:div>
            <w:div w:id="911503464">
              <w:marLeft w:val="0"/>
              <w:marRight w:val="0"/>
              <w:marTop w:val="0"/>
              <w:marBottom w:val="0"/>
              <w:divBdr>
                <w:top w:val="none" w:sz="0" w:space="0" w:color="auto"/>
                <w:left w:val="none" w:sz="0" w:space="0" w:color="auto"/>
                <w:bottom w:val="none" w:sz="0" w:space="0" w:color="auto"/>
                <w:right w:val="none" w:sz="0" w:space="0" w:color="auto"/>
              </w:divBdr>
            </w:div>
            <w:div w:id="911503465">
              <w:marLeft w:val="0"/>
              <w:marRight w:val="0"/>
              <w:marTop w:val="0"/>
              <w:marBottom w:val="0"/>
              <w:divBdr>
                <w:top w:val="none" w:sz="0" w:space="0" w:color="auto"/>
                <w:left w:val="none" w:sz="0" w:space="0" w:color="auto"/>
                <w:bottom w:val="none" w:sz="0" w:space="0" w:color="auto"/>
                <w:right w:val="none" w:sz="0" w:space="0" w:color="auto"/>
              </w:divBdr>
            </w:div>
            <w:div w:id="911503466">
              <w:marLeft w:val="0"/>
              <w:marRight w:val="0"/>
              <w:marTop w:val="0"/>
              <w:marBottom w:val="0"/>
              <w:divBdr>
                <w:top w:val="none" w:sz="0" w:space="0" w:color="auto"/>
                <w:left w:val="none" w:sz="0" w:space="0" w:color="auto"/>
                <w:bottom w:val="none" w:sz="0" w:space="0" w:color="auto"/>
                <w:right w:val="none" w:sz="0" w:space="0" w:color="auto"/>
              </w:divBdr>
            </w:div>
            <w:div w:id="911503467">
              <w:marLeft w:val="0"/>
              <w:marRight w:val="0"/>
              <w:marTop w:val="0"/>
              <w:marBottom w:val="0"/>
              <w:divBdr>
                <w:top w:val="none" w:sz="0" w:space="0" w:color="auto"/>
                <w:left w:val="none" w:sz="0" w:space="0" w:color="auto"/>
                <w:bottom w:val="none" w:sz="0" w:space="0" w:color="auto"/>
                <w:right w:val="none" w:sz="0" w:space="0" w:color="auto"/>
              </w:divBdr>
            </w:div>
            <w:div w:id="911503468">
              <w:marLeft w:val="0"/>
              <w:marRight w:val="0"/>
              <w:marTop w:val="0"/>
              <w:marBottom w:val="0"/>
              <w:divBdr>
                <w:top w:val="none" w:sz="0" w:space="0" w:color="auto"/>
                <w:left w:val="none" w:sz="0" w:space="0" w:color="auto"/>
                <w:bottom w:val="none" w:sz="0" w:space="0" w:color="auto"/>
                <w:right w:val="none" w:sz="0" w:space="0" w:color="auto"/>
              </w:divBdr>
            </w:div>
            <w:div w:id="911503470">
              <w:marLeft w:val="0"/>
              <w:marRight w:val="0"/>
              <w:marTop w:val="0"/>
              <w:marBottom w:val="0"/>
              <w:divBdr>
                <w:top w:val="none" w:sz="0" w:space="0" w:color="auto"/>
                <w:left w:val="none" w:sz="0" w:space="0" w:color="auto"/>
                <w:bottom w:val="none" w:sz="0" w:space="0" w:color="auto"/>
                <w:right w:val="none" w:sz="0" w:space="0" w:color="auto"/>
              </w:divBdr>
            </w:div>
            <w:div w:id="911503476">
              <w:marLeft w:val="0"/>
              <w:marRight w:val="0"/>
              <w:marTop w:val="0"/>
              <w:marBottom w:val="0"/>
              <w:divBdr>
                <w:top w:val="none" w:sz="0" w:space="0" w:color="auto"/>
                <w:left w:val="none" w:sz="0" w:space="0" w:color="auto"/>
                <w:bottom w:val="none" w:sz="0" w:space="0" w:color="auto"/>
                <w:right w:val="none" w:sz="0" w:space="0" w:color="auto"/>
              </w:divBdr>
            </w:div>
            <w:div w:id="911503478">
              <w:marLeft w:val="0"/>
              <w:marRight w:val="0"/>
              <w:marTop w:val="0"/>
              <w:marBottom w:val="0"/>
              <w:divBdr>
                <w:top w:val="none" w:sz="0" w:space="0" w:color="auto"/>
                <w:left w:val="none" w:sz="0" w:space="0" w:color="auto"/>
                <w:bottom w:val="none" w:sz="0" w:space="0" w:color="auto"/>
                <w:right w:val="none" w:sz="0" w:space="0" w:color="auto"/>
              </w:divBdr>
            </w:div>
            <w:div w:id="911503483">
              <w:marLeft w:val="0"/>
              <w:marRight w:val="0"/>
              <w:marTop w:val="0"/>
              <w:marBottom w:val="0"/>
              <w:divBdr>
                <w:top w:val="none" w:sz="0" w:space="0" w:color="auto"/>
                <w:left w:val="none" w:sz="0" w:space="0" w:color="auto"/>
                <w:bottom w:val="none" w:sz="0" w:space="0" w:color="auto"/>
                <w:right w:val="none" w:sz="0" w:space="0" w:color="auto"/>
              </w:divBdr>
            </w:div>
            <w:div w:id="911503485">
              <w:marLeft w:val="0"/>
              <w:marRight w:val="0"/>
              <w:marTop w:val="0"/>
              <w:marBottom w:val="0"/>
              <w:divBdr>
                <w:top w:val="none" w:sz="0" w:space="0" w:color="auto"/>
                <w:left w:val="none" w:sz="0" w:space="0" w:color="auto"/>
                <w:bottom w:val="none" w:sz="0" w:space="0" w:color="auto"/>
                <w:right w:val="none" w:sz="0" w:space="0" w:color="auto"/>
              </w:divBdr>
            </w:div>
            <w:div w:id="911503486">
              <w:marLeft w:val="0"/>
              <w:marRight w:val="0"/>
              <w:marTop w:val="0"/>
              <w:marBottom w:val="0"/>
              <w:divBdr>
                <w:top w:val="none" w:sz="0" w:space="0" w:color="auto"/>
                <w:left w:val="none" w:sz="0" w:space="0" w:color="auto"/>
                <w:bottom w:val="none" w:sz="0" w:space="0" w:color="auto"/>
                <w:right w:val="none" w:sz="0" w:space="0" w:color="auto"/>
              </w:divBdr>
            </w:div>
            <w:div w:id="911503487">
              <w:marLeft w:val="0"/>
              <w:marRight w:val="0"/>
              <w:marTop w:val="0"/>
              <w:marBottom w:val="0"/>
              <w:divBdr>
                <w:top w:val="none" w:sz="0" w:space="0" w:color="auto"/>
                <w:left w:val="none" w:sz="0" w:space="0" w:color="auto"/>
                <w:bottom w:val="none" w:sz="0" w:space="0" w:color="auto"/>
                <w:right w:val="none" w:sz="0" w:space="0" w:color="auto"/>
              </w:divBdr>
            </w:div>
            <w:div w:id="911503490">
              <w:marLeft w:val="0"/>
              <w:marRight w:val="0"/>
              <w:marTop w:val="0"/>
              <w:marBottom w:val="0"/>
              <w:divBdr>
                <w:top w:val="none" w:sz="0" w:space="0" w:color="auto"/>
                <w:left w:val="none" w:sz="0" w:space="0" w:color="auto"/>
                <w:bottom w:val="none" w:sz="0" w:space="0" w:color="auto"/>
                <w:right w:val="none" w:sz="0" w:space="0" w:color="auto"/>
              </w:divBdr>
            </w:div>
            <w:div w:id="911503494">
              <w:marLeft w:val="0"/>
              <w:marRight w:val="0"/>
              <w:marTop w:val="0"/>
              <w:marBottom w:val="0"/>
              <w:divBdr>
                <w:top w:val="none" w:sz="0" w:space="0" w:color="auto"/>
                <w:left w:val="none" w:sz="0" w:space="0" w:color="auto"/>
                <w:bottom w:val="none" w:sz="0" w:space="0" w:color="auto"/>
                <w:right w:val="none" w:sz="0" w:space="0" w:color="auto"/>
              </w:divBdr>
            </w:div>
            <w:div w:id="911503495">
              <w:marLeft w:val="0"/>
              <w:marRight w:val="0"/>
              <w:marTop w:val="0"/>
              <w:marBottom w:val="0"/>
              <w:divBdr>
                <w:top w:val="none" w:sz="0" w:space="0" w:color="auto"/>
                <w:left w:val="none" w:sz="0" w:space="0" w:color="auto"/>
                <w:bottom w:val="none" w:sz="0" w:space="0" w:color="auto"/>
                <w:right w:val="none" w:sz="0" w:space="0" w:color="auto"/>
              </w:divBdr>
            </w:div>
            <w:div w:id="911503497">
              <w:marLeft w:val="0"/>
              <w:marRight w:val="0"/>
              <w:marTop w:val="0"/>
              <w:marBottom w:val="0"/>
              <w:divBdr>
                <w:top w:val="none" w:sz="0" w:space="0" w:color="auto"/>
                <w:left w:val="none" w:sz="0" w:space="0" w:color="auto"/>
                <w:bottom w:val="none" w:sz="0" w:space="0" w:color="auto"/>
                <w:right w:val="none" w:sz="0" w:space="0" w:color="auto"/>
              </w:divBdr>
            </w:div>
            <w:div w:id="911503498">
              <w:marLeft w:val="0"/>
              <w:marRight w:val="0"/>
              <w:marTop w:val="0"/>
              <w:marBottom w:val="0"/>
              <w:divBdr>
                <w:top w:val="none" w:sz="0" w:space="0" w:color="auto"/>
                <w:left w:val="none" w:sz="0" w:space="0" w:color="auto"/>
                <w:bottom w:val="none" w:sz="0" w:space="0" w:color="auto"/>
                <w:right w:val="none" w:sz="0" w:space="0" w:color="auto"/>
              </w:divBdr>
            </w:div>
            <w:div w:id="911503500">
              <w:marLeft w:val="0"/>
              <w:marRight w:val="0"/>
              <w:marTop w:val="0"/>
              <w:marBottom w:val="0"/>
              <w:divBdr>
                <w:top w:val="none" w:sz="0" w:space="0" w:color="auto"/>
                <w:left w:val="none" w:sz="0" w:space="0" w:color="auto"/>
                <w:bottom w:val="none" w:sz="0" w:space="0" w:color="auto"/>
                <w:right w:val="none" w:sz="0" w:space="0" w:color="auto"/>
              </w:divBdr>
            </w:div>
            <w:div w:id="911503501">
              <w:marLeft w:val="0"/>
              <w:marRight w:val="0"/>
              <w:marTop w:val="0"/>
              <w:marBottom w:val="0"/>
              <w:divBdr>
                <w:top w:val="none" w:sz="0" w:space="0" w:color="auto"/>
                <w:left w:val="none" w:sz="0" w:space="0" w:color="auto"/>
                <w:bottom w:val="none" w:sz="0" w:space="0" w:color="auto"/>
                <w:right w:val="none" w:sz="0" w:space="0" w:color="auto"/>
              </w:divBdr>
            </w:div>
            <w:div w:id="911503502">
              <w:marLeft w:val="0"/>
              <w:marRight w:val="0"/>
              <w:marTop w:val="0"/>
              <w:marBottom w:val="0"/>
              <w:divBdr>
                <w:top w:val="none" w:sz="0" w:space="0" w:color="auto"/>
                <w:left w:val="none" w:sz="0" w:space="0" w:color="auto"/>
                <w:bottom w:val="none" w:sz="0" w:space="0" w:color="auto"/>
                <w:right w:val="none" w:sz="0" w:space="0" w:color="auto"/>
              </w:divBdr>
            </w:div>
            <w:div w:id="911503504">
              <w:marLeft w:val="0"/>
              <w:marRight w:val="0"/>
              <w:marTop w:val="0"/>
              <w:marBottom w:val="0"/>
              <w:divBdr>
                <w:top w:val="none" w:sz="0" w:space="0" w:color="auto"/>
                <w:left w:val="none" w:sz="0" w:space="0" w:color="auto"/>
                <w:bottom w:val="none" w:sz="0" w:space="0" w:color="auto"/>
                <w:right w:val="none" w:sz="0" w:space="0" w:color="auto"/>
              </w:divBdr>
            </w:div>
            <w:div w:id="911503505">
              <w:marLeft w:val="0"/>
              <w:marRight w:val="0"/>
              <w:marTop w:val="0"/>
              <w:marBottom w:val="0"/>
              <w:divBdr>
                <w:top w:val="none" w:sz="0" w:space="0" w:color="auto"/>
                <w:left w:val="none" w:sz="0" w:space="0" w:color="auto"/>
                <w:bottom w:val="none" w:sz="0" w:space="0" w:color="auto"/>
                <w:right w:val="none" w:sz="0" w:space="0" w:color="auto"/>
              </w:divBdr>
            </w:div>
            <w:div w:id="9115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74">
      <w:marLeft w:val="0"/>
      <w:marRight w:val="0"/>
      <w:marTop w:val="0"/>
      <w:marBottom w:val="0"/>
      <w:divBdr>
        <w:top w:val="none" w:sz="0" w:space="0" w:color="auto"/>
        <w:left w:val="none" w:sz="0" w:space="0" w:color="auto"/>
        <w:bottom w:val="none" w:sz="0" w:space="0" w:color="auto"/>
        <w:right w:val="none" w:sz="0" w:space="0" w:color="auto"/>
      </w:divBdr>
      <w:divsChild>
        <w:div w:id="911503427">
          <w:marLeft w:val="120"/>
          <w:marRight w:val="120"/>
          <w:marTop w:val="45"/>
          <w:marBottom w:val="0"/>
          <w:divBdr>
            <w:top w:val="none" w:sz="0" w:space="0" w:color="auto"/>
            <w:left w:val="none" w:sz="0" w:space="0" w:color="auto"/>
            <w:bottom w:val="none" w:sz="0" w:space="0" w:color="auto"/>
            <w:right w:val="none" w:sz="0" w:space="0" w:color="auto"/>
          </w:divBdr>
          <w:divsChild>
            <w:div w:id="9115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77">
      <w:marLeft w:val="0"/>
      <w:marRight w:val="0"/>
      <w:marTop w:val="0"/>
      <w:marBottom w:val="0"/>
      <w:divBdr>
        <w:top w:val="none" w:sz="0" w:space="0" w:color="auto"/>
        <w:left w:val="none" w:sz="0" w:space="0" w:color="auto"/>
        <w:bottom w:val="none" w:sz="0" w:space="0" w:color="auto"/>
        <w:right w:val="none" w:sz="0" w:space="0" w:color="auto"/>
      </w:divBdr>
      <w:divsChild>
        <w:div w:id="911503440">
          <w:marLeft w:val="120"/>
          <w:marRight w:val="120"/>
          <w:marTop w:val="45"/>
          <w:marBottom w:val="0"/>
          <w:divBdr>
            <w:top w:val="none" w:sz="0" w:space="0" w:color="auto"/>
            <w:left w:val="none" w:sz="0" w:space="0" w:color="auto"/>
            <w:bottom w:val="none" w:sz="0" w:space="0" w:color="auto"/>
            <w:right w:val="none" w:sz="0" w:space="0" w:color="auto"/>
          </w:divBdr>
          <w:divsChild>
            <w:div w:id="9115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79">
      <w:marLeft w:val="0"/>
      <w:marRight w:val="0"/>
      <w:marTop w:val="0"/>
      <w:marBottom w:val="0"/>
      <w:divBdr>
        <w:top w:val="none" w:sz="0" w:space="0" w:color="auto"/>
        <w:left w:val="none" w:sz="0" w:space="0" w:color="auto"/>
        <w:bottom w:val="none" w:sz="0" w:space="0" w:color="auto"/>
        <w:right w:val="none" w:sz="0" w:space="0" w:color="auto"/>
      </w:divBdr>
      <w:divsChild>
        <w:div w:id="911503499">
          <w:marLeft w:val="120"/>
          <w:marRight w:val="120"/>
          <w:marTop w:val="45"/>
          <w:marBottom w:val="0"/>
          <w:divBdr>
            <w:top w:val="none" w:sz="0" w:space="0" w:color="auto"/>
            <w:left w:val="none" w:sz="0" w:space="0" w:color="auto"/>
            <w:bottom w:val="none" w:sz="0" w:space="0" w:color="auto"/>
            <w:right w:val="none" w:sz="0" w:space="0" w:color="auto"/>
          </w:divBdr>
          <w:divsChild>
            <w:div w:id="9115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80">
      <w:marLeft w:val="0"/>
      <w:marRight w:val="0"/>
      <w:marTop w:val="0"/>
      <w:marBottom w:val="0"/>
      <w:divBdr>
        <w:top w:val="none" w:sz="0" w:space="0" w:color="auto"/>
        <w:left w:val="none" w:sz="0" w:space="0" w:color="auto"/>
        <w:bottom w:val="none" w:sz="0" w:space="0" w:color="auto"/>
        <w:right w:val="none" w:sz="0" w:space="0" w:color="auto"/>
      </w:divBdr>
    </w:div>
    <w:div w:id="911503482">
      <w:marLeft w:val="0"/>
      <w:marRight w:val="0"/>
      <w:marTop w:val="0"/>
      <w:marBottom w:val="0"/>
      <w:divBdr>
        <w:top w:val="none" w:sz="0" w:space="0" w:color="auto"/>
        <w:left w:val="none" w:sz="0" w:space="0" w:color="auto"/>
        <w:bottom w:val="none" w:sz="0" w:space="0" w:color="auto"/>
        <w:right w:val="none" w:sz="0" w:space="0" w:color="auto"/>
      </w:divBdr>
      <w:divsChild>
        <w:div w:id="911503503">
          <w:marLeft w:val="0"/>
          <w:marRight w:val="0"/>
          <w:marTop w:val="0"/>
          <w:marBottom w:val="0"/>
          <w:divBdr>
            <w:top w:val="none" w:sz="0" w:space="0" w:color="auto"/>
            <w:left w:val="none" w:sz="0" w:space="0" w:color="auto"/>
            <w:bottom w:val="none" w:sz="0" w:space="0" w:color="auto"/>
            <w:right w:val="none" w:sz="0" w:space="0" w:color="auto"/>
          </w:divBdr>
          <w:divsChild>
            <w:div w:id="911503439">
              <w:marLeft w:val="0"/>
              <w:marRight w:val="0"/>
              <w:marTop w:val="0"/>
              <w:marBottom w:val="0"/>
              <w:divBdr>
                <w:top w:val="none" w:sz="0" w:space="0" w:color="auto"/>
                <w:left w:val="none" w:sz="0" w:space="0" w:color="auto"/>
                <w:bottom w:val="none" w:sz="0" w:space="0" w:color="auto"/>
                <w:right w:val="none" w:sz="0" w:space="0" w:color="auto"/>
              </w:divBdr>
              <w:divsChild>
                <w:div w:id="911503506">
                  <w:marLeft w:val="0"/>
                  <w:marRight w:val="0"/>
                  <w:marTop w:val="0"/>
                  <w:marBottom w:val="0"/>
                  <w:divBdr>
                    <w:top w:val="none" w:sz="0" w:space="0" w:color="auto"/>
                    <w:left w:val="none" w:sz="0" w:space="0" w:color="auto"/>
                    <w:bottom w:val="none" w:sz="0" w:space="0" w:color="auto"/>
                    <w:right w:val="none" w:sz="0" w:space="0" w:color="auto"/>
                  </w:divBdr>
                  <w:divsChild>
                    <w:div w:id="911503426">
                      <w:marLeft w:val="0"/>
                      <w:marRight w:val="0"/>
                      <w:marTop w:val="0"/>
                      <w:marBottom w:val="0"/>
                      <w:divBdr>
                        <w:top w:val="none" w:sz="0" w:space="0" w:color="auto"/>
                        <w:left w:val="none" w:sz="0" w:space="0" w:color="auto"/>
                        <w:bottom w:val="none" w:sz="0" w:space="0" w:color="auto"/>
                        <w:right w:val="none" w:sz="0" w:space="0" w:color="auto"/>
                      </w:divBdr>
                      <w:divsChild>
                        <w:div w:id="911503455">
                          <w:marLeft w:val="0"/>
                          <w:marRight w:val="0"/>
                          <w:marTop w:val="240"/>
                          <w:marBottom w:val="0"/>
                          <w:divBdr>
                            <w:top w:val="none" w:sz="0" w:space="0" w:color="auto"/>
                            <w:left w:val="none" w:sz="0" w:space="0" w:color="auto"/>
                            <w:bottom w:val="none" w:sz="0" w:space="0" w:color="auto"/>
                            <w:right w:val="none" w:sz="0" w:space="0" w:color="auto"/>
                          </w:divBdr>
                          <w:divsChild>
                            <w:div w:id="911503446">
                              <w:marLeft w:val="120"/>
                              <w:marRight w:val="0"/>
                              <w:marTop w:val="0"/>
                              <w:marBottom w:val="120"/>
                              <w:divBdr>
                                <w:top w:val="none" w:sz="0" w:space="0" w:color="auto"/>
                                <w:left w:val="none" w:sz="0" w:space="0" w:color="auto"/>
                                <w:bottom w:val="none" w:sz="0" w:space="0" w:color="auto"/>
                                <w:right w:val="none" w:sz="0" w:space="0" w:color="auto"/>
                              </w:divBdr>
                            </w:div>
                            <w:div w:id="911503457">
                              <w:marLeft w:val="120"/>
                              <w:marRight w:val="0"/>
                              <w:marTop w:val="0"/>
                              <w:marBottom w:val="240"/>
                              <w:divBdr>
                                <w:top w:val="none" w:sz="0" w:space="0" w:color="auto"/>
                                <w:left w:val="none" w:sz="0" w:space="0" w:color="auto"/>
                                <w:bottom w:val="none" w:sz="0" w:space="0" w:color="auto"/>
                                <w:right w:val="none" w:sz="0" w:space="0" w:color="auto"/>
                              </w:divBdr>
                            </w:div>
                            <w:div w:id="9115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03491">
      <w:marLeft w:val="0"/>
      <w:marRight w:val="0"/>
      <w:marTop w:val="0"/>
      <w:marBottom w:val="0"/>
      <w:divBdr>
        <w:top w:val="none" w:sz="0" w:space="0" w:color="auto"/>
        <w:left w:val="none" w:sz="0" w:space="0" w:color="auto"/>
        <w:bottom w:val="none" w:sz="0" w:space="0" w:color="auto"/>
        <w:right w:val="none" w:sz="0" w:space="0" w:color="auto"/>
      </w:divBdr>
      <w:divsChild>
        <w:div w:id="911503420">
          <w:marLeft w:val="120"/>
          <w:marRight w:val="120"/>
          <w:marTop w:val="45"/>
          <w:marBottom w:val="0"/>
          <w:divBdr>
            <w:top w:val="none" w:sz="0" w:space="0" w:color="auto"/>
            <w:left w:val="none" w:sz="0" w:space="0" w:color="auto"/>
            <w:bottom w:val="none" w:sz="0" w:space="0" w:color="auto"/>
            <w:right w:val="none" w:sz="0" w:space="0" w:color="auto"/>
          </w:divBdr>
          <w:divsChild>
            <w:div w:id="9115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492">
      <w:marLeft w:val="0"/>
      <w:marRight w:val="0"/>
      <w:marTop w:val="0"/>
      <w:marBottom w:val="0"/>
      <w:divBdr>
        <w:top w:val="none" w:sz="0" w:space="0" w:color="auto"/>
        <w:left w:val="none" w:sz="0" w:space="0" w:color="auto"/>
        <w:bottom w:val="none" w:sz="0" w:space="0" w:color="auto"/>
        <w:right w:val="none" w:sz="0" w:space="0" w:color="auto"/>
      </w:divBdr>
    </w:div>
    <w:div w:id="911503496">
      <w:marLeft w:val="0"/>
      <w:marRight w:val="0"/>
      <w:marTop w:val="0"/>
      <w:marBottom w:val="0"/>
      <w:divBdr>
        <w:top w:val="none" w:sz="0" w:space="0" w:color="auto"/>
        <w:left w:val="none" w:sz="0" w:space="0" w:color="auto"/>
        <w:bottom w:val="none" w:sz="0" w:space="0" w:color="auto"/>
        <w:right w:val="none" w:sz="0" w:space="0" w:color="auto"/>
      </w:divBdr>
      <w:divsChild>
        <w:div w:id="911503475">
          <w:marLeft w:val="120"/>
          <w:marRight w:val="120"/>
          <w:marTop w:val="45"/>
          <w:marBottom w:val="0"/>
          <w:divBdr>
            <w:top w:val="none" w:sz="0" w:space="0" w:color="auto"/>
            <w:left w:val="none" w:sz="0" w:space="0" w:color="auto"/>
            <w:bottom w:val="none" w:sz="0" w:space="0" w:color="auto"/>
            <w:right w:val="none" w:sz="0" w:space="0" w:color="auto"/>
          </w:divBdr>
          <w:divsChild>
            <w:div w:id="9115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507">
      <w:marLeft w:val="0"/>
      <w:marRight w:val="0"/>
      <w:marTop w:val="0"/>
      <w:marBottom w:val="0"/>
      <w:divBdr>
        <w:top w:val="none" w:sz="0" w:space="0" w:color="auto"/>
        <w:left w:val="none" w:sz="0" w:space="0" w:color="auto"/>
        <w:bottom w:val="none" w:sz="0" w:space="0" w:color="auto"/>
        <w:right w:val="none" w:sz="0" w:space="0" w:color="auto"/>
      </w:divBdr>
      <w:divsChild>
        <w:div w:id="911503488">
          <w:marLeft w:val="120"/>
          <w:marRight w:val="120"/>
          <w:marTop w:val="45"/>
          <w:marBottom w:val="0"/>
          <w:divBdr>
            <w:top w:val="none" w:sz="0" w:space="0" w:color="auto"/>
            <w:left w:val="none" w:sz="0" w:space="0" w:color="auto"/>
            <w:bottom w:val="none" w:sz="0" w:space="0" w:color="auto"/>
            <w:right w:val="none" w:sz="0" w:space="0" w:color="auto"/>
          </w:divBdr>
          <w:divsChild>
            <w:div w:id="9115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512">
      <w:marLeft w:val="0"/>
      <w:marRight w:val="0"/>
      <w:marTop w:val="0"/>
      <w:marBottom w:val="0"/>
      <w:divBdr>
        <w:top w:val="none" w:sz="0" w:space="0" w:color="auto"/>
        <w:left w:val="none" w:sz="0" w:space="0" w:color="auto"/>
        <w:bottom w:val="none" w:sz="0" w:space="0" w:color="auto"/>
        <w:right w:val="none" w:sz="0" w:space="0" w:color="auto"/>
      </w:divBdr>
      <w:divsChild>
        <w:div w:id="911503451">
          <w:marLeft w:val="120"/>
          <w:marRight w:val="120"/>
          <w:marTop w:val="45"/>
          <w:marBottom w:val="0"/>
          <w:divBdr>
            <w:top w:val="none" w:sz="0" w:space="0" w:color="auto"/>
            <w:left w:val="none" w:sz="0" w:space="0" w:color="auto"/>
            <w:bottom w:val="none" w:sz="0" w:space="0" w:color="auto"/>
            <w:right w:val="none" w:sz="0" w:space="0" w:color="auto"/>
          </w:divBdr>
          <w:divsChild>
            <w:div w:id="9115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alabsorption"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n.wikipedia.org/wiki/Small_intestine" TargetMode="External"/><Relationship Id="rId4" Type="http://schemas.openxmlformats.org/officeDocument/2006/relationships/settings" Target="settings.xml"/><Relationship Id="rId9" Type="http://schemas.openxmlformats.org/officeDocument/2006/relationships/hyperlink" Target="http://en.wikipedia.org/wiki/Surger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6354</Words>
  <Characters>36218</Characters>
  <Application>Microsoft Office Word</Application>
  <DocSecurity>0</DocSecurity>
  <Lines>301</Lines>
  <Paragraphs>84</Paragraphs>
  <ScaleCrop>false</ScaleCrop>
  <Company>TOSHIBA</Company>
  <LinksUpToDate>false</LinksUpToDate>
  <CharactersWithSpaces>42488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2013-01-11T02:56:00Z</dcterms:created>
  <dcterms:modified xsi:type="dcterms:W3CDTF">2013-01-11T02:56:00Z</dcterms:modified>
</cp:coreProperties>
</file>