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48D" w:rsidRPr="0088448D" w:rsidRDefault="0088448D" w:rsidP="0088448D">
      <w:pPr>
        <w:spacing w:line="360" w:lineRule="auto"/>
        <w:jc w:val="both"/>
        <w:rPr>
          <w:rFonts w:ascii="Book Antiqua" w:hAnsi="Book Antiqua" w:cs="Tahoma"/>
          <w:b/>
          <w:color w:val="000000"/>
        </w:rPr>
      </w:pPr>
      <w:bookmarkStart w:id="0" w:name="OLE_LINK319"/>
      <w:bookmarkStart w:id="1" w:name="OLE_LINK320"/>
      <w:bookmarkStart w:id="2" w:name="OLE_LINK355"/>
      <w:r w:rsidRPr="0088448D">
        <w:rPr>
          <w:rFonts w:ascii="Book Antiqua" w:hAnsi="Book Antiqua" w:cs="Tahoma"/>
          <w:b/>
          <w:color w:val="0000FF"/>
        </w:rPr>
        <w:t xml:space="preserve">Name of journal: </w:t>
      </w:r>
      <w:r w:rsidRPr="0088448D">
        <w:rPr>
          <w:rFonts w:ascii="Book Antiqua" w:hAnsi="Book Antiqua" w:cs="Tahoma"/>
          <w:b/>
          <w:color w:val="000000"/>
        </w:rPr>
        <w:t>World Journal of Gastroenterology</w:t>
      </w:r>
    </w:p>
    <w:p w:rsidR="0088448D" w:rsidRPr="0088448D" w:rsidRDefault="0088448D" w:rsidP="0088448D">
      <w:pPr>
        <w:spacing w:line="360" w:lineRule="auto"/>
        <w:jc w:val="both"/>
        <w:rPr>
          <w:rFonts w:ascii="Book Antiqua" w:hAnsi="Book Antiqua" w:cs="Tahoma"/>
          <w:b/>
          <w:color w:val="0000FF"/>
          <w:lang w:eastAsia="zh-CN"/>
        </w:rPr>
      </w:pPr>
      <w:r w:rsidRPr="0088448D">
        <w:rPr>
          <w:rFonts w:ascii="Book Antiqua" w:hAnsi="Book Antiqua" w:cs="Tahoma"/>
          <w:b/>
          <w:color w:val="0000FF"/>
        </w:rPr>
        <w:t>ESPS Manuscript NO:</w:t>
      </w:r>
      <w:r w:rsidRPr="0088448D">
        <w:rPr>
          <w:rFonts w:ascii="Book Antiqua" w:hAnsi="Book Antiqua" w:cs="Tahoma"/>
          <w:b/>
          <w:color w:val="0000FF"/>
          <w:lang w:eastAsia="zh-CN"/>
        </w:rPr>
        <w:t xml:space="preserve"> 10305</w:t>
      </w:r>
    </w:p>
    <w:p w:rsidR="0088448D" w:rsidRPr="0088448D" w:rsidRDefault="0088448D" w:rsidP="0088448D">
      <w:pPr>
        <w:spacing w:line="360" w:lineRule="auto"/>
        <w:jc w:val="both"/>
        <w:rPr>
          <w:rFonts w:ascii="Book Antiqua" w:hAnsi="Book Antiqua" w:cs="Tahoma"/>
          <w:b/>
          <w:color w:val="000000"/>
          <w:lang w:eastAsia="zh-CN"/>
        </w:rPr>
      </w:pPr>
      <w:r w:rsidRPr="0088448D">
        <w:rPr>
          <w:rFonts w:ascii="Book Antiqua" w:hAnsi="Book Antiqua" w:cs="Tahoma"/>
          <w:b/>
          <w:color w:val="0000FF"/>
        </w:rPr>
        <w:t>Columns:</w:t>
      </w:r>
      <w:r w:rsidRPr="0088448D">
        <w:rPr>
          <w:rFonts w:ascii="Book Antiqua" w:hAnsi="Book Antiqua"/>
          <w:b/>
        </w:rPr>
        <w:t xml:space="preserve"> </w:t>
      </w:r>
      <w:r w:rsidR="002B091D" w:rsidRPr="0088448D">
        <w:rPr>
          <w:rFonts w:ascii="Book Antiqua" w:hAnsi="Book Antiqua"/>
          <w:b/>
          <w:lang w:eastAsia="zh-CN"/>
        </w:rPr>
        <w:t>REVIEW</w:t>
      </w:r>
    </w:p>
    <w:bookmarkEnd w:id="0"/>
    <w:bookmarkEnd w:id="1"/>
    <w:bookmarkEnd w:id="2"/>
    <w:p w:rsidR="00E70EF8" w:rsidRPr="0088448D" w:rsidRDefault="00E70EF8" w:rsidP="0088448D">
      <w:pPr>
        <w:pStyle w:val="a8"/>
        <w:spacing w:line="360" w:lineRule="auto"/>
        <w:jc w:val="both"/>
        <w:rPr>
          <w:rStyle w:val="a7"/>
          <w:rFonts w:ascii="Book Antiqua" w:hAnsi="Book Antiqua"/>
        </w:rPr>
      </w:pPr>
    </w:p>
    <w:p w:rsidR="00A049E7" w:rsidRPr="0088448D" w:rsidRDefault="00A049E7" w:rsidP="0088448D">
      <w:pPr>
        <w:pStyle w:val="a8"/>
        <w:spacing w:line="360" w:lineRule="auto"/>
        <w:jc w:val="both"/>
        <w:rPr>
          <w:rStyle w:val="a7"/>
          <w:rFonts w:ascii="Book Antiqua" w:hAnsi="Book Antiqua"/>
          <w:lang w:val="en-US" w:eastAsia="zh-CN"/>
        </w:rPr>
      </w:pPr>
      <w:r w:rsidRPr="0088448D">
        <w:rPr>
          <w:rStyle w:val="a7"/>
          <w:rFonts w:ascii="Book Antiqua" w:hAnsi="Book Antiqua"/>
          <w:lang w:val="en-US"/>
        </w:rPr>
        <w:t xml:space="preserve">Mitochondrial </w:t>
      </w:r>
      <w:r w:rsidR="00471CF1" w:rsidRPr="0088448D">
        <w:rPr>
          <w:rStyle w:val="a7"/>
          <w:rFonts w:ascii="Book Antiqua" w:hAnsi="Book Antiqua"/>
          <w:lang w:val="en-US"/>
        </w:rPr>
        <w:t>DNA alterations</w:t>
      </w:r>
      <w:r w:rsidRPr="0088448D">
        <w:rPr>
          <w:rStyle w:val="a7"/>
          <w:rFonts w:ascii="Book Antiqua" w:hAnsi="Book Antiqua"/>
          <w:lang w:val="en-US"/>
        </w:rPr>
        <w:t xml:space="preserve"> in </w:t>
      </w:r>
      <w:r w:rsidR="00471CF1" w:rsidRPr="0088448D">
        <w:rPr>
          <w:rStyle w:val="a7"/>
          <w:rFonts w:ascii="Book Antiqua" w:hAnsi="Book Antiqua"/>
          <w:lang w:val="en-US"/>
        </w:rPr>
        <w:t>the pr</w:t>
      </w:r>
      <w:r w:rsidR="00520F25" w:rsidRPr="0088448D">
        <w:rPr>
          <w:rStyle w:val="a7"/>
          <w:rFonts w:ascii="Book Antiqua" w:hAnsi="Book Antiqua"/>
          <w:lang w:val="en-US"/>
        </w:rPr>
        <w:t xml:space="preserve">ogression of gastric carcinomas: </w:t>
      </w:r>
      <w:r w:rsidR="0088448D" w:rsidRPr="0088448D">
        <w:rPr>
          <w:rStyle w:val="a7"/>
          <w:rFonts w:ascii="Book Antiqua" w:hAnsi="Book Antiqua"/>
          <w:lang w:val="en-US"/>
        </w:rPr>
        <w:t xml:space="preserve">Unexplored </w:t>
      </w:r>
      <w:r w:rsidR="00520F25" w:rsidRPr="0088448D">
        <w:rPr>
          <w:rStyle w:val="a7"/>
          <w:rFonts w:ascii="Book Antiqua" w:hAnsi="Book Antiqua"/>
          <w:lang w:val="en-US"/>
        </w:rPr>
        <w:t>i</w:t>
      </w:r>
      <w:r w:rsidR="0088448D">
        <w:rPr>
          <w:rStyle w:val="a7"/>
          <w:rFonts w:ascii="Book Antiqua" w:hAnsi="Book Antiqua"/>
          <w:lang w:val="en-US"/>
        </w:rPr>
        <w:t>ssues and future research needs</w:t>
      </w:r>
    </w:p>
    <w:p w:rsidR="006F63D3" w:rsidRDefault="006F63D3" w:rsidP="0088448D">
      <w:pPr>
        <w:pStyle w:val="a8"/>
        <w:spacing w:line="360" w:lineRule="auto"/>
        <w:jc w:val="both"/>
        <w:rPr>
          <w:rStyle w:val="a7"/>
          <w:rFonts w:ascii="Book Antiqua" w:hAnsi="Book Antiqua"/>
          <w:lang w:val="en-US" w:eastAsia="zh-CN"/>
        </w:rPr>
      </w:pPr>
    </w:p>
    <w:p w:rsidR="0088448D" w:rsidRDefault="0088448D" w:rsidP="0088448D">
      <w:pPr>
        <w:pStyle w:val="a8"/>
        <w:spacing w:line="360" w:lineRule="auto"/>
        <w:jc w:val="both"/>
        <w:rPr>
          <w:rStyle w:val="a7"/>
          <w:rFonts w:ascii="Book Antiqua" w:hAnsi="Book Antiqua"/>
          <w:lang w:val="en-US" w:eastAsia="zh-CN"/>
        </w:rPr>
      </w:pPr>
      <w:r w:rsidRPr="0088448D">
        <w:rPr>
          <w:rFonts w:ascii="Book Antiqua" w:hAnsi="Book Antiqua"/>
          <w:lang w:val="en-US"/>
        </w:rPr>
        <w:t>Rigoli</w:t>
      </w:r>
      <w:r>
        <w:rPr>
          <w:rFonts w:ascii="Book Antiqua" w:hAnsi="Book Antiqua" w:hint="eastAsia"/>
          <w:lang w:val="en-US" w:eastAsia="zh-CN"/>
        </w:rPr>
        <w:t xml:space="preserve"> L </w:t>
      </w:r>
      <w:r w:rsidRPr="0088448D">
        <w:rPr>
          <w:rFonts w:ascii="Book Antiqua" w:hAnsi="Book Antiqua" w:hint="eastAsia"/>
          <w:i/>
          <w:lang w:val="en-US" w:eastAsia="zh-CN"/>
        </w:rPr>
        <w:t>et al.</w:t>
      </w:r>
      <w:r>
        <w:rPr>
          <w:rFonts w:ascii="Book Antiqua" w:hAnsi="Book Antiqua" w:hint="eastAsia"/>
          <w:lang w:val="en-US" w:eastAsia="zh-CN"/>
        </w:rPr>
        <w:t xml:space="preserve"> </w:t>
      </w:r>
      <w:r w:rsidRPr="0088448D">
        <w:rPr>
          <w:rStyle w:val="a7"/>
          <w:rFonts w:ascii="Book Antiqua" w:hAnsi="Book Antiqua"/>
          <w:b w:val="0"/>
          <w:lang w:val="en-US"/>
        </w:rPr>
        <w:t>Mitochondrial DNA alterations in gastric carcinomas</w:t>
      </w:r>
    </w:p>
    <w:p w:rsidR="0088448D" w:rsidRPr="0088448D" w:rsidRDefault="0088448D" w:rsidP="0088448D">
      <w:pPr>
        <w:pStyle w:val="a8"/>
        <w:spacing w:line="360" w:lineRule="auto"/>
        <w:jc w:val="both"/>
        <w:rPr>
          <w:rStyle w:val="a7"/>
          <w:rFonts w:ascii="Book Antiqua" w:hAnsi="Book Antiqua"/>
          <w:lang w:val="en-US" w:eastAsia="zh-CN"/>
        </w:rPr>
      </w:pPr>
    </w:p>
    <w:p w:rsidR="006F63D3" w:rsidRDefault="0088448D" w:rsidP="0088448D">
      <w:pPr>
        <w:spacing w:line="360" w:lineRule="auto"/>
        <w:jc w:val="both"/>
        <w:rPr>
          <w:rFonts w:ascii="Book Antiqua" w:hAnsi="Book Antiqua"/>
          <w:lang w:val="en-US" w:eastAsia="zh-CN"/>
        </w:rPr>
      </w:pPr>
      <w:r w:rsidRPr="0088448D">
        <w:rPr>
          <w:rStyle w:val="hps"/>
          <w:rFonts w:ascii="Book Antiqua" w:hAnsi="Book Antiqua"/>
          <w:color w:val="000000"/>
        </w:rPr>
        <w:t>Luciana</w:t>
      </w:r>
      <w:r w:rsidRPr="0088448D">
        <w:rPr>
          <w:rFonts w:ascii="Book Antiqua" w:hAnsi="Book Antiqua"/>
          <w:lang w:val="en-US"/>
        </w:rPr>
        <w:t xml:space="preserve"> </w:t>
      </w:r>
      <w:r w:rsidR="006F63D3" w:rsidRPr="0088448D">
        <w:rPr>
          <w:rFonts w:ascii="Book Antiqua" w:hAnsi="Book Antiqua"/>
          <w:lang w:val="en-US"/>
        </w:rPr>
        <w:t>Rigoli,</w:t>
      </w:r>
      <w:r w:rsidRPr="0088448D">
        <w:rPr>
          <w:rFonts w:ascii="Book Antiqua" w:hAnsi="Book Antiqua" w:hint="eastAsia"/>
          <w:lang w:val="en-US" w:eastAsia="zh-CN"/>
        </w:rPr>
        <w:t xml:space="preserve"> </w:t>
      </w:r>
      <w:r w:rsidR="00FC2B8C" w:rsidRPr="00FC2B8C">
        <w:rPr>
          <w:rFonts w:ascii="Book Antiqua" w:hAnsi="Book Antiqua"/>
          <w:lang w:val="en-US"/>
        </w:rPr>
        <w:t>Rosario Alberto Caruso</w:t>
      </w:r>
    </w:p>
    <w:p w:rsidR="0088448D" w:rsidRPr="0088448D" w:rsidRDefault="00755481" w:rsidP="0088448D">
      <w:pPr>
        <w:spacing w:line="360" w:lineRule="auto"/>
        <w:jc w:val="both"/>
        <w:rPr>
          <w:rFonts w:ascii="Book Antiqua" w:hAnsi="Book Antiqua"/>
          <w:b/>
          <w:lang w:val="en-US" w:eastAsia="zh-CN"/>
        </w:rPr>
      </w:pPr>
      <w:r>
        <w:rPr>
          <w:rFonts w:ascii="Book Antiqua" w:hAnsi="Book Antiqua"/>
          <w:noProof/>
          <w:color w:val="000000"/>
          <w:lang w:val="en-US" w:eastAsia="zh-CN"/>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99060</wp:posOffset>
                </wp:positionV>
                <wp:extent cx="6118860" cy="0"/>
                <wp:effectExtent l="19050" t="22860" r="24765" b="2476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7.8pt" to="482.5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" strokecolor="gray" strokeweight="3pt"/>
            </w:pict>
          </mc:Fallback>
        </mc:AlternateContent>
      </w:r>
    </w:p>
    <w:p w:rsidR="0088448D" w:rsidRPr="0088448D" w:rsidRDefault="0088448D" w:rsidP="0088448D">
      <w:pPr>
        <w:autoSpaceDE w:val="0"/>
        <w:autoSpaceDN w:val="0"/>
        <w:adjustRightInd w:val="0"/>
        <w:spacing w:line="360" w:lineRule="auto"/>
        <w:jc w:val="both"/>
        <w:rPr>
          <w:rFonts w:ascii="Book Antiqua" w:hAnsi="Book Antiqua"/>
          <w:iCs/>
          <w:lang w:val="en-US"/>
        </w:rPr>
      </w:pPr>
      <w:r w:rsidRPr="0088448D">
        <w:rPr>
          <w:rStyle w:val="hps"/>
          <w:rFonts w:ascii="Book Antiqua" w:hAnsi="Book Antiqua"/>
          <w:b/>
          <w:color w:val="000000"/>
        </w:rPr>
        <w:t>Luciana</w:t>
      </w:r>
      <w:r w:rsidRPr="0088448D">
        <w:rPr>
          <w:rFonts w:ascii="Book Antiqua" w:hAnsi="Book Antiqua"/>
          <w:b/>
          <w:lang w:val="en-US"/>
        </w:rPr>
        <w:t xml:space="preserve"> Rigoli</w:t>
      </w:r>
      <w:r>
        <w:rPr>
          <w:rFonts w:ascii="Book Antiqua" w:hAnsi="Book Antiqua" w:hint="eastAsia"/>
          <w:iCs/>
          <w:lang w:val="en-US" w:eastAsia="zh-CN"/>
        </w:rPr>
        <w:t xml:space="preserve">, </w:t>
      </w:r>
      <w:r w:rsidR="006F4DA9" w:rsidRPr="0088448D">
        <w:rPr>
          <w:rFonts w:ascii="Book Antiqua" w:hAnsi="Book Antiqua"/>
          <w:iCs/>
          <w:lang w:val="en-US"/>
        </w:rPr>
        <w:t>Department of Pediatrics</w:t>
      </w:r>
      <w:r w:rsidR="006F63D3" w:rsidRPr="0088448D">
        <w:rPr>
          <w:rFonts w:ascii="Book Antiqua" w:hAnsi="Book Antiqua"/>
          <w:iCs/>
          <w:lang w:val="en-US"/>
        </w:rPr>
        <w:t>,</w:t>
      </w:r>
      <w:r w:rsidRPr="0088448D">
        <w:rPr>
          <w:rFonts w:ascii="Book Antiqua" w:hAnsi="Book Antiqua"/>
          <w:i/>
          <w:lang w:val="en-US"/>
        </w:rPr>
        <w:t xml:space="preserve"> </w:t>
      </w:r>
      <w:r w:rsidRPr="0088448D">
        <w:rPr>
          <w:rFonts w:ascii="Book Antiqua" w:hAnsi="Book Antiqua"/>
          <w:lang w:val="en-US"/>
        </w:rPr>
        <w:t xml:space="preserve">School of Medicine, University of Messina, </w:t>
      </w:r>
      <w:r w:rsidR="00727BED" w:rsidRPr="00727BED">
        <w:rPr>
          <w:rFonts w:ascii="Book Antiqua" w:hAnsi="Book Antiqua"/>
          <w:lang w:val="en-US"/>
        </w:rPr>
        <w:t>98122 Messina</w:t>
      </w:r>
      <w:r w:rsidR="00727BED" w:rsidRPr="0088448D">
        <w:rPr>
          <w:rFonts w:ascii="Book Antiqua" w:hAnsi="Book Antiqua"/>
          <w:lang w:val="en-US"/>
        </w:rPr>
        <w:t xml:space="preserve">, </w:t>
      </w:r>
      <w:r w:rsidRPr="0088448D">
        <w:rPr>
          <w:rFonts w:ascii="Book Antiqua" w:hAnsi="Book Antiqua"/>
          <w:lang w:val="en-US"/>
        </w:rPr>
        <w:t>Italy</w:t>
      </w:r>
    </w:p>
    <w:p w:rsidR="0088448D" w:rsidRDefault="0088448D" w:rsidP="0088448D">
      <w:pPr>
        <w:autoSpaceDE w:val="0"/>
        <w:autoSpaceDN w:val="0"/>
        <w:adjustRightInd w:val="0"/>
        <w:spacing w:line="360" w:lineRule="auto"/>
        <w:jc w:val="both"/>
        <w:rPr>
          <w:rFonts w:ascii="Book Antiqua" w:hAnsi="Book Antiqua"/>
          <w:i/>
          <w:iCs/>
          <w:lang w:val="en-US" w:eastAsia="zh-CN"/>
        </w:rPr>
      </w:pPr>
    </w:p>
    <w:p w:rsidR="006F63D3" w:rsidRPr="0088448D" w:rsidRDefault="00FC2B8C" w:rsidP="0088448D">
      <w:pPr>
        <w:autoSpaceDE w:val="0"/>
        <w:autoSpaceDN w:val="0"/>
        <w:adjustRightInd w:val="0"/>
        <w:spacing w:line="360" w:lineRule="auto"/>
        <w:jc w:val="both"/>
        <w:rPr>
          <w:rFonts w:ascii="Book Antiqua" w:hAnsi="Book Antiqua"/>
          <w:iCs/>
          <w:lang w:val="en-US"/>
        </w:rPr>
      </w:pPr>
      <w:r w:rsidRPr="00FC2B8C">
        <w:rPr>
          <w:rFonts w:ascii="Book Antiqua" w:hAnsi="Book Antiqua"/>
          <w:b/>
          <w:lang w:val="en-US"/>
        </w:rPr>
        <w:t>Rosario Alberto Caruso</w:t>
      </w:r>
      <w:r w:rsidR="0088448D" w:rsidRPr="00FC2B8C">
        <w:rPr>
          <w:rFonts w:ascii="Book Antiqua" w:hAnsi="Book Antiqua" w:hint="eastAsia"/>
          <w:b/>
          <w:lang w:val="en-US" w:eastAsia="zh-CN"/>
        </w:rPr>
        <w:t>,</w:t>
      </w:r>
      <w:r w:rsidR="0088448D" w:rsidRPr="00727BED">
        <w:rPr>
          <w:rFonts w:ascii="Book Antiqua" w:hAnsi="Book Antiqua" w:hint="eastAsia"/>
          <w:b/>
          <w:lang w:val="en-US" w:eastAsia="zh-CN"/>
        </w:rPr>
        <w:t xml:space="preserve"> </w:t>
      </w:r>
      <w:r w:rsidR="006F4DA9" w:rsidRPr="0088448D">
        <w:rPr>
          <w:rFonts w:ascii="Book Antiqua" w:hAnsi="Book Antiqua"/>
          <w:iCs/>
          <w:lang w:val="en-US"/>
        </w:rPr>
        <w:t>Department of Human Pathology</w:t>
      </w:r>
      <w:r w:rsidR="0088448D">
        <w:rPr>
          <w:rFonts w:ascii="Book Antiqua" w:hAnsi="Book Antiqua"/>
          <w:iCs/>
          <w:lang w:val="en-US"/>
        </w:rPr>
        <w:t xml:space="preserve">, </w:t>
      </w:r>
      <w:r w:rsidR="006F63D3" w:rsidRPr="0088448D">
        <w:rPr>
          <w:rFonts w:ascii="Book Antiqua" w:hAnsi="Book Antiqua"/>
          <w:lang w:val="en-US"/>
        </w:rPr>
        <w:t xml:space="preserve">School of Medicine, University of Messina, </w:t>
      </w:r>
      <w:r w:rsidR="00727BED" w:rsidRPr="00727BED">
        <w:rPr>
          <w:rFonts w:ascii="Book Antiqua" w:hAnsi="Book Antiqua"/>
          <w:lang w:val="en-US"/>
        </w:rPr>
        <w:t>98122 Messina</w:t>
      </w:r>
      <w:r w:rsidR="00727BED" w:rsidRPr="0088448D">
        <w:rPr>
          <w:rFonts w:ascii="Book Antiqua" w:hAnsi="Book Antiqua"/>
          <w:lang w:val="en-US"/>
        </w:rPr>
        <w:t xml:space="preserve">, </w:t>
      </w:r>
      <w:r w:rsidR="006F63D3" w:rsidRPr="0088448D">
        <w:rPr>
          <w:rFonts w:ascii="Book Antiqua" w:hAnsi="Book Antiqua"/>
          <w:lang w:val="en-US"/>
        </w:rPr>
        <w:t>Italy</w:t>
      </w:r>
    </w:p>
    <w:p w:rsidR="006F63D3" w:rsidRPr="0088448D" w:rsidRDefault="006F63D3" w:rsidP="0088448D">
      <w:pPr>
        <w:pStyle w:val="a8"/>
        <w:spacing w:line="360" w:lineRule="auto"/>
        <w:jc w:val="both"/>
        <w:rPr>
          <w:rStyle w:val="a7"/>
          <w:rFonts w:ascii="Book Antiqua" w:hAnsi="Book Antiqua"/>
          <w:lang w:val="en-US"/>
        </w:rPr>
      </w:pPr>
    </w:p>
    <w:p w:rsidR="00BB6EBA" w:rsidRPr="0088448D" w:rsidRDefault="00BB6EBA" w:rsidP="0088448D">
      <w:pPr>
        <w:spacing w:line="360" w:lineRule="auto"/>
        <w:jc w:val="both"/>
        <w:rPr>
          <w:rFonts w:ascii="Book Antiqua" w:hAnsi="Book Antiqua"/>
          <w:lang w:val="en-US"/>
        </w:rPr>
      </w:pPr>
      <w:r w:rsidRPr="0088448D">
        <w:rPr>
          <w:rFonts w:ascii="Book Antiqua" w:hAnsi="Book Antiqua"/>
          <w:b/>
          <w:lang w:val="en-US"/>
        </w:rPr>
        <w:t xml:space="preserve">Author contributions: </w:t>
      </w:r>
      <w:r w:rsidRPr="0088448D">
        <w:rPr>
          <w:rFonts w:ascii="Book Antiqua" w:hAnsi="Book Antiqua"/>
          <w:lang w:val="en-US"/>
        </w:rPr>
        <w:t xml:space="preserve">Rigoli </w:t>
      </w:r>
      <w:r w:rsidR="0088448D">
        <w:rPr>
          <w:rFonts w:ascii="Book Antiqua" w:hAnsi="Book Antiqua" w:hint="eastAsia"/>
          <w:lang w:val="en-US" w:eastAsia="zh-CN"/>
        </w:rPr>
        <w:t xml:space="preserve">L </w:t>
      </w:r>
      <w:r w:rsidRPr="0088448D">
        <w:rPr>
          <w:rFonts w:ascii="Book Antiqua" w:hAnsi="Book Antiqua"/>
          <w:lang w:val="en-US"/>
        </w:rPr>
        <w:t xml:space="preserve">reviewed the literature and drafted the manuscript; </w:t>
      </w:r>
      <w:r w:rsidR="0088448D" w:rsidRPr="0088448D">
        <w:rPr>
          <w:rFonts w:ascii="Book Antiqua" w:hAnsi="Book Antiqua"/>
          <w:lang w:val="en-US"/>
        </w:rPr>
        <w:t xml:space="preserve">Caruso RA </w:t>
      </w:r>
      <w:r w:rsidRPr="0088448D">
        <w:rPr>
          <w:rFonts w:ascii="Book Antiqua" w:hAnsi="Book Antiqua"/>
          <w:lang w:val="en-US"/>
        </w:rPr>
        <w:t>conceived the topic and produced the final manuscript.</w:t>
      </w:r>
    </w:p>
    <w:p w:rsidR="00BB6EBA" w:rsidRPr="0088448D" w:rsidRDefault="00BB6EBA" w:rsidP="0088448D">
      <w:pPr>
        <w:spacing w:line="360" w:lineRule="auto"/>
        <w:jc w:val="both"/>
        <w:rPr>
          <w:rFonts w:ascii="Book Antiqua" w:hAnsi="Book Antiqua"/>
          <w:lang w:val="en-US"/>
        </w:rPr>
      </w:pPr>
    </w:p>
    <w:p w:rsidR="00BB6EBA" w:rsidRPr="0088448D" w:rsidRDefault="00BB6EBA" w:rsidP="0088448D">
      <w:pPr>
        <w:spacing w:line="360" w:lineRule="auto"/>
        <w:jc w:val="both"/>
        <w:rPr>
          <w:rFonts w:ascii="Book Antiqua" w:hAnsi="Book Antiqua"/>
          <w:lang w:val="en-US"/>
        </w:rPr>
      </w:pPr>
      <w:r w:rsidRPr="0088448D">
        <w:rPr>
          <w:rFonts w:ascii="Book Antiqua" w:hAnsi="Book Antiqua"/>
          <w:b/>
          <w:lang w:val="en-US"/>
        </w:rPr>
        <w:t xml:space="preserve">Correspondence to: </w:t>
      </w:r>
      <w:r w:rsidRPr="00727BED">
        <w:rPr>
          <w:rFonts w:ascii="Book Antiqua" w:hAnsi="Book Antiqua"/>
          <w:b/>
          <w:lang w:val="en-US"/>
        </w:rPr>
        <w:t>Luciana Rigoli</w:t>
      </w:r>
      <w:r w:rsidR="0088448D" w:rsidRPr="00727BED">
        <w:rPr>
          <w:rFonts w:ascii="Book Antiqua" w:hAnsi="Book Antiqua" w:hint="eastAsia"/>
          <w:b/>
          <w:lang w:val="en-US" w:eastAsia="zh-CN"/>
        </w:rPr>
        <w:t>,</w:t>
      </w:r>
      <w:r w:rsidR="0088448D">
        <w:rPr>
          <w:rFonts w:ascii="Book Antiqua" w:hAnsi="Book Antiqua" w:hint="eastAsia"/>
          <w:lang w:val="en-US" w:eastAsia="zh-CN"/>
        </w:rPr>
        <w:t xml:space="preserve"> </w:t>
      </w:r>
      <w:r w:rsidR="001E411C" w:rsidRPr="001E411C">
        <w:rPr>
          <w:rFonts w:ascii="Book Antiqua" w:hAnsi="Book Antiqua"/>
          <w:b/>
          <w:lang w:val="en-US" w:eastAsia="zh-CN"/>
        </w:rPr>
        <w:t>MD, Professor,</w:t>
      </w:r>
      <w:r w:rsidR="001E411C" w:rsidRPr="001E411C">
        <w:rPr>
          <w:rFonts w:ascii="Book Antiqua" w:hAnsi="Book Antiqua"/>
          <w:lang w:val="en-US" w:eastAsia="zh-CN"/>
        </w:rPr>
        <w:t xml:space="preserve"> </w:t>
      </w:r>
      <w:r w:rsidRPr="0088448D">
        <w:rPr>
          <w:rFonts w:ascii="Book Antiqua" w:hAnsi="Book Antiqua"/>
          <w:lang w:val="en-US"/>
        </w:rPr>
        <w:t>Department of Pediatrics</w:t>
      </w:r>
      <w:r w:rsidR="0088448D">
        <w:rPr>
          <w:rFonts w:ascii="Book Antiqua" w:hAnsi="Book Antiqua" w:hint="eastAsia"/>
          <w:lang w:val="en-US" w:eastAsia="zh-CN"/>
        </w:rPr>
        <w:t>,</w:t>
      </w:r>
      <w:r w:rsidR="002B091D" w:rsidRPr="002B091D">
        <w:rPr>
          <w:rFonts w:ascii="Book Antiqua" w:hAnsi="Book Antiqua"/>
          <w:lang w:val="en-US"/>
        </w:rPr>
        <w:t xml:space="preserve"> </w:t>
      </w:r>
      <w:r w:rsidR="002B091D" w:rsidRPr="0088448D">
        <w:rPr>
          <w:rFonts w:ascii="Book Antiqua" w:hAnsi="Book Antiqua"/>
          <w:lang w:val="en-US"/>
        </w:rPr>
        <w:t xml:space="preserve">School of Medicine, </w:t>
      </w:r>
      <w:r w:rsidR="00727BED" w:rsidRPr="0088448D">
        <w:rPr>
          <w:rFonts w:ascii="Book Antiqua" w:hAnsi="Book Antiqua"/>
          <w:lang w:val="en-US"/>
        </w:rPr>
        <w:t>University of Messina,</w:t>
      </w:r>
      <w:r w:rsidRPr="0088448D">
        <w:rPr>
          <w:rFonts w:ascii="Book Antiqua" w:hAnsi="Book Antiqua"/>
          <w:lang w:val="en-US"/>
        </w:rPr>
        <w:t xml:space="preserve"> </w:t>
      </w:r>
      <w:r w:rsidR="00727BED">
        <w:rPr>
          <w:rFonts w:ascii="Book Antiqua" w:hAnsi="Book Antiqua"/>
          <w:lang w:val="en-US"/>
        </w:rPr>
        <w:t>Piazza Pugliatti</w:t>
      </w:r>
      <w:r w:rsidR="00727BED" w:rsidRPr="00727BED">
        <w:rPr>
          <w:rFonts w:ascii="Book Antiqua" w:hAnsi="Book Antiqua"/>
          <w:lang w:val="en-US"/>
        </w:rPr>
        <w:t xml:space="preserve"> 1</w:t>
      </w:r>
      <w:r w:rsidR="00727BED">
        <w:rPr>
          <w:rFonts w:ascii="Book Antiqua" w:hAnsi="Book Antiqua" w:hint="eastAsia"/>
          <w:lang w:val="en-US" w:eastAsia="zh-CN"/>
        </w:rPr>
        <w:t xml:space="preserve">, </w:t>
      </w:r>
      <w:r w:rsidR="00727BED" w:rsidRPr="00727BED">
        <w:rPr>
          <w:rFonts w:ascii="Book Antiqua" w:hAnsi="Book Antiqua"/>
          <w:lang w:val="en-US"/>
        </w:rPr>
        <w:t>98122 Messina</w:t>
      </w:r>
      <w:r w:rsidRPr="0088448D">
        <w:rPr>
          <w:rFonts w:ascii="Book Antiqua" w:hAnsi="Book Antiqua"/>
          <w:lang w:val="en-US"/>
        </w:rPr>
        <w:t>, Italy</w:t>
      </w:r>
      <w:r w:rsidR="0088448D">
        <w:rPr>
          <w:rFonts w:ascii="Book Antiqua" w:hAnsi="Book Antiqua" w:hint="eastAsia"/>
          <w:lang w:val="en-US" w:eastAsia="zh-CN"/>
        </w:rPr>
        <w:t>.</w:t>
      </w:r>
      <w:r w:rsidRPr="0088448D">
        <w:rPr>
          <w:rFonts w:ascii="Book Antiqua" w:hAnsi="Book Antiqua"/>
          <w:lang w:val="en-US"/>
        </w:rPr>
        <w:t xml:space="preserve"> </w:t>
      </w:r>
      <w:r w:rsidR="0088448D" w:rsidRPr="0088448D">
        <w:rPr>
          <w:rFonts w:ascii="Book Antiqua" w:hAnsi="Book Antiqua"/>
        </w:rPr>
        <w:t>lrigoli@unime.it</w:t>
      </w:r>
    </w:p>
    <w:p w:rsidR="00BB6EBA" w:rsidRDefault="00BB6EBA" w:rsidP="0088448D">
      <w:pPr>
        <w:spacing w:line="360" w:lineRule="auto"/>
        <w:jc w:val="both"/>
        <w:rPr>
          <w:rFonts w:ascii="Book Antiqua" w:hAnsi="Book Antiqua"/>
          <w:lang w:eastAsia="zh-CN"/>
        </w:rPr>
      </w:pPr>
      <w:r w:rsidRPr="0088448D">
        <w:rPr>
          <w:rFonts w:ascii="Book Antiqua" w:hAnsi="Book Antiqua"/>
          <w:b/>
        </w:rPr>
        <w:t>Telephone</w:t>
      </w:r>
      <w:r w:rsidRPr="0088448D">
        <w:rPr>
          <w:rFonts w:ascii="Book Antiqua" w:hAnsi="Book Antiqua"/>
        </w:rPr>
        <w:t>: +39-90-2213108</w:t>
      </w:r>
      <w:r w:rsidR="0088448D">
        <w:rPr>
          <w:rFonts w:ascii="Book Antiqua" w:hAnsi="Book Antiqua" w:hint="eastAsia"/>
          <w:lang w:eastAsia="zh-CN"/>
        </w:rPr>
        <w:tab/>
      </w:r>
      <w:r w:rsidR="0088448D">
        <w:rPr>
          <w:rFonts w:ascii="Book Antiqua" w:hAnsi="Book Antiqua" w:hint="eastAsia"/>
          <w:lang w:eastAsia="zh-CN"/>
        </w:rPr>
        <w:tab/>
      </w:r>
      <w:r w:rsidRPr="0088448D">
        <w:rPr>
          <w:rFonts w:ascii="Book Antiqua" w:hAnsi="Book Antiqua"/>
          <w:b/>
        </w:rPr>
        <w:t>Fax</w:t>
      </w:r>
      <w:r w:rsidRPr="0088448D">
        <w:rPr>
          <w:rFonts w:ascii="Book Antiqua" w:hAnsi="Book Antiqua"/>
        </w:rPr>
        <w:t xml:space="preserve">: </w:t>
      </w:r>
      <w:r w:rsidR="00727BED" w:rsidRPr="00727BED">
        <w:rPr>
          <w:rFonts w:ascii="Book Antiqua" w:hAnsi="Book Antiqua"/>
        </w:rPr>
        <w:t>+39-90-2213788</w:t>
      </w:r>
    </w:p>
    <w:p w:rsidR="0088448D" w:rsidRPr="0088448D" w:rsidRDefault="0088448D" w:rsidP="0088448D">
      <w:pPr>
        <w:spacing w:line="360" w:lineRule="auto"/>
        <w:jc w:val="both"/>
        <w:rPr>
          <w:rFonts w:ascii="Book Antiqua" w:hAnsi="Book Antiqua"/>
          <w:lang w:eastAsia="zh-CN"/>
        </w:rPr>
      </w:pPr>
    </w:p>
    <w:p w:rsidR="0088448D" w:rsidRPr="00727BED" w:rsidRDefault="0088448D" w:rsidP="0088448D">
      <w:pPr>
        <w:spacing w:line="360" w:lineRule="auto"/>
        <w:rPr>
          <w:rFonts w:ascii="Book Antiqua" w:hAnsi="Book Antiqua"/>
          <w:color w:val="000000"/>
          <w:lang w:eastAsia="zh-CN"/>
        </w:rPr>
      </w:pPr>
      <w:bookmarkStart w:id="3" w:name="OLE_LINK4"/>
      <w:bookmarkStart w:id="4" w:name="OLE_LINK5"/>
      <w:bookmarkStart w:id="5" w:name="OLE_LINK332"/>
      <w:bookmarkStart w:id="6" w:name="OLE_LINK329"/>
      <w:bookmarkStart w:id="7" w:name="OLE_LINK381"/>
      <w:bookmarkStart w:id="8" w:name="OLE_LINK407"/>
      <w:r w:rsidRPr="00712F63">
        <w:rPr>
          <w:rFonts w:ascii="Book Antiqua" w:hAnsi="Book Antiqua"/>
          <w:b/>
          <w:color w:val="000000"/>
        </w:rPr>
        <w:t xml:space="preserve">Received: </w:t>
      </w:r>
      <w:r w:rsidR="00727BED" w:rsidRPr="00727BED">
        <w:rPr>
          <w:rFonts w:ascii="Book Antiqua" w:hAnsi="Book Antiqua" w:hint="eastAsia"/>
          <w:color w:val="000000"/>
          <w:lang w:eastAsia="zh-CN"/>
        </w:rPr>
        <w:t>March 25, 2014</w:t>
      </w:r>
      <w:r w:rsidR="00727BED">
        <w:rPr>
          <w:rFonts w:ascii="Book Antiqua" w:hAnsi="Book Antiqua" w:hint="eastAsia"/>
          <w:b/>
          <w:color w:val="000000"/>
          <w:lang w:eastAsia="zh-CN"/>
        </w:rPr>
        <w:tab/>
      </w:r>
      <w:r w:rsidR="00727BED">
        <w:rPr>
          <w:rFonts w:ascii="Book Antiqua" w:hAnsi="Book Antiqua" w:hint="eastAsia"/>
          <w:b/>
          <w:color w:val="000000"/>
          <w:lang w:eastAsia="zh-CN"/>
        </w:rPr>
        <w:tab/>
      </w:r>
      <w:r w:rsidRPr="00712F63">
        <w:rPr>
          <w:rFonts w:ascii="Book Antiqua" w:hAnsi="Book Antiqua"/>
          <w:b/>
          <w:color w:val="000000"/>
        </w:rPr>
        <w:t>Revised:</w:t>
      </w:r>
      <w:r w:rsidR="00727BED">
        <w:rPr>
          <w:rFonts w:ascii="Book Antiqua" w:hAnsi="Book Antiqua" w:hint="eastAsia"/>
          <w:b/>
          <w:color w:val="000000"/>
          <w:lang w:eastAsia="zh-CN"/>
        </w:rPr>
        <w:t xml:space="preserve"> </w:t>
      </w:r>
      <w:r w:rsidR="00727BED" w:rsidRPr="00727BED">
        <w:rPr>
          <w:rFonts w:ascii="Book Antiqua" w:hAnsi="Book Antiqua" w:hint="eastAsia"/>
          <w:color w:val="000000"/>
          <w:lang w:eastAsia="zh-CN"/>
        </w:rPr>
        <w:t>M</w:t>
      </w:r>
      <w:r w:rsidR="00727BED" w:rsidRPr="00727BED">
        <w:rPr>
          <w:rFonts w:ascii="Book Antiqua" w:hAnsi="Book Antiqua"/>
          <w:color w:val="000000"/>
          <w:lang w:eastAsia="zh-CN"/>
        </w:rPr>
        <w:t>ay</w:t>
      </w:r>
      <w:r w:rsidR="00727BED" w:rsidRPr="00727BED">
        <w:rPr>
          <w:rFonts w:ascii="Book Antiqua" w:hAnsi="Book Antiqua" w:hint="eastAsia"/>
          <w:color w:val="000000"/>
          <w:lang w:eastAsia="zh-CN"/>
        </w:rPr>
        <w:t xml:space="preserve"> 21, 2014</w:t>
      </w:r>
    </w:p>
    <w:p w:rsidR="00755481" w:rsidRDefault="0088448D" w:rsidP="00755481">
      <w:pPr>
        <w:rPr>
          <w:rFonts w:ascii="Book Antiqua" w:hAnsi="Book Antiqua"/>
          <w:color w:val="000000"/>
        </w:rPr>
      </w:pPr>
      <w:r w:rsidRPr="00712F63">
        <w:rPr>
          <w:rFonts w:ascii="Book Antiqua" w:hAnsi="Book Antiqua"/>
          <w:b/>
          <w:color w:val="000000"/>
        </w:rPr>
        <w:t xml:space="preserve">Accepted: </w:t>
      </w:r>
      <w:bookmarkStart w:id="9" w:name="OLE_LINK1"/>
      <w:bookmarkStart w:id="10" w:name="OLE_LINK2"/>
      <w:bookmarkStart w:id="11" w:name="OLE_LINK3"/>
      <w:bookmarkStart w:id="12" w:name="OLE_LINK6"/>
      <w:bookmarkStart w:id="13" w:name="OLE_LINK7"/>
      <w:bookmarkStart w:id="14" w:name="OLE_LINK9"/>
      <w:bookmarkStart w:id="15" w:name="OLE_LINK10"/>
      <w:bookmarkStart w:id="16" w:name="OLE_LINK13"/>
      <w:bookmarkStart w:id="17" w:name="OLE_LINK14"/>
      <w:bookmarkStart w:id="18" w:name="OLE_LINK17"/>
      <w:bookmarkStart w:id="19" w:name="OLE_LINK18"/>
      <w:bookmarkStart w:id="20" w:name="OLE_LINK19"/>
      <w:bookmarkStart w:id="21" w:name="OLE_LINK22"/>
      <w:bookmarkStart w:id="22" w:name="OLE_LINK24"/>
      <w:bookmarkStart w:id="23" w:name="OLE_LINK25"/>
      <w:bookmarkStart w:id="24" w:name="OLE_LINK26"/>
      <w:bookmarkStart w:id="25" w:name="OLE_LINK27"/>
      <w:bookmarkStart w:id="26" w:name="OLE_LINK28"/>
      <w:bookmarkStart w:id="27" w:name="OLE_LINK29"/>
      <w:bookmarkStart w:id="28" w:name="OLE_LINK30"/>
      <w:bookmarkStart w:id="29" w:name="OLE_LINK31"/>
      <w:bookmarkStart w:id="30" w:name="OLE_LINK32"/>
      <w:bookmarkStart w:id="31" w:name="OLE_LINK34"/>
      <w:bookmarkStart w:id="32" w:name="OLE_LINK36"/>
      <w:bookmarkStart w:id="33" w:name="OLE_LINK37"/>
      <w:bookmarkStart w:id="34" w:name="OLE_LINK38"/>
      <w:bookmarkStart w:id="35" w:name="OLE_LINK43"/>
      <w:bookmarkStart w:id="36" w:name="OLE_LINK46"/>
      <w:bookmarkStart w:id="37" w:name="OLE_LINK49"/>
      <w:r w:rsidR="00755481">
        <w:rPr>
          <w:rFonts w:ascii="Book Antiqua" w:hAnsi="Book Antiqua"/>
          <w:color w:val="000000"/>
        </w:rPr>
        <w:t>June 26, 2014</w:t>
      </w:r>
    </w:p>
    <w:p w:rsidR="0088448D" w:rsidRPr="00712F63" w:rsidRDefault="0088448D" w:rsidP="0088448D">
      <w:pPr>
        <w:spacing w:line="360" w:lineRule="auto"/>
        <w:rPr>
          <w:rFonts w:ascii="Book Antiqua" w:hAnsi="Book Antiqua"/>
          <w:b/>
          <w:color w:val="000000"/>
        </w:rPr>
      </w:pPr>
      <w:bookmarkStart w:id="38" w:name="_GoBack"/>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88448D" w:rsidRPr="00712F63" w:rsidRDefault="0088448D" w:rsidP="0088448D">
      <w:pPr>
        <w:spacing w:line="360" w:lineRule="auto"/>
        <w:rPr>
          <w:rFonts w:ascii="Book Antiqua" w:hAnsi="Book Antiqua"/>
          <w:color w:val="000000"/>
        </w:rPr>
      </w:pPr>
      <w:r w:rsidRPr="00712F63">
        <w:rPr>
          <w:rFonts w:ascii="Book Antiqua" w:hAnsi="Book Antiqua"/>
          <w:b/>
          <w:color w:val="000000"/>
        </w:rPr>
        <w:t xml:space="preserve">Published online: </w:t>
      </w:r>
    </w:p>
    <w:bookmarkEnd w:id="3"/>
    <w:bookmarkEnd w:id="4"/>
    <w:bookmarkEnd w:id="5"/>
    <w:bookmarkEnd w:id="6"/>
    <w:bookmarkEnd w:id="7"/>
    <w:bookmarkEnd w:id="8"/>
    <w:p w:rsidR="006F63D3" w:rsidRPr="0088448D" w:rsidRDefault="006F63D3" w:rsidP="0088448D">
      <w:pPr>
        <w:pStyle w:val="a8"/>
        <w:spacing w:line="360" w:lineRule="auto"/>
        <w:jc w:val="both"/>
        <w:rPr>
          <w:rStyle w:val="a7"/>
          <w:rFonts w:ascii="Book Antiqua" w:hAnsi="Book Antiqua"/>
        </w:rPr>
      </w:pPr>
    </w:p>
    <w:p w:rsidR="0088448D" w:rsidRDefault="0088448D">
      <w:pPr>
        <w:rPr>
          <w:rStyle w:val="a7"/>
          <w:rFonts w:ascii="Book Antiqua" w:hAnsi="Book Antiqua"/>
          <w:lang w:val="en-US"/>
        </w:rPr>
      </w:pPr>
      <w:r>
        <w:rPr>
          <w:rStyle w:val="a7"/>
          <w:rFonts w:ascii="Book Antiqua" w:hAnsi="Book Antiqua"/>
          <w:lang w:val="en-US"/>
        </w:rPr>
        <w:br w:type="page"/>
      </w:r>
    </w:p>
    <w:p w:rsidR="00EB7B23" w:rsidRPr="0088448D" w:rsidRDefault="00EB7B23" w:rsidP="0088448D">
      <w:pPr>
        <w:pStyle w:val="a8"/>
        <w:spacing w:line="360" w:lineRule="auto"/>
        <w:jc w:val="both"/>
        <w:rPr>
          <w:rStyle w:val="a7"/>
          <w:rFonts w:ascii="Book Antiqua" w:hAnsi="Book Antiqua"/>
          <w:lang w:val="en-US"/>
        </w:rPr>
      </w:pPr>
      <w:r w:rsidRPr="0088448D">
        <w:rPr>
          <w:rStyle w:val="a7"/>
          <w:rFonts w:ascii="Book Antiqua" w:hAnsi="Book Antiqua"/>
          <w:lang w:val="en-US"/>
        </w:rPr>
        <w:lastRenderedPageBreak/>
        <w:t>Abstract</w:t>
      </w:r>
    </w:p>
    <w:p w:rsidR="00E70EF8" w:rsidRDefault="006D7A13" w:rsidP="0088448D">
      <w:pPr>
        <w:pStyle w:val="a8"/>
        <w:spacing w:line="360" w:lineRule="auto"/>
        <w:jc w:val="both"/>
        <w:rPr>
          <w:rStyle w:val="a7"/>
          <w:rFonts w:ascii="Book Antiqua" w:hAnsi="Book Antiqua"/>
          <w:b w:val="0"/>
          <w:lang w:val="en-US" w:eastAsia="zh-CN"/>
        </w:rPr>
      </w:pPr>
      <w:r w:rsidRPr="0088448D">
        <w:rPr>
          <w:rStyle w:val="a7"/>
          <w:rFonts w:ascii="Book Antiqua" w:hAnsi="Book Antiqua"/>
          <w:b w:val="0"/>
          <w:lang w:val="en-US"/>
        </w:rPr>
        <w:t>Gastric cancer is the second most frequent cause of cancer death worldwide. Patients infected with </w:t>
      </w:r>
      <w:r w:rsidRPr="0088448D">
        <w:rPr>
          <w:rStyle w:val="a7"/>
          <w:rFonts w:ascii="Book Antiqua" w:hAnsi="Book Antiqua"/>
          <w:b w:val="0"/>
          <w:i/>
          <w:lang w:val="en-US"/>
        </w:rPr>
        <w:t>Helicobacter</w:t>
      </w:r>
      <w:r w:rsidR="00E645B6" w:rsidRPr="0088448D">
        <w:rPr>
          <w:rStyle w:val="a7"/>
          <w:rFonts w:ascii="Book Antiqua" w:hAnsi="Book Antiqua"/>
          <w:b w:val="0"/>
          <w:i/>
          <w:lang w:val="en-US"/>
        </w:rPr>
        <w:t xml:space="preserve"> </w:t>
      </w:r>
      <w:r w:rsidR="00727BED" w:rsidRPr="0088448D">
        <w:rPr>
          <w:rStyle w:val="a7"/>
          <w:rFonts w:ascii="Book Antiqua" w:hAnsi="Book Antiqua"/>
          <w:b w:val="0"/>
          <w:i/>
          <w:lang w:val="en-US"/>
        </w:rPr>
        <w:t xml:space="preserve">pylori </w:t>
      </w:r>
      <w:r w:rsidR="00E645B6" w:rsidRPr="00727BED">
        <w:rPr>
          <w:rStyle w:val="a7"/>
          <w:rFonts w:ascii="Book Antiqua" w:hAnsi="Book Antiqua"/>
          <w:b w:val="0"/>
          <w:lang w:val="en-US"/>
        </w:rPr>
        <w:t>(</w:t>
      </w:r>
      <w:r w:rsidR="00E645B6" w:rsidRPr="0088448D">
        <w:rPr>
          <w:rStyle w:val="a7"/>
          <w:rFonts w:ascii="Book Antiqua" w:hAnsi="Book Antiqua"/>
          <w:b w:val="0"/>
          <w:i/>
          <w:lang w:val="en-US"/>
        </w:rPr>
        <w:t>H</w:t>
      </w:r>
      <w:r w:rsidR="00727BED">
        <w:rPr>
          <w:rStyle w:val="a7"/>
          <w:rFonts w:ascii="Book Antiqua" w:hAnsi="Book Antiqua" w:hint="eastAsia"/>
          <w:b w:val="0"/>
          <w:i/>
          <w:lang w:val="en-US" w:eastAsia="zh-CN"/>
        </w:rPr>
        <w:t xml:space="preserve">. </w:t>
      </w:r>
      <w:r w:rsidRPr="0088448D">
        <w:rPr>
          <w:rStyle w:val="a7"/>
          <w:rFonts w:ascii="Book Antiqua" w:hAnsi="Book Antiqua"/>
          <w:b w:val="0"/>
          <w:i/>
          <w:lang w:val="en-US"/>
        </w:rPr>
        <w:t>pylori</w:t>
      </w:r>
      <w:r w:rsidR="00727BED" w:rsidRPr="00727BED">
        <w:rPr>
          <w:rStyle w:val="a7"/>
          <w:rFonts w:ascii="Book Antiqua" w:hAnsi="Book Antiqua" w:hint="eastAsia"/>
          <w:b w:val="0"/>
          <w:lang w:val="en-US" w:eastAsia="zh-CN"/>
        </w:rPr>
        <w:t>)</w:t>
      </w:r>
      <w:r w:rsidR="00727BED">
        <w:rPr>
          <w:rStyle w:val="a7"/>
          <w:rFonts w:ascii="Book Antiqua" w:hAnsi="Book Antiqua" w:hint="eastAsia"/>
          <w:b w:val="0"/>
          <w:lang w:val="en-US" w:eastAsia="zh-CN"/>
        </w:rPr>
        <w:t xml:space="preserve"> </w:t>
      </w:r>
      <w:r w:rsidRPr="0088448D">
        <w:rPr>
          <w:rStyle w:val="a7"/>
          <w:rFonts w:ascii="Book Antiqua" w:hAnsi="Book Antiqua"/>
          <w:b w:val="0"/>
          <w:lang w:val="en-US"/>
        </w:rPr>
        <w:t xml:space="preserve">are at increased risk of gastric cancer. </w:t>
      </w:r>
      <w:r w:rsidR="006F19FD" w:rsidRPr="0088448D">
        <w:rPr>
          <w:rStyle w:val="a7"/>
          <w:rFonts w:ascii="Book Antiqua" w:hAnsi="Book Antiqua"/>
          <w:b w:val="0"/>
          <w:i/>
          <w:lang w:val="en-US"/>
        </w:rPr>
        <w:t>H</w:t>
      </w:r>
      <w:r w:rsidR="006F19FD" w:rsidRPr="0088448D">
        <w:rPr>
          <w:rStyle w:val="a7"/>
          <w:rFonts w:ascii="Book Antiqua" w:hAnsi="Book Antiqua"/>
          <w:b w:val="0"/>
          <w:lang w:val="en-US"/>
        </w:rPr>
        <w:t xml:space="preserve">. </w:t>
      </w:r>
      <w:r w:rsidR="006F19FD" w:rsidRPr="0088448D">
        <w:rPr>
          <w:rStyle w:val="a7"/>
          <w:rFonts w:ascii="Book Antiqua" w:hAnsi="Book Antiqua"/>
          <w:b w:val="0"/>
          <w:i/>
          <w:lang w:val="en-US"/>
        </w:rPr>
        <w:t>pylori</w:t>
      </w:r>
      <w:r w:rsidR="006F19FD" w:rsidRPr="0088448D">
        <w:rPr>
          <w:rStyle w:val="a7"/>
          <w:rFonts w:ascii="Book Antiqua" w:hAnsi="Book Antiqua"/>
          <w:b w:val="0"/>
          <w:lang w:val="en-US"/>
        </w:rPr>
        <w:t xml:space="preserve"> induces genomic instability in </w:t>
      </w:r>
      <w:r w:rsidR="009214B6" w:rsidRPr="0088448D">
        <w:rPr>
          <w:rStyle w:val="a7"/>
          <w:rFonts w:ascii="Book Antiqua" w:hAnsi="Book Antiqua"/>
          <w:b w:val="0"/>
          <w:lang w:val="en-US"/>
        </w:rPr>
        <w:t xml:space="preserve">both </w:t>
      </w:r>
      <w:r w:rsidR="006F19FD" w:rsidRPr="0088448D">
        <w:rPr>
          <w:rStyle w:val="a7"/>
          <w:rFonts w:ascii="Book Antiqua" w:hAnsi="Book Antiqua"/>
          <w:b w:val="0"/>
          <w:lang w:val="en-US"/>
        </w:rPr>
        <w:t xml:space="preserve">nuclear and mitochondrial (mt) DNA </w:t>
      </w:r>
      <w:r w:rsidR="004F4286" w:rsidRPr="0088448D">
        <w:rPr>
          <w:rStyle w:val="a7"/>
          <w:rFonts w:ascii="Book Antiqua" w:hAnsi="Book Antiqua"/>
          <w:b w:val="0"/>
          <w:lang w:val="en-US"/>
        </w:rPr>
        <w:t xml:space="preserve">of gastric epithelial cells. </w:t>
      </w:r>
      <w:r w:rsidR="00C74CE7" w:rsidRPr="0088448D">
        <w:rPr>
          <w:rStyle w:val="a7"/>
          <w:rFonts w:ascii="Book Antiqua" w:hAnsi="Book Antiqua"/>
          <w:b w:val="0"/>
          <w:lang w:val="en-US"/>
        </w:rPr>
        <w:t>Changes in mtDNA represent an early event during gastric tumorigenesis, and thus may serve as potential biomarkers for early detection and prognosis in gastric carcinoma.</w:t>
      </w:r>
      <w:r w:rsidR="00A90376" w:rsidRPr="0088448D">
        <w:rPr>
          <w:rStyle w:val="a7"/>
          <w:rFonts w:ascii="Book Antiqua" w:hAnsi="Book Antiqua"/>
          <w:b w:val="0"/>
          <w:lang w:val="en-US"/>
        </w:rPr>
        <w:t>This review ar</w:t>
      </w:r>
      <w:r w:rsidR="00F06F29" w:rsidRPr="0088448D">
        <w:rPr>
          <w:rStyle w:val="a7"/>
          <w:rFonts w:ascii="Book Antiqua" w:hAnsi="Book Antiqua"/>
          <w:b w:val="0"/>
          <w:lang w:val="en-US"/>
        </w:rPr>
        <w:t>ticle summarizes the</w:t>
      </w:r>
      <w:r w:rsidR="00A90376" w:rsidRPr="0088448D">
        <w:rPr>
          <w:rStyle w:val="a7"/>
          <w:rFonts w:ascii="Book Antiqua" w:hAnsi="Book Antiqua"/>
          <w:b w:val="0"/>
          <w:lang w:val="en-US"/>
        </w:rPr>
        <w:t xml:space="preserve">mtDNA mutations that havebeen reported in gastric carcinomas and their precancerous conditions. </w:t>
      </w:r>
      <w:r w:rsidR="0035205A" w:rsidRPr="0088448D">
        <w:rPr>
          <w:rStyle w:val="a7"/>
          <w:rFonts w:ascii="Book Antiqua" w:hAnsi="Book Antiqua"/>
          <w:b w:val="0"/>
          <w:lang w:val="en-US"/>
        </w:rPr>
        <w:t>Unexplored research topic such as t</w:t>
      </w:r>
      <w:r w:rsidR="00553C5C" w:rsidRPr="0088448D">
        <w:rPr>
          <w:rStyle w:val="a7"/>
          <w:rFonts w:ascii="Book Antiqua" w:hAnsi="Book Antiqua"/>
          <w:b w:val="0"/>
          <w:lang w:val="en-US"/>
        </w:rPr>
        <w:t xml:space="preserve">he role of mtDNA alterations in alternative pathway of gastric carcinogenesis is </w:t>
      </w:r>
      <w:r w:rsidR="009214B6" w:rsidRPr="0088448D">
        <w:rPr>
          <w:rStyle w:val="a7"/>
          <w:rFonts w:ascii="Book Antiqua" w:hAnsi="Book Antiqua"/>
          <w:b w:val="0"/>
          <w:lang w:val="en-US"/>
        </w:rPr>
        <w:t>i</w:t>
      </w:r>
      <w:r w:rsidR="00553C5C" w:rsidRPr="0088448D">
        <w:rPr>
          <w:rStyle w:val="a7"/>
          <w:rFonts w:ascii="Book Antiqua" w:hAnsi="Book Antiqua"/>
          <w:b w:val="0"/>
          <w:lang w:val="en-US"/>
        </w:rPr>
        <w:t xml:space="preserve">dentified and directions for future research are </w:t>
      </w:r>
      <w:r w:rsidR="009214B6" w:rsidRPr="0088448D">
        <w:rPr>
          <w:rStyle w:val="a7"/>
          <w:rFonts w:ascii="Book Antiqua" w:hAnsi="Book Antiqua"/>
          <w:b w:val="0"/>
          <w:lang w:val="en-US"/>
        </w:rPr>
        <w:t>suggested</w:t>
      </w:r>
      <w:r w:rsidR="00553C5C" w:rsidRPr="0088448D">
        <w:rPr>
          <w:rStyle w:val="a7"/>
          <w:rFonts w:ascii="Book Antiqua" w:hAnsi="Book Antiqua"/>
          <w:b w:val="0"/>
          <w:lang w:val="en-US"/>
        </w:rPr>
        <w:t>.</w:t>
      </w:r>
    </w:p>
    <w:p w:rsidR="00727BED" w:rsidRPr="0088448D" w:rsidRDefault="00727BED" w:rsidP="0088448D">
      <w:pPr>
        <w:pStyle w:val="a8"/>
        <w:spacing w:line="360" w:lineRule="auto"/>
        <w:jc w:val="both"/>
        <w:rPr>
          <w:rStyle w:val="a7"/>
          <w:rFonts w:ascii="Book Antiqua" w:hAnsi="Book Antiqua"/>
          <w:lang w:val="en-US" w:eastAsia="zh-CN"/>
        </w:rPr>
      </w:pPr>
    </w:p>
    <w:p w:rsidR="00727BED" w:rsidRPr="00712F63" w:rsidRDefault="00727BED" w:rsidP="00727BED">
      <w:pPr>
        <w:spacing w:line="360" w:lineRule="auto"/>
        <w:rPr>
          <w:rFonts w:ascii="Book Antiqua" w:hAnsi="Book Antiqua" w:cs="Arial Unicode MS"/>
        </w:rPr>
      </w:pPr>
      <w:r w:rsidRPr="00712F63">
        <w:rPr>
          <w:rFonts w:ascii="Book Antiqua" w:hAnsi="Book Antiqua"/>
        </w:rPr>
        <w:t xml:space="preserve">© </w:t>
      </w:r>
      <w:r w:rsidRPr="00712F63">
        <w:rPr>
          <w:rFonts w:ascii="Book Antiqua" w:hAnsi="Book Antiqua" w:cs="Arial Unicode MS"/>
        </w:rPr>
        <w:t>2014 Baishideng Publishing Group Inc. All rights reserved.</w:t>
      </w:r>
    </w:p>
    <w:p w:rsidR="004F4286" w:rsidRPr="0088448D" w:rsidRDefault="004F4286" w:rsidP="0088448D">
      <w:pPr>
        <w:pStyle w:val="a8"/>
        <w:spacing w:line="360" w:lineRule="auto"/>
        <w:jc w:val="both"/>
        <w:rPr>
          <w:rStyle w:val="a7"/>
          <w:rFonts w:ascii="Book Antiqua" w:hAnsi="Book Antiqua"/>
          <w:lang w:val="en-US"/>
        </w:rPr>
      </w:pPr>
    </w:p>
    <w:p w:rsidR="00331724" w:rsidRPr="0088448D" w:rsidRDefault="00331724" w:rsidP="0088448D">
      <w:pPr>
        <w:spacing w:line="360" w:lineRule="auto"/>
        <w:jc w:val="both"/>
        <w:rPr>
          <w:rFonts w:ascii="Book Antiqua" w:hAnsi="Book Antiqua"/>
          <w:lang w:val="en-US"/>
        </w:rPr>
      </w:pPr>
      <w:r w:rsidRPr="00727BED">
        <w:rPr>
          <w:rFonts w:ascii="Book Antiqua" w:hAnsi="Book Antiqua"/>
          <w:b/>
          <w:lang w:val="en-US"/>
        </w:rPr>
        <w:t>Key</w:t>
      </w:r>
      <w:r w:rsidR="00727BED" w:rsidRPr="00727BED">
        <w:rPr>
          <w:rFonts w:ascii="Book Antiqua" w:hAnsi="Book Antiqua" w:hint="eastAsia"/>
          <w:b/>
          <w:lang w:val="en-US" w:eastAsia="zh-CN"/>
        </w:rPr>
        <w:t xml:space="preserve"> </w:t>
      </w:r>
      <w:r w:rsidRPr="00727BED">
        <w:rPr>
          <w:rFonts w:ascii="Book Antiqua" w:hAnsi="Book Antiqua"/>
          <w:b/>
          <w:lang w:val="en-US"/>
        </w:rPr>
        <w:t xml:space="preserve">words: </w:t>
      </w:r>
      <w:r w:rsidRPr="0088448D">
        <w:rPr>
          <w:rFonts w:ascii="Book Antiqua" w:hAnsi="Book Antiqua"/>
          <w:lang w:val="en-US"/>
        </w:rPr>
        <w:t>Gastric carcinoma</w:t>
      </w:r>
      <w:r w:rsidR="00727BED">
        <w:rPr>
          <w:rFonts w:ascii="Book Antiqua" w:hAnsi="Book Antiqua" w:hint="eastAsia"/>
          <w:lang w:val="en-US" w:eastAsia="zh-CN"/>
        </w:rPr>
        <w:t xml:space="preserve">; </w:t>
      </w:r>
      <w:r w:rsidR="00727BED" w:rsidRPr="0088448D">
        <w:rPr>
          <w:rFonts w:ascii="Book Antiqua" w:hAnsi="Book Antiqua"/>
          <w:lang w:val="en-US"/>
        </w:rPr>
        <w:t xml:space="preserve">Precancerous </w:t>
      </w:r>
      <w:r w:rsidRPr="0088448D">
        <w:rPr>
          <w:rFonts w:ascii="Book Antiqua" w:hAnsi="Book Antiqua"/>
          <w:lang w:val="en-US"/>
        </w:rPr>
        <w:t>lesions</w:t>
      </w:r>
      <w:r w:rsidR="00727BED">
        <w:rPr>
          <w:rFonts w:ascii="Book Antiqua" w:hAnsi="Book Antiqua" w:hint="eastAsia"/>
          <w:lang w:val="en-US" w:eastAsia="zh-CN"/>
        </w:rPr>
        <w:t xml:space="preserve">; </w:t>
      </w:r>
      <w:r w:rsidR="00727BED" w:rsidRPr="0088448D">
        <w:rPr>
          <w:rFonts w:ascii="Book Antiqua" w:hAnsi="Book Antiqua"/>
          <w:lang w:val="en-US"/>
        </w:rPr>
        <w:t>Histopathology</w:t>
      </w:r>
      <w:r w:rsidR="00727BED">
        <w:rPr>
          <w:rFonts w:ascii="Book Antiqua" w:hAnsi="Book Antiqua" w:hint="eastAsia"/>
          <w:lang w:val="en-US" w:eastAsia="zh-CN"/>
        </w:rPr>
        <w:t>;</w:t>
      </w:r>
      <w:r w:rsidRPr="0088448D">
        <w:rPr>
          <w:rFonts w:ascii="Book Antiqua" w:hAnsi="Book Antiqua"/>
          <w:lang w:val="en-US"/>
        </w:rPr>
        <w:t xml:space="preserve"> mtDNA</w:t>
      </w:r>
      <w:r w:rsidR="00727BED">
        <w:rPr>
          <w:rFonts w:ascii="Book Antiqua" w:hAnsi="Book Antiqua" w:hint="eastAsia"/>
          <w:lang w:val="en-US" w:eastAsia="zh-CN"/>
        </w:rPr>
        <w:t>;</w:t>
      </w:r>
      <w:r w:rsidRPr="0088448D">
        <w:rPr>
          <w:rFonts w:ascii="Book Antiqua" w:hAnsi="Book Antiqua"/>
          <w:lang w:val="en-US"/>
        </w:rPr>
        <w:t xml:space="preserve"> </w:t>
      </w:r>
      <w:r w:rsidR="00727BED" w:rsidRPr="0088448D">
        <w:rPr>
          <w:rFonts w:ascii="Book Antiqua" w:hAnsi="Book Antiqua"/>
          <w:lang w:val="en-US"/>
        </w:rPr>
        <w:t xml:space="preserve">Molecular </w:t>
      </w:r>
      <w:r w:rsidRPr="0088448D">
        <w:rPr>
          <w:rFonts w:ascii="Book Antiqua" w:hAnsi="Book Antiqua"/>
          <w:lang w:val="en-US"/>
        </w:rPr>
        <w:t>biology</w:t>
      </w:r>
    </w:p>
    <w:p w:rsidR="00331724" w:rsidRPr="0088448D" w:rsidRDefault="00331724" w:rsidP="0088448D">
      <w:pPr>
        <w:spacing w:line="360" w:lineRule="auto"/>
        <w:jc w:val="both"/>
        <w:rPr>
          <w:rFonts w:ascii="Book Antiqua" w:hAnsi="Book Antiqua"/>
          <w:lang w:val="en-US" w:eastAsia="zh-CN"/>
        </w:rPr>
      </w:pPr>
    </w:p>
    <w:p w:rsidR="00331724" w:rsidRPr="00727BED" w:rsidRDefault="00331724" w:rsidP="0088448D">
      <w:pPr>
        <w:spacing w:line="360" w:lineRule="auto"/>
        <w:jc w:val="both"/>
        <w:rPr>
          <w:rFonts w:ascii="Book Antiqua" w:hAnsi="Book Antiqua"/>
          <w:bCs/>
          <w:lang w:val="en-US"/>
        </w:rPr>
      </w:pPr>
      <w:r w:rsidRPr="00727BED">
        <w:rPr>
          <w:rStyle w:val="a7"/>
          <w:rFonts w:ascii="Book Antiqua" w:hAnsi="Book Antiqua"/>
          <w:lang w:val="en-US"/>
        </w:rPr>
        <w:t>Core tip:</w:t>
      </w:r>
      <w:r w:rsidRPr="0088448D">
        <w:rPr>
          <w:rStyle w:val="a7"/>
          <w:rFonts w:ascii="Book Antiqua" w:hAnsi="Book Antiqua"/>
          <w:b w:val="0"/>
          <w:lang w:val="en-US"/>
        </w:rPr>
        <w:t xml:space="preserve"> Gastric cancer is a heterogeneous disease with multiple environmental etiologies and alternati</w:t>
      </w:r>
      <w:r w:rsidR="00727BED">
        <w:rPr>
          <w:rStyle w:val="a7"/>
          <w:rFonts w:ascii="Book Antiqua" w:hAnsi="Book Antiqua"/>
          <w:b w:val="0"/>
          <w:lang w:val="en-US"/>
        </w:rPr>
        <w:t xml:space="preserve">ve pathways of carcinogenesis. </w:t>
      </w:r>
      <w:r w:rsidRPr="0088448D">
        <w:rPr>
          <w:rStyle w:val="a7"/>
          <w:rFonts w:ascii="Book Antiqua" w:hAnsi="Book Antiqua"/>
          <w:b w:val="0"/>
          <w:lang w:val="en-US"/>
        </w:rPr>
        <w:t xml:space="preserve">Somatic mtDNA mutations and variable mtDNA copy number are involved in gastric tumorigenesis. The aim of this article is to review the growing literature on the mtDNA changes in gastric carcinomas and in their precancerous conditions. Furthermore, the authors describe which research questions remain unexplored, and suggest future research directions.  </w:t>
      </w:r>
    </w:p>
    <w:p w:rsidR="00331724" w:rsidRPr="0088448D" w:rsidRDefault="00331724" w:rsidP="0088448D">
      <w:pPr>
        <w:spacing w:line="360" w:lineRule="auto"/>
        <w:jc w:val="both"/>
        <w:rPr>
          <w:rFonts w:ascii="Book Antiqua" w:hAnsi="Book Antiqua"/>
          <w:lang w:val="en-US"/>
        </w:rPr>
      </w:pPr>
    </w:p>
    <w:p w:rsidR="00331724" w:rsidRPr="0088448D" w:rsidRDefault="00727BED" w:rsidP="0088448D">
      <w:pPr>
        <w:spacing w:line="360" w:lineRule="auto"/>
        <w:jc w:val="both"/>
        <w:rPr>
          <w:rFonts w:ascii="Book Antiqua" w:hAnsi="Book Antiqua"/>
          <w:lang w:val="en-US" w:eastAsia="zh-CN"/>
        </w:rPr>
      </w:pPr>
      <w:bookmarkStart w:id="39" w:name="OLE_LINK424"/>
      <w:bookmarkStart w:id="40" w:name="OLE_LINK425"/>
      <w:bookmarkStart w:id="41" w:name="OLE_LINK130"/>
      <w:bookmarkStart w:id="42" w:name="OLE_LINK134"/>
      <w:r w:rsidRPr="0088448D">
        <w:rPr>
          <w:rFonts w:ascii="Book Antiqua" w:hAnsi="Book Antiqua"/>
          <w:lang w:val="en-US"/>
        </w:rPr>
        <w:t>Rigoli</w:t>
      </w:r>
      <w:r>
        <w:rPr>
          <w:rFonts w:ascii="Book Antiqua" w:hAnsi="Book Antiqua" w:hint="eastAsia"/>
          <w:lang w:val="en-US" w:eastAsia="zh-CN"/>
        </w:rPr>
        <w:t xml:space="preserve"> L, </w:t>
      </w:r>
      <w:r w:rsidRPr="0088448D">
        <w:rPr>
          <w:rFonts w:ascii="Book Antiqua" w:hAnsi="Book Antiqua"/>
          <w:lang w:val="en-US"/>
        </w:rPr>
        <w:t>Caruso RA</w:t>
      </w:r>
      <w:r>
        <w:rPr>
          <w:rFonts w:ascii="Book Antiqua" w:hAnsi="Book Antiqua" w:hint="eastAsia"/>
          <w:lang w:val="en-US" w:eastAsia="zh-CN"/>
        </w:rPr>
        <w:t xml:space="preserve">. </w:t>
      </w:r>
      <w:r w:rsidRPr="00727BED">
        <w:rPr>
          <w:rFonts w:ascii="Book Antiqua" w:hAnsi="Book Antiqua"/>
          <w:lang w:val="en-US" w:eastAsia="zh-CN"/>
        </w:rPr>
        <w:t>Mitochondrial DNA alterations in the progression of gastric carcinomas: Unexplored issues and future research needs</w:t>
      </w:r>
      <w:r>
        <w:rPr>
          <w:rFonts w:ascii="Book Antiqua" w:hAnsi="Book Antiqua" w:hint="eastAsia"/>
          <w:lang w:val="en-US" w:eastAsia="zh-CN"/>
        </w:rPr>
        <w:t xml:space="preserve">. </w:t>
      </w:r>
      <w:r w:rsidRPr="00712F63">
        <w:rPr>
          <w:rFonts w:ascii="Book Antiqua" w:hAnsi="Book Antiqua"/>
          <w:i/>
        </w:rPr>
        <w:t>World J Gastroenterol</w:t>
      </w:r>
      <w:r w:rsidRPr="00712F63">
        <w:rPr>
          <w:rFonts w:ascii="Book Antiqua" w:hAnsi="Book Antiqua"/>
        </w:rPr>
        <w:t xml:space="preserve"> 2014; </w:t>
      </w:r>
      <w:bookmarkStart w:id="43" w:name="OLE_LINK1689"/>
      <w:bookmarkStart w:id="44" w:name="OLE_LINK1298"/>
      <w:bookmarkStart w:id="45" w:name="OLE_LINK1297"/>
      <w:r w:rsidRPr="00712F63">
        <w:rPr>
          <w:rFonts w:ascii="Book Antiqua" w:hAnsi="Book Antiqua"/>
        </w:rPr>
        <w:t>In press</w:t>
      </w:r>
      <w:bookmarkEnd w:id="39"/>
      <w:bookmarkEnd w:id="40"/>
      <w:bookmarkEnd w:id="41"/>
      <w:bookmarkEnd w:id="42"/>
      <w:bookmarkEnd w:id="43"/>
      <w:bookmarkEnd w:id="44"/>
      <w:bookmarkEnd w:id="45"/>
    </w:p>
    <w:p w:rsidR="00331724" w:rsidRPr="0088448D" w:rsidRDefault="00331724" w:rsidP="0088448D">
      <w:pPr>
        <w:pStyle w:val="a8"/>
        <w:spacing w:line="360" w:lineRule="auto"/>
        <w:jc w:val="both"/>
        <w:rPr>
          <w:rStyle w:val="a7"/>
          <w:rFonts w:ascii="Book Antiqua" w:hAnsi="Book Antiqua"/>
          <w:lang w:val="en-US"/>
        </w:rPr>
      </w:pPr>
    </w:p>
    <w:p w:rsidR="00727BED" w:rsidRDefault="00727BED">
      <w:pPr>
        <w:rPr>
          <w:rStyle w:val="a7"/>
          <w:rFonts w:ascii="Book Antiqua" w:hAnsi="Book Antiqua"/>
          <w:lang w:val="en-US"/>
        </w:rPr>
      </w:pPr>
      <w:r>
        <w:rPr>
          <w:rStyle w:val="a7"/>
          <w:rFonts w:ascii="Book Antiqua" w:hAnsi="Book Antiqua"/>
          <w:lang w:val="en-US"/>
        </w:rPr>
        <w:br w:type="page"/>
      </w:r>
    </w:p>
    <w:p w:rsidR="00EB7B23" w:rsidRPr="0088448D" w:rsidRDefault="00727BED" w:rsidP="0088448D">
      <w:pPr>
        <w:pStyle w:val="a8"/>
        <w:spacing w:line="360" w:lineRule="auto"/>
        <w:jc w:val="both"/>
        <w:rPr>
          <w:rStyle w:val="a7"/>
          <w:rFonts w:ascii="Book Antiqua" w:hAnsi="Book Antiqua"/>
          <w:lang w:val="en-US"/>
        </w:rPr>
      </w:pPr>
      <w:r w:rsidRPr="0088448D">
        <w:rPr>
          <w:rStyle w:val="a7"/>
          <w:rFonts w:ascii="Book Antiqua" w:hAnsi="Book Antiqua"/>
          <w:lang w:val="en-US"/>
        </w:rPr>
        <w:lastRenderedPageBreak/>
        <w:t>INTRODUCTION</w:t>
      </w:r>
    </w:p>
    <w:p w:rsidR="000E5CCF" w:rsidRPr="0088448D" w:rsidRDefault="00C42F88" w:rsidP="0088448D">
      <w:pPr>
        <w:spacing w:line="360" w:lineRule="auto"/>
        <w:jc w:val="both"/>
        <w:rPr>
          <w:rStyle w:val="a7"/>
          <w:rFonts w:ascii="Book Antiqua" w:hAnsi="Book Antiqua"/>
          <w:b w:val="0"/>
          <w:lang w:val="en-US"/>
        </w:rPr>
      </w:pPr>
      <w:r w:rsidRPr="0088448D">
        <w:rPr>
          <w:rFonts w:ascii="Book Antiqua" w:hAnsi="Book Antiqua"/>
          <w:lang w:val="en-US"/>
        </w:rPr>
        <w:t xml:space="preserve">Mitochondria are cytoplasmic organelles that play an essential role </w:t>
      </w:r>
      <w:r w:rsidR="005E5877" w:rsidRPr="0088448D">
        <w:rPr>
          <w:rFonts w:ascii="Book Antiqua" w:hAnsi="Book Antiqua"/>
          <w:lang w:val="en-US"/>
        </w:rPr>
        <w:t>in numerous biological process</w:t>
      </w:r>
      <w:r w:rsidR="00D65B6E" w:rsidRPr="0088448D">
        <w:rPr>
          <w:rFonts w:ascii="Book Antiqua" w:hAnsi="Book Antiqua"/>
          <w:lang w:val="en-US"/>
        </w:rPr>
        <w:t>es</w:t>
      </w:r>
      <w:r w:rsidR="005E5877" w:rsidRPr="0088448D">
        <w:rPr>
          <w:rFonts w:ascii="Book Antiqua" w:hAnsi="Book Antiqua"/>
          <w:lang w:val="en-US"/>
        </w:rPr>
        <w:t xml:space="preserve"> such as ATP production, iron and calcium omeostasis, production </w:t>
      </w:r>
      <w:r w:rsidR="0076587D" w:rsidRPr="0088448D">
        <w:rPr>
          <w:rFonts w:ascii="Book Antiqua" w:hAnsi="Book Antiqua"/>
          <w:lang w:val="en-US"/>
        </w:rPr>
        <w:t>of reactive oxygen species</w:t>
      </w:r>
      <w:r w:rsidR="005E5877" w:rsidRPr="0088448D">
        <w:rPr>
          <w:rFonts w:ascii="Book Antiqua" w:hAnsi="Book Antiqua"/>
          <w:lang w:val="en-US"/>
        </w:rPr>
        <w:t xml:space="preserve">, </w:t>
      </w:r>
      <w:r w:rsidR="00A90376" w:rsidRPr="0088448D">
        <w:rPr>
          <w:rFonts w:ascii="Book Antiqua" w:hAnsi="Book Antiqua"/>
          <w:lang w:val="en-US"/>
        </w:rPr>
        <w:t xml:space="preserve">autophagic cell death </w:t>
      </w:r>
      <w:r w:rsidR="005E5877" w:rsidRPr="0088448D">
        <w:rPr>
          <w:rFonts w:ascii="Book Antiqua" w:hAnsi="Book Antiqua"/>
          <w:lang w:val="en-US"/>
        </w:rPr>
        <w:t>and apoptosis</w:t>
      </w:r>
      <w:r w:rsidR="00954EA8" w:rsidRPr="0088448D">
        <w:rPr>
          <w:rStyle w:val="a7"/>
          <w:rFonts w:ascii="Book Antiqua" w:hAnsi="Book Antiqua"/>
          <w:b w:val="0"/>
          <w:vertAlign w:val="superscript"/>
          <w:lang w:val="en-US"/>
        </w:rPr>
        <w:t>[1</w:t>
      </w:r>
      <w:r w:rsidR="00B0695E" w:rsidRPr="0088448D">
        <w:rPr>
          <w:rStyle w:val="a7"/>
          <w:rFonts w:ascii="Book Antiqua" w:hAnsi="Book Antiqua"/>
          <w:b w:val="0"/>
          <w:vertAlign w:val="superscript"/>
          <w:lang w:val="en-US"/>
        </w:rPr>
        <w:t>]</w:t>
      </w:r>
      <w:r w:rsidR="00D65B6E" w:rsidRPr="0088448D">
        <w:rPr>
          <w:rFonts w:ascii="Book Antiqua" w:hAnsi="Book Antiqua"/>
          <w:lang w:val="en-US"/>
        </w:rPr>
        <w:t>. M</w:t>
      </w:r>
      <w:r w:rsidR="005E5877" w:rsidRPr="0088448D">
        <w:rPr>
          <w:rFonts w:ascii="Book Antiqua" w:hAnsi="Book Antiqua"/>
          <w:lang w:val="en-US"/>
        </w:rPr>
        <w:t xml:space="preserve">itochondrial (mt) DNA was initially considered </w:t>
      </w:r>
      <w:r w:rsidR="007976EE" w:rsidRPr="0088448D">
        <w:rPr>
          <w:rFonts w:ascii="Book Antiqua" w:hAnsi="Book Antiqua"/>
          <w:lang w:val="en-US"/>
        </w:rPr>
        <w:t>to</w:t>
      </w:r>
      <w:r w:rsidR="00B0695E" w:rsidRPr="0088448D">
        <w:rPr>
          <w:rFonts w:ascii="Book Antiqua" w:hAnsi="Book Antiqua"/>
          <w:lang w:val="en-US"/>
        </w:rPr>
        <w:t>be</w:t>
      </w:r>
      <w:r w:rsidR="005E5877" w:rsidRPr="0088448D">
        <w:rPr>
          <w:rFonts w:ascii="Book Antiqua" w:hAnsi="Book Antiqua"/>
          <w:lang w:val="en-US"/>
        </w:rPr>
        <w:t>naked, unprotec</w:t>
      </w:r>
      <w:r w:rsidR="00E645B6" w:rsidRPr="0088448D">
        <w:rPr>
          <w:rFonts w:ascii="Book Antiqua" w:hAnsi="Book Antiqua"/>
          <w:lang w:val="en-US"/>
        </w:rPr>
        <w:t>ted, and vulnerable to injuries.</w:t>
      </w:r>
      <w:r w:rsidR="005E5877" w:rsidRPr="0088448D">
        <w:rPr>
          <w:rFonts w:ascii="Book Antiqua" w:hAnsi="Book Antiqua"/>
          <w:lang w:val="en-US"/>
        </w:rPr>
        <w:t xml:space="preserve"> However, recently several works have shown that mtDNA is protein-coated and packaged into aggregates called nucleoids</w:t>
      </w:r>
      <w:r w:rsidR="00915C07" w:rsidRPr="0088448D">
        <w:rPr>
          <w:rStyle w:val="a7"/>
          <w:rFonts w:ascii="Book Antiqua" w:hAnsi="Book Antiqua"/>
          <w:b w:val="0"/>
          <w:vertAlign w:val="superscript"/>
          <w:lang w:val="en-US"/>
        </w:rPr>
        <w:t>[</w:t>
      </w:r>
      <w:r w:rsidR="00954EA8" w:rsidRPr="0088448D">
        <w:rPr>
          <w:rStyle w:val="a7"/>
          <w:rFonts w:ascii="Book Antiqua" w:hAnsi="Book Antiqua"/>
          <w:b w:val="0"/>
          <w:vertAlign w:val="superscript"/>
          <w:lang w:val="en-US"/>
        </w:rPr>
        <w:t>2-3</w:t>
      </w:r>
      <w:r w:rsidR="00915C07" w:rsidRPr="0088448D">
        <w:rPr>
          <w:rStyle w:val="a7"/>
          <w:rFonts w:ascii="Book Antiqua" w:hAnsi="Book Antiqua"/>
          <w:b w:val="0"/>
          <w:vertAlign w:val="superscript"/>
          <w:lang w:val="en-US"/>
        </w:rPr>
        <w:t>]</w:t>
      </w:r>
      <w:r w:rsidR="000733C0" w:rsidRPr="0088448D">
        <w:rPr>
          <w:rFonts w:ascii="Book Antiqua" w:hAnsi="Book Antiqua" w:cs="Avenir 45 Book"/>
          <w:lang w:val="en-US"/>
        </w:rPr>
        <w:t>. Nucleoids are also important for the biogenesis of mtDNA, as they contain proteins that mediate DNA replication, repair, and recombination</w:t>
      </w:r>
      <w:r w:rsidR="00915C07" w:rsidRPr="0088448D">
        <w:rPr>
          <w:rStyle w:val="a7"/>
          <w:rFonts w:ascii="Book Antiqua" w:hAnsi="Book Antiqua"/>
          <w:b w:val="0"/>
          <w:vertAlign w:val="superscript"/>
          <w:lang w:val="en-US"/>
        </w:rPr>
        <w:t>[</w:t>
      </w:r>
      <w:r w:rsidR="00954EA8" w:rsidRPr="0088448D">
        <w:rPr>
          <w:rStyle w:val="a7"/>
          <w:rFonts w:ascii="Book Antiqua" w:hAnsi="Book Antiqua"/>
          <w:b w:val="0"/>
          <w:vertAlign w:val="superscript"/>
          <w:lang w:val="en-US"/>
        </w:rPr>
        <w:t>4-5</w:t>
      </w:r>
      <w:r w:rsidR="00915C07" w:rsidRPr="0088448D">
        <w:rPr>
          <w:rStyle w:val="a7"/>
          <w:rFonts w:ascii="Book Antiqua" w:hAnsi="Book Antiqua"/>
          <w:b w:val="0"/>
          <w:vertAlign w:val="superscript"/>
          <w:lang w:val="en-US"/>
        </w:rPr>
        <w:t>]</w:t>
      </w:r>
      <w:r w:rsidR="000733C0" w:rsidRPr="0088448D">
        <w:rPr>
          <w:rFonts w:ascii="Book Antiqua" w:hAnsi="Book Antiqua" w:cs="Avenir 45 Book"/>
          <w:lang w:val="en-US"/>
        </w:rPr>
        <w:t>.</w:t>
      </w:r>
      <w:r w:rsidR="00727BED">
        <w:rPr>
          <w:rFonts w:ascii="Book Antiqua" w:hAnsi="Book Antiqua" w:cs="Avenir 45 Book" w:hint="eastAsia"/>
          <w:lang w:val="en-US" w:eastAsia="zh-CN"/>
        </w:rPr>
        <w:t xml:space="preserve"> </w:t>
      </w:r>
      <w:r w:rsidR="00B14664" w:rsidRPr="0088448D">
        <w:rPr>
          <w:rFonts w:ascii="Book Antiqua" w:hAnsi="Book Antiqua"/>
          <w:lang w:val="en-US"/>
        </w:rPr>
        <w:t xml:space="preserve">Human mtDNA is a 16.6-kb double-stranded </w:t>
      </w:r>
      <w:r w:rsidR="00CA4DEF" w:rsidRPr="0088448D">
        <w:rPr>
          <w:rFonts w:ascii="Book Antiqua" w:hAnsi="Book Antiqua"/>
          <w:lang w:val="en-US"/>
        </w:rPr>
        <w:t>closed-</w:t>
      </w:r>
      <w:r w:rsidR="00B14664" w:rsidRPr="0088448D">
        <w:rPr>
          <w:rFonts w:ascii="Book Antiqua" w:hAnsi="Book Antiqua"/>
          <w:lang w:val="en-US"/>
        </w:rPr>
        <w:t xml:space="preserve">circular DNA molecule, and </w:t>
      </w:r>
      <w:r w:rsidR="00D65B6E" w:rsidRPr="0088448D">
        <w:rPr>
          <w:rFonts w:ascii="Book Antiqua" w:hAnsi="Book Antiqua"/>
          <w:lang w:val="en-US"/>
        </w:rPr>
        <w:t xml:space="preserve">a </w:t>
      </w:r>
      <w:r w:rsidR="00B14664" w:rsidRPr="0088448D">
        <w:rPr>
          <w:rFonts w:ascii="Book Antiqua" w:hAnsi="Book Antiqua"/>
          <w:lang w:val="en-US"/>
        </w:rPr>
        <w:t xml:space="preserve">few hundreds to several thousand copies of </w:t>
      </w:r>
      <w:r w:rsidR="00B342C9" w:rsidRPr="0088448D">
        <w:rPr>
          <w:rFonts w:ascii="Book Antiqua" w:hAnsi="Book Antiqua"/>
          <w:lang w:val="en-US"/>
        </w:rPr>
        <w:t>mtDNA are present in each cell</w:t>
      </w:r>
      <w:r w:rsidR="00EE5981" w:rsidRPr="0088448D">
        <w:rPr>
          <w:rFonts w:ascii="Book Antiqua" w:hAnsi="Book Antiqua"/>
          <w:vertAlign w:val="superscript"/>
          <w:lang w:val="en-US"/>
        </w:rPr>
        <w:t>[</w:t>
      </w:r>
      <w:r w:rsidR="00954EA8" w:rsidRPr="0088448D">
        <w:rPr>
          <w:rFonts w:ascii="Book Antiqua" w:hAnsi="Book Antiqua"/>
          <w:vertAlign w:val="superscript"/>
          <w:lang w:val="en-US"/>
        </w:rPr>
        <w:t>6-7</w:t>
      </w:r>
      <w:r w:rsidR="00EE5981" w:rsidRPr="0088448D">
        <w:rPr>
          <w:rFonts w:ascii="Book Antiqua" w:hAnsi="Book Antiqua"/>
          <w:vertAlign w:val="superscript"/>
          <w:lang w:val="en-US"/>
        </w:rPr>
        <w:t>]</w:t>
      </w:r>
      <w:r w:rsidR="00727BED">
        <w:rPr>
          <w:rFonts w:ascii="Book Antiqua" w:hAnsi="Book Antiqua" w:hint="eastAsia"/>
          <w:lang w:val="en-US" w:eastAsia="zh-CN"/>
        </w:rPr>
        <w:t xml:space="preserve">. </w:t>
      </w:r>
      <w:r w:rsidR="000D3D7A" w:rsidRPr="0088448D">
        <w:rPr>
          <w:rStyle w:val="a7"/>
          <w:rFonts w:ascii="Book Antiqua" w:hAnsi="Book Antiqua"/>
          <w:b w:val="0"/>
          <w:lang w:val="en-US"/>
        </w:rPr>
        <w:t>I</w:t>
      </w:r>
      <w:r w:rsidR="002709AC" w:rsidRPr="0088448D">
        <w:rPr>
          <w:rStyle w:val="a7"/>
          <w:rFonts w:ascii="Book Antiqua" w:hAnsi="Book Antiqua"/>
          <w:b w:val="0"/>
          <w:lang w:val="en-US"/>
        </w:rPr>
        <w:t>t contains 37 genes including the structural genes for 13 polypeptide</w:t>
      </w:r>
      <w:r w:rsidR="00AA3232" w:rsidRPr="0088448D">
        <w:rPr>
          <w:rStyle w:val="a7"/>
          <w:rFonts w:ascii="Book Antiqua" w:hAnsi="Book Antiqua"/>
          <w:b w:val="0"/>
          <w:lang w:val="en-US"/>
        </w:rPr>
        <w:t>s of th</w:t>
      </w:r>
      <w:r w:rsidR="0045429C" w:rsidRPr="0088448D">
        <w:rPr>
          <w:rStyle w:val="a7"/>
          <w:rFonts w:ascii="Book Antiqua" w:hAnsi="Book Antiqua"/>
          <w:b w:val="0"/>
          <w:lang w:val="en-US"/>
        </w:rPr>
        <w:t>e electron transport chain</w:t>
      </w:r>
      <w:r w:rsidR="00AA3232" w:rsidRPr="0088448D">
        <w:rPr>
          <w:rStyle w:val="a7"/>
          <w:rFonts w:ascii="Book Antiqua" w:hAnsi="Book Antiqua"/>
          <w:b w:val="0"/>
          <w:lang w:val="en-US"/>
        </w:rPr>
        <w:t xml:space="preserve"> involved in oxidative phosphorylation, </w:t>
      </w:r>
      <w:r w:rsidR="00EE406C" w:rsidRPr="0088448D">
        <w:rPr>
          <w:rStyle w:val="a7"/>
          <w:rFonts w:ascii="Book Antiqua" w:hAnsi="Book Antiqua"/>
          <w:b w:val="0"/>
          <w:lang w:val="en-US"/>
        </w:rPr>
        <w:t>two ribosomal RNAs, and a complete set of 22 tRNAs that are required for translation of the mtDNA-encoded mRNAs</w:t>
      </w:r>
      <w:r w:rsidR="00EE5981" w:rsidRPr="0088448D">
        <w:rPr>
          <w:rStyle w:val="a7"/>
          <w:rFonts w:ascii="Book Antiqua" w:hAnsi="Book Antiqua"/>
          <w:b w:val="0"/>
          <w:vertAlign w:val="superscript"/>
          <w:lang w:val="en-US"/>
        </w:rPr>
        <w:t>[</w:t>
      </w:r>
      <w:r w:rsidR="00FE2E0A" w:rsidRPr="0088448D">
        <w:rPr>
          <w:rStyle w:val="a7"/>
          <w:rFonts w:ascii="Book Antiqua" w:hAnsi="Book Antiqua"/>
          <w:b w:val="0"/>
          <w:vertAlign w:val="superscript"/>
          <w:lang w:val="en-US"/>
        </w:rPr>
        <w:t>8</w:t>
      </w:r>
      <w:r w:rsidR="00EE5981" w:rsidRPr="0088448D">
        <w:rPr>
          <w:rStyle w:val="a7"/>
          <w:rFonts w:ascii="Book Antiqua" w:hAnsi="Book Antiqua"/>
          <w:b w:val="0"/>
          <w:vertAlign w:val="superscript"/>
          <w:lang w:val="en-US"/>
        </w:rPr>
        <w:t>]</w:t>
      </w:r>
      <w:r w:rsidR="00EE406C" w:rsidRPr="0088448D">
        <w:rPr>
          <w:rStyle w:val="a7"/>
          <w:rFonts w:ascii="Book Antiqua" w:hAnsi="Book Antiqua"/>
          <w:b w:val="0"/>
          <w:lang w:val="en-US"/>
        </w:rPr>
        <w:t>.</w:t>
      </w:r>
      <w:r w:rsidR="00727BED">
        <w:rPr>
          <w:rStyle w:val="a7"/>
          <w:rFonts w:ascii="Book Antiqua" w:hAnsi="Book Antiqua" w:hint="eastAsia"/>
          <w:b w:val="0"/>
          <w:lang w:val="en-US" w:eastAsia="zh-CN"/>
        </w:rPr>
        <w:t xml:space="preserve"> </w:t>
      </w:r>
      <w:r w:rsidR="006769BF" w:rsidRPr="0088448D">
        <w:rPr>
          <w:rStyle w:val="a7"/>
          <w:rFonts w:ascii="Book Antiqua" w:hAnsi="Book Antiqua"/>
          <w:b w:val="0"/>
          <w:lang w:val="en-US"/>
        </w:rPr>
        <w:t>In addition, mtD</w:t>
      </w:r>
      <w:r w:rsidR="0045429C" w:rsidRPr="0088448D">
        <w:rPr>
          <w:rStyle w:val="a7"/>
          <w:rFonts w:ascii="Book Antiqua" w:hAnsi="Book Antiqua"/>
          <w:b w:val="0"/>
          <w:lang w:val="en-US"/>
        </w:rPr>
        <w:t>NA contains a non-coding region: the</w:t>
      </w:r>
      <w:r w:rsidR="006769BF" w:rsidRPr="0088448D">
        <w:rPr>
          <w:rStyle w:val="a7"/>
          <w:rFonts w:ascii="Book Antiqua" w:hAnsi="Book Antiqua"/>
          <w:b w:val="0"/>
          <w:lang w:val="en-US"/>
        </w:rPr>
        <w:t xml:space="preserve"> displacement loop (D-loop)</w:t>
      </w:r>
      <w:r w:rsidR="00EE406C" w:rsidRPr="0088448D">
        <w:rPr>
          <w:rStyle w:val="a7"/>
          <w:rFonts w:ascii="Book Antiqua" w:hAnsi="Book Antiqua"/>
          <w:b w:val="0"/>
          <w:lang w:val="en-US"/>
        </w:rPr>
        <w:t xml:space="preserve"> that controls both</w:t>
      </w:r>
      <w:r w:rsidR="00BE0476" w:rsidRPr="0088448D">
        <w:rPr>
          <w:rStyle w:val="a7"/>
          <w:rFonts w:ascii="Book Antiqua" w:hAnsi="Book Antiqua"/>
          <w:b w:val="0"/>
          <w:lang w:val="en-US"/>
        </w:rPr>
        <w:t xml:space="preserve"> replication and transcription</w:t>
      </w:r>
      <w:r w:rsidR="00EE5981" w:rsidRPr="0088448D">
        <w:rPr>
          <w:rStyle w:val="a7"/>
          <w:rFonts w:ascii="Book Antiqua" w:hAnsi="Book Antiqua"/>
          <w:b w:val="0"/>
          <w:vertAlign w:val="superscript"/>
          <w:lang w:val="en-US"/>
        </w:rPr>
        <w:t>[</w:t>
      </w:r>
      <w:r w:rsidR="00FE2E0A" w:rsidRPr="0088448D">
        <w:rPr>
          <w:rStyle w:val="a7"/>
          <w:rFonts w:ascii="Book Antiqua" w:hAnsi="Book Antiqua"/>
          <w:b w:val="0"/>
          <w:vertAlign w:val="superscript"/>
          <w:lang w:val="en-US"/>
        </w:rPr>
        <w:t>9</w:t>
      </w:r>
      <w:r w:rsidR="00EE5981" w:rsidRPr="0088448D">
        <w:rPr>
          <w:rStyle w:val="a7"/>
          <w:rFonts w:ascii="Book Antiqua" w:hAnsi="Book Antiqua"/>
          <w:b w:val="0"/>
          <w:vertAlign w:val="superscript"/>
          <w:lang w:val="en-US"/>
        </w:rPr>
        <w:t>]</w:t>
      </w:r>
      <w:r w:rsidR="00727BED">
        <w:rPr>
          <w:rStyle w:val="a7"/>
          <w:rFonts w:ascii="Book Antiqua" w:hAnsi="Book Antiqua" w:hint="eastAsia"/>
          <w:b w:val="0"/>
          <w:lang w:val="en-US" w:eastAsia="zh-CN"/>
        </w:rPr>
        <w:t xml:space="preserve">. </w:t>
      </w:r>
      <w:r w:rsidR="00CA4DEF" w:rsidRPr="0088448D">
        <w:rPr>
          <w:rStyle w:val="a7"/>
          <w:rFonts w:ascii="Book Antiqua" w:hAnsi="Book Antiqua"/>
          <w:b w:val="0"/>
          <w:lang w:val="en-US"/>
        </w:rPr>
        <w:t>Generally, each human cell contains several hundred to 1000 mitochondria, and each mitochondrion has 2</w:t>
      </w:r>
      <w:r w:rsidR="002B091D">
        <w:rPr>
          <w:rStyle w:val="a7"/>
          <w:rFonts w:ascii="Book Antiqua" w:hAnsi="Book Antiqua" w:hint="eastAsia"/>
          <w:b w:val="0"/>
          <w:lang w:val="en-US" w:eastAsia="zh-CN"/>
        </w:rPr>
        <w:t>-</w:t>
      </w:r>
      <w:r w:rsidR="00CA4DEF" w:rsidRPr="0088448D">
        <w:rPr>
          <w:rStyle w:val="a7"/>
          <w:rFonts w:ascii="Book Antiqua" w:hAnsi="Book Antiqua"/>
          <w:b w:val="0"/>
          <w:lang w:val="en-US"/>
        </w:rPr>
        <w:t>10 copies of mtDNA.</w:t>
      </w:r>
      <w:r w:rsidR="002B091D">
        <w:rPr>
          <w:rStyle w:val="a7"/>
          <w:rFonts w:ascii="Book Antiqua" w:hAnsi="Book Antiqua" w:hint="eastAsia"/>
          <w:b w:val="0"/>
          <w:lang w:val="en-US" w:eastAsia="zh-CN"/>
        </w:rPr>
        <w:t xml:space="preserve"> </w:t>
      </w:r>
      <w:r w:rsidR="00096FFD" w:rsidRPr="0088448D">
        <w:rPr>
          <w:rStyle w:val="a7"/>
          <w:rFonts w:ascii="Book Antiqua" w:eastAsia="Times-Roman" w:hAnsi="Book Antiqua"/>
          <w:b w:val="0"/>
          <w:lang w:val="en-US"/>
        </w:rPr>
        <w:t>Somatic mtDNA mutations occur randomly</w:t>
      </w:r>
      <w:r w:rsidR="00D65B6E" w:rsidRPr="0088448D">
        <w:rPr>
          <w:rStyle w:val="a7"/>
          <w:rFonts w:ascii="Book Antiqua" w:eastAsia="Times-Roman" w:hAnsi="Book Antiqua"/>
          <w:b w:val="0"/>
          <w:lang w:val="en-US"/>
        </w:rPr>
        <w:t>,</w:t>
      </w:r>
      <w:r w:rsidR="000024E8" w:rsidRPr="0088448D">
        <w:rPr>
          <w:rFonts w:ascii="Book Antiqua" w:eastAsia="Times-Roman" w:hAnsi="Book Antiqua"/>
          <w:lang w:val="en-US"/>
        </w:rPr>
        <w:t>both in the non</w:t>
      </w:r>
      <w:r w:rsidR="00D65B6E" w:rsidRPr="0088448D">
        <w:rPr>
          <w:rFonts w:ascii="Book Antiqua" w:eastAsia="Times-Roman" w:hAnsi="Book Antiqua"/>
          <w:lang w:val="en-US"/>
        </w:rPr>
        <w:t>-</w:t>
      </w:r>
      <w:r w:rsidR="000024E8" w:rsidRPr="0088448D">
        <w:rPr>
          <w:rFonts w:ascii="Book Antiqua" w:eastAsia="Times-Roman" w:hAnsi="Book Antiqua"/>
          <w:lang w:val="en-US"/>
        </w:rPr>
        <w:t>coding D-loop region and the coding genes</w:t>
      </w:r>
      <w:r w:rsidR="00096FFD" w:rsidRPr="0088448D">
        <w:rPr>
          <w:rStyle w:val="a7"/>
          <w:rFonts w:ascii="Book Antiqua" w:eastAsia="Times-Roman" w:hAnsi="Book Antiqua"/>
          <w:b w:val="0"/>
          <w:lang w:val="en-US"/>
        </w:rPr>
        <w:t>, increase with age, and can affect all mtDNA copies within a cell (</w:t>
      </w:r>
      <w:r w:rsidR="00D65B6E" w:rsidRPr="0088448D">
        <w:rPr>
          <w:rStyle w:val="a7"/>
          <w:rFonts w:ascii="Book Antiqua" w:eastAsia="Times-Roman" w:hAnsi="Book Antiqua"/>
          <w:b w:val="0"/>
          <w:lang w:val="en-US"/>
        </w:rPr>
        <w:t>homoplasmy) or only some</w:t>
      </w:r>
      <w:r w:rsidR="00096FFD" w:rsidRPr="0088448D">
        <w:rPr>
          <w:rStyle w:val="a7"/>
          <w:rFonts w:ascii="Book Antiqua" w:eastAsia="Times-Roman" w:hAnsi="Book Antiqua"/>
          <w:b w:val="0"/>
          <w:lang w:val="en-US"/>
        </w:rPr>
        <w:t xml:space="preserve"> (heteroplasmy)</w:t>
      </w:r>
      <w:r w:rsidR="00915C07" w:rsidRPr="0088448D">
        <w:rPr>
          <w:rStyle w:val="a7"/>
          <w:rFonts w:ascii="Book Antiqua" w:hAnsi="Book Antiqua"/>
          <w:b w:val="0"/>
          <w:vertAlign w:val="superscript"/>
          <w:lang w:val="en-US"/>
        </w:rPr>
        <w:t>[1</w:t>
      </w:r>
      <w:r w:rsidR="00FE2E0A" w:rsidRPr="0088448D">
        <w:rPr>
          <w:rStyle w:val="a7"/>
          <w:rFonts w:ascii="Book Antiqua" w:hAnsi="Book Antiqua"/>
          <w:b w:val="0"/>
          <w:vertAlign w:val="superscript"/>
          <w:lang w:val="en-US"/>
        </w:rPr>
        <w:t>0-11</w:t>
      </w:r>
      <w:r w:rsidR="00915C07" w:rsidRPr="0088448D">
        <w:rPr>
          <w:rStyle w:val="a7"/>
          <w:rFonts w:ascii="Book Antiqua" w:hAnsi="Book Antiqua"/>
          <w:b w:val="0"/>
          <w:vertAlign w:val="superscript"/>
          <w:lang w:val="en-US"/>
        </w:rPr>
        <w:t>]</w:t>
      </w:r>
      <w:r w:rsidR="00096FFD" w:rsidRPr="0088448D">
        <w:rPr>
          <w:rStyle w:val="a7"/>
          <w:rFonts w:ascii="Book Antiqua" w:eastAsia="Times-Roman" w:hAnsi="Book Antiqua"/>
          <w:b w:val="0"/>
          <w:lang w:val="en-US"/>
        </w:rPr>
        <w:t xml:space="preserve">. </w:t>
      </w:r>
      <w:r w:rsidR="009618A7" w:rsidRPr="0088448D">
        <w:rPr>
          <w:rStyle w:val="a7"/>
          <w:rFonts w:ascii="Book Antiqua" w:eastAsia="Times-Roman" w:hAnsi="Book Antiqua"/>
          <w:b w:val="0"/>
          <w:lang w:val="en-US"/>
        </w:rPr>
        <w:t>H</w:t>
      </w:r>
      <w:r w:rsidR="00096FFD" w:rsidRPr="0088448D">
        <w:rPr>
          <w:rStyle w:val="a7"/>
          <w:rFonts w:ascii="Book Antiqua" w:eastAsia="Times-Roman" w:hAnsi="Book Antiqua"/>
          <w:b w:val="0"/>
          <w:lang w:val="en-US"/>
        </w:rPr>
        <w:t>omoplasmy or a high degree of heteroplasmy</w:t>
      </w:r>
      <w:r w:rsidR="009618A7" w:rsidRPr="0088448D">
        <w:rPr>
          <w:rStyle w:val="a7"/>
          <w:rFonts w:ascii="Book Antiqua" w:eastAsia="Times-Roman" w:hAnsi="Book Antiqua"/>
          <w:b w:val="0"/>
          <w:lang w:val="en-US"/>
        </w:rPr>
        <w:t>are needed so that a mutation results in an observable mutated cellular phenotype</w:t>
      </w:r>
      <w:r w:rsidR="00915C07" w:rsidRPr="0088448D">
        <w:rPr>
          <w:rStyle w:val="a7"/>
          <w:rFonts w:ascii="Book Antiqua" w:hAnsi="Book Antiqua"/>
          <w:b w:val="0"/>
          <w:vertAlign w:val="superscript"/>
          <w:lang w:val="en-US"/>
        </w:rPr>
        <w:t>[</w:t>
      </w:r>
      <w:r w:rsidR="00FE2E0A" w:rsidRPr="0088448D">
        <w:rPr>
          <w:rStyle w:val="a7"/>
          <w:rFonts w:ascii="Book Antiqua" w:hAnsi="Book Antiqua"/>
          <w:b w:val="0"/>
          <w:vertAlign w:val="superscript"/>
          <w:lang w:val="en-US"/>
        </w:rPr>
        <w:t>10</w:t>
      </w:r>
      <w:r w:rsidR="00915C07" w:rsidRPr="0088448D">
        <w:rPr>
          <w:rStyle w:val="a7"/>
          <w:rFonts w:ascii="Book Antiqua" w:hAnsi="Book Antiqua"/>
          <w:b w:val="0"/>
          <w:vertAlign w:val="superscript"/>
          <w:lang w:val="en-US"/>
        </w:rPr>
        <w:t>]</w:t>
      </w:r>
      <w:r w:rsidR="00FB6E2B" w:rsidRPr="0088448D">
        <w:rPr>
          <w:rStyle w:val="a7"/>
          <w:rFonts w:ascii="Book Antiqua" w:eastAsia="Times-Roman" w:hAnsi="Book Antiqua"/>
          <w:b w:val="0"/>
          <w:lang w:val="en-US"/>
        </w:rPr>
        <w:t>.</w:t>
      </w:r>
      <w:r w:rsidR="00727BED">
        <w:rPr>
          <w:rStyle w:val="a7"/>
          <w:rFonts w:ascii="Book Antiqua" w:hAnsi="Book Antiqua" w:hint="eastAsia"/>
          <w:b w:val="0"/>
          <w:lang w:val="en-US" w:eastAsia="zh-CN"/>
        </w:rPr>
        <w:t xml:space="preserve"> </w:t>
      </w:r>
      <w:r w:rsidR="00DA5739" w:rsidRPr="0088448D">
        <w:rPr>
          <w:rStyle w:val="a7"/>
          <w:rFonts w:ascii="Book Antiqua" w:hAnsi="Book Antiqua"/>
          <w:b w:val="0"/>
          <w:lang w:val="en-US"/>
        </w:rPr>
        <w:t xml:space="preserve">How mtDNA regulates the </w:t>
      </w:r>
      <w:r w:rsidR="00D65B6E" w:rsidRPr="0088448D">
        <w:rPr>
          <w:rStyle w:val="a7"/>
          <w:rFonts w:ascii="Book Antiqua" w:hAnsi="Book Antiqua"/>
          <w:b w:val="0"/>
          <w:lang w:val="en-US"/>
        </w:rPr>
        <w:t>tumorigenesis process ha</w:t>
      </w:r>
      <w:r w:rsidR="00DA5739" w:rsidRPr="0088448D">
        <w:rPr>
          <w:rStyle w:val="a7"/>
          <w:rFonts w:ascii="Book Antiqua" w:hAnsi="Book Antiqua"/>
          <w:b w:val="0"/>
          <w:lang w:val="en-US"/>
        </w:rPr>
        <w:t xml:space="preserve">s </w:t>
      </w:r>
      <w:r w:rsidR="00B0695E" w:rsidRPr="0088448D">
        <w:rPr>
          <w:rStyle w:val="a7"/>
          <w:rFonts w:ascii="Book Antiqua" w:hAnsi="Book Antiqua"/>
          <w:b w:val="0"/>
          <w:lang w:val="en-US"/>
        </w:rPr>
        <w:t>n</w:t>
      </w:r>
      <w:r w:rsidR="00DA5739" w:rsidRPr="0088448D">
        <w:rPr>
          <w:rStyle w:val="a7"/>
          <w:rFonts w:ascii="Book Antiqua" w:hAnsi="Book Antiqua"/>
          <w:b w:val="0"/>
          <w:lang w:val="en-US"/>
        </w:rPr>
        <w:t>ot</w:t>
      </w:r>
      <w:r w:rsidR="00D65B6E" w:rsidRPr="0088448D">
        <w:rPr>
          <w:rStyle w:val="a7"/>
          <w:rFonts w:ascii="Book Antiqua" w:hAnsi="Book Antiqua"/>
          <w:b w:val="0"/>
          <w:lang w:val="en-US"/>
        </w:rPr>
        <w:t xml:space="preserve"> been</w:t>
      </w:r>
      <w:r w:rsidR="00DA5739" w:rsidRPr="0088448D">
        <w:rPr>
          <w:rStyle w:val="a7"/>
          <w:rFonts w:ascii="Book Antiqua" w:hAnsi="Book Antiqua"/>
          <w:b w:val="0"/>
          <w:lang w:val="en-US"/>
        </w:rPr>
        <w:t xml:space="preserve"> clearlydefined, but current evidence suggests that mutation, reduction, or deletion of mtDNA lead to defective ox</w:t>
      </w:r>
      <w:r w:rsidR="0073256D" w:rsidRPr="0088448D">
        <w:rPr>
          <w:rStyle w:val="a7"/>
          <w:rFonts w:ascii="Book Antiqua" w:hAnsi="Book Antiqua"/>
          <w:b w:val="0"/>
          <w:lang w:val="en-US"/>
        </w:rPr>
        <w:t>idative phosphorylation</w:t>
      </w:r>
      <w:r w:rsidR="00DA5739" w:rsidRPr="0088448D">
        <w:rPr>
          <w:rStyle w:val="a7"/>
          <w:rFonts w:ascii="Book Antiqua" w:hAnsi="Book Antiqua"/>
          <w:b w:val="0"/>
          <w:lang w:val="en-US"/>
        </w:rPr>
        <w:t>, increas</w:t>
      </w:r>
      <w:r w:rsidR="0073256D" w:rsidRPr="0088448D">
        <w:rPr>
          <w:rStyle w:val="a7"/>
          <w:rFonts w:ascii="Book Antiqua" w:hAnsi="Book Antiqua"/>
          <w:b w:val="0"/>
          <w:lang w:val="en-US"/>
        </w:rPr>
        <w:t>ed reactive oxygen species</w:t>
      </w:r>
      <w:r w:rsidR="00DA5739" w:rsidRPr="0088448D">
        <w:rPr>
          <w:rStyle w:val="a7"/>
          <w:rFonts w:ascii="Book Antiqua" w:hAnsi="Book Antiqua"/>
          <w:b w:val="0"/>
          <w:lang w:val="en-US"/>
        </w:rPr>
        <w:t xml:space="preserve"> production, induction of the glycolytic pathway, </w:t>
      </w:r>
      <w:r w:rsidR="00D65B6E" w:rsidRPr="0088448D">
        <w:rPr>
          <w:rStyle w:val="a7"/>
          <w:rFonts w:ascii="Book Antiqua" w:hAnsi="Book Antiqua"/>
          <w:b w:val="0"/>
          <w:lang w:val="en-US"/>
        </w:rPr>
        <w:t xml:space="preserve">and </w:t>
      </w:r>
      <w:r w:rsidR="00DA5739" w:rsidRPr="0088448D">
        <w:rPr>
          <w:rStyle w:val="a7"/>
          <w:rFonts w:ascii="Book Antiqua" w:hAnsi="Book Antiqua"/>
          <w:b w:val="0"/>
          <w:lang w:val="en-US"/>
        </w:rPr>
        <w:t>increased expression of prosurvival proteins, which ultimately results in cancer proliferation and tumorigenesis</w:t>
      </w:r>
      <w:r w:rsidR="00FE2E0A" w:rsidRPr="0088448D">
        <w:rPr>
          <w:rStyle w:val="a7"/>
          <w:rFonts w:ascii="Book Antiqua" w:hAnsi="Book Antiqua"/>
          <w:b w:val="0"/>
          <w:vertAlign w:val="superscript"/>
          <w:lang w:val="en-US"/>
        </w:rPr>
        <w:t>[12</w:t>
      </w:r>
      <w:r w:rsidR="00915C07" w:rsidRPr="0088448D">
        <w:rPr>
          <w:rStyle w:val="a7"/>
          <w:rFonts w:ascii="Book Antiqua" w:hAnsi="Book Antiqua"/>
          <w:b w:val="0"/>
          <w:vertAlign w:val="superscript"/>
          <w:lang w:val="en-US"/>
        </w:rPr>
        <w:t>]</w:t>
      </w:r>
      <w:r w:rsidR="00F27F09" w:rsidRPr="0088448D">
        <w:rPr>
          <w:rStyle w:val="a7"/>
          <w:rFonts w:ascii="Book Antiqua" w:hAnsi="Book Antiqua"/>
          <w:b w:val="0"/>
          <w:lang w:val="en-US"/>
        </w:rPr>
        <w:t>.</w:t>
      </w:r>
      <w:r w:rsidR="00DA5739" w:rsidRPr="0088448D">
        <w:rPr>
          <w:rStyle w:val="a7"/>
          <w:rFonts w:ascii="Book Antiqua" w:hAnsi="Book Antiqua"/>
          <w:b w:val="0"/>
          <w:lang w:val="en-US"/>
        </w:rPr>
        <w:t>Therefore, modula</w:t>
      </w:r>
      <w:r w:rsidR="0076587D" w:rsidRPr="0088448D">
        <w:rPr>
          <w:rStyle w:val="a7"/>
          <w:rFonts w:ascii="Book Antiqua" w:hAnsi="Book Antiqua"/>
          <w:b w:val="0"/>
          <w:lang w:val="en-US"/>
        </w:rPr>
        <w:t>tion of mtDNA content in cancer</w:t>
      </w:r>
      <w:r w:rsidR="00D65B6E" w:rsidRPr="0088448D">
        <w:rPr>
          <w:rStyle w:val="a7"/>
          <w:rFonts w:ascii="Book Antiqua" w:hAnsi="Book Antiqua"/>
          <w:b w:val="0"/>
          <w:lang w:val="en-US"/>
        </w:rPr>
        <w:t xml:space="preserve"> is important for</w:t>
      </w:r>
      <w:r w:rsidR="00DA5739" w:rsidRPr="0088448D">
        <w:rPr>
          <w:rStyle w:val="a7"/>
          <w:rFonts w:ascii="Book Antiqua" w:hAnsi="Book Antiqua"/>
          <w:b w:val="0"/>
          <w:lang w:val="en-US"/>
        </w:rPr>
        <w:t xml:space="preserve"> understanding the disease process.</w:t>
      </w:r>
    </w:p>
    <w:p w:rsidR="0045429C" w:rsidRPr="0088448D" w:rsidRDefault="0045429C" w:rsidP="00727BED">
      <w:pPr>
        <w:pStyle w:val="a8"/>
        <w:spacing w:line="360" w:lineRule="auto"/>
        <w:ind w:firstLineChars="200" w:firstLine="480"/>
        <w:jc w:val="both"/>
        <w:rPr>
          <w:rStyle w:val="a7"/>
          <w:rFonts w:ascii="Book Antiqua" w:hAnsi="Book Antiqua"/>
          <w:lang w:val="en-US"/>
        </w:rPr>
      </w:pPr>
      <w:r w:rsidRPr="0088448D">
        <w:rPr>
          <w:rStyle w:val="a7"/>
          <w:rFonts w:ascii="Book Antiqua" w:hAnsi="Book Antiqua"/>
          <w:b w:val="0"/>
          <w:lang w:val="en-US"/>
        </w:rPr>
        <w:t>Gastric cancer is the second leading cause of cancer death and the fourth most common malignant tumo</w:t>
      </w:r>
      <w:r w:rsidR="0076587D" w:rsidRPr="0088448D">
        <w:rPr>
          <w:rStyle w:val="a7"/>
          <w:rFonts w:ascii="Book Antiqua" w:hAnsi="Book Antiqua"/>
          <w:b w:val="0"/>
          <w:lang w:val="en-US"/>
        </w:rPr>
        <w:t>u</w:t>
      </w:r>
      <w:r w:rsidRPr="0088448D">
        <w:rPr>
          <w:rStyle w:val="a7"/>
          <w:rFonts w:ascii="Book Antiqua" w:hAnsi="Book Antiqua"/>
          <w:b w:val="0"/>
          <w:lang w:val="en-US"/>
        </w:rPr>
        <w:t>r in the world. The reason for fatality of gastric cancer is mainly due to late diagno</w:t>
      </w:r>
      <w:r w:rsidR="00D65B6E" w:rsidRPr="0088448D">
        <w:rPr>
          <w:rStyle w:val="a7"/>
          <w:rFonts w:ascii="Book Antiqua" w:hAnsi="Book Antiqua"/>
          <w:b w:val="0"/>
          <w:lang w:val="en-US"/>
        </w:rPr>
        <w:t>sis and lack of programs for</w:t>
      </w:r>
      <w:r w:rsidRPr="0088448D">
        <w:rPr>
          <w:rStyle w:val="a7"/>
          <w:rFonts w:ascii="Book Antiqua" w:hAnsi="Book Antiqua"/>
          <w:b w:val="0"/>
          <w:lang w:val="en-US"/>
        </w:rPr>
        <w:t xml:space="preserve"> early detection; thus, identification of early events in gastric carcinomas is a challenging task</w:t>
      </w:r>
      <w:r w:rsidRPr="0088448D">
        <w:rPr>
          <w:rStyle w:val="a7"/>
          <w:rFonts w:ascii="Book Antiqua" w:hAnsi="Book Antiqua"/>
          <w:b w:val="0"/>
          <w:vertAlign w:val="superscript"/>
          <w:lang w:val="en-US"/>
        </w:rPr>
        <w:t>[</w:t>
      </w:r>
      <w:r w:rsidR="00FE2E0A" w:rsidRPr="0088448D">
        <w:rPr>
          <w:rStyle w:val="a7"/>
          <w:rFonts w:ascii="Book Antiqua" w:hAnsi="Book Antiqua"/>
          <w:b w:val="0"/>
          <w:vertAlign w:val="superscript"/>
          <w:lang w:val="en-US"/>
        </w:rPr>
        <w:t>13-14</w:t>
      </w:r>
      <w:r w:rsidRPr="0088448D">
        <w:rPr>
          <w:rStyle w:val="a7"/>
          <w:rFonts w:ascii="Book Antiqua" w:hAnsi="Book Antiqua"/>
          <w:b w:val="0"/>
          <w:vertAlign w:val="superscript"/>
          <w:lang w:val="en-US"/>
        </w:rPr>
        <w:t>]</w:t>
      </w:r>
      <w:r w:rsidRPr="0088448D">
        <w:rPr>
          <w:rStyle w:val="a7"/>
          <w:rFonts w:ascii="Book Antiqua" w:hAnsi="Book Antiqua"/>
          <w:b w:val="0"/>
          <w:lang w:val="en-US"/>
        </w:rPr>
        <w:t xml:space="preserve">. </w:t>
      </w:r>
      <w:r w:rsidRPr="0088448D">
        <w:rPr>
          <w:rFonts w:ascii="Book Antiqua" w:hAnsi="Book Antiqua"/>
          <w:lang w:val="en-US"/>
        </w:rPr>
        <w:t>Gastric carci</w:t>
      </w:r>
      <w:r w:rsidR="00E254B7" w:rsidRPr="0088448D">
        <w:rPr>
          <w:rFonts w:ascii="Book Antiqua" w:hAnsi="Book Antiqua"/>
          <w:lang w:val="en-US"/>
        </w:rPr>
        <w:t>noma is a heterogeneous disease with several epidemiological and histopathologicalcharacteristcs. This tumour is</w:t>
      </w:r>
      <w:r w:rsidRPr="0088448D">
        <w:rPr>
          <w:rFonts w:ascii="Book Antiqua" w:hAnsi="Book Antiqua"/>
          <w:lang w:val="en-US"/>
        </w:rPr>
        <w:t xml:space="preserve"> classified anatomically as proximal (also known as cardia) and distal (also </w:t>
      </w:r>
      <w:r w:rsidRPr="0088448D">
        <w:rPr>
          <w:rFonts w:ascii="Book Antiqua" w:hAnsi="Book Antiqua"/>
          <w:lang w:val="en-US"/>
        </w:rPr>
        <w:lastRenderedPageBreak/>
        <w:t>known as noncardia). This classification seems to distinguish two clinicopathologic entities</w:t>
      </w:r>
      <w:r w:rsidRPr="0088448D">
        <w:rPr>
          <w:rStyle w:val="a7"/>
          <w:rFonts w:ascii="Book Antiqua" w:hAnsi="Book Antiqua"/>
          <w:b w:val="0"/>
          <w:vertAlign w:val="superscript"/>
          <w:lang w:val="en-US"/>
        </w:rPr>
        <w:t>[</w:t>
      </w:r>
      <w:r w:rsidR="00FE2E0A" w:rsidRPr="0088448D">
        <w:rPr>
          <w:rStyle w:val="a7"/>
          <w:rFonts w:ascii="Book Antiqua" w:hAnsi="Book Antiqua"/>
          <w:b w:val="0"/>
          <w:vertAlign w:val="superscript"/>
          <w:lang w:val="en-US"/>
        </w:rPr>
        <w:t>1</w:t>
      </w:r>
      <w:r w:rsidRPr="0088448D">
        <w:rPr>
          <w:rStyle w:val="a7"/>
          <w:rFonts w:ascii="Book Antiqua" w:hAnsi="Book Antiqua"/>
          <w:b w:val="0"/>
          <w:vertAlign w:val="superscript"/>
          <w:lang w:val="en-US"/>
        </w:rPr>
        <w:t>5</w:t>
      </w:r>
      <w:r w:rsidR="00FE2E0A" w:rsidRPr="0088448D">
        <w:rPr>
          <w:rStyle w:val="a7"/>
          <w:rFonts w:ascii="Book Antiqua" w:hAnsi="Book Antiqua"/>
          <w:b w:val="0"/>
          <w:vertAlign w:val="superscript"/>
          <w:lang w:val="en-US"/>
        </w:rPr>
        <w:t>-17</w:t>
      </w:r>
      <w:r w:rsidRPr="0088448D">
        <w:rPr>
          <w:rStyle w:val="a7"/>
          <w:rFonts w:ascii="Book Antiqua" w:hAnsi="Book Antiqua"/>
          <w:b w:val="0"/>
          <w:vertAlign w:val="superscript"/>
          <w:lang w:val="en-US"/>
        </w:rPr>
        <w:t>]</w:t>
      </w:r>
      <w:r w:rsidRPr="0088448D">
        <w:rPr>
          <w:rFonts w:ascii="Book Antiqua" w:hAnsi="Book Antiqua"/>
          <w:lang w:val="en-US"/>
        </w:rPr>
        <w:t xml:space="preserve">. The risk factors positively associated with cardial adenocarcinoma include obesity, hiatal hernia and reflux gastroesophagitis, whereas </w:t>
      </w:r>
      <w:r w:rsidR="002B091D" w:rsidRPr="0088448D">
        <w:rPr>
          <w:rStyle w:val="a7"/>
          <w:rFonts w:ascii="Book Antiqua" w:hAnsi="Book Antiqua"/>
          <w:b w:val="0"/>
          <w:i/>
          <w:lang w:val="en-US"/>
        </w:rPr>
        <w:t xml:space="preserve">Helicobacter pylori </w:t>
      </w:r>
      <w:r w:rsidR="002B091D" w:rsidRPr="00727BED">
        <w:rPr>
          <w:rStyle w:val="a7"/>
          <w:rFonts w:ascii="Book Antiqua" w:hAnsi="Book Antiqua"/>
          <w:b w:val="0"/>
          <w:lang w:val="en-US"/>
        </w:rPr>
        <w:t>(</w:t>
      </w:r>
      <w:r w:rsidR="002B091D" w:rsidRPr="0088448D">
        <w:rPr>
          <w:rStyle w:val="a7"/>
          <w:rFonts w:ascii="Book Antiqua" w:hAnsi="Book Antiqua"/>
          <w:b w:val="0"/>
          <w:i/>
          <w:lang w:val="en-US"/>
        </w:rPr>
        <w:t>H</w:t>
      </w:r>
      <w:r w:rsidR="002B091D">
        <w:rPr>
          <w:rStyle w:val="a7"/>
          <w:rFonts w:ascii="Book Antiqua" w:hAnsi="Book Antiqua" w:hint="eastAsia"/>
          <w:b w:val="0"/>
          <w:i/>
          <w:lang w:val="en-US" w:eastAsia="zh-CN"/>
        </w:rPr>
        <w:t xml:space="preserve">. </w:t>
      </w:r>
      <w:r w:rsidR="002B091D" w:rsidRPr="0088448D">
        <w:rPr>
          <w:rStyle w:val="a7"/>
          <w:rFonts w:ascii="Book Antiqua" w:hAnsi="Book Antiqua"/>
          <w:b w:val="0"/>
          <w:i/>
          <w:lang w:val="en-US"/>
        </w:rPr>
        <w:t>pylori</w:t>
      </w:r>
      <w:r w:rsidR="002B091D" w:rsidRPr="00727BED">
        <w:rPr>
          <w:rStyle w:val="a7"/>
          <w:rFonts w:ascii="Book Antiqua" w:hAnsi="Book Antiqua" w:hint="eastAsia"/>
          <w:b w:val="0"/>
          <w:lang w:val="en-US" w:eastAsia="zh-CN"/>
        </w:rPr>
        <w:t>)</w:t>
      </w:r>
      <w:r w:rsidR="002B091D">
        <w:rPr>
          <w:rStyle w:val="a7"/>
          <w:rFonts w:ascii="Book Antiqua" w:hAnsi="Book Antiqua" w:hint="eastAsia"/>
          <w:b w:val="0"/>
          <w:lang w:val="en-US" w:eastAsia="zh-CN"/>
        </w:rPr>
        <w:t xml:space="preserve"> </w:t>
      </w:r>
      <w:r w:rsidRPr="0088448D">
        <w:rPr>
          <w:rFonts w:ascii="Book Antiqua" w:hAnsi="Book Antiqua"/>
          <w:lang w:val="en-US"/>
        </w:rPr>
        <w:t>infection appears to be the main causative agent for distal gastric adenocarcinomas</w:t>
      </w:r>
      <w:r w:rsidRPr="0088448D">
        <w:rPr>
          <w:rStyle w:val="a7"/>
          <w:rFonts w:ascii="Book Antiqua" w:hAnsi="Book Antiqua"/>
          <w:b w:val="0"/>
          <w:vertAlign w:val="superscript"/>
          <w:lang w:val="en-US"/>
        </w:rPr>
        <w:t>[</w:t>
      </w:r>
      <w:r w:rsidR="00FE2E0A" w:rsidRPr="0088448D">
        <w:rPr>
          <w:rStyle w:val="a7"/>
          <w:rFonts w:ascii="Book Antiqua" w:hAnsi="Book Antiqua"/>
          <w:b w:val="0"/>
          <w:vertAlign w:val="superscript"/>
          <w:lang w:val="en-US"/>
        </w:rPr>
        <w:t>15</w:t>
      </w:r>
      <w:r w:rsidRPr="0088448D">
        <w:rPr>
          <w:rStyle w:val="a7"/>
          <w:rFonts w:ascii="Book Antiqua" w:hAnsi="Book Antiqua"/>
          <w:b w:val="0"/>
          <w:vertAlign w:val="superscript"/>
          <w:lang w:val="en-US"/>
        </w:rPr>
        <w:t>,</w:t>
      </w:r>
      <w:r w:rsidR="00FE2E0A" w:rsidRPr="0088448D">
        <w:rPr>
          <w:rStyle w:val="a7"/>
          <w:rFonts w:ascii="Book Antiqua" w:hAnsi="Book Antiqua"/>
          <w:b w:val="0"/>
          <w:vertAlign w:val="superscript"/>
          <w:lang w:val="en-US"/>
        </w:rPr>
        <w:t>18-19</w:t>
      </w:r>
      <w:r w:rsidRPr="0088448D">
        <w:rPr>
          <w:rStyle w:val="a7"/>
          <w:rFonts w:ascii="Book Antiqua" w:hAnsi="Book Antiqua"/>
          <w:b w:val="0"/>
          <w:vertAlign w:val="superscript"/>
          <w:lang w:val="en-US"/>
        </w:rPr>
        <w:t>]</w:t>
      </w:r>
      <w:r w:rsidRPr="0088448D">
        <w:rPr>
          <w:rFonts w:ascii="Book Antiqua" w:hAnsi="Book Antiqua"/>
          <w:lang w:val="en-US"/>
        </w:rPr>
        <w:t>.</w:t>
      </w:r>
      <w:r w:rsidR="00E254B7" w:rsidRPr="0088448D">
        <w:rPr>
          <w:rFonts w:ascii="Book Antiqua" w:hAnsi="Book Antiqua"/>
          <w:lang w:val="en-US"/>
        </w:rPr>
        <w:t xml:space="preserve"> Pathologically, distal gastric carcinoma may be distinguished according to the Laurèn classification</w:t>
      </w:r>
      <w:r w:rsidR="00FE2E0A" w:rsidRPr="0088448D">
        <w:rPr>
          <w:rStyle w:val="a7"/>
          <w:rFonts w:ascii="Book Antiqua" w:hAnsi="Book Antiqua"/>
          <w:b w:val="0"/>
          <w:vertAlign w:val="superscript"/>
          <w:lang w:val="en-US"/>
        </w:rPr>
        <w:t>[20]</w:t>
      </w:r>
      <w:r w:rsidR="00FE2E0A" w:rsidRPr="0088448D">
        <w:rPr>
          <w:rStyle w:val="a7"/>
          <w:rFonts w:ascii="Book Antiqua" w:hAnsi="Book Antiqua"/>
          <w:b w:val="0"/>
          <w:lang w:val="en-US"/>
        </w:rPr>
        <w:t xml:space="preserve"> </w:t>
      </w:r>
      <w:r w:rsidR="00E254B7" w:rsidRPr="0088448D">
        <w:rPr>
          <w:rFonts w:ascii="Book Antiqua" w:hAnsi="Book Antiqua"/>
          <w:lang w:val="en-US"/>
        </w:rPr>
        <w:t>as intestinal or diffuse subtypes. Recently, a gastric-type d</w:t>
      </w:r>
      <w:r w:rsidR="00FE2E0A" w:rsidRPr="0088448D">
        <w:rPr>
          <w:rFonts w:ascii="Book Antiqua" w:hAnsi="Book Antiqua"/>
          <w:lang w:val="en-US"/>
        </w:rPr>
        <w:t>ifferentiation has been demonstrated</w:t>
      </w:r>
      <w:r w:rsidR="00E254B7" w:rsidRPr="0088448D">
        <w:rPr>
          <w:rFonts w:ascii="Book Antiqua" w:hAnsi="Book Antiqua"/>
          <w:lang w:val="en-US"/>
        </w:rPr>
        <w:t xml:space="preserve"> in some cases of intestinal-type adenocarcinomas</w:t>
      </w:r>
      <w:r w:rsidR="002F48C7" w:rsidRPr="0088448D">
        <w:rPr>
          <w:rFonts w:ascii="Book Antiqua" w:hAnsi="Book Antiqua"/>
          <w:vertAlign w:val="superscript"/>
          <w:lang w:val="en-US"/>
        </w:rPr>
        <w:t>[</w:t>
      </w:r>
      <w:r w:rsidR="00C833E5" w:rsidRPr="0088448D">
        <w:rPr>
          <w:rFonts w:ascii="Book Antiqua" w:hAnsi="Book Antiqua"/>
          <w:vertAlign w:val="superscript"/>
          <w:lang w:val="en-US"/>
        </w:rPr>
        <w:t>21-24</w:t>
      </w:r>
      <w:r w:rsidR="002F48C7" w:rsidRPr="0088448D">
        <w:rPr>
          <w:rFonts w:ascii="Book Antiqua" w:hAnsi="Book Antiqua"/>
          <w:vertAlign w:val="superscript"/>
          <w:lang w:val="en-US"/>
        </w:rPr>
        <w:t>]</w:t>
      </w:r>
      <w:r w:rsidR="0076587D" w:rsidRPr="0088448D">
        <w:rPr>
          <w:rFonts w:ascii="Book Antiqua" w:hAnsi="Book Antiqua"/>
          <w:lang w:val="en-US"/>
        </w:rPr>
        <w:t xml:space="preserve">, but the </w:t>
      </w:r>
      <w:r w:rsidR="00705A15" w:rsidRPr="0088448D">
        <w:rPr>
          <w:rFonts w:ascii="Book Antiqua" w:hAnsi="Book Antiqua"/>
          <w:lang w:val="en-US"/>
        </w:rPr>
        <w:t>introduction</w:t>
      </w:r>
      <w:r w:rsidR="0076587D" w:rsidRPr="0088448D">
        <w:rPr>
          <w:rFonts w:ascii="Book Antiqua" w:hAnsi="Book Antiqua"/>
          <w:lang w:val="en-US"/>
        </w:rPr>
        <w:t xml:space="preserve"> of these</w:t>
      </w:r>
      <w:r w:rsidR="00705A15" w:rsidRPr="0088448D">
        <w:rPr>
          <w:rFonts w:ascii="Book Antiqua" w:hAnsi="Book Antiqua"/>
          <w:lang w:val="en-US"/>
        </w:rPr>
        <w:t xml:space="preserve"> new terms</w:t>
      </w:r>
      <w:r w:rsidR="00E254B7" w:rsidRPr="0088448D">
        <w:rPr>
          <w:rFonts w:ascii="Book Antiqua" w:hAnsi="Book Antiqua"/>
          <w:lang w:val="en-US"/>
        </w:rPr>
        <w:t>may be</w:t>
      </w:r>
      <w:r w:rsidR="00D65B6E" w:rsidRPr="0088448D">
        <w:rPr>
          <w:rFonts w:ascii="Book Antiqua" w:hAnsi="Book Antiqua"/>
          <w:lang w:val="en-US"/>
        </w:rPr>
        <w:t xml:space="preserve"> a</w:t>
      </w:r>
      <w:r w:rsidR="00E254B7" w:rsidRPr="0088448D">
        <w:rPr>
          <w:rFonts w:ascii="Book Antiqua" w:hAnsi="Book Antiqua"/>
          <w:lang w:val="en-US"/>
        </w:rPr>
        <w:t xml:space="preserve"> source of </w:t>
      </w:r>
      <w:r w:rsidR="00705A15" w:rsidRPr="0088448D">
        <w:rPr>
          <w:rFonts w:ascii="Book Antiqua" w:hAnsi="Book Antiqua"/>
          <w:lang w:val="en-US"/>
        </w:rPr>
        <w:t xml:space="preserve">semantic </w:t>
      </w:r>
      <w:r w:rsidR="00D65B6E" w:rsidRPr="0088448D">
        <w:rPr>
          <w:rFonts w:ascii="Book Antiqua" w:hAnsi="Book Antiqua"/>
          <w:lang w:val="en-US"/>
        </w:rPr>
        <w:t>confusion, particularly with</w:t>
      </w:r>
      <w:r w:rsidR="00E254B7" w:rsidRPr="0088448D">
        <w:rPr>
          <w:rFonts w:ascii="Book Antiqua" w:hAnsi="Book Antiqua"/>
          <w:lang w:val="en-US"/>
        </w:rPr>
        <w:t xml:space="preserve"> clinicians.</w:t>
      </w:r>
    </w:p>
    <w:p w:rsidR="0039612A" w:rsidRPr="0088448D" w:rsidRDefault="006328A2" w:rsidP="00727BED">
      <w:pPr>
        <w:autoSpaceDE w:val="0"/>
        <w:autoSpaceDN w:val="0"/>
        <w:adjustRightInd w:val="0"/>
        <w:spacing w:line="360" w:lineRule="auto"/>
        <w:ind w:firstLineChars="200" w:firstLine="480"/>
        <w:jc w:val="both"/>
        <w:rPr>
          <w:rFonts w:ascii="Book Antiqua" w:hAnsi="Book Antiqua"/>
          <w:lang w:val="en-US"/>
        </w:rPr>
      </w:pPr>
      <w:r w:rsidRPr="0088448D">
        <w:rPr>
          <w:rFonts w:ascii="Book Antiqua" w:hAnsi="Book Antiqua"/>
          <w:lang w:val="en-US"/>
        </w:rPr>
        <w:t xml:space="preserve">This review article </w:t>
      </w:r>
      <w:r w:rsidR="005419BC" w:rsidRPr="0088448D">
        <w:rPr>
          <w:rFonts w:ascii="Book Antiqua" w:hAnsi="Book Antiqua"/>
          <w:lang w:val="en-US"/>
        </w:rPr>
        <w:t>discuss</w:t>
      </w:r>
      <w:r w:rsidR="00D65B6E" w:rsidRPr="0088448D">
        <w:rPr>
          <w:rFonts w:ascii="Book Antiqua" w:hAnsi="Book Antiqua"/>
          <w:lang w:val="en-US"/>
        </w:rPr>
        <w:t>es</w:t>
      </w:r>
      <w:r w:rsidR="00FC2068" w:rsidRPr="0088448D">
        <w:rPr>
          <w:rFonts w:ascii="Book Antiqua" w:hAnsi="Book Antiqua"/>
          <w:lang w:val="en-US"/>
        </w:rPr>
        <w:t xml:space="preserve"> controversies regarding histogenesis and classification of distal gastric cancer</w:t>
      </w:r>
      <w:r w:rsidR="00F06F29" w:rsidRPr="0088448D">
        <w:rPr>
          <w:rFonts w:ascii="Book Antiqua" w:hAnsi="Book Antiqua"/>
          <w:lang w:val="en-US"/>
        </w:rPr>
        <w:t xml:space="preserve">. </w:t>
      </w:r>
      <w:r w:rsidRPr="0088448D">
        <w:rPr>
          <w:rFonts w:ascii="Book Antiqua" w:hAnsi="Book Antiqua"/>
          <w:lang w:val="en-US"/>
        </w:rPr>
        <w:t xml:space="preserve"> In addition, </w:t>
      </w:r>
      <w:r w:rsidR="00FC2068" w:rsidRPr="0088448D">
        <w:rPr>
          <w:rFonts w:ascii="Book Antiqua" w:hAnsi="Book Antiqua"/>
          <w:lang w:val="en-US"/>
        </w:rPr>
        <w:t xml:space="preserve">it summarizes the mtDNA changes that </w:t>
      </w:r>
      <w:r w:rsidR="00FC2068" w:rsidRPr="0088448D">
        <w:rPr>
          <w:rStyle w:val="a7"/>
          <w:rFonts w:ascii="Book Antiqua" w:hAnsi="Book Antiqua"/>
          <w:b w:val="0"/>
          <w:lang w:val="en-US"/>
        </w:rPr>
        <w:t>have been reported</w:t>
      </w:r>
      <w:r w:rsidR="00FC2068" w:rsidRPr="0088448D">
        <w:rPr>
          <w:rFonts w:ascii="Book Antiqua" w:hAnsi="Book Antiqua"/>
          <w:lang w:val="en-US"/>
        </w:rPr>
        <w:t xml:space="preserve">in gastric carcinomas and their precancerous conditions. </w:t>
      </w:r>
      <w:r w:rsidR="00FC2068" w:rsidRPr="0088448D">
        <w:rPr>
          <w:rStyle w:val="a7"/>
          <w:rFonts w:ascii="Book Antiqua" w:hAnsi="Book Antiqua"/>
          <w:b w:val="0"/>
          <w:lang w:val="en-US"/>
        </w:rPr>
        <w:t>F</w:t>
      </w:r>
      <w:r w:rsidR="00F06F29" w:rsidRPr="0088448D">
        <w:rPr>
          <w:rStyle w:val="a7"/>
          <w:rFonts w:ascii="Book Antiqua" w:hAnsi="Book Antiqua"/>
          <w:b w:val="0"/>
          <w:lang w:val="en-US"/>
        </w:rPr>
        <w:t>uture research direction on</w:t>
      </w:r>
      <w:r w:rsidRPr="0088448D">
        <w:rPr>
          <w:rStyle w:val="a7"/>
          <w:rFonts w:ascii="Book Antiqua" w:hAnsi="Book Antiqua"/>
          <w:b w:val="0"/>
          <w:lang w:val="en-US"/>
        </w:rPr>
        <w:t>the</w:t>
      </w:r>
      <w:r w:rsidR="00260929" w:rsidRPr="0088448D">
        <w:rPr>
          <w:rStyle w:val="a7"/>
          <w:rFonts w:ascii="Book Antiqua" w:hAnsi="Book Antiqua"/>
          <w:b w:val="0"/>
          <w:lang w:val="en-US"/>
        </w:rPr>
        <w:t xml:space="preserve"> roleof </w:t>
      </w:r>
      <w:r w:rsidRPr="0088448D">
        <w:rPr>
          <w:rStyle w:val="a7"/>
          <w:rFonts w:ascii="Book Antiqua" w:hAnsi="Book Antiqua"/>
          <w:b w:val="0"/>
          <w:lang w:val="en-US"/>
        </w:rPr>
        <w:t>mtDNA</w:t>
      </w:r>
      <w:r w:rsidR="00260929" w:rsidRPr="0088448D">
        <w:rPr>
          <w:rStyle w:val="a7"/>
          <w:rFonts w:ascii="Book Antiqua" w:hAnsi="Book Antiqua"/>
          <w:b w:val="0"/>
          <w:lang w:val="en-US"/>
        </w:rPr>
        <w:t xml:space="preserve">in the </w:t>
      </w:r>
      <w:r w:rsidR="00F06F29" w:rsidRPr="0088448D">
        <w:rPr>
          <w:rStyle w:val="a7"/>
          <w:rFonts w:ascii="Book Antiqua" w:hAnsi="Book Antiqua"/>
          <w:b w:val="0"/>
          <w:lang w:val="en-US"/>
        </w:rPr>
        <w:t>gastric carcino</w:t>
      </w:r>
      <w:r w:rsidR="00260929" w:rsidRPr="0088448D">
        <w:rPr>
          <w:rStyle w:val="a7"/>
          <w:rFonts w:ascii="Book Antiqua" w:hAnsi="Book Antiqua"/>
          <w:b w:val="0"/>
          <w:lang w:val="en-US"/>
        </w:rPr>
        <w:t>genesis is</w:t>
      </w:r>
      <w:r w:rsidR="00F06F29" w:rsidRPr="0088448D">
        <w:rPr>
          <w:rStyle w:val="a7"/>
          <w:rFonts w:ascii="Book Antiqua" w:hAnsi="Book Antiqua"/>
          <w:b w:val="0"/>
          <w:lang w:val="en-US"/>
        </w:rPr>
        <w:t xml:space="preserve"> suggested</w:t>
      </w:r>
      <w:r w:rsidRPr="0088448D">
        <w:rPr>
          <w:rStyle w:val="a7"/>
          <w:rFonts w:ascii="Book Antiqua" w:hAnsi="Book Antiqua"/>
          <w:b w:val="0"/>
          <w:lang w:val="en-US"/>
        </w:rPr>
        <w:t>.</w:t>
      </w:r>
    </w:p>
    <w:p w:rsidR="008E6366" w:rsidRPr="0088448D" w:rsidRDefault="008E6366" w:rsidP="0088448D">
      <w:pPr>
        <w:pStyle w:val="a8"/>
        <w:spacing w:line="360" w:lineRule="auto"/>
        <w:jc w:val="both"/>
        <w:rPr>
          <w:rStyle w:val="a7"/>
          <w:rFonts w:ascii="Book Antiqua" w:hAnsi="Book Antiqua"/>
          <w:lang w:val="en-US" w:eastAsia="zh-CN"/>
        </w:rPr>
      </w:pPr>
    </w:p>
    <w:p w:rsidR="00DB5395" w:rsidRPr="0088448D" w:rsidRDefault="00727BED" w:rsidP="0088448D">
      <w:pPr>
        <w:pStyle w:val="a8"/>
        <w:spacing w:line="360" w:lineRule="auto"/>
        <w:jc w:val="both"/>
        <w:rPr>
          <w:rStyle w:val="a7"/>
          <w:rFonts w:ascii="Book Antiqua" w:hAnsi="Book Antiqua"/>
          <w:lang w:val="en-US"/>
        </w:rPr>
      </w:pPr>
      <w:r w:rsidRPr="0088448D">
        <w:rPr>
          <w:rStyle w:val="a7"/>
          <w:rFonts w:ascii="Book Antiqua" w:hAnsi="Book Antiqua"/>
          <w:lang w:val="en-US"/>
        </w:rPr>
        <w:t>CLASSIFICATION AND PATHOLOGY OF DISTAL GASTRIC ADENOCARCINOMAS</w:t>
      </w:r>
    </w:p>
    <w:p w:rsidR="00DB5395" w:rsidRPr="0088448D" w:rsidRDefault="00DB5395" w:rsidP="0088448D">
      <w:pPr>
        <w:autoSpaceDE w:val="0"/>
        <w:autoSpaceDN w:val="0"/>
        <w:adjustRightInd w:val="0"/>
        <w:spacing w:line="360" w:lineRule="auto"/>
        <w:jc w:val="both"/>
        <w:rPr>
          <w:rFonts w:ascii="Book Antiqua" w:hAnsi="Book Antiqua"/>
          <w:lang w:val="en-US"/>
        </w:rPr>
      </w:pPr>
      <w:r w:rsidRPr="0088448D">
        <w:rPr>
          <w:rFonts w:ascii="Book Antiqua" w:hAnsi="Book Antiqua"/>
          <w:lang w:val="en-US"/>
        </w:rPr>
        <w:t>Based on histopathological features, several classification systems of gastric cancer have been proposed. The two most commonly used classifications are the Lauren’s</w:t>
      </w:r>
      <w:r w:rsidRPr="0088448D">
        <w:rPr>
          <w:rStyle w:val="a7"/>
          <w:rFonts w:ascii="Book Antiqua" w:hAnsi="Book Antiqua"/>
          <w:b w:val="0"/>
          <w:vertAlign w:val="superscript"/>
          <w:lang w:val="en-US"/>
        </w:rPr>
        <w:t>[</w:t>
      </w:r>
      <w:r w:rsidR="004E17FA" w:rsidRPr="0088448D">
        <w:rPr>
          <w:rStyle w:val="a7"/>
          <w:rFonts w:ascii="Book Antiqua" w:hAnsi="Book Antiqua"/>
          <w:b w:val="0"/>
          <w:vertAlign w:val="superscript"/>
          <w:lang w:val="en-US"/>
        </w:rPr>
        <w:t>20</w:t>
      </w:r>
      <w:r w:rsidRPr="0088448D">
        <w:rPr>
          <w:rStyle w:val="a7"/>
          <w:rFonts w:ascii="Book Antiqua" w:hAnsi="Book Antiqua"/>
          <w:b w:val="0"/>
          <w:vertAlign w:val="superscript"/>
          <w:lang w:val="en-US"/>
        </w:rPr>
        <w:t>]</w:t>
      </w:r>
      <w:r w:rsidRPr="0088448D">
        <w:rPr>
          <w:rFonts w:ascii="Book Antiqua" w:hAnsi="Book Antiqua"/>
          <w:lang w:val="en-US"/>
        </w:rPr>
        <w:t xml:space="preserve"> and </w:t>
      </w:r>
      <w:r w:rsidR="00D65B6E" w:rsidRPr="0088448D">
        <w:rPr>
          <w:rFonts w:ascii="Book Antiqua" w:hAnsi="Book Antiqua"/>
          <w:lang w:val="en-US"/>
        </w:rPr>
        <w:t xml:space="preserve">the </w:t>
      </w:r>
      <w:r w:rsidRPr="0088448D">
        <w:rPr>
          <w:rStyle w:val="a7"/>
          <w:rFonts w:ascii="Book Antiqua" w:hAnsi="Book Antiqua"/>
          <w:b w:val="0"/>
          <w:lang w:val="en-US"/>
        </w:rPr>
        <w:t>World Health Organization (WHO) systems</w:t>
      </w:r>
      <w:r w:rsidRPr="0088448D">
        <w:rPr>
          <w:rStyle w:val="a7"/>
          <w:rFonts w:ascii="Book Antiqua" w:hAnsi="Book Antiqua"/>
          <w:b w:val="0"/>
          <w:vertAlign w:val="superscript"/>
          <w:lang w:val="en-US"/>
        </w:rPr>
        <w:t>[</w:t>
      </w:r>
      <w:r w:rsidR="004E17FA" w:rsidRPr="0088448D">
        <w:rPr>
          <w:rStyle w:val="a7"/>
          <w:rFonts w:ascii="Book Antiqua" w:hAnsi="Book Antiqua"/>
          <w:b w:val="0"/>
          <w:vertAlign w:val="superscript"/>
          <w:lang w:val="en-US"/>
        </w:rPr>
        <w:t>25</w:t>
      </w:r>
      <w:r w:rsidRPr="0088448D">
        <w:rPr>
          <w:rStyle w:val="a7"/>
          <w:rFonts w:ascii="Book Antiqua" w:hAnsi="Book Antiqua"/>
          <w:b w:val="0"/>
          <w:vertAlign w:val="superscript"/>
          <w:lang w:val="en-US"/>
        </w:rPr>
        <w:t>]</w:t>
      </w:r>
      <w:r w:rsidRPr="0088448D">
        <w:rPr>
          <w:rStyle w:val="a7"/>
          <w:rFonts w:ascii="Book Antiqua" w:hAnsi="Book Antiqua"/>
          <w:b w:val="0"/>
          <w:lang w:val="en-US"/>
        </w:rPr>
        <w:t>. The WHO classification distinguishes five major types of gastric carcinoma. This is based on the predominant morphologic component of the tumo</w:t>
      </w:r>
      <w:r w:rsidR="0076587D" w:rsidRPr="0088448D">
        <w:rPr>
          <w:rStyle w:val="a7"/>
          <w:rFonts w:ascii="Book Antiqua" w:hAnsi="Book Antiqua"/>
          <w:b w:val="0"/>
          <w:lang w:val="en-US"/>
        </w:rPr>
        <w:t>u</w:t>
      </w:r>
      <w:r w:rsidRPr="0088448D">
        <w:rPr>
          <w:rStyle w:val="a7"/>
          <w:rFonts w:ascii="Book Antiqua" w:hAnsi="Book Antiqua"/>
          <w:b w:val="0"/>
          <w:lang w:val="en-US"/>
        </w:rPr>
        <w:t>r and includes: papillary, tubular, mucinous, poorly cohesive (including signet-ring cells and other varian</w:t>
      </w:r>
      <w:r w:rsidR="00D65B6E" w:rsidRPr="0088448D">
        <w:rPr>
          <w:rStyle w:val="a7"/>
          <w:rFonts w:ascii="Book Antiqua" w:hAnsi="Book Antiqua"/>
          <w:b w:val="0"/>
          <w:lang w:val="en-US"/>
        </w:rPr>
        <w:t>ts) and mixed carcinomas. In</w:t>
      </w:r>
      <w:r w:rsidRPr="0088448D">
        <w:rPr>
          <w:rStyle w:val="a7"/>
          <w:rFonts w:ascii="Book Antiqua" w:hAnsi="Book Antiqua"/>
          <w:b w:val="0"/>
          <w:lang w:val="en-US"/>
        </w:rPr>
        <w:t xml:space="preserve"> Lauren’s classification, gastric adenocarcinomas are divided into</w:t>
      </w:r>
      <w:r w:rsidRPr="0088448D">
        <w:rPr>
          <w:rFonts w:ascii="Book Antiqua" w:hAnsi="Book Antiqua"/>
          <w:lang w:val="en-US"/>
        </w:rPr>
        <w:t xml:space="preserve"> two main types: intestinal (</w:t>
      </w:r>
      <w:r w:rsidR="00FC2B8C" w:rsidRPr="0088448D">
        <w:rPr>
          <w:rFonts w:ascii="Book Antiqua" w:hAnsi="Book Antiqua"/>
          <w:lang w:val="en-US"/>
        </w:rPr>
        <w:t xml:space="preserve">Figure </w:t>
      </w:r>
      <w:r w:rsidRPr="0088448D">
        <w:rPr>
          <w:rFonts w:ascii="Book Antiqua" w:hAnsi="Book Antiqua"/>
          <w:lang w:val="en-US"/>
        </w:rPr>
        <w:t>1</w:t>
      </w:r>
      <w:r w:rsidR="005D6FB7" w:rsidRPr="0088448D">
        <w:rPr>
          <w:rFonts w:ascii="Book Antiqua" w:hAnsi="Book Antiqua"/>
          <w:lang w:val="en-US"/>
        </w:rPr>
        <w:t>A</w:t>
      </w:r>
      <w:r w:rsidRPr="0088448D">
        <w:rPr>
          <w:rFonts w:ascii="Book Antiqua" w:hAnsi="Book Antiqua"/>
          <w:lang w:val="en-US"/>
        </w:rPr>
        <w:t>) and diffuse (</w:t>
      </w:r>
      <w:r w:rsidR="00FC2B8C" w:rsidRPr="0088448D">
        <w:rPr>
          <w:rFonts w:ascii="Book Antiqua" w:hAnsi="Book Antiqua"/>
          <w:lang w:val="en-US"/>
        </w:rPr>
        <w:t xml:space="preserve">Figure </w:t>
      </w:r>
      <w:r w:rsidRPr="0088448D">
        <w:rPr>
          <w:rFonts w:ascii="Book Antiqua" w:hAnsi="Book Antiqua"/>
          <w:lang w:val="en-US"/>
        </w:rPr>
        <w:t>1</w:t>
      </w:r>
      <w:r w:rsidR="005D6FB7" w:rsidRPr="0088448D">
        <w:rPr>
          <w:rFonts w:ascii="Book Antiqua" w:hAnsi="Book Antiqua"/>
          <w:lang w:val="en-US"/>
        </w:rPr>
        <w:t>B</w:t>
      </w:r>
      <w:r w:rsidRPr="0088448D">
        <w:rPr>
          <w:rFonts w:ascii="Book Antiqua" w:hAnsi="Book Antiqua"/>
          <w:lang w:val="en-US"/>
        </w:rPr>
        <w:t>).</w:t>
      </w:r>
      <w:r w:rsidR="002373FC">
        <w:rPr>
          <w:rFonts w:ascii="Book Antiqua" w:hAnsi="Book Antiqua" w:hint="eastAsia"/>
          <w:lang w:val="en-US" w:eastAsia="zh-CN"/>
        </w:rPr>
        <w:t xml:space="preserve"> </w:t>
      </w:r>
      <w:r w:rsidRPr="0088448D">
        <w:rPr>
          <w:rStyle w:val="a7"/>
          <w:rFonts w:ascii="Book Antiqua" w:hAnsi="Book Antiqua"/>
          <w:b w:val="0"/>
          <w:lang w:val="en-US"/>
        </w:rPr>
        <w:t>Intestinal adenocarcinoma</w:t>
      </w:r>
      <w:r w:rsidR="007976EE" w:rsidRPr="0088448D">
        <w:rPr>
          <w:rStyle w:val="a7"/>
          <w:rFonts w:ascii="Book Antiqua" w:hAnsi="Book Antiqua"/>
          <w:b w:val="0"/>
          <w:lang w:val="en-US"/>
        </w:rPr>
        <w:t>s usually arise</w:t>
      </w:r>
      <w:r w:rsidR="00D65B6E" w:rsidRPr="0088448D">
        <w:rPr>
          <w:rStyle w:val="a7"/>
          <w:rFonts w:ascii="Book Antiqua" w:hAnsi="Book Antiqua"/>
          <w:b w:val="0"/>
          <w:lang w:val="en-US"/>
        </w:rPr>
        <w:t xml:space="preserve"> in an</w:t>
      </w:r>
      <w:r w:rsidRPr="0088448D">
        <w:rPr>
          <w:rStyle w:val="a7"/>
          <w:rFonts w:ascii="Book Antiqua" w:hAnsi="Book Antiqua"/>
          <w:b w:val="0"/>
          <w:lang w:val="en-US"/>
        </w:rPr>
        <w:t xml:space="preserve"> older population with an increased incidence in men (male/female ratio of 2:1)</w:t>
      </w:r>
      <w:r w:rsidR="00727BED" w:rsidRPr="00727BED">
        <w:rPr>
          <w:rStyle w:val="a7"/>
          <w:rFonts w:ascii="Book Antiqua" w:hAnsi="Book Antiqua"/>
          <w:b w:val="0"/>
          <w:vertAlign w:val="superscript"/>
          <w:lang w:val="en-US"/>
        </w:rPr>
        <w:t>[</w:t>
      </w:r>
      <w:r w:rsidR="005C442B" w:rsidRPr="0088448D">
        <w:rPr>
          <w:rStyle w:val="a7"/>
          <w:rFonts w:ascii="Book Antiqua" w:hAnsi="Book Antiqua"/>
          <w:b w:val="0"/>
          <w:vertAlign w:val="superscript"/>
          <w:lang w:val="en-US"/>
        </w:rPr>
        <w:t>15</w:t>
      </w:r>
      <w:r w:rsidRPr="0088448D">
        <w:rPr>
          <w:rStyle w:val="a7"/>
          <w:rFonts w:ascii="Book Antiqua" w:hAnsi="Book Antiqua"/>
          <w:b w:val="0"/>
          <w:vertAlign w:val="superscript"/>
          <w:lang w:val="en-US"/>
        </w:rPr>
        <w:t>]</w:t>
      </w:r>
      <w:r w:rsidRPr="0088448D">
        <w:rPr>
          <w:rStyle w:val="a7"/>
          <w:rFonts w:ascii="Book Antiqua" w:hAnsi="Book Antiqua"/>
          <w:b w:val="0"/>
          <w:lang w:val="en-US"/>
        </w:rPr>
        <w:t>.</w:t>
      </w:r>
      <w:r w:rsidR="002373FC">
        <w:rPr>
          <w:rStyle w:val="a7"/>
          <w:rFonts w:ascii="Book Antiqua" w:hAnsi="Book Antiqua" w:hint="eastAsia"/>
          <w:b w:val="0"/>
          <w:lang w:val="en-US" w:eastAsia="zh-CN"/>
        </w:rPr>
        <w:t xml:space="preserve"> </w:t>
      </w:r>
      <w:r w:rsidR="00145828" w:rsidRPr="0088448D">
        <w:rPr>
          <w:rStyle w:val="a7"/>
          <w:rFonts w:ascii="Book Antiqua" w:hAnsi="Book Antiqua"/>
          <w:b w:val="0"/>
          <w:lang w:val="en-US"/>
        </w:rPr>
        <w:t>These tumo</w:t>
      </w:r>
      <w:r w:rsidR="0076587D" w:rsidRPr="0088448D">
        <w:rPr>
          <w:rStyle w:val="a7"/>
          <w:rFonts w:ascii="Book Antiqua" w:hAnsi="Book Antiqua"/>
          <w:b w:val="0"/>
          <w:lang w:val="en-US"/>
        </w:rPr>
        <w:t>u</w:t>
      </w:r>
      <w:r w:rsidR="00145828" w:rsidRPr="0088448D">
        <w:rPr>
          <w:rStyle w:val="a7"/>
          <w:rFonts w:ascii="Book Antiqua" w:hAnsi="Book Antiqua"/>
          <w:b w:val="0"/>
          <w:lang w:val="en-US"/>
        </w:rPr>
        <w:t xml:space="preserve">rs have the gross appearance of an exophytic mass, and histologically, </w:t>
      </w:r>
      <w:r w:rsidR="007976EE" w:rsidRPr="0088448D">
        <w:rPr>
          <w:rStyle w:val="a7"/>
          <w:rFonts w:ascii="Book Antiqua" w:hAnsi="Book Antiqua"/>
          <w:b w:val="0"/>
          <w:lang w:val="en-US"/>
        </w:rPr>
        <w:t>show a glandular structure resembling the glandular pattern of the intestine, although some solid or papillary areas are often present.</w:t>
      </w:r>
      <w:r w:rsidR="00727BED">
        <w:rPr>
          <w:rStyle w:val="a7"/>
          <w:rFonts w:ascii="Book Antiqua" w:hAnsi="Book Antiqua" w:hint="eastAsia"/>
          <w:b w:val="0"/>
          <w:lang w:val="en-US" w:eastAsia="zh-CN"/>
        </w:rPr>
        <w:t xml:space="preserve"> </w:t>
      </w:r>
      <w:r w:rsidRPr="00727BED">
        <w:rPr>
          <w:rFonts w:ascii="Book Antiqua" w:hAnsi="Book Antiqua"/>
          <w:lang w:val="en-US"/>
        </w:rPr>
        <w:t>Diffus</w:t>
      </w:r>
      <w:r w:rsidR="00145828" w:rsidRPr="00727BED">
        <w:rPr>
          <w:rFonts w:ascii="Book Antiqua" w:hAnsi="Book Antiqua"/>
          <w:lang w:val="en-US"/>
        </w:rPr>
        <w:t xml:space="preserve">e-type </w:t>
      </w:r>
      <w:r w:rsidRPr="00727BED">
        <w:rPr>
          <w:rFonts w:ascii="Book Antiqua" w:hAnsi="Book Antiqua"/>
          <w:lang w:val="en-US"/>
        </w:rPr>
        <w:t xml:space="preserve">carcinomas do not show gender predominance, tend to develop inyounger subjects, </w:t>
      </w:r>
      <w:r w:rsidR="007976EE" w:rsidRPr="00727BED">
        <w:rPr>
          <w:rFonts w:ascii="Book Antiqua" w:hAnsi="Book Antiqua"/>
          <w:lang w:val="en-US"/>
        </w:rPr>
        <w:t xml:space="preserve">and </w:t>
      </w:r>
      <w:r w:rsidRPr="00727BED">
        <w:rPr>
          <w:rFonts w:ascii="Book Antiqua" w:hAnsi="Book Antiqua"/>
          <w:lang w:val="en-US"/>
        </w:rPr>
        <w:t>have a poorer prognosis t</w:t>
      </w:r>
      <w:r w:rsidR="00D65B6E" w:rsidRPr="00727BED">
        <w:rPr>
          <w:rFonts w:ascii="Book Antiqua" w:hAnsi="Book Antiqua"/>
          <w:lang w:val="en-US"/>
        </w:rPr>
        <w:t>han</w:t>
      </w:r>
      <w:r w:rsidR="007976EE" w:rsidRPr="00727BED">
        <w:rPr>
          <w:rFonts w:ascii="Book Antiqua" w:hAnsi="Book Antiqua"/>
          <w:lang w:val="en-US"/>
        </w:rPr>
        <w:t xml:space="preserve"> intestinal-type tumo</w:t>
      </w:r>
      <w:r w:rsidR="0076587D" w:rsidRPr="00727BED">
        <w:rPr>
          <w:rFonts w:ascii="Book Antiqua" w:hAnsi="Book Antiqua"/>
          <w:lang w:val="en-US"/>
        </w:rPr>
        <w:t>u</w:t>
      </w:r>
      <w:r w:rsidR="007976EE" w:rsidRPr="00727BED">
        <w:rPr>
          <w:rFonts w:ascii="Book Antiqua" w:hAnsi="Book Antiqua"/>
          <w:lang w:val="en-US"/>
        </w:rPr>
        <w:t xml:space="preserve">rs. </w:t>
      </w:r>
      <w:r w:rsidR="00145828" w:rsidRPr="00727BED">
        <w:rPr>
          <w:rFonts w:ascii="Book Antiqua" w:hAnsi="Book Antiqua"/>
          <w:lang w:val="en-US"/>
        </w:rPr>
        <w:t>Grossly, these tumo</w:t>
      </w:r>
      <w:r w:rsidR="0076587D" w:rsidRPr="00727BED">
        <w:rPr>
          <w:rFonts w:ascii="Book Antiqua" w:hAnsi="Book Antiqua"/>
          <w:lang w:val="en-US"/>
        </w:rPr>
        <w:t>u</w:t>
      </w:r>
      <w:r w:rsidR="00145828" w:rsidRPr="00727BED">
        <w:rPr>
          <w:rFonts w:ascii="Book Antiqua" w:hAnsi="Book Antiqua"/>
          <w:lang w:val="en-US"/>
        </w:rPr>
        <w:t xml:space="preserve">rs appear as ulcerative lesions or involve the entire thickness of the stomach wall, causing the thickening and increased firmness that has been called “linitis plastic”. </w:t>
      </w:r>
      <w:r w:rsidR="007976EE" w:rsidRPr="00727BED">
        <w:rPr>
          <w:rFonts w:ascii="Book Antiqua" w:hAnsi="Book Antiqua"/>
          <w:lang w:val="en-US"/>
        </w:rPr>
        <w:t xml:space="preserve">Histologically, they are made up either of separated single </w:t>
      </w:r>
      <w:r w:rsidR="007976EE" w:rsidRPr="00727BED">
        <w:rPr>
          <w:rFonts w:ascii="Book Antiqua" w:hAnsi="Book Antiqua"/>
          <w:lang w:val="en-US"/>
        </w:rPr>
        <w:lastRenderedPageBreak/>
        <w:t>cells with or without signet ring cell configuration or small aggregates of malignant cells with little or no gland formation</w:t>
      </w:r>
      <w:r w:rsidR="00727BED" w:rsidRPr="00727BED">
        <w:rPr>
          <w:rFonts w:ascii="Book Antiqua" w:hAnsi="Book Antiqua"/>
          <w:vertAlign w:val="superscript"/>
          <w:lang w:val="en-US"/>
        </w:rPr>
        <w:t>[</w:t>
      </w:r>
      <w:r w:rsidR="005C442B" w:rsidRPr="00727BED">
        <w:rPr>
          <w:rStyle w:val="a7"/>
          <w:rFonts w:ascii="Book Antiqua" w:hAnsi="Book Antiqua"/>
          <w:b w:val="0"/>
          <w:vertAlign w:val="superscript"/>
          <w:lang w:val="en-US"/>
        </w:rPr>
        <w:t>15,26</w:t>
      </w:r>
      <w:r w:rsidRPr="00727BED">
        <w:rPr>
          <w:rStyle w:val="a7"/>
          <w:rFonts w:ascii="Book Antiqua" w:hAnsi="Book Antiqua"/>
          <w:b w:val="0"/>
          <w:vertAlign w:val="superscript"/>
          <w:lang w:val="en-US"/>
        </w:rPr>
        <w:t>]</w:t>
      </w:r>
      <w:r w:rsidRPr="00727BED">
        <w:rPr>
          <w:rFonts w:ascii="Book Antiqua" w:hAnsi="Book Antiqua"/>
          <w:lang w:val="en-US"/>
        </w:rPr>
        <w:t>.</w:t>
      </w:r>
      <w:r w:rsidR="00727BED">
        <w:rPr>
          <w:rFonts w:ascii="Book Antiqua" w:hAnsi="Book Antiqua" w:hint="eastAsia"/>
          <w:lang w:val="en-US" w:eastAsia="zh-CN"/>
        </w:rPr>
        <w:t xml:space="preserve"> </w:t>
      </w:r>
      <w:r w:rsidR="00D65B6E" w:rsidRPr="00727BED">
        <w:rPr>
          <w:rFonts w:ascii="Book Antiqua" w:hAnsi="Book Antiqua"/>
          <w:lang w:val="en-US"/>
        </w:rPr>
        <w:t>It is thought that d</w:t>
      </w:r>
      <w:r w:rsidRPr="00727BED">
        <w:rPr>
          <w:rStyle w:val="a7"/>
          <w:rFonts w:ascii="Book Antiqua" w:hAnsi="Book Antiqua"/>
          <w:b w:val="0"/>
          <w:lang w:val="en-US"/>
        </w:rPr>
        <w:t>iffuse-type gastric carcinomas develop through the loss of</w:t>
      </w:r>
      <w:r w:rsidR="00D65B6E" w:rsidRPr="00727BED">
        <w:rPr>
          <w:rStyle w:val="a7"/>
          <w:rFonts w:ascii="Book Antiqua" w:hAnsi="Book Antiqua"/>
          <w:b w:val="0"/>
          <w:lang w:val="en-US"/>
        </w:rPr>
        <w:t xml:space="preserve"> function of E-cadherin, as</w:t>
      </w:r>
      <w:r w:rsidRPr="00727BED">
        <w:rPr>
          <w:rStyle w:val="a7"/>
          <w:rFonts w:ascii="Book Antiqua" w:hAnsi="Book Antiqua"/>
          <w:b w:val="0"/>
          <w:lang w:val="en-US"/>
        </w:rPr>
        <w:t>germline mutations of the CDH1 gene (encoding E-cadherin) have been found in 30</w:t>
      </w:r>
      <w:r w:rsidR="00727BED">
        <w:rPr>
          <w:rStyle w:val="a7"/>
          <w:rFonts w:ascii="Book Antiqua" w:hAnsi="Book Antiqua" w:hint="eastAsia"/>
          <w:b w:val="0"/>
          <w:lang w:val="en-US" w:eastAsia="zh-CN"/>
        </w:rPr>
        <w:t>%-</w:t>
      </w:r>
      <w:r w:rsidRPr="00727BED">
        <w:rPr>
          <w:rStyle w:val="a7"/>
          <w:rFonts w:ascii="Book Antiqua" w:hAnsi="Book Antiqua"/>
          <w:b w:val="0"/>
          <w:lang w:val="en-US"/>
        </w:rPr>
        <w:t>40% of hereditary d</w:t>
      </w:r>
      <w:r w:rsidR="00E95D52" w:rsidRPr="00727BED">
        <w:rPr>
          <w:rStyle w:val="a7"/>
          <w:rFonts w:ascii="Book Antiqua" w:hAnsi="Book Antiqua"/>
          <w:b w:val="0"/>
          <w:lang w:val="en-US"/>
        </w:rPr>
        <w:t xml:space="preserve">iffuse gastric cancer cases. Furthermore, </w:t>
      </w:r>
      <w:r w:rsidRPr="00727BED">
        <w:rPr>
          <w:rStyle w:val="a7"/>
          <w:rFonts w:ascii="Book Antiqua" w:hAnsi="Book Antiqua"/>
          <w:b w:val="0"/>
          <w:lang w:val="en-US"/>
        </w:rPr>
        <w:t>CDH1 is also frequently inactivated in sporadic diffuse-type gastric cancers through genetic and epigenetic alterations</w:t>
      </w:r>
      <w:r w:rsidR="00727BED" w:rsidRPr="00727BED">
        <w:rPr>
          <w:rStyle w:val="a7"/>
          <w:rFonts w:ascii="Book Antiqua" w:hAnsi="Book Antiqua"/>
          <w:b w:val="0"/>
          <w:vertAlign w:val="superscript"/>
          <w:lang w:val="en-US"/>
        </w:rPr>
        <w:t>[</w:t>
      </w:r>
      <w:r w:rsidR="004E17FA" w:rsidRPr="00727BED">
        <w:rPr>
          <w:rStyle w:val="a7"/>
          <w:rFonts w:ascii="Book Antiqua" w:hAnsi="Book Antiqua"/>
          <w:b w:val="0"/>
          <w:vertAlign w:val="superscript"/>
          <w:lang w:val="en-US"/>
        </w:rPr>
        <w:t>27</w:t>
      </w:r>
      <w:r w:rsidRPr="00727BED">
        <w:rPr>
          <w:rStyle w:val="a7"/>
          <w:rFonts w:ascii="Book Antiqua" w:hAnsi="Book Antiqua"/>
          <w:b w:val="0"/>
          <w:vertAlign w:val="superscript"/>
          <w:lang w:val="en-US"/>
        </w:rPr>
        <w:t>-</w:t>
      </w:r>
      <w:r w:rsidR="004E17FA" w:rsidRPr="00727BED">
        <w:rPr>
          <w:rStyle w:val="a7"/>
          <w:rFonts w:ascii="Book Antiqua" w:hAnsi="Book Antiqua"/>
          <w:b w:val="0"/>
          <w:vertAlign w:val="superscript"/>
          <w:lang w:val="en-US"/>
        </w:rPr>
        <w:t>33</w:t>
      </w:r>
      <w:r w:rsidRPr="00727BED">
        <w:rPr>
          <w:rStyle w:val="a7"/>
          <w:rFonts w:ascii="Book Antiqua" w:hAnsi="Book Antiqua"/>
          <w:b w:val="0"/>
          <w:vertAlign w:val="superscript"/>
          <w:lang w:val="en-US"/>
        </w:rPr>
        <w:t>]</w:t>
      </w:r>
      <w:r w:rsidRPr="00727BED">
        <w:rPr>
          <w:rStyle w:val="a7"/>
          <w:rFonts w:ascii="Book Antiqua" w:hAnsi="Book Antiqua"/>
          <w:b w:val="0"/>
          <w:lang w:val="en-US"/>
        </w:rPr>
        <w:t>.</w:t>
      </w:r>
      <w:r w:rsidR="00E95D52" w:rsidRPr="00727BED">
        <w:rPr>
          <w:rStyle w:val="a7"/>
          <w:rFonts w:ascii="Book Antiqua" w:hAnsi="Book Antiqua"/>
          <w:b w:val="0"/>
          <w:lang w:val="en-US"/>
        </w:rPr>
        <w:t xml:space="preserve"> A n</w:t>
      </w:r>
      <w:r w:rsidR="00AE4918" w:rsidRPr="00727BED">
        <w:rPr>
          <w:rStyle w:val="a7"/>
          <w:rFonts w:ascii="Book Antiqua" w:hAnsi="Book Antiqua"/>
          <w:b w:val="0"/>
          <w:lang w:val="en-US"/>
        </w:rPr>
        <w:t>eoplastic precursor lesio</w:t>
      </w:r>
      <w:r w:rsidR="00AE4918" w:rsidRPr="0088448D">
        <w:rPr>
          <w:rStyle w:val="a7"/>
          <w:rFonts w:ascii="Book Antiqua" w:hAnsi="Book Antiqua"/>
          <w:b w:val="0"/>
          <w:lang w:val="en-US"/>
        </w:rPr>
        <w:t xml:space="preserve">nassociated with the development of diffuse-type gastriccancer, and familial gastric cancer related to E-cadherin mutations, is usually referred </w:t>
      </w:r>
      <w:r w:rsidR="00E95D52" w:rsidRPr="0088448D">
        <w:rPr>
          <w:rStyle w:val="a7"/>
          <w:rFonts w:ascii="Book Antiqua" w:hAnsi="Book Antiqua"/>
          <w:b w:val="0"/>
          <w:lang w:val="en-US"/>
        </w:rPr>
        <w:t xml:space="preserve">to </w:t>
      </w:r>
      <w:r w:rsidR="00727BED">
        <w:rPr>
          <w:rStyle w:val="a7"/>
          <w:rFonts w:ascii="Book Antiqua" w:hAnsi="Book Antiqua"/>
          <w:b w:val="0"/>
          <w:lang w:val="en-US"/>
        </w:rPr>
        <w:t xml:space="preserve">as “tubule neck dysplasia” </w:t>
      </w:r>
      <w:r w:rsidR="00AE4918" w:rsidRPr="0088448D">
        <w:rPr>
          <w:rStyle w:val="a7"/>
          <w:rFonts w:ascii="Book Antiqua" w:hAnsi="Book Antiqua"/>
          <w:b w:val="0"/>
          <w:lang w:val="en-US"/>
        </w:rPr>
        <w:t>and consists of signet ring cells that line the deepfoveolar pits in a pagetoid fashion without mucosal involvement</w:t>
      </w:r>
      <w:r w:rsidR="00727BED" w:rsidRPr="00727BED">
        <w:rPr>
          <w:rStyle w:val="a7"/>
          <w:rFonts w:ascii="Book Antiqua" w:hAnsi="Book Antiqua"/>
          <w:b w:val="0"/>
          <w:vertAlign w:val="superscript"/>
          <w:lang w:val="en-US"/>
        </w:rPr>
        <w:t>[</w:t>
      </w:r>
      <w:r w:rsidR="004E17FA" w:rsidRPr="0088448D">
        <w:rPr>
          <w:rStyle w:val="a7"/>
          <w:rFonts w:ascii="Book Antiqua" w:hAnsi="Book Antiqua"/>
          <w:b w:val="0"/>
          <w:vertAlign w:val="superscript"/>
          <w:lang w:val="en-US"/>
        </w:rPr>
        <w:t>34-36</w:t>
      </w:r>
      <w:r w:rsidR="00AE4918" w:rsidRPr="0088448D">
        <w:rPr>
          <w:rStyle w:val="a7"/>
          <w:rFonts w:ascii="Book Antiqua" w:hAnsi="Book Antiqua"/>
          <w:b w:val="0"/>
          <w:vertAlign w:val="superscript"/>
          <w:lang w:val="en-US"/>
        </w:rPr>
        <w:t>]</w:t>
      </w:r>
      <w:r w:rsidR="00FF7F6F" w:rsidRPr="0088448D">
        <w:rPr>
          <w:rStyle w:val="a7"/>
          <w:rFonts w:ascii="Book Antiqua" w:hAnsi="Book Antiqua"/>
          <w:b w:val="0"/>
          <w:lang w:val="en-US"/>
        </w:rPr>
        <w:t xml:space="preserve"> </w:t>
      </w:r>
      <w:r w:rsidR="00AE4918" w:rsidRPr="0088448D">
        <w:rPr>
          <w:rStyle w:val="a7"/>
          <w:rFonts w:ascii="Book Antiqua" w:hAnsi="Book Antiqua"/>
          <w:b w:val="0"/>
          <w:lang w:val="en-US"/>
        </w:rPr>
        <w:t>.</w:t>
      </w:r>
      <w:r w:rsidR="00AE4918" w:rsidRPr="0088448D">
        <w:rPr>
          <w:rFonts w:ascii="Book Antiqua" w:hAnsi="Book Antiqua"/>
          <w:lang w:val="en-US"/>
        </w:rPr>
        <w:t xml:space="preserve">However, this lesion is rarelyfound and is not readily recognizable. </w:t>
      </w:r>
      <w:r w:rsidR="004D1533" w:rsidRPr="0088448D">
        <w:rPr>
          <w:rFonts w:ascii="Book Antiqua" w:hAnsi="Book Antiqua"/>
          <w:lang w:val="en-US"/>
        </w:rPr>
        <w:t xml:space="preserve">Distinctive clinicopathological features of intestinal and diffuse type of gastric carcinoma are shown in </w:t>
      </w:r>
      <w:r w:rsidR="00727BED" w:rsidRPr="0088448D">
        <w:rPr>
          <w:rFonts w:ascii="Book Antiqua" w:hAnsi="Book Antiqua"/>
          <w:lang w:val="en-US"/>
        </w:rPr>
        <w:t xml:space="preserve">Table </w:t>
      </w:r>
      <w:r w:rsidR="004D1533" w:rsidRPr="0088448D">
        <w:rPr>
          <w:rFonts w:ascii="Book Antiqua" w:hAnsi="Book Antiqua"/>
          <w:lang w:val="en-US"/>
        </w:rPr>
        <w:t xml:space="preserve">1. </w:t>
      </w:r>
    </w:p>
    <w:p w:rsidR="00AE4918" w:rsidRPr="0088448D" w:rsidRDefault="00AE4918" w:rsidP="00727BED">
      <w:pPr>
        <w:autoSpaceDE w:val="0"/>
        <w:autoSpaceDN w:val="0"/>
        <w:adjustRightInd w:val="0"/>
        <w:spacing w:line="360" w:lineRule="auto"/>
        <w:ind w:firstLineChars="200" w:firstLine="480"/>
        <w:jc w:val="both"/>
        <w:rPr>
          <w:rFonts w:ascii="Book Antiqua" w:hAnsi="Book Antiqua"/>
          <w:lang w:val="en-US"/>
        </w:rPr>
      </w:pPr>
      <w:r w:rsidRPr="0088448D">
        <w:rPr>
          <w:rFonts w:ascii="Book Antiqua" w:hAnsi="Book Antiqua"/>
          <w:lang w:val="en-US"/>
        </w:rPr>
        <w:t>Recently, a new classification of gastric carcinom</w:t>
      </w:r>
      <w:r w:rsidR="004D1533" w:rsidRPr="0088448D">
        <w:rPr>
          <w:rFonts w:ascii="Book Antiqua" w:hAnsi="Book Antiqua"/>
          <w:lang w:val="en-US"/>
        </w:rPr>
        <w:t xml:space="preserve">as based on mucin expression has been </w:t>
      </w:r>
      <w:r w:rsidRPr="0088448D">
        <w:rPr>
          <w:rFonts w:ascii="Book Antiqua" w:hAnsi="Book Antiqua"/>
          <w:lang w:val="en-US"/>
        </w:rPr>
        <w:t>proposed</w:t>
      </w:r>
      <w:r w:rsidR="00727BED" w:rsidRPr="00727BED">
        <w:rPr>
          <w:rFonts w:ascii="Book Antiqua" w:hAnsi="Book Antiqua"/>
          <w:vertAlign w:val="superscript"/>
          <w:lang w:val="en-US"/>
        </w:rPr>
        <w:t>[</w:t>
      </w:r>
      <w:r w:rsidR="004E17FA" w:rsidRPr="0088448D">
        <w:rPr>
          <w:rStyle w:val="a7"/>
          <w:rFonts w:ascii="Book Antiqua" w:hAnsi="Book Antiqua"/>
          <w:b w:val="0"/>
          <w:vertAlign w:val="superscript"/>
          <w:lang w:val="en-US"/>
        </w:rPr>
        <w:t>21-24</w:t>
      </w:r>
      <w:r w:rsidRPr="0088448D">
        <w:rPr>
          <w:rStyle w:val="a7"/>
          <w:rFonts w:ascii="Book Antiqua" w:hAnsi="Book Antiqua"/>
          <w:b w:val="0"/>
          <w:vertAlign w:val="superscript"/>
          <w:lang w:val="en-US"/>
        </w:rPr>
        <w:t>]</w:t>
      </w:r>
      <w:r w:rsidRPr="0088448D">
        <w:rPr>
          <w:rFonts w:ascii="Book Antiqua" w:hAnsi="Book Antiqua"/>
          <w:lang w:val="en-US"/>
        </w:rPr>
        <w:t>.</w:t>
      </w:r>
      <w:r w:rsidR="004D1533" w:rsidRPr="0088448D">
        <w:rPr>
          <w:rFonts w:ascii="Book Antiqua" w:hAnsi="Book Antiqua"/>
          <w:lang w:val="en-US"/>
        </w:rPr>
        <w:t xml:space="preserve"> Intestinal</w:t>
      </w:r>
      <w:r w:rsidRPr="0088448D">
        <w:rPr>
          <w:rFonts w:ascii="Book Antiqua" w:hAnsi="Book Antiqua"/>
          <w:lang w:val="en-US"/>
        </w:rPr>
        <w:t xml:space="preserve"> gastric carcinomas were reclassified a</w:t>
      </w:r>
      <w:r w:rsidR="00E95D52" w:rsidRPr="0088448D">
        <w:rPr>
          <w:rFonts w:ascii="Book Antiqua" w:hAnsi="Book Antiqua"/>
          <w:lang w:val="en-US"/>
        </w:rPr>
        <w:t>s</w:t>
      </w:r>
      <w:r w:rsidRPr="0088448D">
        <w:rPr>
          <w:rFonts w:ascii="Book Antiqua" w:hAnsi="Book Antiqua"/>
          <w:lang w:val="en-US"/>
        </w:rPr>
        <w:t>gastric or intestinal phenotype on the basis ofmucinexpression by surface mucous cells, glandularmucous cells, and intestinal columnar and gobletcells</w:t>
      </w:r>
      <w:r w:rsidRPr="0088448D">
        <w:rPr>
          <w:rStyle w:val="a7"/>
          <w:rFonts w:ascii="Book Antiqua" w:hAnsi="Book Antiqua"/>
          <w:b w:val="0"/>
          <w:vertAlign w:val="superscript"/>
          <w:lang w:val="en-US"/>
        </w:rPr>
        <w:t>[</w:t>
      </w:r>
      <w:r w:rsidR="00B12DFC" w:rsidRPr="0088448D">
        <w:rPr>
          <w:rStyle w:val="a7"/>
          <w:rFonts w:ascii="Book Antiqua" w:hAnsi="Book Antiqua"/>
          <w:b w:val="0"/>
          <w:vertAlign w:val="superscript"/>
          <w:lang w:val="en-US"/>
        </w:rPr>
        <w:t>21-24,</w:t>
      </w:r>
      <w:r w:rsidR="004E17FA" w:rsidRPr="0088448D">
        <w:rPr>
          <w:rStyle w:val="a7"/>
          <w:rFonts w:ascii="Book Antiqua" w:hAnsi="Book Antiqua"/>
          <w:b w:val="0"/>
          <w:vertAlign w:val="superscript"/>
          <w:lang w:val="en-US"/>
        </w:rPr>
        <w:t>37</w:t>
      </w:r>
      <w:r w:rsidRPr="0088448D">
        <w:rPr>
          <w:rStyle w:val="a7"/>
          <w:rFonts w:ascii="Book Antiqua" w:hAnsi="Book Antiqua"/>
          <w:b w:val="0"/>
          <w:vertAlign w:val="superscript"/>
          <w:lang w:val="en-US"/>
        </w:rPr>
        <w:t>]</w:t>
      </w:r>
      <w:r w:rsidRPr="0088448D">
        <w:rPr>
          <w:rFonts w:ascii="Book Antiqua" w:hAnsi="Book Antiqua"/>
          <w:lang w:val="en-US"/>
        </w:rPr>
        <w:t>. Histologically, gastric-type adenocarcinoma shows a papillary growth pattern in the upper portion and irregular branching/fusion in the deeper portion. Papillary projections are lined by columnar cells with clear mucinous cytoplasm and basally oriented enlarged vesicular nuclei with prominent nucleoli (Figure</w:t>
      </w:r>
      <w:r w:rsidR="0076587D" w:rsidRPr="0088448D">
        <w:rPr>
          <w:rFonts w:ascii="Book Antiqua" w:hAnsi="Book Antiqua"/>
          <w:lang w:val="en-US"/>
        </w:rPr>
        <w:t xml:space="preserve"> 2</w:t>
      </w:r>
      <w:r w:rsidRPr="0088448D">
        <w:rPr>
          <w:rFonts w:ascii="Book Antiqua" w:hAnsi="Book Antiqua"/>
          <w:lang w:val="en-US"/>
        </w:rPr>
        <w:t xml:space="preserve">). Tajima </w:t>
      </w:r>
      <w:r w:rsidRPr="00727BED">
        <w:rPr>
          <w:rFonts w:ascii="Book Antiqua" w:hAnsi="Book Antiqua"/>
          <w:i/>
          <w:lang w:val="en-US"/>
        </w:rPr>
        <w:t>et al</w:t>
      </w:r>
      <w:r w:rsidR="00727BED" w:rsidRPr="00727BED">
        <w:rPr>
          <w:rFonts w:ascii="Book Antiqua" w:hAnsi="Book Antiqua"/>
          <w:vertAlign w:val="superscript"/>
          <w:lang w:val="en-US"/>
        </w:rPr>
        <w:t>[</w:t>
      </w:r>
      <w:r w:rsidR="004E17FA" w:rsidRPr="0088448D">
        <w:rPr>
          <w:rStyle w:val="a7"/>
          <w:rFonts w:ascii="Book Antiqua" w:hAnsi="Book Antiqua"/>
          <w:b w:val="0"/>
          <w:vertAlign w:val="superscript"/>
          <w:lang w:val="en-US"/>
        </w:rPr>
        <w:t>22</w:t>
      </w:r>
      <w:r w:rsidRPr="0088448D">
        <w:rPr>
          <w:rStyle w:val="a7"/>
          <w:rFonts w:ascii="Book Antiqua" w:hAnsi="Book Antiqua"/>
          <w:b w:val="0"/>
          <w:vertAlign w:val="superscript"/>
          <w:lang w:val="en-US"/>
        </w:rPr>
        <w:t>]</w:t>
      </w:r>
      <w:r w:rsidRPr="0088448D">
        <w:rPr>
          <w:rFonts w:ascii="Book Antiqua" w:hAnsi="Book Antiqua"/>
          <w:lang w:val="en-US"/>
        </w:rPr>
        <w:t xml:space="preserve"> showed that gastric-type adenocarcinomas were significantly associated with a high risk of peritoneal recurrence and a poorer outcome after surgical resection compared with those with intestinal phenotype adenocarcinoma. Immunohistochemically, gastric type adenocarcinoma is positive for MUC5AC, and negative for CD10 and MUC2. Instead, intestinal-type adenocarcinoma is positive for CD10 and MUC2 and negative for MUC5AC</w:t>
      </w:r>
      <w:r w:rsidR="00727BED" w:rsidRPr="00727BED">
        <w:rPr>
          <w:rFonts w:ascii="Book Antiqua" w:hAnsi="Book Antiqua"/>
          <w:vertAlign w:val="superscript"/>
          <w:lang w:val="en-US"/>
        </w:rPr>
        <w:t>[</w:t>
      </w:r>
      <w:r w:rsidR="004E17FA" w:rsidRPr="0088448D">
        <w:rPr>
          <w:rStyle w:val="a7"/>
          <w:rFonts w:ascii="Book Antiqua" w:hAnsi="Book Antiqua"/>
          <w:b w:val="0"/>
          <w:vertAlign w:val="superscript"/>
          <w:lang w:val="en-US"/>
        </w:rPr>
        <w:t>23-24</w:t>
      </w:r>
      <w:r w:rsidRPr="0088448D">
        <w:rPr>
          <w:rStyle w:val="a7"/>
          <w:rFonts w:ascii="Book Antiqua" w:hAnsi="Book Antiqua"/>
          <w:b w:val="0"/>
          <w:vertAlign w:val="superscript"/>
          <w:lang w:val="en-US"/>
        </w:rPr>
        <w:t>]</w:t>
      </w:r>
      <w:r w:rsidRPr="0088448D">
        <w:rPr>
          <w:rFonts w:ascii="Book Antiqua" w:hAnsi="Book Antiqua"/>
          <w:lang w:val="en-US"/>
        </w:rPr>
        <w:t>.</w:t>
      </w:r>
      <w:r w:rsidR="005C442B" w:rsidRPr="0088448D">
        <w:rPr>
          <w:rFonts w:ascii="Book Antiqua" w:hAnsi="Book Antiqua"/>
          <w:lang w:val="en-US"/>
        </w:rPr>
        <w:t xml:space="preserve"> Diffuse-type carcinoma shows a variable positivity for MUC1, MUC2, MUC5AC and MUC6</w:t>
      </w:r>
      <w:r w:rsidR="00727BED" w:rsidRPr="00727BED">
        <w:rPr>
          <w:rFonts w:ascii="Book Antiqua" w:hAnsi="Book Antiqua"/>
          <w:vertAlign w:val="superscript"/>
          <w:lang w:val="en-US"/>
        </w:rPr>
        <w:t>[</w:t>
      </w:r>
      <w:r w:rsidR="007C2417" w:rsidRPr="0088448D">
        <w:rPr>
          <w:rStyle w:val="a7"/>
          <w:rFonts w:ascii="Book Antiqua" w:hAnsi="Book Antiqua"/>
          <w:b w:val="0"/>
          <w:vertAlign w:val="superscript"/>
          <w:lang w:val="en-US"/>
        </w:rPr>
        <w:t>26]</w:t>
      </w:r>
      <w:r w:rsidR="00B12DFC" w:rsidRPr="0088448D">
        <w:rPr>
          <w:rFonts w:ascii="Book Antiqua" w:hAnsi="Book Antiqua"/>
          <w:lang w:val="en-US"/>
        </w:rPr>
        <w:t xml:space="preserve"> .</w:t>
      </w:r>
    </w:p>
    <w:p w:rsidR="004D1533" w:rsidRPr="0088448D" w:rsidRDefault="004D1533" w:rsidP="00727BED">
      <w:pPr>
        <w:autoSpaceDE w:val="0"/>
        <w:autoSpaceDN w:val="0"/>
        <w:adjustRightInd w:val="0"/>
        <w:spacing w:line="360" w:lineRule="auto"/>
        <w:ind w:firstLineChars="200" w:firstLine="480"/>
        <w:jc w:val="both"/>
        <w:rPr>
          <w:rFonts w:ascii="Book Antiqua" w:hAnsi="Book Antiqua"/>
          <w:lang w:val="en-US"/>
        </w:rPr>
      </w:pPr>
      <w:r w:rsidRPr="0088448D">
        <w:rPr>
          <w:rFonts w:ascii="Book Antiqua" w:hAnsi="Book Antiqua"/>
          <w:lang w:val="en-US"/>
        </w:rPr>
        <w:t xml:space="preserve">The main clinicopathologic features of gastric-type adenocarcinoma </w:t>
      </w:r>
      <w:r w:rsidR="00E95D52" w:rsidRPr="0088448D">
        <w:rPr>
          <w:rFonts w:ascii="Book Antiqua" w:hAnsi="Book Antiqua"/>
          <w:lang w:val="en-US"/>
        </w:rPr>
        <w:t>compared</w:t>
      </w:r>
      <w:r w:rsidRPr="0088448D">
        <w:rPr>
          <w:rFonts w:ascii="Book Antiqua" w:hAnsi="Book Antiqua"/>
          <w:lang w:val="en-US"/>
        </w:rPr>
        <w:t xml:space="preserve"> to intestinal and diffuse type carcinomas are shown in </w:t>
      </w:r>
      <w:r w:rsidR="005D6FB7" w:rsidRPr="0088448D">
        <w:rPr>
          <w:rFonts w:ascii="Book Antiqua" w:hAnsi="Book Antiqua"/>
          <w:lang w:val="en-US"/>
        </w:rPr>
        <w:t xml:space="preserve">Table </w:t>
      </w:r>
      <w:r w:rsidRPr="0088448D">
        <w:rPr>
          <w:rFonts w:ascii="Book Antiqua" w:hAnsi="Book Antiqua"/>
          <w:lang w:val="en-US"/>
        </w:rPr>
        <w:t>1.</w:t>
      </w:r>
    </w:p>
    <w:p w:rsidR="00145828" w:rsidRPr="0088448D" w:rsidRDefault="00145828" w:rsidP="0088448D">
      <w:pPr>
        <w:autoSpaceDE w:val="0"/>
        <w:autoSpaceDN w:val="0"/>
        <w:adjustRightInd w:val="0"/>
        <w:spacing w:line="360" w:lineRule="auto"/>
        <w:jc w:val="both"/>
        <w:rPr>
          <w:rFonts w:ascii="Book Antiqua" w:hAnsi="Book Antiqua"/>
          <w:lang w:val="en-US"/>
        </w:rPr>
      </w:pPr>
    </w:p>
    <w:p w:rsidR="004D1533" w:rsidRPr="0088448D" w:rsidRDefault="00727BED" w:rsidP="0088448D">
      <w:pPr>
        <w:autoSpaceDE w:val="0"/>
        <w:autoSpaceDN w:val="0"/>
        <w:adjustRightInd w:val="0"/>
        <w:spacing w:line="360" w:lineRule="auto"/>
        <w:jc w:val="both"/>
        <w:rPr>
          <w:rFonts w:ascii="Book Antiqua" w:hAnsi="Book Antiqua"/>
          <w:b/>
          <w:lang w:val="en-US" w:eastAsia="zh-CN"/>
        </w:rPr>
      </w:pPr>
      <w:r w:rsidRPr="0088448D">
        <w:rPr>
          <w:rFonts w:ascii="Book Antiqua" w:hAnsi="Book Antiqua"/>
          <w:b/>
          <w:i/>
          <w:lang w:val="en-US"/>
        </w:rPr>
        <w:t>H</w:t>
      </w:r>
      <w:r>
        <w:rPr>
          <w:rFonts w:ascii="Book Antiqua" w:hAnsi="Book Antiqua" w:hint="eastAsia"/>
          <w:b/>
          <w:i/>
          <w:lang w:val="en-US" w:eastAsia="zh-CN"/>
        </w:rPr>
        <w:t>.</w:t>
      </w:r>
      <w:r w:rsidRPr="0088448D">
        <w:rPr>
          <w:rFonts w:ascii="Book Antiqua" w:hAnsi="Book Antiqua"/>
          <w:b/>
          <w:i/>
          <w:lang w:val="en-US"/>
        </w:rPr>
        <w:t xml:space="preserve"> PYLORI, </w:t>
      </w:r>
      <w:r w:rsidRPr="0088448D">
        <w:rPr>
          <w:rFonts w:ascii="Book Antiqua" w:hAnsi="Book Antiqua"/>
          <w:b/>
          <w:lang w:val="en-US"/>
        </w:rPr>
        <w:t>MTDNA COPY NUMBER AND GASTRIC CARCINOGENESIS</w:t>
      </w:r>
    </w:p>
    <w:p w:rsidR="00BE703A" w:rsidRPr="00727BED" w:rsidRDefault="002C6FE0" w:rsidP="0088448D">
      <w:pPr>
        <w:autoSpaceDE w:val="0"/>
        <w:autoSpaceDN w:val="0"/>
        <w:adjustRightInd w:val="0"/>
        <w:spacing w:line="360" w:lineRule="auto"/>
        <w:jc w:val="both"/>
        <w:rPr>
          <w:rStyle w:val="a7"/>
          <w:rFonts w:ascii="Book Antiqua" w:hAnsi="Book Antiqua"/>
          <w:b w:val="0"/>
          <w:bCs w:val="0"/>
          <w:lang w:val="en-US"/>
        </w:rPr>
      </w:pPr>
      <w:r w:rsidRPr="00727BED">
        <w:rPr>
          <w:rFonts w:ascii="Book Antiqua" w:hAnsi="Book Antiqua"/>
          <w:lang w:val="en-US"/>
        </w:rPr>
        <w:t xml:space="preserve">Several studies show that both intestinal and diffuse types of gastric cancer are equally associated with </w:t>
      </w:r>
      <w:r w:rsidRPr="00727BED">
        <w:rPr>
          <w:rFonts w:ascii="Book Antiqua" w:hAnsi="Book Antiqua"/>
          <w:i/>
          <w:lang w:val="en-US"/>
        </w:rPr>
        <w:t>H pylori</w:t>
      </w:r>
      <w:r w:rsidRPr="00727BED">
        <w:rPr>
          <w:rFonts w:ascii="Book Antiqua" w:hAnsi="Book Antiqua"/>
          <w:lang w:val="en-US"/>
        </w:rPr>
        <w:t xml:space="preserve"> infection</w:t>
      </w:r>
      <w:r w:rsidR="00727BED" w:rsidRPr="00727BED">
        <w:rPr>
          <w:rFonts w:ascii="Book Antiqua" w:hAnsi="Book Antiqua"/>
          <w:vertAlign w:val="superscript"/>
          <w:lang w:val="en-US"/>
        </w:rPr>
        <w:t>[</w:t>
      </w:r>
      <w:r w:rsidR="005C442B" w:rsidRPr="00727BED">
        <w:rPr>
          <w:rStyle w:val="a7"/>
          <w:rFonts w:ascii="Book Antiqua" w:hAnsi="Book Antiqua"/>
          <w:b w:val="0"/>
          <w:vertAlign w:val="superscript"/>
          <w:lang w:val="en-US"/>
        </w:rPr>
        <w:t>15</w:t>
      </w:r>
      <w:r w:rsidRPr="00727BED">
        <w:rPr>
          <w:rStyle w:val="a7"/>
          <w:rFonts w:ascii="Book Antiqua" w:hAnsi="Book Antiqua"/>
          <w:b w:val="0"/>
          <w:vertAlign w:val="superscript"/>
          <w:lang w:val="en-US"/>
        </w:rPr>
        <w:t>]</w:t>
      </w:r>
      <w:r w:rsidRPr="00727BED">
        <w:rPr>
          <w:rFonts w:ascii="Book Antiqua" w:hAnsi="Book Antiqua"/>
          <w:lang w:val="en-US"/>
        </w:rPr>
        <w:t xml:space="preserve">: </w:t>
      </w:r>
      <w:r w:rsidR="00D342DE" w:rsidRPr="00727BED">
        <w:rPr>
          <w:rFonts w:ascii="Book Antiqua" w:hAnsi="Book Antiqua"/>
          <w:lang w:val="en-US"/>
        </w:rPr>
        <w:t>a Gram-negative bacterium</w:t>
      </w:r>
      <w:r w:rsidR="0039612A" w:rsidRPr="00727BED">
        <w:rPr>
          <w:rFonts w:ascii="Book Antiqua" w:hAnsi="Book Antiqua"/>
          <w:lang w:val="en-US"/>
        </w:rPr>
        <w:t xml:space="preserve"> classified as a Class I </w:t>
      </w:r>
      <w:r w:rsidR="0039612A" w:rsidRPr="00727BED">
        <w:rPr>
          <w:rFonts w:ascii="Book Antiqua" w:hAnsi="Book Antiqua"/>
          <w:lang w:val="en-US"/>
        </w:rPr>
        <w:lastRenderedPageBreak/>
        <w:t xml:space="preserve">carcinogen </w:t>
      </w:r>
      <w:r w:rsidR="00E95D52" w:rsidRPr="00727BED">
        <w:rPr>
          <w:rFonts w:ascii="Book Antiqua" w:hAnsi="Book Antiqua"/>
          <w:lang w:val="en-US"/>
        </w:rPr>
        <w:t>by the WHO</w:t>
      </w:r>
      <w:r w:rsidR="00727BED" w:rsidRPr="00727BED">
        <w:rPr>
          <w:rFonts w:ascii="Book Antiqua" w:hAnsi="Book Antiqua"/>
          <w:vertAlign w:val="superscript"/>
          <w:lang w:val="en-US"/>
        </w:rPr>
        <w:t>[</w:t>
      </w:r>
      <w:r w:rsidR="005C442B" w:rsidRPr="00727BED">
        <w:rPr>
          <w:rFonts w:ascii="Book Antiqua" w:hAnsi="Book Antiqua"/>
          <w:vertAlign w:val="superscript"/>
          <w:lang w:val="en-US"/>
        </w:rPr>
        <w:t>38</w:t>
      </w:r>
      <w:r w:rsidR="0039612A" w:rsidRPr="00727BED">
        <w:rPr>
          <w:rFonts w:ascii="Book Antiqua" w:hAnsi="Book Antiqua"/>
          <w:vertAlign w:val="superscript"/>
          <w:lang w:val="en-US"/>
        </w:rPr>
        <w:t>]</w:t>
      </w:r>
      <w:r w:rsidR="0039612A" w:rsidRPr="00727BED">
        <w:rPr>
          <w:rFonts w:ascii="Book Antiqua" w:hAnsi="Book Antiqua"/>
          <w:lang w:val="en-US"/>
        </w:rPr>
        <w:t xml:space="preserve">. </w:t>
      </w:r>
      <w:r w:rsidRPr="00727BED">
        <w:rPr>
          <w:rFonts w:ascii="Book Antiqua" w:hAnsi="Book Antiqua"/>
          <w:lang w:val="en-US"/>
        </w:rPr>
        <w:t xml:space="preserve">However, </w:t>
      </w:r>
      <w:r w:rsidR="00D342DE" w:rsidRPr="00727BED">
        <w:rPr>
          <w:rFonts w:ascii="Book Antiqua" w:hAnsi="Book Antiqua"/>
          <w:lang w:val="en-US"/>
        </w:rPr>
        <w:t>only a subset, 1%</w:t>
      </w:r>
      <w:r w:rsidR="00727BED">
        <w:rPr>
          <w:rFonts w:ascii="Book Antiqua" w:hAnsi="Book Antiqua" w:hint="eastAsia"/>
          <w:lang w:val="en-US" w:eastAsia="zh-CN"/>
        </w:rPr>
        <w:t>-</w:t>
      </w:r>
      <w:r w:rsidR="00D342DE" w:rsidRPr="00727BED">
        <w:rPr>
          <w:rFonts w:ascii="Book Antiqua" w:hAnsi="Book Antiqua"/>
          <w:lang w:val="en-US"/>
        </w:rPr>
        <w:t>2% of infected individual</w:t>
      </w:r>
      <w:r w:rsidR="002D3E18" w:rsidRPr="00727BED">
        <w:rPr>
          <w:rFonts w:ascii="Book Antiqua" w:hAnsi="Book Antiqua"/>
          <w:lang w:val="en-US"/>
        </w:rPr>
        <w:t>s develop gastric malignancies</w:t>
      </w:r>
      <w:r w:rsidR="00915C07" w:rsidRPr="00727BED">
        <w:rPr>
          <w:rStyle w:val="a7"/>
          <w:rFonts w:ascii="Book Antiqua" w:hAnsi="Book Antiqua"/>
          <w:b w:val="0"/>
          <w:vertAlign w:val="superscript"/>
          <w:lang w:val="en-US"/>
        </w:rPr>
        <w:t>[</w:t>
      </w:r>
      <w:r w:rsidR="00666D14" w:rsidRPr="00727BED">
        <w:rPr>
          <w:rStyle w:val="a7"/>
          <w:rFonts w:ascii="Book Antiqua" w:hAnsi="Book Antiqua"/>
          <w:b w:val="0"/>
          <w:vertAlign w:val="superscript"/>
          <w:lang w:val="en-US"/>
        </w:rPr>
        <w:t>15</w:t>
      </w:r>
      <w:r w:rsidR="00915C07" w:rsidRPr="00727BED">
        <w:rPr>
          <w:rStyle w:val="a7"/>
          <w:rFonts w:ascii="Book Antiqua" w:hAnsi="Book Antiqua"/>
          <w:b w:val="0"/>
          <w:vertAlign w:val="superscript"/>
          <w:lang w:val="en-US"/>
        </w:rPr>
        <w:t>]</w:t>
      </w:r>
      <w:r w:rsidR="002D3E18" w:rsidRPr="00727BED">
        <w:rPr>
          <w:rFonts w:ascii="Book Antiqua" w:hAnsi="Book Antiqua"/>
          <w:lang w:val="en-US"/>
        </w:rPr>
        <w:t xml:space="preserve">. </w:t>
      </w:r>
      <w:r w:rsidRPr="00727BED">
        <w:rPr>
          <w:rFonts w:ascii="Book Antiqua" w:hAnsi="Book Antiqua"/>
          <w:lang w:val="en-US"/>
        </w:rPr>
        <w:t xml:space="preserve">Clinical outcome of </w:t>
      </w:r>
      <w:r w:rsidRPr="00727BED">
        <w:rPr>
          <w:rFonts w:ascii="Book Antiqua" w:hAnsi="Book Antiqua"/>
          <w:i/>
          <w:lang w:val="en-US"/>
        </w:rPr>
        <w:t>H</w:t>
      </w:r>
      <w:r w:rsidR="002373FC">
        <w:rPr>
          <w:rFonts w:ascii="Book Antiqua" w:hAnsi="Book Antiqua" w:hint="eastAsia"/>
          <w:i/>
          <w:lang w:val="en-US" w:eastAsia="zh-CN"/>
        </w:rPr>
        <w:t>.</w:t>
      </w:r>
      <w:r w:rsidRPr="00727BED">
        <w:rPr>
          <w:rFonts w:ascii="Book Antiqua" w:hAnsi="Book Antiqua"/>
          <w:i/>
          <w:lang w:val="en-US"/>
        </w:rPr>
        <w:t xml:space="preserve"> pylori</w:t>
      </w:r>
      <w:r w:rsidRPr="00727BED">
        <w:rPr>
          <w:rFonts w:ascii="Book Antiqua" w:hAnsi="Book Antiqua"/>
          <w:lang w:val="en-US"/>
        </w:rPr>
        <w:t xml:space="preserve"> infection may be correlated with specific virulence-associated bacterial genotypes such as cagA and VacA s1/m1. This genetic variability of </w:t>
      </w:r>
      <w:r w:rsidRPr="00727BED">
        <w:rPr>
          <w:rFonts w:ascii="Book Antiqua" w:hAnsi="Book Antiqua"/>
          <w:i/>
          <w:lang w:val="en-US"/>
        </w:rPr>
        <w:t>H</w:t>
      </w:r>
      <w:r w:rsidR="002373FC">
        <w:rPr>
          <w:rFonts w:ascii="Book Antiqua" w:hAnsi="Book Antiqua" w:hint="eastAsia"/>
          <w:i/>
          <w:lang w:val="en-US" w:eastAsia="zh-CN"/>
        </w:rPr>
        <w:t>.</w:t>
      </w:r>
      <w:r w:rsidRPr="00727BED">
        <w:rPr>
          <w:rFonts w:ascii="Book Antiqua" w:hAnsi="Book Antiqua"/>
          <w:i/>
          <w:lang w:val="en-US"/>
        </w:rPr>
        <w:t xml:space="preserve"> pylori</w:t>
      </w:r>
      <w:r w:rsidRPr="00727BED">
        <w:rPr>
          <w:rFonts w:ascii="Book Antiqua" w:hAnsi="Book Antiqua"/>
          <w:lang w:val="en-US"/>
        </w:rPr>
        <w:t xml:space="preserve">has been extensively studied in numerous laboratories and </w:t>
      </w:r>
      <w:r w:rsidR="00E95D52" w:rsidRPr="00727BED">
        <w:rPr>
          <w:rFonts w:ascii="Book Antiqua" w:hAnsi="Book Antiqua"/>
          <w:lang w:val="en-US"/>
        </w:rPr>
        <w:t xml:space="preserve">results </w:t>
      </w:r>
      <w:r w:rsidRPr="00727BED">
        <w:rPr>
          <w:rFonts w:ascii="Book Antiqua" w:hAnsi="Book Antiqua"/>
          <w:lang w:val="en-US"/>
        </w:rPr>
        <w:t>have been summarized</w:t>
      </w:r>
      <w:r w:rsidR="00666D14" w:rsidRPr="00727BED">
        <w:rPr>
          <w:rFonts w:ascii="Book Antiqua" w:hAnsi="Book Antiqua"/>
          <w:lang w:val="en-US"/>
        </w:rPr>
        <w:t xml:space="preserve"> in previous publications</w:t>
      </w:r>
      <w:r w:rsidR="00727BED" w:rsidRPr="00727BED">
        <w:rPr>
          <w:rFonts w:ascii="Book Antiqua" w:hAnsi="Book Antiqua"/>
          <w:vertAlign w:val="superscript"/>
          <w:lang w:val="en-US"/>
        </w:rPr>
        <w:t>[</w:t>
      </w:r>
      <w:r w:rsidR="00666D14" w:rsidRPr="00727BED">
        <w:rPr>
          <w:rFonts w:ascii="Book Antiqua" w:hAnsi="Book Antiqua"/>
          <w:vertAlign w:val="superscript"/>
          <w:lang w:val="en-US"/>
        </w:rPr>
        <w:t>39-41</w:t>
      </w:r>
      <w:r w:rsidR="00B12DFC" w:rsidRPr="00727BED">
        <w:rPr>
          <w:rFonts w:ascii="Book Antiqua" w:hAnsi="Book Antiqua"/>
          <w:vertAlign w:val="superscript"/>
          <w:lang w:val="en-US"/>
        </w:rPr>
        <w:t>]</w:t>
      </w:r>
      <w:r w:rsidRPr="00727BED">
        <w:rPr>
          <w:rFonts w:ascii="Book Antiqua" w:hAnsi="Book Antiqua"/>
          <w:lang w:val="en-US"/>
        </w:rPr>
        <w:t>.</w:t>
      </w:r>
    </w:p>
    <w:p w:rsidR="00841A85" w:rsidRPr="0088448D" w:rsidRDefault="00765FE0" w:rsidP="00727BED">
      <w:pPr>
        <w:pStyle w:val="a8"/>
        <w:spacing w:line="360" w:lineRule="auto"/>
        <w:ind w:firstLineChars="200" w:firstLine="480"/>
        <w:jc w:val="both"/>
        <w:rPr>
          <w:rStyle w:val="a7"/>
          <w:rFonts w:ascii="Book Antiqua" w:hAnsi="Book Antiqua"/>
          <w:b w:val="0"/>
          <w:lang w:val="en-US"/>
        </w:rPr>
      </w:pPr>
      <w:r w:rsidRPr="00727BED">
        <w:rPr>
          <w:rFonts w:ascii="Book Antiqua" w:hAnsi="Book Antiqua"/>
          <w:lang w:val="en-US"/>
        </w:rPr>
        <w:t>Experimental studies investigating the role of H pylori on mitochondrial genome</w:t>
      </w:r>
      <w:r w:rsidR="00E95D52" w:rsidRPr="00727BED">
        <w:rPr>
          <w:rFonts w:ascii="Book Antiqua" w:hAnsi="Book Antiqua"/>
          <w:lang w:val="en-US"/>
        </w:rPr>
        <w:t xml:space="preserve"> of gastric epithelial cells have</w:t>
      </w:r>
      <w:r w:rsidRPr="00727BED">
        <w:rPr>
          <w:rFonts w:ascii="Book Antiqua" w:hAnsi="Book Antiqua"/>
          <w:lang w:val="en-US"/>
        </w:rPr>
        <w:t xml:space="preserve"> recently</w:t>
      </w:r>
      <w:r w:rsidR="00E95D52" w:rsidRPr="00727BED">
        <w:rPr>
          <w:rFonts w:ascii="Book Antiqua" w:hAnsi="Book Antiqua"/>
          <w:lang w:val="en-US"/>
        </w:rPr>
        <w:t xml:space="preserve"> been</w:t>
      </w:r>
      <w:r w:rsidRPr="00727BED">
        <w:rPr>
          <w:rFonts w:ascii="Book Antiqua" w:hAnsi="Book Antiqua"/>
          <w:lang w:val="en-US"/>
        </w:rPr>
        <w:t xml:space="preserve"> reviewed by Strickertsson </w:t>
      </w:r>
      <w:r w:rsidRPr="00727BED">
        <w:rPr>
          <w:rFonts w:ascii="Book Antiqua" w:hAnsi="Book Antiqua"/>
          <w:i/>
          <w:lang w:val="en-US"/>
        </w:rPr>
        <w:t>et al</w:t>
      </w:r>
      <w:r w:rsidR="00727BED" w:rsidRPr="00727BED">
        <w:rPr>
          <w:rFonts w:ascii="Book Antiqua" w:hAnsi="Book Antiqua"/>
          <w:vertAlign w:val="superscript"/>
          <w:lang w:val="en-US"/>
        </w:rPr>
        <w:t>[</w:t>
      </w:r>
      <w:r w:rsidR="00666D14" w:rsidRPr="00727BED">
        <w:rPr>
          <w:rFonts w:ascii="Book Antiqua" w:hAnsi="Book Antiqua"/>
          <w:vertAlign w:val="superscript"/>
          <w:lang w:val="en-US"/>
        </w:rPr>
        <w:t>42</w:t>
      </w:r>
      <w:r w:rsidRPr="00727BED">
        <w:rPr>
          <w:rFonts w:ascii="Book Antiqua" w:hAnsi="Book Antiqua"/>
          <w:vertAlign w:val="superscript"/>
          <w:lang w:val="en-US"/>
        </w:rPr>
        <w:t>]</w:t>
      </w:r>
      <w:r w:rsidRPr="00727BED">
        <w:rPr>
          <w:rFonts w:ascii="Book Antiqua" w:hAnsi="Book Antiqua"/>
          <w:lang w:val="en-US"/>
        </w:rPr>
        <w:t>.</w:t>
      </w:r>
      <w:r w:rsidR="00B12DFC" w:rsidRPr="00727BED">
        <w:rPr>
          <w:rFonts w:ascii="Book Antiqua" w:hAnsi="Book Antiqua"/>
          <w:lang w:val="en-US"/>
        </w:rPr>
        <w:t xml:space="preserve"> </w:t>
      </w:r>
      <w:r w:rsidR="001E20D9" w:rsidRPr="00727BED">
        <w:rPr>
          <w:rFonts w:ascii="Book Antiqua" w:hAnsi="Book Antiqua"/>
          <w:lang w:val="en-US"/>
        </w:rPr>
        <w:t>H</w:t>
      </w:r>
      <w:r w:rsidR="001E20D9" w:rsidRPr="00727BED">
        <w:rPr>
          <w:rStyle w:val="a7"/>
          <w:rFonts w:ascii="Book Antiqua" w:hAnsi="Book Antiqua"/>
          <w:b w:val="0"/>
          <w:i/>
          <w:lang w:val="en-US"/>
        </w:rPr>
        <w:t>pylori</w:t>
      </w:r>
      <w:r w:rsidR="001E20D9" w:rsidRPr="00727BED">
        <w:rPr>
          <w:rStyle w:val="a7"/>
          <w:rFonts w:ascii="Book Antiqua" w:hAnsi="Book Antiqua"/>
          <w:b w:val="0"/>
          <w:lang w:val="en-US"/>
        </w:rPr>
        <w:t xml:space="preserve"> infection has been associated with an increase of mtDNA mutations both</w:t>
      </w:r>
      <w:r w:rsidR="001E20D9" w:rsidRPr="0088448D">
        <w:rPr>
          <w:rStyle w:val="a7"/>
          <w:rFonts w:ascii="Book Antiqua" w:hAnsi="Book Antiqua"/>
          <w:b w:val="0"/>
          <w:lang w:val="en-US"/>
        </w:rPr>
        <w:t xml:space="preserve"> in the mitochondrial D-loop region and in several genes encoding subunits of the electron transport chain</w:t>
      </w:r>
      <w:r w:rsidR="00727BED" w:rsidRPr="00727BED">
        <w:rPr>
          <w:rStyle w:val="a7"/>
          <w:rFonts w:ascii="Book Antiqua" w:hAnsi="Book Antiqua"/>
          <w:b w:val="0"/>
          <w:vertAlign w:val="superscript"/>
          <w:lang w:val="en-US"/>
        </w:rPr>
        <w:t>[</w:t>
      </w:r>
      <w:r w:rsidR="009E498B" w:rsidRPr="0088448D">
        <w:rPr>
          <w:rStyle w:val="a7"/>
          <w:rFonts w:ascii="Book Antiqua" w:hAnsi="Book Antiqua"/>
          <w:b w:val="0"/>
          <w:vertAlign w:val="superscript"/>
          <w:lang w:val="en-US"/>
        </w:rPr>
        <w:t>43-44</w:t>
      </w:r>
      <w:r w:rsidR="001E20D9" w:rsidRPr="00727BED">
        <w:rPr>
          <w:rStyle w:val="a7"/>
          <w:rFonts w:ascii="Book Antiqua" w:hAnsi="Book Antiqua"/>
          <w:b w:val="0"/>
          <w:vertAlign w:val="superscript"/>
          <w:lang w:val="en-US"/>
        </w:rPr>
        <w:t>]</w:t>
      </w:r>
      <w:r w:rsidR="00EF1D81" w:rsidRPr="0088448D">
        <w:rPr>
          <w:rStyle w:val="a7"/>
          <w:rFonts w:ascii="Book Antiqua" w:hAnsi="Book Antiqua"/>
          <w:b w:val="0"/>
          <w:lang w:val="en-US"/>
        </w:rPr>
        <w:t>.</w:t>
      </w:r>
      <w:r w:rsidR="00B12DFC" w:rsidRPr="0088448D">
        <w:rPr>
          <w:rStyle w:val="a7"/>
          <w:rFonts w:ascii="Book Antiqua" w:hAnsi="Book Antiqua"/>
          <w:b w:val="0"/>
          <w:lang w:val="en-US"/>
        </w:rPr>
        <w:t xml:space="preserve"> </w:t>
      </w:r>
      <w:r w:rsidR="006769BF" w:rsidRPr="0088448D">
        <w:rPr>
          <w:rStyle w:val="a7"/>
          <w:rFonts w:ascii="Book Antiqua" w:hAnsi="Book Antiqua"/>
          <w:b w:val="0"/>
          <w:lang w:val="en-US"/>
        </w:rPr>
        <w:t>D</w:t>
      </w:r>
      <w:r w:rsidR="001E20D9" w:rsidRPr="0088448D">
        <w:rPr>
          <w:rStyle w:val="a7"/>
          <w:rFonts w:ascii="Book Antiqua" w:hAnsi="Book Antiqua"/>
          <w:b w:val="0"/>
          <w:lang w:val="en-US"/>
        </w:rPr>
        <w:t>eletion/insertion mutations have been described in</w:t>
      </w:r>
      <w:r w:rsidR="00E95D52" w:rsidRPr="0088448D">
        <w:rPr>
          <w:rStyle w:val="a7"/>
          <w:rFonts w:ascii="Book Antiqua" w:hAnsi="Book Antiqua"/>
          <w:b w:val="0"/>
          <w:lang w:val="en-US"/>
        </w:rPr>
        <w:t xml:space="preserve"> the</w:t>
      </w:r>
      <w:r w:rsidR="006769BF" w:rsidRPr="0088448D">
        <w:rPr>
          <w:rStyle w:val="a7"/>
          <w:rFonts w:ascii="Book Antiqua" w:hAnsi="Book Antiqua"/>
          <w:b w:val="0"/>
          <w:lang w:val="en-US"/>
        </w:rPr>
        <w:t>D-loop</w:t>
      </w:r>
      <w:r w:rsidR="001E20D9" w:rsidRPr="0088448D">
        <w:rPr>
          <w:rStyle w:val="a7"/>
          <w:rFonts w:ascii="Book Antiqua" w:hAnsi="Book Antiqua"/>
          <w:b w:val="0"/>
          <w:lang w:val="en-US"/>
        </w:rPr>
        <w:t xml:space="preserve"> region</w:t>
      </w:r>
      <w:r w:rsidR="00727BED" w:rsidRPr="00727BED">
        <w:rPr>
          <w:rStyle w:val="a7"/>
          <w:rFonts w:ascii="Book Antiqua" w:hAnsi="Book Antiqua"/>
          <w:b w:val="0"/>
          <w:vertAlign w:val="superscript"/>
          <w:lang w:val="en-US"/>
        </w:rPr>
        <w:t>[</w:t>
      </w:r>
      <w:r w:rsidR="009E498B" w:rsidRPr="0088448D">
        <w:rPr>
          <w:rStyle w:val="a7"/>
          <w:rFonts w:ascii="Book Antiqua" w:hAnsi="Book Antiqua"/>
          <w:b w:val="0"/>
          <w:vertAlign w:val="superscript"/>
          <w:lang w:val="en-US"/>
        </w:rPr>
        <w:t>43</w:t>
      </w:r>
      <w:r w:rsidR="00657C06" w:rsidRPr="0088448D">
        <w:rPr>
          <w:rStyle w:val="a7"/>
          <w:rFonts w:ascii="Book Antiqua" w:hAnsi="Book Antiqua"/>
          <w:b w:val="0"/>
          <w:vertAlign w:val="superscript"/>
          <w:lang w:val="en-US"/>
        </w:rPr>
        <w:t>,</w:t>
      </w:r>
      <w:r w:rsidR="009E498B" w:rsidRPr="0088448D">
        <w:rPr>
          <w:rStyle w:val="a7"/>
          <w:rFonts w:ascii="Book Antiqua" w:hAnsi="Book Antiqua"/>
          <w:b w:val="0"/>
          <w:vertAlign w:val="superscript"/>
          <w:lang w:val="en-US"/>
        </w:rPr>
        <w:t>45-46</w:t>
      </w:r>
      <w:r w:rsidR="00915C07" w:rsidRPr="0088448D">
        <w:rPr>
          <w:rStyle w:val="a7"/>
          <w:rFonts w:ascii="Book Antiqua" w:hAnsi="Book Antiqua"/>
          <w:b w:val="0"/>
          <w:vertAlign w:val="superscript"/>
          <w:lang w:val="en-US"/>
        </w:rPr>
        <w:t>]</w:t>
      </w:r>
      <w:r w:rsidR="001E20D9" w:rsidRPr="0088448D">
        <w:rPr>
          <w:rStyle w:val="a7"/>
          <w:rFonts w:ascii="Book Antiqua" w:hAnsi="Book Antiqua"/>
          <w:b w:val="0"/>
          <w:lang w:val="en-US"/>
        </w:rPr>
        <w:t>.</w:t>
      </w:r>
      <w:r w:rsidR="009B68DE" w:rsidRPr="0088448D">
        <w:rPr>
          <w:rStyle w:val="a7"/>
          <w:rFonts w:ascii="Book Antiqua" w:eastAsia="Times-Roman" w:hAnsi="Book Antiqua"/>
          <w:b w:val="0"/>
          <w:lang w:val="en-US"/>
        </w:rPr>
        <w:t>The increase in the number of mutations was mainlyattributedto a rise oftransitions, possibly a consequen</w:t>
      </w:r>
      <w:r w:rsidR="00E95D52" w:rsidRPr="0088448D">
        <w:rPr>
          <w:rStyle w:val="a7"/>
          <w:rFonts w:ascii="Book Antiqua" w:eastAsia="Times-Roman" w:hAnsi="Book Antiqua"/>
          <w:b w:val="0"/>
          <w:lang w:val="en-US"/>
        </w:rPr>
        <w:t>ce of oxidative damage, and was correlated</w:t>
      </w:r>
      <w:r w:rsidR="00915C07" w:rsidRPr="0088448D">
        <w:rPr>
          <w:rStyle w:val="a7"/>
          <w:rFonts w:ascii="Book Antiqua" w:eastAsia="Times-Roman" w:hAnsi="Book Antiqua"/>
          <w:b w:val="0"/>
          <w:lang w:val="en-US"/>
        </w:rPr>
        <w:t xml:space="preserve"> with bacterial </w:t>
      </w:r>
      <w:r w:rsidR="00B42C7C" w:rsidRPr="0088448D">
        <w:rPr>
          <w:rStyle w:val="a7"/>
          <w:rFonts w:ascii="Book Antiqua" w:eastAsia="Times-Roman" w:hAnsi="Book Antiqua"/>
          <w:b w:val="0"/>
          <w:lang w:val="en-US"/>
        </w:rPr>
        <w:t xml:space="preserve">virulence–associated </w:t>
      </w:r>
      <w:r w:rsidR="006769BF" w:rsidRPr="0088448D">
        <w:rPr>
          <w:rStyle w:val="a7"/>
          <w:rFonts w:ascii="Book Antiqua" w:eastAsia="Times-Roman" w:hAnsi="Book Antiqua"/>
          <w:b w:val="0"/>
          <w:lang w:val="en-US"/>
        </w:rPr>
        <w:t>cagAand vacA s1/m1 genotype</w:t>
      </w:r>
      <w:r w:rsidR="00B42C7C" w:rsidRPr="0088448D">
        <w:rPr>
          <w:rStyle w:val="a7"/>
          <w:rFonts w:ascii="Book Antiqua" w:eastAsia="Times-Roman" w:hAnsi="Book Antiqua"/>
          <w:b w:val="0"/>
          <w:lang w:val="en-US"/>
        </w:rPr>
        <w:t>s</w:t>
      </w:r>
      <w:r w:rsidR="00727BED" w:rsidRPr="00727BED">
        <w:rPr>
          <w:rStyle w:val="a7"/>
          <w:rFonts w:ascii="Book Antiqua" w:eastAsia="Times-Roman" w:hAnsi="Book Antiqua"/>
          <w:b w:val="0"/>
          <w:vertAlign w:val="superscript"/>
          <w:lang w:val="en-US"/>
        </w:rPr>
        <w:t>[</w:t>
      </w:r>
      <w:r w:rsidR="009E498B" w:rsidRPr="0088448D">
        <w:rPr>
          <w:rStyle w:val="a7"/>
          <w:rFonts w:ascii="Book Antiqua" w:hAnsi="Book Antiqua"/>
          <w:b w:val="0"/>
          <w:vertAlign w:val="superscript"/>
          <w:lang w:val="en-US"/>
        </w:rPr>
        <w:t>43</w:t>
      </w:r>
      <w:r w:rsidR="00915C07" w:rsidRPr="0088448D">
        <w:rPr>
          <w:rStyle w:val="a7"/>
          <w:rFonts w:ascii="Book Antiqua" w:hAnsi="Book Antiqua"/>
          <w:b w:val="0"/>
          <w:vertAlign w:val="superscript"/>
          <w:lang w:val="en-US"/>
        </w:rPr>
        <w:t>]</w:t>
      </w:r>
      <w:r w:rsidR="006769BF" w:rsidRPr="0088448D">
        <w:rPr>
          <w:rStyle w:val="a7"/>
          <w:rFonts w:ascii="Book Antiqua" w:eastAsia="Times-Roman" w:hAnsi="Book Antiqua"/>
          <w:b w:val="0"/>
          <w:lang w:val="en-US"/>
        </w:rPr>
        <w:t>.</w:t>
      </w:r>
      <w:r w:rsidR="00657C06" w:rsidRPr="0088448D">
        <w:rPr>
          <w:rStyle w:val="a7"/>
          <w:rFonts w:ascii="Book Antiqua" w:eastAsia="Times-Roman" w:hAnsi="Book Antiqua"/>
          <w:b w:val="0"/>
          <w:lang w:val="en-US"/>
        </w:rPr>
        <w:t xml:space="preserve"> </w:t>
      </w:r>
      <w:r w:rsidR="006769BF" w:rsidRPr="0088448D">
        <w:rPr>
          <w:rStyle w:val="a7"/>
          <w:rFonts w:ascii="Book Antiqua" w:hAnsi="Book Antiqua"/>
          <w:b w:val="0"/>
          <w:lang w:val="en-US"/>
        </w:rPr>
        <w:t>mtDNA D-loop mutations</w:t>
      </w:r>
      <w:r w:rsidR="00320698" w:rsidRPr="0088448D">
        <w:rPr>
          <w:rStyle w:val="a7"/>
          <w:rFonts w:ascii="Book Antiqua" w:hAnsi="Book Antiqua"/>
          <w:b w:val="0"/>
          <w:lang w:val="en-US"/>
        </w:rPr>
        <w:t xml:space="preserve"> may provoke a decrease in the copy number of the mitochondrial genome and alteration in gene expression</w:t>
      </w:r>
      <w:r w:rsidR="006769BF" w:rsidRPr="0088448D">
        <w:rPr>
          <w:rStyle w:val="a7"/>
          <w:rFonts w:ascii="Book Antiqua" w:hAnsi="Book Antiqua"/>
          <w:b w:val="0"/>
          <w:lang w:val="en-US"/>
        </w:rPr>
        <w:t>.</w:t>
      </w:r>
      <w:r w:rsidR="00BA5BF7" w:rsidRPr="0088448D">
        <w:rPr>
          <w:rStyle w:val="a7"/>
          <w:rFonts w:ascii="Book Antiqua" w:hAnsi="Book Antiqua"/>
          <w:b w:val="0"/>
          <w:lang w:val="en-US"/>
        </w:rPr>
        <w:t>mtDNA depletion is a common event in gastric cancers</w:t>
      </w:r>
      <w:r w:rsidR="00727BED" w:rsidRPr="00727BED">
        <w:rPr>
          <w:rStyle w:val="a7"/>
          <w:rFonts w:ascii="Book Antiqua" w:hAnsi="Book Antiqua"/>
          <w:b w:val="0"/>
          <w:vertAlign w:val="superscript"/>
          <w:lang w:val="en-US"/>
        </w:rPr>
        <w:t>[</w:t>
      </w:r>
      <w:r w:rsidR="009E498B" w:rsidRPr="0088448D">
        <w:rPr>
          <w:rStyle w:val="a7"/>
          <w:rFonts w:ascii="Book Antiqua" w:hAnsi="Book Antiqua"/>
          <w:b w:val="0"/>
          <w:vertAlign w:val="superscript"/>
          <w:lang w:val="en-US"/>
        </w:rPr>
        <w:t>47-48</w:t>
      </w:r>
      <w:r w:rsidR="00BA5BF7" w:rsidRPr="0088448D">
        <w:rPr>
          <w:rStyle w:val="a7"/>
          <w:rFonts w:ascii="Book Antiqua" w:hAnsi="Book Antiqua"/>
          <w:b w:val="0"/>
          <w:vertAlign w:val="superscript"/>
          <w:lang w:val="en-US"/>
        </w:rPr>
        <w:t>]</w:t>
      </w:r>
      <w:r w:rsidR="00BA5BF7" w:rsidRPr="0088448D">
        <w:rPr>
          <w:rStyle w:val="a7"/>
          <w:rFonts w:ascii="Book Antiqua" w:eastAsia="Times-Roman" w:hAnsi="Book Antiqua"/>
          <w:b w:val="0"/>
          <w:lang w:val="en-US"/>
        </w:rPr>
        <w:t>. Over</w:t>
      </w:r>
      <w:r w:rsidR="00841A85" w:rsidRPr="0088448D">
        <w:rPr>
          <w:rStyle w:val="a7"/>
          <w:rFonts w:ascii="Book Antiqua" w:hAnsi="Book Antiqua"/>
          <w:b w:val="0"/>
          <w:lang w:val="en-US"/>
        </w:rPr>
        <w:t xml:space="preserve"> 55% of gastric cancer</w:t>
      </w:r>
      <w:r w:rsidR="00E95D52" w:rsidRPr="0088448D">
        <w:rPr>
          <w:rStyle w:val="a7"/>
          <w:rFonts w:ascii="Book Antiqua" w:hAnsi="Book Antiqua"/>
          <w:b w:val="0"/>
          <w:lang w:val="en-US"/>
        </w:rPr>
        <w:t>s</w:t>
      </w:r>
      <w:r w:rsidR="00BA5BF7" w:rsidRPr="0088448D">
        <w:rPr>
          <w:rStyle w:val="a7"/>
          <w:rFonts w:ascii="Book Antiqua" w:hAnsi="Book Antiqua"/>
          <w:b w:val="0"/>
          <w:lang w:val="en-US"/>
        </w:rPr>
        <w:t xml:space="preserve"> hav</w:t>
      </w:r>
      <w:r w:rsidR="00E95D52" w:rsidRPr="0088448D">
        <w:rPr>
          <w:rStyle w:val="a7"/>
          <w:rFonts w:ascii="Book Antiqua" w:hAnsi="Book Antiqua"/>
          <w:b w:val="0"/>
          <w:lang w:val="en-US"/>
        </w:rPr>
        <w:t>e a lower mtDNA copy number than</w:t>
      </w:r>
      <w:r w:rsidR="00BA5BF7" w:rsidRPr="0088448D">
        <w:rPr>
          <w:rStyle w:val="a7"/>
          <w:rFonts w:ascii="Book Antiqua" w:hAnsi="Book Antiqua"/>
          <w:b w:val="0"/>
          <w:lang w:val="en-US"/>
        </w:rPr>
        <w:t xml:space="preserve"> their corresponding non-tumo</w:t>
      </w:r>
      <w:r w:rsidR="0076587D" w:rsidRPr="0088448D">
        <w:rPr>
          <w:rStyle w:val="a7"/>
          <w:rFonts w:ascii="Book Antiqua" w:hAnsi="Book Antiqua"/>
          <w:b w:val="0"/>
          <w:lang w:val="en-US"/>
        </w:rPr>
        <w:t>u</w:t>
      </w:r>
      <w:r w:rsidR="00BA5BF7" w:rsidRPr="0088448D">
        <w:rPr>
          <w:rStyle w:val="a7"/>
          <w:rFonts w:ascii="Book Antiqua" w:hAnsi="Book Antiqua"/>
          <w:b w:val="0"/>
          <w:lang w:val="en-US"/>
        </w:rPr>
        <w:t>ral gastric mucosa</w:t>
      </w:r>
      <w:r w:rsidR="00727BED">
        <w:rPr>
          <w:rStyle w:val="a7"/>
          <w:rFonts w:ascii="Book Antiqua" w:hAnsi="Book Antiqua" w:hint="eastAsia"/>
          <w:b w:val="0"/>
          <w:vertAlign w:val="superscript"/>
          <w:lang w:val="en-US" w:eastAsia="zh-CN"/>
        </w:rPr>
        <w:t>[</w:t>
      </w:r>
      <w:r w:rsidR="009E498B" w:rsidRPr="0088448D">
        <w:rPr>
          <w:rStyle w:val="a7"/>
          <w:rFonts w:ascii="Book Antiqua" w:hAnsi="Book Antiqua"/>
          <w:b w:val="0"/>
          <w:vertAlign w:val="superscript"/>
          <w:lang w:val="en-US"/>
        </w:rPr>
        <w:t>47-48</w:t>
      </w:r>
      <w:r w:rsidR="00727BED">
        <w:rPr>
          <w:rStyle w:val="a7"/>
          <w:rFonts w:ascii="Book Antiqua" w:hAnsi="Book Antiqua" w:hint="eastAsia"/>
          <w:b w:val="0"/>
          <w:vertAlign w:val="superscript"/>
          <w:lang w:val="en-US" w:eastAsia="zh-CN"/>
        </w:rPr>
        <w:t>]</w:t>
      </w:r>
      <w:r w:rsidR="00841A85" w:rsidRPr="0088448D">
        <w:rPr>
          <w:rStyle w:val="a7"/>
          <w:rFonts w:ascii="Book Antiqua" w:hAnsi="Book Antiqua"/>
          <w:b w:val="0"/>
          <w:lang w:val="en-US"/>
        </w:rPr>
        <w:t>.</w:t>
      </w:r>
      <w:r w:rsidR="00BA5BF7" w:rsidRPr="0088448D">
        <w:rPr>
          <w:rStyle w:val="a7"/>
          <w:rFonts w:ascii="Book Antiqua" w:hAnsi="Book Antiqua"/>
          <w:b w:val="0"/>
          <w:lang w:val="en-US"/>
        </w:rPr>
        <w:t xml:space="preserve"> These results suggest that the mtDNA mutations in the D-loop region, due to </w:t>
      </w:r>
      <w:r w:rsidR="00BA5BF7" w:rsidRPr="0088448D">
        <w:rPr>
          <w:rStyle w:val="a7"/>
          <w:rFonts w:ascii="Book Antiqua" w:hAnsi="Book Antiqua"/>
          <w:b w:val="0"/>
          <w:i/>
          <w:lang w:val="en-US"/>
        </w:rPr>
        <w:t>H</w:t>
      </w:r>
      <w:r w:rsidR="002B091D">
        <w:rPr>
          <w:rStyle w:val="a7"/>
          <w:rFonts w:ascii="Book Antiqua" w:hAnsi="Book Antiqua" w:hint="eastAsia"/>
          <w:b w:val="0"/>
          <w:i/>
          <w:lang w:val="en-US" w:eastAsia="zh-CN"/>
        </w:rPr>
        <w:t>.</w:t>
      </w:r>
      <w:r w:rsidR="00BA5BF7" w:rsidRPr="0088448D">
        <w:rPr>
          <w:rStyle w:val="a7"/>
          <w:rFonts w:ascii="Book Antiqua" w:hAnsi="Book Antiqua"/>
          <w:b w:val="0"/>
          <w:i/>
          <w:lang w:val="en-US"/>
        </w:rPr>
        <w:t xml:space="preserve"> pylori</w:t>
      </w:r>
      <w:r w:rsidR="00BA5BF7" w:rsidRPr="0088448D">
        <w:rPr>
          <w:rStyle w:val="a7"/>
          <w:rFonts w:ascii="Book Antiqua" w:hAnsi="Book Antiqua"/>
          <w:b w:val="0"/>
          <w:lang w:val="en-US"/>
        </w:rPr>
        <w:t xml:space="preserve"> infection, contribute to the decrease in the mtDNA copy number in gas</w:t>
      </w:r>
      <w:r w:rsidR="00BA5BF7" w:rsidRPr="00727BED">
        <w:rPr>
          <w:rStyle w:val="a7"/>
          <w:rFonts w:ascii="Book Antiqua" w:hAnsi="Book Antiqua"/>
          <w:b w:val="0"/>
          <w:lang w:val="en-US"/>
        </w:rPr>
        <w:t>tric cancer.</w:t>
      </w:r>
      <w:r w:rsidR="00841A85" w:rsidRPr="00727BED">
        <w:rPr>
          <w:rStyle w:val="a7"/>
          <w:rFonts w:ascii="Book Antiqua" w:hAnsi="Book Antiqua"/>
          <w:b w:val="0"/>
          <w:lang w:val="en-US"/>
        </w:rPr>
        <w:t xml:space="preserve">Recently, Zhang </w:t>
      </w:r>
      <w:r w:rsidR="00841A85" w:rsidRPr="00727BED">
        <w:rPr>
          <w:rStyle w:val="a7"/>
          <w:rFonts w:ascii="Book Antiqua" w:hAnsi="Book Antiqua"/>
          <w:b w:val="0"/>
          <w:i/>
          <w:lang w:val="en-US"/>
        </w:rPr>
        <w:t>et al</w:t>
      </w:r>
      <w:r w:rsidR="00727BED" w:rsidRPr="00727BED">
        <w:rPr>
          <w:rStyle w:val="a7"/>
          <w:rFonts w:ascii="Book Antiqua" w:hAnsi="Book Antiqua"/>
          <w:b w:val="0"/>
          <w:vertAlign w:val="superscript"/>
          <w:lang w:val="en-US"/>
        </w:rPr>
        <w:t>[</w:t>
      </w:r>
      <w:r w:rsidR="009E498B" w:rsidRPr="00727BED">
        <w:rPr>
          <w:rStyle w:val="a7"/>
          <w:rFonts w:ascii="Book Antiqua" w:hAnsi="Book Antiqua"/>
          <w:b w:val="0"/>
          <w:vertAlign w:val="superscript"/>
          <w:lang w:val="en-US"/>
        </w:rPr>
        <w:t>49</w:t>
      </w:r>
      <w:r w:rsidR="00841A85" w:rsidRPr="00727BED">
        <w:rPr>
          <w:rStyle w:val="a7"/>
          <w:rFonts w:ascii="Book Antiqua" w:hAnsi="Book Antiqua"/>
          <w:b w:val="0"/>
          <w:vertAlign w:val="superscript"/>
          <w:lang w:val="en-US"/>
        </w:rPr>
        <w:t xml:space="preserve">] </w:t>
      </w:r>
      <w:r w:rsidR="00841A85" w:rsidRPr="00727BED">
        <w:rPr>
          <w:rStyle w:val="a7"/>
          <w:rFonts w:ascii="Book Antiqua" w:hAnsi="Book Antiqua"/>
          <w:b w:val="0"/>
          <w:lang w:val="en-US"/>
        </w:rPr>
        <w:t>demonstrated that variable mtDNA content (</w:t>
      </w:r>
      <w:r w:rsidR="00E95D52" w:rsidRPr="00727BED">
        <w:rPr>
          <w:rStyle w:val="a7"/>
          <w:rFonts w:ascii="Book Antiqua" w:hAnsi="Book Antiqua"/>
          <w:b w:val="0"/>
          <w:lang w:val="en-US"/>
        </w:rPr>
        <w:t>either</w:t>
      </w:r>
      <w:r w:rsidR="00841A85" w:rsidRPr="00727BED">
        <w:rPr>
          <w:rFonts w:ascii="Book Antiqua" w:hAnsi="Book Antiqua"/>
          <w:lang w:val="en-US"/>
        </w:rPr>
        <w:t xml:space="preserve"> decreased or increased mtDNA content) markedly increased the risk of lymph node metastasis and high mortality</w:t>
      </w:r>
      <w:r w:rsidR="00E95D52" w:rsidRPr="00727BED">
        <w:rPr>
          <w:rFonts w:ascii="Book Antiqua" w:hAnsi="Book Antiqua"/>
          <w:lang w:val="en-US"/>
        </w:rPr>
        <w:t xml:space="preserve"> in</w:t>
      </w:r>
      <w:r w:rsidR="00BA5BF7" w:rsidRPr="00727BED">
        <w:rPr>
          <w:rFonts w:ascii="Book Antiqua" w:hAnsi="Book Antiqua"/>
          <w:lang w:val="en-US"/>
        </w:rPr>
        <w:t xml:space="preserve"> patients with advanced gastric carcinomas.</w:t>
      </w:r>
      <w:r w:rsidR="00841A85" w:rsidRPr="00727BED">
        <w:rPr>
          <w:rFonts w:ascii="Book Antiqua" w:hAnsi="Book Antiqua"/>
          <w:lang w:val="en-US"/>
        </w:rPr>
        <w:t xml:space="preserve"> These observations suggest that copy number variations of mtDNA may be involved in gastric cancer progression. </w:t>
      </w:r>
      <w:r w:rsidR="00981214" w:rsidRPr="00727BED">
        <w:rPr>
          <w:rFonts w:ascii="Book Antiqua" w:hAnsi="Book Antiqua"/>
          <w:lang w:val="en-US"/>
        </w:rPr>
        <w:t>However, the disparity of these findings in the alteration of mtDNA copy number among gastric carcinomas needs further studies.</w:t>
      </w:r>
    </w:p>
    <w:p w:rsidR="009500FF" w:rsidRPr="0088448D" w:rsidRDefault="009500FF" w:rsidP="0088448D">
      <w:pPr>
        <w:pStyle w:val="a8"/>
        <w:spacing w:line="360" w:lineRule="auto"/>
        <w:jc w:val="both"/>
        <w:rPr>
          <w:rStyle w:val="a7"/>
          <w:rFonts w:ascii="Book Antiqua" w:hAnsi="Book Antiqua"/>
          <w:lang w:val="en-US" w:eastAsia="zh-CN"/>
        </w:rPr>
      </w:pPr>
    </w:p>
    <w:p w:rsidR="00A80084" w:rsidRPr="0088448D" w:rsidRDefault="00727BED" w:rsidP="0088448D">
      <w:pPr>
        <w:pStyle w:val="a8"/>
        <w:spacing w:line="360" w:lineRule="auto"/>
        <w:jc w:val="both"/>
        <w:rPr>
          <w:rStyle w:val="a7"/>
          <w:rFonts w:ascii="Book Antiqua" w:hAnsi="Book Antiqua"/>
          <w:lang w:val="en-US"/>
        </w:rPr>
      </w:pPr>
      <w:r w:rsidRPr="0088448D">
        <w:rPr>
          <w:rStyle w:val="a7"/>
          <w:rFonts w:ascii="Book Antiqua" w:hAnsi="Book Antiqua"/>
          <w:lang w:val="en-US"/>
        </w:rPr>
        <w:t>GASTRITIS CLASSIFICATION</w:t>
      </w:r>
    </w:p>
    <w:p w:rsidR="00063F32" w:rsidRPr="0088448D" w:rsidRDefault="00487C8F" w:rsidP="0088448D">
      <w:pPr>
        <w:pStyle w:val="a8"/>
        <w:spacing w:line="360" w:lineRule="auto"/>
        <w:jc w:val="both"/>
        <w:rPr>
          <w:rFonts w:ascii="Book Antiqua" w:hAnsi="Book Antiqua"/>
          <w:lang w:val="en-US"/>
        </w:rPr>
      </w:pPr>
      <w:r w:rsidRPr="0088448D">
        <w:rPr>
          <w:rFonts w:ascii="Book Antiqua" w:hAnsi="Book Antiqua"/>
          <w:lang w:val="en-US"/>
        </w:rPr>
        <w:t>The most widely used grading system for gastritis is the Update Sydney System</w:t>
      </w:r>
      <w:r w:rsidR="00727BED" w:rsidRPr="00727BED">
        <w:rPr>
          <w:rFonts w:ascii="Book Antiqua" w:hAnsi="Book Antiqua"/>
          <w:vertAlign w:val="superscript"/>
          <w:lang w:val="en-US"/>
        </w:rPr>
        <w:t>[</w:t>
      </w:r>
      <w:r w:rsidR="0076587D" w:rsidRPr="0088448D">
        <w:rPr>
          <w:rStyle w:val="a7"/>
          <w:rFonts w:ascii="Book Antiqua" w:hAnsi="Book Antiqua"/>
          <w:b w:val="0"/>
          <w:vertAlign w:val="superscript"/>
          <w:lang w:val="en-US"/>
        </w:rPr>
        <w:t>50</w:t>
      </w:r>
      <w:r w:rsidR="00915C07" w:rsidRPr="0088448D">
        <w:rPr>
          <w:rStyle w:val="a7"/>
          <w:rFonts w:ascii="Book Antiqua" w:hAnsi="Book Antiqua"/>
          <w:b w:val="0"/>
          <w:vertAlign w:val="superscript"/>
          <w:lang w:val="en-US"/>
        </w:rPr>
        <w:t>]</w:t>
      </w:r>
      <w:r w:rsidRPr="0088448D">
        <w:rPr>
          <w:rFonts w:ascii="Book Antiqua" w:hAnsi="Book Antiqua"/>
          <w:lang w:val="en-US"/>
        </w:rPr>
        <w:t>. The system classifies chronic gastritis on the basis of topography, morphology, and, when possible etiolo</w:t>
      </w:r>
      <w:r w:rsidR="003F7B29" w:rsidRPr="0088448D">
        <w:rPr>
          <w:rFonts w:ascii="Book Antiqua" w:hAnsi="Book Antiqua"/>
          <w:lang w:val="en-US"/>
        </w:rPr>
        <w:t>gy. T</w:t>
      </w:r>
      <w:r w:rsidR="00915C07" w:rsidRPr="0088448D">
        <w:rPr>
          <w:rFonts w:ascii="Book Antiqua" w:hAnsi="Book Antiqua"/>
          <w:lang w:val="en-US"/>
        </w:rPr>
        <w:t xml:space="preserve">opographic information </w:t>
      </w:r>
      <w:r w:rsidRPr="0088448D">
        <w:rPr>
          <w:rFonts w:ascii="Book Antiqua" w:hAnsi="Book Antiqua"/>
          <w:lang w:val="en-US"/>
        </w:rPr>
        <w:t xml:space="preserve">provides further opportunities for assessing the risk of </w:t>
      </w:r>
      <w:r w:rsidRPr="0088448D">
        <w:rPr>
          <w:rFonts w:ascii="Book Antiqua" w:hAnsi="Book Antiqua"/>
          <w:i/>
          <w:lang w:val="en-US"/>
        </w:rPr>
        <w:t>H</w:t>
      </w:r>
      <w:r w:rsidR="00727BED">
        <w:rPr>
          <w:rFonts w:ascii="Book Antiqua" w:hAnsi="Book Antiqua" w:hint="eastAsia"/>
          <w:i/>
          <w:lang w:val="en-US" w:eastAsia="zh-CN"/>
        </w:rPr>
        <w:t>.</w:t>
      </w:r>
      <w:r w:rsidRPr="0088448D">
        <w:rPr>
          <w:rFonts w:ascii="Book Antiqua" w:hAnsi="Book Antiqua"/>
          <w:i/>
          <w:lang w:val="en-US"/>
        </w:rPr>
        <w:t xml:space="preserve"> pylori</w:t>
      </w:r>
      <w:r w:rsidRPr="0088448D">
        <w:rPr>
          <w:rFonts w:ascii="Book Antiqua" w:hAnsi="Book Antiqua"/>
          <w:lang w:val="en-US"/>
        </w:rPr>
        <w:t xml:space="preserve"> gastritis. </w:t>
      </w:r>
      <w:r w:rsidR="00063F32" w:rsidRPr="0088448D">
        <w:rPr>
          <w:rFonts w:ascii="Book Antiqua" w:hAnsi="Book Antiqua"/>
          <w:lang w:val="en-US"/>
        </w:rPr>
        <w:t xml:space="preserve">These are: </w:t>
      </w:r>
      <w:r w:rsidR="00727BED">
        <w:rPr>
          <w:rFonts w:ascii="Book Antiqua" w:hAnsi="Book Antiqua" w:hint="eastAsia"/>
          <w:lang w:val="en-US" w:eastAsia="zh-CN"/>
        </w:rPr>
        <w:t>(1</w:t>
      </w:r>
      <w:r w:rsidR="00063F32" w:rsidRPr="0088448D">
        <w:rPr>
          <w:rFonts w:ascii="Book Antiqua" w:hAnsi="Book Antiqua"/>
          <w:lang w:val="en-US"/>
        </w:rPr>
        <w:t xml:space="preserve">) </w:t>
      </w:r>
      <w:r w:rsidR="0039612A" w:rsidRPr="0088448D">
        <w:rPr>
          <w:rFonts w:ascii="Book Antiqua" w:hAnsi="Book Antiqua"/>
          <w:lang w:val="en-US"/>
        </w:rPr>
        <w:t xml:space="preserve">The </w:t>
      </w:r>
      <w:r w:rsidR="00063F32" w:rsidRPr="0088448D">
        <w:rPr>
          <w:rFonts w:ascii="Book Antiqua" w:hAnsi="Book Antiqua"/>
          <w:lang w:val="en-US"/>
        </w:rPr>
        <w:t>pr</w:t>
      </w:r>
      <w:r w:rsidR="003F7B29" w:rsidRPr="0088448D">
        <w:rPr>
          <w:rFonts w:ascii="Book Antiqua" w:hAnsi="Book Antiqua"/>
          <w:lang w:val="en-US"/>
        </w:rPr>
        <w:t>edominance or restriction of</w:t>
      </w:r>
      <w:r w:rsidR="00727BED">
        <w:rPr>
          <w:rFonts w:ascii="Book Antiqua" w:hAnsi="Book Antiqua" w:hint="eastAsia"/>
          <w:lang w:val="en-US" w:eastAsia="zh-CN"/>
        </w:rPr>
        <w:t xml:space="preserve"> </w:t>
      </w:r>
      <w:r w:rsidR="00063F32" w:rsidRPr="0088448D">
        <w:rPr>
          <w:rFonts w:ascii="Book Antiqua" w:hAnsi="Book Antiqua"/>
          <w:i/>
          <w:lang w:val="en-US"/>
        </w:rPr>
        <w:t>H pylori</w:t>
      </w:r>
      <w:r w:rsidR="00063F32" w:rsidRPr="0088448D">
        <w:rPr>
          <w:rFonts w:ascii="Book Antiqua" w:hAnsi="Book Antiqua"/>
          <w:lang w:val="en-US"/>
        </w:rPr>
        <w:t>-related gastritis in the antrum strongly correlates with an increased risk of peptic ulcer disease, and o</w:t>
      </w:r>
      <w:r w:rsidR="002864CF" w:rsidRPr="0088448D">
        <w:rPr>
          <w:rFonts w:ascii="Book Antiqua" w:hAnsi="Book Antiqua"/>
          <w:lang w:val="en-US"/>
        </w:rPr>
        <w:t xml:space="preserve">f duodenal ulcer in particular; </w:t>
      </w:r>
      <w:r w:rsidR="002B091D">
        <w:rPr>
          <w:rFonts w:ascii="Book Antiqua" w:hAnsi="Book Antiqua" w:hint="eastAsia"/>
          <w:lang w:val="en-US" w:eastAsia="zh-CN"/>
        </w:rPr>
        <w:t xml:space="preserve">and </w:t>
      </w:r>
      <w:r w:rsidR="00727BED">
        <w:rPr>
          <w:rFonts w:ascii="Book Antiqua" w:hAnsi="Book Antiqua" w:hint="eastAsia"/>
          <w:lang w:val="en-US" w:eastAsia="zh-CN"/>
        </w:rPr>
        <w:t>(2</w:t>
      </w:r>
      <w:r w:rsidR="00063F32" w:rsidRPr="0088448D">
        <w:rPr>
          <w:rFonts w:ascii="Book Antiqua" w:hAnsi="Book Antiqua"/>
          <w:lang w:val="en-US"/>
        </w:rPr>
        <w:t>) The occurrence of corpus-</w:t>
      </w:r>
      <w:r w:rsidR="00063F32" w:rsidRPr="0088448D">
        <w:rPr>
          <w:rFonts w:ascii="Book Antiqua" w:hAnsi="Book Antiqua"/>
          <w:lang w:val="en-US"/>
        </w:rPr>
        <w:lastRenderedPageBreak/>
        <w:t>predominant or pangastritis</w:t>
      </w:r>
      <w:r w:rsidR="00195554" w:rsidRPr="0088448D">
        <w:rPr>
          <w:rFonts w:ascii="Book Antiqua" w:hAnsi="Book Antiqua"/>
          <w:lang w:val="en-US"/>
        </w:rPr>
        <w:t xml:space="preserve"> is</w:t>
      </w:r>
      <w:r w:rsidR="003D6863" w:rsidRPr="0088448D">
        <w:rPr>
          <w:rFonts w:ascii="Book Antiqua" w:hAnsi="Book Antiqua"/>
          <w:lang w:val="en-US"/>
        </w:rPr>
        <w:t xml:space="preserve"> associ</w:t>
      </w:r>
      <w:r w:rsidR="00B5198B" w:rsidRPr="0088448D">
        <w:rPr>
          <w:rFonts w:ascii="Book Antiqua" w:hAnsi="Book Antiqua"/>
          <w:lang w:val="en-US"/>
        </w:rPr>
        <w:t>ated with</w:t>
      </w:r>
      <w:r w:rsidR="003F7B29" w:rsidRPr="0088448D">
        <w:rPr>
          <w:rFonts w:ascii="Book Antiqua" w:hAnsi="Book Antiqua"/>
          <w:lang w:val="en-US"/>
        </w:rPr>
        <w:t xml:space="preserve"> a</w:t>
      </w:r>
      <w:r w:rsidR="00195554" w:rsidRPr="0088448D">
        <w:rPr>
          <w:rFonts w:ascii="Book Antiqua" w:hAnsi="Book Antiqua"/>
          <w:lang w:val="en-US"/>
        </w:rPr>
        <w:t xml:space="preserve">high risk of </w:t>
      </w:r>
      <w:r w:rsidR="003D6863" w:rsidRPr="0088448D">
        <w:rPr>
          <w:rFonts w:ascii="Book Antiqua" w:hAnsi="Book Antiqua"/>
          <w:lang w:val="en-US"/>
        </w:rPr>
        <w:t>gastric cancer</w:t>
      </w:r>
      <w:r w:rsidR="00727BED" w:rsidRPr="00727BED">
        <w:rPr>
          <w:rFonts w:ascii="Book Antiqua" w:hAnsi="Book Antiqua"/>
          <w:vertAlign w:val="superscript"/>
          <w:lang w:val="en-US"/>
        </w:rPr>
        <w:t>[</w:t>
      </w:r>
      <w:r w:rsidR="003D6863" w:rsidRPr="0088448D">
        <w:rPr>
          <w:rFonts w:ascii="Book Antiqua" w:hAnsi="Book Antiqua"/>
          <w:vertAlign w:val="superscript"/>
          <w:lang w:val="en-US"/>
        </w:rPr>
        <w:t>30</w:t>
      </w:r>
      <w:r w:rsidR="002410DD" w:rsidRPr="0088448D">
        <w:rPr>
          <w:rFonts w:ascii="Book Antiqua" w:hAnsi="Book Antiqua"/>
          <w:vertAlign w:val="superscript"/>
          <w:lang w:val="en-US"/>
        </w:rPr>
        <w:t>]</w:t>
      </w:r>
      <w:r w:rsidR="003D6863" w:rsidRPr="0088448D">
        <w:rPr>
          <w:rFonts w:ascii="Book Antiqua" w:hAnsi="Book Antiqua"/>
          <w:lang w:val="en-US"/>
        </w:rPr>
        <w:t>.</w:t>
      </w:r>
      <w:r w:rsidR="002410DD" w:rsidRPr="0088448D">
        <w:rPr>
          <w:rFonts w:ascii="Book Antiqua" w:hAnsi="Book Antiqua"/>
          <w:lang w:val="en-US"/>
        </w:rPr>
        <w:t xml:space="preserve"> </w:t>
      </w:r>
      <w:r w:rsidR="003D6863" w:rsidRPr="0088448D">
        <w:rPr>
          <w:rStyle w:val="a7"/>
          <w:rFonts w:ascii="Book Antiqua" w:hAnsi="Book Antiqua"/>
          <w:b w:val="0"/>
          <w:lang w:val="en-US"/>
        </w:rPr>
        <w:t>In particular, patients with pangastritis are at high risk of diffuse–type gastric cancer, whereas those with corpus-predominant gastritis are at high risk of intestinal type gastric cancer</w:t>
      </w:r>
      <w:r w:rsidR="00B5198B" w:rsidRPr="0088448D">
        <w:rPr>
          <w:rStyle w:val="a7"/>
          <w:rFonts w:ascii="Book Antiqua" w:hAnsi="Book Antiqua"/>
          <w:b w:val="0"/>
          <w:lang w:val="en-US"/>
        </w:rPr>
        <w:t xml:space="preserve"> (</w:t>
      </w:r>
      <w:r w:rsidR="00727BED" w:rsidRPr="0088448D">
        <w:rPr>
          <w:rStyle w:val="a7"/>
          <w:rFonts w:ascii="Book Antiqua" w:hAnsi="Book Antiqua"/>
          <w:b w:val="0"/>
          <w:lang w:val="en-US"/>
        </w:rPr>
        <w:t xml:space="preserve">Table </w:t>
      </w:r>
      <w:r w:rsidR="00B5198B" w:rsidRPr="0088448D">
        <w:rPr>
          <w:rStyle w:val="a7"/>
          <w:rFonts w:ascii="Book Antiqua" w:hAnsi="Book Antiqua"/>
          <w:b w:val="0"/>
          <w:lang w:val="en-US"/>
        </w:rPr>
        <w:t>1)</w:t>
      </w:r>
      <w:r w:rsidR="00727BED" w:rsidRPr="00727BED">
        <w:rPr>
          <w:rStyle w:val="a7"/>
          <w:rFonts w:ascii="Book Antiqua" w:hAnsi="Book Antiqua"/>
          <w:b w:val="0"/>
          <w:vertAlign w:val="superscript"/>
          <w:lang w:val="en-US"/>
        </w:rPr>
        <w:t>[</w:t>
      </w:r>
      <w:r w:rsidR="0075476F" w:rsidRPr="0088448D">
        <w:rPr>
          <w:rStyle w:val="a7"/>
          <w:rFonts w:ascii="Book Antiqua" w:hAnsi="Book Antiqua"/>
          <w:b w:val="0"/>
          <w:vertAlign w:val="superscript"/>
          <w:lang w:val="en-US"/>
        </w:rPr>
        <w:t>51</w:t>
      </w:r>
      <w:r w:rsidR="003D6863" w:rsidRPr="0088448D">
        <w:rPr>
          <w:rStyle w:val="a7"/>
          <w:rFonts w:ascii="Book Antiqua" w:hAnsi="Book Antiqua"/>
          <w:b w:val="0"/>
          <w:vertAlign w:val="superscript"/>
          <w:lang w:val="en-US"/>
        </w:rPr>
        <w:t>]</w:t>
      </w:r>
      <w:r w:rsidR="003D6863" w:rsidRPr="0088448D">
        <w:rPr>
          <w:rStyle w:val="a7"/>
          <w:rFonts w:ascii="Book Antiqua" w:hAnsi="Book Antiqua"/>
          <w:b w:val="0"/>
          <w:lang w:val="en-US"/>
        </w:rPr>
        <w:t>.</w:t>
      </w:r>
    </w:p>
    <w:p w:rsidR="00A311CC" w:rsidRPr="0088448D" w:rsidRDefault="003D6863" w:rsidP="00727BED">
      <w:pPr>
        <w:autoSpaceDE w:val="0"/>
        <w:autoSpaceDN w:val="0"/>
        <w:adjustRightInd w:val="0"/>
        <w:spacing w:line="360" w:lineRule="auto"/>
        <w:ind w:firstLineChars="200" w:firstLine="480"/>
        <w:jc w:val="both"/>
        <w:rPr>
          <w:rFonts w:ascii="Book Antiqua" w:hAnsi="Book Antiqua"/>
          <w:lang w:val="en-US"/>
        </w:rPr>
      </w:pPr>
      <w:r w:rsidRPr="00727BED">
        <w:rPr>
          <w:rFonts w:ascii="Book Antiqua" w:hAnsi="Book Antiqua"/>
          <w:lang w:val="en-US"/>
        </w:rPr>
        <w:t xml:space="preserve">An international group of gastroenterologists and pathologists </w:t>
      </w:r>
      <w:r w:rsidR="002B091D">
        <w:rPr>
          <w:rFonts w:ascii="Book Antiqua" w:hAnsi="Book Antiqua" w:hint="eastAsia"/>
          <w:lang w:val="en-US" w:eastAsia="zh-CN"/>
        </w:rPr>
        <w:t>[</w:t>
      </w:r>
      <w:r w:rsidRPr="00727BED">
        <w:rPr>
          <w:rFonts w:ascii="Book Antiqua" w:hAnsi="Book Antiqua"/>
          <w:lang w:val="en-US"/>
        </w:rPr>
        <w:t>the Operative Link for Gastritis Assessment</w:t>
      </w:r>
      <w:r w:rsidR="00727BED">
        <w:rPr>
          <w:rFonts w:ascii="Book Antiqua" w:hAnsi="Book Antiqua" w:hint="eastAsia"/>
          <w:lang w:val="en-US" w:eastAsia="zh-CN"/>
        </w:rPr>
        <w:t xml:space="preserve"> </w:t>
      </w:r>
      <w:r w:rsidR="002B091D">
        <w:rPr>
          <w:rFonts w:ascii="Book Antiqua" w:hAnsi="Book Antiqua" w:hint="eastAsia"/>
          <w:lang w:val="en-US" w:eastAsia="zh-CN"/>
        </w:rPr>
        <w:t>(</w:t>
      </w:r>
      <w:r w:rsidR="002B091D">
        <w:rPr>
          <w:rFonts w:ascii="Book Antiqua" w:hAnsi="Book Antiqua"/>
          <w:lang w:val="en-US"/>
        </w:rPr>
        <w:t>OLGA</w:t>
      </w:r>
      <w:r w:rsidR="002B091D">
        <w:rPr>
          <w:rFonts w:ascii="Book Antiqua" w:hAnsi="Book Antiqua" w:hint="eastAsia"/>
          <w:lang w:val="en-US" w:eastAsia="zh-CN"/>
        </w:rPr>
        <w:t>)</w:t>
      </w:r>
      <w:r w:rsidR="002B091D">
        <w:rPr>
          <w:rFonts w:ascii="Book Antiqua" w:hAnsi="Book Antiqua"/>
          <w:lang w:val="en-US"/>
        </w:rPr>
        <w:t>]</w:t>
      </w:r>
      <w:r w:rsidR="002B091D">
        <w:rPr>
          <w:rFonts w:ascii="Book Antiqua" w:hAnsi="Book Antiqua" w:hint="eastAsia"/>
          <w:lang w:val="en-US" w:eastAsia="zh-CN"/>
        </w:rPr>
        <w:t xml:space="preserve"> </w:t>
      </w:r>
      <w:r w:rsidRPr="00727BED">
        <w:rPr>
          <w:rFonts w:ascii="Book Antiqua" w:hAnsi="Book Antiqua"/>
          <w:lang w:val="en-US"/>
        </w:rPr>
        <w:t>has proposed a system for reporting gastritis in terms of stage (the OLGA Staging System)</w:t>
      </w:r>
      <w:r w:rsidR="00727BED" w:rsidRPr="00727BED">
        <w:rPr>
          <w:rFonts w:ascii="Book Antiqua" w:hAnsi="Book Antiqua"/>
          <w:vertAlign w:val="superscript"/>
          <w:lang w:val="en-US"/>
        </w:rPr>
        <w:t>[</w:t>
      </w:r>
      <w:r w:rsidR="0075476F" w:rsidRPr="00727BED">
        <w:rPr>
          <w:rStyle w:val="a7"/>
          <w:rFonts w:ascii="Book Antiqua" w:hAnsi="Book Antiqua"/>
          <w:b w:val="0"/>
          <w:vertAlign w:val="superscript"/>
          <w:lang w:val="en-US"/>
        </w:rPr>
        <w:t>52</w:t>
      </w:r>
      <w:r w:rsidRPr="00727BED">
        <w:rPr>
          <w:rStyle w:val="a7"/>
          <w:rFonts w:ascii="Book Antiqua" w:hAnsi="Book Antiqua"/>
          <w:b w:val="0"/>
          <w:vertAlign w:val="superscript"/>
          <w:lang w:val="en-US"/>
        </w:rPr>
        <w:t>]</w:t>
      </w:r>
      <w:r w:rsidRPr="00727BED">
        <w:rPr>
          <w:rFonts w:ascii="Book Antiqua" w:hAnsi="Book Antiqua"/>
          <w:lang w:val="en-US"/>
        </w:rPr>
        <w:t>. The OLGA system considers gastric atrophy as the lesion that indicates disease progression. Atrophy is distinguished in a non-metaplastic (shrinkage or complete disappearance of glandular units, replaced by expanded (</w:t>
      </w:r>
      <w:r w:rsidR="003F7B29" w:rsidRPr="00727BED">
        <w:rPr>
          <w:rFonts w:ascii="Book Antiqua" w:hAnsi="Book Antiqua"/>
          <w:lang w:val="en-US"/>
        </w:rPr>
        <w:t>fibrotic) lamina propria) and</w:t>
      </w:r>
      <w:r w:rsidRPr="00727BED">
        <w:rPr>
          <w:rFonts w:ascii="Book Antiqua" w:hAnsi="Book Antiqua"/>
          <w:lang w:val="en-US"/>
        </w:rPr>
        <w:t xml:space="preserve"> a metaplastic form including intestinal metaplasia and pseudopyloric metaplasia</w:t>
      </w:r>
      <w:r w:rsidR="00B5198B" w:rsidRPr="00727BED">
        <w:rPr>
          <w:rStyle w:val="a7"/>
          <w:rFonts w:ascii="Book Antiqua" w:hAnsi="Book Antiqua"/>
          <w:b w:val="0"/>
          <w:lang w:val="en-US"/>
        </w:rPr>
        <w:t>also known as spasmolytic polypeptide-expressing metaplasia (SPEM)</w:t>
      </w:r>
      <w:r w:rsidRPr="00727BED">
        <w:rPr>
          <w:rFonts w:ascii="Book Antiqua" w:hAnsi="Book Antiqua"/>
          <w:lang w:val="en-US"/>
        </w:rPr>
        <w:t>. The OLGA staging system ranks gastric cancer risk according to the extent and severity of gastric atrophy and includes 5 stages: 0, I, and II, or low-grade atrophy associated with a low risk of gastric cancer, and III and IV, or high-grade atrophy associated with a high risk of gastric cancer</w:t>
      </w:r>
      <w:r w:rsidRPr="00727BED">
        <w:rPr>
          <w:rStyle w:val="a7"/>
          <w:rFonts w:ascii="Book Antiqua" w:hAnsi="Book Antiqua"/>
          <w:b w:val="0"/>
          <w:vertAlign w:val="superscript"/>
          <w:lang w:val="en-US"/>
        </w:rPr>
        <w:t>[</w:t>
      </w:r>
      <w:r w:rsidR="0075476F" w:rsidRPr="00727BED">
        <w:rPr>
          <w:rStyle w:val="a7"/>
          <w:rFonts w:ascii="Book Antiqua" w:hAnsi="Book Antiqua"/>
          <w:b w:val="0"/>
          <w:vertAlign w:val="superscript"/>
          <w:lang w:val="en-US"/>
        </w:rPr>
        <w:t>52</w:t>
      </w:r>
      <w:r w:rsidRPr="00727BED">
        <w:rPr>
          <w:rStyle w:val="a7"/>
          <w:rFonts w:ascii="Book Antiqua" w:hAnsi="Book Antiqua"/>
          <w:b w:val="0"/>
          <w:vertAlign w:val="superscript"/>
          <w:lang w:val="en-US"/>
        </w:rPr>
        <w:t>]</w:t>
      </w:r>
      <w:r w:rsidRPr="00727BED">
        <w:rPr>
          <w:rFonts w:ascii="Book Antiqua" w:hAnsi="Book Antiqua"/>
          <w:lang w:val="en-US"/>
        </w:rPr>
        <w:t>.The histopathological diagnosis of pseudo</w:t>
      </w:r>
      <w:r w:rsidR="003F7B29" w:rsidRPr="00727BED">
        <w:rPr>
          <w:rFonts w:ascii="Book Antiqua" w:hAnsi="Book Antiqua"/>
          <w:lang w:val="en-US"/>
        </w:rPr>
        <w:t>pyloric metaplasia requires</w:t>
      </w:r>
      <w:r w:rsidRPr="00727BED">
        <w:rPr>
          <w:rFonts w:ascii="Book Antiqua" w:hAnsi="Book Antiqua"/>
          <w:lang w:val="en-US"/>
        </w:rPr>
        <w:t xml:space="preserve"> the endoscopist</w:t>
      </w:r>
      <w:r w:rsidR="003F7B29" w:rsidRPr="00727BED">
        <w:rPr>
          <w:rFonts w:ascii="Book Antiqua" w:hAnsi="Book Antiqua"/>
          <w:lang w:val="en-US"/>
        </w:rPr>
        <w:t xml:space="preserve">to </w:t>
      </w:r>
      <w:r w:rsidRPr="00727BED">
        <w:rPr>
          <w:rFonts w:ascii="Book Antiqua" w:hAnsi="Book Antiqua"/>
          <w:lang w:val="en-US"/>
        </w:rPr>
        <w:t>communicate a correct identification of the location of the biopsy specimen in the body mucosa otherwise the pathologist consider</w:t>
      </w:r>
      <w:r w:rsidR="003F7B29" w:rsidRPr="00727BED">
        <w:rPr>
          <w:rFonts w:ascii="Book Antiqua" w:hAnsi="Book Antiqua"/>
          <w:lang w:val="en-US"/>
        </w:rPr>
        <w:t>s</w:t>
      </w:r>
      <w:r w:rsidRPr="00727BED">
        <w:rPr>
          <w:rFonts w:ascii="Book Antiqua" w:hAnsi="Book Antiqua"/>
          <w:lang w:val="en-US"/>
        </w:rPr>
        <w:t>antral-like mucosa as non-metaplastic</w:t>
      </w:r>
      <w:r w:rsidRPr="00727BED">
        <w:rPr>
          <w:rStyle w:val="a7"/>
          <w:rFonts w:ascii="Book Antiqua" w:hAnsi="Book Antiqua"/>
          <w:b w:val="0"/>
          <w:vertAlign w:val="superscript"/>
          <w:lang w:val="en-US"/>
        </w:rPr>
        <w:t>[5</w:t>
      </w:r>
      <w:r w:rsidR="0075476F" w:rsidRPr="00727BED">
        <w:rPr>
          <w:rStyle w:val="a7"/>
          <w:rFonts w:ascii="Book Antiqua" w:hAnsi="Book Antiqua"/>
          <w:b w:val="0"/>
          <w:vertAlign w:val="superscript"/>
          <w:lang w:val="en-US"/>
        </w:rPr>
        <w:t>3</w:t>
      </w:r>
      <w:r w:rsidRPr="00727BED">
        <w:rPr>
          <w:rStyle w:val="a7"/>
          <w:rFonts w:ascii="Book Antiqua" w:hAnsi="Book Antiqua"/>
          <w:b w:val="0"/>
          <w:vertAlign w:val="superscript"/>
          <w:lang w:val="en-US"/>
        </w:rPr>
        <w:t>]</w:t>
      </w:r>
      <w:r w:rsidRPr="00727BED">
        <w:rPr>
          <w:rFonts w:ascii="Book Antiqua" w:hAnsi="Book Antiqua"/>
          <w:lang w:val="en-US"/>
        </w:rPr>
        <w:t>. Asatrophic gastritis and p</w:t>
      </w:r>
      <w:r w:rsidR="003F7B29" w:rsidRPr="00727BED">
        <w:rPr>
          <w:rFonts w:ascii="Book Antiqua" w:hAnsi="Book Antiqua"/>
          <w:lang w:val="en-US"/>
        </w:rPr>
        <w:t>seudopyloric metaplasia remain</w:t>
      </w:r>
      <w:r w:rsidRPr="00727BED">
        <w:rPr>
          <w:rFonts w:ascii="Book Antiqua" w:hAnsi="Book Antiqua"/>
          <w:lang w:val="en-US"/>
        </w:rPr>
        <w:t xml:space="preserve"> difficult </w:t>
      </w:r>
      <w:r w:rsidR="003F7B29" w:rsidRPr="00727BED">
        <w:rPr>
          <w:rFonts w:ascii="Book Antiqua" w:hAnsi="Book Antiqua"/>
          <w:lang w:val="en-US"/>
        </w:rPr>
        <w:t>histopathologic diagnose</w:t>
      </w:r>
      <w:r w:rsidRPr="00727BED">
        <w:rPr>
          <w:rFonts w:ascii="Book Antiqua" w:hAnsi="Book Antiqua"/>
          <w:lang w:val="en-US"/>
        </w:rPr>
        <w:t xml:space="preserve">s with low interobserver agreement, a gastritis staging system </w:t>
      </w:r>
      <w:r w:rsidR="003F7B29" w:rsidRPr="00727BED">
        <w:rPr>
          <w:rFonts w:ascii="Book Antiqua" w:hAnsi="Book Antiqua"/>
          <w:lang w:val="en-US"/>
        </w:rPr>
        <w:t xml:space="preserve">has recently been proposed in </w:t>
      </w:r>
      <w:r w:rsidRPr="00727BED">
        <w:rPr>
          <w:rFonts w:ascii="Book Antiqua" w:hAnsi="Book Antiqua"/>
          <w:lang w:val="en-US"/>
        </w:rPr>
        <w:t>alternative to the OLGA (OLGIM system)</w:t>
      </w:r>
      <w:r w:rsidRPr="00727BED">
        <w:rPr>
          <w:rStyle w:val="a7"/>
          <w:rFonts w:ascii="Book Antiqua" w:hAnsi="Book Antiqua"/>
          <w:b w:val="0"/>
          <w:vertAlign w:val="superscript"/>
          <w:lang w:val="en-US"/>
        </w:rPr>
        <w:t>[</w:t>
      </w:r>
      <w:r w:rsidR="0075476F" w:rsidRPr="00727BED">
        <w:rPr>
          <w:rStyle w:val="a7"/>
          <w:rFonts w:ascii="Book Antiqua" w:hAnsi="Book Antiqua"/>
          <w:b w:val="0"/>
          <w:vertAlign w:val="superscript"/>
          <w:lang w:val="en-US"/>
        </w:rPr>
        <w:t>54</w:t>
      </w:r>
      <w:r w:rsidRPr="00727BED">
        <w:rPr>
          <w:rStyle w:val="a7"/>
          <w:rFonts w:ascii="Book Antiqua" w:hAnsi="Book Antiqua"/>
          <w:b w:val="0"/>
          <w:vertAlign w:val="superscript"/>
          <w:lang w:val="en-US"/>
        </w:rPr>
        <w:t>]</w:t>
      </w:r>
      <w:r w:rsidRPr="00727BED">
        <w:rPr>
          <w:rFonts w:ascii="Book Antiqua" w:hAnsi="Book Antiqua"/>
          <w:lang w:val="en-US"/>
        </w:rPr>
        <w:t>. In</w:t>
      </w:r>
      <w:r w:rsidR="009618A7" w:rsidRPr="00727BED">
        <w:rPr>
          <w:rFonts w:ascii="Book Antiqua" w:hAnsi="Book Antiqua"/>
          <w:lang w:val="en-US"/>
        </w:rPr>
        <w:t xml:space="preserve">the OLGIM system only intestinal metaplasia </w:t>
      </w:r>
      <w:r w:rsidRPr="00727BED">
        <w:rPr>
          <w:rFonts w:ascii="Book Antiqua" w:hAnsi="Book Antiqua"/>
          <w:lang w:val="en-US"/>
        </w:rPr>
        <w:t>is considered as the key lesion to score for staging purposes</w:t>
      </w:r>
      <w:r w:rsidRPr="00727BED">
        <w:rPr>
          <w:rStyle w:val="a7"/>
          <w:rFonts w:ascii="Book Antiqua" w:hAnsi="Book Antiqua"/>
          <w:b w:val="0"/>
          <w:vertAlign w:val="superscript"/>
          <w:lang w:val="en-US"/>
        </w:rPr>
        <w:t>[</w:t>
      </w:r>
      <w:r w:rsidR="0075476F" w:rsidRPr="00727BED">
        <w:rPr>
          <w:rStyle w:val="a7"/>
          <w:rFonts w:ascii="Book Antiqua" w:hAnsi="Book Antiqua"/>
          <w:b w:val="0"/>
          <w:vertAlign w:val="superscript"/>
          <w:lang w:val="en-US"/>
        </w:rPr>
        <w:t>54</w:t>
      </w:r>
      <w:r w:rsidRPr="00727BED">
        <w:rPr>
          <w:rStyle w:val="a7"/>
          <w:rFonts w:ascii="Book Antiqua" w:hAnsi="Book Antiqua"/>
          <w:b w:val="0"/>
          <w:vertAlign w:val="superscript"/>
          <w:lang w:val="en-US"/>
        </w:rPr>
        <w:t>]</w:t>
      </w:r>
      <w:r w:rsidRPr="00727BED">
        <w:rPr>
          <w:rFonts w:ascii="Book Antiqua" w:hAnsi="Book Antiqua"/>
          <w:lang w:val="en-US"/>
        </w:rPr>
        <w:t xml:space="preserve">. Although replacement of atrophic gastritis by intestinal metaplasia in the staging of gastritis considerablyincreasesinterobserver agreement, </w:t>
      </w:r>
      <w:r w:rsidR="003F7B29" w:rsidRPr="00727BED">
        <w:rPr>
          <w:rFonts w:ascii="Book Antiqua" w:hAnsi="Book Antiqua"/>
          <w:lang w:val="en-US"/>
        </w:rPr>
        <w:t xml:space="preserve">the </w:t>
      </w:r>
      <w:r w:rsidRPr="00727BED">
        <w:rPr>
          <w:rFonts w:ascii="Book Antiqua" w:hAnsi="Book Antiqua"/>
          <w:lang w:val="en-US"/>
        </w:rPr>
        <w:t xml:space="preserve">OLGIM system disregards pseudopyloric metaplasia that is now recognized as an important step in the tumorigenesis of gastric-type adenocarcinoma. By focusing on intestinal metaplasia only, </w:t>
      </w:r>
      <w:r w:rsidR="003F7B29" w:rsidRPr="00727BED">
        <w:rPr>
          <w:rFonts w:ascii="Book Antiqua" w:hAnsi="Book Antiqua"/>
          <w:lang w:val="en-US"/>
        </w:rPr>
        <w:t xml:space="preserve">the </w:t>
      </w:r>
      <w:r w:rsidRPr="00727BED">
        <w:rPr>
          <w:rFonts w:ascii="Book Antiqua" w:hAnsi="Book Antiqua"/>
          <w:lang w:val="en-US"/>
        </w:rPr>
        <w:t>OLGIM system might be less sensitive in identifying patients with high-risk gastritis</w:t>
      </w:r>
      <w:r w:rsidR="00727BED" w:rsidRPr="00727BED">
        <w:rPr>
          <w:rFonts w:ascii="Book Antiqua" w:hAnsi="Book Antiqua"/>
          <w:vertAlign w:val="superscript"/>
          <w:lang w:val="en-US"/>
        </w:rPr>
        <w:t>[</w:t>
      </w:r>
      <w:r w:rsidR="0075476F" w:rsidRPr="00727BED">
        <w:rPr>
          <w:rStyle w:val="a7"/>
          <w:rFonts w:ascii="Book Antiqua" w:hAnsi="Book Antiqua"/>
          <w:b w:val="0"/>
          <w:vertAlign w:val="superscript"/>
          <w:lang w:val="en-US"/>
        </w:rPr>
        <w:t>55</w:t>
      </w:r>
      <w:r w:rsidRPr="00727BED">
        <w:rPr>
          <w:rStyle w:val="a7"/>
          <w:rFonts w:ascii="Book Antiqua" w:hAnsi="Book Antiqua"/>
          <w:b w:val="0"/>
          <w:vertAlign w:val="superscript"/>
          <w:lang w:val="en-US"/>
        </w:rPr>
        <w:t>]</w:t>
      </w:r>
      <w:r w:rsidRPr="00727BED">
        <w:rPr>
          <w:rFonts w:ascii="Book Antiqua" w:hAnsi="Book Antiqua"/>
          <w:lang w:val="en-US"/>
        </w:rPr>
        <w:t>.</w:t>
      </w:r>
    </w:p>
    <w:p w:rsidR="00F76B98" w:rsidRPr="0088448D" w:rsidRDefault="00F76B98" w:rsidP="0088448D">
      <w:pPr>
        <w:autoSpaceDE w:val="0"/>
        <w:autoSpaceDN w:val="0"/>
        <w:adjustRightInd w:val="0"/>
        <w:spacing w:line="360" w:lineRule="auto"/>
        <w:jc w:val="both"/>
        <w:rPr>
          <w:rStyle w:val="a7"/>
          <w:rFonts w:ascii="Book Antiqua" w:hAnsi="Book Antiqua"/>
          <w:b w:val="0"/>
          <w:lang w:val="en-US"/>
        </w:rPr>
      </w:pPr>
    </w:p>
    <w:p w:rsidR="00F76B98" w:rsidRPr="0088448D" w:rsidRDefault="00FC2B8C" w:rsidP="0088448D">
      <w:pPr>
        <w:autoSpaceDE w:val="0"/>
        <w:autoSpaceDN w:val="0"/>
        <w:adjustRightInd w:val="0"/>
        <w:spacing w:line="360" w:lineRule="auto"/>
        <w:jc w:val="both"/>
        <w:rPr>
          <w:rStyle w:val="a7"/>
          <w:rFonts w:ascii="Book Antiqua" w:hAnsi="Book Antiqua"/>
          <w:lang w:val="en-US"/>
        </w:rPr>
      </w:pPr>
      <w:r w:rsidRPr="0088448D">
        <w:rPr>
          <w:rStyle w:val="a7"/>
          <w:rFonts w:ascii="Book Antiqua" w:hAnsi="Book Antiqua"/>
          <w:lang w:val="en-US"/>
        </w:rPr>
        <w:t>HISTOGENETIC PATHWAY OF INTESTINAL-TYPE GASTRIC CARCINOMA</w:t>
      </w:r>
    </w:p>
    <w:p w:rsidR="006C0752" w:rsidRPr="0088448D" w:rsidRDefault="001E3F37" w:rsidP="0088448D">
      <w:pPr>
        <w:autoSpaceDE w:val="0"/>
        <w:autoSpaceDN w:val="0"/>
        <w:adjustRightInd w:val="0"/>
        <w:spacing w:line="360" w:lineRule="auto"/>
        <w:jc w:val="both"/>
        <w:rPr>
          <w:rFonts w:ascii="Book Antiqua" w:hAnsi="Book Antiqua"/>
          <w:bCs/>
          <w:lang w:val="en-US"/>
        </w:rPr>
      </w:pPr>
      <w:r w:rsidRPr="0088448D">
        <w:rPr>
          <w:rStyle w:val="a7"/>
          <w:rFonts w:ascii="Book Antiqua" w:hAnsi="Book Antiqua"/>
          <w:b w:val="0"/>
          <w:lang w:val="en-US"/>
        </w:rPr>
        <w:t>According to the Correa model, histogenesis of intest</w:t>
      </w:r>
      <w:r w:rsidR="00A80084" w:rsidRPr="0088448D">
        <w:rPr>
          <w:rStyle w:val="a7"/>
          <w:rFonts w:ascii="Book Antiqua" w:hAnsi="Book Antiqua"/>
          <w:b w:val="0"/>
          <w:lang w:val="en-US"/>
        </w:rPr>
        <w:t>inal type gastric cancer</w:t>
      </w:r>
      <w:r w:rsidRPr="0088448D">
        <w:rPr>
          <w:rStyle w:val="a7"/>
          <w:rFonts w:ascii="Book Antiqua" w:hAnsi="Book Antiqua"/>
          <w:b w:val="0"/>
          <w:lang w:val="en-US"/>
        </w:rPr>
        <w:t xml:space="preserve"> follows a pathway</w:t>
      </w:r>
      <w:r w:rsidR="005627AC" w:rsidRPr="0088448D">
        <w:rPr>
          <w:rStyle w:val="a7"/>
          <w:rFonts w:ascii="Book Antiqua" w:hAnsi="Book Antiqua"/>
          <w:b w:val="0"/>
          <w:lang w:val="en-US"/>
        </w:rPr>
        <w:t xml:space="preserve"> of chronic active gastritis due to </w:t>
      </w:r>
      <w:r w:rsidR="005627AC" w:rsidRPr="0088448D">
        <w:rPr>
          <w:rStyle w:val="a7"/>
          <w:rFonts w:ascii="Book Antiqua" w:hAnsi="Book Antiqua"/>
          <w:b w:val="0"/>
          <w:i/>
          <w:lang w:val="en-US"/>
        </w:rPr>
        <w:t>H</w:t>
      </w:r>
      <w:r w:rsidR="002B091D">
        <w:rPr>
          <w:rStyle w:val="a7"/>
          <w:rFonts w:ascii="Book Antiqua" w:hAnsi="Book Antiqua" w:hint="eastAsia"/>
          <w:b w:val="0"/>
          <w:i/>
          <w:lang w:val="en-US" w:eastAsia="zh-CN"/>
        </w:rPr>
        <w:t>.</w:t>
      </w:r>
      <w:r w:rsidR="005627AC" w:rsidRPr="0088448D">
        <w:rPr>
          <w:rStyle w:val="a7"/>
          <w:rFonts w:ascii="Book Antiqua" w:hAnsi="Book Antiqua"/>
          <w:b w:val="0"/>
          <w:i/>
          <w:lang w:val="en-US"/>
        </w:rPr>
        <w:t xml:space="preserve"> pylori</w:t>
      </w:r>
      <w:r w:rsidR="005627AC" w:rsidRPr="0088448D">
        <w:rPr>
          <w:rStyle w:val="a7"/>
          <w:rFonts w:ascii="Book Antiqua" w:hAnsi="Book Antiqua"/>
          <w:b w:val="0"/>
          <w:lang w:val="en-US"/>
        </w:rPr>
        <w:t xml:space="preserve">–infection leading to multifocal atrophy, intestinal metaplasia, followed by gastric dysplasia and finally invasive </w:t>
      </w:r>
      <w:r w:rsidR="005627AC" w:rsidRPr="0088448D">
        <w:rPr>
          <w:rStyle w:val="a7"/>
          <w:rFonts w:ascii="Book Antiqua" w:hAnsi="Book Antiqua"/>
          <w:b w:val="0"/>
          <w:lang w:val="en-US"/>
        </w:rPr>
        <w:lastRenderedPageBreak/>
        <w:t>adenocarcinoma</w:t>
      </w:r>
      <w:r w:rsidR="00727BED" w:rsidRPr="00727BED">
        <w:rPr>
          <w:rStyle w:val="a7"/>
          <w:rFonts w:ascii="Book Antiqua" w:hAnsi="Book Antiqua"/>
          <w:b w:val="0"/>
          <w:vertAlign w:val="superscript"/>
          <w:lang w:val="en-US"/>
        </w:rPr>
        <w:t>[</w:t>
      </w:r>
      <w:r w:rsidR="00011F55" w:rsidRPr="0088448D">
        <w:rPr>
          <w:rStyle w:val="a7"/>
          <w:rFonts w:ascii="Book Antiqua" w:hAnsi="Book Antiqua"/>
          <w:b w:val="0"/>
          <w:vertAlign w:val="superscript"/>
          <w:lang w:val="en-US"/>
        </w:rPr>
        <w:t>15</w:t>
      </w:r>
      <w:r w:rsidR="00915C07" w:rsidRPr="0088448D">
        <w:rPr>
          <w:rStyle w:val="a7"/>
          <w:rFonts w:ascii="Book Antiqua" w:hAnsi="Book Antiqua"/>
          <w:b w:val="0"/>
          <w:vertAlign w:val="superscript"/>
          <w:lang w:val="en-US"/>
        </w:rPr>
        <w:t>]</w:t>
      </w:r>
      <w:r w:rsidR="005627AC" w:rsidRPr="0088448D">
        <w:rPr>
          <w:rStyle w:val="a7"/>
          <w:rFonts w:ascii="Book Antiqua" w:hAnsi="Book Antiqua"/>
          <w:b w:val="0"/>
          <w:lang w:val="en-US"/>
        </w:rPr>
        <w:t xml:space="preserve">. </w:t>
      </w:r>
      <w:r w:rsidR="000D3D7A" w:rsidRPr="0088448D">
        <w:rPr>
          <w:rStyle w:val="a7"/>
          <w:rFonts w:ascii="Book Antiqua" w:hAnsi="Book Antiqua"/>
          <w:b w:val="0"/>
          <w:lang w:val="en-US"/>
        </w:rPr>
        <w:t>Previous studies</w:t>
      </w:r>
      <w:r w:rsidR="00727BED" w:rsidRPr="00727BED">
        <w:rPr>
          <w:rStyle w:val="a7"/>
          <w:rFonts w:ascii="Book Antiqua" w:hAnsi="Book Antiqua"/>
          <w:b w:val="0"/>
          <w:vertAlign w:val="superscript"/>
          <w:lang w:val="en-US"/>
        </w:rPr>
        <w:t>[</w:t>
      </w:r>
      <w:r w:rsidR="00011F55" w:rsidRPr="0088448D">
        <w:rPr>
          <w:rStyle w:val="a7"/>
          <w:rFonts w:ascii="Book Antiqua" w:hAnsi="Book Antiqua"/>
          <w:b w:val="0"/>
          <w:vertAlign w:val="superscript"/>
          <w:lang w:val="en-US"/>
        </w:rPr>
        <w:t>56-58</w:t>
      </w:r>
      <w:r w:rsidR="00A66424" w:rsidRPr="0088448D">
        <w:rPr>
          <w:rStyle w:val="a7"/>
          <w:rFonts w:ascii="Book Antiqua" w:hAnsi="Book Antiqua"/>
          <w:b w:val="0"/>
          <w:vertAlign w:val="superscript"/>
          <w:lang w:val="en-US"/>
        </w:rPr>
        <w:t>]</w:t>
      </w:r>
      <w:r w:rsidR="00A66424" w:rsidRPr="0088448D">
        <w:rPr>
          <w:rStyle w:val="a7"/>
          <w:rFonts w:ascii="Book Antiqua" w:hAnsi="Book Antiqua"/>
          <w:b w:val="0"/>
          <w:lang w:val="en-US"/>
        </w:rPr>
        <w:t xml:space="preserve"> showed </w:t>
      </w:r>
      <w:r w:rsidR="00207E51" w:rsidRPr="0088448D">
        <w:rPr>
          <w:rStyle w:val="a7"/>
          <w:rFonts w:ascii="Book Antiqua" w:hAnsi="Book Antiqua"/>
          <w:b w:val="0"/>
          <w:lang w:val="en-US"/>
        </w:rPr>
        <w:t xml:space="preserve">a sequential accumulation of </w:t>
      </w:r>
      <w:r w:rsidR="00A66424" w:rsidRPr="0088448D">
        <w:rPr>
          <w:rStyle w:val="a7"/>
          <w:rFonts w:ascii="Book Antiqua" w:hAnsi="Book Antiqua"/>
          <w:b w:val="0"/>
          <w:lang w:val="en-US"/>
        </w:rPr>
        <w:t>mitochondrial microsatellite instability (MSI)</w:t>
      </w:r>
      <w:r w:rsidR="00207E51" w:rsidRPr="0088448D">
        <w:rPr>
          <w:rStyle w:val="a7"/>
          <w:rFonts w:ascii="Book Antiqua" w:hAnsi="Book Antiqua"/>
          <w:b w:val="0"/>
          <w:lang w:val="en-US"/>
        </w:rPr>
        <w:t xml:space="preserve">in the histological progression from chronic gastritis to cancer via intestinal metaplasia and dysplasia. </w:t>
      </w:r>
      <w:r w:rsidR="00A66424" w:rsidRPr="0088448D">
        <w:rPr>
          <w:rStyle w:val="a7"/>
          <w:rFonts w:ascii="Book Antiqua" w:hAnsi="Book Antiqua"/>
          <w:b w:val="0"/>
          <w:lang w:val="en-US"/>
        </w:rPr>
        <w:t>These findings suggested</w:t>
      </w:r>
      <w:r w:rsidR="00207E51" w:rsidRPr="0088448D">
        <w:rPr>
          <w:rStyle w:val="a7"/>
          <w:rFonts w:ascii="Book Antiqua" w:hAnsi="Book Antiqua"/>
          <w:b w:val="0"/>
          <w:lang w:val="en-US"/>
        </w:rPr>
        <w:t xml:space="preserve"> an important role of mtMSI in the progression of gastric carcinogenesis.</w:t>
      </w:r>
      <w:r w:rsidR="009B5FAA" w:rsidRPr="0088448D">
        <w:rPr>
          <w:rFonts w:ascii="Book Antiqua" w:hAnsi="Book Antiqua"/>
          <w:lang w:val="en-US"/>
        </w:rPr>
        <w:t>Recent studies</w:t>
      </w:r>
      <w:r w:rsidR="00727BED" w:rsidRPr="00727BED">
        <w:rPr>
          <w:rFonts w:ascii="Book Antiqua" w:hAnsi="Book Antiqua"/>
          <w:vertAlign w:val="superscript"/>
          <w:lang w:val="en-US"/>
        </w:rPr>
        <w:t>[</w:t>
      </w:r>
      <w:r w:rsidR="00401FAA" w:rsidRPr="0088448D">
        <w:rPr>
          <w:rStyle w:val="a7"/>
          <w:rFonts w:ascii="Book Antiqua" w:hAnsi="Book Antiqua"/>
          <w:b w:val="0"/>
          <w:vertAlign w:val="superscript"/>
          <w:lang w:val="en-US"/>
        </w:rPr>
        <w:t>5</w:t>
      </w:r>
      <w:r w:rsidR="00011F55" w:rsidRPr="0088448D">
        <w:rPr>
          <w:rStyle w:val="a7"/>
          <w:rFonts w:ascii="Book Antiqua" w:hAnsi="Book Antiqua"/>
          <w:b w:val="0"/>
          <w:vertAlign w:val="superscript"/>
          <w:lang w:val="en-US"/>
        </w:rPr>
        <w:t>9</w:t>
      </w:r>
      <w:r w:rsidR="00401FAA" w:rsidRPr="0088448D">
        <w:rPr>
          <w:rStyle w:val="a7"/>
          <w:rFonts w:ascii="Book Antiqua" w:hAnsi="Book Antiqua"/>
          <w:b w:val="0"/>
          <w:vertAlign w:val="superscript"/>
          <w:lang w:val="en-US"/>
        </w:rPr>
        <w:t>]</w:t>
      </w:r>
      <w:r w:rsidR="009B5FAA" w:rsidRPr="0088448D">
        <w:rPr>
          <w:rStyle w:val="a7"/>
          <w:rFonts w:ascii="Book Antiqua" w:hAnsi="Book Antiqua"/>
          <w:b w:val="0"/>
          <w:lang w:val="en-US"/>
        </w:rPr>
        <w:t xml:space="preserve"> using mtDNA mutations as a marker of clonal expansion </w:t>
      </w:r>
      <w:r w:rsidR="006C0752" w:rsidRPr="0088448D">
        <w:rPr>
          <w:rFonts w:ascii="Book Antiqua" w:hAnsi="Book Antiqua"/>
          <w:lang w:val="en-US"/>
        </w:rPr>
        <w:t>demonstrated that</w:t>
      </w:r>
      <w:r w:rsidR="009B5FAA" w:rsidRPr="0088448D">
        <w:rPr>
          <w:rFonts w:ascii="Book Antiqua" w:hAnsi="Book Antiqua"/>
          <w:lang w:val="en-US"/>
        </w:rPr>
        <w:t xml:space="preserve"> intestinal metaplastic epithelium share common mtDNA mutation and spreads by fission</w:t>
      </w:r>
      <w:r w:rsidR="006C0752" w:rsidRPr="0088448D">
        <w:rPr>
          <w:rFonts w:ascii="Book Antiqua" w:hAnsi="Book Antiqua"/>
          <w:lang w:val="en-US"/>
        </w:rPr>
        <w:t>: a process characterized by a bud arising from the isthmus/neck region that continues until a new gland and foveolusis</w:t>
      </w:r>
      <w:r w:rsidR="00E1106A" w:rsidRPr="0088448D">
        <w:rPr>
          <w:rFonts w:ascii="Book Antiqua" w:hAnsi="Book Antiqua"/>
          <w:lang w:val="en-US"/>
        </w:rPr>
        <w:t>f</w:t>
      </w:r>
      <w:r w:rsidR="006C0752" w:rsidRPr="0088448D">
        <w:rPr>
          <w:rFonts w:ascii="Book Antiqua" w:hAnsi="Book Antiqua"/>
          <w:lang w:val="en-US"/>
        </w:rPr>
        <w:t xml:space="preserve">ormed. </w:t>
      </w:r>
      <w:r w:rsidR="009B5FAA" w:rsidRPr="0088448D">
        <w:rPr>
          <w:rFonts w:ascii="Book Antiqua" w:hAnsi="Book Antiqua"/>
          <w:lang w:val="en-US"/>
        </w:rPr>
        <w:t>Furthermore, they showed that dysplasia can arise from a single clone of mutated intestinal metaplastic glands and expand to form the entire dysplastic lesion</w:t>
      </w:r>
      <w:r w:rsidR="00727BED" w:rsidRPr="00727BED">
        <w:rPr>
          <w:rFonts w:ascii="Book Antiqua" w:hAnsi="Book Antiqua"/>
          <w:vertAlign w:val="superscript"/>
          <w:lang w:val="en-US"/>
        </w:rPr>
        <w:t>[</w:t>
      </w:r>
      <w:r w:rsidR="00011F55" w:rsidRPr="0088448D">
        <w:rPr>
          <w:rFonts w:ascii="Book Antiqua" w:hAnsi="Book Antiqua"/>
          <w:vertAlign w:val="superscript"/>
          <w:lang w:val="en-US"/>
        </w:rPr>
        <w:t>60</w:t>
      </w:r>
      <w:r w:rsidR="00915C07" w:rsidRPr="0088448D">
        <w:rPr>
          <w:rFonts w:ascii="Book Antiqua" w:hAnsi="Book Antiqua"/>
          <w:vertAlign w:val="superscript"/>
          <w:lang w:val="en-US"/>
        </w:rPr>
        <w:t>]</w:t>
      </w:r>
      <w:r w:rsidR="009B5FAA" w:rsidRPr="0088448D">
        <w:rPr>
          <w:rFonts w:ascii="Book Antiqua" w:hAnsi="Book Antiqua"/>
          <w:lang w:val="en-US"/>
        </w:rPr>
        <w:t>.</w:t>
      </w:r>
      <w:r w:rsidR="006C0752" w:rsidRPr="0088448D">
        <w:rPr>
          <w:rFonts w:ascii="Book Antiqua" w:hAnsi="Book Antiqua"/>
          <w:lang w:val="en-US"/>
        </w:rPr>
        <w:t>These morphologic and mtD</w:t>
      </w:r>
      <w:r w:rsidR="002B656E" w:rsidRPr="0088448D">
        <w:rPr>
          <w:rFonts w:ascii="Book Antiqua" w:hAnsi="Book Antiqua"/>
          <w:lang w:val="en-US"/>
        </w:rPr>
        <w:t>NA findings strongly support</w:t>
      </w:r>
      <w:r w:rsidR="006C0752" w:rsidRPr="0088448D">
        <w:rPr>
          <w:rFonts w:ascii="Book Antiqua" w:hAnsi="Book Antiqua"/>
          <w:lang w:val="en-US"/>
        </w:rPr>
        <w:t xml:space="preserve"> Correa’s hypothesis of intestinal-type gastric carcinogenesis</w:t>
      </w:r>
      <w:r w:rsidR="00727BED" w:rsidRPr="00727BED">
        <w:rPr>
          <w:rFonts w:ascii="Book Antiqua" w:hAnsi="Book Antiqua"/>
          <w:vertAlign w:val="superscript"/>
          <w:lang w:val="en-US"/>
        </w:rPr>
        <w:t>[</w:t>
      </w:r>
      <w:r w:rsidR="00011F55" w:rsidRPr="0088448D">
        <w:rPr>
          <w:rStyle w:val="a7"/>
          <w:rFonts w:ascii="Book Antiqua" w:hAnsi="Book Antiqua"/>
          <w:b w:val="0"/>
          <w:vertAlign w:val="superscript"/>
          <w:lang w:val="en-US"/>
        </w:rPr>
        <w:t>15</w:t>
      </w:r>
      <w:r w:rsidR="00915C07" w:rsidRPr="0088448D">
        <w:rPr>
          <w:rStyle w:val="a7"/>
          <w:rFonts w:ascii="Book Antiqua" w:hAnsi="Book Antiqua"/>
          <w:b w:val="0"/>
          <w:vertAlign w:val="superscript"/>
          <w:lang w:val="en-US"/>
        </w:rPr>
        <w:t>]</w:t>
      </w:r>
      <w:r w:rsidR="006C0752" w:rsidRPr="0088448D">
        <w:rPr>
          <w:rFonts w:ascii="Book Antiqua" w:hAnsi="Book Antiqua"/>
          <w:lang w:val="en-US"/>
        </w:rPr>
        <w:t>.</w:t>
      </w:r>
    </w:p>
    <w:p w:rsidR="006C0752" w:rsidRPr="0088448D" w:rsidRDefault="006C0752" w:rsidP="0088448D">
      <w:pPr>
        <w:autoSpaceDE w:val="0"/>
        <w:autoSpaceDN w:val="0"/>
        <w:adjustRightInd w:val="0"/>
        <w:spacing w:line="360" w:lineRule="auto"/>
        <w:jc w:val="both"/>
        <w:rPr>
          <w:rFonts w:ascii="Book Antiqua" w:hAnsi="Book Antiqua"/>
          <w:i/>
          <w:lang w:val="en-US"/>
        </w:rPr>
      </w:pPr>
    </w:p>
    <w:p w:rsidR="002309B5" w:rsidRPr="0088448D" w:rsidRDefault="00FC2B8C" w:rsidP="0088448D">
      <w:pPr>
        <w:autoSpaceDE w:val="0"/>
        <w:autoSpaceDN w:val="0"/>
        <w:adjustRightInd w:val="0"/>
        <w:spacing w:line="360" w:lineRule="auto"/>
        <w:jc w:val="both"/>
        <w:rPr>
          <w:rFonts w:ascii="Book Antiqua" w:hAnsi="Book Antiqua"/>
          <w:b/>
          <w:lang w:val="en-US"/>
        </w:rPr>
      </w:pPr>
      <w:r w:rsidRPr="0088448D">
        <w:rPr>
          <w:rFonts w:ascii="Book Antiqua" w:hAnsi="Book Antiqua"/>
          <w:b/>
          <w:lang w:val="en-US"/>
        </w:rPr>
        <w:t>ALTERNATIVE PATHWAYS OF GASTRIC CARCINOGENESIS</w:t>
      </w:r>
    </w:p>
    <w:p w:rsidR="002309B5" w:rsidRPr="0088448D" w:rsidRDefault="0097789D" w:rsidP="0088448D">
      <w:pPr>
        <w:autoSpaceDE w:val="0"/>
        <w:autoSpaceDN w:val="0"/>
        <w:adjustRightInd w:val="0"/>
        <w:spacing w:line="360" w:lineRule="auto"/>
        <w:jc w:val="both"/>
        <w:rPr>
          <w:rFonts w:ascii="Book Antiqua" w:hAnsi="Book Antiqua"/>
          <w:bCs/>
          <w:lang w:val="en-US"/>
        </w:rPr>
      </w:pPr>
      <w:r w:rsidRPr="0088448D">
        <w:rPr>
          <w:rStyle w:val="a7"/>
          <w:rFonts w:ascii="Book Antiqua" w:hAnsi="Book Antiqua"/>
          <w:b w:val="0"/>
          <w:lang w:val="en-US"/>
        </w:rPr>
        <w:t>However, r</w:t>
      </w:r>
      <w:r w:rsidR="00994B99" w:rsidRPr="0088448D">
        <w:rPr>
          <w:rStyle w:val="a7"/>
          <w:rFonts w:ascii="Book Antiqua" w:hAnsi="Book Antiqua"/>
          <w:b w:val="0"/>
          <w:lang w:val="en-US"/>
        </w:rPr>
        <w:t xml:space="preserve">ecent studies based on minute EGC less than 3 mm in diameter have not confirmed </w:t>
      </w:r>
      <w:r w:rsidR="00B42C7C" w:rsidRPr="0088448D">
        <w:rPr>
          <w:rStyle w:val="a7"/>
          <w:rFonts w:ascii="Book Antiqua" w:hAnsi="Book Antiqua"/>
          <w:b w:val="0"/>
          <w:lang w:val="en-US"/>
        </w:rPr>
        <w:t xml:space="preserve">the association between </w:t>
      </w:r>
      <w:r w:rsidR="00994B99" w:rsidRPr="0088448D">
        <w:rPr>
          <w:rStyle w:val="a7"/>
          <w:rFonts w:ascii="Book Antiqua" w:hAnsi="Book Antiqua"/>
          <w:b w:val="0"/>
          <w:lang w:val="en-US"/>
        </w:rPr>
        <w:t>intestinal metaplasia and intestinal type gastric cancer</w:t>
      </w:r>
      <w:r w:rsidR="00727BED" w:rsidRPr="00727BED">
        <w:rPr>
          <w:rStyle w:val="a7"/>
          <w:rFonts w:ascii="Book Antiqua" w:hAnsi="Book Antiqua"/>
          <w:b w:val="0"/>
          <w:vertAlign w:val="superscript"/>
          <w:lang w:val="en-US"/>
        </w:rPr>
        <w:t>[</w:t>
      </w:r>
      <w:r w:rsidR="00835C69" w:rsidRPr="0088448D">
        <w:rPr>
          <w:rStyle w:val="a7"/>
          <w:rFonts w:ascii="Book Antiqua" w:hAnsi="Book Antiqua"/>
          <w:b w:val="0"/>
          <w:vertAlign w:val="superscript"/>
          <w:lang w:val="en-US"/>
        </w:rPr>
        <w:t>61</w:t>
      </w:r>
      <w:r w:rsidR="00915C07" w:rsidRPr="0088448D">
        <w:rPr>
          <w:rStyle w:val="a7"/>
          <w:rFonts w:ascii="Book Antiqua" w:hAnsi="Book Antiqua"/>
          <w:b w:val="0"/>
          <w:vertAlign w:val="superscript"/>
          <w:lang w:val="en-US"/>
        </w:rPr>
        <w:t>]</w:t>
      </w:r>
      <w:r w:rsidR="00994B99" w:rsidRPr="0088448D">
        <w:rPr>
          <w:rStyle w:val="a7"/>
          <w:rFonts w:ascii="Book Antiqua" w:hAnsi="Book Antiqua"/>
          <w:b w:val="0"/>
          <w:lang w:val="en-US"/>
        </w:rPr>
        <w:t>.</w:t>
      </w:r>
      <w:r w:rsidR="00C87050" w:rsidRPr="0088448D">
        <w:rPr>
          <w:rStyle w:val="a7"/>
          <w:rFonts w:ascii="Book Antiqua" w:hAnsi="Book Antiqua"/>
          <w:b w:val="0"/>
          <w:lang w:val="en-US"/>
        </w:rPr>
        <w:t xml:space="preserve"> </w:t>
      </w:r>
      <w:r w:rsidRPr="0088448D">
        <w:rPr>
          <w:rStyle w:val="a7"/>
          <w:rFonts w:ascii="Book Antiqua" w:hAnsi="Book Antiqua"/>
          <w:b w:val="0"/>
          <w:lang w:val="en-US"/>
        </w:rPr>
        <w:t>Some authors consider intestinal metaplasia a paracancerous lesion rather than a precancerous condition, a withered branch in the histogenetic evolution of gastric carcinoma</w:t>
      </w:r>
      <w:r w:rsidR="00727BED" w:rsidRPr="00727BED">
        <w:rPr>
          <w:rStyle w:val="a7"/>
          <w:rFonts w:ascii="Book Antiqua" w:hAnsi="Book Antiqua"/>
          <w:b w:val="0"/>
          <w:vertAlign w:val="superscript"/>
          <w:lang w:val="en-US"/>
        </w:rPr>
        <w:t>[</w:t>
      </w:r>
      <w:r w:rsidR="00835C69" w:rsidRPr="0088448D">
        <w:rPr>
          <w:rStyle w:val="a7"/>
          <w:rFonts w:ascii="Book Antiqua" w:hAnsi="Book Antiqua"/>
          <w:b w:val="0"/>
          <w:vertAlign w:val="superscript"/>
          <w:lang w:val="en-US"/>
        </w:rPr>
        <w:t>62-63</w:t>
      </w:r>
      <w:r w:rsidR="00915C07" w:rsidRPr="0088448D">
        <w:rPr>
          <w:rStyle w:val="a7"/>
          <w:rFonts w:ascii="Book Antiqua" w:hAnsi="Book Antiqua"/>
          <w:b w:val="0"/>
          <w:vertAlign w:val="superscript"/>
          <w:lang w:val="en-US"/>
        </w:rPr>
        <w:t>]</w:t>
      </w:r>
      <w:r w:rsidRPr="0088448D">
        <w:rPr>
          <w:rStyle w:val="a7"/>
          <w:rFonts w:ascii="Book Antiqua" w:hAnsi="Book Antiqua"/>
          <w:b w:val="0"/>
          <w:lang w:val="en-US"/>
        </w:rPr>
        <w:t xml:space="preserve">. </w:t>
      </w:r>
      <w:r w:rsidR="00B42C7C" w:rsidRPr="0088448D">
        <w:rPr>
          <w:rFonts w:ascii="Book Antiqua" w:hAnsi="Book Antiqua"/>
          <w:lang w:val="en-US"/>
        </w:rPr>
        <w:t>Detailed mapping studies of resected stomachs from patients with intestinal-type gastric cancer have shown that atrophic gastritis, but not intestinal metaplasia, is present in every case</w:t>
      </w:r>
      <w:r w:rsidR="00727BED" w:rsidRPr="00727BED">
        <w:rPr>
          <w:rFonts w:ascii="Book Antiqua" w:hAnsi="Book Antiqua"/>
          <w:vertAlign w:val="superscript"/>
          <w:lang w:val="en-US"/>
        </w:rPr>
        <w:t>[</w:t>
      </w:r>
      <w:r w:rsidR="00835C69" w:rsidRPr="0088448D">
        <w:rPr>
          <w:rStyle w:val="a7"/>
          <w:rFonts w:ascii="Book Antiqua" w:hAnsi="Book Antiqua"/>
          <w:b w:val="0"/>
          <w:vertAlign w:val="superscript"/>
          <w:lang w:val="en-US"/>
        </w:rPr>
        <w:t>64-65</w:t>
      </w:r>
      <w:r w:rsidR="00915C07" w:rsidRPr="0088448D">
        <w:rPr>
          <w:rStyle w:val="a7"/>
          <w:rFonts w:ascii="Book Antiqua" w:hAnsi="Book Antiqua"/>
          <w:b w:val="0"/>
          <w:vertAlign w:val="superscript"/>
          <w:lang w:val="en-US"/>
        </w:rPr>
        <w:t>]</w:t>
      </w:r>
      <w:r w:rsidR="00B42C7C" w:rsidRPr="0088448D">
        <w:rPr>
          <w:rFonts w:ascii="Book Antiqua" w:hAnsi="Book Antiqua"/>
          <w:lang w:val="en-US"/>
        </w:rPr>
        <w:t xml:space="preserve">. </w:t>
      </w:r>
      <w:r w:rsidR="00AE408C" w:rsidRPr="0088448D">
        <w:rPr>
          <w:rFonts w:ascii="Book Antiqua" w:hAnsi="Book Antiqua"/>
          <w:lang w:val="en-US"/>
        </w:rPr>
        <w:t>Gastric atrophy therefore appears to be a better indicato</w:t>
      </w:r>
      <w:r w:rsidR="002B656E" w:rsidRPr="0088448D">
        <w:rPr>
          <w:rFonts w:ascii="Book Antiqua" w:hAnsi="Book Antiqua"/>
          <w:lang w:val="en-US"/>
        </w:rPr>
        <w:t>r of gastric cancer risk than</w:t>
      </w:r>
      <w:r w:rsidR="00AE408C" w:rsidRPr="0088448D">
        <w:rPr>
          <w:rFonts w:ascii="Book Antiqua" w:hAnsi="Book Antiqua"/>
          <w:lang w:val="en-US"/>
        </w:rPr>
        <w:t xml:space="preserve"> intestinal metaplasia. </w:t>
      </w:r>
      <w:r w:rsidR="00AE408C" w:rsidRPr="0088448D">
        <w:rPr>
          <w:rStyle w:val="a7"/>
          <w:rFonts w:ascii="Book Antiqua" w:hAnsi="Book Antiqua"/>
          <w:b w:val="0"/>
          <w:lang w:val="en-US"/>
        </w:rPr>
        <w:t xml:space="preserve">Atrophy is generally present as either a multifocal or a diffuse pattern in gastric tissue and is, by definition, associated with the presence </w:t>
      </w:r>
      <w:r w:rsidR="00B5198B" w:rsidRPr="0088448D">
        <w:rPr>
          <w:rStyle w:val="a7"/>
          <w:rFonts w:ascii="Book Antiqua" w:hAnsi="Book Antiqua"/>
          <w:b w:val="0"/>
          <w:lang w:val="en-US"/>
        </w:rPr>
        <w:t>of</w:t>
      </w:r>
      <w:r w:rsidR="00AE408C" w:rsidRPr="0088448D">
        <w:rPr>
          <w:rStyle w:val="a7"/>
          <w:rFonts w:ascii="Book Antiqua" w:hAnsi="Book Antiqua"/>
          <w:b w:val="0"/>
          <w:lang w:val="en-US"/>
        </w:rPr>
        <w:t>pseudopyloric metaplasia</w:t>
      </w:r>
      <w:r w:rsidR="00727BED" w:rsidRPr="00727BED">
        <w:rPr>
          <w:rStyle w:val="a7"/>
          <w:rFonts w:ascii="Book Antiqua" w:hAnsi="Book Antiqua"/>
          <w:b w:val="0"/>
          <w:vertAlign w:val="superscript"/>
          <w:lang w:val="en-US"/>
        </w:rPr>
        <w:t>[</w:t>
      </w:r>
      <w:r w:rsidR="00835C69" w:rsidRPr="0088448D">
        <w:rPr>
          <w:rStyle w:val="a7"/>
          <w:rFonts w:ascii="Book Antiqua" w:hAnsi="Book Antiqua"/>
          <w:b w:val="0"/>
          <w:vertAlign w:val="superscript"/>
          <w:lang w:val="en-US"/>
        </w:rPr>
        <w:t>66</w:t>
      </w:r>
      <w:r w:rsidR="00401FAA" w:rsidRPr="0088448D">
        <w:rPr>
          <w:rStyle w:val="a7"/>
          <w:rFonts w:ascii="Book Antiqua" w:hAnsi="Book Antiqua"/>
          <w:b w:val="0"/>
          <w:vertAlign w:val="superscript"/>
          <w:lang w:val="en-US"/>
        </w:rPr>
        <w:t>-</w:t>
      </w:r>
      <w:r w:rsidR="00835C69" w:rsidRPr="0088448D">
        <w:rPr>
          <w:rStyle w:val="a7"/>
          <w:rFonts w:ascii="Book Antiqua" w:hAnsi="Book Antiqua"/>
          <w:b w:val="0"/>
          <w:vertAlign w:val="superscript"/>
          <w:lang w:val="en-US"/>
        </w:rPr>
        <w:t>67</w:t>
      </w:r>
      <w:r w:rsidR="00915C07" w:rsidRPr="0088448D">
        <w:rPr>
          <w:rStyle w:val="a7"/>
          <w:rFonts w:ascii="Book Antiqua" w:hAnsi="Book Antiqua"/>
          <w:b w:val="0"/>
          <w:vertAlign w:val="superscript"/>
          <w:lang w:val="en-US"/>
        </w:rPr>
        <w:t>]</w:t>
      </w:r>
      <w:r w:rsidR="00BF6F61" w:rsidRPr="0088448D">
        <w:rPr>
          <w:rStyle w:val="a7"/>
          <w:rFonts w:ascii="Book Antiqua" w:hAnsi="Book Antiqua"/>
          <w:b w:val="0"/>
          <w:lang w:val="en-US"/>
        </w:rPr>
        <w:t>.</w:t>
      </w:r>
      <w:r w:rsidR="00C87050" w:rsidRPr="0088448D">
        <w:rPr>
          <w:rStyle w:val="a7"/>
          <w:rFonts w:ascii="Book Antiqua" w:hAnsi="Book Antiqua"/>
          <w:b w:val="0"/>
          <w:lang w:val="en-US"/>
        </w:rPr>
        <w:t xml:space="preserve"> </w:t>
      </w:r>
      <w:r w:rsidR="00D761BD" w:rsidRPr="0088448D">
        <w:rPr>
          <w:rStyle w:val="a7"/>
          <w:rFonts w:ascii="Book Antiqua" w:hAnsi="Book Antiqua"/>
          <w:b w:val="0"/>
          <w:lang w:val="en-US"/>
        </w:rPr>
        <w:t xml:space="preserve">This type of </w:t>
      </w:r>
      <w:r w:rsidR="00316483" w:rsidRPr="0088448D">
        <w:rPr>
          <w:rStyle w:val="a7"/>
          <w:rFonts w:ascii="Book Antiqua" w:hAnsi="Book Antiqua"/>
          <w:b w:val="0"/>
          <w:lang w:val="en-US"/>
        </w:rPr>
        <w:t>metaplasia may be</w:t>
      </w:r>
      <w:r w:rsidR="004C203E" w:rsidRPr="0088448D">
        <w:rPr>
          <w:rStyle w:val="a7"/>
          <w:rFonts w:ascii="Book Antiqua" w:hAnsi="Book Antiqua"/>
          <w:b w:val="0"/>
          <w:lang w:val="en-US"/>
        </w:rPr>
        <w:t xml:space="preserve"> a</w:t>
      </w:r>
      <w:r w:rsidR="00316483" w:rsidRPr="0088448D">
        <w:rPr>
          <w:rStyle w:val="a7"/>
          <w:rFonts w:ascii="Book Antiqua" w:hAnsi="Book Antiqua"/>
          <w:b w:val="0"/>
          <w:lang w:val="en-US"/>
        </w:rPr>
        <w:t xml:space="preserve"> consequence not only of </w:t>
      </w:r>
      <w:r w:rsidR="00316483" w:rsidRPr="0088448D">
        <w:rPr>
          <w:rStyle w:val="a7"/>
          <w:rFonts w:ascii="Book Antiqua" w:hAnsi="Book Antiqua"/>
          <w:b w:val="0"/>
          <w:i/>
          <w:lang w:val="en-US"/>
        </w:rPr>
        <w:t>H</w:t>
      </w:r>
      <w:r w:rsidR="002B091D">
        <w:rPr>
          <w:rStyle w:val="a7"/>
          <w:rFonts w:ascii="Book Antiqua" w:hAnsi="Book Antiqua" w:hint="eastAsia"/>
          <w:b w:val="0"/>
          <w:i/>
          <w:lang w:val="en-US" w:eastAsia="zh-CN"/>
        </w:rPr>
        <w:t>.</w:t>
      </w:r>
      <w:r w:rsidR="00316483" w:rsidRPr="0088448D">
        <w:rPr>
          <w:rStyle w:val="a7"/>
          <w:rFonts w:ascii="Book Antiqua" w:hAnsi="Book Antiqua"/>
          <w:b w:val="0"/>
          <w:i/>
          <w:lang w:val="en-US"/>
        </w:rPr>
        <w:t xml:space="preserve"> pylori</w:t>
      </w:r>
      <w:r w:rsidR="00316483" w:rsidRPr="0088448D">
        <w:rPr>
          <w:rStyle w:val="a7"/>
          <w:rFonts w:ascii="Book Antiqua" w:hAnsi="Book Antiqua"/>
          <w:b w:val="0"/>
          <w:lang w:val="en-US"/>
        </w:rPr>
        <w:t xml:space="preserve"> corpus-dominant gastritis, but also of autoimmune gastritis, where disruption of oxyntic glands is due to lymphocytes. </w:t>
      </w:r>
      <w:r w:rsidR="00BF6F61" w:rsidRPr="0088448D">
        <w:rPr>
          <w:rFonts w:ascii="Book Antiqua" w:hAnsi="Book Antiqua"/>
          <w:lang w:val="en-US"/>
        </w:rPr>
        <w:t xml:space="preserve">Pseudopyloric metaplasia </w:t>
      </w:r>
      <w:r w:rsidR="00AE408C" w:rsidRPr="0088448D">
        <w:rPr>
          <w:rFonts w:ascii="Book Antiqua" w:hAnsi="Book Antiqua"/>
          <w:lang w:val="en-US"/>
        </w:rPr>
        <w:t>is more strongly associ</w:t>
      </w:r>
      <w:r w:rsidR="004C203E" w:rsidRPr="0088448D">
        <w:rPr>
          <w:rFonts w:ascii="Book Antiqua" w:hAnsi="Book Antiqua"/>
          <w:lang w:val="en-US"/>
        </w:rPr>
        <w:t>ated with gastric cancer than</w:t>
      </w:r>
      <w:r w:rsidR="00AE408C" w:rsidRPr="0088448D">
        <w:rPr>
          <w:rFonts w:ascii="Book Antiqua" w:hAnsi="Book Antiqua"/>
          <w:lang w:val="en-US"/>
        </w:rPr>
        <w:t xml:space="preserve"> intestinal metaplasia and might be the precursor to the cancerous lesion</w:t>
      </w:r>
      <w:r w:rsidR="00727BED" w:rsidRPr="00727BED">
        <w:rPr>
          <w:rFonts w:ascii="Book Antiqua" w:hAnsi="Book Antiqua"/>
          <w:vertAlign w:val="superscript"/>
          <w:lang w:val="en-US"/>
        </w:rPr>
        <w:t>[</w:t>
      </w:r>
      <w:r w:rsidR="00835C69" w:rsidRPr="0088448D">
        <w:rPr>
          <w:rStyle w:val="a7"/>
          <w:rFonts w:ascii="Book Antiqua" w:hAnsi="Book Antiqua"/>
          <w:b w:val="0"/>
          <w:vertAlign w:val="superscript"/>
          <w:lang w:val="en-US"/>
        </w:rPr>
        <w:t>64-66</w:t>
      </w:r>
      <w:r w:rsidR="00915C07" w:rsidRPr="0088448D">
        <w:rPr>
          <w:rStyle w:val="a7"/>
          <w:rFonts w:ascii="Book Antiqua" w:hAnsi="Book Antiqua"/>
          <w:b w:val="0"/>
          <w:vertAlign w:val="superscript"/>
          <w:lang w:val="en-US"/>
        </w:rPr>
        <w:t>]</w:t>
      </w:r>
      <w:r w:rsidR="003E3469" w:rsidRPr="0088448D">
        <w:rPr>
          <w:rFonts w:ascii="Book Antiqua" w:hAnsi="Book Antiqua"/>
          <w:lang w:val="en-US"/>
        </w:rPr>
        <w:t xml:space="preserve">. </w:t>
      </w:r>
      <w:r w:rsidR="002309B5" w:rsidRPr="0088448D">
        <w:rPr>
          <w:rFonts w:ascii="Book Antiqua" w:hAnsi="Book Antiqua"/>
          <w:lang w:val="en-US"/>
        </w:rPr>
        <w:t>In some mouse models of gastric cancer, classic intestinal metaplasia seen in humans is not observed, wherea</w:t>
      </w:r>
      <w:r w:rsidR="00DB2AD9" w:rsidRPr="0088448D">
        <w:rPr>
          <w:rFonts w:ascii="Book Antiqua" w:hAnsi="Book Antiqua"/>
          <w:lang w:val="en-US"/>
        </w:rPr>
        <w:t>s pseudopyloric metaplasia</w:t>
      </w:r>
      <w:r w:rsidR="002309B5" w:rsidRPr="0088448D">
        <w:rPr>
          <w:rFonts w:ascii="Book Antiqua" w:hAnsi="Book Antiqua"/>
          <w:lang w:val="en-US"/>
        </w:rPr>
        <w:t>clearly precedes and gives rise to gastric cancer</w:t>
      </w:r>
      <w:r w:rsidR="00727BED" w:rsidRPr="00727BED">
        <w:rPr>
          <w:rFonts w:ascii="Book Antiqua" w:hAnsi="Book Antiqua"/>
          <w:vertAlign w:val="superscript"/>
          <w:lang w:val="en-US"/>
        </w:rPr>
        <w:t>[</w:t>
      </w:r>
      <w:r w:rsidR="00835C69" w:rsidRPr="0088448D">
        <w:rPr>
          <w:rStyle w:val="a7"/>
          <w:rFonts w:ascii="Book Antiqua" w:hAnsi="Book Antiqua"/>
          <w:b w:val="0"/>
          <w:vertAlign w:val="superscript"/>
          <w:lang w:val="en-US"/>
        </w:rPr>
        <w:t>68</w:t>
      </w:r>
      <w:r w:rsidR="00915C07" w:rsidRPr="0088448D">
        <w:rPr>
          <w:rStyle w:val="a7"/>
          <w:rFonts w:ascii="Book Antiqua" w:hAnsi="Book Antiqua"/>
          <w:b w:val="0"/>
          <w:vertAlign w:val="superscript"/>
          <w:lang w:val="en-US"/>
        </w:rPr>
        <w:t>]</w:t>
      </w:r>
      <w:r w:rsidR="002309B5" w:rsidRPr="0088448D">
        <w:rPr>
          <w:rFonts w:ascii="Book Antiqua" w:hAnsi="Book Antiqua"/>
          <w:lang w:val="en-US"/>
        </w:rPr>
        <w:t>. Th</w:t>
      </w:r>
      <w:r w:rsidR="00DB2AD9" w:rsidRPr="0088448D">
        <w:rPr>
          <w:rFonts w:ascii="Book Antiqua" w:hAnsi="Book Antiqua"/>
          <w:lang w:val="en-US"/>
        </w:rPr>
        <w:t>e precancerous condition of pseudopyloric metaplasia</w:t>
      </w:r>
      <w:r w:rsidR="002309B5" w:rsidRPr="0088448D">
        <w:rPr>
          <w:rFonts w:ascii="Book Antiqua" w:hAnsi="Book Antiqua"/>
          <w:lang w:val="en-US"/>
        </w:rPr>
        <w:t xml:space="preserve">has </w:t>
      </w:r>
      <w:r w:rsidR="004C203E" w:rsidRPr="0088448D">
        <w:rPr>
          <w:rFonts w:ascii="Book Antiqua" w:hAnsi="Book Antiqua"/>
          <w:lang w:val="en-US"/>
        </w:rPr>
        <w:t>also been</w:t>
      </w:r>
      <w:r w:rsidR="002309B5" w:rsidRPr="0088448D">
        <w:rPr>
          <w:rFonts w:ascii="Book Antiqua" w:hAnsi="Book Antiqua"/>
          <w:lang w:val="en-US"/>
        </w:rPr>
        <w:t xml:space="preserve"> confirmed in patients who developed remnant carcinomas 16-20 years after a pr</w:t>
      </w:r>
      <w:r w:rsidR="00E645B6" w:rsidRPr="0088448D">
        <w:rPr>
          <w:rFonts w:ascii="Book Antiqua" w:hAnsi="Book Antiqua"/>
          <w:lang w:val="en-US"/>
        </w:rPr>
        <w:t>e</w:t>
      </w:r>
      <w:r w:rsidR="002309B5" w:rsidRPr="0088448D">
        <w:rPr>
          <w:rFonts w:ascii="Book Antiqua" w:hAnsi="Book Antiqua"/>
          <w:lang w:val="en-US"/>
        </w:rPr>
        <w:t>vious gastrectomy</w:t>
      </w:r>
      <w:r w:rsidR="00727BED" w:rsidRPr="00727BED">
        <w:rPr>
          <w:rFonts w:ascii="Book Antiqua" w:hAnsi="Book Antiqua"/>
          <w:vertAlign w:val="superscript"/>
          <w:lang w:val="en-US"/>
        </w:rPr>
        <w:t>[</w:t>
      </w:r>
      <w:r w:rsidR="00835C69" w:rsidRPr="0088448D">
        <w:rPr>
          <w:rStyle w:val="a7"/>
          <w:rFonts w:ascii="Book Antiqua" w:hAnsi="Book Antiqua"/>
          <w:b w:val="0"/>
          <w:vertAlign w:val="superscript"/>
          <w:lang w:val="en-US"/>
        </w:rPr>
        <w:t>69</w:t>
      </w:r>
      <w:r w:rsidR="00B0695E" w:rsidRPr="0088448D">
        <w:rPr>
          <w:rStyle w:val="a7"/>
          <w:rFonts w:ascii="Book Antiqua" w:hAnsi="Book Antiqua"/>
          <w:b w:val="0"/>
          <w:vertAlign w:val="superscript"/>
          <w:lang w:val="en-US"/>
        </w:rPr>
        <w:t>]</w:t>
      </w:r>
      <w:r w:rsidR="00A41F4F" w:rsidRPr="0088448D">
        <w:rPr>
          <w:rFonts w:ascii="Book Antiqua" w:hAnsi="Book Antiqua"/>
          <w:lang w:val="en-US"/>
        </w:rPr>
        <w:t>.</w:t>
      </w:r>
      <w:r w:rsidR="002309B5" w:rsidRPr="0088448D">
        <w:rPr>
          <w:rFonts w:ascii="Book Antiqua" w:hAnsi="Book Antiqua"/>
          <w:lang w:val="en-US"/>
        </w:rPr>
        <w:t xml:space="preserve"> In experimental models, where chro</w:t>
      </w:r>
      <w:r w:rsidR="00DB2AD9" w:rsidRPr="0088448D">
        <w:rPr>
          <w:rFonts w:ascii="Book Antiqua" w:hAnsi="Book Antiqua"/>
          <w:lang w:val="en-US"/>
        </w:rPr>
        <w:t>nic inflammation is absent, pseudopyloric metaplasia</w:t>
      </w:r>
      <w:r w:rsidR="002309B5" w:rsidRPr="0088448D">
        <w:rPr>
          <w:rFonts w:ascii="Book Antiqua" w:hAnsi="Book Antiqua"/>
          <w:lang w:val="en-US"/>
        </w:rPr>
        <w:t xml:space="preserve"> </w:t>
      </w:r>
      <w:r w:rsidR="002309B5" w:rsidRPr="0088448D">
        <w:rPr>
          <w:rFonts w:ascii="Book Antiqua" w:hAnsi="Book Antiqua"/>
          <w:lang w:val="en-US"/>
        </w:rPr>
        <w:lastRenderedPageBreak/>
        <w:t>do</w:t>
      </w:r>
      <w:r w:rsidR="00DB2AD9" w:rsidRPr="0088448D">
        <w:rPr>
          <w:rFonts w:ascii="Book Antiqua" w:hAnsi="Book Antiqua"/>
          <w:lang w:val="en-US"/>
        </w:rPr>
        <w:t>es</w:t>
      </w:r>
      <w:r w:rsidR="002309B5" w:rsidRPr="0088448D">
        <w:rPr>
          <w:rFonts w:ascii="Book Antiqua" w:hAnsi="Book Antiqua"/>
          <w:lang w:val="en-US"/>
        </w:rPr>
        <w:t xml:space="preserve"> not progress to dysplasia or neoplasi</w:t>
      </w:r>
      <w:r w:rsidR="002309B5" w:rsidRPr="00FC2B8C">
        <w:rPr>
          <w:rFonts w:ascii="Book Antiqua" w:hAnsi="Book Antiqua"/>
          <w:lang w:val="en-US"/>
        </w:rPr>
        <w:t xml:space="preserve">a, suggesting that pseudopyloric metaplasia per se may not be precancerous in the absence of inflammation. </w:t>
      </w:r>
      <w:r w:rsidR="0075476F" w:rsidRPr="00FC2B8C">
        <w:rPr>
          <w:rFonts w:ascii="Book Antiqua" w:hAnsi="Book Antiqua"/>
          <w:lang w:val="en-US"/>
        </w:rPr>
        <w:t>To our knowledge, there are not biomolecular studies rega</w:t>
      </w:r>
      <w:r w:rsidR="004C203E" w:rsidRPr="00FC2B8C">
        <w:rPr>
          <w:rFonts w:ascii="Book Antiqua" w:hAnsi="Book Antiqua"/>
          <w:lang w:val="en-US"/>
        </w:rPr>
        <w:t>rding the role of mtDNA</w:t>
      </w:r>
      <w:r w:rsidR="001712AD" w:rsidRPr="00FC2B8C">
        <w:rPr>
          <w:rFonts w:ascii="Book Antiqua" w:hAnsi="Book Antiqua"/>
          <w:lang w:val="en-US"/>
        </w:rPr>
        <w:t>mutation in pseudopyloric metaplasia.</w:t>
      </w:r>
    </w:p>
    <w:p w:rsidR="003D6863" w:rsidRPr="0088448D" w:rsidRDefault="003D6863" w:rsidP="0088448D">
      <w:pPr>
        <w:autoSpaceDE w:val="0"/>
        <w:autoSpaceDN w:val="0"/>
        <w:adjustRightInd w:val="0"/>
        <w:spacing w:line="360" w:lineRule="auto"/>
        <w:jc w:val="both"/>
        <w:rPr>
          <w:rStyle w:val="a7"/>
          <w:rFonts w:ascii="Book Antiqua" w:hAnsi="Book Antiqua"/>
          <w:b w:val="0"/>
          <w:lang w:val="en-US" w:eastAsia="zh-CN"/>
        </w:rPr>
      </w:pPr>
    </w:p>
    <w:p w:rsidR="00F65500" w:rsidRPr="0088448D" w:rsidRDefault="00FC2B8C" w:rsidP="0088448D">
      <w:pPr>
        <w:autoSpaceDE w:val="0"/>
        <w:autoSpaceDN w:val="0"/>
        <w:adjustRightInd w:val="0"/>
        <w:spacing w:line="360" w:lineRule="auto"/>
        <w:jc w:val="both"/>
        <w:rPr>
          <w:rFonts w:ascii="Book Antiqua" w:hAnsi="Book Antiqua"/>
          <w:b/>
          <w:lang w:val="en-US" w:eastAsia="zh-CN"/>
        </w:rPr>
      </w:pPr>
      <w:r w:rsidRPr="0088448D">
        <w:rPr>
          <w:rFonts w:ascii="Book Antiqua" w:hAnsi="Book Antiqua"/>
          <w:b/>
          <w:lang w:val="en-US"/>
        </w:rPr>
        <w:t>GASTRIC ADENOMA: RECLASSIFICATION BASED ON CLINICAL,</w:t>
      </w:r>
      <w:r>
        <w:rPr>
          <w:rFonts w:ascii="Book Antiqua" w:hAnsi="Book Antiqua"/>
          <w:b/>
          <w:lang w:val="en-US"/>
        </w:rPr>
        <w:t xml:space="preserve"> MORPHOLOGIC AND MTDNA FINDINGS</w:t>
      </w:r>
    </w:p>
    <w:p w:rsidR="003D6863" w:rsidRPr="0088448D" w:rsidRDefault="00995B78" w:rsidP="0088448D">
      <w:pPr>
        <w:autoSpaceDE w:val="0"/>
        <w:autoSpaceDN w:val="0"/>
        <w:adjustRightInd w:val="0"/>
        <w:spacing w:line="360" w:lineRule="auto"/>
        <w:jc w:val="both"/>
        <w:rPr>
          <w:rStyle w:val="a7"/>
          <w:rFonts w:ascii="Book Antiqua" w:hAnsi="Book Antiqua"/>
          <w:bCs w:val="0"/>
          <w:lang w:val="en-US"/>
        </w:rPr>
      </w:pPr>
      <w:r w:rsidRPr="0088448D">
        <w:rPr>
          <w:rStyle w:val="a7"/>
          <w:rFonts w:ascii="Book Antiqua" w:hAnsi="Book Antiqua"/>
          <w:b w:val="0"/>
          <w:lang w:val="en-US"/>
        </w:rPr>
        <w:t xml:space="preserve">To elucidate the role of mtDNA mutations in gastric carcinogenesis, we analyzed mutations in the D-loop region of mtDNA in 24 paraffin-embedded gastric </w:t>
      </w:r>
      <w:r w:rsidR="009F0AC0" w:rsidRPr="0088448D">
        <w:rPr>
          <w:rStyle w:val="a7"/>
          <w:rFonts w:ascii="Book Antiqua" w:hAnsi="Book Antiqua"/>
          <w:b w:val="0"/>
          <w:lang w:val="en-US"/>
        </w:rPr>
        <w:t>adenoma</w:t>
      </w:r>
      <w:r w:rsidRPr="0088448D">
        <w:rPr>
          <w:rStyle w:val="a7"/>
          <w:rFonts w:ascii="Book Antiqua" w:hAnsi="Book Antiqua"/>
          <w:b w:val="0"/>
          <w:lang w:val="en-US"/>
        </w:rPr>
        <w:t xml:space="preserve"> from a high gastric cance</w:t>
      </w:r>
      <w:r w:rsidR="00316483" w:rsidRPr="0088448D">
        <w:rPr>
          <w:rStyle w:val="a7"/>
          <w:rFonts w:ascii="Book Antiqua" w:hAnsi="Book Antiqua"/>
          <w:b w:val="0"/>
          <w:lang w:val="en-US"/>
        </w:rPr>
        <w:t>r risk area in northern Italy</w:t>
      </w:r>
      <w:r w:rsidR="00727BED" w:rsidRPr="00727BED">
        <w:rPr>
          <w:rStyle w:val="a7"/>
          <w:rFonts w:ascii="Book Antiqua" w:hAnsi="Book Antiqua"/>
          <w:b w:val="0"/>
          <w:vertAlign w:val="superscript"/>
          <w:lang w:val="en-US"/>
        </w:rPr>
        <w:t>[</w:t>
      </w:r>
      <w:r w:rsidR="00835C69" w:rsidRPr="0088448D">
        <w:rPr>
          <w:rStyle w:val="a7"/>
          <w:rFonts w:ascii="Book Antiqua" w:hAnsi="Book Antiqua"/>
          <w:b w:val="0"/>
          <w:vertAlign w:val="superscript"/>
          <w:lang w:val="en-US"/>
        </w:rPr>
        <w:t>46</w:t>
      </w:r>
      <w:r w:rsidRPr="0088448D">
        <w:rPr>
          <w:rStyle w:val="a7"/>
          <w:rFonts w:ascii="Book Antiqua" w:hAnsi="Book Antiqua"/>
          <w:b w:val="0"/>
          <w:vertAlign w:val="superscript"/>
          <w:lang w:val="en-US"/>
        </w:rPr>
        <w:t>]</w:t>
      </w:r>
      <w:r w:rsidRPr="0088448D">
        <w:rPr>
          <w:rStyle w:val="a7"/>
          <w:rFonts w:ascii="Book Antiqua" w:hAnsi="Book Antiqua"/>
          <w:b w:val="0"/>
          <w:lang w:val="en-US"/>
        </w:rPr>
        <w:t>.</w:t>
      </w:r>
      <w:r w:rsidR="0012042F" w:rsidRPr="0088448D">
        <w:rPr>
          <w:rStyle w:val="a7"/>
          <w:rFonts w:ascii="Book Antiqua" w:hAnsi="Book Antiqua"/>
          <w:b w:val="0"/>
          <w:lang w:val="en-US"/>
        </w:rPr>
        <w:t xml:space="preserve"> </w:t>
      </w:r>
      <w:r w:rsidRPr="0088448D">
        <w:rPr>
          <w:rStyle w:val="a7"/>
          <w:rFonts w:ascii="Book Antiqua" w:hAnsi="Book Antiqua"/>
          <w:b w:val="0"/>
          <w:i/>
          <w:lang w:val="en-US"/>
        </w:rPr>
        <w:t>H. pylori</w:t>
      </w:r>
      <w:r w:rsidRPr="0088448D">
        <w:rPr>
          <w:rStyle w:val="a7"/>
          <w:rFonts w:ascii="Book Antiqua" w:hAnsi="Book Antiqua"/>
          <w:b w:val="0"/>
          <w:lang w:val="en-US"/>
        </w:rPr>
        <w:t> infection was assessed by histological examination (Giemsa staining). The ga</w:t>
      </w:r>
      <w:r w:rsidR="003F565D" w:rsidRPr="0088448D">
        <w:rPr>
          <w:rStyle w:val="a7"/>
          <w:rFonts w:ascii="Book Antiqua" w:hAnsi="Book Antiqua"/>
          <w:b w:val="0"/>
          <w:lang w:val="en-US"/>
        </w:rPr>
        <w:t>str</w:t>
      </w:r>
      <w:r w:rsidR="009F0AC0" w:rsidRPr="0088448D">
        <w:rPr>
          <w:rStyle w:val="a7"/>
          <w:rFonts w:ascii="Book Antiqua" w:hAnsi="Book Antiqua"/>
          <w:b w:val="0"/>
          <w:lang w:val="en-US"/>
        </w:rPr>
        <w:t>ic adenomas</w:t>
      </w:r>
      <w:r w:rsidRPr="0088448D">
        <w:rPr>
          <w:rStyle w:val="a7"/>
          <w:rFonts w:ascii="Book Antiqua" w:hAnsi="Book Antiqua"/>
          <w:b w:val="0"/>
          <w:lang w:val="en-US"/>
        </w:rPr>
        <w:t>were divided into two groups by their association with </w:t>
      </w:r>
      <w:r w:rsidRPr="0088448D">
        <w:rPr>
          <w:rStyle w:val="a7"/>
          <w:rFonts w:ascii="Book Antiqua" w:hAnsi="Book Antiqua"/>
          <w:b w:val="0"/>
          <w:i/>
          <w:lang w:val="en-US"/>
        </w:rPr>
        <w:t>H. pylori</w:t>
      </w:r>
      <w:r w:rsidRPr="0088448D">
        <w:rPr>
          <w:rStyle w:val="a7"/>
          <w:rFonts w:ascii="Book Antiqua" w:hAnsi="Book Antiqua"/>
          <w:b w:val="0"/>
          <w:lang w:val="en-US"/>
        </w:rPr>
        <w:t xml:space="preserve"> gastritis. Group A with lesions arising on a background of </w:t>
      </w:r>
      <w:r w:rsidRPr="0088448D">
        <w:rPr>
          <w:rStyle w:val="a7"/>
          <w:rFonts w:ascii="Book Antiqua" w:hAnsi="Book Antiqua"/>
          <w:b w:val="0"/>
          <w:i/>
          <w:lang w:val="en-US"/>
        </w:rPr>
        <w:t>H. pylori</w:t>
      </w:r>
      <w:r w:rsidRPr="0088448D">
        <w:rPr>
          <w:rStyle w:val="a7"/>
          <w:rFonts w:ascii="Book Antiqua" w:hAnsi="Book Antiqua"/>
          <w:b w:val="0"/>
          <w:lang w:val="en-US"/>
        </w:rPr>
        <w:t>-positive gastritis contained 7 patients, and group B with lesions associated with </w:t>
      </w:r>
      <w:r w:rsidRPr="0088448D">
        <w:rPr>
          <w:rStyle w:val="a7"/>
          <w:rFonts w:ascii="Book Antiqua" w:hAnsi="Book Antiqua"/>
          <w:b w:val="0"/>
          <w:i/>
          <w:lang w:val="en-US"/>
        </w:rPr>
        <w:t>H. pylori</w:t>
      </w:r>
      <w:r w:rsidRPr="0088448D">
        <w:rPr>
          <w:rStyle w:val="a7"/>
          <w:rFonts w:ascii="Book Antiqua" w:hAnsi="Book Antiqua"/>
          <w:b w:val="0"/>
          <w:lang w:val="en-US"/>
        </w:rPr>
        <w:t>-negative gastritis contained 17 patients. Group A had a larger proportion of high-grade lesions than group B and showed a foveol</w:t>
      </w:r>
      <w:r w:rsidR="003F565D" w:rsidRPr="0088448D">
        <w:rPr>
          <w:rStyle w:val="a7"/>
          <w:rFonts w:ascii="Book Antiqua" w:hAnsi="Book Antiqua"/>
          <w:b w:val="0"/>
          <w:lang w:val="en-US"/>
        </w:rPr>
        <w:t>ar phenotype</w:t>
      </w:r>
      <w:r w:rsidRPr="0088448D">
        <w:rPr>
          <w:rStyle w:val="a7"/>
          <w:rFonts w:ascii="Book Antiqua" w:hAnsi="Book Antiqua"/>
          <w:b w:val="0"/>
          <w:lang w:val="en-US"/>
        </w:rPr>
        <w:t>. Group B had a larger proportion of cases with</w:t>
      </w:r>
      <w:r w:rsidR="003F565D" w:rsidRPr="0088448D">
        <w:rPr>
          <w:rStyle w:val="a7"/>
          <w:rFonts w:ascii="Book Antiqua" w:hAnsi="Book Antiqua"/>
          <w:b w:val="0"/>
          <w:lang w:val="en-US"/>
        </w:rPr>
        <w:t>mtDNAD</w:t>
      </w:r>
      <w:r w:rsidR="009F0AC0" w:rsidRPr="0088448D">
        <w:rPr>
          <w:rStyle w:val="a7"/>
          <w:rFonts w:ascii="Book Antiqua" w:hAnsi="Book Antiqua"/>
          <w:b w:val="0"/>
          <w:lang w:val="en-US"/>
        </w:rPr>
        <w:t>-</w:t>
      </w:r>
      <w:r w:rsidR="003F565D" w:rsidRPr="0088448D">
        <w:rPr>
          <w:rStyle w:val="a7"/>
          <w:rFonts w:ascii="Book Antiqua" w:hAnsi="Book Antiqua"/>
          <w:b w:val="0"/>
          <w:lang w:val="en-US"/>
        </w:rPr>
        <w:t xml:space="preserve">loop </w:t>
      </w:r>
      <w:r w:rsidRPr="0088448D">
        <w:rPr>
          <w:rStyle w:val="a7"/>
          <w:rFonts w:ascii="Book Antiqua" w:hAnsi="Book Antiqua"/>
          <w:b w:val="0"/>
          <w:lang w:val="en-US"/>
        </w:rPr>
        <w:t xml:space="preserve">mutations than group A and exhibited an intestinal phenotype. </w:t>
      </w:r>
      <w:r w:rsidR="00AE4918" w:rsidRPr="0088448D">
        <w:rPr>
          <w:rStyle w:val="a7"/>
          <w:rFonts w:ascii="Book Antiqua" w:hAnsi="Book Antiqua"/>
          <w:b w:val="0"/>
          <w:lang w:val="en-US"/>
        </w:rPr>
        <w:t xml:space="preserve">Our data provide </w:t>
      </w:r>
      <w:r w:rsidRPr="0088448D">
        <w:rPr>
          <w:rStyle w:val="a7"/>
          <w:rFonts w:ascii="Book Antiqua" w:hAnsi="Book Antiqua"/>
          <w:b w:val="0"/>
          <w:lang w:val="en-US"/>
        </w:rPr>
        <w:t>evidence for the morphologic and mtDNA</w:t>
      </w:r>
      <w:r w:rsidR="003F565D" w:rsidRPr="0088448D">
        <w:rPr>
          <w:rStyle w:val="a7"/>
          <w:rFonts w:ascii="Book Antiqua" w:hAnsi="Book Antiqua"/>
          <w:b w:val="0"/>
          <w:lang w:val="en-US"/>
        </w:rPr>
        <w:t>biomolecular heterogeneity</w:t>
      </w:r>
      <w:r w:rsidRPr="0088448D">
        <w:rPr>
          <w:rStyle w:val="a7"/>
          <w:rFonts w:ascii="Book Antiqua" w:hAnsi="Book Antiqua"/>
          <w:b w:val="0"/>
          <w:lang w:val="en-US"/>
        </w:rPr>
        <w:t xml:space="preserve"> of gastric </w:t>
      </w:r>
      <w:r w:rsidR="009F0AC0" w:rsidRPr="0088448D">
        <w:rPr>
          <w:rStyle w:val="a7"/>
          <w:rFonts w:ascii="Book Antiqua" w:hAnsi="Book Antiqua"/>
          <w:b w:val="0"/>
          <w:lang w:val="en-US"/>
        </w:rPr>
        <w:t>adenomas</w:t>
      </w:r>
      <w:r w:rsidR="00727BED" w:rsidRPr="00727BED">
        <w:rPr>
          <w:rStyle w:val="a7"/>
          <w:rFonts w:ascii="Book Antiqua" w:hAnsi="Book Antiqua"/>
          <w:b w:val="0"/>
          <w:vertAlign w:val="superscript"/>
          <w:lang w:val="en-US"/>
        </w:rPr>
        <w:t>[</w:t>
      </w:r>
      <w:r w:rsidR="00835C69" w:rsidRPr="0088448D">
        <w:rPr>
          <w:rStyle w:val="a7"/>
          <w:rFonts w:ascii="Book Antiqua" w:hAnsi="Book Antiqua"/>
          <w:b w:val="0"/>
          <w:vertAlign w:val="superscript"/>
          <w:lang w:val="en-US"/>
        </w:rPr>
        <w:t>46</w:t>
      </w:r>
      <w:r w:rsidR="00B0695E" w:rsidRPr="0088448D">
        <w:rPr>
          <w:rStyle w:val="a7"/>
          <w:rFonts w:ascii="Book Antiqua" w:hAnsi="Book Antiqua"/>
          <w:b w:val="0"/>
          <w:vertAlign w:val="superscript"/>
          <w:lang w:val="en-US"/>
        </w:rPr>
        <w:t>]</w:t>
      </w:r>
      <w:r w:rsidRPr="0088448D">
        <w:rPr>
          <w:rStyle w:val="a7"/>
          <w:rFonts w:ascii="Book Antiqua" w:hAnsi="Book Antiqua"/>
          <w:b w:val="0"/>
          <w:lang w:val="en-US"/>
        </w:rPr>
        <w:t>.</w:t>
      </w:r>
      <w:r w:rsidR="0012042F" w:rsidRPr="0088448D">
        <w:rPr>
          <w:rStyle w:val="a7"/>
          <w:rFonts w:ascii="Book Antiqua" w:hAnsi="Book Antiqua"/>
          <w:b w:val="0"/>
          <w:lang w:val="en-US"/>
        </w:rPr>
        <w:t xml:space="preserve"> </w:t>
      </w:r>
      <w:r w:rsidR="00AE4918" w:rsidRPr="0088448D">
        <w:rPr>
          <w:rFonts w:ascii="Book Antiqua" w:hAnsi="Book Antiqua"/>
          <w:lang w:val="en-US"/>
        </w:rPr>
        <w:t>Further studies confirmed</w:t>
      </w:r>
      <w:r w:rsidR="009F0AC0" w:rsidRPr="0088448D">
        <w:rPr>
          <w:rFonts w:ascii="Book Antiqua" w:hAnsi="Book Antiqua"/>
          <w:lang w:val="en-US"/>
        </w:rPr>
        <w:t xml:space="preserve"> clinical and morphologic heterogeneity in gastric adenomas</w:t>
      </w:r>
      <w:r w:rsidR="00727BED" w:rsidRPr="00727BED">
        <w:rPr>
          <w:rFonts w:ascii="Book Antiqua" w:hAnsi="Book Antiqua"/>
          <w:vertAlign w:val="superscript"/>
          <w:lang w:val="en-US"/>
        </w:rPr>
        <w:t>[</w:t>
      </w:r>
      <w:r w:rsidR="0012042F" w:rsidRPr="0088448D">
        <w:rPr>
          <w:rStyle w:val="a7"/>
          <w:rFonts w:ascii="Book Antiqua" w:hAnsi="Book Antiqua"/>
          <w:b w:val="0"/>
          <w:vertAlign w:val="superscript"/>
          <w:lang w:val="en-US"/>
        </w:rPr>
        <w:t>37,</w:t>
      </w:r>
      <w:r w:rsidR="00575D5D" w:rsidRPr="0088448D">
        <w:rPr>
          <w:rStyle w:val="a7"/>
          <w:rFonts w:ascii="Book Antiqua" w:hAnsi="Book Antiqua"/>
          <w:b w:val="0"/>
          <w:vertAlign w:val="superscript"/>
          <w:lang w:val="en-US"/>
        </w:rPr>
        <w:t>70-7</w:t>
      </w:r>
      <w:r w:rsidR="0075476F" w:rsidRPr="0088448D">
        <w:rPr>
          <w:rStyle w:val="a7"/>
          <w:rFonts w:ascii="Book Antiqua" w:hAnsi="Book Antiqua"/>
          <w:b w:val="0"/>
          <w:vertAlign w:val="superscript"/>
          <w:lang w:val="en-US"/>
        </w:rPr>
        <w:t>6</w:t>
      </w:r>
      <w:r w:rsidR="00B0695E" w:rsidRPr="0088448D">
        <w:rPr>
          <w:rStyle w:val="a7"/>
          <w:rFonts w:ascii="Book Antiqua" w:hAnsi="Book Antiqua"/>
          <w:b w:val="0"/>
          <w:vertAlign w:val="superscript"/>
          <w:lang w:val="en-US"/>
        </w:rPr>
        <w:t>]</w:t>
      </w:r>
      <w:r w:rsidR="009F0AC0" w:rsidRPr="0088448D">
        <w:rPr>
          <w:rFonts w:ascii="Book Antiqua" w:hAnsi="Book Antiqua"/>
          <w:lang w:val="en-US"/>
        </w:rPr>
        <w:t>. Phenotipically, the majority of gastric adenomas belong to the intestinal type (containing goblet cells, absorptive cells, Paneth cells, and/or columnar cells with various degree</w:t>
      </w:r>
      <w:r w:rsidR="0075476F" w:rsidRPr="0088448D">
        <w:rPr>
          <w:rFonts w:ascii="Book Antiqua" w:hAnsi="Book Antiqua"/>
          <w:lang w:val="en-US"/>
        </w:rPr>
        <w:t>s of differentiation) (</w:t>
      </w:r>
      <w:r w:rsidR="005D6FB7">
        <w:rPr>
          <w:rFonts w:ascii="Book Antiqua" w:hAnsi="Book Antiqua"/>
          <w:lang w:val="en-US"/>
        </w:rPr>
        <w:t>Figure</w:t>
      </w:r>
      <w:r w:rsidR="00FC2B8C" w:rsidRPr="0088448D">
        <w:rPr>
          <w:rFonts w:ascii="Book Antiqua" w:hAnsi="Book Antiqua"/>
          <w:lang w:val="en-US"/>
        </w:rPr>
        <w:t xml:space="preserve"> </w:t>
      </w:r>
      <w:r w:rsidR="0075476F" w:rsidRPr="0088448D">
        <w:rPr>
          <w:rFonts w:ascii="Book Antiqua" w:hAnsi="Book Antiqua"/>
          <w:lang w:val="en-US"/>
        </w:rPr>
        <w:t>3</w:t>
      </w:r>
      <w:r w:rsidR="009F0AC0" w:rsidRPr="0088448D">
        <w:rPr>
          <w:rFonts w:ascii="Book Antiqua" w:hAnsi="Book Antiqua"/>
          <w:lang w:val="en-US"/>
        </w:rPr>
        <w:t>). Gastric-type adenomas are predominantly composed of pyloric gland mucous ce</w:t>
      </w:r>
      <w:r w:rsidR="00B0695E" w:rsidRPr="0088448D">
        <w:rPr>
          <w:rFonts w:ascii="Book Antiqua" w:hAnsi="Book Antiqua"/>
          <w:lang w:val="en-US"/>
        </w:rPr>
        <w:t>lls (pyloric gland adenomas) or</w:t>
      </w:r>
      <w:r w:rsidR="00584077" w:rsidRPr="0088448D">
        <w:rPr>
          <w:rFonts w:ascii="Book Antiqua" w:hAnsi="Book Antiqua"/>
          <w:lang w:val="en-US"/>
        </w:rPr>
        <w:t xml:space="preserve">foveolar-like </w:t>
      </w:r>
      <w:r w:rsidR="009F0AC0" w:rsidRPr="0088448D">
        <w:rPr>
          <w:rStyle w:val="a7"/>
          <w:rFonts w:ascii="Book Antiqua" w:hAnsi="Book Antiqua"/>
          <w:b w:val="0"/>
          <w:lang w:val="en-US"/>
        </w:rPr>
        <w:t xml:space="preserve">cells </w:t>
      </w:r>
      <w:r w:rsidR="00E645B6" w:rsidRPr="0088448D">
        <w:rPr>
          <w:rFonts w:ascii="Book Antiqua" w:hAnsi="Book Antiqua"/>
          <w:lang w:val="en-US"/>
        </w:rPr>
        <w:t>(foveolar-type adenomas)</w:t>
      </w:r>
      <w:r w:rsidR="00727BED" w:rsidRPr="00727BED">
        <w:rPr>
          <w:rFonts w:ascii="Book Antiqua" w:hAnsi="Book Antiqua"/>
          <w:vertAlign w:val="superscript"/>
          <w:lang w:val="en-US"/>
        </w:rPr>
        <w:t>[</w:t>
      </w:r>
      <w:r w:rsidR="00FC2B8C">
        <w:rPr>
          <w:rStyle w:val="a7"/>
          <w:rFonts w:ascii="Book Antiqua" w:hAnsi="Book Antiqua"/>
          <w:b w:val="0"/>
          <w:vertAlign w:val="superscript"/>
          <w:lang w:val="en-US"/>
        </w:rPr>
        <w:t>37,</w:t>
      </w:r>
      <w:r w:rsidR="00575D5D" w:rsidRPr="0088448D">
        <w:rPr>
          <w:rStyle w:val="a7"/>
          <w:rFonts w:ascii="Book Antiqua" w:hAnsi="Book Antiqua"/>
          <w:b w:val="0"/>
          <w:vertAlign w:val="superscript"/>
          <w:lang w:val="en-US"/>
        </w:rPr>
        <w:t>70-75</w:t>
      </w:r>
      <w:r w:rsidR="00B0695E" w:rsidRPr="0088448D">
        <w:rPr>
          <w:rStyle w:val="a7"/>
          <w:rFonts w:ascii="Book Antiqua" w:hAnsi="Book Antiqua"/>
          <w:b w:val="0"/>
          <w:vertAlign w:val="superscript"/>
          <w:lang w:val="en-US"/>
        </w:rPr>
        <w:t>]</w:t>
      </w:r>
      <w:r w:rsidR="009F0AC0" w:rsidRPr="0088448D">
        <w:rPr>
          <w:rFonts w:ascii="Book Antiqua" w:hAnsi="Book Antiqua"/>
          <w:lang w:val="en-US"/>
        </w:rPr>
        <w:t>.</w:t>
      </w:r>
      <w:r w:rsidR="0012042F" w:rsidRPr="0088448D">
        <w:rPr>
          <w:rFonts w:ascii="Book Antiqua" w:hAnsi="Book Antiqua"/>
          <w:lang w:val="en-US"/>
        </w:rPr>
        <w:t xml:space="preserve"> </w:t>
      </w:r>
      <w:r w:rsidR="00E01272" w:rsidRPr="0088448D">
        <w:rPr>
          <w:rFonts w:ascii="Book Antiqua" w:hAnsi="Book Antiqua"/>
          <w:lang w:val="en-US"/>
        </w:rPr>
        <w:t xml:space="preserve">Pyloric gland adenomas </w:t>
      </w:r>
      <w:r w:rsidR="00EF5F0E" w:rsidRPr="0088448D">
        <w:rPr>
          <w:rFonts w:ascii="Book Antiqua" w:hAnsi="Book Antiqua"/>
          <w:lang w:val="en-US"/>
        </w:rPr>
        <w:t>occur predominantly in old women; they tend to arise in the corpus mucosa of the stomach, showing close association with pseudopyloric metaplasia of fundic glands</w:t>
      </w:r>
      <w:r w:rsidR="00727BED" w:rsidRPr="00727BED">
        <w:rPr>
          <w:rFonts w:ascii="Book Antiqua" w:hAnsi="Book Antiqua"/>
          <w:vertAlign w:val="superscript"/>
          <w:lang w:val="en-US"/>
        </w:rPr>
        <w:t>[</w:t>
      </w:r>
      <w:r w:rsidR="00575D5D" w:rsidRPr="0088448D">
        <w:rPr>
          <w:rStyle w:val="a7"/>
          <w:rFonts w:ascii="Book Antiqua" w:hAnsi="Book Antiqua"/>
          <w:b w:val="0"/>
          <w:vertAlign w:val="superscript"/>
          <w:lang w:val="en-US"/>
        </w:rPr>
        <w:t>70-75</w:t>
      </w:r>
      <w:r w:rsidR="00B0695E" w:rsidRPr="0088448D">
        <w:rPr>
          <w:rStyle w:val="a7"/>
          <w:rFonts w:ascii="Book Antiqua" w:hAnsi="Book Antiqua"/>
          <w:b w:val="0"/>
          <w:vertAlign w:val="superscript"/>
          <w:lang w:val="en-US"/>
        </w:rPr>
        <w:t>]</w:t>
      </w:r>
      <w:r w:rsidR="00EF5F0E" w:rsidRPr="0088448D">
        <w:rPr>
          <w:rFonts w:ascii="Book Antiqua" w:hAnsi="Book Antiqua"/>
          <w:lang w:val="en-US"/>
        </w:rPr>
        <w:t xml:space="preserve">. </w:t>
      </w:r>
      <w:r w:rsidR="00620ED6" w:rsidRPr="0088448D">
        <w:rPr>
          <w:rFonts w:ascii="Book Antiqua" w:hAnsi="Book Antiqua"/>
          <w:lang w:val="en-US"/>
        </w:rPr>
        <w:t xml:space="preserve">Histologically, pyloric gland adenomas </w:t>
      </w:r>
      <w:r w:rsidR="00584077" w:rsidRPr="0088448D">
        <w:rPr>
          <w:rFonts w:ascii="Book Antiqua" w:hAnsi="Book Antiqua"/>
          <w:lang w:val="en-US"/>
        </w:rPr>
        <w:t xml:space="preserve">are composed of </w:t>
      </w:r>
      <w:r w:rsidR="002531B9" w:rsidRPr="0088448D">
        <w:rPr>
          <w:rFonts w:ascii="Book Antiqua" w:hAnsi="Book Antiqua"/>
          <w:lang w:val="en-US"/>
        </w:rPr>
        <w:t>pyloric glands</w:t>
      </w:r>
      <w:r w:rsidR="00733A0B" w:rsidRPr="0088448D">
        <w:rPr>
          <w:rFonts w:ascii="Book Antiqua" w:hAnsi="Book Antiqua"/>
          <w:lang w:val="en-US"/>
        </w:rPr>
        <w:t>–type tubules</w:t>
      </w:r>
      <w:r w:rsidR="00497345" w:rsidRPr="0088448D">
        <w:rPr>
          <w:rFonts w:ascii="Book Antiqua" w:hAnsi="Book Antiqua"/>
          <w:lang w:val="en-US"/>
        </w:rPr>
        <w:t xml:space="preserve"> that are not fused and are lined by</w:t>
      </w:r>
      <w:r w:rsidR="00733A0B" w:rsidRPr="0088448D">
        <w:rPr>
          <w:rFonts w:ascii="Book Antiqua" w:hAnsi="Book Antiqua"/>
          <w:lang w:val="en-US"/>
        </w:rPr>
        <w:t xml:space="preserve"> a monolayer of cuboidal to low columnar epithelial cells</w:t>
      </w:r>
      <w:r w:rsidR="00620ED6" w:rsidRPr="0088448D">
        <w:rPr>
          <w:rFonts w:ascii="Book Antiqua" w:hAnsi="Book Antiqua"/>
          <w:lang w:val="en-US"/>
        </w:rPr>
        <w:t xml:space="preserve"> containing clear</w:t>
      </w:r>
      <w:r w:rsidR="00497345" w:rsidRPr="0088448D">
        <w:rPr>
          <w:rFonts w:ascii="Book Antiqua" w:hAnsi="Book Antiqua"/>
          <w:lang w:val="en-US"/>
        </w:rPr>
        <w:t>cytoplasm o</w:t>
      </w:r>
      <w:r w:rsidR="00E645B6" w:rsidRPr="0088448D">
        <w:rPr>
          <w:rFonts w:ascii="Book Antiqua" w:hAnsi="Book Antiqua"/>
          <w:lang w:val="en-US"/>
        </w:rPr>
        <w:t xml:space="preserve">r pale eosinophilic cytoplasm </w:t>
      </w:r>
      <w:r w:rsidR="00EF5F0E" w:rsidRPr="0088448D">
        <w:rPr>
          <w:rFonts w:ascii="Book Antiqua" w:hAnsi="Book Antiqua"/>
          <w:lang w:val="en-US"/>
        </w:rPr>
        <w:t>(showing a ground glass appearance) without an apical mucin cap</w:t>
      </w:r>
      <w:r w:rsidR="00727BED" w:rsidRPr="00727BED">
        <w:rPr>
          <w:rFonts w:ascii="Book Antiqua" w:hAnsi="Book Antiqua"/>
          <w:vertAlign w:val="superscript"/>
          <w:lang w:val="en-US"/>
        </w:rPr>
        <w:t>[</w:t>
      </w:r>
      <w:r w:rsidR="0019500C" w:rsidRPr="0088448D">
        <w:rPr>
          <w:rStyle w:val="a7"/>
          <w:rFonts w:ascii="Book Antiqua" w:hAnsi="Book Antiqua"/>
          <w:b w:val="0"/>
          <w:vertAlign w:val="superscript"/>
          <w:lang w:val="en-US"/>
        </w:rPr>
        <w:t>69-70</w:t>
      </w:r>
      <w:r w:rsidR="00FC2B8C">
        <w:rPr>
          <w:rStyle w:val="a7"/>
          <w:rFonts w:ascii="Book Antiqua" w:hAnsi="Book Antiqua" w:hint="eastAsia"/>
          <w:b w:val="0"/>
          <w:vertAlign w:val="superscript"/>
          <w:lang w:val="en-US" w:eastAsia="zh-CN"/>
        </w:rPr>
        <w:t>,</w:t>
      </w:r>
      <w:r w:rsidR="0019500C" w:rsidRPr="0088448D">
        <w:rPr>
          <w:rStyle w:val="a7"/>
          <w:rFonts w:ascii="Book Antiqua" w:hAnsi="Book Antiqua"/>
          <w:b w:val="0"/>
          <w:vertAlign w:val="superscript"/>
          <w:lang w:val="en-US"/>
        </w:rPr>
        <w:t>73-74</w:t>
      </w:r>
      <w:r w:rsidR="0012042F" w:rsidRPr="0088448D">
        <w:rPr>
          <w:rStyle w:val="a7"/>
          <w:rFonts w:ascii="Book Antiqua" w:hAnsi="Book Antiqua"/>
          <w:b w:val="0"/>
          <w:vertAlign w:val="superscript"/>
          <w:lang w:val="en-US"/>
        </w:rPr>
        <w:t>]</w:t>
      </w:r>
      <w:r w:rsidR="00316483" w:rsidRPr="0088448D">
        <w:rPr>
          <w:rFonts w:ascii="Book Antiqua" w:hAnsi="Book Antiqua"/>
          <w:lang w:val="en-US"/>
        </w:rPr>
        <w:t>.</w:t>
      </w:r>
      <w:r w:rsidR="00EF5F0E" w:rsidRPr="0088448D">
        <w:rPr>
          <w:rFonts w:ascii="Book Antiqua" w:hAnsi="Book Antiqua"/>
          <w:lang w:val="en-US"/>
        </w:rPr>
        <w:t xml:space="preserve"> The nuclei tend to be round and usually lack prominent nucleoli. Immunohistochemically, </w:t>
      </w:r>
      <w:r w:rsidR="006A1C58" w:rsidRPr="0088448D">
        <w:rPr>
          <w:rFonts w:ascii="Book Antiqua" w:hAnsi="Book Antiqua"/>
          <w:lang w:val="en-US"/>
        </w:rPr>
        <w:t xml:space="preserve">pyloric </w:t>
      </w:r>
      <w:r w:rsidR="00EF5F0E" w:rsidRPr="0088448D">
        <w:rPr>
          <w:rFonts w:ascii="Book Antiqua" w:hAnsi="Book Antiqua"/>
          <w:lang w:val="en-US"/>
        </w:rPr>
        <w:t>gland adenomas are</w:t>
      </w:r>
      <w:r w:rsidR="00620ED6" w:rsidRPr="0088448D">
        <w:rPr>
          <w:rFonts w:ascii="Book Antiqua" w:hAnsi="Book Antiqua"/>
          <w:lang w:val="en-US"/>
        </w:rPr>
        <w:t xml:space="preserve"> positive for </w:t>
      </w:r>
      <w:r w:rsidR="002531B9" w:rsidRPr="0088448D">
        <w:rPr>
          <w:rFonts w:ascii="Book Antiqua" w:hAnsi="Book Antiqua"/>
          <w:lang w:val="en-US"/>
        </w:rPr>
        <w:t>MUC6 (pyloric gland marker</w:t>
      </w:r>
      <w:r w:rsidR="00EF5F0E" w:rsidRPr="0088448D">
        <w:rPr>
          <w:rFonts w:ascii="Book Antiqua" w:hAnsi="Book Antiqua"/>
          <w:lang w:val="en-US"/>
        </w:rPr>
        <w:t xml:space="preserve">) with variable MUC5AC (foveolar cell marker) stain. </w:t>
      </w:r>
      <w:r w:rsidR="00620ED6" w:rsidRPr="0088448D">
        <w:rPr>
          <w:rFonts w:ascii="Book Antiqua" w:hAnsi="Book Antiqua"/>
          <w:lang w:val="en-US"/>
        </w:rPr>
        <w:t xml:space="preserve">MUC2 </w:t>
      </w:r>
      <w:r w:rsidR="006A1C58" w:rsidRPr="0088448D">
        <w:rPr>
          <w:rFonts w:ascii="Book Antiqua" w:hAnsi="Book Antiqua"/>
          <w:lang w:val="en-US"/>
        </w:rPr>
        <w:t xml:space="preserve">and CD10 are </w:t>
      </w:r>
      <w:r w:rsidR="006A1C58" w:rsidRPr="0088448D">
        <w:rPr>
          <w:rFonts w:ascii="Book Antiqua" w:hAnsi="Book Antiqua"/>
          <w:lang w:val="en-US"/>
        </w:rPr>
        <w:lastRenderedPageBreak/>
        <w:t>generally negative</w:t>
      </w:r>
      <w:r w:rsidR="00727BED" w:rsidRPr="00727BED">
        <w:rPr>
          <w:rFonts w:ascii="Book Antiqua" w:hAnsi="Book Antiqua"/>
          <w:vertAlign w:val="superscript"/>
          <w:lang w:val="en-US"/>
        </w:rPr>
        <w:t>[</w:t>
      </w:r>
      <w:r w:rsidR="0075476F" w:rsidRPr="0088448D">
        <w:rPr>
          <w:rStyle w:val="a7"/>
          <w:rFonts w:ascii="Book Antiqua" w:hAnsi="Book Antiqua"/>
          <w:b w:val="0"/>
          <w:vertAlign w:val="superscript"/>
          <w:lang w:val="en-US"/>
        </w:rPr>
        <w:t>74]</w:t>
      </w:r>
      <w:r w:rsidR="0075476F" w:rsidRPr="0088448D">
        <w:rPr>
          <w:rStyle w:val="a7"/>
          <w:rFonts w:ascii="Book Antiqua" w:hAnsi="Book Antiqua"/>
          <w:b w:val="0"/>
          <w:lang w:val="en-US"/>
        </w:rPr>
        <w:t>.</w:t>
      </w:r>
      <w:r w:rsidR="0012042F" w:rsidRPr="0088448D">
        <w:rPr>
          <w:rStyle w:val="a7"/>
          <w:rFonts w:ascii="Book Antiqua" w:hAnsi="Book Antiqua"/>
          <w:b w:val="0"/>
          <w:lang w:val="en-US"/>
        </w:rPr>
        <w:t xml:space="preserve"> </w:t>
      </w:r>
      <w:r w:rsidR="00051FB7" w:rsidRPr="0088448D">
        <w:rPr>
          <w:rFonts w:ascii="Book Antiqua" w:hAnsi="Book Antiqua"/>
          <w:lang w:val="en-US"/>
        </w:rPr>
        <w:t>Taken together, these studies confirm that intestinal-type adenomas may represent a step towards malignant transformation of intestinal-type adenocarcinoma, ac</w:t>
      </w:r>
      <w:r w:rsidR="00584077" w:rsidRPr="0088448D">
        <w:rPr>
          <w:rFonts w:ascii="Book Antiqua" w:hAnsi="Book Antiqua"/>
          <w:lang w:val="en-US"/>
        </w:rPr>
        <w:t>cording to</w:t>
      </w:r>
      <w:r w:rsidR="006A1C58" w:rsidRPr="0088448D">
        <w:rPr>
          <w:rFonts w:ascii="Book Antiqua" w:hAnsi="Book Antiqua"/>
          <w:lang w:val="en-US"/>
        </w:rPr>
        <w:t xml:space="preserve"> Correa’s ca</w:t>
      </w:r>
      <w:r w:rsidR="006A1C58" w:rsidRPr="00FC2B8C">
        <w:rPr>
          <w:rFonts w:ascii="Book Antiqua" w:hAnsi="Book Antiqua"/>
          <w:lang w:val="en-US"/>
        </w:rPr>
        <w:t>scade, but suggest that</w:t>
      </w:r>
      <w:r w:rsidR="00051FB7" w:rsidRPr="00FC2B8C">
        <w:rPr>
          <w:rFonts w:ascii="Book Antiqua" w:hAnsi="Book Antiqua"/>
          <w:lang w:val="en-US"/>
        </w:rPr>
        <w:t xml:space="preserve"> gastric-type adenomas </w:t>
      </w:r>
      <w:r w:rsidR="00FE2E3A" w:rsidRPr="00FC2B8C">
        <w:rPr>
          <w:rFonts w:ascii="Book Antiqua" w:hAnsi="Book Antiqua"/>
          <w:lang w:val="en-US"/>
        </w:rPr>
        <w:t xml:space="preserve">represent a distinct evolutionary </w:t>
      </w:r>
      <w:r w:rsidR="00051FB7" w:rsidRPr="00FC2B8C">
        <w:rPr>
          <w:rFonts w:ascii="Book Antiqua" w:hAnsi="Book Antiqua"/>
          <w:lang w:val="en-US"/>
        </w:rPr>
        <w:t xml:space="preserve">pathway of gastric carcinogenesis. </w:t>
      </w:r>
      <w:r w:rsidR="00997E51" w:rsidRPr="00FC2B8C">
        <w:rPr>
          <w:rFonts w:ascii="Book Antiqua" w:hAnsi="Book Antiqua"/>
          <w:lang w:val="en-US"/>
        </w:rPr>
        <w:t>Thus, it is plausible</w:t>
      </w:r>
      <w:r w:rsidR="006347C7" w:rsidRPr="00FC2B8C">
        <w:rPr>
          <w:rFonts w:ascii="Book Antiqua" w:hAnsi="Book Antiqua"/>
          <w:lang w:val="en-US"/>
        </w:rPr>
        <w:t xml:space="preserve"> that each metaplasia gives rise to a distinct type of differentiated gastric adenocarcinoma; e.g. classic intestinal metaplasia could evolve into intestinal-type gastric adenocarcinoma, accordin</w:t>
      </w:r>
      <w:r w:rsidR="00584077" w:rsidRPr="00FC2B8C">
        <w:rPr>
          <w:rFonts w:ascii="Book Antiqua" w:hAnsi="Book Antiqua"/>
          <w:lang w:val="en-US"/>
        </w:rPr>
        <w:t>g to</w:t>
      </w:r>
      <w:r w:rsidR="006347C7" w:rsidRPr="00FC2B8C">
        <w:rPr>
          <w:rFonts w:ascii="Book Antiqua" w:hAnsi="Book Antiqua"/>
          <w:lang w:val="en-US"/>
        </w:rPr>
        <w:t xml:space="preserve"> Correa’s hypothesis, whereas </w:t>
      </w:r>
      <w:r w:rsidR="0075476F" w:rsidRPr="00FC2B8C">
        <w:rPr>
          <w:rFonts w:ascii="Book Antiqua" w:hAnsi="Book Antiqua"/>
          <w:lang w:val="en-US"/>
        </w:rPr>
        <w:t xml:space="preserve">it is possible to suggest a histogenetic sequence: </w:t>
      </w:r>
      <w:r w:rsidR="00C715F4" w:rsidRPr="00FC2B8C">
        <w:rPr>
          <w:rFonts w:ascii="Book Antiqua" w:hAnsi="Book Antiqua"/>
          <w:i/>
          <w:lang w:val="en-US"/>
        </w:rPr>
        <w:t>pseudopyloric metaplasia</w:t>
      </w:r>
      <w:r w:rsidR="0075476F" w:rsidRPr="00FC2B8C">
        <w:rPr>
          <w:rFonts w:ascii="Book Antiqua" w:hAnsi="Book Antiqua"/>
          <w:i/>
          <w:lang w:val="en-US"/>
        </w:rPr>
        <w:t xml:space="preserve">– gastric-type adenoma </w:t>
      </w:r>
      <w:r w:rsidR="00C873EB" w:rsidRPr="00FC2B8C">
        <w:rPr>
          <w:rFonts w:ascii="Book Antiqua" w:hAnsi="Book Antiqua"/>
          <w:i/>
          <w:lang w:val="en-US"/>
        </w:rPr>
        <w:t>–</w:t>
      </w:r>
      <w:r w:rsidR="00AC17B3" w:rsidRPr="00FC2B8C">
        <w:rPr>
          <w:rFonts w:ascii="Book Antiqua" w:hAnsi="Book Antiqua"/>
          <w:i/>
          <w:lang w:val="en-US"/>
        </w:rPr>
        <w:t>gastri</w:t>
      </w:r>
      <w:r w:rsidR="005B6920" w:rsidRPr="00FC2B8C">
        <w:rPr>
          <w:rFonts w:ascii="Book Antiqua" w:hAnsi="Book Antiqua"/>
          <w:i/>
          <w:lang w:val="en-US"/>
        </w:rPr>
        <w:t>c</w:t>
      </w:r>
      <w:r w:rsidR="00C873EB" w:rsidRPr="00FC2B8C">
        <w:rPr>
          <w:rFonts w:ascii="Book Antiqua" w:hAnsi="Book Antiqua"/>
          <w:i/>
          <w:lang w:val="en-US"/>
        </w:rPr>
        <w:t>-type adenocarcinoma</w:t>
      </w:r>
      <w:r w:rsidR="00C873EB" w:rsidRPr="00FC2B8C">
        <w:rPr>
          <w:rFonts w:ascii="Book Antiqua" w:hAnsi="Book Antiqua"/>
          <w:lang w:val="en-US"/>
        </w:rPr>
        <w:t>.</w:t>
      </w:r>
    </w:p>
    <w:p w:rsidR="00FE2E3A" w:rsidRPr="0088448D" w:rsidRDefault="00FE2E3A" w:rsidP="0088448D">
      <w:pPr>
        <w:autoSpaceDE w:val="0"/>
        <w:autoSpaceDN w:val="0"/>
        <w:adjustRightInd w:val="0"/>
        <w:spacing w:line="360" w:lineRule="auto"/>
        <w:jc w:val="both"/>
        <w:rPr>
          <w:rFonts w:ascii="Book Antiqua" w:hAnsi="Book Antiqua"/>
          <w:b/>
          <w:lang w:val="en-US"/>
        </w:rPr>
      </w:pPr>
    </w:p>
    <w:p w:rsidR="00FE2E3A" w:rsidRPr="0088448D" w:rsidRDefault="00FC2B8C" w:rsidP="0088448D">
      <w:pPr>
        <w:pStyle w:val="a8"/>
        <w:spacing w:line="360" w:lineRule="auto"/>
        <w:jc w:val="both"/>
        <w:rPr>
          <w:rStyle w:val="a7"/>
          <w:rFonts w:ascii="Book Antiqua" w:hAnsi="Book Antiqua"/>
          <w:lang w:val="en-US"/>
        </w:rPr>
      </w:pPr>
      <w:r w:rsidRPr="0088448D">
        <w:rPr>
          <w:rStyle w:val="a7"/>
          <w:rFonts w:ascii="Book Antiqua" w:hAnsi="Book Antiqua"/>
          <w:lang w:val="en-US"/>
        </w:rPr>
        <w:t>CONCLUSION</w:t>
      </w:r>
    </w:p>
    <w:p w:rsidR="006C0752" w:rsidRPr="0088448D" w:rsidRDefault="00FE2E3A" w:rsidP="0088448D">
      <w:pPr>
        <w:pStyle w:val="a8"/>
        <w:spacing w:line="360" w:lineRule="auto"/>
        <w:jc w:val="both"/>
        <w:rPr>
          <w:rFonts w:ascii="Book Antiqua" w:hAnsi="Book Antiqua"/>
          <w:bCs/>
          <w:lang w:val="en-US"/>
        </w:rPr>
      </w:pPr>
      <w:r w:rsidRPr="0088448D">
        <w:rPr>
          <w:rStyle w:val="a7"/>
          <w:rFonts w:ascii="Book Antiqua" w:hAnsi="Book Antiqua"/>
          <w:b w:val="0"/>
          <w:lang w:val="en-US"/>
        </w:rPr>
        <w:t>Gastric adenocarcinoma is a heterogeneous disease with alternative pathways of carcinogenesis.</w:t>
      </w:r>
      <w:r w:rsidR="00A90376" w:rsidRPr="0088448D">
        <w:rPr>
          <w:rStyle w:val="a7"/>
          <w:rFonts w:ascii="Book Antiqua" w:hAnsi="Book Antiqua"/>
          <w:b w:val="0"/>
          <w:lang w:val="en-US"/>
        </w:rPr>
        <w:t>This review article reveals that most research efforts regarding mtDNA alterations focus on gastric carcinogenesis according to</w:t>
      </w:r>
      <w:r w:rsidR="00584077" w:rsidRPr="0088448D">
        <w:rPr>
          <w:rStyle w:val="a7"/>
          <w:rFonts w:ascii="Book Antiqua" w:hAnsi="Book Antiqua"/>
          <w:b w:val="0"/>
          <w:lang w:val="en-US"/>
        </w:rPr>
        <w:t xml:space="preserve"> the</w:t>
      </w:r>
      <w:r w:rsidR="00A90376" w:rsidRPr="0088448D">
        <w:rPr>
          <w:rStyle w:val="a7"/>
          <w:rFonts w:ascii="Book Antiqua" w:hAnsi="Book Antiqua"/>
          <w:b w:val="0"/>
          <w:lang w:val="en-US"/>
        </w:rPr>
        <w:t xml:space="preserve"> Correa model.</w:t>
      </w:r>
      <w:r w:rsidR="00AC17B3" w:rsidRPr="0088448D">
        <w:rPr>
          <w:rFonts w:ascii="Book Antiqua" w:hAnsi="Book Antiqua"/>
          <w:lang w:val="en-US"/>
        </w:rPr>
        <w:t xml:space="preserve">Further studies areneeded to define </w:t>
      </w:r>
      <w:r w:rsidR="00584077" w:rsidRPr="0088448D">
        <w:rPr>
          <w:rFonts w:ascii="Book Antiqua" w:hAnsi="Book Antiqua"/>
          <w:lang w:val="en-US"/>
        </w:rPr>
        <w:t xml:space="preserve">with greater clarity the possible </w:t>
      </w:r>
      <w:r w:rsidR="00AC17B3" w:rsidRPr="0088448D">
        <w:rPr>
          <w:rFonts w:ascii="Book Antiqua" w:hAnsi="Book Antiqua"/>
          <w:lang w:val="en-US"/>
        </w:rPr>
        <w:t xml:space="preserve">role of mtDNA mutations </w:t>
      </w:r>
      <w:r w:rsidR="000420C7" w:rsidRPr="0088448D">
        <w:rPr>
          <w:rFonts w:ascii="Book Antiqua" w:hAnsi="Book Antiqua"/>
          <w:lang w:val="en-US"/>
        </w:rPr>
        <w:t>in</w:t>
      </w:r>
      <w:r w:rsidR="00AC17B3" w:rsidRPr="0088448D">
        <w:rPr>
          <w:rFonts w:ascii="Book Antiqua" w:hAnsi="Book Antiqua"/>
          <w:lang w:val="en-US"/>
        </w:rPr>
        <w:t xml:space="preserve"> alternative pathway</w:t>
      </w:r>
      <w:r w:rsidR="00584077" w:rsidRPr="0088448D">
        <w:rPr>
          <w:rFonts w:ascii="Book Antiqua" w:hAnsi="Book Antiqua"/>
          <w:lang w:val="en-US"/>
        </w:rPr>
        <w:t>s</w:t>
      </w:r>
      <w:r w:rsidR="00AC17B3" w:rsidRPr="0088448D">
        <w:rPr>
          <w:rFonts w:ascii="Book Antiqua" w:hAnsi="Book Antiqua"/>
          <w:lang w:val="en-US"/>
        </w:rPr>
        <w:t xml:space="preserve"> of gas</w:t>
      </w:r>
      <w:r w:rsidR="00C715F4" w:rsidRPr="0088448D">
        <w:rPr>
          <w:rFonts w:ascii="Book Antiqua" w:hAnsi="Book Antiqua"/>
          <w:lang w:val="en-US"/>
        </w:rPr>
        <w:t>tric carcinogenesis such as pseudopyloric metaplasia</w:t>
      </w:r>
      <w:r w:rsidR="00AC17B3" w:rsidRPr="0088448D">
        <w:rPr>
          <w:rFonts w:ascii="Book Antiqua" w:hAnsi="Book Antiqua"/>
          <w:lang w:val="en-US"/>
        </w:rPr>
        <w:t>-gastric type adenocarcinoma.</w:t>
      </w:r>
    </w:p>
    <w:p w:rsidR="00CF7E22" w:rsidRPr="0088448D" w:rsidRDefault="00CF7E22" w:rsidP="0088448D">
      <w:pPr>
        <w:spacing w:line="360" w:lineRule="auto"/>
        <w:jc w:val="both"/>
        <w:rPr>
          <w:rFonts w:ascii="Book Antiqua" w:hAnsi="Book Antiqua"/>
          <w:b/>
          <w:lang w:val="en-US" w:eastAsia="zh-CN"/>
        </w:rPr>
      </w:pPr>
    </w:p>
    <w:p w:rsidR="00CF7E22" w:rsidRPr="0088448D" w:rsidRDefault="00CF7E22" w:rsidP="0088448D">
      <w:pPr>
        <w:spacing w:line="360" w:lineRule="auto"/>
        <w:jc w:val="both"/>
        <w:rPr>
          <w:rFonts w:ascii="Book Antiqua" w:hAnsi="Book Antiqua"/>
          <w:b/>
          <w:lang w:val="en-US"/>
        </w:rPr>
      </w:pPr>
    </w:p>
    <w:p w:rsidR="0012042F" w:rsidRPr="0088448D" w:rsidRDefault="0012042F" w:rsidP="0088448D">
      <w:pPr>
        <w:spacing w:line="360" w:lineRule="auto"/>
        <w:jc w:val="both"/>
        <w:rPr>
          <w:rFonts w:ascii="Book Antiqua" w:hAnsi="Book Antiqua"/>
          <w:b/>
          <w:lang w:val="en-US"/>
        </w:rPr>
      </w:pPr>
    </w:p>
    <w:p w:rsidR="0012042F" w:rsidRPr="0088448D" w:rsidRDefault="0012042F" w:rsidP="0088448D">
      <w:pPr>
        <w:spacing w:line="360" w:lineRule="auto"/>
        <w:jc w:val="both"/>
        <w:rPr>
          <w:rFonts w:ascii="Book Antiqua" w:hAnsi="Book Antiqua"/>
          <w:b/>
          <w:lang w:val="en-US"/>
        </w:rPr>
      </w:pPr>
    </w:p>
    <w:p w:rsidR="0012042F" w:rsidRPr="0088448D" w:rsidRDefault="0012042F" w:rsidP="0088448D">
      <w:pPr>
        <w:spacing w:line="360" w:lineRule="auto"/>
        <w:jc w:val="both"/>
        <w:rPr>
          <w:rFonts w:ascii="Book Antiqua" w:hAnsi="Book Antiqua"/>
          <w:b/>
          <w:lang w:val="en-US"/>
        </w:rPr>
      </w:pPr>
    </w:p>
    <w:p w:rsidR="00FC2B8C" w:rsidRDefault="00FC2B8C">
      <w:pPr>
        <w:rPr>
          <w:rFonts w:ascii="Book Antiqua" w:hAnsi="Book Antiqua"/>
          <w:b/>
          <w:lang w:val="en-US"/>
        </w:rPr>
      </w:pPr>
      <w:r>
        <w:rPr>
          <w:rFonts w:ascii="Book Antiqua" w:hAnsi="Book Antiqua"/>
          <w:b/>
          <w:lang w:val="en-US"/>
        </w:rPr>
        <w:br w:type="page"/>
      </w:r>
    </w:p>
    <w:p w:rsidR="007D1A76" w:rsidRPr="0088448D" w:rsidRDefault="004D7B29" w:rsidP="0088448D">
      <w:pPr>
        <w:spacing w:line="360" w:lineRule="auto"/>
        <w:jc w:val="both"/>
        <w:rPr>
          <w:rFonts w:ascii="Book Antiqua" w:hAnsi="Book Antiqua"/>
          <w:b/>
          <w:lang w:val="en-US"/>
        </w:rPr>
      </w:pPr>
      <w:r w:rsidRPr="0088448D">
        <w:rPr>
          <w:rFonts w:ascii="Book Antiqua" w:hAnsi="Book Antiqua"/>
          <w:b/>
          <w:lang w:val="en-US"/>
        </w:rPr>
        <w:lastRenderedPageBreak/>
        <w:t>REFERENCES</w:t>
      </w:r>
    </w:p>
    <w:p w:rsidR="002A6339" w:rsidRPr="002A1E19" w:rsidRDefault="002A6339" w:rsidP="002A6339">
      <w:pPr>
        <w:spacing w:line="360" w:lineRule="auto"/>
        <w:jc w:val="both"/>
        <w:rPr>
          <w:rFonts w:ascii="Book Antiqua" w:eastAsia="宋体" w:hAnsi="Book Antiqua" w:cs="宋体"/>
        </w:rPr>
      </w:pPr>
      <w:r>
        <w:rPr>
          <w:rFonts w:ascii="Book Antiqua" w:eastAsia="宋体" w:hAnsi="Book Antiqua" w:cs="宋体"/>
        </w:rPr>
        <w:t>1</w:t>
      </w:r>
      <w:r w:rsidRPr="002A1E19">
        <w:rPr>
          <w:rFonts w:ascii="Book Antiqua" w:eastAsia="宋体" w:hAnsi="Book Antiqua" w:cs="宋体"/>
          <w:b/>
        </w:rPr>
        <w:t xml:space="preserve"> Raimundo N.</w:t>
      </w:r>
      <w:r>
        <w:rPr>
          <w:rFonts w:ascii="Book Antiqua" w:eastAsia="宋体" w:hAnsi="Book Antiqua" w:cs="宋体" w:hint="eastAsia"/>
        </w:rPr>
        <w:t xml:space="preserve"> </w:t>
      </w:r>
      <w:r w:rsidRPr="002A1E19">
        <w:rPr>
          <w:rFonts w:ascii="Book Antiqua" w:eastAsia="宋体" w:hAnsi="Book Antiqua" w:cs="宋体"/>
        </w:rPr>
        <w:t>Mitochondrial pathology: stress signals from the energy factory. </w:t>
      </w:r>
      <w:r w:rsidRPr="002A1E19">
        <w:rPr>
          <w:rFonts w:ascii="Book Antiqua" w:eastAsia="宋体" w:hAnsi="Book Antiqua" w:cs="宋体"/>
          <w:i/>
          <w:iCs/>
        </w:rPr>
        <w:t>Trends Mol Med</w:t>
      </w:r>
      <w:r w:rsidRPr="002A1E19">
        <w:rPr>
          <w:rFonts w:ascii="Book Antiqua" w:eastAsia="宋体" w:hAnsi="Book Antiqua" w:cs="宋体"/>
        </w:rPr>
        <w:t> 2014; </w:t>
      </w:r>
      <w:r w:rsidRPr="002A1E19">
        <w:rPr>
          <w:rFonts w:ascii="Book Antiqua" w:eastAsia="宋体" w:hAnsi="Book Antiqua" w:cs="宋体"/>
          <w:b/>
          <w:bCs/>
        </w:rPr>
        <w:t>20</w:t>
      </w:r>
      <w:r w:rsidRPr="002A1E19">
        <w:rPr>
          <w:rFonts w:ascii="Book Antiqua" w:eastAsia="宋体" w:hAnsi="Book Antiqua" w:cs="宋体"/>
        </w:rPr>
        <w:t>: 282-292 [PMID: 24508276 DOI: 10.1016/j.molmed.2014.01.005</w:t>
      </w:r>
      <w:r>
        <w:rPr>
          <w:rFonts w:ascii="Book Antiqua" w:eastAsia="宋体" w:hAnsi="Book Antiqua" w:cs="宋体"/>
        </w:rPr>
        <w:t>]</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2 </w:t>
      </w:r>
      <w:r w:rsidRPr="002A1E19">
        <w:rPr>
          <w:rFonts w:ascii="Book Antiqua" w:eastAsia="宋体" w:hAnsi="Book Antiqua" w:cs="宋体"/>
          <w:b/>
          <w:bCs/>
        </w:rPr>
        <w:t>Chen XJ</w:t>
      </w:r>
      <w:r w:rsidRPr="002A1E19">
        <w:rPr>
          <w:rFonts w:ascii="Book Antiqua" w:eastAsia="宋体" w:hAnsi="Book Antiqua" w:cs="宋体"/>
        </w:rPr>
        <w:t>, Butow RA. The organization and inheritance of the mitochondrial genome. </w:t>
      </w:r>
      <w:r w:rsidRPr="002A1E19">
        <w:rPr>
          <w:rFonts w:ascii="Book Antiqua" w:eastAsia="宋体" w:hAnsi="Book Antiqua" w:cs="宋体"/>
          <w:i/>
          <w:iCs/>
        </w:rPr>
        <w:t>Nat Rev Genet</w:t>
      </w:r>
      <w:r w:rsidRPr="002A1E19">
        <w:rPr>
          <w:rFonts w:ascii="Book Antiqua" w:eastAsia="宋体" w:hAnsi="Book Antiqua" w:cs="宋体"/>
        </w:rPr>
        <w:t> 2005; </w:t>
      </w:r>
      <w:r w:rsidRPr="002A1E19">
        <w:rPr>
          <w:rFonts w:ascii="Book Antiqua" w:eastAsia="宋体" w:hAnsi="Book Antiqua" w:cs="宋体"/>
          <w:b/>
          <w:bCs/>
        </w:rPr>
        <w:t>6</w:t>
      </w:r>
      <w:r w:rsidRPr="002A1E19">
        <w:rPr>
          <w:rFonts w:ascii="Book Antiqua" w:eastAsia="宋体" w:hAnsi="Book Antiqua" w:cs="宋体"/>
        </w:rPr>
        <w:t>: 815-825 [PMID: 16304597]</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3 </w:t>
      </w:r>
      <w:r w:rsidRPr="002A1E19">
        <w:rPr>
          <w:rFonts w:ascii="Book Antiqua" w:eastAsia="宋体" w:hAnsi="Book Antiqua" w:cs="宋体"/>
          <w:b/>
          <w:bCs/>
        </w:rPr>
        <w:t>Spelbrink JN</w:t>
      </w:r>
      <w:r w:rsidRPr="002A1E19">
        <w:rPr>
          <w:rFonts w:ascii="Book Antiqua" w:eastAsia="宋体" w:hAnsi="Book Antiqua" w:cs="宋体"/>
        </w:rPr>
        <w:t>. Functional organization of mammalian mitochondrial DNA in nucleoids: history, recent developments, and future challenges. </w:t>
      </w:r>
      <w:r w:rsidRPr="002A1E19">
        <w:rPr>
          <w:rFonts w:ascii="Book Antiqua" w:eastAsia="宋体" w:hAnsi="Book Antiqua" w:cs="宋体"/>
          <w:i/>
          <w:iCs/>
        </w:rPr>
        <w:t>IUBMB Life</w:t>
      </w:r>
      <w:r w:rsidRPr="002A1E19">
        <w:rPr>
          <w:rFonts w:ascii="Book Antiqua" w:eastAsia="宋体" w:hAnsi="Book Antiqua" w:cs="宋体"/>
        </w:rPr>
        <w:t> 2010; </w:t>
      </w:r>
      <w:r w:rsidRPr="002A1E19">
        <w:rPr>
          <w:rFonts w:ascii="Book Antiqua" w:eastAsia="宋体" w:hAnsi="Book Antiqua" w:cs="宋体"/>
          <w:b/>
          <w:bCs/>
        </w:rPr>
        <w:t>62</w:t>
      </w:r>
      <w:r w:rsidRPr="002A1E19">
        <w:rPr>
          <w:rFonts w:ascii="Book Antiqua" w:eastAsia="宋体" w:hAnsi="Book Antiqua" w:cs="宋体"/>
        </w:rPr>
        <w:t>: 19-32 [PMID: 20014006 DOI: 10.1002/iub.282</w:t>
      </w:r>
      <w:r>
        <w:rPr>
          <w:rFonts w:ascii="Book Antiqua" w:eastAsia="宋体" w:hAnsi="Book Antiqua" w:cs="宋体"/>
        </w:rPr>
        <w:t>]</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4 </w:t>
      </w:r>
      <w:r w:rsidRPr="002A1E19">
        <w:rPr>
          <w:rFonts w:ascii="Book Antiqua" w:eastAsia="宋体" w:hAnsi="Book Antiqua" w:cs="宋体"/>
          <w:b/>
          <w:bCs/>
        </w:rPr>
        <w:t>Friedman JR</w:t>
      </w:r>
      <w:r w:rsidRPr="002A1E19">
        <w:rPr>
          <w:rFonts w:ascii="Book Antiqua" w:eastAsia="宋体" w:hAnsi="Book Antiqua" w:cs="宋体"/>
        </w:rPr>
        <w:t>, Nunnari J. Mitochondrial form and function. </w:t>
      </w:r>
      <w:r w:rsidRPr="002A1E19">
        <w:rPr>
          <w:rFonts w:ascii="Book Antiqua" w:eastAsia="宋体" w:hAnsi="Book Antiqua" w:cs="宋体"/>
          <w:i/>
          <w:iCs/>
        </w:rPr>
        <w:t>Nature</w:t>
      </w:r>
      <w:r w:rsidRPr="002A1E19">
        <w:rPr>
          <w:rFonts w:ascii="Book Antiqua" w:eastAsia="宋体" w:hAnsi="Book Antiqua" w:cs="宋体"/>
        </w:rPr>
        <w:t> 2014; </w:t>
      </w:r>
      <w:r w:rsidRPr="002A1E19">
        <w:rPr>
          <w:rFonts w:ascii="Book Antiqua" w:eastAsia="宋体" w:hAnsi="Book Antiqua" w:cs="宋体"/>
          <w:b/>
          <w:bCs/>
        </w:rPr>
        <w:t>505</w:t>
      </w:r>
      <w:r w:rsidRPr="002A1E19">
        <w:rPr>
          <w:rFonts w:ascii="Book Antiqua" w:eastAsia="宋体" w:hAnsi="Book Antiqua" w:cs="宋体"/>
        </w:rPr>
        <w:t>: 335-343 [PMID: 24429632 DOI: 10.1038/nature12985</w:t>
      </w:r>
      <w:r>
        <w:rPr>
          <w:rFonts w:ascii="Book Antiqua" w:eastAsia="宋体" w:hAnsi="Book Antiqua" w:cs="宋体"/>
        </w:rPr>
        <w:t>]</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5 </w:t>
      </w:r>
      <w:r w:rsidRPr="002A1E19">
        <w:rPr>
          <w:rFonts w:ascii="Book Antiqua" w:eastAsia="宋体" w:hAnsi="Book Antiqua" w:cs="宋体"/>
          <w:b/>
          <w:bCs/>
        </w:rPr>
        <w:t>Bogenhagen DF</w:t>
      </w:r>
      <w:r w:rsidRPr="002A1E19">
        <w:rPr>
          <w:rFonts w:ascii="Book Antiqua" w:eastAsia="宋体" w:hAnsi="Book Antiqua" w:cs="宋体"/>
        </w:rPr>
        <w:t>, Rousseau D, Burke S. The layered structure of human mitochondrial DNA nucleoids. </w:t>
      </w:r>
      <w:r w:rsidRPr="002A1E19">
        <w:rPr>
          <w:rFonts w:ascii="Book Antiqua" w:eastAsia="宋体" w:hAnsi="Book Antiqua" w:cs="宋体"/>
          <w:i/>
          <w:iCs/>
        </w:rPr>
        <w:t>J Biol Chem</w:t>
      </w:r>
      <w:r w:rsidRPr="002A1E19">
        <w:rPr>
          <w:rFonts w:ascii="Book Antiqua" w:eastAsia="宋体" w:hAnsi="Book Antiqua" w:cs="宋体"/>
        </w:rPr>
        <w:t> 2008; </w:t>
      </w:r>
      <w:r w:rsidRPr="002A1E19">
        <w:rPr>
          <w:rFonts w:ascii="Book Antiqua" w:eastAsia="宋体" w:hAnsi="Book Antiqua" w:cs="宋体"/>
          <w:b/>
          <w:bCs/>
        </w:rPr>
        <w:t>283</w:t>
      </w:r>
      <w:r w:rsidRPr="002A1E19">
        <w:rPr>
          <w:rFonts w:ascii="Book Antiqua" w:eastAsia="宋体" w:hAnsi="Book Antiqua" w:cs="宋体"/>
        </w:rPr>
        <w:t>: 3665-3675 [PMID: 18063578]</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6 </w:t>
      </w:r>
      <w:r w:rsidRPr="002A1E19">
        <w:rPr>
          <w:rFonts w:ascii="Book Antiqua" w:eastAsia="宋体" w:hAnsi="Book Antiqua" w:cs="宋体"/>
          <w:b/>
          <w:bCs/>
        </w:rPr>
        <w:t>Anderson S</w:t>
      </w:r>
      <w:r w:rsidRPr="002A1E19">
        <w:rPr>
          <w:rFonts w:ascii="Book Antiqua" w:eastAsia="宋体" w:hAnsi="Book Antiqua" w:cs="宋体"/>
        </w:rPr>
        <w:t>, Bankier AT, Barrell BG, de Bruijn MH, Coulson AR, Drouin J, Eperon IC, Nierlich DP, Roe BA, Sanger F, Schreier PH, Smith AJ, Staden R, Young IG. Sequence and organization of the human mitochondrial genome. </w:t>
      </w:r>
      <w:r w:rsidRPr="002A1E19">
        <w:rPr>
          <w:rFonts w:ascii="Book Antiqua" w:eastAsia="宋体" w:hAnsi="Book Antiqua" w:cs="宋体"/>
          <w:i/>
          <w:iCs/>
        </w:rPr>
        <w:t>Nature</w:t>
      </w:r>
      <w:r w:rsidRPr="002A1E19">
        <w:rPr>
          <w:rFonts w:ascii="Book Antiqua" w:eastAsia="宋体" w:hAnsi="Book Antiqua" w:cs="宋体"/>
        </w:rPr>
        <w:t> 1981; </w:t>
      </w:r>
      <w:r w:rsidRPr="002A1E19">
        <w:rPr>
          <w:rFonts w:ascii="Book Antiqua" w:eastAsia="宋体" w:hAnsi="Book Antiqua" w:cs="宋体"/>
          <w:b/>
          <w:bCs/>
        </w:rPr>
        <w:t>290</w:t>
      </w:r>
      <w:r w:rsidRPr="002A1E19">
        <w:rPr>
          <w:rFonts w:ascii="Book Antiqua" w:eastAsia="宋体" w:hAnsi="Book Antiqua" w:cs="宋体"/>
        </w:rPr>
        <w:t>: 457-465 [PMID: 7219534]</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7 </w:t>
      </w:r>
      <w:r w:rsidRPr="002A1E19">
        <w:rPr>
          <w:rFonts w:ascii="Book Antiqua" w:eastAsia="宋体" w:hAnsi="Book Antiqua" w:cs="宋体"/>
          <w:b/>
          <w:bCs/>
        </w:rPr>
        <w:t>Attardi G</w:t>
      </w:r>
      <w:r w:rsidRPr="002A1E19">
        <w:rPr>
          <w:rFonts w:ascii="Book Antiqua" w:eastAsia="宋体" w:hAnsi="Book Antiqua" w:cs="宋体"/>
        </w:rPr>
        <w:t>. Animal mitochondrial DNA: an extreme example of genetic economy. </w:t>
      </w:r>
      <w:r w:rsidRPr="002A1E19">
        <w:rPr>
          <w:rFonts w:ascii="Book Antiqua" w:eastAsia="宋体" w:hAnsi="Book Antiqua" w:cs="宋体"/>
          <w:i/>
          <w:iCs/>
        </w:rPr>
        <w:t>Int Rev Cytol</w:t>
      </w:r>
      <w:r w:rsidRPr="002A1E19">
        <w:rPr>
          <w:rFonts w:ascii="Book Antiqua" w:eastAsia="宋体" w:hAnsi="Book Antiqua" w:cs="宋体"/>
        </w:rPr>
        <w:t> 1985; </w:t>
      </w:r>
      <w:r w:rsidRPr="002A1E19">
        <w:rPr>
          <w:rFonts w:ascii="Book Antiqua" w:eastAsia="宋体" w:hAnsi="Book Antiqua" w:cs="宋体"/>
          <w:b/>
          <w:bCs/>
        </w:rPr>
        <w:t>93</w:t>
      </w:r>
      <w:r w:rsidRPr="002A1E19">
        <w:rPr>
          <w:rFonts w:ascii="Book Antiqua" w:eastAsia="宋体" w:hAnsi="Book Antiqua" w:cs="宋体"/>
        </w:rPr>
        <w:t>: 93-145 [PMID: 3891661]</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8 </w:t>
      </w:r>
      <w:r w:rsidRPr="002A1E19">
        <w:rPr>
          <w:rFonts w:ascii="Book Antiqua" w:eastAsia="宋体" w:hAnsi="Book Antiqua" w:cs="宋体"/>
          <w:b/>
          <w:bCs/>
        </w:rPr>
        <w:t>Shadel GS</w:t>
      </w:r>
      <w:r w:rsidRPr="002A1E19">
        <w:rPr>
          <w:rFonts w:ascii="Book Antiqua" w:eastAsia="宋体" w:hAnsi="Book Antiqua" w:cs="宋体"/>
        </w:rPr>
        <w:t>, Clayton DA. Mitochondrial DNA maintenance in vertebrates. </w:t>
      </w:r>
      <w:r w:rsidRPr="002A1E19">
        <w:rPr>
          <w:rFonts w:ascii="Book Antiqua" w:eastAsia="宋体" w:hAnsi="Book Antiqua" w:cs="宋体"/>
          <w:i/>
          <w:iCs/>
        </w:rPr>
        <w:t>Annu Rev Biochem</w:t>
      </w:r>
      <w:r w:rsidRPr="002A1E19">
        <w:rPr>
          <w:rFonts w:ascii="Book Antiqua" w:eastAsia="宋体" w:hAnsi="Book Antiqua" w:cs="宋体"/>
        </w:rPr>
        <w:t> 1997; </w:t>
      </w:r>
      <w:r w:rsidRPr="002A1E19">
        <w:rPr>
          <w:rFonts w:ascii="Book Antiqua" w:eastAsia="宋体" w:hAnsi="Book Antiqua" w:cs="宋体"/>
          <w:b/>
          <w:bCs/>
        </w:rPr>
        <w:t>66</w:t>
      </w:r>
      <w:r w:rsidRPr="002A1E19">
        <w:rPr>
          <w:rFonts w:ascii="Book Antiqua" w:eastAsia="宋体" w:hAnsi="Book Antiqua" w:cs="宋体"/>
        </w:rPr>
        <w:t>: 409-435 [PMID: 9242913]</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9 </w:t>
      </w:r>
      <w:r w:rsidRPr="002A1E19">
        <w:rPr>
          <w:rFonts w:ascii="Book Antiqua" w:eastAsia="宋体" w:hAnsi="Book Antiqua" w:cs="宋体"/>
          <w:b/>
          <w:bCs/>
        </w:rPr>
        <w:t>Clayton DA</w:t>
      </w:r>
      <w:r w:rsidRPr="002A1E19">
        <w:rPr>
          <w:rFonts w:ascii="Book Antiqua" w:eastAsia="宋体" w:hAnsi="Book Antiqua" w:cs="宋体"/>
        </w:rPr>
        <w:t>. Replication of animal mitochondrial DNA. </w:t>
      </w:r>
      <w:r w:rsidRPr="002A1E19">
        <w:rPr>
          <w:rFonts w:ascii="Book Antiqua" w:eastAsia="宋体" w:hAnsi="Book Antiqua" w:cs="宋体"/>
          <w:i/>
          <w:iCs/>
        </w:rPr>
        <w:t>Cell</w:t>
      </w:r>
      <w:r w:rsidRPr="002A1E19">
        <w:rPr>
          <w:rFonts w:ascii="Book Antiqua" w:eastAsia="宋体" w:hAnsi="Book Antiqua" w:cs="宋体"/>
        </w:rPr>
        <w:t> 1982; </w:t>
      </w:r>
      <w:r w:rsidRPr="002A1E19">
        <w:rPr>
          <w:rFonts w:ascii="Book Antiqua" w:eastAsia="宋体" w:hAnsi="Book Antiqua" w:cs="宋体"/>
          <w:b/>
          <w:bCs/>
        </w:rPr>
        <w:t>28</w:t>
      </w:r>
      <w:r w:rsidRPr="002A1E19">
        <w:rPr>
          <w:rFonts w:ascii="Book Antiqua" w:eastAsia="宋体" w:hAnsi="Book Antiqua" w:cs="宋体"/>
        </w:rPr>
        <w:t>: 693-705 [PMID: 6178513]</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10 </w:t>
      </w:r>
      <w:r w:rsidRPr="002A1E19">
        <w:rPr>
          <w:rFonts w:ascii="Book Antiqua" w:eastAsia="宋体" w:hAnsi="Book Antiqua" w:cs="宋体"/>
          <w:b/>
          <w:bCs/>
        </w:rPr>
        <w:t>DiMauro S</w:t>
      </w:r>
      <w:r w:rsidRPr="002A1E19">
        <w:rPr>
          <w:rFonts w:ascii="Book Antiqua" w:eastAsia="宋体" w:hAnsi="Book Antiqua" w:cs="宋体"/>
        </w:rPr>
        <w:t>, Schon EA. Mitochondrial DNA mutations in human disease. </w:t>
      </w:r>
      <w:r w:rsidRPr="002A1E19">
        <w:rPr>
          <w:rFonts w:ascii="Book Antiqua" w:eastAsia="宋体" w:hAnsi="Book Antiqua" w:cs="宋体"/>
          <w:i/>
          <w:iCs/>
        </w:rPr>
        <w:t>Am J Med Genet</w:t>
      </w:r>
      <w:r w:rsidRPr="002A1E19">
        <w:rPr>
          <w:rFonts w:ascii="Book Antiqua" w:eastAsia="宋体" w:hAnsi="Book Antiqua" w:cs="宋体"/>
        </w:rPr>
        <w:t> 2001; </w:t>
      </w:r>
      <w:r w:rsidRPr="002A1E19">
        <w:rPr>
          <w:rFonts w:ascii="Book Antiqua" w:eastAsia="宋体" w:hAnsi="Book Antiqua" w:cs="宋体"/>
          <w:b/>
          <w:bCs/>
        </w:rPr>
        <w:t>106</w:t>
      </w:r>
      <w:r w:rsidRPr="002A1E19">
        <w:rPr>
          <w:rFonts w:ascii="Book Antiqua" w:eastAsia="宋体" w:hAnsi="Book Antiqua" w:cs="宋体"/>
        </w:rPr>
        <w:t>: 18-26 [PMID: 11579421]</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11 </w:t>
      </w:r>
      <w:r w:rsidRPr="002A1E19">
        <w:rPr>
          <w:rFonts w:ascii="Book Antiqua" w:eastAsia="宋体" w:hAnsi="Book Antiqua" w:cs="宋体"/>
          <w:b/>
          <w:bCs/>
        </w:rPr>
        <w:t>Chatterjee A</w:t>
      </w:r>
      <w:r w:rsidRPr="002A1E19">
        <w:rPr>
          <w:rFonts w:ascii="Book Antiqua" w:eastAsia="宋体" w:hAnsi="Book Antiqua" w:cs="宋体"/>
        </w:rPr>
        <w:t>, Dasgupta S, Sidransky D. Mitochondrial subversion in cancer. </w:t>
      </w:r>
      <w:r w:rsidRPr="002A1E19">
        <w:rPr>
          <w:rFonts w:ascii="Book Antiqua" w:eastAsia="宋体" w:hAnsi="Book Antiqua" w:cs="宋体"/>
          <w:i/>
          <w:iCs/>
        </w:rPr>
        <w:t xml:space="preserve">Cancer Prev Res </w:t>
      </w:r>
      <w:r w:rsidRPr="002A1E19">
        <w:rPr>
          <w:rFonts w:ascii="Book Antiqua" w:eastAsia="宋体" w:hAnsi="Book Antiqua" w:cs="宋体"/>
          <w:iCs/>
        </w:rPr>
        <w:t>(Phila)</w:t>
      </w:r>
      <w:r w:rsidRPr="002A1E19">
        <w:rPr>
          <w:rFonts w:ascii="Book Antiqua" w:eastAsia="宋体" w:hAnsi="Book Antiqua" w:cs="宋体"/>
        </w:rPr>
        <w:t> 2011; </w:t>
      </w:r>
      <w:r w:rsidRPr="002A1E19">
        <w:rPr>
          <w:rFonts w:ascii="Book Antiqua" w:eastAsia="宋体" w:hAnsi="Book Antiqua" w:cs="宋体"/>
          <w:b/>
          <w:bCs/>
        </w:rPr>
        <w:t>4</w:t>
      </w:r>
      <w:r w:rsidRPr="002A1E19">
        <w:rPr>
          <w:rFonts w:ascii="Book Antiqua" w:eastAsia="宋体" w:hAnsi="Book Antiqua" w:cs="宋体"/>
        </w:rPr>
        <w:t>: 638-654 [PMID: 21543342 DOI: 10.1158/1940-6207.CAPR-10-0326</w:t>
      </w:r>
      <w:r>
        <w:rPr>
          <w:rFonts w:ascii="Book Antiqua" w:eastAsia="宋体" w:hAnsi="Book Antiqua" w:cs="宋体"/>
        </w:rPr>
        <w:t>]</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12 </w:t>
      </w:r>
      <w:r w:rsidRPr="002A1E19">
        <w:rPr>
          <w:rFonts w:ascii="Book Antiqua" w:eastAsia="宋体" w:hAnsi="Book Antiqua" w:cs="宋体"/>
          <w:b/>
          <w:bCs/>
        </w:rPr>
        <w:t>Ishikawa K</w:t>
      </w:r>
      <w:r w:rsidRPr="002A1E19">
        <w:rPr>
          <w:rFonts w:ascii="Book Antiqua" w:eastAsia="宋体" w:hAnsi="Book Antiqua" w:cs="宋体"/>
        </w:rPr>
        <w:t>, Takenaga K, Akimoto M, Koshikawa N, Yamaguchi A, Imanishi H, Nakada K, Honma Y, Hayashi J. ROS-generating mitochondrial DNA mutations can regulate tumor cell metastasis. </w:t>
      </w:r>
      <w:r w:rsidRPr="002A1E19">
        <w:rPr>
          <w:rFonts w:ascii="Book Antiqua" w:eastAsia="宋体" w:hAnsi="Book Antiqua" w:cs="宋体"/>
          <w:i/>
          <w:iCs/>
        </w:rPr>
        <w:t>Science</w:t>
      </w:r>
      <w:r w:rsidRPr="002A1E19">
        <w:rPr>
          <w:rFonts w:ascii="Book Antiqua" w:eastAsia="宋体" w:hAnsi="Book Antiqua" w:cs="宋体"/>
        </w:rPr>
        <w:t> 2008; </w:t>
      </w:r>
      <w:r w:rsidRPr="002A1E19">
        <w:rPr>
          <w:rFonts w:ascii="Book Antiqua" w:eastAsia="宋体" w:hAnsi="Book Antiqua" w:cs="宋体"/>
          <w:b/>
          <w:bCs/>
        </w:rPr>
        <w:t>320</w:t>
      </w:r>
      <w:r w:rsidRPr="002A1E19">
        <w:rPr>
          <w:rFonts w:ascii="Book Antiqua" w:eastAsia="宋体" w:hAnsi="Book Antiqua" w:cs="宋体"/>
        </w:rPr>
        <w:t>: 661-664 [PMID: 18388260 DOI: 10.1126/science.1156906]</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lastRenderedPageBreak/>
        <w:t>13 </w:t>
      </w:r>
      <w:r w:rsidRPr="002A1E19">
        <w:rPr>
          <w:rFonts w:ascii="Book Antiqua" w:eastAsia="宋体" w:hAnsi="Book Antiqua" w:cs="宋体"/>
          <w:b/>
          <w:bCs/>
        </w:rPr>
        <w:t>de Martel C</w:t>
      </w:r>
      <w:r w:rsidRPr="002A1E19">
        <w:rPr>
          <w:rFonts w:ascii="Book Antiqua" w:eastAsia="宋体" w:hAnsi="Book Antiqua" w:cs="宋体"/>
        </w:rPr>
        <w:t>, Forman D, Plummer M. Gastric cancer: epidemiology and risk factors. </w:t>
      </w:r>
      <w:r w:rsidRPr="002A1E19">
        <w:rPr>
          <w:rFonts w:ascii="Book Antiqua" w:eastAsia="宋体" w:hAnsi="Book Antiqua" w:cs="宋体"/>
          <w:i/>
          <w:iCs/>
        </w:rPr>
        <w:t>Gastroenterol Clin North Am</w:t>
      </w:r>
      <w:r w:rsidRPr="002A1E19">
        <w:rPr>
          <w:rFonts w:ascii="Book Antiqua" w:eastAsia="宋体" w:hAnsi="Book Antiqua" w:cs="宋体"/>
        </w:rPr>
        <w:t> 2013; </w:t>
      </w:r>
      <w:r w:rsidRPr="002A1E19">
        <w:rPr>
          <w:rFonts w:ascii="Book Antiqua" w:eastAsia="宋体" w:hAnsi="Book Antiqua" w:cs="宋体"/>
          <w:b/>
          <w:bCs/>
        </w:rPr>
        <w:t>42</w:t>
      </w:r>
      <w:r w:rsidRPr="002A1E19">
        <w:rPr>
          <w:rFonts w:ascii="Book Antiqua" w:eastAsia="宋体" w:hAnsi="Book Antiqua" w:cs="宋体"/>
        </w:rPr>
        <w:t>: 219-240 [PMID: 23639638 DOI: 10.1016/j.gtc.2013.01.003</w:t>
      </w:r>
      <w:r>
        <w:rPr>
          <w:rFonts w:ascii="Book Antiqua" w:eastAsia="宋体" w:hAnsi="Book Antiqua" w:cs="宋体"/>
        </w:rPr>
        <w:t>]</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 xml:space="preserve">14 </w:t>
      </w:r>
      <w:r w:rsidRPr="002A1E19">
        <w:rPr>
          <w:rFonts w:ascii="Book Antiqua" w:eastAsia="宋体" w:hAnsi="Book Antiqua" w:cs="宋体"/>
          <w:b/>
        </w:rPr>
        <w:t xml:space="preserve">Caruso RA, </w:t>
      </w:r>
      <w:r>
        <w:rPr>
          <w:rFonts w:ascii="Book Antiqua" w:eastAsia="宋体" w:hAnsi="Book Antiqua" w:cs="宋体"/>
        </w:rPr>
        <w:t>Irato E, Branca G, Finocchiaro G, Fedele F, Arnese A</w:t>
      </w:r>
      <w:r w:rsidRPr="002A1E19">
        <w:rPr>
          <w:rFonts w:ascii="Book Antiqua" w:eastAsia="宋体" w:hAnsi="Book Antiqua" w:cs="宋体"/>
        </w:rPr>
        <w:t>.</w:t>
      </w:r>
      <w:r>
        <w:rPr>
          <w:rFonts w:ascii="Book Antiqua" w:eastAsia="宋体" w:hAnsi="Book Antiqua" w:cs="宋体" w:hint="eastAsia"/>
        </w:rPr>
        <w:t xml:space="preserve"> </w:t>
      </w:r>
      <w:r w:rsidRPr="002A1E19">
        <w:rPr>
          <w:rFonts w:ascii="Book Antiqua" w:eastAsia="宋体" w:hAnsi="Book Antiqua" w:cs="宋体"/>
        </w:rPr>
        <w:t>Gastric adenocarcinoma incidence in the province of Messina (Insular Italy): A cancer registry study. </w:t>
      </w:r>
      <w:r w:rsidRPr="002A1E19">
        <w:rPr>
          <w:rFonts w:ascii="Book Antiqua" w:eastAsia="宋体" w:hAnsi="Book Antiqua" w:cs="宋体"/>
          <w:i/>
          <w:iCs/>
        </w:rPr>
        <w:t>Oncol Lett</w:t>
      </w:r>
      <w:r w:rsidRPr="002A1E19">
        <w:rPr>
          <w:rFonts w:ascii="Book Antiqua" w:eastAsia="宋体" w:hAnsi="Book Antiqua" w:cs="宋体"/>
        </w:rPr>
        <w:t> 2014; </w:t>
      </w:r>
      <w:r w:rsidRPr="002A1E19">
        <w:rPr>
          <w:rFonts w:ascii="Book Antiqua" w:eastAsia="宋体" w:hAnsi="Book Antiqua" w:cs="宋体"/>
          <w:b/>
          <w:bCs/>
        </w:rPr>
        <w:t>7</w:t>
      </w:r>
      <w:r w:rsidRPr="002A1E19">
        <w:rPr>
          <w:rFonts w:ascii="Book Antiqua" w:eastAsia="宋体" w:hAnsi="Book Antiqua" w:cs="宋体"/>
        </w:rPr>
        <w:t>: 861-865 [PMID: 24520303]</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15 </w:t>
      </w:r>
      <w:r w:rsidRPr="002A1E19">
        <w:rPr>
          <w:rFonts w:ascii="Book Antiqua" w:eastAsia="宋体" w:hAnsi="Book Antiqua" w:cs="宋体"/>
          <w:b/>
          <w:bCs/>
        </w:rPr>
        <w:t>Correa P</w:t>
      </w:r>
      <w:r w:rsidRPr="002A1E19">
        <w:rPr>
          <w:rFonts w:ascii="Book Antiqua" w:eastAsia="宋体" w:hAnsi="Book Antiqua" w:cs="宋体"/>
        </w:rPr>
        <w:t>. Gastric cancer: overview. </w:t>
      </w:r>
      <w:r w:rsidRPr="002A1E19">
        <w:rPr>
          <w:rFonts w:ascii="Book Antiqua" w:eastAsia="宋体" w:hAnsi="Book Antiqua" w:cs="宋体"/>
          <w:i/>
          <w:iCs/>
        </w:rPr>
        <w:t>Gastroenterol Clin North Am</w:t>
      </w:r>
      <w:r w:rsidRPr="002A1E19">
        <w:rPr>
          <w:rFonts w:ascii="Book Antiqua" w:eastAsia="宋体" w:hAnsi="Book Antiqua" w:cs="宋体"/>
        </w:rPr>
        <w:t> 2013; </w:t>
      </w:r>
      <w:r w:rsidRPr="002A1E19">
        <w:rPr>
          <w:rFonts w:ascii="Book Antiqua" w:eastAsia="宋体" w:hAnsi="Book Antiqua" w:cs="宋体"/>
          <w:b/>
          <w:bCs/>
        </w:rPr>
        <w:t>42</w:t>
      </w:r>
      <w:r w:rsidRPr="002A1E19">
        <w:rPr>
          <w:rFonts w:ascii="Book Antiqua" w:eastAsia="宋体" w:hAnsi="Book Antiqua" w:cs="宋体"/>
        </w:rPr>
        <w:t>: 211-217 [PMID: 23639637 DOI: 10.1016/j.gtc.2013.01.002]</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16 </w:t>
      </w:r>
      <w:r w:rsidRPr="002A1E19">
        <w:rPr>
          <w:rFonts w:ascii="Book Antiqua" w:eastAsia="宋体" w:hAnsi="Book Antiqua" w:cs="宋体"/>
          <w:b/>
          <w:bCs/>
        </w:rPr>
        <w:t>Guggenheim DE</w:t>
      </w:r>
      <w:r w:rsidRPr="002A1E19">
        <w:rPr>
          <w:rFonts w:ascii="Book Antiqua" w:eastAsia="宋体" w:hAnsi="Book Antiqua" w:cs="宋体"/>
        </w:rPr>
        <w:t>, Shah MA. Gastric cancer epidemiology and risk factors. </w:t>
      </w:r>
      <w:r w:rsidRPr="002A1E19">
        <w:rPr>
          <w:rFonts w:ascii="Book Antiqua" w:eastAsia="宋体" w:hAnsi="Book Antiqua" w:cs="宋体"/>
          <w:i/>
          <w:iCs/>
        </w:rPr>
        <w:t>J Surg Oncol</w:t>
      </w:r>
      <w:r w:rsidRPr="002A1E19">
        <w:rPr>
          <w:rFonts w:ascii="Book Antiqua" w:eastAsia="宋体" w:hAnsi="Book Antiqua" w:cs="宋体"/>
        </w:rPr>
        <w:t> 2013; </w:t>
      </w:r>
      <w:r w:rsidRPr="002A1E19">
        <w:rPr>
          <w:rFonts w:ascii="Book Antiqua" w:eastAsia="宋体" w:hAnsi="Book Antiqua" w:cs="宋体"/>
          <w:b/>
          <w:bCs/>
        </w:rPr>
        <w:t>107</w:t>
      </w:r>
      <w:r w:rsidRPr="002A1E19">
        <w:rPr>
          <w:rFonts w:ascii="Book Antiqua" w:eastAsia="宋体" w:hAnsi="Book Antiqua" w:cs="宋体"/>
        </w:rPr>
        <w:t xml:space="preserve">: 230-236 [PMID: </w:t>
      </w:r>
      <w:r>
        <w:rPr>
          <w:rFonts w:ascii="Book Antiqua" w:eastAsia="宋体" w:hAnsi="Book Antiqua" w:cs="宋体"/>
        </w:rPr>
        <w:t>23129495 DOI: 10.1002/jso.23262</w:t>
      </w:r>
      <w:r w:rsidRPr="002A1E19">
        <w:rPr>
          <w:rFonts w:ascii="Book Antiqua" w:eastAsia="宋体" w:hAnsi="Book Antiqua" w:cs="宋体"/>
        </w:rPr>
        <w:t>]</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17 </w:t>
      </w:r>
      <w:r w:rsidRPr="002A1E19">
        <w:rPr>
          <w:rFonts w:ascii="Book Antiqua" w:eastAsia="宋体" w:hAnsi="Book Antiqua" w:cs="宋体"/>
          <w:b/>
          <w:bCs/>
        </w:rPr>
        <w:t>Shah MA</w:t>
      </w:r>
      <w:r w:rsidRPr="002A1E19">
        <w:rPr>
          <w:rFonts w:ascii="Book Antiqua" w:eastAsia="宋体" w:hAnsi="Book Antiqua" w:cs="宋体"/>
        </w:rPr>
        <w:t>, Khanin R, Tang L, Janjigian YY, Klimstra DS, Gerdes H, Kelsen DP. Molecular classification of gastric cancer: a new paradigm. </w:t>
      </w:r>
      <w:r w:rsidRPr="002A1E19">
        <w:rPr>
          <w:rFonts w:ascii="Book Antiqua" w:eastAsia="宋体" w:hAnsi="Book Antiqua" w:cs="宋体"/>
          <w:i/>
          <w:iCs/>
        </w:rPr>
        <w:t>Clin Cancer Res</w:t>
      </w:r>
      <w:r w:rsidRPr="002A1E19">
        <w:rPr>
          <w:rFonts w:ascii="Book Antiqua" w:eastAsia="宋体" w:hAnsi="Book Antiqua" w:cs="宋体"/>
        </w:rPr>
        <w:t> 2011; </w:t>
      </w:r>
      <w:r w:rsidRPr="002A1E19">
        <w:rPr>
          <w:rFonts w:ascii="Book Antiqua" w:eastAsia="宋体" w:hAnsi="Book Antiqua" w:cs="宋体"/>
          <w:b/>
          <w:bCs/>
        </w:rPr>
        <w:t>17</w:t>
      </w:r>
      <w:r w:rsidRPr="002A1E19">
        <w:rPr>
          <w:rFonts w:ascii="Book Antiqua" w:eastAsia="宋体" w:hAnsi="Book Antiqua" w:cs="宋体"/>
        </w:rPr>
        <w:t>: 2693-2701 [PMID: 21430069 DOI</w:t>
      </w:r>
      <w:r>
        <w:rPr>
          <w:rFonts w:ascii="Book Antiqua" w:eastAsia="宋体" w:hAnsi="Book Antiqua" w:cs="宋体"/>
        </w:rPr>
        <w:t>: 10.1158/1078-0432.CCR-10-2203</w:t>
      </w:r>
      <w:r w:rsidRPr="002A1E19">
        <w:rPr>
          <w:rFonts w:ascii="Book Antiqua" w:eastAsia="宋体" w:hAnsi="Book Antiqua" w:cs="宋体"/>
        </w:rPr>
        <w:t>]</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18 </w:t>
      </w:r>
      <w:r w:rsidRPr="002A1E19">
        <w:rPr>
          <w:rFonts w:ascii="Book Antiqua" w:eastAsia="宋体" w:hAnsi="Book Antiqua" w:cs="宋体"/>
          <w:b/>
          <w:bCs/>
        </w:rPr>
        <w:t>Navarro Silvera SA</w:t>
      </w:r>
      <w:r w:rsidRPr="002A1E19">
        <w:rPr>
          <w:rFonts w:ascii="Book Antiqua" w:eastAsia="宋体" w:hAnsi="Book Antiqua" w:cs="宋体"/>
        </w:rPr>
        <w:t>, Mayne ST, Gammon MD, Vaughan TL, Chow WH, Dubin JA, Dubrow R, Stanford JL, West AB, Rotterdam H, Blot WJ, Risch HA. Diet and lifestyle factors and risk of subtypes of esophageal and gastric cancers: classification tree analysis. </w:t>
      </w:r>
      <w:r w:rsidRPr="002A1E19">
        <w:rPr>
          <w:rFonts w:ascii="Book Antiqua" w:eastAsia="宋体" w:hAnsi="Book Antiqua" w:cs="宋体"/>
          <w:i/>
          <w:iCs/>
        </w:rPr>
        <w:t>Ann Epidemiol</w:t>
      </w:r>
      <w:r w:rsidRPr="002A1E19">
        <w:rPr>
          <w:rFonts w:ascii="Book Antiqua" w:eastAsia="宋体" w:hAnsi="Book Antiqua" w:cs="宋体"/>
        </w:rPr>
        <w:t> 2014; </w:t>
      </w:r>
      <w:r w:rsidRPr="002A1E19">
        <w:rPr>
          <w:rFonts w:ascii="Book Antiqua" w:eastAsia="宋体" w:hAnsi="Book Antiqua" w:cs="宋体"/>
          <w:b/>
          <w:bCs/>
        </w:rPr>
        <w:t>24</w:t>
      </w:r>
      <w:r w:rsidRPr="002A1E19">
        <w:rPr>
          <w:rFonts w:ascii="Book Antiqua" w:eastAsia="宋体" w:hAnsi="Book Antiqua" w:cs="宋体"/>
        </w:rPr>
        <w:t>: 50-57 [PMID: 24239095 DOI: 10.1016/j.annepidem.2013.10.009</w:t>
      </w:r>
      <w:r>
        <w:rPr>
          <w:rFonts w:ascii="Book Antiqua" w:eastAsia="宋体" w:hAnsi="Book Antiqua" w:cs="宋体"/>
        </w:rPr>
        <w:t>]</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19 </w:t>
      </w:r>
      <w:r w:rsidRPr="002A1E19">
        <w:rPr>
          <w:rFonts w:ascii="Book Antiqua" w:eastAsia="宋体" w:hAnsi="Book Antiqua" w:cs="宋体"/>
          <w:b/>
          <w:bCs/>
        </w:rPr>
        <w:t>Carr JS</w:t>
      </w:r>
      <w:r w:rsidRPr="002A1E19">
        <w:rPr>
          <w:rFonts w:ascii="Book Antiqua" w:eastAsia="宋体" w:hAnsi="Book Antiqua" w:cs="宋体"/>
        </w:rPr>
        <w:t>, Zafar SF, Saba N, Khuri FR, El-Rayes BF. Risk factors for rising incidence of esophageal and gastric cardia adenocarcinoma. </w:t>
      </w:r>
      <w:r w:rsidRPr="002A1E19">
        <w:rPr>
          <w:rFonts w:ascii="Book Antiqua" w:eastAsia="宋体" w:hAnsi="Book Antiqua" w:cs="宋体"/>
          <w:i/>
          <w:iCs/>
        </w:rPr>
        <w:t>J Gastrointest Cancer</w:t>
      </w:r>
      <w:r w:rsidRPr="002A1E19">
        <w:rPr>
          <w:rFonts w:ascii="Book Antiqua" w:eastAsia="宋体" w:hAnsi="Book Antiqua" w:cs="宋体"/>
        </w:rPr>
        <w:t> 2013; </w:t>
      </w:r>
      <w:r w:rsidRPr="002A1E19">
        <w:rPr>
          <w:rFonts w:ascii="Book Antiqua" w:eastAsia="宋体" w:hAnsi="Book Antiqua" w:cs="宋体"/>
          <w:b/>
          <w:bCs/>
        </w:rPr>
        <w:t>44</w:t>
      </w:r>
      <w:r w:rsidRPr="002A1E19">
        <w:rPr>
          <w:rFonts w:ascii="Book Antiqua" w:eastAsia="宋体" w:hAnsi="Book Antiqua" w:cs="宋体"/>
        </w:rPr>
        <w:t>: 143-151 [PMID: 23435833</w:t>
      </w:r>
      <w:r w:rsidR="00DA4336">
        <w:rPr>
          <w:rFonts w:ascii="Book Antiqua" w:eastAsia="宋体" w:hAnsi="Book Antiqua" w:cs="宋体"/>
        </w:rPr>
        <w:t xml:space="preserve"> DOI: 10.1007/s12029-013-9480-z</w:t>
      </w:r>
      <w:r>
        <w:rPr>
          <w:rFonts w:ascii="Book Antiqua" w:eastAsia="宋体" w:hAnsi="Book Antiqua" w:cs="宋体"/>
        </w:rPr>
        <w:t>]</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 xml:space="preserve">20 </w:t>
      </w:r>
      <w:r w:rsidRPr="002A1E19">
        <w:rPr>
          <w:rFonts w:ascii="Book Antiqua" w:eastAsia="宋体" w:hAnsi="Book Antiqua" w:cs="宋体"/>
          <w:b/>
        </w:rPr>
        <w:t>Lauren P.</w:t>
      </w:r>
      <w:r>
        <w:rPr>
          <w:rFonts w:ascii="Book Antiqua" w:eastAsia="宋体" w:hAnsi="Book Antiqua" w:cs="宋体" w:hint="eastAsia"/>
          <w:b/>
        </w:rPr>
        <w:t xml:space="preserve"> </w:t>
      </w:r>
      <w:r w:rsidRPr="002A1E19">
        <w:rPr>
          <w:rFonts w:ascii="Book Antiqua" w:eastAsia="宋体" w:hAnsi="Book Antiqua" w:cs="宋体"/>
        </w:rPr>
        <w:t xml:space="preserve">The two histological main types of gastric carcinoma: diffuse and so-called intestinal-type carcinoma. An attempt at a histo-clinical classification. </w:t>
      </w:r>
      <w:r w:rsidRPr="002A1E19">
        <w:rPr>
          <w:rFonts w:ascii="Book Antiqua" w:eastAsia="宋体" w:hAnsi="Book Antiqua" w:cs="宋体"/>
          <w:i/>
        </w:rPr>
        <w:t>ActaPatholMicrobiol Scand</w:t>
      </w:r>
      <w:r>
        <w:rPr>
          <w:rFonts w:ascii="Book Antiqua" w:eastAsia="宋体" w:hAnsi="Book Antiqua" w:cs="宋体" w:hint="eastAsia"/>
        </w:rPr>
        <w:t xml:space="preserve"> </w:t>
      </w:r>
      <w:r w:rsidRPr="002A1E19">
        <w:rPr>
          <w:rFonts w:ascii="Book Antiqua" w:eastAsia="宋体" w:hAnsi="Book Antiqua" w:cs="宋体"/>
        </w:rPr>
        <w:t xml:space="preserve">1965; </w:t>
      </w:r>
      <w:r w:rsidRPr="002A1E19">
        <w:rPr>
          <w:rFonts w:ascii="Book Antiqua" w:eastAsia="宋体" w:hAnsi="Book Antiqua" w:cs="宋体"/>
          <w:b/>
        </w:rPr>
        <w:t>64</w:t>
      </w:r>
      <w:r>
        <w:rPr>
          <w:rFonts w:ascii="Book Antiqua" w:eastAsia="宋体" w:hAnsi="Book Antiqua" w:cs="宋体"/>
        </w:rPr>
        <w:t>: 31-49</w:t>
      </w:r>
      <w:r w:rsidRPr="002A1E19">
        <w:rPr>
          <w:rFonts w:ascii="Book Antiqua" w:eastAsia="宋体" w:hAnsi="Book Antiqua" w:cs="宋体"/>
        </w:rPr>
        <w:t xml:space="preserve"> </w:t>
      </w:r>
      <w:r>
        <w:rPr>
          <w:rFonts w:ascii="Book Antiqua" w:eastAsia="宋体" w:hAnsi="Book Antiqua" w:cs="宋体" w:hint="eastAsia"/>
        </w:rPr>
        <w:t>[</w:t>
      </w:r>
      <w:r w:rsidRPr="002A1E19">
        <w:rPr>
          <w:rFonts w:ascii="Book Antiqua" w:eastAsia="宋体" w:hAnsi="Book Antiqua" w:cs="宋体"/>
        </w:rPr>
        <w:t>PMID</w:t>
      </w:r>
      <w:r>
        <w:rPr>
          <w:rFonts w:ascii="Book Antiqua" w:eastAsia="宋体" w:hAnsi="Book Antiqua" w:cs="宋体" w:hint="eastAsia"/>
        </w:rPr>
        <w:t xml:space="preserve">: </w:t>
      </w:r>
      <w:r w:rsidRPr="002A1E19">
        <w:rPr>
          <w:rFonts w:ascii="Book Antiqua" w:eastAsia="宋体" w:hAnsi="Book Antiqua" w:cs="宋体"/>
        </w:rPr>
        <w:t>14320675</w:t>
      </w:r>
      <w:r>
        <w:rPr>
          <w:rFonts w:ascii="Book Antiqua" w:eastAsia="宋体" w:hAnsi="Book Antiqua" w:cs="宋体" w:hint="eastAsia"/>
        </w:rPr>
        <w:t>]</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21 </w:t>
      </w:r>
      <w:r w:rsidRPr="002A1E19">
        <w:rPr>
          <w:rFonts w:ascii="Book Antiqua" w:eastAsia="宋体" w:hAnsi="Book Antiqua" w:cs="宋体"/>
          <w:b/>
          <w:bCs/>
        </w:rPr>
        <w:t>Yamazaki K</w:t>
      </w:r>
      <w:r w:rsidRPr="002A1E19">
        <w:rPr>
          <w:rFonts w:ascii="Book Antiqua" w:eastAsia="宋体" w:hAnsi="Book Antiqua" w:cs="宋体"/>
        </w:rPr>
        <w:t>, Tajima Y, Makino R, Nishino N, Aoki S, Kato M, Sakamoto M, Morohara K, Kaetsu T, Kusano M. Tumor differentiation phenotype in gastric differentiated-type tumors and its relation to tumor invasion and genetic alterations. </w:t>
      </w:r>
      <w:r w:rsidRPr="002A1E19">
        <w:rPr>
          <w:rFonts w:ascii="Book Antiqua" w:eastAsia="宋体" w:hAnsi="Book Antiqua" w:cs="宋体"/>
          <w:i/>
          <w:iCs/>
        </w:rPr>
        <w:t>World J Gastroenterol</w:t>
      </w:r>
      <w:r w:rsidRPr="002A1E19">
        <w:rPr>
          <w:rFonts w:ascii="Book Antiqua" w:eastAsia="宋体" w:hAnsi="Book Antiqua" w:cs="宋体"/>
        </w:rPr>
        <w:t> 2006; </w:t>
      </w:r>
      <w:r w:rsidRPr="002A1E19">
        <w:rPr>
          <w:rFonts w:ascii="Book Antiqua" w:eastAsia="宋体" w:hAnsi="Book Antiqua" w:cs="宋体"/>
          <w:b/>
          <w:bCs/>
        </w:rPr>
        <w:t>12</w:t>
      </w:r>
      <w:r w:rsidRPr="002A1E19">
        <w:rPr>
          <w:rFonts w:ascii="Book Antiqua" w:eastAsia="宋体" w:hAnsi="Book Antiqua" w:cs="宋体"/>
        </w:rPr>
        <w:t>: 3803-3809 [PMID: 16804962]</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22 </w:t>
      </w:r>
      <w:r w:rsidRPr="002A1E19">
        <w:rPr>
          <w:rFonts w:ascii="Book Antiqua" w:eastAsia="宋体" w:hAnsi="Book Antiqua" w:cs="宋体"/>
          <w:b/>
          <w:bCs/>
        </w:rPr>
        <w:t>Tajima Y</w:t>
      </w:r>
      <w:r w:rsidRPr="002A1E19">
        <w:rPr>
          <w:rFonts w:ascii="Book Antiqua" w:eastAsia="宋体" w:hAnsi="Book Antiqua" w:cs="宋体"/>
        </w:rPr>
        <w:t>, Yamazaki K, Makino R, Nishino N, Aoki S, Kato M, Morohara K, Kaetsu T, Kusano M. Gastric and intestinal phenotypic marker expression in early differentiated-type tumors of the stomach: clinicopathologic significance and genetic background. </w:t>
      </w:r>
      <w:r w:rsidRPr="002A1E19">
        <w:rPr>
          <w:rFonts w:ascii="Book Antiqua" w:eastAsia="宋体" w:hAnsi="Book Antiqua" w:cs="宋体"/>
          <w:i/>
          <w:iCs/>
        </w:rPr>
        <w:t>Clin Cancer Res</w:t>
      </w:r>
      <w:r w:rsidRPr="002A1E19">
        <w:rPr>
          <w:rFonts w:ascii="Book Antiqua" w:eastAsia="宋体" w:hAnsi="Book Antiqua" w:cs="宋体"/>
        </w:rPr>
        <w:t> 2006; </w:t>
      </w:r>
      <w:r w:rsidRPr="002A1E19">
        <w:rPr>
          <w:rFonts w:ascii="Book Antiqua" w:eastAsia="宋体" w:hAnsi="Book Antiqua" w:cs="宋体"/>
          <w:b/>
          <w:bCs/>
        </w:rPr>
        <w:t>12</w:t>
      </w:r>
      <w:r w:rsidRPr="002A1E19">
        <w:rPr>
          <w:rFonts w:ascii="Book Antiqua" w:eastAsia="宋体" w:hAnsi="Book Antiqua" w:cs="宋体"/>
        </w:rPr>
        <w:t>: 6469-6479 [PMID: 17085661]</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lastRenderedPageBreak/>
        <w:t>23 </w:t>
      </w:r>
      <w:r w:rsidRPr="002A1E19">
        <w:rPr>
          <w:rFonts w:ascii="Book Antiqua" w:eastAsia="宋体" w:hAnsi="Book Antiqua" w:cs="宋体"/>
          <w:b/>
          <w:bCs/>
        </w:rPr>
        <w:t>Morohara K</w:t>
      </w:r>
      <w:r w:rsidRPr="002A1E19">
        <w:rPr>
          <w:rFonts w:ascii="Book Antiqua" w:eastAsia="宋体" w:hAnsi="Book Antiqua" w:cs="宋体"/>
        </w:rPr>
        <w:t>, Tajima Y, Nakao K, Nishino N, Aoki S, Kato M, Sakamoto M, Yamazaki K, Kaetsu T, Suzuki S, Tsunoda A, Tachikawa T, Kusano M. Gastric and intestinal phenotypic cell marker expressions in gastric differentiated-type carcinomas: association with E-cadherin expression and chromosomal changes. </w:t>
      </w:r>
      <w:r w:rsidRPr="002A1E19">
        <w:rPr>
          <w:rFonts w:ascii="Book Antiqua" w:eastAsia="宋体" w:hAnsi="Book Antiqua" w:cs="宋体"/>
          <w:i/>
          <w:iCs/>
        </w:rPr>
        <w:t>J Cancer Res Clin Oncol</w:t>
      </w:r>
      <w:r w:rsidRPr="002A1E19">
        <w:rPr>
          <w:rFonts w:ascii="Book Antiqua" w:eastAsia="宋体" w:hAnsi="Book Antiqua" w:cs="宋体"/>
        </w:rPr>
        <w:t> 2006; </w:t>
      </w:r>
      <w:r w:rsidRPr="002A1E19">
        <w:rPr>
          <w:rFonts w:ascii="Book Antiqua" w:eastAsia="宋体" w:hAnsi="Book Antiqua" w:cs="宋体"/>
          <w:b/>
          <w:bCs/>
        </w:rPr>
        <w:t>132</w:t>
      </w:r>
      <w:r w:rsidRPr="002A1E19">
        <w:rPr>
          <w:rFonts w:ascii="Book Antiqua" w:eastAsia="宋体" w:hAnsi="Book Antiqua" w:cs="宋体"/>
        </w:rPr>
        <w:t>: 363-375 [PMID: 16447040]</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24 </w:t>
      </w:r>
      <w:r w:rsidRPr="002A1E19">
        <w:rPr>
          <w:rFonts w:ascii="Book Antiqua" w:eastAsia="宋体" w:hAnsi="Book Antiqua" w:cs="宋体"/>
          <w:b/>
          <w:bCs/>
        </w:rPr>
        <w:t>Namikawa T</w:t>
      </w:r>
      <w:r w:rsidRPr="002A1E19">
        <w:rPr>
          <w:rFonts w:ascii="Book Antiqua" w:eastAsia="宋体" w:hAnsi="Book Antiqua" w:cs="宋体"/>
        </w:rPr>
        <w:t>, Hanazaki K. Mucin phenotype of gastric cancer and clinicopathology of gastric-type differentiated adenocarcinoma. </w:t>
      </w:r>
      <w:r w:rsidRPr="002A1E19">
        <w:rPr>
          <w:rFonts w:ascii="Book Antiqua" w:eastAsia="宋体" w:hAnsi="Book Antiqua" w:cs="宋体"/>
          <w:i/>
          <w:iCs/>
        </w:rPr>
        <w:t>World J Gastroenterol</w:t>
      </w:r>
      <w:r w:rsidRPr="002A1E19">
        <w:rPr>
          <w:rFonts w:ascii="Book Antiqua" w:eastAsia="宋体" w:hAnsi="Book Antiqua" w:cs="宋体"/>
        </w:rPr>
        <w:t> 2010; </w:t>
      </w:r>
      <w:r w:rsidRPr="002A1E19">
        <w:rPr>
          <w:rFonts w:ascii="Book Antiqua" w:eastAsia="宋体" w:hAnsi="Book Antiqua" w:cs="宋体"/>
          <w:b/>
          <w:bCs/>
        </w:rPr>
        <w:t>16</w:t>
      </w:r>
      <w:r w:rsidRPr="002A1E19">
        <w:rPr>
          <w:rFonts w:ascii="Book Antiqua" w:eastAsia="宋体" w:hAnsi="Book Antiqua" w:cs="宋体"/>
        </w:rPr>
        <w:t>: 4634-4639 [PMID: 20872962</w:t>
      </w:r>
      <w:r w:rsidR="002B091D">
        <w:rPr>
          <w:rFonts w:ascii="Book Antiqua" w:eastAsia="宋体" w:hAnsi="Book Antiqua" w:cs="宋体" w:hint="eastAsia"/>
          <w:lang w:eastAsia="zh-CN"/>
        </w:rPr>
        <w:t xml:space="preserve"> </w:t>
      </w:r>
      <w:r w:rsidR="002B091D" w:rsidRPr="002B091D">
        <w:rPr>
          <w:rFonts w:ascii="Book Antiqua" w:eastAsia="宋体" w:hAnsi="Book Antiqua" w:cs="宋体"/>
          <w:lang w:eastAsia="zh-CN"/>
        </w:rPr>
        <w:t>DOI</w:t>
      </w:r>
      <w:r w:rsidR="002B091D">
        <w:rPr>
          <w:rFonts w:ascii="Book Antiqua" w:eastAsia="宋体" w:hAnsi="Book Antiqua" w:cs="宋体" w:hint="eastAsia"/>
          <w:lang w:eastAsia="zh-CN"/>
        </w:rPr>
        <w:t xml:space="preserve">: </w:t>
      </w:r>
      <w:r w:rsidR="002B091D" w:rsidRPr="002B091D">
        <w:rPr>
          <w:rFonts w:ascii="Book Antiqua" w:eastAsia="宋体" w:hAnsi="Book Antiqua" w:cs="宋体"/>
          <w:lang w:eastAsia="zh-CN"/>
        </w:rPr>
        <w:t>10.3748/wjg.v16.i37.4634</w:t>
      </w:r>
      <w:r w:rsidRPr="002A1E19">
        <w:rPr>
          <w:rFonts w:ascii="Book Antiqua" w:eastAsia="宋体" w:hAnsi="Book Antiqua" w:cs="宋体"/>
        </w:rPr>
        <w:t>]</w:t>
      </w:r>
    </w:p>
    <w:p w:rsidR="002A6339" w:rsidRPr="002A1E19" w:rsidRDefault="002A6339" w:rsidP="002A6339">
      <w:pPr>
        <w:spacing w:line="360" w:lineRule="auto"/>
        <w:jc w:val="both"/>
        <w:rPr>
          <w:rFonts w:ascii="Book Antiqua" w:eastAsia="宋体" w:hAnsi="Book Antiqua" w:cs="宋体"/>
        </w:rPr>
      </w:pPr>
      <w:r>
        <w:rPr>
          <w:rFonts w:ascii="Book Antiqua" w:eastAsia="宋体" w:hAnsi="Book Antiqua" w:cs="宋体"/>
        </w:rPr>
        <w:t xml:space="preserve">25 </w:t>
      </w:r>
      <w:r w:rsidRPr="002A1E19">
        <w:rPr>
          <w:rFonts w:ascii="Book Antiqua" w:eastAsia="宋体" w:hAnsi="Book Antiqua" w:cs="宋体"/>
          <w:b/>
        </w:rPr>
        <w:t xml:space="preserve">Lauwers GY, </w:t>
      </w:r>
      <w:r w:rsidRPr="002A1E19">
        <w:rPr>
          <w:rFonts w:ascii="Book Antiqua" w:eastAsia="宋体" w:hAnsi="Book Antiqua" w:cs="宋体"/>
        </w:rPr>
        <w:t>Carneiro F, Graham DY, Curado MP, Franceschi S, Montgomery E, Tatematsu M, Hattori T. Gastric carcinoma. In: Bosman FT, Carneiro F, Hruban RH and Theise ND, editors. WHO Classification of Tumors of the Digestive System. 4th Edition. Lyon: IARC; 2010. pp. 48–68.</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26 </w:t>
      </w:r>
      <w:r w:rsidRPr="002A1E19">
        <w:rPr>
          <w:rFonts w:ascii="Book Antiqua" w:eastAsia="宋体" w:hAnsi="Book Antiqua" w:cs="宋体"/>
          <w:b/>
          <w:bCs/>
        </w:rPr>
        <w:t>Nguyen MD</w:t>
      </w:r>
      <w:r w:rsidRPr="002A1E19">
        <w:rPr>
          <w:rFonts w:ascii="Book Antiqua" w:eastAsia="宋体" w:hAnsi="Book Antiqua" w:cs="宋体"/>
        </w:rPr>
        <w:t>, Plasil B, Wen P, Frankel WL. Mucin profiles in signet-ring cell carcinoma. </w:t>
      </w:r>
      <w:r w:rsidRPr="002A1E19">
        <w:rPr>
          <w:rFonts w:ascii="Book Antiqua" w:eastAsia="宋体" w:hAnsi="Book Antiqua" w:cs="宋体"/>
          <w:i/>
          <w:iCs/>
        </w:rPr>
        <w:t>Arch Pathol Lab Med</w:t>
      </w:r>
      <w:r w:rsidRPr="002A1E19">
        <w:rPr>
          <w:rFonts w:ascii="Book Antiqua" w:eastAsia="宋体" w:hAnsi="Book Antiqua" w:cs="宋体"/>
        </w:rPr>
        <w:t> 2006; </w:t>
      </w:r>
      <w:r w:rsidRPr="002A1E19">
        <w:rPr>
          <w:rFonts w:ascii="Book Antiqua" w:eastAsia="宋体" w:hAnsi="Book Antiqua" w:cs="宋体"/>
          <w:b/>
          <w:bCs/>
        </w:rPr>
        <w:t>130</w:t>
      </w:r>
      <w:r w:rsidRPr="002A1E19">
        <w:rPr>
          <w:rFonts w:ascii="Book Antiqua" w:eastAsia="宋体" w:hAnsi="Book Antiqua" w:cs="宋体"/>
        </w:rPr>
        <w:t>: 799-804 [PMID: 16740030]</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27 </w:t>
      </w:r>
      <w:r w:rsidRPr="002A1E19">
        <w:rPr>
          <w:rFonts w:ascii="Book Antiqua" w:eastAsia="宋体" w:hAnsi="Book Antiqua" w:cs="宋体"/>
          <w:b/>
          <w:bCs/>
        </w:rPr>
        <w:t>Mimata A</w:t>
      </w:r>
      <w:r w:rsidRPr="002A1E19">
        <w:rPr>
          <w:rFonts w:ascii="Book Antiqua" w:eastAsia="宋体" w:hAnsi="Book Antiqua" w:cs="宋体"/>
        </w:rPr>
        <w:t>, Fukamachi H, Eishi Y, Yuasa Y. Loss of E-cadherin in mouse gastric epithelial cells induces signet ring-like cells, a possible precursor lesion of diffuse gastric cancer. </w:t>
      </w:r>
      <w:r w:rsidRPr="002A1E19">
        <w:rPr>
          <w:rFonts w:ascii="Book Antiqua" w:eastAsia="宋体" w:hAnsi="Book Antiqua" w:cs="宋体"/>
          <w:i/>
          <w:iCs/>
        </w:rPr>
        <w:t>Cancer Sci</w:t>
      </w:r>
      <w:r w:rsidRPr="002A1E19">
        <w:rPr>
          <w:rFonts w:ascii="Book Antiqua" w:eastAsia="宋体" w:hAnsi="Book Antiqua" w:cs="宋体"/>
        </w:rPr>
        <w:t> 2011; </w:t>
      </w:r>
      <w:r w:rsidRPr="002A1E19">
        <w:rPr>
          <w:rFonts w:ascii="Book Antiqua" w:eastAsia="宋体" w:hAnsi="Book Antiqua" w:cs="宋体"/>
          <w:b/>
          <w:bCs/>
        </w:rPr>
        <w:t>102</w:t>
      </w:r>
      <w:r w:rsidRPr="002A1E19">
        <w:rPr>
          <w:rFonts w:ascii="Book Antiqua" w:eastAsia="宋体" w:hAnsi="Book Antiqua" w:cs="宋体"/>
        </w:rPr>
        <w:t>: 942-950 [PMID: 21276134 DOI: 10.1111/j.1349-7006.2011.01890.x</w:t>
      </w:r>
      <w:r>
        <w:rPr>
          <w:rFonts w:ascii="Book Antiqua" w:eastAsia="宋体" w:hAnsi="Book Antiqua" w:cs="宋体"/>
        </w:rPr>
        <w:t>]</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28 </w:t>
      </w:r>
      <w:r w:rsidRPr="002A1E19">
        <w:rPr>
          <w:rFonts w:ascii="Book Antiqua" w:eastAsia="宋体" w:hAnsi="Book Antiqua" w:cs="宋体"/>
          <w:b/>
          <w:bCs/>
        </w:rPr>
        <w:t>Yamamoto E</w:t>
      </w:r>
      <w:r w:rsidRPr="002A1E19">
        <w:rPr>
          <w:rFonts w:ascii="Book Antiqua" w:eastAsia="宋体" w:hAnsi="Book Antiqua" w:cs="宋体"/>
        </w:rPr>
        <w:t>, Suzuki H, Takamaru H, Yamamoto H, Toyota M, Shinomura Y. Role of DNA methylation in the development of diffuse-type gastric cancer. </w:t>
      </w:r>
      <w:r w:rsidRPr="002A1E19">
        <w:rPr>
          <w:rFonts w:ascii="Book Antiqua" w:eastAsia="宋体" w:hAnsi="Book Antiqua" w:cs="宋体"/>
          <w:i/>
          <w:iCs/>
        </w:rPr>
        <w:t>Digestion</w:t>
      </w:r>
      <w:r w:rsidRPr="002A1E19">
        <w:rPr>
          <w:rFonts w:ascii="Book Antiqua" w:eastAsia="宋体" w:hAnsi="Book Antiqua" w:cs="宋体"/>
        </w:rPr>
        <w:t> 2011; </w:t>
      </w:r>
      <w:r w:rsidRPr="002A1E19">
        <w:rPr>
          <w:rFonts w:ascii="Book Antiqua" w:eastAsia="宋体" w:hAnsi="Book Antiqua" w:cs="宋体"/>
          <w:b/>
          <w:bCs/>
        </w:rPr>
        <w:t>83</w:t>
      </w:r>
      <w:r w:rsidRPr="002A1E19">
        <w:rPr>
          <w:rFonts w:ascii="Book Antiqua" w:eastAsia="宋体" w:hAnsi="Book Antiqua" w:cs="宋体"/>
        </w:rPr>
        <w:t>: 241-249 [PMID: 21273772 DOI: 10.1159/000320453</w:t>
      </w:r>
      <w:r>
        <w:rPr>
          <w:rFonts w:ascii="Book Antiqua" w:eastAsia="宋体" w:hAnsi="Book Antiqua" w:cs="宋体"/>
        </w:rPr>
        <w:t>]</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29 </w:t>
      </w:r>
      <w:r w:rsidRPr="002A1E19">
        <w:rPr>
          <w:rFonts w:ascii="Book Antiqua" w:eastAsia="宋体" w:hAnsi="Book Antiqua" w:cs="宋体"/>
          <w:b/>
          <w:bCs/>
        </w:rPr>
        <w:t>Nobili S</w:t>
      </w:r>
      <w:r w:rsidRPr="002A1E19">
        <w:rPr>
          <w:rFonts w:ascii="Book Antiqua" w:eastAsia="宋体" w:hAnsi="Book Antiqua" w:cs="宋体"/>
        </w:rPr>
        <w:t>, Bruno L, Landini I, Napoli C, Bechi P, Tonelli F, Rubio CA, Mini E, Nesi G. Genomic and genetic alterations influence the progression of gastric cancer. </w:t>
      </w:r>
      <w:r w:rsidRPr="002A1E19">
        <w:rPr>
          <w:rFonts w:ascii="Book Antiqua" w:eastAsia="宋体" w:hAnsi="Book Antiqua" w:cs="宋体"/>
          <w:i/>
          <w:iCs/>
        </w:rPr>
        <w:t>World J Gastroenterol</w:t>
      </w:r>
      <w:r w:rsidRPr="002A1E19">
        <w:rPr>
          <w:rFonts w:ascii="Book Antiqua" w:eastAsia="宋体" w:hAnsi="Book Antiqua" w:cs="宋体"/>
        </w:rPr>
        <w:t> 2011; </w:t>
      </w:r>
      <w:r w:rsidRPr="002A1E19">
        <w:rPr>
          <w:rFonts w:ascii="Book Antiqua" w:eastAsia="宋体" w:hAnsi="Book Antiqua" w:cs="宋体"/>
          <w:b/>
          <w:bCs/>
        </w:rPr>
        <w:t>17</w:t>
      </w:r>
      <w:r w:rsidRPr="002A1E19">
        <w:rPr>
          <w:rFonts w:ascii="Book Antiqua" w:eastAsia="宋体" w:hAnsi="Book Antiqua" w:cs="宋体"/>
        </w:rPr>
        <w:t>: 290-299 [PMID: 21253387 DOI: 10.3748/wjg.v17.i3.290</w:t>
      </w:r>
      <w:r>
        <w:rPr>
          <w:rFonts w:ascii="Book Antiqua" w:eastAsia="宋体" w:hAnsi="Book Antiqua" w:cs="宋体"/>
        </w:rPr>
        <w:t>]</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30 </w:t>
      </w:r>
      <w:r w:rsidRPr="002A1E19">
        <w:rPr>
          <w:rFonts w:ascii="Book Antiqua" w:eastAsia="宋体" w:hAnsi="Book Antiqua" w:cs="宋体"/>
          <w:b/>
          <w:bCs/>
        </w:rPr>
        <w:t>Fitzgerald RC</w:t>
      </w:r>
      <w:r w:rsidRPr="002A1E19">
        <w:rPr>
          <w:rFonts w:ascii="Book Antiqua" w:eastAsia="宋体" w:hAnsi="Book Antiqua" w:cs="宋体"/>
        </w:rPr>
        <w:t>, Hardwick R, Huntsman D, Carneiro F, Guilford P, Blair V, Chung DC, Norton J, Ragunath K, Van Krieken JH, Dwerryhouse S, Caldas C. Hereditary diffuse gastric cancer: updated consensus guidelines for clinical management and directions for future research. </w:t>
      </w:r>
      <w:r w:rsidRPr="002A1E19">
        <w:rPr>
          <w:rFonts w:ascii="Book Antiqua" w:eastAsia="宋体" w:hAnsi="Book Antiqua" w:cs="宋体"/>
          <w:i/>
          <w:iCs/>
        </w:rPr>
        <w:t>J Med Genet</w:t>
      </w:r>
      <w:r w:rsidRPr="002A1E19">
        <w:rPr>
          <w:rFonts w:ascii="Book Antiqua" w:eastAsia="宋体" w:hAnsi="Book Antiqua" w:cs="宋体"/>
        </w:rPr>
        <w:t> 2010; </w:t>
      </w:r>
      <w:r w:rsidRPr="002A1E19">
        <w:rPr>
          <w:rFonts w:ascii="Book Antiqua" w:eastAsia="宋体" w:hAnsi="Book Antiqua" w:cs="宋体"/>
          <w:b/>
          <w:bCs/>
        </w:rPr>
        <w:t>47</w:t>
      </w:r>
      <w:r w:rsidRPr="002A1E19">
        <w:rPr>
          <w:rFonts w:ascii="Book Antiqua" w:eastAsia="宋体" w:hAnsi="Book Antiqua" w:cs="宋体"/>
        </w:rPr>
        <w:t>: 436-444 [PMID: 20591882 DOI: 10.1136/jmg.2009.074237</w:t>
      </w:r>
      <w:r>
        <w:rPr>
          <w:rFonts w:ascii="Book Antiqua" w:eastAsia="宋体" w:hAnsi="Book Antiqua" w:cs="宋体"/>
        </w:rPr>
        <w:t>]</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31 </w:t>
      </w:r>
      <w:r w:rsidRPr="002A1E19">
        <w:rPr>
          <w:rFonts w:ascii="Book Antiqua" w:eastAsia="宋体" w:hAnsi="Book Antiqua" w:cs="宋体"/>
          <w:b/>
          <w:bCs/>
        </w:rPr>
        <w:t>Guilford P</w:t>
      </w:r>
      <w:r w:rsidRPr="002A1E19">
        <w:rPr>
          <w:rFonts w:ascii="Book Antiqua" w:eastAsia="宋体" w:hAnsi="Book Antiqua" w:cs="宋体"/>
        </w:rPr>
        <w:t>, Humar B, Blair V. Hereditary diffuse gastric cancer: translation of CDH1 germline mutations into clinical practice. </w:t>
      </w:r>
      <w:r w:rsidRPr="002A1E19">
        <w:rPr>
          <w:rFonts w:ascii="Book Antiqua" w:eastAsia="宋体" w:hAnsi="Book Antiqua" w:cs="宋体"/>
          <w:i/>
          <w:iCs/>
        </w:rPr>
        <w:t>Gastric Cancer</w:t>
      </w:r>
      <w:r w:rsidRPr="002A1E19">
        <w:rPr>
          <w:rFonts w:ascii="Book Antiqua" w:eastAsia="宋体" w:hAnsi="Book Antiqua" w:cs="宋体"/>
        </w:rPr>
        <w:t> 2010; </w:t>
      </w:r>
      <w:r w:rsidRPr="002A1E19">
        <w:rPr>
          <w:rFonts w:ascii="Book Antiqua" w:eastAsia="宋体" w:hAnsi="Book Antiqua" w:cs="宋体"/>
          <w:b/>
          <w:bCs/>
        </w:rPr>
        <w:t>13</w:t>
      </w:r>
      <w:r w:rsidRPr="002A1E19">
        <w:rPr>
          <w:rFonts w:ascii="Book Antiqua" w:eastAsia="宋体" w:hAnsi="Book Antiqua" w:cs="宋体"/>
        </w:rPr>
        <w:t>: 1-10 [PMID: 20373070 DOI: 10.1007/s10120-009-0531-x</w:t>
      </w:r>
      <w:r>
        <w:rPr>
          <w:rFonts w:ascii="Book Antiqua" w:eastAsia="宋体" w:hAnsi="Book Antiqua" w:cs="宋体"/>
        </w:rPr>
        <w:t>]</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lastRenderedPageBreak/>
        <w:t>32 </w:t>
      </w:r>
      <w:r w:rsidRPr="002A1E19">
        <w:rPr>
          <w:rFonts w:ascii="Book Antiqua" w:eastAsia="宋体" w:hAnsi="Book Antiqua" w:cs="宋体"/>
          <w:b/>
          <w:bCs/>
        </w:rPr>
        <w:t>Barber ME</w:t>
      </w:r>
      <w:r w:rsidRPr="002A1E19">
        <w:rPr>
          <w:rFonts w:ascii="Book Antiqua" w:eastAsia="宋体" w:hAnsi="Book Antiqua" w:cs="宋体"/>
        </w:rPr>
        <w:t>, Save V, Carneiro F, Dwerryhouse S, Lao-Sirieix P, Hardwick RH, Caldas C, Fitzgerald RC. Histopathological and molecular analysis of gastrectomy specimens from hereditary diffuse gastric cancer patients has implications for endoscopic surveillance of individuals at risk. </w:t>
      </w:r>
      <w:r w:rsidRPr="002A1E19">
        <w:rPr>
          <w:rFonts w:ascii="Book Antiqua" w:eastAsia="宋体" w:hAnsi="Book Antiqua" w:cs="宋体"/>
          <w:i/>
          <w:iCs/>
        </w:rPr>
        <w:t>J Pathol</w:t>
      </w:r>
      <w:r w:rsidRPr="002A1E19">
        <w:rPr>
          <w:rFonts w:ascii="Book Antiqua" w:eastAsia="宋体" w:hAnsi="Book Antiqua" w:cs="宋体"/>
        </w:rPr>
        <w:t> 2008; </w:t>
      </w:r>
      <w:r w:rsidRPr="002A1E19">
        <w:rPr>
          <w:rFonts w:ascii="Book Antiqua" w:eastAsia="宋体" w:hAnsi="Book Antiqua" w:cs="宋体"/>
          <w:b/>
          <w:bCs/>
        </w:rPr>
        <w:t>216</w:t>
      </w:r>
      <w:r w:rsidRPr="002A1E19">
        <w:rPr>
          <w:rFonts w:ascii="Book Antiqua" w:eastAsia="宋体" w:hAnsi="Book Antiqua" w:cs="宋体"/>
        </w:rPr>
        <w:t>: 286-294 [PMID: 18825658 DOI: 10.1002/path.2415</w:t>
      </w:r>
      <w:r>
        <w:rPr>
          <w:rFonts w:ascii="Book Antiqua" w:eastAsia="宋体" w:hAnsi="Book Antiqua" w:cs="宋体"/>
        </w:rPr>
        <w:t>]</w:t>
      </w:r>
    </w:p>
    <w:p w:rsidR="002A6339" w:rsidRPr="002A1E19" w:rsidRDefault="002A6339" w:rsidP="002A6339">
      <w:pPr>
        <w:spacing w:line="360" w:lineRule="auto"/>
        <w:jc w:val="both"/>
        <w:rPr>
          <w:rFonts w:ascii="Book Antiqua" w:eastAsia="宋体" w:hAnsi="Book Antiqua" w:cs="宋体"/>
        </w:rPr>
      </w:pPr>
      <w:r>
        <w:rPr>
          <w:rFonts w:ascii="Book Antiqua" w:eastAsia="宋体" w:hAnsi="Book Antiqua" w:cs="宋体"/>
        </w:rPr>
        <w:t xml:space="preserve">33 </w:t>
      </w:r>
      <w:r w:rsidRPr="002A1E19">
        <w:rPr>
          <w:rFonts w:ascii="Book Antiqua" w:eastAsia="宋体" w:hAnsi="Book Antiqua" w:cs="宋体"/>
          <w:b/>
        </w:rPr>
        <w:t xml:space="preserve">Carneiro F, </w:t>
      </w:r>
      <w:r w:rsidRPr="002A1E19">
        <w:rPr>
          <w:rFonts w:ascii="Book Antiqua" w:eastAsia="宋体" w:hAnsi="Book Antiqua" w:cs="宋体"/>
        </w:rPr>
        <w:t>Huntsman DG, Smyrk TC, Owen DA, Seruca R, Pharoah P, Caldas C, Sobrinho-Simões M. Model of the early development of diffuse gastric cancer in E-cadherin mutation carriers and its implications for patient screening.</w:t>
      </w:r>
      <w:r w:rsidRPr="002A1E19">
        <w:rPr>
          <w:rFonts w:ascii="Book Antiqua" w:eastAsia="宋体" w:hAnsi="Book Antiqua" w:cs="宋体"/>
          <w:i/>
        </w:rPr>
        <w:t xml:space="preserve"> J Pathol </w:t>
      </w:r>
      <w:r w:rsidRPr="002A1E19">
        <w:rPr>
          <w:rFonts w:ascii="Book Antiqua" w:eastAsia="宋体" w:hAnsi="Book Antiqua" w:cs="宋体"/>
        </w:rPr>
        <w:t xml:space="preserve">2004; </w:t>
      </w:r>
      <w:r w:rsidRPr="002A1E19">
        <w:rPr>
          <w:rFonts w:ascii="Book Antiqua" w:eastAsia="宋体" w:hAnsi="Book Antiqua" w:cs="宋体"/>
          <w:b/>
        </w:rPr>
        <w:t>203</w:t>
      </w:r>
      <w:r w:rsidRPr="002A1E19">
        <w:rPr>
          <w:rFonts w:ascii="Book Antiqua" w:eastAsia="宋体" w:hAnsi="Book Antiqua" w:cs="宋体"/>
        </w:rPr>
        <w:t xml:space="preserve">: 681–687 </w:t>
      </w:r>
      <w:r>
        <w:rPr>
          <w:rFonts w:ascii="Book Antiqua" w:eastAsia="宋体" w:hAnsi="Book Antiqua" w:cs="宋体" w:hint="eastAsia"/>
        </w:rPr>
        <w:t>[</w:t>
      </w:r>
      <w:r w:rsidRPr="002A1E19">
        <w:rPr>
          <w:rFonts w:ascii="Book Antiqua" w:eastAsia="宋体" w:hAnsi="Book Antiqua" w:cs="宋体"/>
        </w:rPr>
        <w:t>PMID</w:t>
      </w:r>
      <w:r>
        <w:rPr>
          <w:rFonts w:ascii="Book Antiqua" w:eastAsia="宋体" w:hAnsi="Book Antiqua" w:cs="宋体" w:hint="eastAsia"/>
        </w:rPr>
        <w:t>:</w:t>
      </w:r>
      <w:r w:rsidRPr="002A1E19">
        <w:rPr>
          <w:rFonts w:ascii="Book Antiqua" w:eastAsia="宋体" w:hAnsi="Book Antiqua" w:cs="宋体"/>
        </w:rPr>
        <w:t xml:space="preserve"> 15141383</w:t>
      </w:r>
      <w:r>
        <w:rPr>
          <w:rFonts w:ascii="Book Antiqua" w:eastAsia="宋体" w:hAnsi="Book Antiqua" w:cs="宋体" w:hint="eastAsia"/>
        </w:rPr>
        <w:t>]</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34 </w:t>
      </w:r>
      <w:r w:rsidRPr="002A1E19">
        <w:rPr>
          <w:rFonts w:ascii="Book Antiqua" w:eastAsia="宋体" w:hAnsi="Book Antiqua" w:cs="宋体"/>
          <w:b/>
          <w:bCs/>
        </w:rPr>
        <w:t>Ghandur-Mnaymneh L</w:t>
      </w:r>
      <w:r w:rsidRPr="002A1E19">
        <w:rPr>
          <w:rFonts w:ascii="Book Antiqua" w:eastAsia="宋体" w:hAnsi="Book Antiqua" w:cs="宋体"/>
        </w:rPr>
        <w:t>, Paz J, Roldan E, Cassady J. Dysplasia of nonmetaplastic gastric mucosa. A proposal for its classification and its possible relationship to diffuse-type gastric carcinoma. </w:t>
      </w:r>
      <w:r w:rsidRPr="002A1E19">
        <w:rPr>
          <w:rFonts w:ascii="Book Antiqua" w:eastAsia="宋体" w:hAnsi="Book Antiqua" w:cs="宋体"/>
          <w:i/>
          <w:iCs/>
        </w:rPr>
        <w:t>Am J Surg Pathol</w:t>
      </w:r>
      <w:r w:rsidRPr="002A1E19">
        <w:rPr>
          <w:rFonts w:ascii="Book Antiqua" w:eastAsia="宋体" w:hAnsi="Book Antiqua" w:cs="宋体"/>
        </w:rPr>
        <w:t> 1988; </w:t>
      </w:r>
      <w:r w:rsidRPr="002A1E19">
        <w:rPr>
          <w:rFonts w:ascii="Book Antiqua" w:eastAsia="宋体" w:hAnsi="Book Antiqua" w:cs="宋体"/>
          <w:b/>
          <w:bCs/>
        </w:rPr>
        <w:t>12</w:t>
      </w:r>
      <w:r w:rsidRPr="002A1E19">
        <w:rPr>
          <w:rFonts w:ascii="Book Antiqua" w:eastAsia="宋体" w:hAnsi="Book Antiqua" w:cs="宋体"/>
        </w:rPr>
        <w:t>: 96-114 [PMID: 3341515]</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35 </w:t>
      </w:r>
      <w:r w:rsidRPr="002A1E19">
        <w:rPr>
          <w:rFonts w:ascii="Book Antiqua" w:eastAsia="宋体" w:hAnsi="Book Antiqua" w:cs="宋体"/>
          <w:b/>
          <w:bCs/>
        </w:rPr>
        <w:t>Kumarasinghe MP</w:t>
      </w:r>
      <w:r w:rsidRPr="002A1E19">
        <w:rPr>
          <w:rFonts w:ascii="Book Antiqua" w:eastAsia="宋体" w:hAnsi="Book Antiqua" w:cs="宋体"/>
        </w:rPr>
        <w:t>, Lim TK, Ooi CJ, Luman W, Tan SY, Koh M. Tubule neck dysplasia: precursor lesion of signet ring cell carcinoma and the immunohistochemical profile. </w:t>
      </w:r>
      <w:r w:rsidRPr="002A1E19">
        <w:rPr>
          <w:rFonts w:ascii="Book Antiqua" w:eastAsia="宋体" w:hAnsi="Book Antiqua" w:cs="宋体"/>
          <w:i/>
          <w:iCs/>
        </w:rPr>
        <w:t>Pathology</w:t>
      </w:r>
      <w:r w:rsidRPr="002A1E19">
        <w:rPr>
          <w:rFonts w:ascii="Book Antiqua" w:eastAsia="宋体" w:hAnsi="Book Antiqua" w:cs="宋体"/>
        </w:rPr>
        <w:t> 2006; </w:t>
      </w:r>
      <w:r w:rsidRPr="002A1E19">
        <w:rPr>
          <w:rFonts w:ascii="Book Antiqua" w:eastAsia="宋体" w:hAnsi="Book Antiqua" w:cs="宋体"/>
          <w:b/>
          <w:bCs/>
        </w:rPr>
        <w:t>38</w:t>
      </w:r>
      <w:r w:rsidRPr="002A1E19">
        <w:rPr>
          <w:rFonts w:ascii="Book Antiqua" w:eastAsia="宋体" w:hAnsi="Book Antiqua" w:cs="宋体"/>
        </w:rPr>
        <w:t>: 468-471 [PMID: 17008295]</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36 </w:t>
      </w:r>
      <w:r w:rsidRPr="002A1E19">
        <w:rPr>
          <w:rFonts w:ascii="Book Antiqua" w:eastAsia="宋体" w:hAnsi="Book Antiqua" w:cs="宋体"/>
          <w:b/>
          <w:bCs/>
        </w:rPr>
        <w:t>Lauwers GY</w:t>
      </w:r>
      <w:r w:rsidRPr="002A1E19">
        <w:rPr>
          <w:rFonts w:ascii="Book Antiqua" w:eastAsia="宋体" w:hAnsi="Book Antiqua" w:cs="宋体"/>
        </w:rPr>
        <w:t>, Srivastava A. Gastric preneoplastic lesions and epithelial dysplasia. </w:t>
      </w:r>
      <w:r w:rsidRPr="002A1E19">
        <w:rPr>
          <w:rFonts w:ascii="Book Antiqua" w:eastAsia="宋体" w:hAnsi="Book Antiqua" w:cs="宋体"/>
          <w:i/>
          <w:iCs/>
        </w:rPr>
        <w:t>Gastroenterol Clin North Am</w:t>
      </w:r>
      <w:r w:rsidRPr="002A1E19">
        <w:rPr>
          <w:rFonts w:ascii="Book Antiqua" w:eastAsia="宋体" w:hAnsi="Book Antiqua" w:cs="宋体"/>
        </w:rPr>
        <w:t> 2007; </w:t>
      </w:r>
      <w:r w:rsidRPr="002A1E19">
        <w:rPr>
          <w:rFonts w:ascii="Book Antiqua" w:eastAsia="宋体" w:hAnsi="Book Antiqua" w:cs="宋体"/>
          <w:b/>
          <w:bCs/>
        </w:rPr>
        <w:t>36</w:t>
      </w:r>
      <w:r w:rsidRPr="002A1E19">
        <w:rPr>
          <w:rFonts w:ascii="Book Antiqua" w:eastAsia="宋体" w:hAnsi="Book Antiqua" w:cs="宋体"/>
        </w:rPr>
        <w:t>: 813-29, vi [PMID: 17996792]</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37 </w:t>
      </w:r>
      <w:r w:rsidRPr="002A1E19">
        <w:rPr>
          <w:rFonts w:ascii="Book Antiqua" w:eastAsia="宋体" w:hAnsi="Book Antiqua" w:cs="宋体"/>
          <w:b/>
          <w:bCs/>
        </w:rPr>
        <w:t>Kushima R</w:t>
      </w:r>
      <w:r w:rsidRPr="002A1E19">
        <w:rPr>
          <w:rFonts w:ascii="Book Antiqua" w:eastAsia="宋体" w:hAnsi="Book Antiqua" w:cs="宋体"/>
        </w:rPr>
        <w:t>, Vieth M, Borchard F, Stolte M, Mukaisho K, Hattori T. Gastric-type well-differentiated adenocarcinoma and pyloric gland adenoma of the stomach. </w:t>
      </w:r>
      <w:r w:rsidRPr="002A1E19">
        <w:rPr>
          <w:rFonts w:ascii="Book Antiqua" w:eastAsia="宋体" w:hAnsi="Book Antiqua" w:cs="宋体"/>
          <w:i/>
          <w:iCs/>
        </w:rPr>
        <w:t>Gastric Cancer</w:t>
      </w:r>
      <w:r w:rsidRPr="002A1E19">
        <w:rPr>
          <w:rFonts w:ascii="Book Antiqua" w:eastAsia="宋体" w:hAnsi="Book Antiqua" w:cs="宋体"/>
        </w:rPr>
        <w:t> 2006; </w:t>
      </w:r>
      <w:r w:rsidRPr="002A1E19">
        <w:rPr>
          <w:rFonts w:ascii="Book Antiqua" w:eastAsia="宋体" w:hAnsi="Book Antiqua" w:cs="宋体"/>
          <w:b/>
          <w:bCs/>
        </w:rPr>
        <w:t>9</w:t>
      </w:r>
      <w:r w:rsidRPr="002A1E19">
        <w:rPr>
          <w:rFonts w:ascii="Book Antiqua" w:eastAsia="宋体" w:hAnsi="Book Antiqua" w:cs="宋体"/>
        </w:rPr>
        <w:t>: 177-184 [PMID: 16952035]</w:t>
      </w:r>
    </w:p>
    <w:p w:rsidR="002A6339" w:rsidRPr="002A1E19" w:rsidRDefault="002A6339" w:rsidP="002A6339">
      <w:pPr>
        <w:spacing w:line="360" w:lineRule="auto"/>
        <w:jc w:val="both"/>
        <w:rPr>
          <w:rFonts w:ascii="Book Antiqua" w:eastAsia="宋体" w:hAnsi="Book Antiqua" w:cs="宋体"/>
        </w:rPr>
      </w:pPr>
      <w:r>
        <w:rPr>
          <w:rFonts w:ascii="Book Antiqua" w:eastAsia="宋体" w:hAnsi="Book Antiqua" w:cs="宋体"/>
        </w:rPr>
        <w:t>38</w:t>
      </w:r>
      <w:r w:rsidRPr="002A1E19">
        <w:rPr>
          <w:rFonts w:ascii="Book Antiqua" w:eastAsia="宋体" w:hAnsi="Book Antiqua" w:cs="宋体"/>
          <w:b/>
        </w:rPr>
        <w:t xml:space="preserve"> </w:t>
      </w:r>
      <w:r w:rsidRPr="002A1E19">
        <w:rPr>
          <w:rFonts w:ascii="Book Antiqua" w:eastAsia="宋体" w:hAnsi="Book Antiqua" w:cs="宋体"/>
        </w:rPr>
        <w:t>Schistosomes, liver flukes and Helicobacter pylori. IARC Working Group on the Evaluation of Carcinogenic Risks to Humans. Lyon, 7-14 June 1994.</w:t>
      </w:r>
      <w:r>
        <w:rPr>
          <w:rFonts w:ascii="Book Antiqua" w:eastAsia="宋体" w:hAnsi="Book Antiqua" w:cs="宋体" w:hint="eastAsia"/>
        </w:rPr>
        <w:t xml:space="preserve"> </w:t>
      </w:r>
      <w:r w:rsidRPr="002A1E19">
        <w:rPr>
          <w:rFonts w:ascii="Book Antiqua" w:eastAsia="宋体" w:hAnsi="Book Antiqua" w:cs="宋体"/>
          <w:i/>
        </w:rPr>
        <w:t>IARC Monogr Eval Carcinog Risks Hum</w:t>
      </w:r>
      <w:r>
        <w:rPr>
          <w:rFonts w:ascii="Book Antiqua" w:eastAsia="宋体" w:hAnsi="Book Antiqua" w:cs="宋体" w:hint="eastAsia"/>
        </w:rPr>
        <w:t xml:space="preserve"> </w:t>
      </w:r>
      <w:r w:rsidRPr="002A1E19">
        <w:rPr>
          <w:rFonts w:ascii="Book Antiqua" w:eastAsia="宋体" w:hAnsi="Book Antiqua" w:cs="宋体"/>
        </w:rPr>
        <w:t>1994</w:t>
      </w:r>
      <w:r>
        <w:rPr>
          <w:rFonts w:ascii="Book Antiqua" w:eastAsia="宋体" w:hAnsi="Book Antiqua" w:cs="宋体" w:hint="eastAsia"/>
        </w:rPr>
        <w:t>;</w:t>
      </w:r>
      <w:r w:rsidRPr="002A1E19">
        <w:rPr>
          <w:rFonts w:ascii="Book Antiqua" w:eastAsia="宋体" w:hAnsi="Book Antiqua" w:cs="宋体"/>
        </w:rPr>
        <w:t xml:space="preserve"> </w:t>
      </w:r>
      <w:r w:rsidRPr="002A1E19">
        <w:rPr>
          <w:rFonts w:ascii="Book Antiqua" w:eastAsia="宋体" w:hAnsi="Book Antiqua" w:cs="宋体"/>
          <w:b/>
        </w:rPr>
        <w:t>61</w:t>
      </w:r>
      <w:r>
        <w:rPr>
          <w:rFonts w:ascii="Book Antiqua" w:eastAsia="宋体" w:hAnsi="Book Antiqua" w:cs="宋体"/>
        </w:rPr>
        <w:t xml:space="preserve">: </w:t>
      </w:r>
      <w:r w:rsidR="00BE26F3">
        <w:rPr>
          <w:rFonts w:ascii="Book Antiqua" w:eastAsia="宋体" w:hAnsi="Book Antiqua" w:cs="宋体" w:hint="eastAsia"/>
          <w:lang w:eastAsia="zh-CN"/>
        </w:rPr>
        <w:t>1</w:t>
      </w:r>
      <w:r>
        <w:rPr>
          <w:rFonts w:ascii="Book Antiqua" w:eastAsia="宋体" w:hAnsi="Book Antiqua" w:cs="宋体"/>
        </w:rPr>
        <w:t>–</w:t>
      </w:r>
      <w:r w:rsidR="00BE26F3">
        <w:rPr>
          <w:rFonts w:ascii="Book Antiqua" w:eastAsia="宋体" w:hAnsi="Book Antiqua" w:cs="宋体" w:hint="eastAsia"/>
          <w:lang w:eastAsia="zh-CN"/>
        </w:rPr>
        <w:t>241</w:t>
      </w:r>
      <w:r>
        <w:rPr>
          <w:rFonts w:ascii="Book Antiqua" w:eastAsia="宋体" w:hAnsi="Book Antiqua" w:cs="宋体" w:hint="eastAsia"/>
        </w:rPr>
        <w:t xml:space="preserve"> [</w:t>
      </w:r>
      <w:r w:rsidRPr="002A1E19">
        <w:rPr>
          <w:rFonts w:ascii="Book Antiqua" w:eastAsia="宋体" w:hAnsi="Book Antiqua" w:cs="宋体"/>
        </w:rPr>
        <w:t>PMID: 7715068</w:t>
      </w:r>
      <w:r>
        <w:rPr>
          <w:rFonts w:ascii="Book Antiqua" w:eastAsia="宋体" w:hAnsi="Book Antiqua" w:cs="宋体" w:hint="eastAsia"/>
        </w:rPr>
        <w:t>]</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39 </w:t>
      </w:r>
      <w:r w:rsidRPr="002A1E19">
        <w:rPr>
          <w:rFonts w:ascii="Book Antiqua" w:eastAsia="宋体" w:hAnsi="Book Antiqua" w:cs="宋体"/>
          <w:b/>
          <w:bCs/>
        </w:rPr>
        <w:t>Rudi J</w:t>
      </w:r>
      <w:r w:rsidRPr="002A1E19">
        <w:rPr>
          <w:rFonts w:ascii="Book Antiqua" w:eastAsia="宋体" w:hAnsi="Book Antiqua" w:cs="宋体"/>
        </w:rPr>
        <w:t>, Kolb C, Maiwald M, Kuck D, Sieg A, Galle PR, Stremmel W. Diversity of Helicobacter pylori vacA and cagA genes and relationship to VacA and CagA protein expression, cytotoxin production, and associated diseases. </w:t>
      </w:r>
      <w:r w:rsidRPr="002A1E19">
        <w:rPr>
          <w:rFonts w:ascii="Book Antiqua" w:eastAsia="宋体" w:hAnsi="Book Antiqua" w:cs="宋体"/>
          <w:i/>
          <w:iCs/>
        </w:rPr>
        <w:t>J Clin Microbiol</w:t>
      </w:r>
      <w:r w:rsidRPr="002A1E19">
        <w:rPr>
          <w:rFonts w:ascii="Book Antiqua" w:eastAsia="宋体" w:hAnsi="Book Antiqua" w:cs="宋体"/>
        </w:rPr>
        <w:t> 1998; </w:t>
      </w:r>
      <w:r w:rsidRPr="002A1E19">
        <w:rPr>
          <w:rFonts w:ascii="Book Antiqua" w:eastAsia="宋体" w:hAnsi="Book Antiqua" w:cs="宋体"/>
          <w:b/>
          <w:bCs/>
        </w:rPr>
        <w:t>36</w:t>
      </w:r>
      <w:r w:rsidRPr="002A1E19">
        <w:rPr>
          <w:rFonts w:ascii="Book Antiqua" w:eastAsia="宋体" w:hAnsi="Book Antiqua" w:cs="宋体"/>
        </w:rPr>
        <w:t>: 944-948 [PMID: 9542913]</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40 </w:t>
      </w:r>
      <w:r w:rsidRPr="002A1E19">
        <w:rPr>
          <w:rFonts w:ascii="Book Antiqua" w:eastAsia="宋体" w:hAnsi="Book Antiqua" w:cs="宋体"/>
          <w:b/>
          <w:bCs/>
        </w:rPr>
        <w:t>Galmiche A</w:t>
      </w:r>
      <w:r w:rsidRPr="002A1E19">
        <w:rPr>
          <w:rFonts w:ascii="Book Antiqua" w:eastAsia="宋体" w:hAnsi="Book Antiqua" w:cs="宋体"/>
        </w:rPr>
        <w:t>, Rassow J, Doye A, Cagnol S, Chambard JC, Contamin S, de Thillot V, Just I, Ricci V, Solcia E, Van Obberghen E, Boquet P. The N-terminal 34 kDa fragment of Helicobacter pylori vacuolating cytotoxin targets mitochondria and induces cytochrome c release. </w:t>
      </w:r>
      <w:r w:rsidRPr="002A1E19">
        <w:rPr>
          <w:rFonts w:ascii="Book Antiqua" w:eastAsia="宋体" w:hAnsi="Book Antiqua" w:cs="宋体"/>
          <w:i/>
          <w:iCs/>
        </w:rPr>
        <w:t>EMBO J</w:t>
      </w:r>
      <w:r w:rsidRPr="002A1E19">
        <w:rPr>
          <w:rFonts w:ascii="Book Antiqua" w:eastAsia="宋体" w:hAnsi="Book Antiqua" w:cs="宋体"/>
        </w:rPr>
        <w:t> 2000; </w:t>
      </w:r>
      <w:r w:rsidRPr="002A1E19">
        <w:rPr>
          <w:rFonts w:ascii="Book Antiqua" w:eastAsia="宋体" w:hAnsi="Book Antiqua" w:cs="宋体"/>
          <w:b/>
          <w:bCs/>
        </w:rPr>
        <w:t>19</w:t>
      </w:r>
      <w:r w:rsidRPr="002A1E19">
        <w:rPr>
          <w:rFonts w:ascii="Book Antiqua" w:eastAsia="宋体" w:hAnsi="Book Antiqua" w:cs="宋体"/>
        </w:rPr>
        <w:t>: 6361-6370 [PMID: 11101509]</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lastRenderedPageBreak/>
        <w:t>41 </w:t>
      </w:r>
      <w:r w:rsidRPr="002A1E19">
        <w:rPr>
          <w:rFonts w:ascii="Book Antiqua" w:eastAsia="宋体" w:hAnsi="Book Antiqua" w:cs="宋体"/>
          <w:b/>
          <w:bCs/>
        </w:rPr>
        <w:t>Atherton JC</w:t>
      </w:r>
      <w:r w:rsidRPr="002A1E19">
        <w:rPr>
          <w:rFonts w:ascii="Book Antiqua" w:eastAsia="宋体" w:hAnsi="Book Antiqua" w:cs="宋体"/>
        </w:rPr>
        <w:t>, Peek RM, Tham KT, Cover TL, Blaser MJ. Clinical and pathological importance of heterogeneity in vacA, the vacuolating cytotoxin gene of Helicobacter pylori. </w:t>
      </w:r>
      <w:r w:rsidRPr="002A1E19">
        <w:rPr>
          <w:rFonts w:ascii="Book Antiqua" w:eastAsia="宋体" w:hAnsi="Book Antiqua" w:cs="宋体"/>
          <w:i/>
          <w:iCs/>
        </w:rPr>
        <w:t>Gastroenterology</w:t>
      </w:r>
      <w:r w:rsidRPr="002A1E19">
        <w:rPr>
          <w:rFonts w:ascii="Book Antiqua" w:eastAsia="宋体" w:hAnsi="Book Antiqua" w:cs="宋体"/>
        </w:rPr>
        <w:t> 1997; </w:t>
      </w:r>
      <w:r w:rsidRPr="002A1E19">
        <w:rPr>
          <w:rFonts w:ascii="Book Antiqua" w:eastAsia="宋体" w:hAnsi="Book Antiqua" w:cs="宋体"/>
          <w:b/>
          <w:bCs/>
        </w:rPr>
        <w:t>112</w:t>
      </w:r>
      <w:r w:rsidRPr="002A1E19">
        <w:rPr>
          <w:rFonts w:ascii="Book Antiqua" w:eastAsia="宋体" w:hAnsi="Book Antiqua" w:cs="宋体"/>
        </w:rPr>
        <w:t>: 92-99 [PMID: 8978347]</w:t>
      </w:r>
    </w:p>
    <w:p w:rsidR="002A6339" w:rsidRPr="002A1E19" w:rsidRDefault="002A6339" w:rsidP="002A6339">
      <w:pPr>
        <w:spacing w:line="360" w:lineRule="auto"/>
        <w:jc w:val="both"/>
        <w:rPr>
          <w:rFonts w:ascii="Book Antiqua" w:eastAsia="宋体" w:hAnsi="Book Antiqua" w:cs="宋体"/>
        </w:rPr>
      </w:pPr>
      <w:r>
        <w:rPr>
          <w:rFonts w:ascii="Book Antiqua" w:eastAsia="宋体" w:hAnsi="Book Antiqua" w:cs="宋体"/>
        </w:rPr>
        <w:t>42</w:t>
      </w:r>
      <w:r w:rsidRPr="002A1E19">
        <w:rPr>
          <w:rFonts w:ascii="Book Antiqua" w:eastAsia="宋体" w:hAnsi="Book Antiqua" w:cs="宋体"/>
          <w:b/>
        </w:rPr>
        <w:t xml:space="preserve"> Strickertsson JA,</w:t>
      </w:r>
      <w:r>
        <w:rPr>
          <w:rFonts w:ascii="Book Antiqua" w:eastAsia="宋体" w:hAnsi="Book Antiqua" w:cs="宋体"/>
        </w:rPr>
        <w:t xml:space="preserve"> Desler C, Rasmussen LJ</w:t>
      </w:r>
      <w:r w:rsidRPr="002A1E19">
        <w:rPr>
          <w:rFonts w:ascii="Book Antiqua" w:eastAsia="宋体" w:hAnsi="Book Antiqua" w:cs="宋体"/>
        </w:rPr>
        <w:t>.</w:t>
      </w:r>
      <w:r>
        <w:rPr>
          <w:rFonts w:ascii="Book Antiqua" w:eastAsia="宋体" w:hAnsi="Book Antiqua" w:cs="宋体" w:hint="eastAsia"/>
        </w:rPr>
        <w:t xml:space="preserve"> </w:t>
      </w:r>
      <w:r w:rsidRPr="002A1E19">
        <w:rPr>
          <w:rFonts w:ascii="Book Antiqua" w:eastAsia="宋体" w:hAnsi="Book Antiqua" w:cs="宋体"/>
        </w:rPr>
        <w:t>Impact of bacterial infections on aging and cancer: Impairment of DNA repair and mitochondrial function of host cells. </w:t>
      </w:r>
      <w:r w:rsidRPr="002A1E19">
        <w:rPr>
          <w:rFonts w:ascii="Book Antiqua" w:eastAsia="宋体" w:hAnsi="Book Antiqua" w:cs="宋体"/>
          <w:i/>
          <w:iCs/>
        </w:rPr>
        <w:t>Exp Gerontol</w:t>
      </w:r>
      <w:r w:rsidRPr="002A1E19">
        <w:rPr>
          <w:rFonts w:ascii="Book Antiqua" w:eastAsia="宋体" w:hAnsi="Book Antiqua" w:cs="宋体"/>
        </w:rPr>
        <w:t> 2014; </w:t>
      </w:r>
      <w:r>
        <w:rPr>
          <w:rFonts w:ascii="Book Antiqua" w:eastAsia="宋体" w:hAnsi="Book Antiqua" w:cs="宋体"/>
        </w:rPr>
        <w:t>Epub ahead of print</w:t>
      </w:r>
      <w:r w:rsidRPr="002A1E19">
        <w:rPr>
          <w:rFonts w:ascii="Book Antiqua" w:eastAsia="宋体" w:hAnsi="Book Antiqua" w:cs="宋体"/>
        </w:rPr>
        <w:t xml:space="preserve"> [PMID: 24704713 DOI: 10.1016/j.exger.2014.03.024]</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43 </w:t>
      </w:r>
      <w:r w:rsidRPr="002A1E19">
        <w:rPr>
          <w:rFonts w:ascii="Book Antiqua" w:eastAsia="宋体" w:hAnsi="Book Antiqua" w:cs="宋体"/>
          <w:b/>
          <w:bCs/>
        </w:rPr>
        <w:t>Machado AM</w:t>
      </w:r>
      <w:r w:rsidRPr="002A1E19">
        <w:rPr>
          <w:rFonts w:ascii="Book Antiqua" w:eastAsia="宋体" w:hAnsi="Book Antiqua" w:cs="宋体"/>
        </w:rPr>
        <w:t>, Figueiredo C, Touati E, Máximo V, Sousa S, Michel V, Carneiro F, Nielsen FC, Seruca R, Rasmussen LJ. Helicobacter pylori infection induces genetic instability of nuclear and mitochondrial DNA in gastric cells. </w:t>
      </w:r>
      <w:r w:rsidRPr="002A1E19">
        <w:rPr>
          <w:rFonts w:ascii="Book Antiqua" w:eastAsia="宋体" w:hAnsi="Book Antiqua" w:cs="宋体"/>
          <w:i/>
          <w:iCs/>
        </w:rPr>
        <w:t>Clin Cancer Res</w:t>
      </w:r>
      <w:r w:rsidRPr="002A1E19">
        <w:rPr>
          <w:rFonts w:ascii="Book Antiqua" w:eastAsia="宋体" w:hAnsi="Book Antiqua" w:cs="宋体"/>
        </w:rPr>
        <w:t> 2009; </w:t>
      </w:r>
      <w:r w:rsidRPr="002A1E19">
        <w:rPr>
          <w:rFonts w:ascii="Book Antiqua" w:eastAsia="宋体" w:hAnsi="Book Antiqua" w:cs="宋体"/>
          <w:b/>
          <w:bCs/>
        </w:rPr>
        <w:t>15</w:t>
      </w:r>
      <w:r w:rsidRPr="002A1E19">
        <w:rPr>
          <w:rFonts w:ascii="Book Antiqua" w:eastAsia="宋体" w:hAnsi="Book Antiqua" w:cs="宋体"/>
        </w:rPr>
        <w:t>: 2995-3002 [PMID: 19383819 DOI</w:t>
      </w:r>
      <w:r>
        <w:rPr>
          <w:rFonts w:ascii="Book Antiqua" w:eastAsia="宋体" w:hAnsi="Book Antiqua" w:cs="宋体"/>
        </w:rPr>
        <w:t>: 10.1158/1078-0432.CCR-08-2686</w:t>
      </w:r>
      <w:r w:rsidRPr="002A1E19">
        <w:rPr>
          <w:rFonts w:ascii="Book Antiqua" w:eastAsia="宋体" w:hAnsi="Book Antiqua" w:cs="宋体"/>
        </w:rPr>
        <w:t>]</w:t>
      </w:r>
    </w:p>
    <w:p w:rsidR="002A6339" w:rsidRPr="002A1E19" w:rsidRDefault="002A6339" w:rsidP="002A6339">
      <w:pPr>
        <w:spacing w:line="360" w:lineRule="auto"/>
        <w:jc w:val="both"/>
        <w:rPr>
          <w:rFonts w:ascii="Book Antiqua" w:eastAsia="宋体" w:hAnsi="Book Antiqua" w:cs="宋体"/>
        </w:rPr>
      </w:pPr>
      <w:r>
        <w:rPr>
          <w:rFonts w:ascii="Book Antiqua" w:eastAsia="宋体" w:hAnsi="Book Antiqua" w:cs="宋体"/>
        </w:rPr>
        <w:t>44</w:t>
      </w:r>
      <w:r>
        <w:rPr>
          <w:rFonts w:ascii="Book Antiqua" w:eastAsia="宋体" w:hAnsi="Book Antiqua" w:cs="宋体" w:hint="eastAsia"/>
        </w:rPr>
        <w:t xml:space="preserve"> </w:t>
      </w:r>
      <w:r w:rsidRPr="002A1E19">
        <w:rPr>
          <w:rFonts w:ascii="Book Antiqua" w:eastAsia="宋体" w:hAnsi="Book Antiqua" w:cs="宋体"/>
          <w:b/>
        </w:rPr>
        <w:t>Machado AM,</w:t>
      </w:r>
      <w:r w:rsidRPr="002A1E19">
        <w:rPr>
          <w:rFonts w:ascii="Book Antiqua" w:eastAsia="宋体" w:hAnsi="Book Antiqua" w:cs="宋体"/>
        </w:rPr>
        <w:t xml:space="preserve"> Desler C, Bøggild S, Strickertsson JA, Friis-Hansen L, Figueiredo C, Seruca R, Rasmussen LJ.</w:t>
      </w:r>
      <w:r>
        <w:rPr>
          <w:rFonts w:ascii="Book Antiqua" w:eastAsia="宋体" w:hAnsi="Book Antiqua" w:cs="宋体" w:hint="eastAsia"/>
        </w:rPr>
        <w:t xml:space="preserve"> </w:t>
      </w:r>
      <w:r w:rsidRPr="002A1E19">
        <w:rPr>
          <w:rFonts w:ascii="Book Antiqua" w:eastAsia="宋体" w:hAnsi="Book Antiqua" w:cs="宋体"/>
        </w:rPr>
        <w:t xml:space="preserve">Helicobacter pylori infection affects mitochondrial function and DNA repair, mediating genetic instability in gastric cells. </w:t>
      </w:r>
      <w:r w:rsidRPr="002A1E19">
        <w:rPr>
          <w:rFonts w:ascii="Book Antiqua" w:eastAsia="宋体" w:hAnsi="Book Antiqua" w:cs="宋体"/>
          <w:i/>
        </w:rPr>
        <w:t>Mech Age Dev</w:t>
      </w:r>
      <w:r w:rsidRPr="002A1E19">
        <w:rPr>
          <w:rFonts w:ascii="Book Antiqua" w:eastAsia="宋体" w:hAnsi="Book Antiqua" w:cs="宋体"/>
        </w:rPr>
        <w:t xml:space="preserve"> 2013; </w:t>
      </w:r>
      <w:r w:rsidRPr="002A1E19">
        <w:rPr>
          <w:rFonts w:ascii="Book Antiqua" w:eastAsia="宋体" w:hAnsi="Book Antiqua" w:cs="宋体"/>
          <w:b/>
        </w:rPr>
        <w:t>134</w:t>
      </w:r>
      <w:r w:rsidRPr="002A1E19">
        <w:rPr>
          <w:rFonts w:ascii="Book Antiqua" w:eastAsia="宋体" w:hAnsi="Book Antiqua" w:cs="宋体"/>
        </w:rPr>
        <w:t>: 460-</w:t>
      </w:r>
      <w:r>
        <w:rPr>
          <w:rFonts w:ascii="Book Antiqua" w:eastAsia="宋体" w:hAnsi="Book Antiqua" w:cs="宋体" w:hint="eastAsia"/>
        </w:rPr>
        <w:t>46</w:t>
      </w:r>
      <w:r w:rsidRPr="002A1E19">
        <w:rPr>
          <w:rFonts w:ascii="Book Antiqua" w:eastAsia="宋体" w:hAnsi="Book Antiqua" w:cs="宋体"/>
        </w:rPr>
        <w:t>6</w:t>
      </w:r>
      <w:r>
        <w:rPr>
          <w:rFonts w:ascii="Book Antiqua" w:eastAsia="宋体" w:hAnsi="Book Antiqua" w:cs="宋体" w:hint="eastAsia"/>
        </w:rPr>
        <w:t xml:space="preserve"> [</w:t>
      </w:r>
      <w:r w:rsidRPr="002A1E19">
        <w:rPr>
          <w:rFonts w:ascii="Book Antiqua" w:eastAsia="宋体" w:hAnsi="Book Antiqua" w:cs="宋体"/>
        </w:rPr>
        <w:t>PMID</w:t>
      </w:r>
      <w:r>
        <w:rPr>
          <w:rFonts w:ascii="Book Antiqua" w:eastAsia="宋体" w:hAnsi="Book Antiqua" w:cs="宋体" w:hint="eastAsia"/>
        </w:rPr>
        <w:t>:</w:t>
      </w:r>
      <w:r w:rsidRPr="002A1E19">
        <w:rPr>
          <w:rFonts w:ascii="Book Antiqua" w:eastAsia="宋体" w:hAnsi="Book Antiqua" w:cs="宋体"/>
        </w:rPr>
        <w:t xml:space="preserve"> 24012633</w:t>
      </w:r>
      <w:r>
        <w:rPr>
          <w:rFonts w:ascii="Book Antiqua" w:eastAsia="宋体" w:hAnsi="Book Antiqua" w:cs="宋体" w:hint="eastAsia"/>
        </w:rPr>
        <w:t xml:space="preserve"> </w:t>
      </w:r>
      <w:r w:rsidRPr="002A1E19">
        <w:rPr>
          <w:rFonts w:ascii="Book Antiqua" w:eastAsia="宋体" w:hAnsi="Book Antiqua" w:cs="宋体"/>
        </w:rPr>
        <w:t>DOI</w:t>
      </w:r>
      <w:r>
        <w:rPr>
          <w:rFonts w:ascii="Book Antiqua" w:eastAsia="宋体" w:hAnsi="Book Antiqua" w:cs="宋体"/>
        </w:rPr>
        <w:t>: 10.1016/j.mad.2013.08.004</w:t>
      </w:r>
      <w:r>
        <w:rPr>
          <w:rFonts w:ascii="Book Antiqua" w:eastAsia="宋体" w:hAnsi="Book Antiqua" w:cs="宋体" w:hint="eastAsia"/>
        </w:rPr>
        <w:t>]</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45 </w:t>
      </w:r>
      <w:r w:rsidRPr="002A1E19">
        <w:rPr>
          <w:rFonts w:ascii="Book Antiqua" w:eastAsia="宋体" w:hAnsi="Book Antiqua" w:cs="宋体"/>
          <w:b/>
          <w:bCs/>
        </w:rPr>
        <w:t>Hiyama T</w:t>
      </w:r>
      <w:r w:rsidRPr="002A1E19">
        <w:rPr>
          <w:rFonts w:ascii="Book Antiqua" w:eastAsia="宋体" w:hAnsi="Book Antiqua" w:cs="宋体"/>
        </w:rPr>
        <w:t>, Tanaka S, Shima H, Kose K, Tuncel H, Ito M, Kitadai Y, Sumii M, Yoshihara M, Shimamoto F, Haruma K, Chayama K. Somatic mutation in mitochondrial DNA and nuclear microsatellite instability in gastric cancer. </w:t>
      </w:r>
      <w:r w:rsidRPr="002A1E19">
        <w:rPr>
          <w:rFonts w:ascii="Book Antiqua" w:eastAsia="宋体" w:hAnsi="Book Antiqua" w:cs="宋体"/>
          <w:i/>
          <w:iCs/>
        </w:rPr>
        <w:t>Oncol Rep</w:t>
      </w:r>
      <w:r w:rsidRPr="002A1E19">
        <w:rPr>
          <w:rFonts w:ascii="Book Antiqua" w:eastAsia="宋体" w:hAnsi="Book Antiqua" w:cs="宋体"/>
        </w:rPr>
        <w:t> </w:t>
      </w:r>
      <w:r>
        <w:rPr>
          <w:rFonts w:ascii="Book Antiqua" w:eastAsia="宋体" w:hAnsi="Book Antiqua" w:cs="宋体" w:hint="eastAsia"/>
        </w:rPr>
        <w:t>2003</w:t>
      </w:r>
      <w:r w:rsidRPr="002A1E19">
        <w:rPr>
          <w:rFonts w:ascii="Book Antiqua" w:eastAsia="宋体" w:hAnsi="Book Antiqua" w:cs="宋体"/>
        </w:rPr>
        <w:t>; </w:t>
      </w:r>
      <w:r w:rsidRPr="002A1E19">
        <w:rPr>
          <w:rFonts w:ascii="Book Antiqua" w:eastAsia="宋体" w:hAnsi="Book Antiqua" w:cs="宋体"/>
          <w:b/>
          <w:bCs/>
        </w:rPr>
        <w:t>10</w:t>
      </w:r>
      <w:r w:rsidRPr="002A1E19">
        <w:rPr>
          <w:rFonts w:ascii="Book Antiqua" w:eastAsia="宋体" w:hAnsi="Book Antiqua" w:cs="宋体"/>
        </w:rPr>
        <w:t>: 1837-1841 [PMID: 14534705]</w:t>
      </w:r>
    </w:p>
    <w:p w:rsidR="002A6339" w:rsidRPr="002A1E19" w:rsidRDefault="002A6339" w:rsidP="002A6339">
      <w:pPr>
        <w:spacing w:line="360" w:lineRule="auto"/>
        <w:jc w:val="both"/>
        <w:rPr>
          <w:rFonts w:ascii="Book Antiqua" w:eastAsia="宋体" w:hAnsi="Book Antiqua" w:cs="宋体"/>
        </w:rPr>
      </w:pPr>
      <w:r>
        <w:rPr>
          <w:rFonts w:ascii="Book Antiqua" w:eastAsia="宋体" w:hAnsi="Book Antiqua" w:cs="宋体"/>
        </w:rPr>
        <w:t>46</w:t>
      </w:r>
      <w:r>
        <w:rPr>
          <w:rFonts w:ascii="Book Antiqua" w:eastAsia="宋体" w:hAnsi="Book Antiqua" w:cs="宋体" w:hint="eastAsia"/>
        </w:rPr>
        <w:t xml:space="preserve"> </w:t>
      </w:r>
      <w:r>
        <w:rPr>
          <w:rFonts w:ascii="Book Antiqua" w:eastAsia="宋体" w:hAnsi="Book Antiqua" w:cs="宋体"/>
          <w:b/>
        </w:rPr>
        <w:t>Rigoli L</w:t>
      </w:r>
      <w:r w:rsidRPr="002A1E19">
        <w:rPr>
          <w:rFonts w:ascii="Book Antiqua" w:eastAsia="宋体" w:hAnsi="Book Antiqua" w:cs="宋体"/>
          <w:b/>
        </w:rPr>
        <w:t xml:space="preserve">, </w:t>
      </w:r>
      <w:r w:rsidRPr="002A1E19">
        <w:rPr>
          <w:rFonts w:ascii="Book Antiqua" w:eastAsia="宋体" w:hAnsi="Book Antiqua" w:cs="宋体"/>
        </w:rPr>
        <w:t>Di Bella C, Verginelli F, Falchetti M, Bersiga A, Rocco A, Nardone G, Mariani-Costantini R, Caruso RA.</w:t>
      </w:r>
      <w:r w:rsidRPr="002A1E19">
        <w:rPr>
          <w:rFonts w:ascii="Book Antiqua" w:eastAsia="宋体" w:hAnsi="Book Antiqua" w:cs="宋体" w:hint="eastAsia"/>
        </w:rPr>
        <w:t xml:space="preserve"> </w:t>
      </w:r>
      <w:r w:rsidRPr="002A1E19">
        <w:rPr>
          <w:rFonts w:ascii="Book Antiqua" w:eastAsia="宋体" w:hAnsi="Book Antiqua" w:cs="宋体"/>
        </w:rPr>
        <w:t>Histological heterogeneity and somatic mtDNA mutations in gastric intraepithelial neoplas</w:t>
      </w:r>
      <w:r>
        <w:rPr>
          <w:rFonts w:ascii="Book Antiqua" w:eastAsia="宋体" w:hAnsi="Book Antiqua" w:cs="宋体"/>
        </w:rPr>
        <w:t>ia</w:t>
      </w:r>
      <w:r>
        <w:rPr>
          <w:rFonts w:ascii="Book Antiqua" w:eastAsia="宋体" w:hAnsi="Book Antiqua" w:cs="宋体" w:hint="eastAsia"/>
        </w:rPr>
        <w:t>.</w:t>
      </w:r>
      <w:r>
        <w:rPr>
          <w:rFonts w:ascii="Book Antiqua" w:eastAsia="宋体" w:hAnsi="Book Antiqua" w:cs="宋体"/>
        </w:rPr>
        <w:t xml:space="preserve"> </w:t>
      </w:r>
      <w:r w:rsidRPr="002A1E19">
        <w:rPr>
          <w:rFonts w:ascii="Book Antiqua" w:eastAsia="宋体" w:hAnsi="Book Antiqua" w:cs="宋体"/>
          <w:i/>
        </w:rPr>
        <w:t>Mod Pathol</w:t>
      </w:r>
      <w:r>
        <w:rPr>
          <w:rFonts w:ascii="Book Antiqua" w:eastAsia="宋体" w:hAnsi="Book Antiqua" w:cs="宋体"/>
        </w:rPr>
        <w:t xml:space="preserve"> 2008; </w:t>
      </w:r>
      <w:r w:rsidRPr="002A1E19">
        <w:rPr>
          <w:rFonts w:ascii="Book Antiqua" w:eastAsia="宋体" w:hAnsi="Book Antiqua" w:cs="宋体"/>
          <w:b/>
        </w:rPr>
        <w:t>21</w:t>
      </w:r>
      <w:r>
        <w:rPr>
          <w:rFonts w:ascii="Book Antiqua" w:eastAsia="宋体" w:hAnsi="Book Antiqua" w:cs="宋体"/>
        </w:rPr>
        <w:t>: 733-41</w:t>
      </w:r>
      <w:r w:rsidRPr="002A1E19">
        <w:rPr>
          <w:rFonts w:ascii="Book Antiqua" w:eastAsia="宋体" w:hAnsi="Book Antiqua" w:cs="宋体"/>
        </w:rPr>
        <w:t xml:space="preserve"> </w:t>
      </w:r>
      <w:r>
        <w:rPr>
          <w:rFonts w:ascii="Book Antiqua" w:eastAsia="宋体" w:hAnsi="Book Antiqua" w:cs="宋体" w:hint="eastAsia"/>
        </w:rPr>
        <w:t>[</w:t>
      </w:r>
      <w:r w:rsidRPr="002A1E19">
        <w:rPr>
          <w:rFonts w:ascii="Book Antiqua" w:eastAsia="宋体" w:hAnsi="Book Antiqua" w:cs="宋体"/>
        </w:rPr>
        <w:t>PMID</w:t>
      </w:r>
      <w:r>
        <w:rPr>
          <w:rFonts w:ascii="Book Antiqua" w:eastAsia="宋体" w:hAnsi="Book Antiqua" w:cs="宋体" w:hint="eastAsia"/>
        </w:rPr>
        <w:t>:</w:t>
      </w:r>
      <w:r w:rsidRPr="002A1E19">
        <w:rPr>
          <w:rFonts w:ascii="Book Antiqua" w:eastAsia="宋体" w:hAnsi="Book Antiqua" w:cs="宋体"/>
        </w:rPr>
        <w:t xml:space="preserve"> 18425082</w:t>
      </w:r>
      <w:r>
        <w:rPr>
          <w:rFonts w:ascii="Book Antiqua" w:eastAsia="宋体" w:hAnsi="Book Antiqua" w:cs="宋体" w:hint="eastAsia"/>
        </w:rPr>
        <w:t xml:space="preserve"> </w:t>
      </w:r>
      <w:r w:rsidRPr="002A1E19">
        <w:rPr>
          <w:rFonts w:ascii="Book Antiqua" w:eastAsia="宋体" w:hAnsi="Book Antiqua" w:cs="宋体"/>
        </w:rPr>
        <w:t>DOI</w:t>
      </w:r>
      <w:r>
        <w:rPr>
          <w:rFonts w:ascii="Book Antiqua" w:eastAsia="宋体" w:hAnsi="Book Antiqua" w:cs="宋体"/>
        </w:rPr>
        <w:t>: 10.1038/modpathol.2008.58</w:t>
      </w:r>
      <w:r>
        <w:rPr>
          <w:rFonts w:ascii="Book Antiqua" w:eastAsia="宋体" w:hAnsi="Book Antiqua" w:cs="宋体" w:hint="eastAsia"/>
        </w:rPr>
        <w:t>]</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47 </w:t>
      </w:r>
      <w:r w:rsidRPr="002A1E19">
        <w:rPr>
          <w:rFonts w:ascii="Book Antiqua" w:eastAsia="宋体" w:hAnsi="Book Antiqua" w:cs="宋体"/>
          <w:b/>
          <w:bCs/>
        </w:rPr>
        <w:t>Yu M</w:t>
      </w:r>
      <w:r w:rsidRPr="002A1E19">
        <w:rPr>
          <w:rFonts w:ascii="Book Antiqua" w:eastAsia="宋体" w:hAnsi="Book Antiqua" w:cs="宋体"/>
        </w:rPr>
        <w:t>. Generation, function and diagnostic value of mitochondrial DNA copy number alterations in human cancers. </w:t>
      </w:r>
      <w:r w:rsidRPr="002A1E19">
        <w:rPr>
          <w:rFonts w:ascii="Book Antiqua" w:eastAsia="宋体" w:hAnsi="Book Antiqua" w:cs="宋体"/>
          <w:i/>
          <w:iCs/>
        </w:rPr>
        <w:t>Life Sci</w:t>
      </w:r>
      <w:r w:rsidRPr="002A1E19">
        <w:rPr>
          <w:rFonts w:ascii="Book Antiqua" w:eastAsia="宋体" w:hAnsi="Book Antiqua" w:cs="宋体"/>
        </w:rPr>
        <w:t> 2011; </w:t>
      </w:r>
      <w:r w:rsidRPr="002A1E19">
        <w:rPr>
          <w:rFonts w:ascii="Book Antiqua" w:eastAsia="宋体" w:hAnsi="Book Antiqua" w:cs="宋体"/>
          <w:b/>
          <w:bCs/>
        </w:rPr>
        <w:t>89</w:t>
      </w:r>
      <w:r w:rsidRPr="002A1E19">
        <w:rPr>
          <w:rFonts w:ascii="Book Antiqua" w:eastAsia="宋体" w:hAnsi="Book Antiqua" w:cs="宋体"/>
        </w:rPr>
        <w:t>: 65-71 [PMID: 21683715 DOI: 10.1016/j.lfs.2011.05.010</w:t>
      </w:r>
      <w:r>
        <w:rPr>
          <w:rFonts w:ascii="Book Antiqua" w:eastAsia="宋体" w:hAnsi="Book Antiqua" w:cs="宋体"/>
        </w:rPr>
        <w:t>]</w:t>
      </w:r>
    </w:p>
    <w:p w:rsidR="002A6339" w:rsidRPr="002A1E19" w:rsidRDefault="002A6339" w:rsidP="002A6339">
      <w:pPr>
        <w:spacing w:line="360" w:lineRule="auto"/>
        <w:jc w:val="both"/>
        <w:rPr>
          <w:rFonts w:ascii="Book Antiqua" w:eastAsia="宋体" w:hAnsi="Book Antiqua" w:cs="宋体"/>
        </w:rPr>
      </w:pPr>
      <w:r>
        <w:rPr>
          <w:rFonts w:ascii="Book Antiqua" w:eastAsia="宋体" w:hAnsi="Book Antiqua" w:cs="宋体"/>
        </w:rPr>
        <w:t xml:space="preserve">48 </w:t>
      </w:r>
      <w:r w:rsidRPr="002A1E19">
        <w:rPr>
          <w:rFonts w:ascii="Book Antiqua" w:eastAsia="宋体" w:hAnsi="Book Antiqua" w:cs="宋体"/>
          <w:b/>
        </w:rPr>
        <w:t xml:space="preserve">Wu CW, </w:t>
      </w:r>
      <w:r w:rsidRPr="002A1E19">
        <w:rPr>
          <w:rFonts w:ascii="Book Antiqua" w:eastAsia="宋体" w:hAnsi="Book Antiqua" w:cs="宋体"/>
        </w:rPr>
        <w:t>Yin PH, Hung WY, Li AF, Li SH, Chi CW, Wei YH, Lee HC. Mitochondrial DNA mutations and mitochondrial DNA depletion in gastric cancer.</w:t>
      </w:r>
      <w:r w:rsidRPr="002A1E19">
        <w:rPr>
          <w:rFonts w:ascii="Book Antiqua" w:eastAsia="宋体" w:hAnsi="Book Antiqua" w:cs="宋体"/>
          <w:i/>
        </w:rPr>
        <w:t xml:space="preserve"> Genes Chromosomes Cancer</w:t>
      </w:r>
      <w:r>
        <w:rPr>
          <w:rFonts w:ascii="Book Antiqua" w:eastAsia="宋体" w:hAnsi="Book Antiqua" w:cs="宋体"/>
        </w:rPr>
        <w:t xml:space="preserve"> 2005; </w:t>
      </w:r>
      <w:r w:rsidRPr="002A1E19">
        <w:rPr>
          <w:rFonts w:ascii="Book Antiqua" w:eastAsia="宋体" w:hAnsi="Book Antiqua" w:cs="宋体"/>
          <w:b/>
        </w:rPr>
        <w:t>44</w:t>
      </w:r>
      <w:r>
        <w:rPr>
          <w:rFonts w:ascii="Book Antiqua" w:eastAsia="宋体" w:hAnsi="Book Antiqua" w:cs="宋体"/>
        </w:rPr>
        <w:t>: 19-28</w:t>
      </w:r>
      <w:r w:rsidRPr="002A1E19">
        <w:rPr>
          <w:rFonts w:ascii="Book Antiqua" w:eastAsia="宋体" w:hAnsi="Book Antiqua" w:cs="宋体"/>
        </w:rPr>
        <w:t xml:space="preserve"> </w:t>
      </w:r>
      <w:r>
        <w:rPr>
          <w:rFonts w:ascii="Book Antiqua" w:eastAsia="宋体" w:hAnsi="Book Antiqua" w:cs="宋体" w:hint="eastAsia"/>
        </w:rPr>
        <w:t>[</w:t>
      </w:r>
      <w:r w:rsidRPr="002A1E19">
        <w:rPr>
          <w:rFonts w:ascii="Book Antiqua" w:eastAsia="宋体" w:hAnsi="Book Antiqua" w:cs="宋体"/>
        </w:rPr>
        <w:t>PMID</w:t>
      </w:r>
      <w:r>
        <w:rPr>
          <w:rFonts w:ascii="Book Antiqua" w:eastAsia="宋体" w:hAnsi="Book Antiqua" w:cs="宋体" w:hint="eastAsia"/>
        </w:rPr>
        <w:t>:</w:t>
      </w:r>
      <w:r w:rsidRPr="002A1E19">
        <w:rPr>
          <w:rFonts w:ascii="Book Antiqua" w:eastAsia="宋体" w:hAnsi="Book Antiqua" w:cs="宋体"/>
        </w:rPr>
        <w:t xml:space="preserve"> 15892105</w:t>
      </w:r>
      <w:r>
        <w:rPr>
          <w:rFonts w:ascii="Book Antiqua" w:eastAsia="宋体" w:hAnsi="Book Antiqua" w:cs="宋体" w:hint="eastAsia"/>
        </w:rPr>
        <w:t>]</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49 </w:t>
      </w:r>
      <w:r w:rsidRPr="002A1E19">
        <w:rPr>
          <w:rFonts w:ascii="Book Antiqua" w:eastAsia="宋体" w:hAnsi="Book Antiqua" w:cs="宋体"/>
          <w:b/>
          <w:bCs/>
        </w:rPr>
        <w:t>Zhang G</w:t>
      </w:r>
      <w:r w:rsidRPr="002A1E19">
        <w:rPr>
          <w:rFonts w:ascii="Book Antiqua" w:eastAsia="宋体" w:hAnsi="Book Antiqua" w:cs="宋体"/>
        </w:rPr>
        <w:t>, Qu Y, Dang S, Yang Q, Shi B, Hou P. Variable copy number of mitochondrial DNA (mtDNA) predicts worse prognosis in advanced gastric cancer patients. </w:t>
      </w:r>
      <w:r w:rsidRPr="002A1E19">
        <w:rPr>
          <w:rFonts w:ascii="Book Antiqua" w:eastAsia="宋体" w:hAnsi="Book Antiqua" w:cs="宋体"/>
          <w:i/>
          <w:iCs/>
        </w:rPr>
        <w:t>Diagn Pathol</w:t>
      </w:r>
      <w:r w:rsidRPr="002A1E19">
        <w:rPr>
          <w:rFonts w:ascii="Book Antiqua" w:eastAsia="宋体" w:hAnsi="Book Antiqua" w:cs="宋体"/>
        </w:rPr>
        <w:t> 2013; </w:t>
      </w:r>
      <w:r w:rsidRPr="002A1E19">
        <w:rPr>
          <w:rFonts w:ascii="Book Antiqua" w:eastAsia="宋体" w:hAnsi="Book Antiqua" w:cs="宋体"/>
          <w:b/>
          <w:bCs/>
        </w:rPr>
        <w:t>8</w:t>
      </w:r>
      <w:r w:rsidRPr="002A1E19">
        <w:rPr>
          <w:rFonts w:ascii="Book Antiqua" w:eastAsia="宋体" w:hAnsi="Book Antiqua" w:cs="宋体"/>
        </w:rPr>
        <w:t>: 173 [PMID: 24144008 DOI: 10.1186/1746-1596-8-173</w:t>
      </w:r>
      <w:r>
        <w:rPr>
          <w:rFonts w:ascii="Book Antiqua" w:eastAsia="宋体" w:hAnsi="Book Antiqua" w:cs="宋体"/>
        </w:rPr>
        <w:t>]</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lastRenderedPageBreak/>
        <w:t>50 </w:t>
      </w:r>
      <w:r w:rsidRPr="002A1E19">
        <w:rPr>
          <w:rFonts w:ascii="Book Antiqua" w:eastAsia="宋体" w:hAnsi="Book Antiqua" w:cs="宋体"/>
          <w:b/>
          <w:bCs/>
        </w:rPr>
        <w:t>Dixon MF</w:t>
      </w:r>
      <w:r w:rsidRPr="002A1E19">
        <w:rPr>
          <w:rFonts w:ascii="Book Antiqua" w:eastAsia="宋体" w:hAnsi="Book Antiqua" w:cs="宋体"/>
        </w:rPr>
        <w:t>, Genta RM, Yardley JH, Correa P. Classification and grading of gastritis. The updated Sydney System. International Workshop on the Histopathology of Gastritis, Houston 1994. </w:t>
      </w:r>
      <w:r w:rsidRPr="002A1E19">
        <w:rPr>
          <w:rFonts w:ascii="Book Antiqua" w:eastAsia="宋体" w:hAnsi="Book Antiqua" w:cs="宋体"/>
          <w:i/>
          <w:iCs/>
        </w:rPr>
        <w:t>Am J Surg Pathol</w:t>
      </w:r>
      <w:r w:rsidRPr="002A1E19">
        <w:rPr>
          <w:rFonts w:ascii="Book Antiqua" w:eastAsia="宋体" w:hAnsi="Book Antiqua" w:cs="宋体"/>
        </w:rPr>
        <w:t> 1996; </w:t>
      </w:r>
      <w:r w:rsidRPr="002A1E19">
        <w:rPr>
          <w:rFonts w:ascii="Book Antiqua" w:eastAsia="宋体" w:hAnsi="Book Antiqua" w:cs="宋体"/>
          <w:b/>
          <w:bCs/>
        </w:rPr>
        <w:t>20</w:t>
      </w:r>
      <w:r w:rsidRPr="002A1E19">
        <w:rPr>
          <w:rFonts w:ascii="Book Antiqua" w:eastAsia="宋体" w:hAnsi="Book Antiqua" w:cs="宋体"/>
        </w:rPr>
        <w:t>: 1161-1181 [PMID: 8827022]</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51 </w:t>
      </w:r>
      <w:r w:rsidRPr="002A1E19">
        <w:rPr>
          <w:rFonts w:ascii="Book Antiqua" w:eastAsia="宋体" w:hAnsi="Book Antiqua" w:cs="宋体"/>
          <w:b/>
          <w:bCs/>
        </w:rPr>
        <w:t>Uemura N</w:t>
      </w:r>
      <w:r w:rsidRPr="002A1E19">
        <w:rPr>
          <w:rFonts w:ascii="Book Antiqua" w:eastAsia="宋体" w:hAnsi="Book Antiqua" w:cs="宋体"/>
        </w:rPr>
        <w:t>, Okamoto S, Yamamoto S, Matsumura N, Yamaguchi S, Yamakido M, Taniyama K, Sasaki N, Schlemper RJ. Helicobacter pylori infection and the development of gastric cancer. </w:t>
      </w:r>
      <w:r w:rsidRPr="002A1E19">
        <w:rPr>
          <w:rFonts w:ascii="Book Antiqua" w:eastAsia="宋体" w:hAnsi="Book Antiqua" w:cs="宋体"/>
          <w:i/>
          <w:iCs/>
        </w:rPr>
        <w:t>N Engl J Med</w:t>
      </w:r>
      <w:r w:rsidRPr="002A1E19">
        <w:rPr>
          <w:rFonts w:ascii="Book Antiqua" w:eastAsia="宋体" w:hAnsi="Book Antiqua" w:cs="宋体"/>
        </w:rPr>
        <w:t> 2001; </w:t>
      </w:r>
      <w:r w:rsidRPr="002A1E19">
        <w:rPr>
          <w:rFonts w:ascii="Book Antiqua" w:eastAsia="宋体" w:hAnsi="Book Antiqua" w:cs="宋体"/>
          <w:b/>
          <w:bCs/>
        </w:rPr>
        <w:t>345</w:t>
      </w:r>
      <w:r w:rsidRPr="002A1E19">
        <w:rPr>
          <w:rFonts w:ascii="Book Antiqua" w:eastAsia="宋体" w:hAnsi="Book Antiqua" w:cs="宋体"/>
        </w:rPr>
        <w:t>: 784-789 [PMID: 11556297]</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52 </w:t>
      </w:r>
      <w:r w:rsidRPr="002A1E19">
        <w:rPr>
          <w:rFonts w:ascii="Book Antiqua" w:eastAsia="宋体" w:hAnsi="Book Antiqua" w:cs="宋体"/>
          <w:b/>
          <w:bCs/>
        </w:rPr>
        <w:t>Rugge M</w:t>
      </w:r>
      <w:r w:rsidRPr="002A1E19">
        <w:rPr>
          <w:rFonts w:ascii="Book Antiqua" w:eastAsia="宋体" w:hAnsi="Book Antiqua" w:cs="宋体"/>
        </w:rPr>
        <w:t>, Meggio A, Pennelli G, Piscioli F, Giacomelli L, De Pretis G, Graham DY. Gastritis staging in clinical practice: the OLGA staging system. </w:t>
      </w:r>
      <w:r w:rsidRPr="002A1E19">
        <w:rPr>
          <w:rFonts w:ascii="Book Antiqua" w:eastAsia="宋体" w:hAnsi="Book Antiqua" w:cs="宋体"/>
          <w:i/>
          <w:iCs/>
        </w:rPr>
        <w:t>Gut</w:t>
      </w:r>
      <w:r w:rsidRPr="002A1E19">
        <w:rPr>
          <w:rFonts w:ascii="Book Antiqua" w:eastAsia="宋体" w:hAnsi="Book Antiqua" w:cs="宋体"/>
        </w:rPr>
        <w:t> 2007; </w:t>
      </w:r>
      <w:r w:rsidRPr="002A1E19">
        <w:rPr>
          <w:rFonts w:ascii="Book Antiqua" w:eastAsia="宋体" w:hAnsi="Book Antiqua" w:cs="宋体"/>
          <w:b/>
          <w:bCs/>
        </w:rPr>
        <w:t>56</w:t>
      </w:r>
      <w:r w:rsidRPr="002A1E19">
        <w:rPr>
          <w:rFonts w:ascii="Book Antiqua" w:eastAsia="宋体" w:hAnsi="Book Antiqua" w:cs="宋体"/>
        </w:rPr>
        <w:t>: 631-636 [PMID: 17142647]</w:t>
      </w:r>
    </w:p>
    <w:p w:rsidR="002A6339" w:rsidRDefault="002A6339" w:rsidP="002A6339">
      <w:pPr>
        <w:spacing w:line="360" w:lineRule="auto"/>
        <w:rPr>
          <w:rFonts w:ascii="Book Antiqua" w:eastAsia="宋体" w:hAnsi="Book Antiqua" w:cs="宋体"/>
        </w:rPr>
      </w:pPr>
      <w:r>
        <w:rPr>
          <w:rFonts w:ascii="Book Antiqua" w:eastAsia="宋体" w:hAnsi="Book Antiqua" w:cs="宋体"/>
        </w:rPr>
        <w:t xml:space="preserve">53 </w:t>
      </w:r>
      <w:r>
        <w:rPr>
          <w:rFonts w:ascii="Book Antiqua" w:eastAsia="宋体" w:hAnsi="Book Antiqua" w:cs="宋体"/>
          <w:b/>
        </w:rPr>
        <w:t>Rugge M</w:t>
      </w:r>
      <w:r w:rsidRPr="002A1E19">
        <w:rPr>
          <w:rFonts w:ascii="Book Antiqua" w:eastAsia="宋体" w:hAnsi="Book Antiqua" w:cs="宋体"/>
          <w:b/>
        </w:rPr>
        <w:t xml:space="preserve">, </w:t>
      </w:r>
      <w:r w:rsidRPr="002A1E19">
        <w:rPr>
          <w:rFonts w:ascii="Book Antiqua" w:eastAsia="宋体" w:hAnsi="Book Antiqua" w:cs="宋体"/>
        </w:rPr>
        <w:t>Pennelli G, Pilozzi E, Fassan M, Ingravallo G, Russo VM, Di Mario F; Gruppo Italiano Patologi Apparato Digerente (GIPAD); Società Italiana di Anatomia Patologica e Citopatologia Diagnostica/International Academy of Pathology, Italian division (SIAPEC/IAP).</w:t>
      </w:r>
      <w:r w:rsidRPr="002A1E19">
        <w:rPr>
          <w:rFonts w:ascii="Book Antiqua" w:eastAsia="宋体" w:hAnsi="Book Antiqua" w:cs="宋体" w:hint="eastAsia"/>
        </w:rPr>
        <w:t xml:space="preserve"> </w:t>
      </w:r>
      <w:r w:rsidRPr="002A1E19">
        <w:rPr>
          <w:rFonts w:ascii="Book Antiqua" w:eastAsia="宋体" w:hAnsi="Book Antiqua" w:cs="宋体"/>
        </w:rPr>
        <w:t xml:space="preserve">Gastritis: the histology report. </w:t>
      </w:r>
      <w:r w:rsidRPr="002A1E19">
        <w:rPr>
          <w:rFonts w:ascii="Book Antiqua" w:eastAsia="宋体" w:hAnsi="Book Antiqua" w:cs="宋体"/>
          <w:i/>
        </w:rPr>
        <w:t>Dig Liver Dis</w:t>
      </w:r>
      <w:r>
        <w:rPr>
          <w:rFonts w:ascii="Book Antiqua" w:eastAsia="宋体" w:hAnsi="Book Antiqua" w:cs="宋体" w:hint="eastAsia"/>
        </w:rPr>
        <w:t xml:space="preserve"> </w:t>
      </w:r>
      <w:r w:rsidRPr="002A1E19">
        <w:rPr>
          <w:rFonts w:ascii="Book Antiqua" w:eastAsia="宋体" w:hAnsi="Book Antiqua" w:cs="宋体"/>
        </w:rPr>
        <w:t>2011</w:t>
      </w:r>
      <w:r>
        <w:rPr>
          <w:rFonts w:ascii="Book Antiqua" w:eastAsia="宋体" w:hAnsi="Book Antiqua" w:cs="宋体" w:hint="eastAsia"/>
        </w:rPr>
        <w:t>;</w:t>
      </w:r>
      <w:r w:rsidRPr="002A1E19">
        <w:rPr>
          <w:rFonts w:ascii="Book Antiqua" w:eastAsia="宋体" w:hAnsi="Book Antiqua" w:cs="宋体"/>
        </w:rPr>
        <w:t xml:space="preserve"> </w:t>
      </w:r>
      <w:r w:rsidRPr="002A1E19">
        <w:rPr>
          <w:rFonts w:ascii="Book Antiqua" w:eastAsia="宋体" w:hAnsi="Book Antiqua" w:cs="宋体"/>
          <w:b/>
        </w:rPr>
        <w:t>43</w:t>
      </w:r>
      <w:r w:rsidRPr="002A1E19">
        <w:rPr>
          <w:rFonts w:ascii="Book Antiqua" w:eastAsia="宋体" w:hAnsi="Book Antiqua" w:cs="宋体"/>
        </w:rPr>
        <w:t xml:space="preserve"> Suppl 4</w:t>
      </w:r>
      <w:r>
        <w:rPr>
          <w:rFonts w:ascii="Book Antiqua" w:eastAsia="宋体" w:hAnsi="Book Antiqua" w:cs="宋体" w:hint="eastAsia"/>
        </w:rPr>
        <w:t xml:space="preserve">: </w:t>
      </w:r>
      <w:r w:rsidRPr="002A1E19">
        <w:rPr>
          <w:rFonts w:ascii="Book Antiqua" w:eastAsia="宋体" w:hAnsi="Book Antiqua" w:cs="宋体"/>
        </w:rPr>
        <w:t>S673-S684</w:t>
      </w:r>
      <w:r>
        <w:rPr>
          <w:rFonts w:ascii="Book Antiqua" w:eastAsia="宋体" w:hAnsi="Book Antiqua" w:cs="宋体" w:hint="eastAsia"/>
        </w:rPr>
        <w:t xml:space="preserve"> [</w:t>
      </w:r>
      <w:r w:rsidRPr="002A1E19">
        <w:rPr>
          <w:rFonts w:ascii="Book Antiqua" w:eastAsia="宋体" w:hAnsi="Book Antiqua" w:cs="宋体"/>
        </w:rPr>
        <w:t>PMID 21459343</w:t>
      </w:r>
      <w:r>
        <w:rPr>
          <w:rFonts w:ascii="Book Antiqua" w:eastAsia="宋体" w:hAnsi="Book Antiqua" w:cs="宋体" w:hint="eastAsia"/>
        </w:rPr>
        <w:t xml:space="preserve"> </w:t>
      </w:r>
      <w:r w:rsidRPr="002A1E19">
        <w:rPr>
          <w:rFonts w:ascii="Book Antiqua" w:eastAsia="宋体" w:hAnsi="Book Antiqua" w:cs="宋体"/>
        </w:rPr>
        <w:t>DOI: 10.1016/S1590-8658(11)60593-8</w:t>
      </w:r>
      <w:r>
        <w:rPr>
          <w:rFonts w:ascii="Book Antiqua" w:eastAsia="宋体" w:hAnsi="Book Antiqua" w:cs="宋体" w:hint="eastAsia"/>
        </w:rPr>
        <w:t>]</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54 </w:t>
      </w:r>
      <w:r w:rsidRPr="002A1E19">
        <w:rPr>
          <w:rFonts w:ascii="Book Antiqua" w:eastAsia="宋体" w:hAnsi="Book Antiqua" w:cs="宋体"/>
          <w:b/>
          <w:bCs/>
        </w:rPr>
        <w:t>Capelle LG</w:t>
      </w:r>
      <w:r w:rsidRPr="002A1E19">
        <w:rPr>
          <w:rFonts w:ascii="Book Antiqua" w:eastAsia="宋体" w:hAnsi="Book Antiqua" w:cs="宋体"/>
        </w:rPr>
        <w:t>, de Vries AC, Haringsma J, Ter Borg F, de Vries RA, Bruno MJ, van Dekken H, Meijer J, van Grieken NC, Kuipers EJ. The staging of gastritis with the OLGA system by using intestinal metaplasia as an accurate alternative for atrophic gastritis. </w:t>
      </w:r>
      <w:r w:rsidRPr="002A1E19">
        <w:rPr>
          <w:rFonts w:ascii="Book Antiqua" w:eastAsia="宋体" w:hAnsi="Book Antiqua" w:cs="宋体"/>
          <w:i/>
          <w:iCs/>
        </w:rPr>
        <w:t>Gastrointest Endosc</w:t>
      </w:r>
      <w:r w:rsidRPr="002A1E19">
        <w:rPr>
          <w:rFonts w:ascii="Book Antiqua" w:eastAsia="宋体" w:hAnsi="Book Antiqua" w:cs="宋体"/>
        </w:rPr>
        <w:t> 2010; </w:t>
      </w:r>
      <w:r w:rsidRPr="002A1E19">
        <w:rPr>
          <w:rFonts w:ascii="Book Antiqua" w:eastAsia="宋体" w:hAnsi="Book Antiqua" w:cs="宋体"/>
          <w:b/>
          <w:bCs/>
        </w:rPr>
        <w:t>71</w:t>
      </w:r>
      <w:r w:rsidRPr="002A1E19">
        <w:rPr>
          <w:rFonts w:ascii="Book Antiqua" w:eastAsia="宋体" w:hAnsi="Book Antiqua" w:cs="宋体"/>
        </w:rPr>
        <w:t>: 1150-1158 [PMID: 20381801 DOI: 10.1016/j.gie.2009.12.029</w:t>
      </w:r>
      <w:r>
        <w:rPr>
          <w:rFonts w:ascii="Book Antiqua" w:eastAsia="宋体" w:hAnsi="Book Antiqua" w:cs="宋体"/>
        </w:rPr>
        <w:t>]</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55 </w:t>
      </w:r>
      <w:r w:rsidRPr="002A1E19">
        <w:rPr>
          <w:rFonts w:ascii="Book Antiqua" w:eastAsia="宋体" w:hAnsi="Book Antiqua" w:cs="宋体"/>
          <w:b/>
          <w:bCs/>
        </w:rPr>
        <w:t>Rugge M</w:t>
      </w:r>
      <w:r w:rsidRPr="002A1E19">
        <w:rPr>
          <w:rFonts w:ascii="Book Antiqua" w:eastAsia="宋体" w:hAnsi="Book Antiqua" w:cs="宋体"/>
        </w:rPr>
        <w:t>, Fassan M, Pizzi M, Farinati F, Sturniolo GC, Plebani M, Graham DY. Operative link for gastritis assessment vs operative link on intestinal metaplasia assessment. </w:t>
      </w:r>
      <w:r w:rsidRPr="002A1E19">
        <w:rPr>
          <w:rFonts w:ascii="Book Antiqua" w:eastAsia="宋体" w:hAnsi="Book Antiqua" w:cs="宋体"/>
          <w:i/>
          <w:iCs/>
        </w:rPr>
        <w:t>World J Gastroenterol</w:t>
      </w:r>
      <w:r w:rsidRPr="002A1E19">
        <w:rPr>
          <w:rFonts w:ascii="Book Antiqua" w:eastAsia="宋体" w:hAnsi="Book Antiqua" w:cs="宋体"/>
        </w:rPr>
        <w:t> 2011; </w:t>
      </w:r>
      <w:r w:rsidRPr="002A1E19">
        <w:rPr>
          <w:rFonts w:ascii="Book Antiqua" w:eastAsia="宋体" w:hAnsi="Book Antiqua" w:cs="宋体"/>
          <w:b/>
          <w:bCs/>
        </w:rPr>
        <w:t>17</w:t>
      </w:r>
      <w:r w:rsidRPr="002A1E19">
        <w:rPr>
          <w:rFonts w:ascii="Book Antiqua" w:eastAsia="宋体" w:hAnsi="Book Antiqua" w:cs="宋体"/>
        </w:rPr>
        <w:t>: 4596-4601 [PMID: 22147965 DOI: 10.3748/wjg.v17.i41.4596</w:t>
      </w:r>
      <w:r>
        <w:rPr>
          <w:rFonts w:ascii="Book Antiqua" w:eastAsia="宋体" w:hAnsi="Book Antiqua" w:cs="宋体"/>
        </w:rPr>
        <w:t>]</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56</w:t>
      </w:r>
      <w:r w:rsidRPr="002A1E19">
        <w:rPr>
          <w:rFonts w:ascii="Book Antiqua" w:eastAsia="宋体" w:hAnsi="Book Antiqua" w:cs="宋体"/>
          <w:b/>
        </w:rPr>
        <w:t xml:space="preserve"> Ling XL,</w:t>
      </w:r>
      <w:r w:rsidRPr="002A1E19">
        <w:rPr>
          <w:rFonts w:ascii="Book Antiqua" w:eastAsia="宋体" w:hAnsi="Book Antiqua" w:cs="宋体"/>
        </w:rPr>
        <w:t xml:space="preserve"> Fang DC, Wang RQ, Yang SM, Fang L. Mitochondrial microsatellite instability in gastric cancer and its precancerous lesions. </w:t>
      </w:r>
      <w:r w:rsidRPr="002A1E19">
        <w:rPr>
          <w:rFonts w:ascii="Book Antiqua" w:eastAsia="宋体" w:hAnsi="Book Antiqua" w:cs="宋体"/>
          <w:i/>
        </w:rPr>
        <w:t>World J Gastroenterol</w:t>
      </w:r>
      <w:r w:rsidRPr="002A1E19">
        <w:rPr>
          <w:rFonts w:ascii="Book Antiqua" w:eastAsia="宋体" w:hAnsi="Book Antiqua" w:cs="宋体"/>
        </w:rPr>
        <w:t xml:space="preserve"> 2004; </w:t>
      </w:r>
      <w:r w:rsidRPr="002A1E19">
        <w:rPr>
          <w:rFonts w:ascii="Book Antiqua" w:eastAsia="宋体" w:hAnsi="Book Antiqua" w:cs="宋体"/>
          <w:b/>
        </w:rPr>
        <w:t>10</w:t>
      </w:r>
      <w:r w:rsidRPr="002A1E19">
        <w:rPr>
          <w:rFonts w:ascii="Book Antiqua" w:eastAsia="宋体" w:hAnsi="Book Antiqua" w:cs="宋体"/>
        </w:rPr>
        <w:t>: 800-</w:t>
      </w:r>
      <w:r>
        <w:rPr>
          <w:rFonts w:ascii="Book Antiqua" w:eastAsia="宋体" w:hAnsi="Book Antiqua" w:cs="宋体" w:hint="eastAsia"/>
        </w:rPr>
        <w:t>80</w:t>
      </w:r>
      <w:r>
        <w:rPr>
          <w:rFonts w:ascii="Book Antiqua" w:eastAsia="宋体" w:hAnsi="Book Antiqua" w:cs="宋体"/>
        </w:rPr>
        <w:t>3</w:t>
      </w:r>
      <w:r w:rsidRPr="002A1E19">
        <w:rPr>
          <w:rFonts w:ascii="Book Antiqua" w:eastAsia="宋体" w:hAnsi="Book Antiqua" w:cs="宋体"/>
        </w:rPr>
        <w:t xml:space="preserve"> </w:t>
      </w:r>
      <w:r>
        <w:rPr>
          <w:rFonts w:ascii="Book Antiqua" w:eastAsia="宋体" w:hAnsi="Book Antiqua" w:cs="宋体" w:hint="eastAsia"/>
        </w:rPr>
        <w:t>[</w:t>
      </w:r>
      <w:r w:rsidRPr="002A1E19">
        <w:rPr>
          <w:rFonts w:ascii="Book Antiqua" w:eastAsia="宋体" w:hAnsi="Book Antiqua" w:cs="宋体"/>
        </w:rPr>
        <w:t>PMID</w:t>
      </w:r>
      <w:r>
        <w:rPr>
          <w:rFonts w:ascii="Book Antiqua" w:eastAsia="宋体" w:hAnsi="Book Antiqua" w:cs="宋体" w:hint="eastAsia"/>
        </w:rPr>
        <w:t>:</w:t>
      </w:r>
      <w:r w:rsidRPr="002A1E19">
        <w:rPr>
          <w:rFonts w:ascii="Book Antiqua" w:eastAsia="宋体" w:hAnsi="Book Antiqua" w:cs="宋体"/>
        </w:rPr>
        <w:t xml:space="preserve"> 15040020</w:t>
      </w:r>
      <w:r>
        <w:rPr>
          <w:rFonts w:ascii="Book Antiqua" w:eastAsia="宋体" w:hAnsi="Book Antiqua" w:cs="宋体" w:hint="eastAsia"/>
        </w:rPr>
        <w:t>]</w:t>
      </w:r>
    </w:p>
    <w:p w:rsidR="002A6339" w:rsidRDefault="002A6339" w:rsidP="002A6339">
      <w:pPr>
        <w:spacing w:line="360" w:lineRule="auto"/>
        <w:rPr>
          <w:rFonts w:ascii="Book Antiqua" w:eastAsia="宋体" w:hAnsi="Book Antiqua" w:cs="宋体"/>
        </w:rPr>
      </w:pPr>
      <w:r>
        <w:rPr>
          <w:rFonts w:ascii="Book Antiqua" w:eastAsia="宋体" w:hAnsi="Book Antiqua" w:cs="宋体"/>
        </w:rPr>
        <w:t xml:space="preserve">57 </w:t>
      </w:r>
      <w:r w:rsidRPr="002A1E19">
        <w:rPr>
          <w:rFonts w:ascii="Book Antiqua" w:eastAsia="宋体" w:hAnsi="Book Antiqua" w:cs="宋体"/>
          <w:b/>
        </w:rPr>
        <w:t>Sui G,</w:t>
      </w:r>
      <w:r w:rsidRPr="002A1E19">
        <w:rPr>
          <w:rFonts w:ascii="Book Antiqua" w:eastAsia="宋体" w:hAnsi="Book Antiqua" w:cs="宋体"/>
        </w:rPr>
        <w:t xml:space="preserve"> Zhou S, Wang J, Canto M, Lee EE, Eshleman JR, Montgomery EA, Sidransky D, Califano JA, Maitra A. Mitochondrial DNA mutations in preneoplastic lesions of the gastrointestinal tract: a biomarker for the early detection of cancer.</w:t>
      </w:r>
      <w:r w:rsidRPr="002A1E19">
        <w:rPr>
          <w:rFonts w:ascii="Book Antiqua" w:eastAsia="宋体" w:hAnsi="Book Antiqua" w:cs="宋体"/>
          <w:i/>
        </w:rPr>
        <w:t xml:space="preserve"> Mol Cancer </w:t>
      </w:r>
      <w:r w:rsidRPr="002A1E19">
        <w:rPr>
          <w:rFonts w:ascii="Book Antiqua" w:eastAsia="宋体" w:hAnsi="Book Antiqua" w:cs="宋体"/>
        </w:rPr>
        <w:t xml:space="preserve">2006; </w:t>
      </w:r>
      <w:r w:rsidRPr="002A1E19">
        <w:rPr>
          <w:rFonts w:ascii="Book Antiqua" w:eastAsia="宋体" w:hAnsi="Book Antiqua" w:cs="宋体"/>
          <w:b/>
        </w:rPr>
        <w:t>5</w:t>
      </w:r>
      <w:r>
        <w:rPr>
          <w:rFonts w:ascii="Book Antiqua" w:eastAsia="宋体" w:hAnsi="Book Antiqua" w:cs="宋体"/>
        </w:rPr>
        <w:t>: 73</w:t>
      </w:r>
      <w:r w:rsidRPr="002A1E19">
        <w:rPr>
          <w:rFonts w:ascii="Book Antiqua" w:eastAsia="宋体" w:hAnsi="Book Antiqua" w:cs="宋体"/>
        </w:rPr>
        <w:t xml:space="preserve"> </w:t>
      </w:r>
      <w:r>
        <w:rPr>
          <w:rFonts w:ascii="Book Antiqua" w:eastAsia="宋体" w:hAnsi="Book Antiqua" w:cs="宋体" w:hint="eastAsia"/>
        </w:rPr>
        <w:t>[</w:t>
      </w:r>
      <w:r>
        <w:rPr>
          <w:rFonts w:ascii="Book Antiqua" w:eastAsia="宋体" w:hAnsi="Book Antiqua" w:cs="宋体"/>
        </w:rPr>
        <w:t>PMID</w:t>
      </w:r>
      <w:r>
        <w:rPr>
          <w:rFonts w:ascii="Book Antiqua" w:eastAsia="宋体" w:hAnsi="Book Antiqua" w:cs="宋体" w:hint="eastAsia"/>
        </w:rPr>
        <w:t>:</w:t>
      </w:r>
      <w:r>
        <w:rPr>
          <w:rFonts w:ascii="Book Antiqua" w:eastAsia="宋体" w:hAnsi="Book Antiqua" w:cs="宋体"/>
        </w:rPr>
        <w:t xml:space="preserve"> 17166268</w:t>
      </w:r>
      <w:r>
        <w:rPr>
          <w:rFonts w:ascii="Book Antiqua" w:eastAsia="宋体" w:hAnsi="Book Antiqua" w:cs="宋体" w:hint="eastAsia"/>
        </w:rPr>
        <w:t>]</w:t>
      </w:r>
    </w:p>
    <w:p w:rsidR="002A6339" w:rsidRPr="002A1E19" w:rsidRDefault="002A6339" w:rsidP="002A6339">
      <w:pPr>
        <w:spacing w:line="360" w:lineRule="auto"/>
        <w:jc w:val="both"/>
        <w:rPr>
          <w:rFonts w:ascii="Book Antiqua" w:eastAsia="宋体" w:hAnsi="Book Antiqua" w:cs="宋体"/>
        </w:rPr>
      </w:pPr>
      <w:r>
        <w:rPr>
          <w:rFonts w:ascii="Book Antiqua" w:eastAsia="宋体" w:hAnsi="Book Antiqua" w:cs="宋体"/>
        </w:rPr>
        <w:t xml:space="preserve">58 </w:t>
      </w:r>
      <w:r w:rsidRPr="002A1E19">
        <w:rPr>
          <w:rFonts w:ascii="Book Antiqua" w:eastAsia="宋体" w:hAnsi="Book Antiqua" w:cs="宋体"/>
        </w:rPr>
        <w:t>J</w:t>
      </w:r>
      <w:r w:rsidRPr="002A1E19">
        <w:rPr>
          <w:rFonts w:ascii="Book Antiqua" w:eastAsia="宋体" w:hAnsi="Book Antiqua" w:cs="宋体"/>
          <w:b/>
        </w:rPr>
        <w:t xml:space="preserve">eong CW, </w:t>
      </w:r>
      <w:r w:rsidRPr="002A1E19">
        <w:rPr>
          <w:rFonts w:ascii="Book Antiqua" w:eastAsia="宋体" w:hAnsi="Book Antiqua" w:cs="宋体"/>
        </w:rPr>
        <w:t>Lee JH, Sohn SS, Ryu SW, Kim DK. Mitochondrial microsatellite instability in gastric cancer and gastric epithelial dysplasia as a precancerous lesion.</w:t>
      </w:r>
      <w:r w:rsidRPr="002A1E19">
        <w:rPr>
          <w:rFonts w:ascii="Book Antiqua" w:eastAsia="宋体" w:hAnsi="Book Antiqua" w:cs="宋体"/>
          <w:i/>
        </w:rPr>
        <w:t xml:space="preserve"> Cancer Epidemiol</w:t>
      </w:r>
      <w:r w:rsidRPr="002A1E19">
        <w:rPr>
          <w:rFonts w:ascii="Book Antiqua" w:eastAsia="宋体" w:hAnsi="Book Antiqua" w:cs="宋体"/>
        </w:rPr>
        <w:t xml:space="preserve"> 2010; </w:t>
      </w:r>
      <w:r w:rsidRPr="002A1E19">
        <w:rPr>
          <w:rFonts w:ascii="Book Antiqua" w:eastAsia="宋体" w:hAnsi="Book Antiqua" w:cs="宋体"/>
          <w:b/>
        </w:rPr>
        <w:t>34</w:t>
      </w:r>
      <w:r>
        <w:rPr>
          <w:rFonts w:ascii="Book Antiqua" w:eastAsia="宋体" w:hAnsi="Book Antiqua" w:cs="宋体"/>
        </w:rPr>
        <w:t>: 323-</w:t>
      </w:r>
      <w:r>
        <w:rPr>
          <w:rFonts w:ascii="Book Antiqua" w:eastAsia="宋体" w:hAnsi="Book Antiqua" w:cs="宋体" w:hint="eastAsia"/>
        </w:rPr>
        <w:t>32</w:t>
      </w:r>
      <w:r w:rsidRPr="002A1E19">
        <w:rPr>
          <w:rFonts w:ascii="Book Antiqua" w:eastAsia="宋体" w:hAnsi="Book Antiqua" w:cs="宋体"/>
        </w:rPr>
        <w:t>7</w:t>
      </w:r>
      <w:r>
        <w:rPr>
          <w:rFonts w:ascii="Book Antiqua" w:eastAsia="宋体" w:hAnsi="Book Antiqua" w:cs="宋体" w:hint="eastAsia"/>
        </w:rPr>
        <w:t xml:space="preserve"> [</w:t>
      </w:r>
      <w:r w:rsidRPr="002A1E19">
        <w:rPr>
          <w:rFonts w:ascii="Book Antiqua" w:eastAsia="宋体" w:hAnsi="Book Antiqua" w:cs="宋体"/>
        </w:rPr>
        <w:t>PMID</w:t>
      </w:r>
      <w:r>
        <w:rPr>
          <w:rFonts w:ascii="Book Antiqua" w:eastAsia="宋体" w:hAnsi="Book Antiqua" w:cs="宋体" w:hint="eastAsia"/>
        </w:rPr>
        <w:t>:</w:t>
      </w:r>
      <w:r w:rsidRPr="002A1E19">
        <w:rPr>
          <w:rFonts w:ascii="Book Antiqua" w:eastAsia="宋体" w:hAnsi="Book Antiqua" w:cs="宋体"/>
        </w:rPr>
        <w:t xml:space="preserve"> 20409774</w:t>
      </w:r>
      <w:r>
        <w:rPr>
          <w:rFonts w:ascii="Book Antiqua" w:eastAsia="宋体" w:hAnsi="Book Antiqua" w:cs="宋体" w:hint="eastAsia"/>
        </w:rPr>
        <w:t xml:space="preserve"> </w:t>
      </w:r>
      <w:r w:rsidRPr="002A1E19">
        <w:rPr>
          <w:rFonts w:ascii="Book Antiqua" w:eastAsia="宋体" w:hAnsi="Book Antiqua" w:cs="宋体"/>
        </w:rPr>
        <w:t>DOI</w:t>
      </w:r>
      <w:r>
        <w:rPr>
          <w:rFonts w:ascii="Book Antiqua" w:eastAsia="宋体" w:hAnsi="Book Antiqua" w:cs="宋体"/>
        </w:rPr>
        <w:t>: 10.1016/j.canep.2010.03.015</w:t>
      </w:r>
      <w:r>
        <w:rPr>
          <w:rFonts w:ascii="Book Antiqua" w:eastAsia="宋体" w:hAnsi="Book Antiqua" w:cs="宋体" w:hint="eastAsia"/>
        </w:rPr>
        <w:t>]</w:t>
      </w:r>
    </w:p>
    <w:p w:rsidR="002A6339" w:rsidRPr="002A1E19" w:rsidRDefault="002A6339" w:rsidP="002A6339">
      <w:pPr>
        <w:spacing w:line="360" w:lineRule="auto"/>
        <w:jc w:val="both"/>
        <w:rPr>
          <w:rFonts w:ascii="Book Antiqua" w:eastAsia="宋体" w:hAnsi="Book Antiqua" w:cs="宋体"/>
        </w:rPr>
      </w:pPr>
      <w:r>
        <w:rPr>
          <w:rFonts w:ascii="Book Antiqua" w:eastAsia="宋体" w:hAnsi="Book Antiqua" w:cs="宋体"/>
        </w:rPr>
        <w:lastRenderedPageBreak/>
        <w:t xml:space="preserve">59 </w:t>
      </w:r>
      <w:r>
        <w:rPr>
          <w:rFonts w:ascii="Book Antiqua" w:eastAsia="宋体" w:hAnsi="Book Antiqua" w:cs="宋体"/>
          <w:b/>
        </w:rPr>
        <w:t>McDonald SA</w:t>
      </w:r>
      <w:r w:rsidRPr="002A1E19">
        <w:rPr>
          <w:rFonts w:ascii="Book Antiqua" w:eastAsia="宋体" w:hAnsi="Book Antiqua" w:cs="宋体"/>
          <w:b/>
        </w:rPr>
        <w:t xml:space="preserve">, </w:t>
      </w:r>
      <w:r w:rsidRPr="002A1E19">
        <w:rPr>
          <w:rFonts w:ascii="Book Antiqua" w:eastAsia="宋体" w:hAnsi="Book Antiqua" w:cs="宋体"/>
        </w:rPr>
        <w:t>Greaves LC, Gutierrez-Gonzalez L, Rodriguez-Justo M, Deheragoda M, Leedham SJ, Taylor RW, Lee CY, Preston SL, Lovell M, Hunt T, Elia G, Oukrif D, Harrison R, Novelli MR, Mitchell I, Stoker DL, Turnbull DM, Jankowski JA, Wright NA.</w:t>
      </w:r>
      <w:r>
        <w:rPr>
          <w:rFonts w:ascii="Book Antiqua" w:eastAsia="宋体" w:hAnsi="Book Antiqua" w:cs="宋体" w:hint="eastAsia"/>
          <w:b/>
        </w:rPr>
        <w:t xml:space="preserve"> </w:t>
      </w:r>
      <w:r w:rsidRPr="002A1E19">
        <w:rPr>
          <w:rFonts w:ascii="Book Antiqua" w:eastAsia="宋体" w:hAnsi="Book Antiqua" w:cs="宋体"/>
        </w:rPr>
        <w:t xml:space="preserve">Mechanisms of field cancerization in the human stomach: the expansion and spread of mutated gastric stem cells. </w:t>
      </w:r>
      <w:r w:rsidRPr="002A1E19">
        <w:rPr>
          <w:rFonts w:ascii="Book Antiqua" w:eastAsia="宋体" w:hAnsi="Book Antiqua" w:cs="宋体"/>
          <w:i/>
        </w:rPr>
        <w:t>Gastroenterology</w:t>
      </w:r>
      <w:r>
        <w:rPr>
          <w:rFonts w:ascii="Book Antiqua" w:eastAsia="宋体" w:hAnsi="Book Antiqua" w:cs="宋体" w:hint="eastAsia"/>
        </w:rPr>
        <w:t xml:space="preserve"> </w:t>
      </w:r>
      <w:r w:rsidRPr="002A1E19">
        <w:rPr>
          <w:rFonts w:ascii="Book Antiqua" w:eastAsia="宋体" w:hAnsi="Book Antiqua" w:cs="宋体"/>
        </w:rPr>
        <w:t xml:space="preserve">2008; </w:t>
      </w:r>
      <w:r w:rsidRPr="002A1E19">
        <w:rPr>
          <w:rFonts w:ascii="Book Antiqua" w:eastAsia="宋体" w:hAnsi="Book Antiqua" w:cs="宋体"/>
          <w:b/>
        </w:rPr>
        <w:t>134</w:t>
      </w:r>
      <w:r>
        <w:rPr>
          <w:rFonts w:ascii="Book Antiqua" w:eastAsia="宋体" w:hAnsi="Book Antiqua" w:cs="宋体"/>
        </w:rPr>
        <w:t>: 500-10</w:t>
      </w:r>
      <w:r>
        <w:rPr>
          <w:rFonts w:ascii="Book Antiqua" w:eastAsia="宋体" w:hAnsi="Book Antiqua" w:cs="宋体" w:hint="eastAsia"/>
        </w:rPr>
        <w:t xml:space="preserve"> [</w:t>
      </w:r>
      <w:r w:rsidRPr="002A1E19">
        <w:rPr>
          <w:rFonts w:ascii="Book Antiqua" w:eastAsia="宋体" w:hAnsi="Book Antiqua" w:cs="宋体"/>
        </w:rPr>
        <w:t>PMID</w:t>
      </w:r>
      <w:r>
        <w:rPr>
          <w:rFonts w:ascii="Book Antiqua" w:eastAsia="宋体" w:hAnsi="Book Antiqua" w:cs="宋体" w:hint="eastAsia"/>
        </w:rPr>
        <w:t>:</w:t>
      </w:r>
      <w:r w:rsidRPr="002A1E19">
        <w:rPr>
          <w:rFonts w:ascii="Book Antiqua" w:eastAsia="宋体" w:hAnsi="Book Antiqua" w:cs="宋体"/>
        </w:rPr>
        <w:t xml:space="preserve"> 18242216</w:t>
      </w:r>
      <w:r>
        <w:rPr>
          <w:rFonts w:ascii="Book Antiqua" w:eastAsia="宋体" w:hAnsi="Book Antiqua" w:cs="宋体" w:hint="eastAsia"/>
        </w:rPr>
        <w:t xml:space="preserve"> </w:t>
      </w:r>
      <w:r w:rsidRPr="002A1E19">
        <w:rPr>
          <w:rFonts w:ascii="Book Antiqua" w:eastAsia="宋体" w:hAnsi="Book Antiqua" w:cs="宋体"/>
        </w:rPr>
        <w:t>DOI</w:t>
      </w:r>
      <w:r>
        <w:rPr>
          <w:rFonts w:ascii="Book Antiqua" w:eastAsia="宋体" w:hAnsi="Book Antiqua" w:cs="宋体"/>
        </w:rPr>
        <w:t>: 10.1053/j.gastro.2007.11.035</w:t>
      </w:r>
      <w:r>
        <w:rPr>
          <w:rFonts w:ascii="Book Antiqua" w:eastAsia="宋体" w:hAnsi="Book Antiqua" w:cs="宋体" w:hint="eastAsia"/>
        </w:rPr>
        <w:t>]</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60 </w:t>
      </w:r>
      <w:r w:rsidRPr="002A1E19">
        <w:rPr>
          <w:rFonts w:ascii="Book Antiqua" w:eastAsia="宋体" w:hAnsi="Book Antiqua" w:cs="宋体"/>
          <w:b/>
          <w:bCs/>
        </w:rPr>
        <w:t>Gutierrez-Gonzalez L</w:t>
      </w:r>
      <w:r w:rsidRPr="002A1E19">
        <w:rPr>
          <w:rFonts w:ascii="Book Antiqua" w:eastAsia="宋体" w:hAnsi="Book Antiqua" w:cs="宋体"/>
        </w:rPr>
        <w:t>, Graham TA, Rodriguez-Justo M, Leedham SJ, Novelli MR, Gay LJ, Ventayol-Garcia T, Green A, Mitchell I, Stoker DL, Preston SL, Bamba S, Yamada E, Kishi Y, Harrison R, Jankowski JA, Wright NA, McDonald SA. The clonal origins of dysplasia from intestinal metaplasia in the human stomach. </w:t>
      </w:r>
      <w:r w:rsidRPr="002A1E19">
        <w:rPr>
          <w:rFonts w:ascii="Book Antiqua" w:eastAsia="宋体" w:hAnsi="Book Antiqua" w:cs="宋体"/>
          <w:i/>
          <w:iCs/>
        </w:rPr>
        <w:t>Gastroenterology</w:t>
      </w:r>
      <w:r w:rsidRPr="002A1E19">
        <w:rPr>
          <w:rFonts w:ascii="Book Antiqua" w:eastAsia="宋体" w:hAnsi="Book Antiqua" w:cs="宋体"/>
        </w:rPr>
        <w:t> 2011; </w:t>
      </w:r>
      <w:r w:rsidRPr="002A1E19">
        <w:rPr>
          <w:rFonts w:ascii="Book Antiqua" w:eastAsia="宋体" w:hAnsi="Book Antiqua" w:cs="宋体"/>
          <w:b/>
          <w:bCs/>
        </w:rPr>
        <w:t>140</w:t>
      </w:r>
      <w:r w:rsidRPr="002A1E19">
        <w:rPr>
          <w:rFonts w:ascii="Book Antiqua" w:eastAsia="宋体" w:hAnsi="Book Antiqua" w:cs="宋体"/>
        </w:rPr>
        <w:t>: 1251-1260.e1-6 [PMID: 21223968 DOI: 10.1053/j.gastro.2010.12.051</w:t>
      </w:r>
      <w:r>
        <w:rPr>
          <w:rFonts w:ascii="Book Antiqua" w:eastAsia="宋体" w:hAnsi="Book Antiqua" w:cs="宋体"/>
        </w:rPr>
        <w:t>]</w:t>
      </w:r>
    </w:p>
    <w:p w:rsidR="002A6339" w:rsidRPr="002A1E19" w:rsidRDefault="002A6339" w:rsidP="002A6339">
      <w:pPr>
        <w:spacing w:line="360" w:lineRule="auto"/>
        <w:jc w:val="both"/>
        <w:rPr>
          <w:rFonts w:ascii="Book Antiqua" w:eastAsia="宋体" w:hAnsi="Book Antiqua" w:cs="宋体"/>
        </w:rPr>
      </w:pPr>
      <w:r>
        <w:rPr>
          <w:rFonts w:ascii="Book Antiqua" w:eastAsia="宋体" w:hAnsi="Book Antiqua" w:cs="宋体"/>
        </w:rPr>
        <w:t xml:space="preserve">61 </w:t>
      </w:r>
      <w:r>
        <w:rPr>
          <w:rFonts w:ascii="Book Antiqua" w:eastAsia="宋体" w:hAnsi="Book Antiqua" w:cs="宋体"/>
          <w:b/>
        </w:rPr>
        <w:t>Kawachi H</w:t>
      </w:r>
      <w:r w:rsidRPr="002A1E19">
        <w:rPr>
          <w:rFonts w:ascii="Book Antiqua" w:eastAsia="宋体" w:hAnsi="Book Antiqua" w:cs="宋体"/>
          <w:b/>
        </w:rPr>
        <w:t>,</w:t>
      </w:r>
      <w:r w:rsidRPr="002A1E19">
        <w:rPr>
          <w:rFonts w:ascii="Book Antiqua" w:eastAsia="宋体" w:hAnsi="Book Antiqua" w:cs="宋体"/>
        </w:rPr>
        <w:t xml:space="preserve"> Takizawa T, Eishi Y, Shimizu S, Kumagai J, Funata N, Koike M.</w:t>
      </w:r>
      <w:r>
        <w:rPr>
          <w:rFonts w:ascii="Book Antiqua" w:eastAsia="宋体" w:hAnsi="Book Antiqua" w:cs="宋体" w:hint="eastAsia"/>
          <w:b/>
        </w:rPr>
        <w:t xml:space="preserve"> </w:t>
      </w:r>
      <w:r w:rsidRPr="002A1E19">
        <w:rPr>
          <w:rFonts w:ascii="Book Antiqua" w:eastAsia="宋体" w:hAnsi="Book Antiqua" w:cs="宋体"/>
        </w:rPr>
        <w:t>Absence of either gastric or intestinal phenotype in microscopic differentiated gastric carcinomas.</w:t>
      </w:r>
      <w:r w:rsidRPr="002A1E19">
        <w:rPr>
          <w:rFonts w:ascii="Book Antiqua" w:eastAsia="宋体" w:hAnsi="Book Antiqua" w:cs="宋体"/>
          <w:i/>
        </w:rPr>
        <w:t xml:space="preserve"> J Pathol</w:t>
      </w:r>
      <w:r w:rsidR="00DA4336" w:rsidRPr="00DA4336">
        <w:rPr>
          <w:rFonts w:ascii="Book Antiqua" w:eastAsia="宋体" w:hAnsi="Book Antiqua" w:cs="宋体" w:hint="eastAsia"/>
          <w:lang w:eastAsia="zh-CN"/>
        </w:rPr>
        <w:t xml:space="preserve"> 2003;</w:t>
      </w:r>
      <w:r w:rsidRPr="00DA4336">
        <w:rPr>
          <w:rFonts w:ascii="Book Antiqua" w:eastAsia="宋体" w:hAnsi="Book Antiqua" w:cs="宋体"/>
        </w:rPr>
        <w:t xml:space="preserve"> </w:t>
      </w:r>
      <w:r w:rsidRPr="002A1E19">
        <w:rPr>
          <w:rFonts w:ascii="Book Antiqua" w:eastAsia="宋体" w:hAnsi="Book Antiqua" w:cs="宋体"/>
          <w:b/>
        </w:rPr>
        <w:t>199</w:t>
      </w:r>
      <w:r>
        <w:rPr>
          <w:rFonts w:ascii="Book Antiqua" w:eastAsia="宋体" w:hAnsi="Book Antiqua" w:cs="宋体" w:hint="eastAsia"/>
        </w:rPr>
        <w:t xml:space="preserve">: </w:t>
      </w:r>
      <w:r w:rsidRPr="002A1E19">
        <w:rPr>
          <w:rFonts w:ascii="Book Antiqua" w:eastAsia="宋体" w:hAnsi="Book Antiqua" w:cs="宋体"/>
        </w:rPr>
        <w:t>436-</w:t>
      </w:r>
      <w:r w:rsidR="00DA4336">
        <w:rPr>
          <w:rFonts w:ascii="Book Antiqua" w:eastAsia="宋体" w:hAnsi="Book Antiqua" w:cs="宋体" w:hint="eastAsia"/>
          <w:lang w:eastAsia="zh-CN"/>
        </w:rPr>
        <w:t>4</w:t>
      </w:r>
      <w:r w:rsidRPr="002A1E19">
        <w:rPr>
          <w:rFonts w:ascii="Book Antiqua" w:eastAsia="宋体" w:hAnsi="Book Antiqua" w:cs="宋体"/>
        </w:rPr>
        <w:t xml:space="preserve">46 </w:t>
      </w:r>
      <w:r>
        <w:rPr>
          <w:rFonts w:ascii="Book Antiqua" w:eastAsia="宋体" w:hAnsi="Book Antiqua" w:cs="宋体" w:hint="eastAsia"/>
        </w:rPr>
        <w:t>[</w:t>
      </w:r>
      <w:r w:rsidRPr="002A1E19">
        <w:rPr>
          <w:rFonts w:ascii="Book Antiqua" w:eastAsia="宋体" w:hAnsi="Book Antiqua" w:cs="宋体"/>
        </w:rPr>
        <w:t>PMID</w:t>
      </w:r>
      <w:r>
        <w:rPr>
          <w:rFonts w:ascii="Book Antiqua" w:eastAsia="宋体" w:hAnsi="Book Antiqua" w:cs="宋体" w:hint="eastAsia"/>
        </w:rPr>
        <w:t>:</w:t>
      </w:r>
      <w:r w:rsidRPr="002A1E19">
        <w:rPr>
          <w:rFonts w:ascii="Book Antiqua" w:eastAsia="宋体" w:hAnsi="Book Antiqua" w:cs="宋体"/>
        </w:rPr>
        <w:t xml:space="preserve"> 12635134</w:t>
      </w:r>
      <w:r>
        <w:rPr>
          <w:rFonts w:ascii="Book Antiqua" w:eastAsia="宋体" w:hAnsi="Book Antiqua" w:cs="宋体" w:hint="eastAsia"/>
        </w:rPr>
        <w:t>]</w:t>
      </w:r>
    </w:p>
    <w:p w:rsidR="002A6339" w:rsidRPr="002A1E19" w:rsidRDefault="002A6339" w:rsidP="002A6339">
      <w:pPr>
        <w:spacing w:line="360" w:lineRule="auto"/>
        <w:jc w:val="both"/>
        <w:rPr>
          <w:rFonts w:ascii="Book Antiqua" w:eastAsia="宋体" w:hAnsi="Book Antiqua" w:cs="宋体"/>
        </w:rPr>
      </w:pPr>
      <w:r>
        <w:rPr>
          <w:rFonts w:ascii="Book Antiqua" w:eastAsia="宋体" w:hAnsi="Book Antiqua" w:cs="宋体"/>
        </w:rPr>
        <w:t xml:space="preserve">62 </w:t>
      </w:r>
      <w:r w:rsidRPr="002A1E19">
        <w:rPr>
          <w:rFonts w:ascii="Book Antiqua" w:eastAsia="宋体" w:hAnsi="Book Antiqua" w:cs="宋体"/>
          <w:b/>
        </w:rPr>
        <w:t>Meining A,</w:t>
      </w:r>
      <w:r w:rsidRPr="002A1E19">
        <w:rPr>
          <w:rFonts w:ascii="Book Antiqua" w:eastAsia="宋体" w:hAnsi="Book Antiqua" w:cs="宋体"/>
        </w:rPr>
        <w:t xml:space="preserve"> Morgner A, Miehlke S, Bayerdörffer E, Stolte M.</w:t>
      </w:r>
      <w:r>
        <w:rPr>
          <w:rFonts w:ascii="Book Antiqua" w:eastAsia="宋体" w:hAnsi="Book Antiqua" w:cs="宋体" w:hint="eastAsia"/>
        </w:rPr>
        <w:t xml:space="preserve"> </w:t>
      </w:r>
      <w:r w:rsidRPr="002A1E19">
        <w:rPr>
          <w:rFonts w:ascii="Book Antiqua" w:eastAsia="宋体" w:hAnsi="Book Antiqua" w:cs="宋体"/>
        </w:rPr>
        <w:t xml:space="preserve">Atrophy-metaplasia-dysplasia-carcinoma sequence in the stomach: a reality ormerelyan hypothesis? </w:t>
      </w:r>
      <w:r w:rsidRPr="002A1E19">
        <w:rPr>
          <w:rFonts w:ascii="Book Antiqua" w:eastAsia="宋体" w:hAnsi="Book Antiqua" w:cs="宋体"/>
          <w:i/>
        </w:rPr>
        <w:t>Best Pract Res Clin Gastroenterol</w:t>
      </w:r>
      <w:r w:rsidRPr="002A1E19">
        <w:rPr>
          <w:rFonts w:ascii="Book Antiqua" w:eastAsia="宋体" w:hAnsi="Book Antiqua" w:cs="宋体"/>
        </w:rPr>
        <w:t xml:space="preserve"> 2001; </w:t>
      </w:r>
      <w:r w:rsidRPr="002A1E19">
        <w:rPr>
          <w:rFonts w:ascii="Book Antiqua" w:eastAsia="宋体" w:hAnsi="Book Antiqua" w:cs="宋体"/>
          <w:b/>
        </w:rPr>
        <w:t>15</w:t>
      </w:r>
      <w:r w:rsidRPr="002A1E19">
        <w:rPr>
          <w:rFonts w:ascii="Book Antiqua" w:eastAsia="宋体" w:hAnsi="Book Antiqua" w:cs="宋体"/>
        </w:rPr>
        <w:t>: 983-</w:t>
      </w:r>
      <w:r>
        <w:rPr>
          <w:rFonts w:ascii="Book Antiqua" w:eastAsia="宋体" w:hAnsi="Book Antiqua" w:cs="宋体" w:hint="eastAsia"/>
        </w:rPr>
        <w:t>9</w:t>
      </w:r>
      <w:r>
        <w:rPr>
          <w:rFonts w:ascii="Book Antiqua" w:eastAsia="宋体" w:hAnsi="Book Antiqua" w:cs="宋体"/>
        </w:rPr>
        <w:t>98</w:t>
      </w:r>
      <w:r>
        <w:rPr>
          <w:rFonts w:ascii="Book Antiqua" w:eastAsia="宋体" w:hAnsi="Book Antiqua" w:cs="宋体" w:hint="eastAsia"/>
        </w:rPr>
        <w:t xml:space="preserve"> [</w:t>
      </w:r>
      <w:r w:rsidRPr="002A1E19">
        <w:rPr>
          <w:rFonts w:ascii="Book Antiqua" w:eastAsia="宋体" w:hAnsi="Book Antiqua" w:cs="宋体"/>
        </w:rPr>
        <w:t>PMID</w:t>
      </w:r>
      <w:r>
        <w:rPr>
          <w:rFonts w:ascii="Book Antiqua" w:eastAsia="宋体" w:hAnsi="Book Antiqua" w:cs="宋体" w:hint="eastAsia"/>
        </w:rPr>
        <w:t>:</w:t>
      </w:r>
      <w:r w:rsidRPr="002A1E19">
        <w:rPr>
          <w:rFonts w:ascii="Book Antiqua" w:eastAsia="宋体" w:hAnsi="Book Antiqua" w:cs="宋体"/>
        </w:rPr>
        <w:t xml:space="preserve"> 11866488</w:t>
      </w:r>
      <w:r>
        <w:rPr>
          <w:rFonts w:ascii="Book Antiqua" w:eastAsia="宋体" w:hAnsi="Book Antiqua" w:cs="宋体" w:hint="eastAsia"/>
        </w:rPr>
        <w:t>]</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63 </w:t>
      </w:r>
      <w:r w:rsidRPr="002A1E19">
        <w:rPr>
          <w:rFonts w:ascii="Book Antiqua" w:eastAsia="宋体" w:hAnsi="Book Antiqua" w:cs="宋体"/>
          <w:b/>
          <w:bCs/>
        </w:rPr>
        <w:t>Goldenring JR</w:t>
      </w:r>
      <w:r w:rsidRPr="002A1E19">
        <w:rPr>
          <w:rFonts w:ascii="Book Antiqua" w:eastAsia="宋体" w:hAnsi="Book Antiqua" w:cs="宋体"/>
        </w:rPr>
        <w:t>, Nam KT, Wang TC, Mills JC, Wright NA. Spasmolytic polypeptide-expressing metaplasia and intestinal metaplasia: time for reevaluation of metaplasias and the origins of gastric cancer. </w:t>
      </w:r>
      <w:r w:rsidRPr="002A1E19">
        <w:rPr>
          <w:rFonts w:ascii="Book Antiqua" w:eastAsia="宋体" w:hAnsi="Book Antiqua" w:cs="宋体"/>
          <w:i/>
          <w:iCs/>
        </w:rPr>
        <w:t>Gastroenterology</w:t>
      </w:r>
      <w:r w:rsidRPr="002A1E19">
        <w:rPr>
          <w:rFonts w:ascii="Book Antiqua" w:eastAsia="宋体" w:hAnsi="Book Antiqua" w:cs="宋体"/>
        </w:rPr>
        <w:t> 2010; </w:t>
      </w:r>
      <w:r w:rsidRPr="002A1E19">
        <w:rPr>
          <w:rFonts w:ascii="Book Antiqua" w:eastAsia="宋体" w:hAnsi="Book Antiqua" w:cs="宋体"/>
          <w:b/>
          <w:bCs/>
        </w:rPr>
        <w:t>138</w:t>
      </w:r>
      <w:r w:rsidRPr="002A1E19">
        <w:rPr>
          <w:rFonts w:ascii="Book Antiqua" w:eastAsia="宋体" w:hAnsi="Book Antiqua" w:cs="宋体"/>
        </w:rPr>
        <w:t>: 2207-210, 2210.e1 [PMID: 20450866 DOI: 10.1053/j.gastro.2010.04.023</w:t>
      </w:r>
      <w:r>
        <w:rPr>
          <w:rFonts w:ascii="Book Antiqua" w:eastAsia="宋体" w:hAnsi="Book Antiqua" w:cs="宋体"/>
        </w:rPr>
        <w:t>]</w:t>
      </w:r>
    </w:p>
    <w:p w:rsidR="002A6339" w:rsidRPr="002A1E19" w:rsidRDefault="002A6339" w:rsidP="002A6339">
      <w:pPr>
        <w:spacing w:line="360" w:lineRule="auto"/>
        <w:jc w:val="both"/>
        <w:rPr>
          <w:rFonts w:ascii="Book Antiqua" w:eastAsia="宋体" w:hAnsi="Book Antiqua" w:cs="宋体"/>
        </w:rPr>
      </w:pPr>
      <w:r>
        <w:rPr>
          <w:rFonts w:ascii="Book Antiqua" w:eastAsia="宋体" w:hAnsi="Book Antiqua" w:cs="宋体"/>
        </w:rPr>
        <w:t>64</w:t>
      </w:r>
      <w:r w:rsidRPr="002A1E19">
        <w:rPr>
          <w:rFonts w:ascii="Book Antiqua" w:eastAsia="宋体" w:hAnsi="Book Antiqua" w:cs="宋体"/>
          <w:b/>
        </w:rPr>
        <w:t xml:space="preserve"> El-Zimaity HM, </w:t>
      </w:r>
      <w:r w:rsidRPr="002A1E19">
        <w:rPr>
          <w:rFonts w:ascii="Book Antiqua" w:eastAsia="宋体" w:hAnsi="Book Antiqua" w:cs="宋体"/>
        </w:rPr>
        <w:t xml:space="preserve">Ota H, Graham DY, Akamatsu T, Katsuyama T. Patterns of gastric atrophy in intestinal type gastric carcinoma. </w:t>
      </w:r>
      <w:r w:rsidRPr="002A1E19">
        <w:rPr>
          <w:rFonts w:ascii="Book Antiqua" w:eastAsia="宋体" w:hAnsi="Book Antiqua" w:cs="宋体"/>
          <w:i/>
        </w:rPr>
        <w:t>Cancer</w:t>
      </w:r>
      <w:r w:rsidRPr="002A1E19">
        <w:rPr>
          <w:rFonts w:ascii="Book Antiqua" w:eastAsia="宋体" w:hAnsi="Book Antiqua" w:cs="宋体"/>
        </w:rPr>
        <w:t xml:space="preserve"> 2002; </w:t>
      </w:r>
      <w:r w:rsidRPr="002A1E19">
        <w:rPr>
          <w:rFonts w:ascii="Book Antiqua" w:eastAsia="宋体" w:hAnsi="Book Antiqua" w:cs="宋体"/>
          <w:b/>
        </w:rPr>
        <w:t>94</w:t>
      </w:r>
      <w:r w:rsidRPr="002A1E19">
        <w:rPr>
          <w:rFonts w:ascii="Book Antiqua" w:eastAsia="宋体" w:hAnsi="Book Antiqua" w:cs="宋体"/>
        </w:rPr>
        <w:t>: 1428-</w:t>
      </w:r>
      <w:r>
        <w:rPr>
          <w:rFonts w:ascii="Book Antiqua" w:eastAsia="宋体" w:hAnsi="Book Antiqua" w:cs="宋体" w:hint="eastAsia"/>
        </w:rPr>
        <w:t>14</w:t>
      </w:r>
      <w:r>
        <w:rPr>
          <w:rFonts w:ascii="Book Antiqua" w:eastAsia="宋体" w:hAnsi="Book Antiqua" w:cs="宋体"/>
        </w:rPr>
        <w:t>36</w:t>
      </w:r>
      <w:r>
        <w:rPr>
          <w:rFonts w:ascii="Book Antiqua" w:eastAsia="宋体" w:hAnsi="Book Antiqua" w:cs="宋体" w:hint="eastAsia"/>
        </w:rPr>
        <w:t xml:space="preserve"> [</w:t>
      </w:r>
      <w:r w:rsidRPr="002A1E19">
        <w:rPr>
          <w:rFonts w:ascii="Book Antiqua" w:eastAsia="宋体" w:hAnsi="Book Antiqua" w:cs="宋体"/>
        </w:rPr>
        <w:t>PMID</w:t>
      </w:r>
      <w:r>
        <w:rPr>
          <w:rFonts w:ascii="Book Antiqua" w:eastAsia="宋体" w:hAnsi="Book Antiqua" w:cs="宋体" w:hint="eastAsia"/>
        </w:rPr>
        <w:t>:</w:t>
      </w:r>
      <w:r w:rsidRPr="002A1E19">
        <w:rPr>
          <w:rFonts w:ascii="Book Antiqua" w:eastAsia="宋体" w:hAnsi="Book Antiqua" w:cs="宋体"/>
        </w:rPr>
        <w:t xml:space="preserve"> 11920498</w:t>
      </w:r>
      <w:r>
        <w:rPr>
          <w:rFonts w:ascii="Book Antiqua" w:eastAsia="宋体" w:hAnsi="Book Antiqua" w:cs="宋体" w:hint="eastAsia"/>
        </w:rPr>
        <w:t>]</w:t>
      </w:r>
    </w:p>
    <w:p w:rsidR="002A6339" w:rsidRPr="002A1E19" w:rsidRDefault="002A6339" w:rsidP="002A6339">
      <w:pPr>
        <w:spacing w:line="360" w:lineRule="auto"/>
        <w:jc w:val="both"/>
        <w:rPr>
          <w:rFonts w:ascii="Book Antiqua" w:eastAsia="宋体" w:hAnsi="Book Antiqua" w:cs="宋体"/>
        </w:rPr>
      </w:pPr>
      <w:r>
        <w:rPr>
          <w:rFonts w:ascii="Book Antiqua" w:eastAsia="宋体" w:hAnsi="Book Antiqua" w:cs="宋体"/>
        </w:rPr>
        <w:t xml:space="preserve">65 </w:t>
      </w:r>
      <w:r w:rsidRPr="002A1E19">
        <w:rPr>
          <w:rFonts w:ascii="Book Antiqua" w:eastAsia="宋体" w:hAnsi="Book Antiqua" w:cs="宋体"/>
          <w:b/>
        </w:rPr>
        <w:t xml:space="preserve">Halldórsdóttir AM, </w:t>
      </w:r>
      <w:r w:rsidRPr="002A1E19">
        <w:rPr>
          <w:rFonts w:ascii="Book Antiqua" w:eastAsia="宋体" w:hAnsi="Book Antiqua" w:cs="宋体"/>
        </w:rPr>
        <w:t>Sigurdardóttrir M, Jónasson JG, Oddsdóttir M, Magnússon J, Lee JR, Goldenring JR.</w:t>
      </w:r>
      <w:r>
        <w:rPr>
          <w:rFonts w:ascii="Book Antiqua" w:eastAsia="宋体" w:hAnsi="Book Antiqua" w:cs="宋体" w:hint="eastAsia"/>
        </w:rPr>
        <w:t xml:space="preserve"> </w:t>
      </w:r>
      <w:r w:rsidRPr="002A1E19">
        <w:rPr>
          <w:rFonts w:ascii="Book Antiqua" w:eastAsia="宋体" w:hAnsi="Book Antiqua" w:cs="宋体"/>
        </w:rPr>
        <w:t>Spasmolytic polypeptide-expressing metaplasia (SPEM)</w:t>
      </w:r>
      <w:r>
        <w:rPr>
          <w:rFonts w:ascii="Book Antiqua" w:eastAsia="宋体" w:hAnsi="Book Antiqua" w:cs="宋体" w:hint="eastAsia"/>
        </w:rPr>
        <w:t xml:space="preserve"> </w:t>
      </w:r>
      <w:r w:rsidRPr="002A1E19">
        <w:rPr>
          <w:rFonts w:ascii="Book Antiqua" w:eastAsia="宋体" w:hAnsi="Book Antiqua" w:cs="宋体"/>
        </w:rPr>
        <w:t>associated with gastric cancer in Iceland</w:t>
      </w:r>
      <w:r w:rsidRPr="002A1E19">
        <w:rPr>
          <w:rFonts w:ascii="Book Antiqua" w:eastAsia="宋体" w:hAnsi="Book Antiqua" w:cs="宋体"/>
          <w:i/>
        </w:rPr>
        <w:t>. Dig Dis Sci</w:t>
      </w:r>
      <w:r>
        <w:rPr>
          <w:rFonts w:ascii="Book Antiqua" w:eastAsia="宋体" w:hAnsi="Book Antiqua" w:cs="宋体" w:hint="eastAsia"/>
        </w:rPr>
        <w:t xml:space="preserve"> </w:t>
      </w:r>
      <w:r w:rsidRPr="002A1E19">
        <w:rPr>
          <w:rFonts w:ascii="Book Antiqua" w:eastAsia="宋体" w:hAnsi="Book Antiqua" w:cs="宋体"/>
        </w:rPr>
        <w:t xml:space="preserve">2003; </w:t>
      </w:r>
      <w:r w:rsidRPr="002A1E19">
        <w:rPr>
          <w:rFonts w:ascii="Book Antiqua" w:eastAsia="宋体" w:hAnsi="Book Antiqua" w:cs="宋体"/>
          <w:b/>
        </w:rPr>
        <w:t>48</w:t>
      </w:r>
      <w:r>
        <w:rPr>
          <w:rFonts w:ascii="Book Antiqua" w:eastAsia="宋体" w:hAnsi="Book Antiqua" w:cs="宋体"/>
        </w:rPr>
        <w:t>: 431-</w:t>
      </w:r>
      <w:r>
        <w:rPr>
          <w:rFonts w:ascii="Book Antiqua" w:eastAsia="宋体" w:hAnsi="Book Antiqua" w:cs="宋体" w:hint="eastAsia"/>
        </w:rPr>
        <w:t>4</w:t>
      </w:r>
      <w:r>
        <w:rPr>
          <w:rFonts w:ascii="Book Antiqua" w:eastAsia="宋体" w:hAnsi="Book Antiqua" w:cs="宋体"/>
        </w:rPr>
        <w:t>41</w:t>
      </w:r>
      <w:r w:rsidRPr="002A1E19">
        <w:rPr>
          <w:rFonts w:ascii="Book Antiqua" w:eastAsia="宋体" w:hAnsi="Book Antiqua" w:cs="宋体"/>
        </w:rPr>
        <w:t xml:space="preserve"> </w:t>
      </w:r>
      <w:r>
        <w:rPr>
          <w:rFonts w:ascii="Book Antiqua" w:eastAsia="宋体" w:hAnsi="Book Antiqua" w:cs="宋体" w:hint="eastAsia"/>
        </w:rPr>
        <w:t>[</w:t>
      </w:r>
      <w:r w:rsidRPr="002A1E19">
        <w:rPr>
          <w:rFonts w:ascii="Book Antiqua" w:eastAsia="宋体" w:hAnsi="Book Antiqua" w:cs="宋体"/>
        </w:rPr>
        <w:t>PMID</w:t>
      </w:r>
      <w:r>
        <w:rPr>
          <w:rFonts w:ascii="Book Antiqua" w:eastAsia="宋体" w:hAnsi="Book Antiqua" w:cs="宋体" w:hint="eastAsia"/>
        </w:rPr>
        <w:t>:</w:t>
      </w:r>
      <w:r w:rsidRPr="002A1E19">
        <w:rPr>
          <w:rFonts w:ascii="Book Antiqua" w:eastAsia="宋体" w:hAnsi="Book Antiqua" w:cs="宋体"/>
        </w:rPr>
        <w:t xml:space="preserve"> 12757153</w:t>
      </w:r>
      <w:r>
        <w:rPr>
          <w:rFonts w:ascii="Book Antiqua" w:eastAsia="宋体" w:hAnsi="Book Antiqua" w:cs="宋体" w:hint="eastAsia"/>
        </w:rPr>
        <w:t>]</w:t>
      </w:r>
    </w:p>
    <w:p w:rsidR="002A6339" w:rsidRPr="002A1E19" w:rsidRDefault="002A6339" w:rsidP="002A6339">
      <w:pPr>
        <w:spacing w:line="360" w:lineRule="auto"/>
        <w:jc w:val="both"/>
        <w:rPr>
          <w:rFonts w:ascii="Book Antiqua" w:eastAsia="宋体" w:hAnsi="Book Antiqua" w:cs="宋体"/>
        </w:rPr>
      </w:pPr>
      <w:r>
        <w:rPr>
          <w:rFonts w:ascii="Book Antiqua" w:eastAsia="宋体" w:hAnsi="Book Antiqua" w:cs="宋体"/>
        </w:rPr>
        <w:t>66</w:t>
      </w:r>
      <w:r w:rsidRPr="002A1E19">
        <w:rPr>
          <w:rFonts w:ascii="Book Antiqua" w:eastAsia="宋体" w:hAnsi="Book Antiqua" w:cs="宋体"/>
        </w:rPr>
        <w:t xml:space="preserve"> </w:t>
      </w:r>
      <w:r w:rsidRPr="002A1E19">
        <w:rPr>
          <w:rFonts w:ascii="Book Antiqua" w:eastAsia="宋体" w:hAnsi="Book Antiqua" w:cs="宋体"/>
          <w:b/>
        </w:rPr>
        <w:t>Schmidt PH,</w:t>
      </w:r>
      <w:r w:rsidRPr="002A1E19">
        <w:rPr>
          <w:rFonts w:ascii="Book Antiqua" w:eastAsia="宋体" w:hAnsi="Book Antiqua" w:cs="宋体"/>
        </w:rPr>
        <w:t xml:space="preserve"> Lee JR, Joshi V, Playford RJ, Poulsom R, Wright NA, GoldenringJR. Identification of a metaplastic cell lineage associated with human gastric adenocarcinom</w:t>
      </w:r>
      <w:r>
        <w:rPr>
          <w:rFonts w:ascii="Book Antiqua" w:eastAsia="宋体" w:hAnsi="Book Antiqua" w:cs="宋体"/>
        </w:rPr>
        <w:t xml:space="preserve">a. </w:t>
      </w:r>
      <w:r w:rsidRPr="002A1E19">
        <w:rPr>
          <w:rFonts w:ascii="Book Antiqua" w:eastAsia="宋体" w:hAnsi="Book Antiqua" w:cs="宋体"/>
          <w:i/>
        </w:rPr>
        <w:t>Lab Invest</w:t>
      </w:r>
      <w:r>
        <w:rPr>
          <w:rFonts w:ascii="Book Antiqua" w:eastAsia="宋体" w:hAnsi="Book Antiqua" w:cs="宋体" w:hint="eastAsia"/>
        </w:rPr>
        <w:t xml:space="preserve"> </w:t>
      </w:r>
      <w:r>
        <w:rPr>
          <w:rFonts w:ascii="Book Antiqua" w:eastAsia="宋体" w:hAnsi="Book Antiqua" w:cs="宋体"/>
        </w:rPr>
        <w:t xml:space="preserve">1999; </w:t>
      </w:r>
      <w:r w:rsidRPr="002A1E19">
        <w:rPr>
          <w:rFonts w:ascii="Book Antiqua" w:eastAsia="宋体" w:hAnsi="Book Antiqua" w:cs="宋体"/>
          <w:b/>
        </w:rPr>
        <w:t>79</w:t>
      </w:r>
      <w:r>
        <w:rPr>
          <w:rFonts w:ascii="Book Antiqua" w:eastAsia="宋体" w:hAnsi="Book Antiqua" w:cs="宋体"/>
        </w:rPr>
        <w:t>: 639-</w:t>
      </w:r>
      <w:r>
        <w:rPr>
          <w:rFonts w:ascii="Book Antiqua" w:eastAsia="宋体" w:hAnsi="Book Antiqua" w:cs="宋体" w:hint="eastAsia"/>
        </w:rPr>
        <w:t>6</w:t>
      </w:r>
      <w:r>
        <w:rPr>
          <w:rFonts w:ascii="Book Antiqua" w:eastAsia="宋体" w:hAnsi="Book Antiqua" w:cs="宋体"/>
        </w:rPr>
        <w:t>46</w:t>
      </w:r>
      <w:r w:rsidRPr="002A1E19">
        <w:rPr>
          <w:rFonts w:ascii="Book Antiqua" w:eastAsia="宋体" w:hAnsi="Book Antiqua" w:cs="宋体"/>
        </w:rPr>
        <w:t xml:space="preserve"> </w:t>
      </w:r>
      <w:r>
        <w:rPr>
          <w:rFonts w:ascii="Book Antiqua" w:eastAsia="宋体" w:hAnsi="Book Antiqua" w:cs="宋体" w:hint="eastAsia"/>
        </w:rPr>
        <w:t>[</w:t>
      </w:r>
      <w:r>
        <w:rPr>
          <w:rFonts w:ascii="Book Antiqua" w:eastAsia="宋体" w:hAnsi="Book Antiqua" w:cs="宋体"/>
        </w:rPr>
        <w:t>PMID</w:t>
      </w:r>
      <w:r>
        <w:rPr>
          <w:rFonts w:ascii="Book Antiqua" w:eastAsia="宋体" w:hAnsi="Book Antiqua" w:cs="宋体" w:hint="eastAsia"/>
        </w:rPr>
        <w:t xml:space="preserve">: </w:t>
      </w:r>
      <w:r w:rsidRPr="002A1E19">
        <w:rPr>
          <w:rFonts w:ascii="Book Antiqua" w:eastAsia="宋体" w:hAnsi="Book Antiqua" w:cs="宋体"/>
        </w:rPr>
        <w:t>10378506</w:t>
      </w:r>
      <w:r>
        <w:rPr>
          <w:rFonts w:ascii="Book Antiqua" w:eastAsia="宋体" w:hAnsi="Book Antiqua" w:cs="宋体" w:hint="eastAsia"/>
        </w:rPr>
        <w:t>]</w:t>
      </w:r>
    </w:p>
    <w:p w:rsidR="002A6339" w:rsidRPr="002A1E19" w:rsidRDefault="002A6339" w:rsidP="002A6339">
      <w:pPr>
        <w:spacing w:line="360" w:lineRule="auto"/>
        <w:jc w:val="both"/>
        <w:rPr>
          <w:rFonts w:ascii="Book Antiqua" w:eastAsia="宋体" w:hAnsi="Book Antiqua" w:cs="宋体"/>
        </w:rPr>
      </w:pPr>
      <w:r>
        <w:rPr>
          <w:rFonts w:ascii="Book Antiqua" w:eastAsia="宋体" w:hAnsi="Book Antiqua" w:cs="宋体"/>
        </w:rPr>
        <w:t xml:space="preserve">67 </w:t>
      </w:r>
      <w:r w:rsidRPr="002A1E19">
        <w:rPr>
          <w:rFonts w:ascii="Book Antiqua" w:eastAsia="宋体" w:hAnsi="Book Antiqua" w:cs="宋体"/>
          <w:b/>
        </w:rPr>
        <w:t xml:space="preserve">El-Zimaity H. </w:t>
      </w:r>
      <w:r w:rsidRPr="002A1E19">
        <w:rPr>
          <w:rFonts w:ascii="Book Antiqua" w:eastAsia="宋体" w:hAnsi="Book Antiqua" w:cs="宋体"/>
        </w:rPr>
        <w:t xml:space="preserve">Gastritis and gastric atrophy. </w:t>
      </w:r>
      <w:r w:rsidRPr="002A1E19">
        <w:rPr>
          <w:rFonts w:ascii="Book Antiqua" w:eastAsia="宋体" w:hAnsi="Book Antiqua" w:cs="宋体"/>
          <w:i/>
        </w:rPr>
        <w:t>Curr Opin Gastroenterol</w:t>
      </w:r>
      <w:r w:rsidRPr="002A1E19">
        <w:rPr>
          <w:rFonts w:ascii="Book Antiqua" w:eastAsia="宋体" w:hAnsi="Book Antiqua" w:cs="宋体"/>
        </w:rPr>
        <w:t xml:space="preserve"> 2008; </w:t>
      </w:r>
      <w:r w:rsidRPr="002A1E19">
        <w:rPr>
          <w:rFonts w:ascii="Book Antiqua" w:eastAsia="宋体" w:hAnsi="Book Antiqua" w:cs="宋体"/>
          <w:b/>
        </w:rPr>
        <w:t>24</w:t>
      </w:r>
      <w:r w:rsidRPr="002A1E19">
        <w:rPr>
          <w:rFonts w:ascii="Book Antiqua" w:eastAsia="宋体" w:hAnsi="Book Antiqua" w:cs="宋体"/>
        </w:rPr>
        <w:t>: 682-</w:t>
      </w:r>
      <w:r>
        <w:rPr>
          <w:rFonts w:ascii="Book Antiqua" w:eastAsia="宋体" w:hAnsi="Book Antiqua" w:cs="宋体" w:hint="eastAsia"/>
        </w:rPr>
        <w:t>68</w:t>
      </w:r>
      <w:r>
        <w:rPr>
          <w:rFonts w:ascii="Book Antiqua" w:eastAsia="宋体" w:hAnsi="Book Antiqua" w:cs="宋体"/>
        </w:rPr>
        <w:t>6</w:t>
      </w:r>
      <w:r w:rsidRPr="002A1E19">
        <w:rPr>
          <w:rFonts w:ascii="Book Antiqua" w:eastAsia="宋体" w:hAnsi="Book Antiqua" w:cs="宋体"/>
        </w:rPr>
        <w:t xml:space="preserve"> </w:t>
      </w:r>
      <w:r>
        <w:rPr>
          <w:rFonts w:ascii="Book Antiqua" w:eastAsia="宋体" w:hAnsi="Book Antiqua" w:cs="宋体" w:hint="eastAsia"/>
        </w:rPr>
        <w:t>[</w:t>
      </w:r>
      <w:r w:rsidRPr="002A1E19">
        <w:rPr>
          <w:rFonts w:ascii="Book Antiqua" w:eastAsia="宋体" w:hAnsi="Book Antiqua" w:cs="宋体"/>
        </w:rPr>
        <w:t>PMID</w:t>
      </w:r>
      <w:r>
        <w:rPr>
          <w:rFonts w:ascii="Book Antiqua" w:eastAsia="宋体" w:hAnsi="Book Antiqua" w:cs="宋体" w:hint="eastAsia"/>
        </w:rPr>
        <w:t>:</w:t>
      </w:r>
      <w:r w:rsidRPr="002A1E19">
        <w:rPr>
          <w:rFonts w:ascii="Book Antiqua" w:eastAsia="宋体" w:hAnsi="Book Antiqua" w:cs="宋体"/>
        </w:rPr>
        <w:t xml:space="preserve"> 19122515</w:t>
      </w:r>
      <w:r>
        <w:rPr>
          <w:rFonts w:ascii="Book Antiqua" w:eastAsia="宋体" w:hAnsi="Book Antiqua" w:cs="宋体" w:hint="eastAsia"/>
        </w:rPr>
        <w:t xml:space="preserve"> </w:t>
      </w:r>
      <w:r w:rsidRPr="002A1E19">
        <w:rPr>
          <w:rFonts w:ascii="Book Antiqua" w:eastAsia="宋体" w:hAnsi="Book Antiqua" w:cs="宋体"/>
        </w:rPr>
        <w:t>DOI: 10.1097/MOG.0</w:t>
      </w:r>
      <w:r>
        <w:rPr>
          <w:rFonts w:ascii="Book Antiqua" w:eastAsia="宋体" w:hAnsi="Book Antiqua" w:cs="宋体"/>
        </w:rPr>
        <w:t>b013e328311d1cc</w:t>
      </w:r>
      <w:r>
        <w:rPr>
          <w:rFonts w:ascii="Book Antiqua" w:eastAsia="宋体" w:hAnsi="Book Antiqua" w:cs="宋体" w:hint="eastAsia"/>
        </w:rPr>
        <w:t>]</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lastRenderedPageBreak/>
        <w:t>68 </w:t>
      </w:r>
      <w:r w:rsidRPr="002A1E19">
        <w:rPr>
          <w:rFonts w:ascii="Book Antiqua" w:eastAsia="宋体" w:hAnsi="Book Antiqua" w:cs="宋体"/>
          <w:b/>
          <w:bCs/>
        </w:rPr>
        <w:t>Fox JG</w:t>
      </w:r>
      <w:r w:rsidRPr="002A1E19">
        <w:rPr>
          <w:rFonts w:ascii="Book Antiqua" w:eastAsia="宋体" w:hAnsi="Book Antiqua" w:cs="宋体"/>
        </w:rPr>
        <w:t>, Li X, Cahill RJ, Andrutis K, Rustgi AK, Odze R, Wang TC. Hypertrophic gastropathy in Helicobacter felis-infected wild-type C57BL/6 mice and p53 hemizygous transgenic mice. </w:t>
      </w:r>
      <w:r w:rsidRPr="002A1E19">
        <w:rPr>
          <w:rFonts w:ascii="Book Antiqua" w:eastAsia="宋体" w:hAnsi="Book Antiqua" w:cs="宋体"/>
          <w:i/>
          <w:iCs/>
        </w:rPr>
        <w:t>Gastroenterology</w:t>
      </w:r>
      <w:r w:rsidRPr="002A1E19">
        <w:rPr>
          <w:rFonts w:ascii="Book Antiqua" w:eastAsia="宋体" w:hAnsi="Book Antiqua" w:cs="宋体"/>
        </w:rPr>
        <w:t> 1996; </w:t>
      </w:r>
      <w:r w:rsidRPr="002A1E19">
        <w:rPr>
          <w:rFonts w:ascii="Book Antiqua" w:eastAsia="宋体" w:hAnsi="Book Antiqua" w:cs="宋体"/>
          <w:b/>
          <w:bCs/>
        </w:rPr>
        <w:t>110</w:t>
      </w:r>
      <w:r w:rsidRPr="002A1E19">
        <w:rPr>
          <w:rFonts w:ascii="Book Antiqua" w:eastAsia="宋体" w:hAnsi="Book Antiqua" w:cs="宋体"/>
        </w:rPr>
        <w:t>: 155-166 [PMID: 8536852]</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69 </w:t>
      </w:r>
      <w:r w:rsidRPr="002A1E19">
        <w:rPr>
          <w:rFonts w:ascii="Book Antiqua" w:eastAsia="宋体" w:hAnsi="Book Antiqua" w:cs="宋体"/>
          <w:b/>
          <w:bCs/>
        </w:rPr>
        <w:t>Yamaguchi H</w:t>
      </w:r>
      <w:r w:rsidRPr="002A1E19">
        <w:rPr>
          <w:rFonts w:ascii="Book Antiqua" w:eastAsia="宋体" w:hAnsi="Book Antiqua" w:cs="宋体"/>
        </w:rPr>
        <w:t>, Goldenring JR, Kaminishi M, Lee JR. Identification of spasmolytic polypeptide expressing metaplasia (SPEM) in remnant gastric cancer and surveillance postgastrectomy biopsies. </w:t>
      </w:r>
      <w:r w:rsidRPr="002A1E19">
        <w:rPr>
          <w:rFonts w:ascii="Book Antiqua" w:eastAsia="宋体" w:hAnsi="Book Antiqua" w:cs="宋体"/>
          <w:i/>
          <w:iCs/>
        </w:rPr>
        <w:t>Dig Dis Sci</w:t>
      </w:r>
      <w:r w:rsidRPr="002A1E19">
        <w:rPr>
          <w:rFonts w:ascii="Book Antiqua" w:eastAsia="宋体" w:hAnsi="Book Antiqua" w:cs="宋体"/>
        </w:rPr>
        <w:t> 2002; </w:t>
      </w:r>
      <w:r w:rsidRPr="002A1E19">
        <w:rPr>
          <w:rFonts w:ascii="Book Antiqua" w:eastAsia="宋体" w:hAnsi="Book Antiqua" w:cs="宋体"/>
          <w:b/>
          <w:bCs/>
        </w:rPr>
        <w:t>47</w:t>
      </w:r>
      <w:r w:rsidRPr="002A1E19">
        <w:rPr>
          <w:rFonts w:ascii="Book Antiqua" w:eastAsia="宋体" w:hAnsi="Book Antiqua" w:cs="宋体"/>
        </w:rPr>
        <w:t>: 573-578 [PMID: 11911345]</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70 </w:t>
      </w:r>
      <w:r w:rsidRPr="002A1E19">
        <w:rPr>
          <w:rFonts w:ascii="Book Antiqua" w:eastAsia="宋体" w:hAnsi="Book Antiqua" w:cs="宋体"/>
          <w:b/>
          <w:bCs/>
        </w:rPr>
        <w:t>Abraham SC</w:t>
      </w:r>
      <w:r w:rsidRPr="002A1E19">
        <w:rPr>
          <w:rFonts w:ascii="Book Antiqua" w:eastAsia="宋体" w:hAnsi="Book Antiqua" w:cs="宋体"/>
        </w:rPr>
        <w:t>, Montgomery EA, Singh VK, Yardley JH, Wu TT. Gastric adenomas: intestinal-type and gastric-type adenomas differ in the risk of adenocarcinoma and presence of background mucosal pathology. </w:t>
      </w:r>
      <w:r w:rsidRPr="002A1E19">
        <w:rPr>
          <w:rFonts w:ascii="Book Antiqua" w:eastAsia="宋体" w:hAnsi="Book Antiqua" w:cs="宋体"/>
          <w:i/>
          <w:iCs/>
        </w:rPr>
        <w:t>Am J Surg Pathol</w:t>
      </w:r>
      <w:r w:rsidRPr="002A1E19">
        <w:rPr>
          <w:rFonts w:ascii="Book Antiqua" w:eastAsia="宋体" w:hAnsi="Book Antiqua" w:cs="宋体"/>
        </w:rPr>
        <w:t> 2002; </w:t>
      </w:r>
      <w:r w:rsidRPr="002A1E19">
        <w:rPr>
          <w:rFonts w:ascii="Book Antiqua" w:eastAsia="宋体" w:hAnsi="Book Antiqua" w:cs="宋体"/>
          <w:b/>
          <w:bCs/>
        </w:rPr>
        <w:t>26</w:t>
      </w:r>
      <w:r w:rsidRPr="002A1E19">
        <w:rPr>
          <w:rFonts w:ascii="Book Antiqua" w:eastAsia="宋体" w:hAnsi="Book Antiqua" w:cs="宋体"/>
        </w:rPr>
        <w:t>: 1276-1285 [PMID: 12360042]</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71 </w:t>
      </w:r>
      <w:r w:rsidRPr="002A1E19">
        <w:rPr>
          <w:rFonts w:ascii="Book Antiqua" w:eastAsia="宋体" w:hAnsi="Book Antiqua" w:cs="宋体"/>
          <w:b/>
          <w:bCs/>
        </w:rPr>
        <w:t>Vieth M</w:t>
      </w:r>
      <w:r w:rsidRPr="002A1E19">
        <w:rPr>
          <w:rFonts w:ascii="Book Antiqua" w:eastAsia="宋体" w:hAnsi="Book Antiqua" w:cs="宋体"/>
        </w:rPr>
        <w:t>, Kushima R, Borchard F, Stolte M. Pyloric gland adenoma: a clinico-pathological analysis of 90 cases. </w:t>
      </w:r>
      <w:r w:rsidRPr="002A1E19">
        <w:rPr>
          <w:rFonts w:ascii="Book Antiqua" w:eastAsia="宋体" w:hAnsi="Book Antiqua" w:cs="宋体"/>
          <w:i/>
          <w:iCs/>
        </w:rPr>
        <w:t>Virchows Arch</w:t>
      </w:r>
      <w:r w:rsidRPr="002A1E19">
        <w:rPr>
          <w:rFonts w:ascii="Book Antiqua" w:eastAsia="宋体" w:hAnsi="Book Antiqua" w:cs="宋体"/>
        </w:rPr>
        <w:t> 2003; </w:t>
      </w:r>
      <w:r w:rsidRPr="002A1E19">
        <w:rPr>
          <w:rFonts w:ascii="Book Antiqua" w:eastAsia="宋体" w:hAnsi="Book Antiqua" w:cs="宋体"/>
          <w:b/>
          <w:bCs/>
        </w:rPr>
        <w:t>442</w:t>
      </w:r>
      <w:r w:rsidRPr="002A1E19">
        <w:rPr>
          <w:rFonts w:ascii="Book Antiqua" w:eastAsia="宋体" w:hAnsi="Book Antiqua" w:cs="宋体"/>
        </w:rPr>
        <w:t>: 317-321 [PMID: 12715167]</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72 </w:t>
      </w:r>
      <w:r w:rsidRPr="002A1E19">
        <w:rPr>
          <w:rFonts w:ascii="Book Antiqua" w:eastAsia="宋体" w:hAnsi="Book Antiqua" w:cs="宋体"/>
          <w:b/>
          <w:bCs/>
        </w:rPr>
        <w:t>Park do Y</w:t>
      </w:r>
      <w:r w:rsidRPr="002A1E19">
        <w:rPr>
          <w:rFonts w:ascii="Book Antiqua" w:eastAsia="宋体" w:hAnsi="Book Antiqua" w:cs="宋体"/>
        </w:rPr>
        <w:t>, Srivastava A, Kim GH, Mino-Kenudson M, Deshpande V, Zukerberg LR, Song GA, Lauwers GY. Adenomatous and foveolar gastric dysplasia: distinct patterns of mucin expression and background intestinal metaplasia. </w:t>
      </w:r>
      <w:r w:rsidRPr="002A1E19">
        <w:rPr>
          <w:rFonts w:ascii="Book Antiqua" w:eastAsia="宋体" w:hAnsi="Book Antiqua" w:cs="宋体"/>
          <w:i/>
          <w:iCs/>
        </w:rPr>
        <w:t>Am J Surg Pathol</w:t>
      </w:r>
      <w:r w:rsidRPr="002A1E19">
        <w:rPr>
          <w:rFonts w:ascii="Book Antiqua" w:eastAsia="宋体" w:hAnsi="Book Antiqua" w:cs="宋体"/>
        </w:rPr>
        <w:t> 2008; </w:t>
      </w:r>
      <w:r w:rsidRPr="002A1E19">
        <w:rPr>
          <w:rFonts w:ascii="Book Antiqua" w:eastAsia="宋体" w:hAnsi="Book Antiqua" w:cs="宋体"/>
          <w:b/>
          <w:bCs/>
        </w:rPr>
        <w:t>32</w:t>
      </w:r>
      <w:r w:rsidRPr="002A1E19">
        <w:rPr>
          <w:rFonts w:ascii="Book Antiqua" w:eastAsia="宋体" w:hAnsi="Book Antiqua" w:cs="宋体"/>
        </w:rPr>
        <w:t>: 524-533 [PMID: 18300795 DOI: 10.1097/PAS.0b013e31815b890e</w:t>
      </w:r>
      <w:r>
        <w:rPr>
          <w:rFonts w:ascii="Book Antiqua" w:eastAsia="宋体" w:hAnsi="Book Antiqua" w:cs="宋体"/>
        </w:rPr>
        <w:t>]</w:t>
      </w:r>
    </w:p>
    <w:p w:rsidR="002A6339" w:rsidRPr="002A1E19" w:rsidRDefault="002A6339" w:rsidP="002A6339">
      <w:pPr>
        <w:spacing w:line="360" w:lineRule="auto"/>
        <w:jc w:val="both"/>
        <w:rPr>
          <w:rFonts w:ascii="Book Antiqua" w:eastAsia="宋体" w:hAnsi="Book Antiqua" w:cs="宋体"/>
        </w:rPr>
      </w:pPr>
      <w:r>
        <w:rPr>
          <w:rFonts w:ascii="Book Antiqua" w:eastAsia="宋体" w:hAnsi="Book Antiqua" w:cs="宋体"/>
        </w:rPr>
        <w:t xml:space="preserve">73 </w:t>
      </w:r>
      <w:r w:rsidRPr="002A1E19">
        <w:rPr>
          <w:rFonts w:ascii="Book Antiqua" w:eastAsia="宋体" w:hAnsi="Book Antiqua" w:cs="宋体"/>
          <w:b/>
        </w:rPr>
        <w:t>Chen ZM, S</w:t>
      </w:r>
      <w:r w:rsidRPr="002A1E19">
        <w:rPr>
          <w:rFonts w:ascii="Book Antiqua" w:eastAsia="宋体" w:hAnsi="Book Antiqua" w:cs="宋体"/>
        </w:rPr>
        <w:t xml:space="preserve">cudiere JR, Abraham SC, Montgomery E. Pyloric gland adenoma: an entity distinct from gastric foveolar type adenoma. </w:t>
      </w:r>
      <w:r w:rsidRPr="002A1E19">
        <w:rPr>
          <w:rFonts w:ascii="Book Antiqua" w:eastAsia="宋体" w:hAnsi="Book Antiqua" w:cs="宋体"/>
          <w:i/>
        </w:rPr>
        <w:t>Am J Surg</w:t>
      </w:r>
      <w:r>
        <w:rPr>
          <w:rFonts w:ascii="Book Antiqua" w:eastAsia="宋体" w:hAnsi="Book Antiqua" w:cs="宋体" w:hint="eastAsia"/>
          <w:i/>
        </w:rPr>
        <w:t xml:space="preserve"> </w:t>
      </w:r>
      <w:r w:rsidRPr="002A1E19">
        <w:rPr>
          <w:rFonts w:ascii="Book Antiqua" w:eastAsia="宋体" w:hAnsi="Book Antiqua" w:cs="宋体"/>
          <w:i/>
        </w:rPr>
        <w:t>Pathol</w:t>
      </w:r>
      <w:r w:rsidRPr="002A1E19">
        <w:rPr>
          <w:rFonts w:ascii="Book Antiqua" w:eastAsia="宋体" w:hAnsi="Book Antiqua" w:cs="宋体"/>
        </w:rPr>
        <w:t xml:space="preserve"> 2009; </w:t>
      </w:r>
      <w:r w:rsidRPr="002A1E19">
        <w:rPr>
          <w:rFonts w:ascii="Book Antiqua" w:eastAsia="宋体" w:hAnsi="Book Antiqua" w:cs="宋体"/>
          <w:b/>
        </w:rPr>
        <w:t>33</w:t>
      </w:r>
      <w:r w:rsidRPr="002A1E19">
        <w:rPr>
          <w:rFonts w:ascii="Book Antiqua" w:eastAsia="宋体" w:hAnsi="Book Antiqua" w:cs="宋体"/>
        </w:rPr>
        <w:t>: 186-</w:t>
      </w:r>
      <w:r>
        <w:rPr>
          <w:rFonts w:ascii="Book Antiqua" w:eastAsia="宋体" w:hAnsi="Book Antiqua" w:cs="宋体" w:hint="eastAsia"/>
        </w:rPr>
        <w:t>1</w:t>
      </w:r>
      <w:r w:rsidRPr="002A1E19">
        <w:rPr>
          <w:rFonts w:ascii="Book Antiqua" w:eastAsia="宋体" w:hAnsi="Book Antiqua" w:cs="宋体"/>
        </w:rPr>
        <w:t>93</w:t>
      </w:r>
      <w:r>
        <w:rPr>
          <w:rFonts w:ascii="Book Antiqua" w:eastAsia="宋体" w:hAnsi="Book Antiqua" w:cs="宋体" w:hint="eastAsia"/>
        </w:rPr>
        <w:t xml:space="preserve"> [</w:t>
      </w:r>
      <w:r w:rsidRPr="002A1E19">
        <w:rPr>
          <w:rFonts w:ascii="Book Antiqua" w:eastAsia="宋体" w:hAnsi="Book Antiqua" w:cs="宋体"/>
        </w:rPr>
        <w:t>PMID</w:t>
      </w:r>
      <w:r>
        <w:rPr>
          <w:rFonts w:ascii="Book Antiqua" w:eastAsia="宋体" w:hAnsi="Book Antiqua" w:cs="宋体" w:hint="eastAsia"/>
        </w:rPr>
        <w:t>:</w:t>
      </w:r>
      <w:r w:rsidRPr="002A1E19">
        <w:rPr>
          <w:rFonts w:ascii="Book Antiqua" w:eastAsia="宋体" w:hAnsi="Book Antiqua" w:cs="宋体"/>
        </w:rPr>
        <w:t xml:space="preserve"> 18830123</w:t>
      </w:r>
      <w:r>
        <w:rPr>
          <w:rFonts w:ascii="Book Antiqua" w:eastAsia="宋体" w:hAnsi="Book Antiqua" w:cs="宋体" w:hint="eastAsia"/>
        </w:rPr>
        <w:t xml:space="preserve"> </w:t>
      </w:r>
      <w:r w:rsidRPr="002A1E19">
        <w:rPr>
          <w:rFonts w:ascii="Book Antiqua" w:eastAsia="宋体" w:hAnsi="Book Antiqua" w:cs="宋体"/>
        </w:rPr>
        <w:t>DOI</w:t>
      </w:r>
      <w:r>
        <w:rPr>
          <w:rFonts w:ascii="Book Antiqua" w:eastAsia="宋体" w:hAnsi="Book Antiqua" w:cs="宋体"/>
        </w:rPr>
        <w:t>: 10.1097/PAS.0b013e31817d7ff4</w:t>
      </w:r>
      <w:r>
        <w:rPr>
          <w:rFonts w:ascii="Book Antiqua" w:eastAsia="宋体" w:hAnsi="Book Antiqua" w:cs="宋体" w:hint="eastAsia"/>
        </w:rPr>
        <w:t>]</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74 </w:t>
      </w:r>
      <w:r w:rsidRPr="002A1E19">
        <w:rPr>
          <w:rFonts w:ascii="Book Antiqua" w:eastAsia="宋体" w:hAnsi="Book Antiqua" w:cs="宋体"/>
          <w:b/>
          <w:bCs/>
        </w:rPr>
        <w:t>Vieth M</w:t>
      </w:r>
      <w:r w:rsidRPr="002A1E19">
        <w:rPr>
          <w:rFonts w:ascii="Book Antiqua" w:eastAsia="宋体" w:hAnsi="Book Antiqua" w:cs="宋体"/>
        </w:rPr>
        <w:t>, Kushima R, Mukaisho K, Sakai R, Kasami T, Hattori T. Immunohistochemical analysis of pyloric gland adenomas using a series of Mucin 2, Mucin 5AC, Mucin 6, CD10, Ki67 and p53. </w:t>
      </w:r>
      <w:r w:rsidRPr="002A1E19">
        <w:rPr>
          <w:rFonts w:ascii="Book Antiqua" w:eastAsia="宋体" w:hAnsi="Book Antiqua" w:cs="宋体"/>
          <w:i/>
          <w:iCs/>
        </w:rPr>
        <w:t>Virchows Arch</w:t>
      </w:r>
      <w:r w:rsidRPr="002A1E19">
        <w:rPr>
          <w:rFonts w:ascii="Book Antiqua" w:eastAsia="宋体" w:hAnsi="Book Antiqua" w:cs="宋体"/>
        </w:rPr>
        <w:t> 2010; </w:t>
      </w:r>
      <w:r w:rsidRPr="002A1E19">
        <w:rPr>
          <w:rFonts w:ascii="Book Antiqua" w:eastAsia="宋体" w:hAnsi="Book Antiqua" w:cs="宋体"/>
          <w:b/>
          <w:bCs/>
        </w:rPr>
        <w:t>457</w:t>
      </w:r>
      <w:r w:rsidRPr="002A1E19">
        <w:rPr>
          <w:rFonts w:ascii="Book Antiqua" w:eastAsia="宋体" w:hAnsi="Book Antiqua" w:cs="宋体"/>
        </w:rPr>
        <w:t>: 529-536 [PMID: 20827489 DOI: 10.1007/s00428-010-0968-7</w:t>
      </w:r>
      <w:r>
        <w:rPr>
          <w:rFonts w:ascii="Book Antiqua" w:eastAsia="宋体" w:hAnsi="Book Antiqua" w:cs="宋体"/>
        </w:rPr>
        <w:t>]</w:t>
      </w:r>
    </w:p>
    <w:p w:rsidR="002A6339" w:rsidRPr="002A1E19" w:rsidRDefault="002A6339" w:rsidP="002A6339">
      <w:pPr>
        <w:spacing w:line="360" w:lineRule="auto"/>
        <w:jc w:val="both"/>
        <w:rPr>
          <w:rFonts w:ascii="Book Antiqua" w:eastAsia="宋体" w:hAnsi="Book Antiqua" w:cs="宋体"/>
        </w:rPr>
      </w:pPr>
      <w:r>
        <w:rPr>
          <w:rFonts w:ascii="Book Antiqua" w:eastAsia="宋体" w:hAnsi="Book Antiqua" w:cs="宋体"/>
        </w:rPr>
        <w:t xml:space="preserve">75 </w:t>
      </w:r>
      <w:r w:rsidRPr="002A1E19">
        <w:rPr>
          <w:rFonts w:ascii="Book Antiqua" w:eastAsia="宋体" w:hAnsi="Book Antiqua" w:cs="宋体"/>
          <w:b/>
        </w:rPr>
        <w:t>Robinson JC,</w:t>
      </w:r>
      <w:r w:rsidRPr="002A1E19">
        <w:rPr>
          <w:rFonts w:ascii="Book Antiqua" w:eastAsia="宋体" w:hAnsi="Book Antiqua" w:cs="宋体"/>
        </w:rPr>
        <w:t xml:space="preserve"> Hoffman B, Sun S. Gastric adenomas: Subtypes and their clinical significance. </w:t>
      </w:r>
      <w:r w:rsidRPr="002A1E19">
        <w:rPr>
          <w:rFonts w:ascii="Book Antiqua" w:eastAsia="宋体" w:hAnsi="Book Antiqua" w:cs="宋体"/>
          <w:i/>
        </w:rPr>
        <w:t>Pathol Case Rev</w:t>
      </w:r>
      <w:r w:rsidRPr="002A1E19">
        <w:rPr>
          <w:rFonts w:ascii="Book Antiqua" w:eastAsia="宋体" w:hAnsi="Book Antiqua" w:cs="宋体"/>
        </w:rPr>
        <w:t xml:space="preserve"> 2013; </w:t>
      </w:r>
      <w:r w:rsidRPr="002A1E19">
        <w:rPr>
          <w:rFonts w:ascii="Book Antiqua" w:eastAsia="宋体" w:hAnsi="Book Antiqua" w:cs="宋体"/>
          <w:b/>
        </w:rPr>
        <w:t>18</w:t>
      </w:r>
      <w:r w:rsidRPr="002A1E19">
        <w:rPr>
          <w:rFonts w:ascii="Book Antiqua" w:eastAsia="宋体" w:hAnsi="Book Antiqua" w:cs="宋体"/>
        </w:rPr>
        <w:t xml:space="preserve">: 70-74 </w:t>
      </w:r>
      <w:r>
        <w:rPr>
          <w:rFonts w:ascii="Book Antiqua" w:eastAsia="宋体" w:hAnsi="Book Antiqua" w:cs="宋体" w:hint="eastAsia"/>
        </w:rPr>
        <w:t>[</w:t>
      </w:r>
      <w:r w:rsidRPr="002A1E19">
        <w:rPr>
          <w:rFonts w:ascii="Book Antiqua" w:eastAsia="宋体" w:hAnsi="Book Antiqua" w:cs="宋体"/>
        </w:rPr>
        <w:t>DOI: 10.1097/PCR.0b013e31828c337f</w:t>
      </w:r>
      <w:r>
        <w:rPr>
          <w:rFonts w:ascii="Book Antiqua" w:eastAsia="宋体" w:hAnsi="Book Antiqua" w:cs="宋体" w:hint="eastAsia"/>
        </w:rPr>
        <w:t>]</w:t>
      </w:r>
    </w:p>
    <w:p w:rsidR="002A6339" w:rsidRPr="002A1E19" w:rsidRDefault="002A6339" w:rsidP="002A6339">
      <w:pPr>
        <w:spacing w:line="360" w:lineRule="auto"/>
        <w:jc w:val="both"/>
        <w:rPr>
          <w:rFonts w:ascii="Book Antiqua" w:eastAsia="宋体" w:hAnsi="Book Antiqua" w:cs="宋体"/>
        </w:rPr>
      </w:pPr>
      <w:r w:rsidRPr="002A1E19">
        <w:rPr>
          <w:rFonts w:ascii="Book Antiqua" w:eastAsia="宋体" w:hAnsi="Book Antiqua" w:cs="宋体"/>
        </w:rPr>
        <w:t>76 </w:t>
      </w:r>
      <w:r w:rsidRPr="002A1E19">
        <w:rPr>
          <w:rFonts w:ascii="Book Antiqua" w:eastAsia="宋体" w:hAnsi="Book Antiqua" w:cs="宋体"/>
          <w:b/>
          <w:bCs/>
        </w:rPr>
        <w:t>Rugge M</w:t>
      </w:r>
      <w:r w:rsidRPr="002A1E19">
        <w:rPr>
          <w:rFonts w:ascii="Book Antiqua" w:eastAsia="宋体" w:hAnsi="Book Antiqua" w:cs="宋体"/>
        </w:rPr>
        <w:t>, Capelle LG, Cappellesso R, Nitti D, Kuipers EJ. Precancerous lesions in the stomach: from biology to clinical patient management. </w:t>
      </w:r>
      <w:r w:rsidRPr="002A1E19">
        <w:rPr>
          <w:rFonts w:ascii="Book Antiqua" w:eastAsia="宋体" w:hAnsi="Book Antiqua" w:cs="宋体"/>
          <w:i/>
          <w:iCs/>
        </w:rPr>
        <w:t>Best Pract Res Clin Gastroenterol</w:t>
      </w:r>
      <w:r w:rsidRPr="002A1E19">
        <w:rPr>
          <w:rFonts w:ascii="Book Antiqua" w:eastAsia="宋体" w:hAnsi="Book Antiqua" w:cs="宋体"/>
        </w:rPr>
        <w:t> 2013; </w:t>
      </w:r>
      <w:r w:rsidRPr="002A1E19">
        <w:rPr>
          <w:rFonts w:ascii="Book Antiqua" w:eastAsia="宋体" w:hAnsi="Book Antiqua" w:cs="宋体"/>
          <w:b/>
          <w:bCs/>
        </w:rPr>
        <w:t>27</w:t>
      </w:r>
      <w:r w:rsidRPr="002A1E19">
        <w:rPr>
          <w:rFonts w:ascii="Book Antiqua" w:eastAsia="宋体" w:hAnsi="Book Antiqua" w:cs="宋体"/>
        </w:rPr>
        <w:t>: 205-223 [PMID: 23809241 DOI: 10.1016/j.bpg.2012.12.007</w:t>
      </w:r>
      <w:r>
        <w:rPr>
          <w:rFonts w:ascii="Book Antiqua" w:eastAsia="宋体" w:hAnsi="Book Antiqua" w:cs="宋体"/>
        </w:rPr>
        <w:t>]</w:t>
      </w:r>
    </w:p>
    <w:p w:rsidR="002A6339" w:rsidRPr="002A1E19" w:rsidRDefault="002A6339" w:rsidP="002A6339">
      <w:pPr>
        <w:spacing w:line="360" w:lineRule="auto"/>
        <w:jc w:val="both"/>
        <w:rPr>
          <w:rFonts w:ascii="Book Antiqua" w:hAnsi="Book Antiqua"/>
        </w:rPr>
      </w:pPr>
    </w:p>
    <w:p w:rsidR="009972DB" w:rsidRPr="002A6339" w:rsidRDefault="009972DB" w:rsidP="0088448D">
      <w:pPr>
        <w:spacing w:line="360" w:lineRule="auto"/>
        <w:jc w:val="both"/>
        <w:rPr>
          <w:rFonts w:ascii="Book Antiqua" w:hAnsi="Book Antiqua"/>
          <w:lang w:eastAsia="zh-CN"/>
        </w:rPr>
      </w:pPr>
    </w:p>
    <w:p w:rsidR="00642101" w:rsidRPr="005D6FB7" w:rsidRDefault="004D7B29" w:rsidP="005D6FB7">
      <w:pPr>
        <w:pStyle w:val="aa"/>
        <w:wordWrap w:val="0"/>
        <w:spacing w:line="360" w:lineRule="auto"/>
        <w:ind w:left="360" w:right="120"/>
        <w:jc w:val="right"/>
        <w:rPr>
          <w:rStyle w:val="a7"/>
          <w:rFonts w:ascii="Book Antiqua" w:eastAsia="宋体" w:hAnsi="Book Antiqua"/>
          <w:color w:val="000000"/>
          <w:lang w:eastAsia="zh-CN"/>
        </w:rPr>
      </w:pPr>
      <w:bookmarkStart w:id="46" w:name="OLE_LINK277"/>
      <w:bookmarkStart w:id="47" w:name="OLE_LINK278"/>
      <w:bookmarkStart w:id="48" w:name="OLE_LINK279"/>
      <w:bookmarkStart w:id="49" w:name="OLE_LINK290"/>
      <w:bookmarkStart w:id="50" w:name="OLE_LINK301"/>
      <w:bookmarkStart w:id="51" w:name="OLE_LINK312"/>
      <w:bookmarkStart w:id="52" w:name="OLE_LINK315"/>
      <w:bookmarkStart w:id="53" w:name="OLE_LINK316"/>
      <w:bookmarkStart w:id="54" w:name="OLE_LINK317"/>
      <w:bookmarkStart w:id="55" w:name="OLE_LINK318"/>
      <w:bookmarkStart w:id="56" w:name="OLE_LINK326"/>
      <w:bookmarkStart w:id="57" w:name="OLE_LINK335"/>
      <w:bookmarkStart w:id="58" w:name="OLE_LINK339"/>
      <w:bookmarkStart w:id="59" w:name="OLE_LINK348"/>
      <w:bookmarkStart w:id="60" w:name="OLE_LINK399"/>
      <w:bookmarkStart w:id="61" w:name="OLE_LINK419"/>
      <w:bookmarkStart w:id="62" w:name="OLE_LINK420"/>
      <w:bookmarkStart w:id="63" w:name="OLE_LINK423"/>
      <w:bookmarkStart w:id="64" w:name="OLE_LINK449"/>
      <w:bookmarkStart w:id="65" w:name="OLE_LINK450"/>
      <w:bookmarkStart w:id="66" w:name="OLE_LINK454"/>
      <w:r w:rsidRPr="00712F63">
        <w:rPr>
          <w:rStyle w:val="a7"/>
          <w:rFonts w:ascii="Book Antiqua" w:hAnsi="Book Antiqua" w:cs="Arial"/>
          <w:bCs w:val="0"/>
          <w:noProof/>
          <w:color w:val="000000"/>
        </w:rPr>
        <w:t>P-Reviewers</w:t>
      </w:r>
      <w:r w:rsidRPr="00712F63">
        <w:rPr>
          <w:rStyle w:val="a7"/>
          <w:rFonts w:ascii="Book Antiqua" w:eastAsia="宋体" w:hAnsi="Book Antiqua" w:cs="Arial"/>
          <w:bCs w:val="0"/>
          <w:noProof/>
          <w:color w:val="000000"/>
          <w:lang w:eastAsia="zh-CN"/>
        </w:rPr>
        <w:t>:</w:t>
      </w:r>
      <w:r w:rsidRPr="00712F63">
        <w:rPr>
          <w:rFonts w:ascii="Book Antiqua" w:hAnsi="Book Antiqua"/>
          <w:bCs/>
          <w:color w:val="000000"/>
        </w:rPr>
        <w:t xml:space="preserve"> </w:t>
      </w:r>
      <w:r w:rsidR="00C208CB" w:rsidRPr="00C208CB">
        <w:rPr>
          <w:rFonts w:ascii="Book Antiqua" w:hAnsi="Book Antiqua"/>
          <w:bCs/>
          <w:color w:val="000000"/>
        </w:rPr>
        <w:t>Greco</w:t>
      </w:r>
      <w:r w:rsidR="00C208CB">
        <w:rPr>
          <w:rFonts w:ascii="Book Antiqua" w:hAnsi="Book Antiqua" w:hint="eastAsia"/>
          <w:bCs/>
          <w:color w:val="000000"/>
          <w:lang w:eastAsia="zh-CN"/>
        </w:rPr>
        <w:t xml:space="preserve"> L,</w:t>
      </w:r>
      <w:r w:rsidRPr="00712F63">
        <w:rPr>
          <w:rFonts w:ascii="Book Antiqua" w:hAnsi="Book Antiqua"/>
          <w:bCs/>
          <w:color w:val="000000"/>
        </w:rPr>
        <w:t xml:space="preserve"> </w:t>
      </w:r>
      <w:r w:rsidR="00C208CB" w:rsidRPr="00C208CB">
        <w:rPr>
          <w:rFonts w:ascii="Book Antiqua" w:hAnsi="Book Antiqua"/>
          <w:bCs/>
          <w:color w:val="000000"/>
        </w:rPr>
        <w:t>Marrelli</w:t>
      </w:r>
      <w:r w:rsidR="00C208CB">
        <w:rPr>
          <w:rFonts w:ascii="Book Antiqua" w:hAnsi="Book Antiqua" w:hint="eastAsia"/>
          <w:bCs/>
          <w:color w:val="000000"/>
          <w:lang w:eastAsia="zh-CN"/>
        </w:rPr>
        <w:t xml:space="preserve"> D,</w:t>
      </w:r>
      <w:r w:rsidRPr="00712F63">
        <w:rPr>
          <w:rFonts w:ascii="Book Antiqua" w:hAnsi="Book Antiqua"/>
          <w:bCs/>
          <w:color w:val="000000"/>
        </w:rPr>
        <w:t xml:space="preserve"> </w:t>
      </w:r>
      <w:r w:rsidR="00C208CB" w:rsidRPr="00C208CB">
        <w:rPr>
          <w:rFonts w:ascii="Book Antiqua" w:hAnsi="Book Antiqua"/>
          <w:bCs/>
          <w:color w:val="000000"/>
        </w:rPr>
        <w:t>Welling</w:t>
      </w:r>
      <w:r w:rsidR="00C208CB">
        <w:rPr>
          <w:rFonts w:ascii="Book Antiqua" w:hAnsi="Book Antiqua" w:hint="eastAsia"/>
          <w:bCs/>
          <w:color w:val="000000"/>
          <w:lang w:eastAsia="zh-CN"/>
        </w:rPr>
        <w:t xml:space="preserve"> TH </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宋体" w:hAnsi="Book Antiqua"/>
          <w:b/>
          <w:bCs/>
          <w:color w:val="000000"/>
          <w:lang w:eastAsia="zh-CN"/>
        </w:rPr>
        <w:t>:</w:t>
      </w:r>
      <w:r w:rsidRPr="00712F63">
        <w:rPr>
          <w:rFonts w:ascii="Book Antiqua" w:hAnsi="Book Antiqua"/>
          <w:bCs/>
          <w:color w:val="000000"/>
        </w:rPr>
        <w:t xml:space="preserve"> </w:t>
      </w:r>
      <w:r w:rsidRPr="00712F63">
        <w:rPr>
          <w:rFonts w:ascii="Book Antiqua" w:eastAsia="宋体" w:hAnsi="Book Antiqua"/>
          <w:bCs/>
          <w:color w:val="000000"/>
          <w:lang w:eastAsia="zh-CN"/>
        </w:rPr>
        <w:t>Qi Y</w:t>
      </w:r>
      <w:r w:rsidRPr="00712F63">
        <w:rPr>
          <w:rFonts w:ascii="Book Antiqua" w:hAnsi="Book Antiqua"/>
          <w:b/>
          <w:bCs/>
          <w:color w:val="000000"/>
        </w:rPr>
        <w:t xml:space="preserve">   L-Editor</w:t>
      </w:r>
      <w:r w:rsidRPr="00712F63">
        <w:rPr>
          <w:rFonts w:ascii="Book Antiqua" w:eastAsia="宋体" w:hAnsi="Book Antiqua"/>
          <w:b/>
          <w:bCs/>
          <w:color w:val="000000"/>
          <w:lang w:eastAsia="zh-CN"/>
        </w:rPr>
        <w:t>:</w:t>
      </w:r>
      <w:r w:rsidRPr="00712F63">
        <w:rPr>
          <w:rFonts w:ascii="Book Antiqua" w:hAnsi="Book Antiqua"/>
          <w:b/>
          <w:bCs/>
          <w:color w:val="000000"/>
        </w:rPr>
        <w:t xml:space="preserve">   E-Editor</w:t>
      </w:r>
      <w:r w:rsidRPr="00712F63">
        <w:rPr>
          <w:rFonts w:ascii="Book Antiqua" w:eastAsia="宋体" w:hAnsi="Book Antiqua"/>
          <w:b/>
          <w:bCs/>
          <w:color w:val="000000"/>
          <w:lang w:eastAsia="zh-CN"/>
        </w:rPr>
        <w:t>:</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Pr>
          <w:rStyle w:val="a7"/>
          <w:rFonts w:ascii="Book Antiqua" w:hAnsi="Book Antiqua"/>
          <w:lang w:val="en-US"/>
        </w:rPr>
        <w:br w:type="page"/>
      </w:r>
    </w:p>
    <w:p w:rsidR="006972B8" w:rsidRDefault="004D7B29" w:rsidP="0088448D">
      <w:pPr>
        <w:pStyle w:val="a8"/>
        <w:spacing w:line="360" w:lineRule="auto"/>
        <w:jc w:val="both"/>
        <w:rPr>
          <w:rFonts w:ascii="Book Antiqua" w:hAnsi="Book Antiqua"/>
          <w:b/>
          <w:bCs/>
          <w:lang w:val="en-US" w:eastAsia="zh-CN"/>
        </w:rPr>
      </w:pPr>
      <w:r>
        <w:rPr>
          <w:rFonts w:ascii="Book Antiqua" w:hAnsi="Book Antiqua"/>
          <w:b/>
          <w:bCs/>
          <w:lang w:val="en-US"/>
        </w:rPr>
        <w:lastRenderedPageBreak/>
        <w:t>Figure 1</w:t>
      </w:r>
      <w:r>
        <w:rPr>
          <w:rFonts w:ascii="Book Antiqua" w:hAnsi="Book Antiqua" w:hint="eastAsia"/>
          <w:b/>
          <w:bCs/>
          <w:lang w:val="en-US" w:eastAsia="zh-CN"/>
        </w:rPr>
        <w:t xml:space="preserve"> </w:t>
      </w:r>
      <w:r w:rsidR="00DD0D2D" w:rsidRPr="0088448D">
        <w:rPr>
          <w:rFonts w:ascii="Book Antiqua" w:hAnsi="Book Antiqua"/>
          <w:b/>
          <w:bCs/>
          <w:lang w:val="en-US"/>
        </w:rPr>
        <w:t xml:space="preserve">Intestinal-type adenocarcinoma. Intestinal metaplastic epithelium is adjacent to the </w:t>
      </w:r>
      <w:r w:rsidR="006972B8" w:rsidRPr="0088448D">
        <w:rPr>
          <w:rFonts w:ascii="Book Antiqua" w:hAnsi="Book Antiqua"/>
          <w:b/>
          <w:bCs/>
          <w:lang w:val="en-US"/>
        </w:rPr>
        <w:t>carcinoma</w:t>
      </w:r>
      <w:r>
        <w:rPr>
          <w:rFonts w:ascii="Book Antiqua" w:hAnsi="Book Antiqua" w:hint="eastAsia"/>
          <w:b/>
          <w:bCs/>
          <w:lang w:val="en-US" w:eastAsia="zh-CN"/>
        </w:rPr>
        <w:t xml:space="preserve"> (A), </w:t>
      </w:r>
      <w:r w:rsidRPr="0088448D">
        <w:rPr>
          <w:rFonts w:ascii="Book Antiqua" w:hAnsi="Book Antiqua"/>
          <w:b/>
          <w:bCs/>
          <w:lang w:val="en-US"/>
        </w:rPr>
        <w:t>d</w:t>
      </w:r>
      <w:r w:rsidR="006972B8" w:rsidRPr="0088448D">
        <w:rPr>
          <w:rFonts w:ascii="Book Antiqua" w:hAnsi="Book Antiqua"/>
          <w:b/>
          <w:bCs/>
          <w:lang w:val="en-US"/>
        </w:rPr>
        <w:t>iffuse-type carcinoma composed of signet-ring cells showing foamy cytoplasm and an eccentrically located nucleus</w:t>
      </w:r>
      <w:r>
        <w:rPr>
          <w:rFonts w:ascii="Book Antiqua" w:hAnsi="Book Antiqua" w:hint="eastAsia"/>
          <w:b/>
          <w:bCs/>
          <w:lang w:val="en-US" w:eastAsia="zh-CN"/>
        </w:rPr>
        <w:t xml:space="preserve"> (B)</w:t>
      </w:r>
      <w:r w:rsidR="006972B8" w:rsidRPr="0088448D">
        <w:rPr>
          <w:rFonts w:ascii="Book Antiqua" w:hAnsi="Book Antiqua"/>
          <w:b/>
          <w:bCs/>
          <w:lang w:val="en-US"/>
        </w:rPr>
        <w:t>.</w:t>
      </w:r>
    </w:p>
    <w:p w:rsidR="00D51FFE" w:rsidRPr="00D51FFE" w:rsidRDefault="00D51FFE" w:rsidP="0088448D">
      <w:pPr>
        <w:pStyle w:val="a8"/>
        <w:spacing w:line="360" w:lineRule="auto"/>
        <w:jc w:val="both"/>
        <w:rPr>
          <w:rFonts w:ascii="Book Antiqua" w:hAnsi="Book Antiqua"/>
          <w:bCs/>
          <w:lang w:val="en-US" w:eastAsia="zh-CN"/>
        </w:rPr>
      </w:pPr>
      <w:r w:rsidRPr="00D51FFE">
        <w:rPr>
          <w:rFonts w:ascii="Book Antiqua" w:hAnsi="Book Antiqua" w:hint="eastAsia"/>
          <w:bCs/>
          <w:lang w:val="en-US" w:eastAsia="zh-CN"/>
        </w:rPr>
        <w:t>A</w:t>
      </w:r>
      <w:r>
        <w:rPr>
          <w:rFonts w:ascii="Book Antiqua" w:hAnsi="Book Antiqua" w:hint="eastAsia"/>
          <w:bCs/>
          <w:lang w:val="en-US" w:eastAsia="zh-CN"/>
        </w:rPr>
        <w:t xml:space="preserve">                                                                              B</w:t>
      </w:r>
    </w:p>
    <w:p w:rsidR="00014718" w:rsidRDefault="00D51FFE" w:rsidP="0088448D">
      <w:pPr>
        <w:pStyle w:val="a8"/>
        <w:spacing w:line="360" w:lineRule="auto"/>
        <w:jc w:val="both"/>
        <w:rPr>
          <w:rFonts w:ascii="Book Antiqua" w:hAnsi="Book Antiqua"/>
          <w:b/>
          <w:bCs/>
          <w:lang w:val="en-US" w:eastAsia="zh-CN"/>
        </w:rPr>
      </w:pPr>
      <w:r>
        <w:rPr>
          <w:noProof/>
          <w:lang w:val="en-US" w:eastAsia="zh-CN"/>
        </w:rPr>
        <w:drawing>
          <wp:inline distT="0" distB="0" distL="0" distR="0">
            <wp:extent cx="2753002" cy="2181225"/>
            <wp:effectExtent l="0" t="0" r="0" b="0"/>
            <wp:docPr id="3" name="图片 3" descr="G:\MitocondriRev\fotoxmitoc\Imag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itocondriRev\fotoxmitoc\Image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3002" cy="2181225"/>
                    </a:xfrm>
                    <a:prstGeom prst="rect">
                      <a:avLst/>
                    </a:prstGeom>
                    <a:noFill/>
                    <a:ln>
                      <a:noFill/>
                    </a:ln>
                  </pic:spPr>
                </pic:pic>
              </a:graphicData>
            </a:graphic>
          </wp:inline>
        </w:drawing>
      </w:r>
      <w:r>
        <w:rPr>
          <w:noProof/>
          <w:lang w:val="en-US" w:eastAsia="zh-CN"/>
        </w:rPr>
        <w:drawing>
          <wp:inline distT="0" distB="0" distL="0" distR="0" wp14:anchorId="57178740" wp14:editId="3CAC88FA">
            <wp:extent cx="2775281" cy="2200275"/>
            <wp:effectExtent l="0" t="0" r="0" b="0"/>
            <wp:docPr id="1" name="图片 1" descr="G:\MitocondriRev\fotoxmitoc\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itocondriRev\fotoxmitoc\Image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8505" cy="2202831"/>
                    </a:xfrm>
                    <a:prstGeom prst="rect">
                      <a:avLst/>
                    </a:prstGeom>
                    <a:noFill/>
                    <a:ln>
                      <a:noFill/>
                    </a:ln>
                  </pic:spPr>
                </pic:pic>
              </a:graphicData>
            </a:graphic>
          </wp:inline>
        </w:drawing>
      </w:r>
    </w:p>
    <w:p w:rsidR="00D51FFE" w:rsidRPr="0088448D" w:rsidRDefault="00D51FFE" w:rsidP="0088448D">
      <w:pPr>
        <w:pStyle w:val="a8"/>
        <w:spacing w:line="360" w:lineRule="auto"/>
        <w:jc w:val="both"/>
        <w:rPr>
          <w:rFonts w:ascii="Book Antiqua" w:hAnsi="Book Antiqua"/>
          <w:b/>
          <w:bCs/>
          <w:lang w:val="en-US" w:eastAsia="zh-CN"/>
        </w:rPr>
      </w:pPr>
    </w:p>
    <w:p w:rsidR="00113039" w:rsidRPr="004D7B29" w:rsidRDefault="00113039" w:rsidP="0088448D">
      <w:pPr>
        <w:pStyle w:val="a8"/>
        <w:spacing w:line="360" w:lineRule="auto"/>
        <w:jc w:val="both"/>
        <w:rPr>
          <w:rFonts w:ascii="Book Antiqua" w:hAnsi="Book Antiqua"/>
          <w:bCs/>
          <w:noProof/>
          <w:lang w:val="en-US"/>
        </w:rPr>
      </w:pPr>
      <w:r w:rsidRPr="0088448D">
        <w:rPr>
          <w:rFonts w:ascii="Book Antiqua" w:hAnsi="Book Antiqua"/>
          <w:b/>
          <w:bCs/>
          <w:noProof/>
          <w:lang w:val="en-US"/>
        </w:rPr>
        <w:t>Figure 2</w:t>
      </w:r>
      <w:r w:rsidR="004D7B29">
        <w:rPr>
          <w:rFonts w:ascii="Book Antiqua" w:hAnsi="Book Antiqua" w:hint="eastAsia"/>
          <w:b/>
          <w:bCs/>
          <w:noProof/>
          <w:lang w:val="en-US" w:eastAsia="zh-CN"/>
        </w:rPr>
        <w:t xml:space="preserve"> </w:t>
      </w:r>
      <w:r w:rsidRPr="0088448D">
        <w:rPr>
          <w:rFonts w:ascii="Book Antiqua" w:hAnsi="Book Antiqua"/>
          <w:b/>
          <w:bCs/>
          <w:noProof/>
          <w:lang w:val="en-US"/>
        </w:rPr>
        <w:t>Gastric-type adenocarcinoma showing a papillary growth pattern admixed with a poorly differentiated component.</w:t>
      </w:r>
      <w:r w:rsidRPr="004D7B29">
        <w:rPr>
          <w:rFonts w:ascii="Book Antiqua" w:hAnsi="Book Antiqua"/>
          <w:bCs/>
          <w:noProof/>
          <w:lang w:val="en-US"/>
        </w:rPr>
        <w:t xml:space="preserve"> Neoplastic glands are lined by cuboidal to tall columnar cells showing clear mucinous cytoplasm and basally oriented enlarged nuclei.</w:t>
      </w:r>
    </w:p>
    <w:p w:rsidR="00014718" w:rsidRPr="0088448D" w:rsidRDefault="00D51FFE" w:rsidP="0088448D">
      <w:pPr>
        <w:pStyle w:val="a8"/>
        <w:spacing w:line="360" w:lineRule="auto"/>
        <w:jc w:val="both"/>
        <w:rPr>
          <w:rFonts w:ascii="Book Antiqua" w:hAnsi="Book Antiqua"/>
          <w:b/>
          <w:bCs/>
          <w:lang w:val="en-US"/>
        </w:rPr>
      </w:pPr>
      <w:r>
        <w:rPr>
          <w:noProof/>
          <w:lang w:val="en-US" w:eastAsia="zh-CN"/>
        </w:rPr>
        <w:drawing>
          <wp:inline distT="0" distB="0" distL="0" distR="0">
            <wp:extent cx="3943350" cy="3126425"/>
            <wp:effectExtent l="0" t="0" r="0" b="0"/>
            <wp:docPr id="5" name="图片 5" descr="C:\Documents and Settings\Utente\Desktop\MitocondriRev\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tente\Desktop\MitocondriRev\Image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3350" cy="3126425"/>
                    </a:xfrm>
                    <a:prstGeom prst="rect">
                      <a:avLst/>
                    </a:prstGeom>
                    <a:noFill/>
                    <a:ln>
                      <a:noFill/>
                    </a:ln>
                  </pic:spPr>
                </pic:pic>
              </a:graphicData>
            </a:graphic>
          </wp:inline>
        </w:drawing>
      </w:r>
    </w:p>
    <w:p w:rsidR="00D51FFE" w:rsidRDefault="00D51FFE">
      <w:pPr>
        <w:rPr>
          <w:rFonts w:ascii="Book Antiqua" w:hAnsi="Book Antiqua"/>
          <w:b/>
          <w:bCs/>
        </w:rPr>
      </w:pPr>
      <w:r>
        <w:rPr>
          <w:rFonts w:ascii="Book Antiqua" w:hAnsi="Book Antiqua"/>
          <w:b/>
          <w:bCs/>
        </w:rPr>
        <w:br w:type="page"/>
      </w:r>
    </w:p>
    <w:p w:rsidR="00014718" w:rsidRPr="004D7B29" w:rsidRDefault="00113039" w:rsidP="004D7B29">
      <w:pPr>
        <w:pStyle w:val="a8"/>
        <w:spacing w:line="360" w:lineRule="auto"/>
        <w:jc w:val="both"/>
        <w:rPr>
          <w:rFonts w:ascii="Book Antiqua" w:hAnsi="Book Antiqua"/>
          <w:b/>
          <w:bCs/>
          <w:lang w:eastAsia="zh-CN"/>
        </w:rPr>
      </w:pPr>
      <w:r w:rsidRPr="0088448D">
        <w:rPr>
          <w:rFonts w:ascii="Book Antiqua" w:hAnsi="Book Antiqua"/>
          <w:b/>
          <w:bCs/>
        </w:rPr>
        <w:lastRenderedPageBreak/>
        <w:t>Figure 3</w:t>
      </w:r>
      <w:r w:rsidR="00C208CB">
        <w:rPr>
          <w:rFonts w:ascii="Book Antiqua" w:hAnsi="Book Antiqua" w:hint="eastAsia"/>
          <w:b/>
          <w:bCs/>
          <w:lang w:eastAsia="zh-CN"/>
        </w:rPr>
        <w:t xml:space="preserve"> </w:t>
      </w:r>
      <w:r w:rsidR="004D7B29" w:rsidRPr="004D7B29">
        <w:rPr>
          <w:rFonts w:ascii="Book Antiqua" w:hAnsi="Book Antiqua"/>
          <w:b/>
          <w:bCs/>
          <w:lang w:eastAsia="zh-CN"/>
        </w:rPr>
        <w:t>Gastric adenoma of intestinal type</w:t>
      </w:r>
      <w:r w:rsidR="004D7B29" w:rsidRPr="004D7B29">
        <w:rPr>
          <w:rFonts w:ascii="Book Antiqua" w:hAnsi="Book Antiqua" w:hint="eastAsia"/>
          <w:b/>
          <w:bCs/>
          <w:lang w:eastAsia="zh-CN"/>
        </w:rPr>
        <w:t xml:space="preserve"> (A)</w:t>
      </w:r>
      <w:r w:rsidR="004D7B29">
        <w:rPr>
          <w:rFonts w:ascii="Book Antiqua" w:hAnsi="Book Antiqua" w:hint="eastAsia"/>
          <w:b/>
          <w:bCs/>
          <w:lang w:eastAsia="zh-CN"/>
        </w:rPr>
        <w:t xml:space="preserve">, </w:t>
      </w:r>
      <w:r w:rsidR="004D7B29" w:rsidRPr="004D7B29">
        <w:rPr>
          <w:rFonts w:ascii="Book Antiqua" w:hAnsi="Book Antiqua"/>
          <w:b/>
          <w:bCs/>
          <w:lang w:eastAsia="zh-CN"/>
        </w:rPr>
        <w:t>dysplastic epithelium shows mild architectural changes with little branching or irregularity (left</w:t>
      </w:r>
      <w:r w:rsidR="004D7B29">
        <w:rPr>
          <w:rFonts w:ascii="Book Antiqua" w:hAnsi="Book Antiqua" w:hint="eastAsia"/>
          <w:b/>
          <w:bCs/>
          <w:lang w:eastAsia="zh-CN"/>
        </w:rPr>
        <w:t>,</w:t>
      </w:r>
      <w:r w:rsidR="004D7B29" w:rsidRPr="004D7B29">
        <w:rPr>
          <w:rFonts w:ascii="Book Antiqua" w:hAnsi="Book Antiqua"/>
          <w:b/>
          <w:bCs/>
          <w:lang w:eastAsia="zh-CN"/>
        </w:rPr>
        <w:t xml:space="preserve"> note prominent lymphoid follicle in the adjacent non-neoplastic mucosa (right)</w:t>
      </w:r>
      <w:r w:rsidR="004D7B29">
        <w:rPr>
          <w:rFonts w:ascii="Book Antiqua" w:hAnsi="Book Antiqua" w:hint="eastAsia"/>
          <w:b/>
          <w:bCs/>
          <w:lang w:eastAsia="zh-CN"/>
        </w:rPr>
        <w:t>,</w:t>
      </w:r>
      <w:r w:rsidR="004D7B29" w:rsidRPr="004D7B29">
        <w:rPr>
          <w:rFonts w:ascii="Book Antiqua" w:hAnsi="Book Antiqua"/>
          <w:b/>
          <w:bCs/>
          <w:lang w:eastAsia="zh-CN"/>
        </w:rPr>
        <w:t xml:space="preserve"> alcian bleu- periodic acid Schiff</w:t>
      </w:r>
      <w:r w:rsidR="004D7B29">
        <w:rPr>
          <w:rFonts w:ascii="Book Antiqua" w:hAnsi="Book Antiqua" w:hint="eastAsia"/>
          <w:b/>
          <w:bCs/>
          <w:lang w:eastAsia="zh-CN"/>
        </w:rPr>
        <w:t>;</w:t>
      </w:r>
      <w:r w:rsidR="004D7B29" w:rsidRPr="004D7B29">
        <w:rPr>
          <w:rFonts w:ascii="Book Antiqua" w:hAnsi="Book Antiqua" w:hint="eastAsia"/>
          <w:b/>
          <w:bCs/>
          <w:lang w:eastAsia="zh-CN"/>
        </w:rPr>
        <w:t xml:space="preserve"> </w:t>
      </w:r>
      <w:r w:rsidR="006972B8" w:rsidRPr="004D7B29">
        <w:rPr>
          <w:rFonts w:ascii="Book Antiqua" w:hAnsi="Book Antiqua"/>
          <w:b/>
          <w:bCs/>
          <w:lang w:val="en-US"/>
        </w:rPr>
        <w:t xml:space="preserve">A few small goblet cells are scattered among columnar </w:t>
      </w:r>
      <w:r w:rsidR="004D7B29" w:rsidRPr="004D7B29">
        <w:rPr>
          <w:rFonts w:ascii="Book Antiqua" w:hAnsi="Book Antiqua"/>
          <w:b/>
          <w:bCs/>
          <w:lang w:val="en-US"/>
        </w:rPr>
        <w:t>cells showing elongated nuclei</w:t>
      </w:r>
      <w:r w:rsidR="004D7B29" w:rsidRPr="004D7B29">
        <w:rPr>
          <w:rFonts w:ascii="Book Antiqua" w:hAnsi="Book Antiqua" w:hint="eastAsia"/>
          <w:b/>
          <w:bCs/>
          <w:lang w:val="en-US" w:eastAsia="zh-CN"/>
        </w:rPr>
        <w:t xml:space="preserve"> (B) </w:t>
      </w:r>
      <w:r w:rsidR="006972B8" w:rsidRPr="004D7B29">
        <w:rPr>
          <w:rFonts w:ascii="Book Antiqua" w:hAnsi="Book Antiqua"/>
          <w:b/>
          <w:bCs/>
          <w:lang w:val="en-US"/>
        </w:rPr>
        <w:t>(Alcian bleu- periodic acid Schiff</w:t>
      </w:r>
      <w:r w:rsidR="004D7B29" w:rsidRPr="004D7B29">
        <w:rPr>
          <w:rFonts w:ascii="Book Antiqua" w:hAnsi="Book Antiqua" w:hint="eastAsia"/>
          <w:b/>
          <w:bCs/>
          <w:lang w:val="en-US" w:eastAsia="zh-CN"/>
        </w:rPr>
        <w:t>).</w:t>
      </w:r>
    </w:p>
    <w:p w:rsidR="00014718" w:rsidRPr="004D7B29" w:rsidRDefault="00C208CB" w:rsidP="0088448D">
      <w:pPr>
        <w:pStyle w:val="a8"/>
        <w:spacing w:line="360" w:lineRule="auto"/>
        <w:jc w:val="both"/>
        <w:rPr>
          <w:rFonts w:ascii="Book Antiqua" w:hAnsi="Book Antiqua"/>
          <w:bCs/>
          <w:lang w:val="en-US" w:eastAsia="zh-CN"/>
        </w:rPr>
      </w:pPr>
      <w:r>
        <w:rPr>
          <w:rFonts w:ascii="Book Antiqua" w:hAnsi="Book Antiqua" w:hint="eastAsia"/>
          <w:bCs/>
          <w:lang w:val="en-US" w:eastAsia="zh-CN"/>
        </w:rPr>
        <w:t>A</w:t>
      </w:r>
    </w:p>
    <w:p w:rsidR="00014718" w:rsidRDefault="00D51FFE" w:rsidP="0088448D">
      <w:pPr>
        <w:pStyle w:val="a8"/>
        <w:spacing w:line="360" w:lineRule="auto"/>
        <w:jc w:val="both"/>
        <w:rPr>
          <w:rFonts w:ascii="Book Antiqua" w:hAnsi="Book Antiqua"/>
          <w:b/>
          <w:bCs/>
          <w:lang w:val="en-US" w:eastAsia="zh-CN"/>
        </w:rPr>
      </w:pPr>
      <w:r>
        <w:rPr>
          <w:noProof/>
          <w:lang w:val="en-US" w:eastAsia="zh-CN"/>
        </w:rPr>
        <w:drawing>
          <wp:inline distT="0" distB="0" distL="0" distR="0">
            <wp:extent cx="3314700" cy="2627293"/>
            <wp:effectExtent l="0" t="0" r="0" b="0"/>
            <wp:docPr id="6" name="图片 6" descr="G:\MitocondriRev\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itocondriRev\Image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4700" cy="2627293"/>
                    </a:xfrm>
                    <a:prstGeom prst="rect">
                      <a:avLst/>
                    </a:prstGeom>
                    <a:noFill/>
                    <a:ln>
                      <a:noFill/>
                    </a:ln>
                  </pic:spPr>
                </pic:pic>
              </a:graphicData>
            </a:graphic>
          </wp:inline>
        </w:drawing>
      </w:r>
    </w:p>
    <w:p w:rsidR="00C208CB" w:rsidRPr="00C208CB" w:rsidRDefault="00C208CB" w:rsidP="0088448D">
      <w:pPr>
        <w:pStyle w:val="a8"/>
        <w:spacing w:line="360" w:lineRule="auto"/>
        <w:jc w:val="both"/>
        <w:rPr>
          <w:rFonts w:ascii="Book Antiqua" w:hAnsi="Book Antiqua"/>
          <w:bCs/>
          <w:lang w:val="en-US" w:eastAsia="zh-CN"/>
        </w:rPr>
      </w:pPr>
      <w:r w:rsidRPr="00C208CB">
        <w:rPr>
          <w:rFonts w:ascii="Book Antiqua" w:hAnsi="Book Antiqua" w:hint="eastAsia"/>
          <w:bCs/>
          <w:lang w:val="en-US" w:eastAsia="zh-CN"/>
        </w:rPr>
        <w:t>B</w:t>
      </w:r>
    </w:p>
    <w:p w:rsidR="005D6FB7" w:rsidRDefault="00D51FFE" w:rsidP="0088448D">
      <w:pPr>
        <w:pStyle w:val="a8"/>
        <w:spacing w:line="360" w:lineRule="auto"/>
        <w:jc w:val="both"/>
        <w:rPr>
          <w:rFonts w:ascii="Book Antiqua" w:hAnsi="Book Antiqua"/>
          <w:b/>
          <w:bCs/>
          <w:lang w:val="en-US"/>
        </w:rPr>
      </w:pPr>
      <w:r>
        <w:rPr>
          <w:noProof/>
          <w:lang w:val="en-US" w:eastAsia="zh-CN"/>
        </w:rPr>
        <w:drawing>
          <wp:inline distT="0" distB="0" distL="0" distR="0">
            <wp:extent cx="3115257" cy="2465112"/>
            <wp:effectExtent l="0" t="323850" r="0" b="297180"/>
            <wp:docPr id="7" name="图片 7" descr="G:\MitocondriRev\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itocondriRev\Image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3113415" cy="2463654"/>
                    </a:xfrm>
                    <a:prstGeom prst="rect">
                      <a:avLst/>
                    </a:prstGeom>
                    <a:noFill/>
                    <a:ln>
                      <a:noFill/>
                    </a:ln>
                  </pic:spPr>
                </pic:pic>
              </a:graphicData>
            </a:graphic>
          </wp:inline>
        </w:drawing>
      </w:r>
    </w:p>
    <w:p w:rsidR="005D6FB7" w:rsidRDefault="005D6FB7">
      <w:pPr>
        <w:rPr>
          <w:rFonts w:ascii="Book Antiqua" w:hAnsi="Book Antiqua"/>
          <w:b/>
          <w:bCs/>
          <w:lang w:val="en-US"/>
        </w:rPr>
      </w:pPr>
      <w:r>
        <w:rPr>
          <w:rFonts w:ascii="Book Antiqua" w:hAnsi="Book Antiqua"/>
          <w:b/>
          <w:bCs/>
          <w:lang w:val="en-US"/>
        </w:rPr>
        <w:br w:type="page"/>
      </w:r>
    </w:p>
    <w:p w:rsidR="005D6FB7" w:rsidRPr="0088448D" w:rsidRDefault="005D6FB7" w:rsidP="005D6FB7">
      <w:pPr>
        <w:pStyle w:val="a8"/>
        <w:spacing w:line="360" w:lineRule="auto"/>
        <w:jc w:val="both"/>
        <w:rPr>
          <w:rStyle w:val="a7"/>
          <w:rFonts w:ascii="Book Antiqua" w:hAnsi="Book Antiqua"/>
          <w:lang w:val="en-US" w:eastAsia="zh-CN"/>
        </w:rPr>
      </w:pPr>
      <w:r w:rsidRPr="0088448D">
        <w:rPr>
          <w:rStyle w:val="a7"/>
          <w:rFonts w:ascii="Book Antiqua" w:hAnsi="Book Antiqua"/>
          <w:lang w:val="en-US"/>
        </w:rPr>
        <w:lastRenderedPageBreak/>
        <w:t>Table 1</w:t>
      </w:r>
      <w:r>
        <w:rPr>
          <w:rStyle w:val="a7"/>
          <w:rFonts w:ascii="Book Antiqua" w:hAnsi="Book Antiqua" w:hint="eastAsia"/>
          <w:lang w:val="en-US" w:eastAsia="zh-CN"/>
        </w:rPr>
        <w:t xml:space="preserve"> </w:t>
      </w:r>
      <w:r w:rsidRPr="0088448D">
        <w:rPr>
          <w:rStyle w:val="a7"/>
          <w:rFonts w:ascii="Book Antiqua" w:hAnsi="Book Antiqua"/>
          <w:lang w:val="en-US"/>
        </w:rPr>
        <w:t>Clinicopathologic features of intestinal, gastric and diffuse types of distal</w:t>
      </w:r>
      <w:r>
        <w:rPr>
          <w:rStyle w:val="a7"/>
          <w:rFonts w:ascii="Book Antiqua" w:hAnsi="Book Antiqua"/>
          <w:lang w:val="en-US"/>
        </w:rPr>
        <w:t xml:space="preserve"> gastric adenocarcinomas</w:t>
      </w:r>
    </w:p>
    <w:tbl>
      <w:tblPr>
        <w:tblW w:w="10173" w:type="dxa"/>
        <w:tblBorders>
          <w:top w:val="single" w:sz="4" w:space="0" w:color="000000"/>
          <w:bottom w:val="single" w:sz="4" w:space="0" w:color="000000"/>
        </w:tblBorders>
        <w:tblCellMar>
          <w:left w:w="10" w:type="dxa"/>
          <w:right w:w="10" w:type="dxa"/>
        </w:tblCellMar>
        <w:tblLook w:val="0000" w:firstRow="0" w:lastRow="0" w:firstColumn="0" w:lastColumn="0" w:noHBand="0" w:noVBand="0"/>
      </w:tblPr>
      <w:tblGrid>
        <w:gridCol w:w="2697"/>
        <w:gridCol w:w="2138"/>
        <w:gridCol w:w="3023"/>
        <w:gridCol w:w="222"/>
        <w:gridCol w:w="2093"/>
      </w:tblGrid>
      <w:tr w:rsidR="005D6FB7" w:rsidRPr="004D7B29" w:rsidTr="00124F16">
        <w:tc>
          <w:tcPr>
            <w:tcW w:w="2697" w:type="dxa"/>
            <w:tcBorders>
              <w:top w:val="single" w:sz="4" w:space="0" w:color="000000"/>
              <w:bottom w:val="single" w:sz="4" w:space="0" w:color="000000"/>
            </w:tcBorders>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p>
        </w:tc>
        <w:tc>
          <w:tcPr>
            <w:tcW w:w="2138" w:type="dxa"/>
            <w:tcBorders>
              <w:top w:val="single" w:sz="4" w:space="0" w:color="000000"/>
              <w:bottom w:val="single" w:sz="4" w:space="0" w:color="000000"/>
            </w:tcBorders>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b/>
              </w:rPr>
            </w:pPr>
            <w:r w:rsidRPr="004D7B29">
              <w:rPr>
                <w:rFonts w:ascii="Book Antiqua" w:hAnsi="Book Antiqua"/>
                <w:b/>
              </w:rPr>
              <w:t>Intestinal -type</w:t>
            </w:r>
          </w:p>
          <w:p w:rsidR="005D6FB7" w:rsidRPr="004D7B29" w:rsidRDefault="005D6FB7" w:rsidP="00124F16">
            <w:pPr>
              <w:spacing w:line="360" w:lineRule="auto"/>
              <w:jc w:val="both"/>
              <w:rPr>
                <w:rFonts w:ascii="Book Antiqua" w:hAnsi="Book Antiqua"/>
                <w:b/>
              </w:rPr>
            </w:pPr>
            <w:r w:rsidRPr="004D7B29">
              <w:rPr>
                <w:rFonts w:ascii="Book Antiqua" w:hAnsi="Book Antiqua"/>
                <w:b/>
              </w:rPr>
              <w:t>adenocarcinoma</w:t>
            </w:r>
          </w:p>
        </w:tc>
        <w:tc>
          <w:tcPr>
            <w:tcW w:w="3023" w:type="dxa"/>
            <w:tcBorders>
              <w:top w:val="single" w:sz="4" w:space="0" w:color="000000"/>
              <w:bottom w:val="single" w:sz="4" w:space="0" w:color="000000"/>
            </w:tcBorders>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b/>
              </w:rPr>
            </w:pPr>
            <w:r w:rsidRPr="004D7B29">
              <w:rPr>
                <w:rFonts w:ascii="Book Antiqua" w:hAnsi="Book Antiqua"/>
                <w:b/>
              </w:rPr>
              <w:t>Gastric-type</w:t>
            </w:r>
          </w:p>
          <w:p w:rsidR="005D6FB7" w:rsidRPr="004D7B29" w:rsidRDefault="005D6FB7" w:rsidP="00124F16">
            <w:pPr>
              <w:spacing w:line="360" w:lineRule="auto"/>
              <w:jc w:val="both"/>
              <w:rPr>
                <w:rFonts w:ascii="Book Antiqua" w:hAnsi="Book Antiqua"/>
                <w:b/>
              </w:rPr>
            </w:pPr>
            <w:r w:rsidRPr="004D7B29">
              <w:rPr>
                <w:rFonts w:ascii="Book Antiqua" w:hAnsi="Book Antiqua"/>
                <w:b/>
              </w:rPr>
              <w:t>Adenocarcinoma</w:t>
            </w:r>
          </w:p>
        </w:tc>
        <w:tc>
          <w:tcPr>
            <w:tcW w:w="222" w:type="dxa"/>
            <w:tcBorders>
              <w:top w:val="single" w:sz="4" w:space="0" w:color="000000"/>
              <w:bottom w:val="single" w:sz="4" w:space="0" w:color="000000"/>
            </w:tcBorders>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rPr>
            </w:pPr>
          </w:p>
        </w:tc>
        <w:tc>
          <w:tcPr>
            <w:tcW w:w="2093" w:type="dxa"/>
            <w:tcBorders>
              <w:top w:val="single" w:sz="4" w:space="0" w:color="000000"/>
              <w:bottom w:val="single" w:sz="4" w:space="0" w:color="000000"/>
            </w:tcBorders>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b/>
              </w:rPr>
            </w:pPr>
            <w:r w:rsidRPr="004D7B29">
              <w:rPr>
                <w:rFonts w:ascii="Book Antiqua" w:hAnsi="Book Antiqua"/>
                <w:b/>
              </w:rPr>
              <w:t>Diffuse-type</w:t>
            </w:r>
          </w:p>
          <w:p w:rsidR="005D6FB7" w:rsidRPr="004D7B29" w:rsidRDefault="005D6FB7" w:rsidP="00124F16">
            <w:pPr>
              <w:spacing w:line="360" w:lineRule="auto"/>
              <w:jc w:val="both"/>
              <w:rPr>
                <w:rFonts w:ascii="Book Antiqua" w:hAnsi="Book Antiqua"/>
              </w:rPr>
            </w:pPr>
            <w:r w:rsidRPr="004D7B29">
              <w:rPr>
                <w:rFonts w:ascii="Book Antiqua" w:hAnsi="Book Antiqua"/>
                <w:b/>
              </w:rPr>
              <w:t>carcinoma</w:t>
            </w:r>
          </w:p>
        </w:tc>
      </w:tr>
      <w:tr w:rsidR="005D6FB7" w:rsidRPr="004D7B29" w:rsidTr="00124F16">
        <w:tc>
          <w:tcPr>
            <w:tcW w:w="2697" w:type="dxa"/>
            <w:tcBorders>
              <w:top w:val="single" w:sz="4" w:space="0" w:color="000000"/>
            </w:tcBorders>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rPr>
            </w:pPr>
            <w:r w:rsidRPr="004D7B29">
              <w:rPr>
                <w:rFonts w:ascii="Book Antiqua" w:hAnsi="Book Antiqua"/>
              </w:rPr>
              <w:t>Age</w:t>
            </w:r>
          </w:p>
        </w:tc>
        <w:tc>
          <w:tcPr>
            <w:tcW w:w="2138" w:type="dxa"/>
            <w:tcBorders>
              <w:top w:val="single" w:sz="4" w:space="0" w:color="000000"/>
            </w:tcBorders>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rPr>
            </w:pPr>
            <w:r w:rsidRPr="004D7B29">
              <w:rPr>
                <w:rFonts w:ascii="Book Antiqua" w:hAnsi="Book Antiqua"/>
              </w:rPr>
              <w:t>Oldage</w:t>
            </w:r>
          </w:p>
        </w:tc>
        <w:tc>
          <w:tcPr>
            <w:tcW w:w="3023" w:type="dxa"/>
            <w:tcBorders>
              <w:top w:val="single" w:sz="4" w:space="0" w:color="000000"/>
            </w:tcBorders>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rPr>
            </w:pPr>
            <w:r w:rsidRPr="004D7B29">
              <w:rPr>
                <w:rFonts w:ascii="Book Antiqua" w:hAnsi="Book Antiqua"/>
              </w:rPr>
              <w:t>Oldage</w:t>
            </w:r>
          </w:p>
        </w:tc>
        <w:tc>
          <w:tcPr>
            <w:tcW w:w="222" w:type="dxa"/>
            <w:tcBorders>
              <w:top w:val="single" w:sz="4" w:space="0" w:color="000000"/>
            </w:tcBorders>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rPr>
            </w:pPr>
          </w:p>
        </w:tc>
        <w:tc>
          <w:tcPr>
            <w:tcW w:w="2093" w:type="dxa"/>
            <w:tcBorders>
              <w:top w:val="single" w:sz="4" w:space="0" w:color="000000"/>
            </w:tcBorders>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rPr>
            </w:pPr>
            <w:r w:rsidRPr="004D7B29">
              <w:rPr>
                <w:rFonts w:ascii="Book Antiqua" w:hAnsi="Book Antiqua"/>
              </w:rPr>
              <w:t>Young age</w:t>
            </w:r>
          </w:p>
        </w:tc>
      </w:tr>
      <w:tr w:rsidR="005D6FB7" w:rsidRPr="004D7B29" w:rsidTr="00124F16">
        <w:tc>
          <w:tcPr>
            <w:tcW w:w="2697"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rPr>
            </w:pPr>
            <w:r w:rsidRPr="004D7B29">
              <w:rPr>
                <w:rFonts w:ascii="Book Antiqua" w:hAnsi="Book Antiqua"/>
              </w:rPr>
              <w:t>Sex</w:t>
            </w:r>
          </w:p>
          <w:p w:rsidR="005D6FB7" w:rsidRPr="004D7B29" w:rsidRDefault="005D6FB7" w:rsidP="00124F16">
            <w:pPr>
              <w:spacing w:line="360" w:lineRule="auto"/>
              <w:jc w:val="both"/>
              <w:rPr>
                <w:rFonts w:ascii="Book Antiqua" w:hAnsi="Book Antiqua"/>
              </w:rPr>
            </w:pPr>
            <w:r w:rsidRPr="004D7B29">
              <w:rPr>
                <w:rFonts w:ascii="Book Antiqua" w:hAnsi="Book Antiqua"/>
              </w:rPr>
              <w:t>(male:female)</w:t>
            </w:r>
          </w:p>
        </w:tc>
        <w:tc>
          <w:tcPr>
            <w:tcW w:w="2138"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rPr>
            </w:pPr>
          </w:p>
          <w:p w:rsidR="005D6FB7" w:rsidRPr="004D7B29" w:rsidRDefault="005D6FB7" w:rsidP="00124F16">
            <w:pPr>
              <w:spacing w:line="360" w:lineRule="auto"/>
              <w:jc w:val="both"/>
              <w:rPr>
                <w:rFonts w:ascii="Book Antiqua" w:hAnsi="Book Antiqua"/>
              </w:rPr>
            </w:pPr>
            <w:r w:rsidRPr="004D7B29">
              <w:rPr>
                <w:rFonts w:ascii="Book Antiqua" w:hAnsi="Book Antiqua"/>
              </w:rPr>
              <w:t>2:1</w:t>
            </w:r>
          </w:p>
        </w:tc>
        <w:tc>
          <w:tcPr>
            <w:tcW w:w="3023"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rPr>
            </w:pPr>
          </w:p>
          <w:p w:rsidR="005D6FB7" w:rsidRPr="004D7B29" w:rsidRDefault="005D6FB7" w:rsidP="00124F16">
            <w:pPr>
              <w:spacing w:line="360" w:lineRule="auto"/>
              <w:jc w:val="both"/>
              <w:rPr>
                <w:rFonts w:ascii="Book Antiqua" w:hAnsi="Book Antiqua"/>
                <w:i/>
              </w:rPr>
            </w:pPr>
            <w:r w:rsidRPr="004D7B29">
              <w:rPr>
                <w:rFonts w:ascii="Book Antiqua" w:hAnsi="Book Antiqua"/>
                <w:i/>
              </w:rPr>
              <w:t>Unknown data</w:t>
            </w:r>
          </w:p>
        </w:tc>
        <w:tc>
          <w:tcPr>
            <w:tcW w:w="222"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rPr>
            </w:pPr>
          </w:p>
        </w:tc>
        <w:tc>
          <w:tcPr>
            <w:tcW w:w="2093"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rPr>
            </w:pPr>
          </w:p>
          <w:p w:rsidR="005D6FB7" w:rsidRPr="004D7B29" w:rsidRDefault="005D6FB7" w:rsidP="00124F16">
            <w:pPr>
              <w:spacing w:line="360" w:lineRule="auto"/>
              <w:jc w:val="both"/>
              <w:rPr>
                <w:rFonts w:ascii="Book Antiqua" w:hAnsi="Book Antiqua"/>
              </w:rPr>
            </w:pPr>
            <w:r w:rsidRPr="004D7B29">
              <w:rPr>
                <w:rFonts w:ascii="Book Antiqua" w:hAnsi="Book Antiqua"/>
              </w:rPr>
              <w:t>1:1</w:t>
            </w:r>
          </w:p>
        </w:tc>
      </w:tr>
      <w:tr w:rsidR="005D6FB7" w:rsidRPr="004D7B29" w:rsidTr="00124F16">
        <w:tc>
          <w:tcPr>
            <w:tcW w:w="2697"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rPr>
            </w:pPr>
            <w:r w:rsidRPr="004D7B29">
              <w:rPr>
                <w:rFonts w:ascii="Book Antiqua" w:hAnsi="Book Antiqua"/>
              </w:rPr>
              <w:t>Precancerouscondition</w:t>
            </w:r>
          </w:p>
          <w:p w:rsidR="005D6FB7" w:rsidRPr="004D7B29" w:rsidRDefault="005D6FB7" w:rsidP="00124F16">
            <w:pPr>
              <w:spacing w:line="360" w:lineRule="auto"/>
              <w:jc w:val="both"/>
              <w:rPr>
                <w:rFonts w:ascii="Book Antiqua" w:hAnsi="Book Antiqua"/>
              </w:rPr>
            </w:pPr>
          </w:p>
        </w:tc>
        <w:tc>
          <w:tcPr>
            <w:tcW w:w="2138"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 xml:space="preserve">Corpus-predominant </w:t>
            </w:r>
          </w:p>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Gastritis with intestinal</w:t>
            </w:r>
          </w:p>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metaplasia</w:t>
            </w:r>
          </w:p>
        </w:tc>
        <w:tc>
          <w:tcPr>
            <w:tcW w:w="3023"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 xml:space="preserve">Corpus-predominant </w:t>
            </w:r>
          </w:p>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Gastritis with pseudopyloric</w:t>
            </w:r>
          </w:p>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Metaplasia</w:t>
            </w:r>
          </w:p>
        </w:tc>
        <w:tc>
          <w:tcPr>
            <w:tcW w:w="222"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p>
        </w:tc>
        <w:tc>
          <w:tcPr>
            <w:tcW w:w="2093"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rPr>
            </w:pPr>
            <w:r w:rsidRPr="004D7B29">
              <w:rPr>
                <w:rFonts w:ascii="Book Antiqua" w:hAnsi="Book Antiqua"/>
              </w:rPr>
              <w:t>Pangastritis</w:t>
            </w:r>
          </w:p>
        </w:tc>
      </w:tr>
      <w:tr w:rsidR="005D6FB7" w:rsidRPr="004D7B29" w:rsidTr="00124F16">
        <w:tc>
          <w:tcPr>
            <w:tcW w:w="2697"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rPr>
            </w:pPr>
            <w:r w:rsidRPr="004D7B29">
              <w:rPr>
                <w:rFonts w:ascii="Book Antiqua" w:hAnsi="Book Antiqua"/>
              </w:rPr>
              <w:t>Precancerouslesion</w:t>
            </w:r>
          </w:p>
        </w:tc>
        <w:tc>
          <w:tcPr>
            <w:tcW w:w="2138"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rPr>
            </w:pPr>
            <w:r w:rsidRPr="004D7B29">
              <w:rPr>
                <w:rFonts w:ascii="Book Antiqua" w:hAnsi="Book Antiqua"/>
              </w:rPr>
              <w:t>intestinal-type adenoma</w:t>
            </w:r>
          </w:p>
        </w:tc>
        <w:tc>
          <w:tcPr>
            <w:tcW w:w="3023"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rPr>
            </w:pPr>
            <w:r w:rsidRPr="004D7B29">
              <w:rPr>
                <w:rFonts w:ascii="Book Antiqua" w:hAnsi="Book Antiqua"/>
              </w:rPr>
              <w:t>Pyloric-gland adenoma</w:t>
            </w:r>
          </w:p>
        </w:tc>
        <w:tc>
          <w:tcPr>
            <w:tcW w:w="222"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rPr>
            </w:pPr>
          </w:p>
        </w:tc>
        <w:tc>
          <w:tcPr>
            <w:tcW w:w="2093"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Tubular-neck dysplasia:</w:t>
            </w:r>
          </w:p>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 xml:space="preserve"> signet-ring cell in situ</w:t>
            </w:r>
          </w:p>
        </w:tc>
      </w:tr>
      <w:tr w:rsidR="005D6FB7" w:rsidRPr="004D7B29" w:rsidTr="00124F16">
        <w:tc>
          <w:tcPr>
            <w:tcW w:w="2697"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Gross feature</w:t>
            </w:r>
          </w:p>
        </w:tc>
        <w:tc>
          <w:tcPr>
            <w:tcW w:w="2138"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Exophytic lesion</w:t>
            </w:r>
          </w:p>
        </w:tc>
        <w:tc>
          <w:tcPr>
            <w:tcW w:w="3023"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Exophytic lesion</w:t>
            </w:r>
          </w:p>
        </w:tc>
        <w:tc>
          <w:tcPr>
            <w:tcW w:w="222"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p>
        </w:tc>
        <w:tc>
          <w:tcPr>
            <w:tcW w:w="2093"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 xml:space="preserve">Ulcerative lesion and </w:t>
            </w:r>
          </w:p>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Linitis plastic</w:t>
            </w:r>
          </w:p>
        </w:tc>
      </w:tr>
      <w:tr w:rsidR="005D6FB7" w:rsidRPr="004D7B29" w:rsidTr="00124F16">
        <w:tc>
          <w:tcPr>
            <w:tcW w:w="2697"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Microscopy</w:t>
            </w:r>
          </w:p>
        </w:tc>
        <w:tc>
          <w:tcPr>
            <w:tcW w:w="2138"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 xml:space="preserve">Tubulopapillary glands </w:t>
            </w:r>
          </w:p>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 xml:space="preserve">Lined by columnar cells </w:t>
            </w:r>
          </w:p>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With eosinophilic cytoplasm</w:t>
            </w:r>
          </w:p>
        </w:tc>
        <w:tc>
          <w:tcPr>
            <w:tcW w:w="3023"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Tubulopapillary glands lined by columnar cells with clear mucinous cytoplasm</w:t>
            </w:r>
          </w:p>
        </w:tc>
        <w:tc>
          <w:tcPr>
            <w:tcW w:w="222"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p>
        </w:tc>
        <w:tc>
          <w:tcPr>
            <w:tcW w:w="2093"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Discohesive cells or signet ring cells</w:t>
            </w:r>
          </w:p>
        </w:tc>
      </w:tr>
      <w:tr w:rsidR="005D6FB7" w:rsidRPr="004D7B29" w:rsidTr="00124F16">
        <w:tc>
          <w:tcPr>
            <w:tcW w:w="2697"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immunohistochemistry</w:t>
            </w:r>
          </w:p>
        </w:tc>
        <w:tc>
          <w:tcPr>
            <w:tcW w:w="2138"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 xml:space="preserve">CD10 </w:t>
            </w:r>
            <w:r>
              <w:rPr>
                <w:rFonts w:ascii="Book Antiqua" w:hAnsi="Book Antiqua" w:hint="eastAsia"/>
                <w:lang w:val="en-US" w:eastAsia="zh-CN"/>
              </w:rPr>
              <w:t>and</w:t>
            </w:r>
            <w:r w:rsidRPr="004D7B29">
              <w:rPr>
                <w:rFonts w:ascii="Book Antiqua" w:hAnsi="Book Antiqua"/>
                <w:lang w:val="en-US"/>
              </w:rPr>
              <w:t xml:space="preserve"> MUC2</w:t>
            </w:r>
          </w:p>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Immunoreactivity</w:t>
            </w:r>
          </w:p>
        </w:tc>
        <w:tc>
          <w:tcPr>
            <w:tcW w:w="3023"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MUC5AC</w:t>
            </w:r>
          </w:p>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Immunoreactivity</w:t>
            </w:r>
          </w:p>
        </w:tc>
        <w:tc>
          <w:tcPr>
            <w:tcW w:w="222"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p>
        </w:tc>
        <w:tc>
          <w:tcPr>
            <w:tcW w:w="2093"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Variable positivity for MUC1, MUC2, MUC5AC, MUC6</w:t>
            </w:r>
          </w:p>
        </w:tc>
      </w:tr>
      <w:tr w:rsidR="005D6FB7" w:rsidRPr="004D7B29" w:rsidTr="00124F16">
        <w:tc>
          <w:tcPr>
            <w:tcW w:w="2697"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Liver metastasis</w:t>
            </w:r>
          </w:p>
        </w:tc>
        <w:tc>
          <w:tcPr>
            <w:tcW w:w="2138"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Frequent</w:t>
            </w:r>
          </w:p>
        </w:tc>
        <w:tc>
          <w:tcPr>
            <w:tcW w:w="3023"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Rare</w:t>
            </w:r>
          </w:p>
        </w:tc>
        <w:tc>
          <w:tcPr>
            <w:tcW w:w="222"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p>
        </w:tc>
        <w:tc>
          <w:tcPr>
            <w:tcW w:w="2093"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Rare</w:t>
            </w:r>
          </w:p>
        </w:tc>
      </w:tr>
      <w:tr w:rsidR="005D6FB7" w:rsidRPr="004D7B29" w:rsidTr="00124F16">
        <w:tc>
          <w:tcPr>
            <w:tcW w:w="2697"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lastRenderedPageBreak/>
              <w:t>Peritoneal spread</w:t>
            </w:r>
          </w:p>
        </w:tc>
        <w:tc>
          <w:tcPr>
            <w:tcW w:w="2138"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Rare</w:t>
            </w:r>
          </w:p>
        </w:tc>
        <w:tc>
          <w:tcPr>
            <w:tcW w:w="3023"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Frequent</w:t>
            </w:r>
          </w:p>
        </w:tc>
        <w:tc>
          <w:tcPr>
            <w:tcW w:w="222"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p>
        </w:tc>
        <w:tc>
          <w:tcPr>
            <w:tcW w:w="2093"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Frequent</w:t>
            </w:r>
          </w:p>
        </w:tc>
      </w:tr>
      <w:tr w:rsidR="005D6FB7" w:rsidRPr="004D7B29" w:rsidTr="00124F16">
        <w:tc>
          <w:tcPr>
            <w:tcW w:w="2697"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Malignant potential</w:t>
            </w:r>
          </w:p>
        </w:tc>
        <w:tc>
          <w:tcPr>
            <w:tcW w:w="2138"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Low</w:t>
            </w:r>
          </w:p>
        </w:tc>
        <w:tc>
          <w:tcPr>
            <w:tcW w:w="3023"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High</w:t>
            </w:r>
          </w:p>
        </w:tc>
        <w:tc>
          <w:tcPr>
            <w:tcW w:w="222"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p>
        </w:tc>
        <w:tc>
          <w:tcPr>
            <w:tcW w:w="2093" w:type="dxa"/>
            <w:shd w:val="clear" w:color="auto" w:fill="auto"/>
            <w:tcMar>
              <w:top w:w="0" w:type="dxa"/>
              <w:left w:w="108" w:type="dxa"/>
              <w:bottom w:w="0" w:type="dxa"/>
              <w:right w:w="108" w:type="dxa"/>
            </w:tcMar>
          </w:tcPr>
          <w:p w:rsidR="005D6FB7" w:rsidRPr="004D7B29" w:rsidRDefault="005D6FB7" w:rsidP="00124F16">
            <w:pPr>
              <w:spacing w:line="360" w:lineRule="auto"/>
              <w:jc w:val="both"/>
              <w:rPr>
                <w:rFonts w:ascii="Book Antiqua" w:hAnsi="Book Antiqua"/>
                <w:lang w:val="en-US"/>
              </w:rPr>
            </w:pPr>
            <w:r w:rsidRPr="004D7B29">
              <w:rPr>
                <w:rFonts w:ascii="Book Antiqua" w:hAnsi="Book Antiqua"/>
                <w:lang w:val="en-US"/>
              </w:rPr>
              <w:t>High</w:t>
            </w:r>
          </w:p>
        </w:tc>
      </w:tr>
    </w:tbl>
    <w:p w:rsidR="005D6FB7" w:rsidRPr="0088448D" w:rsidRDefault="005D6FB7" w:rsidP="005D6FB7">
      <w:pPr>
        <w:pStyle w:val="a8"/>
        <w:spacing w:line="360" w:lineRule="auto"/>
        <w:jc w:val="both"/>
        <w:rPr>
          <w:rStyle w:val="a7"/>
          <w:rFonts w:ascii="Book Antiqua" w:hAnsi="Book Antiqua"/>
          <w:lang w:val="en-US"/>
        </w:rPr>
      </w:pPr>
    </w:p>
    <w:p w:rsidR="005D6FB7" w:rsidRPr="0088448D" w:rsidRDefault="005D6FB7" w:rsidP="005D6FB7">
      <w:pPr>
        <w:pStyle w:val="a8"/>
        <w:spacing w:line="360" w:lineRule="auto"/>
        <w:jc w:val="both"/>
        <w:rPr>
          <w:rStyle w:val="a7"/>
          <w:rFonts w:ascii="Book Antiqua" w:hAnsi="Book Antiqua"/>
          <w:lang w:val="en-US"/>
        </w:rPr>
      </w:pPr>
    </w:p>
    <w:p w:rsidR="00014718" w:rsidRPr="0088448D" w:rsidRDefault="00014718" w:rsidP="0088448D">
      <w:pPr>
        <w:pStyle w:val="a8"/>
        <w:spacing w:line="360" w:lineRule="auto"/>
        <w:jc w:val="both"/>
        <w:rPr>
          <w:rFonts w:ascii="Book Antiqua" w:hAnsi="Book Antiqua"/>
          <w:b/>
          <w:bCs/>
          <w:lang w:val="en-US"/>
        </w:rPr>
      </w:pPr>
    </w:p>
    <w:sectPr w:rsidR="00014718" w:rsidRPr="0088448D" w:rsidSect="005C6A2E">
      <w:headerReference w:type="defaul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39B" w:rsidRDefault="00E3739B" w:rsidP="004C5CFC">
      <w:r>
        <w:separator/>
      </w:r>
    </w:p>
  </w:endnote>
  <w:endnote w:type="continuationSeparator" w:id="0">
    <w:p w:rsidR="00E3739B" w:rsidRDefault="00E3739B" w:rsidP="004C5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venir 45 Book">
    <w:altName w:val="Avenir 45 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Times-Roman">
    <w:altName w:val="Arial Unicode MS"/>
    <w:panose1 w:val="00000000000000000000"/>
    <w:charset w:val="81"/>
    <w:family w:val="auto"/>
    <w:notTrueType/>
    <w:pitch w:val="default"/>
    <w:sig w:usb0="00000000"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39B" w:rsidRDefault="00E3739B" w:rsidP="004C5CFC">
      <w:r>
        <w:separator/>
      </w:r>
    </w:p>
  </w:footnote>
  <w:footnote w:type="continuationSeparator" w:id="0">
    <w:p w:rsidR="00E3739B" w:rsidRDefault="00E3739B" w:rsidP="004C5C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CFC" w:rsidRDefault="00DB2BCA">
    <w:pPr>
      <w:pStyle w:val="ad"/>
    </w:pPr>
    <w:r>
      <w:fldChar w:fldCharType="begin"/>
    </w:r>
    <w:r w:rsidR="000024E8">
      <w:instrText xml:space="preserve"> PAGE   \* MERGEFORMAT </w:instrText>
    </w:r>
    <w:r>
      <w:fldChar w:fldCharType="separate"/>
    </w:r>
    <w:r w:rsidR="00755481">
      <w:rPr>
        <w:noProof/>
      </w:rPr>
      <w:t>22</w:t>
    </w:r>
    <w:r>
      <w:rPr>
        <w:noProof/>
      </w:rPr>
      <w:fldChar w:fldCharType="end"/>
    </w:r>
  </w:p>
  <w:p w:rsidR="004C5CFC" w:rsidRDefault="004C5CFC">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62EA8"/>
    <w:multiLevelType w:val="hybridMultilevel"/>
    <w:tmpl w:val="F810071A"/>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76203DE"/>
    <w:multiLevelType w:val="hybridMultilevel"/>
    <w:tmpl w:val="BA446CC0"/>
    <w:lvl w:ilvl="0" w:tplc="8DF6BA1C">
      <w:start w:val="1"/>
      <w:numFmt w:val="decimal"/>
      <w:lvlText w:val="%1."/>
      <w:lvlJc w:val="left"/>
      <w:pPr>
        <w:ind w:left="1636" w:hanging="360"/>
      </w:pPr>
      <w:rPr>
        <w:rFonts w:ascii="Times New Roman" w:hAnsi="Times New Roman" w:cs="Times New Roman" w:hint="default"/>
        <w:b w:val="0"/>
        <w:color w:val="auto"/>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BD95138"/>
    <w:multiLevelType w:val="hybridMultilevel"/>
    <w:tmpl w:val="94F6123E"/>
    <w:lvl w:ilvl="0" w:tplc="2312CEA2">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E8E26BA"/>
    <w:multiLevelType w:val="multilevel"/>
    <w:tmpl w:val="BBA2E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05E48AA"/>
    <w:multiLevelType w:val="multilevel"/>
    <w:tmpl w:val="0D68CE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4EA3B41"/>
    <w:multiLevelType w:val="multilevel"/>
    <w:tmpl w:val="B778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E3C1A6A"/>
    <w:multiLevelType w:val="hybridMultilevel"/>
    <w:tmpl w:val="D74E55E4"/>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5E7872DD"/>
    <w:multiLevelType w:val="hybridMultilevel"/>
    <w:tmpl w:val="94F6123E"/>
    <w:lvl w:ilvl="0" w:tplc="2312CEA2">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67016DB0"/>
    <w:multiLevelType w:val="hybridMultilevel"/>
    <w:tmpl w:val="C3F64896"/>
    <w:lvl w:ilvl="0" w:tplc="7526CCE4">
      <w:start w:val="11"/>
      <w:numFmt w:val="decimal"/>
      <w:lvlText w:val="%1."/>
      <w:lvlJc w:val="left"/>
      <w:pPr>
        <w:ind w:left="735" w:hanging="37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67322DBA"/>
    <w:multiLevelType w:val="multilevel"/>
    <w:tmpl w:val="C8BC5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5965198"/>
    <w:multiLevelType w:val="multilevel"/>
    <w:tmpl w:val="0A387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8"/>
  </w:num>
  <w:num w:numId="4">
    <w:abstractNumId w:val="3"/>
  </w:num>
  <w:num w:numId="5">
    <w:abstractNumId w:val="10"/>
  </w:num>
  <w:num w:numId="6">
    <w:abstractNumId w:val="9"/>
  </w:num>
  <w:num w:numId="7">
    <w:abstractNumId w:val="4"/>
  </w:num>
  <w:num w:numId="8">
    <w:abstractNumId w:val="4"/>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9">
    <w:abstractNumId w:val="5"/>
  </w:num>
  <w:num w:numId="10">
    <w:abstractNumId w:val="6"/>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3A9"/>
    <w:rsid w:val="000024E8"/>
    <w:rsid w:val="00003BE4"/>
    <w:rsid w:val="0000557B"/>
    <w:rsid w:val="000117C1"/>
    <w:rsid w:val="00011F55"/>
    <w:rsid w:val="000137F8"/>
    <w:rsid w:val="00014718"/>
    <w:rsid w:val="00014B93"/>
    <w:rsid w:val="00015980"/>
    <w:rsid w:val="00015CD1"/>
    <w:rsid w:val="00026A15"/>
    <w:rsid w:val="00026EAE"/>
    <w:rsid w:val="00031F85"/>
    <w:rsid w:val="000338C7"/>
    <w:rsid w:val="00036044"/>
    <w:rsid w:val="000378BC"/>
    <w:rsid w:val="00040BB3"/>
    <w:rsid w:val="00040C88"/>
    <w:rsid w:val="000420C7"/>
    <w:rsid w:val="00044CD7"/>
    <w:rsid w:val="000454B8"/>
    <w:rsid w:val="00045519"/>
    <w:rsid w:val="00046544"/>
    <w:rsid w:val="00050230"/>
    <w:rsid w:val="00051FB7"/>
    <w:rsid w:val="00055B5A"/>
    <w:rsid w:val="00055CC2"/>
    <w:rsid w:val="00063F32"/>
    <w:rsid w:val="0007209E"/>
    <w:rsid w:val="0007334F"/>
    <w:rsid w:val="000733C0"/>
    <w:rsid w:val="000733CB"/>
    <w:rsid w:val="00077DDA"/>
    <w:rsid w:val="0008050B"/>
    <w:rsid w:val="00080C96"/>
    <w:rsid w:val="00081955"/>
    <w:rsid w:val="000846E0"/>
    <w:rsid w:val="000877C5"/>
    <w:rsid w:val="00095B93"/>
    <w:rsid w:val="00096FFD"/>
    <w:rsid w:val="00097877"/>
    <w:rsid w:val="000C009D"/>
    <w:rsid w:val="000C6BED"/>
    <w:rsid w:val="000D0412"/>
    <w:rsid w:val="000D0416"/>
    <w:rsid w:val="000D29C1"/>
    <w:rsid w:val="000D3D7A"/>
    <w:rsid w:val="000D49A4"/>
    <w:rsid w:val="000D7576"/>
    <w:rsid w:val="000E07AA"/>
    <w:rsid w:val="000E5CCF"/>
    <w:rsid w:val="000E72E8"/>
    <w:rsid w:val="000F119E"/>
    <w:rsid w:val="000F3888"/>
    <w:rsid w:val="000F5480"/>
    <w:rsid w:val="001004D4"/>
    <w:rsid w:val="001067B9"/>
    <w:rsid w:val="0011006D"/>
    <w:rsid w:val="00113039"/>
    <w:rsid w:val="00116401"/>
    <w:rsid w:val="0012042F"/>
    <w:rsid w:val="001212A2"/>
    <w:rsid w:val="00143148"/>
    <w:rsid w:val="00145828"/>
    <w:rsid w:val="00150861"/>
    <w:rsid w:val="001613BA"/>
    <w:rsid w:val="001626A6"/>
    <w:rsid w:val="00166CD2"/>
    <w:rsid w:val="001673FA"/>
    <w:rsid w:val="00167EE7"/>
    <w:rsid w:val="001702C6"/>
    <w:rsid w:val="001712AD"/>
    <w:rsid w:val="0017281E"/>
    <w:rsid w:val="00172C47"/>
    <w:rsid w:val="00174819"/>
    <w:rsid w:val="00180E77"/>
    <w:rsid w:val="00183DE9"/>
    <w:rsid w:val="00191C13"/>
    <w:rsid w:val="001926E7"/>
    <w:rsid w:val="00194A9C"/>
    <w:rsid w:val="0019500C"/>
    <w:rsid w:val="00195554"/>
    <w:rsid w:val="001A366B"/>
    <w:rsid w:val="001B12C9"/>
    <w:rsid w:val="001B5784"/>
    <w:rsid w:val="001B5B8E"/>
    <w:rsid w:val="001B79C0"/>
    <w:rsid w:val="001C00C6"/>
    <w:rsid w:val="001C342E"/>
    <w:rsid w:val="001C38BB"/>
    <w:rsid w:val="001C5673"/>
    <w:rsid w:val="001D1B45"/>
    <w:rsid w:val="001D40D9"/>
    <w:rsid w:val="001D58CC"/>
    <w:rsid w:val="001E20D9"/>
    <w:rsid w:val="001E3F37"/>
    <w:rsid w:val="001E411C"/>
    <w:rsid w:val="001E5476"/>
    <w:rsid w:val="001E7197"/>
    <w:rsid w:val="001E74D3"/>
    <w:rsid w:val="001F100B"/>
    <w:rsid w:val="001F272F"/>
    <w:rsid w:val="001F2EDE"/>
    <w:rsid w:val="001F7FD8"/>
    <w:rsid w:val="00200DFF"/>
    <w:rsid w:val="00201262"/>
    <w:rsid w:val="002075B6"/>
    <w:rsid w:val="002077B7"/>
    <w:rsid w:val="00207E51"/>
    <w:rsid w:val="00213439"/>
    <w:rsid w:val="00213B87"/>
    <w:rsid w:val="00215314"/>
    <w:rsid w:val="0021578F"/>
    <w:rsid w:val="00216B0E"/>
    <w:rsid w:val="002252E0"/>
    <w:rsid w:val="002259EC"/>
    <w:rsid w:val="00225B2B"/>
    <w:rsid w:val="002309B5"/>
    <w:rsid w:val="002361BE"/>
    <w:rsid w:val="002373FC"/>
    <w:rsid w:val="002410DD"/>
    <w:rsid w:val="00241432"/>
    <w:rsid w:val="0024383F"/>
    <w:rsid w:val="002531B9"/>
    <w:rsid w:val="00260929"/>
    <w:rsid w:val="0026577C"/>
    <w:rsid w:val="002709AC"/>
    <w:rsid w:val="00273F02"/>
    <w:rsid w:val="002800F1"/>
    <w:rsid w:val="002802EC"/>
    <w:rsid w:val="0028148F"/>
    <w:rsid w:val="0028526E"/>
    <w:rsid w:val="00286465"/>
    <w:rsid w:val="002864CF"/>
    <w:rsid w:val="00293923"/>
    <w:rsid w:val="002A1F97"/>
    <w:rsid w:val="002A6339"/>
    <w:rsid w:val="002B07A7"/>
    <w:rsid w:val="002B091D"/>
    <w:rsid w:val="002B5F4E"/>
    <w:rsid w:val="002B656E"/>
    <w:rsid w:val="002C1174"/>
    <w:rsid w:val="002C16FF"/>
    <w:rsid w:val="002C426F"/>
    <w:rsid w:val="002C5565"/>
    <w:rsid w:val="002C6FE0"/>
    <w:rsid w:val="002C730B"/>
    <w:rsid w:val="002D3E18"/>
    <w:rsid w:val="002E246F"/>
    <w:rsid w:val="002E4ED3"/>
    <w:rsid w:val="002F1B97"/>
    <w:rsid w:val="002F48C7"/>
    <w:rsid w:val="002F5581"/>
    <w:rsid w:val="00300C4C"/>
    <w:rsid w:val="00301A08"/>
    <w:rsid w:val="0030375B"/>
    <w:rsid w:val="003037A1"/>
    <w:rsid w:val="00303ED6"/>
    <w:rsid w:val="00306523"/>
    <w:rsid w:val="00313F57"/>
    <w:rsid w:val="003161DA"/>
    <w:rsid w:val="00316483"/>
    <w:rsid w:val="00320698"/>
    <w:rsid w:val="003260CE"/>
    <w:rsid w:val="0033086E"/>
    <w:rsid w:val="00331724"/>
    <w:rsid w:val="00337B90"/>
    <w:rsid w:val="00340CAC"/>
    <w:rsid w:val="00342601"/>
    <w:rsid w:val="00343059"/>
    <w:rsid w:val="0034673E"/>
    <w:rsid w:val="003472D4"/>
    <w:rsid w:val="0035205A"/>
    <w:rsid w:val="00353847"/>
    <w:rsid w:val="003540DE"/>
    <w:rsid w:val="003554AD"/>
    <w:rsid w:val="00355626"/>
    <w:rsid w:val="00362461"/>
    <w:rsid w:val="003661A0"/>
    <w:rsid w:val="003706F2"/>
    <w:rsid w:val="0038087A"/>
    <w:rsid w:val="00383629"/>
    <w:rsid w:val="00385088"/>
    <w:rsid w:val="003916F2"/>
    <w:rsid w:val="00391E99"/>
    <w:rsid w:val="00393B26"/>
    <w:rsid w:val="0039409F"/>
    <w:rsid w:val="00395541"/>
    <w:rsid w:val="0039612A"/>
    <w:rsid w:val="0039612F"/>
    <w:rsid w:val="003977DB"/>
    <w:rsid w:val="003A0E91"/>
    <w:rsid w:val="003A2026"/>
    <w:rsid w:val="003B0BAC"/>
    <w:rsid w:val="003B0C69"/>
    <w:rsid w:val="003B1385"/>
    <w:rsid w:val="003B16CD"/>
    <w:rsid w:val="003B2E5E"/>
    <w:rsid w:val="003B433C"/>
    <w:rsid w:val="003B5BD5"/>
    <w:rsid w:val="003B5ED9"/>
    <w:rsid w:val="003B6318"/>
    <w:rsid w:val="003C1625"/>
    <w:rsid w:val="003C17AC"/>
    <w:rsid w:val="003C4163"/>
    <w:rsid w:val="003C4DEC"/>
    <w:rsid w:val="003C53FD"/>
    <w:rsid w:val="003C748D"/>
    <w:rsid w:val="003D0EAE"/>
    <w:rsid w:val="003D2661"/>
    <w:rsid w:val="003D2BC9"/>
    <w:rsid w:val="003D5B02"/>
    <w:rsid w:val="003D6863"/>
    <w:rsid w:val="003E098E"/>
    <w:rsid w:val="003E1640"/>
    <w:rsid w:val="003E3469"/>
    <w:rsid w:val="003E6A02"/>
    <w:rsid w:val="003F49CC"/>
    <w:rsid w:val="003F52FE"/>
    <w:rsid w:val="003F54B1"/>
    <w:rsid w:val="003F565D"/>
    <w:rsid w:val="003F62A9"/>
    <w:rsid w:val="003F6D0F"/>
    <w:rsid w:val="003F7B29"/>
    <w:rsid w:val="00401FAA"/>
    <w:rsid w:val="00405815"/>
    <w:rsid w:val="00422B9A"/>
    <w:rsid w:val="004241F8"/>
    <w:rsid w:val="00426DC2"/>
    <w:rsid w:val="00433ABA"/>
    <w:rsid w:val="00445F3E"/>
    <w:rsid w:val="00447582"/>
    <w:rsid w:val="00450519"/>
    <w:rsid w:val="00450B55"/>
    <w:rsid w:val="0045429C"/>
    <w:rsid w:val="0045599B"/>
    <w:rsid w:val="004602D8"/>
    <w:rsid w:val="00467E8E"/>
    <w:rsid w:val="00471CF1"/>
    <w:rsid w:val="00474240"/>
    <w:rsid w:val="00475F1A"/>
    <w:rsid w:val="00477FB1"/>
    <w:rsid w:val="00480BDD"/>
    <w:rsid w:val="00485F0D"/>
    <w:rsid w:val="00487C8F"/>
    <w:rsid w:val="0049194D"/>
    <w:rsid w:val="004927FE"/>
    <w:rsid w:val="00494818"/>
    <w:rsid w:val="0049658D"/>
    <w:rsid w:val="00497345"/>
    <w:rsid w:val="00497A1A"/>
    <w:rsid w:val="004A4D6F"/>
    <w:rsid w:val="004B2CD6"/>
    <w:rsid w:val="004B3DE7"/>
    <w:rsid w:val="004B754C"/>
    <w:rsid w:val="004C0414"/>
    <w:rsid w:val="004C203E"/>
    <w:rsid w:val="004C3F6C"/>
    <w:rsid w:val="004C42FC"/>
    <w:rsid w:val="004C46FD"/>
    <w:rsid w:val="004C5CFC"/>
    <w:rsid w:val="004D1533"/>
    <w:rsid w:val="004D2C28"/>
    <w:rsid w:val="004D44AE"/>
    <w:rsid w:val="004D4EA9"/>
    <w:rsid w:val="004D7B29"/>
    <w:rsid w:val="004E17FA"/>
    <w:rsid w:val="004E224A"/>
    <w:rsid w:val="004E4B6D"/>
    <w:rsid w:val="004F1CFA"/>
    <w:rsid w:val="004F287F"/>
    <w:rsid w:val="004F375C"/>
    <w:rsid w:val="004F4286"/>
    <w:rsid w:val="00504515"/>
    <w:rsid w:val="005065A1"/>
    <w:rsid w:val="00520F25"/>
    <w:rsid w:val="0052123E"/>
    <w:rsid w:val="00523B02"/>
    <w:rsid w:val="005315A9"/>
    <w:rsid w:val="00534A73"/>
    <w:rsid w:val="005419BC"/>
    <w:rsid w:val="005529B0"/>
    <w:rsid w:val="00552F8A"/>
    <w:rsid w:val="00553C5C"/>
    <w:rsid w:val="00554105"/>
    <w:rsid w:val="00556705"/>
    <w:rsid w:val="0056088E"/>
    <w:rsid w:val="00561BA4"/>
    <w:rsid w:val="00561BDC"/>
    <w:rsid w:val="005627AC"/>
    <w:rsid w:val="005643E7"/>
    <w:rsid w:val="00575D5D"/>
    <w:rsid w:val="005761E5"/>
    <w:rsid w:val="00576E10"/>
    <w:rsid w:val="00581F42"/>
    <w:rsid w:val="00583C3D"/>
    <w:rsid w:val="00583F28"/>
    <w:rsid w:val="00584077"/>
    <w:rsid w:val="00591B5E"/>
    <w:rsid w:val="00594B61"/>
    <w:rsid w:val="00596D0C"/>
    <w:rsid w:val="00597D0F"/>
    <w:rsid w:val="005A3B51"/>
    <w:rsid w:val="005A3F49"/>
    <w:rsid w:val="005B2908"/>
    <w:rsid w:val="005B6547"/>
    <w:rsid w:val="005B675D"/>
    <w:rsid w:val="005B6920"/>
    <w:rsid w:val="005C442B"/>
    <w:rsid w:val="005C4D2F"/>
    <w:rsid w:val="005C6A2E"/>
    <w:rsid w:val="005D1214"/>
    <w:rsid w:val="005D13F0"/>
    <w:rsid w:val="005D29F3"/>
    <w:rsid w:val="005D50FD"/>
    <w:rsid w:val="005D6FB7"/>
    <w:rsid w:val="005E2A37"/>
    <w:rsid w:val="005E5877"/>
    <w:rsid w:val="005E644C"/>
    <w:rsid w:val="005E6D28"/>
    <w:rsid w:val="00601141"/>
    <w:rsid w:val="0060672D"/>
    <w:rsid w:val="006152F9"/>
    <w:rsid w:val="00616735"/>
    <w:rsid w:val="00620AEB"/>
    <w:rsid w:val="00620ED6"/>
    <w:rsid w:val="00625467"/>
    <w:rsid w:val="006328A2"/>
    <w:rsid w:val="006347C7"/>
    <w:rsid w:val="006361BA"/>
    <w:rsid w:val="00637FE9"/>
    <w:rsid w:val="00642101"/>
    <w:rsid w:val="00642E4D"/>
    <w:rsid w:val="00645487"/>
    <w:rsid w:val="00651030"/>
    <w:rsid w:val="00657C06"/>
    <w:rsid w:val="00662464"/>
    <w:rsid w:val="00662AFE"/>
    <w:rsid w:val="00666D14"/>
    <w:rsid w:val="00673462"/>
    <w:rsid w:val="006769BF"/>
    <w:rsid w:val="006830D8"/>
    <w:rsid w:val="00683916"/>
    <w:rsid w:val="00683B93"/>
    <w:rsid w:val="00686681"/>
    <w:rsid w:val="0069250F"/>
    <w:rsid w:val="006972B8"/>
    <w:rsid w:val="006A0073"/>
    <w:rsid w:val="006A0148"/>
    <w:rsid w:val="006A1C58"/>
    <w:rsid w:val="006A4799"/>
    <w:rsid w:val="006B334D"/>
    <w:rsid w:val="006B35D7"/>
    <w:rsid w:val="006B701F"/>
    <w:rsid w:val="006B724A"/>
    <w:rsid w:val="006C0752"/>
    <w:rsid w:val="006C7C21"/>
    <w:rsid w:val="006D0635"/>
    <w:rsid w:val="006D0EB4"/>
    <w:rsid w:val="006D1FD7"/>
    <w:rsid w:val="006D4204"/>
    <w:rsid w:val="006D4FAE"/>
    <w:rsid w:val="006D79CD"/>
    <w:rsid w:val="006D7A13"/>
    <w:rsid w:val="006E4E26"/>
    <w:rsid w:val="006E6756"/>
    <w:rsid w:val="006F19FD"/>
    <w:rsid w:val="006F4DA9"/>
    <w:rsid w:val="006F4FEE"/>
    <w:rsid w:val="006F63D3"/>
    <w:rsid w:val="006F7B7F"/>
    <w:rsid w:val="007006B4"/>
    <w:rsid w:val="007018AF"/>
    <w:rsid w:val="0070298F"/>
    <w:rsid w:val="00705A15"/>
    <w:rsid w:val="00705BCE"/>
    <w:rsid w:val="00706644"/>
    <w:rsid w:val="007072F0"/>
    <w:rsid w:val="007073F7"/>
    <w:rsid w:val="00721206"/>
    <w:rsid w:val="007240CB"/>
    <w:rsid w:val="00725C08"/>
    <w:rsid w:val="00727BED"/>
    <w:rsid w:val="0073055A"/>
    <w:rsid w:val="0073256D"/>
    <w:rsid w:val="00733A0B"/>
    <w:rsid w:val="00737599"/>
    <w:rsid w:val="00741C76"/>
    <w:rsid w:val="0075020A"/>
    <w:rsid w:val="00753A45"/>
    <w:rsid w:val="0075476F"/>
    <w:rsid w:val="00754BFF"/>
    <w:rsid w:val="00755481"/>
    <w:rsid w:val="007565DB"/>
    <w:rsid w:val="0076452F"/>
    <w:rsid w:val="0076464B"/>
    <w:rsid w:val="00765036"/>
    <w:rsid w:val="0076587D"/>
    <w:rsid w:val="00765FE0"/>
    <w:rsid w:val="0077042A"/>
    <w:rsid w:val="00771824"/>
    <w:rsid w:val="007849AF"/>
    <w:rsid w:val="00791C5D"/>
    <w:rsid w:val="00792344"/>
    <w:rsid w:val="00792417"/>
    <w:rsid w:val="007945F7"/>
    <w:rsid w:val="0079590B"/>
    <w:rsid w:val="007976EE"/>
    <w:rsid w:val="007A4EFB"/>
    <w:rsid w:val="007A705C"/>
    <w:rsid w:val="007B2CF0"/>
    <w:rsid w:val="007B44D9"/>
    <w:rsid w:val="007B509E"/>
    <w:rsid w:val="007B63F6"/>
    <w:rsid w:val="007C2417"/>
    <w:rsid w:val="007C72D1"/>
    <w:rsid w:val="007D07C5"/>
    <w:rsid w:val="007D1A76"/>
    <w:rsid w:val="007D1F31"/>
    <w:rsid w:val="007D7396"/>
    <w:rsid w:val="007E0142"/>
    <w:rsid w:val="007E1C0C"/>
    <w:rsid w:val="007E4E60"/>
    <w:rsid w:val="007F182C"/>
    <w:rsid w:val="00800982"/>
    <w:rsid w:val="008029A6"/>
    <w:rsid w:val="008066CE"/>
    <w:rsid w:val="008073A9"/>
    <w:rsid w:val="00813C45"/>
    <w:rsid w:val="00815133"/>
    <w:rsid w:val="00815D2A"/>
    <w:rsid w:val="00815D50"/>
    <w:rsid w:val="00816661"/>
    <w:rsid w:val="008241B9"/>
    <w:rsid w:val="008274CF"/>
    <w:rsid w:val="0083314D"/>
    <w:rsid w:val="008357C2"/>
    <w:rsid w:val="00835938"/>
    <w:rsid w:val="00835C69"/>
    <w:rsid w:val="00835D92"/>
    <w:rsid w:val="00841A85"/>
    <w:rsid w:val="00842273"/>
    <w:rsid w:val="00853354"/>
    <w:rsid w:val="00855288"/>
    <w:rsid w:val="008572E1"/>
    <w:rsid w:val="00873A57"/>
    <w:rsid w:val="00875BA7"/>
    <w:rsid w:val="00881660"/>
    <w:rsid w:val="0088448D"/>
    <w:rsid w:val="0089659A"/>
    <w:rsid w:val="008A4228"/>
    <w:rsid w:val="008A5058"/>
    <w:rsid w:val="008A5C2F"/>
    <w:rsid w:val="008A6FD1"/>
    <w:rsid w:val="008B15EC"/>
    <w:rsid w:val="008B1F18"/>
    <w:rsid w:val="008B3C07"/>
    <w:rsid w:val="008B65B8"/>
    <w:rsid w:val="008B6894"/>
    <w:rsid w:val="008B720E"/>
    <w:rsid w:val="008C32DF"/>
    <w:rsid w:val="008C34A8"/>
    <w:rsid w:val="008C53E3"/>
    <w:rsid w:val="008C6C72"/>
    <w:rsid w:val="008D2AA7"/>
    <w:rsid w:val="008D451A"/>
    <w:rsid w:val="008D47BF"/>
    <w:rsid w:val="008D50D5"/>
    <w:rsid w:val="008D6448"/>
    <w:rsid w:val="008E6366"/>
    <w:rsid w:val="008F17F0"/>
    <w:rsid w:val="008F26A9"/>
    <w:rsid w:val="008F5F1F"/>
    <w:rsid w:val="00901D61"/>
    <w:rsid w:val="00903502"/>
    <w:rsid w:val="0090356A"/>
    <w:rsid w:val="0090729D"/>
    <w:rsid w:val="009159F8"/>
    <w:rsid w:val="00915C07"/>
    <w:rsid w:val="009214B6"/>
    <w:rsid w:val="00921DBF"/>
    <w:rsid w:val="00922D03"/>
    <w:rsid w:val="00924877"/>
    <w:rsid w:val="00925516"/>
    <w:rsid w:val="00925651"/>
    <w:rsid w:val="00927CB3"/>
    <w:rsid w:val="0094368E"/>
    <w:rsid w:val="00943E9B"/>
    <w:rsid w:val="009440D8"/>
    <w:rsid w:val="00945C55"/>
    <w:rsid w:val="00945C5D"/>
    <w:rsid w:val="009500FF"/>
    <w:rsid w:val="00951C04"/>
    <w:rsid w:val="00952C52"/>
    <w:rsid w:val="00954EA8"/>
    <w:rsid w:val="0095596B"/>
    <w:rsid w:val="0096166D"/>
    <w:rsid w:val="009618A7"/>
    <w:rsid w:val="00962D5B"/>
    <w:rsid w:val="009659A5"/>
    <w:rsid w:val="009668F4"/>
    <w:rsid w:val="00970B87"/>
    <w:rsid w:val="009725FE"/>
    <w:rsid w:val="009734A6"/>
    <w:rsid w:val="00975236"/>
    <w:rsid w:val="00975501"/>
    <w:rsid w:val="0097789D"/>
    <w:rsid w:val="00980D41"/>
    <w:rsid w:val="00981214"/>
    <w:rsid w:val="00984FCA"/>
    <w:rsid w:val="0098614E"/>
    <w:rsid w:val="009872BC"/>
    <w:rsid w:val="00994B99"/>
    <w:rsid w:val="00995B78"/>
    <w:rsid w:val="009972DB"/>
    <w:rsid w:val="00997E51"/>
    <w:rsid w:val="009A5C30"/>
    <w:rsid w:val="009A69BB"/>
    <w:rsid w:val="009B0F07"/>
    <w:rsid w:val="009B5FAA"/>
    <w:rsid w:val="009B6279"/>
    <w:rsid w:val="009B68DE"/>
    <w:rsid w:val="009C4E94"/>
    <w:rsid w:val="009D0912"/>
    <w:rsid w:val="009D45F9"/>
    <w:rsid w:val="009D49F6"/>
    <w:rsid w:val="009D661B"/>
    <w:rsid w:val="009D6622"/>
    <w:rsid w:val="009E3B7D"/>
    <w:rsid w:val="009E498B"/>
    <w:rsid w:val="009F0AC0"/>
    <w:rsid w:val="009F0B6B"/>
    <w:rsid w:val="009F6ADC"/>
    <w:rsid w:val="009F7EC6"/>
    <w:rsid w:val="00A01184"/>
    <w:rsid w:val="00A045D2"/>
    <w:rsid w:val="00A049E7"/>
    <w:rsid w:val="00A0611F"/>
    <w:rsid w:val="00A15A87"/>
    <w:rsid w:val="00A16DB1"/>
    <w:rsid w:val="00A2193A"/>
    <w:rsid w:val="00A25AE7"/>
    <w:rsid w:val="00A27EF6"/>
    <w:rsid w:val="00A311CC"/>
    <w:rsid w:val="00A34837"/>
    <w:rsid w:val="00A363BE"/>
    <w:rsid w:val="00A41F4F"/>
    <w:rsid w:val="00A4510D"/>
    <w:rsid w:val="00A51B04"/>
    <w:rsid w:val="00A5315F"/>
    <w:rsid w:val="00A53F62"/>
    <w:rsid w:val="00A5586B"/>
    <w:rsid w:val="00A610CD"/>
    <w:rsid w:val="00A61DEF"/>
    <w:rsid w:val="00A66424"/>
    <w:rsid w:val="00A6711F"/>
    <w:rsid w:val="00A7569A"/>
    <w:rsid w:val="00A76435"/>
    <w:rsid w:val="00A80084"/>
    <w:rsid w:val="00A86BC7"/>
    <w:rsid w:val="00A90376"/>
    <w:rsid w:val="00A90CA4"/>
    <w:rsid w:val="00A927F2"/>
    <w:rsid w:val="00A92BC2"/>
    <w:rsid w:val="00A962E6"/>
    <w:rsid w:val="00AA3227"/>
    <w:rsid w:val="00AA3232"/>
    <w:rsid w:val="00AA69CA"/>
    <w:rsid w:val="00AB53E4"/>
    <w:rsid w:val="00AC17B3"/>
    <w:rsid w:val="00AC42BE"/>
    <w:rsid w:val="00AD1270"/>
    <w:rsid w:val="00AD5F2A"/>
    <w:rsid w:val="00AD75EF"/>
    <w:rsid w:val="00AE05ED"/>
    <w:rsid w:val="00AE408C"/>
    <w:rsid w:val="00AE4918"/>
    <w:rsid w:val="00AE5ED6"/>
    <w:rsid w:val="00AE6F27"/>
    <w:rsid w:val="00AF0233"/>
    <w:rsid w:val="00AF094A"/>
    <w:rsid w:val="00AF1AD3"/>
    <w:rsid w:val="00AF58B4"/>
    <w:rsid w:val="00AF5D04"/>
    <w:rsid w:val="00B01789"/>
    <w:rsid w:val="00B0596B"/>
    <w:rsid w:val="00B0695E"/>
    <w:rsid w:val="00B115B8"/>
    <w:rsid w:val="00B12DFC"/>
    <w:rsid w:val="00B14664"/>
    <w:rsid w:val="00B22608"/>
    <w:rsid w:val="00B27A81"/>
    <w:rsid w:val="00B310FC"/>
    <w:rsid w:val="00B335DA"/>
    <w:rsid w:val="00B342C9"/>
    <w:rsid w:val="00B41045"/>
    <w:rsid w:val="00B4294C"/>
    <w:rsid w:val="00B42C7C"/>
    <w:rsid w:val="00B438B5"/>
    <w:rsid w:val="00B44176"/>
    <w:rsid w:val="00B4530A"/>
    <w:rsid w:val="00B474D0"/>
    <w:rsid w:val="00B474E6"/>
    <w:rsid w:val="00B5198B"/>
    <w:rsid w:val="00B54C94"/>
    <w:rsid w:val="00B62BD0"/>
    <w:rsid w:val="00B67DC4"/>
    <w:rsid w:val="00B7529A"/>
    <w:rsid w:val="00B8204F"/>
    <w:rsid w:val="00B828A9"/>
    <w:rsid w:val="00B832C0"/>
    <w:rsid w:val="00B85659"/>
    <w:rsid w:val="00B91D59"/>
    <w:rsid w:val="00B94CC0"/>
    <w:rsid w:val="00B9665F"/>
    <w:rsid w:val="00B97CCC"/>
    <w:rsid w:val="00BA159A"/>
    <w:rsid w:val="00BA5BF7"/>
    <w:rsid w:val="00BA7FD5"/>
    <w:rsid w:val="00BB0C25"/>
    <w:rsid w:val="00BB0CB4"/>
    <w:rsid w:val="00BB6EBA"/>
    <w:rsid w:val="00BB7F3E"/>
    <w:rsid w:val="00BC28F2"/>
    <w:rsid w:val="00BC63A6"/>
    <w:rsid w:val="00BD0076"/>
    <w:rsid w:val="00BD02BB"/>
    <w:rsid w:val="00BD0C66"/>
    <w:rsid w:val="00BD11B0"/>
    <w:rsid w:val="00BD2464"/>
    <w:rsid w:val="00BD3982"/>
    <w:rsid w:val="00BD3DE4"/>
    <w:rsid w:val="00BE0476"/>
    <w:rsid w:val="00BE26F3"/>
    <w:rsid w:val="00BE37A5"/>
    <w:rsid w:val="00BE703A"/>
    <w:rsid w:val="00BF0B74"/>
    <w:rsid w:val="00BF61DE"/>
    <w:rsid w:val="00BF6F61"/>
    <w:rsid w:val="00C01FEF"/>
    <w:rsid w:val="00C0367E"/>
    <w:rsid w:val="00C03F08"/>
    <w:rsid w:val="00C11B6D"/>
    <w:rsid w:val="00C1251A"/>
    <w:rsid w:val="00C137B2"/>
    <w:rsid w:val="00C13F83"/>
    <w:rsid w:val="00C208CB"/>
    <w:rsid w:val="00C229E0"/>
    <w:rsid w:val="00C23D4B"/>
    <w:rsid w:val="00C25A7A"/>
    <w:rsid w:val="00C30C75"/>
    <w:rsid w:val="00C34F64"/>
    <w:rsid w:val="00C35B2F"/>
    <w:rsid w:val="00C4010E"/>
    <w:rsid w:val="00C42F88"/>
    <w:rsid w:val="00C43727"/>
    <w:rsid w:val="00C45890"/>
    <w:rsid w:val="00C47D02"/>
    <w:rsid w:val="00C54AF9"/>
    <w:rsid w:val="00C57B9B"/>
    <w:rsid w:val="00C64600"/>
    <w:rsid w:val="00C6553D"/>
    <w:rsid w:val="00C70B58"/>
    <w:rsid w:val="00C70CE8"/>
    <w:rsid w:val="00C715F4"/>
    <w:rsid w:val="00C74CE7"/>
    <w:rsid w:val="00C8006D"/>
    <w:rsid w:val="00C81002"/>
    <w:rsid w:val="00C82805"/>
    <w:rsid w:val="00C833E5"/>
    <w:rsid w:val="00C84AAD"/>
    <w:rsid w:val="00C87050"/>
    <w:rsid w:val="00C873EB"/>
    <w:rsid w:val="00C93742"/>
    <w:rsid w:val="00C96EE6"/>
    <w:rsid w:val="00CA0C9D"/>
    <w:rsid w:val="00CA4DEF"/>
    <w:rsid w:val="00CA6411"/>
    <w:rsid w:val="00CA6646"/>
    <w:rsid w:val="00CB11FC"/>
    <w:rsid w:val="00CB6FBB"/>
    <w:rsid w:val="00CC432B"/>
    <w:rsid w:val="00CC4CC5"/>
    <w:rsid w:val="00CD0F50"/>
    <w:rsid w:val="00CD25F9"/>
    <w:rsid w:val="00CD5E07"/>
    <w:rsid w:val="00CD6801"/>
    <w:rsid w:val="00CE05F2"/>
    <w:rsid w:val="00CE0E86"/>
    <w:rsid w:val="00CF7E22"/>
    <w:rsid w:val="00D127BF"/>
    <w:rsid w:val="00D128C2"/>
    <w:rsid w:val="00D13BC6"/>
    <w:rsid w:val="00D1438C"/>
    <w:rsid w:val="00D1572B"/>
    <w:rsid w:val="00D254B6"/>
    <w:rsid w:val="00D342DE"/>
    <w:rsid w:val="00D36956"/>
    <w:rsid w:val="00D412A3"/>
    <w:rsid w:val="00D442E2"/>
    <w:rsid w:val="00D44DC5"/>
    <w:rsid w:val="00D46778"/>
    <w:rsid w:val="00D46A58"/>
    <w:rsid w:val="00D51FFE"/>
    <w:rsid w:val="00D62A6D"/>
    <w:rsid w:val="00D65B6E"/>
    <w:rsid w:val="00D761BD"/>
    <w:rsid w:val="00D81750"/>
    <w:rsid w:val="00D820C8"/>
    <w:rsid w:val="00D85AED"/>
    <w:rsid w:val="00D8614E"/>
    <w:rsid w:val="00D903AC"/>
    <w:rsid w:val="00D94115"/>
    <w:rsid w:val="00D95522"/>
    <w:rsid w:val="00DA4336"/>
    <w:rsid w:val="00DA5739"/>
    <w:rsid w:val="00DA7750"/>
    <w:rsid w:val="00DB0417"/>
    <w:rsid w:val="00DB0BE0"/>
    <w:rsid w:val="00DB2AD9"/>
    <w:rsid w:val="00DB2BCA"/>
    <w:rsid w:val="00DB4CD9"/>
    <w:rsid w:val="00DB4E0E"/>
    <w:rsid w:val="00DB5395"/>
    <w:rsid w:val="00DB5D94"/>
    <w:rsid w:val="00DB686B"/>
    <w:rsid w:val="00DB6A33"/>
    <w:rsid w:val="00DB7849"/>
    <w:rsid w:val="00DC17BC"/>
    <w:rsid w:val="00DC68E4"/>
    <w:rsid w:val="00DD0D2D"/>
    <w:rsid w:val="00DD2C18"/>
    <w:rsid w:val="00DE277A"/>
    <w:rsid w:val="00DE4494"/>
    <w:rsid w:val="00DF49E2"/>
    <w:rsid w:val="00E00598"/>
    <w:rsid w:val="00E007F4"/>
    <w:rsid w:val="00E01272"/>
    <w:rsid w:val="00E021DD"/>
    <w:rsid w:val="00E037C0"/>
    <w:rsid w:val="00E05152"/>
    <w:rsid w:val="00E07D84"/>
    <w:rsid w:val="00E10B19"/>
    <w:rsid w:val="00E1106A"/>
    <w:rsid w:val="00E113AF"/>
    <w:rsid w:val="00E1270E"/>
    <w:rsid w:val="00E1360D"/>
    <w:rsid w:val="00E165EF"/>
    <w:rsid w:val="00E17063"/>
    <w:rsid w:val="00E2426D"/>
    <w:rsid w:val="00E24AD1"/>
    <w:rsid w:val="00E24C96"/>
    <w:rsid w:val="00E254B7"/>
    <w:rsid w:val="00E34635"/>
    <w:rsid w:val="00E36F21"/>
    <w:rsid w:val="00E3739B"/>
    <w:rsid w:val="00E42EF1"/>
    <w:rsid w:val="00E463A6"/>
    <w:rsid w:val="00E47D46"/>
    <w:rsid w:val="00E54203"/>
    <w:rsid w:val="00E5682E"/>
    <w:rsid w:val="00E5683A"/>
    <w:rsid w:val="00E5797B"/>
    <w:rsid w:val="00E62835"/>
    <w:rsid w:val="00E63707"/>
    <w:rsid w:val="00E645B6"/>
    <w:rsid w:val="00E70C2D"/>
    <w:rsid w:val="00E70EF8"/>
    <w:rsid w:val="00E72CDA"/>
    <w:rsid w:val="00E7391D"/>
    <w:rsid w:val="00E758BE"/>
    <w:rsid w:val="00E84D9D"/>
    <w:rsid w:val="00E85D12"/>
    <w:rsid w:val="00E93186"/>
    <w:rsid w:val="00E93BA6"/>
    <w:rsid w:val="00E95D52"/>
    <w:rsid w:val="00EA0F1D"/>
    <w:rsid w:val="00EA35D8"/>
    <w:rsid w:val="00EA3D5E"/>
    <w:rsid w:val="00EA7CD0"/>
    <w:rsid w:val="00EB0028"/>
    <w:rsid w:val="00EB6544"/>
    <w:rsid w:val="00EB7B23"/>
    <w:rsid w:val="00EC192D"/>
    <w:rsid w:val="00EC58C8"/>
    <w:rsid w:val="00ED0647"/>
    <w:rsid w:val="00ED13F7"/>
    <w:rsid w:val="00ED22DE"/>
    <w:rsid w:val="00ED7B5C"/>
    <w:rsid w:val="00EE0A9A"/>
    <w:rsid w:val="00EE2457"/>
    <w:rsid w:val="00EE2490"/>
    <w:rsid w:val="00EE26F8"/>
    <w:rsid w:val="00EE30D2"/>
    <w:rsid w:val="00EE406C"/>
    <w:rsid w:val="00EE5981"/>
    <w:rsid w:val="00EF1D81"/>
    <w:rsid w:val="00EF5C0A"/>
    <w:rsid w:val="00EF5F0E"/>
    <w:rsid w:val="00F02D45"/>
    <w:rsid w:val="00F06F29"/>
    <w:rsid w:val="00F10458"/>
    <w:rsid w:val="00F27F09"/>
    <w:rsid w:val="00F31699"/>
    <w:rsid w:val="00F317EA"/>
    <w:rsid w:val="00F3684E"/>
    <w:rsid w:val="00F4007A"/>
    <w:rsid w:val="00F41AA0"/>
    <w:rsid w:val="00F44455"/>
    <w:rsid w:val="00F44DCF"/>
    <w:rsid w:val="00F55108"/>
    <w:rsid w:val="00F5541F"/>
    <w:rsid w:val="00F613C7"/>
    <w:rsid w:val="00F65500"/>
    <w:rsid w:val="00F72255"/>
    <w:rsid w:val="00F76B98"/>
    <w:rsid w:val="00F76E7B"/>
    <w:rsid w:val="00F81595"/>
    <w:rsid w:val="00F83B9B"/>
    <w:rsid w:val="00F83C00"/>
    <w:rsid w:val="00F93A0D"/>
    <w:rsid w:val="00F95041"/>
    <w:rsid w:val="00F96849"/>
    <w:rsid w:val="00FA0599"/>
    <w:rsid w:val="00FA2861"/>
    <w:rsid w:val="00FB2030"/>
    <w:rsid w:val="00FB5627"/>
    <w:rsid w:val="00FB6E2B"/>
    <w:rsid w:val="00FC14DE"/>
    <w:rsid w:val="00FC2068"/>
    <w:rsid w:val="00FC2B8C"/>
    <w:rsid w:val="00FD4CCF"/>
    <w:rsid w:val="00FD564E"/>
    <w:rsid w:val="00FE161D"/>
    <w:rsid w:val="00FE1ABA"/>
    <w:rsid w:val="00FE2E0A"/>
    <w:rsid w:val="00FE2E3A"/>
    <w:rsid w:val="00FE3CE7"/>
    <w:rsid w:val="00FE519B"/>
    <w:rsid w:val="00FF0CBF"/>
    <w:rsid w:val="00FF0E3E"/>
    <w:rsid w:val="00FF455A"/>
    <w:rsid w:val="00FF7F6F"/>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A2E"/>
    <w:rPr>
      <w:sz w:val="24"/>
      <w:szCs w:val="24"/>
    </w:rPr>
  </w:style>
  <w:style w:type="paragraph" w:styleId="1">
    <w:name w:val="heading 1"/>
    <w:basedOn w:val="a"/>
    <w:next w:val="a"/>
    <w:link w:val="1Char"/>
    <w:qFormat/>
    <w:rsid w:val="00921DBF"/>
    <w:pPr>
      <w:keepNext/>
      <w:spacing w:before="240" w:after="60"/>
      <w:outlineLvl w:val="0"/>
    </w:pPr>
    <w:rPr>
      <w:rFonts w:ascii="Cambria" w:hAnsi="Cambria"/>
      <w:b/>
      <w:bCs/>
      <w:kern w:val="32"/>
      <w:sz w:val="32"/>
      <w:szCs w:val="32"/>
    </w:rPr>
  </w:style>
  <w:style w:type="paragraph" w:styleId="3">
    <w:name w:val="heading 3"/>
    <w:basedOn w:val="a"/>
    <w:link w:val="3Char"/>
    <w:uiPriority w:val="9"/>
    <w:qFormat/>
    <w:rsid w:val="00D81750"/>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3D5B02"/>
    <w:rPr>
      <w:color w:val="0000FF"/>
      <w:u w:val="single"/>
    </w:rPr>
  </w:style>
  <w:style w:type="character" w:customStyle="1" w:styleId="apple-style-span">
    <w:name w:val="apple-style-span"/>
    <w:basedOn w:val="a0"/>
    <w:rsid w:val="00EA0F1D"/>
  </w:style>
  <w:style w:type="character" w:customStyle="1" w:styleId="apple-converted-space">
    <w:name w:val="apple-converted-space"/>
    <w:basedOn w:val="a0"/>
    <w:rsid w:val="00EA0F1D"/>
  </w:style>
  <w:style w:type="character" w:styleId="a4">
    <w:name w:val="Emphasis"/>
    <w:uiPriority w:val="20"/>
    <w:qFormat/>
    <w:rsid w:val="00EA0F1D"/>
    <w:rPr>
      <w:i/>
      <w:iCs/>
    </w:rPr>
  </w:style>
  <w:style w:type="character" w:customStyle="1" w:styleId="mb">
    <w:name w:val="mb"/>
    <w:basedOn w:val="a0"/>
    <w:rsid w:val="00C0367E"/>
  </w:style>
  <w:style w:type="paragraph" w:styleId="a5">
    <w:name w:val="Normal (Web)"/>
    <w:basedOn w:val="a"/>
    <w:uiPriority w:val="99"/>
    <w:unhideWhenUsed/>
    <w:rsid w:val="008D47BF"/>
    <w:pPr>
      <w:spacing w:before="100" w:beforeAutospacing="1" w:after="100" w:afterAutospacing="1"/>
    </w:pPr>
  </w:style>
  <w:style w:type="character" w:customStyle="1" w:styleId="3Char">
    <w:name w:val="标题 3 Char"/>
    <w:link w:val="3"/>
    <w:uiPriority w:val="9"/>
    <w:rsid w:val="00D81750"/>
    <w:rPr>
      <w:b/>
      <w:bCs/>
      <w:sz w:val="27"/>
      <w:szCs w:val="27"/>
    </w:rPr>
  </w:style>
  <w:style w:type="paragraph" w:customStyle="1" w:styleId="keyword">
    <w:name w:val="keyword"/>
    <w:basedOn w:val="a"/>
    <w:rsid w:val="00D81750"/>
    <w:pPr>
      <w:spacing w:before="100" w:beforeAutospacing="1" w:after="100" w:afterAutospacing="1"/>
    </w:pPr>
  </w:style>
  <w:style w:type="character" w:customStyle="1" w:styleId="keywordheading">
    <w:name w:val="keywordheading"/>
    <w:basedOn w:val="a0"/>
    <w:rsid w:val="00D81750"/>
  </w:style>
  <w:style w:type="character" w:customStyle="1" w:styleId="slug-metadata-note">
    <w:name w:val="slug-metadata-note"/>
    <w:basedOn w:val="a0"/>
    <w:rsid w:val="000454B8"/>
  </w:style>
  <w:style w:type="character" w:customStyle="1" w:styleId="slug-ahead-of-print-date">
    <w:name w:val="slug-ahead-of-print-date"/>
    <w:basedOn w:val="a0"/>
    <w:rsid w:val="000454B8"/>
  </w:style>
  <w:style w:type="character" w:customStyle="1" w:styleId="slug-doi">
    <w:name w:val="slug-doi"/>
    <w:basedOn w:val="a0"/>
    <w:rsid w:val="000454B8"/>
  </w:style>
  <w:style w:type="character" w:styleId="HTML">
    <w:name w:val="HTML Cite"/>
    <w:uiPriority w:val="99"/>
    <w:unhideWhenUsed/>
    <w:rsid w:val="000454B8"/>
    <w:rPr>
      <w:i/>
      <w:iCs/>
    </w:rPr>
  </w:style>
  <w:style w:type="character" w:customStyle="1" w:styleId="slug-pub-date">
    <w:name w:val="slug-pub-date"/>
    <w:basedOn w:val="a0"/>
    <w:rsid w:val="000454B8"/>
  </w:style>
  <w:style w:type="character" w:customStyle="1" w:styleId="slug-vol">
    <w:name w:val="slug-vol"/>
    <w:basedOn w:val="a0"/>
    <w:rsid w:val="000454B8"/>
  </w:style>
  <w:style w:type="character" w:customStyle="1" w:styleId="slug-pages">
    <w:name w:val="slug-pages"/>
    <w:basedOn w:val="a0"/>
    <w:rsid w:val="000454B8"/>
  </w:style>
  <w:style w:type="character" w:styleId="a6">
    <w:name w:val="FollowedHyperlink"/>
    <w:rsid w:val="009F0B6B"/>
    <w:rPr>
      <w:color w:val="800080"/>
      <w:u w:val="single"/>
    </w:rPr>
  </w:style>
  <w:style w:type="paragraph" w:customStyle="1" w:styleId="rprtid">
    <w:name w:val="rprtid"/>
    <w:basedOn w:val="a"/>
    <w:rsid w:val="003661A0"/>
    <w:pPr>
      <w:spacing w:before="100" w:beforeAutospacing="1" w:after="100" w:afterAutospacing="1"/>
    </w:pPr>
  </w:style>
  <w:style w:type="character" w:customStyle="1" w:styleId="pmid">
    <w:name w:val="pmid"/>
    <w:basedOn w:val="a0"/>
    <w:rsid w:val="003661A0"/>
  </w:style>
  <w:style w:type="character" w:customStyle="1" w:styleId="highlight">
    <w:name w:val="highlight"/>
    <w:basedOn w:val="a0"/>
    <w:rsid w:val="00D85AED"/>
  </w:style>
  <w:style w:type="character" w:styleId="a7">
    <w:name w:val="Strong"/>
    <w:qFormat/>
    <w:rsid w:val="004C42FC"/>
    <w:rPr>
      <w:b/>
      <w:bCs/>
    </w:rPr>
  </w:style>
  <w:style w:type="paragraph" w:styleId="a8">
    <w:name w:val="No Spacing"/>
    <w:uiPriority w:val="1"/>
    <w:qFormat/>
    <w:rsid w:val="004C42FC"/>
    <w:rPr>
      <w:sz w:val="24"/>
      <w:szCs w:val="24"/>
    </w:rPr>
  </w:style>
  <w:style w:type="paragraph" w:styleId="a9">
    <w:name w:val="Subtitle"/>
    <w:basedOn w:val="a"/>
    <w:next w:val="a"/>
    <w:link w:val="Char"/>
    <w:qFormat/>
    <w:rsid w:val="00467E8E"/>
    <w:pPr>
      <w:spacing w:after="60"/>
      <w:jc w:val="center"/>
      <w:outlineLvl w:val="1"/>
    </w:pPr>
    <w:rPr>
      <w:rFonts w:ascii="Cambria" w:hAnsi="Cambria"/>
    </w:rPr>
  </w:style>
  <w:style w:type="character" w:customStyle="1" w:styleId="Char">
    <w:name w:val="副标题 Char"/>
    <w:link w:val="a9"/>
    <w:rsid w:val="00467E8E"/>
    <w:rPr>
      <w:rFonts w:ascii="Cambria" w:eastAsia="Times New Roman" w:hAnsi="Cambria" w:cs="Times New Roman"/>
      <w:sz w:val="24"/>
      <w:szCs w:val="24"/>
    </w:rPr>
  </w:style>
  <w:style w:type="character" w:customStyle="1" w:styleId="jrnl">
    <w:name w:val="jrnl"/>
    <w:basedOn w:val="a0"/>
    <w:rsid w:val="00FE519B"/>
  </w:style>
  <w:style w:type="paragraph" w:styleId="aa">
    <w:name w:val="List Paragraph"/>
    <w:basedOn w:val="a"/>
    <w:uiPriority w:val="34"/>
    <w:qFormat/>
    <w:rsid w:val="003A2026"/>
    <w:pPr>
      <w:spacing w:after="200" w:line="276" w:lineRule="auto"/>
      <w:ind w:left="720"/>
      <w:contextualSpacing/>
    </w:pPr>
    <w:rPr>
      <w:rFonts w:ascii="Calibri" w:hAnsi="Calibri"/>
      <w:sz w:val="22"/>
      <w:szCs w:val="22"/>
    </w:rPr>
  </w:style>
  <w:style w:type="character" w:customStyle="1" w:styleId="journal9">
    <w:name w:val="journal9"/>
    <w:rsid w:val="00201262"/>
    <w:rPr>
      <w:i/>
      <w:iCs/>
    </w:rPr>
  </w:style>
  <w:style w:type="character" w:customStyle="1" w:styleId="jnumber1">
    <w:name w:val="jnumber1"/>
    <w:rsid w:val="00201262"/>
    <w:rPr>
      <w:b/>
      <w:bCs/>
    </w:rPr>
  </w:style>
  <w:style w:type="table" w:styleId="ab">
    <w:name w:val="Table Grid"/>
    <w:basedOn w:val="a1"/>
    <w:rsid w:val="00642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ref">
    <w:name w:val="xref"/>
    <w:rsid w:val="00C70B58"/>
  </w:style>
  <w:style w:type="character" w:customStyle="1" w:styleId="fig-label3">
    <w:name w:val="fig-label3"/>
    <w:rsid w:val="00E54203"/>
    <w:rPr>
      <w:b/>
      <w:bCs/>
      <w:sz w:val="24"/>
      <w:szCs w:val="24"/>
      <w:bdr w:val="none" w:sz="0" w:space="0" w:color="auto" w:frame="1"/>
      <w:vertAlign w:val="baseline"/>
    </w:rPr>
  </w:style>
  <w:style w:type="character" w:customStyle="1" w:styleId="1Char">
    <w:name w:val="标题 1 Char"/>
    <w:link w:val="1"/>
    <w:rsid w:val="00921DBF"/>
    <w:rPr>
      <w:rFonts w:ascii="Cambria" w:eastAsia="Times New Roman" w:hAnsi="Cambria" w:cs="Times New Roman"/>
      <w:b/>
      <w:bCs/>
      <w:kern w:val="32"/>
      <w:sz w:val="32"/>
      <w:szCs w:val="32"/>
    </w:rPr>
  </w:style>
  <w:style w:type="character" w:customStyle="1" w:styleId="maintitle">
    <w:name w:val="maintitle"/>
    <w:rsid w:val="00921DBF"/>
  </w:style>
  <w:style w:type="paragraph" w:customStyle="1" w:styleId="Default">
    <w:name w:val="Default"/>
    <w:rsid w:val="000733C0"/>
    <w:pPr>
      <w:autoSpaceDE w:val="0"/>
      <w:autoSpaceDN w:val="0"/>
      <w:adjustRightInd w:val="0"/>
    </w:pPr>
    <w:rPr>
      <w:rFonts w:ascii="Avenir 45 Book" w:hAnsi="Avenir 45 Book" w:cs="Avenir 45 Book"/>
      <w:color w:val="000000"/>
      <w:sz w:val="24"/>
      <w:szCs w:val="24"/>
    </w:rPr>
  </w:style>
  <w:style w:type="character" w:customStyle="1" w:styleId="label">
    <w:name w:val="label"/>
    <w:basedOn w:val="a0"/>
    <w:rsid w:val="00673462"/>
  </w:style>
  <w:style w:type="character" w:customStyle="1" w:styleId="cit-source">
    <w:name w:val="cit-source"/>
    <w:basedOn w:val="a0"/>
    <w:rsid w:val="00C6553D"/>
  </w:style>
  <w:style w:type="character" w:customStyle="1" w:styleId="cit-fpage">
    <w:name w:val="cit-fpage"/>
    <w:basedOn w:val="a0"/>
    <w:rsid w:val="00C6553D"/>
  </w:style>
  <w:style w:type="paragraph" w:styleId="ac">
    <w:name w:val="Balloon Text"/>
    <w:basedOn w:val="a"/>
    <w:link w:val="Char0"/>
    <w:rsid w:val="009500FF"/>
    <w:rPr>
      <w:rFonts w:ascii="Tahoma" w:hAnsi="Tahoma"/>
      <w:sz w:val="16"/>
      <w:szCs w:val="16"/>
    </w:rPr>
  </w:style>
  <w:style w:type="character" w:customStyle="1" w:styleId="Char0">
    <w:name w:val="批注框文本 Char"/>
    <w:link w:val="ac"/>
    <w:rsid w:val="009500FF"/>
    <w:rPr>
      <w:rFonts w:ascii="Tahoma" w:hAnsi="Tahoma" w:cs="Tahoma"/>
      <w:sz w:val="16"/>
      <w:szCs w:val="16"/>
    </w:rPr>
  </w:style>
  <w:style w:type="character" w:customStyle="1" w:styleId="author">
    <w:name w:val="author"/>
    <w:basedOn w:val="a0"/>
    <w:rsid w:val="007E4E60"/>
  </w:style>
  <w:style w:type="character" w:customStyle="1" w:styleId="articletitle">
    <w:name w:val="articletitle"/>
    <w:basedOn w:val="a0"/>
    <w:rsid w:val="007E4E60"/>
  </w:style>
  <w:style w:type="character" w:customStyle="1" w:styleId="journaltitle2">
    <w:name w:val="journaltitle2"/>
    <w:rsid w:val="007E4E60"/>
    <w:rPr>
      <w:i/>
      <w:iCs/>
    </w:rPr>
  </w:style>
  <w:style w:type="character" w:customStyle="1" w:styleId="pubyear">
    <w:name w:val="pubyear"/>
    <w:basedOn w:val="a0"/>
    <w:rsid w:val="007E4E60"/>
  </w:style>
  <w:style w:type="character" w:customStyle="1" w:styleId="vol2">
    <w:name w:val="vol2"/>
    <w:rsid w:val="007E4E60"/>
    <w:rPr>
      <w:b/>
      <w:bCs/>
    </w:rPr>
  </w:style>
  <w:style w:type="character" w:customStyle="1" w:styleId="pagefirst">
    <w:name w:val="pagefirst"/>
    <w:basedOn w:val="a0"/>
    <w:rsid w:val="007E4E60"/>
  </w:style>
  <w:style w:type="character" w:customStyle="1" w:styleId="pagelast">
    <w:name w:val="pagelast"/>
    <w:basedOn w:val="a0"/>
    <w:rsid w:val="007E4E60"/>
  </w:style>
  <w:style w:type="character" w:customStyle="1" w:styleId="element-citation">
    <w:name w:val="element-citation"/>
    <w:basedOn w:val="a0"/>
    <w:rsid w:val="007E4E60"/>
  </w:style>
  <w:style w:type="character" w:customStyle="1" w:styleId="ref-journal">
    <w:name w:val="ref-journal"/>
    <w:basedOn w:val="a0"/>
    <w:rsid w:val="007E4E60"/>
  </w:style>
  <w:style w:type="character" w:customStyle="1" w:styleId="nlmetal">
    <w:name w:val="nlm_etal"/>
    <w:rsid w:val="003472D4"/>
  </w:style>
  <w:style w:type="character" w:customStyle="1" w:styleId="nlmarticle-title">
    <w:name w:val="nlm_article-title"/>
    <w:rsid w:val="003472D4"/>
  </w:style>
  <w:style w:type="character" w:customStyle="1" w:styleId="citationsource-journal">
    <w:name w:val="citation_source-journal"/>
    <w:rsid w:val="003472D4"/>
  </w:style>
  <w:style w:type="character" w:customStyle="1" w:styleId="nlmyear">
    <w:name w:val="nlm_year"/>
    <w:rsid w:val="003472D4"/>
  </w:style>
  <w:style w:type="character" w:customStyle="1" w:styleId="nlmfpage">
    <w:name w:val="nlm_fpage"/>
    <w:rsid w:val="003472D4"/>
  </w:style>
  <w:style w:type="character" w:customStyle="1" w:styleId="nlmlpage">
    <w:name w:val="nlm_lpage"/>
    <w:rsid w:val="003472D4"/>
  </w:style>
  <w:style w:type="paragraph" w:styleId="ad">
    <w:name w:val="header"/>
    <w:basedOn w:val="a"/>
    <w:link w:val="Char1"/>
    <w:uiPriority w:val="99"/>
    <w:unhideWhenUsed/>
    <w:rsid w:val="004C5CFC"/>
    <w:pPr>
      <w:tabs>
        <w:tab w:val="center" w:pos="4819"/>
        <w:tab w:val="right" w:pos="9638"/>
      </w:tabs>
    </w:pPr>
  </w:style>
  <w:style w:type="character" w:customStyle="1" w:styleId="Char1">
    <w:name w:val="页眉 Char"/>
    <w:basedOn w:val="a0"/>
    <w:link w:val="ad"/>
    <w:uiPriority w:val="99"/>
    <w:rsid w:val="004C5CFC"/>
    <w:rPr>
      <w:sz w:val="24"/>
      <w:szCs w:val="24"/>
    </w:rPr>
  </w:style>
  <w:style w:type="paragraph" w:styleId="ae">
    <w:name w:val="footer"/>
    <w:basedOn w:val="a"/>
    <w:link w:val="Char2"/>
    <w:unhideWhenUsed/>
    <w:rsid w:val="004C5CFC"/>
    <w:pPr>
      <w:tabs>
        <w:tab w:val="center" w:pos="4819"/>
        <w:tab w:val="right" w:pos="9638"/>
      </w:tabs>
    </w:pPr>
  </w:style>
  <w:style w:type="character" w:customStyle="1" w:styleId="Char2">
    <w:name w:val="页脚 Char"/>
    <w:basedOn w:val="a0"/>
    <w:link w:val="ae"/>
    <w:rsid w:val="004C5CFC"/>
    <w:rPr>
      <w:sz w:val="24"/>
      <w:szCs w:val="24"/>
    </w:rPr>
  </w:style>
  <w:style w:type="character" w:customStyle="1" w:styleId="hps">
    <w:name w:val="hps"/>
    <w:basedOn w:val="a0"/>
    <w:rsid w:val="0088448D"/>
  </w:style>
  <w:style w:type="paragraph" w:customStyle="1" w:styleId="p0">
    <w:name w:val="p0"/>
    <w:basedOn w:val="a"/>
    <w:rsid w:val="00727BED"/>
    <w:pPr>
      <w:spacing w:line="240" w:lineRule="atLeast"/>
    </w:pPr>
    <w:rPr>
      <w:rFonts w:ascii="Century" w:eastAsia="宋体" w:hAnsi="Century" w:cs="宋体"/>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A2E"/>
    <w:rPr>
      <w:sz w:val="24"/>
      <w:szCs w:val="24"/>
    </w:rPr>
  </w:style>
  <w:style w:type="paragraph" w:styleId="1">
    <w:name w:val="heading 1"/>
    <w:basedOn w:val="a"/>
    <w:next w:val="a"/>
    <w:link w:val="1Char"/>
    <w:qFormat/>
    <w:rsid w:val="00921DBF"/>
    <w:pPr>
      <w:keepNext/>
      <w:spacing w:before="240" w:after="60"/>
      <w:outlineLvl w:val="0"/>
    </w:pPr>
    <w:rPr>
      <w:rFonts w:ascii="Cambria" w:hAnsi="Cambria"/>
      <w:b/>
      <w:bCs/>
      <w:kern w:val="32"/>
      <w:sz w:val="32"/>
      <w:szCs w:val="32"/>
    </w:rPr>
  </w:style>
  <w:style w:type="paragraph" w:styleId="3">
    <w:name w:val="heading 3"/>
    <w:basedOn w:val="a"/>
    <w:link w:val="3Char"/>
    <w:uiPriority w:val="9"/>
    <w:qFormat/>
    <w:rsid w:val="00D81750"/>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3D5B02"/>
    <w:rPr>
      <w:color w:val="0000FF"/>
      <w:u w:val="single"/>
    </w:rPr>
  </w:style>
  <w:style w:type="character" w:customStyle="1" w:styleId="apple-style-span">
    <w:name w:val="apple-style-span"/>
    <w:basedOn w:val="a0"/>
    <w:rsid w:val="00EA0F1D"/>
  </w:style>
  <w:style w:type="character" w:customStyle="1" w:styleId="apple-converted-space">
    <w:name w:val="apple-converted-space"/>
    <w:basedOn w:val="a0"/>
    <w:rsid w:val="00EA0F1D"/>
  </w:style>
  <w:style w:type="character" w:styleId="a4">
    <w:name w:val="Emphasis"/>
    <w:uiPriority w:val="20"/>
    <w:qFormat/>
    <w:rsid w:val="00EA0F1D"/>
    <w:rPr>
      <w:i/>
      <w:iCs/>
    </w:rPr>
  </w:style>
  <w:style w:type="character" w:customStyle="1" w:styleId="mb">
    <w:name w:val="mb"/>
    <w:basedOn w:val="a0"/>
    <w:rsid w:val="00C0367E"/>
  </w:style>
  <w:style w:type="paragraph" w:styleId="a5">
    <w:name w:val="Normal (Web)"/>
    <w:basedOn w:val="a"/>
    <w:uiPriority w:val="99"/>
    <w:unhideWhenUsed/>
    <w:rsid w:val="008D47BF"/>
    <w:pPr>
      <w:spacing w:before="100" w:beforeAutospacing="1" w:after="100" w:afterAutospacing="1"/>
    </w:pPr>
  </w:style>
  <w:style w:type="character" w:customStyle="1" w:styleId="3Char">
    <w:name w:val="标题 3 Char"/>
    <w:link w:val="3"/>
    <w:uiPriority w:val="9"/>
    <w:rsid w:val="00D81750"/>
    <w:rPr>
      <w:b/>
      <w:bCs/>
      <w:sz w:val="27"/>
      <w:szCs w:val="27"/>
    </w:rPr>
  </w:style>
  <w:style w:type="paragraph" w:customStyle="1" w:styleId="keyword">
    <w:name w:val="keyword"/>
    <w:basedOn w:val="a"/>
    <w:rsid w:val="00D81750"/>
    <w:pPr>
      <w:spacing w:before="100" w:beforeAutospacing="1" w:after="100" w:afterAutospacing="1"/>
    </w:pPr>
  </w:style>
  <w:style w:type="character" w:customStyle="1" w:styleId="keywordheading">
    <w:name w:val="keywordheading"/>
    <w:basedOn w:val="a0"/>
    <w:rsid w:val="00D81750"/>
  </w:style>
  <w:style w:type="character" w:customStyle="1" w:styleId="slug-metadata-note">
    <w:name w:val="slug-metadata-note"/>
    <w:basedOn w:val="a0"/>
    <w:rsid w:val="000454B8"/>
  </w:style>
  <w:style w:type="character" w:customStyle="1" w:styleId="slug-ahead-of-print-date">
    <w:name w:val="slug-ahead-of-print-date"/>
    <w:basedOn w:val="a0"/>
    <w:rsid w:val="000454B8"/>
  </w:style>
  <w:style w:type="character" w:customStyle="1" w:styleId="slug-doi">
    <w:name w:val="slug-doi"/>
    <w:basedOn w:val="a0"/>
    <w:rsid w:val="000454B8"/>
  </w:style>
  <w:style w:type="character" w:styleId="HTML">
    <w:name w:val="HTML Cite"/>
    <w:uiPriority w:val="99"/>
    <w:unhideWhenUsed/>
    <w:rsid w:val="000454B8"/>
    <w:rPr>
      <w:i/>
      <w:iCs/>
    </w:rPr>
  </w:style>
  <w:style w:type="character" w:customStyle="1" w:styleId="slug-pub-date">
    <w:name w:val="slug-pub-date"/>
    <w:basedOn w:val="a0"/>
    <w:rsid w:val="000454B8"/>
  </w:style>
  <w:style w:type="character" w:customStyle="1" w:styleId="slug-vol">
    <w:name w:val="slug-vol"/>
    <w:basedOn w:val="a0"/>
    <w:rsid w:val="000454B8"/>
  </w:style>
  <w:style w:type="character" w:customStyle="1" w:styleId="slug-pages">
    <w:name w:val="slug-pages"/>
    <w:basedOn w:val="a0"/>
    <w:rsid w:val="000454B8"/>
  </w:style>
  <w:style w:type="character" w:styleId="a6">
    <w:name w:val="FollowedHyperlink"/>
    <w:rsid w:val="009F0B6B"/>
    <w:rPr>
      <w:color w:val="800080"/>
      <w:u w:val="single"/>
    </w:rPr>
  </w:style>
  <w:style w:type="paragraph" w:customStyle="1" w:styleId="rprtid">
    <w:name w:val="rprtid"/>
    <w:basedOn w:val="a"/>
    <w:rsid w:val="003661A0"/>
    <w:pPr>
      <w:spacing w:before="100" w:beforeAutospacing="1" w:after="100" w:afterAutospacing="1"/>
    </w:pPr>
  </w:style>
  <w:style w:type="character" w:customStyle="1" w:styleId="pmid">
    <w:name w:val="pmid"/>
    <w:basedOn w:val="a0"/>
    <w:rsid w:val="003661A0"/>
  </w:style>
  <w:style w:type="character" w:customStyle="1" w:styleId="highlight">
    <w:name w:val="highlight"/>
    <w:basedOn w:val="a0"/>
    <w:rsid w:val="00D85AED"/>
  </w:style>
  <w:style w:type="character" w:styleId="a7">
    <w:name w:val="Strong"/>
    <w:qFormat/>
    <w:rsid w:val="004C42FC"/>
    <w:rPr>
      <w:b/>
      <w:bCs/>
    </w:rPr>
  </w:style>
  <w:style w:type="paragraph" w:styleId="a8">
    <w:name w:val="No Spacing"/>
    <w:uiPriority w:val="1"/>
    <w:qFormat/>
    <w:rsid w:val="004C42FC"/>
    <w:rPr>
      <w:sz w:val="24"/>
      <w:szCs w:val="24"/>
    </w:rPr>
  </w:style>
  <w:style w:type="paragraph" w:styleId="a9">
    <w:name w:val="Subtitle"/>
    <w:basedOn w:val="a"/>
    <w:next w:val="a"/>
    <w:link w:val="Char"/>
    <w:qFormat/>
    <w:rsid w:val="00467E8E"/>
    <w:pPr>
      <w:spacing w:after="60"/>
      <w:jc w:val="center"/>
      <w:outlineLvl w:val="1"/>
    </w:pPr>
    <w:rPr>
      <w:rFonts w:ascii="Cambria" w:hAnsi="Cambria"/>
    </w:rPr>
  </w:style>
  <w:style w:type="character" w:customStyle="1" w:styleId="Char">
    <w:name w:val="副标题 Char"/>
    <w:link w:val="a9"/>
    <w:rsid w:val="00467E8E"/>
    <w:rPr>
      <w:rFonts w:ascii="Cambria" w:eastAsia="Times New Roman" w:hAnsi="Cambria" w:cs="Times New Roman"/>
      <w:sz w:val="24"/>
      <w:szCs w:val="24"/>
    </w:rPr>
  </w:style>
  <w:style w:type="character" w:customStyle="1" w:styleId="jrnl">
    <w:name w:val="jrnl"/>
    <w:basedOn w:val="a0"/>
    <w:rsid w:val="00FE519B"/>
  </w:style>
  <w:style w:type="paragraph" w:styleId="aa">
    <w:name w:val="List Paragraph"/>
    <w:basedOn w:val="a"/>
    <w:uiPriority w:val="34"/>
    <w:qFormat/>
    <w:rsid w:val="003A2026"/>
    <w:pPr>
      <w:spacing w:after="200" w:line="276" w:lineRule="auto"/>
      <w:ind w:left="720"/>
      <w:contextualSpacing/>
    </w:pPr>
    <w:rPr>
      <w:rFonts w:ascii="Calibri" w:hAnsi="Calibri"/>
      <w:sz w:val="22"/>
      <w:szCs w:val="22"/>
    </w:rPr>
  </w:style>
  <w:style w:type="character" w:customStyle="1" w:styleId="journal9">
    <w:name w:val="journal9"/>
    <w:rsid w:val="00201262"/>
    <w:rPr>
      <w:i/>
      <w:iCs/>
    </w:rPr>
  </w:style>
  <w:style w:type="character" w:customStyle="1" w:styleId="jnumber1">
    <w:name w:val="jnumber1"/>
    <w:rsid w:val="00201262"/>
    <w:rPr>
      <w:b/>
      <w:bCs/>
    </w:rPr>
  </w:style>
  <w:style w:type="table" w:styleId="ab">
    <w:name w:val="Table Grid"/>
    <w:basedOn w:val="a1"/>
    <w:rsid w:val="00642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ref">
    <w:name w:val="xref"/>
    <w:rsid w:val="00C70B58"/>
  </w:style>
  <w:style w:type="character" w:customStyle="1" w:styleId="fig-label3">
    <w:name w:val="fig-label3"/>
    <w:rsid w:val="00E54203"/>
    <w:rPr>
      <w:b/>
      <w:bCs/>
      <w:sz w:val="24"/>
      <w:szCs w:val="24"/>
      <w:bdr w:val="none" w:sz="0" w:space="0" w:color="auto" w:frame="1"/>
      <w:vertAlign w:val="baseline"/>
    </w:rPr>
  </w:style>
  <w:style w:type="character" w:customStyle="1" w:styleId="1Char">
    <w:name w:val="标题 1 Char"/>
    <w:link w:val="1"/>
    <w:rsid w:val="00921DBF"/>
    <w:rPr>
      <w:rFonts w:ascii="Cambria" w:eastAsia="Times New Roman" w:hAnsi="Cambria" w:cs="Times New Roman"/>
      <w:b/>
      <w:bCs/>
      <w:kern w:val="32"/>
      <w:sz w:val="32"/>
      <w:szCs w:val="32"/>
    </w:rPr>
  </w:style>
  <w:style w:type="character" w:customStyle="1" w:styleId="maintitle">
    <w:name w:val="maintitle"/>
    <w:rsid w:val="00921DBF"/>
  </w:style>
  <w:style w:type="paragraph" w:customStyle="1" w:styleId="Default">
    <w:name w:val="Default"/>
    <w:rsid w:val="000733C0"/>
    <w:pPr>
      <w:autoSpaceDE w:val="0"/>
      <w:autoSpaceDN w:val="0"/>
      <w:adjustRightInd w:val="0"/>
    </w:pPr>
    <w:rPr>
      <w:rFonts w:ascii="Avenir 45 Book" w:hAnsi="Avenir 45 Book" w:cs="Avenir 45 Book"/>
      <w:color w:val="000000"/>
      <w:sz w:val="24"/>
      <w:szCs w:val="24"/>
    </w:rPr>
  </w:style>
  <w:style w:type="character" w:customStyle="1" w:styleId="label">
    <w:name w:val="label"/>
    <w:basedOn w:val="a0"/>
    <w:rsid w:val="00673462"/>
  </w:style>
  <w:style w:type="character" w:customStyle="1" w:styleId="cit-source">
    <w:name w:val="cit-source"/>
    <w:basedOn w:val="a0"/>
    <w:rsid w:val="00C6553D"/>
  </w:style>
  <w:style w:type="character" w:customStyle="1" w:styleId="cit-fpage">
    <w:name w:val="cit-fpage"/>
    <w:basedOn w:val="a0"/>
    <w:rsid w:val="00C6553D"/>
  </w:style>
  <w:style w:type="paragraph" w:styleId="ac">
    <w:name w:val="Balloon Text"/>
    <w:basedOn w:val="a"/>
    <w:link w:val="Char0"/>
    <w:rsid w:val="009500FF"/>
    <w:rPr>
      <w:rFonts w:ascii="Tahoma" w:hAnsi="Tahoma"/>
      <w:sz w:val="16"/>
      <w:szCs w:val="16"/>
    </w:rPr>
  </w:style>
  <w:style w:type="character" w:customStyle="1" w:styleId="Char0">
    <w:name w:val="批注框文本 Char"/>
    <w:link w:val="ac"/>
    <w:rsid w:val="009500FF"/>
    <w:rPr>
      <w:rFonts w:ascii="Tahoma" w:hAnsi="Tahoma" w:cs="Tahoma"/>
      <w:sz w:val="16"/>
      <w:szCs w:val="16"/>
    </w:rPr>
  </w:style>
  <w:style w:type="character" w:customStyle="1" w:styleId="author">
    <w:name w:val="author"/>
    <w:basedOn w:val="a0"/>
    <w:rsid w:val="007E4E60"/>
  </w:style>
  <w:style w:type="character" w:customStyle="1" w:styleId="articletitle">
    <w:name w:val="articletitle"/>
    <w:basedOn w:val="a0"/>
    <w:rsid w:val="007E4E60"/>
  </w:style>
  <w:style w:type="character" w:customStyle="1" w:styleId="journaltitle2">
    <w:name w:val="journaltitle2"/>
    <w:rsid w:val="007E4E60"/>
    <w:rPr>
      <w:i/>
      <w:iCs/>
    </w:rPr>
  </w:style>
  <w:style w:type="character" w:customStyle="1" w:styleId="pubyear">
    <w:name w:val="pubyear"/>
    <w:basedOn w:val="a0"/>
    <w:rsid w:val="007E4E60"/>
  </w:style>
  <w:style w:type="character" w:customStyle="1" w:styleId="vol2">
    <w:name w:val="vol2"/>
    <w:rsid w:val="007E4E60"/>
    <w:rPr>
      <w:b/>
      <w:bCs/>
    </w:rPr>
  </w:style>
  <w:style w:type="character" w:customStyle="1" w:styleId="pagefirst">
    <w:name w:val="pagefirst"/>
    <w:basedOn w:val="a0"/>
    <w:rsid w:val="007E4E60"/>
  </w:style>
  <w:style w:type="character" w:customStyle="1" w:styleId="pagelast">
    <w:name w:val="pagelast"/>
    <w:basedOn w:val="a0"/>
    <w:rsid w:val="007E4E60"/>
  </w:style>
  <w:style w:type="character" w:customStyle="1" w:styleId="element-citation">
    <w:name w:val="element-citation"/>
    <w:basedOn w:val="a0"/>
    <w:rsid w:val="007E4E60"/>
  </w:style>
  <w:style w:type="character" w:customStyle="1" w:styleId="ref-journal">
    <w:name w:val="ref-journal"/>
    <w:basedOn w:val="a0"/>
    <w:rsid w:val="007E4E60"/>
  </w:style>
  <w:style w:type="character" w:customStyle="1" w:styleId="nlmetal">
    <w:name w:val="nlm_etal"/>
    <w:rsid w:val="003472D4"/>
  </w:style>
  <w:style w:type="character" w:customStyle="1" w:styleId="nlmarticle-title">
    <w:name w:val="nlm_article-title"/>
    <w:rsid w:val="003472D4"/>
  </w:style>
  <w:style w:type="character" w:customStyle="1" w:styleId="citationsource-journal">
    <w:name w:val="citation_source-journal"/>
    <w:rsid w:val="003472D4"/>
  </w:style>
  <w:style w:type="character" w:customStyle="1" w:styleId="nlmyear">
    <w:name w:val="nlm_year"/>
    <w:rsid w:val="003472D4"/>
  </w:style>
  <w:style w:type="character" w:customStyle="1" w:styleId="nlmfpage">
    <w:name w:val="nlm_fpage"/>
    <w:rsid w:val="003472D4"/>
  </w:style>
  <w:style w:type="character" w:customStyle="1" w:styleId="nlmlpage">
    <w:name w:val="nlm_lpage"/>
    <w:rsid w:val="003472D4"/>
  </w:style>
  <w:style w:type="paragraph" w:styleId="ad">
    <w:name w:val="header"/>
    <w:basedOn w:val="a"/>
    <w:link w:val="Char1"/>
    <w:uiPriority w:val="99"/>
    <w:unhideWhenUsed/>
    <w:rsid w:val="004C5CFC"/>
    <w:pPr>
      <w:tabs>
        <w:tab w:val="center" w:pos="4819"/>
        <w:tab w:val="right" w:pos="9638"/>
      </w:tabs>
    </w:pPr>
  </w:style>
  <w:style w:type="character" w:customStyle="1" w:styleId="Char1">
    <w:name w:val="页眉 Char"/>
    <w:basedOn w:val="a0"/>
    <w:link w:val="ad"/>
    <w:uiPriority w:val="99"/>
    <w:rsid w:val="004C5CFC"/>
    <w:rPr>
      <w:sz w:val="24"/>
      <w:szCs w:val="24"/>
    </w:rPr>
  </w:style>
  <w:style w:type="paragraph" w:styleId="ae">
    <w:name w:val="footer"/>
    <w:basedOn w:val="a"/>
    <w:link w:val="Char2"/>
    <w:unhideWhenUsed/>
    <w:rsid w:val="004C5CFC"/>
    <w:pPr>
      <w:tabs>
        <w:tab w:val="center" w:pos="4819"/>
        <w:tab w:val="right" w:pos="9638"/>
      </w:tabs>
    </w:pPr>
  </w:style>
  <w:style w:type="character" w:customStyle="1" w:styleId="Char2">
    <w:name w:val="页脚 Char"/>
    <w:basedOn w:val="a0"/>
    <w:link w:val="ae"/>
    <w:rsid w:val="004C5CFC"/>
    <w:rPr>
      <w:sz w:val="24"/>
      <w:szCs w:val="24"/>
    </w:rPr>
  </w:style>
  <w:style w:type="character" w:customStyle="1" w:styleId="hps">
    <w:name w:val="hps"/>
    <w:basedOn w:val="a0"/>
    <w:rsid w:val="0088448D"/>
  </w:style>
  <w:style w:type="paragraph" w:customStyle="1" w:styleId="p0">
    <w:name w:val="p0"/>
    <w:basedOn w:val="a"/>
    <w:rsid w:val="00727BED"/>
    <w:pPr>
      <w:spacing w:line="240" w:lineRule="atLeast"/>
    </w:pPr>
    <w:rPr>
      <w:rFonts w:ascii="Century" w:eastAsia="宋体" w:hAnsi="Century" w:cs="宋体"/>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09754">
      <w:bodyDiv w:val="1"/>
      <w:marLeft w:val="0"/>
      <w:marRight w:val="0"/>
      <w:marTop w:val="0"/>
      <w:marBottom w:val="0"/>
      <w:divBdr>
        <w:top w:val="none" w:sz="0" w:space="0" w:color="auto"/>
        <w:left w:val="none" w:sz="0" w:space="0" w:color="auto"/>
        <w:bottom w:val="none" w:sz="0" w:space="0" w:color="auto"/>
        <w:right w:val="none" w:sz="0" w:space="0" w:color="auto"/>
      </w:divBdr>
      <w:divsChild>
        <w:div w:id="909074175">
          <w:marLeft w:val="0"/>
          <w:marRight w:val="0"/>
          <w:marTop w:val="0"/>
          <w:marBottom w:val="0"/>
          <w:divBdr>
            <w:top w:val="none" w:sz="0" w:space="0" w:color="auto"/>
            <w:left w:val="none" w:sz="0" w:space="0" w:color="auto"/>
            <w:bottom w:val="none" w:sz="0" w:space="0" w:color="auto"/>
            <w:right w:val="none" w:sz="0" w:space="0" w:color="auto"/>
          </w:divBdr>
          <w:divsChild>
            <w:div w:id="919601810">
              <w:marLeft w:val="0"/>
              <w:marRight w:val="0"/>
              <w:marTop w:val="0"/>
              <w:marBottom w:val="0"/>
              <w:divBdr>
                <w:top w:val="none" w:sz="0" w:space="0" w:color="auto"/>
                <w:left w:val="none" w:sz="0" w:space="0" w:color="auto"/>
                <w:bottom w:val="none" w:sz="0" w:space="0" w:color="auto"/>
                <w:right w:val="none" w:sz="0" w:space="0" w:color="auto"/>
              </w:divBdr>
              <w:divsChild>
                <w:div w:id="1121194310">
                  <w:marLeft w:val="0"/>
                  <w:marRight w:val="0"/>
                  <w:marTop w:val="0"/>
                  <w:marBottom w:val="0"/>
                  <w:divBdr>
                    <w:top w:val="none" w:sz="0" w:space="0" w:color="auto"/>
                    <w:left w:val="none" w:sz="0" w:space="0" w:color="auto"/>
                    <w:bottom w:val="none" w:sz="0" w:space="0" w:color="auto"/>
                    <w:right w:val="none" w:sz="0" w:space="0" w:color="auto"/>
                  </w:divBdr>
                  <w:divsChild>
                    <w:div w:id="511798481">
                      <w:marLeft w:val="0"/>
                      <w:marRight w:val="0"/>
                      <w:marTop w:val="0"/>
                      <w:marBottom w:val="0"/>
                      <w:divBdr>
                        <w:top w:val="none" w:sz="0" w:space="0" w:color="auto"/>
                        <w:left w:val="none" w:sz="0" w:space="0" w:color="auto"/>
                        <w:bottom w:val="none" w:sz="0" w:space="0" w:color="auto"/>
                        <w:right w:val="none" w:sz="0" w:space="0" w:color="auto"/>
                      </w:divBdr>
                      <w:divsChild>
                        <w:div w:id="204172480">
                          <w:marLeft w:val="0"/>
                          <w:marRight w:val="0"/>
                          <w:marTop w:val="0"/>
                          <w:marBottom w:val="0"/>
                          <w:divBdr>
                            <w:top w:val="none" w:sz="0" w:space="0" w:color="auto"/>
                            <w:left w:val="none" w:sz="0" w:space="0" w:color="auto"/>
                            <w:bottom w:val="none" w:sz="0" w:space="0" w:color="auto"/>
                            <w:right w:val="none" w:sz="0" w:space="0" w:color="auto"/>
                          </w:divBdr>
                          <w:divsChild>
                            <w:div w:id="1375958675">
                              <w:marLeft w:val="0"/>
                              <w:marRight w:val="0"/>
                              <w:marTop w:val="0"/>
                              <w:marBottom w:val="0"/>
                              <w:divBdr>
                                <w:top w:val="none" w:sz="0" w:space="0" w:color="auto"/>
                                <w:left w:val="none" w:sz="0" w:space="0" w:color="auto"/>
                                <w:bottom w:val="none" w:sz="0" w:space="0" w:color="auto"/>
                                <w:right w:val="none" w:sz="0" w:space="0" w:color="auto"/>
                              </w:divBdr>
                              <w:divsChild>
                                <w:div w:id="47262688">
                                  <w:marLeft w:val="0"/>
                                  <w:marRight w:val="0"/>
                                  <w:marTop w:val="0"/>
                                  <w:marBottom w:val="0"/>
                                  <w:divBdr>
                                    <w:top w:val="none" w:sz="0" w:space="0" w:color="auto"/>
                                    <w:left w:val="none" w:sz="0" w:space="0" w:color="auto"/>
                                    <w:bottom w:val="none" w:sz="0" w:space="0" w:color="auto"/>
                                    <w:right w:val="none" w:sz="0" w:space="0" w:color="auto"/>
                                  </w:divBdr>
                                  <w:divsChild>
                                    <w:div w:id="363136848">
                                      <w:marLeft w:val="0"/>
                                      <w:marRight w:val="0"/>
                                      <w:marTop w:val="0"/>
                                      <w:marBottom w:val="0"/>
                                      <w:divBdr>
                                        <w:top w:val="none" w:sz="0" w:space="0" w:color="auto"/>
                                        <w:left w:val="none" w:sz="0" w:space="0" w:color="auto"/>
                                        <w:bottom w:val="none" w:sz="0" w:space="0" w:color="auto"/>
                                        <w:right w:val="none" w:sz="0" w:space="0" w:color="auto"/>
                                      </w:divBdr>
                                      <w:divsChild>
                                        <w:div w:id="651520388">
                                          <w:marLeft w:val="0"/>
                                          <w:marRight w:val="0"/>
                                          <w:marTop w:val="0"/>
                                          <w:marBottom w:val="0"/>
                                          <w:divBdr>
                                            <w:top w:val="none" w:sz="0" w:space="0" w:color="auto"/>
                                            <w:left w:val="none" w:sz="0" w:space="0" w:color="auto"/>
                                            <w:bottom w:val="none" w:sz="0" w:space="0" w:color="auto"/>
                                            <w:right w:val="none" w:sz="0" w:space="0" w:color="auto"/>
                                          </w:divBdr>
                                          <w:divsChild>
                                            <w:div w:id="886068287">
                                              <w:marLeft w:val="0"/>
                                              <w:marRight w:val="0"/>
                                              <w:marTop w:val="0"/>
                                              <w:marBottom w:val="0"/>
                                              <w:divBdr>
                                                <w:top w:val="none" w:sz="0" w:space="0" w:color="auto"/>
                                                <w:left w:val="none" w:sz="0" w:space="0" w:color="auto"/>
                                                <w:bottom w:val="none" w:sz="0" w:space="0" w:color="auto"/>
                                                <w:right w:val="none" w:sz="0" w:space="0" w:color="auto"/>
                                              </w:divBdr>
                                              <w:divsChild>
                                                <w:div w:id="574903623">
                                                  <w:marLeft w:val="0"/>
                                                  <w:marRight w:val="0"/>
                                                  <w:marTop w:val="0"/>
                                                  <w:marBottom w:val="0"/>
                                                  <w:divBdr>
                                                    <w:top w:val="none" w:sz="0" w:space="0" w:color="auto"/>
                                                    <w:left w:val="none" w:sz="0" w:space="0" w:color="auto"/>
                                                    <w:bottom w:val="none" w:sz="0" w:space="0" w:color="auto"/>
                                                    <w:right w:val="none" w:sz="0" w:space="0" w:color="auto"/>
                                                  </w:divBdr>
                                                  <w:divsChild>
                                                    <w:div w:id="1576820487">
                                                      <w:marLeft w:val="0"/>
                                                      <w:marRight w:val="0"/>
                                                      <w:marTop w:val="0"/>
                                                      <w:marBottom w:val="0"/>
                                                      <w:divBdr>
                                                        <w:top w:val="none" w:sz="0" w:space="0" w:color="auto"/>
                                                        <w:left w:val="none" w:sz="0" w:space="0" w:color="auto"/>
                                                        <w:bottom w:val="none" w:sz="0" w:space="0" w:color="auto"/>
                                                        <w:right w:val="none" w:sz="0" w:space="0" w:color="auto"/>
                                                      </w:divBdr>
                                                      <w:divsChild>
                                                        <w:div w:id="204737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5864546">
      <w:bodyDiv w:val="1"/>
      <w:marLeft w:val="0"/>
      <w:marRight w:val="0"/>
      <w:marTop w:val="0"/>
      <w:marBottom w:val="0"/>
      <w:divBdr>
        <w:top w:val="none" w:sz="0" w:space="0" w:color="auto"/>
        <w:left w:val="none" w:sz="0" w:space="0" w:color="auto"/>
        <w:bottom w:val="none" w:sz="0" w:space="0" w:color="auto"/>
        <w:right w:val="none" w:sz="0" w:space="0" w:color="auto"/>
      </w:divBdr>
      <w:divsChild>
        <w:div w:id="1070349243">
          <w:marLeft w:val="0"/>
          <w:marRight w:val="0"/>
          <w:marTop w:val="0"/>
          <w:marBottom w:val="0"/>
          <w:divBdr>
            <w:top w:val="none" w:sz="0" w:space="0" w:color="auto"/>
            <w:left w:val="none" w:sz="0" w:space="0" w:color="auto"/>
            <w:bottom w:val="none" w:sz="0" w:space="0" w:color="auto"/>
            <w:right w:val="none" w:sz="0" w:space="0" w:color="auto"/>
          </w:divBdr>
          <w:divsChild>
            <w:div w:id="90807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85834">
      <w:bodyDiv w:val="1"/>
      <w:marLeft w:val="0"/>
      <w:marRight w:val="0"/>
      <w:marTop w:val="0"/>
      <w:marBottom w:val="0"/>
      <w:divBdr>
        <w:top w:val="none" w:sz="0" w:space="0" w:color="auto"/>
        <w:left w:val="none" w:sz="0" w:space="0" w:color="auto"/>
        <w:bottom w:val="none" w:sz="0" w:space="0" w:color="auto"/>
        <w:right w:val="none" w:sz="0" w:space="0" w:color="auto"/>
      </w:divBdr>
      <w:divsChild>
        <w:div w:id="2106419331">
          <w:marLeft w:val="0"/>
          <w:marRight w:val="0"/>
          <w:marTop w:val="0"/>
          <w:marBottom w:val="0"/>
          <w:divBdr>
            <w:top w:val="none" w:sz="0" w:space="0" w:color="auto"/>
            <w:left w:val="none" w:sz="0" w:space="0" w:color="auto"/>
            <w:bottom w:val="none" w:sz="0" w:space="0" w:color="auto"/>
            <w:right w:val="none" w:sz="0" w:space="0" w:color="auto"/>
          </w:divBdr>
          <w:divsChild>
            <w:div w:id="1259019619">
              <w:marLeft w:val="0"/>
              <w:marRight w:val="0"/>
              <w:marTop w:val="0"/>
              <w:marBottom w:val="0"/>
              <w:divBdr>
                <w:top w:val="none" w:sz="0" w:space="0" w:color="auto"/>
                <w:left w:val="none" w:sz="0" w:space="0" w:color="auto"/>
                <w:bottom w:val="none" w:sz="0" w:space="0" w:color="auto"/>
                <w:right w:val="none" w:sz="0" w:space="0" w:color="auto"/>
              </w:divBdr>
              <w:divsChild>
                <w:div w:id="154346093">
                  <w:marLeft w:val="0"/>
                  <w:marRight w:val="0"/>
                  <w:marTop w:val="0"/>
                  <w:marBottom w:val="0"/>
                  <w:divBdr>
                    <w:top w:val="none" w:sz="0" w:space="0" w:color="auto"/>
                    <w:left w:val="none" w:sz="0" w:space="0" w:color="auto"/>
                    <w:bottom w:val="none" w:sz="0" w:space="0" w:color="auto"/>
                    <w:right w:val="none" w:sz="0" w:space="0" w:color="auto"/>
                  </w:divBdr>
                  <w:divsChild>
                    <w:div w:id="539896421">
                      <w:marLeft w:val="0"/>
                      <w:marRight w:val="0"/>
                      <w:marTop w:val="0"/>
                      <w:marBottom w:val="0"/>
                      <w:divBdr>
                        <w:top w:val="none" w:sz="0" w:space="0" w:color="auto"/>
                        <w:left w:val="none" w:sz="0" w:space="0" w:color="auto"/>
                        <w:bottom w:val="none" w:sz="0" w:space="0" w:color="auto"/>
                        <w:right w:val="none" w:sz="0" w:space="0" w:color="auto"/>
                      </w:divBdr>
                      <w:divsChild>
                        <w:div w:id="386152699">
                          <w:marLeft w:val="0"/>
                          <w:marRight w:val="0"/>
                          <w:marTop w:val="0"/>
                          <w:marBottom w:val="0"/>
                          <w:divBdr>
                            <w:top w:val="none" w:sz="0" w:space="0" w:color="auto"/>
                            <w:left w:val="none" w:sz="0" w:space="0" w:color="auto"/>
                            <w:bottom w:val="none" w:sz="0" w:space="0" w:color="auto"/>
                            <w:right w:val="none" w:sz="0" w:space="0" w:color="auto"/>
                          </w:divBdr>
                          <w:divsChild>
                            <w:div w:id="714813597">
                              <w:marLeft w:val="0"/>
                              <w:marRight w:val="0"/>
                              <w:marTop w:val="0"/>
                              <w:marBottom w:val="0"/>
                              <w:divBdr>
                                <w:top w:val="none" w:sz="0" w:space="0" w:color="auto"/>
                                <w:left w:val="none" w:sz="0" w:space="0" w:color="auto"/>
                                <w:bottom w:val="none" w:sz="0" w:space="0" w:color="auto"/>
                                <w:right w:val="none" w:sz="0" w:space="0" w:color="auto"/>
                              </w:divBdr>
                              <w:divsChild>
                                <w:div w:id="685131902">
                                  <w:marLeft w:val="0"/>
                                  <w:marRight w:val="0"/>
                                  <w:marTop w:val="0"/>
                                  <w:marBottom w:val="0"/>
                                  <w:divBdr>
                                    <w:top w:val="none" w:sz="0" w:space="0" w:color="auto"/>
                                    <w:left w:val="none" w:sz="0" w:space="0" w:color="auto"/>
                                    <w:bottom w:val="none" w:sz="0" w:space="0" w:color="auto"/>
                                    <w:right w:val="none" w:sz="0" w:space="0" w:color="auto"/>
                                  </w:divBdr>
                                  <w:divsChild>
                                    <w:div w:id="94843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9704823">
      <w:bodyDiv w:val="1"/>
      <w:marLeft w:val="0"/>
      <w:marRight w:val="0"/>
      <w:marTop w:val="0"/>
      <w:marBottom w:val="0"/>
      <w:divBdr>
        <w:top w:val="none" w:sz="0" w:space="0" w:color="auto"/>
        <w:left w:val="none" w:sz="0" w:space="0" w:color="auto"/>
        <w:bottom w:val="none" w:sz="0" w:space="0" w:color="auto"/>
        <w:right w:val="none" w:sz="0" w:space="0" w:color="auto"/>
      </w:divBdr>
    </w:div>
    <w:div w:id="594754686">
      <w:bodyDiv w:val="1"/>
      <w:marLeft w:val="0"/>
      <w:marRight w:val="0"/>
      <w:marTop w:val="0"/>
      <w:marBottom w:val="0"/>
      <w:divBdr>
        <w:top w:val="none" w:sz="0" w:space="0" w:color="auto"/>
        <w:left w:val="none" w:sz="0" w:space="0" w:color="auto"/>
        <w:bottom w:val="none" w:sz="0" w:space="0" w:color="auto"/>
        <w:right w:val="none" w:sz="0" w:space="0" w:color="auto"/>
      </w:divBdr>
      <w:divsChild>
        <w:div w:id="76177799">
          <w:marLeft w:val="0"/>
          <w:marRight w:val="0"/>
          <w:marTop w:val="0"/>
          <w:marBottom w:val="0"/>
          <w:divBdr>
            <w:top w:val="none" w:sz="0" w:space="0" w:color="auto"/>
            <w:left w:val="none" w:sz="0" w:space="0" w:color="auto"/>
            <w:bottom w:val="none" w:sz="0" w:space="0" w:color="auto"/>
            <w:right w:val="none" w:sz="0" w:space="0" w:color="auto"/>
          </w:divBdr>
          <w:divsChild>
            <w:div w:id="158683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20157">
      <w:bodyDiv w:val="1"/>
      <w:marLeft w:val="0"/>
      <w:marRight w:val="0"/>
      <w:marTop w:val="0"/>
      <w:marBottom w:val="0"/>
      <w:divBdr>
        <w:top w:val="none" w:sz="0" w:space="0" w:color="auto"/>
        <w:left w:val="none" w:sz="0" w:space="0" w:color="auto"/>
        <w:bottom w:val="none" w:sz="0" w:space="0" w:color="auto"/>
        <w:right w:val="none" w:sz="0" w:space="0" w:color="auto"/>
      </w:divBdr>
    </w:div>
    <w:div w:id="903948510">
      <w:bodyDiv w:val="1"/>
      <w:marLeft w:val="0"/>
      <w:marRight w:val="0"/>
      <w:marTop w:val="0"/>
      <w:marBottom w:val="0"/>
      <w:divBdr>
        <w:top w:val="none" w:sz="0" w:space="0" w:color="auto"/>
        <w:left w:val="none" w:sz="0" w:space="0" w:color="auto"/>
        <w:bottom w:val="none" w:sz="0" w:space="0" w:color="auto"/>
        <w:right w:val="none" w:sz="0" w:space="0" w:color="auto"/>
      </w:divBdr>
      <w:divsChild>
        <w:div w:id="411513210">
          <w:marLeft w:val="0"/>
          <w:marRight w:val="0"/>
          <w:marTop w:val="0"/>
          <w:marBottom w:val="0"/>
          <w:divBdr>
            <w:top w:val="none" w:sz="0" w:space="0" w:color="auto"/>
            <w:left w:val="none" w:sz="0" w:space="0" w:color="auto"/>
            <w:bottom w:val="none" w:sz="0" w:space="0" w:color="auto"/>
            <w:right w:val="none" w:sz="0" w:space="0" w:color="auto"/>
          </w:divBdr>
          <w:divsChild>
            <w:div w:id="1751075042">
              <w:marLeft w:val="0"/>
              <w:marRight w:val="0"/>
              <w:marTop w:val="0"/>
              <w:marBottom w:val="0"/>
              <w:divBdr>
                <w:top w:val="none" w:sz="0" w:space="0" w:color="auto"/>
                <w:left w:val="none" w:sz="0" w:space="0" w:color="auto"/>
                <w:bottom w:val="none" w:sz="0" w:space="0" w:color="auto"/>
                <w:right w:val="none" w:sz="0" w:space="0" w:color="auto"/>
              </w:divBdr>
              <w:divsChild>
                <w:div w:id="909775672">
                  <w:marLeft w:val="0"/>
                  <w:marRight w:val="0"/>
                  <w:marTop w:val="0"/>
                  <w:marBottom w:val="0"/>
                  <w:divBdr>
                    <w:top w:val="none" w:sz="0" w:space="0" w:color="auto"/>
                    <w:left w:val="none" w:sz="0" w:space="0" w:color="auto"/>
                    <w:bottom w:val="none" w:sz="0" w:space="0" w:color="auto"/>
                    <w:right w:val="none" w:sz="0" w:space="0" w:color="auto"/>
                  </w:divBdr>
                  <w:divsChild>
                    <w:div w:id="294338489">
                      <w:marLeft w:val="0"/>
                      <w:marRight w:val="0"/>
                      <w:marTop w:val="0"/>
                      <w:marBottom w:val="0"/>
                      <w:divBdr>
                        <w:top w:val="none" w:sz="0" w:space="0" w:color="auto"/>
                        <w:left w:val="none" w:sz="0" w:space="0" w:color="auto"/>
                        <w:bottom w:val="none" w:sz="0" w:space="0" w:color="auto"/>
                        <w:right w:val="none" w:sz="0" w:space="0" w:color="auto"/>
                      </w:divBdr>
                      <w:divsChild>
                        <w:div w:id="118108557">
                          <w:marLeft w:val="0"/>
                          <w:marRight w:val="0"/>
                          <w:marTop w:val="0"/>
                          <w:marBottom w:val="0"/>
                          <w:divBdr>
                            <w:top w:val="none" w:sz="0" w:space="0" w:color="auto"/>
                            <w:left w:val="none" w:sz="0" w:space="0" w:color="auto"/>
                            <w:bottom w:val="none" w:sz="0" w:space="0" w:color="auto"/>
                            <w:right w:val="none" w:sz="0" w:space="0" w:color="auto"/>
                          </w:divBdr>
                          <w:divsChild>
                            <w:div w:id="1167479137">
                              <w:marLeft w:val="0"/>
                              <w:marRight w:val="0"/>
                              <w:marTop w:val="0"/>
                              <w:marBottom w:val="0"/>
                              <w:divBdr>
                                <w:top w:val="none" w:sz="0" w:space="0" w:color="auto"/>
                                <w:left w:val="none" w:sz="0" w:space="0" w:color="auto"/>
                                <w:bottom w:val="none" w:sz="0" w:space="0" w:color="auto"/>
                                <w:right w:val="none" w:sz="0" w:space="0" w:color="auto"/>
                              </w:divBdr>
                              <w:divsChild>
                                <w:div w:id="948122449">
                                  <w:marLeft w:val="0"/>
                                  <w:marRight w:val="0"/>
                                  <w:marTop w:val="0"/>
                                  <w:marBottom w:val="0"/>
                                  <w:divBdr>
                                    <w:top w:val="none" w:sz="0" w:space="0" w:color="auto"/>
                                    <w:left w:val="none" w:sz="0" w:space="0" w:color="auto"/>
                                    <w:bottom w:val="none" w:sz="0" w:space="0" w:color="auto"/>
                                    <w:right w:val="none" w:sz="0" w:space="0" w:color="auto"/>
                                  </w:divBdr>
                                  <w:divsChild>
                                    <w:div w:id="175774446">
                                      <w:marLeft w:val="0"/>
                                      <w:marRight w:val="0"/>
                                      <w:marTop w:val="0"/>
                                      <w:marBottom w:val="0"/>
                                      <w:divBdr>
                                        <w:top w:val="none" w:sz="0" w:space="0" w:color="auto"/>
                                        <w:left w:val="none" w:sz="0" w:space="0" w:color="auto"/>
                                        <w:bottom w:val="none" w:sz="0" w:space="0" w:color="auto"/>
                                        <w:right w:val="none" w:sz="0" w:space="0" w:color="auto"/>
                                      </w:divBdr>
                                      <w:divsChild>
                                        <w:div w:id="961301646">
                                          <w:marLeft w:val="0"/>
                                          <w:marRight w:val="0"/>
                                          <w:marTop w:val="0"/>
                                          <w:marBottom w:val="0"/>
                                          <w:divBdr>
                                            <w:top w:val="none" w:sz="0" w:space="0" w:color="auto"/>
                                            <w:left w:val="none" w:sz="0" w:space="0" w:color="auto"/>
                                            <w:bottom w:val="none" w:sz="0" w:space="0" w:color="auto"/>
                                            <w:right w:val="none" w:sz="0" w:space="0" w:color="auto"/>
                                          </w:divBdr>
                                          <w:divsChild>
                                            <w:div w:id="99025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1298129">
      <w:bodyDiv w:val="1"/>
      <w:marLeft w:val="0"/>
      <w:marRight w:val="0"/>
      <w:marTop w:val="0"/>
      <w:marBottom w:val="0"/>
      <w:divBdr>
        <w:top w:val="none" w:sz="0" w:space="0" w:color="auto"/>
        <w:left w:val="none" w:sz="0" w:space="0" w:color="auto"/>
        <w:bottom w:val="none" w:sz="0" w:space="0" w:color="auto"/>
        <w:right w:val="none" w:sz="0" w:space="0" w:color="auto"/>
      </w:divBdr>
    </w:div>
    <w:div w:id="1103695938">
      <w:bodyDiv w:val="1"/>
      <w:marLeft w:val="0"/>
      <w:marRight w:val="0"/>
      <w:marTop w:val="0"/>
      <w:marBottom w:val="0"/>
      <w:divBdr>
        <w:top w:val="none" w:sz="0" w:space="0" w:color="auto"/>
        <w:left w:val="none" w:sz="0" w:space="0" w:color="auto"/>
        <w:bottom w:val="none" w:sz="0" w:space="0" w:color="auto"/>
        <w:right w:val="none" w:sz="0" w:space="0" w:color="auto"/>
      </w:divBdr>
      <w:divsChild>
        <w:div w:id="27226231">
          <w:marLeft w:val="0"/>
          <w:marRight w:val="0"/>
          <w:marTop w:val="72"/>
          <w:marBottom w:val="0"/>
          <w:divBdr>
            <w:top w:val="none" w:sz="0" w:space="0" w:color="auto"/>
            <w:left w:val="none" w:sz="0" w:space="0" w:color="auto"/>
            <w:bottom w:val="none" w:sz="0" w:space="0" w:color="auto"/>
            <w:right w:val="none" w:sz="0" w:space="0" w:color="auto"/>
          </w:divBdr>
          <w:divsChild>
            <w:div w:id="855313679">
              <w:marLeft w:val="0"/>
              <w:marRight w:val="0"/>
              <w:marTop w:val="0"/>
              <w:marBottom w:val="0"/>
              <w:divBdr>
                <w:top w:val="none" w:sz="0" w:space="0" w:color="auto"/>
                <w:left w:val="none" w:sz="0" w:space="0" w:color="auto"/>
                <w:bottom w:val="none" w:sz="0" w:space="0" w:color="auto"/>
                <w:right w:val="none" w:sz="0" w:space="0" w:color="auto"/>
              </w:divBdr>
            </w:div>
          </w:divsChild>
        </w:div>
        <w:div w:id="556235587">
          <w:marLeft w:val="0"/>
          <w:marRight w:val="0"/>
          <w:marTop w:val="72"/>
          <w:marBottom w:val="0"/>
          <w:divBdr>
            <w:top w:val="none" w:sz="0" w:space="0" w:color="auto"/>
            <w:left w:val="none" w:sz="0" w:space="0" w:color="auto"/>
            <w:bottom w:val="none" w:sz="0" w:space="0" w:color="auto"/>
            <w:right w:val="none" w:sz="0" w:space="0" w:color="auto"/>
          </w:divBdr>
          <w:divsChild>
            <w:div w:id="924072368">
              <w:marLeft w:val="0"/>
              <w:marRight w:val="0"/>
              <w:marTop w:val="0"/>
              <w:marBottom w:val="0"/>
              <w:divBdr>
                <w:top w:val="none" w:sz="0" w:space="0" w:color="auto"/>
                <w:left w:val="none" w:sz="0" w:space="0" w:color="auto"/>
                <w:bottom w:val="none" w:sz="0" w:space="0" w:color="auto"/>
                <w:right w:val="none" w:sz="0" w:space="0" w:color="auto"/>
              </w:divBdr>
            </w:div>
          </w:divsChild>
        </w:div>
        <w:div w:id="1365248793">
          <w:marLeft w:val="0"/>
          <w:marRight w:val="0"/>
          <w:marTop w:val="72"/>
          <w:marBottom w:val="0"/>
          <w:divBdr>
            <w:top w:val="none" w:sz="0" w:space="0" w:color="auto"/>
            <w:left w:val="none" w:sz="0" w:space="0" w:color="auto"/>
            <w:bottom w:val="none" w:sz="0" w:space="0" w:color="auto"/>
            <w:right w:val="none" w:sz="0" w:space="0" w:color="auto"/>
          </w:divBdr>
          <w:divsChild>
            <w:div w:id="1944262823">
              <w:marLeft w:val="0"/>
              <w:marRight w:val="0"/>
              <w:marTop w:val="0"/>
              <w:marBottom w:val="0"/>
              <w:divBdr>
                <w:top w:val="none" w:sz="0" w:space="0" w:color="auto"/>
                <w:left w:val="none" w:sz="0" w:space="0" w:color="auto"/>
                <w:bottom w:val="none" w:sz="0" w:space="0" w:color="auto"/>
                <w:right w:val="none" w:sz="0" w:space="0" w:color="auto"/>
              </w:divBdr>
            </w:div>
          </w:divsChild>
        </w:div>
        <w:div w:id="1463116915">
          <w:marLeft w:val="0"/>
          <w:marRight w:val="0"/>
          <w:marTop w:val="72"/>
          <w:marBottom w:val="0"/>
          <w:divBdr>
            <w:top w:val="none" w:sz="0" w:space="0" w:color="auto"/>
            <w:left w:val="none" w:sz="0" w:space="0" w:color="auto"/>
            <w:bottom w:val="none" w:sz="0" w:space="0" w:color="auto"/>
            <w:right w:val="none" w:sz="0" w:space="0" w:color="auto"/>
          </w:divBdr>
          <w:divsChild>
            <w:div w:id="143755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46124">
      <w:bodyDiv w:val="1"/>
      <w:marLeft w:val="0"/>
      <w:marRight w:val="0"/>
      <w:marTop w:val="0"/>
      <w:marBottom w:val="0"/>
      <w:divBdr>
        <w:top w:val="none" w:sz="0" w:space="0" w:color="auto"/>
        <w:left w:val="none" w:sz="0" w:space="0" w:color="auto"/>
        <w:bottom w:val="none" w:sz="0" w:space="0" w:color="auto"/>
        <w:right w:val="none" w:sz="0" w:space="0" w:color="auto"/>
      </w:divBdr>
      <w:divsChild>
        <w:div w:id="600145754">
          <w:marLeft w:val="0"/>
          <w:marRight w:val="0"/>
          <w:marTop w:val="0"/>
          <w:marBottom w:val="0"/>
          <w:divBdr>
            <w:top w:val="none" w:sz="0" w:space="0" w:color="auto"/>
            <w:left w:val="none" w:sz="0" w:space="0" w:color="auto"/>
            <w:bottom w:val="none" w:sz="0" w:space="0" w:color="auto"/>
            <w:right w:val="none" w:sz="0" w:space="0" w:color="auto"/>
          </w:divBdr>
          <w:divsChild>
            <w:div w:id="607008893">
              <w:marLeft w:val="0"/>
              <w:marRight w:val="0"/>
              <w:marTop w:val="0"/>
              <w:marBottom w:val="0"/>
              <w:divBdr>
                <w:top w:val="none" w:sz="0" w:space="0" w:color="auto"/>
                <w:left w:val="none" w:sz="0" w:space="0" w:color="auto"/>
                <w:bottom w:val="none" w:sz="0" w:space="0" w:color="auto"/>
                <w:right w:val="none" w:sz="0" w:space="0" w:color="auto"/>
              </w:divBdr>
              <w:divsChild>
                <w:div w:id="277182820">
                  <w:marLeft w:val="0"/>
                  <w:marRight w:val="0"/>
                  <w:marTop w:val="0"/>
                  <w:marBottom w:val="0"/>
                  <w:divBdr>
                    <w:top w:val="none" w:sz="0" w:space="0" w:color="auto"/>
                    <w:left w:val="none" w:sz="0" w:space="0" w:color="auto"/>
                    <w:bottom w:val="none" w:sz="0" w:space="0" w:color="auto"/>
                    <w:right w:val="none" w:sz="0" w:space="0" w:color="auto"/>
                  </w:divBdr>
                  <w:divsChild>
                    <w:div w:id="1841844594">
                      <w:marLeft w:val="0"/>
                      <w:marRight w:val="0"/>
                      <w:marTop w:val="0"/>
                      <w:marBottom w:val="0"/>
                      <w:divBdr>
                        <w:top w:val="none" w:sz="0" w:space="0" w:color="auto"/>
                        <w:left w:val="none" w:sz="0" w:space="0" w:color="auto"/>
                        <w:bottom w:val="none" w:sz="0" w:space="0" w:color="auto"/>
                        <w:right w:val="none" w:sz="0" w:space="0" w:color="auto"/>
                      </w:divBdr>
                      <w:divsChild>
                        <w:div w:id="1183207499">
                          <w:marLeft w:val="0"/>
                          <w:marRight w:val="0"/>
                          <w:marTop w:val="0"/>
                          <w:marBottom w:val="420"/>
                          <w:divBdr>
                            <w:top w:val="none" w:sz="0" w:space="0" w:color="auto"/>
                            <w:left w:val="none" w:sz="0" w:space="0" w:color="auto"/>
                            <w:bottom w:val="none" w:sz="0" w:space="0" w:color="auto"/>
                            <w:right w:val="none" w:sz="0" w:space="0" w:color="auto"/>
                          </w:divBdr>
                          <w:divsChild>
                            <w:div w:id="1850632234">
                              <w:marLeft w:val="0"/>
                              <w:marRight w:val="0"/>
                              <w:marTop w:val="0"/>
                              <w:marBottom w:val="0"/>
                              <w:divBdr>
                                <w:top w:val="none" w:sz="0" w:space="0" w:color="auto"/>
                                <w:left w:val="none" w:sz="0" w:space="0" w:color="auto"/>
                                <w:bottom w:val="none" w:sz="0" w:space="0" w:color="auto"/>
                                <w:right w:val="none" w:sz="0" w:space="0" w:color="auto"/>
                              </w:divBdr>
                              <w:divsChild>
                                <w:div w:id="1484660617">
                                  <w:marLeft w:val="0"/>
                                  <w:marRight w:val="0"/>
                                  <w:marTop w:val="0"/>
                                  <w:marBottom w:val="0"/>
                                  <w:divBdr>
                                    <w:top w:val="none" w:sz="0" w:space="0" w:color="auto"/>
                                    <w:left w:val="none" w:sz="0" w:space="0" w:color="auto"/>
                                    <w:bottom w:val="none" w:sz="0" w:space="0" w:color="auto"/>
                                    <w:right w:val="none" w:sz="0" w:space="0" w:color="auto"/>
                                  </w:divBdr>
                                  <w:divsChild>
                                    <w:div w:id="16391059">
                                      <w:marLeft w:val="0"/>
                                      <w:marRight w:val="0"/>
                                      <w:marTop w:val="0"/>
                                      <w:marBottom w:val="0"/>
                                      <w:divBdr>
                                        <w:top w:val="none" w:sz="0" w:space="0" w:color="auto"/>
                                        <w:left w:val="none" w:sz="0" w:space="0" w:color="auto"/>
                                        <w:bottom w:val="none" w:sz="0" w:space="0" w:color="auto"/>
                                        <w:right w:val="none" w:sz="0" w:space="0" w:color="auto"/>
                                      </w:divBdr>
                                      <w:divsChild>
                                        <w:div w:id="791704130">
                                          <w:marLeft w:val="0"/>
                                          <w:marRight w:val="0"/>
                                          <w:marTop w:val="0"/>
                                          <w:marBottom w:val="0"/>
                                          <w:divBdr>
                                            <w:top w:val="none" w:sz="0" w:space="0" w:color="auto"/>
                                            <w:left w:val="none" w:sz="0" w:space="0" w:color="auto"/>
                                            <w:bottom w:val="none" w:sz="0" w:space="0" w:color="auto"/>
                                            <w:right w:val="none" w:sz="0" w:space="0" w:color="auto"/>
                                          </w:divBdr>
                                          <w:divsChild>
                                            <w:div w:id="382561805">
                                              <w:marLeft w:val="0"/>
                                              <w:marRight w:val="0"/>
                                              <w:marTop w:val="0"/>
                                              <w:marBottom w:val="0"/>
                                              <w:divBdr>
                                                <w:top w:val="none" w:sz="0" w:space="0" w:color="auto"/>
                                                <w:left w:val="none" w:sz="0" w:space="0" w:color="auto"/>
                                                <w:bottom w:val="none" w:sz="0" w:space="0" w:color="auto"/>
                                                <w:right w:val="none" w:sz="0" w:space="0" w:color="auto"/>
                                              </w:divBdr>
                                            </w:div>
                                            <w:div w:id="91135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0247884">
      <w:bodyDiv w:val="1"/>
      <w:marLeft w:val="0"/>
      <w:marRight w:val="0"/>
      <w:marTop w:val="0"/>
      <w:marBottom w:val="0"/>
      <w:divBdr>
        <w:top w:val="none" w:sz="0" w:space="0" w:color="auto"/>
        <w:left w:val="none" w:sz="0" w:space="0" w:color="auto"/>
        <w:bottom w:val="none" w:sz="0" w:space="0" w:color="auto"/>
        <w:right w:val="none" w:sz="0" w:space="0" w:color="auto"/>
      </w:divBdr>
      <w:divsChild>
        <w:div w:id="804741242">
          <w:marLeft w:val="0"/>
          <w:marRight w:val="0"/>
          <w:marTop w:val="0"/>
          <w:marBottom w:val="0"/>
          <w:divBdr>
            <w:top w:val="none" w:sz="0" w:space="0" w:color="auto"/>
            <w:left w:val="none" w:sz="0" w:space="0" w:color="auto"/>
            <w:bottom w:val="none" w:sz="0" w:space="0" w:color="auto"/>
            <w:right w:val="none" w:sz="0" w:space="0" w:color="auto"/>
          </w:divBdr>
          <w:divsChild>
            <w:div w:id="1328509848">
              <w:marLeft w:val="0"/>
              <w:marRight w:val="0"/>
              <w:marTop w:val="0"/>
              <w:marBottom w:val="0"/>
              <w:divBdr>
                <w:top w:val="none" w:sz="0" w:space="0" w:color="auto"/>
                <w:left w:val="none" w:sz="0" w:space="0" w:color="auto"/>
                <w:bottom w:val="none" w:sz="0" w:space="0" w:color="auto"/>
                <w:right w:val="none" w:sz="0" w:space="0" w:color="auto"/>
              </w:divBdr>
              <w:divsChild>
                <w:div w:id="913664593">
                  <w:marLeft w:val="0"/>
                  <w:marRight w:val="0"/>
                  <w:marTop w:val="0"/>
                  <w:marBottom w:val="0"/>
                  <w:divBdr>
                    <w:top w:val="none" w:sz="0" w:space="0" w:color="auto"/>
                    <w:left w:val="none" w:sz="0" w:space="0" w:color="auto"/>
                    <w:bottom w:val="none" w:sz="0" w:space="0" w:color="auto"/>
                    <w:right w:val="none" w:sz="0" w:space="0" w:color="auto"/>
                  </w:divBdr>
                  <w:divsChild>
                    <w:div w:id="1667322974">
                      <w:marLeft w:val="0"/>
                      <w:marRight w:val="0"/>
                      <w:marTop w:val="0"/>
                      <w:marBottom w:val="0"/>
                      <w:divBdr>
                        <w:top w:val="none" w:sz="0" w:space="0" w:color="auto"/>
                        <w:left w:val="none" w:sz="0" w:space="0" w:color="auto"/>
                        <w:bottom w:val="none" w:sz="0" w:space="0" w:color="auto"/>
                        <w:right w:val="none" w:sz="0" w:space="0" w:color="auto"/>
                      </w:divBdr>
                      <w:divsChild>
                        <w:div w:id="121702907">
                          <w:marLeft w:val="0"/>
                          <w:marRight w:val="0"/>
                          <w:marTop w:val="0"/>
                          <w:marBottom w:val="0"/>
                          <w:divBdr>
                            <w:top w:val="none" w:sz="0" w:space="0" w:color="auto"/>
                            <w:left w:val="none" w:sz="0" w:space="0" w:color="auto"/>
                            <w:bottom w:val="none" w:sz="0" w:space="0" w:color="auto"/>
                            <w:right w:val="none" w:sz="0" w:space="0" w:color="auto"/>
                          </w:divBdr>
                          <w:divsChild>
                            <w:div w:id="1468818426">
                              <w:marLeft w:val="0"/>
                              <w:marRight w:val="0"/>
                              <w:marTop w:val="0"/>
                              <w:marBottom w:val="0"/>
                              <w:divBdr>
                                <w:top w:val="none" w:sz="0" w:space="0" w:color="auto"/>
                                <w:left w:val="none" w:sz="0" w:space="0" w:color="auto"/>
                                <w:bottom w:val="none" w:sz="0" w:space="0" w:color="auto"/>
                                <w:right w:val="none" w:sz="0" w:space="0" w:color="auto"/>
                              </w:divBdr>
                              <w:divsChild>
                                <w:div w:id="1773285405">
                                  <w:marLeft w:val="0"/>
                                  <w:marRight w:val="0"/>
                                  <w:marTop w:val="0"/>
                                  <w:marBottom w:val="0"/>
                                  <w:divBdr>
                                    <w:top w:val="none" w:sz="0" w:space="0" w:color="auto"/>
                                    <w:left w:val="none" w:sz="0" w:space="0" w:color="auto"/>
                                    <w:bottom w:val="none" w:sz="0" w:space="0" w:color="auto"/>
                                    <w:right w:val="none" w:sz="0" w:space="0" w:color="auto"/>
                                  </w:divBdr>
                                  <w:divsChild>
                                    <w:div w:id="735056743">
                                      <w:marLeft w:val="0"/>
                                      <w:marRight w:val="0"/>
                                      <w:marTop w:val="0"/>
                                      <w:marBottom w:val="0"/>
                                      <w:divBdr>
                                        <w:top w:val="none" w:sz="0" w:space="0" w:color="auto"/>
                                        <w:left w:val="none" w:sz="0" w:space="0" w:color="auto"/>
                                        <w:bottom w:val="none" w:sz="0" w:space="0" w:color="auto"/>
                                        <w:right w:val="none" w:sz="0" w:space="0" w:color="auto"/>
                                      </w:divBdr>
                                      <w:divsChild>
                                        <w:div w:id="51511337">
                                          <w:marLeft w:val="0"/>
                                          <w:marRight w:val="0"/>
                                          <w:marTop w:val="0"/>
                                          <w:marBottom w:val="0"/>
                                          <w:divBdr>
                                            <w:top w:val="none" w:sz="0" w:space="0" w:color="auto"/>
                                            <w:left w:val="none" w:sz="0" w:space="0" w:color="auto"/>
                                            <w:bottom w:val="none" w:sz="0" w:space="0" w:color="auto"/>
                                            <w:right w:val="none" w:sz="0" w:space="0" w:color="auto"/>
                                          </w:divBdr>
                                          <w:divsChild>
                                            <w:div w:id="1402562500">
                                              <w:marLeft w:val="0"/>
                                              <w:marRight w:val="0"/>
                                              <w:marTop w:val="0"/>
                                              <w:marBottom w:val="0"/>
                                              <w:divBdr>
                                                <w:top w:val="none" w:sz="0" w:space="0" w:color="auto"/>
                                                <w:left w:val="none" w:sz="0" w:space="0" w:color="auto"/>
                                                <w:bottom w:val="none" w:sz="0" w:space="0" w:color="auto"/>
                                                <w:right w:val="none" w:sz="0" w:space="0" w:color="auto"/>
                                              </w:divBdr>
                                              <w:divsChild>
                                                <w:div w:id="1273391987">
                                                  <w:marLeft w:val="0"/>
                                                  <w:marRight w:val="0"/>
                                                  <w:marTop w:val="0"/>
                                                  <w:marBottom w:val="0"/>
                                                  <w:divBdr>
                                                    <w:top w:val="none" w:sz="0" w:space="0" w:color="auto"/>
                                                    <w:left w:val="none" w:sz="0" w:space="0" w:color="auto"/>
                                                    <w:bottom w:val="none" w:sz="0" w:space="0" w:color="auto"/>
                                                    <w:right w:val="none" w:sz="0" w:space="0" w:color="auto"/>
                                                  </w:divBdr>
                                                  <w:divsChild>
                                                    <w:div w:id="1040125454">
                                                      <w:marLeft w:val="0"/>
                                                      <w:marRight w:val="0"/>
                                                      <w:marTop w:val="0"/>
                                                      <w:marBottom w:val="0"/>
                                                      <w:divBdr>
                                                        <w:top w:val="none" w:sz="0" w:space="0" w:color="auto"/>
                                                        <w:left w:val="none" w:sz="0" w:space="0" w:color="auto"/>
                                                        <w:bottom w:val="none" w:sz="0" w:space="0" w:color="auto"/>
                                                        <w:right w:val="none" w:sz="0" w:space="0" w:color="auto"/>
                                                      </w:divBdr>
                                                      <w:divsChild>
                                                        <w:div w:id="1964966887">
                                                          <w:marLeft w:val="0"/>
                                                          <w:marRight w:val="0"/>
                                                          <w:marTop w:val="0"/>
                                                          <w:marBottom w:val="300"/>
                                                          <w:divBdr>
                                                            <w:top w:val="none" w:sz="0" w:space="0" w:color="auto"/>
                                                            <w:left w:val="none" w:sz="0" w:space="0" w:color="auto"/>
                                                            <w:bottom w:val="none" w:sz="0" w:space="0" w:color="auto"/>
                                                            <w:right w:val="none" w:sz="0" w:space="0" w:color="auto"/>
                                                          </w:divBdr>
                                                          <w:divsChild>
                                                            <w:div w:id="1378511292">
                                                              <w:marLeft w:val="0"/>
                                                              <w:marRight w:val="0"/>
                                                              <w:marTop w:val="0"/>
                                                              <w:marBottom w:val="0"/>
                                                              <w:divBdr>
                                                                <w:top w:val="none" w:sz="0" w:space="0" w:color="auto"/>
                                                                <w:left w:val="none" w:sz="0" w:space="0" w:color="auto"/>
                                                                <w:bottom w:val="none" w:sz="0" w:space="0" w:color="auto"/>
                                                                <w:right w:val="none" w:sz="0" w:space="0" w:color="auto"/>
                                                              </w:divBdr>
                                                              <w:divsChild>
                                                                <w:div w:id="628243926">
                                                                  <w:marLeft w:val="0"/>
                                                                  <w:marRight w:val="0"/>
                                                                  <w:marTop w:val="0"/>
                                                                  <w:marBottom w:val="0"/>
                                                                  <w:divBdr>
                                                                    <w:top w:val="none" w:sz="0" w:space="0" w:color="auto"/>
                                                                    <w:left w:val="none" w:sz="0" w:space="0" w:color="auto"/>
                                                                    <w:bottom w:val="none" w:sz="0" w:space="0" w:color="auto"/>
                                                                    <w:right w:val="none" w:sz="0" w:space="0" w:color="auto"/>
                                                                  </w:divBdr>
                                                                  <w:divsChild>
                                                                    <w:div w:id="1500581459">
                                                                      <w:marLeft w:val="0"/>
                                                                      <w:marRight w:val="0"/>
                                                                      <w:marTop w:val="0"/>
                                                                      <w:marBottom w:val="0"/>
                                                                      <w:divBdr>
                                                                        <w:top w:val="none" w:sz="0" w:space="0" w:color="auto"/>
                                                                        <w:left w:val="none" w:sz="0" w:space="0" w:color="auto"/>
                                                                        <w:bottom w:val="none" w:sz="0" w:space="0" w:color="auto"/>
                                                                        <w:right w:val="none" w:sz="0" w:space="0" w:color="auto"/>
                                                                      </w:divBdr>
                                                                      <w:divsChild>
                                                                        <w:div w:id="1237667130">
                                                                          <w:marLeft w:val="0"/>
                                                                          <w:marRight w:val="0"/>
                                                                          <w:marTop w:val="0"/>
                                                                          <w:marBottom w:val="0"/>
                                                                          <w:divBdr>
                                                                            <w:top w:val="none" w:sz="0" w:space="0" w:color="auto"/>
                                                                            <w:left w:val="none" w:sz="0" w:space="0" w:color="auto"/>
                                                                            <w:bottom w:val="none" w:sz="0" w:space="0" w:color="auto"/>
                                                                            <w:right w:val="none" w:sz="0" w:space="0" w:color="auto"/>
                                                                          </w:divBdr>
                                                                          <w:divsChild>
                                                                            <w:div w:id="1461066869">
                                                                              <w:marLeft w:val="0"/>
                                                                              <w:marRight w:val="0"/>
                                                                              <w:marTop w:val="0"/>
                                                                              <w:marBottom w:val="0"/>
                                                                              <w:divBdr>
                                                                                <w:top w:val="none" w:sz="0" w:space="0" w:color="auto"/>
                                                                                <w:left w:val="none" w:sz="0" w:space="0" w:color="auto"/>
                                                                                <w:bottom w:val="none" w:sz="0" w:space="0" w:color="auto"/>
                                                                                <w:right w:val="none" w:sz="0" w:space="0" w:color="auto"/>
                                                                              </w:divBdr>
                                                                              <w:divsChild>
                                                                                <w:div w:id="225379013">
                                                                                  <w:marLeft w:val="0"/>
                                                                                  <w:marRight w:val="0"/>
                                                                                  <w:marTop w:val="0"/>
                                                                                  <w:marBottom w:val="300"/>
                                                                                  <w:divBdr>
                                                                                    <w:top w:val="none" w:sz="0" w:space="0" w:color="auto"/>
                                                                                    <w:left w:val="none" w:sz="0" w:space="0" w:color="auto"/>
                                                                                    <w:bottom w:val="none" w:sz="0" w:space="0" w:color="auto"/>
                                                                                    <w:right w:val="none" w:sz="0" w:space="0" w:color="auto"/>
                                                                                  </w:divBdr>
                                                                                  <w:divsChild>
                                                                                    <w:div w:id="335378134">
                                                                                      <w:marLeft w:val="0"/>
                                                                                      <w:marRight w:val="0"/>
                                                                                      <w:marTop w:val="0"/>
                                                                                      <w:marBottom w:val="0"/>
                                                                                      <w:divBdr>
                                                                                        <w:top w:val="none" w:sz="0" w:space="0" w:color="auto"/>
                                                                                        <w:left w:val="none" w:sz="0" w:space="0" w:color="auto"/>
                                                                                        <w:bottom w:val="none" w:sz="0" w:space="0" w:color="auto"/>
                                                                                        <w:right w:val="none" w:sz="0" w:space="0" w:color="auto"/>
                                                                                      </w:divBdr>
                                                                                      <w:divsChild>
                                                                                        <w:div w:id="323776547">
                                                                                          <w:marLeft w:val="0"/>
                                                                                          <w:marRight w:val="0"/>
                                                                                          <w:marTop w:val="0"/>
                                                                                          <w:marBottom w:val="0"/>
                                                                                          <w:divBdr>
                                                                                            <w:top w:val="none" w:sz="0" w:space="0" w:color="auto"/>
                                                                                            <w:left w:val="none" w:sz="0" w:space="0" w:color="auto"/>
                                                                                            <w:bottom w:val="none" w:sz="0" w:space="0" w:color="auto"/>
                                                                                            <w:right w:val="none" w:sz="0" w:space="0" w:color="auto"/>
                                                                                          </w:divBdr>
                                                                                          <w:divsChild>
                                                                                            <w:div w:id="1226646481">
                                                                                              <w:marLeft w:val="0"/>
                                                                                              <w:marRight w:val="0"/>
                                                                                              <w:marTop w:val="0"/>
                                                                                              <w:marBottom w:val="0"/>
                                                                                              <w:divBdr>
                                                                                                <w:top w:val="none" w:sz="0" w:space="0" w:color="auto"/>
                                                                                                <w:left w:val="none" w:sz="0" w:space="0" w:color="auto"/>
                                                                                                <w:bottom w:val="none" w:sz="0" w:space="0" w:color="auto"/>
                                                                                                <w:right w:val="none" w:sz="0" w:space="0" w:color="auto"/>
                                                                                              </w:divBdr>
                                                                                              <w:divsChild>
                                                                                                <w:div w:id="944994604">
                                                                                                  <w:marLeft w:val="0"/>
                                                                                                  <w:marRight w:val="0"/>
                                                                                                  <w:marTop w:val="0"/>
                                                                                                  <w:marBottom w:val="0"/>
                                                                                                  <w:divBdr>
                                                                                                    <w:top w:val="none" w:sz="0" w:space="0" w:color="auto"/>
                                                                                                    <w:left w:val="none" w:sz="0" w:space="0" w:color="auto"/>
                                                                                                    <w:bottom w:val="none" w:sz="0" w:space="0" w:color="auto"/>
                                                                                                    <w:right w:val="none" w:sz="0" w:space="0" w:color="auto"/>
                                                                                                  </w:divBdr>
                                                                                                  <w:divsChild>
                                                                                                    <w:div w:id="988048410">
                                                                                                      <w:marLeft w:val="0"/>
                                                                                                      <w:marRight w:val="0"/>
                                                                                                      <w:marTop w:val="0"/>
                                                                                                      <w:marBottom w:val="0"/>
                                                                                                      <w:divBdr>
                                                                                                        <w:top w:val="none" w:sz="0" w:space="0" w:color="auto"/>
                                                                                                        <w:left w:val="none" w:sz="0" w:space="0" w:color="auto"/>
                                                                                                        <w:bottom w:val="none" w:sz="0" w:space="0" w:color="auto"/>
                                                                                                        <w:right w:val="none" w:sz="0" w:space="0" w:color="auto"/>
                                                                                                      </w:divBdr>
                                                                                                      <w:divsChild>
                                                                                                        <w:div w:id="905334744">
                                                                                                          <w:marLeft w:val="0"/>
                                                                                                          <w:marRight w:val="0"/>
                                                                                                          <w:marTop w:val="0"/>
                                                                                                          <w:marBottom w:val="0"/>
                                                                                                          <w:divBdr>
                                                                                                            <w:top w:val="none" w:sz="0" w:space="0" w:color="auto"/>
                                                                                                            <w:left w:val="none" w:sz="0" w:space="0" w:color="auto"/>
                                                                                                            <w:bottom w:val="none" w:sz="0" w:space="0" w:color="auto"/>
                                                                                                            <w:right w:val="none" w:sz="0" w:space="0" w:color="auto"/>
                                                                                                          </w:divBdr>
                                                                                                        </w:div>
                                                                                                        <w:div w:id="2014868162">
                                                                                                          <w:marLeft w:val="0"/>
                                                                                                          <w:marRight w:val="0"/>
                                                                                                          <w:marTop w:val="0"/>
                                                                                                          <w:marBottom w:val="0"/>
                                                                                                          <w:divBdr>
                                                                                                            <w:top w:val="none" w:sz="0" w:space="0" w:color="auto"/>
                                                                                                            <w:left w:val="none" w:sz="0" w:space="0" w:color="auto"/>
                                                                                                            <w:bottom w:val="none" w:sz="0" w:space="0" w:color="auto"/>
                                                                                                            <w:right w:val="none" w:sz="0" w:space="0" w:color="auto"/>
                                                                                                          </w:divBdr>
                                                                                                          <w:divsChild>
                                                                                                            <w:div w:id="1838381034">
                                                                                                              <w:marLeft w:val="0"/>
                                                                                                              <w:marRight w:val="0"/>
                                                                                                              <w:marTop w:val="0"/>
                                                                                                              <w:marBottom w:val="0"/>
                                                                                                              <w:divBdr>
                                                                                                                <w:top w:val="none" w:sz="0" w:space="0" w:color="auto"/>
                                                                                                                <w:left w:val="none" w:sz="0" w:space="0" w:color="auto"/>
                                                                                                                <w:bottom w:val="none" w:sz="0" w:space="0" w:color="auto"/>
                                                                                                                <w:right w:val="none" w:sz="0" w:space="0" w:color="auto"/>
                                                                                                              </w:divBdr>
                                                                                                              <w:divsChild>
                                                                                                                <w:div w:id="1871993957">
                                                                                                                  <w:marLeft w:val="0"/>
                                                                                                                  <w:marRight w:val="0"/>
                                                                                                                  <w:marTop w:val="0"/>
                                                                                                                  <w:marBottom w:val="0"/>
                                                                                                                  <w:divBdr>
                                                                                                                    <w:top w:val="none" w:sz="0" w:space="0" w:color="auto"/>
                                                                                                                    <w:left w:val="none" w:sz="0" w:space="0" w:color="auto"/>
                                                                                                                    <w:bottom w:val="none" w:sz="0" w:space="0" w:color="auto"/>
                                                                                                                    <w:right w:val="none" w:sz="0" w:space="0" w:color="auto"/>
                                                                                                                  </w:divBdr>
                                                                                                                  <w:divsChild>
                                                                                                                    <w:div w:id="1272736161">
                                                                                                                      <w:marLeft w:val="0"/>
                                                                                                                      <w:marRight w:val="0"/>
                                                                                                                      <w:marTop w:val="150"/>
                                                                                                                      <w:marBottom w:val="150"/>
                                                                                                                      <w:divBdr>
                                                                                                                        <w:top w:val="none" w:sz="0" w:space="0" w:color="auto"/>
                                                                                                                        <w:left w:val="none" w:sz="0" w:space="0" w:color="auto"/>
                                                                                                                        <w:bottom w:val="none" w:sz="0" w:space="0" w:color="auto"/>
                                                                                                                        <w:right w:val="none" w:sz="0" w:space="0" w:color="auto"/>
                                                                                                                      </w:divBdr>
                                                                                                                    </w:div>
                                                                                                                  </w:divsChild>
                                                                                                                </w:div>
                                                                                                                <w:div w:id="18937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335795">
      <w:bodyDiv w:val="1"/>
      <w:marLeft w:val="0"/>
      <w:marRight w:val="0"/>
      <w:marTop w:val="0"/>
      <w:marBottom w:val="0"/>
      <w:divBdr>
        <w:top w:val="none" w:sz="0" w:space="0" w:color="auto"/>
        <w:left w:val="none" w:sz="0" w:space="0" w:color="auto"/>
        <w:bottom w:val="none" w:sz="0" w:space="0" w:color="auto"/>
        <w:right w:val="none" w:sz="0" w:space="0" w:color="auto"/>
      </w:divBdr>
      <w:divsChild>
        <w:div w:id="1185679726">
          <w:marLeft w:val="0"/>
          <w:marRight w:val="0"/>
          <w:marTop w:val="0"/>
          <w:marBottom w:val="0"/>
          <w:divBdr>
            <w:top w:val="none" w:sz="0" w:space="0" w:color="auto"/>
            <w:left w:val="none" w:sz="0" w:space="0" w:color="auto"/>
            <w:bottom w:val="none" w:sz="0" w:space="0" w:color="auto"/>
            <w:right w:val="none" w:sz="0" w:space="0" w:color="auto"/>
          </w:divBdr>
          <w:divsChild>
            <w:div w:id="1001077993">
              <w:marLeft w:val="0"/>
              <w:marRight w:val="0"/>
              <w:marTop w:val="0"/>
              <w:marBottom w:val="0"/>
              <w:divBdr>
                <w:top w:val="none" w:sz="0" w:space="0" w:color="auto"/>
                <w:left w:val="none" w:sz="0" w:space="0" w:color="auto"/>
                <w:bottom w:val="none" w:sz="0" w:space="0" w:color="auto"/>
                <w:right w:val="none" w:sz="0" w:space="0" w:color="auto"/>
              </w:divBdr>
              <w:divsChild>
                <w:div w:id="1481581101">
                  <w:marLeft w:val="0"/>
                  <w:marRight w:val="0"/>
                  <w:marTop w:val="0"/>
                  <w:marBottom w:val="0"/>
                  <w:divBdr>
                    <w:top w:val="none" w:sz="0" w:space="0" w:color="auto"/>
                    <w:left w:val="none" w:sz="0" w:space="0" w:color="auto"/>
                    <w:bottom w:val="none" w:sz="0" w:space="0" w:color="auto"/>
                    <w:right w:val="none" w:sz="0" w:space="0" w:color="auto"/>
                  </w:divBdr>
                  <w:divsChild>
                    <w:div w:id="864514181">
                      <w:marLeft w:val="0"/>
                      <w:marRight w:val="0"/>
                      <w:marTop w:val="0"/>
                      <w:marBottom w:val="0"/>
                      <w:divBdr>
                        <w:top w:val="none" w:sz="0" w:space="0" w:color="auto"/>
                        <w:left w:val="none" w:sz="0" w:space="0" w:color="auto"/>
                        <w:bottom w:val="none" w:sz="0" w:space="0" w:color="auto"/>
                        <w:right w:val="none" w:sz="0" w:space="0" w:color="auto"/>
                      </w:divBdr>
                      <w:divsChild>
                        <w:div w:id="1856726301">
                          <w:marLeft w:val="150"/>
                          <w:marRight w:val="0"/>
                          <w:marTop w:val="150"/>
                          <w:marBottom w:val="150"/>
                          <w:divBdr>
                            <w:top w:val="none" w:sz="0" w:space="0" w:color="auto"/>
                            <w:left w:val="none" w:sz="0" w:space="0" w:color="auto"/>
                            <w:bottom w:val="none" w:sz="0" w:space="0" w:color="auto"/>
                            <w:right w:val="none" w:sz="0" w:space="0" w:color="auto"/>
                          </w:divBdr>
                          <w:divsChild>
                            <w:div w:id="1821460601">
                              <w:marLeft w:val="0"/>
                              <w:marRight w:val="0"/>
                              <w:marTop w:val="0"/>
                              <w:marBottom w:val="0"/>
                              <w:divBdr>
                                <w:top w:val="none" w:sz="0" w:space="0" w:color="auto"/>
                                <w:left w:val="none" w:sz="0" w:space="0" w:color="auto"/>
                                <w:bottom w:val="none" w:sz="0" w:space="0" w:color="auto"/>
                                <w:right w:val="none" w:sz="0" w:space="0" w:color="auto"/>
                              </w:divBdr>
                              <w:divsChild>
                                <w:div w:id="619646583">
                                  <w:marLeft w:val="0"/>
                                  <w:marRight w:val="0"/>
                                  <w:marTop w:val="168"/>
                                  <w:marBottom w:val="150"/>
                                  <w:divBdr>
                                    <w:top w:val="none" w:sz="0" w:space="0" w:color="auto"/>
                                    <w:left w:val="none" w:sz="0" w:space="0" w:color="auto"/>
                                    <w:bottom w:val="dotted" w:sz="6" w:space="0" w:color="CCCCCC"/>
                                    <w:right w:val="none" w:sz="0" w:space="0" w:color="auto"/>
                                  </w:divBdr>
                                  <w:divsChild>
                                    <w:div w:id="38236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22291">
      <w:bodyDiv w:val="1"/>
      <w:marLeft w:val="0"/>
      <w:marRight w:val="0"/>
      <w:marTop w:val="0"/>
      <w:marBottom w:val="0"/>
      <w:divBdr>
        <w:top w:val="none" w:sz="0" w:space="0" w:color="auto"/>
        <w:left w:val="none" w:sz="0" w:space="0" w:color="auto"/>
        <w:bottom w:val="none" w:sz="0" w:space="0" w:color="auto"/>
        <w:right w:val="none" w:sz="0" w:space="0" w:color="auto"/>
      </w:divBdr>
    </w:div>
    <w:div w:id="1300068829">
      <w:bodyDiv w:val="1"/>
      <w:marLeft w:val="0"/>
      <w:marRight w:val="0"/>
      <w:marTop w:val="0"/>
      <w:marBottom w:val="0"/>
      <w:divBdr>
        <w:top w:val="none" w:sz="0" w:space="0" w:color="auto"/>
        <w:left w:val="none" w:sz="0" w:space="0" w:color="auto"/>
        <w:bottom w:val="none" w:sz="0" w:space="0" w:color="auto"/>
        <w:right w:val="none" w:sz="0" w:space="0" w:color="auto"/>
      </w:divBdr>
      <w:divsChild>
        <w:div w:id="1650280638">
          <w:marLeft w:val="0"/>
          <w:marRight w:val="0"/>
          <w:marTop w:val="0"/>
          <w:marBottom w:val="0"/>
          <w:divBdr>
            <w:top w:val="none" w:sz="0" w:space="0" w:color="auto"/>
            <w:left w:val="none" w:sz="0" w:space="0" w:color="auto"/>
            <w:bottom w:val="none" w:sz="0" w:space="0" w:color="auto"/>
            <w:right w:val="none" w:sz="0" w:space="0" w:color="auto"/>
          </w:divBdr>
          <w:divsChild>
            <w:div w:id="2102332419">
              <w:marLeft w:val="0"/>
              <w:marRight w:val="0"/>
              <w:marTop w:val="0"/>
              <w:marBottom w:val="0"/>
              <w:divBdr>
                <w:top w:val="none" w:sz="0" w:space="0" w:color="auto"/>
                <w:left w:val="none" w:sz="0" w:space="0" w:color="auto"/>
                <w:bottom w:val="none" w:sz="0" w:space="0" w:color="auto"/>
                <w:right w:val="none" w:sz="0" w:space="0" w:color="auto"/>
              </w:divBdr>
              <w:divsChild>
                <w:div w:id="1239056326">
                  <w:marLeft w:val="0"/>
                  <w:marRight w:val="0"/>
                  <w:marTop w:val="0"/>
                  <w:marBottom w:val="0"/>
                  <w:divBdr>
                    <w:top w:val="none" w:sz="0" w:space="0" w:color="auto"/>
                    <w:left w:val="none" w:sz="0" w:space="0" w:color="auto"/>
                    <w:bottom w:val="none" w:sz="0" w:space="0" w:color="auto"/>
                    <w:right w:val="none" w:sz="0" w:space="0" w:color="auto"/>
                  </w:divBdr>
                  <w:divsChild>
                    <w:div w:id="750275861">
                      <w:marLeft w:val="0"/>
                      <w:marRight w:val="0"/>
                      <w:marTop w:val="0"/>
                      <w:marBottom w:val="0"/>
                      <w:divBdr>
                        <w:top w:val="none" w:sz="0" w:space="0" w:color="auto"/>
                        <w:left w:val="none" w:sz="0" w:space="0" w:color="auto"/>
                        <w:bottom w:val="none" w:sz="0" w:space="0" w:color="auto"/>
                        <w:right w:val="none" w:sz="0" w:space="0" w:color="auto"/>
                      </w:divBdr>
                      <w:divsChild>
                        <w:div w:id="1359964388">
                          <w:marLeft w:val="0"/>
                          <w:marRight w:val="0"/>
                          <w:marTop w:val="0"/>
                          <w:marBottom w:val="0"/>
                          <w:divBdr>
                            <w:top w:val="none" w:sz="0" w:space="0" w:color="auto"/>
                            <w:left w:val="none" w:sz="0" w:space="0" w:color="auto"/>
                            <w:bottom w:val="none" w:sz="0" w:space="0" w:color="auto"/>
                            <w:right w:val="none" w:sz="0" w:space="0" w:color="auto"/>
                          </w:divBdr>
                          <w:divsChild>
                            <w:div w:id="666664851">
                              <w:marLeft w:val="0"/>
                              <w:marRight w:val="0"/>
                              <w:marTop w:val="0"/>
                              <w:marBottom w:val="0"/>
                              <w:divBdr>
                                <w:top w:val="none" w:sz="0" w:space="0" w:color="auto"/>
                                <w:left w:val="none" w:sz="0" w:space="0" w:color="auto"/>
                                <w:bottom w:val="none" w:sz="0" w:space="0" w:color="auto"/>
                                <w:right w:val="none" w:sz="0" w:space="0" w:color="auto"/>
                              </w:divBdr>
                              <w:divsChild>
                                <w:div w:id="1398631829">
                                  <w:marLeft w:val="0"/>
                                  <w:marRight w:val="0"/>
                                  <w:marTop w:val="0"/>
                                  <w:marBottom w:val="0"/>
                                  <w:divBdr>
                                    <w:top w:val="none" w:sz="0" w:space="0" w:color="auto"/>
                                    <w:left w:val="none" w:sz="0" w:space="0" w:color="auto"/>
                                    <w:bottom w:val="none" w:sz="0" w:space="0" w:color="auto"/>
                                    <w:right w:val="none" w:sz="0" w:space="0" w:color="auto"/>
                                  </w:divBdr>
                                  <w:divsChild>
                                    <w:div w:id="111536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6631964">
      <w:bodyDiv w:val="1"/>
      <w:marLeft w:val="0"/>
      <w:marRight w:val="0"/>
      <w:marTop w:val="0"/>
      <w:marBottom w:val="0"/>
      <w:divBdr>
        <w:top w:val="none" w:sz="0" w:space="0" w:color="auto"/>
        <w:left w:val="none" w:sz="0" w:space="0" w:color="auto"/>
        <w:bottom w:val="none" w:sz="0" w:space="0" w:color="auto"/>
        <w:right w:val="none" w:sz="0" w:space="0" w:color="auto"/>
      </w:divBdr>
    </w:div>
    <w:div w:id="1476340129">
      <w:bodyDiv w:val="1"/>
      <w:marLeft w:val="0"/>
      <w:marRight w:val="0"/>
      <w:marTop w:val="0"/>
      <w:marBottom w:val="0"/>
      <w:divBdr>
        <w:top w:val="none" w:sz="0" w:space="0" w:color="auto"/>
        <w:left w:val="none" w:sz="0" w:space="0" w:color="auto"/>
        <w:bottom w:val="none" w:sz="0" w:space="0" w:color="auto"/>
        <w:right w:val="none" w:sz="0" w:space="0" w:color="auto"/>
      </w:divBdr>
    </w:div>
    <w:div w:id="1607687097">
      <w:bodyDiv w:val="1"/>
      <w:marLeft w:val="0"/>
      <w:marRight w:val="0"/>
      <w:marTop w:val="0"/>
      <w:marBottom w:val="0"/>
      <w:divBdr>
        <w:top w:val="none" w:sz="0" w:space="0" w:color="auto"/>
        <w:left w:val="none" w:sz="0" w:space="0" w:color="auto"/>
        <w:bottom w:val="none" w:sz="0" w:space="0" w:color="auto"/>
        <w:right w:val="none" w:sz="0" w:space="0" w:color="auto"/>
      </w:divBdr>
      <w:divsChild>
        <w:div w:id="142087359">
          <w:marLeft w:val="0"/>
          <w:marRight w:val="0"/>
          <w:marTop w:val="264"/>
          <w:marBottom w:val="288"/>
          <w:divBdr>
            <w:top w:val="none" w:sz="0" w:space="0" w:color="auto"/>
            <w:left w:val="none" w:sz="0" w:space="0" w:color="auto"/>
            <w:bottom w:val="none" w:sz="0" w:space="0" w:color="auto"/>
            <w:right w:val="none" w:sz="0" w:space="0" w:color="auto"/>
          </w:divBdr>
        </w:div>
      </w:divsChild>
    </w:div>
    <w:div w:id="1645814551">
      <w:bodyDiv w:val="1"/>
      <w:marLeft w:val="0"/>
      <w:marRight w:val="0"/>
      <w:marTop w:val="0"/>
      <w:marBottom w:val="0"/>
      <w:divBdr>
        <w:top w:val="none" w:sz="0" w:space="0" w:color="auto"/>
        <w:left w:val="none" w:sz="0" w:space="0" w:color="auto"/>
        <w:bottom w:val="none" w:sz="0" w:space="0" w:color="auto"/>
        <w:right w:val="none" w:sz="0" w:space="0" w:color="auto"/>
      </w:divBdr>
      <w:divsChild>
        <w:div w:id="443307664">
          <w:marLeft w:val="0"/>
          <w:marRight w:val="0"/>
          <w:marTop w:val="0"/>
          <w:marBottom w:val="0"/>
          <w:divBdr>
            <w:top w:val="none" w:sz="0" w:space="0" w:color="auto"/>
            <w:left w:val="none" w:sz="0" w:space="0" w:color="auto"/>
            <w:bottom w:val="none" w:sz="0" w:space="0" w:color="auto"/>
            <w:right w:val="none" w:sz="0" w:space="0" w:color="auto"/>
          </w:divBdr>
          <w:divsChild>
            <w:div w:id="1291398108">
              <w:marLeft w:val="0"/>
              <w:marRight w:val="0"/>
              <w:marTop w:val="0"/>
              <w:marBottom w:val="0"/>
              <w:divBdr>
                <w:top w:val="none" w:sz="0" w:space="0" w:color="auto"/>
                <w:left w:val="none" w:sz="0" w:space="0" w:color="auto"/>
                <w:bottom w:val="none" w:sz="0" w:space="0" w:color="auto"/>
                <w:right w:val="none" w:sz="0" w:space="0" w:color="auto"/>
              </w:divBdr>
              <w:divsChild>
                <w:div w:id="1378699554">
                  <w:marLeft w:val="0"/>
                  <w:marRight w:val="0"/>
                  <w:marTop w:val="0"/>
                  <w:marBottom w:val="0"/>
                  <w:divBdr>
                    <w:top w:val="none" w:sz="0" w:space="0" w:color="auto"/>
                    <w:left w:val="none" w:sz="0" w:space="0" w:color="auto"/>
                    <w:bottom w:val="none" w:sz="0" w:space="0" w:color="auto"/>
                    <w:right w:val="none" w:sz="0" w:space="0" w:color="auto"/>
                  </w:divBdr>
                  <w:divsChild>
                    <w:div w:id="1103695198">
                      <w:marLeft w:val="0"/>
                      <w:marRight w:val="0"/>
                      <w:marTop w:val="0"/>
                      <w:marBottom w:val="0"/>
                      <w:divBdr>
                        <w:top w:val="none" w:sz="0" w:space="0" w:color="auto"/>
                        <w:left w:val="none" w:sz="0" w:space="0" w:color="auto"/>
                        <w:bottom w:val="none" w:sz="0" w:space="0" w:color="auto"/>
                        <w:right w:val="none" w:sz="0" w:space="0" w:color="auto"/>
                      </w:divBdr>
                      <w:divsChild>
                        <w:div w:id="744646465">
                          <w:marLeft w:val="0"/>
                          <w:marRight w:val="0"/>
                          <w:marTop w:val="0"/>
                          <w:marBottom w:val="0"/>
                          <w:divBdr>
                            <w:top w:val="none" w:sz="0" w:space="0" w:color="auto"/>
                            <w:left w:val="none" w:sz="0" w:space="0" w:color="auto"/>
                            <w:bottom w:val="none" w:sz="0" w:space="0" w:color="auto"/>
                            <w:right w:val="none" w:sz="0" w:space="0" w:color="auto"/>
                          </w:divBdr>
                          <w:divsChild>
                            <w:div w:id="817497950">
                              <w:marLeft w:val="0"/>
                              <w:marRight w:val="0"/>
                              <w:marTop w:val="0"/>
                              <w:marBottom w:val="0"/>
                              <w:divBdr>
                                <w:top w:val="none" w:sz="0" w:space="0" w:color="auto"/>
                                <w:left w:val="none" w:sz="0" w:space="0" w:color="auto"/>
                                <w:bottom w:val="none" w:sz="0" w:space="0" w:color="auto"/>
                                <w:right w:val="none" w:sz="0" w:space="0" w:color="auto"/>
                              </w:divBdr>
                              <w:divsChild>
                                <w:div w:id="2134715500">
                                  <w:marLeft w:val="0"/>
                                  <w:marRight w:val="0"/>
                                  <w:marTop w:val="0"/>
                                  <w:marBottom w:val="0"/>
                                  <w:divBdr>
                                    <w:top w:val="none" w:sz="0" w:space="0" w:color="auto"/>
                                    <w:left w:val="none" w:sz="0" w:space="0" w:color="auto"/>
                                    <w:bottom w:val="none" w:sz="0" w:space="0" w:color="auto"/>
                                    <w:right w:val="none" w:sz="0" w:space="0" w:color="auto"/>
                                  </w:divBdr>
                                  <w:divsChild>
                                    <w:div w:id="326444908">
                                      <w:marLeft w:val="0"/>
                                      <w:marRight w:val="0"/>
                                      <w:marTop w:val="0"/>
                                      <w:marBottom w:val="0"/>
                                      <w:divBdr>
                                        <w:top w:val="none" w:sz="0" w:space="0" w:color="auto"/>
                                        <w:left w:val="none" w:sz="0" w:space="0" w:color="auto"/>
                                        <w:bottom w:val="none" w:sz="0" w:space="0" w:color="auto"/>
                                        <w:right w:val="none" w:sz="0" w:space="0" w:color="auto"/>
                                      </w:divBdr>
                                    </w:div>
                                    <w:div w:id="11061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218707">
      <w:bodyDiv w:val="1"/>
      <w:marLeft w:val="0"/>
      <w:marRight w:val="0"/>
      <w:marTop w:val="0"/>
      <w:marBottom w:val="0"/>
      <w:divBdr>
        <w:top w:val="none" w:sz="0" w:space="0" w:color="auto"/>
        <w:left w:val="none" w:sz="0" w:space="0" w:color="auto"/>
        <w:bottom w:val="none" w:sz="0" w:space="0" w:color="auto"/>
        <w:right w:val="none" w:sz="0" w:space="0" w:color="auto"/>
      </w:divBdr>
    </w:div>
    <w:div w:id="2060322938">
      <w:bodyDiv w:val="1"/>
      <w:marLeft w:val="0"/>
      <w:marRight w:val="0"/>
      <w:marTop w:val="0"/>
      <w:marBottom w:val="0"/>
      <w:divBdr>
        <w:top w:val="none" w:sz="0" w:space="0" w:color="auto"/>
        <w:left w:val="none" w:sz="0" w:space="0" w:color="auto"/>
        <w:bottom w:val="none" w:sz="0" w:space="0" w:color="auto"/>
        <w:right w:val="none" w:sz="0" w:space="0" w:color="auto"/>
      </w:divBdr>
      <w:divsChild>
        <w:div w:id="1894849371">
          <w:marLeft w:val="0"/>
          <w:marRight w:val="1"/>
          <w:marTop w:val="0"/>
          <w:marBottom w:val="0"/>
          <w:divBdr>
            <w:top w:val="none" w:sz="0" w:space="0" w:color="auto"/>
            <w:left w:val="none" w:sz="0" w:space="0" w:color="auto"/>
            <w:bottom w:val="none" w:sz="0" w:space="0" w:color="auto"/>
            <w:right w:val="none" w:sz="0" w:space="0" w:color="auto"/>
          </w:divBdr>
          <w:divsChild>
            <w:div w:id="1099175240">
              <w:marLeft w:val="0"/>
              <w:marRight w:val="0"/>
              <w:marTop w:val="0"/>
              <w:marBottom w:val="0"/>
              <w:divBdr>
                <w:top w:val="none" w:sz="0" w:space="0" w:color="auto"/>
                <w:left w:val="none" w:sz="0" w:space="0" w:color="auto"/>
                <w:bottom w:val="none" w:sz="0" w:space="0" w:color="auto"/>
                <w:right w:val="none" w:sz="0" w:space="0" w:color="auto"/>
              </w:divBdr>
              <w:divsChild>
                <w:div w:id="1409428031">
                  <w:marLeft w:val="0"/>
                  <w:marRight w:val="1"/>
                  <w:marTop w:val="0"/>
                  <w:marBottom w:val="0"/>
                  <w:divBdr>
                    <w:top w:val="none" w:sz="0" w:space="0" w:color="auto"/>
                    <w:left w:val="none" w:sz="0" w:space="0" w:color="auto"/>
                    <w:bottom w:val="none" w:sz="0" w:space="0" w:color="auto"/>
                    <w:right w:val="none" w:sz="0" w:space="0" w:color="auto"/>
                  </w:divBdr>
                  <w:divsChild>
                    <w:div w:id="1166899414">
                      <w:marLeft w:val="0"/>
                      <w:marRight w:val="0"/>
                      <w:marTop w:val="0"/>
                      <w:marBottom w:val="0"/>
                      <w:divBdr>
                        <w:top w:val="none" w:sz="0" w:space="0" w:color="auto"/>
                        <w:left w:val="none" w:sz="0" w:space="0" w:color="auto"/>
                        <w:bottom w:val="none" w:sz="0" w:space="0" w:color="auto"/>
                        <w:right w:val="none" w:sz="0" w:space="0" w:color="auto"/>
                      </w:divBdr>
                      <w:divsChild>
                        <w:div w:id="542013594">
                          <w:marLeft w:val="0"/>
                          <w:marRight w:val="0"/>
                          <w:marTop w:val="0"/>
                          <w:marBottom w:val="0"/>
                          <w:divBdr>
                            <w:top w:val="none" w:sz="0" w:space="0" w:color="auto"/>
                            <w:left w:val="none" w:sz="0" w:space="0" w:color="auto"/>
                            <w:bottom w:val="none" w:sz="0" w:space="0" w:color="auto"/>
                            <w:right w:val="none" w:sz="0" w:space="0" w:color="auto"/>
                          </w:divBdr>
                          <w:divsChild>
                            <w:div w:id="847401383">
                              <w:marLeft w:val="0"/>
                              <w:marRight w:val="0"/>
                              <w:marTop w:val="120"/>
                              <w:marBottom w:val="360"/>
                              <w:divBdr>
                                <w:top w:val="none" w:sz="0" w:space="0" w:color="auto"/>
                                <w:left w:val="none" w:sz="0" w:space="0" w:color="auto"/>
                                <w:bottom w:val="none" w:sz="0" w:space="0" w:color="auto"/>
                                <w:right w:val="none" w:sz="0" w:space="0" w:color="auto"/>
                              </w:divBdr>
                              <w:divsChild>
                                <w:div w:id="936984415">
                                  <w:marLeft w:val="0"/>
                                  <w:marRight w:val="0"/>
                                  <w:marTop w:val="0"/>
                                  <w:marBottom w:val="0"/>
                                  <w:divBdr>
                                    <w:top w:val="none" w:sz="0" w:space="0" w:color="auto"/>
                                    <w:left w:val="none" w:sz="0" w:space="0" w:color="auto"/>
                                    <w:bottom w:val="none" w:sz="0" w:space="0" w:color="auto"/>
                                    <w:right w:val="none" w:sz="0" w:space="0" w:color="auto"/>
                                  </w:divBdr>
                                  <w:divsChild>
                                    <w:div w:id="75559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D0053-ACFC-4FD2-89A4-FF00BE37A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6218</Words>
  <Characters>35446</Characters>
  <Application>Microsoft Office Word</Application>
  <DocSecurity>0</DocSecurity>
  <Lines>295</Lines>
  <Paragraphs>83</Paragraphs>
  <ScaleCrop>false</ScaleCrop>
  <HeadingPairs>
    <vt:vector size="2" baseType="variant">
      <vt:variant>
        <vt:lpstr>Titolo</vt:lpstr>
      </vt:variant>
      <vt:variant>
        <vt:i4>1</vt:i4>
      </vt:variant>
    </vt:vector>
  </HeadingPairs>
  <TitlesOfParts>
    <vt:vector size="1" baseType="lpstr">
      <vt:lpstr>The stomach requires a lot of energy for its pumping functions</vt:lpstr>
    </vt:vector>
  </TitlesOfParts>
  <Company>Privata</Company>
  <LinksUpToDate>false</LinksUpToDate>
  <CharactersWithSpaces>41581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stomach requires a lot of energy for its pumping functions</dc:title>
  <dc:creator>Rosario Caruso</dc:creator>
  <cp:lastModifiedBy>LS Ma</cp:lastModifiedBy>
  <cp:revision>2</cp:revision>
  <cp:lastPrinted>2014-05-10T09:30:00Z</cp:lastPrinted>
  <dcterms:created xsi:type="dcterms:W3CDTF">2014-06-25T19:35:00Z</dcterms:created>
  <dcterms:modified xsi:type="dcterms:W3CDTF">2014-06-25T19:35:00Z</dcterms:modified>
</cp:coreProperties>
</file>