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C5" w:rsidRPr="00700A64" w:rsidRDefault="00C161C5" w:rsidP="00B90E53">
      <w:pPr>
        <w:adjustRightInd w:val="0"/>
        <w:snapToGrid w:val="0"/>
        <w:spacing w:line="360" w:lineRule="auto"/>
        <w:jc w:val="both"/>
        <w:rPr>
          <w:rFonts w:ascii="Book Antiqua" w:hAnsi="Book Antiqua"/>
          <w:sz w:val="21"/>
        </w:rPr>
      </w:pPr>
      <w:r w:rsidRPr="00700A64">
        <w:rPr>
          <w:rFonts w:ascii="Book Antiqua" w:eastAsia="Times New Roman" w:hAnsi="Book Antiqua" w:cs="宋体"/>
          <w:b/>
          <w:sz w:val="21"/>
        </w:rPr>
        <w:t xml:space="preserve">Name of journal: </w:t>
      </w:r>
      <w:bookmarkStart w:id="0" w:name="OLE_LINK718"/>
      <w:bookmarkStart w:id="1" w:name="OLE_LINK719"/>
      <w:r w:rsidRPr="00700A64">
        <w:rPr>
          <w:rFonts w:ascii="Book Antiqua" w:eastAsia="Times New Roman" w:hAnsi="Book Antiqua" w:cs="宋体"/>
          <w:b/>
          <w:sz w:val="21"/>
        </w:rPr>
        <w:t xml:space="preserve">World Journal of </w:t>
      </w:r>
      <w:bookmarkEnd w:id="0"/>
      <w:bookmarkEnd w:id="1"/>
      <w:r w:rsidRPr="00700A64">
        <w:rPr>
          <w:rFonts w:ascii="Book Antiqua" w:hAnsi="Book Antiqua"/>
          <w:b/>
          <w:sz w:val="21"/>
        </w:rPr>
        <w:t xml:space="preserve">Gastroenterology </w:t>
      </w:r>
    </w:p>
    <w:p w:rsidR="00C161C5" w:rsidRPr="00700A64" w:rsidRDefault="00C161C5" w:rsidP="00B90E53">
      <w:pPr>
        <w:adjustRightInd w:val="0"/>
        <w:snapToGrid w:val="0"/>
        <w:spacing w:line="360" w:lineRule="auto"/>
        <w:jc w:val="both"/>
        <w:rPr>
          <w:rFonts w:ascii="Book Antiqua" w:eastAsia="Times New Roman" w:hAnsi="Book Antiqua" w:cs="宋体"/>
          <w:b/>
          <w:sz w:val="21"/>
          <w:lang w:eastAsia="zh-CN"/>
        </w:rPr>
      </w:pPr>
      <w:r w:rsidRPr="00700A64">
        <w:rPr>
          <w:rFonts w:ascii="Book Antiqua" w:hAnsi="Book Antiqua" w:cs="Arial"/>
          <w:b/>
          <w:sz w:val="21"/>
          <w:lang w:val="en"/>
        </w:rPr>
        <w:t>ESPS Manuscript N</w:t>
      </w:r>
      <w:r w:rsidRPr="00700A64">
        <w:rPr>
          <w:rFonts w:ascii="Book Antiqua" w:hAnsi="Book Antiqua" w:cs="Arial" w:hint="eastAsia"/>
          <w:b/>
          <w:caps/>
          <w:sz w:val="21"/>
          <w:lang w:val="en"/>
        </w:rPr>
        <w:t>o</w:t>
      </w:r>
      <w:r w:rsidRPr="00700A64">
        <w:rPr>
          <w:rFonts w:ascii="Book Antiqua" w:hAnsi="Book Antiqua" w:cs="Arial"/>
          <w:b/>
          <w:sz w:val="21"/>
          <w:lang w:val="en"/>
        </w:rPr>
        <w:t xml:space="preserve">: </w:t>
      </w:r>
      <w:r w:rsidRPr="00700A64">
        <w:rPr>
          <w:rFonts w:ascii="Book Antiqua" w:hAnsi="Book Antiqua" w:cs="Arial" w:hint="eastAsia"/>
          <w:b/>
          <w:sz w:val="21"/>
          <w:lang w:val="en" w:eastAsia="zh-CN"/>
        </w:rPr>
        <w:t>10466</w:t>
      </w:r>
    </w:p>
    <w:p w:rsidR="00526317" w:rsidRPr="00700A64" w:rsidRDefault="00C161C5" w:rsidP="00B90E53">
      <w:pPr>
        <w:adjustRightInd w:val="0"/>
        <w:snapToGrid w:val="0"/>
        <w:spacing w:line="360" w:lineRule="auto"/>
        <w:jc w:val="both"/>
        <w:rPr>
          <w:rFonts w:ascii="Book Antiqua" w:hAnsi="Book Antiqua"/>
          <w:b/>
          <w:sz w:val="21"/>
          <w:lang w:eastAsia="zh-CN"/>
        </w:rPr>
      </w:pPr>
      <w:bookmarkStart w:id="2" w:name="OLE_LINK1617"/>
      <w:bookmarkStart w:id="3" w:name="OLE_LINK1618"/>
      <w:r w:rsidRPr="00700A64">
        <w:rPr>
          <w:rFonts w:ascii="Book Antiqua" w:hAnsi="Book Antiqua"/>
          <w:b/>
          <w:sz w:val="21"/>
        </w:rPr>
        <w:t>Columns:</w:t>
      </w:r>
      <w:bookmarkEnd w:id="2"/>
      <w:bookmarkEnd w:id="3"/>
      <w:r w:rsidRPr="00700A64">
        <w:rPr>
          <w:rFonts w:ascii="Book Antiqua" w:hAnsi="Book Antiqua" w:hint="eastAsia"/>
          <w:b/>
          <w:sz w:val="21"/>
          <w:lang w:eastAsia="zh-CN"/>
        </w:rPr>
        <w:t xml:space="preserve"> </w:t>
      </w:r>
      <w:r w:rsidRPr="00700A64">
        <w:rPr>
          <w:rFonts w:ascii="Book Antiqua" w:hAnsi="Book Antiqua"/>
          <w:b/>
          <w:caps/>
          <w:sz w:val="21"/>
          <w:lang w:eastAsia="zh-CN"/>
        </w:rPr>
        <w:t>Original Articles</w:t>
      </w:r>
    </w:p>
    <w:p w:rsidR="00C161C5" w:rsidRPr="00700A64" w:rsidRDefault="00C161C5" w:rsidP="00B90E53">
      <w:pPr>
        <w:adjustRightInd w:val="0"/>
        <w:snapToGrid w:val="0"/>
        <w:spacing w:line="360" w:lineRule="auto"/>
        <w:jc w:val="both"/>
        <w:rPr>
          <w:rFonts w:ascii="Book Antiqua" w:hAnsi="Book Antiqua"/>
          <w:b/>
          <w:bCs/>
          <w:lang w:eastAsia="zh-CN"/>
        </w:rPr>
      </w:pPr>
    </w:p>
    <w:p w:rsidR="00526317" w:rsidRPr="00700A64" w:rsidRDefault="00526317" w:rsidP="00B90E53">
      <w:pPr>
        <w:adjustRightInd w:val="0"/>
        <w:snapToGrid w:val="0"/>
        <w:spacing w:line="360" w:lineRule="auto"/>
        <w:jc w:val="both"/>
        <w:rPr>
          <w:rFonts w:ascii="Book Antiqua" w:hAnsi="Book Antiqua"/>
          <w:b/>
          <w:bCs/>
          <w:lang w:eastAsia="zh-CN"/>
        </w:rPr>
      </w:pPr>
      <w:r w:rsidRPr="00700A64">
        <w:rPr>
          <w:rFonts w:ascii="Book Antiqua" w:hAnsi="Book Antiqua"/>
          <w:b/>
          <w:bCs/>
        </w:rPr>
        <w:t>Increased density of tolerogenic dendritic cells in the small b</w:t>
      </w:r>
      <w:r w:rsidR="007875C1" w:rsidRPr="00700A64">
        <w:rPr>
          <w:rFonts w:ascii="Book Antiqua" w:hAnsi="Book Antiqua"/>
          <w:b/>
          <w:bCs/>
        </w:rPr>
        <w:t>owel mucosa of celiac patients</w:t>
      </w:r>
    </w:p>
    <w:p w:rsidR="00526317" w:rsidRPr="00700A64" w:rsidRDefault="00526317" w:rsidP="00B90E53">
      <w:pPr>
        <w:adjustRightInd w:val="0"/>
        <w:snapToGrid w:val="0"/>
        <w:spacing w:line="360" w:lineRule="auto"/>
        <w:jc w:val="both"/>
        <w:rPr>
          <w:rFonts w:ascii="Book Antiqua" w:hAnsi="Book Antiqua"/>
          <w:b/>
          <w:bCs/>
        </w:rPr>
      </w:pPr>
    </w:p>
    <w:p w:rsidR="00526317" w:rsidRPr="00700A64" w:rsidRDefault="00526317" w:rsidP="00B90E53">
      <w:pPr>
        <w:adjustRightInd w:val="0"/>
        <w:snapToGrid w:val="0"/>
        <w:spacing w:line="360" w:lineRule="auto"/>
        <w:jc w:val="both"/>
        <w:rPr>
          <w:rFonts w:ascii="Book Antiqua" w:hAnsi="Book Antiqua"/>
          <w:bCs/>
          <w:lang w:val="it-IT"/>
        </w:rPr>
      </w:pPr>
      <w:r w:rsidRPr="00700A64">
        <w:rPr>
          <w:rFonts w:ascii="Book Antiqua" w:hAnsi="Book Antiqua"/>
          <w:bCs/>
          <w:lang w:val="it-IT"/>
        </w:rPr>
        <w:t xml:space="preserve">Vorobjova  T </w:t>
      </w:r>
      <w:r w:rsidR="00B13CEC" w:rsidRPr="00B13CEC">
        <w:rPr>
          <w:rFonts w:ascii="Book Antiqua" w:hAnsi="Book Antiqua"/>
          <w:bCs/>
          <w:i/>
          <w:lang w:val="it-IT"/>
        </w:rPr>
        <w:t>et al</w:t>
      </w:r>
      <w:r w:rsidR="00A0698E">
        <w:rPr>
          <w:rFonts w:ascii="Book Antiqua" w:hAnsi="Book Antiqua" w:hint="eastAsia"/>
          <w:bCs/>
          <w:i/>
          <w:lang w:val="it-IT" w:eastAsia="zh-CN"/>
        </w:rPr>
        <w:t>.</w:t>
      </w:r>
      <w:r w:rsidRPr="00700A64">
        <w:rPr>
          <w:rFonts w:ascii="Book Antiqua" w:hAnsi="Book Antiqua"/>
          <w:bCs/>
          <w:lang w:val="it-IT"/>
        </w:rPr>
        <w:t xml:space="preserve"> DCs in intestinal mucosa in celiac children</w:t>
      </w:r>
    </w:p>
    <w:p w:rsidR="00526317" w:rsidRPr="00700A64" w:rsidRDefault="00526317" w:rsidP="00B90E53">
      <w:pPr>
        <w:adjustRightInd w:val="0"/>
        <w:snapToGrid w:val="0"/>
        <w:spacing w:line="360" w:lineRule="auto"/>
        <w:jc w:val="both"/>
        <w:rPr>
          <w:rFonts w:ascii="Book Antiqua" w:hAnsi="Book Antiqua"/>
          <w:lang w:val="it-IT"/>
        </w:rPr>
      </w:pPr>
    </w:p>
    <w:p w:rsidR="00526317" w:rsidRPr="00700A64" w:rsidRDefault="00526317" w:rsidP="00B90E53">
      <w:pPr>
        <w:adjustRightInd w:val="0"/>
        <w:snapToGrid w:val="0"/>
        <w:spacing w:line="360" w:lineRule="auto"/>
        <w:jc w:val="both"/>
        <w:rPr>
          <w:rFonts w:ascii="Book Antiqua" w:hAnsi="Book Antiqua"/>
          <w:vertAlign w:val="superscript"/>
          <w:lang w:val="it-IT"/>
        </w:rPr>
      </w:pPr>
      <w:r w:rsidRPr="00700A64">
        <w:rPr>
          <w:rFonts w:ascii="Book Antiqua" w:hAnsi="Book Antiqua"/>
          <w:lang w:val="it-IT"/>
        </w:rPr>
        <w:t>Tamara Vorobjova, Oivi Uibo, Kaire Heilman,  Raivo Uibo</w:t>
      </w:r>
    </w:p>
    <w:p w:rsidR="00F378E7" w:rsidRPr="00700A64" w:rsidRDefault="00F378E7" w:rsidP="00B90E53">
      <w:pPr>
        <w:adjustRightInd w:val="0"/>
        <w:snapToGrid w:val="0"/>
        <w:spacing w:line="360" w:lineRule="auto"/>
        <w:jc w:val="both"/>
        <w:rPr>
          <w:rFonts w:ascii="Book Antiqua" w:hAnsi="Book Antiqua"/>
          <w:vertAlign w:val="superscript"/>
          <w:lang w:eastAsia="zh-CN"/>
        </w:rPr>
      </w:pPr>
    </w:p>
    <w:p w:rsidR="00526317" w:rsidRPr="00700A64" w:rsidRDefault="00526317" w:rsidP="00B90E53">
      <w:pPr>
        <w:adjustRightInd w:val="0"/>
        <w:snapToGrid w:val="0"/>
        <w:spacing w:line="360" w:lineRule="auto"/>
        <w:jc w:val="both"/>
        <w:rPr>
          <w:rFonts w:ascii="Book Antiqua" w:hAnsi="Book Antiqua"/>
        </w:rPr>
      </w:pPr>
      <w:r w:rsidRPr="00700A64">
        <w:rPr>
          <w:rFonts w:ascii="Book Antiqua" w:hAnsi="Book Antiqua"/>
          <w:b/>
        </w:rPr>
        <w:t xml:space="preserve">Tamara Vorobjova, </w:t>
      </w:r>
      <w:r w:rsidR="0047541A" w:rsidRPr="00700A64">
        <w:rPr>
          <w:rFonts w:ascii="Book Antiqua" w:hAnsi="Book Antiqua"/>
          <w:b/>
        </w:rPr>
        <w:t>Raivo Uibo,</w:t>
      </w:r>
      <w:r w:rsidR="0047541A" w:rsidRPr="00700A64">
        <w:rPr>
          <w:rFonts w:ascii="Book Antiqua" w:hAnsi="Book Antiqua" w:hint="eastAsia"/>
          <w:b/>
          <w:lang w:eastAsia="zh-CN"/>
        </w:rPr>
        <w:t xml:space="preserve"> </w:t>
      </w:r>
      <w:r w:rsidRPr="00700A64">
        <w:rPr>
          <w:rFonts w:ascii="Book Antiqua" w:hAnsi="Book Antiqua"/>
        </w:rPr>
        <w:t xml:space="preserve">Department of Immunology, </w:t>
      </w:r>
      <w:r w:rsidRPr="00700A64">
        <w:rPr>
          <w:rFonts w:ascii="Book Antiqua" w:hAnsi="Book Antiqua"/>
          <w:color w:val="000000"/>
        </w:rPr>
        <w:t>Institute of Biomedicine and Translational Medicine</w:t>
      </w:r>
      <w:r w:rsidRPr="00700A64">
        <w:rPr>
          <w:rFonts w:ascii="Book Antiqua" w:hAnsi="Book Antiqua"/>
        </w:rPr>
        <w:t xml:space="preserve">, University of Tartu, </w:t>
      </w:r>
      <w:r w:rsidR="00C50071" w:rsidRPr="00700A64">
        <w:rPr>
          <w:rFonts w:ascii="Book Antiqua" w:hAnsi="Book Antiqua"/>
        </w:rPr>
        <w:t>51014</w:t>
      </w:r>
      <w:r w:rsidR="00C50071" w:rsidRPr="00700A64">
        <w:rPr>
          <w:rFonts w:ascii="Book Antiqua" w:hAnsi="Book Antiqua" w:hint="eastAsia"/>
          <w:lang w:eastAsia="zh-CN"/>
        </w:rPr>
        <w:t xml:space="preserve"> </w:t>
      </w:r>
      <w:r w:rsidRPr="00700A64">
        <w:rPr>
          <w:rFonts w:ascii="Book Antiqua" w:hAnsi="Book Antiqua"/>
        </w:rPr>
        <w:t>Tartu, Estonia</w:t>
      </w:r>
    </w:p>
    <w:p w:rsidR="00526317" w:rsidRPr="00700A64" w:rsidRDefault="00526317" w:rsidP="00B90E53">
      <w:pPr>
        <w:adjustRightInd w:val="0"/>
        <w:snapToGrid w:val="0"/>
        <w:spacing w:line="360" w:lineRule="auto"/>
        <w:jc w:val="both"/>
        <w:rPr>
          <w:rFonts w:ascii="Book Antiqua" w:hAnsi="Book Antiqua"/>
        </w:rPr>
      </w:pPr>
    </w:p>
    <w:p w:rsidR="00526317" w:rsidRPr="00700A64" w:rsidRDefault="00526317" w:rsidP="00B90E53">
      <w:pPr>
        <w:adjustRightInd w:val="0"/>
        <w:snapToGrid w:val="0"/>
        <w:spacing w:line="360" w:lineRule="auto"/>
        <w:jc w:val="both"/>
        <w:rPr>
          <w:rFonts w:ascii="Book Antiqua" w:hAnsi="Book Antiqua"/>
        </w:rPr>
      </w:pPr>
      <w:r w:rsidRPr="00700A64">
        <w:rPr>
          <w:rFonts w:ascii="Book Antiqua" w:hAnsi="Book Antiqua"/>
          <w:b/>
        </w:rPr>
        <w:t>Oivi Uibo</w:t>
      </w:r>
      <w:r w:rsidR="0047541A" w:rsidRPr="00700A64">
        <w:rPr>
          <w:rFonts w:ascii="Book Antiqua" w:hAnsi="Book Antiqua"/>
        </w:rPr>
        <w:t xml:space="preserve">, </w:t>
      </w:r>
      <w:r w:rsidRPr="00700A64">
        <w:rPr>
          <w:rFonts w:ascii="Book Antiqua" w:hAnsi="Book Antiqua"/>
        </w:rPr>
        <w:t xml:space="preserve">Department of Pediatrics, University of Tartu, Tartu, Estonia, Children’s Clinic of Tartu University Hospital, </w:t>
      </w:r>
      <w:r w:rsidR="00C50071" w:rsidRPr="00700A64">
        <w:rPr>
          <w:rFonts w:ascii="Book Antiqua" w:hAnsi="Book Antiqua"/>
        </w:rPr>
        <w:t>51014</w:t>
      </w:r>
      <w:r w:rsidR="00C50071" w:rsidRPr="00700A64">
        <w:rPr>
          <w:rFonts w:ascii="Book Antiqua" w:hAnsi="Book Antiqua" w:hint="eastAsia"/>
          <w:lang w:eastAsia="zh-CN"/>
        </w:rPr>
        <w:t xml:space="preserve"> </w:t>
      </w:r>
      <w:r w:rsidRPr="00700A64">
        <w:rPr>
          <w:rFonts w:ascii="Book Antiqua" w:hAnsi="Book Antiqua"/>
        </w:rPr>
        <w:t xml:space="preserve">Tartu, Estonia </w:t>
      </w:r>
    </w:p>
    <w:p w:rsidR="00526317" w:rsidRPr="00700A64" w:rsidRDefault="00526317" w:rsidP="00B90E53">
      <w:pPr>
        <w:adjustRightInd w:val="0"/>
        <w:snapToGrid w:val="0"/>
        <w:spacing w:line="360" w:lineRule="auto"/>
        <w:jc w:val="both"/>
        <w:rPr>
          <w:rFonts w:ascii="Book Antiqua" w:hAnsi="Book Antiqua"/>
        </w:rPr>
      </w:pPr>
    </w:p>
    <w:p w:rsidR="00526317" w:rsidRPr="00700A64" w:rsidRDefault="00526317" w:rsidP="00B90E53">
      <w:pPr>
        <w:adjustRightInd w:val="0"/>
        <w:snapToGrid w:val="0"/>
        <w:spacing w:line="360" w:lineRule="auto"/>
        <w:jc w:val="both"/>
        <w:rPr>
          <w:rFonts w:ascii="Book Antiqua" w:hAnsi="Book Antiqua"/>
        </w:rPr>
      </w:pPr>
      <w:r w:rsidRPr="00700A64">
        <w:rPr>
          <w:rFonts w:ascii="Book Antiqua" w:hAnsi="Book Antiqua"/>
          <w:b/>
        </w:rPr>
        <w:t xml:space="preserve">Kaire Heilman, </w:t>
      </w:r>
      <w:r w:rsidRPr="00700A64">
        <w:rPr>
          <w:rFonts w:ascii="Book Antiqua" w:hAnsi="Book Antiqua"/>
        </w:rPr>
        <w:t xml:space="preserve">Department of Pediatrics, University of Tartu, Tartu, Estonia,  Tallinn’s Children’s Hospital, </w:t>
      </w:r>
      <w:r w:rsidR="00C50071" w:rsidRPr="00700A64">
        <w:rPr>
          <w:rFonts w:ascii="Book Antiqua" w:hAnsi="Book Antiqua"/>
        </w:rPr>
        <w:t>13419</w:t>
      </w:r>
      <w:r w:rsidR="00C50071" w:rsidRPr="00700A64">
        <w:rPr>
          <w:rFonts w:ascii="Book Antiqua" w:hAnsi="Book Antiqua" w:hint="eastAsia"/>
          <w:lang w:eastAsia="zh-CN"/>
        </w:rPr>
        <w:t xml:space="preserve"> </w:t>
      </w:r>
      <w:r w:rsidRPr="00700A64">
        <w:rPr>
          <w:rFonts w:ascii="Book Antiqua" w:hAnsi="Book Antiqua"/>
        </w:rPr>
        <w:t>Tallinn, Estonia</w:t>
      </w:r>
    </w:p>
    <w:p w:rsidR="00526317" w:rsidRPr="00700A64" w:rsidRDefault="00526317" w:rsidP="00B90E53">
      <w:pPr>
        <w:adjustRightInd w:val="0"/>
        <w:snapToGrid w:val="0"/>
        <w:spacing w:line="360" w:lineRule="auto"/>
        <w:jc w:val="both"/>
        <w:rPr>
          <w:rFonts w:ascii="Book Antiqua" w:hAnsi="Book Antiqua"/>
          <w:b/>
          <w:lang w:eastAsia="zh-CN"/>
        </w:rPr>
      </w:pPr>
    </w:p>
    <w:p w:rsidR="00526317" w:rsidRPr="00700A64" w:rsidRDefault="00526317" w:rsidP="00B90E53">
      <w:pPr>
        <w:adjustRightInd w:val="0"/>
        <w:snapToGrid w:val="0"/>
        <w:spacing w:line="360" w:lineRule="auto"/>
        <w:jc w:val="both"/>
        <w:rPr>
          <w:rFonts w:ascii="Book Antiqua" w:hAnsi="Book Antiqua"/>
        </w:rPr>
      </w:pPr>
      <w:r w:rsidRPr="00700A64">
        <w:rPr>
          <w:rFonts w:ascii="Book Antiqua" w:hAnsi="Book Antiqua"/>
          <w:b/>
        </w:rPr>
        <w:t>Author contribution</w:t>
      </w:r>
      <w:r w:rsidR="00292412" w:rsidRPr="00700A64">
        <w:rPr>
          <w:rFonts w:ascii="Book Antiqua" w:hAnsi="Book Antiqua"/>
          <w:b/>
        </w:rPr>
        <w:t>s</w:t>
      </w:r>
      <w:r w:rsidRPr="00700A64">
        <w:rPr>
          <w:rFonts w:ascii="Book Antiqua" w:hAnsi="Book Antiqua"/>
          <w:b/>
        </w:rPr>
        <w:t>:</w:t>
      </w:r>
      <w:r w:rsidRPr="00700A64">
        <w:rPr>
          <w:rFonts w:ascii="Book Antiqua" w:hAnsi="Book Antiqua"/>
        </w:rPr>
        <w:t xml:space="preserve"> Vorobjova T and Uibo R contributed equally to the research design; Vorobjova T performed the research, including immunohistochemical and immunofluorescence studies and microscopy, and analyzed the data and wrote the paper</w:t>
      </w:r>
      <w:r w:rsidR="00C50071" w:rsidRPr="00700A64">
        <w:rPr>
          <w:rFonts w:ascii="Book Antiqua" w:hAnsi="Book Antiqua" w:hint="eastAsia"/>
          <w:lang w:eastAsia="zh-CN"/>
        </w:rPr>
        <w:t>;</w:t>
      </w:r>
      <w:r w:rsidRPr="00700A64">
        <w:rPr>
          <w:rFonts w:ascii="Book Antiqua" w:hAnsi="Book Antiqua"/>
        </w:rPr>
        <w:t xml:space="preserve"> Uibo O and Heilman K were responsible for the collection of clinical material, performed the gastroduodenoscopy and revised and approved the final version of the article; Uibo R guided and supervised the research and the drafting and editing of the final revision of the article. </w:t>
      </w:r>
    </w:p>
    <w:p w:rsidR="00526317" w:rsidRPr="00700A64" w:rsidRDefault="00526317" w:rsidP="00B90E53">
      <w:pPr>
        <w:adjustRightInd w:val="0"/>
        <w:snapToGrid w:val="0"/>
        <w:spacing w:line="360" w:lineRule="auto"/>
        <w:jc w:val="both"/>
        <w:rPr>
          <w:rFonts w:ascii="Book Antiqua" w:hAnsi="Book Antiqua"/>
          <w:b/>
        </w:rPr>
      </w:pPr>
    </w:p>
    <w:p w:rsidR="00526317" w:rsidRPr="00700A64" w:rsidRDefault="00C50071" w:rsidP="00B90E53">
      <w:pPr>
        <w:adjustRightInd w:val="0"/>
        <w:snapToGrid w:val="0"/>
        <w:spacing w:line="360" w:lineRule="auto"/>
        <w:jc w:val="both"/>
        <w:rPr>
          <w:rFonts w:ascii="Book Antiqua" w:hAnsi="Book Antiqua"/>
          <w:bCs/>
          <w:lang w:eastAsia="zh-CN"/>
        </w:rPr>
      </w:pPr>
      <w:r w:rsidRPr="00700A64">
        <w:rPr>
          <w:rFonts w:ascii="Book Antiqua" w:hAnsi="Book Antiqua" w:hint="eastAsia"/>
          <w:b/>
          <w:lang w:eastAsia="zh-CN"/>
        </w:rPr>
        <w:t>S</w:t>
      </w:r>
      <w:r w:rsidR="00526317" w:rsidRPr="00700A64">
        <w:rPr>
          <w:rFonts w:ascii="Book Antiqua" w:hAnsi="Book Antiqua"/>
          <w:b/>
        </w:rPr>
        <w:t>upported by</w:t>
      </w:r>
      <w:r w:rsidR="00526317" w:rsidRPr="00700A64">
        <w:rPr>
          <w:rFonts w:ascii="Book Antiqua" w:hAnsi="Book Antiqua"/>
        </w:rPr>
        <w:t xml:space="preserve"> </w:t>
      </w:r>
      <w:r w:rsidR="00526317" w:rsidRPr="00700A64">
        <w:rPr>
          <w:rFonts w:ascii="Book Antiqua" w:hAnsi="Book Antiqua"/>
          <w:bCs/>
          <w:caps/>
        </w:rPr>
        <w:t>g</w:t>
      </w:r>
      <w:r w:rsidR="00526317" w:rsidRPr="00700A64">
        <w:rPr>
          <w:rFonts w:ascii="Book Antiqua" w:hAnsi="Book Antiqua"/>
          <w:bCs/>
        </w:rPr>
        <w:t>rants from the Estonian Research Foundation</w:t>
      </w:r>
      <w:r w:rsidRPr="00700A64">
        <w:rPr>
          <w:rFonts w:ascii="Book Antiqua" w:hAnsi="Book Antiqua" w:hint="eastAsia"/>
          <w:bCs/>
          <w:lang w:eastAsia="zh-CN"/>
        </w:rPr>
        <w:t xml:space="preserve">, </w:t>
      </w:r>
      <w:r w:rsidRPr="00700A64">
        <w:rPr>
          <w:rFonts w:ascii="Book Antiqua" w:hAnsi="Book Antiqua"/>
          <w:bCs/>
        </w:rPr>
        <w:t>No. 7749</w:t>
      </w:r>
      <w:r w:rsidRPr="00700A64">
        <w:rPr>
          <w:rFonts w:ascii="Book Antiqua" w:hAnsi="Book Antiqua" w:hint="eastAsia"/>
          <w:bCs/>
          <w:lang w:eastAsia="zh-CN"/>
        </w:rPr>
        <w:t xml:space="preserve"> and</w:t>
      </w:r>
      <w:r w:rsidR="00526317" w:rsidRPr="00700A64">
        <w:rPr>
          <w:rFonts w:ascii="Book Antiqua" w:hAnsi="Book Antiqua"/>
          <w:bCs/>
        </w:rPr>
        <w:t xml:space="preserve"> </w:t>
      </w:r>
      <w:r w:rsidRPr="00700A64">
        <w:rPr>
          <w:rFonts w:ascii="Book Antiqua" w:hAnsi="Book Antiqua"/>
          <w:bCs/>
        </w:rPr>
        <w:t>No. 8334)</w:t>
      </w:r>
      <w:r w:rsidRPr="00700A64">
        <w:rPr>
          <w:rFonts w:ascii="Book Antiqua" w:hAnsi="Book Antiqua" w:hint="eastAsia"/>
          <w:bCs/>
          <w:lang w:eastAsia="zh-CN"/>
        </w:rPr>
        <w:t>;</w:t>
      </w:r>
      <w:r w:rsidR="00526317" w:rsidRPr="00700A64">
        <w:rPr>
          <w:rFonts w:ascii="Book Antiqua" w:hAnsi="Book Antiqua"/>
          <w:bCs/>
        </w:rPr>
        <w:t xml:space="preserve"> EU Regional Developmental Fund</w:t>
      </w:r>
      <w:r w:rsidRPr="00700A64">
        <w:rPr>
          <w:rFonts w:ascii="Book Antiqua" w:hAnsi="Book Antiqua" w:hint="eastAsia"/>
          <w:bCs/>
          <w:lang w:eastAsia="zh-CN"/>
        </w:rPr>
        <w:t>;</w:t>
      </w:r>
      <w:r w:rsidR="00526317" w:rsidRPr="00700A64">
        <w:rPr>
          <w:rFonts w:ascii="Book Antiqua" w:hAnsi="Book Antiqua"/>
          <w:bCs/>
        </w:rPr>
        <w:t xml:space="preserve"> and </w:t>
      </w:r>
      <w:r w:rsidR="00526317" w:rsidRPr="00700A64">
        <w:rPr>
          <w:rFonts w:ascii="Book Antiqua" w:hAnsi="Book Antiqua"/>
          <w:bCs/>
          <w:caps/>
        </w:rPr>
        <w:t>g</w:t>
      </w:r>
      <w:r w:rsidR="00526317" w:rsidRPr="00700A64">
        <w:rPr>
          <w:rFonts w:ascii="Book Antiqua" w:hAnsi="Book Antiqua"/>
          <w:bCs/>
        </w:rPr>
        <w:t>rants from the Estonian Ministry of Education and Research</w:t>
      </w:r>
      <w:r w:rsidRPr="00700A64">
        <w:rPr>
          <w:rFonts w:ascii="Book Antiqua" w:hAnsi="Book Antiqua" w:hint="eastAsia"/>
          <w:bCs/>
          <w:lang w:eastAsia="zh-CN"/>
        </w:rPr>
        <w:t>,</w:t>
      </w:r>
      <w:r w:rsidRPr="00700A64">
        <w:rPr>
          <w:rFonts w:ascii="Book Antiqua" w:hAnsi="Book Antiqua"/>
          <w:bCs/>
        </w:rPr>
        <w:t xml:space="preserve"> </w:t>
      </w:r>
      <w:r w:rsidRPr="00700A64">
        <w:rPr>
          <w:rFonts w:ascii="Book Antiqua" w:hAnsi="Book Antiqua" w:hint="eastAsia"/>
          <w:bCs/>
          <w:lang w:eastAsia="zh-CN"/>
        </w:rPr>
        <w:t xml:space="preserve">No. </w:t>
      </w:r>
      <w:r w:rsidR="00526317" w:rsidRPr="00700A64">
        <w:rPr>
          <w:rFonts w:ascii="Book Antiqua" w:hAnsi="Book Antiqua"/>
          <w:bCs/>
        </w:rPr>
        <w:t xml:space="preserve">SF 0180035s08 and </w:t>
      </w:r>
      <w:r w:rsidRPr="00700A64">
        <w:rPr>
          <w:rFonts w:ascii="Book Antiqua" w:hAnsi="Book Antiqua" w:hint="eastAsia"/>
          <w:bCs/>
          <w:lang w:eastAsia="zh-CN"/>
        </w:rPr>
        <w:t xml:space="preserve">No. </w:t>
      </w:r>
      <w:r w:rsidRPr="00700A64">
        <w:rPr>
          <w:rFonts w:ascii="Book Antiqua" w:hAnsi="Book Antiqua"/>
          <w:bCs/>
        </w:rPr>
        <w:t>IUT20-43</w:t>
      </w:r>
    </w:p>
    <w:p w:rsidR="00526317" w:rsidRPr="00700A64" w:rsidRDefault="00526317" w:rsidP="00B90E53">
      <w:pPr>
        <w:adjustRightInd w:val="0"/>
        <w:snapToGrid w:val="0"/>
        <w:spacing w:line="360" w:lineRule="auto"/>
        <w:jc w:val="both"/>
        <w:rPr>
          <w:rFonts w:ascii="Book Antiqua" w:hAnsi="Book Antiqua"/>
        </w:rPr>
      </w:pPr>
    </w:p>
    <w:p w:rsidR="00526317" w:rsidRPr="00700A64" w:rsidRDefault="00526317" w:rsidP="00B90E53">
      <w:pPr>
        <w:adjustRightInd w:val="0"/>
        <w:snapToGrid w:val="0"/>
        <w:spacing w:line="360" w:lineRule="auto"/>
        <w:jc w:val="both"/>
        <w:rPr>
          <w:rFonts w:ascii="Book Antiqua" w:hAnsi="Book Antiqua"/>
        </w:rPr>
      </w:pPr>
      <w:r w:rsidRPr="00700A64">
        <w:rPr>
          <w:rFonts w:ascii="Book Antiqua" w:hAnsi="Book Antiqua"/>
          <w:b/>
        </w:rPr>
        <w:t>Correspondence to:</w:t>
      </w:r>
      <w:r w:rsidRPr="00700A64">
        <w:rPr>
          <w:rFonts w:ascii="Book Antiqua" w:hAnsi="Book Antiqua"/>
        </w:rPr>
        <w:t xml:space="preserve"> </w:t>
      </w:r>
      <w:r w:rsidRPr="00700A64">
        <w:rPr>
          <w:rFonts w:ascii="Book Antiqua" w:hAnsi="Book Antiqua"/>
          <w:b/>
        </w:rPr>
        <w:t>Tamara Vorobjova</w:t>
      </w:r>
      <w:r w:rsidR="00C50071" w:rsidRPr="00700A64">
        <w:rPr>
          <w:rFonts w:ascii="Book Antiqua" w:hAnsi="Book Antiqua" w:hint="eastAsia"/>
          <w:b/>
          <w:lang w:eastAsia="zh-CN"/>
        </w:rPr>
        <w:t>,</w:t>
      </w:r>
      <w:r w:rsidRPr="00700A64">
        <w:rPr>
          <w:rFonts w:ascii="Book Antiqua" w:hAnsi="Book Antiqua"/>
          <w:b/>
        </w:rPr>
        <w:t xml:space="preserve"> MD</w:t>
      </w:r>
      <w:r w:rsidR="00C50071" w:rsidRPr="00700A64">
        <w:rPr>
          <w:rFonts w:ascii="Book Antiqua" w:hAnsi="Book Antiqua" w:hint="eastAsia"/>
          <w:b/>
          <w:lang w:eastAsia="zh-CN"/>
        </w:rPr>
        <w:t>,</w:t>
      </w:r>
      <w:r w:rsidRPr="00700A64">
        <w:rPr>
          <w:rFonts w:ascii="Book Antiqua" w:hAnsi="Book Antiqua"/>
          <w:b/>
        </w:rPr>
        <w:t xml:space="preserve"> PhD</w:t>
      </w:r>
      <w:r w:rsidR="00C50071" w:rsidRPr="00700A64">
        <w:rPr>
          <w:rFonts w:ascii="Book Antiqua" w:hAnsi="Book Antiqua" w:hint="eastAsia"/>
          <w:b/>
          <w:lang w:eastAsia="zh-CN"/>
        </w:rPr>
        <w:t>,</w:t>
      </w:r>
      <w:r w:rsidRPr="00700A64">
        <w:rPr>
          <w:rFonts w:ascii="Book Antiqua" w:hAnsi="Book Antiqua"/>
          <w:b/>
        </w:rPr>
        <w:t xml:space="preserve"> Sc med, Senior Researcher,</w:t>
      </w:r>
      <w:r w:rsidR="00C50071" w:rsidRPr="00700A64">
        <w:rPr>
          <w:rFonts w:ascii="Book Antiqua" w:hAnsi="Book Antiqua" w:hint="eastAsia"/>
          <w:b/>
          <w:lang w:eastAsia="zh-CN"/>
        </w:rPr>
        <w:t xml:space="preserve"> </w:t>
      </w:r>
      <w:r w:rsidRPr="00700A64">
        <w:rPr>
          <w:rFonts w:ascii="Book Antiqua" w:hAnsi="Book Antiqua"/>
        </w:rPr>
        <w:t xml:space="preserve">Department of Immunology, Institute of Biomedicine and Translational Medicine, University of Tartu, </w:t>
      </w:r>
      <w:r w:rsidR="008441B1" w:rsidRPr="00700A64">
        <w:rPr>
          <w:rFonts w:ascii="Book Antiqua" w:hAnsi="Book Antiqua"/>
        </w:rPr>
        <w:t>Ravila 19, 51014 Tartu, Estonia</w:t>
      </w:r>
      <w:r w:rsidR="008441B1" w:rsidRPr="00700A64">
        <w:rPr>
          <w:rFonts w:ascii="Book Antiqua" w:hAnsi="Book Antiqua" w:hint="eastAsia"/>
          <w:lang w:eastAsia="zh-CN"/>
        </w:rPr>
        <w:t xml:space="preserve">. </w:t>
      </w:r>
      <w:r w:rsidRPr="00700A64">
        <w:rPr>
          <w:rFonts w:ascii="Book Antiqua" w:hAnsi="Book Antiqua"/>
        </w:rPr>
        <w:t xml:space="preserve">amara.vorobjova@kliinikum.ee </w:t>
      </w:r>
    </w:p>
    <w:p w:rsidR="00526317" w:rsidRPr="00700A64" w:rsidRDefault="00526317" w:rsidP="00B90E53">
      <w:pPr>
        <w:pStyle w:val="2"/>
        <w:adjustRightInd w:val="0"/>
        <w:snapToGrid w:val="0"/>
        <w:spacing w:line="360" w:lineRule="auto"/>
        <w:rPr>
          <w:rFonts w:ascii="Book Antiqua" w:hAnsi="Book Antiqua"/>
          <w:lang w:val="en-US"/>
        </w:rPr>
      </w:pPr>
    </w:p>
    <w:p w:rsidR="00526317" w:rsidRPr="00700A64" w:rsidRDefault="00526317" w:rsidP="00B90E53">
      <w:pPr>
        <w:adjustRightInd w:val="0"/>
        <w:snapToGrid w:val="0"/>
        <w:spacing w:line="360" w:lineRule="auto"/>
        <w:jc w:val="both"/>
        <w:rPr>
          <w:rFonts w:ascii="Book Antiqua" w:hAnsi="Book Antiqua"/>
          <w:lang w:eastAsia="zh-CN"/>
        </w:rPr>
      </w:pPr>
      <w:r w:rsidRPr="00700A64">
        <w:rPr>
          <w:rFonts w:ascii="Book Antiqua" w:hAnsi="Book Antiqua"/>
          <w:b/>
        </w:rPr>
        <w:t>Telephone:</w:t>
      </w:r>
      <w:r w:rsidRPr="00700A64">
        <w:rPr>
          <w:rFonts w:ascii="Book Antiqua" w:hAnsi="Book Antiqua"/>
        </w:rPr>
        <w:t xml:space="preserve"> +372-7</w:t>
      </w:r>
      <w:r w:rsidR="008534DD" w:rsidRPr="00700A64">
        <w:rPr>
          <w:rFonts w:ascii="Book Antiqua" w:hAnsi="Book Antiqua" w:hint="eastAsia"/>
          <w:lang w:eastAsia="zh-CN"/>
        </w:rPr>
        <w:t>-</w:t>
      </w:r>
      <w:r w:rsidRPr="00700A64">
        <w:rPr>
          <w:rFonts w:ascii="Book Antiqua" w:hAnsi="Book Antiqua"/>
        </w:rPr>
        <w:t xml:space="preserve">374233 </w:t>
      </w:r>
      <w:r w:rsidR="00395C48" w:rsidRPr="00700A64">
        <w:rPr>
          <w:rFonts w:ascii="Book Antiqua" w:hAnsi="Book Antiqua" w:hint="eastAsia"/>
          <w:lang w:eastAsia="zh-CN"/>
        </w:rPr>
        <w:t xml:space="preserve"> </w:t>
      </w:r>
      <w:r w:rsidRPr="00700A64">
        <w:rPr>
          <w:rFonts w:ascii="Book Antiqua" w:hAnsi="Book Antiqua"/>
          <w:b/>
        </w:rPr>
        <w:t>Fax:</w:t>
      </w:r>
      <w:r w:rsidRPr="00700A64">
        <w:rPr>
          <w:rFonts w:ascii="Book Antiqua" w:hAnsi="Book Antiqua"/>
        </w:rPr>
        <w:t xml:space="preserve"> +372-7</w:t>
      </w:r>
      <w:r w:rsidR="008534DD" w:rsidRPr="00700A64">
        <w:rPr>
          <w:rFonts w:ascii="Book Antiqua" w:hAnsi="Book Antiqua" w:hint="eastAsia"/>
          <w:lang w:eastAsia="zh-CN"/>
        </w:rPr>
        <w:t>-</w:t>
      </w:r>
      <w:r w:rsidRPr="00700A64">
        <w:rPr>
          <w:rFonts w:ascii="Book Antiqua" w:hAnsi="Book Antiqua"/>
        </w:rPr>
        <w:t>374232</w:t>
      </w:r>
    </w:p>
    <w:p w:rsidR="008534DD" w:rsidRPr="00700A64" w:rsidRDefault="008534DD" w:rsidP="00B90E53">
      <w:pPr>
        <w:adjustRightInd w:val="0"/>
        <w:snapToGrid w:val="0"/>
        <w:spacing w:line="360" w:lineRule="auto"/>
        <w:jc w:val="both"/>
        <w:rPr>
          <w:rFonts w:ascii="Book Antiqua" w:hAnsi="Book Antiqua"/>
          <w:b/>
          <w:lang w:eastAsia="zh-CN"/>
        </w:rPr>
      </w:pPr>
      <w:r w:rsidRPr="00700A64">
        <w:rPr>
          <w:rFonts w:ascii="Book Antiqua" w:hAnsi="Book Antiqua"/>
          <w:b/>
        </w:rPr>
        <w:t>Received:</w:t>
      </w:r>
      <w:r w:rsidRPr="00700A64">
        <w:rPr>
          <w:rFonts w:ascii="Book Antiqua" w:hAnsi="Book Antiqua" w:hint="eastAsia"/>
          <w:b/>
          <w:lang w:eastAsia="zh-CN"/>
        </w:rPr>
        <w:t xml:space="preserve"> </w:t>
      </w:r>
      <w:r w:rsidR="00EF7910" w:rsidRPr="00700A64">
        <w:rPr>
          <w:rFonts w:ascii="Book Antiqua" w:hAnsi="Book Antiqua"/>
        </w:rPr>
        <w:t>April</w:t>
      </w:r>
      <w:r w:rsidR="00EF7910" w:rsidRPr="00700A64">
        <w:rPr>
          <w:rFonts w:ascii="Book Antiqua" w:hAnsi="Book Antiqua"/>
          <w:b/>
        </w:rPr>
        <w:t xml:space="preserve"> </w:t>
      </w:r>
      <w:r w:rsidR="00EF7910" w:rsidRPr="00700A64">
        <w:rPr>
          <w:rFonts w:ascii="Book Antiqua" w:hAnsi="Book Antiqua" w:hint="eastAsia"/>
          <w:lang w:eastAsia="zh-CN"/>
        </w:rPr>
        <w:t>1, 2014</w:t>
      </w:r>
      <w:r w:rsidR="00EF7910" w:rsidRPr="00700A64">
        <w:rPr>
          <w:rFonts w:ascii="Book Antiqua" w:hAnsi="Book Antiqua" w:hint="eastAsia"/>
          <w:b/>
          <w:lang w:eastAsia="zh-CN"/>
        </w:rPr>
        <w:t xml:space="preserve">  </w:t>
      </w:r>
      <w:r w:rsidRPr="00700A64">
        <w:rPr>
          <w:rFonts w:ascii="Book Antiqua" w:hAnsi="Book Antiqua"/>
          <w:b/>
        </w:rPr>
        <w:t>Revised</w:t>
      </w:r>
      <w:r w:rsidRPr="00700A64">
        <w:rPr>
          <w:rFonts w:ascii="Book Antiqua" w:hAnsi="Book Antiqua" w:hint="eastAsia"/>
          <w:b/>
          <w:lang w:eastAsia="zh-CN"/>
        </w:rPr>
        <w:t>:</w:t>
      </w:r>
      <w:r w:rsidR="00EF7910" w:rsidRPr="00700A64">
        <w:rPr>
          <w:rFonts w:ascii="Book Antiqua" w:hAnsi="Book Antiqua" w:hint="eastAsia"/>
          <w:b/>
          <w:lang w:eastAsia="zh-CN"/>
        </w:rPr>
        <w:t xml:space="preserve"> </w:t>
      </w:r>
      <w:r w:rsidR="00EF7910" w:rsidRPr="00700A64">
        <w:rPr>
          <w:rFonts w:ascii="Book Antiqua" w:hAnsi="Book Antiqua" w:hint="eastAsia"/>
          <w:lang w:eastAsia="zh-CN"/>
        </w:rPr>
        <w:t>May 15, 2014</w:t>
      </w:r>
    </w:p>
    <w:p w:rsidR="00526317" w:rsidRPr="00E7704D" w:rsidRDefault="00526317" w:rsidP="00E7704D">
      <w:pPr>
        <w:rPr>
          <w:rFonts w:ascii="Book Antiqua" w:hAnsi="Book Antiqua"/>
          <w:color w:val="000000"/>
        </w:rPr>
      </w:pPr>
      <w:r w:rsidRPr="00700A64">
        <w:rPr>
          <w:rFonts w:ascii="Book Antiqua" w:hAnsi="Book Antiqua"/>
          <w:b/>
        </w:rPr>
        <w:t>Accepted:</w:t>
      </w:r>
      <w:bookmarkStart w:id="4" w:name="OLE_LINK2"/>
      <w:bookmarkStart w:id="5" w:name="OLE_LINK3"/>
      <w:bookmarkStart w:id="6" w:name="OLE_LINK4"/>
      <w:bookmarkStart w:id="7" w:name="OLE_LINK5"/>
      <w:bookmarkStart w:id="8" w:name="OLE_LINK6"/>
      <w:bookmarkStart w:id="9" w:name="OLE_LINK7"/>
      <w:bookmarkStart w:id="10" w:name="OLE_LINK9"/>
      <w:bookmarkStart w:id="11" w:name="OLE_LINK10"/>
      <w:bookmarkStart w:id="12" w:name="OLE_LINK13"/>
      <w:bookmarkStart w:id="13" w:name="OLE_LINK14"/>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r w:rsidR="00E7704D" w:rsidRPr="00E7704D">
        <w:rPr>
          <w:rFonts w:ascii="Book Antiqua" w:hAnsi="Book Antiqua"/>
          <w:color w:val="000000"/>
        </w:rPr>
        <w:t xml:space="preserve"> </w:t>
      </w:r>
      <w:r w:rsidR="00E7704D">
        <w:rPr>
          <w:rFonts w:ascii="Book Antiqua" w:hAnsi="Book Antiqua"/>
          <w:color w:val="000000"/>
        </w:rPr>
        <w:t xml:space="preserve">July </w:t>
      </w:r>
      <w:r w:rsidR="00E7704D">
        <w:rPr>
          <w:rFonts w:ascii="Book Antiqua" w:hAnsi="Book Antiqua" w:hint="eastAsia"/>
          <w:color w:val="000000"/>
        </w:rPr>
        <w:t>22</w:t>
      </w:r>
      <w:r w:rsidR="00E7704D">
        <w:rPr>
          <w:rFonts w:ascii="Book Antiqua" w:hAnsi="Book Antiqua"/>
          <w:color w:val="000000"/>
        </w:rPr>
        <w:t>, 2014</w:t>
      </w:r>
      <w:bookmarkStart w:id="48"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26317" w:rsidRPr="00700A64" w:rsidRDefault="00526317" w:rsidP="00B90E53">
      <w:pPr>
        <w:adjustRightInd w:val="0"/>
        <w:snapToGrid w:val="0"/>
        <w:spacing w:line="360" w:lineRule="auto"/>
        <w:jc w:val="both"/>
        <w:rPr>
          <w:rFonts w:ascii="Book Antiqua" w:hAnsi="Book Antiqua"/>
        </w:rPr>
      </w:pPr>
      <w:r w:rsidRPr="00700A64">
        <w:rPr>
          <w:rFonts w:ascii="Book Antiqua" w:hAnsi="Book Antiqua"/>
          <w:b/>
        </w:rPr>
        <w:t xml:space="preserve">Published online:  </w:t>
      </w:r>
    </w:p>
    <w:p w:rsidR="008534DD" w:rsidRPr="00700A64" w:rsidRDefault="008534DD" w:rsidP="00B90E53">
      <w:pPr>
        <w:adjustRightInd w:val="0"/>
        <w:snapToGrid w:val="0"/>
        <w:spacing w:line="360" w:lineRule="auto"/>
        <w:jc w:val="both"/>
        <w:rPr>
          <w:rFonts w:ascii="Book Antiqua" w:hAnsi="Book Antiqua"/>
          <w:b/>
          <w:lang w:eastAsia="zh-CN"/>
        </w:rPr>
      </w:pPr>
    </w:p>
    <w:p w:rsidR="00E820B9" w:rsidRPr="00700A64" w:rsidRDefault="00E820B9" w:rsidP="00B90E53">
      <w:pPr>
        <w:adjustRightInd w:val="0"/>
        <w:snapToGrid w:val="0"/>
        <w:spacing w:line="360" w:lineRule="auto"/>
        <w:jc w:val="both"/>
        <w:rPr>
          <w:rFonts w:ascii="Book Antiqua" w:hAnsi="Book Antiqua"/>
          <w:b/>
          <w:lang w:eastAsia="zh-CN"/>
        </w:rPr>
      </w:pPr>
      <w:r w:rsidRPr="00700A64">
        <w:rPr>
          <w:rFonts w:ascii="Book Antiqua" w:hAnsi="Book Antiqua"/>
          <w:b/>
        </w:rPr>
        <w:t>Abstract</w:t>
      </w:r>
      <w:r w:rsidR="00963294" w:rsidRPr="00700A64">
        <w:rPr>
          <w:rFonts w:ascii="Book Antiqua" w:hAnsi="Book Antiqua"/>
          <w:b/>
        </w:rPr>
        <w:t xml:space="preserve">  </w:t>
      </w:r>
    </w:p>
    <w:p w:rsidR="00E820B9" w:rsidRPr="00700A64" w:rsidRDefault="00E820B9" w:rsidP="00B90E53">
      <w:pPr>
        <w:adjustRightInd w:val="0"/>
        <w:snapToGrid w:val="0"/>
        <w:spacing w:line="360" w:lineRule="auto"/>
        <w:jc w:val="both"/>
        <w:rPr>
          <w:rFonts w:ascii="Book Antiqua" w:hAnsi="Book Antiqua"/>
        </w:rPr>
      </w:pPr>
      <w:r w:rsidRPr="00700A64">
        <w:rPr>
          <w:rFonts w:ascii="Book Antiqua" w:hAnsi="Book Antiqua"/>
          <w:b/>
        </w:rPr>
        <w:t>AIM:</w:t>
      </w:r>
      <w:r w:rsidRPr="00700A64">
        <w:rPr>
          <w:rFonts w:ascii="Book Antiqua" w:hAnsi="Book Antiqua"/>
        </w:rPr>
        <w:t xml:space="preserve"> </w:t>
      </w:r>
      <w:r w:rsidR="000555CA" w:rsidRPr="00700A64">
        <w:rPr>
          <w:rFonts w:ascii="Book Antiqua" w:hAnsi="Book Antiqua"/>
        </w:rPr>
        <w:t xml:space="preserve">To investigate the </w:t>
      </w:r>
      <w:r w:rsidR="00FB435C" w:rsidRPr="00700A64">
        <w:rPr>
          <w:rFonts w:ascii="Book Antiqua" w:hAnsi="Book Antiqua"/>
        </w:rPr>
        <w:t xml:space="preserve">densities </w:t>
      </w:r>
      <w:r w:rsidR="000555CA" w:rsidRPr="00700A64">
        <w:rPr>
          <w:rFonts w:ascii="Book Antiqua" w:hAnsi="Book Antiqua"/>
        </w:rPr>
        <w:t xml:space="preserve">of dendritic cells (DCs) and FOXP3+ </w:t>
      </w:r>
      <w:r w:rsidR="006066B9" w:rsidRPr="00700A64">
        <w:rPr>
          <w:rFonts w:ascii="Book Antiqua" w:hAnsi="Book Antiqua"/>
        </w:rPr>
        <w:t>regulatory T cells (</w:t>
      </w:r>
      <w:r w:rsidR="000555CA" w:rsidRPr="00700A64">
        <w:rPr>
          <w:rFonts w:ascii="Book Antiqua" w:hAnsi="Book Antiqua"/>
        </w:rPr>
        <w:t>Tregs</w:t>
      </w:r>
      <w:r w:rsidR="006066B9" w:rsidRPr="00700A64">
        <w:rPr>
          <w:rFonts w:ascii="Book Antiqua" w:hAnsi="Book Antiqua"/>
        </w:rPr>
        <w:t>)</w:t>
      </w:r>
      <w:r w:rsidR="000555CA" w:rsidRPr="00700A64">
        <w:rPr>
          <w:rFonts w:ascii="Book Antiqua" w:hAnsi="Book Antiqua"/>
        </w:rPr>
        <w:t xml:space="preserve"> and their interrelations in the small bowel mucosa in </w:t>
      </w:r>
      <w:r w:rsidR="00166DC0" w:rsidRPr="00700A64">
        <w:rPr>
          <w:rFonts w:ascii="Book Antiqua" w:hAnsi="Book Antiqua"/>
        </w:rPr>
        <w:t xml:space="preserve">untreated </w:t>
      </w:r>
      <w:r w:rsidR="000555CA" w:rsidRPr="00700A64">
        <w:rPr>
          <w:rFonts w:ascii="Book Antiqua" w:hAnsi="Book Antiqua"/>
        </w:rPr>
        <w:t>celiac disease (CD) patients with and without type 1 diabetes (T1D)</w:t>
      </w:r>
      <w:r w:rsidR="002E510B" w:rsidRPr="00700A64">
        <w:rPr>
          <w:rFonts w:ascii="Book Antiqua" w:hAnsi="Book Antiqua"/>
        </w:rPr>
        <w:t>.</w:t>
      </w:r>
    </w:p>
    <w:p w:rsidR="00231E08" w:rsidRPr="00700A64" w:rsidRDefault="00231E08" w:rsidP="00B90E53">
      <w:pPr>
        <w:adjustRightInd w:val="0"/>
        <w:snapToGrid w:val="0"/>
        <w:spacing w:line="360" w:lineRule="auto"/>
        <w:jc w:val="both"/>
        <w:rPr>
          <w:rFonts w:ascii="Book Antiqua" w:hAnsi="Book Antiqua"/>
          <w:bCs/>
        </w:rPr>
      </w:pPr>
    </w:p>
    <w:p w:rsidR="00032EA4" w:rsidRPr="00700A64" w:rsidRDefault="000555CA" w:rsidP="00B90E53">
      <w:pPr>
        <w:adjustRightInd w:val="0"/>
        <w:snapToGrid w:val="0"/>
        <w:spacing w:line="360" w:lineRule="auto"/>
        <w:jc w:val="both"/>
        <w:rPr>
          <w:rFonts w:ascii="Book Antiqua" w:hAnsi="Book Antiqua" w:cs="Times-Roman"/>
        </w:rPr>
      </w:pPr>
      <w:r w:rsidRPr="00700A64">
        <w:rPr>
          <w:rFonts w:ascii="Book Antiqua" w:hAnsi="Book Antiqua"/>
          <w:b/>
        </w:rPr>
        <w:t>METHODS:</w:t>
      </w:r>
      <w:r w:rsidRPr="00700A64">
        <w:rPr>
          <w:rFonts w:ascii="Book Antiqua" w:hAnsi="Book Antiqua"/>
        </w:rPr>
        <w:t xml:space="preserve"> </w:t>
      </w:r>
      <w:r w:rsidR="00166DC0" w:rsidRPr="00700A64">
        <w:rPr>
          <w:rFonts w:ascii="Book Antiqua" w:hAnsi="Book Antiqua"/>
          <w:bCs/>
        </w:rPr>
        <w:t>Seventy-four patients (45 female, 29 male, mean age 11.1</w:t>
      </w:r>
      <w:r w:rsidR="00F94270" w:rsidRPr="00700A64">
        <w:rPr>
          <w:rFonts w:ascii="Book Antiqua" w:hAnsi="Book Antiqua" w:hint="eastAsia"/>
          <w:bCs/>
          <w:lang w:eastAsia="zh-CN"/>
        </w:rPr>
        <w:t xml:space="preserve"> </w:t>
      </w:r>
      <w:r w:rsidR="00166DC0" w:rsidRPr="00700A64">
        <w:rPr>
          <w:rFonts w:ascii="Book Antiqua" w:hAnsi="Book Antiqua"/>
          <w:bCs/>
        </w:rPr>
        <w:sym w:font="Symbol" w:char="00B1"/>
      </w:r>
      <w:r w:rsidR="00F94270" w:rsidRPr="00700A64">
        <w:rPr>
          <w:rFonts w:ascii="Book Antiqua" w:hAnsi="Book Antiqua" w:hint="eastAsia"/>
          <w:bCs/>
          <w:lang w:eastAsia="zh-CN"/>
        </w:rPr>
        <w:t xml:space="preserve"> </w:t>
      </w:r>
      <w:r w:rsidR="00166DC0" w:rsidRPr="00700A64">
        <w:rPr>
          <w:rFonts w:ascii="Book Antiqua" w:hAnsi="Book Antiqua"/>
          <w:bCs/>
        </w:rPr>
        <w:t>6.8 years) who underwent small bowel biopsy were studied. CD without T1D was diagnosed in 18</w:t>
      </w:r>
      <w:r w:rsidR="000F4934" w:rsidRPr="00700A64">
        <w:rPr>
          <w:rFonts w:ascii="Book Antiqua" w:hAnsi="Book Antiqua"/>
          <w:bCs/>
        </w:rPr>
        <w:t xml:space="preserve"> </w:t>
      </w:r>
      <w:r w:rsidR="002E510B" w:rsidRPr="00700A64">
        <w:rPr>
          <w:rFonts w:ascii="Book Antiqua" w:hAnsi="Book Antiqua"/>
          <w:bCs/>
        </w:rPr>
        <w:t>patients</w:t>
      </w:r>
      <w:r w:rsidR="006066B9" w:rsidRPr="00700A64">
        <w:rPr>
          <w:rFonts w:ascii="Book Antiqua" w:hAnsi="Book Antiqua"/>
          <w:bCs/>
        </w:rPr>
        <w:t>,</w:t>
      </w:r>
      <w:r w:rsidR="00FB435C" w:rsidRPr="00700A64">
        <w:rPr>
          <w:rFonts w:ascii="Book Antiqua" w:hAnsi="Book Antiqua"/>
          <w:bCs/>
        </w:rPr>
        <w:t xml:space="preserve"> and </w:t>
      </w:r>
      <w:r w:rsidR="00166DC0" w:rsidRPr="00700A64">
        <w:rPr>
          <w:rFonts w:ascii="Book Antiqua" w:hAnsi="Book Antiqua"/>
          <w:bCs/>
        </w:rPr>
        <w:t xml:space="preserve">CD with T1D was diagnosed in 15 patients. </w:t>
      </w:r>
      <w:r w:rsidR="006066B9" w:rsidRPr="00700A64">
        <w:rPr>
          <w:rFonts w:ascii="Book Antiqua" w:hAnsi="Book Antiqua"/>
          <w:bCs/>
        </w:rPr>
        <w:t>N</w:t>
      </w:r>
      <w:r w:rsidR="00F53F27" w:rsidRPr="00700A64">
        <w:rPr>
          <w:rFonts w:ascii="Book Antiqua" w:hAnsi="Book Antiqua"/>
          <w:bCs/>
        </w:rPr>
        <w:t xml:space="preserve">ormal </w:t>
      </w:r>
      <w:r w:rsidR="00166DC0" w:rsidRPr="00700A64">
        <w:rPr>
          <w:rFonts w:ascii="Book Antiqua" w:hAnsi="Book Antiqua"/>
          <w:bCs/>
        </w:rPr>
        <w:t>small bowel mucosa was found in two T1D patients. Thirty-nine patients (mean age 12.8</w:t>
      </w:r>
      <w:r w:rsidR="00F94270" w:rsidRPr="00700A64">
        <w:rPr>
          <w:rFonts w:ascii="Book Antiqua" w:hAnsi="Book Antiqua" w:hint="eastAsia"/>
          <w:bCs/>
          <w:lang w:eastAsia="zh-CN"/>
        </w:rPr>
        <w:t xml:space="preserve"> </w:t>
      </w:r>
      <w:r w:rsidR="00166DC0" w:rsidRPr="00700A64">
        <w:rPr>
          <w:rFonts w:ascii="Book Antiqua" w:hAnsi="Book Antiqua"/>
          <w:bCs/>
        </w:rPr>
        <w:sym w:font="Symbol" w:char="00B1"/>
      </w:r>
      <w:r w:rsidR="00F94270" w:rsidRPr="00700A64">
        <w:rPr>
          <w:rFonts w:ascii="Book Antiqua" w:hAnsi="Book Antiqua" w:hint="eastAsia"/>
          <w:bCs/>
          <w:lang w:eastAsia="zh-CN"/>
        </w:rPr>
        <w:t xml:space="preserve"> </w:t>
      </w:r>
      <w:r w:rsidR="00166DC0" w:rsidRPr="00700A64">
        <w:rPr>
          <w:rFonts w:ascii="Book Antiqua" w:hAnsi="Book Antiqua"/>
          <w:bCs/>
        </w:rPr>
        <w:t>4.9 years) with other diagnoses (functional dyspepsia, duodenal ulcer, erosive gastritis</w:t>
      </w:r>
      <w:r w:rsidR="00F53F27" w:rsidRPr="00700A64">
        <w:rPr>
          <w:rFonts w:ascii="Book Antiqua" w:hAnsi="Book Antiqua"/>
          <w:bCs/>
        </w:rPr>
        <w:t>,</w:t>
      </w:r>
      <w:r w:rsidR="00166DC0" w:rsidRPr="00700A64">
        <w:rPr>
          <w:rFonts w:ascii="Book Antiqua" w:hAnsi="Book Antiqua"/>
          <w:bCs/>
        </w:rPr>
        <w:t xml:space="preserve"> etc.) formed the control group. </w:t>
      </w:r>
      <w:r w:rsidR="002E510B" w:rsidRPr="00700A64">
        <w:rPr>
          <w:rFonts w:ascii="Book Antiqua" w:hAnsi="Book Antiqua"/>
          <w:bCs/>
        </w:rPr>
        <w:t xml:space="preserve">All CD patients had partial or subtotal villous atrophy according </w:t>
      </w:r>
      <w:r w:rsidR="004344D1" w:rsidRPr="00700A64">
        <w:rPr>
          <w:rFonts w:ascii="Book Antiqua" w:hAnsi="Book Antiqua"/>
          <w:bCs/>
        </w:rPr>
        <w:t xml:space="preserve">to </w:t>
      </w:r>
      <w:r w:rsidR="00081F51" w:rsidRPr="00700A64">
        <w:rPr>
          <w:rFonts w:ascii="Book Antiqua" w:hAnsi="Book Antiqua"/>
          <w:bCs/>
        </w:rPr>
        <w:t xml:space="preserve">the </w:t>
      </w:r>
      <w:r w:rsidR="004344D1" w:rsidRPr="00700A64">
        <w:rPr>
          <w:rFonts w:ascii="Book Antiqua" w:hAnsi="Book Antiqua"/>
          <w:bCs/>
        </w:rPr>
        <w:t>Marsh</w:t>
      </w:r>
      <w:r w:rsidR="002E510B" w:rsidRPr="00700A64">
        <w:rPr>
          <w:rFonts w:ascii="Book Antiqua" w:hAnsi="Book Antiqua"/>
          <w:bCs/>
        </w:rPr>
        <w:t xml:space="preserve"> classification: Marsh grade IIIa in 9, grade IIIb in 21 and grade IIIc in 3 cases. </w:t>
      </w:r>
      <w:r w:rsidR="00F53F27" w:rsidRPr="00700A64">
        <w:rPr>
          <w:rFonts w:ascii="Book Antiqua" w:hAnsi="Book Antiqua"/>
          <w:bCs/>
        </w:rPr>
        <w:t>Thirty-</w:t>
      </w:r>
      <w:r w:rsidR="002E510B" w:rsidRPr="00700A64">
        <w:rPr>
          <w:rFonts w:ascii="Book Antiqua" w:hAnsi="Book Antiqua"/>
          <w:bCs/>
        </w:rPr>
        <w:t xml:space="preserve">nine patients without CD and 2 with T1D had normal small bowel mucosa (Marsh grade 0). </w:t>
      </w:r>
      <w:r w:rsidR="00166DC0" w:rsidRPr="00700A64">
        <w:rPr>
          <w:rFonts w:ascii="Book Antiqua" w:hAnsi="Book Antiqua"/>
        </w:rPr>
        <w:t xml:space="preserve">The </w:t>
      </w:r>
      <w:r w:rsidR="00166DC0" w:rsidRPr="00700A64">
        <w:rPr>
          <w:rFonts w:ascii="Book Antiqua" w:hAnsi="Book Antiqua"/>
        </w:rPr>
        <w:lastRenderedPageBreak/>
        <w:t>densit</w:t>
      </w:r>
      <w:r w:rsidR="00F878D5" w:rsidRPr="00700A64">
        <w:rPr>
          <w:rFonts w:ascii="Book Antiqua" w:hAnsi="Book Antiqua"/>
        </w:rPr>
        <w:t>ies</w:t>
      </w:r>
      <w:r w:rsidR="00166DC0" w:rsidRPr="00700A64">
        <w:rPr>
          <w:rFonts w:ascii="Book Antiqua" w:hAnsi="Book Antiqua"/>
        </w:rPr>
        <w:t xml:space="preserve"> of CD11c+, IDO+, CD103+, Langerin (CD207+) DCs and FOXP3+ Tregs were investigated by</w:t>
      </w:r>
      <w:r w:rsidR="002E510B" w:rsidRPr="00700A64">
        <w:rPr>
          <w:rFonts w:ascii="Book Antiqua" w:hAnsi="Book Antiqua"/>
        </w:rPr>
        <w:t xml:space="preserve"> </w:t>
      </w:r>
      <w:r w:rsidR="00166DC0" w:rsidRPr="00700A64">
        <w:rPr>
          <w:rFonts w:ascii="Book Antiqua" w:hAnsi="Book Antiqua"/>
        </w:rPr>
        <w:t xml:space="preserve">immunohistochemistry </w:t>
      </w:r>
      <w:r w:rsidR="00032EA4" w:rsidRPr="00700A64">
        <w:rPr>
          <w:rFonts w:ascii="Book Antiqua" w:hAnsi="Book Antiqua"/>
        </w:rPr>
        <w:t>(</w:t>
      </w:r>
      <w:r w:rsidR="00166DC0" w:rsidRPr="00700A64">
        <w:rPr>
          <w:rFonts w:ascii="Book Antiqua" w:hAnsi="Book Antiqua"/>
          <w:bCs/>
        </w:rPr>
        <w:t>on paraffin-embedded specimens</w:t>
      </w:r>
      <w:r w:rsidR="00032EA4" w:rsidRPr="00700A64">
        <w:rPr>
          <w:rFonts w:ascii="Book Antiqua" w:hAnsi="Book Antiqua"/>
          <w:bCs/>
        </w:rPr>
        <w:t>)</w:t>
      </w:r>
      <w:r w:rsidR="00166DC0" w:rsidRPr="00700A64">
        <w:rPr>
          <w:rFonts w:ascii="Book Antiqua" w:hAnsi="Book Antiqua"/>
        </w:rPr>
        <w:t xml:space="preserve"> and</w:t>
      </w:r>
      <w:r w:rsidR="002E510B" w:rsidRPr="00700A64">
        <w:rPr>
          <w:rFonts w:ascii="Book Antiqua" w:hAnsi="Book Antiqua"/>
        </w:rPr>
        <w:t xml:space="preserve"> </w:t>
      </w:r>
      <w:r w:rsidR="00166DC0" w:rsidRPr="00700A64">
        <w:rPr>
          <w:rFonts w:ascii="Book Antiqua" w:hAnsi="Book Antiqua"/>
        </w:rPr>
        <w:t>i</w:t>
      </w:r>
      <w:r w:rsidR="00166DC0" w:rsidRPr="00700A64">
        <w:rPr>
          <w:rFonts w:ascii="Book Antiqua" w:hAnsi="Book Antiqua"/>
          <w:bCs/>
        </w:rPr>
        <w:t xml:space="preserve">mmunofluorescence </w:t>
      </w:r>
      <w:r w:rsidR="00032EA4" w:rsidRPr="00700A64">
        <w:rPr>
          <w:rFonts w:ascii="Book Antiqua" w:hAnsi="Book Antiqua"/>
          <w:bCs/>
        </w:rPr>
        <w:t>(</w:t>
      </w:r>
      <w:r w:rsidR="00166DC0" w:rsidRPr="00700A64">
        <w:rPr>
          <w:rFonts w:ascii="Book Antiqua" w:hAnsi="Book Antiqua"/>
          <w:bCs/>
        </w:rPr>
        <w:t>on cryostat sections</w:t>
      </w:r>
      <w:r w:rsidR="00032EA4" w:rsidRPr="00700A64">
        <w:rPr>
          <w:rFonts w:ascii="Book Antiqua" w:hAnsi="Book Antiqua"/>
          <w:bCs/>
        </w:rPr>
        <w:t>)</w:t>
      </w:r>
      <w:r w:rsidR="00F53F27" w:rsidRPr="00700A64">
        <w:rPr>
          <w:rFonts w:ascii="Book Antiqua" w:hAnsi="Book Antiqua"/>
          <w:bCs/>
        </w:rPr>
        <w:t xml:space="preserve"> methods</w:t>
      </w:r>
      <w:r w:rsidR="00166DC0" w:rsidRPr="00700A64">
        <w:rPr>
          <w:rFonts w:ascii="Book Antiqua" w:hAnsi="Book Antiqua"/>
        </w:rPr>
        <w:t xml:space="preserve"> using a combination of mono- and </w:t>
      </w:r>
      <w:r w:rsidR="00F53F27" w:rsidRPr="00700A64">
        <w:rPr>
          <w:rFonts w:ascii="Book Antiqua" w:hAnsi="Book Antiqua"/>
        </w:rPr>
        <w:t>double-</w:t>
      </w:r>
      <w:r w:rsidR="00166DC0" w:rsidRPr="00700A64">
        <w:rPr>
          <w:rFonts w:ascii="Book Antiqua" w:hAnsi="Book Antiqua"/>
        </w:rPr>
        <w:t>staining</w:t>
      </w:r>
      <w:r w:rsidR="00032EA4" w:rsidRPr="00700A64">
        <w:rPr>
          <w:rFonts w:ascii="Book Antiqua" w:hAnsi="Book Antiqua"/>
        </w:rPr>
        <w:t>.</w:t>
      </w:r>
      <w:r w:rsidR="00166DC0" w:rsidRPr="00700A64">
        <w:rPr>
          <w:rFonts w:ascii="Book Antiqua" w:hAnsi="Book Antiqua"/>
        </w:rPr>
        <w:t xml:space="preserve"> </w:t>
      </w:r>
      <w:r w:rsidR="00032EA4" w:rsidRPr="00700A64">
        <w:rPr>
          <w:rFonts w:ascii="Book Antiqua" w:hAnsi="Book Antiqua" w:cs="Times-Roman"/>
        </w:rPr>
        <w:t>Sixty-six ser</w:t>
      </w:r>
      <w:r w:rsidR="00F878D5" w:rsidRPr="00700A64">
        <w:rPr>
          <w:rFonts w:ascii="Book Antiqua" w:hAnsi="Book Antiqua" w:cs="Times-Roman"/>
        </w:rPr>
        <w:t>um</w:t>
      </w:r>
      <w:r w:rsidR="00032EA4" w:rsidRPr="00700A64">
        <w:rPr>
          <w:rFonts w:ascii="Book Antiqua" w:hAnsi="Book Antiqua" w:cs="Times-Roman"/>
        </w:rPr>
        <w:t xml:space="preserve"> </w:t>
      </w:r>
      <w:r w:rsidR="00F53F27" w:rsidRPr="00700A64">
        <w:rPr>
          <w:rFonts w:ascii="Book Antiqua" w:hAnsi="Book Antiqua" w:cs="Times-Roman"/>
        </w:rPr>
        <w:t xml:space="preserve">samples </w:t>
      </w:r>
      <w:r w:rsidR="00032EA4" w:rsidRPr="00700A64">
        <w:rPr>
          <w:rFonts w:ascii="Book Antiqua" w:hAnsi="Book Antiqua" w:cs="Times-Roman"/>
        </w:rPr>
        <w:t>were tested for IgA-</w:t>
      </w:r>
      <w:r w:rsidR="002D2CCA" w:rsidRPr="00700A64">
        <w:rPr>
          <w:rFonts w:ascii="Book Antiqua" w:hAnsi="Book Antiqua" w:cs="Times-Roman"/>
        </w:rPr>
        <w:t>tissue transglutaminase (</w:t>
      </w:r>
      <w:r w:rsidR="00032EA4" w:rsidRPr="00700A64">
        <w:rPr>
          <w:rFonts w:ascii="Book Antiqua" w:hAnsi="Book Antiqua" w:cs="Times-Roman"/>
        </w:rPr>
        <w:t>tTG</w:t>
      </w:r>
      <w:r w:rsidR="002D2CCA" w:rsidRPr="00700A64">
        <w:rPr>
          <w:rFonts w:ascii="Book Antiqua" w:hAnsi="Book Antiqua" w:cs="Times-Roman"/>
        </w:rPr>
        <w:t>)</w:t>
      </w:r>
      <w:r w:rsidR="00032EA4" w:rsidRPr="00700A64">
        <w:rPr>
          <w:rFonts w:ascii="Book Antiqua" w:hAnsi="Book Antiqua" w:cs="Times-Roman"/>
        </w:rPr>
        <w:t xml:space="preserve"> </w:t>
      </w:r>
      <w:r w:rsidR="00F878D5" w:rsidRPr="00700A64">
        <w:rPr>
          <w:rFonts w:ascii="Book Antiqua" w:hAnsi="Book Antiqua" w:cs="Times-Roman"/>
        </w:rPr>
        <w:t xml:space="preserve">using </w:t>
      </w:r>
      <w:r w:rsidR="00032EA4" w:rsidRPr="00700A64">
        <w:rPr>
          <w:rFonts w:ascii="Book Antiqua" w:hAnsi="Book Antiqua" w:cs="Times-Roman"/>
        </w:rPr>
        <w:t>a fully automated EliA</w:t>
      </w:r>
      <w:r w:rsidR="00032EA4" w:rsidRPr="00700A64">
        <w:rPr>
          <w:rFonts w:ascii="Book Antiqua" w:hAnsi="Book Antiqua"/>
        </w:rPr>
        <w:t>™</w:t>
      </w:r>
      <w:r w:rsidR="00032EA4" w:rsidRPr="00700A64">
        <w:rPr>
          <w:rFonts w:ascii="Book Antiqua" w:hAnsi="Book Antiqua" w:cs="Times-Roman"/>
        </w:rPr>
        <w:t xml:space="preserve"> Celikey® IgA assay (Pharmacia Diagnostics, Freiburg, Germany). </w:t>
      </w:r>
    </w:p>
    <w:p w:rsidR="00231E08" w:rsidRPr="00700A64" w:rsidRDefault="00231E08" w:rsidP="00B90E53">
      <w:pPr>
        <w:adjustRightInd w:val="0"/>
        <w:snapToGrid w:val="0"/>
        <w:spacing w:line="360" w:lineRule="auto"/>
        <w:jc w:val="both"/>
        <w:rPr>
          <w:rFonts w:ascii="Book Antiqua" w:hAnsi="Book Antiqua" w:cs="Times-Roman"/>
        </w:rPr>
      </w:pPr>
    </w:p>
    <w:p w:rsidR="009B4CF9" w:rsidRPr="00700A64" w:rsidRDefault="00032EA4" w:rsidP="00B90E53">
      <w:pPr>
        <w:adjustRightInd w:val="0"/>
        <w:snapToGrid w:val="0"/>
        <w:spacing w:line="360" w:lineRule="auto"/>
        <w:jc w:val="both"/>
        <w:rPr>
          <w:rFonts w:ascii="Book Antiqua" w:hAnsi="Book Antiqua"/>
        </w:rPr>
      </w:pPr>
      <w:r w:rsidRPr="00700A64">
        <w:rPr>
          <w:rFonts w:ascii="Book Antiqua" w:hAnsi="Book Antiqua" w:cs="Times-Roman"/>
          <w:b/>
        </w:rPr>
        <w:t>RESULTS:</w:t>
      </w:r>
      <w:r w:rsidRPr="00700A64">
        <w:rPr>
          <w:rFonts w:ascii="Book Antiqua" w:hAnsi="Book Antiqua" w:cs="Times-Roman"/>
        </w:rPr>
        <w:t xml:space="preserve"> </w:t>
      </w:r>
      <w:r w:rsidR="002E6469" w:rsidRPr="00700A64">
        <w:rPr>
          <w:rFonts w:ascii="Book Antiqua" w:hAnsi="Book Antiqua"/>
          <w:bCs/>
        </w:rPr>
        <w:t>The density of CD11c+ DCs was significantly increased in CD patients compared with patients with normal mucosa (</w:t>
      </w:r>
      <w:r w:rsidR="00231E08" w:rsidRPr="00700A64">
        <w:rPr>
          <w:rFonts w:ascii="Book Antiqua" w:hAnsi="Book Antiqua"/>
          <w:bCs/>
        </w:rPr>
        <w:t>21.67</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2.49 </w:t>
      </w:r>
      <w:r w:rsidR="00F94270" w:rsidRPr="00700A64">
        <w:rPr>
          <w:rFonts w:ascii="Book Antiqua" w:hAnsi="Book Antiqua"/>
          <w:bCs/>
          <w:i/>
        </w:rPr>
        <w:t>vs</w:t>
      </w:r>
      <w:r w:rsidR="00231E08" w:rsidRPr="00700A64">
        <w:rPr>
          <w:rFonts w:ascii="Book Antiqua" w:hAnsi="Book Antiqua"/>
          <w:bCs/>
        </w:rPr>
        <w:t xml:space="preserve"> 13.58</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1.51, </w:t>
      </w:r>
      <w:r w:rsidR="00F94270" w:rsidRPr="00700A64">
        <w:rPr>
          <w:rFonts w:ascii="Book Antiqua" w:hAnsi="Book Antiqua"/>
          <w:bCs/>
          <w:i/>
        </w:rPr>
        <w:t xml:space="preserve">P = </w:t>
      </w:r>
      <w:r w:rsidR="00231E08" w:rsidRPr="00700A64">
        <w:rPr>
          <w:rFonts w:ascii="Book Antiqua" w:hAnsi="Book Antiqua"/>
          <w:bCs/>
        </w:rPr>
        <w:t>0.007</w:t>
      </w:r>
      <w:r w:rsidR="002E6469" w:rsidRPr="00700A64">
        <w:rPr>
          <w:rFonts w:ascii="Book Antiqua" w:hAnsi="Book Antiqua"/>
          <w:bCs/>
        </w:rPr>
        <w:t>). The number</w:t>
      </w:r>
      <w:r w:rsidR="00740439" w:rsidRPr="00700A64">
        <w:rPr>
          <w:rFonts w:ascii="Book Antiqua" w:hAnsi="Book Antiqua"/>
          <w:bCs/>
        </w:rPr>
        <w:t>s</w:t>
      </w:r>
      <w:r w:rsidR="002E6469" w:rsidRPr="00700A64">
        <w:rPr>
          <w:rFonts w:ascii="Book Antiqua" w:hAnsi="Book Antiqua"/>
          <w:bCs/>
        </w:rPr>
        <w:t xml:space="preserve"> of FOXP3+ cells </w:t>
      </w:r>
      <w:r w:rsidR="00740439" w:rsidRPr="00700A64">
        <w:rPr>
          <w:rFonts w:ascii="Book Antiqua" w:hAnsi="Book Antiqua"/>
          <w:bCs/>
        </w:rPr>
        <w:t xml:space="preserve">were </w:t>
      </w:r>
      <w:r w:rsidR="002E6469" w:rsidRPr="00700A64">
        <w:rPr>
          <w:rFonts w:ascii="Book Antiqua" w:hAnsi="Book Antiqua"/>
          <w:bCs/>
        </w:rPr>
        <w:t>significantly higher in CD patients (</w:t>
      </w:r>
      <w:r w:rsidR="00231E08" w:rsidRPr="00700A64">
        <w:rPr>
          <w:rFonts w:ascii="Book Antiqua" w:hAnsi="Book Antiqua"/>
          <w:bCs/>
        </w:rPr>
        <w:t>10.66</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1.50 </w:t>
      </w:r>
      <w:r w:rsidR="00F94270" w:rsidRPr="00700A64">
        <w:rPr>
          <w:rFonts w:ascii="Book Antiqua" w:hAnsi="Book Antiqua"/>
          <w:bCs/>
          <w:i/>
        </w:rPr>
        <w:t>vs</w:t>
      </w:r>
      <w:r w:rsidR="00231E08" w:rsidRPr="00700A64">
        <w:rPr>
          <w:rFonts w:ascii="Book Antiqua" w:hAnsi="Book Antiqua"/>
          <w:bCs/>
        </w:rPr>
        <w:t xml:space="preserve"> 1.92</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0.37,</w:t>
      </w:r>
      <w:r w:rsidR="00F94270" w:rsidRPr="00700A64">
        <w:rPr>
          <w:rFonts w:ascii="Book Antiqua" w:hAnsi="Book Antiqua"/>
          <w:bCs/>
          <w:i/>
        </w:rPr>
        <w:t xml:space="preserve">P = </w:t>
      </w:r>
      <w:r w:rsidR="002E6469" w:rsidRPr="00700A64">
        <w:rPr>
          <w:rFonts w:ascii="Book Antiqua" w:hAnsi="Book Antiqua"/>
          <w:bCs/>
        </w:rPr>
        <w:t>0.0002) and in patients with CD and coexisting T1D (</w:t>
      </w:r>
      <w:r w:rsidR="00231E08" w:rsidRPr="00700A64">
        <w:rPr>
          <w:rFonts w:ascii="Book Antiqua" w:hAnsi="Book Antiqua"/>
          <w:bCs/>
        </w:rPr>
        <w:t>8.11</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1.64 </w:t>
      </w:r>
      <w:r w:rsidR="00F94270" w:rsidRPr="00700A64">
        <w:rPr>
          <w:rFonts w:ascii="Book Antiqua" w:hAnsi="Book Antiqua"/>
          <w:bCs/>
          <w:i/>
        </w:rPr>
        <w:t>vs</w:t>
      </w:r>
      <w:r w:rsidR="00231E08" w:rsidRPr="00700A64">
        <w:rPr>
          <w:rFonts w:ascii="Book Antiqua" w:hAnsi="Book Antiqua"/>
          <w:bCs/>
        </w:rPr>
        <w:t xml:space="preserve"> 1.92</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0.37, </w:t>
      </w:r>
      <w:r w:rsidR="00F94270" w:rsidRPr="00700A64">
        <w:rPr>
          <w:rFonts w:ascii="Book Antiqua" w:hAnsi="Book Antiqua"/>
          <w:bCs/>
          <w:i/>
        </w:rPr>
        <w:t xml:space="preserve">P = </w:t>
      </w:r>
      <w:r w:rsidR="002E6469" w:rsidRPr="00700A64">
        <w:rPr>
          <w:rFonts w:ascii="Book Antiqua" w:hAnsi="Book Antiqua"/>
          <w:bCs/>
        </w:rPr>
        <w:t>0.002) compared with patients with normal mucosa</w:t>
      </w:r>
      <w:r w:rsidR="007C1B9B" w:rsidRPr="00700A64">
        <w:rPr>
          <w:rFonts w:ascii="Book Antiqua" w:hAnsi="Book Antiqua"/>
          <w:bCs/>
        </w:rPr>
        <w:t>.</w:t>
      </w:r>
      <w:r w:rsidR="002E6469" w:rsidRPr="00700A64">
        <w:rPr>
          <w:rFonts w:ascii="Book Antiqua" w:hAnsi="Book Antiqua"/>
          <w:bCs/>
        </w:rPr>
        <w:t xml:space="preserve"> The density of FOXP3+ cells significantly correlated with</w:t>
      </w:r>
      <w:r w:rsidR="00F53F27" w:rsidRPr="00700A64">
        <w:rPr>
          <w:rFonts w:ascii="Book Antiqua" w:hAnsi="Book Antiqua"/>
          <w:bCs/>
        </w:rPr>
        <w:t xml:space="preserve"> the</w:t>
      </w:r>
      <w:r w:rsidR="002E6469" w:rsidRPr="00700A64">
        <w:rPr>
          <w:rFonts w:ascii="Book Antiqua" w:hAnsi="Book Antiqua"/>
          <w:bCs/>
        </w:rPr>
        <w:t xml:space="preserve"> histological grade of atrophic changes in the small bowel mucosa according to the March classification (</w:t>
      </w:r>
      <w:r w:rsidR="002E6469" w:rsidRPr="00700A64">
        <w:rPr>
          <w:rFonts w:ascii="Book Antiqua" w:hAnsi="Book Antiqua"/>
          <w:bCs/>
          <w:i/>
        </w:rPr>
        <w:t>r</w:t>
      </w:r>
      <w:r w:rsidR="00F94270" w:rsidRPr="00700A64">
        <w:rPr>
          <w:rFonts w:ascii="Book Antiqua" w:hAnsi="Book Antiqua" w:hint="eastAsia"/>
          <w:bCs/>
          <w:i/>
          <w:lang w:eastAsia="zh-CN"/>
        </w:rPr>
        <w:t xml:space="preserve"> </w:t>
      </w:r>
      <w:r w:rsidR="002E6469" w:rsidRPr="00700A64">
        <w:rPr>
          <w:rFonts w:ascii="Book Antiqua" w:hAnsi="Book Antiqua"/>
          <w:bCs/>
        </w:rPr>
        <w:t>=</w:t>
      </w:r>
      <w:r w:rsidR="00F94270" w:rsidRPr="00700A64">
        <w:rPr>
          <w:rFonts w:ascii="Book Antiqua" w:hAnsi="Book Antiqua" w:hint="eastAsia"/>
          <w:bCs/>
          <w:lang w:eastAsia="zh-CN"/>
        </w:rPr>
        <w:t xml:space="preserve"> </w:t>
      </w:r>
      <w:r w:rsidR="002E6469" w:rsidRPr="00700A64">
        <w:rPr>
          <w:rFonts w:ascii="Book Antiqua" w:hAnsi="Book Antiqua"/>
          <w:bCs/>
        </w:rPr>
        <w:t xml:space="preserve">0.62; </w:t>
      </w:r>
      <w:r w:rsidR="006C156E" w:rsidRPr="00700A64">
        <w:rPr>
          <w:rFonts w:ascii="Book Antiqua" w:hAnsi="Book Antiqua"/>
          <w:bCs/>
          <w:i/>
        </w:rPr>
        <w:t>P</w:t>
      </w:r>
      <w:r w:rsidR="00F94270" w:rsidRPr="00700A64">
        <w:rPr>
          <w:rFonts w:ascii="Book Antiqua" w:hAnsi="Book Antiqua" w:hint="eastAsia"/>
          <w:bCs/>
          <w:i/>
          <w:lang w:eastAsia="zh-CN"/>
        </w:rPr>
        <w:t xml:space="preserve"> </w:t>
      </w:r>
      <w:r w:rsidR="002E6469" w:rsidRPr="00700A64">
        <w:rPr>
          <w:rFonts w:ascii="Book Antiqua" w:hAnsi="Book Antiqua"/>
          <w:bCs/>
        </w:rPr>
        <w:t>&lt;</w:t>
      </w:r>
      <w:r w:rsidR="00F94270" w:rsidRPr="00700A64">
        <w:rPr>
          <w:rFonts w:ascii="Book Antiqua" w:hAnsi="Book Antiqua" w:hint="eastAsia"/>
          <w:bCs/>
          <w:lang w:eastAsia="zh-CN"/>
        </w:rPr>
        <w:t xml:space="preserve"> </w:t>
      </w:r>
      <w:r w:rsidR="002E6469" w:rsidRPr="00700A64">
        <w:rPr>
          <w:rFonts w:ascii="Book Antiqua" w:hAnsi="Book Antiqua"/>
          <w:bCs/>
        </w:rPr>
        <w:t xml:space="preserve">0.0001) </w:t>
      </w:r>
      <w:r w:rsidR="00740439" w:rsidRPr="00700A64">
        <w:rPr>
          <w:rFonts w:ascii="Book Antiqua" w:hAnsi="Book Antiqua"/>
          <w:bCs/>
        </w:rPr>
        <w:t>and</w:t>
      </w:r>
      <w:r w:rsidR="002E6469" w:rsidRPr="00700A64">
        <w:rPr>
          <w:rFonts w:ascii="Book Antiqua" w:hAnsi="Book Antiqua"/>
          <w:bCs/>
        </w:rPr>
        <w:t xml:space="preserve"> with level</w:t>
      </w:r>
      <w:r w:rsidR="00081F51" w:rsidRPr="00700A64">
        <w:rPr>
          <w:rFonts w:ascii="Book Antiqua" w:hAnsi="Book Antiqua"/>
          <w:bCs/>
        </w:rPr>
        <w:t>s</w:t>
      </w:r>
      <w:r w:rsidR="002E6469" w:rsidRPr="00700A64">
        <w:rPr>
          <w:rFonts w:ascii="Book Antiqua" w:hAnsi="Book Antiqua"/>
          <w:bCs/>
        </w:rPr>
        <w:t xml:space="preserve"> of IgA-tTG (</w:t>
      </w:r>
      <w:r w:rsidR="002E6469" w:rsidRPr="00700A64">
        <w:rPr>
          <w:rFonts w:ascii="Book Antiqua" w:hAnsi="Book Antiqua"/>
          <w:bCs/>
          <w:i/>
        </w:rPr>
        <w:t>r</w:t>
      </w:r>
      <w:r w:rsidR="00F94270" w:rsidRPr="00700A64">
        <w:rPr>
          <w:rFonts w:ascii="Book Antiqua" w:hAnsi="Book Antiqua" w:hint="eastAsia"/>
          <w:bCs/>
          <w:i/>
          <w:lang w:eastAsia="zh-CN"/>
        </w:rPr>
        <w:t xml:space="preserve"> </w:t>
      </w:r>
      <w:r w:rsidR="002E6469" w:rsidRPr="00700A64">
        <w:rPr>
          <w:rFonts w:ascii="Book Antiqua" w:hAnsi="Book Antiqua"/>
          <w:bCs/>
        </w:rPr>
        <w:t>=</w:t>
      </w:r>
      <w:r w:rsidR="00F94270" w:rsidRPr="00700A64">
        <w:rPr>
          <w:rFonts w:ascii="Book Antiqua" w:hAnsi="Book Antiqua" w:hint="eastAsia"/>
          <w:bCs/>
          <w:lang w:eastAsia="zh-CN"/>
        </w:rPr>
        <w:t xml:space="preserve"> </w:t>
      </w:r>
      <w:r w:rsidR="00F94270" w:rsidRPr="00700A64">
        <w:rPr>
          <w:rFonts w:ascii="Book Antiqua" w:hAnsi="Book Antiqua"/>
          <w:bCs/>
        </w:rPr>
        <w:t>0.55</w:t>
      </w:r>
      <w:r w:rsidR="00F94270" w:rsidRPr="00700A64">
        <w:rPr>
          <w:rFonts w:ascii="Book Antiqua" w:hAnsi="Book Antiqua" w:hint="eastAsia"/>
          <w:bCs/>
          <w:lang w:eastAsia="zh-CN"/>
        </w:rPr>
        <w:t>;</w:t>
      </w:r>
      <w:r w:rsidR="002E6469" w:rsidRPr="00700A64">
        <w:rPr>
          <w:rFonts w:ascii="Book Antiqua" w:hAnsi="Book Antiqua"/>
          <w:bCs/>
        </w:rPr>
        <w:t xml:space="preserve"> </w:t>
      </w:r>
      <w:r w:rsidR="006C156E" w:rsidRPr="00700A64">
        <w:rPr>
          <w:rFonts w:ascii="Book Antiqua" w:hAnsi="Book Antiqua"/>
          <w:bCs/>
          <w:i/>
        </w:rPr>
        <w:t>P</w:t>
      </w:r>
      <w:r w:rsidR="00F94270" w:rsidRPr="00700A64">
        <w:rPr>
          <w:rFonts w:ascii="Book Antiqua" w:hAnsi="Book Antiqua" w:hint="eastAsia"/>
          <w:bCs/>
          <w:i/>
          <w:lang w:eastAsia="zh-CN"/>
        </w:rPr>
        <w:t xml:space="preserve"> </w:t>
      </w:r>
      <w:r w:rsidR="002E6469" w:rsidRPr="00700A64">
        <w:rPr>
          <w:rFonts w:ascii="Book Antiqua" w:hAnsi="Book Antiqua"/>
          <w:bCs/>
        </w:rPr>
        <w:t>&lt; 0.0001). The densit</w:t>
      </w:r>
      <w:r w:rsidR="00740439" w:rsidRPr="00700A64">
        <w:rPr>
          <w:rFonts w:ascii="Book Antiqua" w:hAnsi="Book Antiqua"/>
          <w:bCs/>
        </w:rPr>
        <w:t>ies</w:t>
      </w:r>
      <w:r w:rsidR="002E6469" w:rsidRPr="00700A64">
        <w:rPr>
          <w:rFonts w:ascii="Book Antiqua" w:hAnsi="Book Antiqua"/>
          <w:bCs/>
        </w:rPr>
        <w:t xml:space="preserve"> of IDO+ DCs </w:t>
      </w:r>
      <w:r w:rsidR="00740439" w:rsidRPr="00700A64">
        <w:rPr>
          <w:rFonts w:ascii="Book Antiqua" w:hAnsi="Book Antiqua"/>
          <w:bCs/>
        </w:rPr>
        <w:t xml:space="preserve">were </w:t>
      </w:r>
      <w:r w:rsidR="002E6469" w:rsidRPr="00700A64">
        <w:rPr>
          <w:rFonts w:ascii="Book Antiqua" w:hAnsi="Book Antiqua"/>
          <w:bCs/>
        </w:rPr>
        <w:t>significantly higher in CD patients (</w:t>
      </w:r>
      <w:r w:rsidR="00231E08" w:rsidRPr="00700A64">
        <w:rPr>
          <w:rFonts w:ascii="Book Antiqua" w:hAnsi="Book Antiqua"/>
          <w:bCs/>
        </w:rPr>
        <w:t>21.6</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2.67 </w:t>
      </w:r>
      <w:r w:rsidR="00F94270" w:rsidRPr="00700A64">
        <w:rPr>
          <w:rFonts w:ascii="Book Antiqua" w:hAnsi="Book Antiqua"/>
          <w:bCs/>
          <w:i/>
        </w:rPr>
        <w:t>vs</w:t>
      </w:r>
      <w:r w:rsidR="00231E08" w:rsidRPr="00700A64">
        <w:rPr>
          <w:rFonts w:ascii="Book Antiqua" w:hAnsi="Book Antiqua"/>
          <w:bCs/>
          <w:i/>
        </w:rPr>
        <w:t xml:space="preserve"> </w:t>
      </w:r>
      <w:r w:rsidR="00231E08" w:rsidRPr="00700A64">
        <w:rPr>
          <w:rFonts w:ascii="Book Antiqua" w:hAnsi="Book Antiqua"/>
          <w:bCs/>
        </w:rPr>
        <w:t>6.26</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0.84, </w:t>
      </w:r>
      <w:r w:rsidR="00F94270" w:rsidRPr="00700A64">
        <w:rPr>
          <w:rFonts w:ascii="Book Antiqua" w:hAnsi="Book Antiqua"/>
          <w:bCs/>
          <w:i/>
        </w:rPr>
        <w:t xml:space="preserve">P = </w:t>
      </w:r>
      <w:r w:rsidR="00231E08" w:rsidRPr="00700A64">
        <w:rPr>
          <w:rFonts w:ascii="Book Antiqua" w:hAnsi="Book Antiqua"/>
          <w:bCs/>
        </w:rPr>
        <w:t>0.00003</w:t>
      </w:r>
      <w:r w:rsidR="002E6469" w:rsidRPr="00700A64">
        <w:rPr>
          <w:rFonts w:ascii="Book Antiqua" w:hAnsi="Book Antiqua"/>
          <w:bCs/>
        </w:rPr>
        <w:t>) and in patients with CD and coexisting T1D (</w:t>
      </w:r>
      <w:r w:rsidR="00231E08" w:rsidRPr="00700A64">
        <w:rPr>
          <w:rFonts w:ascii="Book Antiqua" w:hAnsi="Book Antiqua"/>
          <w:bCs/>
        </w:rPr>
        <w:t>19.08</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3.61 </w:t>
      </w:r>
      <w:r w:rsidR="00F94270" w:rsidRPr="00700A64">
        <w:rPr>
          <w:rFonts w:ascii="Book Antiqua" w:hAnsi="Book Antiqua"/>
          <w:bCs/>
          <w:i/>
        </w:rPr>
        <w:t>vs</w:t>
      </w:r>
      <w:r w:rsidR="00231E08" w:rsidRPr="00700A64">
        <w:rPr>
          <w:rFonts w:ascii="Book Antiqua" w:hAnsi="Book Antiqua"/>
          <w:bCs/>
        </w:rPr>
        <w:t xml:space="preserve"> 6.26</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0.84, </w:t>
      </w:r>
      <w:r w:rsidR="00F94270" w:rsidRPr="00700A64">
        <w:rPr>
          <w:rFonts w:ascii="Book Antiqua" w:hAnsi="Book Antiqua"/>
          <w:bCs/>
          <w:i/>
        </w:rPr>
        <w:t xml:space="preserve">P = </w:t>
      </w:r>
      <w:r w:rsidR="002E6469" w:rsidRPr="00700A64">
        <w:rPr>
          <w:rFonts w:ascii="Book Antiqua" w:hAnsi="Book Antiqua"/>
          <w:bCs/>
        </w:rPr>
        <w:t>0.004) compared with patients with normal mucosa.</w:t>
      </w:r>
      <w:r w:rsidR="009B4CF9" w:rsidRPr="00700A64">
        <w:rPr>
          <w:rFonts w:ascii="Book Antiqua" w:hAnsi="Book Antiqua"/>
          <w:bCs/>
        </w:rPr>
        <w:t xml:space="preserve"> </w:t>
      </w:r>
      <w:r w:rsidR="00081F51" w:rsidRPr="00700A64">
        <w:rPr>
          <w:rFonts w:ascii="Book Antiqua" w:hAnsi="Book Antiqua"/>
        </w:rPr>
        <w:t xml:space="preserve">A significant </w:t>
      </w:r>
      <w:r w:rsidR="006A45D1" w:rsidRPr="00700A64">
        <w:rPr>
          <w:rFonts w:ascii="Book Antiqua" w:hAnsi="Book Antiqua"/>
        </w:rPr>
        <w:t xml:space="preserve">correlation was </w:t>
      </w:r>
      <w:r w:rsidR="00740439" w:rsidRPr="00700A64">
        <w:rPr>
          <w:rFonts w:ascii="Book Antiqua" w:hAnsi="Book Antiqua"/>
        </w:rPr>
        <w:t xml:space="preserve">identified </w:t>
      </w:r>
      <w:r w:rsidR="006A45D1" w:rsidRPr="00700A64">
        <w:rPr>
          <w:rFonts w:ascii="Book Antiqua" w:hAnsi="Book Antiqua"/>
        </w:rPr>
        <w:t>between</w:t>
      </w:r>
      <w:r w:rsidR="00081F51" w:rsidRPr="00700A64">
        <w:rPr>
          <w:rFonts w:ascii="Book Antiqua" w:hAnsi="Book Antiqua"/>
        </w:rPr>
        <w:t xml:space="preserve"> the</w:t>
      </w:r>
      <w:r w:rsidR="006A45D1" w:rsidRPr="00700A64">
        <w:rPr>
          <w:rFonts w:ascii="Book Antiqua" w:hAnsi="Book Antiqua"/>
        </w:rPr>
        <w:t xml:space="preserve"> </w:t>
      </w:r>
      <w:r w:rsidR="00081F51" w:rsidRPr="00700A64">
        <w:rPr>
          <w:rFonts w:ascii="Book Antiqua" w:hAnsi="Book Antiqua"/>
        </w:rPr>
        <w:t xml:space="preserve">densities </w:t>
      </w:r>
      <w:r w:rsidR="006A45D1" w:rsidRPr="00700A64">
        <w:rPr>
          <w:rFonts w:ascii="Book Antiqua" w:hAnsi="Book Antiqua"/>
        </w:rPr>
        <w:t>of IDO+ DCs and FOXP3+T cells (</w:t>
      </w:r>
      <w:r w:rsidR="006A45D1" w:rsidRPr="00700A64">
        <w:rPr>
          <w:rFonts w:ascii="Book Antiqua" w:hAnsi="Book Antiqua"/>
          <w:i/>
        </w:rPr>
        <w:t>r</w:t>
      </w:r>
      <w:r w:rsidR="00F94270" w:rsidRPr="00700A64">
        <w:rPr>
          <w:rFonts w:ascii="Book Antiqua" w:hAnsi="Book Antiqua" w:hint="eastAsia"/>
          <w:i/>
          <w:lang w:eastAsia="zh-CN"/>
        </w:rPr>
        <w:t xml:space="preserve"> </w:t>
      </w:r>
      <w:r w:rsidR="006A45D1" w:rsidRPr="00700A64">
        <w:rPr>
          <w:rFonts w:ascii="Book Antiqua" w:hAnsi="Book Antiqua"/>
        </w:rPr>
        <w:t>=</w:t>
      </w:r>
      <w:r w:rsidR="00F94270" w:rsidRPr="00700A64">
        <w:rPr>
          <w:rFonts w:ascii="Book Antiqua" w:hAnsi="Book Antiqua" w:hint="eastAsia"/>
          <w:lang w:eastAsia="zh-CN"/>
        </w:rPr>
        <w:t xml:space="preserve"> </w:t>
      </w:r>
      <w:r w:rsidR="006A45D1" w:rsidRPr="00700A64">
        <w:rPr>
          <w:rFonts w:ascii="Book Antiqua" w:hAnsi="Book Antiqua"/>
        </w:rPr>
        <w:t xml:space="preserve">0.76; </w:t>
      </w:r>
      <w:r w:rsidR="00F94270" w:rsidRPr="00700A64">
        <w:rPr>
          <w:rFonts w:ascii="Book Antiqua" w:hAnsi="Book Antiqua"/>
          <w:i/>
        </w:rPr>
        <w:t xml:space="preserve">P = </w:t>
      </w:r>
      <w:r w:rsidR="006A45D1" w:rsidRPr="00700A64">
        <w:rPr>
          <w:rFonts w:ascii="Book Antiqua" w:hAnsi="Book Antiqua"/>
        </w:rPr>
        <w:t xml:space="preserve">0.0001). </w:t>
      </w:r>
      <w:r w:rsidR="009B4CF9" w:rsidRPr="00700A64">
        <w:rPr>
          <w:rFonts w:ascii="Book Antiqua" w:hAnsi="Book Antiqua"/>
          <w:bCs/>
        </w:rPr>
        <w:t>The mean value</w:t>
      </w:r>
      <w:r w:rsidR="00740439" w:rsidRPr="00700A64">
        <w:rPr>
          <w:rFonts w:ascii="Book Antiqua" w:hAnsi="Book Antiqua"/>
          <w:bCs/>
        </w:rPr>
        <w:t>s</w:t>
      </w:r>
      <w:r w:rsidR="009B4CF9" w:rsidRPr="00700A64">
        <w:rPr>
          <w:rFonts w:ascii="Book Antiqua" w:hAnsi="Book Antiqua"/>
          <w:bCs/>
        </w:rPr>
        <w:t xml:space="preserve"> of CD103+ DCs </w:t>
      </w:r>
      <w:r w:rsidR="00740439" w:rsidRPr="00700A64">
        <w:rPr>
          <w:rFonts w:ascii="Book Antiqua" w:hAnsi="Book Antiqua"/>
          <w:bCs/>
        </w:rPr>
        <w:t xml:space="preserve">were </w:t>
      </w:r>
      <w:r w:rsidR="009B4CF9" w:rsidRPr="00700A64">
        <w:rPr>
          <w:rFonts w:ascii="Book Antiqua" w:hAnsi="Book Antiqua"/>
          <w:bCs/>
        </w:rPr>
        <w:t>significantly higher in CD patients (</w:t>
      </w:r>
      <w:r w:rsidR="00231E08" w:rsidRPr="00700A64">
        <w:rPr>
          <w:rFonts w:ascii="Book Antiqua" w:hAnsi="Book Antiqua"/>
          <w:bCs/>
        </w:rPr>
        <w:t>10.66</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1.53 </w:t>
      </w:r>
      <w:r w:rsidR="00F94270" w:rsidRPr="00700A64">
        <w:rPr>
          <w:rFonts w:ascii="Book Antiqua" w:hAnsi="Book Antiqua"/>
          <w:bCs/>
          <w:i/>
        </w:rPr>
        <w:t>vs</w:t>
      </w:r>
      <w:r w:rsidR="00231E08" w:rsidRPr="00700A64">
        <w:rPr>
          <w:rFonts w:ascii="Book Antiqua" w:hAnsi="Book Antiqua"/>
          <w:bCs/>
        </w:rPr>
        <w:t xml:space="preserve"> 6.34</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0.61,</w:t>
      </w:r>
      <w:r w:rsidR="00F94270" w:rsidRPr="00700A64">
        <w:rPr>
          <w:rFonts w:ascii="Book Antiqua" w:hAnsi="Book Antiqua" w:hint="eastAsia"/>
          <w:bCs/>
          <w:lang w:eastAsia="zh-CN"/>
        </w:rPr>
        <w:t xml:space="preserve"> </w:t>
      </w:r>
      <w:r w:rsidR="00F94270" w:rsidRPr="00700A64">
        <w:rPr>
          <w:rFonts w:ascii="Book Antiqua" w:hAnsi="Book Antiqua"/>
          <w:bCs/>
          <w:i/>
        </w:rPr>
        <w:t xml:space="preserve">P = </w:t>
      </w:r>
      <w:r w:rsidR="009B4CF9" w:rsidRPr="00700A64">
        <w:rPr>
          <w:rFonts w:ascii="Book Antiqua" w:hAnsi="Book Antiqua"/>
          <w:bCs/>
        </w:rPr>
        <w:t>0.01) and in patients with CD and associated T1D (</w:t>
      </w:r>
      <w:r w:rsidR="00231E08" w:rsidRPr="00700A64">
        <w:rPr>
          <w:rFonts w:ascii="Book Antiqua" w:hAnsi="Book Antiqua"/>
          <w:bCs/>
        </w:rPr>
        <w:t>11.13</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0.72 </w:t>
      </w:r>
      <w:r w:rsidR="00F94270" w:rsidRPr="00700A64">
        <w:rPr>
          <w:rFonts w:ascii="Book Antiqua" w:hAnsi="Book Antiqua"/>
          <w:bCs/>
          <w:i/>
        </w:rPr>
        <w:t>vs</w:t>
      </w:r>
      <w:r w:rsidR="00231E08" w:rsidRPr="00700A64">
        <w:rPr>
          <w:rFonts w:ascii="Book Antiqua" w:hAnsi="Book Antiqua"/>
          <w:bCs/>
        </w:rPr>
        <w:t xml:space="preserve"> 6.34</w:t>
      </w:r>
      <w:r w:rsidR="00F94270" w:rsidRPr="00700A64">
        <w:rPr>
          <w:rFonts w:ascii="Book Antiqua" w:hAnsi="Book Antiqua" w:hint="eastAsia"/>
          <w:bCs/>
          <w:lang w:eastAsia="zh-CN"/>
        </w:rPr>
        <w:t xml:space="preserve"> </w:t>
      </w:r>
      <w:r w:rsidR="00231E08" w:rsidRPr="00700A64">
        <w:rPr>
          <w:rFonts w:ascii="Book Antiqua" w:hAnsi="Book Antiqua"/>
          <w:bCs/>
        </w:rPr>
        <w:sym w:font="Symbol" w:char="F0B1"/>
      </w:r>
      <w:r w:rsidR="00F94270" w:rsidRPr="00700A64">
        <w:rPr>
          <w:rFonts w:ascii="Book Antiqua" w:hAnsi="Book Antiqua" w:hint="eastAsia"/>
          <w:bCs/>
          <w:lang w:eastAsia="zh-CN"/>
        </w:rPr>
        <w:t xml:space="preserve"> </w:t>
      </w:r>
      <w:r w:rsidR="00231E08" w:rsidRPr="00700A64">
        <w:rPr>
          <w:rFonts w:ascii="Book Antiqua" w:hAnsi="Book Antiqua"/>
          <w:bCs/>
        </w:rPr>
        <w:t xml:space="preserve">0.61, </w:t>
      </w:r>
      <w:r w:rsidR="00F94270" w:rsidRPr="00700A64">
        <w:rPr>
          <w:rFonts w:ascii="Book Antiqua" w:hAnsi="Book Antiqua"/>
          <w:bCs/>
          <w:i/>
        </w:rPr>
        <w:t xml:space="preserve">P = </w:t>
      </w:r>
      <w:r w:rsidR="00231E08" w:rsidRPr="00700A64">
        <w:rPr>
          <w:rFonts w:ascii="Book Antiqua" w:hAnsi="Book Antiqua"/>
          <w:bCs/>
        </w:rPr>
        <w:t>0.00002</w:t>
      </w:r>
      <w:r w:rsidR="009B4CF9" w:rsidRPr="00700A64">
        <w:rPr>
          <w:rFonts w:ascii="Book Antiqua" w:hAnsi="Book Antiqua"/>
          <w:bCs/>
        </w:rPr>
        <w:t>) compared with subjects with normal small bowel mucosa.</w:t>
      </w:r>
      <w:r w:rsidR="009B4CF9" w:rsidRPr="00700A64">
        <w:rPr>
          <w:rFonts w:ascii="Book Antiqua" w:hAnsi="Book Antiqua"/>
        </w:rPr>
        <w:t xml:space="preserve"> The mean value of Langerin+ DCs was higher in CD patients compared with persons with normal mucosa (</w:t>
      </w:r>
      <w:r w:rsidR="00231E08" w:rsidRPr="00700A64">
        <w:rPr>
          <w:rFonts w:ascii="Book Antiqua" w:hAnsi="Book Antiqua"/>
        </w:rPr>
        <w:t>7.4</w:t>
      </w:r>
      <w:r w:rsidR="00F94270" w:rsidRPr="00700A64">
        <w:rPr>
          <w:rFonts w:ascii="Book Antiqua" w:hAnsi="Book Antiqua" w:hint="eastAsia"/>
          <w:lang w:eastAsia="zh-CN"/>
        </w:rPr>
        <w:t xml:space="preserve"> </w:t>
      </w:r>
      <w:r w:rsidR="00231E08" w:rsidRPr="00700A64">
        <w:rPr>
          <w:rFonts w:ascii="Book Antiqua" w:hAnsi="Book Antiqua"/>
        </w:rPr>
        <w:sym w:font="Symbol" w:char="F0B1"/>
      </w:r>
      <w:r w:rsidR="00F94270" w:rsidRPr="00700A64">
        <w:rPr>
          <w:rFonts w:ascii="Book Antiqua" w:hAnsi="Book Antiqua" w:hint="eastAsia"/>
          <w:lang w:eastAsia="zh-CN"/>
        </w:rPr>
        <w:t xml:space="preserve"> </w:t>
      </w:r>
      <w:r w:rsidR="00231E08" w:rsidRPr="00700A64">
        <w:rPr>
          <w:rFonts w:ascii="Book Antiqua" w:hAnsi="Book Antiqua"/>
        </w:rPr>
        <w:t xml:space="preserve">0.92 </w:t>
      </w:r>
      <w:r w:rsidR="00F94270" w:rsidRPr="00700A64">
        <w:rPr>
          <w:rFonts w:ascii="Book Antiqua" w:hAnsi="Book Antiqua"/>
          <w:i/>
        </w:rPr>
        <w:t>vs</w:t>
      </w:r>
      <w:r w:rsidR="00231E08" w:rsidRPr="00700A64">
        <w:rPr>
          <w:rFonts w:ascii="Book Antiqua" w:hAnsi="Book Antiqua"/>
        </w:rPr>
        <w:t xml:space="preserve"> 5.64</w:t>
      </w:r>
      <w:r w:rsidR="00F94270" w:rsidRPr="00700A64">
        <w:rPr>
          <w:rFonts w:ascii="Book Antiqua" w:hAnsi="Book Antiqua" w:hint="eastAsia"/>
          <w:lang w:eastAsia="zh-CN"/>
        </w:rPr>
        <w:t xml:space="preserve"> </w:t>
      </w:r>
      <w:r w:rsidR="00231E08" w:rsidRPr="00700A64">
        <w:rPr>
          <w:rFonts w:ascii="Book Antiqua" w:hAnsi="Book Antiqua"/>
        </w:rPr>
        <w:sym w:font="Symbol" w:char="F0B1"/>
      </w:r>
      <w:r w:rsidR="00F94270" w:rsidRPr="00700A64">
        <w:rPr>
          <w:rFonts w:ascii="Book Antiqua" w:hAnsi="Book Antiqua" w:hint="eastAsia"/>
          <w:lang w:eastAsia="zh-CN"/>
        </w:rPr>
        <w:t xml:space="preserve"> </w:t>
      </w:r>
      <w:r w:rsidR="00231E08" w:rsidRPr="00700A64">
        <w:rPr>
          <w:rFonts w:ascii="Book Antiqua" w:hAnsi="Book Antiqua"/>
        </w:rPr>
        <w:t xml:space="preserve">0.46, </w:t>
      </w:r>
      <w:r w:rsidR="00F94270" w:rsidRPr="00700A64">
        <w:rPr>
          <w:rFonts w:ascii="Book Antiqua" w:hAnsi="Book Antiqua"/>
          <w:i/>
        </w:rPr>
        <w:t xml:space="preserve">P = </w:t>
      </w:r>
      <w:r w:rsidR="009B4CF9" w:rsidRPr="00700A64">
        <w:rPr>
          <w:rFonts w:ascii="Book Antiqua" w:hAnsi="Book Antiqua"/>
        </w:rPr>
        <w:t xml:space="preserve">0.04). </w:t>
      </w:r>
    </w:p>
    <w:p w:rsidR="00231E08" w:rsidRPr="00700A64" w:rsidRDefault="00231E08" w:rsidP="00B90E53">
      <w:pPr>
        <w:adjustRightInd w:val="0"/>
        <w:snapToGrid w:val="0"/>
        <w:spacing w:line="360" w:lineRule="auto"/>
        <w:jc w:val="both"/>
        <w:rPr>
          <w:rFonts w:ascii="Book Antiqua" w:hAnsi="Book Antiqua"/>
        </w:rPr>
      </w:pPr>
    </w:p>
    <w:p w:rsidR="00030C22" w:rsidRPr="00700A64" w:rsidRDefault="00030C22" w:rsidP="00B90E53">
      <w:pPr>
        <w:adjustRightInd w:val="0"/>
        <w:snapToGrid w:val="0"/>
        <w:spacing w:line="360" w:lineRule="auto"/>
        <w:jc w:val="both"/>
        <w:rPr>
          <w:rFonts w:ascii="Book Antiqua" w:hAnsi="Book Antiqua"/>
        </w:rPr>
      </w:pPr>
      <w:r w:rsidRPr="00700A64">
        <w:rPr>
          <w:rFonts w:ascii="Book Antiqua" w:hAnsi="Book Antiqua"/>
          <w:b/>
        </w:rPr>
        <w:t>CONCLUSION:</w:t>
      </w:r>
      <w:r w:rsidRPr="00700A64">
        <w:rPr>
          <w:rFonts w:ascii="Book Antiqua" w:hAnsi="Book Antiqua"/>
        </w:rPr>
        <w:t xml:space="preserve"> The participation of diverse DC subsets in the pathological processes of CD and</w:t>
      </w:r>
      <w:r w:rsidR="00081F51" w:rsidRPr="00700A64">
        <w:rPr>
          <w:rFonts w:ascii="Book Antiqua" w:hAnsi="Book Antiqua"/>
        </w:rPr>
        <w:t xml:space="preserve"> the</w:t>
      </w:r>
      <w:r w:rsidRPr="00700A64">
        <w:rPr>
          <w:rFonts w:ascii="Book Antiqua" w:hAnsi="Book Antiqua"/>
        </w:rPr>
        <w:t xml:space="preserve"> possible involvement of tolerogenic DCs in Treg</w:t>
      </w:r>
      <w:r w:rsidR="00A0447A" w:rsidRPr="00700A64">
        <w:rPr>
          <w:rFonts w:ascii="Book Antiqua" w:hAnsi="Book Antiqua"/>
        </w:rPr>
        <w:t>s</w:t>
      </w:r>
      <w:r w:rsidRPr="00700A64">
        <w:rPr>
          <w:rFonts w:ascii="Book Antiqua" w:hAnsi="Book Antiqua"/>
        </w:rPr>
        <w:t xml:space="preserve"> </w:t>
      </w:r>
      <w:r w:rsidRPr="00700A64">
        <w:rPr>
          <w:rFonts w:ascii="Book Antiqua" w:hAnsi="Book Antiqua"/>
        </w:rPr>
        <w:lastRenderedPageBreak/>
        <w:t xml:space="preserve">development to maintain intestinal immunological tolerance in CD patients </w:t>
      </w:r>
      <w:r w:rsidR="00A0447A" w:rsidRPr="00700A64">
        <w:rPr>
          <w:rFonts w:ascii="Book Antiqua" w:hAnsi="Book Antiqua"/>
        </w:rPr>
        <w:t>are</w:t>
      </w:r>
      <w:r w:rsidR="00081F51" w:rsidRPr="00700A64">
        <w:rPr>
          <w:rFonts w:ascii="Book Antiqua" w:hAnsi="Book Antiqua"/>
        </w:rPr>
        <w:t xml:space="preserve"> </w:t>
      </w:r>
      <w:r w:rsidRPr="00700A64">
        <w:rPr>
          <w:rFonts w:ascii="Book Antiqua" w:hAnsi="Book Antiqua"/>
        </w:rPr>
        <w:t xml:space="preserve">revealed.  </w:t>
      </w:r>
    </w:p>
    <w:p w:rsidR="002E6469" w:rsidRPr="00700A64" w:rsidRDefault="002E6469" w:rsidP="00B90E53">
      <w:pPr>
        <w:adjustRightInd w:val="0"/>
        <w:snapToGrid w:val="0"/>
        <w:spacing w:line="360" w:lineRule="auto"/>
        <w:jc w:val="both"/>
        <w:rPr>
          <w:rFonts w:ascii="Book Antiqua" w:hAnsi="Book Antiqua"/>
          <w:bCs/>
          <w:lang w:eastAsia="zh-CN"/>
        </w:rPr>
      </w:pPr>
    </w:p>
    <w:p w:rsidR="00C72E9E" w:rsidRPr="00700A64" w:rsidRDefault="00C72E9E" w:rsidP="00B90E53">
      <w:pPr>
        <w:adjustRightInd w:val="0"/>
        <w:snapToGrid w:val="0"/>
        <w:spacing w:line="360" w:lineRule="auto"/>
        <w:rPr>
          <w:rFonts w:ascii="Book Antiqua" w:hAnsi="Book Antiqua" w:cs="Tahoma"/>
        </w:rPr>
      </w:pPr>
      <w:r w:rsidRPr="00700A64">
        <w:rPr>
          <w:rFonts w:ascii="Book Antiqua" w:hAnsi="Book Antiqua" w:cs="Tahoma" w:hint="eastAsia"/>
          <w:lang w:eastAsia="ja-JP"/>
        </w:rPr>
        <w:t>©</w:t>
      </w:r>
      <w:r w:rsidRPr="00700A64">
        <w:rPr>
          <w:rFonts w:ascii="Book Antiqua" w:hAnsi="Book Antiqua" w:cs="Tahoma"/>
          <w:lang w:eastAsia="ja-JP"/>
        </w:rPr>
        <w:t xml:space="preserve"> 2014 Baishideng Publishing Group Inc. All rights reserved.</w:t>
      </w:r>
    </w:p>
    <w:p w:rsidR="00526317" w:rsidRPr="00700A64" w:rsidRDefault="00526317" w:rsidP="00B90E53">
      <w:pPr>
        <w:adjustRightInd w:val="0"/>
        <w:snapToGrid w:val="0"/>
        <w:spacing w:line="360" w:lineRule="auto"/>
        <w:jc w:val="both"/>
        <w:rPr>
          <w:rFonts w:ascii="Book Antiqua" w:hAnsi="Book Antiqua"/>
          <w:bCs/>
        </w:rPr>
      </w:pPr>
    </w:p>
    <w:p w:rsidR="00526317" w:rsidRPr="00700A64" w:rsidRDefault="00526317" w:rsidP="00B90E53">
      <w:pPr>
        <w:adjustRightInd w:val="0"/>
        <w:snapToGrid w:val="0"/>
        <w:spacing w:line="360" w:lineRule="auto"/>
        <w:jc w:val="both"/>
        <w:rPr>
          <w:rFonts w:ascii="Book Antiqua" w:hAnsi="Book Antiqua"/>
        </w:rPr>
      </w:pPr>
      <w:r w:rsidRPr="00700A64">
        <w:rPr>
          <w:rFonts w:ascii="Book Antiqua" w:hAnsi="Book Antiqua"/>
          <w:b/>
        </w:rPr>
        <w:t>Key words:</w:t>
      </w:r>
      <w:r w:rsidRPr="00700A64">
        <w:rPr>
          <w:rFonts w:ascii="Book Antiqua" w:hAnsi="Book Antiqua"/>
        </w:rPr>
        <w:t xml:space="preserve"> CD11c+</w:t>
      </w:r>
      <w:r w:rsidR="00A0447A" w:rsidRPr="00700A64">
        <w:rPr>
          <w:rFonts w:ascii="Book Antiqua" w:hAnsi="Book Antiqua"/>
        </w:rPr>
        <w:t>,</w:t>
      </w:r>
      <w:r w:rsidRPr="00700A64">
        <w:rPr>
          <w:rFonts w:ascii="Book Antiqua" w:hAnsi="Book Antiqua"/>
        </w:rPr>
        <w:t xml:space="preserve"> CD103+</w:t>
      </w:r>
      <w:r w:rsidR="00A0447A" w:rsidRPr="00700A64">
        <w:rPr>
          <w:rFonts w:ascii="Book Antiqua" w:hAnsi="Book Antiqua"/>
        </w:rPr>
        <w:t>,</w:t>
      </w:r>
      <w:r w:rsidRPr="00700A64">
        <w:rPr>
          <w:rFonts w:ascii="Book Antiqua" w:hAnsi="Book Antiqua"/>
        </w:rPr>
        <w:t xml:space="preserve"> IDO+</w:t>
      </w:r>
      <w:r w:rsidR="00A0447A" w:rsidRPr="00700A64">
        <w:rPr>
          <w:rFonts w:ascii="Book Antiqua" w:hAnsi="Book Antiqua"/>
        </w:rPr>
        <w:t>,</w:t>
      </w:r>
      <w:r w:rsidRPr="00700A64">
        <w:rPr>
          <w:rFonts w:ascii="Book Antiqua" w:hAnsi="Book Antiqua"/>
        </w:rPr>
        <w:t xml:space="preserve"> </w:t>
      </w:r>
      <w:r w:rsidR="003D12B9" w:rsidRPr="00700A64">
        <w:rPr>
          <w:rFonts w:ascii="Book Antiqua" w:hAnsi="Book Antiqua"/>
          <w:caps/>
        </w:rPr>
        <w:t>l</w:t>
      </w:r>
      <w:r w:rsidRPr="00700A64">
        <w:rPr>
          <w:rFonts w:ascii="Book Antiqua" w:hAnsi="Book Antiqua"/>
        </w:rPr>
        <w:t xml:space="preserve">angerin (CD207+) </w:t>
      </w:r>
      <w:r w:rsidR="003D12B9" w:rsidRPr="00700A64">
        <w:rPr>
          <w:rFonts w:ascii="Book Antiqua" w:hAnsi="Book Antiqua"/>
        </w:rPr>
        <w:t>d</w:t>
      </w:r>
      <w:r w:rsidRPr="00700A64">
        <w:rPr>
          <w:rFonts w:ascii="Book Antiqua" w:hAnsi="Book Antiqua"/>
        </w:rPr>
        <w:t>endritic cells</w:t>
      </w:r>
      <w:r w:rsidR="009C2971" w:rsidRPr="00700A64">
        <w:rPr>
          <w:rFonts w:ascii="Book Antiqua" w:hAnsi="Book Antiqua"/>
        </w:rPr>
        <w:t>;</w:t>
      </w:r>
      <w:r w:rsidRPr="00700A64">
        <w:rPr>
          <w:rFonts w:ascii="Book Antiqua" w:hAnsi="Book Antiqua"/>
        </w:rPr>
        <w:t xml:space="preserve"> FOXP3+ </w:t>
      </w:r>
      <w:r w:rsidR="003D12B9" w:rsidRPr="00700A64">
        <w:rPr>
          <w:rFonts w:ascii="Book Antiqua" w:hAnsi="Book Antiqua"/>
          <w:caps/>
        </w:rPr>
        <w:t>t</w:t>
      </w:r>
      <w:r w:rsidRPr="00700A64">
        <w:rPr>
          <w:rFonts w:ascii="Book Antiqua" w:hAnsi="Book Antiqua"/>
        </w:rPr>
        <w:t>regs</w:t>
      </w:r>
      <w:r w:rsidR="009C2971" w:rsidRPr="00700A64">
        <w:rPr>
          <w:rFonts w:ascii="Book Antiqua" w:hAnsi="Book Antiqua"/>
        </w:rPr>
        <w:t>;</w:t>
      </w:r>
      <w:r w:rsidRPr="00700A64">
        <w:rPr>
          <w:rFonts w:ascii="Book Antiqua" w:hAnsi="Book Antiqua"/>
        </w:rPr>
        <w:t xml:space="preserve"> Small bowel mucosa</w:t>
      </w:r>
      <w:r w:rsidR="009C2971" w:rsidRPr="00700A64">
        <w:rPr>
          <w:rFonts w:ascii="Book Antiqua" w:hAnsi="Book Antiqua"/>
        </w:rPr>
        <w:t>;</w:t>
      </w:r>
      <w:r w:rsidRPr="00700A64">
        <w:rPr>
          <w:rFonts w:ascii="Book Antiqua" w:hAnsi="Book Antiqua"/>
        </w:rPr>
        <w:t xml:space="preserve"> Immunohistochemistry</w:t>
      </w:r>
      <w:r w:rsidR="009C2971" w:rsidRPr="00700A64">
        <w:rPr>
          <w:rFonts w:ascii="Book Antiqua" w:hAnsi="Book Antiqua"/>
        </w:rPr>
        <w:t>;</w:t>
      </w:r>
      <w:r w:rsidRPr="00700A64">
        <w:rPr>
          <w:rFonts w:ascii="Book Antiqua" w:hAnsi="Book Antiqua"/>
        </w:rPr>
        <w:t xml:space="preserve"> Immunofluorescence</w:t>
      </w:r>
      <w:r w:rsidR="009C2971" w:rsidRPr="00700A64">
        <w:rPr>
          <w:rFonts w:ascii="Book Antiqua" w:hAnsi="Book Antiqua"/>
        </w:rPr>
        <w:t>;</w:t>
      </w:r>
      <w:r w:rsidRPr="00700A64">
        <w:rPr>
          <w:rFonts w:ascii="Book Antiqua" w:hAnsi="Book Antiqua"/>
        </w:rPr>
        <w:t xml:space="preserve"> Celiac disease</w:t>
      </w:r>
      <w:r w:rsidR="009C2971" w:rsidRPr="00700A64">
        <w:rPr>
          <w:rFonts w:ascii="Book Antiqua" w:hAnsi="Book Antiqua"/>
        </w:rPr>
        <w:t>;</w:t>
      </w:r>
      <w:r w:rsidRPr="00700A64">
        <w:rPr>
          <w:rFonts w:ascii="Book Antiqua" w:hAnsi="Book Antiqua"/>
        </w:rPr>
        <w:t xml:space="preserve"> Type 1 diabetes</w:t>
      </w:r>
      <w:r w:rsidR="009C2971" w:rsidRPr="00700A64">
        <w:rPr>
          <w:rFonts w:ascii="Book Antiqua" w:hAnsi="Book Antiqua"/>
        </w:rPr>
        <w:t xml:space="preserve">; </w:t>
      </w:r>
      <w:r w:rsidRPr="00700A64">
        <w:rPr>
          <w:rFonts w:ascii="Book Antiqua" w:hAnsi="Book Antiqua"/>
        </w:rPr>
        <w:t>Children</w:t>
      </w:r>
    </w:p>
    <w:p w:rsidR="009C2971" w:rsidRPr="00700A64" w:rsidRDefault="009C2971" w:rsidP="00B90E53">
      <w:pPr>
        <w:adjustRightInd w:val="0"/>
        <w:snapToGrid w:val="0"/>
        <w:spacing w:line="360" w:lineRule="auto"/>
        <w:jc w:val="both"/>
        <w:rPr>
          <w:rFonts w:ascii="Book Antiqua" w:hAnsi="Book Antiqua"/>
        </w:rPr>
      </w:pPr>
    </w:p>
    <w:p w:rsidR="009C2971" w:rsidRPr="00700A64" w:rsidRDefault="009C2971" w:rsidP="00B90E53">
      <w:pPr>
        <w:adjustRightInd w:val="0"/>
        <w:snapToGrid w:val="0"/>
        <w:spacing w:line="360" w:lineRule="auto"/>
        <w:jc w:val="both"/>
        <w:rPr>
          <w:rFonts w:ascii="Book Antiqua" w:hAnsi="Book Antiqua"/>
        </w:rPr>
      </w:pPr>
      <w:r w:rsidRPr="00700A64">
        <w:rPr>
          <w:rFonts w:ascii="Book Antiqua" w:hAnsi="Book Antiqua"/>
          <w:b/>
        </w:rPr>
        <w:t xml:space="preserve">Core tip: </w:t>
      </w:r>
      <w:r w:rsidRPr="00700A64">
        <w:rPr>
          <w:rFonts w:ascii="Book Antiqua" w:hAnsi="Book Antiqua"/>
          <w:bCs/>
        </w:rPr>
        <w:t>S</w:t>
      </w:r>
      <w:r w:rsidRPr="00700A64">
        <w:rPr>
          <w:rFonts w:ascii="Book Antiqua" w:hAnsi="Book Antiqua"/>
        </w:rPr>
        <w:t xml:space="preserve">ignificantly higher densities of CD11c+ </w:t>
      </w:r>
      <w:r w:rsidR="003D12B9" w:rsidRPr="00700A64">
        <w:rPr>
          <w:rFonts w:ascii="Book Antiqua" w:hAnsi="Book Antiqua"/>
        </w:rPr>
        <w:t>dendritic cells (DCs)</w:t>
      </w:r>
      <w:r w:rsidRPr="00700A64">
        <w:rPr>
          <w:rFonts w:ascii="Book Antiqua" w:hAnsi="Book Antiqua"/>
        </w:rPr>
        <w:t xml:space="preserve"> and of tolerogenic IDO+, CD103+ and Langerin+ </w:t>
      </w:r>
      <w:r w:rsidR="003D12B9" w:rsidRPr="00700A64">
        <w:rPr>
          <w:rFonts w:ascii="Book Antiqua" w:hAnsi="Book Antiqua"/>
        </w:rPr>
        <w:t>DCs</w:t>
      </w:r>
      <w:r w:rsidRPr="00700A64">
        <w:rPr>
          <w:rFonts w:ascii="Book Antiqua" w:hAnsi="Book Antiqua"/>
        </w:rPr>
        <w:t xml:space="preserve"> in the small bowel mucosa of patients with celiac disease (CD) compared with subjects with normal small bowel mucosa were revealed using immunohistochemistry in 74 patients. This article highlights the participation of diverse DC subsets in the pathological processes in the small bowel mucosa, pointing out the importance of Langerin+ DCs in untreated CD patients w</w:t>
      </w:r>
      <w:r w:rsidR="003D12B9" w:rsidRPr="00700A64">
        <w:rPr>
          <w:rFonts w:ascii="Book Antiqua" w:hAnsi="Book Antiqua"/>
        </w:rPr>
        <w:t>ith and without type 1 diabetes</w:t>
      </w:r>
      <w:r w:rsidRPr="00700A64">
        <w:rPr>
          <w:rFonts w:ascii="Book Antiqua" w:hAnsi="Book Antiqua"/>
        </w:rPr>
        <w:t xml:space="preserve"> and indicating the possible involvement of tolerogenic DCs in regulatory T cell</w:t>
      </w:r>
      <w:r w:rsidR="00A0447A" w:rsidRPr="00700A64">
        <w:rPr>
          <w:rFonts w:ascii="Book Antiqua" w:hAnsi="Book Antiqua"/>
        </w:rPr>
        <w:t>s</w:t>
      </w:r>
      <w:r w:rsidRPr="00700A64">
        <w:rPr>
          <w:rFonts w:ascii="Book Antiqua" w:hAnsi="Book Antiqua"/>
        </w:rPr>
        <w:t xml:space="preserve"> development to maintain intestinal immunological tolerance in CD patients.  </w:t>
      </w:r>
    </w:p>
    <w:p w:rsidR="00FD6B84" w:rsidRPr="00700A64" w:rsidRDefault="00FD6B84" w:rsidP="00B90E53">
      <w:pPr>
        <w:adjustRightInd w:val="0"/>
        <w:snapToGrid w:val="0"/>
        <w:spacing w:line="360" w:lineRule="auto"/>
        <w:jc w:val="both"/>
        <w:rPr>
          <w:rFonts w:ascii="Book Antiqua" w:hAnsi="Book Antiqua"/>
        </w:rPr>
      </w:pPr>
    </w:p>
    <w:p w:rsidR="00BA4B2C" w:rsidRPr="00700A64" w:rsidRDefault="00FD6B84" w:rsidP="00B90E53">
      <w:pPr>
        <w:adjustRightInd w:val="0"/>
        <w:snapToGrid w:val="0"/>
        <w:spacing w:line="360" w:lineRule="auto"/>
        <w:jc w:val="both"/>
        <w:rPr>
          <w:rFonts w:ascii="Book Antiqua" w:hAnsi="Book Antiqua"/>
        </w:rPr>
      </w:pPr>
      <w:r w:rsidRPr="00700A64">
        <w:rPr>
          <w:rFonts w:ascii="Book Antiqua" w:hAnsi="Book Antiqua"/>
        </w:rPr>
        <w:t xml:space="preserve">Vorobjova T, Uibo O, Heilman K,  Uibo R. </w:t>
      </w:r>
      <w:r w:rsidRPr="00700A64">
        <w:rPr>
          <w:rFonts w:ascii="Book Antiqua" w:hAnsi="Book Antiqua"/>
          <w:bCs/>
        </w:rPr>
        <w:t xml:space="preserve">Increased density of tolerogenic dendritic cells in the small bowel mucosa of celiac patients. </w:t>
      </w:r>
      <w:r w:rsidR="00BA4B2C" w:rsidRPr="00700A64">
        <w:rPr>
          <w:rFonts w:ascii="Book Antiqua" w:hAnsi="Book Antiqua"/>
          <w:i/>
        </w:rPr>
        <w:t>World J Gastroenterol</w:t>
      </w:r>
      <w:r w:rsidR="00BA4B2C" w:rsidRPr="00700A64">
        <w:rPr>
          <w:rFonts w:ascii="Book Antiqua" w:hAnsi="Book Antiqua"/>
        </w:rPr>
        <w:t xml:space="preserve"> 201</w:t>
      </w:r>
      <w:r w:rsidR="00BA4B2C" w:rsidRPr="00700A64">
        <w:rPr>
          <w:rFonts w:ascii="Book Antiqua" w:hAnsi="Book Antiqua" w:hint="eastAsia"/>
        </w:rPr>
        <w:t>4</w:t>
      </w:r>
      <w:r w:rsidR="00BA4B2C" w:rsidRPr="00700A64">
        <w:rPr>
          <w:rFonts w:ascii="Book Antiqua" w:hAnsi="Book Antiqua"/>
        </w:rPr>
        <w:t xml:space="preserve">; </w:t>
      </w:r>
      <w:r w:rsidR="00BA4B2C" w:rsidRPr="00700A64">
        <w:rPr>
          <w:rFonts w:ascii="Book Antiqua" w:hAnsi="Book Antiqua" w:hint="eastAsia"/>
        </w:rPr>
        <w:t xml:space="preserve">In </w:t>
      </w:r>
      <w:r w:rsidR="00BA4B2C" w:rsidRPr="00700A64">
        <w:rPr>
          <w:rFonts w:ascii="Book Antiqua" w:hAnsi="Book Antiqua"/>
        </w:rPr>
        <w:t>p</w:t>
      </w:r>
      <w:r w:rsidR="00BA4B2C" w:rsidRPr="00700A64">
        <w:rPr>
          <w:rFonts w:ascii="Book Antiqua" w:hAnsi="Book Antiqua" w:hint="eastAsia"/>
        </w:rPr>
        <w:t>ress</w:t>
      </w:r>
    </w:p>
    <w:p w:rsidR="0093767F" w:rsidRDefault="0093767F" w:rsidP="00B90E53">
      <w:pPr>
        <w:adjustRightInd w:val="0"/>
        <w:snapToGrid w:val="0"/>
        <w:spacing w:line="360" w:lineRule="auto"/>
        <w:jc w:val="both"/>
        <w:rPr>
          <w:rFonts w:ascii="Book Antiqua" w:hAnsi="Book Antiqua"/>
          <w:b/>
          <w:lang w:eastAsia="zh-CN"/>
        </w:rPr>
      </w:pPr>
    </w:p>
    <w:p w:rsidR="001223AE" w:rsidRPr="00700A64" w:rsidRDefault="001223AE" w:rsidP="00B90E53">
      <w:pPr>
        <w:adjustRightInd w:val="0"/>
        <w:snapToGrid w:val="0"/>
        <w:spacing w:line="360" w:lineRule="auto"/>
        <w:jc w:val="both"/>
        <w:rPr>
          <w:rFonts w:ascii="Book Antiqua" w:hAnsi="Book Antiqua"/>
          <w:b/>
          <w:lang w:eastAsia="zh-CN"/>
        </w:rPr>
      </w:pPr>
    </w:p>
    <w:p w:rsidR="003A149A" w:rsidRPr="00700A64" w:rsidRDefault="003A149A" w:rsidP="00B90E53">
      <w:pPr>
        <w:adjustRightInd w:val="0"/>
        <w:snapToGrid w:val="0"/>
        <w:spacing w:line="360" w:lineRule="auto"/>
        <w:jc w:val="both"/>
        <w:rPr>
          <w:rFonts w:ascii="Book Antiqua" w:hAnsi="Book Antiqua"/>
          <w:bCs/>
        </w:rPr>
      </w:pPr>
      <w:r w:rsidRPr="00700A64">
        <w:rPr>
          <w:rFonts w:ascii="Book Antiqua" w:hAnsi="Book Antiqua"/>
          <w:b/>
        </w:rPr>
        <w:t>I</w:t>
      </w:r>
      <w:r w:rsidR="00FC1981" w:rsidRPr="00700A64">
        <w:rPr>
          <w:rFonts w:ascii="Book Antiqua" w:hAnsi="Book Antiqua"/>
          <w:b/>
        </w:rPr>
        <w:t>NTRODUCTION</w:t>
      </w:r>
    </w:p>
    <w:p w:rsidR="00504C1B" w:rsidRPr="00700A64" w:rsidRDefault="00AD31E5" w:rsidP="00B90E53">
      <w:pPr>
        <w:adjustRightInd w:val="0"/>
        <w:snapToGrid w:val="0"/>
        <w:spacing w:line="360" w:lineRule="auto"/>
        <w:jc w:val="both"/>
        <w:rPr>
          <w:rFonts w:ascii="Book Antiqua" w:hAnsi="Book Antiqua"/>
        </w:rPr>
      </w:pPr>
      <w:r w:rsidRPr="00700A64">
        <w:rPr>
          <w:rFonts w:ascii="Book Antiqua" w:hAnsi="Book Antiqua"/>
          <w:bCs/>
        </w:rPr>
        <w:t>Celiac disease (CD)</w:t>
      </w:r>
      <w:r w:rsidRPr="00700A64">
        <w:rPr>
          <w:rFonts w:ascii="Book Antiqua" w:hAnsi="Book Antiqua"/>
        </w:rPr>
        <w:t xml:space="preserve"> is characterized by an altered immune response to ingested wheat gluten and related prolamins in rye and barley, which leads to </w:t>
      </w:r>
      <w:r w:rsidR="003A149A" w:rsidRPr="00700A64">
        <w:rPr>
          <w:rFonts w:ascii="Book Antiqua" w:hAnsi="Book Antiqua"/>
        </w:rPr>
        <w:t>inflammation, villous atrophy and crypt hyperplasia in the small bowel mucosa</w:t>
      </w:r>
      <w:r w:rsidR="002D7D06" w:rsidRPr="00700A64">
        <w:rPr>
          <w:rFonts w:ascii="Book Antiqua" w:hAnsi="Book Antiqua"/>
        </w:rPr>
        <w:t>,</w:t>
      </w:r>
      <w:r w:rsidR="00143564" w:rsidRPr="00700A64">
        <w:rPr>
          <w:rFonts w:ascii="Book Antiqua" w:hAnsi="Book Antiqua"/>
        </w:rPr>
        <w:t xml:space="preserve"> </w:t>
      </w:r>
      <w:r w:rsidR="00AE246B" w:rsidRPr="00700A64">
        <w:rPr>
          <w:rFonts w:ascii="Book Antiqua" w:hAnsi="Book Antiqua"/>
        </w:rPr>
        <w:t xml:space="preserve">accompanied </w:t>
      </w:r>
      <w:r w:rsidR="002112B2" w:rsidRPr="00700A64">
        <w:rPr>
          <w:rFonts w:ascii="Book Antiqua" w:hAnsi="Book Antiqua"/>
        </w:rPr>
        <w:t xml:space="preserve">by </w:t>
      </w:r>
      <w:r w:rsidR="002D7D06" w:rsidRPr="00700A64">
        <w:rPr>
          <w:rFonts w:ascii="Book Antiqua" w:hAnsi="Book Antiqua"/>
        </w:rPr>
        <w:t>an</w:t>
      </w:r>
      <w:r w:rsidR="00A13F9F" w:rsidRPr="00700A64">
        <w:rPr>
          <w:rFonts w:ascii="Book Antiqua" w:hAnsi="Book Antiqua"/>
        </w:rPr>
        <w:t xml:space="preserve"> increased number of infiltrating lymphocytes in the </w:t>
      </w:r>
      <w:r w:rsidR="00A13F9F" w:rsidRPr="00700A64">
        <w:rPr>
          <w:rFonts w:ascii="Book Antiqua" w:hAnsi="Book Antiqua"/>
        </w:rPr>
        <w:lastRenderedPageBreak/>
        <w:t xml:space="preserve">epithelium and in the lamina propria </w:t>
      </w:r>
      <w:r w:rsidR="00B2315A" w:rsidRPr="00700A64">
        <w:rPr>
          <w:rFonts w:ascii="Book Antiqua" w:hAnsi="Book Antiqua"/>
        </w:rPr>
        <w:t>(LP)</w:t>
      </w:r>
      <w:r w:rsidR="00C35C49" w:rsidRPr="00700A64">
        <w:rPr>
          <w:rFonts w:ascii="Book Antiqua" w:hAnsi="Book Antiqua"/>
          <w:vertAlign w:val="superscript"/>
        </w:rPr>
        <w:t>[</w:t>
      </w:r>
      <w:r w:rsidR="00333471" w:rsidRPr="00700A64">
        <w:rPr>
          <w:rFonts w:ascii="Book Antiqua" w:hAnsi="Book Antiqua"/>
          <w:vertAlign w:val="superscript"/>
        </w:rPr>
        <w:t>1</w:t>
      </w:r>
      <w:r w:rsidR="00C35C49" w:rsidRPr="00700A64">
        <w:rPr>
          <w:rFonts w:ascii="Book Antiqua" w:hAnsi="Book Antiqua"/>
          <w:vertAlign w:val="superscript"/>
        </w:rPr>
        <w:t>]</w:t>
      </w:r>
      <w:r w:rsidR="0002691E" w:rsidRPr="00700A64">
        <w:rPr>
          <w:rFonts w:ascii="Book Antiqua" w:hAnsi="Book Antiqua"/>
        </w:rPr>
        <w:t xml:space="preserve">. </w:t>
      </w:r>
      <w:r w:rsidR="00E92364" w:rsidRPr="00700A64">
        <w:rPr>
          <w:rFonts w:ascii="Book Antiqua" w:hAnsi="Book Antiqua"/>
        </w:rPr>
        <w:t>The g</w:t>
      </w:r>
      <w:r w:rsidR="00504C1B" w:rsidRPr="00700A64">
        <w:rPr>
          <w:rFonts w:ascii="Book Antiqua" w:hAnsi="Book Antiqua"/>
        </w:rPr>
        <w:t xml:space="preserve">eneration of inflammatory and damaging T cells is </w:t>
      </w:r>
      <w:r w:rsidR="00CD4651" w:rsidRPr="00700A64">
        <w:rPr>
          <w:rFonts w:ascii="Book Antiqua" w:hAnsi="Book Antiqua"/>
        </w:rPr>
        <w:t xml:space="preserve">governed by </w:t>
      </w:r>
      <w:r w:rsidR="00504C1B" w:rsidRPr="00700A64">
        <w:rPr>
          <w:rFonts w:ascii="Book Antiqua" w:hAnsi="Book Antiqua"/>
        </w:rPr>
        <w:t>several control mechanisms</w:t>
      </w:r>
      <w:r w:rsidR="00E92364" w:rsidRPr="00700A64">
        <w:rPr>
          <w:rFonts w:ascii="Book Antiqua" w:hAnsi="Book Antiqua"/>
        </w:rPr>
        <w:t>,</w:t>
      </w:r>
      <w:r w:rsidR="004C068D" w:rsidRPr="00700A64">
        <w:rPr>
          <w:rFonts w:ascii="Book Antiqua" w:hAnsi="Book Antiqua"/>
        </w:rPr>
        <w:t xml:space="preserve"> </w:t>
      </w:r>
      <w:r w:rsidR="002D7D06" w:rsidRPr="00700A64">
        <w:rPr>
          <w:rFonts w:ascii="Book Antiqua" w:hAnsi="Book Antiqua"/>
        </w:rPr>
        <w:t xml:space="preserve">while </w:t>
      </w:r>
      <w:r w:rsidR="004C068D" w:rsidRPr="00700A64">
        <w:rPr>
          <w:rFonts w:ascii="Book Antiqua" w:hAnsi="Book Antiqua"/>
        </w:rPr>
        <w:t>i</w:t>
      </w:r>
      <w:r w:rsidR="00504C1B" w:rsidRPr="00700A64">
        <w:rPr>
          <w:rFonts w:ascii="Book Antiqua" w:hAnsi="Book Antiqua"/>
        </w:rPr>
        <w:t>ntestinal</w:t>
      </w:r>
      <w:r w:rsidR="007C4F51" w:rsidRPr="00700A64">
        <w:rPr>
          <w:rFonts w:ascii="Book Antiqua" w:hAnsi="Book Antiqua"/>
        </w:rPr>
        <w:t xml:space="preserve"> dendritic cells (</w:t>
      </w:r>
      <w:r w:rsidR="00504C1B" w:rsidRPr="00700A64">
        <w:rPr>
          <w:rFonts w:ascii="Book Antiqua" w:hAnsi="Book Antiqua"/>
        </w:rPr>
        <w:t>DCs</w:t>
      </w:r>
      <w:r w:rsidR="007C4F51" w:rsidRPr="00700A64">
        <w:rPr>
          <w:rFonts w:ascii="Book Antiqua" w:hAnsi="Book Antiqua"/>
        </w:rPr>
        <w:t>)</w:t>
      </w:r>
      <w:r w:rsidR="00504C1B" w:rsidRPr="00700A64">
        <w:rPr>
          <w:rFonts w:ascii="Book Antiqua" w:hAnsi="Book Antiqua"/>
        </w:rPr>
        <w:t xml:space="preserve"> are </w:t>
      </w:r>
      <w:r w:rsidR="002D7D06" w:rsidRPr="00700A64">
        <w:rPr>
          <w:rFonts w:ascii="Book Antiqua" w:hAnsi="Book Antiqua"/>
        </w:rPr>
        <w:t>the key</w:t>
      </w:r>
      <w:r w:rsidR="004C068D" w:rsidRPr="00700A64">
        <w:rPr>
          <w:rFonts w:ascii="Book Antiqua" w:hAnsi="Book Antiqua"/>
        </w:rPr>
        <w:t xml:space="preserve"> cells</w:t>
      </w:r>
      <w:r w:rsidR="00721D04" w:rsidRPr="00700A64">
        <w:rPr>
          <w:rFonts w:ascii="Book Antiqua" w:hAnsi="Book Antiqua"/>
        </w:rPr>
        <w:t xml:space="preserve"> </w:t>
      </w:r>
      <w:r w:rsidR="00E92364" w:rsidRPr="00700A64">
        <w:rPr>
          <w:rFonts w:ascii="Book Antiqua" w:hAnsi="Book Antiqua"/>
        </w:rPr>
        <w:t xml:space="preserve">that </w:t>
      </w:r>
      <w:r w:rsidR="002D7D06" w:rsidRPr="00700A64">
        <w:rPr>
          <w:rFonts w:ascii="Book Antiqua" w:hAnsi="Book Antiqua"/>
        </w:rPr>
        <w:t>regulate which</w:t>
      </w:r>
      <w:r w:rsidR="007E062C" w:rsidRPr="00700A64">
        <w:rPr>
          <w:rFonts w:ascii="Book Antiqua" w:hAnsi="Book Antiqua"/>
        </w:rPr>
        <w:t xml:space="preserve"> </w:t>
      </w:r>
      <w:r w:rsidR="00504C1B" w:rsidRPr="00700A64">
        <w:rPr>
          <w:rFonts w:ascii="Book Antiqua" w:hAnsi="Book Antiqua"/>
        </w:rPr>
        <w:t>T cells become activated or deleted</w:t>
      </w:r>
      <w:r w:rsidR="007E062C" w:rsidRPr="00700A64">
        <w:rPr>
          <w:rFonts w:ascii="Book Antiqua" w:hAnsi="Book Antiqua"/>
        </w:rPr>
        <w:t>. In this process</w:t>
      </w:r>
      <w:r w:rsidR="00E92364" w:rsidRPr="00700A64">
        <w:rPr>
          <w:rFonts w:ascii="Book Antiqua" w:hAnsi="Book Antiqua"/>
        </w:rPr>
        <w:t>,</w:t>
      </w:r>
      <w:r w:rsidR="007E062C" w:rsidRPr="00700A64">
        <w:rPr>
          <w:rFonts w:ascii="Book Antiqua" w:hAnsi="Book Antiqua"/>
        </w:rPr>
        <w:t xml:space="preserve"> regulatory T cells </w:t>
      </w:r>
      <w:r w:rsidR="004648FF" w:rsidRPr="00700A64">
        <w:rPr>
          <w:rFonts w:ascii="Book Antiqua" w:hAnsi="Book Antiqua"/>
        </w:rPr>
        <w:t xml:space="preserve">(Tregs) </w:t>
      </w:r>
      <w:r w:rsidR="00E92364" w:rsidRPr="00700A64">
        <w:rPr>
          <w:rFonts w:ascii="Book Antiqua" w:hAnsi="Book Antiqua"/>
        </w:rPr>
        <w:t xml:space="preserve">also play an </w:t>
      </w:r>
      <w:r w:rsidR="00A45D3D" w:rsidRPr="00700A64">
        <w:rPr>
          <w:rFonts w:ascii="Book Antiqua" w:hAnsi="Book Antiqua"/>
        </w:rPr>
        <w:t xml:space="preserve">important </w:t>
      </w:r>
      <w:r w:rsidR="00E92364" w:rsidRPr="00700A64">
        <w:rPr>
          <w:rFonts w:ascii="Book Antiqua" w:hAnsi="Book Antiqua"/>
        </w:rPr>
        <w:t xml:space="preserve">role </w:t>
      </w:r>
      <w:r w:rsidR="004648FF" w:rsidRPr="00700A64">
        <w:rPr>
          <w:rFonts w:ascii="Book Antiqua" w:hAnsi="Book Antiqua"/>
        </w:rPr>
        <w:t>in intestinal homeostasis</w:t>
      </w:r>
      <w:r w:rsidR="00C35C49" w:rsidRPr="00700A64">
        <w:rPr>
          <w:rFonts w:ascii="Book Antiqua" w:hAnsi="Book Antiqua"/>
          <w:vertAlign w:val="superscript"/>
        </w:rPr>
        <w:t>[</w:t>
      </w:r>
      <w:r w:rsidR="00333471" w:rsidRPr="00700A64">
        <w:rPr>
          <w:rFonts w:ascii="Book Antiqua" w:hAnsi="Book Antiqua"/>
          <w:vertAlign w:val="superscript"/>
        </w:rPr>
        <w:t>2,3</w:t>
      </w:r>
      <w:r w:rsidR="00C35C49" w:rsidRPr="00700A64">
        <w:rPr>
          <w:rFonts w:ascii="Book Antiqua" w:hAnsi="Book Antiqua"/>
          <w:vertAlign w:val="superscript"/>
        </w:rPr>
        <w:t>]</w:t>
      </w:r>
      <w:r w:rsidR="0002691E" w:rsidRPr="00700A64">
        <w:rPr>
          <w:rFonts w:ascii="Book Antiqua" w:hAnsi="Book Antiqua"/>
        </w:rPr>
        <w:t>.</w:t>
      </w:r>
    </w:p>
    <w:p w:rsidR="00557547" w:rsidRPr="00700A64" w:rsidRDefault="003A149A"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The role of the gut immune system is also </w:t>
      </w:r>
      <w:r w:rsidR="00B02040" w:rsidRPr="00700A64">
        <w:rPr>
          <w:rFonts w:ascii="Book Antiqua" w:hAnsi="Book Antiqua"/>
        </w:rPr>
        <w:t>thought</w:t>
      </w:r>
      <w:r w:rsidRPr="00700A64">
        <w:rPr>
          <w:rFonts w:ascii="Book Antiqua" w:hAnsi="Book Antiqua"/>
        </w:rPr>
        <w:t xml:space="preserve"> </w:t>
      </w:r>
      <w:r w:rsidR="00A45D3D" w:rsidRPr="00700A64">
        <w:rPr>
          <w:rFonts w:ascii="Book Antiqua" w:hAnsi="Book Antiqua"/>
        </w:rPr>
        <w:t xml:space="preserve">to </w:t>
      </w:r>
      <w:r w:rsidR="00B02040" w:rsidRPr="00700A64">
        <w:rPr>
          <w:rFonts w:ascii="Book Antiqua" w:hAnsi="Book Antiqua"/>
        </w:rPr>
        <w:t>be of</w:t>
      </w:r>
      <w:r w:rsidR="00A45D3D" w:rsidRPr="00700A64">
        <w:rPr>
          <w:rFonts w:ascii="Book Antiqua" w:hAnsi="Book Antiqua"/>
        </w:rPr>
        <w:t xml:space="preserve"> crucial importance </w:t>
      </w:r>
      <w:r w:rsidRPr="00700A64">
        <w:rPr>
          <w:rFonts w:ascii="Book Antiqua" w:hAnsi="Book Antiqua"/>
        </w:rPr>
        <w:t>in the pathogenesis of type 1 diabetes (T1D)</w:t>
      </w:r>
      <w:r w:rsidR="00C35C49" w:rsidRPr="00700A64">
        <w:rPr>
          <w:rFonts w:ascii="Book Antiqua" w:hAnsi="Book Antiqua"/>
          <w:vertAlign w:val="superscript"/>
        </w:rPr>
        <w:t>[</w:t>
      </w:r>
      <w:r w:rsidR="00333471" w:rsidRPr="00700A64">
        <w:rPr>
          <w:rFonts w:ascii="Book Antiqua" w:hAnsi="Book Antiqua"/>
          <w:vertAlign w:val="superscript"/>
        </w:rPr>
        <w:t>4-6</w:t>
      </w:r>
      <w:r w:rsidR="0002691E" w:rsidRPr="00700A64">
        <w:rPr>
          <w:rFonts w:ascii="Book Antiqua" w:hAnsi="Book Antiqua"/>
          <w:vertAlign w:val="superscript"/>
        </w:rPr>
        <w:t>]</w:t>
      </w:r>
      <w:r w:rsidR="0002691E" w:rsidRPr="00700A64">
        <w:rPr>
          <w:rFonts w:ascii="Book Antiqua" w:hAnsi="Book Antiqua"/>
        </w:rPr>
        <w:t xml:space="preserve">. </w:t>
      </w:r>
      <w:r w:rsidR="00A46849" w:rsidRPr="00700A64">
        <w:rPr>
          <w:rFonts w:ascii="Book Antiqua" w:hAnsi="Book Antiqua"/>
        </w:rPr>
        <w:t xml:space="preserve">Several research groups have demonstrated a </w:t>
      </w:r>
      <w:r w:rsidR="0018055C" w:rsidRPr="00700A64">
        <w:rPr>
          <w:rFonts w:ascii="Book Antiqua" w:hAnsi="Book Antiqua"/>
        </w:rPr>
        <w:t>marked</w:t>
      </w:r>
      <w:r w:rsidR="00D234FB" w:rsidRPr="00700A64">
        <w:rPr>
          <w:rFonts w:ascii="Book Antiqua" w:hAnsi="Book Antiqua"/>
        </w:rPr>
        <w:t xml:space="preserve"> association between</w:t>
      </w:r>
      <w:r w:rsidR="00E92364" w:rsidRPr="00700A64">
        <w:rPr>
          <w:rFonts w:ascii="Book Antiqua" w:hAnsi="Book Antiqua"/>
        </w:rPr>
        <w:t xml:space="preserve"> the</w:t>
      </w:r>
      <w:r w:rsidR="00D234FB" w:rsidRPr="00700A64">
        <w:rPr>
          <w:rFonts w:ascii="Book Antiqua" w:hAnsi="Book Antiqua"/>
        </w:rPr>
        <w:t xml:space="preserve"> development of T1D and </w:t>
      </w:r>
      <w:r w:rsidR="004343E0" w:rsidRPr="00700A64">
        <w:rPr>
          <w:rFonts w:ascii="Book Antiqua" w:hAnsi="Book Antiqua"/>
        </w:rPr>
        <w:t xml:space="preserve">preceding </w:t>
      </w:r>
      <w:r w:rsidR="00D234FB" w:rsidRPr="00700A64">
        <w:rPr>
          <w:rFonts w:ascii="Book Antiqua" w:hAnsi="Book Antiqua"/>
        </w:rPr>
        <w:t>alterations</w:t>
      </w:r>
      <w:r w:rsidR="004343E0" w:rsidRPr="00700A64">
        <w:rPr>
          <w:rFonts w:ascii="Book Antiqua" w:hAnsi="Book Antiqua"/>
        </w:rPr>
        <w:t xml:space="preserve"> in </w:t>
      </w:r>
      <w:r w:rsidR="00B02040" w:rsidRPr="00700A64">
        <w:rPr>
          <w:rFonts w:ascii="Book Antiqua" w:hAnsi="Book Antiqua"/>
        </w:rPr>
        <w:t xml:space="preserve">the </w:t>
      </w:r>
      <w:r w:rsidR="004343E0" w:rsidRPr="00700A64">
        <w:rPr>
          <w:rFonts w:ascii="Book Antiqua" w:hAnsi="Book Antiqua"/>
        </w:rPr>
        <w:t xml:space="preserve">small bowel </w:t>
      </w:r>
      <w:r w:rsidR="0018055C" w:rsidRPr="00700A64">
        <w:rPr>
          <w:rFonts w:ascii="Book Antiqua" w:hAnsi="Book Antiqua"/>
        </w:rPr>
        <w:t>mucosa</w:t>
      </w:r>
      <w:r w:rsidR="00B02040" w:rsidRPr="00700A64">
        <w:rPr>
          <w:rFonts w:ascii="Book Antiqua" w:hAnsi="Book Antiqua"/>
        </w:rPr>
        <w:t>,</w:t>
      </w:r>
      <w:r w:rsidR="0086099F" w:rsidRPr="00700A64">
        <w:rPr>
          <w:rFonts w:ascii="Book Antiqua" w:hAnsi="Book Antiqua"/>
        </w:rPr>
        <w:t xml:space="preserve"> including</w:t>
      </w:r>
      <w:r w:rsidR="00B02040" w:rsidRPr="00700A64">
        <w:rPr>
          <w:rFonts w:ascii="Book Antiqua" w:hAnsi="Book Antiqua"/>
        </w:rPr>
        <w:t xml:space="preserve"> </w:t>
      </w:r>
      <w:r w:rsidR="0086099F" w:rsidRPr="00700A64">
        <w:rPr>
          <w:rFonts w:ascii="Book Antiqua" w:hAnsi="Book Antiqua"/>
        </w:rPr>
        <w:t>altered gut microbiota</w:t>
      </w:r>
      <w:r w:rsidR="00B02040" w:rsidRPr="00700A64">
        <w:rPr>
          <w:rFonts w:ascii="Book Antiqua" w:hAnsi="Book Antiqua"/>
        </w:rPr>
        <w:t xml:space="preserve"> in</w:t>
      </w:r>
      <w:r w:rsidR="0018055C" w:rsidRPr="00700A64">
        <w:rPr>
          <w:rFonts w:ascii="Book Antiqua" w:hAnsi="Book Antiqua"/>
        </w:rPr>
        <w:t xml:space="preserve"> </w:t>
      </w:r>
      <w:r w:rsidR="00A45D3D" w:rsidRPr="00700A64">
        <w:rPr>
          <w:rFonts w:ascii="Book Antiqua" w:hAnsi="Book Antiqua"/>
        </w:rPr>
        <w:t xml:space="preserve">these </w:t>
      </w:r>
      <w:r w:rsidR="0018055C" w:rsidRPr="00700A64">
        <w:rPr>
          <w:rFonts w:ascii="Book Antiqua" w:hAnsi="Book Antiqua"/>
        </w:rPr>
        <w:t>patients</w:t>
      </w:r>
      <w:r w:rsidR="00C35C49" w:rsidRPr="00700A64">
        <w:rPr>
          <w:rFonts w:ascii="Book Antiqua" w:hAnsi="Book Antiqua"/>
          <w:vertAlign w:val="superscript"/>
        </w:rPr>
        <w:t>[</w:t>
      </w:r>
      <w:r w:rsidR="00333471" w:rsidRPr="00700A64">
        <w:rPr>
          <w:rFonts w:ascii="Book Antiqua" w:hAnsi="Book Antiqua"/>
          <w:vertAlign w:val="superscript"/>
        </w:rPr>
        <w:t>4,7,8</w:t>
      </w:r>
      <w:r w:rsidR="00C35C49" w:rsidRPr="00700A64">
        <w:rPr>
          <w:rFonts w:ascii="Book Antiqua" w:hAnsi="Book Antiqua"/>
          <w:vertAlign w:val="superscript"/>
        </w:rPr>
        <w:t>]</w:t>
      </w:r>
      <w:r w:rsidR="0002691E" w:rsidRPr="00700A64">
        <w:rPr>
          <w:rFonts w:ascii="Book Antiqua" w:hAnsi="Book Antiqua"/>
        </w:rPr>
        <w:t>.</w:t>
      </w:r>
      <w:r w:rsidR="00FC145F" w:rsidRPr="00700A64">
        <w:rPr>
          <w:rFonts w:ascii="Book Antiqua" w:hAnsi="Book Antiqua"/>
        </w:rPr>
        <w:t xml:space="preserve"> </w:t>
      </w:r>
      <w:r w:rsidR="00E663AA" w:rsidRPr="00700A64">
        <w:rPr>
          <w:rFonts w:ascii="Book Antiqua" w:hAnsi="Book Antiqua"/>
        </w:rPr>
        <w:t>As a result, CD and T1D coexist more frequently</w:t>
      </w:r>
      <w:r w:rsidR="00B02040" w:rsidRPr="00700A64">
        <w:rPr>
          <w:rFonts w:ascii="Book Antiqua" w:hAnsi="Book Antiqua"/>
        </w:rPr>
        <w:t xml:space="preserve"> compared with chance occurrence,</w:t>
      </w:r>
      <w:r w:rsidR="00E663AA" w:rsidRPr="00700A64">
        <w:rPr>
          <w:rFonts w:ascii="Book Antiqua" w:hAnsi="Book Antiqua"/>
        </w:rPr>
        <w:t xml:space="preserve"> with an</w:t>
      </w:r>
      <w:r w:rsidR="00143564" w:rsidRPr="00700A64">
        <w:rPr>
          <w:rFonts w:ascii="Book Antiqua" w:hAnsi="Book Antiqua"/>
        </w:rPr>
        <w:t xml:space="preserve"> average prevalence of CD among children with </w:t>
      </w:r>
      <w:r w:rsidR="00E663AA" w:rsidRPr="00700A64">
        <w:rPr>
          <w:rFonts w:ascii="Book Antiqua" w:hAnsi="Book Antiqua"/>
        </w:rPr>
        <w:t>T1D</w:t>
      </w:r>
      <w:r w:rsidR="00143564" w:rsidRPr="00700A64">
        <w:rPr>
          <w:rFonts w:ascii="Book Antiqua" w:hAnsi="Book Antiqua"/>
        </w:rPr>
        <w:t xml:space="preserve"> </w:t>
      </w:r>
      <w:r w:rsidR="00E92364" w:rsidRPr="00700A64">
        <w:rPr>
          <w:rFonts w:ascii="Book Antiqua" w:hAnsi="Book Antiqua"/>
        </w:rPr>
        <w:t xml:space="preserve">of </w:t>
      </w:r>
      <w:r w:rsidR="00143564" w:rsidRPr="00700A64">
        <w:rPr>
          <w:rFonts w:ascii="Book Antiqua" w:hAnsi="Book Antiqua"/>
        </w:rPr>
        <w:t>4.5% (0.97</w:t>
      </w:r>
      <w:r w:rsidR="00C6761F" w:rsidRPr="00700A64">
        <w:rPr>
          <w:rFonts w:ascii="Book Antiqua" w:hAnsi="Book Antiqua" w:hint="eastAsia"/>
          <w:lang w:eastAsia="zh-CN"/>
        </w:rPr>
        <w:t>%</w:t>
      </w:r>
      <w:r w:rsidR="00143564" w:rsidRPr="00700A64">
        <w:rPr>
          <w:rFonts w:ascii="Book Antiqua" w:hAnsi="Book Antiqua"/>
        </w:rPr>
        <w:t xml:space="preserve">-16.4%) </w:t>
      </w:r>
      <w:r w:rsidR="00B02040" w:rsidRPr="00700A64">
        <w:rPr>
          <w:rFonts w:ascii="Book Antiqua" w:hAnsi="Book Antiqua"/>
        </w:rPr>
        <w:t>in 26 reports</w:t>
      </w:r>
      <w:r w:rsidR="00C35C49" w:rsidRPr="00700A64">
        <w:rPr>
          <w:rFonts w:ascii="Book Antiqua" w:hAnsi="Book Antiqua"/>
          <w:vertAlign w:val="superscript"/>
        </w:rPr>
        <w:t>[</w:t>
      </w:r>
      <w:r w:rsidR="00333471" w:rsidRPr="00700A64">
        <w:rPr>
          <w:rFonts w:ascii="Book Antiqua" w:hAnsi="Book Antiqua"/>
          <w:vertAlign w:val="superscript"/>
        </w:rPr>
        <w:t>9</w:t>
      </w:r>
      <w:r w:rsidR="00C35C49" w:rsidRPr="00700A64">
        <w:rPr>
          <w:rFonts w:ascii="Book Antiqua" w:hAnsi="Book Antiqua"/>
          <w:vertAlign w:val="superscript"/>
        </w:rPr>
        <w:t>]</w:t>
      </w:r>
      <w:r w:rsidR="0002691E" w:rsidRPr="00700A64">
        <w:rPr>
          <w:rFonts w:ascii="Book Antiqua" w:hAnsi="Book Antiqua"/>
        </w:rPr>
        <w:t xml:space="preserve">. </w:t>
      </w:r>
      <w:r w:rsidR="0002691E" w:rsidRPr="00700A64">
        <w:rPr>
          <w:rFonts w:ascii="Book Antiqua" w:hAnsi="Book Antiqua"/>
          <w:vertAlign w:val="superscript"/>
        </w:rPr>
        <w:t xml:space="preserve">  </w:t>
      </w:r>
    </w:p>
    <w:p w:rsidR="00C349F9" w:rsidRPr="00700A64" w:rsidRDefault="00E663AA" w:rsidP="00B90E53">
      <w:pPr>
        <w:adjustRightInd w:val="0"/>
        <w:snapToGrid w:val="0"/>
        <w:spacing w:line="360" w:lineRule="auto"/>
        <w:ind w:firstLineChars="100" w:firstLine="240"/>
        <w:jc w:val="both"/>
        <w:rPr>
          <w:rFonts w:ascii="Book Antiqua" w:hAnsi="Book Antiqua"/>
          <w:strike/>
        </w:rPr>
      </w:pPr>
      <w:r w:rsidRPr="00700A64">
        <w:rPr>
          <w:rFonts w:ascii="Book Antiqua" w:hAnsi="Book Antiqua"/>
          <w:bCs/>
        </w:rPr>
        <w:t>DC</w:t>
      </w:r>
      <w:r w:rsidR="003A6694" w:rsidRPr="00700A64">
        <w:rPr>
          <w:rFonts w:ascii="Book Antiqua" w:hAnsi="Book Antiqua"/>
          <w:bCs/>
        </w:rPr>
        <w:t>s</w:t>
      </w:r>
      <w:r w:rsidRPr="00700A64">
        <w:rPr>
          <w:rFonts w:ascii="Book Antiqua" w:hAnsi="Book Antiqua"/>
          <w:bCs/>
        </w:rPr>
        <w:t xml:space="preserve"> </w:t>
      </w:r>
      <w:r w:rsidR="00B310B9" w:rsidRPr="00700A64">
        <w:rPr>
          <w:rFonts w:ascii="Book Antiqua" w:hAnsi="Book Antiqua"/>
          <w:bCs/>
        </w:rPr>
        <w:t>ha</w:t>
      </w:r>
      <w:r w:rsidR="003A6694" w:rsidRPr="00700A64">
        <w:rPr>
          <w:rFonts w:ascii="Book Antiqua" w:hAnsi="Book Antiqua"/>
          <w:bCs/>
        </w:rPr>
        <w:t>ve</w:t>
      </w:r>
      <w:r w:rsidRPr="00700A64">
        <w:rPr>
          <w:rFonts w:ascii="Book Antiqua" w:hAnsi="Book Antiqua"/>
          <w:bCs/>
        </w:rPr>
        <w:t xml:space="preserve"> received much attention in CD due to their strategic role </w:t>
      </w:r>
      <w:r w:rsidR="00356585" w:rsidRPr="00700A64">
        <w:rPr>
          <w:rFonts w:ascii="Book Antiqua" w:hAnsi="Book Antiqua"/>
          <w:bCs/>
        </w:rPr>
        <w:t xml:space="preserve">in </w:t>
      </w:r>
      <w:r w:rsidR="00771039" w:rsidRPr="00700A64">
        <w:rPr>
          <w:rFonts w:ascii="Book Antiqua" w:hAnsi="Book Antiqua"/>
          <w:bCs/>
        </w:rPr>
        <w:t xml:space="preserve">gut </w:t>
      </w:r>
      <w:r w:rsidR="00356585" w:rsidRPr="00700A64">
        <w:rPr>
          <w:rFonts w:ascii="Book Antiqua" w:hAnsi="Book Antiqua"/>
          <w:bCs/>
        </w:rPr>
        <w:t xml:space="preserve">homeostasis by processing </w:t>
      </w:r>
      <w:r w:rsidR="006E21F6" w:rsidRPr="00700A64">
        <w:rPr>
          <w:rFonts w:ascii="Book Antiqua" w:hAnsi="Book Antiqua"/>
          <w:bCs/>
        </w:rPr>
        <w:t>external antigens (incl</w:t>
      </w:r>
      <w:r w:rsidR="00771039" w:rsidRPr="00700A64">
        <w:rPr>
          <w:rFonts w:ascii="Book Antiqua" w:hAnsi="Book Antiqua"/>
          <w:bCs/>
        </w:rPr>
        <w:t xml:space="preserve">uding </w:t>
      </w:r>
      <w:r w:rsidR="00356585" w:rsidRPr="00700A64">
        <w:rPr>
          <w:rFonts w:ascii="Book Antiqua" w:hAnsi="Book Antiqua"/>
          <w:bCs/>
        </w:rPr>
        <w:t>wheat proteins</w:t>
      </w:r>
      <w:r w:rsidR="0029308A" w:rsidRPr="00700A64">
        <w:rPr>
          <w:rFonts w:ascii="Book Antiqua" w:hAnsi="Book Antiqua"/>
          <w:bCs/>
        </w:rPr>
        <w:t>)</w:t>
      </w:r>
      <w:r w:rsidR="00356585" w:rsidRPr="00700A64">
        <w:rPr>
          <w:rFonts w:ascii="Book Antiqua" w:hAnsi="Book Antiqua"/>
          <w:bCs/>
        </w:rPr>
        <w:t xml:space="preserve"> and </w:t>
      </w:r>
      <w:r w:rsidR="004816E4" w:rsidRPr="00700A64">
        <w:rPr>
          <w:rFonts w:ascii="Book Antiqua" w:hAnsi="Book Antiqua"/>
          <w:bCs/>
        </w:rPr>
        <w:t xml:space="preserve">by </w:t>
      </w:r>
      <w:r w:rsidR="00771039" w:rsidRPr="00700A64">
        <w:rPr>
          <w:rFonts w:ascii="Book Antiqua" w:hAnsi="Book Antiqua"/>
          <w:bCs/>
        </w:rPr>
        <w:t xml:space="preserve">determining </w:t>
      </w:r>
      <w:r w:rsidR="00356585" w:rsidRPr="00700A64">
        <w:rPr>
          <w:rFonts w:ascii="Book Antiqua" w:hAnsi="Book Antiqua"/>
          <w:bCs/>
        </w:rPr>
        <w:t>tolerance to self</w:t>
      </w:r>
      <w:r w:rsidR="003A6694" w:rsidRPr="00700A64">
        <w:rPr>
          <w:rFonts w:ascii="Book Antiqua" w:hAnsi="Book Antiqua"/>
          <w:bCs/>
        </w:rPr>
        <w:t>-</w:t>
      </w:r>
      <w:r w:rsidR="00356585" w:rsidRPr="00700A64">
        <w:rPr>
          <w:rFonts w:ascii="Book Antiqua" w:hAnsi="Book Antiqua"/>
          <w:bCs/>
        </w:rPr>
        <w:t>antigens</w:t>
      </w:r>
      <w:r w:rsidR="00DB3B73" w:rsidRPr="00700A64">
        <w:rPr>
          <w:rFonts w:ascii="Book Antiqua" w:hAnsi="Book Antiqua"/>
          <w:bCs/>
          <w:vertAlign w:val="superscript"/>
        </w:rPr>
        <w:t>[</w:t>
      </w:r>
      <w:r w:rsidR="00B874DC" w:rsidRPr="00700A64">
        <w:rPr>
          <w:rFonts w:ascii="Book Antiqua" w:hAnsi="Book Antiqua"/>
          <w:bCs/>
          <w:vertAlign w:val="superscript"/>
        </w:rPr>
        <w:t>10</w:t>
      </w:r>
      <w:r w:rsidR="00B874DC" w:rsidRPr="00700A64">
        <w:rPr>
          <w:rFonts w:ascii="Book Antiqua" w:hAnsi="Book Antiqua" w:hint="eastAsia"/>
          <w:bCs/>
          <w:vertAlign w:val="superscript"/>
          <w:lang w:eastAsia="zh-CN"/>
        </w:rPr>
        <w:t>,</w:t>
      </w:r>
      <w:r w:rsidR="00333471" w:rsidRPr="00700A64">
        <w:rPr>
          <w:rFonts w:ascii="Book Antiqua" w:hAnsi="Book Antiqua"/>
          <w:bCs/>
          <w:vertAlign w:val="superscript"/>
        </w:rPr>
        <w:t>11</w:t>
      </w:r>
      <w:r w:rsidR="00DB3B73" w:rsidRPr="00700A64">
        <w:rPr>
          <w:rFonts w:ascii="Book Antiqua" w:hAnsi="Book Antiqua"/>
          <w:bCs/>
          <w:vertAlign w:val="superscript"/>
        </w:rPr>
        <w:t>]</w:t>
      </w:r>
      <w:r w:rsidR="0002691E" w:rsidRPr="00700A64">
        <w:rPr>
          <w:rFonts w:ascii="Book Antiqua" w:hAnsi="Book Antiqua"/>
        </w:rPr>
        <w:t>.</w:t>
      </w:r>
      <w:r w:rsidR="00356585" w:rsidRPr="00700A64">
        <w:rPr>
          <w:rFonts w:ascii="Book Antiqua" w:hAnsi="Book Antiqua"/>
          <w:bCs/>
        </w:rPr>
        <w:t xml:space="preserve"> </w:t>
      </w:r>
      <w:r w:rsidR="00504C1B" w:rsidRPr="00700A64">
        <w:rPr>
          <w:rFonts w:ascii="Book Antiqua" w:hAnsi="Book Antiqua"/>
          <w:bCs/>
        </w:rPr>
        <w:t xml:space="preserve">The </w:t>
      </w:r>
      <w:r w:rsidR="00B2315A" w:rsidRPr="00700A64">
        <w:rPr>
          <w:rFonts w:ascii="Book Antiqua" w:hAnsi="Book Antiqua"/>
          <w:bCs/>
        </w:rPr>
        <w:t xml:space="preserve">important </w:t>
      </w:r>
      <w:r w:rsidR="00504C1B" w:rsidRPr="00700A64">
        <w:rPr>
          <w:rFonts w:ascii="Book Antiqua" w:hAnsi="Book Antiqua"/>
          <w:bCs/>
        </w:rPr>
        <w:t xml:space="preserve">role of </w:t>
      </w:r>
      <w:r w:rsidR="003A149A" w:rsidRPr="00700A64">
        <w:rPr>
          <w:rFonts w:ascii="Book Antiqua" w:hAnsi="Book Antiqua"/>
          <w:bCs/>
        </w:rPr>
        <w:t>CD11c+ CD103+ DCs</w:t>
      </w:r>
      <w:r w:rsidR="00504C1B" w:rsidRPr="00700A64">
        <w:rPr>
          <w:rFonts w:ascii="Book Antiqua" w:hAnsi="Book Antiqua"/>
          <w:bCs/>
        </w:rPr>
        <w:t xml:space="preserve"> in</w:t>
      </w:r>
      <w:r w:rsidR="00105F69" w:rsidRPr="00700A64">
        <w:rPr>
          <w:rFonts w:ascii="Book Antiqua" w:hAnsi="Book Antiqua"/>
          <w:bCs/>
        </w:rPr>
        <w:t xml:space="preserve"> the</w:t>
      </w:r>
      <w:r w:rsidR="00504C1B" w:rsidRPr="00700A64">
        <w:rPr>
          <w:rFonts w:ascii="Book Antiqua" w:hAnsi="Book Antiqua"/>
          <w:bCs/>
        </w:rPr>
        <w:t xml:space="preserve"> induction of </w:t>
      </w:r>
      <w:r w:rsidR="003A149A" w:rsidRPr="00700A64">
        <w:rPr>
          <w:rFonts w:ascii="Book Antiqua" w:hAnsi="Book Antiqua"/>
          <w:bCs/>
        </w:rPr>
        <w:t>Treg</w:t>
      </w:r>
      <w:r w:rsidR="00A0447A" w:rsidRPr="00700A64">
        <w:rPr>
          <w:rFonts w:ascii="Book Antiqua" w:hAnsi="Book Antiqua"/>
          <w:bCs/>
        </w:rPr>
        <w:t>s</w:t>
      </w:r>
      <w:r w:rsidR="003A149A" w:rsidRPr="00700A64">
        <w:rPr>
          <w:rFonts w:ascii="Book Antiqua" w:hAnsi="Book Antiqua"/>
          <w:bCs/>
        </w:rPr>
        <w:t xml:space="preserve"> differentiation </w:t>
      </w:r>
      <w:r w:rsidR="003A6694" w:rsidRPr="00700A64">
        <w:rPr>
          <w:rFonts w:ascii="Book Antiqua" w:hAnsi="Book Antiqua"/>
          <w:bCs/>
        </w:rPr>
        <w:t>has been</w:t>
      </w:r>
      <w:r w:rsidR="00504C1B" w:rsidRPr="00700A64">
        <w:rPr>
          <w:rFonts w:ascii="Book Antiqua" w:hAnsi="Book Antiqua"/>
          <w:bCs/>
        </w:rPr>
        <w:t xml:space="preserve"> established</w:t>
      </w:r>
      <w:r w:rsidR="00DB3B73" w:rsidRPr="00700A64">
        <w:rPr>
          <w:rFonts w:ascii="Book Antiqua" w:hAnsi="Book Antiqua"/>
          <w:bCs/>
          <w:vertAlign w:val="superscript"/>
        </w:rPr>
        <w:t>[</w:t>
      </w:r>
      <w:r w:rsidR="00333471" w:rsidRPr="00700A64">
        <w:rPr>
          <w:rFonts w:ascii="Book Antiqua" w:hAnsi="Book Antiqua"/>
          <w:bCs/>
          <w:vertAlign w:val="superscript"/>
        </w:rPr>
        <w:t>12</w:t>
      </w:r>
      <w:r w:rsidR="00DB3B73" w:rsidRPr="00700A64">
        <w:rPr>
          <w:rFonts w:ascii="Book Antiqua" w:hAnsi="Book Antiqua"/>
          <w:bCs/>
          <w:vertAlign w:val="superscript"/>
        </w:rPr>
        <w:t>]</w:t>
      </w:r>
      <w:r w:rsidR="00252C4A" w:rsidRPr="00700A64">
        <w:rPr>
          <w:rFonts w:ascii="Book Antiqua" w:hAnsi="Book Antiqua"/>
          <w:bCs/>
        </w:rPr>
        <w:t xml:space="preserve">. </w:t>
      </w:r>
      <w:r w:rsidR="003D1010" w:rsidRPr="00700A64">
        <w:rPr>
          <w:rFonts w:ascii="Book Antiqua" w:hAnsi="Book Antiqua"/>
        </w:rPr>
        <w:t>CD103+ DCs</w:t>
      </w:r>
      <w:r w:rsidR="002F0790" w:rsidRPr="00700A64">
        <w:rPr>
          <w:rFonts w:ascii="Book Antiqua" w:hAnsi="Book Antiqua"/>
          <w:b/>
        </w:rPr>
        <w:t xml:space="preserve"> </w:t>
      </w:r>
      <w:r w:rsidR="00252C4A" w:rsidRPr="00700A64">
        <w:rPr>
          <w:rFonts w:ascii="Book Antiqua" w:hAnsi="Book Antiqua"/>
        </w:rPr>
        <w:t>are required for</w:t>
      </w:r>
      <w:r w:rsidR="00105F69" w:rsidRPr="00700A64">
        <w:rPr>
          <w:rFonts w:ascii="Book Antiqua" w:hAnsi="Book Antiqua"/>
        </w:rPr>
        <w:t xml:space="preserve"> the</w:t>
      </w:r>
      <w:r w:rsidR="00252C4A" w:rsidRPr="00700A64">
        <w:rPr>
          <w:rFonts w:ascii="Book Antiqua" w:hAnsi="Book Antiqua"/>
        </w:rPr>
        <w:t xml:space="preserve"> </w:t>
      </w:r>
      <w:r w:rsidR="002F0790" w:rsidRPr="00700A64">
        <w:rPr>
          <w:rFonts w:ascii="Book Antiqua" w:hAnsi="Book Antiqua"/>
        </w:rPr>
        <w:t xml:space="preserve">induction of tolerogenic immune responses </w:t>
      </w:r>
      <w:r w:rsidR="00B2315A" w:rsidRPr="00700A64">
        <w:rPr>
          <w:rFonts w:ascii="Book Antiqua" w:hAnsi="Book Antiqua"/>
        </w:rPr>
        <w:t>and</w:t>
      </w:r>
      <w:r w:rsidR="00742C32" w:rsidRPr="00700A64">
        <w:rPr>
          <w:rFonts w:ascii="Book Antiqua" w:hAnsi="Book Antiqua"/>
        </w:rPr>
        <w:t xml:space="preserve"> contribute to</w:t>
      </w:r>
      <w:r w:rsidR="003A6694" w:rsidRPr="00700A64">
        <w:rPr>
          <w:rFonts w:ascii="Book Antiqua" w:hAnsi="Book Antiqua"/>
        </w:rPr>
        <w:t xml:space="preserve"> the</w:t>
      </w:r>
      <w:r w:rsidR="00742C32" w:rsidRPr="00700A64">
        <w:rPr>
          <w:rFonts w:ascii="Book Antiqua" w:hAnsi="Book Antiqua"/>
        </w:rPr>
        <w:t xml:space="preserve"> control of inflammatory responses and homeostasis in</w:t>
      </w:r>
      <w:r w:rsidR="003A6694" w:rsidRPr="00700A64">
        <w:rPr>
          <w:rFonts w:ascii="Book Antiqua" w:hAnsi="Book Antiqua"/>
        </w:rPr>
        <w:t xml:space="preserve"> the</w:t>
      </w:r>
      <w:r w:rsidR="00742C32" w:rsidRPr="00700A64">
        <w:rPr>
          <w:rFonts w:ascii="Book Antiqua" w:hAnsi="Book Antiqua"/>
        </w:rPr>
        <w:t xml:space="preserve"> intestinal mucosa by</w:t>
      </w:r>
      <w:r w:rsidR="00CD4651" w:rsidRPr="00700A64">
        <w:rPr>
          <w:rFonts w:ascii="Book Antiqua" w:hAnsi="Book Antiqua"/>
        </w:rPr>
        <w:t xml:space="preserve"> the</w:t>
      </w:r>
      <w:r w:rsidR="00742C32" w:rsidRPr="00700A64">
        <w:rPr>
          <w:rFonts w:ascii="Book Antiqua" w:hAnsi="Book Antiqua"/>
        </w:rPr>
        <w:t xml:space="preserve"> increment</w:t>
      </w:r>
      <w:r w:rsidR="00105F69" w:rsidRPr="00700A64">
        <w:rPr>
          <w:rFonts w:ascii="Book Antiqua" w:hAnsi="Book Antiqua"/>
        </w:rPr>
        <w:t>al</w:t>
      </w:r>
      <w:r w:rsidR="00742C32" w:rsidRPr="00700A64">
        <w:rPr>
          <w:rFonts w:ascii="Book Antiqua" w:hAnsi="Book Antiqua"/>
        </w:rPr>
        <w:t xml:space="preserve"> conversion of na</w:t>
      </w:r>
      <w:r w:rsidR="0029308A" w:rsidRPr="00700A64">
        <w:rPr>
          <w:rFonts w:ascii="Book Antiqua" w:hAnsi="Book Antiqua"/>
        </w:rPr>
        <w:t>i</w:t>
      </w:r>
      <w:r w:rsidR="00742C32" w:rsidRPr="00700A64">
        <w:rPr>
          <w:rFonts w:ascii="Book Antiqua" w:hAnsi="Book Antiqua"/>
        </w:rPr>
        <w:t>ve T cells into FOXP3+ Treg cells</w:t>
      </w:r>
      <w:r w:rsidR="00DB3B73" w:rsidRPr="00700A64">
        <w:rPr>
          <w:rFonts w:ascii="Book Antiqua" w:hAnsi="Book Antiqua"/>
          <w:vertAlign w:val="superscript"/>
        </w:rPr>
        <w:t>[</w:t>
      </w:r>
      <w:r w:rsidR="00333471" w:rsidRPr="00700A64">
        <w:rPr>
          <w:rFonts w:ascii="Book Antiqua" w:hAnsi="Book Antiqua"/>
          <w:vertAlign w:val="superscript"/>
        </w:rPr>
        <w:t>13,14</w:t>
      </w:r>
      <w:r w:rsidR="00DB3B73" w:rsidRPr="00700A64">
        <w:rPr>
          <w:rFonts w:ascii="Book Antiqua" w:hAnsi="Book Antiqua"/>
          <w:vertAlign w:val="superscript"/>
        </w:rPr>
        <w:t>]</w:t>
      </w:r>
      <w:r w:rsidR="0002691E" w:rsidRPr="00700A64">
        <w:rPr>
          <w:rFonts w:ascii="Book Antiqua" w:hAnsi="Book Antiqua"/>
        </w:rPr>
        <w:t>.</w:t>
      </w:r>
      <w:r w:rsidR="00742C32" w:rsidRPr="00700A64">
        <w:rPr>
          <w:rFonts w:ascii="Book Antiqua" w:hAnsi="Book Antiqua"/>
        </w:rPr>
        <w:t xml:space="preserve"> Functionally specialized CD103+ DCs derived from the small intestinal LP appear to be the only cells able to regulate T cell</w:t>
      </w:r>
      <w:r w:rsidR="00A0447A" w:rsidRPr="00700A64">
        <w:rPr>
          <w:rFonts w:ascii="Book Antiqua" w:hAnsi="Book Antiqua"/>
        </w:rPr>
        <w:t>s</w:t>
      </w:r>
      <w:r w:rsidR="00742C32" w:rsidRPr="00700A64">
        <w:rPr>
          <w:rFonts w:ascii="Book Antiqua" w:hAnsi="Book Antiqua"/>
        </w:rPr>
        <w:t xml:space="preserve"> homing</w:t>
      </w:r>
      <w:r w:rsidR="00DB3B73" w:rsidRPr="00700A64">
        <w:rPr>
          <w:rFonts w:ascii="Book Antiqua" w:hAnsi="Book Antiqua"/>
          <w:vertAlign w:val="superscript"/>
        </w:rPr>
        <w:t>[</w:t>
      </w:r>
      <w:r w:rsidR="00333471" w:rsidRPr="00700A64">
        <w:rPr>
          <w:rFonts w:ascii="Book Antiqua" w:hAnsi="Book Antiqua"/>
          <w:vertAlign w:val="superscript"/>
        </w:rPr>
        <w:t>15</w:t>
      </w:r>
      <w:r w:rsidR="00DB3B73" w:rsidRPr="00700A64">
        <w:rPr>
          <w:rFonts w:ascii="Book Antiqua" w:hAnsi="Book Antiqua"/>
          <w:vertAlign w:val="superscript"/>
        </w:rPr>
        <w:t>]</w:t>
      </w:r>
      <w:r w:rsidR="0002691E" w:rsidRPr="00700A64">
        <w:rPr>
          <w:rFonts w:ascii="Book Antiqua" w:hAnsi="Book Antiqua"/>
        </w:rPr>
        <w:t>.</w:t>
      </w:r>
    </w:p>
    <w:p w:rsidR="00C1140E" w:rsidRPr="00700A64" w:rsidRDefault="00356585"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In addition to </w:t>
      </w:r>
      <w:r w:rsidR="005B13F7" w:rsidRPr="00700A64">
        <w:rPr>
          <w:rFonts w:ascii="Book Antiqua" w:hAnsi="Book Antiqua"/>
        </w:rPr>
        <w:t xml:space="preserve">the role of </w:t>
      </w:r>
      <w:r w:rsidRPr="00700A64">
        <w:rPr>
          <w:rFonts w:ascii="Book Antiqua" w:hAnsi="Book Antiqua"/>
        </w:rPr>
        <w:t>CD103+ DC</w:t>
      </w:r>
      <w:r w:rsidR="00DA2CAB" w:rsidRPr="00700A64">
        <w:rPr>
          <w:rFonts w:ascii="Book Antiqua" w:hAnsi="Book Antiqua"/>
        </w:rPr>
        <w:t>s</w:t>
      </w:r>
      <w:r w:rsidRPr="00700A64">
        <w:rPr>
          <w:rFonts w:ascii="Book Antiqua" w:hAnsi="Book Antiqua"/>
        </w:rPr>
        <w:t>,</w:t>
      </w:r>
      <w:r w:rsidR="00F32258" w:rsidRPr="00700A64">
        <w:rPr>
          <w:rFonts w:ascii="Book Antiqua" w:hAnsi="Book Antiqua"/>
        </w:rPr>
        <w:t xml:space="preserve"> </w:t>
      </w:r>
      <w:r w:rsidR="005B13F7" w:rsidRPr="00700A64">
        <w:rPr>
          <w:rFonts w:ascii="Book Antiqua" w:hAnsi="Book Antiqua"/>
        </w:rPr>
        <w:t>that</w:t>
      </w:r>
      <w:r w:rsidR="00E7572C" w:rsidRPr="00700A64">
        <w:rPr>
          <w:rFonts w:ascii="Book Antiqua" w:hAnsi="Book Antiqua"/>
        </w:rPr>
        <w:t xml:space="preserve"> of </w:t>
      </w:r>
      <w:r w:rsidR="00E7572C" w:rsidRPr="00700A64">
        <w:rPr>
          <w:rFonts w:ascii="Book Antiqua" w:hAnsi="Book Antiqua"/>
          <w:bCs/>
        </w:rPr>
        <w:t>indoleamine 2</w:t>
      </w:r>
      <w:r w:rsidR="00742C32" w:rsidRPr="00700A64">
        <w:rPr>
          <w:rFonts w:ascii="Book Antiqua" w:hAnsi="Book Antiqua"/>
          <w:bCs/>
        </w:rPr>
        <w:t>, 3</w:t>
      </w:r>
      <w:r w:rsidR="00E7572C" w:rsidRPr="00700A64">
        <w:rPr>
          <w:rFonts w:ascii="Book Antiqua" w:hAnsi="Book Antiqua"/>
          <w:bCs/>
        </w:rPr>
        <w:t xml:space="preserve">-dioxygenase (IDO) </w:t>
      </w:r>
      <w:r w:rsidR="00DA2CAB" w:rsidRPr="00700A64">
        <w:rPr>
          <w:rFonts w:ascii="Book Antiqua" w:hAnsi="Book Antiqua"/>
          <w:bCs/>
        </w:rPr>
        <w:t>for</w:t>
      </w:r>
      <w:r w:rsidR="00E7572C" w:rsidRPr="00700A64">
        <w:rPr>
          <w:rFonts w:ascii="Book Antiqua" w:hAnsi="Book Antiqua"/>
          <w:bCs/>
        </w:rPr>
        <w:t xml:space="preserve"> Treg</w:t>
      </w:r>
      <w:r w:rsidR="003F11B1" w:rsidRPr="00700A64">
        <w:rPr>
          <w:rFonts w:ascii="Book Antiqua" w:hAnsi="Book Antiqua"/>
          <w:bCs/>
        </w:rPr>
        <w:t>s</w:t>
      </w:r>
      <w:r w:rsidR="00E7572C" w:rsidRPr="00700A64">
        <w:rPr>
          <w:rFonts w:ascii="Book Antiqua" w:hAnsi="Book Antiqua"/>
          <w:bCs/>
        </w:rPr>
        <w:t xml:space="preserve"> induction</w:t>
      </w:r>
      <w:r w:rsidR="00F32258" w:rsidRPr="00700A64">
        <w:rPr>
          <w:rFonts w:ascii="Book Antiqua" w:hAnsi="Book Antiqua"/>
          <w:bCs/>
        </w:rPr>
        <w:t xml:space="preserve"> was</w:t>
      </w:r>
      <w:r w:rsidR="00105F69" w:rsidRPr="00700A64">
        <w:rPr>
          <w:rFonts w:ascii="Book Antiqua" w:hAnsi="Book Antiqua"/>
          <w:bCs/>
        </w:rPr>
        <w:t xml:space="preserve"> also</w:t>
      </w:r>
      <w:r w:rsidR="0070483C" w:rsidRPr="00700A64">
        <w:rPr>
          <w:rFonts w:ascii="Book Antiqua" w:hAnsi="Book Antiqua"/>
          <w:bCs/>
        </w:rPr>
        <w:t xml:space="preserve"> demonstrated</w:t>
      </w:r>
      <w:r w:rsidR="00DB3B73" w:rsidRPr="00700A64">
        <w:rPr>
          <w:rFonts w:ascii="Book Antiqua" w:hAnsi="Book Antiqua"/>
          <w:bCs/>
          <w:vertAlign w:val="superscript"/>
        </w:rPr>
        <w:t>[</w:t>
      </w:r>
      <w:r w:rsidR="00333471" w:rsidRPr="00700A64">
        <w:rPr>
          <w:rFonts w:ascii="Book Antiqua" w:hAnsi="Book Antiqua"/>
          <w:bCs/>
          <w:vertAlign w:val="superscript"/>
        </w:rPr>
        <w:t>16-18</w:t>
      </w:r>
      <w:r w:rsidR="00DB3B73" w:rsidRPr="00700A64">
        <w:rPr>
          <w:rFonts w:ascii="Book Antiqua" w:hAnsi="Book Antiqua"/>
          <w:bCs/>
          <w:vertAlign w:val="superscript"/>
        </w:rPr>
        <w:t>]</w:t>
      </w:r>
      <w:r w:rsidR="0002691E" w:rsidRPr="00700A64">
        <w:rPr>
          <w:rFonts w:ascii="Book Antiqua" w:hAnsi="Book Antiqua"/>
          <w:bCs/>
        </w:rPr>
        <w:t>.</w:t>
      </w:r>
      <w:r w:rsidR="002E5336" w:rsidRPr="00700A64">
        <w:rPr>
          <w:rFonts w:ascii="Book Antiqua" w:hAnsi="Book Antiqua"/>
          <w:bCs/>
        </w:rPr>
        <w:t xml:space="preserve"> </w:t>
      </w:r>
      <w:r w:rsidR="00C1140E" w:rsidRPr="00700A64">
        <w:rPr>
          <w:rFonts w:ascii="Book Antiqua" w:hAnsi="Book Antiqua"/>
          <w:bCs/>
        </w:rPr>
        <w:t>IDO</w:t>
      </w:r>
      <w:r w:rsidR="00C1140E" w:rsidRPr="00700A64">
        <w:rPr>
          <w:rFonts w:ascii="Book Antiqua" w:hAnsi="Book Antiqua"/>
        </w:rPr>
        <w:t xml:space="preserve"> is an </w:t>
      </w:r>
      <w:r w:rsidR="00D96AFD" w:rsidRPr="00700A64">
        <w:rPr>
          <w:rFonts w:ascii="Book Antiqua" w:hAnsi="Book Antiqua"/>
        </w:rPr>
        <w:t xml:space="preserve">immunomodulatory </w:t>
      </w:r>
      <w:r w:rsidR="00C1140E" w:rsidRPr="00700A64">
        <w:rPr>
          <w:rFonts w:ascii="Book Antiqua" w:hAnsi="Book Antiqua"/>
        </w:rPr>
        <w:t xml:space="preserve">enzyme involved </w:t>
      </w:r>
      <w:r w:rsidR="00742C32" w:rsidRPr="00700A64">
        <w:rPr>
          <w:rFonts w:ascii="Book Antiqua" w:hAnsi="Book Antiqua"/>
        </w:rPr>
        <w:t>in tryptophan</w:t>
      </w:r>
      <w:r w:rsidR="00C1140E" w:rsidRPr="00700A64">
        <w:rPr>
          <w:rFonts w:ascii="Book Antiqua" w:hAnsi="Book Antiqua"/>
        </w:rPr>
        <w:t xml:space="preserve"> catabolism with immunosuppressive effects</w:t>
      </w:r>
      <w:r w:rsidR="0005344F" w:rsidRPr="00700A64">
        <w:rPr>
          <w:rFonts w:ascii="Book Antiqua" w:hAnsi="Book Antiqua"/>
        </w:rPr>
        <w:t xml:space="preserve"> that</w:t>
      </w:r>
      <w:r w:rsidR="00474E6B" w:rsidRPr="00700A64">
        <w:rPr>
          <w:rFonts w:ascii="Book Antiqua" w:hAnsi="Book Antiqua"/>
        </w:rPr>
        <w:t xml:space="preserve"> </w:t>
      </w:r>
      <w:r w:rsidR="00BB299A" w:rsidRPr="00700A64">
        <w:rPr>
          <w:rFonts w:ascii="Book Antiqua" w:hAnsi="Book Antiqua"/>
        </w:rPr>
        <w:t xml:space="preserve">has been </w:t>
      </w:r>
      <w:r w:rsidR="00474E6B" w:rsidRPr="00700A64">
        <w:rPr>
          <w:rFonts w:ascii="Book Antiqua" w:hAnsi="Book Antiqua"/>
        </w:rPr>
        <w:t>implicated in the control of intestinal inflammation</w:t>
      </w:r>
      <w:r w:rsidR="00DB3B73" w:rsidRPr="00700A64">
        <w:rPr>
          <w:rFonts w:ascii="Book Antiqua" w:hAnsi="Book Antiqua"/>
          <w:vertAlign w:val="superscript"/>
        </w:rPr>
        <w:t>[</w:t>
      </w:r>
      <w:r w:rsidR="00333471" w:rsidRPr="00700A64">
        <w:rPr>
          <w:rFonts w:ascii="Book Antiqua" w:hAnsi="Book Antiqua"/>
          <w:vertAlign w:val="superscript"/>
        </w:rPr>
        <w:t>17</w:t>
      </w:r>
      <w:r w:rsidR="00DB3B73" w:rsidRPr="00700A64">
        <w:rPr>
          <w:rFonts w:ascii="Book Antiqua" w:hAnsi="Book Antiqua"/>
          <w:vertAlign w:val="superscript"/>
        </w:rPr>
        <w:t>]</w:t>
      </w:r>
      <w:r w:rsidR="0002691E" w:rsidRPr="00700A64">
        <w:rPr>
          <w:rFonts w:ascii="Book Antiqua" w:hAnsi="Book Antiqua"/>
        </w:rPr>
        <w:t>.</w:t>
      </w:r>
      <w:r w:rsidR="00252C4A" w:rsidRPr="00700A64">
        <w:rPr>
          <w:rFonts w:ascii="Book Antiqua" w:hAnsi="Book Antiqua"/>
        </w:rPr>
        <w:t xml:space="preserve"> </w:t>
      </w:r>
      <w:r w:rsidR="00C1140E" w:rsidRPr="00700A64">
        <w:rPr>
          <w:rFonts w:ascii="Book Antiqua" w:hAnsi="Book Antiqua"/>
          <w:bCs/>
        </w:rPr>
        <w:t xml:space="preserve">Higher IDO expression </w:t>
      </w:r>
      <w:r w:rsidR="00BB299A" w:rsidRPr="00700A64">
        <w:rPr>
          <w:rFonts w:ascii="Book Antiqua" w:hAnsi="Book Antiqua"/>
          <w:bCs/>
        </w:rPr>
        <w:t>has been measured</w:t>
      </w:r>
      <w:r w:rsidR="005B13F7" w:rsidRPr="00700A64">
        <w:rPr>
          <w:rFonts w:ascii="Book Antiqua" w:hAnsi="Book Antiqua"/>
          <w:bCs/>
        </w:rPr>
        <w:t xml:space="preserve"> </w:t>
      </w:r>
      <w:r w:rsidR="00C1140E" w:rsidRPr="00700A64">
        <w:rPr>
          <w:rFonts w:ascii="Book Antiqua" w:hAnsi="Book Antiqua"/>
        </w:rPr>
        <w:t xml:space="preserve">in intestinal biopsies from </w:t>
      </w:r>
      <w:r w:rsidRPr="00700A64">
        <w:rPr>
          <w:rFonts w:ascii="Book Antiqua" w:hAnsi="Book Antiqua"/>
        </w:rPr>
        <w:t>CD</w:t>
      </w:r>
      <w:r w:rsidR="00C1140E" w:rsidRPr="00700A64">
        <w:rPr>
          <w:rFonts w:ascii="Book Antiqua" w:hAnsi="Book Antiqua"/>
        </w:rPr>
        <w:t xml:space="preserve"> patients</w:t>
      </w:r>
      <w:r w:rsidR="00DB3B73" w:rsidRPr="00700A64">
        <w:rPr>
          <w:rFonts w:ascii="Book Antiqua" w:hAnsi="Book Antiqua"/>
          <w:vertAlign w:val="superscript"/>
        </w:rPr>
        <w:t>[</w:t>
      </w:r>
      <w:r w:rsidR="00333471" w:rsidRPr="00700A64">
        <w:rPr>
          <w:rFonts w:ascii="Book Antiqua" w:hAnsi="Book Antiqua"/>
          <w:vertAlign w:val="superscript"/>
        </w:rPr>
        <w:t>19</w:t>
      </w:r>
      <w:r w:rsidR="00DB3B73" w:rsidRPr="00700A64">
        <w:rPr>
          <w:rFonts w:ascii="Book Antiqua" w:hAnsi="Book Antiqua"/>
          <w:vertAlign w:val="superscript"/>
        </w:rPr>
        <w:t>]</w:t>
      </w:r>
      <w:r w:rsidR="0002691E" w:rsidRPr="00700A64">
        <w:rPr>
          <w:rFonts w:ascii="Book Antiqua" w:hAnsi="Book Antiqua"/>
        </w:rPr>
        <w:t>.</w:t>
      </w:r>
    </w:p>
    <w:p w:rsidR="00FA59D9" w:rsidRPr="00700A64" w:rsidRDefault="00B310B9" w:rsidP="00B90E53">
      <w:pPr>
        <w:autoSpaceDE w:val="0"/>
        <w:autoSpaceDN w:val="0"/>
        <w:adjustRightInd w:val="0"/>
        <w:snapToGrid w:val="0"/>
        <w:spacing w:line="360" w:lineRule="auto"/>
        <w:ind w:firstLineChars="100" w:firstLine="240"/>
        <w:jc w:val="both"/>
        <w:rPr>
          <w:rFonts w:ascii="Book Antiqua" w:hAnsi="Book Antiqua"/>
        </w:rPr>
      </w:pPr>
      <w:r w:rsidRPr="00700A64">
        <w:rPr>
          <w:rFonts w:ascii="Book Antiqua" w:hAnsi="Book Antiqua"/>
        </w:rPr>
        <w:t>A</w:t>
      </w:r>
      <w:r w:rsidR="00356585" w:rsidRPr="00700A64">
        <w:rPr>
          <w:rFonts w:ascii="Book Antiqua" w:hAnsi="Book Antiqua"/>
        </w:rPr>
        <w:t xml:space="preserve">mong </w:t>
      </w:r>
      <w:r w:rsidR="003A55E2" w:rsidRPr="00700A64">
        <w:rPr>
          <w:rFonts w:ascii="Book Antiqua" w:hAnsi="Book Antiqua"/>
        </w:rPr>
        <w:t xml:space="preserve">the </w:t>
      </w:r>
      <w:r w:rsidR="00356585" w:rsidRPr="00700A64">
        <w:rPr>
          <w:rFonts w:ascii="Book Antiqua" w:hAnsi="Book Antiqua"/>
        </w:rPr>
        <w:t>DC</w:t>
      </w:r>
      <w:r w:rsidR="00DA2CAB" w:rsidRPr="00700A64">
        <w:rPr>
          <w:rFonts w:ascii="Book Antiqua" w:hAnsi="Book Antiqua"/>
        </w:rPr>
        <w:t>s</w:t>
      </w:r>
      <w:r w:rsidR="00356585" w:rsidRPr="00700A64">
        <w:rPr>
          <w:rFonts w:ascii="Book Antiqua" w:hAnsi="Book Antiqua"/>
        </w:rPr>
        <w:t xml:space="preserve"> covering body surfaces, either mucosa or </w:t>
      </w:r>
      <w:r w:rsidR="00D01F33" w:rsidRPr="00700A64">
        <w:rPr>
          <w:rFonts w:ascii="Book Antiqua" w:hAnsi="Book Antiqua"/>
        </w:rPr>
        <w:t xml:space="preserve">skin, DCs carrying Langerin (CD207) proteins </w:t>
      </w:r>
      <w:r w:rsidR="004274A9" w:rsidRPr="00700A64">
        <w:rPr>
          <w:rFonts w:ascii="Book Antiqua" w:hAnsi="Book Antiqua"/>
        </w:rPr>
        <w:t xml:space="preserve">have </w:t>
      </w:r>
      <w:r w:rsidR="003A55E2" w:rsidRPr="00700A64">
        <w:rPr>
          <w:rFonts w:ascii="Book Antiqua" w:hAnsi="Book Antiqua"/>
        </w:rPr>
        <w:t>received considerable interest</w:t>
      </w:r>
      <w:r w:rsidR="00DB3B73" w:rsidRPr="00700A64">
        <w:rPr>
          <w:rFonts w:ascii="Book Antiqua" w:hAnsi="Book Antiqua"/>
          <w:vertAlign w:val="superscript"/>
        </w:rPr>
        <w:t>[</w:t>
      </w:r>
      <w:r w:rsidR="00333471" w:rsidRPr="00700A64">
        <w:rPr>
          <w:rFonts w:ascii="Book Antiqua" w:hAnsi="Book Antiqua"/>
          <w:vertAlign w:val="superscript"/>
        </w:rPr>
        <w:t>20</w:t>
      </w:r>
      <w:r w:rsidR="00DB3B73" w:rsidRPr="00700A64">
        <w:rPr>
          <w:rFonts w:ascii="Book Antiqua" w:hAnsi="Book Antiqua"/>
          <w:vertAlign w:val="superscript"/>
        </w:rPr>
        <w:t>]</w:t>
      </w:r>
      <w:r w:rsidR="0002691E" w:rsidRPr="00700A64">
        <w:rPr>
          <w:rFonts w:ascii="Book Antiqua" w:hAnsi="Book Antiqua"/>
        </w:rPr>
        <w:t>.</w:t>
      </w:r>
      <w:r w:rsidR="003A55E2" w:rsidRPr="00700A64">
        <w:rPr>
          <w:rFonts w:ascii="Book Antiqua" w:hAnsi="Book Antiqua"/>
        </w:rPr>
        <w:t xml:space="preserve"> </w:t>
      </w:r>
      <w:r w:rsidR="00E71C74" w:rsidRPr="00700A64">
        <w:rPr>
          <w:rFonts w:ascii="Book Antiqua" w:hAnsi="Book Antiqua"/>
        </w:rPr>
        <w:t xml:space="preserve">Langerin </w:t>
      </w:r>
      <w:r w:rsidR="003A55E2" w:rsidRPr="00700A64">
        <w:rPr>
          <w:rFonts w:ascii="Book Antiqua" w:hAnsi="Book Antiqua"/>
        </w:rPr>
        <w:t>was</w:t>
      </w:r>
      <w:r w:rsidR="005C38FA" w:rsidRPr="00700A64">
        <w:rPr>
          <w:rFonts w:ascii="Book Antiqua" w:hAnsi="Book Antiqua"/>
        </w:rPr>
        <w:t xml:space="preserve"> </w:t>
      </w:r>
      <w:r w:rsidR="005E3C8A" w:rsidRPr="00700A64">
        <w:rPr>
          <w:rFonts w:ascii="Book Antiqua" w:hAnsi="Book Antiqua"/>
        </w:rPr>
        <w:lastRenderedPageBreak/>
        <w:t xml:space="preserve">originally </w:t>
      </w:r>
      <w:r w:rsidR="005C38FA" w:rsidRPr="00700A64">
        <w:rPr>
          <w:rFonts w:ascii="Book Antiqua" w:hAnsi="Book Antiqua"/>
        </w:rPr>
        <w:t>identified as a Langerhans cell (LC)</w:t>
      </w:r>
      <w:r w:rsidR="004274A9" w:rsidRPr="00700A64">
        <w:rPr>
          <w:rFonts w:ascii="Book Antiqua" w:hAnsi="Book Antiqua"/>
        </w:rPr>
        <w:t>-</w:t>
      </w:r>
      <w:r w:rsidR="005C38FA" w:rsidRPr="00700A64">
        <w:rPr>
          <w:rFonts w:ascii="Book Antiqua" w:hAnsi="Book Antiqua"/>
        </w:rPr>
        <w:t>specific</w:t>
      </w:r>
      <w:r w:rsidR="00B26474" w:rsidRPr="00700A64">
        <w:rPr>
          <w:rFonts w:ascii="Book Antiqua" w:hAnsi="Book Antiqua"/>
        </w:rPr>
        <w:t xml:space="preserve"> C-type lectin</w:t>
      </w:r>
      <w:r w:rsidR="005C38FA" w:rsidRPr="00700A64">
        <w:rPr>
          <w:rFonts w:ascii="Book Antiqua" w:hAnsi="Book Antiqua"/>
        </w:rPr>
        <w:t xml:space="preserve"> receptor </w:t>
      </w:r>
      <w:r w:rsidR="006E21F6" w:rsidRPr="00700A64">
        <w:rPr>
          <w:rFonts w:ascii="Book Antiqua" w:hAnsi="Book Antiqua"/>
        </w:rPr>
        <w:t>involved in antigen capture</w:t>
      </w:r>
      <w:r w:rsidR="00DB3B73" w:rsidRPr="00700A64">
        <w:rPr>
          <w:rFonts w:ascii="Book Antiqua" w:hAnsi="Book Antiqua"/>
          <w:vertAlign w:val="superscript"/>
        </w:rPr>
        <w:t>[</w:t>
      </w:r>
      <w:r w:rsidR="00333471" w:rsidRPr="00700A64">
        <w:rPr>
          <w:rFonts w:ascii="Book Antiqua" w:hAnsi="Book Antiqua"/>
          <w:vertAlign w:val="superscript"/>
        </w:rPr>
        <w:t>21</w:t>
      </w:r>
      <w:r w:rsidR="00DB3B73" w:rsidRPr="00700A64">
        <w:rPr>
          <w:rFonts w:ascii="Book Antiqua" w:hAnsi="Book Antiqua"/>
          <w:vertAlign w:val="superscript"/>
        </w:rPr>
        <w:t>]</w:t>
      </w:r>
      <w:r w:rsidR="0002691E" w:rsidRPr="00700A64">
        <w:rPr>
          <w:rFonts w:ascii="Book Antiqua" w:hAnsi="Book Antiqua"/>
        </w:rPr>
        <w:t>.</w:t>
      </w:r>
      <w:r w:rsidR="005C38FA" w:rsidRPr="00700A64">
        <w:rPr>
          <w:rFonts w:ascii="Book Antiqua" w:hAnsi="Book Antiqua"/>
        </w:rPr>
        <w:t xml:space="preserve"> </w:t>
      </w:r>
      <w:r w:rsidR="00B26474" w:rsidRPr="00700A64">
        <w:rPr>
          <w:rFonts w:ascii="Book Antiqua" w:hAnsi="Book Antiqua"/>
        </w:rPr>
        <w:t xml:space="preserve">Langerin expression is predominant in skin DCs, but </w:t>
      </w:r>
      <w:r w:rsidR="00D01F33" w:rsidRPr="00700A64">
        <w:rPr>
          <w:rFonts w:ascii="Book Antiqua" w:hAnsi="Book Antiqua"/>
        </w:rPr>
        <w:t>L</w:t>
      </w:r>
      <w:r w:rsidR="00B26474" w:rsidRPr="00700A64">
        <w:rPr>
          <w:rFonts w:ascii="Book Antiqua" w:hAnsi="Book Antiqua"/>
        </w:rPr>
        <w:t xml:space="preserve">angerin-expressing DCs </w:t>
      </w:r>
      <w:r w:rsidR="003A55E2" w:rsidRPr="00700A64">
        <w:rPr>
          <w:rFonts w:ascii="Book Antiqua" w:hAnsi="Book Antiqua"/>
        </w:rPr>
        <w:t xml:space="preserve">are </w:t>
      </w:r>
      <w:r w:rsidR="00B26474" w:rsidRPr="00700A64">
        <w:rPr>
          <w:rFonts w:ascii="Book Antiqua" w:hAnsi="Book Antiqua"/>
        </w:rPr>
        <w:t xml:space="preserve">also </w:t>
      </w:r>
      <w:r w:rsidR="003A55E2" w:rsidRPr="00700A64">
        <w:rPr>
          <w:rFonts w:ascii="Book Antiqua" w:hAnsi="Book Antiqua"/>
        </w:rPr>
        <w:t>present</w:t>
      </w:r>
      <w:r w:rsidR="00B26474" w:rsidRPr="00700A64">
        <w:rPr>
          <w:rFonts w:ascii="Book Antiqua" w:hAnsi="Book Antiqua"/>
        </w:rPr>
        <w:t xml:space="preserve"> in</w:t>
      </w:r>
      <w:r w:rsidR="003A55E2" w:rsidRPr="00700A64">
        <w:rPr>
          <w:rFonts w:ascii="Book Antiqua" w:hAnsi="Book Antiqua"/>
        </w:rPr>
        <w:t xml:space="preserve"> </w:t>
      </w:r>
      <w:r w:rsidR="00D01F33" w:rsidRPr="00700A64">
        <w:rPr>
          <w:rFonts w:ascii="Book Antiqua" w:hAnsi="Book Antiqua"/>
        </w:rPr>
        <w:t>the mucosal</w:t>
      </w:r>
      <w:r w:rsidR="00B26474" w:rsidRPr="00700A64">
        <w:rPr>
          <w:rFonts w:ascii="Book Antiqua" w:hAnsi="Book Antiqua"/>
        </w:rPr>
        <w:t xml:space="preserve"> tissue and can be induced by immunization and sometimes by nutrient deficiency</w:t>
      </w:r>
      <w:r w:rsidR="00DB3B73" w:rsidRPr="00700A64">
        <w:rPr>
          <w:rFonts w:ascii="Book Antiqua" w:hAnsi="Book Antiqua"/>
          <w:vertAlign w:val="superscript"/>
        </w:rPr>
        <w:t>[</w:t>
      </w:r>
      <w:r w:rsidR="00333471" w:rsidRPr="00700A64">
        <w:rPr>
          <w:rFonts w:ascii="Book Antiqua" w:hAnsi="Book Antiqua"/>
          <w:vertAlign w:val="superscript"/>
        </w:rPr>
        <w:t>22</w:t>
      </w:r>
      <w:r w:rsidR="00DB3B73" w:rsidRPr="00700A64">
        <w:rPr>
          <w:rFonts w:ascii="Book Antiqua" w:hAnsi="Book Antiqua"/>
          <w:vertAlign w:val="superscript"/>
        </w:rPr>
        <w:t>]</w:t>
      </w:r>
      <w:r w:rsidR="0002691E" w:rsidRPr="00700A64">
        <w:rPr>
          <w:rFonts w:ascii="Book Antiqua" w:hAnsi="Book Antiqua"/>
        </w:rPr>
        <w:t>.</w:t>
      </w:r>
      <w:r w:rsidR="004274A9" w:rsidRPr="00700A64">
        <w:rPr>
          <w:rFonts w:ascii="Book Antiqua" w:hAnsi="Book Antiqua"/>
        </w:rPr>
        <w:t xml:space="preserve"> </w:t>
      </w:r>
      <w:r w:rsidR="00333471" w:rsidRPr="00700A64">
        <w:rPr>
          <w:rFonts w:ascii="Book Antiqua" w:hAnsi="Book Antiqua"/>
        </w:rPr>
        <w:t xml:space="preserve">The expression of Langerin by CD103+CD11b+ LP DCs </w:t>
      </w:r>
      <w:r w:rsidR="00125C80" w:rsidRPr="00700A64">
        <w:rPr>
          <w:rFonts w:ascii="Book Antiqua" w:hAnsi="Book Antiqua"/>
        </w:rPr>
        <w:t>in</w:t>
      </w:r>
      <w:r w:rsidR="004274A9" w:rsidRPr="00700A64">
        <w:rPr>
          <w:rFonts w:ascii="Book Antiqua" w:hAnsi="Book Antiqua"/>
        </w:rPr>
        <w:t xml:space="preserve"> the</w:t>
      </w:r>
      <w:r w:rsidR="00125C80" w:rsidRPr="00700A64">
        <w:rPr>
          <w:rFonts w:ascii="Book Antiqua" w:hAnsi="Book Antiqua"/>
        </w:rPr>
        <w:t xml:space="preserve"> human ileum </w:t>
      </w:r>
      <w:r w:rsidR="005428D7" w:rsidRPr="00700A64">
        <w:rPr>
          <w:rFonts w:ascii="Book Antiqua" w:hAnsi="Book Antiqua"/>
        </w:rPr>
        <w:t xml:space="preserve">has </w:t>
      </w:r>
      <w:r w:rsidR="004274A9" w:rsidRPr="00700A64">
        <w:rPr>
          <w:rFonts w:ascii="Book Antiqua" w:hAnsi="Book Antiqua"/>
        </w:rPr>
        <w:t xml:space="preserve">recently </w:t>
      </w:r>
      <w:r w:rsidR="005428D7" w:rsidRPr="00700A64">
        <w:rPr>
          <w:rFonts w:ascii="Book Antiqua" w:hAnsi="Book Antiqua"/>
        </w:rPr>
        <w:t>been</w:t>
      </w:r>
      <w:r w:rsidR="00333471" w:rsidRPr="00700A64">
        <w:rPr>
          <w:rFonts w:ascii="Book Antiqua" w:hAnsi="Book Antiqua"/>
        </w:rPr>
        <w:t xml:space="preserve"> </w:t>
      </w:r>
      <w:r w:rsidR="005E3C8A" w:rsidRPr="00700A64">
        <w:rPr>
          <w:rFonts w:ascii="Book Antiqua" w:hAnsi="Book Antiqua"/>
        </w:rPr>
        <w:t>reported</w:t>
      </w:r>
      <w:r w:rsidR="00DB3B73" w:rsidRPr="00700A64">
        <w:rPr>
          <w:rFonts w:ascii="Book Antiqua" w:hAnsi="Book Antiqua"/>
          <w:vertAlign w:val="superscript"/>
        </w:rPr>
        <w:t>[</w:t>
      </w:r>
      <w:r w:rsidR="00D965D2" w:rsidRPr="00700A64">
        <w:rPr>
          <w:rFonts w:ascii="Book Antiqua" w:hAnsi="Book Antiqua"/>
          <w:vertAlign w:val="superscript"/>
        </w:rPr>
        <w:t>23</w:t>
      </w:r>
      <w:r w:rsidR="00DB3B73" w:rsidRPr="00700A64">
        <w:rPr>
          <w:rFonts w:ascii="Book Antiqua" w:hAnsi="Book Antiqua"/>
          <w:vertAlign w:val="superscript"/>
        </w:rPr>
        <w:t>]</w:t>
      </w:r>
      <w:r w:rsidR="0002691E" w:rsidRPr="00700A64">
        <w:rPr>
          <w:rFonts w:ascii="Book Antiqua" w:hAnsi="Book Antiqua"/>
        </w:rPr>
        <w:t xml:space="preserve">. </w:t>
      </w:r>
      <w:r w:rsidR="00B31B7A" w:rsidRPr="00700A64">
        <w:rPr>
          <w:rFonts w:ascii="Book Antiqua" w:hAnsi="Book Antiqua"/>
        </w:rPr>
        <w:t>However, t</w:t>
      </w:r>
      <w:r w:rsidR="003B1B8C" w:rsidRPr="00700A64">
        <w:rPr>
          <w:rFonts w:ascii="Book Antiqua" w:hAnsi="Book Antiqua"/>
        </w:rPr>
        <w:t>he presence of Langerin+</w:t>
      </w:r>
      <w:r w:rsidR="004274A9" w:rsidRPr="00700A64">
        <w:rPr>
          <w:rFonts w:ascii="Book Antiqua" w:hAnsi="Book Antiqua"/>
        </w:rPr>
        <w:t xml:space="preserve"> </w:t>
      </w:r>
      <w:r w:rsidR="00733B58" w:rsidRPr="00700A64">
        <w:rPr>
          <w:rFonts w:ascii="Book Antiqua" w:hAnsi="Book Antiqua"/>
        </w:rPr>
        <w:t>DCs</w:t>
      </w:r>
      <w:r w:rsidR="003B1B8C" w:rsidRPr="00700A64">
        <w:rPr>
          <w:rFonts w:ascii="Book Antiqua" w:hAnsi="Book Antiqua"/>
        </w:rPr>
        <w:t xml:space="preserve"> in </w:t>
      </w:r>
      <w:r w:rsidR="003A55E2" w:rsidRPr="00700A64">
        <w:rPr>
          <w:rFonts w:ascii="Book Antiqua" w:hAnsi="Book Antiqua"/>
        </w:rPr>
        <w:t xml:space="preserve">the </w:t>
      </w:r>
      <w:r w:rsidR="00C40A48" w:rsidRPr="00700A64">
        <w:rPr>
          <w:rFonts w:ascii="Book Antiqua" w:hAnsi="Book Antiqua"/>
        </w:rPr>
        <w:t>small bowel</w:t>
      </w:r>
      <w:r w:rsidR="003B1B8C" w:rsidRPr="00700A64">
        <w:rPr>
          <w:rFonts w:ascii="Book Antiqua" w:hAnsi="Book Antiqua"/>
        </w:rPr>
        <w:t xml:space="preserve"> mucosa</w:t>
      </w:r>
      <w:r w:rsidR="00B31B7A" w:rsidRPr="00700A64">
        <w:rPr>
          <w:rFonts w:ascii="Book Antiqua" w:hAnsi="Book Antiqua"/>
        </w:rPr>
        <w:t xml:space="preserve"> </w:t>
      </w:r>
      <w:r w:rsidR="003B1B8C" w:rsidRPr="00700A64">
        <w:rPr>
          <w:rFonts w:ascii="Book Antiqua" w:hAnsi="Book Antiqua"/>
        </w:rPr>
        <w:t xml:space="preserve">in pathological conditions </w:t>
      </w:r>
      <w:r w:rsidR="004274A9" w:rsidRPr="00700A64">
        <w:rPr>
          <w:rFonts w:ascii="Book Antiqua" w:hAnsi="Book Antiqua"/>
        </w:rPr>
        <w:t xml:space="preserve">such as </w:t>
      </w:r>
      <w:r w:rsidR="003B1B8C" w:rsidRPr="00700A64">
        <w:rPr>
          <w:rFonts w:ascii="Book Antiqua" w:hAnsi="Book Antiqua"/>
        </w:rPr>
        <w:t xml:space="preserve">CD </w:t>
      </w:r>
      <w:r w:rsidR="00C40A48" w:rsidRPr="00700A64">
        <w:rPr>
          <w:rFonts w:ascii="Book Antiqua" w:hAnsi="Book Antiqua"/>
        </w:rPr>
        <w:t xml:space="preserve">and T1D </w:t>
      </w:r>
      <w:r w:rsidR="003A55E2" w:rsidRPr="00700A64">
        <w:rPr>
          <w:rFonts w:ascii="Book Antiqua" w:hAnsi="Book Antiqua"/>
        </w:rPr>
        <w:t>has</w:t>
      </w:r>
      <w:r w:rsidR="003B1B8C" w:rsidRPr="00700A64">
        <w:rPr>
          <w:rFonts w:ascii="Book Antiqua" w:hAnsi="Book Antiqua"/>
        </w:rPr>
        <w:t xml:space="preserve"> not yet </w:t>
      </w:r>
      <w:r w:rsidR="003A55E2" w:rsidRPr="00700A64">
        <w:rPr>
          <w:rFonts w:ascii="Book Antiqua" w:hAnsi="Book Antiqua"/>
        </w:rPr>
        <w:t xml:space="preserve">been </w:t>
      </w:r>
      <w:r w:rsidR="003B1B8C" w:rsidRPr="00700A64">
        <w:rPr>
          <w:rFonts w:ascii="Book Antiqua" w:hAnsi="Book Antiqua"/>
        </w:rPr>
        <w:t xml:space="preserve">studied. </w:t>
      </w:r>
      <w:r w:rsidR="00C14C6E" w:rsidRPr="00700A64">
        <w:rPr>
          <w:rFonts w:ascii="Book Antiqua" w:hAnsi="Book Antiqua"/>
        </w:rPr>
        <w:t>Still</w:t>
      </w:r>
      <w:r w:rsidR="003A55E2" w:rsidRPr="00700A64">
        <w:rPr>
          <w:rFonts w:ascii="Book Antiqua" w:hAnsi="Book Antiqua"/>
        </w:rPr>
        <w:t>,</w:t>
      </w:r>
      <w:r w:rsidR="003D7623" w:rsidRPr="00700A64">
        <w:rPr>
          <w:rFonts w:ascii="Book Antiqua" w:hAnsi="Book Antiqua"/>
        </w:rPr>
        <w:t xml:space="preserve"> one could preclude that Langerin+ cells might be involved in CD</w:t>
      </w:r>
      <w:r w:rsidR="00211DBF" w:rsidRPr="00700A64">
        <w:rPr>
          <w:rFonts w:ascii="Book Antiqua" w:hAnsi="Book Antiqua"/>
        </w:rPr>
        <w:t xml:space="preserve"> pathogenesis</w:t>
      </w:r>
      <w:r w:rsidR="003D7623" w:rsidRPr="00700A64">
        <w:rPr>
          <w:rFonts w:ascii="Book Antiqua" w:hAnsi="Book Antiqua"/>
        </w:rPr>
        <w:t xml:space="preserve">, </w:t>
      </w:r>
      <w:r w:rsidR="001C4812" w:rsidRPr="00700A64">
        <w:rPr>
          <w:rFonts w:ascii="Book Antiqua" w:hAnsi="Book Antiqua"/>
        </w:rPr>
        <w:t>taking into account the fact that</w:t>
      </w:r>
      <w:r w:rsidR="003D7623" w:rsidRPr="00700A64">
        <w:rPr>
          <w:rFonts w:ascii="Book Antiqua" w:hAnsi="Book Antiqua"/>
        </w:rPr>
        <w:t xml:space="preserve"> </w:t>
      </w:r>
      <w:r w:rsidR="005E3C8A" w:rsidRPr="00700A64">
        <w:rPr>
          <w:rFonts w:ascii="Book Antiqua" w:hAnsi="Book Antiqua"/>
        </w:rPr>
        <w:t>interleukin (</w:t>
      </w:r>
      <w:r w:rsidR="003D7623" w:rsidRPr="00700A64">
        <w:rPr>
          <w:rFonts w:ascii="Book Antiqua" w:hAnsi="Book Antiqua"/>
        </w:rPr>
        <w:t>IL</w:t>
      </w:r>
      <w:r w:rsidR="005E3C8A" w:rsidRPr="00700A64">
        <w:rPr>
          <w:rFonts w:ascii="Book Antiqua" w:hAnsi="Book Antiqua"/>
        </w:rPr>
        <w:t>)</w:t>
      </w:r>
      <w:r w:rsidR="003D7623" w:rsidRPr="00700A64">
        <w:rPr>
          <w:rFonts w:ascii="Book Antiqua" w:hAnsi="Book Antiqua"/>
        </w:rPr>
        <w:t xml:space="preserve">-15, a central cytokine in </w:t>
      </w:r>
      <w:r w:rsidR="003A55E2" w:rsidRPr="00700A64">
        <w:rPr>
          <w:rFonts w:ascii="Book Antiqua" w:hAnsi="Book Antiqua"/>
        </w:rPr>
        <w:t xml:space="preserve">the </w:t>
      </w:r>
      <w:r w:rsidR="003D7623" w:rsidRPr="00700A64">
        <w:rPr>
          <w:rFonts w:ascii="Book Antiqua" w:hAnsi="Book Antiqua"/>
        </w:rPr>
        <w:t>CD mucosa</w:t>
      </w:r>
      <w:r w:rsidR="00DB3B73" w:rsidRPr="00700A64">
        <w:rPr>
          <w:rFonts w:ascii="Book Antiqua" w:hAnsi="Book Antiqua"/>
          <w:vertAlign w:val="superscript"/>
        </w:rPr>
        <w:t>[</w:t>
      </w:r>
      <w:r w:rsidR="00D965D2" w:rsidRPr="00700A64">
        <w:rPr>
          <w:rFonts w:ascii="Book Antiqua" w:hAnsi="Book Antiqua"/>
          <w:vertAlign w:val="superscript"/>
        </w:rPr>
        <w:t>24,25</w:t>
      </w:r>
      <w:r w:rsidR="00DB3B73" w:rsidRPr="00700A64">
        <w:rPr>
          <w:rFonts w:ascii="Book Antiqua" w:hAnsi="Book Antiqua"/>
          <w:vertAlign w:val="superscript"/>
        </w:rPr>
        <w:t>]</w:t>
      </w:r>
      <w:r w:rsidR="0002691E" w:rsidRPr="00700A64">
        <w:rPr>
          <w:rFonts w:ascii="Book Antiqua" w:hAnsi="Book Antiqua"/>
        </w:rPr>
        <w:t>,</w:t>
      </w:r>
      <w:r w:rsidR="003D7623" w:rsidRPr="00700A64">
        <w:rPr>
          <w:rFonts w:ascii="Book Antiqua" w:hAnsi="Book Antiqua"/>
        </w:rPr>
        <w:t xml:space="preserve"> </w:t>
      </w:r>
      <w:r w:rsidR="004274A9" w:rsidRPr="00700A64">
        <w:rPr>
          <w:rFonts w:ascii="Book Antiqua" w:hAnsi="Book Antiqua"/>
        </w:rPr>
        <w:t xml:space="preserve">can </w:t>
      </w:r>
      <w:r w:rsidR="003D7623" w:rsidRPr="00700A64">
        <w:rPr>
          <w:rFonts w:ascii="Book Antiqua" w:hAnsi="Book Antiqua"/>
        </w:rPr>
        <w:t>skew DC pr</w:t>
      </w:r>
      <w:r w:rsidR="00B07A70" w:rsidRPr="00700A64">
        <w:rPr>
          <w:rFonts w:ascii="Book Antiqua" w:hAnsi="Book Antiqua"/>
        </w:rPr>
        <w:t>e</w:t>
      </w:r>
      <w:r w:rsidR="003D7623" w:rsidRPr="00700A64">
        <w:rPr>
          <w:rFonts w:ascii="Book Antiqua" w:hAnsi="Book Antiqua"/>
        </w:rPr>
        <w:t>cursors to differentiate into Langerin+ cells</w:t>
      </w:r>
      <w:r w:rsidR="00DB3B73" w:rsidRPr="00700A64">
        <w:rPr>
          <w:rFonts w:ascii="Book Antiqua" w:hAnsi="Book Antiqua"/>
          <w:vertAlign w:val="superscript"/>
        </w:rPr>
        <w:t>[</w:t>
      </w:r>
      <w:r w:rsidR="00D965D2" w:rsidRPr="00700A64">
        <w:rPr>
          <w:rFonts w:ascii="Book Antiqua" w:hAnsi="Book Antiqua"/>
          <w:vertAlign w:val="superscript"/>
        </w:rPr>
        <w:t>26</w:t>
      </w:r>
      <w:r w:rsidR="00DB3B73" w:rsidRPr="00700A64">
        <w:rPr>
          <w:rFonts w:ascii="Book Antiqua" w:hAnsi="Book Antiqua"/>
          <w:vertAlign w:val="superscript"/>
        </w:rPr>
        <w:t>]</w:t>
      </w:r>
      <w:r w:rsidR="0002691E" w:rsidRPr="00700A64">
        <w:rPr>
          <w:rFonts w:ascii="Book Antiqua" w:hAnsi="Book Antiqua"/>
        </w:rPr>
        <w:t>.</w:t>
      </w:r>
      <w:r w:rsidR="00755D19" w:rsidRPr="00700A64">
        <w:rPr>
          <w:rFonts w:ascii="Book Antiqua" w:hAnsi="Book Antiqua"/>
        </w:rPr>
        <w:t xml:space="preserve"> </w:t>
      </w:r>
      <w:r w:rsidR="00A60F59" w:rsidRPr="00700A64">
        <w:rPr>
          <w:rFonts w:ascii="Book Antiqua" w:hAnsi="Book Antiqua"/>
        </w:rPr>
        <w:t>In addition</w:t>
      </w:r>
      <w:r w:rsidR="007B73D5" w:rsidRPr="00700A64">
        <w:rPr>
          <w:rFonts w:ascii="Book Antiqua" w:hAnsi="Book Antiqua"/>
        </w:rPr>
        <w:t>,</w:t>
      </w:r>
      <w:r w:rsidR="00A60F59" w:rsidRPr="00700A64">
        <w:rPr>
          <w:rFonts w:ascii="Book Antiqua" w:hAnsi="Book Antiqua"/>
        </w:rPr>
        <w:t xml:space="preserve"> we do not know how Langerin+ DCs are related to other DC subsets and Treg</w:t>
      </w:r>
      <w:r w:rsidR="004274A9" w:rsidRPr="00700A64">
        <w:rPr>
          <w:rFonts w:ascii="Book Antiqua" w:hAnsi="Book Antiqua"/>
        </w:rPr>
        <w:t>s</w:t>
      </w:r>
      <w:r w:rsidR="00A60F59" w:rsidRPr="00700A64">
        <w:rPr>
          <w:rFonts w:ascii="Book Antiqua" w:hAnsi="Book Antiqua"/>
        </w:rPr>
        <w:t xml:space="preserve"> in </w:t>
      </w:r>
      <w:r w:rsidR="003A55E2" w:rsidRPr="00700A64">
        <w:rPr>
          <w:rFonts w:ascii="Book Antiqua" w:hAnsi="Book Antiqua"/>
        </w:rPr>
        <w:t xml:space="preserve">the </w:t>
      </w:r>
      <w:r w:rsidR="00A60F59" w:rsidRPr="00700A64">
        <w:rPr>
          <w:rFonts w:ascii="Book Antiqua" w:hAnsi="Book Antiqua"/>
        </w:rPr>
        <w:t xml:space="preserve">human small intestinal mucosa. </w:t>
      </w:r>
      <w:r w:rsidR="00727C49" w:rsidRPr="00700A64">
        <w:rPr>
          <w:rFonts w:ascii="Book Antiqua" w:hAnsi="Book Antiqua"/>
        </w:rPr>
        <w:t xml:space="preserve">Because </w:t>
      </w:r>
      <w:r w:rsidR="00A60F59" w:rsidRPr="00700A64">
        <w:rPr>
          <w:rFonts w:ascii="Book Antiqua" w:hAnsi="Book Antiqua"/>
        </w:rPr>
        <w:t xml:space="preserve">Langerin+ DCs </w:t>
      </w:r>
      <w:r w:rsidR="005E3C8A" w:rsidRPr="00700A64">
        <w:rPr>
          <w:rFonts w:ascii="Book Antiqua" w:hAnsi="Book Antiqua"/>
        </w:rPr>
        <w:t>are</w:t>
      </w:r>
      <w:r w:rsidR="00A60F59" w:rsidRPr="00700A64">
        <w:rPr>
          <w:rFonts w:ascii="Book Antiqua" w:hAnsi="Book Antiqua"/>
        </w:rPr>
        <w:t xml:space="preserve"> significant </w:t>
      </w:r>
      <w:r w:rsidR="005D69CE" w:rsidRPr="00700A64">
        <w:rPr>
          <w:rFonts w:ascii="Book Antiqua" w:hAnsi="Book Antiqua"/>
        </w:rPr>
        <w:t>modulators of</w:t>
      </w:r>
      <w:r w:rsidR="00587F68" w:rsidRPr="00700A64">
        <w:rPr>
          <w:rFonts w:ascii="Book Antiqua" w:hAnsi="Book Antiqua"/>
        </w:rPr>
        <w:t xml:space="preserve"> </w:t>
      </w:r>
      <w:r w:rsidR="007B73D5" w:rsidRPr="00700A64">
        <w:rPr>
          <w:rFonts w:ascii="Book Antiqua" w:hAnsi="Book Antiqua"/>
        </w:rPr>
        <w:t>events</w:t>
      </w:r>
      <w:r w:rsidR="00C14C6E" w:rsidRPr="00700A64">
        <w:rPr>
          <w:rFonts w:ascii="Book Antiqua" w:hAnsi="Book Antiqua"/>
        </w:rPr>
        <w:t xml:space="preserve"> </w:t>
      </w:r>
      <w:r w:rsidR="00727C49" w:rsidRPr="00700A64">
        <w:rPr>
          <w:rFonts w:ascii="Book Antiqua" w:hAnsi="Book Antiqua"/>
        </w:rPr>
        <w:t xml:space="preserve">in the skin, </w:t>
      </w:r>
      <w:r w:rsidR="00C14C6E" w:rsidRPr="00700A64">
        <w:rPr>
          <w:rFonts w:ascii="Book Antiqua" w:hAnsi="Book Antiqua"/>
        </w:rPr>
        <w:t>another important immunological barrier of the organism</w:t>
      </w:r>
      <w:r w:rsidR="00727C49" w:rsidRPr="00700A64">
        <w:rPr>
          <w:rFonts w:ascii="Book Antiqua" w:hAnsi="Book Antiqua"/>
        </w:rPr>
        <w:t xml:space="preserve">, </w:t>
      </w:r>
      <w:r w:rsidR="00A60F59" w:rsidRPr="00700A64">
        <w:rPr>
          <w:rFonts w:ascii="Book Antiqua" w:hAnsi="Book Antiqua"/>
        </w:rPr>
        <w:t xml:space="preserve">knowledge </w:t>
      </w:r>
      <w:r w:rsidR="003A55E2" w:rsidRPr="00700A64">
        <w:rPr>
          <w:rFonts w:ascii="Book Antiqua" w:hAnsi="Book Antiqua"/>
        </w:rPr>
        <w:t>of the function</w:t>
      </w:r>
      <w:r w:rsidR="00587F68" w:rsidRPr="00700A64">
        <w:rPr>
          <w:rFonts w:ascii="Book Antiqua" w:hAnsi="Book Antiqua"/>
        </w:rPr>
        <w:t xml:space="preserve"> </w:t>
      </w:r>
      <w:r w:rsidR="00D01F33" w:rsidRPr="00700A64">
        <w:rPr>
          <w:rFonts w:ascii="Book Antiqua" w:hAnsi="Book Antiqua"/>
        </w:rPr>
        <w:t xml:space="preserve">of </w:t>
      </w:r>
      <w:r w:rsidR="00587F68" w:rsidRPr="00700A64">
        <w:rPr>
          <w:rFonts w:ascii="Book Antiqua" w:hAnsi="Book Antiqua"/>
        </w:rPr>
        <w:t xml:space="preserve">these cells in </w:t>
      </w:r>
      <w:r w:rsidR="003A55E2" w:rsidRPr="00700A64">
        <w:rPr>
          <w:rFonts w:ascii="Book Antiqua" w:hAnsi="Book Antiqua"/>
        </w:rPr>
        <w:t xml:space="preserve">the </w:t>
      </w:r>
      <w:r w:rsidR="00587F68" w:rsidRPr="00700A64">
        <w:rPr>
          <w:rFonts w:ascii="Book Antiqua" w:hAnsi="Book Antiqua"/>
        </w:rPr>
        <w:t>small intestinal mucosa</w:t>
      </w:r>
      <w:r w:rsidR="00A60F59" w:rsidRPr="00700A64">
        <w:rPr>
          <w:rFonts w:ascii="Book Antiqua" w:hAnsi="Book Antiqua"/>
        </w:rPr>
        <w:t xml:space="preserve"> </w:t>
      </w:r>
      <w:r w:rsidR="00D778BC" w:rsidRPr="00700A64">
        <w:rPr>
          <w:rFonts w:ascii="Book Antiqua" w:hAnsi="Book Antiqua"/>
        </w:rPr>
        <w:t xml:space="preserve">may </w:t>
      </w:r>
      <w:r w:rsidR="00727C49" w:rsidRPr="00700A64">
        <w:rPr>
          <w:rFonts w:ascii="Book Antiqua" w:hAnsi="Book Antiqua"/>
        </w:rPr>
        <w:t xml:space="preserve">be of </w:t>
      </w:r>
      <w:r w:rsidR="00D778BC" w:rsidRPr="00700A64">
        <w:rPr>
          <w:rFonts w:ascii="Book Antiqua" w:hAnsi="Book Antiqua"/>
        </w:rPr>
        <w:t>general</w:t>
      </w:r>
      <w:r w:rsidR="00A60F59" w:rsidRPr="00700A64">
        <w:rPr>
          <w:rFonts w:ascii="Book Antiqua" w:hAnsi="Book Antiqua"/>
        </w:rPr>
        <w:t xml:space="preserve"> importance</w:t>
      </w:r>
      <w:r w:rsidR="00587F68" w:rsidRPr="00700A64">
        <w:rPr>
          <w:rFonts w:ascii="Book Antiqua" w:hAnsi="Book Antiqua"/>
        </w:rPr>
        <w:t>.</w:t>
      </w:r>
      <w:r w:rsidR="00A60F59" w:rsidRPr="00700A64">
        <w:rPr>
          <w:rFonts w:ascii="Book Antiqua" w:hAnsi="Book Antiqua"/>
        </w:rPr>
        <w:t xml:space="preserve"> </w:t>
      </w:r>
    </w:p>
    <w:p w:rsidR="00F60F85" w:rsidRPr="00700A64" w:rsidRDefault="00F60F85"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rPr>
        <w:t xml:space="preserve">In </w:t>
      </w:r>
      <w:r w:rsidR="00026C3E" w:rsidRPr="00700A64">
        <w:rPr>
          <w:rFonts w:ascii="Book Antiqua" w:hAnsi="Book Antiqua"/>
        </w:rPr>
        <w:t xml:space="preserve">the </w:t>
      </w:r>
      <w:r w:rsidRPr="00700A64">
        <w:rPr>
          <w:rFonts w:ascii="Book Antiqua" w:hAnsi="Book Antiqua"/>
        </w:rPr>
        <w:t>present study</w:t>
      </w:r>
      <w:r w:rsidR="00727C49" w:rsidRPr="00700A64">
        <w:rPr>
          <w:rFonts w:ascii="Book Antiqua" w:hAnsi="Book Antiqua"/>
        </w:rPr>
        <w:t>,</w:t>
      </w:r>
      <w:r w:rsidRPr="00700A64">
        <w:rPr>
          <w:rFonts w:ascii="Book Antiqua" w:hAnsi="Book Antiqua"/>
        </w:rPr>
        <w:t xml:space="preserve"> we aimed to </w:t>
      </w:r>
      <w:r w:rsidRPr="00700A64">
        <w:rPr>
          <w:rFonts w:ascii="Book Antiqua" w:hAnsi="Book Antiqua"/>
          <w:bCs/>
        </w:rPr>
        <w:t xml:space="preserve">investigate the </w:t>
      </w:r>
      <w:r w:rsidR="00727C49" w:rsidRPr="00700A64">
        <w:rPr>
          <w:rFonts w:ascii="Book Antiqua" w:hAnsi="Book Antiqua"/>
          <w:bCs/>
        </w:rPr>
        <w:t xml:space="preserve">densities </w:t>
      </w:r>
      <w:r w:rsidRPr="00700A64">
        <w:rPr>
          <w:rFonts w:ascii="Book Antiqua" w:hAnsi="Book Antiqua"/>
          <w:bCs/>
        </w:rPr>
        <w:t>of CD11c+ DCs, CD103+ DCs, IDO+ DCs</w:t>
      </w:r>
      <w:r w:rsidR="00026C3E" w:rsidRPr="00700A64">
        <w:rPr>
          <w:rFonts w:ascii="Book Antiqua" w:hAnsi="Book Antiqua"/>
          <w:bCs/>
        </w:rPr>
        <w:t xml:space="preserve"> and</w:t>
      </w:r>
      <w:r w:rsidR="007C64FE" w:rsidRPr="00700A64">
        <w:rPr>
          <w:rFonts w:ascii="Book Antiqua" w:hAnsi="Book Antiqua"/>
          <w:bCs/>
        </w:rPr>
        <w:t xml:space="preserve"> Langerin+ DCs</w:t>
      </w:r>
      <w:r w:rsidR="00727C49" w:rsidRPr="00700A64">
        <w:rPr>
          <w:rFonts w:ascii="Book Antiqua" w:hAnsi="Book Antiqua"/>
          <w:bCs/>
        </w:rPr>
        <w:t>,</w:t>
      </w:r>
      <w:r w:rsidR="007C64FE" w:rsidRPr="00700A64">
        <w:rPr>
          <w:rFonts w:ascii="Book Antiqua" w:hAnsi="Book Antiqua"/>
          <w:bCs/>
        </w:rPr>
        <w:t xml:space="preserve"> </w:t>
      </w:r>
      <w:r w:rsidR="002A4E3F" w:rsidRPr="00700A64">
        <w:rPr>
          <w:rFonts w:ascii="Book Antiqua" w:hAnsi="Book Antiqua"/>
          <w:bCs/>
        </w:rPr>
        <w:t>along with</w:t>
      </w:r>
      <w:r w:rsidR="00742C32" w:rsidRPr="00700A64">
        <w:rPr>
          <w:rFonts w:ascii="Book Antiqua" w:hAnsi="Book Antiqua"/>
          <w:bCs/>
        </w:rPr>
        <w:t xml:space="preserve"> FOXP3</w:t>
      </w:r>
      <w:r w:rsidRPr="00700A64">
        <w:rPr>
          <w:rFonts w:ascii="Book Antiqua" w:hAnsi="Book Antiqua"/>
          <w:bCs/>
        </w:rPr>
        <w:t>+ T</w:t>
      </w:r>
      <w:r w:rsidR="005D11D0" w:rsidRPr="00700A64">
        <w:rPr>
          <w:rFonts w:ascii="Book Antiqua" w:hAnsi="Book Antiqua"/>
          <w:bCs/>
        </w:rPr>
        <w:t>reg</w:t>
      </w:r>
      <w:r w:rsidRPr="00700A64">
        <w:rPr>
          <w:rFonts w:ascii="Book Antiqua" w:hAnsi="Book Antiqua"/>
          <w:bCs/>
        </w:rPr>
        <w:t xml:space="preserve"> cells</w:t>
      </w:r>
      <w:r w:rsidR="00727C49" w:rsidRPr="00700A64">
        <w:rPr>
          <w:rFonts w:ascii="Book Antiqua" w:hAnsi="Book Antiqua"/>
          <w:bCs/>
        </w:rPr>
        <w:t xml:space="preserve">, </w:t>
      </w:r>
      <w:r w:rsidRPr="00700A64">
        <w:rPr>
          <w:rFonts w:ascii="Book Antiqua" w:hAnsi="Book Antiqua"/>
          <w:bCs/>
        </w:rPr>
        <w:t xml:space="preserve">in </w:t>
      </w:r>
      <w:r w:rsidR="00026C3E" w:rsidRPr="00700A64">
        <w:rPr>
          <w:rFonts w:ascii="Book Antiqua" w:hAnsi="Book Antiqua"/>
          <w:bCs/>
        </w:rPr>
        <w:t xml:space="preserve">the </w:t>
      </w:r>
      <w:r w:rsidRPr="00700A64">
        <w:rPr>
          <w:rFonts w:ascii="Book Antiqua" w:hAnsi="Book Antiqua"/>
          <w:bCs/>
        </w:rPr>
        <w:t>small bowel mucosa in CD patients</w:t>
      </w:r>
      <w:r w:rsidR="00B558AD" w:rsidRPr="00700A64">
        <w:rPr>
          <w:rFonts w:ascii="Book Antiqua" w:hAnsi="Book Antiqua"/>
          <w:bCs/>
        </w:rPr>
        <w:t xml:space="preserve"> </w:t>
      </w:r>
      <w:r w:rsidR="00727C49" w:rsidRPr="00700A64">
        <w:rPr>
          <w:rFonts w:ascii="Book Antiqua" w:hAnsi="Book Antiqua"/>
          <w:bCs/>
        </w:rPr>
        <w:t>with and without</w:t>
      </w:r>
      <w:r w:rsidR="00B558AD" w:rsidRPr="00700A64">
        <w:rPr>
          <w:rFonts w:ascii="Book Antiqua" w:hAnsi="Book Antiqua"/>
          <w:bCs/>
        </w:rPr>
        <w:t xml:space="preserve"> coexisting T1D</w:t>
      </w:r>
      <w:r w:rsidR="00D229B9" w:rsidRPr="00700A64">
        <w:rPr>
          <w:rFonts w:ascii="Book Antiqua" w:hAnsi="Book Antiqua"/>
          <w:bCs/>
        </w:rPr>
        <w:t xml:space="preserve"> and to compare </w:t>
      </w:r>
      <w:r w:rsidR="00727C49" w:rsidRPr="00700A64">
        <w:rPr>
          <w:rFonts w:ascii="Book Antiqua" w:hAnsi="Book Antiqua"/>
          <w:bCs/>
        </w:rPr>
        <w:t xml:space="preserve">these densities </w:t>
      </w:r>
      <w:r w:rsidR="00D229B9" w:rsidRPr="00700A64">
        <w:rPr>
          <w:rFonts w:ascii="Book Antiqua" w:hAnsi="Book Antiqua"/>
          <w:bCs/>
        </w:rPr>
        <w:t xml:space="preserve">with the </w:t>
      </w:r>
      <w:r w:rsidR="00727C49" w:rsidRPr="00700A64">
        <w:rPr>
          <w:rFonts w:ascii="Book Antiqua" w:hAnsi="Book Antiqua"/>
          <w:bCs/>
        </w:rPr>
        <w:t>those found in</w:t>
      </w:r>
      <w:r w:rsidR="00D229B9" w:rsidRPr="00700A64">
        <w:rPr>
          <w:rFonts w:ascii="Book Antiqua" w:hAnsi="Book Antiqua"/>
          <w:bCs/>
        </w:rPr>
        <w:t xml:space="preserve"> </w:t>
      </w:r>
      <w:r w:rsidR="00634B5D" w:rsidRPr="00700A64">
        <w:rPr>
          <w:rFonts w:ascii="Book Antiqua" w:hAnsi="Book Antiqua"/>
          <w:bCs/>
        </w:rPr>
        <w:t>histologically</w:t>
      </w:r>
      <w:r w:rsidR="00D229B9" w:rsidRPr="00700A64">
        <w:rPr>
          <w:rFonts w:ascii="Book Antiqua" w:hAnsi="Book Antiqua"/>
          <w:bCs/>
        </w:rPr>
        <w:t xml:space="preserve"> normal intestinal mucosa in persons with functional </w:t>
      </w:r>
      <w:r w:rsidR="00D01F33" w:rsidRPr="00700A64">
        <w:rPr>
          <w:rFonts w:ascii="Book Antiqua" w:hAnsi="Book Antiqua"/>
          <w:bCs/>
        </w:rPr>
        <w:t>dyspepsia using</w:t>
      </w:r>
      <w:r w:rsidR="005D11D0" w:rsidRPr="00700A64">
        <w:rPr>
          <w:rFonts w:ascii="Book Antiqua" w:hAnsi="Book Antiqua"/>
          <w:bCs/>
        </w:rPr>
        <w:t xml:space="preserve"> </w:t>
      </w:r>
      <w:r w:rsidR="00D229B9" w:rsidRPr="00700A64">
        <w:rPr>
          <w:rFonts w:ascii="Book Antiqua" w:hAnsi="Book Antiqua"/>
          <w:bCs/>
        </w:rPr>
        <w:t>immunohistochemical and immunofluorescence method</w:t>
      </w:r>
      <w:r w:rsidR="005D11D0" w:rsidRPr="00700A64">
        <w:rPr>
          <w:rFonts w:ascii="Book Antiqua" w:hAnsi="Book Antiqua"/>
          <w:bCs/>
        </w:rPr>
        <w:t>s</w:t>
      </w:r>
      <w:r w:rsidRPr="00700A64">
        <w:rPr>
          <w:rFonts w:ascii="Book Antiqua" w:hAnsi="Book Antiqua"/>
          <w:bCs/>
        </w:rPr>
        <w:t>.</w:t>
      </w:r>
    </w:p>
    <w:p w:rsidR="00700A64" w:rsidRPr="00700A64" w:rsidRDefault="00700A64" w:rsidP="00B90E53">
      <w:pPr>
        <w:adjustRightInd w:val="0"/>
        <w:snapToGrid w:val="0"/>
        <w:spacing w:line="360" w:lineRule="auto"/>
        <w:jc w:val="both"/>
        <w:rPr>
          <w:rFonts w:ascii="Book Antiqua" w:hAnsi="Book Antiqua"/>
          <w:b/>
          <w:lang w:eastAsia="zh-CN"/>
        </w:rPr>
      </w:pPr>
    </w:p>
    <w:p w:rsidR="00696842" w:rsidRPr="00700A64" w:rsidRDefault="00696842" w:rsidP="00B90E53">
      <w:pPr>
        <w:adjustRightInd w:val="0"/>
        <w:snapToGrid w:val="0"/>
        <w:spacing w:line="360" w:lineRule="auto"/>
        <w:jc w:val="both"/>
        <w:rPr>
          <w:rFonts w:ascii="Book Antiqua" w:hAnsi="Book Antiqua"/>
          <w:b/>
          <w:bCs/>
          <w:lang w:eastAsia="zh-CN"/>
        </w:rPr>
      </w:pPr>
      <w:r w:rsidRPr="00700A64">
        <w:rPr>
          <w:rFonts w:ascii="Book Antiqua" w:hAnsi="Book Antiqua"/>
          <w:b/>
        </w:rPr>
        <w:t>MATERIALS AND METHODS</w:t>
      </w:r>
    </w:p>
    <w:p w:rsidR="00F24DCC" w:rsidRPr="00700A64" w:rsidRDefault="00F24DCC" w:rsidP="00B90E53">
      <w:pPr>
        <w:adjustRightInd w:val="0"/>
        <w:snapToGrid w:val="0"/>
        <w:spacing w:line="360" w:lineRule="auto"/>
        <w:jc w:val="both"/>
        <w:rPr>
          <w:rFonts w:ascii="Book Antiqua" w:hAnsi="Book Antiqua"/>
          <w:b/>
          <w:bCs/>
          <w:i/>
        </w:rPr>
      </w:pPr>
      <w:r w:rsidRPr="00700A64">
        <w:rPr>
          <w:rFonts w:ascii="Book Antiqua" w:hAnsi="Book Antiqua"/>
          <w:b/>
          <w:bCs/>
          <w:i/>
        </w:rPr>
        <w:t>Study population</w:t>
      </w:r>
    </w:p>
    <w:p w:rsidR="00696842" w:rsidRPr="00700A64" w:rsidRDefault="00696842" w:rsidP="00B90E53">
      <w:pPr>
        <w:adjustRightInd w:val="0"/>
        <w:snapToGrid w:val="0"/>
        <w:spacing w:line="360" w:lineRule="auto"/>
        <w:jc w:val="both"/>
        <w:rPr>
          <w:rFonts w:ascii="Book Antiqua" w:hAnsi="Book Antiqua"/>
          <w:bCs/>
        </w:rPr>
      </w:pPr>
      <w:r w:rsidRPr="00700A64">
        <w:rPr>
          <w:rFonts w:ascii="Book Antiqua" w:hAnsi="Book Antiqua"/>
          <w:bCs/>
        </w:rPr>
        <w:t>Seventy-</w:t>
      </w:r>
      <w:r w:rsidR="00497118" w:rsidRPr="00700A64">
        <w:rPr>
          <w:rFonts w:ascii="Book Antiqua" w:hAnsi="Book Antiqua"/>
          <w:bCs/>
        </w:rPr>
        <w:t>f</w:t>
      </w:r>
      <w:r w:rsidRPr="00700A64">
        <w:rPr>
          <w:rFonts w:ascii="Book Antiqua" w:hAnsi="Book Antiqua"/>
          <w:bCs/>
        </w:rPr>
        <w:t>our patients (45 female, 29 male, mean age 11.1</w:t>
      </w:r>
      <w:r w:rsidR="00700A64" w:rsidRPr="00700A64">
        <w:rPr>
          <w:rFonts w:ascii="Book Antiqua" w:hAnsi="Book Antiqua" w:hint="eastAsia"/>
          <w:bCs/>
          <w:lang w:eastAsia="zh-CN"/>
        </w:rPr>
        <w:t xml:space="preserve"> </w:t>
      </w:r>
      <w:r w:rsidRPr="00700A64">
        <w:rPr>
          <w:rFonts w:ascii="Book Antiqua" w:hAnsi="Book Antiqua"/>
          <w:bCs/>
        </w:rPr>
        <w:sym w:font="Symbol" w:char="00B1"/>
      </w:r>
      <w:r w:rsidR="00700A64" w:rsidRPr="00700A64">
        <w:rPr>
          <w:rFonts w:ascii="Book Antiqua" w:hAnsi="Book Antiqua" w:hint="eastAsia"/>
          <w:bCs/>
          <w:lang w:eastAsia="zh-CN"/>
        </w:rPr>
        <w:t xml:space="preserve"> </w:t>
      </w:r>
      <w:r w:rsidRPr="00700A64">
        <w:rPr>
          <w:rFonts w:ascii="Book Antiqua" w:hAnsi="Book Antiqua"/>
          <w:bCs/>
        </w:rPr>
        <w:t>6.8 years) who were admitted to the Children’s Clinic of Tartu University Hospital and underwent small bowel biopsy were studied. All patients were recruited at the time of CD diagnosis. CD without T1D was diagnosed in 18 (mean age 9.9</w:t>
      </w:r>
      <w:r w:rsidR="00700A64" w:rsidRPr="00700A64">
        <w:rPr>
          <w:rFonts w:ascii="Book Antiqua" w:hAnsi="Book Antiqua" w:hint="eastAsia"/>
          <w:bCs/>
          <w:lang w:eastAsia="zh-CN"/>
        </w:rPr>
        <w:t xml:space="preserve"> </w:t>
      </w:r>
      <w:r w:rsidRPr="00700A64">
        <w:rPr>
          <w:rFonts w:ascii="Book Antiqua" w:hAnsi="Book Antiqua"/>
          <w:bCs/>
        </w:rPr>
        <w:sym w:font="Symbol" w:char="00B1"/>
      </w:r>
      <w:r w:rsidR="00700A64" w:rsidRPr="00700A64">
        <w:rPr>
          <w:rFonts w:ascii="Book Antiqua" w:hAnsi="Book Antiqua" w:hint="eastAsia"/>
          <w:bCs/>
          <w:lang w:eastAsia="zh-CN"/>
        </w:rPr>
        <w:t xml:space="preserve"> </w:t>
      </w:r>
      <w:r w:rsidRPr="00700A64">
        <w:rPr>
          <w:rFonts w:ascii="Book Antiqua" w:hAnsi="Book Antiqua"/>
          <w:bCs/>
        </w:rPr>
        <w:t>10.7 years) patients</w:t>
      </w:r>
      <w:r w:rsidR="00A26638" w:rsidRPr="00700A64">
        <w:rPr>
          <w:rFonts w:ascii="Book Antiqua" w:hAnsi="Book Antiqua"/>
          <w:bCs/>
        </w:rPr>
        <w:t>,</w:t>
      </w:r>
      <w:r w:rsidR="00DC2688" w:rsidRPr="00700A64">
        <w:rPr>
          <w:rFonts w:ascii="Book Antiqua" w:hAnsi="Book Antiqua"/>
          <w:bCs/>
        </w:rPr>
        <w:t xml:space="preserve"> and</w:t>
      </w:r>
      <w:r w:rsidRPr="00700A64">
        <w:rPr>
          <w:rFonts w:ascii="Book Antiqua" w:hAnsi="Book Antiqua"/>
          <w:bCs/>
        </w:rPr>
        <w:t xml:space="preserve"> CD with T1D was diagnosed in 15 (mean age 8.5</w:t>
      </w:r>
      <w:r w:rsidR="00700A64" w:rsidRPr="00700A64">
        <w:rPr>
          <w:rFonts w:ascii="Book Antiqua" w:hAnsi="Book Antiqua" w:hint="eastAsia"/>
          <w:bCs/>
          <w:lang w:eastAsia="zh-CN"/>
        </w:rPr>
        <w:t xml:space="preserve"> </w:t>
      </w:r>
      <w:r w:rsidRPr="00700A64">
        <w:rPr>
          <w:rFonts w:ascii="Book Antiqua" w:hAnsi="Book Antiqua"/>
          <w:bCs/>
        </w:rPr>
        <w:sym w:font="Symbol" w:char="00B1"/>
      </w:r>
      <w:r w:rsidR="00700A64" w:rsidRPr="00700A64">
        <w:rPr>
          <w:rFonts w:ascii="Book Antiqua" w:hAnsi="Book Antiqua" w:hint="eastAsia"/>
          <w:bCs/>
          <w:lang w:eastAsia="zh-CN"/>
        </w:rPr>
        <w:t xml:space="preserve"> </w:t>
      </w:r>
      <w:r w:rsidRPr="00700A64">
        <w:rPr>
          <w:rFonts w:ascii="Book Antiqua" w:hAnsi="Book Antiqua"/>
          <w:bCs/>
        </w:rPr>
        <w:t xml:space="preserve">3.7 years) </w:t>
      </w:r>
      <w:r w:rsidRPr="00700A64">
        <w:rPr>
          <w:rFonts w:ascii="Book Antiqua" w:hAnsi="Book Antiqua"/>
          <w:bCs/>
        </w:rPr>
        <w:lastRenderedPageBreak/>
        <w:t xml:space="preserve">patients. Normal small bowel mucosa was found in two T1D patients with equivocal values of IgA antibodies to </w:t>
      </w:r>
      <w:r w:rsidR="004D7F2E" w:rsidRPr="00700A64">
        <w:rPr>
          <w:rFonts w:ascii="Book Antiqua" w:hAnsi="Book Antiqua"/>
          <w:bCs/>
        </w:rPr>
        <w:t>tissue transglutaminase (</w:t>
      </w:r>
      <w:r w:rsidRPr="00700A64">
        <w:rPr>
          <w:rFonts w:ascii="Book Antiqua" w:hAnsi="Book Antiqua"/>
          <w:bCs/>
        </w:rPr>
        <w:t>tTG</w:t>
      </w:r>
      <w:r w:rsidR="004D7F2E" w:rsidRPr="00700A64">
        <w:rPr>
          <w:rFonts w:ascii="Book Antiqua" w:hAnsi="Book Antiqua"/>
          <w:bCs/>
        </w:rPr>
        <w:t>,</w:t>
      </w:r>
      <w:r w:rsidRPr="00700A64">
        <w:rPr>
          <w:rFonts w:ascii="Book Antiqua" w:hAnsi="Book Antiqua"/>
          <w:bCs/>
        </w:rPr>
        <w:t xml:space="preserve"> 7.0 and 9.8 U/m</w:t>
      </w:r>
      <w:r w:rsidRPr="00700A64">
        <w:rPr>
          <w:rFonts w:ascii="Book Antiqua" w:hAnsi="Book Antiqua"/>
          <w:bCs/>
          <w:caps/>
        </w:rPr>
        <w:t>l</w:t>
      </w:r>
      <w:r w:rsidRPr="00700A64">
        <w:rPr>
          <w:rFonts w:ascii="Book Antiqua" w:hAnsi="Book Antiqua"/>
          <w:bCs/>
        </w:rPr>
        <w:t xml:space="preserve">, respectively; both boys, 13 and 4 years old). </w:t>
      </w:r>
      <w:r w:rsidR="00A26638" w:rsidRPr="00700A64">
        <w:rPr>
          <w:rFonts w:ascii="Book Antiqua" w:hAnsi="Book Antiqua"/>
          <w:bCs/>
        </w:rPr>
        <w:t xml:space="preserve">Because </w:t>
      </w:r>
      <w:r w:rsidR="00EE1BEB" w:rsidRPr="00700A64">
        <w:rPr>
          <w:rFonts w:ascii="Book Antiqua" w:hAnsi="Book Antiqua"/>
          <w:bCs/>
        </w:rPr>
        <w:t xml:space="preserve">healthy persons could not be included </w:t>
      </w:r>
      <w:r w:rsidR="004E642B" w:rsidRPr="00700A64">
        <w:rPr>
          <w:rFonts w:ascii="Book Antiqua" w:hAnsi="Book Antiqua"/>
          <w:bCs/>
        </w:rPr>
        <w:t xml:space="preserve">in </w:t>
      </w:r>
      <w:r w:rsidR="00EE1BEB" w:rsidRPr="00700A64">
        <w:rPr>
          <w:rFonts w:ascii="Book Antiqua" w:hAnsi="Book Antiqua"/>
          <w:bCs/>
        </w:rPr>
        <w:t>the control group due to ethical constraints (gastroduodenoscopy), we selected thirty-nine patients (mean age 12.8</w:t>
      </w:r>
      <w:r w:rsidR="00EE1BEB" w:rsidRPr="00700A64">
        <w:rPr>
          <w:rFonts w:ascii="Book Antiqua" w:hAnsi="Book Antiqua"/>
        </w:rPr>
        <w:sym w:font="Symbol" w:char="00B1"/>
      </w:r>
      <w:r w:rsidR="00EE1BEB" w:rsidRPr="00700A64">
        <w:rPr>
          <w:rFonts w:ascii="Book Antiqua" w:hAnsi="Book Antiqua"/>
          <w:bCs/>
        </w:rPr>
        <w:t>4.9 years) with other diagnoses (mainly with functional dyspepsia, duodenal ulcer and erosive gastritis)</w:t>
      </w:r>
      <w:r w:rsidR="004E642B" w:rsidRPr="00700A64">
        <w:rPr>
          <w:rFonts w:ascii="Book Antiqua" w:hAnsi="Book Antiqua"/>
          <w:bCs/>
        </w:rPr>
        <w:t xml:space="preserve"> for the control group (</w:t>
      </w:r>
      <w:r w:rsidRPr="00700A64">
        <w:rPr>
          <w:rFonts w:ascii="Book Antiqua" w:hAnsi="Book Antiqua"/>
          <w:bCs/>
        </w:rPr>
        <w:t xml:space="preserve">Table 1). </w:t>
      </w:r>
      <w:r w:rsidR="004E642B" w:rsidRPr="00700A64">
        <w:rPr>
          <w:rFonts w:ascii="Book Antiqua" w:hAnsi="Book Antiqua"/>
        </w:rPr>
        <w:t>D</w:t>
      </w:r>
      <w:r w:rsidRPr="00700A64">
        <w:rPr>
          <w:rFonts w:ascii="Book Antiqua" w:hAnsi="Book Antiqua"/>
        </w:rPr>
        <w:t>iagnosis of CD was established on the basis of the European Society for Pediatric Gastroenterology, Hepatology and Nutrition (ESPGHAN) criteria</w:t>
      </w:r>
      <w:r w:rsidR="00F95DDE" w:rsidRPr="00700A64">
        <w:rPr>
          <w:rFonts w:ascii="Book Antiqua" w:hAnsi="Book Antiqua"/>
          <w:vertAlign w:val="superscript"/>
        </w:rPr>
        <w:t>[27]</w:t>
      </w:r>
      <w:r w:rsidR="0002691E" w:rsidRPr="00700A64">
        <w:rPr>
          <w:rFonts w:ascii="Book Antiqua" w:hAnsi="Book Antiqua"/>
        </w:rPr>
        <w:t>.</w:t>
      </w:r>
      <w:r w:rsidRPr="00700A64">
        <w:rPr>
          <w:rFonts w:ascii="Book Antiqua" w:hAnsi="Book Antiqua"/>
        </w:rPr>
        <w:t xml:space="preserve"> Morphologically, the small bowel mucosa was assessed according to the Marsh </w:t>
      </w:r>
      <w:r w:rsidR="004344D1" w:rsidRPr="00700A64">
        <w:rPr>
          <w:rFonts w:ascii="Book Antiqua" w:hAnsi="Book Antiqua"/>
        </w:rPr>
        <w:t>classification</w:t>
      </w:r>
      <w:r w:rsidR="004344D1" w:rsidRPr="00700A64">
        <w:rPr>
          <w:rFonts w:ascii="Book Antiqua" w:hAnsi="Book Antiqua"/>
          <w:vertAlign w:val="superscript"/>
        </w:rPr>
        <w:t>[</w:t>
      </w:r>
      <w:r w:rsidR="00F95DDE" w:rsidRPr="00700A64">
        <w:rPr>
          <w:rFonts w:ascii="Book Antiqua" w:hAnsi="Book Antiqua"/>
          <w:vertAlign w:val="superscript"/>
        </w:rPr>
        <w:t>28]</w:t>
      </w:r>
      <w:r w:rsidRPr="00700A64">
        <w:rPr>
          <w:rFonts w:ascii="Book Antiqua" w:hAnsi="Book Antiqua"/>
        </w:rPr>
        <w:t xml:space="preserve"> on the basis of </w:t>
      </w:r>
      <w:r w:rsidR="00093E3E" w:rsidRPr="00700A64">
        <w:rPr>
          <w:rFonts w:ascii="Book Antiqua" w:hAnsi="Book Antiqua"/>
        </w:rPr>
        <w:t xml:space="preserve">biopsy samples taken by gastroduodenoscopy </w:t>
      </w:r>
      <w:r w:rsidR="00093E3E" w:rsidRPr="00700A64">
        <w:rPr>
          <w:rFonts w:ascii="Book Antiqua" w:hAnsi="Book Antiqua"/>
          <w:bCs/>
        </w:rPr>
        <w:t xml:space="preserve">from distal </w:t>
      </w:r>
      <w:r w:rsidR="00093E3E" w:rsidRPr="00FE43F6">
        <w:rPr>
          <w:rFonts w:ascii="Book Antiqua" w:hAnsi="Book Antiqua"/>
          <w:bCs/>
        </w:rPr>
        <w:t>duodenum</w:t>
      </w:r>
      <w:r w:rsidRPr="00700A64">
        <w:rPr>
          <w:rFonts w:ascii="Book Antiqua" w:hAnsi="Book Antiqua"/>
        </w:rPr>
        <w:t>.</w:t>
      </w:r>
    </w:p>
    <w:p w:rsidR="00696842" w:rsidRPr="00700A64" w:rsidRDefault="008B7BCA"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bCs/>
        </w:rPr>
        <w:t xml:space="preserve">According to this classification, all </w:t>
      </w:r>
      <w:r w:rsidR="00696842" w:rsidRPr="00700A64">
        <w:rPr>
          <w:rFonts w:ascii="Book Antiqua" w:hAnsi="Book Antiqua"/>
          <w:bCs/>
        </w:rPr>
        <w:t xml:space="preserve">CD patients had partial or subtotal villous atrophy: </w:t>
      </w:r>
      <w:r w:rsidRPr="00700A64">
        <w:rPr>
          <w:rFonts w:ascii="Book Antiqua" w:hAnsi="Book Antiqua"/>
          <w:bCs/>
        </w:rPr>
        <w:t xml:space="preserve">a </w:t>
      </w:r>
      <w:r w:rsidR="00696842" w:rsidRPr="00700A64">
        <w:rPr>
          <w:rFonts w:ascii="Book Antiqua" w:hAnsi="Book Antiqua"/>
          <w:bCs/>
        </w:rPr>
        <w:t>Marsh grade</w:t>
      </w:r>
      <w:r w:rsidRPr="00700A64">
        <w:rPr>
          <w:rFonts w:ascii="Book Antiqua" w:hAnsi="Book Antiqua"/>
          <w:bCs/>
        </w:rPr>
        <w:t xml:space="preserve"> of</w:t>
      </w:r>
      <w:r w:rsidR="00696842" w:rsidRPr="00700A64">
        <w:rPr>
          <w:rFonts w:ascii="Book Antiqua" w:hAnsi="Book Antiqua"/>
          <w:bCs/>
        </w:rPr>
        <w:t xml:space="preserve"> IIIa </w:t>
      </w:r>
      <w:r w:rsidRPr="00700A64">
        <w:rPr>
          <w:rFonts w:ascii="Book Antiqua" w:hAnsi="Book Antiqua"/>
          <w:bCs/>
        </w:rPr>
        <w:t xml:space="preserve">was observed </w:t>
      </w:r>
      <w:r w:rsidR="00696842" w:rsidRPr="00700A64">
        <w:rPr>
          <w:rFonts w:ascii="Book Antiqua" w:hAnsi="Book Antiqua"/>
          <w:bCs/>
        </w:rPr>
        <w:t>in 9</w:t>
      </w:r>
      <w:r w:rsidRPr="00700A64">
        <w:rPr>
          <w:rFonts w:ascii="Book Antiqua" w:hAnsi="Book Antiqua"/>
          <w:bCs/>
        </w:rPr>
        <w:t xml:space="preserve"> cases</w:t>
      </w:r>
      <w:r w:rsidR="00696842" w:rsidRPr="00700A64">
        <w:rPr>
          <w:rFonts w:ascii="Book Antiqua" w:hAnsi="Book Antiqua"/>
          <w:bCs/>
        </w:rPr>
        <w:t>, grade IIIb in 21</w:t>
      </w:r>
      <w:r w:rsidR="00A26638" w:rsidRPr="00700A64">
        <w:rPr>
          <w:rFonts w:ascii="Book Antiqua" w:hAnsi="Book Antiqua"/>
          <w:bCs/>
        </w:rPr>
        <w:t xml:space="preserve"> cases</w:t>
      </w:r>
      <w:r w:rsidR="00696842" w:rsidRPr="00700A64">
        <w:rPr>
          <w:rFonts w:ascii="Book Antiqua" w:hAnsi="Book Antiqua"/>
          <w:bCs/>
        </w:rPr>
        <w:t xml:space="preserve"> and grade IIIc in 3 cases. </w:t>
      </w:r>
      <w:r w:rsidRPr="00700A64">
        <w:rPr>
          <w:rFonts w:ascii="Book Antiqua" w:hAnsi="Book Antiqua"/>
          <w:bCs/>
        </w:rPr>
        <w:t>Thirty-</w:t>
      </w:r>
      <w:r w:rsidR="00696842" w:rsidRPr="00700A64">
        <w:rPr>
          <w:rFonts w:ascii="Book Antiqua" w:hAnsi="Book Antiqua"/>
          <w:bCs/>
        </w:rPr>
        <w:t xml:space="preserve">nine patients without CD and 2 with T1D had normal small bowel mucosa (Marsh grade 0). </w:t>
      </w:r>
    </w:p>
    <w:p w:rsidR="00696842" w:rsidRPr="00700A64" w:rsidRDefault="00696842"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bCs/>
        </w:rPr>
        <w:t xml:space="preserve">All patients with CD had IgA antibodies to tTG as assessed </w:t>
      </w:r>
      <w:r w:rsidR="00A26638" w:rsidRPr="00700A64">
        <w:rPr>
          <w:rFonts w:ascii="Book Antiqua" w:hAnsi="Book Antiqua"/>
          <w:bCs/>
        </w:rPr>
        <w:t xml:space="preserve">using </w:t>
      </w:r>
      <w:r w:rsidR="00330511" w:rsidRPr="00700A64">
        <w:rPr>
          <w:rFonts w:ascii="Book Antiqua" w:hAnsi="Book Antiqua"/>
          <w:bCs/>
        </w:rPr>
        <w:t>an</w:t>
      </w:r>
      <w:r w:rsidRPr="00700A64">
        <w:rPr>
          <w:rFonts w:ascii="Book Antiqua" w:hAnsi="Book Antiqua"/>
          <w:bCs/>
        </w:rPr>
        <w:t xml:space="preserve"> </w:t>
      </w:r>
      <w:r w:rsidRPr="00700A64">
        <w:rPr>
          <w:rFonts w:ascii="Book Antiqua" w:hAnsi="Book Antiqua" w:cs="Times-Roman"/>
        </w:rPr>
        <w:t>EliA</w:t>
      </w:r>
      <w:r w:rsidRPr="00700A64">
        <w:rPr>
          <w:rFonts w:ascii="Book Antiqua" w:hAnsi="Book Antiqua"/>
        </w:rPr>
        <w:t>™</w:t>
      </w:r>
      <w:r w:rsidRPr="00700A64">
        <w:rPr>
          <w:rFonts w:ascii="Book Antiqua" w:hAnsi="Book Antiqua" w:cs="Times-Roman"/>
        </w:rPr>
        <w:t xml:space="preserve"> Celikey® IgA assay (Pharmacia Diagnostics, Freiburg, Germany) (mean value </w:t>
      </w:r>
      <w:r w:rsidRPr="00700A64">
        <w:rPr>
          <w:rFonts w:ascii="Book Antiqua" w:hAnsi="Book Antiqua"/>
          <w:bCs/>
        </w:rPr>
        <w:t>414.5</w:t>
      </w:r>
      <w:r w:rsidR="00700A64">
        <w:rPr>
          <w:rFonts w:ascii="Book Antiqua" w:hAnsi="Book Antiqua" w:hint="eastAsia"/>
          <w:bCs/>
          <w:lang w:eastAsia="zh-CN"/>
        </w:rPr>
        <w:t xml:space="preserve"> </w:t>
      </w:r>
      <w:r w:rsidRPr="00700A64">
        <w:rPr>
          <w:rFonts w:ascii="Book Antiqua" w:hAnsi="Book Antiqua"/>
          <w:bCs/>
        </w:rPr>
        <w:sym w:font="Symbol" w:char="F0B1"/>
      </w:r>
      <w:r w:rsidR="00700A64">
        <w:rPr>
          <w:rFonts w:ascii="Book Antiqua" w:hAnsi="Book Antiqua" w:hint="eastAsia"/>
          <w:bCs/>
          <w:lang w:eastAsia="zh-CN"/>
        </w:rPr>
        <w:t xml:space="preserve"> </w:t>
      </w:r>
      <w:r w:rsidRPr="00700A64">
        <w:rPr>
          <w:rFonts w:ascii="Book Antiqua" w:hAnsi="Book Antiqua"/>
          <w:bCs/>
        </w:rPr>
        <w:t>130.5 U/m</w:t>
      </w:r>
      <w:r w:rsidRPr="00700A64">
        <w:rPr>
          <w:rFonts w:ascii="Book Antiqua" w:hAnsi="Book Antiqua"/>
          <w:bCs/>
          <w:caps/>
        </w:rPr>
        <w:t>l</w:t>
      </w:r>
      <w:r w:rsidRPr="00700A64">
        <w:rPr>
          <w:rFonts w:ascii="Book Antiqua" w:hAnsi="Book Antiqua"/>
          <w:bCs/>
        </w:rPr>
        <w:t>). In the control group</w:t>
      </w:r>
      <w:r w:rsidR="00330511" w:rsidRPr="00700A64">
        <w:rPr>
          <w:rFonts w:ascii="Book Antiqua" w:hAnsi="Book Antiqua"/>
          <w:bCs/>
        </w:rPr>
        <w:t>,</w:t>
      </w:r>
      <w:r w:rsidRPr="00700A64">
        <w:rPr>
          <w:rFonts w:ascii="Book Antiqua" w:hAnsi="Book Antiqua"/>
          <w:bCs/>
        </w:rPr>
        <w:t xml:space="preserve"> two persons with normal small bowel mucosa (a 16-year-old boy and </w:t>
      </w:r>
      <w:r w:rsidR="004344D1" w:rsidRPr="00700A64">
        <w:rPr>
          <w:rFonts w:ascii="Book Antiqua" w:hAnsi="Book Antiqua"/>
          <w:bCs/>
        </w:rPr>
        <w:t>an</w:t>
      </w:r>
      <w:r w:rsidRPr="00700A64">
        <w:rPr>
          <w:rFonts w:ascii="Book Antiqua" w:hAnsi="Book Antiqua"/>
          <w:bCs/>
        </w:rPr>
        <w:t xml:space="preserve"> 8-year-old girl, both with functional dyspepsia) were positive for IgA antibodies to tTG (515.0 and 58.3 U/m</w:t>
      </w:r>
      <w:r w:rsidRPr="00700A64">
        <w:rPr>
          <w:rFonts w:ascii="Book Antiqua" w:hAnsi="Book Antiqua"/>
          <w:bCs/>
          <w:caps/>
        </w:rPr>
        <w:t>l</w:t>
      </w:r>
      <w:r w:rsidRPr="00700A64">
        <w:rPr>
          <w:rFonts w:ascii="Book Antiqua" w:hAnsi="Book Antiqua"/>
          <w:bCs/>
        </w:rPr>
        <w:t>, respectively). The mean value of IgA antibodies to tTG in the control group was 17.9</w:t>
      </w:r>
      <w:r w:rsidR="00700A64">
        <w:rPr>
          <w:rFonts w:ascii="Book Antiqua" w:hAnsi="Book Antiqua" w:hint="eastAsia"/>
          <w:bCs/>
          <w:lang w:eastAsia="zh-CN"/>
        </w:rPr>
        <w:t xml:space="preserve"> </w:t>
      </w:r>
      <w:r w:rsidRPr="00700A64">
        <w:rPr>
          <w:rFonts w:ascii="Book Antiqua" w:hAnsi="Book Antiqua"/>
          <w:bCs/>
        </w:rPr>
        <w:sym w:font="Symbol" w:char="F0B1"/>
      </w:r>
      <w:r w:rsidR="00700A64">
        <w:rPr>
          <w:rFonts w:ascii="Book Antiqua" w:hAnsi="Book Antiqua" w:hint="eastAsia"/>
          <w:bCs/>
          <w:lang w:eastAsia="zh-CN"/>
        </w:rPr>
        <w:t xml:space="preserve"> </w:t>
      </w:r>
      <w:r w:rsidRPr="00700A64">
        <w:rPr>
          <w:rFonts w:ascii="Book Antiqua" w:hAnsi="Book Antiqua"/>
          <w:bCs/>
        </w:rPr>
        <w:t>14.7 U/m</w:t>
      </w:r>
      <w:r w:rsidRPr="00700A64">
        <w:rPr>
          <w:rFonts w:ascii="Book Antiqua" w:hAnsi="Book Antiqua"/>
          <w:bCs/>
          <w:caps/>
        </w:rPr>
        <w:t>l</w:t>
      </w:r>
      <w:r w:rsidRPr="00700A64">
        <w:rPr>
          <w:rFonts w:ascii="Book Antiqua" w:hAnsi="Book Antiqua"/>
          <w:bCs/>
        </w:rPr>
        <w:t>.</w:t>
      </w:r>
    </w:p>
    <w:p w:rsidR="00696842" w:rsidRPr="00700A64" w:rsidRDefault="00696842" w:rsidP="00B90E53">
      <w:pPr>
        <w:adjustRightInd w:val="0"/>
        <w:snapToGrid w:val="0"/>
        <w:spacing w:line="360" w:lineRule="auto"/>
        <w:jc w:val="both"/>
        <w:rPr>
          <w:rFonts w:ascii="Book Antiqua" w:hAnsi="Book Antiqua"/>
          <w:bCs/>
        </w:rPr>
      </w:pPr>
    </w:p>
    <w:p w:rsidR="00A0447A" w:rsidRPr="00700A64" w:rsidRDefault="00A0447A" w:rsidP="00B90E53">
      <w:pPr>
        <w:adjustRightInd w:val="0"/>
        <w:snapToGrid w:val="0"/>
        <w:spacing w:line="360" w:lineRule="auto"/>
        <w:jc w:val="both"/>
        <w:rPr>
          <w:rFonts w:ascii="Book Antiqua" w:hAnsi="Book Antiqua"/>
          <w:b/>
          <w:bCs/>
          <w:i/>
        </w:rPr>
      </w:pPr>
      <w:r w:rsidRPr="00700A64">
        <w:rPr>
          <w:rFonts w:ascii="Book Antiqua" w:hAnsi="Book Antiqua"/>
          <w:b/>
          <w:bCs/>
          <w:i/>
        </w:rPr>
        <w:t>Ethics</w:t>
      </w:r>
    </w:p>
    <w:p w:rsidR="00696842" w:rsidRPr="00700A64" w:rsidRDefault="00330511" w:rsidP="00B90E53">
      <w:pPr>
        <w:adjustRightInd w:val="0"/>
        <w:snapToGrid w:val="0"/>
        <w:spacing w:line="360" w:lineRule="auto"/>
        <w:jc w:val="both"/>
        <w:rPr>
          <w:rFonts w:ascii="Book Antiqua" w:hAnsi="Book Antiqua"/>
        </w:rPr>
      </w:pPr>
      <w:r w:rsidRPr="00700A64">
        <w:rPr>
          <w:rFonts w:ascii="Book Antiqua" w:hAnsi="Book Antiqua"/>
        </w:rPr>
        <w:t xml:space="preserve">This </w:t>
      </w:r>
      <w:r w:rsidR="00696842" w:rsidRPr="00700A64">
        <w:rPr>
          <w:rFonts w:ascii="Book Antiqua" w:hAnsi="Book Antiqua"/>
        </w:rPr>
        <w:t xml:space="preserve">study complies with the Declaration of Helsinki and was approved by the Ethics Review Committee for Human Research of the University of Tartu. All studied children and/or their parents gave written informed consent to </w:t>
      </w:r>
      <w:r w:rsidR="00417A1F" w:rsidRPr="00700A64">
        <w:rPr>
          <w:rFonts w:ascii="Book Antiqua" w:hAnsi="Book Antiqua"/>
        </w:rPr>
        <w:t xml:space="preserve">participate </w:t>
      </w:r>
      <w:r w:rsidR="00696842" w:rsidRPr="00700A64">
        <w:rPr>
          <w:rFonts w:ascii="Book Antiqua" w:hAnsi="Book Antiqua"/>
        </w:rPr>
        <w:t>in the study.</w:t>
      </w:r>
    </w:p>
    <w:p w:rsidR="00696842" w:rsidRPr="00700A64" w:rsidRDefault="00696842" w:rsidP="00B90E53">
      <w:pPr>
        <w:adjustRightInd w:val="0"/>
        <w:snapToGrid w:val="0"/>
        <w:spacing w:line="360" w:lineRule="auto"/>
        <w:jc w:val="both"/>
        <w:rPr>
          <w:rFonts w:ascii="Book Antiqua" w:hAnsi="Book Antiqua"/>
        </w:rPr>
      </w:pPr>
    </w:p>
    <w:p w:rsidR="00F24DCC" w:rsidRPr="00700A64" w:rsidRDefault="007E1DAB" w:rsidP="00B90E53">
      <w:pPr>
        <w:adjustRightInd w:val="0"/>
        <w:snapToGrid w:val="0"/>
        <w:spacing w:line="360" w:lineRule="auto"/>
        <w:jc w:val="both"/>
        <w:rPr>
          <w:rFonts w:ascii="Book Antiqua" w:hAnsi="Book Antiqua"/>
          <w:b/>
          <w:bCs/>
          <w:i/>
        </w:rPr>
      </w:pPr>
      <w:r w:rsidRPr="00700A64">
        <w:rPr>
          <w:rFonts w:ascii="Book Antiqua" w:hAnsi="Book Antiqua"/>
          <w:b/>
          <w:bCs/>
          <w:i/>
        </w:rPr>
        <w:lastRenderedPageBreak/>
        <w:t>Material</w:t>
      </w:r>
      <w:r w:rsidR="00F24DCC" w:rsidRPr="00700A64">
        <w:rPr>
          <w:rFonts w:ascii="Book Antiqua" w:hAnsi="Book Antiqua"/>
          <w:b/>
          <w:bCs/>
          <w:i/>
        </w:rPr>
        <w:t xml:space="preserve"> </w:t>
      </w:r>
    </w:p>
    <w:p w:rsidR="007E1DAB" w:rsidRPr="00700A64" w:rsidRDefault="00F24DCC" w:rsidP="00B90E53">
      <w:pPr>
        <w:adjustRightInd w:val="0"/>
        <w:snapToGrid w:val="0"/>
        <w:spacing w:line="360" w:lineRule="auto"/>
        <w:jc w:val="both"/>
        <w:rPr>
          <w:rFonts w:ascii="Book Antiqua" w:hAnsi="Book Antiqua"/>
        </w:rPr>
      </w:pPr>
      <w:r w:rsidRPr="00700A64">
        <w:rPr>
          <w:rFonts w:ascii="Book Antiqua" w:hAnsi="Book Antiqua"/>
          <w:bCs/>
        </w:rPr>
        <w:t>S</w:t>
      </w:r>
      <w:r w:rsidR="007E1DAB" w:rsidRPr="00700A64">
        <w:rPr>
          <w:rFonts w:ascii="Book Antiqua" w:hAnsi="Book Antiqua"/>
          <w:bCs/>
        </w:rPr>
        <w:t xml:space="preserve">mall bowel biopsy </w:t>
      </w:r>
      <w:r w:rsidR="00093E3E" w:rsidRPr="00700A64">
        <w:rPr>
          <w:rFonts w:ascii="Book Antiqua" w:hAnsi="Book Antiqua"/>
          <w:bCs/>
        </w:rPr>
        <w:t>from</w:t>
      </w:r>
      <w:r w:rsidR="003C0993" w:rsidRPr="00700A64">
        <w:rPr>
          <w:rFonts w:ascii="Book Antiqua" w:hAnsi="Book Antiqua"/>
          <w:bCs/>
        </w:rPr>
        <w:t xml:space="preserve"> the</w:t>
      </w:r>
      <w:r w:rsidR="00093E3E" w:rsidRPr="00700A64">
        <w:rPr>
          <w:rFonts w:ascii="Book Antiqua" w:hAnsi="Book Antiqua"/>
          <w:bCs/>
        </w:rPr>
        <w:t xml:space="preserve"> distal </w:t>
      </w:r>
      <w:r w:rsidR="00093E3E" w:rsidRPr="00700A64">
        <w:rPr>
          <w:rFonts w:ascii="Book Antiqua" w:hAnsi="Book Antiqua"/>
          <w:bCs/>
          <w:i/>
        </w:rPr>
        <w:t>duodenum</w:t>
      </w:r>
      <w:r w:rsidR="00093E3E" w:rsidRPr="00700A64">
        <w:rPr>
          <w:rFonts w:ascii="Book Antiqua" w:hAnsi="Book Antiqua"/>
          <w:bCs/>
        </w:rPr>
        <w:t xml:space="preserve"> </w:t>
      </w:r>
      <w:r w:rsidR="007E1DAB" w:rsidRPr="00700A64">
        <w:rPr>
          <w:rFonts w:ascii="Book Antiqua" w:hAnsi="Book Antiqua"/>
          <w:bCs/>
        </w:rPr>
        <w:t xml:space="preserve">was </w:t>
      </w:r>
      <w:r w:rsidR="00E94E0F" w:rsidRPr="00700A64">
        <w:rPr>
          <w:rFonts w:ascii="Book Antiqua" w:hAnsi="Book Antiqua"/>
          <w:bCs/>
        </w:rPr>
        <w:t>performed</w:t>
      </w:r>
      <w:r w:rsidR="007E1DAB" w:rsidRPr="00700A64">
        <w:rPr>
          <w:rFonts w:ascii="Book Antiqua" w:hAnsi="Book Antiqua"/>
          <w:bCs/>
        </w:rPr>
        <w:t xml:space="preserve"> by gastroduodenoscopy</w:t>
      </w:r>
      <w:r w:rsidR="003C0993" w:rsidRPr="00700A64">
        <w:rPr>
          <w:rFonts w:ascii="Book Antiqua" w:hAnsi="Book Antiqua"/>
          <w:bCs/>
        </w:rPr>
        <w:t>. T</w:t>
      </w:r>
      <w:r w:rsidR="007E1DAB" w:rsidRPr="00700A64">
        <w:rPr>
          <w:rFonts w:ascii="Book Antiqua" w:hAnsi="Book Antiqua"/>
          <w:bCs/>
        </w:rPr>
        <w:t>wo specimens were</w:t>
      </w:r>
      <w:r w:rsidR="007E1DAB" w:rsidRPr="00700A64">
        <w:rPr>
          <w:rFonts w:ascii="Book Antiqua" w:hAnsi="Book Antiqua"/>
        </w:rPr>
        <w:t xml:space="preserve"> used for morphological and</w:t>
      </w:r>
      <w:r w:rsidR="007E1DAB" w:rsidRPr="00700A64">
        <w:rPr>
          <w:rFonts w:ascii="Book Antiqua" w:hAnsi="Book Antiqua"/>
          <w:bCs/>
        </w:rPr>
        <w:t xml:space="preserve"> </w:t>
      </w:r>
      <w:r w:rsidR="007E1DAB" w:rsidRPr="00700A64">
        <w:rPr>
          <w:rFonts w:ascii="Book Antiqua" w:hAnsi="Book Antiqua"/>
        </w:rPr>
        <w:t>immunohistochemical examination</w:t>
      </w:r>
      <w:r w:rsidR="00E94E0F" w:rsidRPr="00700A64">
        <w:rPr>
          <w:rFonts w:ascii="Book Antiqua" w:hAnsi="Book Antiqua"/>
        </w:rPr>
        <w:t>s</w:t>
      </w:r>
      <w:r w:rsidR="007E1DAB" w:rsidRPr="00700A64">
        <w:rPr>
          <w:rFonts w:ascii="Book Antiqua" w:hAnsi="Book Antiqua"/>
        </w:rPr>
        <w:t>,</w:t>
      </w:r>
      <w:r w:rsidR="007E1DAB" w:rsidRPr="00700A64">
        <w:rPr>
          <w:rFonts w:ascii="Book Antiqua" w:hAnsi="Book Antiqua"/>
          <w:bCs/>
        </w:rPr>
        <w:t xml:space="preserve"> and the </w:t>
      </w:r>
      <w:r w:rsidR="007E1DAB" w:rsidRPr="00700A64">
        <w:rPr>
          <w:rFonts w:ascii="Book Antiqua" w:hAnsi="Book Antiqua"/>
        </w:rPr>
        <w:t>third specimen was immediately quick</w:t>
      </w:r>
      <w:r w:rsidR="00E94E0F" w:rsidRPr="00700A64">
        <w:rPr>
          <w:rFonts w:ascii="Book Antiqua" w:hAnsi="Book Antiqua"/>
        </w:rPr>
        <w:t>-</w:t>
      </w:r>
      <w:r w:rsidR="007E1DAB" w:rsidRPr="00700A64">
        <w:rPr>
          <w:rFonts w:ascii="Book Antiqua" w:hAnsi="Book Antiqua"/>
        </w:rPr>
        <w:t>frozen in Tissue Tek OCT Compound (Sakura, Finetek, Finland) and stored at -80</w:t>
      </w:r>
      <w:r w:rsidR="007E1DAB" w:rsidRPr="00700A64">
        <w:rPr>
          <w:rFonts w:ascii="Book Antiqua" w:hAnsi="Book Antiqua"/>
        </w:rPr>
        <w:sym w:font="Symbol" w:char="F0B0"/>
      </w:r>
      <w:r w:rsidR="007E1DAB" w:rsidRPr="00700A64">
        <w:rPr>
          <w:rFonts w:ascii="Book Antiqua" w:hAnsi="Book Antiqua"/>
        </w:rPr>
        <w:t xml:space="preserve">C for further use </w:t>
      </w:r>
      <w:r w:rsidR="003C0993" w:rsidRPr="00700A64">
        <w:rPr>
          <w:rFonts w:ascii="Book Antiqua" w:hAnsi="Book Antiqua"/>
        </w:rPr>
        <w:t xml:space="preserve">in </w:t>
      </w:r>
      <w:r w:rsidR="007E1DAB" w:rsidRPr="00700A64">
        <w:rPr>
          <w:rFonts w:ascii="Book Antiqua" w:hAnsi="Book Antiqua"/>
        </w:rPr>
        <w:t xml:space="preserve">immunofluorescence </w:t>
      </w:r>
      <w:r w:rsidR="00E94E0F" w:rsidRPr="00700A64">
        <w:rPr>
          <w:rFonts w:ascii="Book Antiqua" w:hAnsi="Book Antiqua"/>
        </w:rPr>
        <w:t>studies</w:t>
      </w:r>
      <w:r w:rsidR="007E1DAB" w:rsidRPr="00700A64">
        <w:rPr>
          <w:rFonts w:ascii="Book Antiqua" w:hAnsi="Book Antiqua"/>
        </w:rPr>
        <w:t xml:space="preserve">. </w:t>
      </w:r>
    </w:p>
    <w:p w:rsidR="00696842" w:rsidRPr="00700A64" w:rsidRDefault="00696842" w:rsidP="00B90E53">
      <w:pPr>
        <w:adjustRightInd w:val="0"/>
        <w:snapToGrid w:val="0"/>
        <w:spacing w:line="360" w:lineRule="auto"/>
        <w:jc w:val="both"/>
        <w:rPr>
          <w:rFonts w:ascii="Book Antiqua" w:hAnsi="Book Antiqua"/>
          <w:b/>
          <w:bCs/>
        </w:rPr>
      </w:pPr>
    </w:p>
    <w:p w:rsidR="00F24DCC" w:rsidRPr="00700A64" w:rsidRDefault="00696842" w:rsidP="00B90E53">
      <w:pPr>
        <w:adjustRightInd w:val="0"/>
        <w:snapToGrid w:val="0"/>
        <w:spacing w:line="360" w:lineRule="auto"/>
        <w:jc w:val="both"/>
        <w:rPr>
          <w:rFonts w:ascii="Book Antiqua" w:hAnsi="Book Antiqua"/>
          <w:bCs/>
          <w:i/>
        </w:rPr>
      </w:pPr>
      <w:r w:rsidRPr="00700A64">
        <w:rPr>
          <w:rFonts w:ascii="Book Antiqua" w:hAnsi="Book Antiqua"/>
          <w:b/>
          <w:bCs/>
          <w:i/>
        </w:rPr>
        <w:t>Immunohistochemistry on paraffin-embedded specimens</w:t>
      </w:r>
      <w:r w:rsidRPr="00700A64">
        <w:rPr>
          <w:rFonts w:ascii="Book Antiqua" w:hAnsi="Book Antiqua"/>
          <w:bCs/>
          <w:i/>
        </w:rPr>
        <w:t xml:space="preserve"> </w:t>
      </w:r>
    </w:p>
    <w:p w:rsidR="00696842" w:rsidRPr="00700A64" w:rsidRDefault="00696842" w:rsidP="00B90E53">
      <w:pPr>
        <w:adjustRightInd w:val="0"/>
        <w:snapToGrid w:val="0"/>
        <w:spacing w:line="360" w:lineRule="auto"/>
        <w:jc w:val="both"/>
        <w:rPr>
          <w:rFonts w:ascii="Book Antiqua" w:hAnsi="Book Antiqua"/>
          <w:b/>
          <w:bCs/>
        </w:rPr>
      </w:pPr>
      <w:r w:rsidRPr="00700A64">
        <w:rPr>
          <w:rFonts w:ascii="Book Antiqua" w:hAnsi="Book Antiqua"/>
          <w:bCs/>
        </w:rPr>
        <w:t>The following antibodies were used:</w:t>
      </w:r>
      <w:r w:rsidRPr="00700A64">
        <w:rPr>
          <w:rFonts w:ascii="Book Antiqua" w:hAnsi="Book Antiqua"/>
          <w:b/>
          <w:bCs/>
        </w:rPr>
        <w:t xml:space="preserve"> </w:t>
      </w:r>
      <w:r w:rsidRPr="00700A64">
        <w:rPr>
          <w:rFonts w:ascii="Book Antiqua" w:hAnsi="Book Antiqua"/>
        </w:rPr>
        <w:t>monoclonal mouse anti-CD11c (NCL-L-CD11c-563) Novocastra</w:t>
      </w:r>
      <w:r w:rsidRPr="00700A64">
        <w:rPr>
          <w:rFonts w:ascii="Book Antiqua" w:hAnsi="Book Antiqua"/>
          <w:vertAlign w:val="superscript"/>
        </w:rPr>
        <w:t>TM</w:t>
      </w:r>
      <w:r w:rsidRPr="00700A64">
        <w:rPr>
          <w:rFonts w:ascii="Book Antiqua" w:hAnsi="Book Antiqua"/>
        </w:rPr>
        <w:t xml:space="preserve"> Liquid</w:t>
      </w:r>
      <w:r w:rsidR="00B70324" w:rsidRPr="00700A64">
        <w:rPr>
          <w:rFonts w:ascii="Book Antiqua" w:hAnsi="Book Antiqua"/>
        </w:rPr>
        <w:t>,</w:t>
      </w:r>
      <w:r w:rsidRPr="00700A64">
        <w:rPr>
          <w:rFonts w:ascii="Book Antiqua" w:hAnsi="Book Antiqua"/>
        </w:rPr>
        <w:t xml:space="preserve"> dilut</w:t>
      </w:r>
      <w:r w:rsidR="00B62771" w:rsidRPr="00700A64">
        <w:rPr>
          <w:rFonts w:ascii="Book Antiqua" w:hAnsi="Book Antiqua"/>
        </w:rPr>
        <w:t>ed</w:t>
      </w:r>
      <w:r w:rsidRPr="00700A64">
        <w:rPr>
          <w:rFonts w:ascii="Book Antiqua" w:hAnsi="Book Antiqua"/>
        </w:rPr>
        <w:t xml:space="preserve"> 1:80; monoclonal mouse anti-human FOXP3 antibodies (clone 236A/E7, Abcam, Cambridge, UK), </w:t>
      </w:r>
      <w:r w:rsidR="00B62771" w:rsidRPr="00700A64">
        <w:rPr>
          <w:rFonts w:ascii="Book Antiqua" w:hAnsi="Book Antiqua"/>
        </w:rPr>
        <w:t xml:space="preserve">diluted </w:t>
      </w:r>
      <w:r w:rsidRPr="00700A64">
        <w:rPr>
          <w:rFonts w:ascii="Book Antiqua" w:hAnsi="Book Antiqua"/>
        </w:rPr>
        <w:t xml:space="preserve">1:60 (16.6 </w:t>
      </w:r>
      <w:r w:rsidRPr="00700A64">
        <w:rPr>
          <w:rFonts w:ascii="Book Antiqua" w:hAnsi="Book Antiqua"/>
        </w:rPr>
        <w:sym w:font="Symbol" w:char="F06D"/>
      </w:r>
      <w:r w:rsidRPr="00700A64">
        <w:rPr>
          <w:rFonts w:ascii="Book Antiqua" w:hAnsi="Book Antiqua"/>
        </w:rPr>
        <w:t xml:space="preserve">g/ml in 1% normal horse serum); </w:t>
      </w:r>
      <w:r w:rsidR="00B70324" w:rsidRPr="00700A64">
        <w:rPr>
          <w:rFonts w:ascii="Book Antiqua" w:hAnsi="Book Antiqua"/>
        </w:rPr>
        <w:t xml:space="preserve">and </w:t>
      </w:r>
      <w:r w:rsidRPr="00700A64">
        <w:rPr>
          <w:rFonts w:ascii="Book Antiqua" w:hAnsi="Book Antiqua"/>
        </w:rPr>
        <w:t>anti-IDO (mouse monoclonal-anti-human indoleamine 2,3-dioxygenase), clone 1F8.2 (Chemicon, Millipore Corporation)</w:t>
      </w:r>
      <w:r w:rsidR="00B62771" w:rsidRPr="00700A64">
        <w:rPr>
          <w:rFonts w:ascii="Book Antiqua" w:hAnsi="Book Antiqua"/>
        </w:rPr>
        <w:t xml:space="preserve">, diluted </w:t>
      </w:r>
      <w:r w:rsidRPr="00700A64">
        <w:rPr>
          <w:rFonts w:ascii="Book Antiqua" w:hAnsi="Book Antiqua"/>
        </w:rPr>
        <w:t xml:space="preserve">1:50. </w:t>
      </w:r>
    </w:p>
    <w:p w:rsidR="00696842" w:rsidRPr="00700A64" w:rsidRDefault="00696842" w:rsidP="00B90E53">
      <w:pPr>
        <w:adjustRightInd w:val="0"/>
        <w:snapToGrid w:val="0"/>
        <w:spacing w:line="360" w:lineRule="auto"/>
        <w:ind w:firstLineChars="100" w:firstLine="240"/>
        <w:jc w:val="both"/>
        <w:rPr>
          <w:rFonts w:ascii="Book Antiqua" w:hAnsi="Book Antiqua"/>
          <w:b/>
          <w:bCs/>
        </w:rPr>
      </w:pPr>
      <w:r w:rsidRPr="00700A64">
        <w:rPr>
          <w:rFonts w:ascii="Book Antiqua" w:hAnsi="Book Antiqua"/>
        </w:rPr>
        <w:t xml:space="preserve">For </w:t>
      </w:r>
      <w:r w:rsidR="00CD4651" w:rsidRPr="00700A64">
        <w:rPr>
          <w:rFonts w:ascii="Book Antiqua" w:hAnsi="Book Antiqua"/>
        </w:rPr>
        <w:t xml:space="preserve">the </w:t>
      </w:r>
      <w:r w:rsidRPr="00700A64">
        <w:rPr>
          <w:rFonts w:ascii="Book Antiqua" w:hAnsi="Book Antiqua"/>
        </w:rPr>
        <w:t>detection of CD11c</w:t>
      </w:r>
      <w:r w:rsidR="00B70324" w:rsidRPr="00700A64">
        <w:rPr>
          <w:rFonts w:ascii="Book Antiqua" w:hAnsi="Book Antiqua"/>
        </w:rPr>
        <w:t>+</w:t>
      </w:r>
      <w:r w:rsidRPr="00700A64">
        <w:rPr>
          <w:rFonts w:ascii="Book Antiqua" w:hAnsi="Book Antiqua"/>
        </w:rPr>
        <w:t xml:space="preserve"> DCs and FOXP3+ T cells in the small bowel mucosa of 63 patients, double staining was used; mono</w:t>
      </w:r>
      <w:r w:rsidR="00326386" w:rsidRPr="00700A64">
        <w:rPr>
          <w:rFonts w:ascii="Book Antiqua" w:hAnsi="Book Antiqua"/>
        </w:rPr>
        <w:t>-</w:t>
      </w:r>
      <w:r w:rsidRPr="00700A64">
        <w:rPr>
          <w:rFonts w:ascii="Book Antiqua" w:hAnsi="Book Antiqua"/>
        </w:rPr>
        <w:t xml:space="preserve">staining for IDO+ DCs was performed in 58 patients. </w:t>
      </w:r>
    </w:p>
    <w:p w:rsidR="00696842" w:rsidRPr="00700A64" w:rsidRDefault="00696842"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Formalin-fixed biopsy specimens of </w:t>
      </w:r>
      <w:r w:rsidR="00326386" w:rsidRPr="00700A64">
        <w:rPr>
          <w:rFonts w:ascii="Book Antiqua" w:hAnsi="Book Antiqua"/>
        </w:rPr>
        <w:t xml:space="preserve">the </w:t>
      </w:r>
      <w:r w:rsidRPr="00700A64">
        <w:rPr>
          <w:rFonts w:ascii="Book Antiqua" w:hAnsi="Book Antiqua"/>
        </w:rPr>
        <w:t>small bowel mucosa were studied using the Avidin-Biotin method. Paraffin slides were deparaffin</w:t>
      </w:r>
      <w:r w:rsidR="00326386" w:rsidRPr="00700A64">
        <w:rPr>
          <w:rFonts w:ascii="Book Antiqua" w:hAnsi="Book Antiqua"/>
        </w:rPr>
        <w:t>iz</w:t>
      </w:r>
      <w:r w:rsidRPr="00700A64">
        <w:rPr>
          <w:rFonts w:ascii="Book Antiqua" w:hAnsi="Book Antiqua"/>
        </w:rPr>
        <w:t>ed</w:t>
      </w:r>
      <w:r w:rsidR="00326386" w:rsidRPr="00700A64">
        <w:rPr>
          <w:rFonts w:ascii="Book Antiqua" w:hAnsi="Book Antiqua"/>
        </w:rPr>
        <w:t>,</w:t>
      </w:r>
      <w:r w:rsidRPr="00700A64">
        <w:rPr>
          <w:rFonts w:ascii="Book Antiqua" w:hAnsi="Book Antiqua"/>
        </w:rPr>
        <w:t xml:space="preserve"> and antigen retrieval was </w:t>
      </w:r>
      <w:r w:rsidR="00B70324" w:rsidRPr="00700A64">
        <w:rPr>
          <w:rFonts w:ascii="Book Antiqua" w:hAnsi="Book Antiqua"/>
        </w:rPr>
        <w:t xml:space="preserve">achieved </w:t>
      </w:r>
      <w:r w:rsidRPr="00700A64">
        <w:rPr>
          <w:rFonts w:ascii="Book Antiqua" w:hAnsi="Book Antiqua"/>
        </w:rPr>
        <w:t xml:space="preserve">by microwave treatment in </w:t>
      </w:r>
      <w:r w:rsidR="00144DFD" w:rsidRPr="00700A64">
        <w:rPr>
          <w:rFonts w:ascii="Book Antiqua" w:hAnsi="Book Antiqua"/>
        </w:rPr>
        <w:t xml:space="preserve">1 </w:t>
      </w:r>
      <w:r w:rsidR="00F52677" w:rsidRPr="00700A64">
        <w:rPr>
          <w:rFonts w:ascii="Book Antiqua" w:hAnsi="Book Antiqua"/>
        </w:rPr>
        <w:t>mmol/L</w:t>
      </w:r>
      <w:r w:rsidRPr="00700A64">
        <w:rPr>
          <w:rFonts w:ascii="Book Antiqua" w:hAnsi="Book Antiqua"/>
        </w:rPr>
        <w:t xml:space="preserve"> EDTA (Scharlau Chemie S.A., pH 8.0), once at 900 W for 7 min and twice at 440 W for 5 min. </w:t>
      </w:r>
      <w:r w:rsidR="00326386" w:rsidRPr="00700A64">
        <w:rPr>
          <w:rFonts w:ascii="Book Antiqua" w:hAnsi="Book Antiqua"/>
        </w:rPr>
        <w:t>A</w:t>
      </w:r>
      <w:r w:rsidRPr="00700A64">
        <w:rPr>
          <w:rFonts w:ascii="Book Antiqua" w:hAnsi="Book Antiqua"/>
        </w:rPr>
        <w:t>fter cooling for 20 min at room</w:t>
      </w:r>
      <w:r w:rsidR="00B70324" w:rsidRPr="00700A64">
        <w:rPr>
          <w:rFonts w:ascii="Book Antiqua" w:hAnsi="Book Antiqua"/>
        </w:rPr>
        <w:t xml:space="preserve"> temperature (</w:t>
      </w:r>
      <w:r w:rsidRPr="00700A64">
        <w:rPr>
          <w:rFonts w:ascii="Book Antiqua" w:hAnsi="Book Antiqua"/>
        </w:rPr>
        <w:t>t˚</w:t>
      </w:r>
      <w:r w:rsidR="00B70324" w:rsidRPr="00700A64">
        <w:rPr>
          <w:rFonts w:ascii="Book Antiqua" w:hAnsi="Book Antiqua"/>
        </w:rPr>
        <w:t>)</w:t>
      </w:r>
      <w:r w:rsidRPr="00700A64">
        <w:rPr>
          <w:rFonts w:ascii="Book Antiqua" w:hAnsi="Book Antiqua"/>
        </w:rPr>
        <w:t>, endogenous peroxidase activity was quenched by incubating the slides for 30 min at room t˚ in 0.5% H</w:t>
      </w:r>
      <w:r w:rsidRPr="00700A64">
        <w:rPr>
          <w:rFonts w:ascii="Book Antiqua" w:hAnsi="Book Antiqua"/>
          <w:vertAlign w:val="subscript"/>
        </w:rPr>
        <w:t>2</w:t>
      </w:r>
      <w:r w:rsidRPr="00700A64">
        <w:rPr>
          <w:rFonts w:ascii="Book Antiqua" w:hAnsi="Book Antiqua"/>
        </w:rPr>
        <w:t>O</w:t>
      </w:r>
      <w:r w:rsidRPr="00700A64">
        <w:rPr>
          <w:rFonts w:ascii="Book Antiqua" w:hAnsi="Book Antiqua"/>
          <w:vertAlign w:val="subscript"/>
        </w:rPr>
        <w:t>2</w:t>
      </w:r>
      <w:r w:rsidR="00344AE5" w:rsidRPr="00700A64">
        <w:rPr>
          <w:rFonts w:ascii="Book Antiqua" w:hAnsi="Book Antiqua"/>
        </w:rPr>
        <w:t>-</w:t>
      </w:r>
      <w:r w:rsidRPr="00700A64">
        <w:rPr>
          <w:rFonts w:ascii="Book Antiqua" w:hAnsi="Book Antiqua"/>
        </w:rPr>
        <w:t xml:space="preserve">methanol. To avoid nonspecific reactions, slides were treated with 2.5% normal horse serum (Vectastain ABC Kit, Vector Laboratories, Burlingame, CA, </w:t>
      </w:r>
      <w:r w:rsidR="00700A64">
        <w:rPr>
          <w:rFonts w:ascii="Book Antiqua" w:hAnsi="Book Antiqua" w:hint="eastAsia"/>
          <w:lang w:eastAsia="zh-CN"/>
        </w:rPr>
        <w:t>United States</w:t>
      </w:r>
      <w:r w:rsidRPr="00700A64">
        <w:rPr>
          <w:rFonts w:ascii="Book Antiqua" w:hAnsi="Book Antiqua"/>
        </w:rPr>
        <w:t xml:space="preserve">) for 10 min at room t˚. Additionally, </w:t>
      </w:r>
      <w:r w:rsidR="00344AE5" w:rsidRPr="00700A64">
        <w:rPr>
          <w:rFonts w:ascii="Book Antiqua" w:hAnsi="Book Antiqua"/>
        </w:rPr>
        <w:t>to b</w:t>
      </w:r>
      <w:r w:rsidR="00344AE5" w:rsidRPr="00700A64">
        <w:rPr>
          <w:rFonts w:ascii="Book Antiqua" w:eastAsia="MinionPro-Regular" w:hAnsi="Book Antiqua"/>
        </w:rPr>
        <w:t xml:space="preserve">lock </w:t>
      </w:r>
      <w:r w:rsidRPr="00700A64">
        <w:rPr>
          <w:rFonts w:ascii="Book Antiqua" w:eastAsia="MinionPro-Regular" w:hAnsi="Book Antiqua"/>
        </w:rPr>
        <w:t>the binding of antibodies to the Fc receptor, the</w:t>
      </w:r>
      <w:r w:rsidRPr="00700A64">
        <w:rPr>
          <w:rFonts w:ascii="Book Antiqua" w:hAnsi="Book Antiqua"/>
        </w:rPr>
        <w:t xml:space="preserve"> FcR Blocking Reagent (human, Miltenyi Biotec GmbH, Germany)</w:t>
      </w:r>
      <w:r w:rsidR="00344AE5" w:rsidRPr="00700A64">
        <w:rPr>
          <w:rFonts w:ascii="Book Antiqua" w:hAnsi="Book Antiqua"/>
        </w:rPr>
        <w:t xml:space="preserve">, diluted </w:t>
      </w:r>
      <w:r w:rsidRPr="00700A64">
        <w:rPr>
          <w:rFonts w:ascii="Book Antiqua" w:hAnsi="Book Antiqua"/>
        </w:rPr>
        <w:t>1:100</w:t>
      </w:r>
      <w:r w:rsidR="00344AE5" w:rsidRPr="00700A64">
        <w:rPr>
          <w:rFonts w:ascii="Book Antiqua" w:hAnsi="Book Antiqua"/>
        </w:rPr>
        <w:t>,</w:t>
      </w:r>
      <w:r w:rsidR="00700A64">
        <w:rPr>
          <w:rFonts w:ascii="Book Antiqua" w:hAnsi="Book Antiqua"/>
        </w:rPr>
        <w:t xml:space="preserve"> was used for 10 min at </w:t>
      </w:r>
      <w:r w:rsidRPr="00700A64">
        <w:rPr>
          <w:rFonts w:ascii="Book Antiqua" w:hAnsi="Book Antiqua"/>
        </w:rPr>
        <w:t>4</w:t>
      </w:r>
      <w:r w:rsidR="00F52677" w:rsidRPr="00700A64">
        <w:rPr>
          <w:rFonts w:ascii="Book Antiqua" w:hAnsi="Book Antiqua"/>
        </w:rPr>
        <w:t xml:space="preserve"> </w:t>
      </w:r>
      <w:r w:rsidRPr="00700A64">
        <w:rPr>
          <w:rFonts w:ascii="Book Antiqua" w:hAnsi="Book Antiqua"/>
        </w:rPr>
        <w:sym w:font="Symbol" w:char="F0B0"/>
      </w:r>
      <w:r w:rsidRPr="00700A64">
        <w:rPr>
          <w:rFonts w:ascii="Book Antiqua" w:hAnsi="Book Antiqua"/>
        </w:rPr>
        <w:t xml:space="preserve">C. The sections were incubated with monoclonal mouse anti-CD11c </w:t>
      </w:r>
      <w:r w:rsidR="00344AE5" w:rsidRPr="00700A64">
        <w:rPr>
          <w:rFonts w:ascii="Book Antiqua" w:hAnsi="Book Antiqua"/>
        </w:rPr>
        <w:t xml:space="preserve">antibody </w:t>
      </w:r>
      <w:r w:rsidRPr="00700A64">
        <w:rPr>
          <w:rFonts w:ascii="Book Antiqua" w:hAnsi="Book Antiqua"/>
        </w:rPr>
        <w:t>for</w:t>
      </w:r>
      <w:r w:rsidRPr="00700A64">
        <w:rPr>
          <w:rFonts w:ascii="Book Antiqua" w:hAnsi="Book Antiqua"/>
          <w:b/>
        </w:rPr>
        <w:t xml:space="preserve"> </w:t>
      </w:r>
      <w:r w:rsidRPr="00700A64">
        <w:rPr>
          <w:rFonts w:ascii="Book Antiqua" w:hAnsi="Book Antiqua"/>
        </w:rPr>
        <w:t>15 min at room t</w:t>
      </w:r>
      <w:r w:rsidRPr="00700A64">
        <w:rPr>
          <w:rFonts w:ascii="Book Antiqua" w:hAnsi="Book Antiqua"/>
        </w:rPr>
        <w:sym w:font="Symbol" w:char="F0B0"/>
      </w:r>
      <w:r w:rsidR="00700A64">
        <w:rPr>
          <w:rFonts w:ascii="Book Antiqua" w:hAnsi="Book Antiqua"/>
        </w:rPr>
        <w:t xml:space="preserve">, then overnight at </w:t>
      </w:r>
      <w:r w:rsidRPr="00700A64">
        <w:rPr>
          <w:rFonts w:ascii="Book Antiqua" w:hAnsi="Book Antiqua"/>
        </w:rPr>
        <w:lastRenderedPageBreak/>
        <w:t>4</w:t>
      </w:r>
      <w:r w:rsidR="00F52677" w:rsidRPr="00700A64">
        <w:rPr>
          <w:rFonts w:ascii="Book Antiqua" w:hAnsi="Book Antiqua"/>
        </w:rPr>
        <w:t xml:space="preserve"> </w:t>
      </w:r>
      <w:r w:rsidRPr="00700A64">
        <w:rPr>
          <w:rFonts w:ascii="Book Antiqua" w:hAnsi="Book Antiqua"/>
        </w:rPr>
        <w:sym w:font="Symbol" w:char="F0B0"/>
      </w:r>
      <w:r w:rsidRPr="00700A64">
        <w:rPr>
          <w:rFonts w:ascii="Book Antiqua" w:hAnsi="Book Antiqua"/>
        </w:rPr>
        <w:t xml:space="preserve">C. </w:t>
      </w:r>
      <w:r w:rsidR="00344AE5" w:rsidRPr="00700A64">
        <w:rPr>
          <w:rFonts w:ascii="Book Antiqua" w:hAnsi="Book Antiqua"/>
        </w:rPr>
        <w:t xml:space="preserve">We </w:t>
      </w:r>
      <w:r w:rsidRPr="00700A64">
        <w:rPr>
          <w:rFonts w:ascii="Book Antiqua" w:hAnsi="Book Antiqua"/>
        </w:rPr>
        <w:t xml:space="preserve">used biotinylated anti-mouse IgG (Vectastain ABC Kit, Vector Laboratories, </w:t>
      </w:r>
      <w:r w:rsidR="002A55D1" w:rsidRPr="00700A64">
        <w:rPr>
          <w:rFonts w:ascii="Book Antiqua" w:hAnsi="Book Antiqua"/>
        </w:rPr>
        <w:t xml:space="preserve">Burlingame, CA, </w:t>
      </w:r>
      <w:r w:rsidR="00700A64">
        <w:rPr>
          <w:rFonts w:ascii="Book Antiqua" w:hAnsi="Book Antiqua" w:hint="eastAsia"/>
          <w:lang w:eastAsia="zh-CN"/>
        </w:rPr>
        <w:t>United States</w:t>
      </w:r>
      <w:r w:rsidRPr="00700A64">
        <w:rPr>
          <w:rFonts w:ascii="Book Antiqua" w:hAnsi="Book Antiqua"/>
        </w:rPr>
        <w:t>)</w:t>
      </w:r>
      <w:r w:rsidR="00B70324" w:rsidRPr="00700A64">
        <w:rPr>
          <w:rFonts w:ascii="Book Antiqua" w:hAnsi="Book Antiqua"/>
        </w:rPr>
        <w:t>,</w:t>
      </w:r>
      <w:r w:rsidRPr="00700A64">
        <w:rPr>
          <w:rFonts w:ascii="Book Antiqua" w:hAnsi="Book Antiqua"/>
        </w:rPr>
        <w:t xml:space="preserve"> dilut</w:t>
      </w:r>
      <w:r w:rsidR="00344AE5" w:rsidRPr="00700A64">
        <w:rPr>
          <w:rFonts w:ascii="Book Antiqua" w:hAnsi="Book Antiqua"/>
        </w:rPr>
        <w:t xml:space="preserve">ed </w:t>
      </w:r>
      <w:r w:rsidRPr="00700A64">
        <w:rPr>
          <w:rFonts w:ascii="Book Antiqua" w:hAnsi="Book Antiqua"/>
        </w:rPr>
        <w:t>1:200 (incubation for 30 min at room t˚)</w:t>
      </w:r>
      <w:r w:rsidR="00B70324" w:rsidRPr="00700A64">
        <w:rPr>
          <w:rFonts w:ascii="Book Antiqua" w:hAnsi="Book Antiqua"/>
        </w:rPr>
        <w:t>,</w:t>
      </w:r>
      <w:r w:rsidR="00344AE5" w:rsidRPr="00700A64">
        <w:rPr>
          <w:rFonts w:ascii="Book Antiqua" w:hAnsi="Book Antiqua"/>
        </w:rPr>
        <w:t xml:space="preserve"> as the secondary antibody. </w:t>
      </w:r>
      <w:r w:rsidRPr="00700A64">
        <w:rPr>
          <w:rFonts w:ascii="Book Antiqua" w:hAnsi="Book Antiqua"/>
        </w:rPr>
        <w:t xml:space="preserve">The bound antibody was detected with a commercial avidin-biotin immunoperoxidase system (Vectastain ABC Kit, Vector Laboratories, </w:t>
      </w:r>
      <w:r w:rsidR="002A55D1" w:rsidRPr="00700A64">
        <w:rPr>
          <w:rFonts w:ascii="Book Antiqua" w:hAnsi="Book Antiqua"/>
        </w:rPr>
        <w:t xml:space="preserve">Burlingame, CA, </w:t>
      </w:r>
      <w:r w:rsidR="00700A64">
        <w:rPr>
          <w:rFonts w:ascii="Book Antiqua" w:hAnsi="Book Antiqua" w:hint="eastAsia"/>
          <w:lang w:eastAsia="zh-CN"/>
        </w:rPr>
        <w:t>United States</w:t>
      </w:r>
      <w:r w:rsidRPr="00700A64">
        <w:rPr>
          <w:rFonts w:ascii="Book Antiqua" w:hAnsi="Book Antiqua"/>
        </w:rPr>
        <w:t>) according to the manufacturer’s instructions, using</w:t>
      </w:r>
      <w:r w:rsidR="00344AE5" w:rsidRPr="00700A64">
        <w:rPr>
          <w:rFonts w:ascii="Book Antiqua" w:hAnsi="Book Antiqua"/>
        </w:rPr>
        <w:t xml:space="preserve"> the</w:t>
      </w:r>
      <w:r w:rsidRPr="00700A64">
        <w:rPr>
          <w:rFonts w:ascii="Book Antiqua" w:hAnsi="Book Antiqua"/>
        </w:rPr>
        <w:t xml:space="preserve"> Vector VIP Peroxidase substrate kit (SK-4600) (incubation for 10 min) (purple</w:t>
      </w:r>
      <w:r w:rsidR="00B70324" w:rsidRPr="00700A64">
        <w:rPr>
          <w:rFonts w:ascii="Book Antiqua" w:hAnsi="Book Antiqua"/>
        </w:rPr>
        <w:t>-</w:t>
      </w:r>
      <w:r w:rsidRPr="00700A64">
        <w:rPr>
          <w:rFonts w:ascii="Book Antiqua" w:hAnsi="Book Antiqua"/>
        </w:rPr>
        <w:t>red staining). The reaction was stopped by rinsing the sections in cold water, after which staining for FOXP3 was performed using monoclonal mouse anti-human FOXP3 antibodies for 1 hour at room t</w:t>
      </w:r>
      <w:r w:rsidRPr="00700A64">
        <w:rPr>
          <w:rFonts w:ascii="Book Antiqua" w:hAnsi="Book Antiqua"/>
        </w:rPr>
        <w:sym w:font="Symbol" w:char="F0B0"/>
      </w:r>
      <w:r w:rsidRPr="00700A64">
        <w:rPr>
          <w:rFonts w:ascii="Book Antiqua" w:hAnsi="Book Antiqua"/>
        </w:rPr>
        <w:t>, follo</w:t>
      </w:r>
      <w:r w:rsidR="00700A64">
        <w:rPr>
          <w:rFonts w:ascii="Book Antiqua" w:hAnsi="Book Antiqua"/>
        </w:rPr>
        <w:t xml:space="preserve">wed by incubation overnight at </w:t>
      </w:r>
      <w:r w:rsidRPr="00700A64">
        <w:rPr>
          <w:rFonts w:ascii="Book Antiqua" w:hAnsi="Book Antiqua"/>
        </w:rPr>
        <w:t>4</w:t>
      </w:r>
      <w:r w:rsidR="00F52677" w:rsidRPr="00700A64">
        <w:rPr>
          <w:rFonts w:ascii="Book Antiqua" w:hAnsi="Book Antiqua"/>
        </w:rPr>
        <w:t xml:space="preserve"> </w:t>
      </w:r>
      <w:r w:rsidRPr="00700A64">
        <w:rPr>
          <w:rFonts w:ascii="Book Antiqua" w:hAnsi="Book Antiqua"/>
        </w:rPr>
        <w:t>ºC. After washing in 1x</w:t>
      </w:r>
      <w:r w:rsidR="00344AE5" w:rsidRPr="00700A64">
        <w:rPr>
          <w:rFonts w:ascii="Book Antiqua" w:hAnsi="Book Antiqua"/>
        </w:rPr>
        <w:t xml:space="preserve"> </w:t>
      </w:r>
      <w:r w:rsidRPr="00700A64">
        <w:rPr>
          <w:rFonts w:ascii="Book Antiqua" w:hAnsi="Book Antiqua"/>
        </w:rPr>
        <w:t>T</w:t>
      </w:r>
      <w:r w:rsidR="00CD4651" w:rsidRPr="00700A64">
        <w:rPr>
          <w:rFonts w:ascii="Book Antiqua" w:hAnsi="Book Antiqua"/>
        </w:rPr>
        <w:t>ris</w:t>
      </w:r>
      <w:r w:rsidRPr="00700A64">
        <w:rPr>
          <w:rFonts w:ascii="Book Antiqua" w:hAnsi="Book Antiqua"/>
        </w:rPr>
        <w:t>-buffered saline (T</w:t>
      </w:r>
      <w:r w:rsidR="00CD4651" w:rsidRPr="00700A64">
        <w:rPr>
          <w:rFonts w:ascii="Book Antiqua" w:hAnsi="Book Antiqua"/>
        </w:rPr>
        <w:t>ris</w:t>
      </w:r>
      <w:r w:rsidRPr="00700A64">
        <w:rPr>
          <w:rFonts w:ascii="Book Antiqua" w:hAnsi="Book Antiqua"/>
        </w:rPr>
        <w:t>-HCL, pH 7.5)</w:t>
      </w:r>
      <w:r w:rsidR="00344AE5" w:rsidRPr="00700A64">
        <w:rPr>
          <w:rFonts w:ascii="Book Antiqua" w:hAnsi="Book Antiqua"/>
        </w:rPr>
        <w:t>,</w:t>
      </w:r>
      <w:r w:rsidRPr="00700A64">
        <w:rPr>
          <w:rFonts w:ascii="Book Antiqua" w:hAnsi="Book Antiqua"/>
        </w:rPr>
        <w:t xml:space="preserve"> the sections were incubated with the above</w:t>
      </w:r>
      <w:r w:rsidR="00344AE5" w:rsidRPr="00700A64">
        <w:rPr>
          <w:rFonts w:ascii="Book Antiqua" w:hAnsi="Book Antiqua"/>
        </w:rPr>
        <w:t>-</w:t>
      </w:r>
      <w:r w:rsidRPr="00700A64">
        <w:rPr>
          <w:rFonts w:ascii="Book Antiqua" w:hAnsi="Book Antiqua"/>
        </w:rPr>
        <w:t xml:space="preserve">mentioned secondary antibodies using </w:t>
      </w:r>
      <w:r w:rsidR="00344AE5" w:rsidRPr="00700A64">
        <w:rPr>
          <w:rFonts w:ascii="Book Antiqua" w:hAnsi="Book Antiqua"/>
        </w:rPr>
        <w:t xml:space="preserve">the </w:t>
      </w:r>
      <w:r w:rsidRPr="00700A64">
        <w:rPr>
          <w:rFonts w:ascii="Book Antiqua" w:hAnsi="Book Antiqua"/>
        </w:rPr>
        <w:t>Vectastain ABC Kit</w:t>
      </w:r>
      <w:r w:rsidR="002A55D1" w:rsidRPr="00700A64">
        <w:rPr>
          <w:rFonts w:ascii="Book Antiqua" w:hAnsi="Book Antiqua"/>
        </w:rPr>
        <w:t xml:space="preserve"> (Vector Laboratories, Burlingame, CA, </w:t>
      </w:r>
      <w:r w:rsidR="00700A64">
        <w:rPr>
          <w:rFonts w:ascii="Book Antiqua" w:hAnsi="Book Antiqua" w:hint="eastAsia"/>
          <w:lang w:eastAsia="zh-CN"/>
        </w:rPr>
        <w:t>United States</w:t>
      </w:r>
      <w:r w:rsidR="002A55D1" w:rsidRPr="00700A64">
        <w:rPr>
          <w:rFonts w:ascii="Book Antiqua" w:hAnsi="Book Antiqua"/>
        </w:rPr>
        <w:t>)</w:t>
      </w:r>
      <w:r w:rsidR="00700A64">
        <w:rPr>
          <w:rFonts w:ascii="Book Antiqua" w:hAnsi="Book Antiqua"/>
        </w:rPr>
        <w:t>.</w:t>
      </w:r>
      <w:r w:rsidRPr="00700A64">
        <w:rPr>
          <w:rFonts w:ascii="Book Antiqua" w:hAnsi="Book Antiqua"/>
        </w:rPr>
        <w:t xml:space="preserve"> The bound antibody was visualized using Vector SG (Vector Laboratories</w:t>
      </w:r>
      <w:r w:rsidR="002A55D1" w:rsidRPr="00700A64">
        <w:rPr>
          <w:rFonts w:ascii="Book Antiqua" w:hAnsi="Book Antiqua"/>
        </w:rPr>
        <w:t xml:space="preserve">, Burlingame, CA, </w:t>
      </w:r>
      <w:r w:rsidR="00700A64">
        <w:rPr>
          <w:rFonts w:ascii="Book Antiqua" w:hAnsi="Book Antiqua" w:hint="eastAsia"/>
          <w:lang w:eastAsia="zh-CN"/>
        </w:rPr>
        <w:t>United States</w:t>
      </w:r>
      <w:r w:rsidRPr="00700A64">
        <w:rPr>
          <w:rFonts w:ascii="Book Antiqua" w:hAnsi="Book Antiqua"/>
        </w:rPr>
        <w:t xml:space="preserve">) as the substrate (incubation for 10 min) (blue staining). Next, the sections were immersed in cold water to stop the reaction, after which the stained tissue sections were dehydrated and mounted in Canada balsam. </w:t>
      </w:r>
      <w:r w:rsidR="009F29A2" w:rsidRPr="00700A64">
        <w:rPr>
          <w:rFonts w:ascii="Book Antiqua" w:hAnsi="Book Antiqua"/>
        </w:rPr>
        <w:t>W</w:t>
      </w:r>
      <w:r w:rsidRPr="00700A64">
        <w:rPr>
          <w:rFonts w:ascii="Book Antiqua" w:hAnsi="Book Antiqua"/>
        </w:rPr>
        <w:t>e used tissue sections without primary antibody (incubation with 1% horse serum)</w:t>
      </w:r>
      <w:r w:rsidR="009F29A2" w:rsidRPr="00700A64">
        <w:rPr>
          <w:rFonts w:ascii="Book Antiqua" w:hAnsi="Book Antiqua"/>
        </w:rPr>
        <w:t xml:space="preserve"> for the negative control and </w:t>
      </w:r>
      <w:r w:rsidRPr="00700A64">
        <w:rPr>
          <w:rFonts w:ascii="Book Antiqua" w:hAnsi="Book Antiqua"/>
        </w:rPr>
        <w:t>human tonsil sections</w:t>
      </w:r>
      <w:r w:rsidR="009F29A2" w:rsidRPr="00700A64">
        <w:rPr>
          <w:rFonts w:ascii="Book Antiqua" w:hAnsi="Book Antiqua"/>
        </w:rPr>
        <w:t xml:space="preserve"> for the positive control</w:t>
      </w:r>
      <w:r w:rsidRPr="00700A64">
        <w:rPr>
          <w:rFonts w:ascii="Book Antiqua" w:hAnsi="Book Antiqua"/>
        </w:rPr>
        <w:t xml:space="preserve">. </w:t>
      </w:r>
    </w:p>
    <w:p w:rsidR="00696842" w:rsidRPr="00700A64" w:rsidRDefault="00696842" w:rsidP="00B90E53">
      <w:pPr>
        <w:adjustRightInd w:val="0"/>
        <w:snapToGrid w:val="0"/>
        <w:spacing w:line="360" w:lineRule="auto"/>
        <w:ind w:firstLineChars="100" w:firstLine="240"/>
        <w:jc w:val="both"/>
        <w:rPr>
          <w:rFonts w:ascii="Book Antiqua" w:hAnsi="Book Antiqua"/>
        </w:rPr>
      </w:pPr>
      <w:r w:rsidRPr="00700A64">
        <w:rPr>
          <w:rFonts w:ascii="Book Antiqua" w:hAnsi="Book Antiqua"/>
          <w:bCs/>
        </w:rPr>
        <w:t>Staining for IDO+ DCs</w:t>
      </w:r>
      <w:r w:rsidRPr="00700A64">
        <w:rPr>
          <w:rFonts w:ascii="Book Antiqua" w:hAnsi="Book Antiqua"/>
          <w:b/>
          <w:bCs/>
        </w:rPr>
        <w:t xml:space="preserve"> </w:t>
      </w:r>
      <w:r w:rsidRPr="00700A64">
        <w:rPr>
          <w:rFonts w:ascii="Book Antiqua" w:hAnsi="Book Antiqua"/>
          <w:bCs/>
        </w:rPr>
        <w:t xml:space="preserve">on paraffin sections was </w:t>
      </w:r>
      <w:r w:rsidR="007C1E8A" w:rsidRPr="00700A64">
        <w:rPr>
          <w:rFonts w:ascii="Book Antiqua" w:hAnsi="Book Antiqua"/>
          <w:bCs/>
        </w:rPr>
        <w:t>performed</w:t>
      </w:r>
      <w:r w:rsidRPr="00700A64">
        <w:rPr>
          <w:rFonts w:ascii="Book Antiqua" w:hAnsi="Book Antiqua"/>
          <w:bCs/>
        </w:rPr>
        <w:t xml:space="preserve"> as described above</w:t>
      </w:r>
      <w:r w:rsidR="007C1E8A" w:rsidRPr="00700A64">
        <w:rPr>
          <w:rFonts w:ascii="Book Antiqua" w:hAnsi="Book Antiqua"/>
          <w:bCs/>
        </w:rPr>
        <w:t>;</w:t>
      </w:r>
      <w:r w:rsidRPr="00700A64">
        <w:rPr>
          <w:rFonts w:ascii="Book Antiqua" w:hAnsi="Book Antiqua"/>
          <w:bCs/>
        </w:rPr>
        <w:t xml:space="preserve"> primary antibodies</w:t>
      </w:r>
      <w:r w:rsidR="007C1E8A" w:rsidRPr="00700A64">
        <w:rPr>
          <w:rFonts w:ascii="Book Antiqua" w:hAnsi="Book Antiqua"/>
          <w:bCs/>
        </w:rPr>
        <w:t xml:space="preserve"> were incubated</w:t>
      </w:r>
      <w:r w:rsidRPr="00700A64">
        <w:rPr>
          <w:rFonts w:ascii="Book Antiqua" w:hAnsi="Book Antiqua"/>
          <w:bCs/>
        </w:rPr>
        <w:t xml:space="preserve"> </w:t>
      </w:r>
      <w:r w:rsidR="007C1E8A" w:rsidRPr="00700A64">
        <w:rPr>
          <w:rFonts w:ascii="Book Antiqua" w:hAnsi="Book Antiqua"/>
          <w:bCs/>
        </w:rPr>
        <w:t xml:space="preserve">with the sections </w:t>
      </w:r>
      <w:r w:rsidR="00700A64">
        <w:rPr>
          <w:rFonts w:ascii="Book Antiqua" w:hAnsi="Book Antiqua"/>
        </w:rPr>
        <w:t xml:space="preserve">overnight at </w:t>
      </w:r>
      <w:r w:rsidRPr="00700A64">
        <w:rPr>
          <w:rFonts w:ascii="Book Antiqua" w:hAnsi="Book Antiqua"/>
        </w:rPr>
        <w:t>4</w:t>
      </w:r>
      <w:r w:rsidR="00F52677" w:rsidRPr="00700A64">
        <w:rPr>
          <w:rFonts w:ascii="Book Antiqua" w:hAnsi="Book Antiqua"/>
        </w:rPr>
        <w:t xml:space="preserve"> </w:t>
      </w:r>
      <w:r w:rsidRPr="00700A64">
        <w:rPr>
          <w:rFonts w:ascii="Book Antiqua" w:hAnsi="Book Antiqua"/>
        </w:rPr>
        <w:sym w:font="Symbol" w:char="F0B0"/>
      </w:r>
      <w:r w:rsidRPr="00700A64">
        <w:rPr>
          <w:rFonts w:ascii="Book Antiqua" w:hAnsi="Book Antiqua"/>
        </w:rPr>
        <w:t>C</w:t>
      </w:r>
      <w:r w:rsidRPr="00700A64">
        <w:rPr>
          <w:rFonts w:ascii="Book Antiqua" w:hAnsi="Book Antiqua"/>
          <w:bCs/>
        </w:rPr>
        <w:t xml:space="preserve">. </w:t>
      </w:r>
      <w:r w:rsidRPr="00700A64">
        <w:rPr>
          <w:rFonts w:ascii="Book Antiqua" w:hAnsi="Book Antiqua"/>
        </w:rPr>
        <w:t>The bound antibody was detected with a commercial avidin-biotin immunoperoxidase system (Vectastain ABC Kit</w:t>
      </w:r>
      <w:r w:rsidR="002A55D1" w:rsidRPr="00700A64">
        <w:rPr>
          <w:rFonts w:ascii="Book Antiqua" w:hAnsi="Book Antiqua"/>
        </w:rPr>
        <w:t xml:space="preserve">, Vector Laboratories, Burlingame, CA, </w:t>
      </w:r>
      <w:r w:rsidR="00700A64">
        <w:rPr>
          <w:rFonts w:ascii="Book Antiqua" w:hAnsi="Book Antiqua" w:hint="eastAsia"/>
          <w:lang w:eastAsia="zh-CN"/>
        </w:rPr>
        <w:t>United States</w:t>
      </w:r>
      <w:r w:rsidRPr="00700A64">
        <w:rPr>
          <w:rFonts w:ascii="Book Antiqua" w:hAnsi="Book Antiqua"/>
        </w:rPr>
        <w:t>) according to the manufacturer’s instructions, using the Vector VIP Peroxidase substrate kit (SK-4600) (incubation for 10 min) (purple</w:t>
      </w:r>
      <w:r w:rsidR="007C1E8A" w:rsidRPr="00700A64">
        <w:rPr>
          <w:rFonts w:ascii="Book Antiqua" w:hAnsi="Book Antiqua"/>
        </w:rPr>
        <w:t>-</w:t>
      </w:r>
      <w:r w:rsidRPr="00700A64">
        <w:rPr>
          <w:rFonts w:ascii="Book Antiqua" w:hAnsi="Book Antiqua"/>
        </w:rPr>
        <w:t>red staining).</w:t>
      </w:r>
    </w:p>
    <w:p w:rsidR="00696842" w:rsidRPr="00700A64" w:rsidRDefault="00696842" w:rsidP="00B90E53">
      <w:pPr>
        <w:adjustRightInd w:val="0"/>
        <w:snapToGrid w:val="0"/>
        <w:spacing w:line="360" w:lineRule="auto"/>
        <w:jc w:val="both"/>
        <w:rPr>
          <w:rFonts w:ascii="Book Antiqua" w:hAnsi="Book Antiqua"/>
        </w:rPr>
      </w:pPr>
    </w:p>
    <w:p w:rsidR="00F24DCC" w:rsidRPr="00700A64" w:rsidRDefault="00696842" w:rsidP="00B90E53">
      <w:pPr>
        <w:adjustRightInd w:val="0"/>
        <w:snapToGrid w:val="0"/>
        <w:spacing w:line="360" w:lineRule="auto"/>
        <w:jc w:val="both"/>
        <w:rPr>
          <w:rFonts w:ascii="Book Antiqua" w:hAnsi="Book Antiqua"/>
          <w:b/>
          <w:bCs/>
          <w:i/>
        </w:rPr>
      </w:pPr>
      <w:r w:rsidRPr="00700A64">
        <w:rPr>
          <w:rFonts w:ascii="Book Antiqua" w:hAnsi="Book Antiqua"/>
          <w:b/>
          <w:bCs/>
          <w:i/>
        </w:rPr>
        <w:t>Immunofluorescence staining on cryostat sections</w:t>
      </w:r>
    </w:p>
    <w:p w:rsidR="00696842" w:rsidRPr="00700A64" w:rsidRDefault="00696842" w:rsidP="00B90E53">
      <w:pPr>
        <w:adjustRightInd w:val="0"/>
        <w:snapToGrid w:val="0"/>
        <w:spacing w:line="360" w:lineRule="auto"/>
        <w:jc w:val="both"/>
        <w:rPr>
          <w:rFonts w:ascii="Book Antiqua" w:hAnsi="Book Antiqua"/>
        </w:rPr>
      </w:pPr>
      <w:r w:rsidRPr="00700A64">
        <w:rPr>
          <w:rFonts w:ascii="Book Antiqua" w:hAnsi="Book Antiqua"/>
          <w:bCs/>
        </w:rPr>
        <w:lastRenderedPageBreak/>
        <w:t>Double</w:t>
      </w:r>
      <w:r w:rsidR="00152626" w:rsidRPr="00700A64">
        <w:rPr>
          <w:rFonts w:ascii="Book Antiqua" w:hAnsi="Book Antiqua"/>
          <w:bCs/>
        </w:rPr>
        <w:t>-</w:t>
      </w:r>
      <w:r w:rsidRPr="00700A64">
        <w:rPr>
          <w:rFonts w:ascii="Book Antiqua" w:hAnsi="Book Antiqua"/>
          <w:bCs/>
        </w:rPr>
        <w:t>staining for IDO and CD103</w:t>
      </w:r>
      <w:r w:rsidR="00344AE5" w:rsidRPr="00700A64">
        <w:rPr>
          <w:rFonts w:ascii="Book Antiqua" w:hAnsi="Book Antiqua"/>
          <w:bCs/>
        </w:rPr>
        <w:t xml:space="preserve"> </w:t>
      </w:r>
      <w:r w:rsidR="00152626" w:rsidRPr="00700A64">
        <w:rPr>
          <w:rFonts w:ascii="Book Antiqua" w:hAnsi="Book Antiqua"/>
          <w:bCs/>
        </w:rPr>
        <w:t>and for</w:t>
      </w:r>
      <w:r w:rsidR="00344AE5" w:rsidRPr="00700A64">
        <w:rPr>
          <w:rFonts w:ascii="Book Antiqua" w:hAnsi="Book Antiqua"/>
          <w:bCs/>
        </w:rPr>
        <w:t xml:space="preserve"> </w:t>
      </w:r>
      <w:r w:rsidRPr="00700A64">
        <w:rPr>
          <w:rFonts w:ascii="Book Antiqua" w:hAnsi="Book Antiqua"/>
          <w:bCs/>
        </w:rPr>
        <w:t xml:space="preserve">CD11c and CD103 was </w:t>
      </w:r>
      <w:r w:rsidR="00152626" w:rsidRPr="00700A64">
        <w:rPr>
          <w:rFonts w:ascii="Book Antiqua" w:hAnsi="Book Antiqua"/>
          <w:bCs/>
        </w:rPr>
        <w:t>performed</w:t>
      </w:r>
      <w:r w:rsidRPr="00700A64">
        <w:rPr>
          <w:rFonts w:ascii="Book Antiqua" w:hAnsi="Book Antiqua"/>
          <w:bCs/>
        </w:rPr>
        <w:t xml:space="preserve"> on frozen sections of the small bowel mucosa of 71 patients. Mono</w:t>
      </w:r>
      <w:r w:rsidR="00344AE5" w:rsidRPr="00700A64">
        <w:rPr>
          <w:rFonts w:ascii="Book Antiqua" w:hAnsi="Book Antiqua"/>
          <w:bCs/>
        </w:rPr>
        <w:t>-</w:t>
      </w:r>
      <w:r w:rsidRPr="00700A64">
        <w:rPr>
          <w:rFonts w:ascii="Book Antiqua" w:hAnsi="Book Antiqua"/>
          <w:bCs/>
        </w:rPr>
        <w:t xml:space="preserve">staining for Langerin (CD207) on sections from the same frozen biopsies was </w:t>
      </w:r>
      <w:r w:rsidR="00152626" w:rsidRPr="00700A64">
        <w:rPr>
          <w:rFonts w:ascii="Book Antiqua" w:hAnsi="Book Antiqua"/>
          <w:bCs/>
        </w:rPr>
        <w:t>performed for</w:t>
      </w:r>
      <w:r w:rsidRPr="00700A64">
        <w:rPr>
          <w:rFonts w:ascii="Book Antiqua" w:hAnsi="Book Antiqua"/>
          <w:bCs/>
        </w:rPr>
        <w:t xml:space="preserve"> 70 patients.</w:t>
      </w:r>
      <w:r w:rsidRPr="00700A64">
        <w:rPr>
          <w:rFonts w:ascii="Book Antiqua" w:hAnsi="Book Antiqua"/>
        </w:rPr>
        <w:t xml:space="preserve"> The 4 μm frozen sections cut with a cryomicrotome (Leica CM1950, Leica Microsystems, Germany) were mounted on SuperFrost Plus </w:t>
      </w:r>
      <w:r w:rsidR="000D3FD9" w:rsidRPr="00700A64">
        <w:rPr>
          <w:rFonts w:ascii="Book Antiqua" w:hAnsi="Book Antiqua"/>
        </w:rPr>
        <w:t xml:space="preserve">slides </w:t>
      </w:r>
      <w:r w:rsidRPr="00700A64">
        <w:rPr>
          <w:rFonts w:ascii="Book Antiqua" w:hAnsi="Book Antiqua"/>
        </w:rPr>
        <w:t xml:space="preserve">(Menzel GmbH </w:t>
      </w:r>
      <w:r w:rsidR="00700A64">
        <w:rPr>
          <w:rFonts w:ascii="Book Antiqua" w:hAnsi="Book Antiqua" w:hint="eastAsia"/>
          <w:lang w:eastAsia="zh-CN"/>
        </w:rPr>
        <w:t>and</w:t>
      </w:r>
      <w:r w:rsidRPr="00700A64">
        <w:rPr>
          <w:rFonts w:ascii="Book Antiqua" w:hAnsi="Book Antiqua"/>
        </w:rPr>
        <w:t xml:space="preserve"> Co KG, Braunschweig, Germany), air</w:t>
      </w:r>
      <w:r w:rsidR="00152626" w:rsidRPr="00700A64">
        <w:rPr>
          <w:rFonts w:ascii="Book Antiqua" w:hAnsi="Book Antiqua"/>
        </w:rPr>
        <w:t>-</w:t>
      </w:r>
      <w:r w:rsidRPr="00700A64">
        <w:rPr>
          <w:rFonts w:ascii="Book Antiqua" w:hAnsi="Book Antiqua"/>
        </w:rPr>
        <w:t xml:space="preserve">dried for 1 hour and used immediately. Tissue sections were fixed in 4% paraformaldehyde for 10 min at room t˚, followed by permeabilization with </w:t>
      </w:r>
      <w:r w:rsidRPr="00700A64">
        <w:rPr>
          <w:rFonts w:ascii="Book Antiqua" w:hAnsi="Book Antiqua"/>
          <w:bCs/>
        </w:rPr>
        <w:t xml:space="preserve">0.3% </w:t>
      </w:r>
      <w:r w:rsidRPr="00700A64">
        <w:rPr>
          <w:rFonts w:ascii="Book Antiqua" w:hAnsi="Book Antiqua"/>
        </w:rPr>
        <w:t>Triton-X 100 (SERVA, Feinbiochemica, Heidelberg, Germany) in T</w:t>
      </w:r>
      <w:r w:rsidR="00CD4651" w:rsidRPr="00700A64">
        <w:rPr>
          <w:rFonts w:ascii="Book Antiqua" w:hAnsi="Book Antiqua"/>
        </w:rPr>
        <w:t>ris</w:t>
      </w:r>
      <w:r w:rsidRPr="00700A64">
        <w:rPr>
          <w:rFonts w:ascii="Book Antiqua" w:hAnsi="Book Antiqua"/>
        </w:rPr>
        <w:t xml:space="preserve"> buffer for 30 min at room t˚. </w:t>
      </w:r>
    </w:p>
    <w:p w:rsidR="00696842" w:rsidRPr="00700A64" w:rsidRDefault="00696842" w:rsidP="00B90E53">
      <w:pPr>
        <w:adjustRightInd w:val="0"/>
        <w:snapToGrid w:val="0"/>
        <w:spacing w:line="360" w:lineRule="auto"/>
        <w:ind w:firstLineChars="100" w:firstLine="240"/>
        <w:jc w:val="both"/>
        <w:rPr>
          <w:rFonts w:ascii="Book Antiqua" w:hAnsi="Book Antiqua"/>
        </w:rPr>
      </w:pPr>
      <w:r w:rsidRPr="00700A64">
        <w:rPr>
          <w:rFonts w:ascii="Book Antiqua" w:hAnsi="Book Antiqua"/>
          <w:bCs/>
        </w:rPr>
        <w:t>Before incubation with primary anti-IDO</w:t>
      </w:r>
      <w:r w:rsidRPr="00700A64">
        <w:rPr>
          <w:rFonts w:ascii="Book Antiqua" w:hAnsi="Book Antiqua"/>
          <w:b/>
          <w:bCs/>
        </w:rPr>
        <w:t xml:space="preserve"> </w:t>
      </w:r>
      <w:r w:rsidRPr="00700A64">
        <w:rPr>
          <w:rFonts w:ascii="Book Antiqua" w:hAnsi="Book Antiqua"/>
          <w:bCs/>
        </w:rPr>
        <w:t>antibodies, e</w:t>
      </w:r>
      <w:r w:rsidRPr="00700A64">
        <w:rPr>
          <w:rFonts w:ascii="Book Antiqua" w:hAnsi="Book Antiqua"/>
        </w:rPr>
        <w:t xml:space="preserve">ndogenous biotin was blocked using </w:t>
      </w:r>
      <w:r w:rsidR="000D3FD9" w:rsidRPr="00700A64">
        <w:rPr>
          <w:rFonts w:ascii="Book Antiqua" w:hAnsi="Book Antiqua"/>
        </w:rPr>
        <w:t xml:space="preserve">the </w:t>
      </w:r>
      <w:r w:rsidRPr="00700A64">
        <w:rPr>
          <w:rFonts w:ascii="Book Antiqua" w:hAnsi="Book Antiqua"/>
        </w:rPr>
        <w:t xml:space="preserve">Biotin </w:t>
      </w:r>
      <w:r w:rsidR="00152626" w:rsidRPr="00700A64">
        <w:rPr>
          <w:rFonts w:ascii="Book Antiqua" w:hAnsi="Book Antiqua"/>
        </w:rPr>
        <w:t>B</w:t>
      </w:r>
      <w:r w:rsidRPr="00700A64">
        <w:rPr>
          <w:rFonts w:ascii="Book Antiqua" w:hAnsi="Book Antiqua"/>
        </w:rPr>
        <w:t xml:space="preserve">locking System Kit (DAKO, Cytomation, Carpinteria, </w:t>
      </w:r>
      <w:r w:rsidR="00DD372D">
        <w:rPr>
          <w:rFonts w:ascii="Book Antiqua" w:hAnsi="Book Antiqua" w:hint="eastAsia"/>
          <w:lang w:eastAsia="zh-CN"/>
        </w:rPr>
        <w:t>United States</w:t>
      </w:r>
      <w:r w:rsidRPr="00700A64">
        <w:rPr>
          <w:rFonts w:ascii="Book Antiqua" w:hAnsi="Book Antiqua"/>
        </w:rPr>
        <w:t xml:space="preserve">) for 10 min at room t˚. Additionally, </w:t>
      </w:r>
      <w:r w:rsidR="000D3FD9" w:rsidRPr="00700A64">
        <w:rPr>
          <w:rFonts w:ascii="Book Antiqua" w:hAnsi="Book Antiqua"/>
        </w:rPr>
        <w:t xml:space="preserve">to </w:t>
      </w:r>
      <w:r w:rsidRPr="00700A64">
        <w:rPr>
          <w:rFonts w:ascii="Book Antiqua" w:hAnsi="Book Antiqua"/>
        </w:rPr>
        <w:t>b</w:t>
      </w:r>
      <w:r w:rsidRPr="00700A64">
        <w:rPr>
          <w:rFonts w:ascii="Book Antiqua" w:eastAsia="MinionPro-Regular" w:hAnsi="Book Antiqua"/>
        </w:rPr>
        <w:t>loc</w:t>
      </w:r>
      <w:r w:rsidR="000D3FD9" w:rsidRPr="00700A64">
        <w:rPr>
          <w:rFonts w:ascii="Book Antiqua" w:eastAsia="MinionPro-Regular" w:hAnsi="Book Antiqua"/>
        </w:rPr>
        <w:t>k</w:t>
      </w:r>
      <w:r w:rsidRPr="00700A64">
        <w:rPr>
          <w:rFonts w:ascii="Book Antiqua" w:eastAsia="MinionPro-Regular" w:hAnsi="Book Antiqua"/>
        </w:rPr>
        <w:t xml:space="preserve"> the binding of antibodies to the Fc receptor, the</w:t>
      </w:r>
      <w:r w:rsidRPr="00700A64">
        <w:rPr>
          <w:rFonts w:ascii="Book Antiqua" w:hAnsi="Book Antiqua"/>
        </w:rPr>
        <w:t xml:space="preserve"> FcR Blocking Reagent (human from Miltenyi Biotec GmbH, Germany), dilut</w:t>
      </w:r>
      <w:r w:rsidR="000D3FD9" w:rsidRPr="00700A64">
        <w:rPr>
          <w:rFonts w:ascii="Book Antiqua" w:hAnsi="Book Antiqua"/>
        </w:rPr>
        <w:t>ed</w:t>
      </w:r>
      <w:r w:rsidRPr="00700A64">
        <w:rPr>
          <w:rFonts w:ascii="Book Antiqua" w:hAnsi="Book Antiqua"/>
        </w:rPr>
        <w:t xml:space="preserve"> 1:100, was used on all studied sections </w:t>
      </w:r>
      <w:r w:rsidR="00DD372D">
        <w:rPr>
          <w:rFonts w:ascii="Book Antiqua" w:hAnsi="Book Antiqua"/>
        </w:rPr>
        <w:t xml:space="preserve">for 10 min at </w:t>
      </w:r>
      <w:r w:rsidR="000D3FD9" w:rsidRPr="00700A64">
        <w:rPr>
          <w:rFonts w:ascii="Book Antiqua" w:hAnsi="Book Antiqua"/>
        </w:rPr>
        <w:t>4</w:t>
      </w:r>
      <w:r w:rsidR="00F52677" w:rsidRPr="00700A64">
        <w:rPr>
          <w:rFonts w:ascii="Book Antiqua" w:hAnsi="Book Antiqua"/>
        </w:rPr>
        <w:t xml:space="preserve"> </w:t>
      </w:r>
      <w:r w:rsidR="000D3FD9" w:rsidRPr="00700A64">
        <w:rPr>
          <w:rFonts w:ascii="Book Antiqua" w:hAnsi="Book Antiqua"/>
        </w:rPr>
        <w:sym w:font="Symbol" w:char="F0B0"/>
      </w:r>
      <w:r w:rsidR="000D3FD9" w:rsidRPr="00700A64">
        <w:rPr>
          <w:rFonts w:ascii="Book Antiqua" w:hAnsi="Book Antiqua"/>
        </w:rPr>
        <w:t xml:space="preserve">C. This reagent was </w:t>
      </w:r>
      <w:r w:rsidRPr="00700A64">
        <w:rPr>
          <w:rFonts w:ascii="Book Antiqua" w:hAnsi="Book Antiqua"/>
        </w:rPr>
        <w:t xml:space="preserve">also </w:t>
      </w:r>
      <w:r w:rsidR="000D3FD9" w:rsidRPr="00700A64">
        <w:rPr>
          <w:rFonts w:ascii="Book Antiqua" w:hAnsi="Book Antiqua"/>
        </w:rPr>
        <w:t xml:space="preserve">used </w:t>
      </w:r>
      <w:r w:rsidRPr="00700A64">
        <w:rPr>
          <w:rFonts w:ascii="Book Antiqua" w:hAnsi="Book Antiqua"/>
        </w:rPr>
        <w:t>before incubation with anti-CD11c, anti-CD103 and anti-Langerin primary antibodies.</w:t>
      </w:r>
    </w:p>
    <w:p w:rsidR="00696842" w:rsidRPr="00700A64" w:rsidRDefault="00696842"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rPr>
        <w:t xml:space="preserve">The sections were incubated with </w:t>
      </w:r>
      <w:r w:rsidR="001845B7" w:rsidRPr="00700A64">
        <w:rPr>
          <w:rFonts w:ascii="Book Antiqua" w:hAnsi="Book Antiqua"/>
        </w:rPr>
        <w:t>a</w:t>
      </w:r>
      <w:r w:rsidRPr="00700A64">
        <w:rPr>
          <w:rFonts w:ascii="Book Antiqua" w:hAnsi="Book Antiqua"/>
        </w:rPr>
        <w:t>nti</w:t>
      </w:r>
      <w:r w:rsidRPr="00700A64">
        <w:rPr>
          <w:rFonts w:ascii="Book Antiqua" w:hAnsi="Book Antiqua"/>
          <w:b/>
          <w:bCs/>
        </w:rPr>
        <w:t>-</w:t>
      </w:r>
      <w:r w:rsidRPr="00700A64">
        <w:rPr>
          <w:rFonts w:ascii="Book Antiqua" w:hAnsi="Book Antiqua"/>
          <w:bCs/>
        </w:rPr>
        <w:t>IDO</w:t>
      </w:r>
      <w:r w:rsidRPr="00700A64">
        <w:rPr>
          <w:rFonts w:ascii="Book Antiqua" w:hAnsi="Book Antiqua"/>
          <w:b/>
        </w:rPr>
        <w:t xml:space="preserve"> </w:t>
      </w:r>
      <w:r w:rsidRPr="00700A64">
        <w:rPr>
          <w:rFonts w:ascii="Book Antiqua" w:hAnsi="Book Antiqua"/>
        </w:rPr>
        <w:t xml:space="preserve">clone 1F8.2 </w:t>
      </w:r>
      <w:r w:rsidRPr="00700A64">
        <w:rPr>
          <w:rFonts w:ascii="Book Antiqua" w:hAnsi="Book Antiqua"/>
          <w:bCs/>
        </w:rPr>
        <w:t>(Chemicon, Millipore Corporation) monoclonal mouse-anti human</w:t>
      </w:r>
      <w:r w:rsidRPr="00700A64">
        <w:rPr>
          <w:rFonts w:ascii="Book Antiqua" w:hAnsi="Book Antiqua"/>
          <w:b/>
          <w:bCs/>
        </w:rPr>
        <w:t xml:space="preserve"> </w:t>
      </w:r>
      <w:r w:rsidRPr="00700A64">
        <w:rPr>
          <w:rFonts w:ascii="Book Antiqua" w:hAnsi="Book Antiqua"/>
          <w:bCs/>
        </w:rPr>
        <w:t>IDO</w:t>
      </w:r>
      <w:r w:rsidR="000D3FD9" w:rsidRPr="00700A64">
        <w:rPr>
          <w:rFonts w:ascii="Book Antiqua" w:hAnsi="Book Antiqua"/>
          <w:bCs/>
        </w:rPr>
        <w:t xml:space="preserve"> antibody</w:t>
      </w:r>
      <w:r w:rsidRPr="00700A64">
        <w:rPr>
          <w:rFonts w:ascii="Book Antiqua" w:hAnsi="Book Antiqua"/>
          <w:bCs/>
        </w:rPr>
        <w:t>,</w:t>
      </w:r>
      <w:r w:rsidRPr="00700A64">
        <w:rPr>
          <w:rFonts w:ascii="Book Antiqua" w:hAnsi="Book Antiqua"/>
        </w:rPr>
        <w:t xml:space="preserve"> dilut</w:t>
      </w:r>
      <w:r w:rsidR="000D3FD9" w:rsidRPr="00700A64">
        <w:rPr>
          <w:rFonts w:ascii="Book Antiqua" w:hAnsi="Book Antiqua"/>
        </w:rPr>
        <w:t>ed</w:t>
      </w:r>
      <w:r w:rsidRPr="00700A64">
        <w:rPr>
          <w:rFonts w:ascii="Book Antiqua" w:hAnsi="Book Antiqua"/>
        </w:rPr>
        <w:t xml:space="preserve"> 1:50, in TRIS buffer</w:t>
      </w:r>
      <w:r w:rsidR="00DD372D">
        <w:rPr>
          <w:rFonts w:ascii="Book Antiqua" w:hAnsi="Book Antiqua"/>
          <w:bCs/>
        </w:rPr>
        <w:t xml:space="preserve"> overnight at </w:t>
      </w:r>
      <w:r w:rsidRPr="00700A64">
        <w:rPr>
          <w:rFonts w:ascii="Book Antiqua" w:hAnsi="Book Antiqua"/>
          <w:bCs/>
        </w:rPr>
        <w:t>4</w:t>
      </w:r>
      <w:r w:rsidR="001845B7" w:rsidRPr="00700A64">
        <w:rPr>
          <w:rFonts w:ascii="Book Antiqua" w:hAnsi="Book Antiqua"/>
          <w:bCs/>
        </w:rPr>
        <w:t xml:space="preserve"> </w:t>
      </w:r>
      <w:r w:rsidRPr="00700A64">
        <w:rPr>
          <w:rFonts w:ascii="Book Antiqua" w:hAnsi="Book Antiqua"/>
          <w:bCs/>
        </w:rPr>
        <w:sym w:font="Symbol" w:char="00B0"/>
      </w:r>
      <w:r w:rsidR="001845B7" w:rsidRPr="00700A64">
        <w:rPr>
          <w:rFonts w:ascii="Book Antiqua" w:hAnsi="Book Antiqua"/>
          <w:bCs/>
        </w:rPr>
        <w:t>C</w:t>
      </w:r>
      <w:r w:rsidRPr="00700A64">
        <w:rPr>
          <w:rFonts w:ascii="Book Antiqua" w:hAnsi="Book Antiqua"/>
        </w:rPr>
        <w:t xml:space="preserve"> in a humid chamber under coverslips. </w:t>
      </w:r>
      <w:r w:rsidR="001845B7" w:rsidRPr="00700A64">
        <w:rPr>
          <w:rFonts w:ascii="Book Antiqua" w:hAnsi="Book Antiqua"/>
        </w:rPr>
        <w:t xml:space="preserve">For </w:t>
      </w:r>
      <w:r w:rsidRPr="00700A64">
        <w:rPr>
          <w:rFonts w:ascii="Book Antiqua" w:hAnsi="Book Antiqua"/>
        </w:rPr>
        <w:t>the secondary antibody</w:t>
      </w:r>
      <w:r w:rsidR="001845B7" w:rsidRPr="00700A64">
        <w:rPr>
          <w:rFonts w:ascii="Book Antiqua" w:hAnsi="Book Antiqua"/>
        </w:rPr>
        <w:t>,</w:t>
      </w:r>
      <w:r w:rsidRPr="00700A64">
        <w:rPr>
          <w:rFonts w:ascii="Book Antiqua" w:hAnsi="Book Antiqua"/>
        </w:rPr>
        <w:t xml:space="preserve"> we used </w:t>
      </w:r>
      <w:r w:rsidR="001845B7" w:rsidRPr="00700A64">
        <w:rPr>
          <w:rFonts w:ascii="Book Antiqua" w:hAnsi="Book Antiqua"/>
        </w:rPr>
        <w:t>b</w:t>
      </w:r>
      <w:r w:rsidRPr="00700A64">
        <w:rPr>
          <w:rFonts w:ascii="Book Antiqua" w:hAnsi="Book Antiqua"/>
          <w:bCs/>
        </w:rPr>
        <w:t xml:space="preserve">iotinylated anti-mouse IgG (in horse), </w:t>
      </w:r>
      <w:r w:rsidR="0034678B" w:rsidRPr="00700A64">
        <w:rPr>
          <w:rFonts w:ascii="Book Antiqua" w:hAnsi="Book Antiqua"/>
          <w:bCs/>
        </w:rPr>
        <w:t>dilu</w:t>
      </w:r>
      <w:r w:rsidR="001845B7" w:rsidRPr="00700A64">
        <w:rPr>
          <w:rFonts w:ascii="Book Antiqua" w:hAnsi="Book Antiqua"/>
          <w:bCs/>
        </w:rPr>
        <w:t xml:space="preserve">ted </w:t>
      </w:r>
      <w:r w:rsidRPr="00700A64">
        <w:rPr>
          <w:rFonts w:ascii="Book Antiqua" w:hAnsi="Book Antiqua"/>
          <w:bCs/>
        </w:rPr>
        <w:t xml:space="preserve">1:150 (Vector Laboratories, Burlingame, CA, </w:t>
      </w:r>
      <w:r w:rsidR="00DD372D">
        <w:rPr>
          <w:rFonts w:ascii="Book Antiqua" w:hAnsi="Book Antiqua" w:hint="eastAsia"/>
          <w:lang w:eastAsia="zh-CN"/>
        </w:rPr>
        <w:t>United States</w:t>
      </w:r>
      <w:r w:rsidRPr="00700A64">
        <w:rPr>
          <w:rFonts w:ascii="Book Antiqua" w:hAnsi="Book Antiqua"/>
          <w:bCs/>
        </w:rPr>
        <w:t xml:space="preserve">), and </w:t>
      </w:r>
      <w:r w:rsidR="001845B7" w:rsidRPr="00700A64">
        <w:rPr>
          <w:rFonts w:ascii="Book Antiqua" w:hAnsi="Book Antiqua"/>
          <w:bCs/>
        </w:rPr>
        <w:t xml:space="preserve">a </w:t>
      </w:r>
      <w:r w:rsidRPr="00700A64">
        <w:rPr>
          <w:rFonts w:ascii="Book Antiqua" w:hAnsi="Book Antiqua"/>
          <w:bCs/>
        </w:rPr>
        <w:t>positive reaction was visualized after the incubation with Streptavidin</w:t>
      </w:r>
      <w:r w:rsidR="006E3C5E" w:rsidRPr="00700A64">
        <w:rPr>
          <w:rFonts w:ascii="Book Antiqua" w:hAnsi="Book Antiqua"/>
          <w:bCs/>
        </w:rPr>
        <w:t>-</w:t>
      </w:r>
      <w:r w:rsidRPr="00700A64">
        <w:rPr>
          <w:rFonts w:ascii="Book Antiqua" w:hAnsi="Book Antiqua"/>
          <w:bCs/>
        </w:rPr>
        <w:t>Alexa blue 350 (Invitrogen, by Life Technologies)</w:t>
      </w:r>
      <w:r w:rsidR="001845B7" w:rsidRPr="00700A64">
        <w:rPr>
          <w:rFonts w:ascii="Book Antiqua" w:hAnsi="Book Antiqua"/>
          <w:bCs/>
        </w:rPr>
        <w:t>,</w:t>
      </w:r>
      <w:r w:rsidRPr="00700A64">
        <w:rPr>
          <w:rFonts w:ascii="Book Antiqua" w:hAnsi="Book Antiqua"/>
          <w:bCs/>
        </w:rPr>
        <w:t xml:space="preserve"> dilut</w:t>
      </w:r>
      <w:r w:rsidR="001845B7" w:rsidRPr="00700A64">
        <w:rPr>
          <w:rFonts w:ascii="Book Antiqua" w:hAnsi="Book Antiqua"/>
          <w:bCs/>
        </w:rPr>
        <w:t>ed</w:t>
      </w:r>
      <w:r w:rsidRPr="00700A64">
        <w:rPr>
          <w:rFonts w:ascii="Book Antiqua" w:hAnsi="Book Antiqua"/>
          <w:bCs/>
        </w:rPr>
        <w:t xml:space="preserve"> 1:100</w:t>
      </w:r>
      <w:r w:rsidR="001845B7" w:rsidRPr="00700A64">
        <w:rPr>
          <w:rFonts w:ascii="Book Antiqua" w:hAnsi="Book Antiqua"/>
          <w:bCs/>
        </w:rPr>
        <w:t>,</w:t>
      </w:r>
      <w:r w:rsidRPr="00700A64">
        <w:rPr>
          <w:rFonts w:ascii="Book Antiqua" w:hAnsi="Book Antiqua"/>
          <w:bCs/>
        </w:rPr>
        <w:t xml:space="preserve"> for </w:t>
      </w:r>
      <w:r w:rsidR="00144DFD" w:rsidRPr="00700A64">
        <w:rPr>
          <w:rFonts w:ascii="Book Antiqua" w:hAnsi="Book Antiqua"/>
          <w:bCs/>
        </w:rPr>
        <w:t>1 h</w:t>
      </w:r>
      <w:r w:rsidR="00DD372D">
        <w:rPr>
          <w:rFonts w:ascii="Book Antiqua" w:hAnsi="Book Antiqua" w:hint="eastAsia"/>
          <w:bCs/>
          <w:lang w:eastAsia="zh-CN"/>
        </w:rPr>
        <w:t xml:space="preserve"> </w:t>
      </w:r>
      <w:r w:rsidRPr="00700A64">
        <w:rPr>
          <w:rFonts w:ascii="Book Antiqua" w:hAnsi="Book Antiqua"/>
          <w:bCs/>
        </w:rPr>
        <w:t>at room t</w:t>
      </w:r>
      <w:r w:rsidRPr="00700A64">
        <w:rPr>
          <w:rFonts w:ascii="Book Antiqua" w:hAnsi="Book Antiqua"/>
          <w:bCs/>
        </w:rPr>
        <w:sym w:font="Symbol" w:char="F0B0"/>
      </w:r>
      <w:r w:rsidRPr="00700A64">
        <w:rPr>
          <w:rFonts w:ascii="Book Antiqua" w:hAnsi="Book Antiqua"/>
          <w:bCs/>
        </w:rPr>
        <w:t>. After that</w:t>
      </w:r>
      <w:r w:rsidR="00EF4065" w:rsidRPr="00700A64">
        <w:rPr>
          <w:rFonts w:ascii="Book Antiqua" w:hAnsi="Book Antiqua"/>
          <w:bCs/>
        </w:rPr>
        <w:t>,</w:t>
      </w:r>
      <w:r w:rsidRPr="00700A64">
        <w:rPr>
          <w:rFonts w:ascii="Book Antiqua" w:hAnsi="Book Antiqua"/>
          <w:bCs/>
        </w:rPr>
        <w:t xml:space="preserve"> the slides were double</w:t>
      </w:r>
      <w:r w:rsidR="001845B7" w:rsidRPr="00700A64">
        <w:rPr>
          <w:rFonts w:ascii="Book Antiqua" w:hAnsi="Book Antiqua"/>
          <w:bCs/>
        </w:rPr>
        <w:t>-</w:t>
      </w:r>
      <w:r w:rsidRPr="00700A64">
        <w:rPr>
          <w:rFonts w:ascii="Book Antiqua" w:hAnsi="Book Antiqua"/>
          <w:bCs/>
        </w:rPr>
        <w:t xml:space="preserve">stained with </w:t>
      </w:r>
      <w:r w:rsidR="001845B7" w:rsidRPr="00700A64">
        <w:rPr>
          <w:rFonts w:ascii="Book Antiqua" w:hAnsi="Book Antiqua"/>
          <w:bCs/>
        </w:rPr>
        <w:t>a</w:t>
      </w:r>
      <w:r w:rsidRPr="00700A64">
        <w:rPr>
          <w:rFonts w:ascii="Book Antiqua" w:hAnsi="Book Antiqua"/>
          <w:bCs/>
        </w:rPr>
        <w:t>nti</w:t>
      </w:r>
      <w:r w:rsidRPr="00700A64">
        <w:rPr>
          <w:rFonts w:ascii="Book Antiqua" w:hAnsi="Book Antiqua"/>
          <w:b/>
          <w:bCs/>
        </w:rPr>
        <w:t>-</w:t>
      </w:r>
      <w:r w:rsidRPr="00700A64">
        <w:rPr>
          <w:rFonts w:ascii="Book Antiqua" w:hAnsi="Book Antiqua"/>
          <w:bCs/>
        </w:rPr>
        <w:t>CD103 (Integrin αE (N-19):</w:t>
      </w:r>
      <w:r w:rsidRPr="00700A64">
        <w:rPr>
          <w:rFonts w:ascii="Book Antiqua" w:hAnsi="Book Antiqua"/>
          <w:b/>
          <w:bCs/>
        </w:rPr>
        <w:t xml:space="preserve"> </w:t>
      </w:r>
      <w:r w:rsidRPr="00700A64">
        <w:rPr>
          <w:rFonts w:ascii="Book Antiqua" w:hAnsi="Book Antiqua"/>
          <w:bCs/>
        </w:rPr>
        <w:t xml:space="preserve">sc-6606, Santa Cruz </w:t>
      </w:r>
      <w:r w:rsidR="00EF4065" w:rsidRPr="00700A64">
        <w:rPr>
          <w:rFonts w:ascii="Book Antiqua" w:hAnsi="Book Antiqua"/>
          <w:bCs/>
        </w:rPr>
        <w:t>Biotechnology)</w:t>
      </w:r>
      <w:r w:rsidRPr="00700A64">
        <w:rPr>
          <w:rFonts w:ascii="Book Antiqua" w:hAnsi="Book Antiqua"/>
          <w:bCs/>
        </w:rPr>
        <w:t xml:space="preserve"> polyclonal goat-anti-human </w:t>
      </w:r>
      <w:r w:rsidR="00EF4065" w:rsidRPr="00700A64">
        <w:rPr>
          <w:rFonts w:ascii="Book Antiqua" w:hAnsi="Book Antiqua"/>
          <w:bCs/>
        </w:rPr>
        <w:t xml:space="preserve">antibody, </w:t>
      </w:r>
      <w:r w:rsidRPr="00700A64">
        <w:rPr>
          <w:rFonts w:ascii="Book Antiqua" w:hAnsi="Book Antiqua"/>
          <w:bCs/>
        </w:rPr>
        <w:t>dilut</w:t>
      </w:r>
      <w:r w:rsidR="00EF4065" w:rsidRPr="00700A64">
        <w:rPr>
          <w:rFonts w:ascii="Book Antiqua" w:hAnsi="Book Antiqua"/>
          <w:bCs/>
        </w:rPr>
        <w:t>ed</w:t>
      </w:r>
      <w:r w:rsidR="00DD372D">
        <w:rPr>
          <w:rFonts w:ascii="Book Antiqua" w:hAnsi="Book Antiqua"/>
          <w:bCs/>
        </w:rPr>
        <w:t xml:space="preserve"> 1:50, overnight at </w:t>
      </w:r>
      <w:r w:rsidRPr="00700A64">
        <w:rPr>
          <w:rFonts w:ascii="Book Antiqua" w:hAnsi="Book Antiqua"/>
          <w:bCs/>
        </w:rPr>
        <w:t>4</w:t>
      </w:r>
      <w:r w:rsidR="00F52677" w:rsidRPr="00700A64">
        <w:rPr>
          <w:rFonts w:ascii="Book Antiqua" w:hAnsi="Book Antiqua"/>
          <w:bCs/>
        </w:rPr>
        <w:t xml:space="preserve"> </w:t>
      </w:r>
      <w:r w:rsidRPr="00700A64">
        <w:rPr>
          <w:rFonts w:ascii="Book Antiqua" w:hAnsi="Book Antiqua"/>
          <w:bCs/>
        </w:rPr>
        <w:sym w:font="Symbol" w:char="00B0"/>
      </w:r>
      <w:r w:rsidRPr="00700A64">
        <w:rPr>
          <w:rFonts w:ascii="Book Antiqua" w:hAnsi="Book Antiqua"/>
          <w:bCs/>
        </w:rPr>
        <w:t>C</w:t>
      </w:r>
      <w:r w:rsidR="00EF4065" w:rsidRPr="00700A64">
        <w:rPr>
          <w:rFonts w:ascii="Book Antiqua" w:hAnsi="Book Antiqua"/>
          <w:bCs/>
        </w:rPr>
        <w:t>,</w:t>
      </w:r>
      <w:r w:rsidRPr="00700A64">
        <w:rPr>
          <w:rFonts w:ascii="Book Antiqua" w:hAnsi="Book Antiqua"/>
          <w:bCs/>
        </w:rPr>
        <w:t xml:space="preserve"> followed by incubation with </w:t>
      </w:r>
      <w:r w:rsidR="00125C80" w:rsidRPr="00700A64">
        <w:rPr>
          <w:rFonts w:ascii="Book Antiqua" w:hAnsi="Book Antiqua"/>
          <w:bCs/>
        </w:rPr>
        <w:t>d</w:t>
      </w:r>
      <w:r w:rsidRPr="00700A64">
        <w:rPr>
          <w:rFonts w:ascii="Book Antiqua" w:hAnsi="Book Antiqua"/>
          <w:bCs/>
        </w:rPr>
        <w:t>onkey-anti-</w:t>
      </w:r>
      <w:r w:rsidR="00125C80" w:rsidRPr="00700A64">
        <w:rPr>
          <w:rFonts w:ascii="Book Antiqua" w:hAnsi="Book Antiqua"/>
          <w:bCs/>
        </w:rPr>
        <w:t>g</w:t>
      </w:r>
      <w:r w:rsidRPr="00700A64">
        <w:rPr>
          <w:rFonts w:ascii="Book Antiqua" w:hAnsi="Book Antiqua"/>
          <w:bCs/>
        </w:rPr>
        <w:t>oat-Alexa 488 (Invitrogen, by Life Technologies)</w:t>
      </w:r>
      <w:r w:rsidR="00EF4065" w:rsidRPr="00700A64">
        <w:rPr>
          <w:rFonts w:ascii="Book Antiqua" w:hAnsi="Book Antiqua"/>
          <w:bCs/>
        </w:rPr>
        <w:t>,</w:t>
      </w:r>
      <w:r w:rsidRPr="00700A64">
        <w:rPr>
          <w:rFonts w:ascii="Book Antiqua" w:hAnsi="Book Antiqua"/>
          <w:bCs/>
        </w:rPr>
        <w:t xml:space="preserve"> dilut</w:t>
      </w:r>
      <w:r w:rsidR="00EF4065" w:rsidRPr="00700A64">
        <w:rPr>
          <w:rFonts w:ascii="Book Antiqua" w:hAnsi="Book Antiqua"/>
          <w:bCs/>
        </w:rPr>
        <w:t>ed</w:t>
      </w:r>
      <w:r w:rsidRPr="00700A64">
        <w:rPr>
          <w:rFonts w:ascii="Book Antiqua" w:hAnsi="Book Antiqua"/>
          <w:bCs/>
        </w:rPr>
        <w:t xml:space="preserve"> 1:100</w:t>
      </w:r>
      <w:r w:rsidR="00EF4065" w:rsidRPr="00700A64">
        <w:rPr>
          <w:rFonts w:ascii="Book Antiqua" w:hAnsi="Book Antiqua"/>
          <w:bCs/>
        </w:rPr>
        <w:t xml:space="preserve"> and</w:t>
      </w:r>
      <w:r w:rsidRPr="00700A64">
        <w:rPr>
          <w:rFonts w:ascii="Book Antiqua" w:hAnsi="Book Antiqua"/>
          <w:bCs/>
        </w:rPr>
        <w:t xml:space="preserve"> </w:t>
      </w:r>
      <w:r w:rsidR="00EF4065" w:rsidRPr="00700A64">
        <w:rPr>
          <w:rFonts w:ascii="Book Antiqua" w:hAnsi="Book Antiqua"/>
          <w:bCs/>
        </w:rPr>
        <w:t xml:space="preserve">incubated </w:t>
      </w:r>
      <w:r w:rsidRPr="00700A64">
        <w:rPr>
          <w:rFonts w:ascii="Book Antiqua" w:hAnsi="Book Antiqua"/>
        </w:rPr>
        <w:t>for one hour at room t˚</w:t>
      </w:r>
      <w:r w:rsidR="00EF4065" w:rsidRPr="00700A64">
        <w:rPr>
          <w:rFonts w:ascii="Book Antiqua" w:hAnsi="Book Antiqua"/>
        </w:rPr>
        <w:t xml:space="preserve">, </w:t>
      </w:r>
      <w:r w:rsidRPr="00700A64">
        <w:rPr>
          <w:rFonts w:ascii="Book Antiqua" w:hAnsi="Book Antiqua"/>
        </w:rPr>
        <w:t xml:space="preserve">as the </w:t>
      </w:r>
      <w:r w:rsidRPr="00700A64">
        <w:rPr>
          <w:rFonts w:ascii="Book Antiqua" w:hAnsi="Book Antiqua"/>
          <w:bCs/>
        </w:rPr>
        <w:t xml:space="preserve">secondary </w:t>
      </w:r>
      <w:r w:rsidR="00EF4065" w:rsidRPr="00700A64">
        <w:rPr>
          <w:rFonts w:ascii="Book Antiqua" w:hAnsi="Book Antiqua"/>
          <w:bCs/>
        </w:rPr>
        <w:t>antibody</w:t>
      </w:r>
      <w:r w:rsidRPr="00700A64">
        <w:rPr>
          <w:rFonts w:ascii="Book Antiqua" w:hAnsi="Book Antiqua"/>
          <w:bCs/>
        </w:rPr>
        <w:t>.</w:t>
      </w:r>
    </w:p>
    <w:p w:rsidR="00696842" w:rsidRPr="00700A64" w:rsidRDefault="00EF4065"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bCs/>
        </w:rPr>
        <w:lastRenderedPageBreak/>
        <w:t>C</w:t>
      </w:r>
      <w:r w:rsidR="00696842" w:rsidRPr="00700A64">
        <w:rPr>
          <w:rFonts w:ascii="Book Antiqua" w:hAnsi="Book Antiqua"/>
          <w:bCs/>
        </w:rPr>
        <w:t>ryostat sections cut from the same frozen biopsies were incubated in parallel with anti-CD11c</w:t>
      </w:r>
      <w:r w:rsidR="00696842" w:rsidRPr="00700A64">
        <w:rPr>
          <w:rFonts w:ascii="Book Antiqua" w:hAnsi="Book Antiqua"/>
          <w:b/>
          <w:bCs/>
        </w:rPr>
        <w:t xml:space="preserve"> </w:t>
      </w:r>
      <w:r w:rsidR="00696842" w:rsidRPr="00700A64">
        <w:rPr>
          <w:rFonts w:ascii="Book Antiqua" w:hAnsi="Book Antiqua"/>
          <w:bCs/>
        </w:rPr>
        <w:t>(Integrin al</w:t>
      </w:r>
      <w:r w:rsidRPr="00700A64">
        <w:rPr>
          <w:rFonts w:ascii="Book Antiqua" w:hAnsi="Book Antiqua"/>
          <w:bCs/>
        </w:rPr>
        <w:t>ph</w:t>
      </w:r>
      <w:r w:rsidR="00696842" w:rsidRPr="00700A64">
        <w:rPr>
          <w:rFonts w:ascii="Book Antiqua" w:hAnsi="Book Antiqua"/>
          <w:bCs/>
        </w:rPr>
        <w:t>a X(H-68): sc-28663</w:t>
      </w:r>
      <w:r w:rsidR="00EC4AE5" w:rsidRPr="00700A64">
        <w:rPr>
          <w:rFonts w:ascii="Book Antiqua" w:hAnsi="Book Antiqua"/>
          <w:bCs/>
        </w:rPr>
        <w:t>,</w:t>
      </w:r>
      <w:r w:rsidR="00696842" w:rsidRPr="00700A64">
        <w:rPr>
          <w:rFonts w:ascii="Book Antiqua" w:hAnsi="Book Antiqua"/>
          <w:bCs/>
        </w:rPr>
        <w:t xml:space="preserve"> Santa Cruz </w:t>
      </w:r>
      <w:r w:rsidR="00EC4AE5" w:rsidRPr="00700A64">
        <w:rPr>
          <w:rFonts w:ascii="Book Antiqua" w:hAnsi="Book Antiqua"/>
          <w:bCs/>
        </w:rPr>
        <w:t>B</w:t>
      </w:r>
      <w:r w:rsidR="00696842" w:rsidRPr="00700A64">
        <w:rPr>
          <w:rFonts w:ascii="Book Antiqua" w:hAnsi="Book Antiqua"/>
          <w:bCs/>
        </w:rPr>
        <w:t>iotechnology</w:t>
      </w:r>
      <w:r w:rsidRPr="00700A64">
        <w:rPr>
          <w:rFonts w:ascii="Book Antiqua" w:hAnsi="Book Antiqua"/>
          <w:bCs/>
        </w:rPr>
        <w:t xml:space="preserve">) and </w:t>
      </w:r>
      <w:r w:rsidR="00696842" w:rsidRPr="00700A64">
        <w:rPr>
          <w:rFonts w:ascii="Book Antiqua" w:hAnsi="Book Antiqua"/>
          <w:bCs/>
        </w:rPr>
        <w:t>polyclonal rabbit-anti-human (</w:t>
      </w:r>
      <w:r w:rsidRPr="00700A64">
        <w:rPr>
          <w:rFonts w:ascii="Book Antiqua" w:hAnsi="Book Antiqua"/>
          <w:bCs/>
        </w:rPr>
        <w:t xml:space="preserve">diluted </w:t>
      </w:r>
      <w:r w:rsidR="00696842" w:rsidRPr="00700A64">
        <w:rPr>
          <w:rFonts w:ascii="Book Antiqua" w:hAnsi="Book Antiqua"/>
          <w:bCs/>
        </w:rPr>
        <w:t>1:50</w:t>
      </w:r>
      <w:r w:rsidRPr="00700A64">
        <w:rPr>
          <w:rFonts w:ascii="Book Antiqua" w:hAnsi="Book Antiqua"/>
          <w:bCs/>
        </w:rPr>
        <w:t xml:space="preserve"> and incubated </w:t>
      </w:r>
      <w:r w:rsidR="00696842" w:rsidRPr="00700A64">
        <w:rPr>
          <w:rFonts w:ascii="Book Antiqua" w:hAnsi="Book Antiqua"/>
          <w:bCs/>
        </w:rPr>
        <w:t>overnight at 4</w:t>
      </w:r>
      <w:r w:rsidR="00EC4AE5" w:rsidRPr="00700A64">
        <w:rPr>
          <w:rFonts w:ascii="Book Antiqua" w:hAnsi="Book Antiqua"/>
          <w:bCs/>
        </w:rPr>
        <w:t xml:space="preserve"> </w:t>
      </w:r>
      <w:r w:rsidR="00696842" w:rsidRPr="00700A64">
        <w:rPr>
          <w:rFonts w:ascii="Book Antiqua" w:hAnsi="Book Antiqua"/>
          <w:bCs/>
        </w:rPr>
        <w:sym w:font="Symbol" w:char="00B0"/>
      </w:r>
      <w:r w:rsidRPr="00700A64">
        <w:rPr>
          <w:rFonts w:ascii="Book Antiqua" w:hAnsi="Book Antiqua"/>
          <w:bCs/>
        </w:rPr>
        <w:t>C</w:t>
      </w:r>
      <w:r w:rsidR="00696842" w:rsidRPr="00700A64">
        <w:rPr>
          <w:rFonts w:ascii="Book Antiqua" w:hAnsi="Book Antiqua"/>
          <w:bCs/>
        </w:rPr>
        <w:t>)</w:t>
      </w:r>
      <w:r w:rsidRPr="00700A64">
        <w:rPr>
          <w:rFonts w:ascii="Book Antiqua" w:hAnsi="Book Antiqua"/>
          <w:bCs/>
        </w:rPr>
        <w:t xml:space="preserve">, </w:t>
      </w:r>
      <w:r w:rsidR="00696842" w:rsidRPr="00700A64">
        <w:rPr>
          <w:rFonts w:ascii="Book Antiqua" w:hAnsi="Book Antiqua"/>
          <w:bCs/>
        </w:rPr>
        <w:t xml:space="preserve">followed by incubation with </w:t>
      </w:r>
      <w:r w:rsidR="00696842" w:rsidRPr="00700A64">
        <w:rPr>
          <w:rFonts w:ascii="Book Antiqua" w:hAnsi="Book Antiqua"/>
        </w:rPr>
        <w:t xml:space="preserve">anti-rabbit IgG (whole molecule) conjugated with </w:t>
      </w:r>
      <w:r w:rsidRPr="00700A64">
        <w:rPr>
          <w:rFonts w:ascii="Book Antiqua" w:hAnsi="Book Antiqua"/>
        </w:rPr>
        <w:t xml:space="preserve">a </w:t>
      </w:r>
      <w:r w:rsidR="00696842" w:rsidRPr="00700A64">
        <w:rPr>
          <w:rFonts w:ascii="Book Antiqua" w:hAnsi="Book Antiqua"/>
        </w:rPr>
        <w:t xml:space="preserve">Cy3 (Fab’) fragment sheep antibody (SIGMA-Aldrich, </w:t>
      </w:r>
      <w:r w:rsidR="006D5CD5">
        <w:rPr>
          <w:rFonts w:ascii="Book Antiqua" w:hAnsi="Book Antiqua" w:hint="eastAsia"/>
          <w:lang w:eastAsia="zh-CN"/>
        </w:rPr>
        <w:t>United States</w:t>
      </w:r>
      <w:r w:rsidR="00696842" w:rsidRPr="00700A64">
        <w:rPr>
          <w:rFonts w:ascii="Book Antiqua" w:hAnsi="Book Antiqua"/>
        </w:rPr>
        <w:t>), dilut</w:t>
      </w:r>
      <w:r w:rsidR="003B013B" w:rsidRPr="00700A64">
        <w:rPr>
          <w:rFonts w:ascii="Book Antiqua" w:hAnsi="Book Antiqua"/>
        </w:rPr>
        <w:t xml:space="preserve">ed </w:t>
      </w:r>
      <w:r w:rsidR="00696842" w:rsidRPr="00700A64">
        <w:rPr>
          <w:rFonts w:ascii="Book Antiqua" w:hAnsi="Book Antiqua"/>
        </w:rPr>
        <w:t xml:space="preserve">1:100 </w:t>
      </w:r>
      <w:r w:rsidR="003B013B" w:rsidRPr="00700A64">
        <w:rPr>
          <w:rFonts w:ascii="Book Antiqua" w:hAnsi="Book Antiqua"/>
        </w:rPr>
        <w:t xml:space="preserve">and </w:t>
      </w:r>
      <w:r w:rsidR="00696842" w:rsidRPr="00700A64">
        <w:rPr>
          <w:rFonts w:ascii="Book Antiqua" w:hAnsi="Book Antiqua"/>
        </w:rPr>
        <w:t>incubat</w:t>
      </w:r>
      <w:r w:rsidR="003B013B" w:rsidRPr="00700A64">
        <w:rPr>
          <w:rFonts w:ascii="Book Antiqua" w:hAnsi="Book Antiqua"/>
        </w:rPr>
        <w:t>ed</w:t>
      </w:r>
      <w:r w:rsidR="00696842" w:rsidRPr="00700A64">
        <w:rPr>
          <w:rFonts w:ascii="Book Antiqua" w:hAnsi="Book Antiqua"/>
        </w:rPr>
        <w:t xml:space="preserve"> for one hour at room t˚. After washing in TRIS buffer</w:t>
      </w:r>
      <w:r w:rsidR="003B013B" w:rsidRPr="00700A64">
        <w:rPr>
          <w:rFonts w:ascii="Book Antiqua" w:hAnsi="Book Antiqua"/>
        </w:rPr>
        <w:t>,</w:t>
      </w:r>
      <w:r w:rsidR="00696842" w:rsidRPr="00700A64">
        <w:rPr>
          <w:rFonts w:ascii="Book Antiqua" w:hAnsi="Book Antiqua"/>
        </w:rPr>
        <w:t xml:space="preserve"> the slides were </w:t>
      </w:r>
      <w:r w:rsidR="003B013B" w:rsidRPr="00700A64">
        <w:rPr>
          <w:rFonts w:ascii="Book Antiqua" w:hAnsi="Book Antiqua"/>
        </w:rPr>
        <w:t>double-</w:t>
      </w:r>
      <w:r w:rsidR="00696842" w:rsidRPr="00700A64">
        <w:rPr>
          <w:rFonts w:ascii="Book Antiqua" w:hAnsi="Book Antiqua"/>
        </w:rPr>
        <w:t>stained with a</w:t>
      </w:r>
      <w:r w:rsidR="00696842" w:rsidRPr="00700A64">
        <w:rPr>
          <w:rFonts w:ascii="Book Antiqua" w:hAnsi="Book Antiqua"/>
          <w:bCs/>
        </w:rPr>
        <w:t xml:space="preserve">nti-CD103 (Integrin αE (N-19): sc-6606. Santa Cruz </w:t>
      </w:r>
      <w:r w:rsidR="003B013B" w:rsidRPr="00700A64">
        <w:rPr>
          <w:rFonts w:ascii="Book Antiqua" w:hAnsi="Book Antiqua"/>
          <w:bCs/>
        </w:rPr>
        <w:t xml:space="preserve">Biotechnology) </w:t>
      </w:r>
      <w:r w:rsidR="00696842" w:rsidRPr="00700A64">
        <w:rPr>
          <w:rFonts w:ascii="Book Antiqua" w:hAnsi="Book Antiqua"/>
          <w:bCs/>
        </w:rPr>
        <w:t>polyclonal goat-anti-human (dilut</w:t>
      </w:r>
      <w:r w:rsidR="003B013B" w:rsidRPr="00700A64">
        <w:rPr>
          <w:rFonts w:ascii="Book Antiqua" w:hAnsi="Book Antiqua"/>
          <w:bCs/>
        </w:rPr>
        <w:t>ed</w:t>
      </w:r>
      <w:r w:rsidR="00696842" w:rsidRPr="00700A64">
        <w:rPr>
          <w:rFonts w:ascii="Book Antiqua" w:hAnsi="Book Antiqua"/>
          <w:bCs/>
        </w:rPr>
        <w:t xml:space="preserve"> 1:50</w:t>
      </w:r>
      <w:r w:rsidR="003B013B" w:rsidRPr="00700A64">
        <w:rPr>
          <w:rFonts w:ascii="Book Antiqua" w:hAnsi="Book Antiqua"/>
          <w:bCs/>
        </w:rPr>
        <w:t xml:space="preserve"> and</w:t>
      </w:r>
      <w:r w:rsidR="00696842" w:rsidRPr="00700A64">
        <w:rPr>
          <w:rFonts w:ascii="Book Antiqua" w:hAnsi="Book Antiqua"/>
          <w:bCs/>
        </w:rPr>
        <w:t xml:space="preserve"> </w:t>
      </w:r>
      <w:r w:rsidR="003B013B" w:rsidRPr="00700A64">
        <w:rPr>
          <w:rFonts w:ascii="Book Antiqua" w:hAnsi="Book Antiqua"/>
          <w:bCs/>
        </w:rPr>
        <w:t xml:space="preserve">incubated </w:t>
      </w:r>
      <w:r w:rsidR="00EC1052">
        <w:rPr>
          <w:rFonts w:ascii="Book Antiqua" w:hAnsi="Book Antiqua"/>
          <w:bCs/>
        </w:rPr>
        <w:t xml:space="preserve">overnight at </w:t>
      </w:r>
      <w:r w:rsidR="00696842" w:rsidRPr="00700A64">
        <w:rPr>
          <w:rFonts w:ascii="Book Antiqua" w:hAnsi="Book Antiqua"/>
          <w:bCs/>
        </w:rPr>
        <w:t>4</w:t>
      </w:r>
      <w:r w:rsidR="00696842" w:rsidRPr="00700A64">
        <w:rPr>
          <w:rFonts w:ascii="Book Antiqua" w:hAnsi="Book Antiqua"/>
          <w:bCs/>
        </w:rPr>
        <w:sym w:font="Symbol" w:char="00B0"/>
      </w:r>
      <w:r w:rsidR="00696842" w:rsidRPr="00700A64">
        <w:rPr>
          <w:rFonts w:ascii="Book Antiqua" w:hAnsi="Book Antiqua"/>
          <w:bCs/>
        </w:rPr>
        <w:t>C)</w:t>
      </w:r>
      <w:r w:rsidR="003B013B" w:rsidRPr="00700A64">
        <w:rPr>
          <w:rFonts w:ascii="Book Antiqua" w:hAnsi="Book Antiqua"/>
          <w:bCs/>
        </w:rPr>
        <w:t>,</w:t>
      </w:r>
      <w:r w:rsidR="00696842" w:rsidRPr="00700A64">
        <w:rPr>
          <w:rFonts w:ascii="Book Antiqua" w:hAnsi="Book Antiqua"/>
          <w:bCs/>
        </w:rPr>
        <w:t xml:space="preserve"> followed by incubation with donkey-anti-</w:t>
      </w:r>
      <w:r w:rsidR="00125C80" w:rsidRPr="00700A64">
        <w:rPr>
          <w:rFonts w:ascii="Book Antiqua" w:hAnsi="Book Antiqua"/>
          <w:bCs/>
        </w:rPr>
        <w:t>g</w:t>
      </w:r>
      <w:r w:rsidR="00696842" w:rsidRPr="00700A64">
        <w:rPr>
          <w:rFonts w:ascii="Book Antiqua" w:hAnsi="Book Antiqua"/>
          <w:bCs/>
        </w:rPr>
        <w:t>oat-Alexa 488 (Invitrogen, by Life Technologies), dilut</w:t>
      </w:r>
      <w:r w:rsidR="003B013B" w:rsidRPr="00700A64">
        <w:rPr>
          <w:rFonts w:ascii="Book Antiqua" w:hAnsi="Book Antiqua"/>
          <w:bCs/>
        </w:rPr>
        <w:t>ed</w:t>
      </w:r>
      <w:r w:rsidR="00696842" w:rsidRPr="00700A64">
        <w:rPr>
          <w:rFonts w:ascii="Book Antiqua" w:hAnsi="Book Antiqua"/>
          <w:bCs/>
        </w:rPr>
        <w:t xml:space="preserve"> 1:100 </w:t>
      </w:r>
      <w:r w:rsidR="003B013B" w:rsidRPr="00700A64">
        <w:rPr>
          <w:rFonts w:ascii="Book Antiqua" w:hAnsi="Book Antiqua"/>
          <w:bCs/>
        </w:rPr>
        <w:t xml:space="preserve">and </w:t>
      </w:r>
      <w:r w:rsidR="00696842" w:rsidRPr="00700A64">
        <w:rPr>
          <w:rFonts w:ascii="Book Antiqua" w:hAnsi="Book Antiqua"/>
        </w:rPr>
        <w:t>incubat</w:t>
      </w:r>
      <w:r w:rsidR="003B013B" w:rsidRPr="00700A64">
        <w:rPr>
          <w:rFonts w:ascii="Book Antiqua" w:hAnsi="Book Antiqua"/>
        </w:rPr>
        <w:t>ed</w:t>
      </w:r>
      <w:r w:rsidR="00696842" w:rsidRPr="00700A64">
        <w:rPr>
          <w:rFonts w:ascii="Book Antiqua" w:hAnsi="Book Antiqua"/>
        </w:rPr>
        <w:t xml:space="preserve"> for one hour at room t˚, as the </w:t>
      </w:r>
      <w:r w:rsidR="00696842" w:rsidRPr="00700A64">
        <w:rPr>
          <w:rFonts w:ascii="Book Antiqua" w:hAnsi="Book Antiqua"/>
          <w:bCs/>
        </w:rPr>
        <w:t>secondary antibod</w:t>
      </w:r>
      <w:r w:rsidR="003B013B" w:rsidRPr="00700A64">
        <w:rPr>
          <w:rFonts w:ascii="Book Antiqua" w:hAnsi="Book Antiqua"/>
          <w:bCs/>
        </w:rPr>
        <w:t>y</w:t>
      </w:r>
      <w:r w:rsidR="00696842" w:rsidRPr="00700A64">
        <w:rPr>
          <w:rFonts w:ascii="Book Antiqua" w:hAnsi="Book Antiqua"/>
          <w:bCs/>
        </w:rPr>
        <w:t>.</w:t>
      </w:r>
    </w:p>
    <w:p w:rsidR="00696842" w:rsidRPr="00700A64" w:rsidRDefault="00696842" w:rsidP="00B90E53">
      <w:pPr>
        <w:adjustRightInd w:val="0"/>
        <w:snapToGrid w:val="0"/>
        <w:spacing w:line="360" w:lineRule="auto"/>
        <w:ind w:firstLineChars="100" w:firstLine="240"/>
        <w:jc w:val="both"/>
        <w:rPr>
          <w:rFonts w:ascii="Book Antiqua" w:hAnsi="Book Antiqua"/>
        </w:rPr>
      </w:pPr>
      <w:r w:rsidRPr="00700A64">
        <w:rPr>
          <w:rFonts w:ascii="Book Antiqua" w:hAnsi="Book Antiqua"/>
          <w:bCs/>
        </w:rPr>
        <w:t>A separate cryostat section from the same frozen biopsy specimen was incubated with anti-</w:t>
      </w:r>
      <w:r w:rsidRPr="00700A64">
        <w:rPr>
          <w:rFonts w:ascii="Book Antiqua" w:hAnsi="Book Antiqua"/>
        </w:rPr>
        <w:t>Langerin (CD207) (N-14) goat-anti-human polyclonal antibody (Santa Cruz Biotechnology), dilut</w:t>
      </w:r>
      <w:r w:rsidR="003B013B" w:rsidRPr="00700A64">
        <w:rPr>
          <w:rFonts w:ascii="Book Antiqua" w:hAnsi="Book Antiqua"/>
        </w:rPr>
        <w:t>ed</w:t>
      </w:r>
      <w:r w:rsidRPr="00700A64">
        <w:rPr>
          <w:rFonts w:ascii="Book Antiqua" w:hAnsi="Book Antiqua"/>
        </w:rPr>
        <w:t xml:space="preserve"> 1:50 </w:t>
      </w:r>
      <w:r w:rsidR="003B013B" w:rsidRPr="00700A64">
        <w:rPr>
          <w:rFonts w:ascii="Book Antiqua" w:hAnsi="Book Antiqua"/>
        </w:rPr>
        <w:t xml:space="preserve">and incubated </w:t>
      </w:r>
      <w:r w:rsidRPr="00700A64">
        <w:rPr>
          <w:rFonts w:ascii="Book Antiqua" w:hAnsi="Book Antiqua"/>
        </w:rPr>
        <w:t>o</w:t>
      </w:r>
      <w:r w:rsidR="00EC1052">
        <w:rPr>
          <w:rFonts w:ascii="Book Antiqua" w:hAnsi="Book Antiqua"/>
          <w:bCs/>
        </w:rPr>
        <w:t xml:space="preserve">vernight at </w:t>
      </w:r>
      <w:r w:rsidRPr="00700A64">
        <w:rPr>
          <w:rFonts w:ascii="Book Antiqua" w:hAnsi="Book Antiqua"/>
          <w:bCs/>
        </w:rPr>
        <w:t>4</w:t>
      </w:r>
      <w:r w:rsidR="00D52329" w:rsidRPr="00700A64">
        <w:rPr>
          <w:rFonts w:ascii="Book Antiqua" w:hAnsi="Book Antiqua"/>
          <w:bCs/>
        </w:rPr>
        <w:t xml:space="preserve"> </w:t>
      </w:r>
      <w:r w:rsidRPr="00700A64">
        <w:rPr>
          <w:rFonts w:ascii="Book Antiqua" w:hAnsi="Book Antiqua"/>
          <w:bCs/>
        </w:rPr>
        <w:sym w:font="Symbol" w:char="00B0"/>
      </w:r>
      <w:r w:rsidR="003B013B" w:rsidRPr="00700A64">
        <w:rPr>
          <w:rFonts w:ascii="Book Antiqua" w:hAnsi="Book Antiqua"/>
          <w:bCs/>
        </w:rPr>
        <w:t>C</w:t>
      </w:r>
      <w:r w:rsidRPr="00700A64">
        <w:rPr>
          <w:rFonts w:ascii="Book Antiqua" w:hAnsi="Book Antiqua"/>
          <w:bCs/>
        </w:rPr>
        <w:t xml:space="preserve">, </w:t>
      </w:r>
      <w:r w:rsidRPr="00700A64">
        <w:rPr>
          <w:rFonts w:ascii="Book Antiqua" w:hAnsi="Book Antiqua"/>
        </w:rPr>
        <w:t>followed</w:t>
      </w:r>
      <w:r w:rsidRPr="00700A64">
        <w:rPr>
          <w:rFonts w:ascii="Book Antiqua" w:hAnsi="Book Antiqua"/>
          <w:bCs/>
        </w:rPr>
        <w:t xml:space="preserve"> by incubation with donkey-anti-Goat-Alexa 488 (Invitrogen, by Life Technologies), dilut</w:t>
      </w:r>
      <w:r w:rsidR="003B013B" w:rsidRPr="00700A64">
        <w:rPr>
          <w:rFonts w:ascii="Book Antiqua" w:hAnsi="Book Antiqua"/>
          <w:bCs/>
        </w:rPr>
        <w:t>ed</w:t>
      </w:r>
      <w:r w:rsidRPr="00700A64">
        <w:rPr>
          <w:rFonts w:ascii="Book Antiqua" w:hAnsi="Book Antiqua"/>
          <w:bCs/>
        </w:rPr>
        <w:t xml:space="preserve"> 1:100 </w:t>
      </w:r>
      <w:r w:rsidR="003B013B" w:rsidRPr="00700A64">
        <w:rPr>
          <w:rFonts w:ascii="Book Antiqua" w:hAnsi="Book Antiqua"/>
          <w:bCs/>
        </w:rPr>
        <w:t xml:space="preserve">and </w:t>
      </w:r>
      <w:r w:rsidRPr="00700A64">
        <w:rPr>
          <w:rFonts w:ascii="Book Antiqua" w:hAnsi="Book Antiqua"/>
        </w:rPr>
        <w:t>incubat</w:t>
      </w:r>
      <w:r w:rsidR="003B013B" w:rsidRPr="00700A64">
        <w:rPr>
          <w:rFonts w:ascii="Book Antiqua" w:hAnsi="Book Antiqua"/>
        </w:rPr>
        <w:t>ed</w:t>
      </w:r>
      <w:r w:rsidRPr="00700A64">
        <w:rPr>
          <w:rFonts w:ascii="Book Antiqua" w:hAnsi="Book Antiqua"/>
        </w:rPr>
        <w:t xml:space="preserve"> for one hour at room t˚</w:t>
      </w:r>
      <w:r w:rsidR="003B013B" w:rsidRPr="00700A64">
        <w:rPr>
          <w:rFonts w:ascii="Book Antiqua" w:hAnsi="Book Antiqua"/>
        </w:rPr>
        <w:t xml:space="preserve">, </w:t>
      </w:r>
      <w:r w:rsidRPr="00700A64">
        <w:rPr>
          <w:rFonts w:ascii="Book Antiqua" w:hAnsi="Book Antiqua"/>
        </w:rPr>
        <w:t xml:space="preserve">as the </w:t>
      </w:r>
      <w:r w:rsidRPr="00700A64">
        <w:rPr>
          <w:rFonts w:ascii="Book Antiqua" w:hAnsi="Book Antiqua"/>
          <w:bCs/>
        </w:rPr>
        <w:t>secondary antibod</w:t>
      </w:r>
      <w:r w:rsidR="003B013B" w:rsidRPr="00700A64">
        <w:rPr>
          <w:rFonts w:ascii="Book Antiqua" w:hAnsi="Book Antiqua"/>
          <w:bCs/>
        </w:rPr>
        <w:t>y</w:t>
      </w:r>
      <w:r w:rsidRPr="00700A64">
        <w:rPr>
          <w:rFonts w:ascii="Book Antiqua" w:hAnsi="Book Antiqua"/>
          <w:bCs/>
        </w:rPr>
        <w:t xml:space="preserve">. </w:t>
      </w:r>
      <w:r w:rsidRPr="00700A64">
        <w:rPr>
          <w:rFonts w:ascii="Book Antiqua" w:hAnsi="Book Antiqua"/>
        </w:rPr>
        <w:t xml:space="preserve">After washing in TRIS buffer, the slides were mounted in TRIS-glycerol solution. </w:t>
      </w:r>
      <w:r w:rsidR="003B013B" w:rsidRPr="00700A64">
        <w:rPr>
          <w:rFonts w:ascii="Book Antiqua" w:hAnsi="Book Antiqua"/>
        </w:rPr>
        <w:t xml:space="preserve">The negative </w:t>
      </w:r>
      <w:r w:rsidRPr="00700A64">
        <w:rPr>
          <w:rFonts w:ascii="Book Antiqua" w:hAnsi="Book Antiqua"/>
        </w:rPr>
        <w:t>control was performed by omitting the primary antibody (incubation with TRIS buffer</w:t>
      </w:r>
      <w:r w:rsidR="003B013B" w:rsidRPr="00700A64">
        <w:rPr>
          <w:rFonts w:ascii="Book Antiqua" w:hAnsi="Book Antiqua"/>
        </w:rPr>
        <w:t xml:space="preserve"> alone</w:t>
      </w:r>
      <w:r w:rsidRPr="00700A64">
        <w:rPr>
          <w:rFonts w:ascii="Book Antiqua" w:hAnsi="Book Antiqua"/>
        </w:rPr>
        <w:t xml:space="preserve">).  </w:t>
      </w:r>
    </w:p>
    <w:p w:rsidR="00696842" w:rsidRPr="00700A64" w:rsidRDefault="00696842"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The paraffin sections were microscopically examined using </w:t>
      </w:r>
      <w:r w:rsidR="003B013B" w:rsidRPr="00700A64">
        <w:rPr>
          <w:rFonts w:ascii="Book Antiqua" w:hAnsi="Book Antiqua"/>
        </w:rPr>
        <w:t xml:space="preserve"> a 40</w:t>
      </w:r>
      <w:r w:rsidR="00EC1052">
        <w:rPr>
          <w:rFonts w:ascii="Book Antiqua" w:hAnsi="Book Antiqua" w:hint="eastAsia"/>
          <w:lang w:eastAsia="zh-CN"/>
        </w:rPr>
        <w:t xml:space="preserve"> </w:t>
      </w:r>
      <w:r w:rsidR="003B013B" w:rsidRPr="00700A64">
        <w:rPr>
          <w:rFonts w:ascii="Book Antiqua" w:hAnsi="Book Antiqua"/>
        </w:rPr>
        <w:t>x objective</w:t>
      </w:r>
      <w:r w:rsidRPr="00700A64">
        <w:rPr>
          <w:rFonts w:ascii="Book Antiqua" w:hAnsi="Book Antiqua"/>
        </w:rPr>
        <w:t xml:space="preserve"> and </w:t>
      </w:r>
      <w:r w:rsidR="00EC4AE5" w:rsidRPr="00700A64">
        <w:rPr>
          <w:rFonts w:ascii="Book Antiqua" w:hAnsi="Book Antiqua"/>
        </w:rPr>
        <w:t xml:space="preserve">a </w:t>
      </w:r>
      <w:r w:rsidR="003B013B" w:rsidRPr="00700A64">
        <w:rPr>
          <w:rFonts w:ascii="Book Antiqua" w:hAnsi="Book Antiqua"/>
        </w:rPr>
        <w:t>10x eyepiece</w:t>
      </w:r>
      <w:r w:rsidRPr="00700A64">
        <w:rPr>
          <w:rFonts w:ascii="Book Antiqua" w:hAnsi="Book Antiqua"/>
        </w:rPr>
        <w:t xml:space="preserve"> in a Zeiss KF 2 transmitted light microscope (Carl Zeiss</w:t>
      </w:r>
      <w:r w:rsidR="003B013B" w:rsidRPr="00700A64">
        <w:rPr>
          <w:rFonts w:ascii="Book Antiqua" w:hAnsi="Book Antiqua"/>
        </w:rPr>
        <w:t xml:space="preserve">, </w:t>
      </w:r>
      <w:r w:rsidRPr="00700A64">
        <w:rPr>
          <w:rFonts w:ascii="Book Antiqua" w:hAnsi="Book Antiqua"/>
        </w:rPr>
        <w:t>Jena</w:t>
      </w:r>
      <w:r w:rsidR="003B013B" w:rsidRPr="00700A64">
        <w:rPr>
          <w:rFonts w:ascii="Book Antiqua" w:hAnsi="Book Antiqua"/>
        </w:rPr>
        <w:t>,</w:t>
      </w:r>
      <w:r w:rsidRPr="00700A64">
        <w:rPr>
          <w:rFonts w:ascii="Book Antiqua" w:hAnsi="Book Antiqua"/>
        </w:rPr>
        <w:t xml:space="preserve"> Germany). The cryosections were examined under an immunofluorescence microscope</w:t>
      </w:r>
      <w:r w:rsidR="003B013B" w:rsidRPr="00700A64">
        <w:rPr>
          <w:rFonts w:ascii="Book Antiqua" w:hAnsi="Book Antiqua"/>
        </w:rPr>
        <w:t xml:space="preserve"> </w:t>
      </w:r>
      <w:r w:rsidRPr="00700A64">
        <w:rPr>
          <w:rFonts w:ascii="Book Antiqua" w:hAnsi="Book Antiqua"/>
        </w:rPr>
        <w:t>(</w:t>
      </w:r>
      <w:r w:rsidR="003B013B" w:rsidRPr="00700A64">
        <w:rPr>
          <w:rFonts w:ascii="Book Antiqua" w:hAnsi="Book Antiqua"/>
        </w:rPr>
        <w:t xml:space="preserve">Olympus BX50, </w:t>
      </w:r>
      <w:r w:rsidRPr="00700A64">
        <w:rPr>
          <w:rFonts w:ascii="Book Antiqua" w:hAnsi="Book Antiqua"/>
        </w:rPr>
        <w:t xml:space="preserve">Japan) using objectives with </w:t>
      </w:r>
      <w:r w:rsidR="003B013B" w:rsidRPr="00700A64">
        <w:rPr>
          <w:rFonts w:ascii="Book Antiqua" w:hAnsi="Book Antiqua"/>
        </w:rPr>
        <w:t xml:space="preserve">40x </w:t>
      </w:r>
      <w:r w:rsidRPr="00700A64">
        <w:rPr>
          <w:rFonts w:ascii="Book Antiqua" w:hAnsi="Book Antiqua"/>
        </w:rPr>
        <w:t xml:space="preserve">magnification and an eyepiece with </w:t>
      </w:r>
      <w:r w:rsidR="003B013B" w:rsidRPr="00700A64">
        <w:rPr>
          <w:rFonts w:ascii="Book Antiqua" w:hAnsi="Book Antiqua"/>
        </w:rPr>
        <w:t xml:space="preserve">10x </w:t>
      </w:r>
      <w:r w:rsidRPr="00700A64">
        <w:rPr>
          <w:rFonts w:ascii="Book Antiqua" w:hAnsi="Book Antiqua"/>
        </w:rPr>
        <w:t xml:space="preserve">magnification. The </w:t>
      </w:r>
      <w:r w:rsidR="003B013B" w:rsidRPr="00700A64">
        <w:rPr>
          <w:rFonts w:ascii="Book Antiqua" w:hAnsi="Book Antiqua"/>
        </w:rPr>
        <w:t>micro-</w:t>
      </w:r>
      <w:r w:rsidRPr="00700A64">
        <w:rPr>
          <w:rFonts w:ascii="Book Antiqua" w:hAnsi="Book Antiqua"/>
        </w:rPr>
        <w:t xml:space="preserve">photos were </w:t>
      </w:r>
      <w:r w:rsidR="004F1E5D" w:rsidRPr="00700A64">
        <w:rPr>
          <w:rFonts w:ascii="Book Antiqua" w:hAnsi="Book Antiqua"/>
        </w:rPr>
        <w:t xml:space="preserve">obtained </w:t>
      </w:r>
      <w:r w:rsidRPr="00700A64">
        <w:rPr>
          <w:rFonts w:ascii="Book Antiqua" w:hAnsi="Book Antiqua"/>
        </w:rPr>
        <w:t>using</w:t>
      </w:r>
      <w:r w:rsidR="004F1E5D" w:rsidRPr="00700A64">
        <w:rPr>
          <w:rFonts w:ascii="Book Antiqua" w:hAnsi="Book Antiqua"/>
        </w:rPr>
        <w:t xml:space="preserve"> a</w:t>
      </w:r>
      <w:r w:rsidRPr="00700A64">
        <w:rPr>
          <w:rFonts w:ascii="Book Antiqua" w:hAnsi="Book Antiqua"/>
        </w:rPr>
        <w:t xml:space="preserve"> Leica DM5500 B (Leica Microsystems CMS GmbH, Germany) under the same magnifications. </w:t>
      </w:r>
    </w:p>
    <w:p w:rsidR="00696842" w:rsidRPr="00700A64" w:rsidRDefault="00696842"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All sections were studied with the investigator blinded to the </w:t>
      </w:r>
      <w:r w:rsidR="003B013B" w:rsidRPr="00700A64">
        <w:rPr>
          <w:rFonts w:ascii="Book Antiqua" w:hAnsi="Book Antiqua"/>
        </w:rPr>
        <w:t xml:space="preserve">diagnosis </w:t>
      </w:r>
      <w:r w:rsidRPr="00700A64">
        <w:rPr>
          <w:rFonts w:ascii="Book Antiqua" w:hAnsi="Book Antiqua"/>
        </w:rPr>
        <w:t>data. In each of the 5 different microscopic fields, DCs positive for CD11c, CD103, IDO and Langerin</w:t>
      </w:r>
      <w:r w:rsidR="003B013B" w:rsidRPr="00700A64">
        <w:rPr>
          <w:rFonts w:ascii="Book Antiqua" w:hAnsi="Book Antiqua"/>
        </w:rPr>
        <w:t>,</w:t>
      </w:r>
      <w:r w:rsidRPr="00700A64">
        <w:rPr>
          <w:rFonts w:ascii="Book Antiqua" w:hAnsi="Book Antiqua"/>
        </w:rPr>
        <w:t xml:space="preserve"> </w:t>
      </w:r>
      <w:r w:rsidR="00CC079B" w:rsidRPr="00700A64">
        <w:rPr>
          <w:rFonts w:ascii="Book Antiqua" w:hAnsi="Book Antiqua"/>
        </w:rPr>
        <w:t>along with</w:t>
      </w:r>
      <w:r w:rsidRPr="00700A64">
        <w:rPr>
          <w:rFonts w:ascii="Book Antiqua" w:hAnsi="Book Antiqua"/>
        </w:rPr>
        <w:t xml:space="preserve"> lymphocytes positive for FOXP3</w:t>
      </w:r>
      <w:r w:rsidR="003B013B" w:rsidRPr="00700A64">
        <w:rPr>
          <w:rFonts w:ascii="Book Antiqua" w:hAnsi="Book Antiqua"/>
        </w:rPr>
        <w:t>,</w:t>
      </w:r>
      <w:r w:rsidRPr="00700A64">
        <w:rPr>
          <w:rFonts w:ascii="Book Antiqua" w:hAnsi="Book Antiqua"/>
        </w:rPr>
        <w:t xml:space="preserve"> were counted</w:t>
      </w:r>
      <w:r w:rsidR="003B013B" w:rsidRPr="00700A64">
        <w:rPr>
          <w:rFonts w:ascii="Book Antiqua" w:hAnsi="Book Antiqua"/>
        </w:rPr>
        <w:t>.</w:t>
      </w:r>
      <w:r w:rsidRPr="00700A64">
        <w:rPr>
          <w:rFonts w:ascii="Book Antiqua" w:hAnsi="Book Antiqua"/>
        </w:rPr>
        <w:t xml:space="preserve"> </w:t>
      </w:r>
      <w:r w:rsidR="003B013B" w:rsidRPr="00700A64">
        <w:rPr>
          <w:rFonts w:ascii="Book Antiqua" w:hAnsi="Book Antiqua"/>
        </w:rPr>
        <w:t>C</w:t>
      </w:r>
      <w:r w:rsidRPr="00700A64">
        <w:rPr>
          <w:rFonts w:ascii="Book Antiqua" w:hAnsi="Book Antiqua"/>
        </w:rPr>
        <w:t xml:space="preserve">ell </w:t>
      </w:r>
      <w:r w:rsidRPr="00700A64">
        <w:rPr>
          <w:rFonts w:ascii="Book Antiqua" w:hAnsi="Book Antiqua"/>
        </w:rPr>
        <w:lastRenderedPageBreak/>
        <w:t xml:space="preserve">densities were expressed as the mean number of positively stained cells per field. The results of </w:t>
      </w:r>
      <w:r w:rsidR="003B013B" w:rsidRPr="00700A64">
        <w:rPr>
          <w:rFonts w:ascii="Book Antiqua" w:hAnsi="Book Antiqua"/>
        </w:rPr>
        <w:t>double</w:t>
      </w:r>
      <w:r w:rsidR="00CC079B" w:rsidRPr="00700A64">
        <w:rPr>
          <w:rFonts w:ascii="Book Antiqua" w:hAnsi="Book Antiqua"/>
        </w:rPr>
        <w:t>-</w:t>
      </w:r>
      <w:r w:rsidR="003B013B" w:rsidRPr="00700A64">
        <w:rPr>
          <w:rFonts w:ascii="Book Antiqua" w:hAnsi="Book Antiqua"/>
        </w:rPr>
        <w:t>staining</w:t>
      </w:r>
      <w:r w:rsidRPr="00700A64">
        <w:rPr>
          <w:rFonts w:ascii="Book Antiqua" w:hAnsi="Book Antiqua"/>
        </w:rPr>
        <w:t xml:space="preserve"> for IDO and CD11c </w:t>
      </w:r>
      <w:r w:rsidR="00CC079B" w:rsidRPr="00700A64">
        <w:rPr>
          <w:rFonts w:ascii="Book Antiqua" w:hAnsi="Book Antiqua"/>
        </w:rPr>
        <w:t xml:space="preserve">and </w:t>
      </w:r>
      <w:r w:rsidRPr="00700A64">
        <w:rPr>
          <w:rFonts w:ascii="Book Antiqua" w:hAnsi="Book Antiqua"/>
        </w:rPr>
        <w:t>for CD11c and CD103 were analyzed in a similar manner.</w:t>
      </w:r>
    </w:p>
    <w:p w:rsidR="00EC1052" w:rsidRDefault="00EC1052" w:rsidP="00B90E53">
      <w:pPr>
        <w:adjustRightInd w:val="0"/>
        <w:snapToGrid w:val="0"/>
        <w:spacing w:line="360" w:lineRule="auto"/>
        <w:jc w:val="both"/>
        <w:rPr>
          <w:rFonts w:ascii="Book Antiqua" w:hAnsi="Book Antiqua"/>
          <w:bCs/>
          <w:lang w:eastAsia="zh-CN"/>
        </w:rPr>
      </w:pPr>
    </w:p>
    <w:p w:rsidR="00F24DCC" w:rsidRPr="00700A64" w:rsidRDefault="00696842" w:rsidP="00B90E53">
      <w:pPr>
        <w:adjustRightInd w:val="0"/>
        <w:snapToGrid w:val="0"/>
        <w:spacing w:line="360" w:lineRule="auto"/>
        <w:jc w:val="both"/>
        <w:rPr>
          <w:rFonts w:ascii="Book Antiqua" w:hAnsi="Book Antiqua" w:cs="Times-Roman"/>
          <w:b/>
          <w:i/>
        </w:rPr>
      </w:pPr>
      <w:r w:rsidRPr="00700A64">
        <w:rPr>
          <w:rFonts w:ascii="Book Antiqua" w:hAnsi="Book Antiqua"/>
          <w:b/>
          <w:bCs/>
          <w:i/>
        </w:rPr>
        <w:t xml:space="preserve">Tissue transglutaminase IgA antibody (IgA-tTG) immunoassay </w:t>
      </w:r>
      <w:r w:rsidR="003B013B" w:rsidRPr="00700A64">
        <w:rPr>
          <w:rFonts w:ascii="Book Antiqua" w:hAnsi="Book Antiqua"/>
          <w:b/>
          <w:bCs/>
          <w:i/>
        </w:rPr>
        <w:t xml:space="preserve">using the </w:t>
      </w:r>
      <w:r w:rsidRPr="00700A64">
        <w:rPr>
          <w:rFonts w:ascii="Book Antiqua" w:hAnsi="Book Antiqua" w:cs="Times-Roman"/>
          <w:b/>
          <w:i/>
        </w:rPr>
        <w:t>EliA</w:t>
      </w:r>
      <w:r w:rsidRPr="00700A64">
        <w:rPr>
          <w:rFonts w:ascii="Book Antiqua" w:hAnsi="Book Antiqua" w:cs="Times-Roman"/>
          <w:b/>
          <w:i/>
          <w:vertAlign w:val="superscript"/>
        </w:rPr>
        <w:t>TM</w:t>
      </w:r>
      <w:r w:rsidRPr="00700A64">
        <w:rPr>
          <w:rFonts w:ascii="Book Antiqua" w:hAnsi="Book Antiqua" w:cs="Times-Roman"/>
          <w:b/>
          <w:i/>
        </w:rPr>
        <w:t xml:space="preserve"> Celikey® IgA assay.</w:t>
      </w:r>
    </w:p>
    <w:p w:rsidR="00696842" w:rsidRPr="00700A64" w:rsidRDefault="00696842" w:rsidP="00B90E53">
      <w:pPr>
        <w:adjustRightInd w:val="0"/>
        <w:snapToGrid w:val="0"/>
        <w:spacing w:line="360" w:lineRule="auto"/>
        <w:jc w:val="both"/>
        <w:rPr>
          <w:rFonts w:ascii="Book Antiqua" w:hAnsi="Book Antiqua" w:cs="Times-Roman"/>
        </w:rPr>
      </w:pPr>
      <w:r w:rsidRPr="00700A64">
        <w:rPr>
          <w:rFonts w:ascii="Book Antiqua" w:hAnsi="Book Antiqua" w:cs="Times-Roman"/>
          <w:b/>
        </w:rPr>
        <w:t xml:space="preserve"> </w:t>
      </w:r>
      <w:r w:rsidRPr="00700A64">
        <w:rPr>
          <w:rFonts w:ascii="Book Antiqua" w:hAnsi="Book Antiqua" w:cs="Times-Roman"/>
        </w:rPr>
        <w:t>Sixty-six sera</w:t>
      </w:r>
      <w:r w:rsidR="003B013B" w:rsidRPr="00700A64">
        <w:rPr>
          <w:rFonts w:ascii="Book Antiqua" w:hAnsi="Book Antiqua" w:cs="Times-Roman"/>
        </w:rPr>
        <w:t xml:space="preserve"> samples</w:t>
      </w:r>
      <w:r w:rsidRPr="00700A64">
        <w:rPr>
          <w:rFonts w:ascii="Book Antiqua" w:hAnsi="Book Antiqua" w:cs="Times-Roman"/>
        </w:rPr>
        <w:t xml:space="preserve"> were tested for IgA-tTG </w:t>
      </w:r>
      <w:r w:rsidR="00221870" w:rsidRPr="00700A64">
        <w:rPr>
          <w:rFonts w:ascii="Book Antiqua" w:hAnsi="Book Antiqua" w:cs="Times-Roman"/>
        </w:rPr>
        <w:t xml:space="preserve">using </w:t>
      </w:r>
      <w:r w:rsidRPr="00700A64">
        <w:rPr>
          <w:rFonts w:ascii="Book Antiqua" w:hAnsi="Book Antiqua" w:cs="Times-Roman"/>
        </w:rPr>
        <w:t>a fully automated EliA</w:t>
      </w:r>
      <w:r w:rsidRPr="00700A64">
        <w:rPr>
          <w:rFonts w:ascii="Book Antiqua" w:hAnsi="Book Antiqua"/>
        </w:rPr>
        <w:t>™</w:t>
      </w:r>
      <w:r w:rsidRPr="00700A64">
        <w:rPr>
          <w:rFonts w:ascii="Book Antiqua" w:hAnsi="Book Antiqua" w:cs="Times-Roman"/>
        </w:rPr>
        <w:t xml:space="preserve"> Celikey® IgA assay (Pharmacia Diagnostics, Freiburg, Germany) according to the manufacturer’s instructions. According to </w:t>
      </w:r>
      <w:r w:rsidR="004F1E5D" w:rsidRPr="00700A64">
        <w:rPr>
          <w:rFonts w:ascii="Book Antiqua" w:hAnsi="Book Antiqua" w:cs="Times-Roman"/>
        </w:rPr>
        <w:t xml:space="preserve">the </w:t>
      </w:r>
      <w:r w:rsidRPr="00700A64">
        <w:rPr>
          <w:rFonts w:ascii="Book Antiqua" w:hAnsi="Book Antiqua" w:cs="Times-Roman"/>
        </w:rPr>
        <w:t xml:space="preserve">manufacturer’s suggestions, IgA-tTG </w:t>
      </w:r>
      <w:r w:rsidR="00221870" w:rsidRPr="00700A64">
        <w:rPr>
          <w:rFonts w:ascii="Book Antiqua" w:hAnsi="Book Antiqua" w:cs="Times-Roman"/>
        </w:rPr>
        <w:t xml:space="preserve">values </w:t>
      </w:r>
      <w:r w:rsidRPr="00700A64">
        <w:rPr>
          <w:rFonts w:ascii="Book Antiqua" w:hAnsi="Book Antiqua" w:cs="Times-Roman"/>
        </w:rPr>
        <w:t>higher than 10 EliA U/m</w:t>
      </w:r>
      <w:r w:rsidRPr="00EC1052">
        <w:rPr>
          <w:rFonts w:ascii="Book Antiqua" w:hAnsi="Book Antiqua" w:cs="Times-Roman"/>
          <w:caps/>
        </w:rPr>
        <w:t>l</w:t>
      </w:r>
      <w:r w:rsidRPr="00700A64">
        <w:rPr>
          <w:rFonts w:ascii="Book Antiqua" w:hAnsi="Book Antiqua" w:cs="Times-Roman"/>
        </w:rPr>
        <w:t xml:space="preserve"> were considered positive. </w:t>
      </w:r>
    </w:p>
    <w:p w:rsidR="00696842" w:rsidRPr="00700A64" w:rsidRDefault="00696842" w:rsidP="00B90E53">
      <w:pPr>
        <w:adjustRightInd w:val="0"/>
        <w:snapToGrid w:val="0"/>
        <w:spacing w:line="360" w:lineRule="auto"/>
        <w:jc w:val="both"/>
        <w:rPr>
          <w:rFonts w:ascii="Book Antiqua" w:hAnsi="Book Antiqua" w:cs="Times-Roman"/>
        </w:rPr>
      </w:pPr>
    </w:p>
    <w:p w:rsidR="006C156E" w:rsidRPr="00700A64" w:rsidRDefault="00696842" w:rsidP="00B90E53">
      <w:pPr>
        <w:adjustRightInd w:val="0"/>
        <w:snapToGrid w:val="0"/>
        <w:spacing w:line="360" w:lineRule="auto"/>
        <w:jc w:val="both"/>
        <w:rPr>
          <w:rFonts w:ascii="Book Antiqua" w:hAnsi="Book Antiqua"/>
          <w:b/>
          <w:bCs/>
          <w:i/>
        </w:rPr>
      </w:pPr>
      <w:r w:rsidRPr="00700A64">
        <w:rPr>
          <w:rFonts w:ascii="Book Antiqua" w:hAnsi="Book Antiqua"/>
          <w:b/>
          <w:bCs/>
          <w:i/>
        </w:rPr>
        <w:t xml:space="preserve">Statistical analysis </w:t>
      </w:r>
    </w:p>
    <w:p w:rsidR="00E72A0F" w:rsidRPr="00700A64" w:rsidRDefault="00696842" w:rsidP="00B90E53">
      <w:pPr>
        <w:autoSpaceDE w:val="0"/>
        <w:autoSpaceDN w:val="0"/>
        <w:adjustRightInd w:val="0"/>
        <w:snapToGrid w:val="0"/>
        <w:spacing w:line="360" w:lineRule="auto"/>
        <w:jc w:val="both"/>
        <w:rPr>
          <w:rFonts w:ascii="Book Antiqua" w:hAnsi="Book Antiqua" w:cs="Garamond"/>
        </w:rPr>
      </w:pPr>
      <w:r w:rsidRPr="00700A64">
        <w:rPr>
          <w:rFonts w:ascii="Book Antiqua" w:hAnsi="Book Antiqua"/>
        </w:rPr>
        <w:t>The results obtained for</w:t>
      </w:r>
      <w:r w:rsidR="003B013B" w:rsidRPr="00700A64">
        <w:rPr>
          <w:rFonts w:ascii="Book Antiqua" w:hAnsi="Book Antiqua"/>
        </w:rPr>
        <w:t xml:space="preserve"> the</w:t>
      </w:r>
      <w:r w:rsidRPr="00700A64">
        <w:rPr>
          <w:rFonts w:ascii="Book Antiqua" w:hAnsi="Book Antiqua"/>
        </w:rPr>
        <w:t xml:space="preserve"> different study groups </w:t>
      </w:r>
      <w:r w:rsidR="00BB437C" w:rsidRPr="00700A64">
        <w:rPr>
          <w:rFonts w:ascii="Book Antiqua" w:hAnsi="Book Antiqua"/>
        </w:rPr>
        <w:t xml:space="preserve">are </w:t>
      </w:r>
      <w:r w:rsidRPr="00700A64">
        <w:rPr>
          <w:rFonts w:ascii="Book Antiqua" w:hAnsi="Book Antiqua"/>
        </w:rPr>
        <w:t>presented as mean</w:t>
      </w:r>
      <w:r w:rsidR="00BB437C" w:rsidRPr="00700A64">
        <w:rPr>
          <w:rFonts w:ascii="Book Antiqua" w:hAnsi="Book Antiqua"/>
        </w:rPr>
        <w:t>s</w:t>
      </w:r>
      <w:r w:rsidRPr="00700A64">
        <w:rPr>
          <w:rFonts w:ascii="Book Antiqua" w:hAnsi="Book Antiqua"/>
        </w:rPr>
        <w:t xml:space="preserve"> </w:t>
      </w:r>
      <w:r w:rsidRPr="00700A64">
        <w:rPr>
          <w:rFonts w:ascii="Book Antiqua" w:hAnsi="Book Antiqua"/>
        </w:rPr>
        <w:sym w:font="Symbol" w:char="F0B1"/>
      </w:r>
      <w:r w:rsidRPr="00700A64">
        <w:rPr>
          <w:rFonts w:ascii="Book Antiqua" w:hAnsi="Book Antiqua"/>
        </w:rPr>
        <w:t xml:space="preserve"> SE.</w:t>
      </w:r>
      <w:r w:rsidRPr="00700A64">
        <w:rPr>
          <w:rFonts w:ascii="Book Antiqua" w:hAnsi="Book Antiqua"/>
          <w:b/>
        </w:rPr>
        <w:t xml:space="preserve"> </w:t>
      </w:r>
      <w:r w:rsidRPr="00700A64">
        <w:rPr>
          <w:rFonts w:ascii="Book Antiqua" w:hAnsi="Book Antiqua"/>
        </w:rPr>
        <w:t xml:space="preserve">Statistical calculations were performed </w:t>
      </w:r>
      <w:r w:rsidR="003B013B" w:rsidRPr="00700A64">
        <w:rPr>
          <w:rFonts w:ascii="Book Antiqua" w:hAnsi="Book Antiqua"/>
        </w:rPr>
        <w:t>using</w:t>
      </w:r>
      <w:r w:rsidRPr="00700A64">
        <w:rPr>
          <w:rFonts w:ascii="Book Antiqua" w:hAnsi="Book Antiqua"/>
        </w:rPr>
        <w:t xml:space="preserve"> </w:t>
      </w:r>
      <w:r w:rsidR="004F1E5D" w:rsidRPr="00700A64">
        <w:rPr>
          <w:rFonts w:ascii="Book Antiqua" w:hAnsi="Book Antiqua"/>
        </w:rPr>
        <w:t xml:space="preserve">the </w:t>
      </w:r>
      <w:r w:rsidRPr="00700A64">
        <w:rPr>
          <w:rFonts w:ascii="Book Antiqua" w:hAnsi="Book Antiqua"/>
        </w:rPr>
        <w:t xml:space="preserve">Graph Pad Prism 5.0 software using the </w:t>
      </w:r>
      <w:r w:rsidRPr="00700A64">
        <w:rPr>
          <w:rFonts w:ascii="Book Antiqua" w:hAnsi="Book Antiqua"/>
          <w:i/>
        </w:rPr>
        <w:t>t</w:t>
      </w:r>
      <w:r w:rsidRPr="00700A64">
        <w:rPr>
          <w:rFonts w:ascii="Book Antiqua" w:hAnsi="Book Antiqua"/>
        </w:rPr>
        <w:t xml:space="preserve">-test, Mann-Whitney </w:t>
      </w:r>
      <w:r w:rsidRPr="00700A64">
        <w:rPr>
          <w:rFonts w:ascii="Book Antiqua" w:hAnsi="Book Antiqua"/>
          <w:i/>
        </w:rPr>
        <w:t>U</w:t>
      </w:r>
      <w:r w:rsidRPr="00700A64">
        <w:rPr>
          <w:rFonts w:ascii="Book Antiqua" w:hAnsi="Book Antiqua"/>
        </w:rPr>
        <w:t xml:space="preserve"> test</w:t>
      </w:r>
      <w:r w:rsidR="00335288" w:rsidRPr="00700A64">
        <w:rPr>
          <w:rFonts w:ascii="Book Antiqua" w:hAnsi="Book Antiqua"/>
        </w:rPr>
        <w:t xml:space="preserve"> </w:t>
      </w:r>
      <w:r w:rsidRPr="00700A64">
        <w:rPr>
          <w:rFonts w:ascii="Book Antiqua" w:hAnsi="Book Antiqua"/>
        </w:rPr>
        <w:t>and Spearman’s rank correlation test.</w:t>
      </w:r>
      <w:r w:rsidR="00E72A0F" w:rsidRPr="00700A64">
        <w:rPr>
          <w:rFonts w:ascii="Book Antiqua" w:hAnsi="Book Antiqua" w:cs="Garamond"/>
        </w:rPr>
        <w:t xml:space="preserve"> The </w:t>
      </w:r>
      <w:r w:rsidR="00252C4A" w:rsidRPr="00700A64">
        <w:rPr>
          <w:rFonts w:ascii="Book Antiqua" w:hAnsi="Book Antiqua" w:cs="SymbolMT"/>
          <w:i/>
        </w:rPr>
        <w:t>χ</w:t>
      </w:r>
      <w:r w:rsidR="00E72A0F" w:rsidRPr="00553398">
        <w:rPr>
          <w:rFonts w:ascii="Book Antiqua" w:hAnsi="Book Antiqua" w:cs="Garamond"/>
          <w:i/>
          <w:vertAlign w:val="superscript"/>
        </w:rPr>
        <w:t>2</w:t>
      </w:r>
      <w:r w:rsidR="00E72A0F" w:rsidRPr="00700A64">
        <w:rPr>
          <w:rFonts w:ascii="Book Antiqua" w:hAnsi="Book Antiqua" w:cs="Garamond"/>
        </w:rPr>
        <w:t xml:space="preserve"> or Fisher exact test was used for nominal variables.</w:t>
      </w:r>
    </w:p>
    <w:p w:rsidR="00696842" w:rsidRPr="00700A64" w:rsidRDefault="00696842"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Differences were considered statistically significant at </w:t>
      </w:r>
      <w:r w:rsidR="006C156E" w:rsidRPr="00700A64">
        <w:rPr>
          <w:rFonts w:ascii="Book Antiqua" w:hAnsi="Book Antiqua"/>
          <w:i/>
        </w:rPr>
        <w:t>P</w:t>
      </w:r>
      <w:r w:rsidR="00553398">
        <w:rPr>
          <w:rFonts w:ascii="Book Antiqua" w:hAnsi="Book Antiqua" w:hint="eastAsia"/>
          <w:i/>
          <w:lang w:eastAsia="zh-CN"/>
        </w:rPr>
        <w:t xml:space="preserve"> </w:t>
      </w:r>
      <w:r w:rsidR="00252C4A" w:rsidRPr="00700A64">
        <w:rPr>
          <w:rFonts w:ascii="Book Antiqua" w:hAnsi="Book Antiqua"/>
        </w:rPr>
        <w:t>&lt;</w:t>
      </w:r>
      <w:r w:rsidR="00553398">
        <w:rPr>
          <w:rFonts w:ascii="Book Antiqua" w:hAnsi="Book Antiqua" w:hint="eastAsia"/>
          <w:lang w:eastAsia="zh-CN"/>
        </w:rPr>
        <w:t xml:space="preserve"> </w:t>
      </w:r>
      <w:r w:rsidR="00252C4A" w:rsidRPr="00700A64">
        <w:rPr>
          <w:rFonts w:ascii="Book Antiqua" w:hAnsi="Book Antiqua"/>
        </w:rPr>
        <w:t xml:space="preserve">0.05. </w:t>
      </w:r>
      <w:bookmarkStart w:id="49" w:name="OLE_LINK1"/>
      <w:r w:rsidR="006C5AE8" w:rsidRPr="00700A64">
        <w:rPr>
          <w:rFonts w:ascii="Book Antiqua" w:hAnsi="Book Antiqua"/>
        </w:rPr>
        <w:t>Sensitivity, specificity and r</w:t>
      </w:r>
      <w:r w:rsidRPr="00700A64">
        <w:rPr>
          <w:rFonts w:ascii="Book Antiqua" w:hAnsi="Book Antiqua"/>
        </w:rPr>
        <w:t xml:space="preserve">eceiver operating characteristic (ROC) </w:t>
      </w:r>
      <w:r w:rsidR="006C5AE8" w:rsidRPr="00700A64">
        <w:rPr>
          <w:rFonts w:ascii="Book Antiqua" w:hAnsi="Book Antiqua"/>
        </w:rPr>
        <w:t xml:space="preserve">curves with </w:t>
      </w:r>
      <w:r w:rsidR="003B013B" w:rsidRPr="00700A64">
        <w:rPr>
          <w:rFonts w:ascii="Book Antiqua" w:hAnsi="Book Antiqua"/>
        </w:rPr>
        <w:t xml:space="preserve">the </w:t>
      </w:r>
      <w:r w:rsidRPr="00700A64">
        <w:rPr>
          <w:rFonts w:ascii="Book Antiqua" w:hAnsi="Book Antiqua"/>
        </w:rPr>
        <w:t>area</w:t>
      </w:r>
      <w:r w:rsidR="00C32A72" w:rsidRPr="00700A64">
        <w:rPr>
          <w:rFonts w:ascii="Book Antiqua" w:hAnsi="Book Antiqua"/>
        </w:rPr>
        <w:t>s</w:t>
      </w:r>
      <w:r w:rsidRPr="00700A64">
        <w:rPr>
          <w:rFonts w:ascii="Book Antiqua" w:hAnsi="Book Antiqua"/>
        </w:rPr>
        <w:t xml:space="preserve"> under </w:t>
      </w:r>
      <w:r w:rsidR="00B73002" w:rsidRPr="00700A64">
        <w:rPr>
          <w:rFonts w:ascii="Book Antiqua" w:hAnsi="Book Antiqua"/>
        </w:rPr>
        <w:t xml:space="preserve">the </w:t>
      </w:r>
      <w:r w:rsidR="006C5AE8" w:rsidRPr="00700A64">
        <w:rPr>
          <w:rFonts w:ascii="Book Antiqua" w:hAnsi="Book Antiqua"/>
        </w:rPr>
        <w:t>curve</w:t>
      </w:r>
      <w:r w:rsidRPr="00700A64">
        <w:rPr>
          <w:rFonts w:ascii="Book Antiqua" w:hAnsi="Book Antiqua"/>
        </w:rPr>
        <w:t xml:space="preserve"> (AUC) </w:t>
      </w:r>
      <w:r w:rsidR="006C5AE8" w:rsidRPr="00700A64">
        <w:rPr>
          <w:rFonts w:ascii="Book Antiqua" w:hAnsi="Book Antiqua"/>
        </w:rPr>
        <w:t xml:space="preserve">were calculated </w:t>
      </w:r>
      <w:r w:rsidRPr="00700A64">
        <w:rPr>
          <w:rFonts w:ascii="Book Antiqua" w:hAnsi="Book Antiqua"/>
        </w:rPr>
        <w:t xml:space="preserve">for different DC markers and FOXP3 using StatsDirect software. </w:t>
      </w:r>
    </w:p>
    <w:bookmarkEnd w:id="49"/>
    <w:p w:rsidR="00553398" w:rsidRDefault="00553398" w:rsidP="00B90E53">
      <w:pPr>
        <w:adjustRightInd w:val="0"/>
        <w:snapToGrid w:val="0"/>
        <w:spacing w:line="360" w:lineRule="auto"/>
        <w:jc w:val="both"/>
        <w:rPr>
          <w:rFonts w:ascii="Book Antiqua" w:hAnsi="Book Antiqua"/>
          <w:b/>
          <w:lang w:eastAsia="zh-CN"/>
        </w:rPr>
      </w:pPr>
    </w:p>
    <w:p w:rsidR="00CA5DEB" w:rsidRPr="00700A64" w:rsidRDefault="00CA5DEB" w:rsidP="00B90E53">
      <w:pPr>
        <w:adjustRightInd w:val="0"/>
        <w:snapToGrid w:val="0"/>
        <w:spacing w:line="360" w:lineRule="auto"/>
        <w:jc w:val="both"/>
        <w:rPr>
          <w:rFonts w:ascii="Book Antiqua" w:hAnsi="Book Antiqua"/>
          <w:b/>
        </w:rPr>
      </w:pPr>
      <w:r w:rsidRPr="00700A64">
        <w:rPr>
          <w:rFonts w:ascii="Book Antiqua" w:hAnsi="Book Antiqua"/>
          <w:b/>
        </w:rPr>
        <w:t>R</w:t>
      </w:r>
      <w:r w:rsidR="00344321" w:rsidRPr="00700A64">
        <w:rPr>
          <w:rFonts w:ascii="Book Antiqua" w:hAnsi="Book Antiqua"/>
          <w:b/>
        </w:rPr>
        <w:t>ESULTS</w:t>
      </w:r>
    </w:p>
    <w:p w:rsidR="000E2141" w:rsidRPr="00700A64" w:rsidRDefault="00302156" w:rsidP="00B90E53">
      <w:pPr>
        <w:adjustRightInd w:val="0"/>
        <w:snapToGrid w:val="0"/>
        <w:spacing w:line="360" w:lineRule="auto"/>
        <w:jc w:val="both"/>
        <w:rPr>
          <w:rFonts w:ascii="Book Antiqua" w:hAnsi="Book Antiqua"/>
        </w:rPr>
      </w:pPr>
      <w:r w:rsidRPr="00700A64">
        <w:rPr>
          <w:rFonts w:ascii="Book Antiqua" w:hAnsi="Book Antiqua"/>
        </w:rPr>
        <w:t>Using double</w:t>
      </w:r>
      <w:r w:rsidR="00B73002" w:rsidRPr="00700A64">
        <w:rPr>
          <w:rFonts w:ascii="Book Antiqua" w:hAnsi="Book Antiqua"/>
        </w:rPr>
        <w:t>-</w:t>
      </w:r>
      <w:r w:rsidRPr="00700A64">
        <w:rPr>
          <w:rFonts w:ascii="Book Antiqua" w:hAnsi="Book Antiqua"/>
        </w:rPr>
        <w:t xml:space="preserve">staining on </w:t>
      </w:r>
      <w:r w:rsidR="004344D1" w:rsidRPr="00700A64">
        <w:rPr>
          <w:rFonts w:ascii="Book Antiqua" w:hAnsi="Book Antiqua"/>
        </w:rPr>
        <w:t>paraffin sections</w:t>
      </w:r>
      <w:r w:rsidR="009E2A1A" w:rsidRPr="00700A64">
        <w:rPr>
          <w:rFonts w:ascii="Book Antiqua" w:hAnsi="Book Antiqua"/>
        </w:rPr>
        <w:t>,</w:t>
      </w:r>
      <w:r w:rsidRPr="00700A64">
        <w:rPr>
          <w:rFonts w:ascii="Book Antiqua" w:hAnsi="Book Antiqua"/>
        </w:rPr>
        <w:t xml:space="preserve"> </w:t>
      </w:r>
      <w:r w:rsidR="004344D1" w:rsidRPr="00700A64">
        <w:rPr>
          <w:rFonts w:ascii="Book Antiqua" w:hAnsi="Book Antiqua"/>
        </w:rPr>
        <w:t>both</w:t>
      </w:r>
      <w:r w:rsidR="00BC5BF0" w:rsidRPr="00700A64">
        <w:rPr>
          <w:rFonts w:ascii="Book Antiqua" w:hAnsi="Book Antiqua"/>
        </w:rPr>
        <w:t xml:space="preserve"> </w:t>
      </w:r>
      <w:r w:rsidR="004344D1" w:rsidRPr="00700A64">
        <w:rPr>
          <w:rFonts w:ascii="Book Antiqua" w:hAnsi="Book Antiqua"/>
        </w:rPr>
        <w:t>CD11c</w:t>
      </w:r>
      <w:r w:rsidR="000E2141" w:rsidRPr="00700A64">
        <w:rPr>
          <w:rFonts w:ascii="Book Antiqua" w:hAnsi="Book Antiqua"/>
        </w:rPr>
        <w:t>+ DCs and FOXP3+ T</w:t>
      </w:r>
      <w:r w:rsidR="00706A7A" w:rsidRPr="00700A64">
        <w:rPr>
          <w:rFonts w:ascii="Book Antiqua" w:hAnsi="Book Antiqua"/>
        </w:rPr>
        <w:t>reg</w:t>
      </w:r>
      <w:r w:rsidR="000E2141" w:rsidRPr="00700A64">
        <w:rPr>
          <w:rFonts w:ascii="Book Antiqua" w:hAnsi="Book Antiqua"/>
        </w:rPr>
        <w:t xml:space="preserve"> cells </w:t>
      </w:r>
      <w:r w:rsidR="004344D1" w:rsidRPr="00700A64">
        <w:rPr>
          <w:rFonts w:ascii="Book Antiqua" w:hAnsi="Book Antiqua"/>
        </w:rPr>
        <w:t>were detected</w:t>
      </w:r>
      <w:r w:rsidRPr="00700A64">
        <w:rPr>
          <w:rFonts w:ascii="Book Antiqua" w:hAnsi="Book Antiqua"/>
        </w:rPr>
        <w:t xml:space="preserve"> </w:t>
      </w:r>
      <w:r w:rsidR="000E2141" w:rsidRPr="00700A64">
        <w:rPr>
          <w:rFonts w:ascii="Book Antiqua" w:hAnsi="Book Antiqua"/>
        </w:rPr>
        <w:t xml:space="preserve">in the small bowel mucosa </w:t>
      </w:r>
      <w:r w:rsidR="002C0120" w:rsidRPr="00700A64">
        <w:rPr>
          <w:rFonts w:ascii="Book Antiqua" w:hAnsi="Book Antiqua"/>
        </w:rPr>
        <w:t>(Figure 1</w:t>
      </w:r>
      <w:r w:rsidR="0004468D" w:rsidRPr="00700A64">
        <w:rPr>
          <w:rFonts w:ascii="Book Antiqua" w:hAnsi="Book Antiqua"/>
        </w:rPr>
        <w:t>).</w:t>
      </w:r>
    </w:p>
    <w:p w:rsidR="00222567" w:rsidRPr="00700A64" w:rsidRDefault="00CA5DEB"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bCs/>
        </w:rPr>
        <w:t xml:space="preserve">The density of CD11c+ DCs was significantly </w:t>
      </w:r>
      <w:r w:rsidR="00742C32" w:rsidRPr="00700A64">
        <w:rPr>
          <w:rFonts w:ascii="Book Antiqua" w:hAnsi="Book Antiqua"/>
          <w:bCs/>
        </w:rPr>
        <w:t>increased in</w:t>
      </w:r>
      <w:r w:rsidRPr="00700A64">
        <w:rPr>
          <w:rFonts w:ascii="Book Antiqua" w:hAnsi="Book Antiqua"/>
          <w:bCs/>
        </w:rPr>
        <w:t xml:space="preserve"> CD patients compared with patients with normal mucosa (</w:t>
      </w:r>
      <w:r w:rsidR="00F94270" w:rsidRPr="00700A64">
        <w:rPr>
          <w:rFonts w:ascii="Book Antiqua" w:hAnsi="Book Antiqua"/>
          <w:bCs/>
          <w:i/>
        </w:rPr>
        <w:t xml:space="preserve">P = </w:t>
      </w:r>
      <w:r w:rsidRPr="00700A64">
        <w:rPr>
          <w:rFonts w:ascii="Book Antiqua" w:hAnsi="Book Antiqua"/>
          <w:bCs/>
        </w:rPr>
        <w:t>0.00</w:t>
      </w:r>
      <w:r w:rsidR="00903C6F" w:rsidRPr="00700A64">
        <w:rPr>
          <w:rFonts w:ascii="Book Antiqua" w:hAnsi="Book Antiqua"/>
          <w:bCs/>
        </w:rPr>
        <w:t>7</w:t>
      </w:r>
      <w:r w:rsidRPr="00700A64">
        <w:rPr>
          <w:rFonts w:ascii="Book Antiqua" w:hAnsi="Book Antiqua"/>
          <w:bCs/>
        </w:rPr>
        <w:t>)</w:t>
      </w:r>
      <w:r w:rsidR="002A32CD" w:rsidRPr="00700A64">
        <w:rPr>
          <w:rFonts w:ascii="Book Antiqua" w:hAnsi="Book Antiqua"/>
          <w:bCs/>
        </w:rPr>
        <w:t xml:space="preserve"> (Fig</w:t>
      </w:r>
      <w:r w:rsidR="00706A7A" w:rsidRPr="00700A64">
        <w:rPr>
          <w:rFonts w:ascii="Book Antiqua" w:hAnsi="Book Antiqua"/>
          <w:bCs/>
        </w:rPr>
        <w:t>u</w:t>
      </w:r>
      <w:r w:rsidR="00A970E2" w:rsidRPr="00700A64">
        <w:rPr>
          <w:rFonts w:ascii="Book Antiqua" w:hAnsi="Book Antiqua"/>
          <w:bCs/>
        </w:rPr>
        <w:t>r</w:t>
      </w:r>
      <w:r w:rsidR="00706A7A" w:rsidRPr="00700A64">
        <w:rPr>
          <w:rFonts w:ascii="Book Antiqua" w:hAnsi="Book Antiqua"/>
          <w:bCs/>
        </w:rPr>
        <w:t>e</w:t>
      </w:r>
      <w:r w:rsidR="002E52CB" w:rsidRPr="00700A64">
        <w:rPr>
          <w:rFonts w:ascii="Book Antiqua" w:hAnsi="Book Antiqua"/>
          <w:bCs/>
        </w:rPr>
        <w:t xml:space="preserve"> </w:t>
      </w:r>
      <w:r w:rsidR="009647AC" w:rsidRPr="00700A64">
        <w:rPr>
          <w:rFonts w:ascii="Book Antiqua" w:hAnsi="Book Antiqua"/>
          <w:bCs/>
        </w:rPr>
        <w:t>2A</w:t>
      </w:r>
      <w:r w:rsidR="002A32CD" w:rsidRPr="00700A64">
        <w:rPr>
          <w:rFonts w:ascii="Book Antiqua" w:hAnsi="Book Antiqua"/>
          <w:bCs/>
        </w:rPr>
        <w:t>)</w:t>
      </w:r>
      <w:r w:rsidR="00A77447" w:rsidRPr="00700A64">
        <w:rPr>
          <w:rFonts w:ascii="Book Antiqua" w:hAnsi="Book Antiqua"/>
          <w:bCs/>
        </w:rPr>
        <w:t>.</w:t>
      </w:r>
      <w:r w:rsidR="009F55CB" w:rsidRPr="00700A64">
        <w:rPr>
          <w:rFonts w:ascii="Book Antiqua" w:hAnsi="Book Antiqua"/>
          <w:bCs/>
        </w:rPr>
        <w:t xml:space="preserve"> </w:t>
      </w:r>
      <w:r w:rsidR="00D813F6" w:rsidRPr="00700A64">
        <w:rPr>
          <w:rFonts w:ascii="Book Antiqua" w:hAnsi="Book Antiqua"/>
          <w:bCs/>
        </w:rPr>
        <w:t>The number</w:t>
      </w:r>
      <w:r w:rsidR="00B73002" w:rsidRPr="00700A64">
        <w:rPr>
          <w:rFonts w:ascii="Book Antiqua" w:hAnsi="Book Antiqua"/>
          <w:bCs/>
        </w:rPr>
        <w:t>s</w:t>
      </w:r>
      <w:r w:rsidR="00D813F6" w:rsidRPr="00700A64">
        <w:rPr>
          <w:rFonts w:ascii="Book Antiqua" w:hAnsi="Book Antiqua"/>
          <w:bCs/>
        </w:rPr>
        <w:t xml:space="preserve"> of FOXP3+</w:t>
      </w:r>
      <w:r w:rsidR="00D52329" w:rsidRPr="00700A64">
        <w:rPr>
          <w:rFonts w:ascii="Book Antiqua" w:hAnsi="Book Antiqua"/>
          <w:bCs/>
        </w:rPr>
        <w:t xml:space="preserve"> T</w:t>
      </w:r>
      <w:r w:rsidR="00D813F6" w:rsidRPr="00700A64">
        <w:rPr>
          <w:rFonts w:ascii="Book Antiqua" w:hAnsi="Book Antiqua"/>
          <w:bCs/>
        </w:rPr>
        <w:t xml:space="preserve"> </w:t>
      </w:r>
      <w:r w:rsidR="00D52329" w:rsidRPr="00700A64">
        <w:rPr>
          <w:rFonts w:ascii="Book Antiqua" w:hAnsi="Book Antiqua"/>
          <w:bCs/>
        </w:rPr>
        <w:t>regs</w:t>
      </w:r>
      <w:r w:rsidR="00742C32" w:rsidRPr="00700A64">
        <w:rPr>
          <w:rFonts w:ascii="Book Antiqua" w:hAnsi="Book Antiqua"/>
          <w:bCs/>
        </w:rPr>
        <w:t xml:space="preserve"> </w:t>
      </w:r>
      <w:r w:rsidR="00B73002" w:rsidRPr="00700A64">
        <w:rPr>
          <w:rFonts w:ascii="Book Antiqua" w:hAnsi="Book Antiqua"/>
          <w:bCs/>
        </w:rPr>
        <w:t xml:space="preserve">were </w:t>
      </w:r>
      <w:r w:rsidR="00D813F6" w:rsidRPr="00700A64">
        <w:rPr>
          <w:rFonts w:ascii="Book Antiqua" w:hAnsi="Book Antiqua"/>
          <w:bCs/>
        </w:rPr>
        <w:t xml:space="preserve">significantly </w:t>
      </w:r>
      <w:r w:rsidR="00742C32" w:rsidRPr="00700A64">
        <w:rPr>
          <w:rFonts w:ascii="Book Antiqua" w:hAnsi="Book Antiqua"/>
          <w:bCs/>
        </w:rPr>
        <w:t>higher in</w:t>
      </w:r>
      <w:r w:rsidR="00D813F6" w:rsidRPr="00700A64">
        <w:rPr>
          <w:rFonts w:ascii="Book Antiqua" w:hAnsi="Book Antiqua"/>
          <w:bCs/>
        </w:rPr>
        <w:t xml:space="preserve"> CD patients (</w:t>
      </w:r>
      <w:r w:rsidR="00F94270" w:rsidRPr="00700A64">
        <w:rPr>
          <w:rFonts w:ascii="Book Antiqua" w:hAnsi="Book Antiqua"/>
          <w:bCs/>
          <w:i/>
        </w:rPr>
        <w:t xml:space="preserve">P = </w:t>
      </w:r>
      <w:r w:rsidR="00D813F6" w:rsidRPr="00700A64">
        <w:rPr>
          <w:rFonts w:ascii="Book Antiqua" w:hAnsi="Book Antiqua"/>
          <w:bCs/>
        </w:rPr>
        <w:t xml:space="preserve">0.0002) and in patients </w:t>
      </w:r>
      <w:r w:rsidR="00846D78" w:rsidRPr="00700A64">
        <w:rPr>
          <w:rFonts w:ascii="Book Antiqua" w:hAnsi="Book Antiqua"/>
          <w:bCs/>
        </w:rPr>
        <w:t>with CD and</w:t>
      </w:r>
      <w:r w:rsidR="00D813F6" w:rsidRPr="00700A64">
        <w:rPr>
          <w:rFonts w:ascii="Book Antiqua" w:hAnsi="Book Antiqua"/>
          <w:bCs/>
        </w:rPr>
        <w:t xml:space="preserve"> coexisting T1D (</w:t>
      </w:r>
      <w:r w:rsidR="00F94270" w:rsidRPr="00700A64">
        <w:rPr>
          <w:rFonts w:ascii="Book Antiqua" w:hAnsi="Book Antiqua"/>
          <w:bCs/>
          <w:i/>
        </w:rPr>
        <w:t xml:space="preserve">P = </w:t>
      </w:r>
      <w:r w:rsidR="00D813F6" w:rsidRPr="00700A64">
        <w:rPr>
          <w:rFonts w:ascii="Book Antiqua" w:hAnsi="Book Antiqua"/>
          <w:bCs/>
        </w:rPr>
        <w:t>0.002) compar</w:t>
      </w:r>
      <w:r w:rsidR="00846D78" w:rsidRPr="00700A64">
        <w:rPr>
          <w:rFonts w:ascii="Book Antiqua" w:hAnsi="Book Antiqua"/>
          <w:bCs/>
        </w:rPr>
        <w:t>ed</w:t>
      </w:r>
      <w:r w:rsidR="00D813F6" w:rsidRPr="00700A64">
        <w:rPr>
          <w:rFonts w:ascii="Book Antiqua" w:hAnsi="Book Antiqua"/>
          <w:bCs/>
        </w:rPr>
        <w:t xml:space="preserve"> with patients with</w:t>
      </w:r>
      <w:r w:rsidR="00846D78" w:rsidRPr="00700A64">
        <w:rPr>
          <w:rFonts w:ascii="Book Antiqua" w:hAnsi="Book Antiqua"/>
          <w:bCs/>
        </w:rPr>
        <w:t xml:space="preserve"> </w:t>
      </w:r>
      <w:r w:rsidR="00D813F6" w:rsidRPr="00700A64">
        <w:rPr>
          <w:rFonts w:ascii="Book Antiqua" w:hAnsi="Book Antiqua"/>
          <w:bCs/>
        </w:rPr>
        <w:t>normal mucosa</w:t>
      </w:r>
      <w:r w:rsidR="002A32CD" w:rsidRPr="00700A64">
        <w:rPr>
          <w:rFonts w:ascii="Book Antiqua" w:hAnsi="Book Antiqua"/>
          <w:bCs/>
        </w:rPr>
        <w:t xml:space="preserve"> (Fig</w:t>
      </w:r>
      <w:r w:rsidR="00706A7A" w:rsidRPr="00700A64">
        <w:rPr>
          <w:rFonts w:ascii="Book Antiqua" w:hAnsi="Book Antiqua"/>
          <w:bCs/>
        </w:rPr>
        <w:t>ure</w:t>
      </w:r>
      <w:r w:rsidR="002A32CD" w:rsidRPr="00700A64">
        <w:rPr>
          <w:rFonts w:ascii="Book Antiqua" w:hAnsi="Book Antiqua"/>
          <w:bCs/>
        </w:rPr>
        <w:t xml:space="preserve"> </w:t>
      </w:r>
      <w:r w:rsidR="0004468D" w:rsidRPr="00700A64">
        <w:rPr>
          <w:rFonts w:ascii="Book Antiqua" w:hAnsi="Book Antiqua"/>
          <w:bCs/>
        </w:rPr>
        <w:t>2</w:t>
      </w:r>
      <w:r w:rsidR="005E0D30" w:rsidRPr="00700A64">
        <w:rPr>
          <w:rFonts w:ascii="Book Antiqua" w:hAnsi="Book Antiqua"/>
          <w:bCs/>
        </w:rPr>
        <w:t>B</w:t>
      </w:r>
      <w:r w:rsidR="002A32CD" w:rsidRPr="00700A64">
        <w:rPr>
          <w:rFonts w:ascii="Book Antiqua" w:hAnsi="Book Antiqua"/>
          <w:bCs/>
        </w:rPr>
        <w:t>)</w:t>
      </w:r>
      <w:r w:rsidR="00D813F6" w:rsidRPr="00700A64">
        <w:rPr>
          <w:rFonts w:ascii="Book Antiqua" w:hAnsi="Book Antiqua"/>
          <w:bCs/>
        </w:rPr>
        <w:t>.</w:t>
      </w:r>
      <w:r w:rsidR="00D53D2B" w:rsidRPr="00700A64">
        <w:rPr>
          <w:rFonts w:ascii="Book Antiqua" w:hAnsi="Book Antiqua"/>
          <w:bCs/>
        </w:rPr>
        <w:t xml:space="preserve"> </w:t>
      </w:r>
      <w:r w:rsidR="00A7050F" w:rsidRPr="00700A64">
        <w:rPr>
          <w:rFonts w:ascii="Book Antiqua" w:hAnsi="Book Antiqua"/>
          <w:bCs/>
        </w:rPr>
        <w:t xml:space="preserve">The density of FOXP3+ </w:t>
      </w:r>
      <w:r w:rsidR="00553398">
        <w:rPr>
          <w:rFonts w:ascii="Book Antiqua" w:hAnsi="Book Antiqua"/>
          <w:bCs/>
        </w:rPr>
        <w:t>Tregs</w:t>
      </w:r>
      <w:r w:rsidR="00A7050F" w:rsidRPr="00700A64">
        <w:rPr>
          <w:rFonts w:ascii="Book Antiqua" w:hAnsi="Book Antiqua"/>
          <w:bCs/>
        </w:rPr>
        <w:t xml:space="preserve"> significantly </w:t>
      </w:r>
      <w:r w:rsidR="00A7050F" w:rsidRPr="00700A64">
        <w:rPr>
          <w:rFonts w:ascii="Book Antiqua" w:hAnsi="Book Antiqua"/>
          <w:bCs/>
        </w:rPr>
        <w:lastRenderedPageBreak/>
        <w:t xml:space="preserve">correlated with </w:t>
      </w:r>
      <w:r w:rsidR="00BC5BF0" w:rsidRPr="00700A64">
        <w:rPr>
          <w:rFonts w:ascii="Book Antiqua" w:hAnsi="Book Antiqua"/>
          <w:bCs/>
        </w:rPr>
        <w:t xml:space="preserve">the </w:t>
      </w:r>
      <w:r w:rsidR="00A7050F" w:rsidRPr="00700A64">
        <w:rPr>
          <w:rFonts w:ascii="Book Antiqua" w:hAnsi="Book Antiqua"/>
          <w:bCs/>
        </w:rPr>
        <w:t xml:space="preserve">histological grade of atrophic changes in </w:t>
      </w:r>
      <w:r w:rsidR="00846D78" w:rsidRPr="00700A64">
        <w:rPr>
          <w:rFonts w:ascii="Book Antiqua" w:hAnsi="Book Antiqua"/>
          <w:bCs/>
        </w:rPr>
        <w:t xml:space="preserve">the </w:t>
      </w:r>
      <w:r w:rsidR="00A7050F" w:rsidRPr="00700A64">
        <w:rPr>
          <w:rFonts w:ascii="Book Antiqua" w:hAnsi="Book Antiqua"/>
          <w:bCs/>
        </w:rPr>
        <w:t xml:space="preserve">small bowel mucosa according to </w:t>
      </w:r>
      <w:r w:rsidR="00846D78" w:rsidRPr="00700A64">
        <w:rPr>
          <w:rFonts w:ascii="Book Antiqua" w:hAnsi="Book Antiqua"/>
          <w:bCs/>
        </w:rPr>
        <w:t xml:space="preserve">the </w:t>
      </w:r>
      <w:r w:rsidR="00A7050F" w:rsidRPr="00700A64">
        <w:rPr>
          <w:rFonts w:ascii="Book Antiqua" w:hAnsi="Book Antiqua"/>
          <w:bCs/>
        </w:rPr>
        <w:t>March classification (</w:t>
      </w:r>
      <w:r w:rsidR="00A7050F" w:rsidRPr="00700A64">
        <w:rPr>
          <w:rFonts w:ascii="Book Antiqua" w:hAnsi="Book Antiqua"/>
          <w:bCs/>
          <w:i/>
        </w:rPr>
        <w:t>r</w:t>
      </w:r>
      <w:r w:rsidR="00553398">
        <w:rPr>
          <w:rFonts w:ascii="Book Antiqua" w:hAnsi="Book Antiqua" w:hint="eastAsia"/>
          <w:bCs/>
          <w:i/>
          <w:lang w:eastAsia="zh-CN"/>
        </w:rPr>
        <w:t xml:space="preserve"> </w:t>
      </w:r>
      <w:r w:rsidR="00A7050F" w:rsidRPr="00700A64">
        <w:rPr>
          <w:rFonts w:ascii="Book Antiqua" w:hAnsi="Book Antiqua"/>
          <w:bCs/>
        </w:rPr>
        <w:t>=</w:t>
      </w:r>
      <w:r w:rsidR="00553398">
        <w:rPr>
          <w:rFonts w:ascii="Book Antiqua" w:hAnsi="Book Antiqua" w:hint="eastAsia"/>
          <w:bCs/>
          <w:lang w:eastAsia="zh-CN"/>
        </w:rPr>
        <w:t xml:space="preserve"> </w:t>
      </w:r>
      <w:r w:rsidR="00A7050F" w:rsidRPr="00700A64">
        <w:rPr>
          <w:rFonts w:ascii="Book Antiqua" w:hAnsi="Book Antiqua"/>
          <w:bCs/>
        </w:rPr>
        <w:t xml:space="preserve">0.62; </w:t>
      </w:r>
      <w:r w:rsidR="005E0D30" w:rsidRPr="00700A64">
        <w:rPr>
          <w:rFonts w:ascii="Book Antiqua" w:hAnsi="Book Antiqua"/>
          <w:bCs/>
          <w:i/>
        </w:rPr>
        <w:t>P</w:t>
      </w:r>
      <w:r w:rsidR="00553398">
        <w:rPr>
          <w:rFonts w:ascii="Book Antiqua" w:hAnsi="Book Antiqua" w:hint="eastAsia"/>
          <w:bCs/>
          <w:i/>
          <w:lang w:eastAsia="zh-CN"/>
        </w:rPr>
        <w:t xml:space="preserve"> </w:t>
      </w:r>
      <w:r w:rsidR="00A7050F" w:rsidRPr="00700A64">
        <w:rPr>
          <w:rFonts w:ascii="Book Antiqua" w:hAnsi="Book Antiqua"/>
          <w:bCs/>
        </w:rPr>
        <w:t>&lt;</w:t>
      </w:r>
      <w:r w:rsidR="00553398">
        <w:rPr>
          <w:rFonts w:ascii="Book Antiqua" w:hAnsi="Book Antiqua" w:hint="eastAsia"/>
          <w:bCs/>
          <w:lang w:eastAsia="zh-CN"/>
        </w:rPr>
        <w:t xml:space="preserve"> </w:t>
      </w:r>
      <w:r w:rsidR="00A7050F" w:rsidRPr="00700A64">
        <w:rPr>
          <w:rFonts w:ascii="Book Antiqua" w:hAnsi="Book Antiqua"/>
          <w:bCs/>
        </w:rPr>
        <w:t>0.0001)</w:t>
      </w:r>
      <w:r w:rsidR="00DA7668" w:rsidRPr="00700A64">
        <w:rPr>
          <w:rFonts w:ascii="Book Antiqua" w:hAnsi="Book Antiqua"/>
          <w:bCs/>
        </w:rPr>
        <w:t xml:space="preserve"> </w:t>
      </w:r>
      <w:r w:rsidR="00B73002" w:rsidRPr="00700A64">
        <w:rPr>
          <w:rFonts w:ascii="Book Antiqua" w:hAnsi="Book Antiqua"/>
          <w:bCs/>
        </w:rPr>
        <w:t>and</w:t>
      </w:r>
      <w:r w:rsidR="00DA7668" w:rsidRPr="00700A64">
        <w:rPr>
          <w:rFonts w:ascii="Book Antiqua" w:hAnsi="Book Antiqua"/>
          <w:bCs/>
        </w:rPr>
        <w:t xml:space="preserve"> with level</w:t>
      </w:r>
      <w:r w:rsidR="00BC5BF0" w:rsidRPr="00700A64">
        <w:rPr>
          <w:rFonts w:ascii="Book Antiqua" w:hAnsi="Book Antiqua"/>
          <w:bCs/>
        </w:rPr>
        <w:t>s</w:t>
      </w:r>
      <w:r w:rsidR="00DA7668" w:rsidRPr="00700A64">
        <w:rPr>
          <w:rFonts w:ascii="Book Antiqua" w:hAnsi="Book Antiqua"/>
          <w:bCs/>
        </w:rPr>
        <w:t xml:space="preserve"> of </w:t>
      </w:r>
      <w:r w:rsidR="002C0120" w:rsidRPr="00700A64">
        <w:rPr>
          <w:rFonts w:ascii="Book Antiqua" w:hAnsi="Book Antiqua"/>
          <w:bCs/>
        </w:rPr>
        <w:t>IgA-</w:t>
      </w:r>
      <w:r w:rsidR="00DA7668" w:rsidRPr="00700A64">
        <w:rPr>
          <w:rFonts w:ascii="Book Antiqua" w:hAnsi="Book Antiqua"/>
          <w:bCs/>
        </w:rPr>
        <w:t>tTG</w:t>
      </w:r>
      <w:r w:rsidR="00B57120" w:rsidRPr="00700A64">
        <w:rPr>
          <w:rFonts w:ascii="Book Antiqua" w:hAnsi="Book Antiqua"/>
          <w:bCs/>
        </w:rPr>
        <w:t xml:space="preserve"> (</w:t>
      </w:r>
      <w:r w:rsidR="00B57120" w:rsidRPr="00700A64">
        <w:rPr>
          <w:rFonts w:ascii="Book Antiqua" w:hAnsi="Book Antiqua"/>
          <w:bCs/>
          <w:i/>
        </w:rPr>
        <w:t>r</w:t>
      </w:r>
      <w:r w:rsidR="00553398">
        <w:rPr>
          <w:rFonts w:ascii="Book Antiqua" w:hAnsi="Book Antiqua" w:hint="eastAsia"/>
          <w:bCs/>
          <w:i/>
          <w:lang w:eastAsia="zh-CN"/>
        </w:rPr>
        <w:t xml:space="preserve"> </w:t>
      </w:r>
      <w:r w:rsidR="00B57120" w:rsidRPr="00700A64">
        <w:rPr>
          <w:rFonts w:ascii="Book Antiqua" w:hAnsi="Book Antiqua"/>
          <w:bCs/>
        </w:rPr>
        <w:t>=</w:t>
      </w:r>
      <w:r w:rsidR="00553398">
        <w:rPr>
          <w:rFonts w:ascii="Book Antiqua" w:hAnsi="Book Antiqua" w:hint="eastAsia"/>
          <w:bCs/>
          <w:lang w:eastAsia="zh-CN"/>
        </w:rPr>
        <w:t xml:space="preserve"> </w:t>
      </w:r>
      <w:r w:rsidR="00B57120" w:rsidRPr="00700A64">
        <w:rPr>
          <w:rFonts w:ascii="Book Antiqua" w:hAnsi="Book Antiqua"/>
          <w:bCs/>
        </w:rPr>
        <w:t>0.55</w:t>
      </w:r>
      <w:r w:rsidR="00553398">
        <w:rPr>
          <w:rFonts w:ascii="Book Antiqua" w:hAnsi="Book Antiqua" w:hint="eastAsia"/>
          <w:bCs/>
          <w:lang w:eastAsia="zh-CN"/>
        </w:rPr>
        <w:t>;</w:t>
      </w:r>
      <w:r w:rsidR="00B57120" w:rsidRPr="00700A64">
        <w:rPr>
          <w:rFonts w:ascii="Book Antiqua" w:hAnsi="Book Antiqua"/>
          <w:bCs/>
        </w:rPr>
        <w:t xml:space="preserve"> </w:t>
      </w:r>
      <w:r w:rsidR="005E0D30" w:rsidRPr="00700A64">
        <w:rPr>
          <w:rFonts w:ascii="Book Antiqua" w:hAnsi="Book Antiqua"/>
          <w:bCs/>
          <w:i/>
        </w:rPr>
        <w:t>P</w:t>
      </w:r>
      <w:r w:rsidR="00553398">
        <w:rPr>
          <w:rFonts w:ascii="Book Antiqua" w:hAnsi="Book Antiqua" w:hint="eastAsia"/>
          <w:bCs/>
          <w:i/>
          <w:lang w:eastAsia="zh-CN"/>
        </w:rPr>
        <w:t xml:space="preserve"> </w:t>
      </w:r>
      <w:r w:rsidR="00B57120" w:rsidRPr="00700A64">
        <w:rPr>
          <w:rFonts w:ascii="Book Antiqua" w:hAnsi="Book Antiqua"/>
          <w:bCs/>
        </w:rPr>
        <w:t>&lt;</w:t>
      </w:r>
      <w:r w:rsidR="00553398">
        <w:rPr>
          <w:rFonts w:ascii="Book Antiqua" w:hAnsi="Book Antiqua" w:hint="eastAsia"/>
          <w:bCs/>
          <w:lang w:eastAsia="zh-CN"/>
        </w:rPr>
        <w:t xml:space="preserve"> </w:t>
      </w:r>
      <w:r w:rsidR="00B57120" w:rsidRPr="00700A64">
        <w:rPr>
          <w:rFonts w:ascii="Book Antiqua" w:hAnsi="Book Antiqua"/>
          <w:bCs/>
        </w:rPr>
        <w:t xml:space="preserve"> 0.0001)</w:t>
      </w:r>
      <w:r w:rsidR="00A7050F" w:rsidRPr="00700A64">
        <w:rPr>
          <w:rFonts w:ascii="Book Antiqua" w:hAnsi="Book Antiqua"/>
          <w:bCs/>
        </w:rPr>
        <w:t xml:space="preserve"> (Fig</w:t>
      </w:r>
      <w:r w:rsidR="00667797" w:rsidRPr="00700A64">
        <w:rPr>
          <w:rFonts w:ascii="Book Antiqua" w:hAnsi="Book Antiqua"/>
          <w:bCs/>
        </w:rPr>
        <w:t>ure</w:t>
      </w:r>
      <w:r w:rsidR="00846D78" w:rsidRPr="00700A64">
        <w:rPr>
          <w:rFonts w:ascii="Book Antiqua" w:hAnsi="Book Antiqua"/>
          <w:bCs/>
        </w:rPr>
        <w:t>s</w:t>
      </w:r>
      <w:r w:rsidR="00667797" w:rsidRPr="00700A64">
        <w:rPr>
          <w:rFonts w:ascii="Book Antiqua" w:hAnsi="Book Antiqua"/>
          <w:bCs/>
        </w:rPr>
        <w:t xml:space="preserve"> </w:t>
      </w:r>
      <w:r w:rsidR="0004468D" w:rsidRPr="00700A64">
        <w:rPr>
          <w:rFonts w:ascii="Book Antiqua" w:hAnsi="Book Antiqua"/>
          <w:bCs/>
        </w:rPr>
        <w:t>2</w:t>
      </w:r>
      <w:r w:rsidR="005E0D30" w:rsidRPr="00700A64">
        <w:rPr>
          <w:rFonts w:ascii="Book Antiqua" w:hAnsi="Book Antiqua"/>
          <w:bCs/>
        </w:rPr>
        <w:t>C</w:t>
      </w:r>
      <w:r w:rsidR="00B57120" w:rsidRPr="00700A64">
        <w:rPr>
          <w:rFonts w:ascii="Book Antiqua" w:hAnsi="Book Antiqua"/>
          <w:bCs/>
        </w:rPr>
        <w:t xml:space="preserve"> and </w:t>
      </w:r>
      <w:r w:rsidR="00B80636" w:rsidRPr="00700A64">
        <w:rPr>
          <w:rFonts w:ascii="Book Antiqua" w:hAnsi="Book Antiqua"/>
          <w:bCs/>
        </w:rPr>
        <w:t>2</w:t>
      </w:r>
      <w:r w:rsidR="005E0D30" w:rsidRPr="00700A64">
        <w:rPr>
          <w:rFonts w:ascii="Book Antiqua" w:hAnsi="Book Antiqua"/>
          <w:bCs/>
        </w:rPr>
        <w:t>D</w:t>
      </w:r>
      <w:r w:rsidR="00ED23D6" w:rsidRPr="00700A64">
        <w:rPr>
          <w:rFonts w:ascii="Book Antiqua" w:hAnsi="Book Antiqua"/>
          <w:bCs/>
        </w:rPr>
        <w:t xml:space="preserve">). </w:t>
      </w:r>
    </w:p>
    <w:p w:rsidR="00222567" w:rsidRPr="00700A64" w:rsidRDefault="0004468D"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rPr>
        <w:t xml:space="preserve">IDO+ DCs were detected on paraffin sections </w:t>
      </w:r>
      <w:r w:rsidR="009C40A6" w:rsidRPr="00700A64">
        <w:rPr>
          <w:rFonts w:ascii="Book Antiqua" w:hAnsi="Book Antiqua"/>
        </w:rPr>
        <w:t xml:space="preserve">by </w:t>
      </w:r>
      <w:r w:rsidRPr="00700A64">
        <w:rPr>
          <w:rFonts w:ascii="Book Antiqua" w:hAnsi="Book Antiqua"/>
        </w:rPr>
        <w:t>mono</w:t>
      </w:r>
      <w:r w:rsidR="00BC5BF0" w:rsidRPr="00700A64">
        <w:rPr>
          <w:rFonts w:ascii="Book Antiqua" w:hAnsi="Book Antiqua"/>
        </w:rPr>
        <w:t>-</w:t>
      </w:r>
      <w:r w:rsidRPr="00700A64">
        <w:rPr>
          <w:rFonts w:ascii="Book Antiqua" w:hAnsi="Book Antiqua"/>
        </w:rPr>
        <w:t xml:space="preserve">staining </w:t>
      </w:r>
      <w:r w:rsidR="009C40A6" w:rsidRPr="00700A64">
        <w:rPr>
          <w:rFonts w:ascii="Book Antiqua" w:hAnsi="Book Antiqua"/>
        </w:rPr>
        <w:t xml:space="preserve">using </w:t>
      </w:r>
      <w:r w:rsidRPr="00700A64">
        <w:rPr>
          <w:rFonts w:ascii="Book Antiqua" w:hAnsi="Book Antiqua"/>
        </w:rPr>
        <w:t xml:space="preserve">the </w:t>
      </w:r>
      <w:r w:rsidR="004F1E5D" w:rsidRPr="00700A64">
        <w:rPr>
          <w:rFonts w:ascii="Book Antiqua" w:hAnsi="Book Antiqua"/>
        </w:rPr>
        <w:t>a</w:t>
      </w:r>
      <w:r w:rsidRPr="00700A64">
        <w:rPr>
          <w:rFonts w:ascii="Book Antiqua" w:hAnsi="Book Antiqua"/>
        </w:rPr>
        <w:t>vidin-</w:t>
      </w:r>
      <w:r w:rsidR="004F1E5D" w:rsidRPr="00700A64">
        <w:rPr>
          <w:rFonts w:ascii="Book Antiqua" w:hAnsi="Book Antiqua"/>
        </w:rPr>
        <w:t>b</w:t>
      </w:r>
      <w:r w:rsidRPr="00700A64">
        <w:rPr>
          <w:rFonts w:ascii="Book Antiqua" w:hAnsi="Book Antiqua"/>
        </w:rPr>
        <w:t>iotin immunohistochemical method (Figure 3).</w:t>
      </w:r>
    </w:p>
    <w:p w:rsidR="002E52CB" w:rsidRPr="00700A64" w:rsidRDefault="000461CE"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bCs/>
        </w:rPr>
        <w:t>The densit</w:t>
      </w:r>
      <w:r w:rsidR="00CE5675" w:rsidRPr="00700A64">
        <w:rPr>
          <w:rFonts w:ascii="Book Antiqua" w:hAnsi="Book Antiqua"/>
          <w:bCs/>
        </w:rPr>
        <w:t>ies</w:t>
      </w:r>
      <w:r w:rsidRPr="00700A64">
        <w:rPr>
          <w:rFonts w:ascii="Book Antiqua" w:hAnsi="Book Antiqua"/>
          <w:bCs/>
        </w:rPr>
        <w:t xml:space="preserve"> of IDO+ DCs </w:t>
      </w:r>
      <w:r w:rsidR="00CE5675" w:rsidRPr="00700A64">
        <w:rPr>
          <w:rFonts w:ascii="Book Antiqua" w:hAnsi="Book Antiqua"/>
          <w:bCs/>
        </w:rPr>
        <w:t xml:space="preserve">were </w:t>
      </w:r>
      <w:r w:rsidRPr="00700A64">
        <w:rPr>
          <w:rFonts w:ascii="Book Antiqua" w:hAnsi="Book Antiqua"/>
          <w:bCs/>
        </w:rPr>
        <w:t>significantly higher in CD patients (</w:t>
      </w:r>
      <w:r w:rsidR="00F94270" w:rsidRPr="00700A64">
        <w:rPr>
          <w:rFonts w:ascii="Book Antiqua" w:hAnsi="Book Antiqua"/>
          <w:bCs/>
          <w:i/>
        </w:rPr>
        <w:t xml:space="preserve">P = </w:t>
      </w:r>
      <w:r w:rsidRPr="00700A64">
        <w:rPr>
          <w:rFonts w:ascii="Book Antiqua" w:hAnsi="Book Antiqua"/>
          <w:bCs/>
        </w:rPr>
        <w:t>0.00</w:t>
      </w:r>
      <w:r w:rsidR="002D2BCE" w:rsidRPr="00700A64">
        <w:rPr>
          <w:rFonts w:ascii="Book Antiqua" w:hAnsi="Book Antiqua"/>
          <w:bCs/>
        </w:rPr>
        <w:t>00</w:t>
      </w:r>
      <w:r w:rsidRPr="00700A64">
        <w:rPr>
          <w:rFonts w:ascii="Book Antiqua" w:hAnsi="Book Antiqua"/>
          <w:bCs/>
        </w:rPr>
        <w:t xml:space="preserve">3) and in </w:t>
      </w:r>
      <w:r w:rsidR="00846D78" w:rsidRPr="00700A64">
        <w:rPr>
          <w:rFonts w:ascii="Book Antiqua" w:hAnsi="Book Antiqua"/>
          <w:bCs/>
        </w:rPr>
        <w:t xml:space="preserve">patients with </w:t>
      </w:r>
      <w:r w:rsidRPr="00700A64">
        <w:rPr>
          <w:rFonts w:ascii="Book Antiqua" w:hAnsi="Book Antiqua"/>
          <w:bCs/>
        </w:rPr>
        <w:t xml:space="preserve">CD </w:t>
      </w:r>
      <w:r w:rsidR="00846D78" w:rsidRPr="00700A64">
        <w:rPr>
          <w:rFonts w:ascii="Book Antiqua" w:hAnsi="Book Antiqua"/>
          <w:bCs/>
        </w:rPr>
        <w:t xml:space="preserve">and </w:t>
      </w:r>
      <w:r w:rsidRPr="00700A64">
        <w:rPr>
          <w:rFonts w:ascii="Book Antiqua" w:hAnsi="Book Antiqua"/>
          <w:bCs/>
        </w:rPr>
        <w:t>coexisting T1D (</w:t>
      </w:r>
      <w:r w:rsidR="00F94270" w:rsidRPr="00700A64">
        <w:rPr>
          <w:rFonts w:ascii="Book Antiqua" w:hAnsi="Book Antiqua"/>
          <w:bCs/>
          <w:i/>
        </w:rPr>
        <w:t xml:space="preserve">P = </w:t>
      </w:r>
      <w:r w:rsidRPr="00700A64">
        <w:rPr>
          <w:rFonts w:ascii="Book Antiqua" w:hAnsi="Book Antiqua"/>
          <w:bCs/>
        </w:rPr>
        <w:t>0.004) compar</w:t>
      </w:r>
      <w:r w:rsidR="00846D78" w:rsidRPr="00700A64">
        <w:rPr>
          <w:rFonts w:ascii="Book Antiqua" w:hAnsi="Book Antiqua"/>
          <w:bCs/>
        </w:rPr>
        <w:t>ed</w:t>
      </w:r>
      <w:r w:rsidRPr="00700A64">
        <w:rPr>
          <w:rFonts w:ascii="Book Antiqua" w:hAnsi="Book Antiqua"/>
          <w:bCs/>
        </w:rPr>
        <w:t xml:space="preserve"> with patients with</w:t>
      </w:r>
      <w:r w:rsidR="004D0617" w:rsidRPr="00700A64">
        <w:rPr>
          <w:rFonts w:ascii="Book Antiqua" w:hAnsi="Book Antiqua"/>
          <w:bCs/>
        </w:rPr>
        <w:t xml:space="preserve"> </w:t>
      </w:r>
      <w:r w:rsidRPr="00700A64">
        <w:rPr>
          <w:rFonts w:ascii="Book Antiqua" w:hAnsi="Book Antiqua"/>
          <w:bCs/>
        </w:rPr>
        <w:t>normal mucosa</w:t>
      </w:r>
      <w:r w:rsidR="002A32CD" w:rsidRPr="00700A64">
        <w:rPr>
          <w:rFonts w:ascii="Book Antiqua" w:hAnsi="Book Antiqua"/>
          <w:bCs/>
        </w:rPr>
        <w:t xml:space="preserve"> (Fig</w:t>
      </w:r>
      <w:r w:rsidR="00736C3F" w:rsidRPr="00700A64">
        <w:rPr>
          <w:rFonts w:ascii="Book Antiqua" w:hAnsi="Book Antiqua"/>
          <w:bCs/>
        </w:rPr>
        <w:t>ure</w:t>
      </w:r>
      <w:r w:rsidR="002A32CD" w:rsidRPr="00700A64">
        <w:rPr>
          <w:rFonts w:ascii="Book Antiqua" w:hAnsi="Book Antiqua"/>
          <w:bCs/>
        </w:rPr>
        <w:t xml:space="preserve"> </w:t>
      </w:r>
      <w:r w:rsidR="004B2B0D" w:rsidRPr="00700A64">
        <w:rPr>
          <w:rFonts w:ascii="Book Antiqua" w:hAnsi="Book Antiqua"/>
          <w:bCs/>
        </w:rPr>
        <w:t>4</w:t>
      </w:r>
      <w:r w:rsidR="0004468D" w:rsidRPr="00700A64">
        <w:rPr>
          <w:rFonts w:ascii="Book Antiqua" w:hAnsi="Book Antiqua"/>
          <w:bCs/>
        </w:rPr>
        <w:t>A</w:t>
      </w:r>
      <w:r w:rsidR="002A32CD" w:rsidRPr="00700A64">
        <w:rPr>
          <w:rFonts w:ascii="Book Antiqua" w:hAnsi="Book Antiqua"/>
          <w:bCs/>
        </w:rPr>
        <w:t>)</w:t>
      </w:r>
      <w:r w:rsidRPr="00700A64">
        <w:rPr>
          <w:rFonts w:ascii="Book Antiqua" w:hAnsi="Book Antiqua"/>
          <w:bCs/>
        </w:rPr>
        <w:t>.</w:t>
      </w:r>
      <w:r w:rsidR="00736C3F" w:rsidRPr="00700A64">
        <w:rPr>
          <w:rFonts w:ascii="Book Antiqua" w:hAnsi="Book Antiqua"/>
          <w:bCs/>
        </w:rPr>
        <w:t xml:space="preserve"> </w:t>
      </w:r>
      <w:r w:rsidR="00302156" w:rsidRPr="00700A64">
        <w:rPr>
          <w:rFonts w:ascii="Book Antiqua" w:hAnsi="Book Antiqua"/>
          <w:bCs/>
        </w:rPr>
        <w:t>This</w:t>
      </w:r>
      <w:r w:rsidR="00CE5675" w:rsidRPr="00700A64">
        <w:rPr>
          <w:rFonts w:ascii="Book Antiqua" w:hAnsi="Book Antiqua"/>
          <w:bCs/>
        </w:rPr>
        <w:t xml:space="preserve"> difference</w:t>
      </w:r>
      <w:r w:rsidR="00302156" w:rsidRPr="00700A64">
        <w:rPr>
          <w:rFonts w:ascii="Book Antiqua" w:hAnsi="Book Antiqua"/>
          <w:bCs/>
        </w:rPr>
        <w:t xml:space="preserve"> was dependent on </w:t>
      </w:r>
      <w:r w:rsidR="00302156" w:rsidRPr="00700A64">
        <w:rPr>
          <w:rFonts w:ascii="Book Antiqua" w:hAnsi="Book Antiqua"/>
        </w:rPr>
        <w:t>the</w:t>
      </w:r>
      <w:r w:rsidR="000930DC" w:rsidRPr="00700A64">
        <w:rPr>
          <w:rFonts w:ascii="Book Antiqua" w:hAnsi="Book Antiqua"/>
        </w:rPr>
        <w:t xml:space="preserve"> grade of atrophic and inflammatory changes in </w:t>
      </w:r>
      <w:r w:rsidR="00846D78" w:rsidRPr="00700A64">
        <w:rPr>
          <w:rFonts w:ascii="Book Antiqua" w:hAnsi="Book Antiqua"/>
        </w:rPr>
        <w:t xml:space="preserve">the </w:t>
      </w:r>
      <w:r w:rsidR="000930DC" w:rsidRPr="00700A64">
        <w:rPr>
          <w:rFonts w:ascii="Book Antiqua" w:hAnsi="Book Antiqua"/>
        </w:rPr>
        <w:t xml:space="preserve">small bowel mucosa, </w:t>
      </w:r>
      <w:r w:rsidR="00144DFD" w:rsidRPr="00700A64">
        <w:rPr>
          <w:rFonts w:ascii="Book Antiqua" w:hAnsi="Book Antiqua"/>
        </w:rPr>
        <w:t xml:space="preserve">e.g., </w:t>
      </w:r>
      <w:r w:rsidR="00846D78" w:rsidRPr="00700A64">
        <w:rPr>
          <w:rFonts w:ascii="Book Antiqua" w:hAnsi="Book Antiqua"/>
        </w:rPr>
        <w:t>in</w:t>
      </w:r>
      <w:r w:rsidR="000930DC" w:rsidRPr="00700A64">
        <w:rPr>
          <w:rFonts w:ascii="Book Antiqua" w:hAnsi="Book Antiqua"/>
        </w:rPr>
        <w:t xml:space="preserve"> subtotal villous atrophy (grade IIIb</w:t>
      </w:r>
      <w:r w:rsidR="009C40A6" w:rsidRPr="00700A64">
        <w:rPr>
          <w:rFonts w:ascii="Book Antiqua" w:hAnsi="Book Antiqua"/>
        </w:rPr>
        <w:t>,</w:t>
      </w:r>
      <w:r w:rsidR="000930DC" w:rsidRPr="00700A64">
        <w:rPr>
          <w:rFonts w:ascii="Book Antiqua" w:hAnsi="Book Antiqua"/>
        </w:rPr>
        <w:t xml:space="preserve"> according to Marsh)</w:t>
      </w:r>
      <w:r w:rsidR="009C40A6" w:rsidRPr="00700A64">
        <w:rPr>
          <w:rFonts w:ascii="Book Antiqua" w:hAnsi="Book Antiqua"/>
        </w:rPr>
        <w:t>,</w:t>
      </w:r>
      <w:r w:rsidR="000930DC" w:rsidRPr="00700A64">
        <w:rPr>
          <w:rFonts w:ascii="Book Antiqua" w:hAnsi="Book Antiqua"/>
        </w:rPr>
        <w:t xml:space="preserve"> the mean value of IDO+ DCs was 10.37</w:t>
      </w:r>
      <w:r w:rsidR="00553398">
        <w:rPr>
          <w:rFonts w:ascii="Book Antiqua" w:hAnsi="Book Antiqua" w:hint="eastAsia"/>
          <w:lang w:eastAsia="zh-CN"/>
        </w:rPr>
        <w:t xml:space="preserve"> </w:t>
      </w:r>
      <w:r w:rsidR="000930DC" w:rsidRPr="00700A64">
        <w:rPr>
          <w:rFonts w:ascii="Book Antiqua" w:hAnsi="Book Antiqua"/>
        </w:rPr>
        <w:sym w:font="Symbol" w:char="F0B1"/>
      </w:r>
      <w:r w:rsidR="00553398">
        <w:rPr>
          <w:rFonts w:ascii="Book Antiqua" w:hAnsi="Book Antiqua" w:hint="eastAsia"/>
          <w:lang w:eastAsia="zh-CN"/>
        </w:rPr>
        <w:t xml:space="preserve"> </w:t>
      </w:r>
      <w:r w:rsidR="000930DC" w:rsidRPr="00700A64">
        <w:rPr>
          <w:rFonts w:ascii="Book Antiqua" w:hAnsi="Book Antiqua"/>
        </w:rPr>
        <w:t xml:space="preserve">1.24 </w:t>
      </w:r>
      <w:r w:rsidR="00553398" w:rsidRPr="00553398">
        <w:rPr>
          <w:rFonts w:ascii="Book Antiqua" w:hAnsi="Book Antiqua"/>
          <w:i/>
        </w:rPr>
        <w:t>vs</w:t>
      </w:r>
      <w:r w:rsidR="000930DC" w:rsidRPr="00700A64">
        <w:rPr>
          <w:rFonts w:ascii="Book Antiqua" w:hAnsi="Book Antiqua"/>
        </w:rPr>
        <w:t xml:space="preserve"> 6.40</w:t>
      </w:r>
      <w:r w:rsidR="00553398">
        <w:rPr>
          <w:rFonts w:ascii="Book Antiqua" w:hAnsi="Book Antiqua" w:hint="eastAsia"/>
          <w:lang w:eastAsia="zh-CN"/>
        </w:rPr>
        <w:t xml:space="preserve"> </w:t>
      </w:r>
      <w:r w:rsidR="000930DC" w:rsidRPr="00700A64">
        <w:rPr>
          <w:rFonts w:ascii="Book Antiqua" w:hAnsi="Book Antiqua"/>
        </w:rPr>
        <w:sym w:font="Symbol" w:char="F0B1"/>
      </w:r>
      <w:r w:rsidR="00553398">
        <w:rPr>
          <w:rFonts w:ascii="Book Antiqua" w:hAnsi="Book Antiqua" w:hint="eastAsia"/>
          <w:lang w:eastAsia="zh-CN"/>
        </w:rPr>
        <w:t xml:space="preserve"> </w:t>
      </w:r>
      <w:r w:rsidR="000930DC" w:rsidRPr="00700A64">
        <w:rPr>
          <w:rFonts w:ascii="Book Antiqua" w:hAnsi="Book Antiqua"/>
        </w:rPr>
        <w:t xml:space="preserve">1.75 </w:t>
      </w:r>
      <w:r w:rsidR="00846D78" w:rsidRPr="00700A64">
        <w:rPr>
          <w:rFonts w:ascii="Book Antiqua" w:hAnsi="Book Antiqua"/>
        </w:rPr>
        <w:t>in</w:t>
      </w:r>
      <w:r w:rsidR="000930DC" w:rsidRPr="00700A64">
        <w:rPr>
          <w:rFonts w:ascii="Book Antiqua" w:hAnsi="Book Antiqua"/>
        </w:rPr>
        <w:t xml:space="preserve"> partial villous atrophy (grade IIIa; </w:t>
      </w:r>
      <w:r w:rsidR="00F94270" w:rsidRPr="00700A64">
        <w:rPr>
          <w:rFonts w:ascii="Book Antiqua" w:hAnsi="Book Antiqua"/>
          <w:i/>
        </w:rPr>
        <w:t xml:space="preserve">P = </w:t>
      </w:r>
      <w:r w:rsidR="000930DC" w:rsidRPr="00700A64">
        <w:rPr>
          <w:rFonts w:ascii="Book Antiqua" w:hAnsi="Book Antiqua"/>
        </w:rPr>
        <w:t xml:space="preserve">0.03). This finding </w:t>
      </w:r>
      <w:r w:rsidR="002C0120" w:rsidRPr="00700A64">
        <w:rPr>
          <w:rFonts w:ascii="Book Antiqua" w:hAnsi="Book Antiqua"/>
        </w:rPr>
        <w:t xml:space="preserve">is </w:t>
      </w:r>
      <w:r w:rsidR="006C17FB" w:rsidRPr="00700A64">
        <w:rPr>
          <w:rFonts w:ascii="Book Antiqua" w:hAnsi="Book Antiqua"/>
        </w:rPr>
        <w:t xml:space="preserve">also </w:t>
      </w:r>
      <w:r w:rsidR="000930DC" w:rsidRPr="00700A64">
        <w:rPr>
          <w:rFonts w:ascii="Book Antiqua" w:hAnsi="Book Antiqua"/>
        </w:rPr>
        <w:t>support</w:t>
      </w:r>
      <w:r w:rsidR="002C0120" w:rsidRPr="00700A64">
        <w:rPr>
          <w:rFonts w:ascii="Book Antiqua" w:hAnsi="Book Antiqua"/>
        </w:rPr>
        <w:t>ed</w:t>
      </w:r>
      <w:r w:rsidR="000930DC" w:rsidRPr="00700A64">
        <w:rPr>
          <w:rFonts w:ascii="Book Antiqua" w:hAnsi="Book Antiqua"/>
        </w:rPr>
        <w:t xml:space="preserve"> </w:t>
      </w:r>
      <w:r w:rsidR="002C0120" w:rsidRPr="00700A64">
        <w:rPr>
          <w:rFonts w:ascii="Book Antiqua" w:hAnsi="Book Antiqua"/>
        </w:rPr>
        <w:t xml:space="preserve">by </w:t>
      </w:r>
      <w:r w:rsidR="000930DC" w:rsidRPr="00700A64">
        <w:rPr>
          <w:rFonts w:ascii="Book Antiqua" w:hAnsi="Book Antiqua"/>
        </w:rPr>
        <w:t xml:space="preserve">analysis </w:t>
      </w:r>
      <w:r w:rsidR="00846D78" w:rsidRPr="00700A64">
        <w:rPr>
          <w:rFonts w:ascii="Book Antiqua" w:hAnsi="Book Antiqua"/>
        </w:rPr>
        <w:t>of the correlation of</w:t>
      </w:r>
      <w:r w:rsidR="000930DC" w:rsidRPr="00700A64">
        <w:rPr>
          <w:rFonts w:ascii="Book Antiqua" w:hAnsi="Book Antiqua"/>
        </w:rPr>
        <w:t xml:space="preserve"> density of IDO+ DCs </w:t>
      </w:r>
      <w:r w:rsidR="00846D78" w:rsidRPr="00700A64">
        <w:rPr>
          <w:rFonts w:ascii="Book Antiqua" w:hAnsi="Book Antiqua"/>
        </w:rPr>
        <w:t>on</w:t>
      </w:r>
      <w:r w:rsidR="000930DC" w:rsidRPr="00700A64">
        <w:rPr>
          <w:rFonts w:ascii="Book Antiqua" w:hAnsi="Book Antiqua"/>
        </w:rPr>
        <w:t xml:space="preserve"> paraffin sections </w:t>
      </w:r>
      <w:r w:rsidR="00846D78" w:rsidRPr="00700A64">
        <w:rPr>
          <w:rFonts w:ascii="Book Antiqua" w:hAnsi="Book Antiqua"/>
        </w:rPr>
        <w:t>with</w:t>
      </w:r>
      <w:r w:rsidR="000930DC" w:rsidRPr="00700A64">
        <w:rPr>
          <w:rFonts w:ascii="Book Antiqua" w:hAnsi="Book Antiqua"/>
        </w:rPr>
        <w:t xml:space="preserve"> </w:t>
      </w:r>
      <w:r w:rsidR="009C40A6" w:rsidRPr="00700A64">
        <w:rPr>
          <w:rFonts w:ascii="Book Antiqua" w:hAnsi="Book Antiqua"/>
        </w:rPr>
        <w:t xml:space="preserve">the </w:t>
      </w:r>
      <w:r w:rsidR="000930DC" w:rsidRPr="00700A64">
        <w:rPr>
          <w:rFonts w:ascii="Book Antiqua" w:hAnsi="Book Antiqua"/>
        </w:rPr>
        <w:t xml:space="preserve">histological grade of </w:t>
      </w:r>
      <w:r w:rsidR="00846D78" w:rsidRPr="00700A64">
        <w:rPr>
          <w:rFonts w:ascii="Book Antiqua" w:hAnsi="Book Antiqua"/>
        </w:rPr>
        <w:t xml:space="preserve">the </w:t>
      </w:r>
      <w:r w:rsidR="000930DC" w:rsidRPr="00700A64">
        <w:rPr>
          <w:rFonts w:ascii="Book Antiqua" w:hAnsi="Book Antiqua"/>
        </w:rPr>
        <w:t>small bowel mucosa (</w:t>
      </w:r>
      <w:r w:rsidR="000930DC" w:rsidRPr="00553398">
        <w:rPr>
          <w:rFonts w:ascii="Book Antiqua" w:hAnsi="Book Antiqua"/>
          <w:i/>
        </w:rPr>
        <w:t>r</w:t>
      </w:r>
      <w:r w:rsidR="00553398">
        <w:rPr>
          <w:rFonts w:ascii="Book Antiqua" w:hAnsi="Book Antiqua" w:hint="eastAsia"/>
          <w:lang w:eastAsia="zh-CN"/>
        </w:rPr>
        <w:t xml:space="preserve"> </w:t>
      </w:r>
      <w:r w:rsidR="000930DC" w:rsidRPr="00700A64">
        <w:rPr>
          <w:rFonts w:ascii="Book Antiqua" w:hAnsi="Book Antiqua"/>
        </w:rPr>
        <w:t>=</w:t>
      </w:r>
      <w:r w:rsidR="00553398">
        <w:rPr>
          <w:rFonts w:ascii="Book Antiqua" w:hAnsi="Book Antiqua" w:hint="eastAsia"/>
          <w:lang w:eastAsia="zh-CN"/>
        </w:rPr>
        <w:t xml:space="preserve"> </w:t>
      </w:r>
      <w:r w:rsidR="000930DC" w:rsidRPr="00700A64">
        <w:rPr>
          <w:rFonts w:ascii="Book Antiqua" w:hAnsi="Book Antiqua"/>
        </w:rPr>
        <w:t xml:space="preserve">0.64; </w:t>
      </w:r>
      <w:r w:rsidR="00F664F5" w:rsidRPr="00700A64">
        <w:rPr>
          <w:rFonts w:ascii="Book Antiqua" w:hAnsi="Book Antiqua"/>
          <w:i/>
        </w:rPr>
        <w:t>P</w:t>
      </w:r>
      <w:r w:rsidR="00553398">
        <w:rPr>
          <w:rFonts w:ascii="Book Antiqua" w:hAnsi="Book Antiqua" w:hint="eastAsia"/>
          <w:i/>
          <w:lang w:eastAsia="zh-CN"/>
        </w:rPr>
        <w:t xml:space="preserve"> </w:t>
      </w:r>
      <w:r w:rsidR="000930DC" w:rsidRPr="00700A64">
        <w:rPr>
          <w:rFonts w:ascii="Book Antiqua" w:hAnsi="Book Antiqua"/>
        </w:rPr>
        <w:t>&lt;</w:t>
      </w:r>
      <w:r w:rsidR="00553398">
        <w:rPr>
          <w:rFonts w:ascii="Book Antiqua" w:hAnsi="Book Antiqua" w:hint="eastAsia"/>
          <w:lang w:eastAsia="zh-CN"/>
        </w:rPr>
        <w:t xml:space="preserve"> </w:t>
      </w:r>
      <w:r w:rsidR="000930DC" w:rsidRPr="00700A64">
        <w:rPr>
          <w:rFonts w:ascii="Book Antiqua" w:hAnsi="Book Antiqua"/>
        </w:rPr>
        <w:t xml:space="preserve">0.0001) </w:t>
      </w:r>
      <w:r w:rsidR="00846D78" w:rsidRPr="00700A64">
        <w:rPr>
          <w:rFonts w:ascii="Book Antiqua" w:hAnsi="Book Antiqua"/>
          <w:bCs/>
        </w:rPr>
        <w:t xml:space="preserve">and with </w:t>
      </w:r>
      <w:r w:rsidR="002A7882" w:rsidRPr="00700A64">
        <w:rPr>
          <w:rFonts w:ascii="Book Antiqua" w:hAnsi="Book Antiqua"/>
          <w:bCs/>
        </w:rPr>
        <w:t>level</w:t>
      </w:r>
      <w:r w:rsidR="009C40A6" w:rsidRPr="00700A64">
        <w:rPr>
          <w:rFonts w:ascii="Book Antiqua" w:hAnsi="Book Antiqua"/>
          <w:bCs/>
        </w:rPr>
        <w:t>s</w:t>
      </w:r>
      <w:r w:rsidR="002A7882" w:rsidRPr="00700A64">
        <w:rPr>
          <w:rFonts w:ascii="Book Antiqua" w:hAnsi="Book Antiqua"/>
          <w:bCs/>
        </w:rPr>
        <w:t xml:space="preserve"> of </w:t>
      </w:r>
      <w:r w:rsidR="002C0120" w:rsidRPr="00700A64">
        <w:rPr>
          <w:rFonts w:ascii="Book Antiqua" w:hAnsi="Book Antiqua"/>
          <w:bCs/>
        </w:rPr>
        <w:t>IgA-</w:t>
      </w:r>
      <w:r w:rsidR="002A7882" w:rsidRPr="00700A64">
        <w:rPr>
          <w:rFonts w:ascii="Book Antiqua" w:hAnsi="Book Antiqua"/>
          <w:bCs/>
        </w:rPr>
        <w:t>tTG (</w:t>
      </w:r>
      <w:r w:rsidR="002A7882" w:rsidRPr="00700A64">
        <w:rPr>
          <w:rFonts w:ascii="Book Antiqua" w:hAnsi="Book Antiqua"/>
          <w:bCs/>
          <w:i/>
        </w:rPr>
        <w:t>r</w:t>
      </w:r>
      <w:r w:rsidR="00553398">
        <w:rPr>
          <w:rFonts w:ascii="Book Antiqua" w:hAnsi="Book Antiqua" w:hint="eastAsia"/>
          <w:bCs/>
          <w:i/>
          <w:lang w:eastAsia="zh-CN"/>
        </w:rPr>
        <w:t xml:space="preserve"> </w:t>
      </w:r>
      <w:r w:rsidR="002A7882" w:rsidRPr="00700A64">
        <w:rPr>
          <w:rFonts w:ascii="Book Antiqua" w:hAnsi="Book Antiqua"/>
          <w:bCs/>
        </w:rPr>
        <w:t>=</w:t>
      </w:r>
      <w:r w:rsidR="00553398">
        <w:rPr>
          <w:rFonts w:ascii="Book Antiqua" w:hAnsi="Book Antiqua" w:hint="eastAsia"/>
          <w:bCs/>
          <w:lang w:eastAsia="zh-CN"/>
        </w:rPr>
        <w:t xml:space="preserve"> </w:t>
      </w:r>
      <w:r w:rsidR="002A7882" w:rsidRPr="00700A64">
        <w:rPr>
          <w:rFonts w:ascii="Book Antiqua" w:hAnsi="Book Antiqua"/>
          <w:bCs/>
        </w:rPr>
        <w:t xml:space="preserve">0.48; </w:t>
      </w:r>
      <w:r w:rsidR="00F94270" w:rsidRPr="00700A64">
        <w:rPr>
          <w:rFonts w:ascii="Book Antiqua" w:hAnsi="Book Antiqua"/>
          <w:bCs/>
          <w:i/>
        </w:rPr>
        <w:t xml:space="preserve">P = </w:t>
      </w:r>
      <w:r w:rsidR="002A7882" w:rsidRPr="00700A64">
        <w:rPr>
          <w:rFonts w:ascii="Book Antiqua" w:hAnsi="Book Antiqua"/>
          <w:bCs/>
        </w:rPr>
        <w:t xml:space="preserve">0.0002) </w:t>
      </w:r>
      <w:r w:rsidR="000930DC" w:rsidRPr="00700A64">
        <w:rPr>
          <w:rFonts w:ascii="Book Antiqua" w:hAnsi="Book Antiqua"/>
        </w:rPr>
        <w:t>(Figure</w:t>
      </w:r>
      <w:r w:rsidR="00846D78" w:rsidRPr="00700A64">
        <w:rPr>
          <w:rFonts w:ascii="Book Antiqua" w:hAnsi="Book Antiqua"/>
        </w:rPr>
        <w:t>s</w:t>
      </w:r>
      <w:r w:rsidR="000930DC" w:rsidRPr="00700A64">
        <w:rPr>
          <w:rFonts w:ascii="Book Antiqua" w:hAnsi="Book Antiqua"/>
        </w:rPr>
        <w:t xml:space="preserve"> </w:t>
      </w:r>
      <w:r w:rsidR="0004468D" w:rsidRPr="00700A64">
        <w:rPr>
          <w:rFonts w:ascii="Book Antiqua" w:hAnsi="Book Antiqua"/>
        </w:rPr>
        <w:t>4B</w:t>
      </w:r>
      <w:r w:rsidR="002A7882" w:rsidRPr="00700A64">
        <w:rPr>
          <w:rFonts w:ascii="Book Antiqua" w:hAnsi="Book Antiqua"/>
        </w:rPr>
        <w:t xml:space="preserve"> and </w:t>
      </w:r>
      <w:r w:rsidR="004B2B0D" w:rsidRPr="00700A64">
        <w:rPr>
          <w:rFonts w:ascii="Book Antiqua" w:hAnsi="Book Antiqua"/>
        </w:rPr>
        <w:t>4</w:t>
      </w:r>
      <w:r w:rsidR="0004468D" w:rsidRPr="00700A64">
        <w:rPr>
          <w:rFonts w:ascii="Book Antiqua" w:hAnsi="Book Antiqua"/>
        </w:rPr>
        <w:t>C</w:t>
      </w:r>
      <w:r w:rsidR="000930DC" w:rsidRPr="00700A64">
        <w:rPr>
          <w:rFonts w:ascii="Book Antiqua" w:hAnsi="Book Antiqua"/>
        </w:rPr>
        <w:t xml:space="preserve">). </w:t>
      </w:r>
      <w:r w:rsidR="00846D78" w:rsidRPr="00700A64">
        <w:rPr>
          <w:rFonts w:ascii="Book Antiqua" w:hAnsi="Book Antiqua"/>
        </w:rPr>
        <w:t>A</w:t>
      </w:r>
      <w:r w:rsidR="002E52CB" w:rsidRPr="00700A64">
        <w:rPr>
          <w:rFonts w:ascii="Book Antiqua" w:hAnsi="Book Antiqua"/>
        </w:rPr>
        <w:t xml:space="preserve"> significant correlation </w:t>
      </w:r>
      <w:r w:rsidR="00846D78" w:rsidRPr="00700A64">
        <w:rPr>
          <w:rFonts w:ascii="Book Antiqua" w:hAnsi="Book Antiqua"/>
        </w:rPr>
        <w:t xml:space="preserve">was established </w:t>
      </w:r>
      <w:r w:rsidR="002E52CB" w:rsidRPr="00700A64">
        <w:rPr>
          <w:rFonts w:ascii="Book Antiqua" w:hAnsi="Book Antiqua"/>
        </w:rPr>
        <w:t xml:space="preserve">between </w:t>
      </w:r>
      <w:r w:rsidR="009C40A6" w:rsidRPr="00700A64">
        <w:rPr>
          <w:rFonts w:ascii="Book Antiqua" w:hAnsi="Book Antiqua"/>
        </w:rPr>
        <w:t xml:space="preserve">the </w:t>
      </w:r>
      <w:r w:rsidR="002E52CB" w:rsidRPr="00700A64">
        <w:rPr>
          <w:rFonts w:ascii="Book Antiqua" w:hAnsi="Book Antiqua"/>
        </w:rPr>
        <w:t>densit</w:t>
      </w:r>
      <w:r w:rsidR="00846D78" w:rsidRPr="00700A64">
        <w:rPr>
          <w:rFonts w:ascii="Book Antiqua" w:hAnsi="Book Antiqua"/>
        </w:rPr>
        <w:t>ies</w:t>
      </w:r>
      <w:r w:rsidR="002E52CB" w:rsidRPr="00700A64">
        <w:rPr>
          <w:rFonts w:ascii="Book Antiqua" w:hAnsi="Book Antiqua"/>
        </w:rPr>
        <w:t xml:space="preserve"> of IDO+ DCs and FOXP3+ Treg cells </w:t>
      </w:r>
      <w:r w:rsidR="00846D78" w:rsidRPr="00700A64">
        <w:rPr>
          <w:rFonts w:ascii="Book Antiqua" w:hAnsi="Book Antiqua"/>
        </w:rPr>
        <w:t>on paraffin sections for the</w:t>
      </w:r>
      <w:r w:rsidR="002E52CB" w:rsidRPr="00700A64">
        <w:rPr>
          <w:rFonts w:ascii="Book Antiqua" w:hAnsi="Book Antiqua"/>
        </w:rPr>
        <w:t xml:space="preserve"> </w:t>
      </w:r>
      <w:r w:rsidR="00CE5675" w:rsidRPr="00700A64">
        <w:rPr>
          <w:rFonts w:ascii="Book Antiqua" w:hAnsi="Book Antiqua"/>
        </w:rPr>
        <w:t xml:space="preserve">entire </w:t>
      </w:r>
      <w:r w:rsidR="002E52CB" w:rsidRPr="00700A64">
        <w:rPr>
          <w:rFonts w:ascii="Book Antiqua" w:hAnsi="Book Antiqua"/>
        </w:rPr>
        <w:t>study group (</w:t>
      </w:r>
      <w:r w:rsidR="002E52CB" w:rsidRPr="00700A64">
        <w:rPr>
          <w:rFonts w:ascii="Book Antiqua" w:hAnsi="Book Antiqua"/>
          <w:i/>
        </w:rPr>
        <w:t>r</w:t>
      </w:r>
      <w:r w:rsidR="00553398">
        <w:rPr>
          <w:rFonts w:ascii="Book Antiqua" w:hAnsi="Book Antiqua" w:hint="eastAsia"/>
          <w:i/>
          <w:lang w:eastAsia="zh-CN"/>
        </w:rPr>
        <w:t xml:space="preserve"> </w:t>
      </w:r>
      <w:r w:rsidR="002E52CB" w:rsidRPr="00700A64">
        <w:rPr>
          <w:rFonts w:ascii="Book Antiqua" w:hAnsi="Book Antiqua"/>
        </w:rPr>
        <w:t>=</w:t>
      </w:r>
      <w:r w:rsidR="00553398">
        <w:rPr>
          <w:rFonts w:ascii="Book Antiqua" w:hAnsi="Book Antiqua" w:hint="eastAsia"/>
          <w:lang w:eastAsia="zh-CN"/>
        </w:rPr>
        <w:t xml:space="preserve"> </w:t>
      </w:r>
      <w:r w:rsidR="002E52CB" w:rsidRPr="00700A64">
        <w:rPr>
          <w:rFonts w:ascii="Book Antiqua" w:hAnsi="Book Antiqua"/>
        </w:rPr>
        <w:t xml:space="preserve">0.76; </w:t>
      </w:r>
      <w:r w:rsidR="00F94270" w:rsidRPr="00700A64">
        <w:rPr>
          <w:rFonts w:ascii="Book Antiqua" w:hAnsi="Book Antiqua"/>
          <w:i/>
        </w:rPr>
        <w:t xml:space="preserve">P = </w:t>
      </w:r>
      <w:r w:rsidR="002E52CB" w:rsidRPr="00700A64">
        <w:rPr>
          <w:rFonts w:ascii="Book Antiqua" w:hAnsi="Book Antiqua"/>
        </w:rPr>
        <w:t>0.0001) (Fig</w:t>
      </w:r>
      <w:r w:rsidR="00736C3F" w:rsidRPr="00700A64">
        <w:rPr>
          <w:rFonts w:ascii="Book Antiqua" w:hAnsi="Book Antiqua"/>
        </w:rPr>
        <w:t xml:space="preserve">ure </w:t>
      </w:r>
      <w:r w:rsidR="0004468D" w:rsidRPr="00700A64">
        <w:rPr>
          <w:rFonts w:ascii="Book Antiqua" w:hAnsi="Book Antiqua"/>
        </w:rPr>
        <w:t>4D</w:t>
      </w:r>
      <w:r w:rsidR="002E52CB" w:rsidRPr="00700A64">
        <w:rPr>
          <w:rFonts w:ascii="Book Antiqua" w:hAnsi="Book Antiqua"/>
        </w:rPr>
        <w:t xml:space="preserve">). </w:t>
      </w:r>
    </w:p>
    <w:p w:rsidR="000F1F11" w:rsidRPr="00700A64" w:rsidRDefault="005A0836"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bCs/>
        </w:rPr>
        <w:t>To</w:t>
      </w:r>
      <w:r w:rsidR="00834955" w:rsidRPr="00700A64">
        <w:rPr>
          <w:rFonts w:ascii="Book Antiqua" w:hAnsi="Book Antiqua"/>
          <w:bCs/>
        </w:rPr>
        <w:t xml:space="preserve"> </w:t>
      </w:r>
      <w:r w:rsidR="00066CBD" w:rsidRPr="00700A64">
        <w:rPr>
          <w:rFonts w:ascii="Book Antiqua" w:hAnsi="Book Antiqua"/>
          <w:bCs/>
        </w:rPr>
        <w:t xml:space="preserve">simultaneously </w:t>
      </w:r>
      <w:r w:rsidR="00834955" w:rsidRPr="00700A64">
        <w:rPr>
          <w:rFonts w:ascii="Book Antiqua" w:hAnsi="Book Antiqua"/>
          <w:bCs/>
        </w:rPr>
        <w:t>study the</w:t>
      </w:r>
      <w:r w:rsidRPr="00700A64">
        <w:rPr>
          <w:rFonts w:ascii="Book Antiqua" w:hAnsi="Book Antiqua"/>
          <w:bCs/>
        </w:rPr>
        <w:t xml:space="preserve"> densit</w:t>
      </w:r>
      <w:r w:rsidR="00454565" w:rsidRPr="00700A64">
        <w:rPr>
          <w:rFonts w:ascii="Book Antiqua" w:hAnsi="Book Antiqua"/>
          <w:bCs/>
        </w:rPr>
        <w:t>ies</w:t>
      </w:r>
      <w:r w:rsidRPr="00700A64">
        <w:rPr>
          <w:rFonts w:ascii="Book Antiqua" w:hAnsi="Book Antiqua"/>
          <w:bCs/>
        </w:rPr>
        <w:t xml:space="preserve"> of CD11c+, CD103+ </w:t>
      </w:r>
      <w:r w:rsidR="00454565" w:rsidRPr="00700A64">
        <w:rPr>
          <w:rFonts w:ascii="Book Antiqua" w:hAnsi="Book Antiqua"/>
          <w:bCs/>
        </w:rPr>
        <w:t>and</w:t>
      </w:r>
      <w:r w:rsidRPr="00700A64">
        <w:rPr>
          <w:rFonts w:ascii="Book Antiqua" w:hAnsi="Book Antiqua"/>
          <w:bCs/>
        </w:rPr>
        <w:t xml:space="preserve"> IDO+ DCs in the same tissue section</w:t>
      </w:r>
      <w:r w:rsidR="00066CBD" w:rsidRPr="00700A64">
        <w:rPr>
          <w:rFonts w:ascii="Book Antiqua" w:hAnsi="Book Antiqua"/>
          <w:bCs/>
        </w:rPr>
        <w:t>,</w:t>
      </w:r>
      <w:r w:rsidRPr="00700A64">
        <w:rPr>
          <w:rFonts w:ascii="Book Antiqua" w:hAnsi="Book Antiqua"/>
          <w:bCs/>
        </w:rPr>
        <w:t xml:space="preserve"> we used double immunofluorescence staining on </w:t>
      </w:r>
      <w:r w:rsidR="00426728" w:rsidRPr="00700A64">
        <w:rPr>
          <w:rFonts w:ascii="Book Antiqua" w:hAnsi="Book Antiqua"/>
          <w:bCs/>
        </w:rPr>
        <w:t xml:space="preserve">two </w:t>
      </w:r>
      <w:r w:rsidR="00125C80" w:rsidRPr="00700A64">
        <w:rPr>
          <w:rFonts w:ascii="Book Antiqua" w:hAnsi="Book Antiqua"/>
          <w:bCs/>
        </w:rPr>
        <w:t xml:space="preserve">consecutive </w:t>
      </w:r>
      <w:r w:rsidRPr="00700A64">
        <w:rPr>
          <w:rFonts w:ascii="Book Antiqua" w:hAnsi="Book Antiqua"/>
          <w:bCs/>
        </w:rPr>
        <w:t xml:space="preserve">cryostat </w:t>
      </w:r>
      <w:r w:rsidR="00125C80" w:rsidRPr="00700A64">
        <w:rPr>
          <w:rFonts w:ascii="Book Antiqua" w:hAnsi="Book Antiqua"/>
          <w:bCs/>
        </w:rPr>
        <w:t xml:space="preserve">serial </w:t>
      </w:r>
      <w:r w:rsidRPr="00700A64">
        <w:rPr>
          <w:rFonts w:ascii="Book Antiqua" w:hAnsi="Book Antiqua"/>
          <w:bCs/>
        </w:rPr>
        <w:t xml:space="preserve">sections </w:t>
      </w:r>
      <w:r w:rsidR="00426728" w:rsidRPr="00700A64">
        <w:rPr>
          <w:rFonts w:ascii="Book Antiqua" w:hAnsi="Book Antiqua"/>
          <w:bCs/>
        </w:rPr>
        <w:t>from the same biopsy specimen of</w:t>
      </w:r>
      <w:r w:rsidRPr="00700A64">
        <w:rPr>
          <w:rFonts w:ascii="Book Antiqua" w:hAnsi="Book Antiqua"/>
          <w:bCs/>
        </w:rPr>
        <w:t xml:space="preserve"> </w:t>
      </w:r>
      <w:r w:rsidR="00066CBD" w:rsidRPr="00700A64">
        <w:rPr>
          <w:rFonts w:ascii="Book Antiqua" w:hAnsi="Book Antiqua"/>
          <w:bCs/>
        </w:rPr>
        <w:t xml:space="preserve">the </w:t>
      </w:r>
      <w:r w:rsidRPr="00700A64">
        <w:rPr>
          <w:rFonts w:ascii="Book Antiqua" w:hAnsi="Book Antiqua"/>
          <w:bCs/>
        </w:rPr>
        <w:t>small bowel mucosa</w:t>
      </w:r>
      <w:r w:rsidR="00834955" w:rsidRPr="00700A64">
        <w:rPr>
          <w:rFonts w:ascii="Book Antiqua" w:hAnsi="Book Antiqua"/>
          <w:bCs/>
        </w:rPr>
        <w:t xml:space="preserve"> – one for CD103 and IDO (Figure </w:t>
      </w:r>
      <w:r w:rsidR="0047551D" w:rsidRPr="00700A64">
        <w:rPr>
          <w:rFonts w:ascii="Book Antiqua" w:hAnsi="Book Antiqua"/>
          <w:bCs/>
        </w:rPr>
        <w:t>5</w:t>
      </w:r>
      <w:r w:rsidR="005E0D30" w:rsidRPr="00700A64">
        <w:rPr>
          <w:rFonts w:ascii="Book Antiqua" w:hAnsi="Book Antiqua"/>
          <w:bCs/>
        </w:rPr>
        <w:t>A</w:t>
      </w:r>
      <w:r w:rsidR="00834955" w:rsidRPr="00700A64">
        <w:rPr>
          <w:rFonts w:ascii="Book Antiqua" w:hAnsi="Book Antiqua"/>
          <w:bCs/>
        </w:rPr>
        <w:t xml:space="preserve">) and </w:t>
      </w:r>
      <w:r w:rsidR="00066CBD" w:rsidRPr="00700A64">
        <w:rPr>
          <w:rFonts w:ascii="Book Antiqua" w:hAnsi="Book Antiqua"/>
          <w:bCs/>
        </w:rPr>
        <w:t xml:space="preserve">the </w:t>
      </w:r>
      <w:r w:rsidR="00834955" w:rsidRPr="00700A64">
        <w:rPr>
          <w:rFonts w:ascii="Book Antiqua" w:hAnsi="Book Antiqua"/>
          <w:bCs/>
        </w:rPr>
        <w:t xml:space="preserve">other for CD103 and CD11c (Figure </w:t>
      </w:r>
      <w:r w:rsidR="0047551D" w:rsidRPr="00700A64">
        <w:rPr>
          <w:rFonts w:ascii="Book Antiqua" w:hAnsi="Book Antiqua"/>
          <w:bCs/>
        </w:rPr>
        <w:t>5B)</w:t>
      </w:r>
      <w:r w:rsidRPr="00700A64">
        <w:rPr>
          <w:rFonts w:ascii="Book Antiqua" w:hAnsi="Book Antiqua"/>
          <w:bCs/>
        </w:rPr>
        <w:t>.</w:t>
      </w:r>
      <w:r w:rsidR="006F0C3D" w:rsidRPr="00700A64">
        <w:rPr>
          <w:rFonts w:ascii="Book Antiqua" w:hAnsi="Book Antiqua"/>
          <w:bCs/>
        </w:rPr>
        <w:t xml:space="preserve"> </w:t>
      </w:r>
      <w:r w:rsidR="00834955" w:rsidRPr="00700A64">
        <w:rPr>
          <w:rFonts w:ascii="Book Antiqua" w:hAnsi="Book Antiqua"/>
          <w:b/>
          <w:bCs/>
        </w:rPr>
        <w:t xml:space="preserve"> </w:t>
      </w:r>
      <w:r w:rsidR="00EA38DE" w:rsidRPr="00700A64">
        <w:rPr>
          <w:rFonts w:ascii="Book Antiqua" w:hAnsi="Book Antiqua"/>
          <w:bCs/>
        </w:rPr>
        <w:t>T</w:t>
      </w:r>
      <w:r w:rsidR="00B71945" w:rsidRPr="00700A64">
        <w:rPr>
          <w:rFonts w:ascii="Book Antiqua" w:hAnsi="Book Antiqua"/>
          <w:bCs/>
        </w:rPr>
        <w:t>he mean value</w:t>
      </w:r>
      <w:r w:rsidR="00B5739B" w:rsidRPr="00700A64">
        <w:rPr>
          <w:rFonts w:ascii="Book Antiqua" w:hAnsi="Book Antiqua"/>
          <w:bCs/>
        </w:rPr>
        <w:t>s</w:t>
      </w:r>
      <w:r w:rsidR="00B71945" w:rsidRPr="00700A64">
        <w:rPr>
          <w:rFonts w:ascii="Book Antiqua" w:hAnsi="Book Antiqua"/>
          <w:bCs/>
        </w:rPr>
        <w:t xml:space="preserve"> of CD103+ DCs </w:t>
      </w:r>
      <w:r w:rsidR="00B5739B" w:rsidRPr="00700A64">
        <w:rPr>
          <w:rFonts w:ascii="Book Antiqua" w:hAnsi="Book Antiqua"/>
          <w:bCs/>
        </w:rPr>
        <w:t xml:space="preserve">were </w:t>
      </w:r>
      <w:r w:rsidR="00B71945" w:rsidRPr="00700A64">
        <w:rPr>
          <w:rFonts w:ascii="Book Antiqua" w:hAnsi="Book Antiqua"/>
          <w:bCs/>
        </w:rPr>
        <w:t xml:space="preserve">significantly higher </w:t>
      </w:r>
      <w:r w:rsidR="00EA38DE" w:rsidRPr="00700A64">
        <w:rPr>
          <w:rFonts w:ascii="Book Antiqua" w:hAnsi="Book Antiqua"/>
          <w:bCs/>
        </w:rPr>
        <w:t xml:space="preserve">in </w:t>
      </w:r>
      <w:r w:rsidR="00686B9C" w:rsidRPr="00700A64">
        <w:rPr>
          <w:rFonts w:ascii="Book Antiqua" w:hAnsi="Book Antiqua"/>
          <w:bCs/>
        </w:rPr>
        <w:t>CD patients (</w:t>
      </w:r>
      <w:r w:rsidR="00F94270" w:rsidRPr="00700A64">
        <w:rPr>
          <w:rFonts w:ascii="Book Antiqua" w:hAnsi="Book Antiqua"/>
          <w:bCs/>
          <w:i/>
        </w:rPr>
        <w:t xml:space="preserve">P = </w:t>
      </w:r>
      <w:r w:rsidR="00686B9C" w:rsidRPr="00700A64">
        <w:rPr>
          <w:rFonts w:ascii="Book Antiqua" w:hAnsi="Book Antiqua"/>
          <w:bCs/>
        </w:rPr>
        <w:t xml:space="preserve">0.01) </w:t>
      </w:r>
      <w:r w:rsidR="00066CBD" w:rsidRPr="00700A64">
        <w:rPr>
          <w:rFonts w:ascii="Book Antiqua" w:hAnsi="Book Antiqua"/>
          <w:bCs/>
        </w:rPr>
        <w:t>and</w:t>
      </w:r>
      <w:r w:rsidR="00686B9C" w:rsidRPr="00700A64">
        <w:rPr>
          <w:rFonts w:ascii="Book Antiqua" w:hAnsi="Book Antiqua"/>
          <w:bCs/>
        </w:rPr>
        <w:t xml:space="preserve"> in</w:t>
      </w:r>
      <w:r w:rsidR="00066CBD" w:rsidRPr="00700A64">
        <w:rPr>
          <w:rFonts w:ascii="Book Antiqua" w:hAnsi="Book Antiqua"/>
          <w:bCs/>
        </w:rPr>
        <w:t xml:space="preserve"> </w:t>
      </w:r>
      <w:r w:rsidR="004E5DEC" w:rsidRPr="00700A64">
        <w:rPr>
          <w:rFonts w:ascii="Book Antiqua" w:hAnsi="Book Antiqua"/>
          <w:bCs/>
        </w:rPr>
        <w:t xml:space="preserve">patients </w:t>
      </w:r>
      <w:r w:rsidR="00066CBD" w:rsidRPr="00700A64">
        <w:rPr>
          <w:rFonts w:ascii="Book Antiqua" w:hAnsi="Book Antiqua"/>
          <w:bCs/>
        </w:rPr>
        <w:t xml:space="preserve">with CD </w:t>
      </w:r>
      <w:r w:rsidR="00EB22F9" w:rsidRPr="00700A64">
        <w:rPr>
          <w:rFonts w:ascii="Book Antiqua" w:hAnsi="Book Antiqua"/>
          <w:bCs/>
        </w:rPr>
        <w:t>and</w:t>
      </w:r>
      <w:r w:rsidR="004E5DEC" w:rsidRPr="00700A64">
        <w:rPr>
          <w:rFonts w:ascii="Book Antiqua" w:hAnsi="Book Antiqua"/>
          <w:bCs/>
        </w:rPr>
        <w:t xml:space="preserve"> </w:t>
      </w:r>
      <w:r w:rsidR="00066CBD" w:rsidRPr="00700A64">
        <w:rPr>
          <w:rFonts w:ascii="Book Antiqua" w:hAnsi="Book Antiqua"/>
          <w:bCs/>
        </w:rPr>
        <w:t>associated</w:t>
      </w:r>
      <w:r w:rsidR="004E5DEC" w:rsidRPr="00700A64">
        <w:rPr>
          <w:rFonts w:ascii="Book Antiqua" w:hAnsi="Book Antiqua"/>
          <w:bCs/>
        </w:rPr>
        <w:t xml:space="preserve"> T1D</w:t>
      </w:r>
      <w:r w:rsidR="00686B9C" w:rsidRPr="00700A64">
        <w:rPr>
          <w:rFonts w:ascii="Book Antiqua" w:hAnsi="Book Antiqua"/>
          <w:bCs/>
        </w:rPr>
        <w:t xml:space="preserve"> (</w:t>
      </w:r>
      <w:r w:rsidR="00F94270" w:rsidRPr="00700A64">
        <w:rPr>
          <w:rFonts w:ascii="Book Antiqua" w:hAnsi="Book Antiqua"/>
          <w:bCs/>
          <w:i/>
        </w:rPr>
        <w:t xml:space="preserve">P = </w:t>
      </w:r>
      <w:r w:rsidR="00686B9C" w:rsidRPr="00700A64">
        <w:rPr>
          <w:rFonts w:ascii="Book Antiqua" w:hAnsi="Book Antiqua"/>
          <w:bCs/>
        </w:rPr>
        <w:t>0.000</w:t>
      </w:r>
      <w:r w:rsidR="002D2BCE" w:rsidRPr="00700A64">
        <w:rPr>
          <w:rFonts w:ascii="Book Antiqua" w:hAnsi="Book Antiqua"/>
          <w:bCs/>
        </w:rPr>
        <w:t>0</w:t>
      </w:r>
      <w:r w:rsidR="00686B9C" w:rsidRPr="00700A64">
        <w:rPr>
          <w:rFonts w:ascii="Book Antiqua" w:hAnsi="Book Antiqua"/>
          <w:bCs/>
        </w:rPr>
        <w:t>2) compar</w:t>
      </w:r>
      <w:r w:rsidR="00066CBD" w:rsidRPr="00700A64">
        <w:rPr>
          <w:rFonts w:ascii="Book Antiqua" w:hAnsi="Book Antiqua"/>
          <w:bCs/>
        </w:rPr>
        <w:t>ed</w:t>
      </w:r>
      <w:r w:rsidR="00686B9C" w:rsidRPr="00700A64">
        <w:rPr>
          <w:rFonts w:ascii="Book Antiqua" w:hAnsi="Book Antiqua"/>
          <w:bCs/>
        </w:rPr>
        <w:t xml:space="preserve"> with </w:t>
      </w:r>
      <w:r w:rsidR="00066CBD" w:rsidRPr="00700A64">
        <w:rPr>
          <w:rFonts w:ascii="Book Antiqua" w:hAnsi="Book Antiqua"/>
          <w:bCs/>
        </w:rPr>
        <w:t>subjects</w:t>
      </w:r>
      <w:r w:rsidR="00686B9C" w:rsidRPr="00700A64">
        <w:rPr>
          <w:rFonts w:ascii="Book Antiqua" w:hAnsi="Book Antiqua"/>
          <w:bCs/>
        </w:rPr>
        <w:t xml:space="preserve"> with normal small bowel mucosa </w:t>
      </w:r>
      <w:r w:rsidR="008E55D2" w:rsidRPr="00700A64">
        <w:rPr>
          <w:rFonts w:ascii="Book Antiqua" w:hAnsi="Book Antiqua"/>
          <w:bCs/>
        </w:rPr>
        <w:t>(Fig</w:t>
      </w:r>
      <w:r w:rsidR="00996848" w:rsidRPr="00700A64">
        <w:rPr>
          <w:rFonts w:ascii="Book Antiqua" w:hAnsi="Book Antiqua"/>
          <w:bCs/>
        </w:rPr>
        <w:t>ure</w:t>
      </w:r>
      <w:r w:rsidR="008E55D2" w:rsidRPr="00700A64">
        <w:rPr>
          <w:rFonts w:ascii="Book Antiqua" w:hAnsi="Book Antiqua"/>
          <w:bCs/>
        </w:rPr>
        <w:t xml:space="preserve"> </w:t>
      </w:r>
      <w:r w:rsidR="0047551D" w:rsidRPr="00700A64">
        <w:rPr>
          <w:rFonts w:ascii="Book Antiqua" w:hAnsi="Book Antiqua"/>
          <w:bCs/>
        </w:rPr>
        <w:t>6A</w:t>
      </w:r>
      <w:r w:rsidR="008E55D2" w:rsidRPr="00700A64">
        <w:rPr>
          <w:rFonts w:ascii="Book Antiqua" w:hAnsi="Book Antiqua"/>
          <w:bCs/>
        </w:rPr>
        <w:t>).</w:t>
      </w:r>
      <w:r w:rsidR="007A6A02" w:rsidRPr="00700A64">
        <w:rPr>
          <w:rFonts w:ascii="Book Antiqua" w:hAnsi="Book Antiqua"/>
          <w:bCs/>
        </w:rPr>
        <w:t xml:space="preserve"> The density of CD103+ DCs was correlated with </w:t>
      </w:r>
      <w:r w:rsidR="009C40A6" w:rsidRPr="00700A64">
        <w:rPr>
          <w:rFonts w:ascii="Book Antiqua" w:hAnsi="Book Antiqua"/>
          <w:bCs/>
        </w:rPr>
        <w:t xml:space="preserve">the </w:t>
      </w:r>
      <w:r w:rsidR="007A6A02" w:rsidRPr="00700A64">
        <w:rPr>
          <w:rFonts w:ascii="Book Antiqua" w:hAnsi="Book Antiqua"/>
          <w:bCs/>
        </w:rPr>
        <w:t>histological grade of small bowel mucosa atrop</w:t>
      </w:r>
      <w:r w:rsidR="00834955" w:rsidRPr="00700A64">
        <w:rPr>
          <w:rFonts w:ascii="Book Antiqua" w:hAnsi="Book Antiqua"/>
          <w:bCs/>
        </w:rPr>
        <w:t>h</w:t>
      </w:r>
      <w:r w:rsidR="007A6A02" w:rsidRPr="00700A64">
        <w:rPr>
          <w:rFonts w:ascii="Book Antiqua" w:hAnsi="Book Antiqua"/>
          <w:bCs/>
        </w:rPr>
        <w:t xml:space="preserve">y </w:t>
      </w:r>
      <w:r w:rsidR="00193791" w:rsidRPr="00700A64">
        <w:rPr>
          <w:rFonts w:ascii="Book Antiqua" w:hAnsi="Book Antiqua"/>
          <w:bCs/>
        </w:rPr>
        <w:t>(</w:t>
      </w:r>
      <w:r w:rsidR="00193791" w:rsidRPr="00700A64">
        <w:rPr>
          <w:rFonts w:ascii="Book Antiqua" w:hAnsi="Book Antiqua"/>
          <w:bCs/>
          <w:i/>
        </w:rPr>
        <w:t>r</w:t>
      </w:r>
      <w:r w:rsidR="00553398">
        <w:rPr>
          <w:rFonts w:ascii="Book Antiqua" w:hAnsi="Book Antiqua" w:hint="eastAsia"/>
          <w:bCs/>
          <w:i/>
          <w:lang w:eastAsia="zh-CN"/>
        </w:rPr>
        <w:t xml:space="preserve"> </w:t>
      </w:r>
      <w:r w:rsidR="00193791" w:rsidRPr="00700A64">
        <w:rPr>
          <w:rFonts w:ascii="Book Antiqua" w:hAnsi="Book Antiqua"/>
          <w:bCs/>
        </w:rPr>
        <w:t>=</w:t>
      </w:r>
      <w:r w:rsidR="00553398">
        <w:rPr>
          <w:rFonts w:ascii="Book Antiqua" w:hAnsi="Book Antiqua" w:hint="eastAsia"/>
          <w:bCs/>
          <w:lang w:eastAsia="zh-CN"/>
        </w:rPr>
        <w:t xml:space="preserve"> </w:t>
      </w:r>
      <w:r w:rsidR="00193791" w:rsidRPr="00700A64">
        <w:rPr>
          <w:rFonts w:ascii="Book Antiqua" w:hAnsi="Book Antiqua"/>
          <w:bCs/>
        </w:rPr>
        <w:t xml:space="preserve">0.39; </w:t>
      </w:r>
      <w:r w:rsidR="00F94270" w:rsidRPr="00700A64">
        <w:rPr>
          <w:rFonts w:ascii="Book Antiqua" w:hAnsi="Book Antiqua"/>
          <w:bCs/>
          <w:i/>
        </w:rPr>
        <w:t xml:space="preserve">P = </w:t>
      </w:r>
      <w:r w:rsidR="00193791" w:rsidRPr="00700A64">
        <w:rPr>
          <w:rFonts w:ascii="Book Antiqua" w:hAnsi="Book Antiqua"/>
          <w:bCs/>
        </w:rPr>
        <w:t xml:space="preserve">0.0008) </w:t>
      </w:r>
      <w:r w:rsidR="007A6A02" w:rsidRPr="00700A64">
        <w:rPr>
          <w:rFonts w:ascii="Book Antiqua" w:hAnsi="Book Antiqua"/>
          <w:bCs/>
        </w:rPr>
        <w:t xml:space="preserve">(Figure </w:t>
      </w:r>
      <w:r w:rsidR="0047551D" w:rsidRPr="00700A64">
        <w:rPr>
          <w:rFonts w:ascii="Book Antiqua" w:hAnsi="Book Antiqua"/>
          <w:bCs/>
        </w:rPr>
        <w:t>6B</w:t>
      </w:r>
      <w:r w:rsidR="007A6A02" w:rsidRPr="00700A64">
        <w:rPr>
          <w:rFonts w:ascii="Book Antiqua" w:hAnsi="Book Antiqua"/>
          <w:bCs/>
        </w:rPr>
        <w:t>).</w:t>
      </w:r>
      <w:r w:rsidR="00C65612" w:rsidRPr="00700A64">
        <w:rPr>
          <w:rFonts w:ascii="Book Antiqua" w:hAnsi="Book Antiqua"/>
        </w:rPr>
        <w:t xml:space="preserve"> </w:t>
      </w:r>
      <w:r w:rsidR="00066CBD" w:rsidRPr="00700A64">
        <w:rPr>
          <w:rFonts w:ascii="Book Antiqua" w:hAnsi="Book Antiqua"/>
        </w:rPr>
        <w:t>A</w:t>
      </w:r>
      <w:r w:rsidR="00C65612" w:rsidRPr="00700A64">
        <w:rPr>
          <w:rFonts w:ascii="Book Antiqua" w:hAnsi="Book Antiqua"/>
        </w:rPr>
        <w:t xml:space="preserve"> significant correlation </w:t>
      </w:r>
      <w:r w:rsidR="00066CBD" w:rsidRPr="00700A64">
        <w:rPr>
          <w:rFonts w:ascii="Book Antiqua" w:hAnsi="Book Antiqua"/>
        </w:rPr>
        <w:t xml:space="preserve">was </w:t>
      </w:r>
      <w:r w:rsidR="00B5739B" w:rsidRPr="00700A64">
        <w:rPr>
          <w:rFonts w:ascii="Book Antiqua" w:hAnsi="Book Antiqua"/>
        </w:rPr>
        <w:t xml:space="preserve">identified </w:t>
      </w:r>
      <w:r w:rsidR="00C65612" w:rsidRPr="00700A64">
        <w:rPr>
          <w:rFonts w:ascii="Book Antiqua" w:hAnsi="Book Antiqua"/>
        </w:rPr>
        <w:t>between</w:t>
      </w:r>
      <w:r w:rsidR="009C40A6" w:rsidRPr="00700A64">
        <w:rPr>
          <w:rFonts w:ascii="Book Antiqua" w:hAnsi="Book Antiqua"/>
        </w:rPr>
        <w:t xml:space="preserve"> the</w:t>
      </w:r>
      <w:r w:rsidR="00C65612" w:rsidRPr="00700A64">
        <w:rPr>
          <w:rFonts w:ascii="Book Antiqua" w:hAnsi="Book Antiqua"/>
        </w:rPr>
        <w:t xml:space="preserve"> densit</w:t>
      </w:r>
      <w:r w:rsidR="00066CBD" w:rsidRPr="00700A64">
        <w:rPr>
          <w:rFonts w:ascii="Book Antiqua" w:hAnsi="Book Antiqua"/>
        </w:rPr>
        <w:t xml:space="preserve">ies </w:t>
      </w:r>
      <w:r w:rsidR="00C65612" w:rsidRPr="00700A64">
        <w:rPr>
          <w:rFonts w:ascii="Book Antiqua" w:hAnsi="Book Antiqua"/>
        </w:rPr>
        <w:t>of CD103+ DCs and FOXP3+ Treg</w:t>
      </w:r>
      <w:r w:rsidR="009C40A6" w:rsidRPr="00700A64">
        <w:rPr>
          <w:rFonts w:ascii="Book Antiqua" w:hAnsi="Book Antiqua"/>
        </w:rPr>
        <w:t xml:space="preserve">s </w:t>
      </w:r>
      <w:r w:rsidR="00066CBD" w:rsidRPr="00700A64">
        <w:rPr>
          <w:rFonts w:ascii="Book Antiqua" w:hAnsi="Book Antiqua"/>
        </w:rPr>
        <w:t>for the</w:t>
      </w:r>
      <w:r w:rsidR="00C65612" w:rsidRPr="00700A64">
        <w:rPr>
          <w:rFonts w:ascii="Book Antiqua" w:hAnsi="Book Antiqua"/>
        </w:rPr>
        <w:t xml:space="preserve"> </w:t>
      </w:r>
      <w:r w:rsidR="005B148C" w:rsidRPr="00700A64">
        <w:rPr>
          <w:rFonts w:ascii="Book Antiqua" w:hAnsi="Book Antiqua"/>
        </w:rPr>
        <w:t xml:space="preserve">entire </w:t>
      </w:r>
      <w:r w:rsidR="00C65612" w:rsidRPr="00700A64">
        <w:rPr>
          <w:rFonts w:ascii="Book Antiqua" w:hAnsi="Book Antiqua"/>
        </w:rPr>
        <w:t>study group (</w:t>
      </w:r>
      <w:r w:rsidR="00C65612" w:rsidRPr="00700A64">
        <w:rPr>
          <w:rFonts w:ascii="Book Antiqua" w:hAnsi="Book Antiqua"/>
          <w:i/>
        </w:rPr>
        <w:t>r</w:t>
      </w:r>
      <w:r w:rsidR="00553398">
        <w:rPr>
          <w:rFonts w:ascii="Book Antiqua" w:hAnsi="Book Antiqua" w:hint="eastAsia"/>
          <w:i/>
          <w:lang w:eastAsia="zh-CN"/>
        </w:rPr>
        <w:t xml:space="preserve"> </w:t>
      </w:r>
      <w:r w:rsidR="00C65612" w:rsidRPr="00700A64">
        <w:rPr>
          <w:rFonts w:ascii="Book Antiqua" w:hAnsi="Book Antiqua"/>
        </w:rPr>
        <w:t>=</w:t>
      </w:r>
      <w:r w:rsidR="00553398">
        <w:rPr>
          <w:rFonts w:ascii="Book Antiqua" w:hAnsi="Book Antiqua" w:hint="eastAsia"/>
          <w:lang w:eastAsia="zh-CN"/>
        </w:rPr>
        <w:t xml:space="preserve"> </w:t>
      </w:r>
      <w:r w:rsidR="00C65612" w:rsidRPr="00700A64">
        <w:rPr>
          <w:rFonts w:ascii="Book Antiqua" w:hAnsi="Book Antiqua"/>
        </w:rPr>
        <w:t xml:space="preserve">0.33; </w:t>
      </w:r>
      <w:r w:rsidR="00F94270" w:rsidRPr="00700A64">
        <w:rPr>
          <w:rFonts w:ascii="Book Antiqua" w:hAnsi="Book Antiqua"/>
          <w:i/>
        </w:rPr>
        <w:t xml:space="preserve">P = </w:t>
      </w:r>
      <w:r w:rsidR="00C65612" w:rsidRPr="00700A64">
        <w:rPr>
          <w:rFonts w:ascii="Book Antiqua" w:hAnsi="Book Antiqua"/>
        </w:rPr>
        <w:t xml:space="preserve">0.0087) (Figure </w:t>
      </w:r>
      <w:r w:rsidR="0047551D" w:rsidRPr="00700A64">
        <w:rPr>
          <w:rFonts w:ascii="Book Antiqua" w:hAnsi="Book Antiqua"/>
        </w:rPr>
        <w:t>6C</w:t>
      </w:r>
      <w:r w:rsidR="00C65612" w:rsidRPr="00700A64">
        <w:rPr>
          <w:rFonts w:ascii="Book Antiqua" w:hAnsi="Book Antiqua"/>
        </w:rPr>
        <w:t xml:space="preserve">). </w:t>
      </w:r>
      <w:r w:rsidR="00EA6B30" w:rsidRPr="00700A64">
        <w:rPr>
          <w:rFonts w:ascii="Book Antiqua" w:hAnsi="Book Antiqua"/>
          <w:bCs/>
        </w:rPr>
        <w:t>The mean value</w:t>
      </w:r>
      <w:r w:rsidR="009C40A6" w:rsidRPr="00700A64">
        <w:rPr>
          <w:rFonts w:ascii="Book Antiqua" w:hAnsi="Book Antiqua"/>
          <w:bCs/>
        </w:rPr>
        <w:t>s</w:t>
      </w:r>
      <w:r w:rsidR="00EA6B30" w:rsidRPr="00700A64">
        <w:rPr>
          <w:rFonts w:ascii="Book Antiqua" w:hAnsi="Book Antiqua"/>
          <w:bCs/>
        </w:rPr>
        <w:t xml:space="preserve"> of CD11c+, IDO+</w:t>
      </w:r>
      <w:r w:rsidR="00834955" w:rsidRPr="00700A64">
        <w:rPr>
          <w:rFonts w:ascii="Book Antiqua" w:hAnsi="Book Antiqua"/>
          <w:bCs/>
        </w:rPr>
        <w:t xml:space="preserve"> </w:t>
      </w:r>
      <w:r w:rsidR="00834955" w:rsidRPr="00700A64">
        <w:rPr>
          <w:rFonts w:ascii="Book Antiqua" w:hAnsi="Book Antiqua"/>
          <w:bCs/>
        </w:rPr>
        <w:lastRenderedPageBreak/>
        <w:t xml:space="preserve">and </w:t>
      </w:r>
      <w:r w:rsidR="00EA6B30" w:rsidRPr="00700A64">
        <w:rPr>
          <w:rFonts w:ascii="Book Antiqua" w:hAnsi="Book Antiqua"/>
          <w:bCs/>
        </w:rPr>
        <w:t xml:space="preserve">CD103+ </w:t>
      </w:r>
      <w:r w:rsidR="0030709C" w:rsidRPr="00700A64">
        <w:rPr>
          <w:rFonts w:ascii="Book Antiqua" w:hAnsi="Book Antiqua"/>
          <w:bCs/>
        </w:rPr>
        <w:t xml:space="preserve">DCs </w:t>
      </w:r>
      <w:r w:rsidR="009C40A6" w:rsidRPr="00700A64">
        <w:rPr>
          <w:rFonts w:ascii="Book Antiqua" w:hAnsi="Book Antiqua"/>
          <w:bCs/>
        </w:rPr>
        <w:t xml:space="preserve">were </w:t>
      </w:r>
      <w:r w:rsidR="00EA6B30" w:rsidRPr="00700A64">
        <w:rPr>
          <w:rFonts w:ascii="Book Antiqua" w:hAnsi="Book Antiqua"/>
          <w:bCs/>
        </w:rPr>
        <w:t xml:space="preserve">significantly higher </w:t>
      </w:r>
      <w:r w:rsidR="002A741E" w:rsidRPr="00700A64">
        <w:rPr>
          <w:rFonts w:ascii="Book Antiqua" w:hAnsi="Book Antiqua"/>
          <w:bCs/>
        </w:rPr>
        <w:t xml:space="preserve">in CD patients </w:t>
      </w:r>
      <w:r w:rsidR="00EA6B30" w:rsidRPr="00700A64">
        <w:rPr>
          <w:rFonts w:ascii="Book Antiqua" w:hAnsi="Book Antiqua"/>
          <w:bCs/>
        </w:rPr>
        <w:t>compar</w:t>
      </w:r>
      <w:r w:rsidR="002A741E" w:rsidRPr="00700A64">
        <w:rPr>
          <w:rFonts w:ascii="Book Antiqua" w:hAnsi="Book Antiqua"/>
          <w:bCs/>
        </w:rPr>
        <w:t>ed</w:t>
      </w:r>
      <w:r w:rsidR="00EA6B30" w:rsidRPr="00700A64">
        <w:rPr>
          <w:rFonts w:ascii="Book Antiqua" w:hAnsi="Book Antiqua"/>
          <w:bCs/>
        </w:rPr>
        <w:t xml:space="preserve"> </w:t>
      </w:r>
      <w:r w:rsidR="006E0B11" w:rsidRPr="00700A64">
        <w:rPr>
          <w:rFonts w:ascii="Book Antiqua" w:hAnsi="Book Antiqua"/>
          <w:bCs/>
        </w:rPr>
        <w:t>with persons</w:t>
      </w:r>
      <w:r w:rsidR="00EA6B30" w:rsidRPr="00700A64">
        <w:rPr>
          <w:rFonts w:ascii="Book Antiqua" w:hAnsi="Book Antiqua"/>
          <w:bCs/>
        </w:rPr>
        <w:t xml:space="preserve"> with</w:t>
      </w:r>
      <w:r w:rsidR="002A741E" w:rsidRPr="00700A64">
        <w:rPr>
          <w:rFonts w:ascii="Book Antiqua" w:hAnsi="Book Antiqua"/>
          <w:bCs/>
        </w:rPr>
        <w:t xml:space="preserve"> </w:t>
      </w:r>
      <w:r w:rsidR="00EA6B30" w:rsidRPr="00700A64">
        <w:rPr>
          <w:rFonts w:ascii="Book Antiqua" w:hAnsi="Book Antiqua"/>
          <w:bCs/>
        </w:rPr>
        <w:t xml:space="preserve">normal small bowel mucosa (Figure </w:t>
      </w:r>
      <w:r w:rsidR="0047551D" w:rsidRPr="00700A64">
        <w:rPr>
          <w:rFonts w:ascii="Book Antiqua" w:hAnsi="Book Antiqua"/>
          <w:bCs/>
        </w:rPr>
        <w:t>7</w:t>
      </w:r>
      <w:r w:rsidR="00EA6B30" w:rsidRPr="00700A64">
        <w:rPr>
          <w:rFonts w:ascii="Book Antiqua" w:hAnsi="Book Antiqua"/>
          <w:bCs/>
        </w:rPr>
        <w:t>).</w:t>
      </w:r>
      <w:r w:rsidR="00F42D78" w:rsidRPr="00700A64">
        <w:rPr>
          <w:rFonts w:ascii="Book Antiqua" w:hAnsi="Book Antiqua"/>
          <w:bCs/>
        </w:rPr>
        <w:t xml:space="preserve"> </w:t>
      </w:r>
    </w:p>
    <w:p w:rsidR="00193791" w:rsidRPr="00700A64" w:rsidRDefault="002A741E" w:rsidP="00B90E53">
      <w:pPr>
        <w:adjustRightInd w:val="0"/>
        <w:snapToGrid w:val="0"/>
        <w:spacing w:line="360" w:lineRule="auto"/>
        <w:ind w:firstLineChars="100" w:firstLine="240"/>
        <w:jc w:val="both"/>
        <w:rPr>
          <w:rFonts w:ascii="Book Antiqua" w:hAnsi="Book Antiqua"/>
        </w:rPr>
      </w:pPr>
      <w:r w:rsidRPr="00700A64">
        <w:rPr>
          <w:rFonts w:ascii="Book Antiqua" w:hAnsi="Book Antiqua"/>
          <w:bCs/>
        </w:rPr>
        <w:t xml:space="preserve">The </w:t>
      </w:r>
      <w:r w:rsidR="00193791" w:rsidRPr="00700A64">
        <w:rPr>
          <w:rFonts w:ascii="Book Antiqua" w:hAnsi="Book Antiqua"/>
        </w:rPr>
        <w:t>IDO+ and CD103+ markers were simultaneously</w:t>
      </w:r>
      <w:r w:rsidRPr="00700A64">
        <w:rPr>
          <w:rFonts w:ascii="Book Antiqua" w:hAnsi="Book Antiqua"/>
        </w:rPr>
        <w:t xml:space="preserve"> expressed</w:t>
      </w:r>
      <w:r w:rsidR="00193791" w:rsidRPr="00700A64">
        <w:rPr>
          <w:rFonts w:ascii="Book Antiqua" w:hAnsi="Book Antiqua"/>
        </w:rPr>
        <w:t xml:space="preserve"> </w:t>
      </w:r>
      <w:r w:rsidRPr="00700A64">
        <w:rPr>
          <w:rFonts w:ascii="Book Antiqua" w:hAnsi="Book Antiqua"/>
        </w:rPr>
        <w:t>in</w:t>
      </w:r>
      <w:r w:rsidR="00193791" w:rsidRPr="00700A64">
        <w:rPr>
          <w:rFonts w:ascii="Book Antiqua" w:hAnsi="Book Antiqua"/>
        </w:rPr>
        <w:t xml:space="preserve"> </w:t>
      </w:r>
      <w:r w:rsidR="00EB0C30" w:rsidRPr="00700A64">
        <w:rPr>
          <w:rFonts w:ascii="Book Antiqua" w:hAnsi="Book Antiqua"/>
        </w:rPr>
        <w:t xml:space="preserve">30% </w:t>
      </w:r>
      <w:r w:rsidR="00193791" w:rsidRPr="00700A64">
        <w:rPr>
          <w:rFonts w:ascii="Book Antiqua" w:hAnsi="Book Antiqua"/>
        </w:rPr>
        <w:t>of</w:t>
      </w:r>
      <w:r w:rsidRPr="00700A64">
        <w:rPr>
          <w:rFonts w:ascii="Book Antiqua" w:hAnsi="Book Antiqua"/>
        </w:rPr>
        <w:t xml:space="preserve"> the</w:t>
      </w:r>
      <w:r w:rsidR="00193791" w:rsidRPr="00700A64">
        <w:rPr>
          <w:rFonts w:ascii="Book Antiqua" w:hAnsi="Book Antiqua"/>
        </w:rPr>
        <w:t xml:space="preserve"> DCs in </w:t>
      </w:r>
      <w:r w:rsidRPr="00700A64">
        <w:rPr>
          <w:rFonts w:ascii="Book Antiqua" w:hAnsi="Book Antiqua"/>
        </w:rPr>
        <w:t xml:space="preserve">the </w:t>
      </w:r>
      <w:r w:rsidR="00193791" w:rsidRPr="00700A64">
        <w:rPr>
          <w:rFonts w:ascii="Book Antiqua" w:hAnsi="Book Antiqua"/>
        </w:rPr>
        <w:t xml:space="preserve">LP of </w:t>
      </w:r>
      <w:r w:rsidRPr="00700A64">
        <w:rPr>
          <w:rFonts w:ascii="Book Antiqua" w:hAnsi="Book Antiqua"/>
        </w:rPr>
        <w:t xml:space="preserve">the </w:t>
      </w:r>
      <w:r w:rsidR="00193791" w:rsidRPr="00700A64">
        <w:rPr>
          <w:rFonts w:ascii="Book Antiqua" w:hAnsi="Book Antiqua"/>
        </w:rPr>
        <w:t xml:space="preserve">bowel mucosa </w:t>
      </w:r>
      <w:r w:rsidRPr="00700A64">
        <w:rPr>
          <w:rFonts w:ascii="Book Antiqua" w:hAnsi="Book Antiqua"/>
        </w:rPr>
        <w:t>of</w:t>
      </w:r>
      <w:r w:rsidR="00193791" w:rsidRPr="00700A64">
        <w:rPr>
          <w:rFonts w:ascii="Book Antiqua" w:hAnsi="Book Antiqua"/>
        </w:rPr>
        <w:t xml:space="preserve"> CD patients and in 25% of </w:t>
      </w:r>
      <w:r w:rsidRPr="00700A64">
        <w:rPr>
          <w:rFonts w:ascii="Book Antiqua" w:hAnsi="Book Antiqua"/>
        </w:rPr>
        <w:t xml:space="preserve">the </w:t>
      </w:r>
      <w:r w:rsidR="00193791" w:rsidRPr="00700A64">
        <w:rPr>
          <w:rFonts w:ascii="Book Antiqua" w:hAnsi="Book Antiqua"/>
        </w:rPr>
        <w:t>DCs</w:t>
      </w:r>
      <w:r w:rsidRPr="00700A64">
        <w:rPr>
          <w:rFonts w:ascii="Book Antiqua" w:hAnsi="Book Antiqua"/>
        </w:rPr>
        <w:t xml:space="preserve"> in the normal mucosa</w:t>
      </w:r>
      <w:r w:rsidR="00193791" w:rsidRPr="00700A64">
        <w:rPr>
          <w:rFonts w:ascii="Book Antiqua" w:hAnsi="Book Antiqua"/>
        </w:rPr>
        <w:t>. Both markers</w:t>
      </w:r>
      <w:r w:rsidR="006C17FB" w:rsidRPr="00700A64">
        <w:rPr>
          <w:rFonts w:ascii="Book Antiqua" w:hAnsi="Book Antiqua"/>
        </w:rPr>
        <w:t>,</w:t>
      </w:r>
      <w:r w:rsidR="00193791" w:rsidRPr="00700A64">
        <w:rPr>
          <w:rFonts w:ascii="Book Antiqua" w:hAnsi="Book Antiqua"/>
        </w:rPr>
        <w:t xml:space="preserve"> CD11c and CD103</w:t>
      </w:r>
      <w:r w:rsidR="006C17FB" w:rsidRPr="00700A64">
        <w:rPr>
          <w:rFonts w:ascii="Book Antiqua" w:hAnsi="Book Antiqua"/>
        </w:rPr>
        <w:t>,</w:t>
      </w:r>
      <w:r w:rsidR="00193791" w:rsidRPr="00700A64">
        <w:rPr>
          <w:rFonts w:ascii="Book Antiqua" w:hAnsi="Book Antiqua"/>
        </w:rPr>
        <w:t xml:space="preserve"> were expressed </w:t>
      </w:r>
      <w:r w:rsidR="00E60FFE" w:rsidRPr="00700A64">
        <w:rPr>
          <w:rFonts w:ascii="Book Antiqua" w:hAnsi="Book Antiqua"/>
        </w:rPr>
        <w:t>i</w:t>
      </w:r>
      <w:r w:rsidR="00193791" w:rsidRPr="00700A64">
        <w:rPr>
          <w:rFonts w:ascii="Book Antiqua" w:hAnsi="Book Antiqua"/>
        </w:rPr>
        <w:t xml:space="preserve">n 5% of </w:t>
      </w:r>
      <w:r w:rsidR="00E60FFE" w:rsidRPr="00700A64">
        <w:rPr>
          <w:rFonts w:ascii="Book Antiqua" w:hAnsi="Book Antiqua"/>
        </w:rPr>
        <w:t xml:space="preserve">the </w:t>
      </w:r>
      <w:r w:rsidR="00193791" w:rsidRPr="00700A64">
        <w:rPr>
          <w:rFonts w:ascii="Book Antiqua" w:hAnsi="Book Antiqua"/>
        </w:rPr>
        <w:t xml:space="preserve">DCs in </w:t>
      </w:r>
      <w:r w:rsidR="00AE3D3C" w:rsidRPr="00700A64">
        <w:rPr>
          <w:rFonts w:ascii="Book Antiqua" w:hAnsi="Book Antiqua"/>
        </w:rPr>
        <w:t xml:space="preserve">the </w:t>
      </w:r>
      <w:r w:rsidR="00193791" w:rsidRPr="00700A64">
        <w:rPr>
          <w:rFonts w:ascii="Book Antiqua" w:hAnsi="Book Antiqua"/>
        </w:rPr>
        <w:t xml:space="preserve">LP of </w:t>
      </w:r>
      <w:r w:rsidR="00E60FFE" w:rsidRPr="00700A64">
        <w:rPr>
          <w:rFonts w:ascii="Book Antiqua" w:hAnsi="Book Antiqua"/>
        </w:rPr>
        <w:t xml:space="preserve">the </w:t>
      </w:r>
      <w:r w:rsidR="00193791" w:rsidRPr="00700A64">
        <w:rPr>
          <w:rFonts w:ascii="Book Antiqua" w:hAnsi="Book Antiqua"/>
        </w:rPr>
        <w:t xml:space="preserve">bowel mucosa </w:t>
      </w:r>
      <w:r w:rsidR="00E60FFE" w:rsidRPr="00700A64">
        <w:rPr>
          <w:rFonts w:ascii="Book Antiqua" w:hAnsi="Book Antiqua"/>
        </w:rPr>
        <w:t>of the</w:t>
      </w:r>
      <w:r w:rsidR="00193791" w:rsidRPr="00700A64">
        <w:rPr>
          <w:rFonts w:ascii="Book Antiqua" w:hAnsi="Book Antiqua"/>
        </w:rPr>
        <w:t xml:space="preserve"> studied persons,</w:t>
      </w:r>
      <w:r w:rsidR="00E60FFE" w:rsidRPr="00700A64">
        <w:rPr>
          <w:rFonts w:ascii="Book Antiqua" w:hAnsi="Book Antiqua"/>
        </w:rPr>
        <w:t xml:space="preserve"> with</w:t>
      </w:r>
      <w:r w:rsidR="00193791" w:rsidRPr="00700A64">
        <w:rPr>
          <w:rFonts w:ascii="Book Antiqua" w:hAnsi="Book Antiqua"/>
        </w:rPr>
        <w:t xml:space="preserve"> </w:t>
      </w:r>
      <w:r w:rsidR="00E60FFE" w:rsidRPr="00700A64">
        <w:rPr>
          <w:rFonts w:ascii="Book Antiqua" w:hAnsi="Book Antiqua"/>
        </w:rPr>
        <w:t>CD11c accounting for</w:t>
      </w:r>
      <w:r w:rsidR="00193791" w:rsidRPr="00700A64">
        <w:rPr>
          <w:rFonts w:ascii="Book Antiqua" w:hAnsi="Book Antiqua"/>
        </w:rPr>
        <w:t xml:space="preserve"> 47.5% and </w:t>
      </w:r>
      <w:r w:rsidR="00E60FFE" w:rsidRPr="00700A64">
        <w:rPr>
          <w:rFonts w:ascii="Book Antiqua" w:hAnsi="Book Antiqua"/>
        </w:rPr>
        <w:t xml:space="preserve">CD103 accounting for </w:t>
      </w:r>
      <w:r w:rsidR="00193791" w:rsidRPr="00700A64">
        <w:rPr>
          <w:rFonts w:ascii="Book Antiqua" w:hAnsi="Book Antiqua"/>
        </w:rPr>
        <w:t>47%</w:t>
      </w:r>
      <w:r w:rsidR="00E60FFE" w:rsidRPr="00700A64">
        <w:rPr>
          <w:rFonts w:ascii="Book Antiqua" w:hAnsi="Book Antiqua"/>
        </w:rPr>
        <w:t>.</w:t>
      </w:r>
      <w:r w:rsidR="00193791" w:rsidRPr="00700A64">
        <w:rPr>
          <w:rFonts w:ascii="Book Antiqua" w:hAnsi="Book Antiqua"/>
        </w:rPr>
        <w:t xml:space="preserve"> </w:t>
      </w:r>
      <w:r w:rsidR="00AE3D3C" w:rsidRPr="00700A64">
        <w:rPr>
          <w:rFonts w:ascii="Book Antiqua" w:hAnsi="Book Antiqua"/>
        </w:rPr>
        <w:t>D</w:t>
      </w:r>
      <w:r w:rsidR="00193791" w:rsidRPr="00700A64">
        <w:rPr>
          <w:rFonts w:ascii="Book Antiqua" w:hAnsi="Book Antiqua"/>
        </w:rPr>
        <w:t xml:space="preserve">ouble expression of CD11c and CD103 was </w:t>
      </w:r>
      <w:r w:rsidR="00B5739B" w:rsidRPr="00700A64">
        <w:rPr>
          <w:rFonts w:ascii="Book Antiqua" w:hAnsi="Book Antiqua"/>
        </w:rPr>
        <w:t xml:space="preserve">observed </w:t>
      </w:r>
      <w:r w:rsidR="00193791" w:rsidRPr="00700A64">
        <w:rPr>
          <w:rFonts w:ascii="Book Antiqua" w:hAnsi="Book Antiqua"/>
        </w:rPr>
        <w:t xml:space="preserve">in 6.5% of </w:t>
      </w:r>
      <w:r w:rsidR="00E60FFE" w:rsidRPr="00700A64">
        <w:rPr>
          <w:rFonts w:ascii="Book Antiqua" w:hAnsi="Book Antiqua"/>
        </w:rPr>
        <w:t xml:space="preserve">the </w:t>
      </w:r>
      <w:r w:rsidR="00193791" w:rsidRPr="00700A64">
        <w:rPr>
          <w:rFonts w:ascii="Book Antiqua" w:hAnsi="Book Antiqua"/>
        </w:rPr>
        <w:t>DCs</w:t>
      </w:r>
      <w:r w:rsidR="00AE3D3C" w:rsidRPr="00700A64">
        <w:rPr>
          <w:rFonts w:ascii="Book Antiqua" w:hAnsi="Book Antiqua"/>
        </w:rPr>
        <w:t xml:space="preserve"> in the CD group</w:t>
      </w:r>
      <w:r w:rsidR="00193791" w:rsidRPr="00700A64">
        <w:rPr>
          <w:rFonts w:ascii="Book Antiqua" w:hAnsi="Book Antiqua"/>
        </w:rPr>
        <w:t xml:space="preserve"> </w:t>
      </w:r>
      <w:r w:rsidR="00AE3D3C" w:rsidRPr="00700A64">
        <w:rPr>
          <w:rFonts w:ascii="Book Antiqua" w:hAnsi="Book Antiqua"/>
        </w:rPr>
        <w:t xml:space="preserve">compared with </w:t>
      </w:r>
      <w:r w:rsidR="00E60FFE" w:rsidRPr="00700A64">
        <w:rPr>
          <w:rFonts w:ascii="Book Antiqua" w:hAnsi="Book Antiqua"/>
        </w:rPr>
        <w:t xml:space="preserve">4.2% of the visualized DCs </w:t>
      </w:r>
      <w:r w:rsidR="00193791" w:rsidRPr="00700A64">
        <w:rPr>
          <w:rFonts w:ascii="Book Antiqua" w:hAnsi="Book Antiqua"/>
        </w:rPr>
        <w:t xml:space="preserve">in </w:t>
      </w:r>
      <w:r w:rsidR="00AE3D3C" w:rsidRPr="00700A64">
        <w:rPr>
          <w:rFonts w:ascii="Book Antiqua" w:hAnsi="Book Antiqua"/>
        </w:rPr>
        <w:t>persons with</w:t>
      </w:r>
      <w:r w:rsidR="00E60FFE" w:rsidRPr="00700A64">
        <w:rPr>
          <w:rFonts w:ascii="Book Antiqua" w:hAnsi="Book Antiqua"/>
        </w:rPr>
        <w:t xml:space="preserve"> </w:t>
      </w:r>
      <w:r w:rsidR="00193791" w:rsidRPr="00700A64">
        <w:rPr>
          <w:rFonts w:ascii="Book Antiqua" w:hAnsi="Book Antiqua"/>
        </w:rPr>
        <w:t>normal mucosa</w:t>
      </w:r>
      <w:r w:rsidR="00E60FFE" w:rsidRPr="00700A64">
        <w:rPr>
          <w:rFonts w:ascii="Book Antiqua" w:hAnsi="Book Antiqua"/>
        </w:rPr>
        <w:t>.</w:t>
      </w:r>
    </w:p>
    <w:p w:rsidR="008712C3" w:rsidRPr="00700A64" w:rsidRDefault="002974EC"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rPr>
        <w:t>I</w:t>
      </w:r>
      <w:r w:rsidR="008712C3" w:rsidRPr="00700A64">
        <w:rPr>
          <w:rFonts w:ascii="Book Antiqua" w:hAnsi="Book Antiqua"/>
        </w:rPr>
        <w:t xml:space="preserve">mmunofluorescence staining for Langerin </w:t>
      </w:r>
      <w:r w:rsidR="00302156" w:rsidRPr="00700A64">
        <w:rPr>
          <w:rFonts w:ascii="Book Antiqua" w:hAnsi="Book Antiqua"/>
        </w:rPr>
        <w:t>o</w:t>
      </w:r>
      <w:r w:rsidR="008712C3" w:rsidRPr="00700A64">
        <w:rPr>
          <w:rFonts w:ascii="Book Antiqua" w:hAnsi="Book Antiqua"/>
        </w:rPr>
        <w:t xml:space="preserve">n </w:t>
      </w:r>
      <w:r w:rsidR="000610D2" w:rsidRPr="00700A64">
        <w:rPr>
          <w:rFonts w:ascii="Book Antiqua" w:hAnsi="Book Antiqua"/>
        </w:rPr>
        <w:t xml:space="preserve">a </w:t>
      </w:r>
      <w:r w:rsidR="008712C3" w:rsidRPr="00700A64">
        <w:rPr>
          <w:rFonts w:ascii="Book Antiqua" w:hAnsi="Book Antiqua"/>
          <w:bCs/>
        </w:rPr>
        <w:t xml:space="preserve">cryostat section of </w:t>
      </w:r>
      <w:r w:rsidRPr="00700A64">
        <w:rPr>
          <w:rFonts w:ascii="Book Antiqua" w:hAnsi="Book Antiqua"/>
          <w:bCs/>
        </w:rPr>
        <w:t xml:space="preserve">the </w:t>
      </w:r>
      <w:r w:rsidR="008712C3" w:rsidRPr="00700A64">
        <w:rPr>
          <w:rFonts w:ascii="Book Antiqua" w:hAnsi="Book Antiqua"/>
          <w:bCs/>
        </w:rPr>
        <w:t>small bowel mucosa is presented in Fig</w:t>
      </w:r>
      <w:r w:rsidR="00182784" w:rsidRPr="00700A64">
        <w:rPr>
          <w:rFonts w:ascii="Book Antiqua" w:hAnsi="Book Antiqua"/>
          <w:bCs/>
        </w:rPr>
        <w:t>ure</w:t>
      </w:r>
      <w:r w:rsidR="008712C3" w:rsidRPr="00700A64">
        <w:rPr>
          <w:rFonts w:ascii="Book Antiqua" w:hAnsi="Book Antiqua"/>
          <w:bCs/>
        </w:rPr>
        <w:t xml:space="preserve"> </w:t>
      </w:r>
      <w:r w:rsidR="00B37D30" w:rsidRPr="00700A64">
        <w:rPr>
          <w:rFonts w:ascii="Book Antiqua" w:hAnsi="Book Antiqua"/>
          <w:bCs/>
        </w:rPr>
        <w:t>8</w:t>
      </w:r>
      <w:r w:rsidR="008712C3" w:rsidRPr="00700A64">
        <w:rPr>
          <w:rFonts w:ascii="Book Antiqua" w:hAnsi="Book Antiqua"/>
          <w:bCs/>
        </w:rPr>
        <w:t xml:space="preserve">. Langerin+ DCs were </w:t>
      </w:r>
      <w:r w:rsidR="00850EBE" w:rsidRPr="00700A64">
        <w:rPr>
          <w:rFonts w:ascii="Book Antiqua" w:hAnsi="Book Antiqua"/>
          <w:bCs/>
        </w:rPr>
        <w:t xml:space="preserve">identified </w:t>
      </w:r>
      <w:r w:rsidR="008712C3" w:rsidRPr="00700A64">
        <w:rPr>
          <w:rFonts w:ascii="Book Antiqua" w:hAnsi="Book Antiqua"/>
          <w:bCs/>
        </w:rPr>
        <w:t>in</w:t>
      </w:r>
      <w:r w:rsidR="00AE3D3C" w:rsidRPr="00700A64">
        <w:rPr>
          <w:rFonts w:ascii="Book Antiqua" w:hAnsi="Book Antiqua"/>
          <w:bCs/>
        </w:rPr>
        <w:t xml:space="preserve"> both the</w:t>
      </w:r>
      <w:r w:rsidR="008712C3" w:rsidRPr="00700A64">
        <w:rPr>
          <w:rFonts w:ascii="Book Antiqua" w:hAnsi="Book Antiqua"/>
          <w:bCs/>
        </w:rPr>
        <w:t xml:space="preserve"> LP (Fig</w:t>
      </w:r>
      <w:r w:rsidR="00182784" w:rsidRPr="00700A64">
        <w:rPr>
          <w:rFonts w:ascii="Book Antiqua" w:hAnsi="Book Antiqua"/>
          <w:bCs/>
        </w:rPr>
        <w:t>ure</w:t>
      </w:r>
      <w:r w:rsidR="008712C3" w:rsidRPr="00700A64">
        <w:rPr>
          <w:rFonts w:ascii="Book Antiqua" w:hAnsi="Book Antiqua"/>
          <w:bCs/>
        </w:rPr>
        <w:t xml:space="preserve"> </w:t>
      </w:r>
      <w:r w:rsidR="00B37D30" w:rsidRPr="00700A64">
        <w:rPr>
          <w:rFonts w:ascii="Book Antiqua" w:hAnsi="Book Antiqua"/>
          <w:bCs/>
        </w:rPr>
        <w:t>8</w:t>
      </w:r>
      <w:r w:rsidR="00125C80" w:rsidRPr="00700A64">
        <w:rPr>
          <w:rFonts w:ascii="Book Antiqua" w:hAnsi="Book Antiqua"/>
          <w:bCs/>
        </w:rPr>
        <w:t>A</w:t>
      </w:r>
      <w:r w:rsidR="008712C3" w:rsidRPr="00700A64">
        <w:rPr>
          <w:rFonts w:ascii="Book Antiqua" w:hAnsi="Book Antiqua"/>
          <w:bCs/>
        </w:rPr>
        <w:t xml:space="preserve">) </w:t>
      </w:r>
      <w:r w:rsidR="00AE3D3C" w:rsidRPr="00700A64">
        <w:rPr>
          <w:rFonts w:ascii="Book Antiqua" w:hAnsi="Book Antiqua"/>
          <w:bCs/>
        </w:rPr>
        <w:t>and</w:t>
      </w:r>
      <w:r w:rsidR="008712C3" w:rsidRPr="00700A64">
        <w:rPr>
          <w:rFonts w:ascii="Book Antiqua" w:hAnsi="Book Antiqua"/>
          <w:bCs/>
        </w:rPr>
        <w:t xml:space="preserve"> the epitheli</w:t>
      </w:r>
      <w:r w:rsidR="000610D2" w:rsidRPr="00700A64">
        <w:rPr>
          <w:rFonts w:ascii="Book Antiqua" w:hAnsi="Book Antiqua"/>
          <w:bCs/>
        </w:rPr>
        <w:t>um</w:t>
      </w:r>
      <w:r w:rsidR="008712C3" w:rsidRPr="00700A64">
        <w:rPr>
          <w:rFonts w:ascii="Book Antiqua" w:hAnsi="Book Antiqua"/>
          <w:bCs/>
        </w:rPr>
        <w:t xml:space="preserve"> of the villus </w:t>
      </w:r>
      <w:r w:rsidRPr="00700A64">
        <w:rPr>
          <w:rFonts w:ascii="Book Antiqua" w:hAnsi="Book Antiqua"/>
          <w:bCs/>
        </w:rPr>
        <w:t xml:space="preserve">of the </w:t>
      </w:r>
      <w:r w:rsidR="008712C3" w:rsidRPr="00700A64">
        <w:rPr>
          <w:rFonts w:ascii="Book Antiqua" w:hAnsi="Book Antiqua"/>
          <w:bCs/>
        </w:rPr>
        <w:t>small bowel mucosa (Fig</w:t>
      </w:r>
      <w:r w:rsidR="00182784" w:rsidRPr="00700A64">
        <w:rPr>
          <w:rFonts w:ascii="Book Antiqua" w:hAnsi="Book Antiqua"/>
          <w:bCs/>
        </w:rPr>
        <w:t>ure</w:t>
      </w:r>
      <w:r w:rsidR="008712C3" w:rsidRPr="00700A64">
        <w:rPr>
          <w:rFonts w:ascii="Book Antiqua" w:hAnsi="Book Antiqua"/>
          <w:bCs/>
        </w:rPr>
        <w:t xml:space="preserve"> </w:t>
      </w:r>
      <w:r w:rsidR="004344D1" w:rsidRPr="00700A64">
        <w:rPr>
          <w:rFonts w:ascii="Book Antiqua" w:hAnsi="Book Antiqua"/>
          <w:bCs/>
        </w:rPr>
        <w:t>8</w:t>
      </w:r>
      <w:r w:rsidR="00125C80" w:rsidRPr="00700A64">
        <w:rPr>
          <w:rFonts w:ascii="Book Antiqua" w:hAnsi="Book Antiqua"/>
          <w:bCs/>
        </w:rPr>
        <w:t>B</w:t>
      </w:r>
      <w:r w:rsidR="008712C3" w:rsidRPr="00700A64">
        <w:rPr>
          <w:rFonts w:ascii="Book Antiqua" w:hAnsi="Book Antiqua"/>
          <w:bCs/>
        </w:rPr>
        <w:t>).</w:t>
      </w:r>
    </w:p>
    <w:p w:rsidR="004E5DEC" w:rsidRPr="00700A64" w:rsidRDefault="00E250F8"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The mean value </w:t>
      </w:r>
      <w:r w:rsidR="006E0B11" w:rsidRPr="00700A64">
        <w:rPr>
          <w:rFonts w:ascii="Book Antiqua" w:hAnsi="Book Antiqua"/>
        </w:rPr>
        <w:t>of Langerin</w:t>
      </w:r>
      <w:r w:rsidRPr="00700A64">
        <w:rPr>
          <w:rFonts w:ascii="Book Antiqua" w:hAnsi="Book Antiqua"/>
        </w:rPr>
        <w:t xml:space="preserve">+ DCs was </w:t>
      </w:r>
      <w:r w:rsidR="00F42D78" w:rsidRPr="00700A64">
        <w:rPr>
          <w:rFonts w:ascii="Book Antiqua" w:hAnsi="Book Antiqua"/>
        </w:rPr>
        <w:t xml:space="preserve">higher </w:t>
      </w:r>
      <w:r w:rsidR="002974EC" w:rsidRPr="00700A64">
        <w:rPr>
          <w:rFonts w:ascii="Book Antiqua" w:hAnsi="Book Antiqua"/>
        </w:rPr>
        <w:t>in CD patients</w:t>
      </w:r>
      <w:r w:rsidRPr="00700A64">
        <w:rPr>
          <w:rFonts w:ascii="Book Antiqua" w:hAnsi="Book Antiqua"/>
        </w:rPr>
        <w:t xml:space="preserve"> compared with persons with normal mucosa (</w:t>
      </w:r>
      <w:r w:rsidR="00F94270" w:rsidRPr="00700A64">
        <w:rPr>
          <w:rFonts w:ascii="Book Antiqua" w:hAnsi="Book Antiqua"/>
          <w:i/>
        </w:rPr>
        <w:t xml:space="preserve">P = </w:t>
      </w:r>
      <w:r w:rsidRPr="00700A64">
        <w:rPr>
          <w:rFonts w:ascii="Book Antiqua" w:hAnsi="Book Antiqua"/>
        </w:rPr>
        <w:t>0.04</w:t>
      </w:r>
      <w:r w:rsidR="00F42D78" w:rsidRPr="00700A64">
        <w:rPr>
          <w:rFonts w:ascii="Book Antiqua" w:hAnsi="Book Antiqua"/>
        </w:rPr>
        <w:t>; Figure</w:t>
      </w:r>
      <w:r w:rsidR="00B90E53">
        <w:rPr>
          <w:rFonts w:ascii="Book Antiqua" w:hAnsi="Book Antiqua" w:hint="eastAsia"/>
          <w:lang w:eastAsia="zh-CN"/>
        </w:rPr>
        <w:t>s</w:t>
      </w:r>
      <w:r w:rsidR="00F42D78" w:rsidRPr="00700A64">
        <w:rPr>
          <w:rFonts w:ascii="Book Antiqua" w:hAnsi="Book Antiqua"/>
        </w:rPr>
        <w:t xml:space="preserve"> </w:t>
      </w:r>
      <w:r w:rsidR="00941B16" w:rsidRPr="00700A64">
        <w:rPr>
          <w:rFonts w:ascii="Book Antiqua" w:hAnsi="Book Antiqua"/>
        </w:rPr>
        <w:t>7</w:t>
      </w:r>
      <w:r w:rsidR="00B90E53">
        <w:rPr>
          <w:rFonts w:ascii="Book Antiqua" w:hAnsi="Book Antiqua"/>
        </w:rPr>
        <w:t xml:space="preserve"> and</w:t>
      </w:r>
      <w:r w:rsidR="00B90E53">
        <w:rPr>
          <w:rFonts w:ascii="Book Antiqua" w:hAnsi="Book Antiqua" w:hint="eastAsia"/>
          <w:lang w:eastAsia="zh-CN"/>
        </w:rPr>
        <w:t xml:space="preserve"> </w:t>
      </w:r>
      <w:r w:rsidR="00495E65" w:rsidRPr="00700A64">
        <w:rPr>
          <w:rFonts w:ascii="Book Antiqua" w:hAnsi="Book Antiqua"/>
        </w:rPr>
        <w:t>9</w:t>
      </w:r>
      <w:r w:rsidR="00B80636" w:rsidRPr="00700A64">
        <w:rPr>
          <w:rFonts w:ascii="Book Antiqua" w:hAnsi="Book Antiqua"/>
        </w:rPr>
        <w:t>)</w:t>
      </w:r>
      <w:r w:rsidR="00231615" w:rsidRPr="00700A64">
        <w:rPr>
          <w:rFonts w:ascii="Book Antiqua" w:hAnsi="Book Antiqua"/>
        </w:rPr>
        <w:t xml:space="preserve">. </w:t>
      </w:r>
      <w:r w:rsidR="00AE3D3C" w:rsidRPr="00700A64">
        <w:rPr>
          <w:rFonts w:ascii="Book Antiqua" w:hAnsi="Book Antiqua"/>
        </w:rPr>
        <w:t>The c</w:t>
      </w:r>
      <w:r w:rsidR="008A3E30" w:rsidRPr="00700A64">
        <w:rPr>
          <w:rFonts w:ascii="Book Antiqua" w:hAnsi="Book Antiqua"/>
        </w:rPr>
        <w:t>orrelation</w:t>
      </w:r>
      <w:r w:rsidR="00850EBE" w:rsidRPr="00700A64">
        <w:rPr>
          <w:rFonts w:ascii="Book Antiqua" w:hAnsi="Book Antiqua"/>
        </w:rPr>
        <w:t>s</w:t>
      </w:r>
      <w:r w:rsidR="008A3E30" w:rsidRPr="00700A64">
        <w:rPr>
          <w:rFonts w:ascii="Book Antiqua" w:hAnsi="Book Antiqua"/>
        </w:rPr>
        <w:t xml:space="preserve"> between Langerin+ DCs and CD11c+ DCs</w:t>
      </w:r>
      <w:r w:rsidR="0030709C" w:rsidRPr="00700A64">
        <w:rPr>
          <w:rFonts w:ascii="Book Antiqua" w:hAnsi="Book Antiqua"/>
        </w:rPr>
        <w:t xml:space="preserve"> (</w:t>
      </w:r>
      <w:r w:rsidR="0030709C" w:rsidRPr="00700A64">
        <w:rPr>
          <w:rFonts w:ascii="Book Antiqua" w:hAnsi="Book Antiqua"/>
          <w:i/>
        </w:rPr>
        <w:t>r</w:t>
      </w:r>
      <w:r w:rsidR="00553398">
        <w:rPr>
          <w:rFonts w:ascii="Book Antiqua" w:hAnsi="Book Antiqua" w:hint="eastAsia"/>
          <w:i/>
          <w:lang w:eastAsia="zh-CN"/>
        </w:rPr>
        <w:t xml:space="preserve"> </w:t>
      </w:r>
      <w:r w:rsidR="0030709C" w:rsidRPr="00700A64">
        <w:rPr>
          <w:rFonts w:ascii="Book Antiqua" w:hAnsi="Book Antiqua"/>
        </w:rPr>
        <w:t>=</w:t>
      </w:r>
      <w:r w:rsidR="00553398">
        <w:rPr>
          <w:rFonts w:ascii="Book Antiqua" w:hAnsi="Book Antiqua" w:hint="eastAsia"/>
          <w:lang w:eastAsia="zh-CN"/>
        </w:rPr>
        <w:t xml:space="preserve"> </w:t>
      </w:r>
      <w:r w:rsidR="0030709C" w:rsidRPr="00700A64">
        <w:rPr>
          <w:rFonts w:ascii="Book Antiqua" w:hAnsi="Book Antiqua"/>
        </w:rPr>
        <w:t xml:space="preserve">0.57; </w:t>
      </w:r>
      <w:r w:rsidR="00F94270" w:rsidRPr="00700A64">
        <w:rPr>
          <w:rFonts w:ascii="Book Antiqua" w:hAnsi="Book Antiqua"/>
          <w:i/>
        </w:rPr>
        <w:t xml:space="preserve">P = </w:t>
      </w:r>
      <w:r w:rsidR="0030709C" w:rsidRPr="00700A64">
        <w:rPr>
          <w:rFonts w:ascii="Book Antiqua" w:hAnsi="Book Antiqua"/>
        </w:rPr>
        <w:t>0.04)</w:t>
      </w:r>
      <w:r w:rsidR="0057250B" w:rsidRPr="00700A64">
        <w:rPr>
          <w:rFonts w:ascii="Book Antiqua" w:hAnsi="Book Antiqua"/>
        </w:rPr>
        <w:t xml:space="preserve"> </w:t>
      </w:r>
      <w:r w:rsidR="00850EBE" w:rsidRPr="00700A64">
        <w:rPr>
          <w:rFonts w:ascii="Book Antiqua" w:hAnsi="Book Antiqua"/>
        </w:rPr>
        <w:t>and</w:t>
      </w:r>
      <w:r w:rsidR="0057250B" w:rsidRPr="00700A64">
        <w:rPr>
          <w:rFonts w:ascii="Book Antiqua" w:hAnsi="Book Antiqua"/>
        </w:rPr>
        <w:t xml:space="preserve"> between </w:t>
      </w:r>
      <w:r w:rsidR="0030709C" w:rsidRPr="00700A64">
        <w:rPr>
          <w:rFonts w:ascii="Book Antiqua" w:hAnsi="Book Antiqua"/>
        </w:rPr>
        <w:t>Langerin</w:t>
      </w:r>
      <w:r w:rsidR="0057250B" w:rsidRPr="00700A64">
        <w:rPr>
          <w:rFonts w:ascii="Book Antiqua" w:hAnsi="Book Antiqua"/>
        </w:rPr>
        <w:t>+</w:t>
      </w:r>
      <w:r w:rsidR="00553398">
        <w:rPr>
          <w:rFonts w:ascii="Book Antiqua" w:hAnsi="Book Antiqua" w:hint="eastAsia"/>
          <w:lang w:eastAsia="zh-CN"/>
        </w:rPr>
        <w:t xml:space="preserve"> </w:t>
      </w:r>
      <w:r w:rsidR="0057250B" w:rsidRPr="00700A64">
        <w:rPr>
          <w:rFonts w:ascii="Book Antiqua" w:hAnsi="Book Antiqua"/>
        </w:rPr>
        <w:t xml:space="preserve">DCs and CD103+DCs </w:t>
      </w:r>
      <w:r w:rsidR="00850EBE" w:rsidRPr="00700A64">
        <w:rPr>
          <w:rFonts w:ascii="Book Antiqua" w:hAnsi="Book Antiqua"/>
        </w:rPr>
        <w:t xml:space="preserve">were </w:t>
      </w:r>
      <w:r w:rsidR="008A3E30" w:rsidRPr="00700A64">
        <w:rPr>
          <w:rFonts w:ascii="Book Antiqua" w:hAnsi="Book Antiqua"/>
        </w:rPr>
        <w:t>more pronounced in female CD patients (</w:t>
      </w:r>
      <w:r w:rsidR="0057250B" w:rsidRPr="00700A64">
        <w:rPr>
          <w:rFonts w:ascii="Book Antiqua" w:hAnsi="Book Antiqua"/>
          <w:i/>
        </w:rPr>
        <w:t>r</w:t>
      </w:r>
      <w:r w:rsidR="00553398">
        <w:rPr>
          <w:rFonts w:ascii="Book Antiqua" w:hAnsi="Book Antiqua" w:hint="eastAsia"/>
          <w:i/>
          <w:lang w:eastAsia="zh-CN"/>
        </w:rPr>
        <w:t xml:space="preserve"> </w:t>
      </w:r>
      <w:r w:rsidR="0057250B" w:rsidRPr="00700A64">
        <w:rPr>
          <w:rFonts w:ascii="Book Antiqua" w:hAnsi="Book Antiqua"/>
        </w:rPr>
        <w:t>=</w:t>
      </w:r>
      <w:r w:rsidR="00553398">
        <w:rPr>
          <w:rFonts w:ascii="Book Antiqua" w:hAnsi="Book Antiqua" w:hint="eastAsia"/>
          <w:lang w:eastAsia="zh-CN"/>
        </w:rPr>
        <w:t xml:space="preserve"> </w:t>
      </w:r>
      <w:r w:rsidR="0057250B" w:rsidRPr="00700A64">
        <w:rPr>
          <w:rFonts w:ascii="Book Antiqua" w:hAnsi="Book Antiqua"/>
        </w:rPr>
        <w:t xml:space="preserve">0.77; </w:t>
      </w:r>
      <w:r w:rsidR="00F94270" w:rsidRPr="00700A64">
        <w:rPr>
          <w:rFonts w:ascii="Book Antiqua" w:hAnsi="Book Antiqua"/>
          <w:i/>
        </w:rPr>
        <w:t xml:space="preserve">P = </w:t>
      </w:r>
      <w:r w:rsidR="0057250B" w:rsidRPr="00700A64">
        <w:rPr>
          <w:rFonts w:ascii="Book Antiqua" w:hAnsi="Book Antiqua"/>
        </w:rPr>
        <w:t>0.002</w:t>
      </w:r>
      <w:r w:rsidR="0030709C" w:rsidRPr="00700A64">
        <w:rPr>
          <w:rFonts w:ascii="Book Antiqua" w:hAnsi="Book Antiqua"/>
        </w:rPr>
        <w:t>)</w:t>
      </w:r>
      <w:r w:rsidR="008A3E30" w:rsidRPr="00700A64">
        <w:rPr>
          <w:rFonts w:ascii="Book Antiqua" w:hAnsi="Book Antiqua"/>
        </w:rPr>
        <w:t>.</w:t>
      </w:r>
      <w:r w:rsidR="0057250B" w:rsidRPr="00700A64">
        <w:rPr>
          <w:rFonts w:ascii="Book Antiqua" w:hAnsi="Book Antiqua"/>
        </w:rPr>
        <w:t xml:space="preserve"> </w:t>
      </w:r>
      <w:r w:rsidR="008A3E30" w:rsidRPr="00700A64">
        <w:rPr>
          <w:rFonts w:ascii="Book Antiqua" w:hAnsi="Book Antiqua"/>
        </w:rPr>
        <w:t xml:space="preserve"> </w:t>
      </w:r>
    </w:p>
    <w:p w:rsidR="009E5132" w:rsidRPr="00700A64" w:rsidRDefault="005D69CE" w:rsidP="00B90E53">
      <w:pPr>
        <w:adjustRightInd w:val="0"/>
        <w:snapToGrid w:val="0"/>
        <w:spacing w:line="360" w:lineRule="auto"/>
        <w:ind w:firstLineChars="100" w:firstLine="240"/>
        <w:jc w:val="both"/>
        <w:rPr>
          <w:rFonts w:ascii="Book Antiqua" w:hAnsi="Book Antiqua"/>
          <w:bCs/>
        </w:rPr>
      </w:pPr>
      <w:r w:rsidRPr="00700A64">
        <w:rPr>
          <w:rFonts w:ascii="Book Antiqua" w:hAnsi="Book Antiqua"/>
          <w:bCs/>
        </w:rPr>
        <w:t>According to the</w:t>
      </w:r>
      <w:r w:rsidRPr="00700A64">
        <w:rPr>
          <w:rFonts w:ascii="Book Antiqua" w:hAnsi="Book Antiqua"/>
          <w:b/>
          <w:bCs/>
        </w:rPr>
        <w:t xml:space="preserve"> </w:t>
      </w:r>
      <w:r w:rsidRPr="00700A64">
        <w:rPr>
          <w:rFonts w:ascii="Book Antiqua" w:hAnsi="Book Antiqua"/>
          <w:bCs/>
        </w:rPr>
        <w:t>analysis of the ROC curves</w:t>
      </w:r>
      <w:r w:rsidR="002974EC" w:rsidRPr="00700A64">
        <w:rPr>
          <w:rFonts w:ascii="Book Antiqua" w:hAnsi="Book Antiqua"/>
          <w:bCs/>
        </w:rPr>
        <w:t>,</w:t>
      </w:r>
      <w:r w:rsidRPr="00700A64">
        <w:rPr>
          <w:rFonts w:ascii="Book Antiqua" w:hAnsi="Book Antiqua"/>
          <w:bCs/>
        </w:rPr>
        <w:t xml:space="preserve"> FOXP3 and IDO positivity ha</w:t>
      </w:r>
      <w:r w:rsidR="002974EC" w:rsidRPr="00700A64">
        <w:rPr>
          <w:rFonts w:ascii="Book Antiqua" w:hAnsi="Book Antiqua"/>
          <w:bCs/>
        </w:rPr>
        <w:t>d</w:t>
      </w:r>
      <w:r w:rsidRPr="00700A64">
        <w:rPr>
          <w:rFonts w:ascii="Book Antiqua" w:hAnsi="Book Antiqua"/>
          <w:bCs/>
        </w:rPr>
        <w:t xml:space="preserve"> the highest discriminative power </w:t>
      </w:r>
      <w:r w:rsidR="00D149AE" w:rsidRPr="00700A64">
        <w:rPr>
          <w:rFonts w:ascii="Book Antiqua" w:hAnsi="Book Antiqua"/>
          <w:bCs/>
        </w:rPr>
        <w:t xml:space="preserve">(AUC) </w:t>
      </w:r>
      <w:r w:rsidRPr="00700A64">
        <w:rPr>
          <w:rFonts w:ascii="Book Antiqua" w:hAnsi="Book Antiqua"/>
          <w:bCs/>
        </w:rPr>
        <w:t>for both CD</w:t>
      </w:r>
      <w:r w:rsidR="00EB22F9" w:rsidRPr="00700A64">
        <w:rPr>
          <w:rFonts w:ascii="Book Antiqua" w:hAnsi="Book Antiqua"/>
          <w:bCs/>
        </w:rPr>
        <w:t xml:space="preserve"> (AUC</w:t>
      </w:r>
      <w:r w:rsidR="00553398">
        <w:rPr>
          <w:rFonts w:ascii="Book Antiqua" w:hAnsi="Book Antiqua" w:hint="eastAsia"/>
          <w:bCs/>
          <w:lang w:eastAsia="zh-CN"/>
        </w:rPr>
        <w:t xml:space="preserve"> </w:t>
      </w:r>
      <w:r w:rsidR="00EB22F9" w:rsidRPr="00700A64">
        <w:rPr>
          <w:rFonts w:ascii="Book Antiqua" w:hAnsi="Book Antiqua"/>
          <w:bCs/>
        </w:rPr>
        <w:t>=</w:t>
      </w:r>
      <w:r w:rsidR="00553398">
        <w:rPr>
          <w:rFonts w:ascii="Book Antiqua" w:hAnsi="Book Antiqua" w:hint="eastAsia"/>
          <w:bCs/>
          <w:lang w:eastAsia="zh-CN"/>
        </w:rPr>
        <w:t xml:space="preserve"> </w:t>
      </w:r>
      <w:r w:rsidR="00EB22F9" w:rsidRPr="00700A64">
        <w:rPr>
          <w:rFonts w:ascii="Book Antiqua" w:hAnsi="Book Antiqua"/>
          <w:bCs/>
        </w:rPr>
        <w:t>0.92</w:t>
      </w:r>
      <w:r w:rsidR="00F1315B" w:rsidRPr="00700A64">
        <w:rPr>
          <w:rFonts w:ascii="Book Antiqua" w:hAnsi="Book Antiqua"/>
          <w:bCs/>
        </w:rPr>
        <w:t xml:space="preserve"> </w:t>
      </w:r>
      <w:r w:rsidR="00EB22F9" w:rsidRPr="00700A64">
        <w:rPr>
          <w:rFonts w:ascii="Book Antiqua" w:hAnsi="Book Antiqua"/>
          <w:bCs/>
        </w:rPr>
        <w:t>for FOXP3 and 0.88 for IDO)</w:t>
      </w:r>
      <w:r w:rsidRPr="00700A64">
        <w:rPr>
          <w:rFonts w:ascii="Book Antiqua" w:hAnsi="Book Antiqua"/>
          <w:bCs/>
        </w:rPr>
        <w:t xml:space="preserve"> and CD</w:t>
      </w:r>
      <w:r w:rsidR="00EB22F9" w:rsidRPr="00700A64">
        <w:rPr>
          <w:rFonts w:ascii="Book Antiqua" w:hAnsi="Book Antiqua"/>
          <w:bCs/>
        </w:rPr>
        <w:t xml:space="preserve"> with coexisting </w:t>
      </w:r>
      <w:r w:rsidRPr="00700A64">
        <w:rPr>
          <w:rFonts w:ascii="Book Antiqua" w:hAnsi="Book Antiqua"/>
          <w:bCs/>
        </w:rPr>
        <w:t>T1D</w:t>
      </w:r>
      <w:r w:rsidR="00EB22F9" w:rsidRPr="00700A64">
        <w:rPr>
          <w:rFonts w:ascii="Book Antiqua" w:hAnsi="Book Antiqua"/>
          <w:bCs/>
        </w:rPr>
        <w:t xml:space="preserve"> (AUC</w:t>
      </w:r>
      <w:r w:rsidR="00553398">
        <w:rPr>
          <w:rFonts w:ascii="Book Antiqua" w:hAnsi="Book Antiqua" w:hint="eastAsia"/>
          <w:bCs/>
          <w:lang w:eastAsia="zh-CN"/>
        </w:rPr>
        <w:t xml:space="preserve"> </w:t>
      </w:r>
      <w:r w:rsidR="00EB22F9" w:rsidRPr="00700A64">
        <w:rPr>
          <w:rFonts w:ascii="Book Antiqua" w:hAnsi="Book Antiqua"/>
          <w:bCs/>
        </w:rPr>
        <w:t>=</w:t>
      </w:r>
      <w:r w:rsidR="00553398">
        <w:rPr>
          <w:rFonts w:ascii="Book Antiqua" w:hAnsi="Book Antiqua" w:hint="eastAsia"/>
          <w:bCs/>
          <w:lang w:eastAsia="zh-CN"/>
        </w:rPr>
        <w:t xml:space="preserve"> </w:t>
      </w:r>
      <w:r w:rsidR="00EB22F9" w:rsidRPr="00700A64">
        <w:rPr>
          <w:rFonts w:ascii="Book Antiqua" w:hAnsi="Book Antiqua"/>
          <w:bCs/>
        </w:rPr>
        <w:t>0.91 for FOXP3 and 0.91</w:t>
      </w:r>
      <w:r w:rsidR="00AE3D3C" w:rsidRPr="00700A64">
        <w:rPr>
          <w:rFonts w:ascii="Book Antiqua" w:hAnsi="Book Antiqua"/>
          <w:bCs/>
        </w:rPr>
        <w:t xml:space="preserve"> </w:t>
      </w:r>
      <w:r w:rsidR="00EB22F9" w:rsidRPr="00700A64">
        <w:rPr>
          <w:rFonts w:ascii="Book Antiqua" w:hAnsi="Book Antiqua"/>
          <w:bCs/>
        </w:rPr>
        <w:t>for IDO)</w:t>
      </w:r>
      <w:r w:rsidRPr="00700A64">
        <w:rPr>
          <w:rFonts w:ascii="Book Antiqua" w:hAnsi="Book Antiqua"/>
          <w:bCs/>
        </w:rPr>
        <w:t>, while CD103 ha</w:t>
      </w:r>
      <w:r w:rsidR="002974EC" w:rsidRPr="00700A64">
        <w:rPr>
          <w:rFonts w:ascii="Book Antiqua" w:hAnsi="Book Antiqua"/>
          <w:bCs/>
        </w:rPr>
        <w:t>d</w:t>
      </w:r>
      <w:r w:rsidRPr="00700A64">
        <w:rPr>
          <w:rFonts w:ascii="Book Antiqua" w:hAnsi="Book Antiqua"/>
          <w:bCs/>
        </w:rPr>
        <w:t xml:space="preserve"> also</w:t>
      </w:r>
      <w:r w:rsidR="00AE3D3C" w:rsidRPr="00700A64">
        <w:rPr>
          <w:rFonts w:ascii="Book Antiqua" w:hAnsi="Book Antiqua"/>
          <w:bCs/>
        </w:rPr>
        <w:t xml:space="preserve"> a</w:t>
      </w:r>
      <w:r w:rsidRPr="00700A64">
        <w:rPr>
          <w:rFonts w:ascii="Book Antiqua" w:hAnsi="Book Antiqua"/>
          <w:bCs/>
        </w:rPr>
        <w:t xml:space="preserve"> high discriminative power for CD</w:t>
      </w:r>
      <w:r w:rsidR="00EB22F9" w:rsidRPr="00700A64">
        <w:rPr>
          <w:rFonts w:ascii="Book Antiqua" w:hAnsi="Book Antiqua"/>
          <w:bCs/>
        </w:rPr>
        <w:t xml:space="preserve"> associated with </w:t>
      </w:r>
      <w:r w:rsidRPr="00700A64">
        <w:rPr>
          <w:rFonts w:ascii="Book Antiqua" w:hAnsi="Book Antiqua"/>
          <w:bCs/>
        </w:rPr>
        <w:t xml:space="preserve">T1D </w:t>
      </w:r>
      <w:r w:rsidR="00EB22F9" w:rsidRPr="00700A64">
        <w:rPr>
          <w:rFonts w:ascii="Book Antiqua" w:hAnsi="Book Antiqua"/>
          <w:bCs/>
        </w:rPr>
        <w:t>(AUC</w:t>
      </w:r>
      <w:r w:rsidR="00553398">
        <w:rPr>
          <w:rFonts w:ascii="Book Antiqua" w:hAnsi="Book Antiqua" w:hint="eastAsia"/>
          <w:bCs/>
          <w:lang w:eastAsia="zh-CN"/>
        </w:rPr>
        <w:t xml:space="preserve"> </w:t>
      </w:r>
      <w:r w:rsidR="00EB22F9" w:rsidRPr="00700A64">
        <w:rPr>
          <w:rFonts w:ascii="Book Antiqua" w:hAnsi="Book Antiqua"/>
          <w:bCs/>
        </w:rPr>
        <w:t xml:space="preserve">= 0.86) </w:t>
      </w:r>
      <w:r w:rsidRPr="00700A64">
        <w:rPr>
          <w:rFonts w:ascii="Book Antiqua" w:hAnsi="Book Antiqua"/>
          <w:bCs/>
        </w:rPr>
        <w:t xml:space="preserve">(Table </w:t>
      </w:r>
      <w:r w:rsidR="00696842" w:rsidRPr="00700A64">
        <w:rPr>
          <w:rFonts w:ascii="Book Antiqua" w:hAnsi="Book Antiqua"/>
          <w:bCs/>
        </w:rPr>
        <w:t>2</w:t>
      </w:r>
      <w:r w:rsidRPr="00700A64">
        <w:rPr>
          <w:rFonts w:ascii="Book Antiqua" w:hAnsi="Book Antiqua"/>
          <w:bCs/>
        </w:rPr>
        <w:t xml:space="preserve"> and Figure </w:t>
      </w:r>
      <w:r w:rsidR="00495E65" w:rsidRPr="00700A64">
        <w:rPr>
          <w:rFonts w:ascii="Book Antiqua" w:hAnsi="Book Antiqua"/>
          <w:bCs/>
        </w:rPr>
        <w:t>10</w:t>
      </w:r>
      <w:r w:rsidRPr="00700A64">
        <w:rPr>
          <w:rFonts w:ascii="Book Antiqua" w:hAnsi="Book Antiqua"/>
          <w:bCs/>
        </w:rPr>
        <w:t xml:space="preserve">).  </w:t>
      </w:r>
    </w:p>
    <w:p w:rsidR="00C561D0" w:rsidRPr="00700A64" w:rsidRDefault="00C561D0"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The densit</w:t>
      </w:r>
      <w:r w:rsidR="00D212F3" w:rsidRPr="00700A64">
        <w:rPr>
          <w:rFonts w:ascii="Book Antiqua" w:hAnsi="Book Antiqua"/>
        </w:rPr>
        <w:t>ies</w:t>
      </w:r>
      <w:r w:rsidRPr="00700A64">
        <w:rPr>
          <w:rFonts w:ascii="Book Antiqua" w:hAnsi="Book Antiqua"/>
        </w:rPr>
        <w:t xml:space="preserve"> of IDO+ DCs</w:t>
      </w:r>
      <w:r w:rsidR="00B857BC" w:rsidRPr="00700A64">
        <w:rPr>
          <w:rFonts w:ascii="Book Antiqua" w:hAnsi="Book Antiqua"/>
        </w:rPr>
        <w:t xml:space="preserve"> (6.55</w:t>
      </w:r>
      <w:r w:rsidR="00553398">
        <w:rPr>
          <w:rFonts w:ascii="Book Antiqua" w:hAnsi="Book Antiqua" w:hint="eastAsia"/>
          <w:lang w:eastAsia="zh-CN"/>
        </w:rPr>
        <w:t xml:space="preserve"> </w:t>
      </w:r>
      <w:r w:rsidR="00B857BC" w:rsidRPr="00700A64">
        <w:rPr>
          <w:rFonts w:ascii="Book Antiqua" w:hAnsi="Book Antiqua"/>
        </w:rPr>
        <w:sym w:font="Symbol" w:char="F0B1"/>
      </w:r>
      <w:r w:rsidR="00553398">
        <w:rPr>
          <w:rFonts w:ascii="Book Antiqua" w:hAnsi="Book Antiqua" w:hint="eastAsia"/>
          <w:lang w:eastAsia="zh-CN"/>
        </w:rPr>
        <w:t xml:space="preserve"> </w:t>
      </w:r>
      <w:r w:rsidR="00B857BC" w:rsidRPr="00700A64">
        <w:rPr>
          <w:rFonts w:ascii="Book Antiqua" w:hAnsi="Book Antiqua"/>
        </w:rPr>
        <w:t xml:space="preserve">0.51 </w:t>
      </w:r>
      <w:r w:rsidR="00553398" w:rsidRPr="00553398">
        <w:rPr>
          <w:rFonts w:ascii="Book Antiqua" w:hAnsi="Book Antiqua"/>
          <w:i/>
        </w:rPr>
        <w:t>vs</w:t>
      </w:r>
      <w:r w:rsidR="00B857BC" w:rsidRPr="00700A64">
        <w:rPr>
          <w:rFonts w:ascii="Book Antiqua" w:hAnsi="Book Antiqua"/>
        </w:rPr>
        <w:t xml:space="preserve"> 4.67</w:t>
      </w:r>
      <w:r w:rsidR="00553398">
        <w:rPr>
          <w:rFonts w:ascii="Book Antiqua" w:hAnsi="Book Antiqua" w:hint="eastAsia"/>
          <w:lang w:eastAsia="zh-CN"/>
        </w:rPr>
        <w:t xml:space="preserve"> </w:t>
      </w:r>
      <w:r w:rsidR="00B857BC" w:rsidRPr="00700A64">
        <w:rPr>
          <w:rFonts w:ascii="Book Antiqua" w:hAnsi="Book Antiqua"/>
        </w:rPr>
        <w:t>+</w:t>
      </w:r>
      <w:r w:rsidR="00553398">
        <w:rPr>
          <w:rFonts w:ascii="Book Antiqua" w:hAnsi="Book Antiqua" w:hint="eastAsia"/>
          <w:lang w:eastAsia="zh-CN"/>
        </w:rPr>
        <w:t xml:space="preserve"> </w:t>
      </w:r>
      <w:r w:rsidR="00B857BC" w:rsidRPr="00700A64">
        <w:rPr>
          <w:rFonts w:ascii="Book Antiqua" w:hAnsi="Book Antiqua"/>
        </w:rPr>
        <w:t>0.72)</w:t>
      </w:r>
      <w:r w:rsidR="00D30918" w:rsidRPr="00700A64">
        <w:rPr>
          <w:rFonts w:ascii="Book Antiqua" w:hAnsi="Book Antiqua"/>
        </w:rPr>
        <w:t>, CD103+</w:t>
      </w:r>
      <w:r w:rsidR="00B857BC" w:rsidRPr="00700A64">
        <w:rPr>
          <w:rFonts w:ascii="Book Antiqua" w:hAnsi="Book Antiqua"/>
        </w:rPr>
        <w:t xml:space="preserve"> (7.16</w:t>
      </w:r>
      <w:r w:rsidR="00553398">
        <w:rPr>
          <w:rFonts w:ascii="Book Antiqua" w:hAnsi="Book Antiqua" w:hint="eastAsia"/>
          <w:lang w:eastAsia="zh-CN"/>
        </w:rPr>
        <w:t xml:space="preserve"> </w:t>
      </w:r>
      <w:r w:rsidR="00553398" w:rsidRPr="00553398">
        <w:rPr>
          <w:rFonts w:ascii="Book Antiqua" w:hAnsi="Book Antiqua"/>
          <w:lang w:eastAsia="zh-CN"/>
        </w:rPr>
        <w:t>±</w:t>
      </w:r>
      <w:r w:rsidR="00553398">
        <w:rPr>
          <w:rFonts w:ascii="Book Antiqua" w:hAnsi="Book Antiqua" w:hint="eastAsia"/>
          <w:lang w:eastAsia="zh-CN"/>
        </w:rPr>
        <w:t xml:space="preserve"> </w:t>
      </w:r>
      <w:r w:rsidR="00B857BC" w:rsidRPr="00700A64">
        <w:rPr>
          <w:rFonts w:ascii="Book Antiqua" w:hAnsi="Book Antiqua"/>
        </w:rPr>
        <w:t xml:space="preserve">0.85 </w:t>
      </w:r>
      <w:r w:rsidR="00553398" w:rsidRPr="00553398">
        <w:rPr>
          <w:rFonts w:ascii="Book Antiqua" w:hAnsi="Book Antiqua"/>
          <w:i/>
        </w:rPr>
        <w:t>vs</w:t>
      </w:r>
      <w:r w:rsidR="00B857BC" w:rsidRPr="00700A64">
        <w:rPr>
          <w:rFonts w:ascii="Book Antiqua" w:hAnsi="Book Antiqua"/>
        </w:rPr>
        <w:t xml:space="preserve"> 4.93</w:t>
      </w:r>
      <w:r w:rsidR="00553398">
        <w:rPr>
          <w:rFonts w:ascii="Book Antiqua" w:hAnsi="Book Antiqua" w:hint="eastAsia"/>
          <w:lang w:eastAsia="zh-CN"/>
        </w:rPr>
        <w:t xml:space="preserve"> </w:t>
      </w:r>
      <w:r w:rsidR="00553398" w:rsidRPr="00553398">
        <w:rPr>
          <w:rFonts w:ascii="Book Antiqua" w:hAnsi="Book Antiqua"/>
          <w:lang w:eastAsia="zh-CN"/>
        </w:rPr>
        <w:t>±</w:t>
      </w:r>
      <w:r w:rsidR="00553398">
        <w:rPr>
          <w:rFonts w:ascii="Book Antiqua" w:hAnsi="Book Antiqua" w:hint="eastAsia"/>
          <w:lang w:eastAsia="zh-CN"/>
        </w:rPr>
        <w:t xml:space="preserve"> </w:t>
      </w:r>
      <w:r w:rsidR="00B857BC" w:rsidRPr="00700A64">
        <w:rPr>
          <w:rFonts w:ascii="Book Antiqua" w:hAnsi="Book Antiqua"/>
        </w:rPr>
        <w:t>0.65)</w:t>
      </w:r>
      <w:r w:rsidR="00D212F3" w:rsidRPr="00700A64">
        <w:rPr>
          <w:rFonts w:ascii="Book Antiqua" w:hAnsi="Book Antiqua"/>
        </w:rPr>
        <w:t xml:space="preserve"> and</w:t>
      </w:r>
      <w:r w:rsidR="00D30918" w:rsidRPr="00700A64">
        <w:rPr>
          <w:rFonts w:ascii="Book Antiqua" w:hAnsi="Book Antiqua"/>
        </w:rPr>
        <w:t xml:space="preserve"> CD11c+ DCs</w:t>
      </w:r>
      <w:r w:rsidR="00B857BC" w:rsidRPr="00700A64">
        <w:rPr>
          <w:rFonts w:ascii="Book Antiqua" w:hAnsi="Book Antiqua"/>
        </w:rPr>
        <w:t xml:space="preserve"> (7.62</w:t>
      </w:r>
      <w:r w:rsidR="00553398">
        <w:rPr>
          <w:rFonts w:ascii="Book Antiqua" w:hAnsi="Book Antiqua" w:hint="eastAsia"/>
          <w:lang w:eastAsia="zh-CN"/>
        </w:rPr>
        <w:t xml:space="preserve"> </w:t>
      </w:r>
      <w:r w:rsidR="00553398" w:rsidRPr="00553398">
        <w:rPr>
          <w:rFonts w:ascii="Book Antiqua" w:hAnsi="Book Antiqua"/>
          <w:lang w:eastAsia="zh-CN"/>
        </w:rPr>
        <w:t>±</w:t>
      </w:r>
      <w:r w:rsidR="00553398">
        <w:rPr>
          <w:rFonts w:ascii="Book Antiqua" w:hAnsi="Book Antiqua" w:hint="eastAsia"/>
          <w:lang w:eastAsia="zh-CN"/>
        </w:rPr>
        <w:t xml:space="preserve"> </w:t>
      </w:r>
      <w:r w:rsidR="00B857BC" w:rsidRPr="00700A64">
        <w:rPr>
          <w:rFonts w:ascii="Book Antiqua" w:hAnsi="Book Antiqua"/>
        </w:rPr>
        <w:t xml:space="preserve">0.43 </w:t>
      </w:r>
      <w:r w:rsidR="00553398" w:rsidRPr="00553398">
        <w:rPr>
          <w:rFonts w:ascii="Book Antiqua" w:hAnsi="Book Antiqua"/>
          <w:i/>
        </w:rPr>
        <w:t>vs</w:t>
      </w:r>
      <w:r w:rsidR="00B857BC" w:rsidRPr="00700A64">
        <w:rPr>
          <w:rFonts w:ascii="Book Antiqua" w:hAnsi="Book Antiqua"/>
        </w:rPr>
        <w:t xml:space="preserve"> 5.83+0.37)</w:t>
      </w:r>
      <w:r w:rsidR="00D30918" w:rsidRPr="00700A64">
        <w:rPr>
          <w:rFonts w:ascii="Book Antiqua" w:hAnsi="Book Antiqua"/>
        </w:rPr>
        <w:t xml:space="preserve"> </w:t>
      </w:r>
      <w:r w:rsidR="00D212F3" w:rsidRPr="00700A64">
        <w:rPr>
          <w:rFonts w:ascii="Book Antiqua" w:hAnsi="Book Antiqua"/>
        </w:rPr>
        <w:t xml:space="preserve">were </w:t>
      </w:r>
      <w:r w:rsidR="00D30918" w:rsidRPr="00700A64">
        <w:rPr>
          <w:rFonts w:ascii="Book Antiqua" w:hAnsi="Book Antiqua"/>
        </w:rPr>
        <w:t>significantly higher in female</w:t>
      </w:r>
      <w:r w:rsidR="00AE3D3C" w:rsidRPr="00700A64">
        <w:rPr>
          <w:rFonts w:ascii="Book Antiqua" w:hAnsi="Book Antiqua"/>
        </w:rPr>
        <w:t>s</w:t>
      </w:r>
      <w:r w:rsidR="00D30918" w:rsidRPr="00700A64">
        <w:rPr>
          <w:rFonts w:ascii="Book Antiqua" w:hAnsi="Book Antiqua"/>
        </w:rPr>
        <w:t xml:space="preserve"> compar</w:t>
      </w:r>
      <w:r w:rsidR="002974EC" w:rsidRPr="00700A64">
        <w:rPr>
          <w:rFonts w:ascii="Book Antiqua" w:hAnsi="Book Antiqua"/>
        </w:rPr>
        <w:t>ed</w:t>
      </w:r>
      <w:r w:rsidR="00D30918" w:rsidRPr="00700A64">
        <w:rPr>
          <w:rFonts w:ascii="Book Antiqua" w:hAnsi="Book Antiqua"/>
        </w:rPr>
        <w:t xml:space="preserve"> </w:t>
      </w:r>
      <w:r w:rsidR="006E0B11" w:rsidRPr="00700A64">
        <w:rPr>
          <w:rFonts w:ascii="Book Antiqua" w:hAnsi="Book Antiqua"/>
        </w:rPr>
        <w:t>with male</w:t>
      </w:r>
      <w:r w:rsidR="00AE3D3C" w:rsidRPr="00700A64">
        <w:rPr>
          <w:rFonts w:ascii="Book Antiqua" w:hAnsi="Book Antiqua"/>
        </w:rPr>
        <w:t>s</w:t>
      </w:r>
      <w:r w:rsidR="00D30918" w:rsidRPr="00700A64">
        <w:rPr>
          <w:rFonts w:ascii="Book Antiqua" w:hAnsi="Book Antiqua"/>
        </w:rPr>
        <w:t xml:space="preserve"> (</w:t>
      </w:r>
      <w:r w:rsidR="00F94270" w:rsidRPr="00700A64">
        <w:rPr>
          <w:rFonts w:ascii="Book Antiqua" w:hAnsi="Book Antiqua"/>
          <w:i/>
        </w:rPr>
        <w:t xml:space="preserve">P = </w:t>
      </w:r>
      <w:r w:rsidR="00D30918" w:rsidRPr="00700A64">
        <w:rPr>
          <w:rFonts w:ascii="Book Antiqua" w:hAnsi="Book Antiqua"/>
        </w:rPr>
        <w:t xml:space="preserve">0.042, </w:t>
      </w:r>
      <w:r w:rsidR="00F94270" w:rsidRPr="00700A64">
        <w:rPr>
          <w:rFonts w:ascii="Book Antiqua" w:hAnsi="Book Antiqua"/>
          <w:i/>
        </w:rPr>
        <w:t xml:space="preserve">P = </w:t>
      </w:r>
      <w:r w:rsidR="00D30918" w:rsidRPr="00700A64">
        <w:rPr>
          <w:rFonts w:ascii="Book Antiqua" w:hAnsi="Book Antiqua"/>
        </w:rPr>
        <w:t xml:space="preserve">0.04 and </w:t>
      </w:r>
      <w:r w:rsidR="00F94270" w:rsidRPr="00700A64">
        <w:rPr>
          <w:rFonts w:ascii="Book Antiqua" w:hAnsi="Book Antiqua"/>
          <w:i/>
        </w:rPr>
        <w:t xml:space="preserve">P = </w:t>
      </w:r>
      <w:r w:rsidR="00D30918" w:rsidRPr="00700A64">
        <w:rPr>
          <w:rFonts w:ascii="Book Antiqua" w:hAnsi="Book Antiqua"/>
        </w:rPr>
        <w:t>0.003</w:t>
      </w:r>
      <w:r w:rsidR="002974EC" w:rsidRPr="00700A64">
        <w:rPr>
          <w:rFonts w:ascii="Book Antiqua" w:hAnsi="Book Antiqua"/>
        </w:rPr>
        <w:t xml:space="preserve">, </w:t>
      </w:r>
      <w:r w:rsidR="003A4ACF" w:rsidRPr="00700A64">
        <w:rPr>
          <w:rFonts w:ascii="Book Antiqua" w:hAnsi="Book Antiqua"/>
        </w:rPr>
        <w:t>respectively</w:t>
      </w:r>
      <w:r w:rsidR="006E0B11" w:rsidRPr="00700A64">
        <w:rPr>
          <w:rFonts w:ascii="Book Antiqua" w:hAnsi="Book Antiqua"/>
        </w:rPr>
        <w:t>)</w:t>
      </w:r>
      <w:r w:rsidR="00D30918" w:rsidRPr="00700A64">
        <w:rPr>
          <w:rFonts w:ascii="Book Antiqua" w:hAnsi="Book Antiqua"/>
        </w:rPr>
        <w:t xml:space="preserve">. </w:t>
      </w:r>
      <w:r w:rsidR="003A4ACF" w:rsidRPr="00700A64">
        <w:rPr>
          <w:rFonts w:ascii="Book Antiqua" w:hAnsi="Book Antiqua"/>
        </w:rPr>
        <w:t>T</w:t>
      </w:r>
      <w:r w:rsidR="00D30918" w:rsidRPr="00700A64">
        <w:rPr>
          <w:rFonts w:ascii="Book Antiqua" w:hAnsi="Book Antiqua"/>
        </w:rPr>
        <w:t>he number of Langerin+ DCs</w:t>
      </w:r>
      <w:r w:rsidR="00B857BC" w:rsidRPr="00700A64">
        <w:rPr>
          <w:rFonts w:ascii="Book Antiqua" w:hAnsi="Book Antiqua"/>
        </w:rPr>
        <w:t xml:space="preserve"> (6.27</w:t>
      </w:r>
      <w:r w:rsidR="00553398">
        <w:rPr>
          <w:rFonts w:ascii="Book Antiqua" w:hAnsi="Book Antiqua" w:hint="eastAsia"/>
          <w:lang w:eastAsia="zh-CN"/>
        </w:rPr>
        <w:t xml:space="preserve"> </w:t>
      </w:r>
      <w:r w:rsidR="00553398" w:rsidRPr="00553398">
        <w:rPr>
          <w:rFonts w:ascii="Book Antiqua" w:hAnsi="Book Antiqua"/>
          <w:lang w:eastAsia="zh-CN"/>
        </w:rPr>
        <w:t>±</w:t>
      </w:r>
      <w:r w:rsidR="00553398">
        <w:rPr>
          <w:rFonts w:ascii="Book Antiqua" w:hAnsi="Book Antiqua" w:hint="eastAsia"/>
          <w:lang w:eastAsia="zh-CN"/>
        </w:rPr>
        <w:t xml:space="preserve"> </w:t>
      </w:r>
      <w:r w:rsidR="00B857BC" w:rsidRPr="00700A64">
        <w:rPr>
          <w:rFonts w:ascii="Book Antiqua" w:hAnsi="Book Antiqua"/>
        </w:rPr>
        <w:t xml:space="preserve">0.61 </w:t>
      </w:r>
      <w:r w:rsidR="00553398" w:rsidRPr="00553398">
        <w:rPr>
          <w:rFonts w:ascii="Book Antiqua" w:hAnsi="Book Antiqua"/>
          <w:i/>
        </w:rPr>
        <w:t>vs</w:t>
      </w:r>
      <w:r w:rsidR="00B857BC" w:rsidRPr="00700A64">
        <w:rPr>
          <w:rFonts w:ascii="Book Antiqua" w:hAnsi="Book Antiqua"/>
        </w:rPr>
        <w:t xml:space="preserve"> 4.56</w:t>
      </w:r>
      <w:r w:rsidR="00553398">
        <w:rPr>
          <w:rFonts w:ascii="Book Antiqua" w:hAnsi="Book Antiqua" w:hint="eastAsia"/>
          <w:lang w:eastAsia="zh-CN"/>
        </w:rPr>
        <w:t xml:space="preserve"> </w:t>
      </w:r>
      <w:r w:rsidR="00553398" w:rsidRPr="00553398">
        <w:rPr>
          <w:rFonts w:ascii="Book Antiqua" w:hAnsi="Book Antiqua"/>
          <w:lang w:eastAsia="zh-CN"/>
        </w:rPr>
        <w:t>±</w:t>
      </w:r>
      <w:r w:rsidR="00553398">
        <w:rPr>
          <w:rFonts w:ascii="Book Antiqua" w:hAnsi="Book Antiqua" w:hint="eastAsia"/>
          <w:lang w:eastAsia="zh-CN"/>
        </w:rPr>
        <w:t xml:space="preserve"> </w:t>
      </w:r>
      <w:r w:rsidR="00B857BC" w:rsidRPr="00700A64">
        <w:rPr>
          <w:rFonts w:ascii="Book Antiqua" w:hAnsi="Book Antiqua"/>
        </w:rPr>
        <w:t>0.62)</w:t>
      </w:r>
      <w:r w:rsidR="00D30918" w:rsidRPr="00700A64">
        <w:rPr>
          <w:rFonts w:ascii="Book Antiqua" w:hAnsi="Book Antiqua"/>
        </w:rPr>
        <w:t xml:space="preserve"> was </w:t>
      </w:r>
      <w:r w:rsidR="003A4ACF" w:rsidRPr="00700A64">
        <w:rPr>
          <w:rFonts w:ascii="Book Antiqua" w:hAnsi="Book Antiqua"/>
        </w:rPr>
        <w:t xml:space="preserve">also </w:t>
      </w:r>
      <w:r w:rsidR="00D30918" w:rsidRPr="00700A64">
        <w:rPr>
          <w:rFonts w:ascii="Book Antiqua" w:hAnsi="Book Antiqua"/>
        </w:rPr>
        <w:t>higher in female</w:t>
      </w:r>
      <w:r w:rsidR="003A4ACF" w:rsidRPr="00700A64">
        <w:rPr>
          <w:rFonts w:ascii="Book Antiqua" w:hAnsi="Book Antiqua"/>
        </w:rPr>
        <w:t xml:space="preserve">s </w:t>
      </w:r>
      <w:r w:rsidR="002974EC" w:rsidRPr="00700A64">
        <w:rPr>
          <w:rFonts w:ascii="Book Antiqua" w:hAnsi="Book Antiqua"/>
        </w:rPr>
        <w:t xml:space="preserve">than </w:t>
      </w:r>
      <w:r w:rsidR="00D30918" w:rsidRPr="00700A64">
        <w:rPr>
          <w:rFonts w:ascii="Book Antiqua" w:hAnsi="Book Antiqua"/>
        </w:rPr>
        <w:t>in male</w:t>
      </w:r>
      <w:r w:rsidR="003A4ACF" w:rsidRPr="00700A64">
        <w:rPr>
          <w:rFonts w:ascii="Book Antiqua" w:hAnsi="Book Antiqua"/>
        </w:rPr>
        <w:t>s</w:t>
      </w:r>
      <w:r w:rsidR="00D30918" w:rsidRPr="00700A64">
        <w:rPr>
          <w:rFonts w:ascii="Book Antiqua" w:hAnsi="Book Antiqua"/>
        </w:rPr>
        <w:t xml:space="preserve"> (</w:t>
      </w:r>
      <w:r w:rsidR="00F94270" w:rsidRPr="00700A64">
        <w:rPr>
          <w:rFonts w:ascii="Book Antiqua" w:hAnsi="Book Antiqua"/>
          <w:i/>
        </w:rPr>
        <w:t xml:space="preserve">P = </w:t>
      </w:r>
      <w:r w:rsidR="00D30918" w:rsidRPr="00700A64">
        <w:rPr>
          <w:rFonts w:ascii="Book Antiqua" w:hAnsi="Book Antiqua"/>
        </w:rPr>
        <w:t xml:space="preserve">0.01). </w:t>
      </w:r>
      <w:r w:rsidR="00617A15" w:rsidRPr="00700A64">
        <w:rPr>
          <w:rFonts w:ascii="Book Antiqua" w:hAnsi="Book Antiqua"/>
        </w:rPr>
        <w:t>Among all persons</w:t>
      </w:r>
      <w:r w:rsidR="00673866" w:rsidRPr="00700A64">
        <w:rPr>
          <w:rFonts w:ascii="Book Antiqua" w:hAnsi="Book Antiqua"/>
        </w:rPr>
        <w:t xml:space="preserve"> studied</w:t>
      </w:r>
      <w:r w:rsidR="003A4ACF" w:rsidRPr="00700A64">
        <w:rPr>
          <w:rFonts w:ascii="Book Antiqua" w:hAnsi="Book Antiqua"/>
        </w:rPr>
        <w:t>,</w:t>
      </w:r>
      <w:r w:rsidR="00EF2BA5" w:rsidRPr="00700A64">
        <w:rPr>
          <w:rFonts w:ascii="Book Antiqua" w:hAnsi="Book Antiqua"/>
        </w:rPr>
        <w:t xml:space="preserve"> the density of IDO</w:t>
      </w:r>
      <w:r w:rsidR="00553398">
        <w:rPr>
          <w:rFonts w:ascii="Book Antiqua" w:hAnsi="Book Antiqua" w:hint="eastAsia"/>
          <w:lang w:eastAsia="zh-CN"/>
        </w:rPr>
        <w:t xml:space="preserve"> </w:t>
      </w:r>
      <w:r w:rsidR="00EF2BA5" w:rsidRPr="00700A64">
        <w:rPr>
          <w:rFonts w:ascii="Book Antiqua" w:hAnsi="Book Antiqua"/>
        </w:rPr>
        <w:t>+</w:t>
      </w:r>
      <w:r w:rsidR="00553398">
        <w:rPr>
          <w:rFonts w:ascii="Book Antiqua" w:hAnsi="Book Antiqua" w:hint="eastAsia"/>
          <w:lang w:eastAsia="zh-CN"/>
        </w:rPr>
        <w:t xml:space="preserve"> </w:t>
      </w:r>
      <w:r w:rsidR="00EF2BA5" w:rsidRPr="00700A64">
        <w:rPr>
          <w:rFonts w:ascii="Book Antiqua" w:hAnsi="Book Antiqua"/>
        </w:rPr>
        <w:lastRenderedPageBreak/>
        <w:t>DCs was significantly higher in female</w:t>
      </w:r>
      <w:r w:rsidR="003A4ACF" w:rsidRPr="00700A64">
        <w:rPr>
          <w:rFonts w:ascii="Book Antiqua" w:hAnsi="Book Antiqua"/>
        </w:rPr>
        <w:t>s</w:t>
      </w:r>
      <w:r w:rsidR="00EF2BA5" w:rsidRPr="00700A64">
        <w:rPr>
          <w:rFonts w:ascii="Book Antiqua" w:hAnsi="Book Antiqua"/>
        </w:rPr>
        <w:t xml:space="preserve"> </w:t>
      </w:r>
      <w:r w:rsidR="003A4ACF" w:rsidRPr="00700A64">
        <w:rPr>
          <w:rFonts w:ascii="Book Antiqua" w:hAnsi="Book Antiqua"/>
        </w:rPr>
        <w:t>compared with</w:t>
      </w:r>
      <w:r w:rsidR="00EF2BA5" w:rsidRPr="00700A64">
        <w:rPr>
          <w:rFonts w:ascii="Book Antiqua" w:hAnsi="Book Antiqua"/>
        </w:rPr>
        <w:t xml:space="preserve"> male</w:t>
      </w:r>
      <w:r w:rsidR="003A4ACF" w:rsidRPr="00700A64">
        <w:rPr>
          <w:rFonts w:ascii="Book Antiqua" w:hAnsi="Book Antiqua"/>
        </w:rPr>
        <w:t>s</w:t>
      </w:r>
      <w:r w:rsidR="00E14AAA" w:rsidRPr="00700A64">
        <w:rPr>
          <w:rFonts w:ascii="Book Antiqua" w:hAnsi="Book Antiqua"/>
        </w:rPr>
        <w:t xml:space="preserve"> (8.41</w:t>
      </w:r>
      <w:r w:rsidR="00553398">
        <w:rPr>
          <w:rFonts w:ascii="Book Antiqua" w:hAnsi="Book Antiqua" w:hint="eastAsia"/>
          <w:lang w:eastAsia="zh-CN"/>
        </w:rPr>
        <w:t xml:space="preserve"> </w:t>
      </w:r>
      <w:r w:rsidR="00E14AAA" w:rsidRPr="00700A64">
        <w:rPr>
          <w:rFonts w:ascii="Book Antiqua" w:hAnsi="Book Antiqua"/>
        </w:rPr>
        <w:sym w:font="Symbol" w:char="F0B1"/>
      </w:r>
      <w:r w:rsidR="00E14AAA" w:rsidRPr="00700A64">
        <w:rPr>
          <w:rFonts w:ascii="Book Antiqua" w:hAnsi="Book Antiqua"/>
        </w:rPr>
        <w:t xml:space="preserve"> 0.70 and </w:t>
      </w:r>
      <w:r w:rsidR="00EF2BA5" w:rsidRPr="00700A64">
        <w:rPr>
          <w:rFonts w:ascii="Book Antiqua" w:hAnsi="Book Antiqua"/>
        </w:rPr>
        <w:t>5.41</w:t>
      </w:r>
      <w:r w:rsidR="00553398">
        <w:rPr>
          <w:rFonts w:ascii="Book Antiqua" w:hAnsi="Book Antiqua" w:hint="eastAsia"/>
          <w:lang w:eastAsia="zh-CN"/>
        </w:rPr>
        <w:t xml:space="preserve"> </w:t>
      </w:r>
      <w:r w:rsidR="00EF2BA5" w:rsidRPr="00700A64">
        <w:rPr>
          <w:rFonts w:ascii="Book Antiqua" w:hAnsi="Book Antiqua"/>
        </w:rPr>
        <w:sym w:font="Symbol" w:char="F0B1"/>
      </w:r>
      <w:r w:rsidR="00553398">
        <w:rPr>
          <w:rFonts w:ascii="Book Antiqua" w:hAnsi="Book Antiqua" w:hint="eastAsia"/>
          <w:lang w:eastAsia="zh-CN"/>
        </w:rPr>
        <w:t xml:space="preserve"> </w:t>
      </w:r>
      <w:r w:rsidR="00EF2BA5" w:rsidRPr="00700A64">
        <w:rPr>
          <w:rFonts w:ascii="Book Antiqua" w:hAnsi="Book Antiqua"/>
        </w:rPr>
        <w:t>0.73</w:t>
      </w:r>
      <w:r w:rsidR="002974EC" w:rsidRPr="00700A64">
        <w:rPr>
          <w:rFonts w:ascii="Book Antiqua" w:hAnsi="Book Antiqua"/>
        </w:rPr>
        <w:t>,</w:t>
      </w:r>
      <w:r w:rsidR="00E14AAA" w:rsidRPr="00700A64">
        <w:rPr>
          <w:rFonts w:ascii="Book Antiqua" w:hAnsi="Book Antiqua"/>
        </w:rPr>
        <w:t xml:space="preserve"> </w:t>
      </w:r>
      <w:r w:rsidR="003A4ACF" w:rsidRPr="00700A64">
        <w:rPr>
          <w:rFonts w:ascii="Book Antiqua" w:hAnsi="Book Antiqua"/>
        </w:rPr>
        <w:t>respectively</w:t>
      </w:r>
      <w:r w:rsidR="00E14AAA" w:rsidRPr="00700A64">
        <w:rPr>
          <w:rFonts w:ascii="Book Antiqua" w:hAnsi="Book Antiqua"/>
        </w:rPr>
        <w:t xml:space="preserve">; </w:t>
      </w:r>
      <w:r w:rsidR="00F94270" w:rsidRPr="00700A64">
        <w:rPr>
          <w:rFonts w:ascii="Book Antiqua" w:hAnsi="Book Antiqua"/>
          <w:i/>
        </w:rPr>
        <w:t xml:space="preserve">P = </w:t>
      </w:r>
      <w:r w:rsidR="00E14AAA" w:rsidRPr="00700A64">
        <w:rPr>
          <w:rFonts w:ascii="Book Antiqua" w:hAnsi="Book Antiqua"/>
        </w:rPr>
        <w:t>0.004)</w:t>
      </w:r>
      <w:r w:rsidR="00EF2BA5" w:rsidRPr="00700A64">
        <w:rPr>
          <w:rFonts w:ascii="Book Antiqua" w:hAnsi="Book Antiqua"/>
        </w:rPr>
        <w:t xml:space="preserve">. </w:t>
      </w:r>
    </w:p>
    <w:p w:rsidR="00AA0E32" w:rsidRDefault="00AA0E32" w:rsidP="00B90E53">
      <w:pPr>
        <w:adjustRightInd w:val="0"/>
        <w:snapToGrid w:val="0"/>
        <w:spacing w:line="360" w:lineRule="auto"/>
        <w:jc w:val="both"/>
        <w:rPr>
          <w:rFonts w:ascii="Book Antiqua" w:hAnsi="Book Antiqua"/>
          <w:lang w:eastAsia="zh-CN"/>
        </w:rPr>
      </w:pPr>
    </w:p>
    <w:p w:rsidR="00ED1549" w:rsidRPr="00700A64" w:rsidRDefault="009D3C2D" w:rsidP="00B90E53">
      <w:pPr>
        <w:adjustRightInd w:val="0"/>
        <w:snapToGrid w:val="0"/>
        <w:spacing w:line="360" w:lineRule="auto"/>
        <w:jc w:val="both"/>
        <w:rPr>
          <w:rFonts w:ascii="Book Antiqua" w:hAnsi="Book Antiqua"/>
          <w:b/>
        </w:rPr>
      </w:pPr>
      <w:r w:rsidRPr="00700A64">
        <w:rPr>
          <w:rFonts w:ascii="Book Antiqua" w:hAnsi="Book Antiqua"/>
          <w:b/>
        </w:rPr>
        <w:t>D</w:t>
      </w:r>
      <w:r w:rsidR="00DB5886" w:rsidRPr="00700A64">
        <w:rPr>
          <w:rFonts w:ascii="Book Antiqua" w:hAnsi="Book Antiqua"/>
          <w:b/>
        </w:rPr>
        <w:t>ISCUSSION</w:t>
      </w:r>
    </w:p>
    <w:p w:rsidR="00ED1549" w:rsidRPr="00700A64" w:rsidRDefault="009E6050" w:rsidP="00B90E53">
      <w:pPr>
        <w:adjustRightInd w:val="0"/>
        <w:snapToGrid w:val="0"/>
        <w:spacing w:line="360" w:lineRule="auto"/>
        <w:jc w:val="both"/>
        <w:rPr>
          <w:rFonts w:ascii="Book Antiqua" w:hAnsi="Book Antiqua"/>
        </w:rPr>
      </w:pPr>
      <w:r w:rsidRPr="00700A64">
        <w:rPr>
          <w:rFonts w:ascii="Book Antiqua" w:hAnsi="Book Antiqua"/>
        </w:rPr>
        <w:t xml:space="preserve">The main finding of this study was </w:t>
      </w:r>
      <w:r w:rsidR="00164A26" w:rsidRPr="00700A64">
        <w:rPr>
          <w:rFonts w:ascii="Book Antiqua" w:hAnsi="Book Antiqua"/>
        </w:rPr>
        <w:t xml:space="preserve">the </w:t>
      </w:r>
      <w:r w:rsidR="005A18CF" w:rsidRPr="00700A64">
        <w:rPr>
          <w:rFonts w:ascii="Book Antiqua" w:hAnsi="Book Antiqua"/>
        </w:rPr>
        <w:t xml:space="preserve">significantly higher </w:t>
      </w:r>
      <w:r w:rsidR="003A4ACF" w:rsidRPr="00700A64">
        <w:rPr>
          <w:rFonts w:ascii="Book Antiqua" w:hAnsi="Book Antiqua"/>
        </w:rPr>
        <w:t xml:space="preserve">densities </w:t>
      </w:r>
      <w:r w:rsidR="005A18CF" w:rsidRPr="00700A64">
        <w:rPr>
          <w:rFonts w:ascii="Book Antiqua" w:hAnsi="Book Antiqua"/>
        </w:rPr>
        <w:t>of CD11c</w:t>
      </w:r>
      <w:r w:rsidR="005442C6" w:rsidRPr="00700A64">
        <w:rPr>
          <w:rFonts w:ascii="Book Antiqua" w:hAnsi="Book Antiqua"/>
        </w:rPr>
        <w:t>+</w:t>
      </w:r>
      <w:r w:rsidR="003A4ACF" w:rsidRPr="00700A64">
        <w:rPr>
          <w:rFonts w:ascii="Book Antiqua" w:hAnsi="Book Antiqua"/>
        </w:rPr>
        <w:t xml:space="preserve">, </w:t>
      </w:r>
      <w:r w:rsidR="00DD60FA" w:rsidRPr="00700A64">
        <w:rPr>
          <w:rFonts w:ascii="Book Antiqua" w:hAnsi="Book Antiqua"/>
        </w:rPr>
        <w:t xml:space="preserve">tolerogenic </w:t>
      </w:r>
      <w:r w:rsidR="005A18CF" w:rsidRPr="00700A64">
        <w:rPr>
          <w:rFonts w:ascii="Book Antiqua" w:hAnsi="Book Antiqua"/>
        </w:rPr>
        <w:t>IDO+</w:t>
      </w:r>
      <w:r w:rsidR="004E5DEC" w:rsidRPr="00700A64">
        <w:rPr>
          <w:rFonts w:ascii="Book Antiqua" w:hAnsi="Book Antiqua"/>
        </w:rPr>
        <w:t>,</w:t>
      </w:r>
      <w:r w:rsidR="005A18CF" w:rsidRPr="00700A64">
        <w:rPr>
          <w:rFonts w:ascii="Book Antiqua" w:hAnsi="Book Antiqua"/>
        </w:rPr>
        <w:t xml:space="preserve"> CD103+ </w:t>
      </w:r>
      <w:r w:rsidR="00F45158" w:rsidRPr="00700A64">
        <w:rPr>
          <w:rFonts w:ascii="Book Antiqua" w:hAnsi="Book Antiqua"/>
        </w:rPr>
        <w:t>and</w:t>
      </w:r>
      <w:r w:rsidR="00EE3462" w:rsidRPr="00700A64">
        <w:rPr>
          <w:rFonts w:ascii="Book Antiqua" w:hAnsi="Book Antiqua"/>
        </w:rPr>
        <w:t xml:space="preserve"> </w:t>
      </w:r>
      <w:r w:rsidR="004E5DEC" w:rsidRPr="00700A64">
        <w:rPr>
          <w:rFonts w:ascii="Book Antiqua" w:hAnsi="Book Antiqua"/>
        </w:rPr>
        <w:t xml:space="preserve">Langerin+ </w:t>
      </w:r>
      <w:r w:rsidR="005A18CF" w:rsidRPr="00700A64">
        <w:rPr>
          <w:rFonts w:ascii="Book Antiqua" w:hAnsi="Book Antiqua"/>
        </w:rPr>
        <w:t xml:space="preserve">DCs in </w:t>
      </w:r>
      <w:r w:rsidR="00CF4F2E" w:rsidRPr="00700A64">
        <w:rPr>
          <w:rFonts w:ascii="Book Antiqua" w:hAnsi="Book Antiqua"/>
        </w:rPr>
        <w:t xml:space="preserve">the </w:t>
      </w:r>
      <w:r w:rsidR="005A18CF" w:rsidRPr="00700A64">
        <w:rPr>
          <w:rFonts w:ascii="Book Antiqua" w:hAnsi="Book Antiqua"/>
        </w:rPr>
        <w:t xml:space="preserve">small bowel mucosa of </w:t>
      </w:r>
      <w:r w:rsidR="00CF4F2E" w:rsidRPr="00700A64">
        <w:rPr>
          <w:rFonts w:ascii="Book Antiqua" w:hAnsi="Book Antiqua"/>
        </w:rPr>
        <w:t>patients</w:t>
      </w:r>
      <w:r w:rsidR="005A18CF" w:rsidRPr="00700A64">
        <w:rPr>
          <w:rFonts w:ascii="Book Antiqua" w:hAnsi="Book Antiqua"/>
        </w:rPr>
        <w:t xml:space="preserve"> with CD compar</w:t>
      </w:r>
      <w:r w:rsidR="00CF4F2E" w:rsidRPr="00700A64">
        <w:rPr>
          <w:rFonts w:ascii="Book Antiqua" w:hAnsi="Book Antiqua"/>
        </w:rPr>
        <w:t>ed</w:t>
      </w:r>
      <w:r w:rsidR="005A18CF" w:rsidRPr="00700A64">
        <w:rPr>
          <w:rFonts w:ascii="Book Antiqua" w:hAnsi="Book Antiqua"/>
        </w:rPr>
        <w:t xml:space="preserve"> with </w:t>
      </w:r>
      <w:r w:rsidR="00CF4F2E" w:rsidRPr="00700A64">
        <w:rPr>
          <w:rFonts w:ascii="Book Antiqua" w:hAnsi="Book Antiqua"/>
        </w:rPr>
        <w:t>subjects</w:t>
      </w:r>
      <w:r w:rsidR="005A18CF" w:rsidRPr="00700A64">
        <w:rPr>
          <w:rFonts w:ascii="Book Antiqua" w:hAnsi="Book Antiqua"/>
        </w:rPr>
        <w:t xml:space="preserve"> with normal small bowel mucosa. The </w:t>
      </w:r>
      <w:r w:rsidR="00DD60FA" w:rsidRPr="00700A64">
        <w:rPr>
          <w:rFonts w:ascii="Book Antiqua" w:hAnsi="Book Antiqua"/>
        </w:rPr>
        <w:t>densities of</w:t>
      </w:r>
      <w:r w:rsidR="00E5312C" w:rsidRPr="00700A64">
        <w:rPr>
          <w:rFonts w:ascii="Book Antiqua" w:hAnsi="Book Antiqua"/>
        </w:rPr>
        <w:t xml:space="preserve"> </w:t>
      </w:r>
      <w:r w:rsidR="005A18CF" w:rsidRPr="00700A64">
        <w:rPr>
          <w:rFonts w:ascii="Book Antiqua" w:hAnsi="Book Antiqua"/>
        </w:rPr>
        <w:t xml:space="preserve">IDO+ and </w:t>
      </w:r>
      <w:r w:rsidR="00C42CBD" w:rsidRPr="00700A64">
        <w:rPr>
          <w:rFonts w:ascii="Book Antiqua" w:hAnsi="Book Antiqua"/>
        </w:rPr>
        <w:t xml:space="preserve">particularly of </w:t>
      </w:r>
      <w:r w:rsidR="005A18CF" w:rsidRPr="00700A64">
        <w:rPr>
          <w:rFonts w:ascii="Book Antiqua" w:hAnsi="Book Antiqua"/>
        </w:rPr>
        <w:t xml:space="preserve">CD103+ </w:t>
      </w:r>
      <w:r w:rsidR="00DD60FA" w:rsidRPr="00700A64">
        <w:rPr>
          <w:rFonts w:ascii="Book Antiqua" w:hAnsi="Book Antiqua"/>
        </w:rPr>
        <w:t>DC</w:t>
      </w:r>
      <w:r w:rsidR="003A4ACF" w:rsidRPr="00700A64">
        <w:rPr>
          <w:rFonts w:ascii="Book Antiqua" w:hAnsi="Book Antiqua"/>
        </w:rPr>
        <w:t>s</w:t>
      </w:r>
      <w:r w:rsidR="00DD60FA" w:rsidRPr="00700A64">
        <w:rPr>
          <w:rFonts w:ascii="Book Antiqua" w:hAnsi="Book Antiqua"/>
        </w:rPr>
        <w:t xml:space="preserve"> </w:t>
      </w:r>
      <w:r w:rsidR="005A18CF" w:rsidRPr="00700A64">
        <w:rPr>
          <w:rFonts w:ascii="Book Antiqua" w:hAnsi="Book Antiqua"/>
        </w:rPr>
        <w:t>w</w:t>
      </w:r>
      <w:r w:rsidR="00CF4F2E" w:rsidRPr="00700A64">
        <w:rPr>
          <w:rFonts w:ascii="Book Antiqua" w:hAnsi="Book Antiqua"/>
        </w:rPr>
        <w:t>ere high</w:t>
      </w:r>
      <w:r w:rsidR="005A18CF" w:rsidRPr="00700A64">
        <w:rPr>
          <w:rFonts w:ascii="Book Antiqua" w:hAnsi="Book Antiqua"/>
        </w:rPr>
        <w:t xml:space="preserve"> in CD patients with coexisting T1D</w:t>
      </w:r>
      <w:r w:rsidR="00AC135F" w:rsidRPr="00700A64">
        <w:rPr>
          <w:rFonts w:ascii="Book Antiqua" w:hAnsi="Book Antiqua"/>
        </w:rPr>
        <w:t xml:space="preserve">, </w:t>
      </w:r>
      <w:r w:rsidR="003A4ACF" w:rsidRPr="00700A64">
        <w:rPr>
          <w:rFonts w:ascii="Book Antiqua" w:hAnsi="Book Antiqua"/>
        </w:rPr>
        <w:t xml:space="preserve">possibly </w:t>
      </w:r>
      <w:r w:rsidR="00802041" w:rsidRPr="00700A64">
        <w:rPr>
          <w:rFonts w:ascii="Book Antiqua" w:hAnsi="Book Antiqua"/>
        </w:rPr>
        <w:t>demonstrating</w:t>
      </w:r>
      <w:r w:rsidR="00CF4F2E" w:rsidRPr="00700A64">
        <w:rPr>
          <w:rFonts w:ascii="Book Antiqua" w:hAnsi="Book Antiqua"/>
        </w:rPr>
        <w:t xml:space="preserve"> </w:t>
      </w:r>
      <w:r w:rsidR="00AC135F" w:rsidRPr="00700A64">
        <w:rPr>
          <w:rFonts w:ascii="Book Antiqua" w:hAnsi="Book Antiqua"/>
        </w:rPr>
        <w:t xml:space="preserve">the strongest pressure </w:t>
      </w:r>
      <w:r w:rsidR="00CF4F2E" w:rsidRPr="00700A64">
        <w:rPr>
          <w:rFonts w:ascii="Book Antiqua" w:hAnsi="Book Antiqua"/>
        </w:rPr>
        <w:t xml:space="preserve">on the </w:t>
      </w:r>
      <w:r w:rsidR="00AC135F" w:rsidRPr="00700A64">
        <w:rPr>
          <w:rFonts w:ascii="Book Antiqua" w:hAnsi="Book Antiqua"/>
        </w:rPr>
        <w:t xml:space="preserve">local immune system in </w:t>
      </w:r>
      <w:r w:rsidR="00CF4F2E" w:rsidRPr="00700A64">
        <w:rPr>
          <w:rFonts w:ascii="Book Antiqua" w:hAnsi="Book Antiqua"/>
        </w:rPr>
        <w:t>these</w:t>
      </w:r>
      <w:r w:rsidR="00AC135F" w:rsidRPr="00700A64">
        <w:rPr>
          <w:rFonts w:ascii="Book Antiqua" w:hAnsi="Book Antiqua"/>
        </w:rPr>
        <w:t xml:space="preserve"> patients</w:t>
      </w:r>
      <w:r w:rsidR="005A18CF" w:rsidRPr="00700A64">
        <w:rPr>
          <w:rFonts w:ascii="Book Antiqua" w:hAnsi="Book Antiqua"/>
        </w:rPr>
        <w:t>. Th</w:t>
      </w:r>
      <w:r w:rsidR="00DB106F" w:rsidRPr="00700A64">
        <w:rPr>
          <w:rFonts w:ascii="Book Antiqua" w:hAnsi="Book Antiqua"/>
        </w:rPr>
        <w:t>ese</w:t>
      </w:r>
      <w:r w:rsidR="005A18CF" w:rsidRPr="00700A64">
        <w:rPr>
          <w:rFonts w:ascii="Book Antiqua" w:hAnsi="Book Antiqua"/>
        </w:rPr>
        <w:t xml:space="preserve"> results </w:t>
      </w:r>
      <w:r w:rsidR="00631641" w:rsidRPr="00700A64">
        <w:rPr>
          <w:rFonts w:ascii="Book Antiqua" w:hAnsi="Book Antiqua"/>
        </w:rPr>
        <w:t>are</w:t>
      </w:r>
      <w:r w:rsidR="005A18CF" w:rsidRPr="00700A64">
        <w:rPr>
          <w:rFonts w:ascii="Book Antiqua" w:hAnsi="Book Antiqua"/>
        </w:rPr>
        <w:t xml:space="preserve"> consistent with </w:t>
      </w:r>
      <w:r w:rsidR="00802041" w:rsidRPr="00700A64">
        <w:rPr>
          <w:rFonts w:ascii="Book Antiqua" w:hAnsi="Book Antiqua"/>
        </w:rPr>
        <w:t>our</w:t>
      </w:r>
      <w:r w:rsidR="00CF4F2E" w:rsidRPr="00700A64">
        <w:rPr>
          <w:rFonts w:ascii="Book Antiqua" w:hAnsi="Book Antiqua"/>
        </w:rPr>
        <w:t xml:space="preserve"> </w:t>
      </w:r>
      <w:r w:rsidR="005A18CF" w:rsidRPr="00700A64">
        <w:rPr>
          <w:rFonts w:ascii="Book Antiqua" w:hAnsi="Book Antiqua"/>
        </w:rPr>
        <w:t xml:space="preserve">finding </w:t>
      </w:r>
      <w:r w:rsidR="003A4ACF" w:rsidRPr="00700A64">
        <w:rPr>
          <w:rFonts w:ascii="Book Antiqua" w:hAnsi="Book Antiqua"/>
        </w:rPr>
        <w:t xml:space="preserve">that </w:t>
      </w:r>
      <w:r w:rsidR="005A18CF" w:rsidRPr="00700A64">
        <w:rPr>
          <w:rFonts w:ascii="Book Antiqua" w:hAnsi="Book Antiqua"/>
        </w:rPr>
        <w:t>FOXP3+ Treg</w:t>
      </w:r>
      <w:r w:rsidR="00D52329" w:rsidRPr="00700A64">
        <w:rPr>
          <w:rFonts w:ascii="Book Antiqua" w:hAnsi="Book Antiqua"/>
        </w:rPr>
        <w:t>s</w:t>
      </w:r>
      <w:r w:rsidR="005A18CF" w:rsidRPr="00700A64">
        <w:rPr>
          <w:rFonts w:ascii="Book Antiqua" w:hAnsi="Book Antiqua"/>
        </w:rPr>
        <w:t xml:space="preserve"> </w:t>
      </w:r>
      <w:r w:rsidR="003A4ACF" w:rsidRPr="00700A64">
        <w:rPr>
          <w:rFonts w:ascii="Book Antiqua" w:hAnsi="Book Antiqua"/>
        </w:rPr>
        <w:t>are present at higher densit</w:t>
      </w:r>
      <w:r w:rsidR="00F45158" w:rsidRPr="00700A64">
        <w:rPr>
          <w:rFonts w:ascii="Book Antiqua" w:hAnsi="Book Antiqua"/>
        </w:rPr>
        <w:t>ies</w:t>
      </w:r>
      <w:r w:rsidR="003A4ACF" w:rsidRPr="00700A64">
        <w:rPr>
          <w:rFonts w:ascii="Book Antiqua" w:hAnsi="Book Antiqua"/>
        </w:rPr>
        <w:t xml:space="preserve"> </w:t>
      </w:r>
      <w:r w:rsidR="005A18CF" w:rsidRPr="00700A64">
        <w:rPr>
          <w:rFonts w:ascii="Book Antiqua" w:hAnsi="Book Antiqua"/>
        </w:rPr>
        <w:t xml:space="preserve">in CD patients </w:t>
      </w:r>
      <w:r w:rsidR="003A4ACF" w:rsidRPr="00700A64">
        <w:rPr>
          <w:rFonts w:ascii="Book Antiqua" w:hAnsi="Book Antiqua"/>
        </w:rPr>
        <w:t>with and without</w:t>
      </w:r>
      <w:r w:rsidR="00CF4F2E" w:rsidRPr="00700A64">
        <w:rPr>
          <w:rFonts w:ascii="Book Antiqua" w:hAnsi="Book Antiqua"/>
        </w:rPr>
        <w:t xml:space="preserve"> </w:t>
      </w:r>
      <w:r w:rsidR="005A18CF" w:rsidRPr="00700A64">
        <w:rPr>
          <w:rFonts w:ascii="Book Antiqua" w:hAnsi="Book Antiqua"/>
        </w:rPr>
        <w:t xml:space="preserve">coexisting T1D. </w:t>
      </w:r>
      <w:r w:rsidR="003A4ACF" w:rsidRPr="00700A64">
        <w:rPr>
          <w:rFonts w:ascii="Book Antiqua" w:hAnsi="Book Antiqua"/>
        </w:rPr>
        <w:t xml:space="preserve">A significant </w:t>
      </w:r>
      <w:r w:rsidR="005A18CF" w:rsidRPr="00700A64">
        <w:rPr>
          <w:rFonts w:ascii="Book Antiqua" w:hAnsi="Book Antiqua"/>
        </w:rPr>
        <w:t xml:space="preserve">correlation between </w:t>
      </w:r>
      <w:r w:rsidR="003A4ACF" w:rsidRPr="00700A64">
        <w:rPr>
          <w:rFonts w:ascii="Book Antiqua" w:hAnsi="Book Antiqua"/>
        </w:rPr>
        <w:t xml:space="preserve">the </w:t>
      </w:r>
      <w:r w:rsidR="005A18CF" w:rsidRPr="00700A64">
        <w:rPr>
          <w:rFonts w:ascii="Book Antiqua" w:hAnsi="Book Antiqua"/>
        </w:rPr>
        <w:t>densit</w:t>
      </w:r>
      <w:r w:rsidR="00CF4F2E" w:rsidRPr="00700A64">
        <w:rPr>
          <w:rFonts w:ascii="Book Antiqua" w:hAnsi="Book Antiqua"/>
        </w:rPr>
        <w:t>ies</w:t>
      </w:r>
      <w:r w:rsidR="005A18CF" w:rsidRPr="00700A64">
        <w:rPr>
          <w:rFonts w:ascii="Book Antiqua" w:hAnsi="Book Antiqua"/>
        </w:rPr>
        <w:t xml:space="preserve"> of tolerogenic </w:t>
      </w:r>
      <w:r w:rsidR="00802041" w:rsidRPr="00700A64">
        <w:rPr>
          <w:rFonts w:ascii="Book Antiqua" w:hAnsi="Book Antiqua"/>
        </w:rPr>
        <w:t>DCs and</w:t>
      </w:r>
      <w:r w:rsidR="005A18CF" w:rsidRPr="00700A64">
        <w:rPr>
          <w:rFonts w:ascii="Book Antiqua" w:hAnsi="Book Antiqua"/>
        </w:rPr>
        <w:t xml:space="preserve"> FOXP3+ T</w:t>
      </w:r>
      <w:r w:rsidR="003A4ACF" w:rsidRPr="00700A64">
        <w:rPr>
          <w:rFonts w:ascii="Book Antiqua" w:hAnsi="Book Antiqua"/>
        </w:rPr>
        <w:t>regs</w:t>
      </w:r>
      <w:r w:rsidR="005A18CF" w:rsidRPr="00700A64">
        <w:rPr>
          <w:rFonts w:ascii="Book Antiqua" w:hAnsi="Book Antiqua"/>
        </w:rPr>
        <w:t xml:space="preserve"> in </w:t>
      </w:r>
      <w:r w:rsidR="00CF4F2E" w:rsidRPr="00700A64">
        <w:rPr>
          <w:rFonts w:ascii="Book Antiqua" w:hAnsi="Book Antiqua"/>
        </w:rPr>
        <w:t xml:space="preserve">the </w:t>
      </w:r>
      <w:r w:rsidR="005A18CF" w:rsidRPr="00700A64">
        <w:rPr>
          <w:rFonts w:ascii="Book Antiqua" w:hAnsi="Book Antiqua"/>
        </w:rPr>
        <w:t xml:space="preserve">small bowel mucosa of </w:t>
      </w:r>
      <w:r w:rsidR="00CF4F2E" w:rsidRPr="00700A64">
        <w:rPr>
          <w:rFonts w:ascii="Book Antiqua" w:hAnsi="Book Antiqua"/>
        </w:rPr>
        <w:t xml:space="preserve">the </w:t>
      </w:r>
      <w:r w:rsidR="005A18CF" w:rsidRPr="00700A64">
        <w:rPr>
          <w:rFonts w:ascii="Book Antiqua" w:hAnsi="Book Antiqua"/>
        </w:rPr>
        <w:t xml:space="preserve">persons </w:t>
      </w:r>
      <w:r w:rsidR="00CF4F2E" w:rsidRPr="00700A64">
        <w:rPr>
          <w:rFonts w:ascii="Book Antiqua" w:hAnsi="Book Antiqua"/>
        </w:rPr>
        <w:t xml:space="preserve">studied </w:t>
      </w:r>
      <w:r w:rsidR="005A18CF" w:rsidRPr="00700A64">
        <w:rPr>
          <w:rFonts w:ascii="Book Antiqua" w:hAnsi="Book Antiqua"/>
        </w:rPr>
        <w:t xml:space="preserve">might </w:t>
      </w:r>
      <w:r w:rsidR="00802041" w:rsidRPr="00700A64">
        <w:rPr>
          <w:rFonts w:ascii="Book Antiqua" w:hAnsi="Book Antiqua"/>
        </w:rPr>
        <w:t xml:space="preserve">confirm </w:t>
      </w:r>
      <w:r w:rsidR="003A4ACF" w:rsidRPr="00700A64">
        <w:rPr>
          <w:rFonts w:ascii="Book Antiqua" w:hAnsi="Book Antiqua"/>
        </w:rPr>
        <w:t xml:space="preserve">the </w:t>
      </w:r>
      <w:r w:rsidR="00802041" w:rsidRPr="00700A64">
        <w:rPr>
          <w:rFonts w:ascii="Book Antiqua" w:hAnsi="Book Antiqua"/>
        </w:rPr>
        <w:t>involvement</w:t>
      </w:r>
      <w:r w:rsidR="003A4ACF" w:rsidRPr="00700A64">
        <w:rPr>
          <w:rFonts w:ascii="Book Antiqua" w:hAnsi="Book Antiqua"/>
        </w:rPr>
        <w:t xml:space="preserve"> of these DCs</w:t>
      </w:r>
      <w:r w:rsidR="005A18CF" w:rsidRPr="00700A64">
        <w:rPr>
          <w:rFonts w:ascii="Book Antiqua" w:hAnsi="Book Antiqua"/>
        </w:rPr>
        <w:t xml:space="preserve"> in </w:t>
      </w:r>
      <w:r w:rsidR="00DB106F" w:rsidRPr="00700A64">
        <w:rPr>
          <w:rFonts w:ascii="Book Antiqua" w:hAnsi="Book Antiqua"/>
        </w:rPr>
        <w:t xml:space="preserve">enhanced </w:t>
      </w:r>
      <w:r w:rsidR="005A18CF" w:rsidRPr="00700A64">
        <w:rPr>
          <w:rFonts w:ascii="Book Antiqua" w:hAnsi="Book Antiqua"/>
        </w:rPr>
        <w:t>FOXP3+ Treg</w:t>
      </w:r>
      <w:r w:rsidR="00766414" w:rsidRPr="00700A64">
        <w:rPr>
          <w:rFonts w:ascii="Book Antiqua" w:hAnsi="Book Antiqua"/>
        </w:rPr>
        <w:t>s</w:t>
      </w:r>
      <w:r w:rsidR="005A18CF" w:rsidRPr="00700A64">
        <w:rPr>
          <w:rFonts w:ascii="Book Antiqua" w:hAnsi="Book Antiqua"/>
        </w:rPr>
        <w:t xml:space="preserve"> development.</w:t>
      </w:r>
    </w:p>
    <w:p w:rsidR="005F354C" w:rsidRPr="00700A64" w:rsidRDefault="00E36707"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A</w:t>
      </w:r>
      <w:r w:rsidR="005F354C" w:rsidRPr="00700A64">
        <w:rPr>
          <w:rFonts w:ascii="Book Antiqua" w:hAnsi="Book Antiqua"/>
        </w:rPr>
        <w:t>ccumulation of CD11c+ DCs in celiac lesion</w:t>
      </w:r>
      <w:r w:rsidR="00FE051D" w:rsidRPr="00700A64">
        <w:rPr>
          <w:rFonts w:ascii="Book Antiqua" w:hAnsi="Book Antiqua"/>
        </w:rPr>
        <w:t>s</w:t>
      </w:r>
      <w:r w:rsidR="005F354C" w:rsidRPr="00700A64">
        <w:rPr>
          <w:rFonts w:ascii="Book Antiqua" w:hAnsi="Book Antiqua"/>
        </w:rPr>
        <w:t xml:space="preserve"> was also</w:t>
      </w:r>
      <w:r w:rsidRPr="00700A64">
        <w:rPr>
          <w:rFonts w:ascii="Book Antiqua" w:hAnsi="Book Antiqua"/>
        </w:rPr>
        <w:t xml:space="preserve"> observed</w:t>
      </w:r>
      <w:r w:rsidR="005F354C" w:rsidRPr="00700A64">
        <w:rPr>
          <w:rFonts w:ascii="Book Antiqua" w:hAnsi="Book Antiqua"/>
        </w:rPr>
        <w:t xml:space="preserve"> in </w:t>
      </w:r>
      <w:r w:rsidRPr="00700A64">
        <w:rPr>
          <w:rFonts w:ascii="Book Antiqua" w:hAnsi="Book Antiqua"/>
        </w:rPr>
        <w:t>a</w:t>
      </w:r>
      <w:r w:rsidR="005F354C" w:rsidRPr="00700A64">
        <w:rPr>
          <w:rFonts w:ascii="Book Antiqua" w:hAnsi="Book Antiqua"/>
        </w:rPr>
        <w:t xml:space="preserve"> study </w:t>
      </w:r>
      <w:r w:rsidR="00FE051D" w:rsidRPr="00700A64">
        <w:rPr>
          <w:rFonts w:ascii="Book Antiqua" w:hAnsi="Book Antiqua"/>
        </w:rPr>
        <w:t xml:space="preserve">by </w:t>
      </w:r>
      <w:r w:rsidR="005F354C" w:rsidRPr="00700A64">
        <w:rPr>
          <w:rFonts w:ascii="Book Antiqua" w:hAnsi="Book Antiqua"/>
        </w:rPr>
        <w:t xml:space="preserve">Raki </w:t>
      </w:r>
      <w:r w:rsidR="005F354C" w:rsidRPr="00700A64">
        <w:rPr>
          <w:rFonts w:ascii="Book Antiqua" w:hAnsi="Book Antiqua"/>
          <w:i/>
        </w:rPr>
        <w:t>et al</w:t>
      </w:r>
      <w:r w:rsidR="00F95DDE" w:rsidRPr="00700A64">
        <w:rPr>
          <w:rFonts w:ascii="Book Antiqua" w:hAnsi="Book Antiqua"/>
          <w:vertAlign w:val="superscript"/>
        </w:rPr>
        <w:t>[29]</w:t>
      </w:r>
      <w:r w:rsidR="00FE051D" w:rsidRPr="00700A64">
        <w:rPr>
          <w:rFonts w:ascii="Book Antiqua" w:hAnsi="Book Antiqua"/>
        </w:rPr>
        <w:t xml:space="preserve">, </w:t>
      </w:r>
      <w:r w:rsidR="005F354C" w:rsidRPr="00700A64">
        <w:rPr>
          <w:rFonts w:ascii="Book Antiqua" w:hAnsi="Book Antiqua"/>
        </w:rPr>
        <w:t xml:space="preserve">who showed </w:t>
      </w:r>
      <w:r w:rsidR="00FE051D" w:rsidRPr="00700A64">
        <w:rPr>
          <w:rFonts w:ascii="Book Antiqua" w:hAnsi="Book Antiqua"/>
        </w:rPr>
        <w:t>that</w:t>
      </w:r>
      <w:r w:rsidR="005F354C" w:rsidRPr="00700A64">
        <w:rPr>
          <w:rFonts w:ascii="Book Antiqua" w:hAnsi="Book Antiqua"/>
        </w:rPr>
        <w:t xml:space="preserve"> CD11c+ DCs </w:t>
      </w:r>
      <w:r w:rsidR="00FE051D" w:rsidRPr="00700A64">
        <w:rPr>
          <w:rFonts w:ascii="Book Antiqua" w:hAnsi="Book Antiqua"/>
        </w:rPr>
        <w:t xml:space="preserve">are able </w:t>
      </w:r>
      <w:r w:rsidR="005F354C" w:rsidRPr="00700A64">
        <w:rPr>
          <w:rFonts w:ascii="Book Antiqua" w:hAnsi="Book Antiqua"/>
        </w:rPr>
        <w:t xml:space="preserve">to activate gluten-reactive T cells. </w:t>
      </w:r>
      <w:r w:rsidR="00DD60FA" w:rsidRPr="00700A64">
        <w:rPr>
          <w:rFonts w:ascii="Book Antiqua" w:hAnsi="Book Antiqua"/>
        </w:rPr>
        <w:t xml:space="preserve">In </w:t>
      </w:r>
      <w:r w:rsidR="00FE051D" w:rsidRPr="00700A64">
        <w:rPr>
          <w:rFonts w:ascii="Book Antiqua" w:hAnsi="Book Antiqua"/>
        </w:rPr>
        <w:t xml:space="preserve">a subsequent </w:t>
      </w:r>
      <w:r w:rsidR="00DD60FA" w:rsidRPr="00700A64">
        <w:rPr>
          <w:rFonts w:ascii="Book Antiqua" w:hAnsi="Book Antiqua"/>
        </w:rPr>
        <w:t>study, t</w:t>
      </w:r>
      <w:r w:rsidR="00887C8C" w:rsidRPr="00700A64">
        <w:rPr>
          <w:rFonts w:ascii="Book Antiqua" w:hAnsi="Book Antiqua"/>
        </w:rPr>
        <w:t xml:space="preserve">he same group of </w:t>
      </w:r>
      <w:r w:rsidR="00FD6716" w:rsidRPr="00700A64">
        <w:rPr>
          <w:rFonts w:ascii="Book Antiqua" w:hAnsi="Book Antiqua"/>
        </w:rPr>
        <w:t xml:space="preserve">authors </w:t>
      </w:r>
      <w:r w:rsidR="00887C8C" w:rsidRPr="00700A64">
        <w:rPr>
          <w:rFonts w:ascii="Book Antiqua" w:hAnsi="Book Antiqua"/>
        </w:rPr>
        <w:t>established</w:t>
      </w:r>
      <w:r w:rsidR="00FE051D" w:rsidRPr="00700A64">
        <w:rPr>
          <w:rFonts w:ascii="Book Antiqua" w:hAnsi="Book Antiqua"/>
        </w:rPr>
        <w:t xml:space="preserve"> that</w:t>
      </w:r>
      <w:r w:rsidR="00887C8C" w:rsidRPr="00700A64">
        <w:rPr>
          <w:rFonts w:ascii="Book Antiqua" w:hAnsi="Book Antiqua"/>
        </w:rPr>
        <w:t xml:space="preserve"> rapid accumulation of CD14+CD11c+ DCs</w:t>
      </w:r>
      <w:r w:rsidR="00FE051D" w:rsidRPr="00700A64">
        <w:rPr>
          <w:rFonts w:ascii="Book Antiqua" w:hAnsi="Book Antiqua"/>
        </w:rPr>
        <w:t xml:space="preserve"> occurred</w:t>
      </w:r>
      <w:r w:rsidR="00887C8C" w:rsidRPr="00700A64">
        <w:rPr>
          <w:rFonts w:ascii="Book Antiqua" w:hAnsi="Book Antiqua"/>
        </w:rPr>
        <w:t xml:space="preserve"> in </w:t>
      </w:r>
      <w:r w:rsidR="007E1885" w:rsidRPr="00700A64">
        <w:rPr>
          <w:rFonts w:ascii="Book Antiqua" w:hAnsi="Book Antiqua"/>
        </w:rPr>
        <w:t xml:space="preserve">the </w:t>
      </w:r>
      <w:r w:rsidR="00631641" w:rsidRPr="00700A64">
        <w:rPr>
          <w:rFonts w:ascii="Book Antiqua" w:hAnsi="Book Antiqua"/>
        </w:rPr>
        <w:t xml:space="preserve">LP </w:t>
      </w:r>
      <w:r w:rsidR="00887C8C" w:rsidRPr="00700A64">
        <w:rPr>
          <w:rFonts w:ascii="Book Antiqua" w:hAnsi="Book Antiqua"/>
        </w:rPr>
        <w:t xml:space="preserve">of </w:t>
      </w:r>
      <w:r w:rsidR="007E1885" w:rsidRPr="00700A64">
        <w:rPr>
          <w:rFonts w:ascii="Book Antiqua" w:hAnsi="Book Antiqua"/>
        </w:rPr>
        <w:t xml:space="preserve">the </w:t>
      </w:r>
      <w:r w:rsidR="00887C8C" w:rsidRPr="00700A64">
        <w:rPr>
          <w:rFonts w:ascii="Book Antiqua" w:hAnsi="Book Antiqua"/>
        </w:rPr>
        <w:t xml:space="preserve">gut mucosa </w:t>
      </w:r>
      <w:r w:rsidR="007E1885" w:rsidRPr="00700A64">
        <w:rPr>
          <w:rFonts w:ascii="Book Antiqua" w:hAnsi="Book Antiqua"/>
        </w:rPr>
        <w:t>of</w:t>
      </w:r>
      <w:r w:rsidR="00887C8C" w:rsidRPr="00700A64">
        <w:rPr>
          <w:rFonts w:ascii="Book Antiqua" w:hAnsi="Book Antiqua"/>
        </w:rPr>
        <w:t xml:space="preserve"> treated patients with CD after </w:t>
      </w:r>
      <w:r w:rsidR="004134C5" w:rsidRPr="00700A64">
        <w:rPr>
          <w:rFonts w:ascii="Book Antiqua" w:hAnsi="Book Antiqua"/>
        </w:rPr>
        <w:t xml:space="preserve">a </w:t>
      </w:r>
      <w:r w:rsidR="00887C8C" w:rsidRPr="00700A64">
        <w:rPr>
          <w:rFonts w:ascii="Book Antiqua" w:hAnsi="Book Antiqua"/>
        </w:rPr>
        <w:t>three</w:t>
      </w:r>
      <w:r w:rsidR="007E1885" w:rsidRPr="00700A64">
        <w:rPr>
          <w:rFonts w:ascii="Book Antiqua" w:hAnsi="Book Antiqua"/>
        </w:rPr>
        <w:t>-</w:t>
      </w:r>
      <w:r w:rsidR="00887C8C" w:rsidRPr="00700A64">
        <w:rPr>
          <w:rFonts w:ascii="Book Antiqua" w:hAnsi="Book Antiqua"/>
        </w:rPr>
        <w:t>day gluten challenge</w:t>
      </w:r>
      <w:r w:rsidR="00F36675" w:rsidRPr="00700A64">
        <w:rPr>
          <w:rFonts w:ascii="Book Antiqua" w:hAnsi="Book Antiqua"/>
        </w:rPr>
        <w:t xml:space="preserve"> and </w:t>
      </w:r>
      <w:r w:rsidR="00887C8C" w:rsidRPr="00700A64">
        <w:rPr>
          <w:rFonts w:ascii="Book Antiqua" w:hAnsi="Book Antiqua"/>
        </w:rPr>
        <w:t>asserted that gluten</w:t>
      </w:r>
      <w:r w:rsidR="00FE051D" w:rsidRPr="00700A64">
        <w:rPr>
          <w:rFonts w:ascii="Book Antiqua" w:hAnsi="Book Antiqua"/>
        </w:rPr>
        <w:t>-</w:t>
      </w:r>
      <w:r w:rsidR="00887C8C" w:rsidRPr="00700A64">
        <w:rPr>
          <w:rFonts w:ascii="Book Antiqua" w:hAnsi="Book Antiqua"/>
        </w:rPr>
        <w:t xml:space="preserve">induced recruitment of </w:t>
      </w:r>
      <w:r w:rsidR="007E1885" w:rsidRPr="00700A64">
        <w:rPr>
          <w:rFonts w:ascii="Book Antiqua" w:hAnsi="Book Antiqua"/>
        </w:rPr>
        <w:t>these</w:t>
      </w:r>
      <w:r w:rsidR="00F36675" w:rsidRPr="00700A64">
        <w:rPr>
          <w:rFonts w:ascii="Book Antiqua" w:hAnsi="Book Antiqua"/>
        </w:rPr>
        <w:t xml:space="preserve"> cells is</w:t>
      </w:r>
      <w:r w:rsidR="00887C8C" w:rsidRPr="00700A64">
        <w:rPr>
          <w:rFonts w:ascii="Book Antiqua" w:hAnsi="Book Antiqua"/>
        </w:rPr>
        <w:t xml:space="preserve"> specific for CD</w:t>
      </w:r>
      <w:r w:rsidR="00F95DDE" w:rsidRPr="00700A64">
        <w:rPr>
          <w:rFonts w:ascii="Book Antiqua" w:hAnsi="Book Antiqua"/>
          <w:vertAlign w:val="superscript"/>
        </w:rPr>
        <w:t>[30]</w:t>
      </w:r>
      <w:r w:rsidR="00555A70" w:rsidRPr="00700A64">
        <w:rPr>
          <w:rFonts w:ascii="Book Antiqua" w:hAnsi="Book Antiqua"/>
        </w:rPr>
        <w:t>.</w:t>
      </w:r>
      <w:r w:rsidR="00AC135F" w:rsidRPr="00700A64">
        <w:rPr>
          <w:rFonts w:ascii="Book Antiqua" w:hAnsi="Book Antiqua"/>
        </w:rPr>
        <w:t xml:space="preserve"> </w:t>
      </w:r>
      <w:r w:rsidR="007E1885" w:rsidRPr="00700A64">
        <w:rPr>
          <w:rFonts w:ascii="Book Antiqua" w:hAnsi="Book Antiqua"/>
        </w:rPr>
        <w:t>A</w:t>
      </w:r>
      <w:r w:rsidR="00AC135F" w:rsidRPr="00700A64">
        <w:rPr>
          <w:rFonts w:ascii="Book Antiqua" w:hAnsi="Book Antiqua"/>
        </w:rPr>
        <w:t xml:space="preserve">nother </w:t>
      </w:r>
      <w:r w:rsidR="007E1885" w:rsidRPr="00700A64">
        <w:rPr>
          <w:rFonts w:ascii="Book Antiqua" w:hAnsi="Book Antiqua"/>
        </w:rPr>
        <w:t xml:space="preserve">study by </w:t>
      </w:r>
      <w:r w:rsidR="00AC135F" w:rsidRPr="00700A64">
        <w:rPr>
          <w:rFonts w:ascii="Book Antiqua" w:hAnsi="Book Antiqua"/>
        </w:rPr>
        <w:t xml:space="preserve">this group </w:t>
      </w:r>
      <w:r w:rsidR="007E1885" w:rsidRPr="00700A64">
        <w:rPr>
          <w:rFonts w:ascii="Book Antiqua" w:hAnsi="Book Antiqua"/>
        </w:rPr>
        <w:t>demonstrated</w:t>
      </w:r>
      <w:r w:rsidR="00887C8C" w:rsidRPr="00700A64">
        <w:rPr>
          <w:rFonts w:ascii="Book Antiqua" w:hAnsi="Book Antiqua"/>
        </w:rPr>
        <w:t xml:space="preserve"> </w:t>
      </w:r>
      <w:r w:rsidR="005F354C" w:rsidRPr="00700A64">
        <w:rPr>
          <w:rFonts w:ascii="Book Antiqua" w:hAnsi="Book Antiqua"/>
        </w:rPr>
        <w:t>the increased density of CD163+ CD11c+ DCs in celiac lesion</w:t>
      </w:r>
      <w:r w:rsidR="008E6170" w:rsidRPr="00700A64">
        <w:rPr>
          <w:rFonts w:ascii="Book Antiqua" w:hAnsi="Book Antiqua"/>
        </w:rPr>
        <w:t>s</w:t>
      </w:r>
      <w:r w:rsidR="00F95DDE" w:rsidRPr="00700A64">
        <w:rPr>
          <w:rFonts w:ascii="Book Antiqua" w:hAnsi="Book Antiqua"/>
          <w:vertAlign w:val="superscript"/>
        </w:rPr>
        <w:t>[31]</w:t>
      </w:r>
      <w:r w:rsidR="00555A70" w:rsidRPr="00700A64">
        <w:rPr>
          <w:rFonts w:ascii="Book Antiqua" w:hAnsi="Book Antiqua"/>
        </w:rPr>
        <w:t>.</w:t>
      </w:r>
      <w:r w:rsidR="008E6170" w:rsidRPr="00700A64">
        <w:rPr>
          <w:rFonts w:ascii="Book Antiqua" w:hAnsi="Book Antiqua"/>
        </w:rPr>
        <w:t xml:space="preserve"> </w:t>
      </w:r>
      <w:r w:rsidR="00AC135F" w:rsidRPr="00700A64">
        <w:rPr>
          <w:rFonts w:ascii="Book Antiqua" w:hAnsi="Book Antiqua"/>
        </w:rPr>
        <w:t>H</w:t>
      </w:r>
      <w:r w:rsidR="005F354C" w:rsidRPr="00700A64">
        <w:rPr>
          <w:rFonts w:ascii="Book Antiqua" w:hAnsi="Book Antiqua"/>
        </w:rPr>
        <w:t>owever</w:t>
      </w:r>
      <w:r w:rsidR="00F12B30" w:rsidRPr="00700A64">
        <w:rPr>
          <w:rFonts w:ascii="Book Antiqua" w:hAnsi="Book Antiqua"/>
        </w:rPr>
        <w:t>,</w:t>
      </w:r>
      <w:r w:rsidR="005F354C" w:rsidRPr="00700A64">
        <w:rPr>
          <w:rFonts w:ascii="Book Antiqua" w:hAnsi="Book Antiqua"/>
        </w:rPr>
        <w:t xml:space="preserve"> </w:t>
      </w:r>
      <w:r w:rsidR="00164A26" w:rsidRPr="00700A64">
        <w:rPr>
          <w:rFonts w:ascii="Book Antiqua" w:hAnsi="Book Antiqua"/>
        </w:rPr>
        <w:t xml:space="preserve">according </w:t>
      </w:r>
      <w:r w:rsidR="00F12B30" w:rsidRPr="00700A64">
        <w:rPr>
          <w:rFonts w:ascii="Book Antiqua" w:hAnsi="Book Antiqua"/>
        </w:rPr>
        <w:t xml:space="preserve">to </w:t>
      </w:r>
      <w:r w:rsidR="00164A26" w:rsidRPr="00700A64">
        <w:rPr>
          <w:rFonts w:ascii="Book Antiqua" w:hAnsi="Book Antiqua"/>
        </w:rPr>
        <w:t>their results</w:t>
      </w:r>
      <w:r w:rsidR="007E1885" w:rsidRPr="00700A64">
        <w:rPr>
          <w:rFonts w:ascii="Book Antiqua" w:hAnsi="Book Antiqua"/>
        </w:rPr>
        <w:t>,</w:t>
      </w:r>
      <w:r w:rsidR="00164A26" w:rsidRPr="00700A64">
        <w:rPr>
          <w:rFonts w:ascii="Book Antiqua" w:hAnsi="Book Antiqua"/>
        </w:rPr>
        <w:t xml:space="preserve"> </w:t>
      </w:r>
      <w:r w:rsidR="005F354C" w:rsidRPr="00700A64">
        <w:rPr>
          <w:rFonts w:ascii="Book Antiqua" w:hAnsi="Book Antiqua"/>
        </w:rPr>
        <w:t>the density of CD103+D</w:t>
      </w:r>
      <w:r w:rsidR="00D47DAD" w:rsidRPr="00700A64">
        <w:rPr>
          <w:rFonts w:ascii="Book Antiqua" w:hAnsi="Book Antiqua"/>
        </w:rPr>
        <w:t>C</w:t>
      </w:r>
      <w:r w:rsidR="005F354C" w:rsidRPr="00700A64">
        <w:rPr>
          <w:rFonts w:ascii="Book Antiqua" w:hAnsi="Book Antiqua"/>
        </w:rPr>
        <w:t xml:space="preserve">s was decreased in CD </w:t>
      </w:r>
      <w:r w:rsidR="00742C32" w:rsidRPr="00700A64">
        <w:rPr>
          <w:rFonts w:ascii="Book Antiqua" w:hAnsi="Book Antiqua"/>
        </w:rPr>
        <w:t>patients</w:t>
      </w:r>
      <w:r w:rsidR="00AC135F" w:rsidRPr="00700A64">
        <w:rPr>
          <w:rFonts w:ascii="Book Antiqua" w:hAnsi="Book Antiqua"/>
        </w:rPr>
        <w:t>. Importantly, in these studies</w:t>
      </w:r>
      <w:r w:rsidR="004134C5" w:rsidRPr="00700A64">
        <w:rPr>
          <w:rFonts w:ascii="Book Antiqua" w:hAnsi="Book Antiqua"/>
        </w:rPr>
        <w:t>,</w:t>
      </w:r>
      <w:r w:rsidR="00AC135F" w:rsidRPr="00700A64">
        <w:rPr>
          <w:rFonts w:ascii="Book Antiqua" w:hAnsi="Book Antiqua"/>
        </w:rPr>
        <w:t xml:space="preserve"> the study group </w:t>
      </w:r>
      <w:r w:rsidR="004134C5" w:rsidRPr="00700A64">
        <w:rPr>
          <w:rFonts w:ascii="Book Antiqua" w:hAnsi="Book Antiqua"/>
        </w:rPr>
        <w:t xml:space="preserve">consisted </w:t>
      </w:r>
      <w:r w:rsidR="008E6170" w:rsidRPr="00700A64">
        <w:rPr>
          <w:rFonts w:ascii="Book Antiqua" w:hAnsi="Book Antiqua"/>
        </w:rPr>
        <w:t xml:space="preserve">of </w:t>
      </w:r>
      <w:r w:rsidR="00AC135F" w:rsidRPr="00700A64">
        <w:rPr>
          <w:rFonts w:ascii="Book Antiqua" w:hAnsi="Book Antiqua"/>
        </w:rPr>
        <w:t>older patients (mean age 39 years) compar</w:t>
      </w:r>
      <w:r w:rsidR="007E1885" w:rsidRPr="00700A64">
        <w:rPr>
          <w:rFonts w:ascii="Book Antiqua" w:hAnsi="Book Antiqua"/>
        </w:rPr>
        <w:t>ed</w:t>
      </w:r>
      <w:r w:rsidR="00AC135F" w:rsidRPr="00700A64">
        <w:rPr>
          <w:rFonts w:ascii="Book Antiqua" w:hAnsi="Book Antiqua"/>
        </w:rPr>
        <w:t xml:space="preserve"> </w:t>
      </w:r>
      <w:r w:rsidR="007E1885" w:rsidRPr="00700A64">
        <w:rPr>
          <w:rFonts w:ascii="Book Antiqua" w:hAnsi="Book Antiqua"/>
        </w:rPr>
        <w:t>with the patients in</w:t>
      </w:r>
      <w:r w:rsidR="00B00A00" w:rsidRPr="00700A64">
        <w:rPr>
          <w:rFonts w:ascii="Book Antiqua" w:hAnsi="Book Antiqua"/>
        </w:rPr>
        <w:t xml:space="preserve"> </w:t>
      </w:r>
      <w:r w:rsidR="00AC135F" w:rsidRPr="00700A64">
        <w:rPr>
          <w:rFonts w:ascii="Book Antiqua" w:hAnsi="Book Antiqua"/>
        </w:rPr>
        <w:t xml:space="preserve">our </w:t>
      </w:r>
      <w:r w:rsidR="001969CB" w:rsidRPr="00700A64">
        <w:rPr>
          <w:rFonts w:ascii="Book Antiqua" w:hAnsi="Book Antiqua"/>
        </w:rPr>
        <w:t xml:space="preserve">CD group (mean age </w:t>
      </w:r>
      <w:r w:rsidR="00D57C23" w:rsidRPr="00700A64">
        <w:rPr>
          <w:rFonts w:ascii="Book Antiqua" w:hAnsi="Book Antiqua"/>
        </w:rPr>
        <w:t>11.1</w:t>
      </w:r>
      <w:r w:rsidR="00D57C23" w:rsidRPr="00700A64">
        <w:rPr>
          <w:rFonts w:ascii="Book Antiqua" w:hAnsi="Book Antiqua"/>
        </w:rPr>
        <w:sym w:font="Symbol" w:char="F0B1"/>
      </w:r>
      <w:r w:rsidR="00D57C23" w:rsidRPr="00700A64">
        <w:rPr>
          <w:rFonts w:ascii="Book Antiqua" w:hAnsi="Book Antiqua"/>
        </w:rPr>
        <w:t>6.8</w:t>
      </w:r>
      <w:r w:rsidR="001969CB" w:rsidRPr="00700A64">
        <w:rPr>
          <w:rFonts w:ascii="Book Antiqua" w:hAnsi="Book Antiqua"/>
        </w:rPr>
        <w:t xml:space="preserve"> years), </w:t>
      </w:r>
      <w:r w:rsidR="007E1885" w:rsidRPr="00700A64">
        <w:rPr>
          <w:rFonts w:ascii="Book Antiqua" w:hAnsi="Book Antiqua"/>
        </w:rPr>
        <w:t>which</w:t>
      </w:r>
      <w:r w:rsidR="001969CB" w:rsidRPr="00700A64">
        <w:rPr>
          <w:rFonts w:ascii="Book Antiqua" w:hAnsi="Book Antiqua"/>
        </w:rPr>
        <w:t xml:space="preserve"> might at least partly explain the discrepancies between the results of their study </w:t>
      </w:r>
      <w:r w:rsidR="007E1885" w:rsidRPr="00700A64">
        <w:rPr>
          <w:rFonts w:ascii="Book Antiqua" w:hAnsi="Book Antiqua"/>
        </w:rPr>
        <w:t xml:space="preserve">and ours. </w:t>
      </w:r>
      <w:r w:rsidR="001969CB" w:rsidRPr="00700A64">
        <w:rPr>
          <w:rFonts w:ascii="Book Antiqua" w:hAnsi="Book Antiqua"/>
        </w:rPr>
        <w:t>Thus</w:t>
      </w:r>
      <w:r w:rsidR="008E6170" w:rsidRPr="00700A64">
        <w:rPr>
          <w:rFonts w:ascii="Book Antiqua" w:hAnsi="Book Antiqua"/>
        </w:rPr>
        <w:t>,</w:t>
      </w:r>
      <w:r w:rsidR="001969CB" w:rsidRPr="00700A64">
        <w:rPr>
          <w:rFonts w:ascii="Book Antiqua" w:hAnsi="Book Antiqua"/>
        </w:rPr>
        <w:t xml:space="preserve"> we </w:t>
      </w:r>
      <w:r w:rsidR="007E1885" w:rsidRPr="00700A64">
        <w:rPr>
          <w:rFonts w:ascii="Book Antiqua" w:hAnsi="Book Antiqua"/>
        </w:rPr>
        <w:t xml:space="preserve">believe </w:t>
      </w:r>
      <w:r w:rsidR="001969CB" w:rsidRPr="00700A64">
        <w:rPr>
          <w:rFonts w:ascii="Book Antiqua" w:hAnsi="Book Antiqua"/>
        </w:rPr>
        <w:t>that the</w:t>
      </w:r>
      <w:r w:rsidR="00887C8C" w:rsidRPr="00700A64">
        <w:rPr>
          <w:rFonts w:ascii="Book Antiqua" w:hAnsi="Book Antiqua"/>
        </w:rPr>
        <w:t xml:space="preserve"> </w:t>
      </w:r>
      <w:r w:rsidR="00994353" w:rsidRPr="00700A64">
        <w:rPr>
          <w:rFonts w:ascii="Book Antiqua" w:hAnsi="Book Antiqua"/>
        </w:rPr>
        <w:t xml:space="preserve">increased density of CD103+ DCs in </w:t>
      </w:r>
      <w:r w:rsidR="007E1885" w:rsidRPr="00700A64">
        <w:rPr>
          <w:rFonts w:ascii="Book Antiqua" w:hAnsi="Book Antiqua"/>
        </w:rPr>
        <w:t xml:space="preserve">the </w:t>
      </w:r>
      <w:r w:rsidR="001969CB" w:rsidRPr="00700A64">
        <w:rPr>
          <w:rFonts w:ascii="Book Antiqua" w:hAnsi="Book Antiqua"/>
        </w:rPr>
        <w:t xml:space="preserve">proximal part of </w:t>
      </w:r>
      <w:r w:rsidR="007E1885" w:rsidRPr="00700A64">
        <w:rPr>
          <w:rFonts w:ascii="Book Antiqua" w:hAnsi="Book Antiqua"/>
        </w:rPr>
        <w:t xml:space="preserve">the </w:t>
      </w:r>
      <w:r w:rsidR="001969CB" w:rsidRPr="00700A64">
        <w:rPr>
          <w:rFonts w:ascii="Book Antiqua" w:hAnsi="Book Antiqua"/>
        </w:rPr>
        <w:t xml:space="preserve">small intestinal </w:t>
      </w:r>
      <w:r w:rsidR="001969CB" w:rsidRPr="00700A64">
        <w:rPr>
          <w:rFonts w:ascii="Book Antiqua" w:hAnsi="Book Antiqua"/>
        </w:rPr>
        <w:lastRenderedPageBreak/>
        <w:t xml:space="preserve">mucosa of </w:t>
      </w:r>
      <w:r w:rsidR="00994353" w:rsidRPr="00700A64">
        <w:rPr>
          <w:rFonts w:ascii="Book Antiqua" w:hAnsi="Book Antiqua"/>
        </w:rPr>
        <w:t>CD patients, particularly those with coexisting T1D</w:t>
      </w:r>
      <w:r w:rsidR="001969CB" w:rsidRPr="00700A64">
        <w:rPr>
          <w:rFonts w:ascii="Book Antiqua" w:hAnsi="Book Antiqua"/>
        </w:rPr>
        <w:t xml:space="preserve">, </w:t>
      </w:r>
      <w:r w:rsidR="007E1885" w:rsidRPr="00700A64">
        <w:rPr>
          <w:rFonts w:ascii="Book Antiqua" w:hAnsi="Book Antiqua"/>
        </w:rPr>
        <w:t xml:space="preserve">is of </w:t>
      </w:r>
      <w:r w:rsidR="008E6170" w:rsidRPr="00700A64">
        <w:rPr>
          <w:rFonts w:ascii="Book Antiqua" w:hAnsi="Book Antiqua"/>
        </w:rPr>
        <w:t xml:space="preserve">pathogenic </w:t>
      </w:r>
      <w:r w:rsidR="007E1885" w:rsidRPr="00700A64">
        <w:rPr>
          <w:rFonts w:ascii="Book Antiqua" w:hAnsi="Book Antiqua"/>
        </w:rPr>
        <w:t>relevance</w:t>
      </w:r>
      <w:r w:rsidR="00657A75" w:rsidRPr="00700A64">
        <w:rPr>
          <w:rFonts w:ascii="Book Antiqua" w:hAnsi="Book Antiqua"/>
        </w:rPr>
        <w:t>.</w:t>
      </w:r>
    </w:p>
    <w:p w:rsidR="00686B66" w:rsidRPr="00700A64" w:rsidRDefault="00DA1207"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Another i</w:t>
      </w:r>
      <w:r w:rsidR="000D63EF" w:rsidRPr="00700A64">
        <w:rPr>
          <w:rFonts w:ascii="Book Antiqua" w:hAnsi="Book Antiqua"/>
        </w:rPr>
        <w:t xml:space="preserve">mportant finding </w:t>
      </w:r>
      <w:r w:rsidR="008E6170" w:rsidRPr="00700A64">
        <w:rPr>
          <w:rFonts w:ascii="Book Antiqua" w:hAnsi="Book Antiqua"/>
        </w:rPr>
        <w:t xml:space="preserve">in </w:t>
      </w:r>
      <w:r w:rsidR="000D63EF" w:rsidRPr="00700A64">
        <w:rPr>
          <w:rFonts w:ascii="Book Antiqua" w:hAnsi="Book Antiqua"/>
        </w:rPr>
        <w:t>our study was the significant correlation between densities of IDO+ DCs and FOXP3+ Treg</w:t>
      </w:r>
      <w:r w:rsidR="008E6170" w:rsidRPr="00700A64">
        <w:rPr>
          <w:rFonts w:ascii="Book Antiqua" w:hAnsi="Book Antiqua"/>
        </w:rPr>
        <w:t>s</w:t>
      </w:r>
      <w:r w:rsidR="00CB31C6" w:rsidRPr="00700A64">
        <w:rPr>
          <w:rFonts w:ascii="Book Antiqua" w:hAnsi="Book Antiqua"/>
        </w:rPr>
        <w:t>,</w:t>
      </w:r>
      <w:r w:rsidR="008E6170" w:rsidRPr="00700A64">
        <w:rPr>
          <w:rFonts w:ascii="Book Antiqua" w:hAnsi="Book Antiqua"/>
        </w:rPr>
        <w:t xml:space="preserve"> </w:t>
      </w:r>
      <w:r w:rsidR="00CB31C6" w:rsidRPr="00700A64">
        <w:rPr>
          <w:rFonts w:ascii="Book Antiqua" w:hAnsi="Book Antiqua"/>
        </w:rPr>
        <w:t>indicating</w:t>
      </w:r>
      <w:r w:rsidR="000D63EF" w:rsidRPr="00700A64">
        <w:rPr>
          <w:rFonts w:ascii="Book Antiqua" w:hAnsi="Book Antiqua"/>
        </w:rPr>
        <w:t xml:space="preserve"> the tolerogenic </w:t>
      </w:r>
      <w:r w:rsidR="00CB31C6" w:rsidRPr="00700A64">
        <w:rPr>
          <w:rFonts w:ascii="Book Antiqua" w:hAnsi="Book Antiqua"/>
        </w:rPr>
        <w:t xml:space="preserve">capacity </w:t>
      </w:r>
      <w:r w:rsidR="000D63EF" w:rsidRPr="00700A64">
        <w:rPr>
          <w:rFonts w:ascii="Book Antiqua" w:hAnsi="Book Antiqua"/>
        </w:rPr>
        <w:t xml:space="preserve">of IDO+ DCs. Moreover, 29.7% of the </w:t>
      </w:r>
      <w:r w:rsidR="00C1655D" w:rsidRPr="00700A64">
        <w:rPr>
          <w:rFonts w:ascii="Book Antiqua" w:hAnsi="Book Antiqua"/>
        </w:rPr>
        <w:t>LP</w:t>
      </w:r>
      <w:r w:rsidR="000D63EF" w:rsidRPr="00700A64">
        <w:rPr>
          <w:rFonts w:ascii="Book Antiqua" w:hAnsi="Book Antiqua"/>
        </w:rPr>
        <w:t xml:space="preserve"> DCs were double</w:t>
      </w:r>
      <w:r w:rsidR="00CB31C6" w:rsidRPr="00700A64">
        <w:rPr>
          <w:rFonts w:ascii="Book Antiqua" w:hAnsi="Book Antiqua"/>
        </w:rPr>
        <w:t>-</w:t>
      </w:r>
      <w:r w:rsidR="000D63EF" w:rsidRPr="00700A64">
        <w:rPr>
          <w:rFonts w:ascii="Book Antiqua" w:hAnsi="Book Antiqua"/>
        </w:rPr>
        <w:t xml:space="preserve">positive for </w:t>
      </w:r>
      <w:r w:rsidR="008E6170" w:rsidRPr="00700A64">
        <w:rPr>
          <w:rFonts w:ascii="Book Antiqua" w:hAnsi="Book Antiqua"/>
        </w:rPr>
        <w:t xml:space="preserve">both </w:t>
      </w:r>
      <w:r w:rsidR="000D63EF" w:rsidRPr="00700A64">
        <w:rPr>
          <w:rFonts w:ascii="Book Antiqua" w:hAnsi="Book Antiqua"/>
        </w:rPr>
        <w:t xml:space="preserve">IDO and CD103 markers in </w:t>
      </w:r>
      <w:r w:rsidR="00753E9A" w:rsidRPr="00700A64">
        <w:rPr>
          <w:rFonts w:ascii="Book Antiqua" w:hAnsi="Book Antiqua"/>
        </w:rPr>
        <w:t xml:space="preserve">the </w:t>
      </w:r>
      <w:r w:rsidR="000D63EF" w:rsidRPr="00700A64">
        <w:rPr>
          <w:rFonts w:ascii="Book Antiqua" w:hAnsi="Book Antiqua"/>
        </w:rPr>
        <w:t>CD patient group</w:t>
      </w:r>
      <w:r w:rsidR="001D0E24" w:rsidRPr="00700A64">
        <w:rPr>
          <w:rFonts w:ascii="Book Antiqua" w:hAnsi="Book Antiqua"/>
        </w:rPr>
        <w:t xml:space="preserve">. </w:t>
      </w:r>
      <w:r w:rsidR="00753E9A" w:rsidRPr="00700A64">
        <w:rPr>
          <w:rFonts w:ascii="Book Antiqua" w:hAnsi="Book Antiqua"/>
        </w:rPr>
        <w:t xml:space="preserve">Thus, </w:t>
      </w:r>
      <w:r w:rsidR="00D31DC2" w:rsidRPr="00700A64">
        <w:rPr>
          <w:rFonts w:ascii="Book Antiqua" w:hAnsi="Book Antiqua"/>
        </w:rPr>
        <w:t>o</w:t>
      </w:r>
      <w:r w:rsidR="00686B66" w:rsidRPr="00700A64">
        <w:rPr>
          <w:rFonts w:ascii="Book Antiqua" w:hAnsi="Book Antiqua"/>
        </w:rPr>
        <w:t xml:space="preserve">ur data are in agreement with </w:t>
      </w:r>
      <w:r w:rsidR="00753E9A" w:rsidRPr="00700A64">
        <w:rPr>
          <w:rFonts w:ascii="Book Antiqua" w:hAnsi="Book Antiqua"/>
        </w:rPr>
        <w:t xml:space="preserve">those </w:t>
      </w:r>
      <w:r w:rsidR="00686B66" w:rsidRPr="00700A64">
        <w:rPr>
          <w:rFonts w:ascii="Book Antiqua" w:hAnsi="Book Antiqua"/>
        </w:rPr>
        <w:t xml:space="preserve">of Matteoli </w:t>
      </w:r>
      <w:r w:rsidR="00686B66" w:rsidRPr="00700A64">
        <w:rPr>
          <w:rFonts w:ascii="Book Antiqua" w:hAnsi="Book Antiqua"/>
          <w:i/>
        </w:rPr>
        <w:t>et al</w:t>
      </w:r>
      <w:r w:rsidR="00F95DDE" w:rsidRPr="00700A64">
        <w:rPr>
          <w:rFonts w:ascii="Book Antiqua" w:hAnsi="Book Antiqua"/>
          <w:vertAlign w:val="superscript"/>
        </w:rPr>
        <w:t>[</w:t>
      </w:r>
      <w:r w:rsidR="008B315E" w:rsidRPr="00700A64">
        <w:rPr>
          <w:rFonts w:ascii="Book Antiqua" w:hAnsi="Book Antiqua"/>
          <w:vertAlign w:val="superscript"/>
        </w:rPr>
        <w:t>18</w:t>
      </w:r>
      <w:r w:rsidR="00F95DDE" w:rsidRPr="00700A64">
        <w:rPr>
          <w:rFonts w:ascii="Book Antiqua" w:hAnsi="Book Antiqua"/>
          <w:vertAlign w:val="superscript"/>
        </w:rPr>
        <w:t>]</w:t>
      </w:r>
      <w:r w:rsidR="008E6170" w:rsidRPr="00700A64">
        <w:rPr>
          <w:rFonts w:ascii="Book Antiqua" w:hAnsi="Book Antiqua"/>
        </w:rPr>
        <w:t xml:space="preserve">, </w:t>
      </w:r>
      <w:r w:rsidR="00686B66" w:rsidRPr="00700A64">
        <w:rPr>
          <w:rFonts w:ascii="Book Antiqua" w:hAnsi="Book Antiqua"/>
        </w:rPr>
        <w:t>who re</w:t>
      </w:r>
      <w:r w:rsidR="00753E9A" w:rsidRPr="00700A64">
        <w:rPr>
          <w:rFonts w:ascii="Book Antiqua" w:hAnsi="Book Antiqua"/>
        </w:rPr>
        <w:t>ported</w:t>
      </w:r>
      <w:r w:rsidR="00686B66" w:rsidRPr="00700A64">
        <w:rPr>
          <w:rFonts w:ascii="Book Antiqua" w:hAnsi="Book Antiqua"/>
        </w:rPr>
        <w:t xml:space="preserve"> that </w:t>
      </w:r>
      <w:r w:rsidR="00CB31C6" w:rsidRPr="00700A64">
        <w:rPr>
          <w:rFonts w:ascii="Book Antiqua" w:hAnsi="Book Antiqua"/>
        </w:rPr>
        <w:t xml:space="preserve">IDO </w:t>
      </w:r>
      <w:r w:rsidR="00686B66" w:rsidRPr="00700A64">
        <w:rPr>
          <w:rFonts w:ascii="Book Antiqua" w:hAnsi="Book Antiqua"/>
        </w:rPr>
        <w:t xml:space="preserve">expression was </w:t>
      </w:r>
      <w:r w:rsidR="008E6170" w:rsidRPr="00700A64">
        <w:rPr>
          <w:rFonts w:ascii="Book Antiqua" w:hAnsi="Book Antiqua"/>
        </w:rPr>
        <w:t xml:space="preserve">particularly </w:t>
      </w:r>
      <w:r w:rsidR="00686B66" w:rsidRPr="00700A64">
        <w:rPr>
          <w:rFonts w:ascii="Book Antiqua" w:hAnsi="Book Antiqua"/>
        </w:rPr>
        <w:t>associated with CD11c+ CD103+ DCs</w:t>
      </w:r>
      <w:r w:rsidR="008E6170" w:rsidRPr="00700A64">
        <w:rPr>
          <w:rFonts w:ascii="Book Antiqua" w:hAnsi="Book Antiqua"/>
        </w:rPr>
        <w:t>,</w:t>
      </w:r>
      <w:r w:rsidR="00686B66" w:rsidRPr="00700A64">
        <w:rPr>
          <w:rFonts w:ascii="Book Antiqua" w:hAnsi="Book Antiqua"/>
        </w:rPr>
        <w:t xml:space="preserve"> both in mouse and human LP. </w:t>
      </w:r>
      <w:r w:rsidR="00753E9A" w:rsidRPr="00700A64">
        <w:rPr>
          <w:rFonts w:ascii="Book Antiqua" w:hAnsi="Book Antiqua"/>
        </w:rPr>
        <w:t>According to t</w:t>
      </w:r>
      <w:r w:rsidR="00686B66" w:rsidRPr="00700A64">
        <w:rPr>
          <w:rFonts w:ascii="Book Antiqua" w:hAnsi="Book Antiqua"/>
        </w:rPr>
        <w:t>hese authors</w:t>
      </w:r>
      <w:r w:rsidR="00753E9A" w:rsidRPr="00700A64">
        <w:rPr>
          <w:rFonts w:ascii="Book Antiqua" w:hAnsi="Book Antiqua"/>
        </w:rPr>
        <w:t>,</w:t>
      </w:r>
      <w:r w:rsidR="00686B66" w:rsidRPr="00700A64">
        <w:rPr>
          <w:rFonts w:ascii="Book Antiqua" w:hAnsi="Book Antiqua"/>
        </w:rPr>
        <w:t xml:space="preserve"> IDO is involved in the </w:t>
      </w:r>
      <w:r w:rsidR="00CB31C6" w:rsidRPr="00700A64">
        <w:rPr>
          <w:rFonts w:ascii="Book Antiqua" w:hAnsi="Book Antiqua"/>
        </w:rPr>
        <w:t xml:space="preserve">capacity </w:t>
      </w:r>
      <w:r w:rsidR="00686B66" w:rsidRPr="00700A64">
        <w:rPr>
          <w:rFonts w:ascii="Book Antiqua" w:hAnsi="Book Antiqua"/>
        </w:rPr>
        <w:t>of CD103+ DCs to drive FOXP3+ Treg</w:t>
      </w:r>
      <w:r w:rsidR="00766414" w:rsidRPr="00700A64">
        <w:rPr>
          <w:rFonts w:ascii="Book Antiqua" w:hAnsi="Book Antiqua"/>
        </w:rPr>
        <w:t>s</w:t>
      </w:r>
      <w:r w:rsidR="00686B66" w:rsidRPr="00700A64">
        <w:rPr>
          <w:rFonts w:ascii="Book Antiqua" w:hAnsi="Book Antiqua"/>
        </w:rPr>
        <w:t xml:space="preserve"> development</w:t>
      </w:r>
      <w:r w:rsidR="000D63EF" w:rsidRPr="00700A64">
        <w:rPr>
          <w:rFonts w:ascii="Book Antiqua" w:hAnsi="Book Antiqua"/>
        </w:rPr>
        <w:t>.</w:t>
      </w:r>
      <w:r w:rsidR="00686B66" w:rsidRPr="00700A64">
        <w:rPr>
          <w:rFonts w:ascii="Book Antiqua" w:hAnsi="Book Antiqua"/>
        </w:rPr>
        <w:t xml:space="preserve"> </w:t>
      </w:r>
    </w:p>
    <w:p w:rsidR="00E92FFD" w:rsidRPr="00700A64" w:rsidRDefault="00887C8C"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However, </w:t>
      </w:r>
      <w:r w:rsidR="00913D7C" w:rsidRPr="00700A64">
        <w:rPr>
          <w:rFonts w:ascii="Book Antiqua" w:hAnsi="Book Antiqua"/>
        </w:rPr>
        <w:t>t</w:t>
      </w:r>
      <w:r w:rsidRPr="00700A64">
        <w:rPr>
          <w:rFonts w:ascii="Book Antiqua" w:hAnsi="Book Antiqua"/>
        </w:rPr>
        <w:t>he study of Bada</w:t>
      </w:r>
      <w:r w:rsidR="00BD52BB" w:rsidRPr="00700A64">
        <w:rPr>
          <w:rFonts w:ascii="Book Antiqua" w:hAnsi="Book Antiqua"/>
        </w:rPr>
        <w:t>m</w:t>
      </w:r>
      <w:r w:rsidRPr="00700A64">
        <w:rPr>
          <w:rFonts w:ascii="Book Antiqua" w:hAnsi="Book Antiqua"/>
        </w:rPr>
        <w:t xml:space="preserve">i </w:t>
      </w:r>
      <w:r w:rsidRPr="00700A64">
        <w:rPr>
          <w:rFonts w:ascii="Book Antiqua" w:hAnsi="Book Antiqua"/>
          <w:i/>
        </w:rPr>
        <w:t>et al</w:t>
      </w:r>
      <w:r w:rsidR="00F95DDE" w:rsidRPr="00700A64">
        <w:rPr>
          <w:rFonts w:ascii="Book Antiqua" w:hAnsi="Book Antiqua"/>
          <w:vertAlign w:val="superscript"/>
        </w:rPr>
        <w:t>[</w:t>
      </w:r>
      <w:r w:rsidR="008B315E" w:rsidRPr="00700A64">
        <w:rPr>
          <w:rFonts w:ascii="Book Antiqua" w:hAnsi="Book Antiqua"/>
          <w:vertAlign w:val="superscript"/>
        </w:rPr>
        <w:t>3</w:t>
      </w:r>
      <w:r w:rsidR="00F95DDE" w:rsidRPr="00700A64">
        <w:rPr>
          <w:rFonts w:ascii="Book Antiqua" w:hAnsi="Book Antiqua"/>
          <w:vertAlign w:val="superscript"/>
        </w:rPr>
        <w:t>2]</w:t>
      </w:r>
      <w:r w:rsidRPr="00700A64">
        <w:rPr>
          <w:rFonts w:ascii="Book Antiqua" w:hAnsi="Book Antiqua"/>
        </w:rPr>
        <w:t xml:space="preserve"> </w:t>
      </w:r>
      <w:r w:rsidR="00D31F91" w:rsidRPr="00700A64">
        <w:rPr>
          <w:rFonts w:ascii="Book Antiqua" w:hAnsi="Book Antiqua"/>
        </w:rPr>
        <w:t xml:space="preserve">showed </w:t>
      </w:r>
      <w:r w:rsidRPr="00700A64">
        <w:rPr>
          <w:rFonts w:ascii="Book Antiqua" w:hAnsi="Book Antiqua"/>
        </w:rPr>
        <w:t>that T1D patients ha</w:t>
      </w:r>
      <w:r w:rsidR="000B2D00" w:rsidRPr="00700A64">
        <w:rPr>
          <w:rFonts w:ascii="Book Antiqua" w:hAnsi="Book Antiqua"/>
        </w:rPr>
        <w:t>d</w:t>
      </w:r>
      <w:r w:rsidRPr="00700A64">
        <w:rPr>
          <w:rFonts w:ascii="Book Antiqua" w:hAnsi="Book Antiqua"/>
        </w:rPr>
        <w:t xml:space="preserve"> a reduced number of FOXP3+Treg cells due to</w:t>
      </w:r>
      <w:r w:rsidR="00084AEF" w:rsidRPr="00700A64">
        <w:rPr>
          <w:rFonts w:ascii="Book Antiqua" w:hAnsi="Book Antiqua"/>
        </w:rPr>
        <w:t xml:space="preserve"> both</w:t>
      </w:r>
      <w:r w:rsidRPr="00700A64">
        <w:rPr>
          <w:rFonts w:ascii="Book Antiqua" w:hAnsi="Book Antiqua"/>
        </w:rPr>
        <w:t xml:space="preserve"> impaired differentiation by gut-associated CD103+CD11c+ D</w:t>
      </w:r>
      <w:r w:rsidR="00913D7C" w:rsidRPr="00700A64">
        <w:rPr>
          <w:rFonts w:ascii="Book Antiqua" w:hAnsi="Book Antiqua"/>
        </w:rPr>
        <w:t>C and</w:t>
      </w:r>
      <w:r w:rsidR="000B2D00" w:rsidRPr="00700A64">
        <w:rPr>
          <w:rFonts w:ascii="Book Antiqua" w:hAnsi="Book Antiqua"/>
        </w:rPr>
        <w:t xml:space="preserve"> </w:t>
      </w:r>
      <w:r w:rsidR="00084AEF" w:rsidRPr="00700A64">
        <w:rPr>
          <w:rFonts w:ascii="Book Antiqua" w:hAnsi="Book Antiqua"/>
        </w:rPr>
        <w:t xml:space="preserve">their </w:t>
      </w:r>
      <w:r w:rsidR="000B2D00" w:rsidRPr="00700A64">
        <w:rPr>
          <w:rFonts w:ascii="Book Antiqua" w:hAnsi="Book Antiqua"/>
        </w:rPr>
        <w:t xml:space="preserve">need </w:t>
      </w:r>
      <w:r w:rsidR="00084AEF" w:rsidRPr="00700A64">
        <w:rPr>
          <w:rFonts w:ascii="Book Antiqua" w:hAnsi="Book Antiqua"/>
        </w:rPr>
        <w:t>to maintain</w:t>
      </w:r>
      <w:r w:rsidR="00913D7C" w:rsidRPr="00700A64">
        <w:rPr>
          <w:rFonts w:ascii="Book Antiqua" w:hAnsi="Book Antiqua"/>
        </w:rPr>
        <w:t xml:space="preserve"> immune tolerance </w:t>
      </w:r>
      <w:r w:rsidR="000B2D00" w:rsidRPr="00700A64">
        <w:rPr>
          <w:rFonts w:ascii="Book Antiqua" w:hAnsi="Book Antiqua"/>
        </w:rPr>
        <w:t>for</w:t>
      </w:r>
      <w:r w:rsidR="00913D7C" w:rsidRPr="00700A64">
        <w:rPr>
          <w:rFonts w:ascii="Book Antiqua" w:hAnsi="Book Antiqua"/>
        </w:rPr>
        <w:t xml:space="preserve"> pancreatic cells. </w:t>
      </w:r>
      <w:r w:rsidR="008B315E" w:rsidRPr="00700A64">
        <w:rPr>
          <w:rFonts w:ascii="Book Antiqua" w:hAnsi="Book Antiqua"/>
        </w:rPr>
        <w:t xml:space="preserve">These authors </w:t>
      </w:r>
      <w:r w:rsidR="00913D7C" w:rsidRPr="00700A64">
        <w:rPr>
          <w:rFonts w:ascii="Book Antiqua" w:hAnsi="Book Antiqua"/>
        </w:rPr>
        <w:t xml:space="preserve">did not </w:t>
      </w:r>
      <w:r w:rsidR="000B2D00" w:rsidRPr="00700A64">
        <w:rPr>
          <w:rFonts w:ascii="Book Antiqua" w:hAnsi="Book Antiqua"/>
        </w:rPr>
        <w:t>find</w:t>
      </w:r>
      <w:r w:rsidR="00913D7C" w:rsidRPr="00700A64">
        <w:rPr>
          <w:rFonts w:ascii="Book Antiqua" w:hAnsi="Book Antiqua"/>
        </w:rPr>
        <w:t xml:space="preserve"> any difference in the amount of intestinal CD103+ CD11c</w:t>
      </w:r>
      <w:r w:rsidR="00084AEF" w:rsidRPr="00700A64">
        <w:rPr>
          <w:rFonts w:ascii="Book Antiqua" w:hAnsi="Book Antiqua"/>
        </w:rPr>
        <w:t xml:space="preserve"> DCs </w:t>
      </w:r>
      <w:r w:rsidR="00913D7C" w:rsidRPr="00700A64">
        <w:rPr>
          <w:rFonts w:ascii="Book Antiqua" w:hAnsi="Book Antiqua"/>
        </w:rPr>
        <w:t>in</w:t>
      </w:r>
      <w:r w:rsidR="00084AEF" w:rsidRPr="00700A64">
        <w:rPr>
          <w:rFonts w:ascii="Book Antiqua" w:hAnsi="Book Antiqua"/>
        </w:rPr>
        <w:t xml:space="preserve"> the</w:t>
      </w:r>
      <w:r w:rsidR="00913D7C" w:rsidRPr="00700A64">
        <w:rPr>
          <w:rFonts w:ascii="Book Antiqua" w:hAnsi="Book Antiqua"/>
        </w:rPr>
        <w:t xml:space="preserve"> </w:t>
      </w:r>
      <w:r w:rsidR="00686B66" w:rsidRPr="00700A64">
        <w:rPr>
          <w:rFonts w:ascii="Book Antiqua" w:hAnsi="Book Antiqua"/>
        </w:rPr>
        <w:t xml:space="preserve">LP </w:t>
      </w:r>
      <w:r w:rsidR="000B2D00" w:rsidRPr="00700A64">
        <w:rPr>
          <w:rFonts w:ascii="Book Antiqua" w:hAnsi="Book Antiqua"/>
        </w:rPr>
        <w:t>between</w:t>
      </w:r>
      <w:r w:rsidR="00913D7C" w:rsidRPr="00700A64">
        <w:rPr>
          <w:rFonts w:ascii="Book Antiqua" w:hAnsi="Book Antiqua"/>
        </w:rPr>
        <w:t xml:space="preserve"> T1D patients, CD patients and controls</w:t>
      </w:r>
      <w:r w:rsidR="00DB5886" w:rsidRPr="00700A64">
        <w:rPr>
          <w:rFonts w:ascii="Book Antiqua" w:hAnsi="Book Antiqua"/>
        </w:rPr>
        <w:t>.</w:t>
      </w:r>
      <w:r w:rsidR="00733B58" w:rsidRPr="00700A64">
        <w:rPr>
          <w:rFonts w:ascii="Book Antiqua" w:hAnsi="Book Antiqua"/>
        </w:rPr>
        <w:t xml:space="preserve"> </w:t>
      </w:r>
      <w:r w:rsidR="00E92FFD" w:rsidRPr="00700A64">
        <w:rPr>
          <w:rFonts w:ascii="Book Antiqua" w:hAnsi="Book Antiqua"/>
        </w:rPr>
        <w:t>The</w:t>
      </w:r>
      <w:r w:rsidR="00D60039" w:rsidRPr="00700A64">
        <w:rPr>
          <w:rFonts w:ascii="Book Antiqua" w:hAnsi="Book Antiqua"/>
        </w:rPr>
        <w:t xml:space="preserve"> discrepancy between the results </w:t>
      </w:r>
      <w:r w:rsidR="008B315E" w:rsidRPr="00700A64">
        <w:rPr>
          <w:rFonts w:ascii="Book Antiqua" w:hAnsi="Book Antiqua"/>
        </w:rPr>
        <w:t>in</w:t>
      </w:r>
      <w:r w:rsidR="00D60039" w:rsidRPr="00700A64">
        <w:rPr>
          <w:rFonts w:ascii="Book Antiqua" w:hAnsi="Book Antiqua"/>
        </w:rPr>
        <w:t xml:space="preserve"> </w:t>
      </w:r>
      <w:r w:rsidR="004F1E5D" w:rsidRPr="00700A64">
        <w:rPr>
          <w:rFonts w:ascii="Book Antiqua" w:hAnsi="Book Antiqua"/>
        </w:rPr>
        <w:t xml:space="preserve">the </w:t>
      </w:r>
      <w:r w:rsidR="008B315E" w:rsidRPr="00700A64">
        <w:rPr>
          <w:rFonts w:ascii="Book Antiqua" w:hAnsi="Book Antiqua"/>
        </w:rPr>
        <w:t>above</w:t>
      </w:r>
      <w:r w:rsidR="008E5936" w:rsidRPr="00700A64">
        <w:rPr>
          <w:rFonts w:ascii="Book Antiqua" w:hAnsi="Book Antiqua"/>
        </w:rPr>
        <w:t>-</w:t>
      </w:r>
      <w:r w:rsidR="008B315E" w:rsidRPr="00700A64">
        <w:rPr>
          <w:rFonts w:ascii="Book Antiqua" w:hAnsi="Book Antiqua"/>
        </w:rPr>
        <w:t xml:space="preserve">mentioned study </w:t>
      </w:r>
      <w:r w:rsidR="00D60039" w:rsidRPr="00700A64">
        <w:rPr>
          <w:rFonts w:ascii="Book Antiqua" w:hAnsi="Book Antiqua"/>
        </w:rPr>
        <w:t>and our</w:t>
      </w:r>
      <w:r w:rsidR="000B2D00" w:rsidRPr="00700A64">
        <w:rPr>
          <w:rFonts w:ascii="Book Antiqua" w:hAnsi="Book Antiqua"/>
        </w:rPr>
        <w:t>s</w:t>
      </w:r>
      <w:r w:rsidR="00D60039" w:rsidRPr="00700A64">
        <w:rPr>
          <w:rFonts w:ascii="Book Antiqua" w:hAnsi="Book Antiqua"/>
        </w:rPr>
        <w:t xml:space="preserve"> could </w:t>
      </w:r>
      <w:r w:rsidR="000B2D00" w:rsidRPr="00700A64">
        <w:rPr>
          <w:rFonts w:ascii="Book Antiqua" w:hAnsi="Book Antiqua"/>
        </w:rPr>
        <w:t>be</w:t>
      </w:r>
      <w:r w:rsidR="00D60039" w:rsidRPr="00700A64">
        <w:rPr>
          <w:rFonts w:ascii="Book Antiqua" w:hAnsi="Book Antiqua"/>
        </w:rPr>
        <w:t xml:space="preserve"> </w:t>
      </w:r>
      <w:r w:rsidR="00084AEF" w:rsidRPr="00700A64">
        <w:rPr>
          <w:rFonts w:ascii="Book Antiqua" w:hAnsi="Book Antiqua"/>
        </w:rPr>
        <w:t xml:space="preserve">partly </w:t>
      </w:r>
      <w:r w:rsidR="00D60039" w:rsidRPr="00700A64">
        <w:rPr>
          <w:rFonts w:ascii="Book Antiqua" w:hAnsi="Book Antiqua"/>
        </w:rPr>
        <w:t>explained by</w:t>
      </w:r>
      <w:r w:rsidR="000B2D00" w:rsidRPr="00700A64">
        <w:rPr>
          <w:rFonts w:ascii="Book Antiqua" w:hAnsi="Book Antiqua"/>
        </w:rPr>
        <w:t xml:space="preserve"> the</w:t>
      </w:r>
      <w:r w:rsidR="00D60039" w:rsidRPr="00700A64">
        <w:rPr>
          <w:rFonts w:ascii="Book Antiqua" w:hAnsi="Book Antiqua"/>
        </w:rPr>
        <w:t xml:space="preserve"> different methods used in the</w:t>
      </w:r>
      <w:r w:rsidR="0069093C" w:rsidRPr="00700A64">
        <w:rPr>
          <w:rFonts w:ascii="Book Antiqua" w:hAnsi="Book Antiqua"/>
        </w:rPr>
        <w:t>se</w:t>
      </w:r>
      <w:r w:rsidR="00D60039" w:rsidRPr="00700A64">
        <w:rPr>
          <w:rFonts w:ascii="Book Antiqua" w:hAnsi="Book Antiqua"/>
        </w:rPr>
        <w:t xml:space="preserve"> </w:t>
      </w:r>
      <w:r w:rsidR="000B2D00" w:rsidRPr="00700A64">
        <w:rPr>
          <w:rFonts w:ascii="Book Antiqua" w:hAnsi="Book Antiqua"/>
        </w:rPr>
        <w:t xml:space="preserve">two </w:t>
      </w:r>
      <w:r w:rsidR="00D60039" w:rsidRPr="00700A64">
        <w:rPr>
          <w:rFonts w:ascii="Book Antiqua" w:hAnsi="Book Antiqua"/>
        </w:rPr>
        <w:t>studies.</w:t>
      </w:r>
      <w:r w:rsidR="0069093C" w:rsidRPr="00700A64">
        <w:rPr>
          <w:rFonts w:ascii="Book Antiqua" w:hAnsi="Book Antiqua"/>
        </w:rPr>
        <w:t xml:space="preserve"> Badami </w:t>
      </w:r>
      <w:r w:rsidR="0069093C" w:rsidRPr="00700A64">
        <w:rPr>
          <w:rFonts w:ascii="Book Antiqua" w:hAnsi="Book Antiqua"/>
          <w:i/>
        </w:rPr>
        <w:t>et al</w:t>
      </w:r>
      <w:r w:rsidR="00F95DDE" w:rsidRPr="00700A64">
        <w:rPr>
          <w:rFonts w:ascii="Book Antiqua" w:hAnsi="Book Antiqua"/>
          <w:vertAlign w:val="superscript"/>
        </w:rPr>
        <w:t>[</w:t>
      </w:r>
      <w:r w:rsidR="008B315E" w:rsidRPr="00700A64">
        <w:rPr>
          <w:rFonts w:ascii="Book Antiqua" w:hAnsi="Book Antiqua"/>
          <w:vertAlign w:val="superscript"/>
        </w:rPr>
        <w:t>3</w:t>
      </w:r>
      <w:r w:rsidR="00F95DDE" w:rsidRPr="00700A64">
        <w:rPr>
          <w:rFonts w:ascii="Book Antiqua" w:hAnsi="Book Antiqua"/>
          <w:vertAlign w:val="superscript"/>
        </w:rPr>
        <w:t>2]</w:t>
      </w:r>
      <w:r w:rsidR="009947F5" w:rsidRPr="00700A64">
        <w:rPr>
          <w:rFonts w:ascii="Book Antiqua" w:hAnsi="Book Antiqua"/>
          <w:vertAlign w:val="superscript"/>
        </w:rPr>
        <w:t xml:space="preserve"> </w:t>
      </w:r>
      <w:r w:rsidR="00D60039" w:rsidRPr="00700A64">
        <w:rPr>
          <w:rFonts w:ascii="Book Antiqua" w:hAnsi="Book Antiqua"/>
        </w:rPr>
        <w:t>used multiparametric fluorescent</w:t>
      </w:r>
      <w:r w:rsidR="008E5936" w:rsidRPr="00700A64">
        <w:rPr>
          <w:rFonts w:ascii="Book Antiqua" w:hAnsi="Book Antiqua"/>
        </w:rPr>
        <w:t>-</w:t>
      </w:r>
      <w:r w:rsidR="00D60039" w:rsidRPr="00700A64">
        <w:rPr>
          <w:rFonts w:ascii="Book Antiqua" w:hAnsi="Book Antiqua"/>
        </w:rPr>
        <w:t>activated sorter analysis of the cell subsets in the biops</w:t>
      </w:r>
      <w:r w:rsidR="00646F81" w:rsidRPr="00700A64">
        <w:rPr>
          <w:rFonts w:ascii="Book Antiqua" w:hAnsi="Book Antiqua"/>
        </w:rPr>
        <w:t>y specimens</w:t>
      </w:r>
      <w:r w:rsidR="00D60039" w:rsidRPr="00700A64">
        <w:rPr>
          <w:rFonts w:ascii="Book Antiqua" w:hAnsi="Book Antiqua"/>
        </w:rPr>
        <w:t xml:space="preserve"> of </w:t>
      </w:r>
      <w:r w:rsidR="000B2D00" w:rsidRPr="00700A64">
        <w:rPr>
          <w:rFonts w:ascii="Book Antiqua" w:hAnsi="Book Antiqua"/>
        </w:rPr>
        <w:t xml:space="preserve">the </w:t>
      </w:r>
      <w:r w:rsidR="00D60039" w:rsidRPr="00700A64">
        <w:rPr>
          <w:rFonts w:ascii="Book Antiqua" w:hAnsi="Book Antiqua"/>
        </w:rPr>
        <w:t xml:space="preserve">studied persons and </w:t>
      </w:r>
      <w:r w:rsidR="000B2D00" w:rsidRPr="00700A64">
        <w:rPr>
          <w:rFonts w:ascii="Book Antiqua" w:hAnsi="Book Antiqua"/>
        </w:rPr>
        <w:t>a</w:t>
      </w:r>
      <w:r w:rsidR="00D60039" w:rsidRPr="00700A64">
        <w:rPr>
          <w:rFonts w:ascii="Book Antiqua" w:hAnsi="Book Antiqua"/>
        </w:rPr>
        <w:t xml:space="preserve"> conversion assay for </w:t>
      </w:r>
      <w:r w:rsidR="00084AEF" w:rsidRPr="00700A64">
        <w:rPr>
          <w:rFonts w:ascii="Book Antiqua" w:hAnsi="Book Antiqua"/>
        </w:rPr>
        <w:t xml:space="preserve">the </w:t>
      </w:r>
      <w:r w:rsidR="00D60039" w:rsidRPr="00700A64">
        <w:rPr>
          <w:rFonts w:ascii="Book Antiqua" w:hAnsi="Book Antiqua"/>
        </w:rPr>
        <w:t>assessment of</w:t>
      </w:r>
      <w:r w:rsidR="000B2D00" w:rsidRPr="00700A64">
        <w:rPr>
          <w:rFonts w:ascii="Book Antiqua" w:hAnsi="Book Antiqua"/>
        </w:rPr>
        <w:t xml:space="preserve"> </w:t>
      </w:r>
      <w:r w:rsidR="00D60039" w:rsidRPr="00700A64">
        <w:rPr>
          <w:rFonts w:ascii="Book Antiqua" w:hAnsi="Book Antiqua"/>
        </w:rPr>
        <w:t xml:space="preserve">tolerogenic function of </w:t>
      </w:r>
      <w:r w:rsidR="00084AEF" w:rsidRPr="00700A64">
        <w:rPr>
          <w:rFonts w:ascii="Book Antiqua" w:hAnsi="Book Antiqua"/>
        </w:rPr>
        <w:t xml:space="preserve">the </w:t>
      </w:r>
      <w:r w:rsidR="00743064" w:rsidRPr="00700A64">
        <w:rPr>
          <w:rFonts w:ascii="Book Antiqua" w:hAnsi="Book Antiqua"/>
        </w:rPr>
        <w:t>LP</w:t>
      </w:r>
      <w:r w:rsidR="00D60039" w:rsidRPr="00700A64">
        <w:rPr>
          <w:rFonts w:ascii="Book Antiqua" w:hAnsi="Book Antiqua"/>
        </w:rPr>
        <w:t xml:space="preserve"> DCs or blood monocyte-derived DCs </w:t>
      </w:r>
      <w:r w:rsidR="00D60039" w:rsidRPr="00700A64">
        <w:rPr>
          <w:rFonts w:ascii="Book Antiqua" w:hAnsi="Book Antiqua"/>
          <w:i/>
        </w:rPr>
        <w:t>in vitro</w:t>
      </w:r>
      <w:r w:rsidR="000B2D00" w:rsidRPr="00700A64">
        <w:rPr>
          <w:rFonts w:ascii="Book Antiqua" w:hAnsi="Book Antiqua"/>
          <w:i/>
        </w:rPr>
        <w:t xml:space="preserve">. </w:t>
      </w:r>
      <w:r w:rsidR="000B2D00" w:rsidRPr="00700A64">
        <w:rPr>
          <w:rFonts w:ascii="Book Antiqua" w:hAnsi="Book Antiqua"/>
        </w:rPr>
        <w:t xml:space="preserve">We </w:t>
      </w:r>
      <w:r w:rsidR="008E5936" w:rsidRPr="00700A64">
        <w:rPr>
          <w:rFonts w:ascii="Book Antiqua" w:hAnsi="Book Antiqua"/>
        </w:rPr>
        <w:t>performed</w:t>
      </w:r>
      <w:r w:rsidR="000B2D00" w:rsidRPr="00700A64">
        <w:rPr>
          <w:rFonts w:ascii="Book Antiqua" w:hAnsi="Book Antiqua"/>
        </w:rPr>
        <w:t xml:space="preserve"> </w:t>
      </w:r>
      <w:r w:rsidR="00D60039" w:rsidRPr="00700A64">
        <w:rPr>
          <w:rFonts w:ascii="Book Antiqua" w:hAnsi="Book Antiqua"/>
        </w:rPr>
        <w:t>immunohistochemical evaluation</w:t>
      </w:r>
      <w:r w:rsidR="008E5936" w:rsidRPr="00700A64">
        <w:rPr>
          <w:rFonts w:ascii="Book Antiqua" w:hAnsi="Book Antiqua"/>
        </w:rPr>
        <w:t>s</w:t>
      </w:r>
      <w:r w:rsidR="00D60039" w:rsidRPr="00700A64">
        <w:rPr>
          <w:rFonts w:ascii="Book Antiqua" w:hAnsi="Book Antiqua"/>
        </w:rPr>
        <w:t xml:space="preserve"> of </w:t>
      </w:r>
      <w:r w:rsidR="000B2D00" w:rsidRPr="00700A64">
        <w:rPr>
          <w:rFonts w:ascii="Book Antiqua" w:hAnsi="Book Antiqua"/>
        </w:rPr>
        <w:t xml:space="preserve">a </w:t>
      </w:r>
      <w:r w:rsidR="00D60039" w:rsidRPr="00700A64">
        <w:rPr>
          <w:rFonts w:ascii="Book Antiqua" w:hAnsi="Book Antiqua"/>
        </w:rPr>
        <w:t xml:space="preserve">subpopulation of DCs and T cells in </w:t>
      </w:r>
      <w:r w:rsidR="00646F81" w:rsidRPr="00700A64">
        <w:rPr>
          <w:rFonts w:ascii="Book Antiqua" w:hAnsi="Book Antiqua"/>
        </w:rPr>
        <w:t>duodenal biopsy specimens</w:t>
      </w:r>
      <w:r w:rsidR="000B2D00" w:rsidRPr="00700A64">
        <w:rPr>
          <w:rFonts w:ascii="Book Antiqua" w:hAnsi="Book Antiqua"/>
        </w:rPr>
        <w:t>.</w:t>
      </w:r>
      <w:r w:rsidR="00E92FFD" w:rsidRPr="00700A64">
        <w:rPr>
          <w:rFonts w:ascii="Book Antiqua" w:hAnsi="Book Antiqua"/>
        </w:rPr>
        <w:t xml:space="preserve"> </w:t>
      </w:r>
      <w:r w:rsidR="00084AEF" w:rsidRPr="00700A64">
        <w:rPr>
          <w:rFonts w:ascii="Book Antiqua" w:hAnsi="Book Antiqua"/>
        </w:rPr>
        <w:t>It</w:t>
      </w:r>
      <w:r w:rsidR="000B2D00" w:rsidRPr="00700A64">
        <w:rPr>
          <w:rFonts w:ascii="Book Antiqua" w:hAnsi="Book Antiqua"/>
        </w:rPr>
        <w:t xml:space="preserve"> should </w:t>
      </w:r>
      <w:r w:rsidR="00084AEF" w:rsidRPr="00700A64">
        <w:rPr>
          <w:rFonts w:ascii="Book Antiqua" w:hAnsi="Book Antiqua"/>
        </w:rPr>
        <w:t xml:space="preserve">also </w:t>
      </w:r>
      <w:r w:rsidR="000B2D00" w:rsidRPr="00700A64">
        <w:rPr>
          <w:rFonts w:ascii="Book Antiqua" w:hAnsi="Book Antiqua"/>
        </w:rPr>
        <w:t xml:space="preserve">be noted </w:t>
      </w:r>
      <w:r w:rsidR="00E92FFD" w:rsidRPr="00700A64">
        <w:rPr>
          <w:rFonts w:ascii="Book Antiqua" w:hAnsi="Book Antiqua"/>
        </w:rPr>
        <w:t>that their T1D group was significantly older (mean age 29 years) than our patient and control</w:t>
      </w:r>
      <w:r w:rsidR="000B2D00" w:rsidRPr="00700A64">
        <w:rPr>
          <w:rFonts w:ascii="Book Antiqua" w:hAnsi="Book Antiqua"/>
        </w:rPr>
        <w:t xml:space="preserve"> populations</w:t>
      </w:r>
      <w:r w:rsidR="00646F81" w:rsidRPr="00700A64">
        <w:rPr>
          <w:rFonts w:ascii="Book Antiqua" w:hAnsi="Book Antiqua"/>
        </w:rPr>
        <w:t>,</w:t>
      </w:r>
      <w:r w:rsidR="00E92FFD" w:rsidRPr="00700A64">
        <w:rPr>
          <w:rFonts w:ascii="Book Antiqua" w:hAnsi="Book Antiqua"/>
        </w:rPr>
        <w:t xml:space="preserve"> </w:t>
      </w:r>
      <w:r w:rsidR="00210B48" w:rsidRPr="00700A64">
        <w:rPr>
          <w:rFonts w:ascii="Book Antiqua" w:hAnsi="Book Antiqua"/>
        </w:rPr>
        <w:t>which</w:t>
      </w:r>
      <w:r w:rsidR="00E92FFD" w:rsidRPr="00700A64">
        <w:rPr>
          <w:rFonts w:ascii="Book Antiqua" w:hAnsi="Book Antiqua"/>
        </w:rPr>
        <w:t xml:space="preserve"> might </w:t>
      </w:r>
      <w:r w:rsidR="00646F81" w:rsidRPr="00700A64">
        <w:rPr>
          <w:rFonts w:ascii="Book Antiqua" w:hAnsi="Book Antiqua"/>
        </w:rPr>
        <w:t xml:space="preserve">also </w:t>
      </w:r>
      <w:r w:rsidR="000B2D00" w:rsidRPr="00700A64">
        <w:rPr>
          <w:rFonts w:ascii="Book Antiqua" w:hAnsi="Book Antiqua"/>
        </w:rPr>
        <w:t xml:space="preserve">have </w:t>
      </w:r>
      <w:r w:rsidR="00E92FFD" w:rsidRPr="00700A64">
        <w:rPr>
          <w:rFonts w:ascii="Book Antiqua" w:hAnsi="Book Antiqua"/>
        </w:rPr>
        <w:t>influence</w:t>
      </w:r>
      <w:r w:rsidR="000B2D00" w:rsidRPr="00700A64">
        <w:rPr>
          <w:rFonts w:ascii="Book Antiqua" w:hAnsi="Book Antiqua"/>
        </w:rPr>
        <w:t>d</w:t>
      </w:r>
      <w:r w:rsidR="00E92FFD" w:rsidRPr="00700A64">
        <w:rPr>
          <w:rFonts w:ascii="Book Antiqua" w:hAnsi="Book Antiqua"/>
        </w:rPr>
        <w:t xml:space="preserve"> the results. </w:t>
      </w:r>
    </w:p>
    <w:p w:rsidR="00882CE7" w:rsidRPr="00700A64" w:rsidRDefault="004F1E5D"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Similarly to </w:t>
      </w:r>
      <w:r w:rsidR="00BE3026" w:rsidRPr="00700A64">
        <w:rPr>
          <w:rFonts w:ascii="Book Antiqua" w:hAnsi="Book Antiqua"/>
        </w:rPr>
        <w:t>other authors</w:t>
      </w:r>
      <w:r w:rsidR="00084AEF" w:rsidRPr="00700A64">
        <w:rPr>
          <w:rFonts w:ascii="Book Antiqua" w:hAnsi="Book Antiqua"/>
        </w:rPr>
        <w:t>,</w:t>
      </w:r>
      <w:r w:rsidR="00BE3026" w:rsidRPr="00700A64">
        <w:rPr>
          <w:rFonts w:ascii="Book Antiqua" w:hAnsi="Book Antiqua"/>
        </w:rPr>
        <w:t xml:space="preserve"> we</w:t>
      </w:r>
      <w:r w:rsidR="00CC332C" w:rsidRPr="00700A64">
        <w:rPr>
          <w:rFonts w:ascii="Book Antiqua" w:hAnsi="Book Antiqua"/>
        </w:rPr>
        <w:t xml:space="preserve"> </w:t>
      </w:r>
      <w:r w:rsidR="008E5936" w:rsidRPr="00700A64">
        <w:rPr>
          <w:rFonts w:ascii="Book Antiqua" w:hAnsi="Book Antiqua"/>
        </w:rPr>
        <w:t xml:space="preserve">observed </w:t>
      </w:r>
      <w:r w:rsidR="00CC332C" w:rsidRPr="00700A64">
        <w:rPr>
          <w:rFonts w:ascii="Book Antiqua" w:hAnsi="Book Antiqua"/>
        </w:rPr>
        <w:t>i</w:t>
      </w:r>
      <w:r w:rsidR="00E602CE" w:rsidRPr="00700A64">
        <w:rPr>
          <w:rFonts w:ascii="Book Antiqua" w:hAnsi="Book Antiqua"/>
        </w:rPr>
        <w:t xml:space="preserve">ncreased expression </w:t>
      </w:r>
      <w:r w:rsidR="00084AEF" w:rsidRPr="00700A64">
        <w:rPr>
          <w:rFonts w:ascii="Book Antiqua" w:hAnsi="Book Antiqua"/>
        </w:rPr>
        <w:t xml:space="preserve">levels </w:t>
      </w:r>
      <w:r w:rsidR="00E602CE" w:rsidRPr="00700A64">
        <w:rPr>
          <w:rFonts w:ascii="Book Antiqua" w:hAnsi="Book Antiqua"/>
        </w:rPr>
        <w:t xml:space="preserve">of FOXP3 mRNA </w:t>
      </w:r>
      <w:r w:rsidR="00BE3026" w:rsidRPr="00700A64">
        <w:rPr>
          <w:rFonts w:ascii="Book Antiqua" w:hAnsi="Book Antiqua"/>
        </w:rPr>
        <w:t>and</w:t>
      </w:r>
      <w:r w:rsidR="00E602CE" w:rsidRPr="00700A64">
        <w:rPr>
          <w:rFonts w:ascii="Book Antiqua" w:hAnsi="Book Antiqua"/>
        </w:rPr>
        <w:t xml:space="preserve"> protein in</w:t>
      </w:r>
      <w:r w:rsidR="00BE3026" w:rsidRPr="00700A64">
        <w:rPr>
          <w:rFonts w:ascii="Book Antiqua" w:hAnsi="Book Antiqua"/>
        </w:rPr>
        <w:t xml:space="preserve"> the</w:t>
      </w:r>
      <w:r w:rsidR="00E602CE" w:rsidRPr="00700A64">
        <w:rPr>
          <w:rFonts w:ascii="Book Antiqua" w:hAnsi="Book Antiqua"/>
        </w:rPr>
        <w:t xml:space="preserve"> small bowel mucosa of</w:t>
      </w:r>
      <w:r w:rsidR="00BE3026" w:rsidRPr="00700A64">
        <w:rPr>
          <w:rFonts w:ascii="Book Antiqua" w:hAnsi="Book Antiqua"/>
        </w:rPr>
        <w:t xml:space="preserve"> patients</w:t>
      </w:r>
      <w:r w:rsidR="00E602CE" w:rsidRPr="00700A64">
        <w:rPr>
          <w:rFonts w:ascii="Book Antiqua" w:hAnsi="Book Antiqua"/>
        </w:rPr>
        <w:t xml:space="preserve"> with CD </w:t>
      </w:r>
      <w:r w:rsidR="00084AEF" w:rsidRPr="00700A64">
        <w:rPr>
          <w:rFonts w:ascii="Book Antiqua" w:hAnsi="Book Antiqua"/>
        </w:rPr>
        <w:t xml:space="preserve">with and without </w:t>
      </w:r>
      <w:r w:rsidR="00BE3026" w:rsidRPr="00700A64">
        <w:rPr>
          <w:rFonts w:ascii="Book Antiqua" w:hAnsi="Book Antiqua"/>
        </w:rPr>
        <w:t>associated</w:t>
      </w:r>
      <w:r w:rsidR="00E602CE" w:rsidRPr="00700A64">
        <w:rPr>
          <w:rFonts w:ascii="Book Antiqua" w:hAnsi="Book Antiqua"/>
        </w:rPr>
        <w:t xml:space="preserve"> </w:t>
      </w:r>
      <w:r w:rsidR="00FD6716" w:rsidRPr="00700A64">
        <w:rPr>
          <w:rFonts w:ascii="Book Antiqua" w:hAnsi="Book Antiqua"/>
        </w:rPr>
        <w:t xml:space="preserve">T1D </w:t>
      </w:r>
      <w:r w:rsidR="00E602CE" w:rsidRPr="00700A64">
        <w:rPr>
          <w:rFonts w:ascii="Book Antiqua" w:hAnsi="Book Antiqua"/>
        </w:rPr>
        <w:t>in our previous study</w:t>
      </w:r>
      <w:r w:rsidR="00BE3026" w:rsidRPr="00700A64">
        <w:rPr>
          <w:rFonts w:ascii="Book Antiqua" w:hAnsi="Book Antiqua"/>
        </w:rPr>
        <w:t>,</w:t>
      </w:r>
      <w:r w:rsidR="00646F81" w:rsidRPr="00700A64">
        <w:rPr>
          <w:rFonts w:ascii="Book Antiqua" w:hAnsi="Book Antiqua"/>
        </w:rPr>
        <w:t xml:space="preserve"> which might indicate </w:t>
      </w:r>
      <w:r w:rsidR="00BE3026" w:rsidRPr="00700A64">
        <w:rPr>
          <w:rFonts w:ascii="Book Antiqua" w:hAnsi="Book Antiqua"/>
        </w:rPr>
        <w:t>an</w:t>
      </w:r>
      <w:r w:rsidR="00646F81" w:rsidRPr="00700A64">
        <w:rPr>
          <w:rFonts w:ascii="Book Antiqua" w:hAnsi="Book Antiqua"/>
        </w:rPr>
        <w:t xml:space="preserve"> </w:t>
      </w:r>
      <w:r w:rsidR="00646F81" w:rsidRPr="00700A64">
        <w:rPr>
          <w:rFonts w:ascii="Book Antiqua" w:hAnsi="Book Antiqua"/>
        </w:rPr>
        <w:lastRenderedPageBreak/>
        <w:t>imbalance between regulatory and effector mechanism</w:t>
      </w:r>
      <w:r w:rsidR="00BE3026" w:rsidRPr="00700A64">
        <w:rPr>
          <w:rFonts w:ascii="Book Antiqua" w:hAnsi="Book Antiqua"/>
        </w:rPr>
        <w:t>s</w:t>
      </w:r>
      <w:r w:rsidR="00646F81" w:rsidRPr="00700A64">
        <w:rPr>
          <w:rFonts w:ascii="Book Antiqua" w:hAnsi="Book Antiqua"/>
        </w:rPr>
        <w:t xml:space="preserve"> in </w:t>
      </w:r>
      <w:r w:rsidR="00BE3026" w:rsidRPr="00700A64">
        <w:rPr>
          <w:rFonts w:ascii="Book Antiqua" w:hAnsi="Book Antiqua"/>
        </w:rPr>
        <w:t xml:space="preserve">the </w:t>
      </w:r>
      <w:r w:rsidR="00646F81" w:rsidRPr="00700A64">
        <w:rPr>
          <w:rFonts w:ascii="Book Antiqua" w:hAnsi="Book Antiqua"/>
        </w:rPr>
        <w:t>pathogenesis of these diseases</w:t>
      </w:r>
      <w:r w:rsidR="00AD082C" w:rsidRPr="00700A64">
        <w:rPr>
          <w:rFonts w:ascii="Book Antiqua" w:hAnsi="Book Antiqua"/>
          <w:vertAlign w:val="superscript"/>
        </w:rPr>
        <w:t>[</w:t>
      </w:r>
      <w:r w:rsidR="00093BC7" w:rsidRPr="00700A64">
        <w:rPr>
          <w:rFonts w:ascii="Book Antiqua" w:hAnsi="Book Antiqua"/>
          <w:vertAlign w:val="superscript"/>
        </w:rPr>
        <w:t>3</w:t>
      </w:r>
      <w:r w:rsidR="00AD082C" w:rsidRPr="00700A64">
        <w:rPr>
          <w:rFonts w:ascii="Book Antiqua" w:hAnsi="Book Antiqua"/>
          <w:vertAlign w:val="superscript"/>
        </w:rPr>
        <w:t>3</w:t>
      </w:r>
      <w:r w:rsidR="00093BC7" w:rsidRPr="00700A64">
        <w:rPr>
          <w:rFonts w:ascii="Book Antiqua" w:hAnsi="Book Antiqua"/>
          <w:vertAlign w:val="superscript"/>
        </w:rPr>
        <w:t>,3</w:t>
      </w:r>
      <w:r w:rsidR="00AD082C" w:rsidRPr="00700A64">
        <w:rPr>
          <w:rFonts w:ascii="Book Antiqua" w:hAnsi="Book Antiqua"/>
          <w:vertAlign w:val="superscript"/>
        </w:rPr>
        <w:t>4]</w:t>
      </w:r>
      <w:r w:rsidR="009F636B" w:rsidRPr="00700A64">
        <w:rPr>
          <w:rFonts w:ascii="Book Antiqua" w:hAnsi="Book Antiqua"/>
        </w:rPr>
        <w:t>.</w:t>
      </w:r>
      <w:r w:rsidR="00646F81" w:rsidRPr="00700A64">
        <w:rPr>
          <w:rFonts w:ascii="Book Antiqua" w:hAnsi="Book Antiqua"/>
        </w:rPr>
        <w:t xml:space="preserve"> </w:t>
      </w:r>
    </w:p>
    <w:p w:rsidR="002C1445" w:rsidRPr="00700A64" w:rsidRDefault="00882CE7"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The results of </w:t>
      </w:r>
      <w:r w:rsidR="000204CA" w:rsidRPr="00700A64">
        <w:rPr>
          <w:rFonts w:ascii="Book Antiqua" w:hAnsi="Book Antiqua"/>
        </w:rPr>
        <w:t xml:space="preserve">the </w:t>
      </w:r>
      <w:r w:rsidRPr="00700A64">
        <w:rPr>
          <w:rFonts w:ascii="Book Antiqua" w:hAnsi="Book Antiqua"/>
        </w:rPr>
        <w:t xml:space="preserve">present study </w:t>
      </w:r>
      <w:r w:rsidR="000204CA" w:rsidRPr="00700A64">
        <w:rPr>
          <w:rFonts w:ascii="Book Antiqua" w:hAnsi="Book Antiqua"/>
        </w:rPr>
        <w:t xml:space="preserve">regarding </w:t>
      </w:r>
      <w:r w:rsidRPr="00700A64">
        <w:rPr>
          <w:rFonts w:ascii="Book Antiqua" w:hAnsi="Book Antiqua"/>
        </w:rPr>
        <w:t>the higher density of FOXP3+ Treg</w:t>
      </w:r>
      <w:r w:rsidR="00D52329" w:rsidRPr="00700A64">
        <w:rPr>
          <w:rFonts w:ascii="Book Antiqua" w:hAnsi="Book Antiqua"/>
        </w:rPr>
        <w:t>s</w:t>
      </w:r>
      <w:r w:rsidRPr="00700A64">
        <w:rPr>
          <w:rFonts w:ascii="Book Antiqua" w:hAnsi="Book Antiqua"/>
        </w:rPr>
        <w:t xml:space="preserve"> in CD patients </w:t>
      </w:r>
      <w:r w:rsidR="00FD1A76" w:rsidRPr="00700A64">
        <w:rPr>
          <w:rFonts w:ascii="Book Antiqua" w:hAnsi="Book Antiqua"/>
        </w:rPr>
        <w:t>with and without</w:t>
      </w:r>
      <w:r w:rsidRPr="00700A64">
        <w:rPr>
          <w:rFonts w:ascii="Book Antiqua" w:hAnsi="Book Antiqua"/>
        </w:rPr>
        <w:t xml:space="preserve"> coexisting T1D are</w:t>
      </w:r>
      <w:r w:rsidR="00084AEF" w:rsidRPr="00700A64">
        <w:rPr>
          <w:rFonts w:ascii="Book Antiqua" w:hAnsi="Book Antiqua"/>
        </w:rPr>
        <w:t xml:space="preserve"> </w:t>
      </w:r>
      <w:r w:rsidRPr="00700A64">
        <w:rPr>
          <w:rFonts w:ascii="Book Antiqua" w:hAnsi="Book Antiqua"/>
        </w:rPr>
        <w:t xml:space="preserve">consistent with </w:t>
      </w:r>
      <w:r w:rsidR="000204CA" w:rsidRPr="00700A64">
        <w:rPr>
          <w:rFonts w:ascii="Book Antiqua" w:hAnsi="Book Antiqua"/>
        </w:rPr>
        <w:t xml:space="preserve">the relevant </w:t>
      </w:r>
      <w:r w:rsidR="000D56A2" w:rsidRPr="00700A64">
        <w:rPr>
          <w:rFonts w:ascii="Book Antiqua" w:hAnsi="Book Antiqua"/>
        </w:rPr>
        <w:t xml:space="preserve">results </w:t>
      </w:r>
      <w:r w:rsidRPr="00700A64">
        <w:rPr>
          <w:rFonts w:ascii="Book Antiqua" w:hAnsi="Book Antiqua"/>
        </w:rPr>
        <w:t xml:space="preserve">of other </w:t>
      </w:r>
      <w:r w:rsidR="00084AEF" w:rsidRPr="00700A64">
        <w:rPr>
          <w:rFonts w:ascii="Book Antiqua" w:hAnsi="Book Antiqua"/>
        </w:rPr>
        <w:t>studies</w:t>
      </w:r>
      <w:r w:rsidRPr="00700A64">
        <w:rPr>
          <w:rFonts w:ascii="Book Antiqua" w:hAnsi="Book Antiqua"/>
        </w:rPr>
        <w:t xml:space="preserve">. </w:t>
      </w:r>
      <w:r w:rsidR="00CC332C" w:rsidRPr="00700A64">
        <w:rPr>
          <w:rFonts w:ascii="Book Antiqua" w:hAnsi="Book Antiqua"/>
        </w:rPr>
        <w:t xml:space="preserve">Cianci </w:t>
      </w:r>
      <w:r w:rsidR="00CC332C" w:rsidRPr="00700A64">
        <w:rPr>
          <w:rFonts w:ascii="Book Antiqua" w:hAnsi="Book Antiqua"/>
          <w:i/>
        </w:rPr>
        <w:t>et al</w:t>
      </w:r>
      <w:r w:rsidR="00AD082C" w:rsidRPr="00700A64">
        <w:rPr>
          <w:rFonts w:ascii="Book Antiqua" w:hAnsi="Book Antiqua"/>
          <w:vertAlign w:val="superscript"/>
        </w:rPr>
        <w:t>[</w:t>
      </w:r>
      <w:r w:rsidR="00093BC7" w:rsidRPr="00700A64">
        <w:rPr>
          <w:rFonts w:ascii="Book Antiqua" w:hAnsi="Book Antiqua"/>
          <w:vertAlign w:val="superscript"/>
        </w:rPr>
        <w:t>3</w:t>
      </w:r>
      <w:r w:rsidR="00AD082C" w:rsidRPr="00700A64">
        <w:rPr>
          <w:rFonts w:ascii="Book Antiqua" w:hAnsi="Book Antiqua"/>
          <w:vertAlign w:val="superscript"/>
        </w:rPr>
        <w:t>5]</w:t>
      </w:r>
      <w:r w:rsidR="00093BC7" w:rsidRPr="00700A64">
        <w:rPr>
          <w:rFonts w:ascii="Book Antiqua" w:hAnsi="Book Antiqua"/>
          <w:vertAlign w:val="superscript"/>
        </w:rPr>
        <w:t xml:space="preserve"> </w:t>
      </w:r>
      <w:r w:rsidR="008E5936" w:rsidRPr="00700A64">
        <w:rPr>
          <w:rFonts w:ascii="Book Antiqua" w:hAnsi="Book Antiqua"/>
        </w:rPr>
        <w:t xml:space="preserve">reported </w:t>
      </w:r>
      <w:r w:rsidR="00A66747" w:rsidRPr="00700A64">
        <w:rPr>
          <w:rFonts w:ascii="Book Antiqua" w:hAnsi="Book Antiqua"/>
        </w:rPr>
        <w:t>increase</w:t>
      </w:r>
      <w:r w:rsidR="008E5936" w:rsidRPr="00700A64">
        <w:rPr>
          <w:rFonts w:ascii="Book Antiqua" w:hAnsi="Book Antiqua"/>
        </w:rPr>
        <w:t>d</w:t>
      </w:r>
      <w:r w:rsidR="00A66747" w:rsidRPr="00700A64">
        <w:rPr>
          <w:rFonts w:ascii="Book Antiqua" w:hAnsi="Book Antiqua"/>
        </w:rPr>
        <w:t xml:space="preserve"> Tregs </w:t>
      </w:r>
      <w:r w:rsidR="00FD6716" w:rsidRPr="00700A64">
        <w:rPr>
          <w:rFonts w:ascii="Book Antiqua" w:hAnsi="Book Antiqua"/>
        </w:rPr>
        <w:t xml:space="preserve">in </w:t>
      </w:r>
      <w:r w:rsidR="002C6E16" w:rsidRPr="00700A64">
        <w:rPr>
          <w:rFonts w:ascii="Book Antiqua" w:hAnsi="Book Antiqua"/>
        </w:rPr>
        <w:t xml:space="preserve">the peripheral blood </w:t>
      </w:r>
      <w:r w:rsidR="000204CA" w:rsidRPr="00700A64">
        <w:rPr>
          <w:rFonts w:ascii="Book Antiqua" w:hAnsi="Book Antiqua"/>
        </w:rPr>
        <w:t xml:space="preserve">and </w:t>
      </w:r>
      <w:r w:rsidR="00FD6716" w:rsidRPr="00700A64">
        <w:rPr>
          <w:rFonts w:ascii="Book Antiqua" w:hAnsi="Book Antiqua"/>
        </w:rPr>
        <w:t>the</w:t>
      </w:r>
      <w:r w:rsidR="00A66747" w:rsidRPr="00700A64">
        <w:rPr>
          <w:rFonts w:ascii="Book Antiqua" w:hAnsi="Book Antiqua"/>
        </w:rPr>
        <w:t xml:space="preserve"> duodenal mucosa </w:t>
      </w:r>
      <w:r w:rsidR="000204CA" w:rsidRPr="00700A64">
        <w:rPr>
          <w:rFonts w:ascii="Book Antiqua" w:hAnsi="Book Antiqua"/>
        </w:rPr>
        <w:t xml:space="preserve">of </w:t>
      </w:r>
      <w:r w:rsidR="00CC332C" w:rsidRPr="00700A64">
        <w:rPr>
          <w:rFonts w:ascii="Book Antiqua" w:hAnsi="Book Antiqua"/>
        </w:rPr>
        <w:t>patients with active CD</w:t>
      </w:r>
      <w:r w:rsidR="0013448E" w:rsidRPr="00700A64">
        <w:rPr>
          <w:rFonts w:ascii="Book Antiqua" w:hAnsi="Book Antiqua"/>
        </w:rPr>
        <w:t>;</w:t>
      </w:r>
      <w:r w:rsidR="002C6E16" w:rsidRPr="00700A64">
        <w:rPr>
          <w:rFonts w:ascii="Book Antiqua" w:hAnsi="Book Antiqua"/>
        </w:rPr>
        <w:t xml:space="preserve"> </w:t>
      </w:r>
      <w:r w:rsidR="000204CA" w:rsidRPr="00700A64">
        <w:rPr>
          <w:rFonts w:ascii="Book Antiqua" w:hAnsi="Book Antiqua"/>
        </w:rPr>
        <w:t xml:space="preserve">they </w:t>
      </w:r>
      <w:r w:rsidR="00802041" w:rsidRPr="00700A64">
        <w:rPr>
          <w:rFonts w:ascii="Book Antiqua" w:hAnsi="Book Antiqua"/>
        </w:rPr>
        <w:t>regarded this</w:t>
      </w:r>
      <w:r w:rsidR="002C6E16" w:rsidRPr="00700A64">
        <w:rPr>
          <w:rFonts w:ascii="Book Antiqua" w:hAnsi="Book Antiqua"/>
        </w:rPr>
        <w:t xml:space="preserve"> phenomenon</w:t>
      </w:r>
      <w:r w:rsidR="00CC332C" w:rsidRPr="00700A64">
        <w:rPr>
          <w:rFonts w:ascii="Book Antiqua" w:hAnsi="Book Antiqua"/>
        </w:rPr>
        <w:t xml:space="preserve"> </w:t>
      </w:r>
      <w:r w:rsidR="00A66747" w:rsidRPr="00700A64">
        <w:rPr>
          <w:rFonts w:ascii="Book Antiqua" w:hAnsi="Book Antiqua"/>
        </w:rPr>
        <w:t xml:space="preserve">as an example of </w:t>
      </w:r>
      <w:r w:rsidR="000204CA" w:rsidRPr="00700A64">
        <w:rPr>
          <w:rFonts w:ascii="Book Antiqua" w:hAnsi="Book Antiqua"/>
        </w:rPr>
        <w:t xml:space="preserve">an </w:t>
      </w:r>
      <w:r w:rsidR="00A66747" w:rsidRPr="00700A64">
        <w:rPr>
          <w:rFonts w:ascii="Book Antiqua" w:hAnsi="Book Antiqua"/>
        </w:rPr>
        <w:t>“immunological niche”</w:t>
      </w:r>
      <w:r w:rsidR="00AA0E32" w:rsidRPr="00700A64">
        <w:rPr>
          <w:rFonts w:ascii="Book Antiqua" w:hAnsi="Book Antiqua"/>
        </w:rPr>
        <w:t>,</w:t>
      </w:r>
      <w:r w:rsidR="00A66747" w:rsidRPr="00700A64">
        <w:rPr>
          <w:rFonts w:ascii="Book Antiqua" w:hAnsi="Book Antiqua"/>
        </w:rPr>
        <w:t xml:space="preserve"> where na</w:t>
      </w:r>
      <w:r w:rsidR="002A2C5E" w:rsidRPr="00700A64">
        <w:rPr>
          <w:rFonts w:ascii="Book Antiqua" w:hAnsi="Book Antiqua"/>
        </w:rPr>
        <w:t>i</w:t>
      </w:r>
      <w:r w:rsidR="00A66747" w:rsidRPr="00700A64">
        <w:rPr>
          <w:rFonts w:ascii="Book Antiqua" w:hAnsi="Book Antiqua"/>
        </w:rPr>
        <w:t xml:space="preserve">ve T cells recruited by </w:t>
      </w:r>
      <w:r w:rsidR="000204CA" w:rsidRPr="00700A64">
        <w:rPr>
          <w:rFonts w:ascii="Book Antiqua" w:hAnsi="Book Antiqua"/>
        </w:rPr>
        <w:t xml:space="preserve">the </w:t>
      </w:r>
      <w:r w:rsidR="00A66747" w:rsidRPr="00700A64">
        <w:rPr>
          <w:rFonts w:ascii="Book Antiqua" w:hAnsi="Book Antiqua"/>
        </w:rPr>
        <w:t xml:space="preserve">gluten </w:t>
      </w:r>
      <w:r w:rsidR="00AC519C" w:rsidRPr="00700A64">
        <w:rPr>
          <w:rFonts w:ascii="Book Antiqua" w:hAnsi="Book Antiqua"/>
        </w:rPr>
        <w:t xml:space="preserve">trigger </w:t>
      </w:r>
      <w:r w:rsidR="00A66747" w:rsidRPr="00700A64">
        <w:rPr>
          <w:rFonts w:ascii="Book Antiqua" w:hAnsi="Book Antiqua"/>
        </w:rPr>
        <w:t xml:space="preserve">from </w:t>
      </w:r>
      <w:r w:rsidR="000204CA" w:rsidRPr="00700A64">
        <w:rPr>
          <w:rFonts w:ascii="Book Antiqua" w:hAnsi="Book Antiqua"/>
        </w:rPr>
        <w:t xml:space="preserve">the </w:t>
      </w:r>
      <w:r w:rsidR="00A66747" w:rsidRPr="00700A64">
        <w:rPr>
          <w:rFonts w:ascii="Book Antiqua" w:hAnsi="Book Antiqua"/>
        </w:rPr>
        <w:t>peripheral blood to local mucosa tissue will differentiate into Tregs in the presence of anti-inflammatory cytokines</w:t>
      </w:r>
      <w:r w:rsidR="008E5936" w:rsidRPr="00700A64">
        <w:rPr>
          <w:rFonts w:ascii="Book Antiqua" w:hAnsi="Book Antiqua"/>
        </w:rPr>
        <w:t>, such as</w:t>
      </w:r>
      <w:r w:rsidR="00061826" w:rsidRPr="00700A64">
        <w:rPr>
          <w:rFonts w:ascii="Book Antiqua" w:hAnsi="Book Antiqua"/>
        </w:rPr>
        <w:t xml:space="preserve"> </w:t>
      </w:r>
      <w:r w:rsidR="008E5936" w:rsidRPr="00700A64">
        <w:rPr>
          <w:rFonts w:ascii="Book Antiqua" w:hAnsi="Book Antiqua"/>
        </w:rPr>
        <w:t>transforming growth factor (</w:t>
      </w:r>
      <w:r w:rsidR="00061826" w:rsidRPr="00700A64">
        <w:rPr>
          <w:rFonts w:ascii="Book Antiqua" w:hAnsi="Book Antiqua"/>
        </w:rPr>
        <w:t>TGF</w:t>
      </w:r>
      <w:r w:rsidR="008E5936" w:rsidRPr="00700A64">
        <w:rPr>
          <w:rFonts w:ascii="Book Antiqua" w:hAnsi="Book Antiqua"/>
        </w:rPr>
        <w:t>)</w:t>
      </w:r>
      <w:r w:rsidR="00061826" w:rsidRPr="00700A64">
        <w:rPr>
          <w:rFonts w:ascii="Book Antiqua" w:hAnsi="Book Antiqua"/>
        </w:rPr>
        <w:t>-beta and IL</w:t>
      </w:r>
      <w:r w:rsidR="00893F23" w:rsidRPr="00700A64">
        <w:rPr>
          <w:rFonts w:ascii="Book Antiqua" w:hAnsi="Book Antiqua"/>
        </w:rPr>
        <w:t>-</w:t>
      </w:r>
      <w:r w:rsidR="00061826" w:rsidRPr="00700A64">
        <w:rPr>
          <w:rFonts w:ascii="Book Antiqua" w:hAnsi="Book Antiqua"/>
        </w:rPr>
        <w:t>10</w:t>
      </w:r>
      <w:r w:rsidR="00A66747" w:rsidRPr="00700A64">
        <w:rPr>
          <w:rFonts w:ascii="Book Antiqua" w:hAnsi="Book Antiqua"/>
        </w:rPr>
        <w:t xml:space="preserve">. </w:t>
      </w:r>
      <w:r w:rsidR="0027763C" w:rsidRPr="00700A64">
        <w:rPr>
          <w:rFonts w:ascii="Book Antiqua" w:hAnsi="Book Antiqua"/>
        </w:rPr>
        <w:t>A</w:t>
      </w:r>
      <w:r w:rsidR="00020F9A" w:rsidRPr="00700A64">
        <w:rPr>
          <w:rFonts w:ascii="Book Antiqua" w:hAnsi="Book Antiqua"/>
        </w:rPr>
        <w:t xml:space="preserve"> significant increase </w:t>
      </w:r>
      <w:r w:rsidR="000204CA" w:rsidRPr="00700A64">
        <w:rPr>
          <w:rFonts w:ascii="Book Antiqua" w:hAnsi="Book Antiqua"/>
        </w:rPr>
        <w:t xml:space="preserve">in the </w:t>
      </w:r>
      <w:r w:rsidR="00020F9A" w:rsidRPr="00700A64">
        <w:rPr>
          <w:rFonts w:ascii="Book Antiqua" w:hAnsi="Book Antiqua"/>
        </w:rPr>
        <w:t xml:space="preserve">density </w:t>
      </w:r>
      <w:r w:rsidR="000204CA" w:rsidRPr="00700A64">
        <w:rPr>
          <w:rFonts w:ascii="Book Antiqua" w:hAnsi="Book Antiqua"/>
        </w:rPr>
        <w:t>of FOXP3</w:t>
      </w:r>
      <w:r w:rsidR="00D52329" w:rsidRPr="00700A64">
        <w:rPr>
          <w:rFonts w:ascii="Book Antiqua" w:hAnsi="Book Antiqua"/>
        </w:rPr>
        <w:t>+ T regs</w:t>
      </w:r>
      <w:r w:rsidR="000204CA" w:rsidRPr="00700A64">
        <w:rPr>
          <w:rFonts w:ascii="Book Antiqua" w:hAnsi="Book Antiqua"/>
        </w:rPr>
        <w:t xml:space="preserve"> </w:t>
      </w:r>
      <w:r w:rsidR="00020F9A" w:rsidRPr="00700A64">
        <w:rPr>
          <w:rFonts w:ascii="Book Antiqua" w:hAnsi="Book Antiqua"/>
        </w:rPr>
        <w:t xml:space="preserve">in </w:t>
      </w:r>
      <w:r w:rsidR="0013448E" w:rsidRPr="00700A64">
        <w:rPr>
          <w:rFonts w:ascii="Book Antiqua" w:hAnsi="Book Antiqua"/>
        </w:rPr>
        <w:t xml:space="preserve">the </w:t>
      </w:r>
      <w:r w:rsidR="00020F9A" w:rsidRPr="00700A64">
        <w:rPr>
          <w:rFonts w:ascii="Book Antiqua" w:hAnsi="Book Antiqua"/>
        </w:rPr>
        <w:t>LP of CD patients</w:t>
      </w:r>
      <w:r w:rsidR="000204CA" w:rsidRPr="00700A64">
        <w:rPr>
          <w:rFonts w:ascii="Book Antiqua" w:hAnsi="Book Antiqua"/>
        </w:rPr>
        <w:t>,</w:t>
      </w:r>
      <w:r w:rsidR="00020F9A" w:rsidRPr="00700A64">
        <w:rPr>
          <w:rFonts w:ascii="Book Antiqua" w:hAnsi="Book Antiqua"/>
        </w:rPr>
        <w:t xml:space="preserve"> correlated </w:t>
      </w:r>
      <w:r w:rsidR="008E5936" w:rsidRPr="00700A64">
        <w:rPr>
          <w:rFonts w:ascii="Book Antiqua" w:hAnsi="Book Antiqua"/>
        </w:rPr>
        <w:t xml:space="preserve">with </w:t>
      </w:r>
      <w:r w:rsidR="0013448E" w:rsidRPr="00700A64">
        <w:rPr>
          <w:rFonts w:ascii="Book Antiqua" w:hAnsi="Book Antiqua"/>
        </w:rPr>
        <w:t xml:space="preserve">both the </w:t>
      </w:r>
      <w:r w:rsidR="00020F9A" w:rsidRPr="00700A64">
        <w:rPr>
          <w:rFonts w:ascii="Book Antiqua" w:hAnsi="Book Antiqua"/>
        </w:rPr>
        <w:t xml:space="preserve">histological Marsh </w:t>
      </w:r>
      <w:r w:rsidR="000204CA" w:rsidRPr="00700A64">
        <w:rPr>
          <w:rFonts w:ascii="Book Antiqua" w:hAnsi="Book Antiqua"/>
        </w:rPr>
        <w:t xml:space="preserve">grade </w:t>
      </w:r>
      <w:r w:rsidR="00020F9A" w:rsidRPr="00700A64">
        <w:rPr>
          <w:rFonts w:ascii="Book Antiqua" w:hAnsi="Book Antiqua"/>
        </w:rPr>
        <w:t xml:space="preserve">and </w:t>
      </w:r>
      <w:r w:rsidR="008E5936" w:rsidRPr="00700A64">
        <w:rPr>
          <w:rFonts w:ascii="Book Antiqua" w:hAnsi="Book Antiqua"/>
        </w:rPr>
        <w:t xml:space="preserve">the </w:t>
      </w:r>
      <w:r w:rsidR="002F5E7A" w:rsidRPr="00700A64">
        <w:rPr>
          <w:rFonts w:ascii="Book Antiqua" w:hAnsi="Book Antiqua"/>
        </w:rPr>
        <w:t xml:space="preserve">serum </w:t>
      </w:r>
      <w:r w:rsidR="00020F9A" w:rsidRPr="00700A64">
        <w:rPr>
          <w:rFonts w:ascii="Book Antiqua" w:hAnsi="Book Antiqua"/>
        </w:rPr>
        <w:t>level</w:t>
      </w:r>
      <w:r w:rsidR="0013448E" w:rsidRPr="00700A64">
        <w:rPr>
          <w:rFonts w:ascii="Book Antiqua" w:hAnsi="Book Antiqua"/>
        </w:rPr>
        <w:t>s</w:t>
      </w:r>
      <w:r w:rsidR="00020F9A" w:rsidRPr="00700A64">
        <w:rPr>
          <w:rFonts w:ascii="Book Antiqua" w:hAnsi="Book Antiqua"/>
        </w:rPr>
        <w:t xml:space="preserve"> of transglutaminase type 2 </w:t>
      </w:r>
      <w:r w:rsidR="002F5E7A" w:rsidRPr="00700A64">
        <w:rPr>
          <w:rFonts w:ascii="Book Antiqua" w:hAnsi="Book Antiqua"/>
        </w:rPr>
        <w:t>autoantibodies</w:t>
      </w:r>
      <w:r w:rsidR="000204CA" w:rsidRPr="00700A64">
        <w:rPr>
          <w:rFonts w:ascii="Book Antiqua" w:hAnsi="Book Antiqua"/>
        </w:rPr>
        <w:t>,</w:t>
      </w:r>
      <w:r w:rsidR="0027763C" w:rsidRPr="00700A64">
        <w:rPr>
          <w:rFonts w:ascii="Book Antiqua" w:hAnsi="Book Antiqua"/>
        </w:rPr>
        <w:t xml:space="preserve"> was demonstrated by Brazo</w:t>
      </w:r>
      <w:r w:rsidR="00F52677" w:rsidRPr="00700A64">
        <w:rPr>
          <w:rFonts w:ascii="Book Antiqua" w:hAnsi="Book Antiqua"/>
        </w:rPr>
        <w:t>w</w:t>
      </w:r>
      <w:r w:rsidR="0027763C" w:rsidRPr="00700A64">
        <w:rPr>
          <w:rFonts w:ascii="Book Antiqua" w:hAnsi="Book Antiqua"/>
        </w:rPr>
        <w:t xml:space="preserve">ski </w:t>
      </w:r>
      <w:r w:rsidR="00B13CEC" w:rsidRPr="00B13CEC">
        <w:rPr>
          <w:rFonts w:ascii="Book Antiqua" w:hAnsi="Book Antiqua"/>
          <w:i/>
        </w:rPr>
        <w:t>et al</w:t>
      </w:r>
      <w:r w:rsidR="00AD082C" w:rsidRPr="00700A64">
        <w:rPr>
          <w:rFonts w:ascii="Book Antiqua" w:hAnsi="Book Antiqua"/>
          <w:vertAlign w:val="superscript"/>
        </w:rPr>
        <w:t>[</w:t>
      </w:r>
      <w:r w:rsidR="00093BC7" w:rsidRPr="00700A64">
        <w:rPr>
          <w:rFonts w:ascii="Book Antiqua" w:hAnsi="Book Antiqua"/>
          <w:vertAlign w:val="superscript"/>
        </w:rPr>
        <w:t>3</w:t>
      </w:r>
      <w:r w:rsidR="00AD082C" w:rsidRPr="00700A64">
        <w:rPr>
          <w:rFonts w:ascii="Book Antiqua" w:hAnsi="Book Antiqua"/>
          <w:vertAlign w:val="superscript"/>
        </w:rPr>
        <w:t>6]</w:t>
      </w:r>
      <w:r w:rsidR="009F636B" w:rsidRPr="00700A64">
        <w:rPr>
          <w:rFonts w:ascii="Book Antiqua" w:hAnsi="Book Antiqua"/>
        </w:rPr>
        <w:t>.</w:t>
      </w:r>
      <w:r w:rsidR="00AD082C" w:rsidRPr="00700A64">
        <w:rPr>
          <w:rFonts w:ascii="Book Antiqua" w:hAnsi="Book Antiqua"/>
        </w:rPr>
        <w:t xml:space="preserve"> </w:t>
      </w:r>
      <w:r w:rsidR="009128C8" w:rsidRPr="00700A64">
        <w:rPr>
          <w:rFonts w:ascii="Book Antiqua" w:hAnsi="Book Antiqua"/>
        </w:rPr>
        <w:t>T</w:t>
      </w:r>
      <w:r w:rsidR="00025E05" w:rsidRPr="00700A64">
        <w:rPr>
          <w:rFonts w:ascii="Book Antiqua" w:hAnsi="Book Antiqua"/>
        </w:rPr>
        <w:t xml:space="preserve">he increased expression of CD4+CD25+FOXP3+ circulating Tregs in untreated CD patients </w:t>
      </w:r>
      <w:r w:rsidR="000204CA" w:rsidRPr="00700A64">
        <w:rPr>
          <w:rFonts w:ascii="Book Antiqua" w:hAnsi="Book Antiqua"/>
        </w:rPr>
        <w:t>can</w:t>
      </w:r>
      <w:r w:rsidR="009128C8" w:rsidRPr="00700A64">
        <w:rPr>
          <w:rFonts w:ascii="Book Antiqua" w:hAnsi="Book Antiqua"/>
        </w:rPr>
        <w:t xml:space="preserve"> be explained as </w:t>
      </w:r>
      <w:r w:rsidR="000204CA" w:rsidRPr="00700A64">
        <w:rPr>
          <w:rFonts w:ascii="Book Antiqua" w:hAnsi="Book Antiqua"/>
        </w:rPr>
        <w:t xml:space="preserve">an </w:t>
      </w:r>
      <w:r w:rsidR="00025E05" w:rsidRPr="00700A64">
        <w:rPr>
          <w:rFonts w:ascii="Book Antiqua" w:hAnsi="Book Antiqua"/>
        </w:rPr>
        <w:t xml:space="preserve">attempt to quench intestinal inflammation and </w:t>
      </w:r>
      <w:r w:rsidR="00FC0469" w:rsidRPr="00700A64">
        <w:rPr>
          <w:rFonts w:ascii="Book Antiqua" w:hAnsi="Book Antiqua"/>
        </w:rPr>
        <w:t xml:space="preserve">the </w:t>
      </w:r>
      <w:r w:rsidR="00025E05" w:rsidRPr="00700A64">
        <w:rPr>
          <w:rFonts w:ascii="Book Antiqua" w:hAnsi="Book Antiqua"/>
        </w:rPr>
        <w:t>immune response to dietary gluten</w:t>
      </w:r>
      <w:r w:rsidR="00AD082C" w:rsidRPr="00700A64">
        <w:rPr>
          <w:rFonts w:ascii="Book Antiqua" w:hAnsi="Book Antiqua"/>
          <w:vertAlign w:val="superscript"/>
        </w:rPr>
        <w:t>[</w:t>
      </w:r>
      <w:r w:rsidR="00093BC7" w:rsidRPr="00700A64">
        <w:rPr>
          <w:rFonts w:ascii="Book Antiqua" w:hAnsi="Book Antiqua"/>
          <w:vertAlign w:val="superscript"/>
        </w:rPr>
        <w:t>3</w:t>
      </w:r>
      <w:r w:rsidR="00AD082C" w:rsidRPr="00700A64">
        <w:rPr>
          <w:rFonts w:ascii="Book Antiqua" w:hAnsi="Book Antiqua"/>
          <w:vertAlign w:val="superscript"/>
        </w:rPr>
        <w:t>7]</w:t>
      </w:r>
      <w:r w:rsidR="009F636B" w:rsidRPr="00700A64">
        <w:rPr>
          <w:rFonts w:ascii="Book Antiqua" w:hAnsi="Book Antiqua"/>
        </w:rPr>
        <w:t>.</w:t>
      </w:r>
      <w:r w:rsidR="009128C8" w:rsidRPr="00700A64">
        <w:rPr>
          <w:rFonts w:ascii="Book Antiqua" w:hAnsi="Book Antiqua"/>
        </w:rPr>
        <w:t xml:space="preserve"> Bor</w:t>
      </w:r>
      <w:r w:rsidR="00F52677" w:rsidRPr="00700A64">
        <w:rPr>
          <w:rFonts w:ascii="Book Antiqua" w:hAnsi="Book Antiqua"/>
        </w:rPr>
        <w:t>r</w:t>
      </w:r>
      <w:r w:rsidR="009128C8" w:rsidRPr="00700A64">
        <w:rPr>
          <w:rFonts w:ascii="Book Antiqua" w:hAnsi="Book Antiqua"/>
        </w:rPr>
        <w:t xml:space="preserve">elli </w:t>
      </w:r>
      <w:r w:rsidR="00B13CEC" w:rsidRPr="00B13CEC">
        <w:rPr>
          <w:rFonts w:ascii="Book Antiqua" w:hAnsi="Book Antiqua"/>
          <w:i/>
        </w:rPr>
        <w:t>et al</w:t>
      </w:r>
      <w:r w:rsidR="00AD082C" w:rsidRPr="00700A64">
        <w:rPr>
          <w:rFonts w:ascii="Book Antiqua" w:hAnsi="Book Antiqua"/>
          <w:vertAlign w:val="superscript"/>
        </w:rPr>
        <w:t>[</w:t>
      </w:r>
      <w:r w:rsidR="00093BC7" w:rsidRPr="00700A64">
        <w:rPr>
          <w:rFonts w:ascii="Book Antiqua" w:hAnsi="Book Antiqua"/>
          <w:vertAlign w:val="superscript"/>
        </w:rPr>
        <w:t>3</w:t>
      </w:r>
      <w:r w:rsidR="00AD082C" w:rsidRPr="00700A64">
        <w:rPr>
          <w:rFonts w:ascii="Book Antiqua" w:hAnsi="Book Antiqua"/>
          <w:vertAlign w:val="superscript"/>
        </w:rPr>
        <w:t>8]</w:t>
      </w:r>
      <w:r w:rsidR="00447493" w:rsidRPr="00700A64">
        <w:rPr>
          <w:rFonts w:ascii="Book Antiqua" w:hAnsi="Book Antiqua"/>
          <w:vertAlign w:val="superscript"/>
        </w:rPr>
        <w:t xml:space="preserve"> </w:t>
      </w:r>
      <w:r w:rsidR="008E5936" w:rsidRPr="00700A64">
        <w:rPr>
          <w:rFonts w:ascii="Book Antiqua" w:hAnsi="Book Antiqua"/>
        </w:rPr>
        <w:t>reported</w:t>
      </w:r>
      <w:r w:rsidR="009128C8" w:rsidRPr="00700A64">
        <w:rPr>
          <w:rFonts w:ascii="Book Antiqua" w:hAnsi="Book Antiqua"/>
        </w:rPr>
        <w:t xml:space="preserve"> </w:t>
      </w:r>
      <w:r w:rsidR="00F234BE" w:rsidRPr="00700A64">
        <w:rPr>
          <w:rFonts w:ascii="Book Antiqua" w:hAnsi="Book Antiqua"/>
        </w:rPr>
        <w:t>an</w:t>
      </w:r>
      <w:r w:rsidR="009128C8" w:rsidRPr="00700A64">
        <w:rPr>
          <w:rFonts w:ascii="Book Antiqua" w:hAnsi="Book Antiqua"/>
        </w:rPr>
        <w:t xml:space="preserve"> increased density of FOXP3+ Tregs in the duodenal mucosa </w:t>
      </w:r>
      <w:r w:rsidR="00F234BE" w:rsidRPr="00700A64">
        <w:rPr>
          <w:rFonts w:ascii="Book Antiqua" w:hAnsi="Book Antiqua"/>
        </w:rPr>
        <w:t>and</w:t>
      </w:r>
      <w:r w:rsidR="009128C8" w:rsidRPr="00700A64">
        <w:rPr>
          <w:rFonts w:ascii="Book Antiqua" w:hAnsi="Book Antiqua"/>
        </w:rPr>
        <w:t xml:space="preserve"> in the peripheral blood</w:t>
      </w:r>
      <w:r w:rsidR="005868D3" w:rsidRPr="00700A64">
        <w:rPr>
          <w:rFonts w:ascii="Book Antiqua" w:hAnsi="Book Antiqua"/>
        </w:rPr>
        <w:t xml:space="preserve"> </w:t>
      </w:r>
      <w:r w:rsidR="00F234BE" w:rsidRPr="00700A64">
        <w:rPr>
          <w:rFonts w:ascii="Book Antiqua" w:hAnsi="Book Antiqua"/>
        </w:rPr>
        <w:t>of</w:t>
      </w:r>
      <w:r w:rsidR="009128C8" w:rsidRPr="00700A64">
        <w:rPr>
          <w:rFonts w:ascii="Book Antiqua" w:hAnsi="Book Antiqua"/>
        </w:rPr>
        <w:t xml:space="preserve"> patients with potential CD </w:t>
      </w:r>
      <w:r w:rsidR="0013448E" w:rsidRPr="00700A64">
        <w:rPr>
          <w:rFonts w:ascii="Book Antiqua" w:hAnsi="Book Antiqua"/>
        </w:rPr>
        <w:t xml:space="preserve">and </w:t>
      </w:r>
      <w:r w:rsidR="009128C8" w:rsidRPr="00700A64">
        <w:rPr>
          <w:rFonts w:ascii="Book Antiqua" w:hAnsi="Book Antiqua"/>
        </w:rPr>
        <w:t>interpret</w:t>
      </w:r>
      <w:r w:rsidR="009A0480" w:rsidRPr="00700A64">
        <w:rPr>
          <w:rFonts w:ascii="Book Antiqua" w:hAnsi="Book Antiqua"/>
        </w:rPr>
        <w:t>ed</w:t>
      </w:r>
      <w:r w:rsidR="009128C8" w:rsidRPr="00700A64">
        <w:rPr>
          <w:rFonts w:ascii="Book Antiqua" w:hAnsi="Book Antiqua"/>
        </w:rPr>
        <w:t xml:space="preserve"> this phenomenon as </w:t>
      </w:r>
      <w:r w:rsidR="00C942F1" w:rsidRPr="00700A64">
        <w:rPr>
          <w:rFonts w:ascii="Book Antiqua" w:hAnsi="Book Antiqua"/>
        </w:rPr>
        <w:t>an effort</w:t>
      </w:r>
      <w:r w:rsidR="009128C8" w:rsidRPr="00700A64">
        <w:rPr>
          <w:rFonts w:ascii="Book Antiqua" w:hAnsi="Book Antiqua"/>
        </w:rPr>
        <w:t xml:space="preserve"> </w:t>
      </w:r>
      <w:r w:rsidR="0013448E" w:rsidRPr="00700A64">
        <w:rPr>
          <w:rFonts w:ascii="Book Antiqua" w:hAnsi="Book Antiqua"/>
        </w:rPr>
        <w:t xml:space="preserve">by </w:t>
      </w:r>
      <w:r w:rsidR="00F234BE" w:rsidRPr="00700A64">
        <w:rPr>
          <w:rFonts w:ascii="Book Antiqua" w:hAnsi="Book Antiqua"/>
        </w:rPr>
        <w:t xml:space="preserve">the </w:t>
      </w:r>
      <w:r w:rsidR="009128C8" w:rsidRPr="00700A64">
        <w:rPr>
          <w:rFonts w:ascii="Book Antiqua" w:hAnsi="Book Antiqua"/>
        </w:rPr>
        <w:t xml:space="preserve">immune system to </w:t>
      </w:r>
      <w:r w:rsidR="00BE66A8" w:rsidRPr="00700A64">
        <w:rPr>
          <w:rFonts w:ascii="Book Antiqua" w:hAnsi="Book Antiqua"/>
        </w:rPr>
        <w:t>down</w:t>
      </w:r>
      <w:r w:rsidR="0013448E" w:rsidRPr="00700A64">
        <w:rPr>
          <w:rFonts w:ascii="Book Antiqua" w:hAnsi="Book Antiqua"/>
        </w:rPr>
        <w:t>-</w:t>
      </w:r>
      <w:r w:rsidR="00BE66A8" w:rsidRPr="00700A64">
        <w:rPr>
          <w:rFonts w:ascii="Book Antiqua" w:hAnsi="Book Antiqua"/>
        </w:rPr>
        <w:t xml:space="preserve">regulate </w:t>
      </w:r>
      <w:r w:rsidR="002C6E16" w:rsidRPr="00700A64">
        <w:rPr>
          <w:rFonts w:ascii="Book Antiqua" w:hAnsi="Book Antiqua"/>
        </w:rPr>
        <w:t xml:space="preserve">current </w:t>
      </w:r>
      <w:r w:rsidR="00BE66A8" w:rsidRPr="00700A64">
        <w:rPr>
          <w:rFonts w:ascii="Book Antiqua" w:hAnsi="Book Antiqua"/>
        </w:rPr>
        <w:t xml:space="preserve">inflammation </w:t>
      </w:r>
      <w:r w:rsidR="009A0480" w:rsidRPr="00700A64">
        <w:rPr>
          <w:rFonts w:ascii="Book Antiqua" w:hAnsi="Book Antiqua"/>
        </w:rPr>
        <w:t xml:space="preserve">and to restrict </w:t>
      </w:r>
      <w:r w:rsidR="00F234BE" w:rsidRPr="00700A64">
        <w:rPr>
          <w:rFonts w:ascii="Book Antiqua" w:hAnsi="Book Antiqua"/>
        </w:rPr>
        <w:t>its</w:t>
      </w:r>
      <w:r w:rsidR="009A0480" w:rsidRPr="00700A64">
        <w:rPr>
          <w:rFonts w:ascii="Book Antiqua" w:hAnsi="Book Antiqua"/>
        </w:rPr>
        <w:t xml:space="preserve"> progression toward mucosal damage </w:t>
      </w:r>
      <w:r w:rsidR="00BE66A8" w:rsidRPr="00700A64">
        <w:rPr>
          <w:rFonts w:ascii="Book Antiqua" w:hAnsi="Book Antiqua"/>
        </w:rPr>
        <w:t xml:space="preserve">through </w:t>
      </w:r>
      <w:r w:rsidR="0013448E" w:rsidRPr="00700A64">
        <w:rPr>
          <w:rFonts w:ascii="Book Antiqua" w:hAnsi="Book Antiqua"/>
        </w:rPr>
        <w:t xml:space="preserve">either </w:t>
      </w:r>
      <w:r w:rsidR="00BE66A8" w:rsidRPr="00700A64">
        <w:rPr>
          <w:rFonts w:ascii="Book Antiqua" w:hAnsi="Book Antiqua"/>
        </w:rPr>
        <w:t>the redistribution of FOXP3+ Tregs or</w:t>
      </w:r>
      <w:r w:rsidR="00F234BE" w:rsidRPr="00700A64">
        <w:rPr>
          <w:rFonts w:ascii="Book Antiqua" w:hAnsi="Book Antiqua"/>
        </w:rPr>
        <w:t xml:space="preserve"> </w:t>
      </w:r>
      <w:r w:rsidR="00BE66A8" w:rsidRPr="00700A64">
        <w:rPr>
          <w:rFonts w:ascii="Book Antiqua" w:hAnsi="Book Antiqua"/>
        </w:rPr>
        <w:t xml:space="preserve">their local proliferation. </w:t>
      </w:r>
    </w:p>
    <w:p w:rsidR="002C1445" w:rsidRPr="00700A64" w:rsidRDefault="002C1445"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In </w:t>
      </w:r>
      <w:r w:rsidR="00FA332A" w:rsidRPr="00700A64">
        <w:rPr>
          <w:rFonts w:ascii="Book Antiqua" w:hAnsi="Book Antiqua"/>
        </w:rPr>
        <w:t>a</w:t>
      </w:r>
      <w:r w:rsidRPr="00700A64">
        <w:rPr>
          <w:rFonts w:ascii="Book Antiqua" w:hAnsi="Book Antiqua"/>
        </w:rPr>
        <w:t xml:space="preserve"> study </w:t>
      </w:r>
      <w:r w:rsidR="00FC0469" w:rsidRPr="00700A64">
        <w:rPr>
          <w:rFonts w:ascii="Book Antiqua" w:hAnsi="Book Antiqua"/>
        </w:rPr>
        <w:t xml:space="preserve">by </w:t>
      </w:r>
      <w:r w:rsidRPr="00700A64">
        <w:rPr>
          <w:rFonts w:ascii="Book Antiqua" w:hAnsi="Book Antiqua"/>
        </w:rPr>
        <w:t>Kivling</w:t>
      </w:r>
      <w:r w:rsidR="00093BC7" w:rsidRPr="00700A64">
        <w:rPr>
          <w:rFonts w:ascii="Book Antiqua" w:hAnsi="Book Antiqua"/>
        </w:rPr>
        <w:t xml:space="preserve"> </w:t>
      </w:r>
      <w:r w:rsidR="00B13CEC" w:rsidRPr="00B13CEC">
        <w:rPr>
          <w:rFonts w:ascii="Book Antiqua" w:hAnsi="Book Antiqua"/>
          <w:i/>
        </w:rPr>
        <w:t>et al</w:t>
      </w:r>
      <w:r w:rsidR="00AD082C" w:rsidRPr="00700A64">
        <w:rPr>
          <w:rFonts w:ascii="Book Antiqua" w:hAnsi="Book Antiqua"/>
          <w:vertAlign w:val="superscript"/>
        </w:rPr>
        <w:t>[</w:t>
      </w:r>
      <w:r w:rsidR="00093BC7" w:rsidRPr="00700A64">
        <w:rPr>
          <w:rFonts w:ascii="Book Antiqua" w:hAnsi="Book Antiqua"/>
          <w:vertAlign w:val="superscript"/>
        </w:rPr>
        <w:t>3</w:t>
      </w:r>
      <w:r w:rsidR="00AD082C" w:rsidRPr="00700A64">
        <w:rPr>
          <w:rFonts w:ascii="Book Antiqua" w:hAnsi="Book Antiqua"/>
          <w:vertAlign w:val="superscript"/>
        </w:rPr>
        <w:t>9]</w:t>
      </w:r>
      <w:r w:rsidR="00FC0469" w:rsidRPr="00700A64">
        <w:rPr>
          <w:rFonts w:ascii="Book Antiqua" w:hAnsi="Book Antiqua"/>
        </w:rPr>
        <w:t xml:space="preserve">, </w:t>
      </w:r>
      <w:r w:rsidRPr="00700A64">
        <w:rPr>
          <w:rFonts w:ascii="Book Antiqua" w:hAnsi="Book Antiqua"/>
        </w:rPr>
        <w:t xml:space="preserve">children with CD </w:t>
      </w:r>
      <w:r w:rsidR="00FC0469" w:rsidRPr="00700A64">
        <w:rPr>
          <w:rFonts w:ascii="Book Antiqua" w:hAnsi="Book Antiqua"/>
        </w:rPr>
        <w:t>with or without associated</w:t>
      </w:r>
      <w:r w:rsidR="00FA332A" w:rsidRPr="00700A64">
        <w:rPr>
          <w:rFonts w:ascii="Book Antiqua" w:hAnsi="Book Antiqua"/>
        </w:rPr>
        <w:t xml:space="preserve"> </w:t>
      </w:r>
      <w:r w:rsidRPr="00700A64">
        <w:rPr>
          <w:rFonts w:ascii="Book Antiqua" w:hAnsi="Book Antiqua"/>
        </w:rPr>
        <w:t>T1D ha</w:t>
      </w:r>
      <w:r w:rsidR="00FA332A" w:rsidRPr="00700A64">
        <w:rPr>
          <w:rFonts w:ascii="Book Antiqua" w:hAnsi="Book Antiqua"/>
        </w:rPr>
        <w:t>d</w:t>
      </w:r>
      <w:r w:rsidRPr="00700A64">
        <w:rPr>
          <w:rFonts w:ascii="Book Antiqua" w:hAnsi="Book Antiqua"/>
        </w:rPr>
        <w:t xml:space="preserve"> significantly higher FOXP3 mRNA expression </w:t>
      </w:r>
      <w:r w:rsidR="00FC0469" w:rsidRPr="00700A64">
        <w:rPr>
          <w:rFonts w:ascii="Book Antiqua" w:hAnsi="Book Antiqua"/>
        </w:rPr>
        <w:t xml:space="preserve">levels </w:t>
      </w:r>
      <w:r w:rsidR="00FA332A" w:rsidRPr="00700A64">
        <w:rPr>
          <w:rFonts w:ascii="Book Antiqua" w:hAnsi="Book Antiqua"/>
        </w:rPr>
        <w:t xml:space="preserve">compared with </w:t>
      </w:r>
      <w:r w:rsidRPr="00700A64">
        <w:rPr>
          <w:rFonts w:ascii="Book Antiqua" w:hAnsi="Book Antiqua"/>
        </w:rPr>
        <w:t>children with only T1D</w:t>
      </w:r>
      <w:r w:rsidR="00FA332A" w:rsidRPr="00700A64">
        <w:rPr>
          <w:rFonts w:ascii="Book Antiqua" w:hAnsi="Book Antiqua"/>
        </w:rPr>
        <w:t>.</w:t>
      </w:r>
      <w:r w:rsidRPr="00700A64">
        <w:rPr>
          <w:rFonts w:ascii="Book Antiqua" w:hAnsi="Book Antiqua"/>
        </w:rPr>
        <w:t xml:space="preserve"> </w:t>
      </w:r>
      <w:r w:rsidR="00FA332A" w:rsidRPr="00700A64">
        <w:rPr>
          <w:rFonts w:ascii="Book Antiqua" w:hAnsi="Book Antiqua"/>
        </w:rPr>
        <w:t>This</w:t>
      </w:r>
      <w:r w:rsidRPr="00700A64">
        <w:rPr>
          <w:rFonts w:ascii="Book Antiqua" w:hAnsi="Book Antiqua"/>
        </w:rPr>
        <w:t xml:space="preserve"> </w:t>
      </w:r>
      <w:r w:rsidR="008E5936" w:rsidRPr="00700A64">
        <w:rPr>
          <w:rFonts w:ascii="Book Antiqua" w:hAnsi="Book Antiqua"/>
        </w:rPr>
        <w:t xml:space="preserve">difference </w:t>
      </w:r>
      <w:r w:rsidRPr="00700A64">
        <w:rPr>
          <w:rFonts w:ascii="Book Antiqua" w:hAnsi="Book Antiqua"/>
        </w:rPr>
        <w:t>could indicate increased Treg</w:t>
      </w:r>
      <w:r w:rsidR="00766414" w:rsidRPr="00700A64">
        <w:rPr>
          <w:rFonts w:ascii="Book Antiqua" w:hAnsi="Book Antiqua"/>
        </w:rPr>
        <w:t>s</w:t>
      </w:r>
      <w:r w:rsidRPr="00700A64">
        <w:rPr>
          <w:rFonts w:ascii="Book Antiqua" w:hAnsi="Book Antiqua"/>
        </w:rPr>
        <w:t xml:space="preserve">-associated activity in </w:t>
      </w:r>
      <w:r w:rsidR="00FA332A" w:rsidRPr="00700A64">
        <w:rPr>
          <w:rFonts w:ascii="Book Antiqua" w:hAnsi="Book Antiqua"/>
        </w:rPr>
        <w:t xml:space="preserve">the case of two </w:t>
      </w:r>
      <w:r w:rsidRPr="00700A64">
        <w:rPr>
          <w:rFonts w:ascii="Book Antiqua" w:hAnsi="Book Antiqua"/>
        </w:rPr>
        <w:t xml:space="preserve">autoimmune disorders (CD and coexisting T1D) in contrast to </w:t>
      </w:r>
      <w:r w:rsidR="00FA332A" w:rsidRPr="00700A64">
        <w:rPr>
          <w:rFonts w:ascii="Book Antiqua" w:hAnsi="Book Antiqua"/>
        </w:rPr>
        <w:t xml:space="preserve">a </w:t>
      </w:r>
      <w:r w:rsidR="00840827" w:rsidRPr="00700A64">
        <w:rPr>
          <w:rFonts w:ascii="Book Antiqua" w:hAnsi="Book Antiqua"/>
        </w:rPr>
        <w:t xml:space="preserve">single </w:t>
      </w:r>
      <w:r w:rsidR="00FA332A" w:rsidRPr="00700A64">
        <w:rPr>
          <w:rFonts w:ascii="Book Antiqua" w:hAnsi="Book Antiqua"/>
        </w:rPr>
        <w:t>disorder of the</w:t>
      </w:r>
      <w:r w:rsidRPr="00700A64">
        <w:rPr>
          <w:rFonts w:ascii="Book Antiqua" w:hAnsi="Book Antiqua"/>
        </w:rPr>
        <w:t xml:space="preserve"> immune system </w:t>
      </w:r>
      <w:r w:rsidR="00840827" w:rsidRPr="00700A64">
        <w:rPr>
          <w:rFonts w:ascii="Book Antiqua" w:hAnsi="Book Antiqua"/>
        </w:rPr>
        <w:t>(</w:t>
      </w:r>
      <w:r w:rsidRPr="00700A64">
        <w:rPr>
          <w:rFonts w:ascii="Book Antiqua" w:hAnsi="Book Antiqua"/>
        </w:rPr>
        <w:t>children with only T1D</w:t>
      </w:r>
      <w:r w:rsidR="00840827" w:rsidRPr="00700A64">
        <w:rPr>
          <w:rFonts w:ascii="Book Antiqua" w:hAnsi="Book Antiqua"/>
        </w:rPr>
        <w:t>)</w:t>
      </w:r>
      <w:r w:rsidRPr="00700A64">
        <w:rPr>
          <w:rFonts w:ascii="Book Antiqua" w:hAnsi="Book Antiqua"/>
        </w:rPr>
        <w:t xml:space="preserve">. However, </w:t>
      </w:r>
      <w:r w:rsidR="00222994" w:rsidRPr="00700A64">
        <w:rPr>
          <w:rFonts w:ascii="Book Antiqua" w:hAnsi="Book Antiqua"/>
        </w:rPr>
        <w:t>some studies</w:t>
      </w:r>
      <w:r w:rsidR="00FA332A" w:rsidRPr="00700A64">
        <w:rPr>
          <w:rFonts w:ascii="Book Antiqua" w:hAnsi="Book Antiqua"/>
        </w:rPr>
        <w:t xml:space="preserve"> have established</w:t>
      </w:r>
      <w:r w:rsidR="00222994" w:rsidRPr="00700A64">
        <w:rPr>
          <w:rFonts w:ascii="Book Antiqua" w:hAnsi="Book Antiqua"/>
        </w:rPr>
        <w:t xml:space="preserve"> impairment of</w:t>
      </w:r>
      <w:r w:rsidR="00FA332A" w:rsidRPr="00700A64">
        <w:rPr>
          <w:rFonts w:ascii="Book Antiqua" w:hAnsi="Book Antiqua"/>
        </w:rPr>
        <w:t xml:space="preserve"> the</w:t>
      </w:r>
      <w:r w:rsidR="00222994" w:rsidRPr="00700A64">
        <w:rPr>
          <w:rFonts w:ascii="Book Antiqua" w:hAnsi="Book Antiqua"/>
        </w:rPr>
        <w:t xml:space="preserve"> regulatory activity of both intestinal and peripheral blood FOXP3+Treg cells in patients </w:t>
      </w:r>
      <w:r w:rsidR="00FA332A" w:rsidRPr="00700A64">
        <w:rPr>
          <w:rFonts w:ascii="Book Antiqua" w:hAnsi="Book Antiqua"/>
        </w:rPr>
        <w:t xml:space="preserve">with active </w:t>
      </w:r>
      <w:r w:rsidR="00802041" w:rsidRPr="00700A64">
        <w:rPr>
          <w:rFonts w:ascii="Book Antiqua" w:hAnsi="Book Antiqua"/>
        </w:rPr>
        <w:t>CD</w:t>
      </w:r>
      <w:r w:rsidR="00AD082C" w:rsidRPr="00700A64">
        <w:rPr>
          <w:rFonts w:ascii="Book Antiqua" w:hAnsi="Book Antiqua"/>
          <w:vertAlign w:val="superscript"/>
        </w:rPr>
        <w:t>[</w:t>
      </w:r>
      <w:r w:rsidR="00093BC7" w:rsidRPr="00700A64">
        <w:rPr>
          <w:rFonts w:ascii="Book Antiqua" w:hAnsi="Book Antiqua"/>
          <w:vertAlign w:val="superscript"/>
        </w:rPr>
        <w:t>40</w:t>
      </w:r>
      <w:r w:rsidR="00AD082C" w:rsidRPr="00700A64">
        <w:rPr>
          <w:rFonts w:ascii="Book Antiqua" w:hAnsi="Book Antiqua"/>
          <w:vertAlign w:val="superscript"/>
        </w:rPr>
        <w:t>-42]</w:t>
      </w:r>
      <w:r w:rsidR="009F636B" w:rsidRPr="00700A64">
        <w:rPr>
          <w:rFonts w:ascii="Book Antiqua" w:hAnsi="Book Antiqua"/>
        </w:rPr>
        <w:t>.</w:t>
      </w:r>
      <w:r w:rsidR="00222994" w:rsidRPr="00700A64">
        <w:rPr>
          <w:rFonts w:ascii="Book Antiqua" w:hAnsi="Book Antiqua"/>
        </w:rPr>
        <w:t xml:space="preserve"> </w:t>
      </w:r>
      <w:r w:rsidRPr="00700A64">
        <w:rPr>
          <w:rFonts w:ascii="Book Antiqua" w:hAnsi="Book Antiqua"/>
        </w:rPr>
        <w:t xml:space="preserve">This phenomenon could be explained by </w:t>
      </w:r>
      <w:r w:rsidR="00FA332A" w:rsidRPr="00700A64">
        <w:rPr>
          <w:rFonts w:ascii="Book Antiqua" w:hAnsi="Book Antiqua"/>
        </w:rPr>
        <w:t xml:space="preserve">the </w:t>
      </w:r>
      <w:r w:rsidRPr="00700A64">
        <w:rPr>
          <w:rFonts w:ascii="Book Antiqua" w:hAnsi="Book Antiqua"/>
        </w:rPr>
        <w:t>overproduction of IL-15</w:t>
      </w:r>
      <w:r w:rsidR="005A7EF0" w:rsidRPr="00700A64">
        <w:rPr>
          <w:rFonts w:ascii="Book Antiqua" w:hAnsi="Book Antiqua"/>
        </w:rPr>
        <w:t>,</w:t>
      </w:r>
      <w:r w:rsidRPr="00700A64">
        <w:rPr>
          <w:rFonts w:ascii="Book Antiqua" w:hAnsi="Book Antiqua"/>
        </w:rPr>
        <w:t xml:space="preserve"> </w:t>
      </w:r>
      <w:r w:rsidR="005A7EF0" w:rsidRPr="00700A64">
        <w:rPr>
          <w:rFonts w:ascii="Book Antiqua" w:hAnsi="Book Antiqua"/>
        </w:rPr>
        <w:t xml:space="preserve">a </w:t>
      </w:r>
      <w:r w:rsidR="005A7EF0" w:rsidRPr="00700A64">
        <w:rPr>
          <w:rFonts w:ascii="Book Antiqua" w:hAnsi="Book Antiqua"/>
        </w:rPr>
        <w:lastRenderedPageBreak/>
        <w:t>cytokine preventing the response of effector T cells to the suppressive effects of Tregs</w:t>
      </w:r>
      <w:r w:rsidR="008E5936" w:rsidRPr="00700A64">
        <w:rPr>
          <w:rFonts w:ascii="Book Antiqua" w:hAnsi="Book Antiqua"/>
        </w:rPr>
        <w:t>,</w:t>
      </w:r>
      <w:r w:rsidR="005A7EF0" w:rsidRPr="00700A64">
        <w:rPr>
          <w:rFonts w:ascii="Book Antiqua" w:hAnsi="Book Antiqua"/>
        </w:rPr>
        <w:t xml:space="preserve"> </w:t>
      </w:r>
      <w:r w:rsidR="007D7941" w:rsidRPr="00700A64">
        <w:rPr>
          <w:rFonts w:ascii="Book Antiqua" w:hAnsi="Book Antiqua"/>
        </w:rPr>
        <w:t xml:space="preserve">and </w:t>
      </w:r>
      <w:r w:rsidR="00FA332A" w:rsidRPr="00700A64">
        <w:rPr>
          <w:rFonts w:ascii="Book Antiqua" w:hAnsi="Book Antiqua"/>
        </w:rPr>
        <w:t xml:space="preserve">partly by the </w:t>
      </w:r>
      <w:r w:rsidR="00796130" w:rsidRPr="00700A64">
        <w:rPr>
          <w:rFonts w:ascii="Book Antiqua" w:hAnsi="Book Antiqua"/>
        </w:rPr>
        <w:t>over</w:t>
      </w:r>
      <w:r w:rsidR="007D7941" w:rsidRPr="00700A64">
        <w:rPr>
          <w:rFonts w:ascii="Book Antiqua" w:hAnsi="Book Antiqua"/>
        </w:rPr>
        <w:t xml:space="preserve">expression of IL-15Rα in </w:t>
      </w:r>
      <w:r w:rsidR="005A7EF0" w:rsidRPr="00700A64">
        <w:rPr>
          <w:rFonts w:ascii="Book Antiqua" w:hAnsi="Book Antiqua"/>
        </w:rPr>
        <w:t xml:space="preserve">CD </w:t>
      </w:r>
      <w:r w:rsidR="007D7941" w:rsidRPr="00700A64">
        <w:rPr>
          <w:rFonts w:ascii="Book Antiqua" w:hAnsi="Book Antiqua"/>
        </w:rPr>
        <w:t>patients</w:t>
      </w:r>
      <w:r w:rsidR="00AD082C" w:rsidRPr="00700A64">
        <w:rPr>
          <w:rFonts w:ascii="Book Antiqua" w:hAnsi="Book Antiqua"/>
          <w:vertAlign w:val="superscript"/>
        </w:rPr>
        <w:t>[</w:t>
      </w:r>
      <w:r w:rsidR="00093BC7" w:rsidRPr="00700A64">
        <w:rPr>
          <w:rFonts w:ascii="Book Antiqua" w:hAnsi="Book Antiqua"/>
          <w:vertAlign w:val="superscript"/>
        </w:rPr>
        <w:t>41</w:t>
      </w:r>
      <w:r w:rsidR="00AD082C" w:rsidRPr="00700A64">
        <w:rPr>
          <w:rFonts w:ascii="Book Antiqua" w:hAnsi="Book Antiqua"/>
          <w:vertAlign w:val="superscript"/>
        </w:rPr>
        <w:t>,43]</w:t>
      </w:r>
      <w:r w:rsidR="009F636B" w:rsidRPr="00700A64">
        <w:rPr>
          <w:rFonts w:ascii="Book Antiqua" w:hAnsi="Book Antiqua"/>
        </w:rPr>
        <w:t>.</w:t>
      </w:r>
      <w:r w:rsidR="007D7941" w:rsidRPr="00700A64">
        <w:rPr>
          <w:rFonts w:ascii="Book Antiqua" w:hAnsi="Book Antiqua"/>
        </w:rPr>
        <w:t xml:space="preserve"> </w:t>
      </w:r>
    </w:p>
    <w:p w:rsidR="00882CE7" w:rsidRPr="00700A64" w:rsidRDefault="00453CE8"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There is evidence that IDO play</w:t>
      </w:r>
      <w:r w:rsidR="007E1DAB" w:rsidRPr="00700A64">
        <w:rPr>
          <w:rFonts w:ascii="Book Antiqua" w:hAnsi="Book Antiqua"/>
        </w:rPr>
        <w:t>s</w:t>
      </w:r>
      <w:r w:rsidRPr="00700A64">
        <w:rPr>
          <w:rFonts w:ascii="Book Antiqua" w:hAnsi="Book Antiqua"/>
        </w:rPr>
        <w:t xml:space="preserve"> an important role as a suppressor of lymphocyte-mediated inflammatory responses</w:t>
      </w:r>
      <w:r w:rsidR="00AD082C" w:rsidRPr="00700A64">
        <w:rPr>
          <w:rFonts w:ascii="Book Antiqua" w:hAnsi="Book Antiqua"/>
          <w:vertAlign w:val="superscript"/>
        </w:rPr>
        <w:t>[</w:t>
      </w:r>
      <w:r w:rsidR="00093BC7" w:rsidRPr="00700A64">
        <w:rPr>
          <w:rFonts w:ascii="Book Antiqua" w:hAnsi="Book Antiqua"/>
          <w:vertAlign w:val="superscript"/>
        </w:rPr>
        <w:t>17</w:t>
      </w:r>
      <w:r w:rsidR="00AD082C" w:rsidRPr="00700A64">
        <w:rPr>
          <w:rFonts w:ascii="Book Antiqua" w:hAnsi="Book Antiqua"/>
          <w:vertAlign w:val="superscript"/>
        </w:rPr>
        <w:t>]</w:t>
      </w:r>
      <w:r w:rsidR="009F636B" w:rsidRPr="00700A64">
        <w:rPr>
          <w:rFonts w:ascii="Book Antiqua" w:hAnsi="Book Antiqua"/>
        </w:rPr>
        <w:t>.</w:t>
      </w:r>
      <w:r w:rsidRPr="00700A64">
        <w:rPr>
          <w:rFonts w:ascii="Book Antiqua" w:hAnsi="Book Antiqua"/>
        </w:rPr>
        <w:t xml:space="preserve"> </w:t>
      </w:r>
      <w:r w:rsidR="002E5DB9" w:rsidRPr="00700A64">
        <w:rPr>
          <w:rFonts w:ascii="Book Antiqua" w:hAnsi="Book Antiqua"/>
        </w:rPr>
        <w:t>In o</w:t>
      </w:r>
      <w:r w:rsidR="004C0DF9" w:rsidRPr="00700A64">
        <w:rPr>
          <w:rFonts w:ascii="Book Antiqua" w:hAnsi="Book Antiqua"/>
        </w:rPr>
        <w:t>ur study</w:t>
      </w:r>
      <w:r w:rsidR="005A7EF0" w:rsidRPr="00700A64">
        <w:rPr>
          <w:rFonts w:ascii="Book Antiqua" w:hAnsi="Book Antiqua"/>
        </w:rPr>
        <w:t>,</w:t>
      </w:r>
      <w:r w:rsidR="004C0DF9" w:rsidRPr="00700A64">
        <w:rPr>
          <w:rFonts w:ascii="Book Antiqua" w:hAnsi="Book Antiqua"/>
        </w:rPr>
        <w:t xml:space="preserve"> </w:t>
      </w:r>
      <w:r w:rsidR="00C06330" w:rsidRPr="00700A64">
        <w:rPr>
          <w:rFonts w:ascii="Book Antiqua" w:hAnsi="Book Antiqua"/>
        </w:rPr>
        <w:t>t</w:t>
      </w:r>
      <w:r w:rsidR="004C0DF9" w:rsidRPr="00700A64">
        <w:rPr>
          <w:rFonts w:ascii="Book Antiqua" w:hAnsi="Book Antiqua"/>
        </w:rPr>
        <w:t xml:space="preserve">he </w:t>
      </w:r>
      <w:r w:rsidRPr="00700A64">
        <w:rPr>
          <w:rFonts w:ascii="Book Antiqua" w:hAnsi="Book Antiqua"/>
        </w:rPr>
        <w:t>number of</w:t>
      </w:r>
      <w:r w:rsidR="004C0DF9" w:rsidRPr="00700A64">
        <w:rPr>
          <w:rFonts w:ascii="Book Antiqua" w:hAnsi="Book Antiqua"/>
        </w:rPr>
        <w:t xml:space="preserve"> IDO</w:t>
      </w:r>
      <w:r w:rsidRPr="00700A64">
        <w:rPr>
          <w:rFonts w:ascii="Book Antiqua" w:hAnsi="Book Antiqua"/>
        </w:rPr>
        <w:t xml:space="preserve">+ </w:t>
      </w:r>
      <w:r w:rsidR="00E76BAA" w:rsidRPr="00700A64">
        <w:rPr>
          <w:rFonts w:ascii="Book Antiqua" w:hAnsi="Book Antiqua"/>
        </w:rPr>
        <w:t>DCs</w:t>
      </w:r>
      <w:r w:rsidR="004C0DF9" w:rsidRPr="00700A64">
        <w:rPr>
          <w:rFonts w:ascii="Book Antiqua" w:hAnsi="Book Antiqua"/>
        </w:rPr>
        <w:t xml:space="preserve"> </w:t>
      </w:r>
      <w:r w:rsidR="00E602CE" w:rsidRPr="00700A64">
        <w:rPr>
          <w:rFonts w:ascii="Book Antiqua" w:hAnsi="Book Antiqua"/>
        </w:rPr>
        <w:t xml:space="preserve">was </w:t>
      </w:r>
      <w:r w:rsidR="009F70CE" w:rsidRPr="00700A64">
        <w:rPr>
          <w:rFonts w:ascii="Book Antiqua" w:hAnsi="Book Antiqua"/>
        </w:rPr>
        <w:t xml:space="preserve">greater </w:t>
      </w:r>
      <w:r w:rsidR="00E602CE" w:rsidRPr="00700A64">
        <w:rPr>
          <w:rFonts w:ascii="Book Antiqua" w:hAnsi="Book Antiqua"/>
        </w:rPr>
        <w:t>in</w:t>
      </w:r>
      <w:r w:rsidR="009F70CE" w:rsidRPr="00700A64">
        <w:rPr>
          <w:rFonts w:ascii="Book Antiqua" w:hAnsi="Book Antiqua"/>
        </w:rPr>
        <w:t xml:space="preserve"> the</w:t>
      </w:r>
      <w:r w:rsidR="00E602CE" w:rsidRPr="00700A64">
        <w:rPr>
          <w:rFonts w:ascii="Book Antiqua" w:hAnsi="Book Antiqua"/>
        </w:rPr>
        <w:t xml:space="preserve"> </w:t>
      </w:r>
      <w:r w:rsidRPr="00700A64">
        <w:rPr>
          <w:rFonts w:ascii="Book Antiqua" w:hAnsi="Book Antiqua"/>
        </w:rPr>
        <w:t xml:space="preserve">small </w:t>
      </w:r>
      <w:r w:rsidR="00E76BAA" w:rsidRPr="00700A64">
        <w:rPr>
          <w:rFonts w:ascii="Book Antiqua" w:hAnsi="Book Antiqua"/>
        </w:rPr>
        <w:t>bowel</w:t>
      </w:r>
      <w:r w:rsidRPr="00700A64">
        <w:rPr>
          <w:rFonts w:ascii="Book Antiqua" w:hAnsi="Book Antiqua"/>
        </w:rPr>
        <w:t xml:space="preserve"> mucosa </w:t>
      </w:r>
      <w:r w:rsidR="009F70CE" w:rsidRPr="00700A64">
        <w:rPr>
          <w:rFonts w:ascii="Book Antiqua" w:hAnsi="Book Antiqua"/>
        </w:rPr>
        <w:t>of</w:t>
      </w:r>
      <w:r w:rsidRPr="00700A64">
        <w:rPr>
          <w:rFonts w:ascii="Book Antiqua" w:hAnsi="Book Antiqua"/>
        </w:rPr>
        <w:t xml:space="preserve"> </w:t>
      </w:r>
      <w:r w:rsidR="00E602CE" w:rsidRPr="00700A64">
        <w:rPr>
          <w:rFonts w:ascii="Book Antiqua" w:hAnsi="Book Antiqua"/>
        </w:rPr>
        <w:t>patients</w:t>
      </w:r>
      <w:r w:rsidR="002206FD" w:rsidRPr="00700A64">
        <w:rPr>
          <w:rFonts w:ascii="Book Antiqua" w:hAnsi="Book Antiqua"/>
        </w:rPr>
        <w:t xml:space="preserve"> </w:t>
      </w:r>
      <w:r w:rsidR="00E602CE" w:rsidRPr="00700A64">
        <w:rPr>
          <w:rFonts w:ascii="Book Antiqua" w:hAnsi="Book Antiqua"/>
        </w:rPr>
        <w:t xml:space="preserve">with </w:t>
      </w:r>
      <w:r w:rsidR="009F70CE" w:rsidRPr="00700A64">
        <w:rPr>
          <w:rFonts w:ascii="Book Antiqua" w:hAnsi="Book Antiqua"/>
        </w:rPr>
        <w:t>higher</w:t>
      </w:r>
      <w:r w:rsidR="007A63AB" w:rsidRPr="00700A64">
        <w:rPr>
          <w:rFonts w:ascii="Book Antiqua" w:hAnsi="Book Antiqua"/>
        </w:rPr>
        <w:t>-</w:t>
      </w:r>
      <w:r w:rsidR="00E602CE" w:rsidRPr="00700A64">
        <w:rPr>
          <w:rFonts w:ascii="Book Antiqua" w:hAnsi="Book Antiqua"/>
        </w:rPr>
        <w:t>grade CD</w:t>
      </w:r>
      <w:r w:rsidR="009F70CE" w:rsidRPr="00700A64">
        <w:rPr>
          <w:rFonts w:ascii="Book Antiqua" w:hAnsi="Book Antiqua"/>
        </w:rPr>
        <w:t>,</w:t>
      </w:r>
      <w:r w:rsidR="00E602CE" w:rsidRPr="00700A64">
        <w:rPr>
          <w:rFonts w:ascii="Book Antiqua" w:hAnsi="Book Antiqua"/>
        </w:rPr>
        <w:t xml:space="preserve"> </w:t>
      </w:r>
      <w:r w:rsidR="00144DFD" w:rsidRPr="00B13CEC">
        <w:rPr>
          <w:rFonts w:ascii="Book Antiqua" w:hAnsi="Book Antiqua"/>
          <w:i/>
        </w:rPr>
        <w:t>i.e.</w:t>
      </w:r>
      <w:r w:rsidR="00144DFD" w:rsidRPr="00700A64">
        <w:rPr>
          <w:rFonts w:ascii="Book Antiqua" w:hAnsi="Book Antiqua"/>
        </w:rPr>
        <w:t xml:space="preserve">, </w:t>
      </w:r>
      <w:r w:rsidR="00D91827" w:rsidRPr="00700A64">
        <w:rPr>
          <w:rFonts w:ascii="Book Antiqua" w:hAnsi="Book Antiqua"/>
        </w:rPr>
        <w:t>grade</w:t>
      </w:r>
      <w:r w:rsidR="00E602CE" w:rsidRPr="00700A64">
        <w:rPr>
          <w:rFonts w:ascii="Book Antiqua" w:hAnsi="Book Antiqua"/>
        </w:rPr>
        <w:t xml:space="preserve"> IIIb</w:t>
      </w:r>
      <w:r w:rsidR="00D91827" w:rsidRPr="00700A64">
        <w:rPr>
          <w:rFonts w:ascii="Book Antiqua" w:hAnsi="Book Antiqua"/>
        </w:rPr>
        <w:t xml:space="preserve"> according to </w:t>
      </w:r>
      <w:r w:rsidR="009F70CE" w:rsidRPr="00700A64">
        <w:rPr>
          <w:rFonts w:ascii="Book Antiqua" w:hAnsi="Book Antiqua"/>
        </w:rPr>
        <w:t xml:space="preserve">the </w:t>
      </w:r>
      <w:r w:rsidR="00D91827" w:rsidRPr="00700A64">
        <w:rPr>
          <w:rFonts w:ascii="Book Antiqua" w:hAnsi="Book Antiqua"/>
        </w:rPr>
        <w:t>Marsh classification</w:t>
      </w:r>
      <w:r w:rsidR="009F70CE" w:rsidRPr="00700A64">
        <w:rPr>
          <w:rFonts w:ascii="Book Antiqua" w:hAnsi="Book Antiqua"/>
        </w:rPr>
        <w:t>,</w:t>
      </w:r>
      <w:r w:rsidR="00E602CE" w:rsidRPr="00700A64">
        <w:rPr>
          <w:rFonts w:ascii="Book Antiqua" w:hAnsi="Book Antiqua"/>
        </w:rPr>
        <w:t xml:space="preserve"> compar</w:t>
      </w:r>
      <w:r w:rsidR="009F70CE" w:rsidRPr="00700A64">
        <w:rPr>
          <w:rFonts w:ascii="Book Antiqua" w:hAnsi="Book Antiqua"/>
        </w:rPr>
        <w:t>ed</w:t>
      </w:r>
      <w:r w:rsidR="00E602CE" w:rsidRPr="00700A64">
        <w:rPr>
          <w:rFonts w:ascii="Book Antiqua" w:hAnsi="Book Antiqua"/>
        </w:rPr>
        <w:t xml:space="preserve"> with</w:t>
      </w:r>
      <w:r w:rsidR="004C0DF9" w:rsidRPr="00700A64">
        <w:rPr>
          <w:rFonts w:ascii="Book Antiqua" w:hAnsi="Book Antiqua"/>
        </w:rPr>
        <w:t xml:space="preserve"> </w:t>
      </w:r>
      <w:r w:rsidR="00D91827" w:rsidRPr="00700A64">
        <w:rPr>
          <w:rFonts w:ascii="Book Antiqua" w:hAnsi="Book Antiqua"/>
        </w:rPr>
        <w:t xml:space="preserve">patients </w:t>
      </w:r>
      <w:r w:rsidR="009F70CE" w:rsidRPr="00700A64">
        <w:rPr>
          <w:rFonts w:ascii="Book Antiqua" w:hAnsi="Book Antiqua"/>
        </w:rPr>
        <w:t>with</w:t>
      </w:r>
      <w:r w:rsidR="004C0DF9" w:rsidRPr="00700A64">
        <w:rPr>
          <w:rFonts w:ascii="Book Antiqua" w:hAnsi="Book Antiqua"/>
        </w:rPr>
        <w:t xml:space="preserve"> </w:t>
      </w:r>
      <w:r w:rsidR="005A7EF0" w:rsidRPr="00700A64">
        <w:rPr>
          <w:rFonts w:ascii="Book Antiqua" w:hAnsi="Book Antiqua"/>
        </w:rPr>
        <w:t xml:space="preserve">grade IIIa </w:t>
      </w:r>
      <w:r w:rsidR="004C0DF9" w:rsidRPr="00700A64">
        <w:rPr>
          <w:rFonts w:ascii="Book Antiqua" w:hAnsi="Book Antiqua"/>
        </w:rPr>
        <w:t>small bowel mucosa</w:t>
      </w:r>
      <w:r w:rsidR="00E602CE" w:rsidRPr="00700A64">
        <w:rPr>
          <w:rFonts w:ascii="Book Antiqua" w:hAnsi="Book Antiqua"/>
        </w:rPr>
        <w:t xml:space="preserve">. </w:t>
      </w:r>
      <w:r w:rsidR="00100804" w:rsidRPr="00700A64">
        <w:rPr>
          <w:rFonts w:ascii="Book Antiqua" w:hAnsi="Book Antiqua"/>
        </w:rPr>
        <w:t xml:space="preserve">The high discriminative power of </w:t>
      </w:r>
      <w:r w:rsidR="000458E3" w:rsidRPr="00700A64">
        <w:rPr>
          <w:rFonts w:ascii="Book Antiqua" w:hAnsi="Book Antiqua"/>
        </w:rPr>
        <w:t xml:space="preserve">the </w:t>
      </w:r>
      <w:r w:rsidR="00100804" w:rsidRPr="00700A64">
        <w:rPr>
          <w:rFonts w:ascii="Book Antiqua" w:hAnsi="Book Antiqua"/>
        </w:rPr>
        <w:t xml:space="preserve">IDO marker </w:t>
      </w:r>
      <w:r w:rsidR="00100804" w:rsidRPr="00700A64">
        <w:rPr>
          <w:rFonts w:ascii="Book Antiqua" w:hAnsi="Book Antiqua"/>
          <w:bCs/>
        </w:rPr>
        <w:t>in CD patients with</w:t>
      </w:r>
      <w:r w:rsidR="005A7EF0" w:rsidRPr="00700A64">
        <w:rPr>
          <w:rFonts w:ascii="Book Antiqua" w:hAnsi="Book Antiqua"/>
          <w:bCs/>
        </w:rPr>
        <w:t xml:space="preserve"> and without</w:t>
      </w:r>
      <w:r w:rsidR="00100804" w:rsidRPr="00700A64">
        <w:rPr>
          <w:rFonts w:ascii="Book Antiqua" w:hAnsi="Book Antiqua"/>
          <w:bCs/>
        </w:rPr>
        <w:t xml:space="preserve"> T1D </w:t>
      </w:r>
      <w:r w:rsidR="000458E3" w:rsidRPr="00700A64">
        <w:rPr>
          <w:rFonts w:ascii="Book Antiqua" w:hAnsi="Book Antiqua"/>
        </w:rPr>
        <w:t xml:space="preserve">established in our study </w:t>
      </w:r>
      <w:r w:rsidR="000458E3" w:rsidRPr="00700A64">
        <w:rPr>
          <w:rFonts w:ascii="Book Antiqua" w:hAnsi="Book Antiqua"/>
          <w:bCs/>
        </w:rPr>
        <w:t xml:space="preserve">also </w:t>
      </w:r>
      <w:r w:rsidR="00100804" w:rsidRPr="00700A64">
        <w:rPr>
          <w:rFonts w:ascii="Book Antiqua" w:hAnsi="Book Antiqua"/>
          <w:bCs/>
        </w:rPr>
        <w:t>support</w:t>
      </w:r>
      <w:r w:rsidR="005A7EF0" w:rsidRPr="00700A64">
        <w:rPr>
          <w:rFonts w:ascii="Book Antiqua" w:hAnsi="Book Antiqua"/>
          <w:bCs/>
        </w:rPr>
        <w:t>s</w:t>
      </w:r>
      <w:r w:rsidR="00100804" w:rsidRPr="00700A64">
        <w:rPr>
          <w:rFonts w:ascii="Book Antiqua" w:hAnsi="Book Antiqua"/>
          <w:bCs/>
        </w:rPr>
        <w:t xml:space="preserve"> </w:t>
      </w:r>
      <w:r w:rsidR="000458E3" w:rsidRPr="00700A64">
        <w:rPr>
          <w:rFonts w:ascii="Book Antiqua" w:hAnsi="Book Antiqua"/>
          <w:bCs/>
        </w:rPr>
        <w:t xml:space="preserve">the above </w:t>
      </w:r>
      <w:r w:rsidR="00100804" w:rsidRPr="00700A64">
        <w:rPr>
          <w:rFonts w:ascii="Book Antiqua" w:hAnsi="Book Antiqua"/>
          <w:bCs/>
        </w:rPr>
        <w:t>statement.</w:t>
      </w:r>
      <w:r w:rsidR="00100804" w:rsidRPr="00700A64">
        <w:rPr>
          <w:rFonts w:ascii="Book Antiqua" w:hAnsi="Book Antiqua"/>
        </w:rPr>
        <w:t xml:space="preserve"> </w:t>
      </w:r>
      <w:r w:rsidR="002F2D0E" w:rsidRPr="00700A64">
        <w:rPr>
          <w:rFonts w:ascii="Book Antiqua" w:hAnsi="Book Antiqua"/>
        </w:rPr>
        <w:t xml:space="preserve">This finding is in good agreement </w:t>
      </w:r>
      <w:r w:rsidR="000458E3" w:rsidRPr="00700A64">
        <w:rPr>
          <w:rFonts w:ascii="Book Antiqua" w:hAnsi="Book Antiqua"/>
        </w:rPr>
        <w:t>with</w:t>
      </w:r>
      <w:r w:rsidR="002F2D0E" w:rsidRPr="00700A64">
        <w:rPr>
          <w:rFonts w:ascii="Book Antiqua" w:hAnsi="Book Antiqua"/>
        </w:rPr>
        <w:t xml:space="preserve"> the results of </w:t>
      </w:r>
      <w:r w:rsidR="00D855D0" w:rsidRPr="00700A64">
        <w:rPr>
          <w:rFonts w:ascii="Book Antiqua" w:hAnsi="Book Antiqua"/>
        </w:rPr>
        <w:t xml:space="preserve">Torres </w:t>
      </w:r>
      <w:r w:rsidR="00B13CEC" w:rsidRPr="00B13CEC">
        <w:rPr>
          <w:rFonts w:ascii="Book Antiqua" w:hAnsi="Book Antiqua"/>
          <w:i/>
        </w:rPr>
        <w:t>et al</w:t>
      </w:r>
      <w:r w:rsidR="00AD082C" w:rsidRPr="00700A64">
        <w:rPr>
          <w:rFonts w:ascii="Book Antiqua" w:hAnsi="Book Antiqua"/>
          <w:vertAlign w:val="superscript"/>
        </w:rPr>
        <w:t>[</w:t>
      </w:r>
      <w:r w:rsidR="00093BC7" w:rsidRPr="00700A64">
        <w:rPr>
          <w:rFonts w:ascii="Book Antiqua" w:hAnsi="Book Antiqua"/>
          <w:vertAlign w:val="superscript"/>
        </w:rPr>
        <w:t>19</w:t>
      </w:r>
      <w:r w:rsidR="00AD082C" w:rsidRPr="00700A64">
        <w:rPr>
          <w:rFonts w:ascii="Book Antiqua" w:hAnsi="Book Antiqua"/>
          <w:vertAlign w:val="superscript"/>
        </w:rPr>
        <w:t>]</w:t>
      </w:r>
      <w:r w:rsidR="005A7EF0" w:rsidRPr="00700A64">
        <w:rPr>
          <w:rFonts w:ascii="Book Antiqua" w:hAnsi="Book Antiqua"/>
        </w:rPr>
        <w:t xml:space="preserve">, </w:t>
      </w:r>
      <w:r w:rsidR="00882CE7" w:rsidRPr="00700A64">
        <w:rPr>
          <w:rFonts w:ascii="Book Antiqua" w:hAnsi="Book Antiqua"/>
        </w:rPr>
        <w:t>who revealed high expression</w:t>
      </w:r>
      <w:r w:rsidR="005A7EF0" w:rsidRPr="00700A64">
        <w:rPr>
          <w:rFonts w:ascii="Book Antiqua" w:hAnsi="Book Antiqua"/>
        </w:rPr>
        <w:t xml:space="preserve"> levels</w:t>
      </w:r>
      <w:r w:rsidR="00882CE7" w:rsidRPr="00700A64">
        <w:rPr>
          <w:rFonts w:ascii="Book Antiqua" w:hAnsi="Book Antiqua"/>
        </w:rPr>
        <w:t xml:space="preserve"> of IDO in intestinal biopsies </w:t>
      </w:r>
      <w:r w:rsidR="000458E3" w:rsidRPr="00700A64">
        <w:rPr>
          <w:rFonts w:ascii="Book Antiqua" w:hAnsi="Book Antiqua"/>
        </w:rPr>
        <w:t>of</w:t>
      </w:r>
      <w:r w:rsidR="00882CE7" w:rsidRPr="00700A64">
        <w:rPr>
          <w:rFonts w:ascii="Book Antiqua" w:hAnsi="Book Antiqua"/>
        </w:rPr>
        <w:t xml:space="preserve"> CD patients.</w:t>
      </w:r>
      <w:r w:rsidR="00100804" w:rsidRPr="00700A64">
        <w:rPr>
          <w:rFonts w:ascii="Book Antiqua" w:hAnsi="Book Antiqua"/>
        </w:rPr>
        <w:t xml:space="preserve"> Moreover, these authors </w:t>
      </w:r>
      <w:r w:rsidR="007A63AB" w:rsidRPr="00700A64">
        <w:rPr>
          <w:rFonts w:ascii="Book Antiqua" w:hAnsi="Book Antiqua"/>
        </w:rPr>
        <w:t xml:space="preserve">observed that </w:t>
      </w:r>
      <w:r w:rsidR="00100804" w:rsidRPr="00700A64">
        <w:rPr>
          <w:rFonts w:ascii="Book Antiqua" w:hAnsi="Book Antiqua"/>
        </w:rPr>
        <w:t>increase</w:t>
      </w:r>
      <w:r w:rsidR="000458E3" w:rsidRPr="00700A64">
        <w:rPr>
          <w:rFonts w:ascii="Book Antiqua" w:hAnsi="Book Antiqua"/>
        </w:rPr>
        <w:t>d</w:t>
      </w:r>
      <w:r w:rsidR="00100804" w:rsidRPr="00700A64">
        <w:rPr>
          <w:rFonts w:ascii="Book Antiqua" w:hAnsi="Book Antiqua"/>
        </w:rPr>
        <w:t xml:space="preserve"> level</w:t>
      </w:r>
      <w:r w:rsidR="005A7EF0" w:rsidRPr="00700A64">
        <w:rPr>
          <w:rFonts w:ascii="Book Antiqua" w:hAnsi="Book Antiqua"/>
        </w:rPr>
        <w:t>s</w:t>
      </w:r>
      <w:r w:rsidR="00100804" w:rsidRPr="00700A64">
        <w:rPr>
          <w:rFonts w:ascii="Book Antiqua" w:hAnsi="Book Antiqua"/>
        </w:rPr>
        <w:t xml:space="preserve"> of </w:t>
      </w:r>
      <w:r w:rsidR="007A63AB" w:rsidRPr="00700A64">
        <w:rPr>
          <w:rFonts w:ascii="Book Antiqua" w:hAnsi="Book Antiqua"/>
        </w:rPr>
        <w:t>interferon (</w:t>
      </w:r>
      <w:r w:rsidR="00100804" w:rsidRPr="00700A64">
        <w:rPr>
          <w:rFonts w:ascii="Book Antiqua" w:hAnsi="Book Antiqua"/>
        </w:rPr>
        <w:t>IFN</w:t>
      </w:r>
      <w:r w:rsidR="007A63AB" w:rsidRPr="00700A64">
        <w:rPr>
          <w:rFonts w:ascii="Book Antiqua" w:hAnsi="Book Antiqua"/>
        </w:rPr>
        <w:t>)</w:t>
      </w:r>
      <w:r w:rsidR="00100804" w:rsidRPr="00700A64">
        <w:rPr>
          <w:rFonts w:ascii="Book Antiqua" w:hAnsi="Book Antiqua"/>
        </w:rPr>
        <w:t xml:space="preserve">-gamma and </w:t>
      </w:r>
      <w:r w:rsidR="007A63AB" w:rsidRPr="00700A64">
        <w:rPr>
          <w:rFonts w:ascii="Book Antiqua" w:hAnsi="Book Antiqua"/>
        </w:rPr>
        <w:t>tumor necrosis factor (</w:t>
      </w:r>
      <w:r w:rsidR="00100804" w:rsidRPr="00700A64">
        <w:rPr>
          <w:rFonts w:ascii="Book Antiqua" w:hAnsi="Book Antiqua"/>
        </w:rPr>
        <w:t>TNF</w:t>
      </w:r>
      <w:r w:rsidR="007A63AB" w:rsidRPr="00700A64">
        <w:rPr>
          <w:rFonts w:ascii="Book Antiqua" w:hAnsi="Book Antiqua"/>
        </w:rPr>
        <w:t>)</w:t>
      </w:r>
      <w:r w:rsidR="00100804" w:rsidRPr="00700A64">
        <w:rPr>
          <w:rFonts w:ascii="Book Antiqua" w:hAnsi="Book Antiqua"/>
        </w:rPr>
        <w:t>-al</w:t>
      </w:r>
      <w:r w:rsidR="005A7EF0" w:rsidRPr="00700A64">
        <w:rPr>
          <w:rFonts w:ascii="Book Antiqua" w:hAnsi="Book Antiqua"/>
        </w:rPr>
        <w:t>ph</w:t>
      </w:r>
      <w:r w:rsidR="00100804" w:rsidRPr="00700A64">
        <w:rPr>
          <w:rFonts w:ascii="Book Antiqua" w:hAnsi="Book Antiqua"/>
        </w:rPr>
        <w:t xml:space="preserve">a </w:t>
      </w:r>
      <w:r w:rsidR="007A63AB" w:rsidRPr="00700A64">
        <w:rPr>
          <w:rFonts w:ascii="Book Antiqua" w:hAnsi="Book Antiqua"/>
        </w:rPr>
        <w:t>were</w:t>
      </w:r>
      <w:r w:rsidR="009B6696" w:rsidRPr="00700A64">
        <w:rPr>
          <w:rFonts w:ascii="Book Antiqua" w:hAnsi="Book Antiqua"/>
        </w:rPr>
        <w:t xml:space="preserve"> </w:t>
      </w:r>
      <w:r w:rsidR="00100804" w:rsidRPr="00700A64">
        <w:rPr>
          <w:rFonts w:ascii="Book Antiqua" w:hAnsi="Book Antiqua"/>
        </w:rPr>
        <w:t>potent inducers of IDO expression</w:t>
      </w:r>
      <w:r w:rsidR="009B6696" w:rsidRPr="00700A64">
        <w:rPr>
          <w:rFonts w:ascii="Book Antiqua" w:hAnsi="Book Antiqua"/>
        </w:rPr>
        <w:t xml:space="preserve"> levels</w:t>
      </w:r>
      <w:r w:rsidR="00100804" w:rsidRPr="00700A64">
        <w:rPr>
          <w:rFonts w:ascii="Book Antiqua" w:hAnsi="Book Antiqua"/>
        </w:rPr>
        <w:t xml:space="preserve"> in CD patients</w:t>
      </w:r>
      <w:r w:rsidR="0029308A" w:rsidRPr="00700A64">
        <w:rPr>
          <w:rFonts w:ascii="Book Antiqua" w:hAnsi="Book Antiqua"/>
        </w:rPr>
        <w:t>.</w:t>
      </w:r>
      <w:r w:rsidR="00100804" w:rsidRPr="00700A64">
        <w:rPr>
          <w:rFonts w:ascii="Book Antiqua" w:hAnsi="Book Antiqua"/>
        </w:rPr>
        <w:t xml:space="preserve"> The increase </w:t>
      </w:r>
      <w:r w:rsidR="009B6696" w:rsidRPr="00700A64">
        <w:rPr>
          <w:rFonts w:ascii="Book Antiqua" w:hAnsi="Book Antiqua"/>
        </w:rPr>
        <w:t xml:space="preserve">in </w:t>
      </w:r>
      <w:r w:rsidR="00100804" w:rsidRPr="00700A64">
        <w:rPr>
          <w:rFonts w:ascii="Book Antiqua" w:hAnsi="Book Antiqua"/>
        </w:rPr>
        <w:t xml:space="preserve">IDO activity is considered </w:t>
      </w:r>
      <w:r w:rsidR="009B6696" w:rsidRPr="00700A64">
        <w:rPr>
          <w:rFonts w:ascii="Book Antiqua" w:hAnsi="Book Antiqua"/>
        </w:rPr>
        <w:t xml:space="preserve">to be </w:t>
      </w:r>
      <w:r w:rsidR="000458E3" w:rsidRPr="00700A64">
        <w:rPr>
          <w:rFonts w:ascii="Book Antiqua" w:hAnsi="Book Antiqua"/>
        </w:rPr>
        <w:t xml:space="preserve">an </w:t>
      </w:r>
      <w:r w:rsidR="00100804" w:rsidRPr="00700A64">
        <w:rPr>
          <w:rFonts w:ascii="Book Antiqua" w:hAnsi="Book Antiqua"/>
        </w:rPr>
        <w:t xml:space="preserve">attempt to control chronic antigen stimulation </w:t>
      </w:r>
      <w:r w:rsidR="009B6696" w:rsidRPr="00700A64">
        <w:rPr>
          <w:rFonts w:ascii="Book Antiqua" w:hAnsi="Book Antiqua"/>
        </w:rPr>
        <w:t xml:space="preserve">via the </w:t>
      </w:r>
      <w:r w:rsidR="00100804" w:rsidRPr="00700A64">
        <w:rPr>
          <w:rFonts w:ascii="Book Antiqua" w:hAnsi="Book Antiqua"/>
        </w:rPr>
        <w:t>down</w:t>
      </w:r>
      <w:r w:rsidR="009B6696" w:rsidRPr="00700A64">
        <w:rPr>
          <w:rFonts w:ascii="Book Antiqua" w:hAnsi="Book Antiqua"/>
        </w:rPr>
        <w:t>-</w:t>
      </w:r>
      <w:r w:rsidR="00100804" w:rsidRPr="00700A64">
        <w:rPr>
          <w:rFonts w:ascii="Book Antiqua" w:hAnsi="Book Antiqua"/>
        </w:rPr>
        <w:t xml:space="preserve">regulation of T </w:t>
      </w:r>
      <w:r w:rsidR="009B6696" w:rsidRPr="00700A64">
        <w:rPr>
          <w:rFonts w:ascii="Book Antiqua" w:hAnsi="Book Antiqua"/>
        </w:rPr>
        <w:t>cell-</w:t>
      </w:r>
      <w:r w:rsidR="00100804" w:rsidRPr="00700A64">
        <w:rPr>
          <w:rFonts w:ascii="Book Antiqua" w:hAnsi="Book Antiqua"/>
        </w:rPr>
        <w:t>mediated autoimmunity</w:t>
      </w:r>
      <w:r w:rsidR="00AD082C" w:rsidRPr="00700A64">
        <w:rPr>
          <w:rFonts w:ascii="Book Antiqua" w:hAnsi="Book Antiqua"/>
          <w:vertAlign w:val="superscript"/>
        </w:rPr>
        <w:t>[</w:t>
      </w:r>
      <w:r w:rsidR="00093BC7" w:rsidRPr="00700A64">
        <w:rPr>
          <w:rFonts w:ascii="Book Antiqua" w:hAnsi="Book Antiqua"/>
          <w:vertAlign w:val="superscript"/>
        </w:rPr>
        <w:t>19</w:t>
      </w:r>
      <w:r w:rsidR="00AD082C" w:rsidRPr="00700A64">
        <w:rPr>
          <w:rFonts w:ascii="Book Antiqua" w:hAnsi="Book Antiqua"/>
          <w:vertAlign w:val="superscript"/>
        </w:rPr>
        <w:t>]</w:t>
      </w:r>
      <w:r w:rsidR="009F636B" w:rsidRPr="00700A64">
        <w:rPr>
          <w:rFonts w:ascii="Book Antiqua" w:hAnsi="Book Antiqua"/>
        </w:rPr>
        <w:t>.</w:t>
      </w:r>
    </w:p>
    <w:p w:rsidR="0062009D" w:rsidRPr="00EB7313" w:rsidRDefault="00664E2C"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A</w:t>
      </w:r>
      <w:r w:rsidR="009140A5" w:rsidRPr="00700A64">
        <w:rPr>
          <w:rFonts w:ascii="Book Antiqua" w:hAnsi="Book Antiqua"/>
        </w:rPr>
        <w:t xml:space="preserve"> central </w:t>
      </w:r>
      <w:r w:rsidR="00BA343C" w:rsidRPr="00700A64">
        <w:rPr>
          <w:rFonts w:ascii="Book Antiqua" w:hAnsi="Book Antiqua"/>
        </w:rPr>
        <w:t xml:space="preserve">novel </w:t>
      </w:r>
      <w:r w:rsidR="009140A5" w:rsidRPr="00700A64">
        <w:rPr>
          <w:rFonts w:ascii="Book Antiqua" w:hAnsi="Book Antiqua"/>
        </w:rPr>
        <w:t>finding</w:t>
      </w:r>
      <w:r w:rsidRPr="00700A64">
        <w:rPr>
          <w:rFonts w:ascii="Book Antiqua" w:hAnsi="Book Antiqua"/>
        </w:rPr>
        <w:t xml:space="preserve"> </w:t>
      </w:r>
      <w:r w:rsidR="009B6696" w:rsidRPr="00700A64">
        <w:rPr>
          <w:rFonts w:ascii="Book Antiqua" w:hAnsi="Book Antiqua"/>
        </w:rPr>
        <w:t xml:space="preserve">in </w:t>
      </w:r>
      <w:r w:rsidRPr="00700A64">
        <w:rPr>
          <w:rFonts w:ascii="Book Antiqua" w:hAnsi="Book Antiqua"/>
        </w:rPr>
        <w:t>our study was</w:t>
      </w:r>
      <w:r w:rsidR="005868D3" w:rsidRPr="00700A64">
        <w:rPr>
          <w:rFonts w:ascii="Book Antiqua" w:hAnsi="Book Antiqua"/>
        </w:rPr>
        <w:t xml:space="preserve"> </w:t>
      </w:r>
      <w:r w:rsidR="00D92364" w:rsidRPr="00700A64">
        <w:rPr>
          <w:rFonts w:ascii="Book Antiqua" w:hAnsi="Book Antiqua"/>
        </w:rPr>
        <w:t xml:space="preserve">the presence of </w:t>
      </w:r>
      <w:r w:rsidR="009B6696" w:rsidRPr="00700A64">
        <w:rPr>
          <w:rFonts w:ascii="Book Antiqua" w:hAnsi="Book Antiqua"/>
        </w:rPr>
        <w:t xml:space="preserve">variable densities of </w:t>
      </w:r>
      <w:r w:rsidR="00D92364" w:rsidRPr="00700A64">
        <w:rPr>
          <w:rFonts w:ascii="Book Antiqua" w:hAnsi="Book Antiqua"/>
        </w:rPr>
        <w:t>Langerin</w:t>
      </w:r>
      <w:r w:rsidR="005D69CE" w:rsidRPr="00700A64">
        <w:rPr>
          <w:rFonts w:ascii="Book Antiqua" w:hAnsi="Book Antiqua"/>
        </w:rPr>
        <w:t>+ (</w:t>
      </w:r>
      <w:r w:rsidR="00D92364" w:rsidRPr="00700A64">
        <w:rPr>
          <w:rFonts w:ascii="Book Antiqua" w:hAnsi="Book Antiqua"/>
        </w:rPr>
        <w:t>CD207+) cells in patients with</w:t>
      </w:r>
      <w:r w:rsidRPr="00700A64">
        <w:rPr>
          <w:rFonts w:ascii="Book Antiqua" w:hAnsi="Book Antiqua"/>
        </w:rPr>
        <w:t xml:space="preserve"> </w:t>
      </w:r>
      <w:r w:rsidR="00D92364" w:rsidRPr="00700A64">
        <w:rPr>
          <w:rFonts w:ascii="Book Antiqua" w:hAnsi="Book Antiqua"/>
        </w:rPr>
        <w:t xml:space="preserve">normal or atrophic small bowel mucosa, </w:t>
      </w:r>
      <w:r w:rsidRPr="00700A64">
        <w:rPr>
          <w:rFonts w:ascii="Book Antiqua" w:hAnsi="Book Antiqua"/>
        </w:rPr>
        <w:t xml:space="preserve">pointing to </w:t>
      </w:r>
      <w:r w:rsidR="00D92364" w:rsidRPr="00700A64">
        <w:rPr>
          <w:rFonts w:ascii="Book Antiqua" w:hAnsi="Book Antiqua"/>
        </w:rPr>
        <w:t xml:space="preserve">their role among </w:t>
      </w:r>
      <w:r w:rsidRPr="00700A64">
        <w:rPr>
          <w:rFonts w:ascii="Book Antiqua" w:hAnsi="Book Antiqua"/>
        </w:rPr>
        <w:t xml:space="preserve">the </w:t>
      </w:r>
      <w:r w:rsidR="00D92364" w:rsidRPr="00700A64">
        <w:rPr>
          <w:rFonts w:ascii="Book Antiqua" w:hAnsi="Book Antiqua"/>
        </w:rPr>
        <w:t>other DC</w:t>
      </w:r>
      <w:r w:rsidR="00BA343C" w:rsidRPr="00700A64">
        <w:rPr>
          <w:rFonts w:ascii="Book Antiqua" w:hAnsi="Book Antiqua"/>
        </w:rPr>
        <w:t>s</w:t>
      </w:r>
      <w:r w:rsidR="00D92364" w:rsidRPr="00700A64">
        <w:rPr>
          <w:rFonts w:ascii="Book Antiqua" w:hAnsi="Book Antiqua"/>
        </w:rPr>
        <w:t xml:space="preserve"> of </w:t>
      </w:r>
      <w:r w:rsidRPr="00700A64">
        <w:rPr>
          <w:rFonts w:ascii="Book Antiqua" w:hAnsi="Book Antiqua"/>
        </w:rPr>
        <w:t xml:space="preserve">the </w:t>
      </w:r>
      <w:r w:rsidR="00D92364" w:rsidRPr="00700A64">
        <w:rPr>
          <w:rFonts w:ascii="Book Antiqua" w:hAnsi="Book Antiqua"/>
        </w:rPr>
        <w:t xml:space="preserve">intestinal mucosa. The presence of Langerin+ cells in </w:t>
      </w:r>
      <w:r w:rsidRPr="00700A64">
        <w:rPr>
          <w:rFonts w:ascii="Book Antiqua" w:hAnsi="Book Antiqua"/>
        </w:rPr>
        <w:t xml:space="preserve">the </w:t>
      </w:r>
      <w:r w:rsidR="00D92364" w:rsidRPr="00700A64">
        <w:rPr>
          <w:rFonts w:ascii="Book Antiqua" w:hAnsi="Book Antiqua"/>
        </w:rPr>
        <w:t xml:space="preserve">duodenal epithelium (Figure </w:t>
      </w:r>
      <w:r w:rsidR="000E1928" w:rsidRPr="00700A64">
        <w:rPr>
          <w:rFonts w:ascii="Book Antiqua" w:hAnsi="Book Antiqua"/>
        </w:rPr>
        <w:t>8</w:t>
      </w:r>
      <w:r w:rsidR="00D92364" w:rsidRPr="00700A64">
        <w:rPr>
          <w:rFonts w:ascii="Book Antiqua" w:hAnsi="Book Antiqua"/>
        </w:rPr>
        <w:t xml:space="preserve">) could </w:t>
      </w:r>
      <w:r w:rsidRPr="00700A64">
        <w:rPr>
          <w:rFonts w:ascii="Book Antiqua" w:hAnsi="Book Antiqua"/>
        </w:rPr>
        <w:t>indicate</w:t>
      </w:r>
      <w:r w:rsidR="00D92364" w:rsidRPr="00700A64">
        <w:rPr>
          <w:rFonts w:ascii="Book Antiqua" w:hAnsi="Book Antiqua"/>
        </w:rPr>
        <w:t xml:space="preserve"> the possibility that these cells actively</w:t>
      </w:r>
      <w:r w:rsidR="0092315E" w:rsidRPr="00700A64">
        <w:rPr>
          <w:rFonts w:ascii="Book Antiqua" w:hAnsi="Book Antiqua"/>
        </w:rPr>
        <w:t xml:space="preserve"> participat</w:t>
      </w:r>
      <w:r w:rsidR="00254C05" w:rsidRPr="00700A64">
        <w:rPr>
          <w:rFonts w:ascii="Book Antiqua" w:hAnsi="Book Antiqua"/>
        </w:rPr>
        <w:t>e</w:t>
      </w:r>
      <w:r w:rsidR="0092315E" w:rsidRPr="00700A64">
        <w:rPr>
          <w:rFonts w:ascii="Book Antiqua" w:hAnsi="Book Antiqua"/>
        </w:rPr>
        <w:t xml:space="preserve"> </w:t>
      </w:r>
      <w:r w:rsidRPr="00700A64">
        <w:rPr>
          <w:rFonts w:ascii="Book Antiqua" w:hAnsi="Book Antiqua"/>
        </w:rPr>
        <w:t>in</w:t>
      </w:r>
      <w:r w:rsidR="0092315E" w:rsidRPr="00700A64">
        <w:rPr>
          <w:rFonts w:ascii="Book Antiqua" w:hAnsi="Book Antiqua"/>
        </w:rPr>
        <w:t xml:space="preserve"> </w:t>
      </w:r>
      <w:r w:rsidR="009B6696" w:rsidRPr="00700A64">
        <w:rPr>
          <w:rFonts w:ascii="Book Antiqua" w:hAnsi="Book Antiqua"/>
        </w:rPr>
        <w:t xml:space="preserve">the </w:t>
      </w:r>
      <w:r w:rsidR="0092315E" w:rsidRPr="00700A64">
        <w:rPr>
          <w:rFonts w:ascii="Book Antiqua" w:hAnsi="Book Antiqua"/>
        </w:rPr>
        <w:t xml:space="preserve">transportation </w:t>
      </w:r>
      <w:r w:rsidRPr="00700A64">
        <w:rPr>
          <w:rFonts w:ascii="Book Antiqua" w:hAnsi="Book Antiqua"/>
        </w:rPr>
        <w:t xml:space="preserve">of antigenic material </w:t>
      </w:r>
      <w:r w:rsidR="0092315E" w:rsidRPr="00700A64">
        <w:rPr>
          <w:rFonts w:ascii="Book Antiqua" w:hAnsi="Book Antiqua"/>
        </w:rPr>
        <w:t xml:space="preserve">through </w:t>
      </w:r>
      <w:r w:rsidRPr="00700A64">
        <w:rPr>
          <w:rFonts w:ascii="Book Antiqua" w:hAnsi="Book Antiqua"/>
        </w:rPr>
        <w:t xml:space="preserve">the </w:t>
      </w:r>
      <w:r w:rsidR="0092315E" w:rsidRPr="00700A64">
        <w:rPr>
          <w:rFonts w:ascii="Book Antiqua" w:hAnsi="Book Antiqua"/>
        </w:rPr>
        <w:t>epithelial layer</w:t>
      </w:r>
      <w:r w:rsidR="009B6696" w:rsidRPr="00700A64">
        <w:rPr>
          <w:rFonts w:ascii="Book Antiqua" w:hAnsi="Book Antiqua"/>
        </w:rPr>
        <w:t>,</w:t>
      </w:r>
      <w:r w:rsidR="0092315E" w:rsidRPr="00700A64">
        <w:rPr>
          <w:rFonts w:ascii="Book Antiqua" w:hAnsi="Book Antiqua"/>
        </w:rPr>
        <w:t xml:space="preserve"> </w:t>
      </w:r>
      <w:r w:rsidR="004344D1" w:rsidRPr="00700A64">
        <w:rPr>
          <w:rFonts w:ascii="Book Antiqua" w:hAnsi="Book Antiqua"/>
        </w:rPr>
        <w:t>as has</w:t>
      </w:r>
      <w:r w:rsidR="0092315E" w:rsidRPr="00700A64">
        <w:rPr>
          <w:rFonts w:ascii="Book Antiqua" w:hAnsi="Book Antiqua"/>
        </w:rPr>
        <w:t xml:space="preserve"> been demonstrated earlier for CD</w:t>
      </w:r>
      <w:r w:rsidR="00BE1D5C" w:rsidRPr="00700A64">
        <w:rPr>
          <w:rFonts w:ascii="Book Antiqua" w:hAnsi="Book Antiqua"/>
        </w:rPr>
        <w:t>11c</w:t>
      </w:r>
      <w:r w:rsidR="0092315E" w:rsidRPr="00700A64">
        <w:rPr>
          <w:rFonts w:ascii="Book Antiqua" w:hAnsi="Book Antiqua"/>
        </w:rPr>
        <w:t xml:space="preserve">+ </w:t>
      </w:r>
      <w:r w:rsidR="00C92628" w:rsidRPr="00700A64">
        <w:rPr>
          <w:rFonts w:ascii="Book Antiqua" w:hAnsi="Book Antiqua"/>
        </w:rPr>
        <w:t>DCs</w:t>
      </w:r>
      <w:r w:rsidR="00AD082C" w:rsidRPr="00700A64">
        <w:rPr>
          <w:rFonts w:ascii="Book Antiqua" w:hAnsi="Book Antiqua"/>
          <w:vertAlign w:val="superscript"/>
        </w:rPr>
        <w:t>[</w:t>
      </w:r>
      <w:r w:rsidR="00D40A6D" w:rsidRPr="00700A64">
        <w:rPr>
          <w:rFonts w:ascii="Book Antiqua" w:hAnsi="Book Antiqua"/>
          <w:vertAlign w:val="superscript"/>
        </w:rPr>
        <w:t>4</w:t>
      </w:r>
      <w:r w:rsidR="00AD082C" w:rsidRPr="00700A64">
        <w:rPr>
          <w:rFonts w:ascii="Book Antiqua" w:hAnsi="Book Antiqua"/>
          <w:vertAlign w:val="superscript"/>
        </w:rPr>
        <w:t>4]</w:t>
      </w:r>
      <w:r w:rsidR="009F636B" w:rsidRPr="00700A64">
        <w:rPr>
          <w:rFonts w:ascii="Book Antiqua" w:hAnsi="Book Antiqua"/>
        </w:rPr>
        <w:t>.</w:t>
      </w:r>
      <w:r w:rsidR="0092315E" w:rsidRPr="00700A64">
        <w:rPr>
          <w:rFonts w:ascii="Book Antiqua" w:hAnsi="Book Antiqua"/>
        </w:rPr>
        <w:t xml:space="preserve"> The presence of </w:t>
      </w:r>
      <w:r w:rsidR="00254C05" w:rsidRPr="00700A64">
        <w:rPr>
          <w:rFonts w:ascii="Book Antiqua" w:hAnsi="Book Antiqua"/>
        </w:rPr>
        <w:t xml:space="preserve">different types of </w:t>
      </w:r>
      <w:r w:rsidR="0092315E" w:rsidRPr="00700A64">
        <w:rPr>
          <w:rFonts w:ascii="Book Antiqua" w:hAnsi="Book Antiqua"/>
        </w:rPr>
        <w:t xml:space="preserve">DCs in both </w:t>
      </w:r>
      <w:r w:rsidRPr="00700A64">
        <w:rPr>
          <w:rFonts w:ascii="Book Antiqua" w:hAnsi="Book Antiqua"/>
        </w:rPr>
        <w:t xml:space="preserve">the </w:t>
      </w:r>
      <w:r w:rsidR="0092315E" w:rsidRPr="00700A64">
        <w:rPr>
          <w:rFonts w:ascii="Book Antiqua" w:hAnsi="Book Antiqua"/>
        </w:rPr>
        <w:t xml:space="preserve">LP and </w:t>
      </w:r>
      <w:r w:rsidRPr="00700A64">
        <w:rPr>
          <w:rFonts w:ascii="Book Antiqua" w:hAnsi="Book Antiqua"/>
        </w:rPr>
        <w:t xml:space="preserve">the </w:t>
      </w:r>
      <w:r w:rsidR="0092315E" w:rsidRPr="00700A64">
        <w:rPr>
          <w:rFonts w:ascii="Book Antiqua" w:hAnsi="Book Antiqua"/>
        </w:rPr>
        <w:t>villous epithelium has also</w:t>
      </w:r>
      <w:r w:rsidRPr="00700A64">
        <w:rPr>
          <w:rFonts w:ascii="Book Antiqua" w:hAnsi="Book Antiqua"/>
        </w:rPr>
        <w:t xml:space="preserve"> been</w:t>
      </w:r>
      <w:r w:rsidR="0092315E" w:rsidRPr="00700A64">
        <w:rPr>
          <w:rFonts w:ascii="Book Antiqua" w:hAnsi="Book Antiqua"/>
        </w:rPr>
        <w:t xml:space="preserve"> shown by Farache </w:t>
      </w:r>
      <w:r w:rsidR="00B13CEC" w:rsidRPr="00B13CEC">
        <w:rPr>
          <w:rFonts w:ascii="Book Antiqua" w:hAnsi="Book Antiqua"/>
          <w:i/>
        </w:rPr>
        <w:t>et al</w:t>
      </w:r>
      <w:r w:rsidR="00AD082C" w:rsidRPr="00700A64">
        <w:rPr>
          <w:rFonts w:ascii="Book Antiqua" w:hAnsi="Book Antiqua"/>
          <w:vertAlign w:val="superscript"/>
        </w:rPr>
        <w:t>[</w:t>
      </w:r>
      <w:r w:rsidR="00D40A6D" w:rsidRPr="00700A64">
        <w:rPr>
          <w:rFonts w:ascii="Book Antiqua" w:hAnsi="Book Antiqua"/>
          <w:vertAlign w:val="superscript"/>
        </w:rPr>
        <w:t>4</w:t>
      </w:r>
      <w:r w:rsidR="00AD082C" w:rsidRPr="00700A64">
        <w:rPr>
          <w:rFonts w:ascii="Book Antiqua" w:hAnsi="Book Antiqua"/>
          <w:vertAlign w:val="superscript"/>
        </w:rPr>
        <w:t>5]</w:t>
      </w:r>
      <w:r w:rsidR="0092315E" w:rsidRPr="00700A64">
        <w:rPr>
          <w:rFonts w:ascii="Book Antiqua" w:hAnsi="Book Antiqua"/>
        </w:rPr>
        <w:t xml:space="preserve">. </w:t>
      </w:r>
      <w:r w:rsidR="0095390A" w:rsidRPr="00700A64">
        <w:rPr>
          <w:rFonts w:ascii="Book Antiqua" w:hAnsi="Book Antiqua"/>
        </w:rPr>
        <w:t xml:space="preserve">Because </w:t>
      </w:r>
      <w:r w:rsidR="00555B13" w:rsidRPr="00700A64">
        <w:rPr>
          <w:rFonts w:ascii="Book Antiqua" w:hAnsi="Book Antiqua"/>
        </w:rPr>
        <w:t xml:space="preserve">the density of Langerin+ DCs in </w:t>
      </w:r>
      <w:r w:rsidRPr="00700A64">
        <w:rPr>
          <w:rFonts w:ascii="Book Antiqua" w:hAnsi="Book Antiqua"/>
        </w:rPr>
        <w:t xml:space="preserve">the </w:t>
      </w:r>
      <w:r w:rsidR="00555B13" w:rsidRPr="00700A64">
        <w:rPr>
          <w:rFonts w:ascii="Book Antiqua" w:hAnsi="Book Antiqua"/>
        </w:rPr>
        <w:t>small bowel mucosa was significantly higher in C</w:t>
      </w:r>
      <w:r w:rsidR="002F2D0E" w:rsidRPr="00700A64">
        <w:rPr>
          <w:rFonts w:ascii="Book Antiqua" w:hAnsi="Book Antiqua"/>
        </w:rPr>
        <w:t>D</w:t>
      </w:r>
      <w:r w:rsidR="00555B13" w:rsidRPr="00700A64">
        <w:rPr>
          <w:rFonts w:ascii="Book Antiqua" w:hAnsi="Book Antiqua"/>
        </w:rPr>
        <w:t xml:space="preserve"> patients </w:t>
      </w:r>
      <w:r w:rsidR="00BA343C" w:rsidRPr="00700A64">
        <w:rPr>
          <w:rFonts w:ascii="Book Antiqua" w:hAnsi="Book Antiqua"/>
        </w:rPr>
        <w:t xml:space="preserve">compared </w:t>
      </w:r>
      <w:r w:rsidRPr="00700A64">
        <w:rPr>
          <w:rFonts w:ascii="Book Antiqua" w:hAnsi="Book Antiqua"/>
        </w:rPr>
        <w:t>with</w:t>
      </w:r>
      <w:r w:rsidR="00555B13" w:rsidRPr="00700A64">
        <w:rPr>
          <w:rFonts w:ascii="Book Antiqua" w:hAnsi="Book Antiqua"/>
        </w:rPr>
        <w:t xml:space="preserve"> persons with</w:t>
      </w:r>
      <w:r w:rsidRPr="00700A64">
        <w:rPr>
          <w:rFonts w:ascii="Book Antiqua" w:hAnsi="Book Antiqua"/>
        </w:rPr>
        <w:t xml:space="preserve"> </w:t>
      </w:r>
      <w:r w:rsidR="00555B13" w:rsidRPr="00700A64">
        <w:rPr>
          <w:rFonts w:ascii="Book Antiqua" w:hAnsi="Book Antiqua"/>
        </w:rPr>
        <w:t>normal intestinal mucosa</w:t>
      </w:r>
      <w:r w:rsidR="00B315AE" w:rsidRPr="00700A64">
        <w:rPr>
          <w:rFonts w:ascii="Book Antiqua" w:hAnsi="Book Antiqua"/>
        </w:rPr>
        <w:t xml:space="preserve">, these cells might </w:t>
      </w:r>
      <w:r w:rsidR="00254C05" w:rsidRPr="00700A64">
        <w:rPr>
          <w:rFonts w:ascii="Book Antiqua" w:hAnsi="Book Antiqua"/>
        </w:rPr>
        <w:t xml:space="preserve">indeed </w:t>
      </w:r>
      <w:r w:rsidR="009B6696" w:rsidRPr="00700A64">
        <w:rPr>
          <w:rFonts w:ascii="Book Antiqua" w:hAnsi="Book Antiqua"/>
        </w:rPr>
        <w:t xml:space="preserve">play </w:t>
      </w:r>
      <w:r w:rsidRPr="00700A64">
        <w:rPr>
          <w:rFonts w:ascii="Book Antiqua" w:hAnsi="Book Antiqua"/>
        </w:rPr>
        <w:t xml:space="preserve">a </w:t>
      </w:r>
      <w:r w:rsidR="00B315AE" w:rsidRPr="00700A64">
        <w:rPr>
          <w:rFonts w:ascii="Book Antiqua" w:hAnsi="Book Antiqua"/>
        </w:rPr>
        <w:t xml:space="preserve">specific role </w:t>
      </w:r>
      <w:r w:rsidR="009B6696" w:rsidRPr="00700A64">
        <w:rPr>
          <w:rFonts w:ascii="Book Antiqua" w:hAnsi="Book Antiqua"/>
        </w:rPr>
        <w:t xml:space="preserve">in </w:t>
      </w:r>
      <w:r w:rsidR="00B315AE" w:rsidRPr="00700A64">
        <w:rPr>
          <w:rFonts w:ascii="Book Antiqua" w:hAnsi="Book Antiqua"/>
        </w:rPr>
        <w:t>CD</w:t>
      </w:r>
      <w:r w:rsidR="00555B13" w:rsidRPr="00700A64">
        <w:rPr>
          <w:rFonts w:ascii="Book Antiqua" w:hAnsi="Book Antiqua"/>
        </w:rPr>
        <w:t xml:space="preserve">. </w:t>
      </w:r>
      <w:r w:rsidR="00254C05" w:rsidRPr="00700A64">
        <w:rPr>
          <w:rFonts w:ascii="Book Antiqua" w:hAnsi="Book Antiqua"/>
        </w:rPr>
        <w:t xml:space="preserve">This </w:t>
      </w:r>
      <w:r w:rsidR="0095390A" w:rsidRPr="00700A64">
        <w:rPr>
          <w:rFonts w:ascii="Book Antiqua" w:hAnsi="Book Antiqua"/>
        </w:rPr>
        <w:t xml:space="preserve">difference </w:t>
      </w:r>
      <w:r w:rsidRPr="00700A64">
        <w:rPr>
          <w:rFonts w:ascii="Book Antiqua" w:hAnsi="Book Antiqua"/>
        </w:rPr>
        <w:t xml:space="preserve">may </w:t>
      </w:r>
      <w:r w:rsidR="00254C05" w:rsidRPr="00700A64">
        <w:rPr>
          <w:rFonts w:ascii="Book Antiqua" w:hAnsi="Book Antiqua"/>
        </w:rPr>
        <w:t xml:space="preserve">be </w:t>
      </w:r>
      <w:r w:rsidRPr="00700A64">
        <w:rPr>
          <w:rFonts w:ascii="Book Antiqua" w:hAnsi="Book Antiqua"/>
        </w:rPr>
        <w:t xml:space="preserve">due </w:t>
      </w:r>
      <w:r w:rsidR="00254C05" w:rsidRPr="00700A64">
        <w:rPr>
          <w:rFonts w:ascii="Book Antiqua" w:hAnsi="Book Antiqua"/>
        </w:rPr>
        <w:t xml:space="preserve">to the </w:t>
      </w:r>
      <w:r w:rsidR="0095390A" w:rsidRPr="00700A64">
        <w:rPr>
          <w:rFonts w:ascii="Book Antiqua" w:hAnsi="Book Antiqua"/>
        </w:rPr>
        <w:t xml:space="preserve">capacity </w:t>
      </w:r>
      <w:r w:rsidR="00254C05" w:rsidRPr="00700A64">
        <w:rPr>
          <w:rFonts w:ascii="Book Antiqua" w:hAnsi="Book Antiqua"/>
        </w:rPr>
        <w:t>of</w:t>
      </w:r>
      <w:r w:rsidR="00555B13" w:rsidRPr="00700A64">
        <w:rPr>
          <w:rFonts w:ascii="Book Antiqua" w:hAnsi="Book Antiqua"/>
        </w:rPr>
        <w:t xml:space="preserve"> Langerin</w:t>
      </w:r>
      <w:r w:rsidR="00B315AE" w:rsidRPr="00700A64">
        <w:rPr>
          <w:rFonts w:ascii="Book Antiqua" w:hAnsi="Book Antiqua"/>
        </w:rPr>
        <w:t>+</w:t>
      </w:r>
      <w:r w:rsidR="0058181D" w:rsidRPr="00700A64">
        <w:rPr>
          <w:rFonts w:ascii="Book Antiqua" w:hAnsi="Book Antiqua"/>
        </w:rPr>
        <w:t xml:space="preserve"> DCs </w:t>
      </w:r>
      <w:r w:rsidR="00254C05" w:rsidRPr="00700A64">
        <w:rPr>
          <w:rFonts w:ascii="Book Antiqua" w:hAnsi="Book Antiqua"/>
        </w:rPr>
        <w:t>to take up and route the</w:t>
      </w:r>
      <w:r w:rsidR="00555B13" w:rsidRPr="00700A64">
        <w:rPr>
          <w:rFonts w:ascii="Book Antiqua" w:hAnsi="Book Antiqua"/>
        </w:rPr>
        <w:t xml:space="preserve"> antigen</w:t>
      </w:r>
      <w:r w:rsidR="00B315AE" w:rsidRPr="00700A64">
        <w:rPr>
          <w:rFonts w:ascii="Book Antiqua" w:hAnsi="Book Antiqua"/>
        </w:rPr>
        <w:t xml:space="preserve">(s) from </w:t>
      </w:r>
      <w:r w:rsidRPr="00700A64">
        <w:rPr>
          <w:rFonts w:ascii="Book Antiqua" w:hAnsi="Book Antiqua"/>
        </w:rPr>
        <w:t xml:space="preserve">the </w:t>
      </w:r>
      <w:r w:rsidR="00B315AE" w:rsidRPr="00700A64">
        <w:rPr>
          <w:rFonts w:ascii="Book Antiqua" w:hAnsi="Book Antiqua"/>
        </w:rPr>
        <w:t>epithelium</w:t>
      </w:r>
      <w:r w:rsidR="00555B13" w:rsidRPr="00700A64">
        <w:rPr>
          <w:rFonts w:ascii="Book Antiqua" w:hAnsi="Book Antiqua"/>
        </w:rPr>
        <w:t xml:space="preserve"> into the organelles</w:t>
      </w:r>
      <w:r w:rsidR="00D40A6D" w:rsidRPr="00700A64">
        <w:rPr>
          <w:rFonts w:ascii="Book Antiqua" w:hAnsi="Book Antiqua"/>
          <w:vertAlign w:val="superscript"/>
        </w:rPr>
        <w:t>44</w:t>
      </w:r>
      <w:r w:rsidR="009F636B" w:rsidRPr="00700A64">
        <w:rPr>
          <w:rFonts w:ascii="Book Antiqua" w:hAnsi="Book Antiqua"/>
        </w:rPr>
        <w:t>.</w:t>
      </w:r>
      <w:r w:rsidR="0067686E" w:rsidRPr="00700A64">
        <w:rPr>
          <w:rFonts w:ascii="Book Antiqua" w:hAnsi="Book Antiqua"/>
        </w:rPr>
        <w:t xml:space="preserve"> </w:t>
      </w:r>
      <w:r w:rsidR="00555B13" w:rsidRPr="00700A64">
        <w:rPr>
          <w:rFonts w:ascii="Book Antiqua" w:hAnsi="Book Antiqua"/>
        </w:rPr>
        <w:t>Rocher</w:t>
      </w:r>
      <w:r w:rsidR="00E673AA" w:rsidRPr="00700A64">
        <w:rPr>
          <w:rFonts w:ascii="Book Antiqua" w:hAnsi="Book Antiqua"/>
        </w:rPr>
        <w:t>e</w:t>
      </w:r>
      <w:r w:rsidR="00555B13" w:rsidRPr="00700A64">
        <w:rPr>
          <w:rFonts w:ascii="Book Antiqua" w:hAnsi="Book Antiqua"/>
        </w:rPr>
        <w:t xml:space="preserve">au </w:t>
      </w:r>
      <w:r w:rsidR="00B13CEC" w:rsidRPr="00B13CEC">
        <w:rPr>
          <w:rFonts w:ascii="Book Antiqua" w:hAnsi="Book Antiqua"/>
          <w:i/>
        </w:rPr>
        <w:t>et al</w:t>
      </w:r>
      <w:r w:rsidR="00AD082C" w:rsidRPr="00700A64">
        <w:rPr>
          <w:rFonts w:ascii="Book Antiqua" w:hAnsi="Book Antiqua"/>
          <w:vertAlign w:val="superscript"/>
        </w:rPr>
        <w:t>[</w:t>
      </w:r>
      <w:r w:rsidR="00D40A6D" w:rsidRPr="00700A64">
        <w:rPr>
          <w:rFonts w:ascii="Book Antiqua" w:hAnsi="Book Antiqua"/>
          <w:vertAlign w:val="superscript"/>
        </w:rPr>
        <w:t>4</w:t>
      </w:r>
      <w:r w:rsidR="00AD082C" w:rsidRPr="00700A64">
        <w:rPr>
          <w:rFonts w:ascii="Book Antiqua" w:hAnsi="Book Antiqua"/>
          <w:vertAlign w:val="superscript"/>
        </w:rPr>
        <w:t>6]</w:t>
      </w:r>
      <w:r w:rsidR="00D40A6D" w:rsidRPr="00700A64">
        <w:rPr>
          <w:rFonts w:ascii="Book Antiqua" w:hAnsi="Book Antiqua"/>
          <w:vertAlign w:val="superscript"/>
        </w:rPr>
        <w:t xml:space="preserve"> </w:t>
      </w:r>
      <w:r w:rsidR="00742C32" w:rsidRPr="00700A64">
        <w:rPr>
          <w:rFonts w:ascii="Book Antiqua" w:hAnsi="Book Antiqua"/>
        </w:rPr>
        <w:t>confirmed</w:t>
      </w:r>
      <w:r w:rsidR="00555B13" w:rsidRPr="00700A64">
        <w:rPr>
          <w:rFonts w:ascii="Book Antiqua" w:hAnsi="Book Antiqua"/>
        </w:rPr>
        <w:t xml:space="preserve"> the presence of CD11c+/Langerin+ </w:t>
      </w:r>
      <w:r w:rsidR="00742C32" w:rsidRPr="00700A64">
        <w:rPr>
          <w:rFonts w:ascii="Book Antiqua" w:hAnsi="Book Antiqua"/>
        </w:rPr>
        <w:t>DCs</w:t>
      </w:r>
      <w:r w:rsidR="007452F6" w:rsidRPr="00700A64">
        <w:rPr>
          <w:rFonts w:ascii="Book Antiqua" w:hAnsi="Book Antiqua"/>
        </w:rPr>
        <w:t xml:space="preserve"> </w:t>
      </w:r>
      <w:r w:rsidR="00555B13" w:rsidRPr="00700A64">
        <w:rPr>
          <w:rFonts w:ascii="Book Antiqua" w:hAnsi="Book Antiqua"/>
        </w:rPr>
        <w:t xml:space="preserve">in mouse </w:t>
      </w:r>
      <w:r w:rsidR="00742C32" w:rsidRPr="00700A64">
        <w:rPr>
          <w:rFonts w:ascii="Book Antiqua" w:hAnsi="Book Antiqua"/>
        </w:rPr>
        <w:t>P</w:t>
      </w:r>
      <w:r w:rsidR="00254C05" w:rsidRPr="00700A64">
        <w:rPr>
          <w:rFonts w:ascii="Book Antiqua" w:hAnsi="Book Antiqua"/>
        </w:rPr>
        <w:t>e</w:t>
      </w:r>
      <w:r w:rsidR="00742C32" w:rsidRPr="00700A64">
        <w:rPr>
          <w:rFonts w:ascii="Book Antiqua" w:hAnsi="Book Antiqua"/>
        </w:rPr>
        <w:t>yer</w:t>
      </w:r>
      <w:r w:rsidR="002704B7" w:rsidRPr="00700A64">
        <w:rPr>
          <w:rFonts w:ascii="Book Antiqua" w:hAnsi="Book Antiqua"/>
        </w:rPr>
        <w:t>’s</w:t>
      </w:r>
      <w:r w:rsidR="00555B13" w:rsidRPr="00700A64">
        <w:rPr>
          <w:rFonts w:ascii="Book Antiqua" w:hAnsi="Book Antiqua"/>
        </w:rPr>
        <w:t xml:space="preserve"> Patches</w:t>
      </w:r>
      <w:r w:rsidR="009B6696" w:rsidRPr="00700A64">
        <w:rPr>
          <w:rFonts w:ascii="Book Antiqua" w:hAnsi="Book Antiqua"/>
        </w:rPr>
        <w:t>,</w:t>
      </w:r>
      <w:r w:rsidR="00555B13" w:rsidRPr="00700A64">
        <w:rPr>
          <w:rFonts w:ascii="Book Antiqua" w:hAnsi="Book Antiqua"/>
        </w:rPr>
        <w:t xml:space="preserve"> located predominantly in the dome region, which </w:t>
      </w:r>
      <w:r w:rsidR="00555B13" w:rsidRPr="00700A64">
        <w:rPr>
          <w:rFonts w:ascii="Book Antiqua" w:hAnsi="Book Antiqua"/>
        </w:rPr>
        <w:lastRenderedPageBreak/>
        <w:t>support</w:t>
      </w:r>
      <w:r w:rsidRPr="00700A64">
        <w:rPr>
          <w:rFonts w:ascii="Book Antiqua" w:hAnsi="Book Antiqua"/>
        </w:rPr>
        <w:t>s</w:t>
      </w:r>
      <w:r w:rsidR="00555B13" w:rsidRPr="00700A64">
        <w:rPr>
          <w:rFonts w:ascii="Book Antiqua" w:hAnsi="Book Antiqua"/>
        </w:rPr>
        <w:t xml:space="preserve"> their function in </w:t>
      </w:r>
      <w:r w:rsidR="009B6696" w:rsidRPr="00700A64">
        <w:rPr>
          <w:rFonts w:ascii="Book Antiqua" w:hAnsi="Book Antiqua"/>
        </w:rPr>
        <w:t>antigen</w:t>
      </w:r>
      <w:r w:rsidR="009B6696" w:rsidRPr="00700A64" w:rsidDel="009B6696">
        <w:rPr>
          <w:rFonts w:ascii="Book Antiqua" w:hAnsi="Book Antiqua"/>
        </w:rPr>
        <w:t xml:space="preserve"> </w:t>
      </w:r>
      <w:r w:rsidR="00555B13" w:rsidRPr="00700A64">
        <w:rPr>
          <w:rFonts w:ascii="Book Antiqua" w:hAnsi="Book Antiqua"/>
        </w:rPr>
        <w:t>uptake</w:t>
      </w:r>
      <w:r w:rsidR="007232D2" w:rsidRPr="00700A64">
        <w:rPr>
          <w:rFonts w:ascii="Book Antiqua" w:hAnsi="Book Antiqua"/>
        </w:rPr>
        <w:t>.</w:t>
      </w:r>
      <w:r w:rsidR="00B315AE" w:rsidRPr="00700A64">
        <w:rPr>
          <w:rFonts w:ascii="Book Antiqua" w:hAnsi="Book Antiqua"/>
        </w:rPr>
        <w:t xml:space="preserve"> </w:t>
      </w:r>
      <w:r w:rsidR="00BA343C" w:rsidRPr="00700A64">
        <w:rPr>
          <w:rFonts w:ascii="Book Antiqua" w:hAnsi="Book Antiqua"/>
        </w:rPr>
        <w:t>However, Langerin+ DCs could be active</w:t>
      </w:r>
      <w:r w:rsidRPr="00700A64">
        <w:rPr>
          <w:rFonts w:ascii="Book Antiqua" w:hAnsi="Book Antiqua"/>
        </w:rPr>
        <w:t>ly</w:t>
      </w:r>
      <w:r w:rsidR="00BA343C" w:rsidRPr="00700A64">
        <w:rPr>
          <w:rFonts w:ascii="Book Antiqua" w:hAnsi="Book Antiqua"/>
        </w:rPr>
        <w:t xml:space="preserve"> recruited to the</w:t>
      </w:r>
      <w:r w:rsidR="000719D6" w:rsidRPr="00700A64">
        <w:rPr>
          <w:rFonts w:ascii="Book Antiqua" w:hAnsi="Book Antiqua"/>
        </w:rPr>
        <w:t xml:space="preserve"> CD</w:t>
      </w:r>
      <w:r w:rsidR="00BA343C" w:rsidRPr="00700A64">
        <w:rPr>
          <w:rFonts w:ascii="Book Antiqua" w:hAnsi="Book Antiqua"/>
        </w:rPr>
        <w:t xml:space="preserve"> </w:t>
      </w:r>
      <w:r w:rsidR="000719D6" w:rsidRPr="00700A64">
        <w:rPr>
          <w:rFonts w:ascii="Book Antiqua" w:hAnsi="Book Antiqua"/>
        </w:rPr>
        <w:t xml:space="preserve">mucosa </w:t>
      </w:r>
      <w:r w:rsidR="00BA343C" w:rsidRPr="00700A64">
        <w:rPr>
          <w:rFonts w:ascii="Book Antiqua" w:hAnsi="Book Antiqua"/>
        </w:rPr>
        <w:t xml:space="preserve">through </w:t>
      </w:r>
      <w:r w:rsidR="009B6696" w:rsidRPr="00700A64">
        <w:rPr>
          <w:rFonts w:ascii="Book Antiqua" w:hAnsi="Book Antiqua"/>
        </w:rPr>
        <w:t xml:space="preserve">their </w:t>
      </w:r>
      <w:r w:rsidR="00BA343C" w:rsidRPr="00700A64">
        <w:rPr>
          <w:rFonts w:ascii="Book Antiqua" w:hAnsi="Book Antiqua"/>
        </w:rPr>
        <w:t>binding to</w:t>
      </w:r>
      <w:r w:rsidR="00D5065A" w:rsidRPr="00700A64">
        <w:rPr>
          <w:rFonts w:ascii="Book Antiqua" w:hAnsi="Book Antiqua"/>
        </w:rPr>
        <w:t xml:space="preserve"> different sugar residues on microorganisms</w:t>
      </w:r>
      <w:r w:rsidR="009B6696" w:rsidRPr="00700A64">
        <w:rPr>
          <w:rFonts w:ascii="Book Antiqua" w:hAnsi="Book Antiqua"/>
        </w:rPr>
        <w:t>,</w:t>
      </w:r>
      <w:r w:rsidR="00D5065A" w:rsidRPr="00700A64">
        <w:rPr>
          <w:rFonts w:ascii="Book Antiqua" w:hAnsi="Book Antiqua"/>
        </w:rPr>
        <w:t xml:space="preserve"> and some </w:t>
      </w:r>
      <w:r w:rsidR="006D5401" w:rsidRPr="00700A64">
        <w:rPr>
          <w:rFonts w:ascii="Book Antiqua" w:hAnsi="Book Antiqua"/>
        </w:rPr>
        <w:t xml:space="preserve">of these </w:t>
      </w:r>
      <w:r w:rsidR="009B6696" w:rsidRPr="00700A64">
        <w:rPr>
          <w:rFonts w:ascii="Book Antiqua" w:hAnsi="Book Antiqua"/>
        </w:rPr>
        <w:t xml:space="preserve">interactions </w:t>
      </w:r>
      <w:r w:rsidR="00D5065A" w:rsidRPr="00700A64">
        <w:rPr>
          <w:rFonts w:ascii="Book Antiqua" w:hAnsi="Book Antiqua"/>
        </w:rPr>
        <w:t xml:space="preserve">might be </w:t>
      </w:r>
      <w:r w:rsidR="00FD6716" w:rsidRPr="00700A64">
        <w:rPr>
          <w:rFonts w:ascii="Book Antiqua" w:hAnsi="Book Antiqua"/>
        </w:rPr>
        <w:t>directly</w:t>
      </w:r>
      <w:r w:rsidR="00D5065A" w:rsidRPr="00700A64">
        <w:rPr>
          <w:rFonts w:ascii="Book Antiqua" w:hAnsi="Book Antiqua"/>
        </w:rPr>
        <w:t xml:space="preserve"> connected to CD development</w:t>
      </w:r>
      <w:r w:rsidR="00AD082C" w:rsidRPr="00700A64">
        <w:rPr>
          <w:rFonts w:ascii="Book Antiqua" w:hAnsi="Book Antiqua"/>
          <w:vertAlign w:val="superscript"/>
        </w:rPr>
        <w:t>[</w:t>
      </w:r>
      <w:r w:rsidR="00D40A6D" w:rsidRPr="00700A64">
        <w:rPr>
          <w:rFonts w:ascii="Book Antiqua" w:hAnsi="Book Antiqua"/>
          <w:vertAlign w:val="superscript"/>
        </w:rPr>
        <w:t>4</w:t>
      </w:r>
      <w:r w:rsidR="00AD082C" w:rsidRPr="00700A64">
        <w:rPr>
          <w:rFonts w:ascii="Book Antiqua" w:hAnsi="Book Antiqua"/>
          <w:vertAlign w:val="superscript"/>
        </w:rPr>
        <w:t>7]</w:t>
      </w:r>
      <w:r w:rsidR="009F636B" w:rsidRPr="00700A64">
        <w:rPr>
          <w:rFonts w:ascii="Book Antiqua" w:hAnsi="Book Antiqua"/>
        </w:rPr>
        <w:t>.</w:t>
      </w:r>
      <w:r w:rsidR="003834B7" w:rsidRPr="00700A64">
        <w:rPr>
          <w:rFonts w:ascii="Book Antiqua" w:hAnsi="Book Antiqua"/>
        </w:rPr>
        <w:t xml:space="preserve"> </w:t>
      </w:r>
      <w:r w:rsidR="00800081" w:rsidRPr="00700A64">
        <w:rPr>
          <w:rFonts w:ascii="Book Antiqua" w:hAnsi="Book Antiqua"/>
        </w:rPr>
        <w:t xml:space="preserve">The </w:t>
      </w:r>
      <w:r w:rsidR="009B6696" w:rsidRPr="00700A64">
        <w:rPr>
          <w:rFonts w:ascii="Book Antiqua" w:hAnsi="Book Antiqua"/>
        </w:rPr>
        <w:t xml:space="preserve">binding of </w:t>
      </w:r>
      <w:r w:rsidR="00800081" w:rsidRPr="00700A64">
        <w:rPr>
          <w:rFonts w:ascii="Book Antiqua" w:hAnsi="Book Antiqua"/>
        </w:rPr>
        <w:t xml:space="preserve">Langerin+ DCs to </w:t>
      </w:r>
      <w:r w:rsidR="00BA343C" w:rsidRPr="00700A64">
        <w:rPr>
          <w:rFonts w:ascii="Book Antiqua" w:hAnsi="Book Antiqua"/>
        </w:rPr>
        <w:t>heparin</w:t>
      </w:r>
      <w:r w:rsidR="00AD082C" w:rsidRPr="00700A64">
        <w:rPr>
          <w:rFonts w:ascii="Book Antiqua" w:hAnsi="Book Antiqua"/>
          <w:vertAlign w:val="superscript"/>
        </w:rPr>
        <w:t>[</w:t>
      </w:r>
      <w:r w:rsidR="00D40A6D" w:rsidRPr="00700A64">
        <w:rPr>
          <w:rFonts w:ascii="Book Antiqua" w:hAnsi="Book Antiqua"/>
          <w:vertAlign w:val="superscript"/>
        </w:rPr>
        <w:t>4</w:t>
      </w:r>
      <w:r w:rsidR="00AD082C" w:rsidRPr="00700A64">
        <w:rPr>
          <w:rFonts w:ascii="Book Antiqua" w:hAnsi="Book Antiqua"/>
          <w:vertAlign w:val="superscript"/>
        </w:rPr>
        <w:t>8]</w:t>
      </w:r>
      <w:r w:rsidRPr="00700A64">
        <w:rPr>
          <w:rFonts w:ascii="Book Antiqua" w:hAnsi="Book Antiqua"/>
        </w:rPr>
        <w:t>,</w:t>
      </w:r>
      <w:r w:rsidR="006D5401" w:rsidRPr="00700A64">
        <w:rPr>
          <w:rFonts w:ascii="Book Antiqua" w:hAnsi="Book Antiqua"/>
        </w:rPr>
        <w:t xml:space="preserve"> </w:t>
      </w:r>
      <w:r w:rsidR="0062009D" w:rsidRPr="00700A64">
        <w:rPr>
          <w:rFonts w:ascii="Book Antiqua" w:hAnsi="Book Antiqua"/>
        </w:rPr>
        <w:t>which</w:t>
      </w:r>
      <w:r w:rsidR="000719D6" w:rsidRPr="00700A64">
        <w:rPr>
          <w:rFonts w:ascii="Book Antiqua" w:hAnsi="Book Antiqua"/>
        </w:rPr>
        <w:t xml:space="preserve"> is </w:t>
      </w:r>
      <w:r w:rsidR="00800081" w:rsidRPr="00700A64">
        <w:rPr>
          <w:rFonts w:ascii="Book Antiqua" w:hAnsi="Book Antiqua"/>
        </w:rPr>
        <w:t xml:space="preserve">reactive to </w:t>
      </w:r>
      <w:r w:rsidRPr="00700A64">
        <w:rPr>
          <w:rFonts w:ascii="Book Antiqua" w:hAnsi="Book Antiqua"/>
        </w:rPr>
        <w:t xml:space="preserve">the </w:t>
      </w:r>
      <w:r w:rsidR="009B6696" w:rsidRPr="00700A64">
        <w:rPr>
          <w:rFonts w:ascii="Book Antiqua" w:hAnsi="Book Antiqua"/>
        </w:rPr>
        <w:t>disease-</w:t>
      </w:r>
      <w:r w:rsidR="00800081" w:rsidRPr="00700A64">
        <w:rPr>
          <w:rFonts w:ascii="Book Antiqua" w:hAnsi="Book Antiqua"/>
        </w:rPr>
        <w:t xml:space="preserve">specific autoantigen </w:t>
      </w:r>
      <w:r w:rsidR="000719D6" w:rsidRPr="00700A64">
        <w:rPr>
          <w:rFonts w:ascii="Book Antiqua" w:hAnsi="Book Antiqua"/>
        </w:rPr>
        <w:t>tTG</w:t>
      </w:r>
      <w:r w:rsidRPr="00700A64">
        <w:rPr>
          <w:rFonts w:ascii="Book Antiqua" w:hAnsi="Book Antiqua"/>
        </w:rPr>
        <w:t>,</w:t>
      </w:r>
      <w:r w:rsidR="00800081" w:rsidRPr="00700A64">
        <w:rPr>
          <w:rFonts w:ascii="Book Antiqua" w:hAnsi="Book Antiqua"/>
        </w:rPr>
        <w:t xml:space="preserve"> </w:t>
      </w:r>
      <w:r w:rsidR="006D5401" w:rsidRPr="00700A64">
        <w:rPr>
          <w:rFonts w:ascii="Book Antiqua" w:hAnsi="Book Antiqua"/>
        </w:rPr>
        <w:t>might have an additional impact</w:t>
      </w:r>
      <w:r w:rsidR="00A47E3F" w:rsidRPr="00700A64">
        <w:rPr>
          <w:rFonts w:ascii="Book Antiqua" w:hAnsi="Book Antiqua"/>
        </w:rPr>
        <w:t>,</w:t>
      </w:r>
      <w:r w:rsidR="00144DFD" w:rsidRPr="00700A64">
        <w:rPr>
          <w:rFonts w:ascii="Book Antiqua" w:hAnsi="Book Antiqua"/>
        </w:rPr>
        <w:t xml:space="preserve"> </w:t>
      </w:r>
      <w:r w:rsidR="00A47E3F" w:rsidRPr="00700A64">
        <w:rPr>
          <w:rFonts w:ascii="Book Antiqua" w:hAnsi="Book Antiqua"/>
        </w:rPr>
        <w:t xml:space="preserve">namely </w:t>
      </w:r>
      <w:r w:rsidR="00144DFD" w:rsidRPr="00700A64">
        <w:rPr>
          <w:rFonts w:ascii="Book Antiqua" w:hAnsi="Book Antiqua"/>
        </w:rPr>
        <w:t>because</w:t>
      </w:r>
      <w:r w:rsidR="00A47E3F" w:rsidRPr="00700A64">
        <w:rPr>
          <w:rFonts w:ascii="Book Antiqua" w:hAnsi="Book Antiqua"/>
        </w:rPr>
        <w:t xml:space="preserve"> the</w:t>
      </w:r>
      <w:r w:rsidR="00144DFD" w:rsidRPr="00700A64">
        <w:rPr>
          <w:rFonts w:ascii="Book Antiqua" w:hAnsi="Book Antiqua"/>
        </w:rPr>
        <w:t xml:space="preserve"> </w:t>
      </w:r>
      <w:r w:rsidR="006D5401" w:rsidRPr="00700A64">
        <w:rPr>
          <w:rFonts w:ascii="Book Antiqua" w:hAnsi="Book Antiqua"/>
        </w:rPr>
        <w:t>heparin-binding residues of tTG are</w:t>
      </w:r>
      <w:r w:rsidR="004B521A" w:rsidRPr="00700A64">
        <w:rPr>
          <w:rFonts w:ascii="Book Antiqua" w:hAnsi="Book Antiqua"/>
        </w:rPr>
        <w:t xml:space="preserve"> strong</w:t>
      </w:r>
      <w:r w:rsidR="006D5401" w:rsidRPr="00700A64">
        <w:rPr>
          <w:rFonts w:ascii="Book Antiqua" w:hAnsi="Book Antiqua"/>
        </w:rPr>
        <w:t xml:space="preserve"> </w:t>
      </w:r>
      <w:r w:rsidR="004B521A" w:rsidRPr="00700A64">
        <w:rPr>
          <w:rFonts w:ascii="Book Antiqua" w:hAnsi="Book Antiqua"/>
        </w:rPr>
        <w:t>autoantigenic epitopes</w:t>
      </w:r>
      <w:r w:rsidR="00AD082C" w:rsidRPr="00700A64">
        <w:rPr>
          <w:rFonts w:ascii="Book Antiqua" w:hAnsi="Book Antiqua"/>
          <w:vertAlign w:val="superscript"/>
        </w:rPr>
        <w:t>[</w:t>
      </w:r>
      <w:r w:rsidR="00D40A6D" w:rsidRPr="00700A64">
        <w:rPr>
          <w:rFonts w:ascii="Book Antiqua" w:hAnsi="Book Antiqua"/>
          <w:vertAlign w:val="superscript"/>
        </w:rPr>
        <w:t>4</w:t>
      </w:r>
      <w:r w:rsidR="00AD082C" w:rsidRPr="00700A64">
        <w:rPr>
          <w:rFonts w:ascii="Book Antiqua" w:hAnsi="Book Antiqua"/>
          <w:vertAlign w:val="superscript"/>
        </w:rPr>
        <w:t>9]</w:t>
      </w:r>
      <w:r w:rsidR="009F636B" w:rsidRPr="00700A64">
        <w:rPr>
          <w:rFonts w:ascii="Book Antiqua" w:hAnsi="Book Antiqua"/>
        </w:rPr>
        <w:t>.</w:t>
      </w:r>
    </w:p>
    <w:p w:rsidR="00CA580B" w:rsidRPr="00700A64" w:rsidRDefault="00EF0BAE"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 xml:space="preserve">One of the limitations of the study is related to </w:t>
      </w:r>
      <w:r w:rsidR="0093016F" w:rsidRPr="00700A64">
        <w:rPr>
          <w:rFonts w:ascii="Book Antiqua" w:hAnsi="Book Antiqua"/>
        </w:rPr>
        <w:t xml:space="preserve">a </w:t>
      </w:r>
      <w:r w:rsidRPr="00700A64">
        <w:rPr>
          <w:rFonts w:ascii="Book Antiqua" w:hAnsi="Book Antiqua"/>
        </w:rPr>
        <w:t xml:space="preserve">gender </w:t>
      </w:r>
      <w:r w:rsidR="00A47E3F" w:rsidRPr="00700A64">
        <w:rPr>
          <w:rFonts w:ascii="Book Antiqua" w:hAnsi="Book Antiqua"/>
        </w:rPr>
        <w:t>im</w:t>
      </w:r>
      <w:r w:rsidRPr="00700A64">
        <w:rPr>
          <w:rFonts w:ascii="Book Antiqua" w:hAnsi="Book Antiqua"/>
        </w:rPr>
        <w:t xml:space="preserve">balance between </w:t>
      </w:r>
      <w:r w:rsidR="0093016F" w:rsidRPr="00700A64">
        <w:rPr>
          <w:rFonts w:ascii="Book Antiqua" w:hAnsi="Book Antiqua"/>
        </w:rPr>
        <w:t xml:space="preserve">the </w:t>
      </w:r>
      <w:r w:rsidRPr="00700A64">
        <w:rPr>
          <w:rFonts w:ascii="Book Antiqua" w:hAnsi="Book Antiqua"/>
        </w:rPr>
        <w:t>study groups</w:t>
      </w:r>
      <w:r w:rsidR="0093016F" w:rsidRPr="00700A64">
        <w:rPr>
          <w:rFonts w:ascii="Book Antiqua" w:hAnsi="Book Antiqua"/>
        </w:rPr>
        <w:t>,</w:t>
      </w:r>
      <w:r w:rsidRPr="00700A64">
        <w:rPr>
          <w:rFonts w:ascii="Book Antiqua" w:hAnsi="Book Antiqua"/>
        </w:rPr>
        <w:t xml:space="preserve"> </w:t>
      </w:r>
      <w:r w:rsidR="0093016F" w:rsidRPr="00700A64">
        <w:rPr>
          <w:rFonts w:ascii="Book Antiqua" w:hAnsi="Book Antiqua"/>
        </w:rPr>
        <w:t>which</w:t>
      </w:r>
      <w:r w:rsidRPr="00700A64">
        <w:rPr>
          <w:rFonts w:ascii="Book Antiqua" w:hAnsi="Book Antiqua"/>
        </w:rPr>
        <w:t xml:space="preserve"> might</w:t>
      </w:r>
      <w:r w:rsidR="0093016F" w:rsidRPr="00700A64">
        <w:rPr>
          <w:rFonts w:ascii="Book Antiqua" w:hAnsi="Book Antiqua"/>
        </w:rPr>
        <w:t xml:space="preserve"> have</w:t>
      </w:r>
      <w:r w:rsidR="00A47E3F" w:rsidRPr="00700A64">
        <w:rPr>
          <w:rFonts w:ascii="Book Antiqua" w:hAnsi="Book Antiqua"/>
        </w:rPr>
        <w:t xml:space="preserve"> an</w:t>
      </w:r>
      <w:r w:rsidRPr="00700A64">
        <w:rPr>
          <w:rFonts w:ascii="Book Antiqua" w:hAnsi="Book Antiqua"/>
        </w:rPr>
        <w:t xml:space="preserve"> influence</w:t>
      </w:r>
      <w:r w:rsidR="0093016F" w:rsidRPr="00700A64">
        <w:rPr>
          <w:rFonts w:ascii="Book Antiqua" w:hAnsi="Book Antiqua"/>
        </w:rPr>
        <w:t xml:space="preserve"> </w:t>
      </w:r>
      <w:r w:rsidR="00A47E3F" w:rsidRPr="00700A64">
        <w:rPr>
          <w:rFonts w:ascii="Book Antiqua" w:hAnsi="Book Antiqua"/>
        </w:rPr>
        <w:t xml:space="preserve">on </w:t>
      </w:r>
      <w:r w:rsidR="0093016F" w:rsidRPr="00700A64">
        <w:rPr>
          <w:rFonts w:ascii="Book Antiqua" w:hAnsi="Book Antiqua"/>
        </w:rPr>
        <w:t>the</w:t>
      </w:r>
      <w:r w:rsidRPr="00700A64">
        <w:rPr>
          <w:rFonts w:ascii="Book Antiqua" w:hAnsi="Book Antiqua"/>
        </w:rPr>
        <w:t xml:space="preserve"> results. </w:t>
      </w:r>
      <w:r w:rsidR="00A47E3F" w:rsidRPr="00700A64">
        <w:rPr>
          <w:rFonts w:ascii="Book Antiqua" w:hAnsi="Book Antiqua"/>
        </w:rPr>
        <w:t>I</w:t>
      </w:r>
      <w:r w:rsidR="00FD6716" w:rsidRPr="00700A64">
        <w:rPr>
          <w:rFonts w:ascii="Book Antiqua" w:hAnsi="Book Antiqua"/>
        </w:rPr>
        <w:t>n female</w:t>
      </w:r>
      <w:r w:rsidR="00802041" w:rsidRPr="00700A64">
        <w:rPr>
          <w:rFonts w:ascii="Book Antiqua" w:hAnsi="Book Antiqua"/>
        </w:rPr>
        <w:t xml:space="preserve"> </w:t>
      </w:r>
      <w:r w:rsidR="0093016F" w:rsidRPr="00700A64">
        <w:rPr>
          <w:rFonts w:ascii="Book Antiqua" w:hAnsi="Book Antiqua"/>
        </w:rPr>
        <w:t>patients</w:t>
      </w:r>
      <w:r w:rsidR="00A47E3F" w:rsidRPr="00700A64">
        <w:rPr>
          <w:rFonts w:ascii="Book Antiqua" w:hAnsi="Book Antiqua"/>
        </w:rPr>
        <w:t>,</w:t>
      </w:r>
      <w:r w:rsidR="00FD6716" w:rsidRPr="00700A64">
        <w:rPr>
          <w:rFonts w:ascii="Book Antiqua" w:hAnsi="Book Antiqua"/>
        </w:rPr>
        <w:t xml:space="preserve"> the density of DCs in</w:t>
      </w:r>
      <w:r w:rsidR="0093016F" w:rsidRPr="00700A64">
        <w:rPr>
          <w:rFonts w:ascii="Book Antiqua" w:hAnsi="Book Antiqua"/>
        </w:rPr>
        <w:t xml:space="preserve"> </w:t>
      </w:r>
      <w:r w:rsidR="00FD6716" w:rsidRPr="00700A64">
        <w:rPr>
          <w:rFonts w:ascii="Book Antiqua" w:hAnsi="Book Antiqua"/>
        </w:rPr>
        <w:t xml:space="preserve">normal small bowel mucosa was significantly higher </w:t>
      </w:r>
      <w:r w:rsidR="0093016F" w:rsidRPr="00700A64">
        <w:rPr>
          <w:rFonts w:ascii="Book Antiqua" w:hAnsi="Book Antiqua"/>
        </w:rPr>
        <w:t xml:space="preserve">compared with </w:t>
      </w:r>
      <w:r w:rsidR="00FD6716" w:rsidRPr="00700A64">
        <w:rPr>
          <w:rFonts w:ascii="Book Antiqua" w:hAnsi="Book Antiqua"/>
        </w:rPr>
        <w:t>male</w:t>
      </w:r>
      <w:r w:rsidR="0093016F" w:rsidRPr="00700A64">
        <w:rPr>
          <w:rFonts w:ascii="Book Antiqua" w:hAnsi="Book Antiqua"/>
        </w:rPr>
        <w:t xml:space="preserve"> patients</w:t>
      </w:r>
      <w:r w:rsidR="00FD6716" w:rsidRPr="00700A64">
        <w:rPr>
          <w:rFonts w:ascii="Book Antiqua" w:hAnsi="Book Antiqua"/>
        </w:rPr>
        <w:t xml:space="preserve">. This </w:t>
      </w:r>
      <w:r w:rsidR="00B72BEF" w:rsidRPr="00700A64">
        <w:rPr>
          <w:rFonts w:ascii="Book Antiqua" w:hAnsi="Book Antiqua"/>
        </w:rPr>
        <w:t xml:space="preserve">difference </w:t>
      </w:r>
      <w:r w:rsidR="00FD6716" w:rsidRPr="00700A64">
        <w:rPr>
          <w:rFonts w:ascii="Book Antiqua" w:hAnsi="Book Antiqua"/>
        </w:rPr>
        <w:t>indicate</w:t>
      </w:r>
      <w:r w:rsidR="00A47E3F" w:rsidRPr="00700A64">
        <w:rPr>
          <w:rFonts w:ascii="Book Antiqua" w:hAnsi="Book Antiqua"/>
        </w:rPr>
        <w:t>s</w:t>
      </w:r>
      <w:r w:rsidR="00FD6716" w:rsidRPr="00700A64">
        <w:rPr>
          <w:rFonts w:ascii="Book Antiqua" w:hAnsi="Book Antiqua"/>
        </w:rPr>
        <w:t xml:space="preserve"> that some results </w:t>
      </w:r>
      <w:r w:rsidR="00A47E3F" w:rsidRPr="00700A64">
        <w:rPr>
          <w:rFonts w:ascii="Book Antiqua" w:hAnsi="Book Antiqua"/>
        </w:rPr>
        <w:t xml:space="preserve">may </w:t>
      </w:r>
      <w:r w:rsidR="0093016F" w:rsidRPr="00700A64">
        <w:rPr>
          <w:rFonts w:ascii="Book Antiqua" w:hAnsi="Book Antiqua"/>
        </w:rPr>
        <w:t xml:space="preserve">have been </w:t>
      </w:r>
      <w:r w:rsidR="00FD6716" w:rsidRPr="00700A64">
        <w:rPr>
          <w:rFonts w:ascii="Book Antiqua" w:hAnsi="Book Antiqua"/>
        </w:rPr>
        <w:t xml:space="preserve">skewed due to divergences in the composition of </w:t>
      </w:r>
      <w:r w:rsidR="0093016F" w:rsidRPr="00700A64">
        <w:rPr>
          <w:rFonts w:ascii="Book Antiqua" w:hAnsi="Book Antiqua"/>
        </w:rPr>
        <w:t xml:space="preserve">the </w:t>
      </w:r>
      <w:r w:rsidR="00FD6716" w:rsidRPr="00700A64">
        <w:rPr>
          <w:rFonts w:ascii="Book Antiqua" w:hAnsi="Book Antiqua"/>
        </w:rPr>
        <w:t xml:space="preserve">study groups. </w:t>
      </w:r>
      <w:r w:rsidR="003E248A" w:rsidRPr="00700A64">
        <w:rPr>
          <w:rFonts w:ascii="Book Antiqua" w:hAnsi="Book Antiqua"/>
        </w:rPr>
        <w:t>However,</w:t>
      </w:r>
      <w:r w:rsidR="00531928" w:rsidRPr="00700A64">
        <w:rPr>
          <w:rFonts w:ascii="Book Antiqua" w:hAnsi="Book Antiqua"/>
        </w:rPr>
        <w:t xml:space="preserve"> </w:t>
      </w:r>
      <w:r w:rsidR="00CA580B" w:rsidRPr="00700A64">
        <w:rPr>
          <w:rFonts w:ascii="Book Antiqua" w:hAnsi="Book Antiqua"/>
        </w:rPr>
        <w:t xml:space="preserve">Sankaran-Walters </w:t>
      </w:r>
      <w:r w:rsidR="00B13CEC" w:rsidRPr="00B13CEC">
        <w:rPr>
          <w:rFonts w:ascii="Book Antiqua" w:hAnsi="Book Antiqua"/>
          <w:i/>
        </w:rPr>
        <w:t>et al</w:t>
      </w:r>
      <w:r w:rsidR="00AD082C" w:rsidRPr="00700A64">
        <w:rPr>
          <w:rFonts w:ascii="Book Antiqua" w:hAnsi="Book Antiqua"/>
          <w:vertAlign w:val="superscript"/>
        </w:rPr>
        <w:t>[50]</w:t>
      </w:r>
      <w:r w:rsidR="00D40A6D" w:rsidRPr="00700A64">
        <w:rPr>
          <w:rFonts w:ascii="Book Antiqua" w:hAnsi="Book Antiqua"/>
        </w:rPr>
        <w:t xml:space="preserve"> </w:t>
      </w:r>
      <w:r w:rsidR="00011E5A" w:rsidRPr="00700A64">
        <w:rPr>
          <w:rFonts w:ascii="Book Antiqua" w:hAnsi="Book Antiqua"/>
        </w:rPr>
        <w:t xml:space="preserve">showed that women have higher levels of T cell proliferation and activation </w:t>
      </w:r>
      <w:r w:rsidR="00B72BEF" w:rsidRPr="00700A64">
        <w:rPr>
          <w:rFonts w:ascii="Book Antiqua" w:hAnsi="Book Antiqua"/>
        </w:rPr>
        <w:t>and</w:t>
      </w:r>
      <w:r w:rsidR="00011E5A" w:rsidRPr="00700A64">
        <w:rPr>
          <w:rFonts w:ascii="Book Antiqua" w:hAnsi="Book Antiqua"/>
        </w:rPr>
        <w:t xml:space="preserve"> up</w:t>
      </w:r>
      <w:r w:rsidR="00A47E3F" w:rsidRPr="00700A64">
        <w:rPr>
          <w:rFonts w:ascii="Book Antiqua" w:hAnsi="Book Antiqua"/>
        </w:rPr>
        <w:t>-</w:t>
      </w:r>
      <w:r w:rsidR="00011E5A" w:rsidRPr="00700A64">
        <w:rPr>
          <w:rFonts w:ascii="Book Antiqua" w:hAnsi="Book Antiqua"/>
        </w:rPr>
        <w:t>regulation in gene expression</w:t>
      </w:r>
      <w:r w:rsidR="0093016F" w:rsidRPr="00700A64">
        <w:rPr>
          <w:rFonts w:ascii="Book Antiqua" w:hAnsi="Book Antiqua"/>
        </w:rPr>
        <w:t>-</w:t>
      </w:r>
      <w:r w:rsidR="00011E5A" w:rsidRPr="00700A64">
        <w:rPr>
          <w:rFonts w:ascii="Book Antiqua" w:hAnsi="Book Antiqua"/>
        </w:rPr>
        <w:t>related immune function</w:t>
      </w:r>
      <w:r w:rsidR="00B72BEF" w:rsidRPr="00700A64">
        <w:rPr>
          <w:rFonts w:ascii="Book Antiqua" w:hAnsi="Book Antiqua"/>
        </w:rPr>
        <w:t>s</w:t>
      </w:r>
      <w:r w:rsidR="00011E5A" w:rsidRPr="00700A64">
        <w:rPr>
          <w:rFonts w:ascii="Book Antiqua" w:hAnsi="Book Antiqua"/>
        </w:rPr>
        <w:t xml:space="preserve"> in the gut microenvironment in the absence of disease, </w:t>
      </w:r>
      <w:r w:rsidR="00A47E3F" w:rsidRPr="00700A64">
        <w:rPr>
          <w:rFonts w:ascii="Book Antiqua" w:hAnsi="Book Antiqua"/>
        </w:rPr>
        <w:t xml:space="preserve">all of </w:t>
      </w:r>
      <w:r w:rsidR="00011E5A" w:rsidRPr="00700A64">
        <w:rPr>
          <w:rFonts w:ascii="Book Antiqua" w:hAnsi="Book Antiqua"/>
        </w:rPr>
        <w:t xml:space="preserve">which can predispose women to inflammation-associated diseases. </w:t>
      </w:r>
      <w:r w:rsidR="00FD6716" w:rsidRPr="00700A64">
        <w:rPr>
          <w:rFonts w:ascii="Book Antiqua" w:hAnsi="Book Antiqua"/>
        </w:rPr>
        <w:t>Moreover,</w:t>
      </w:r>
      <w:r w:rsidR="00E62301" w:rsidRPr="00700A64">
        <w:rPr>
          <w:rFonts w:ascii="Book Antiqua" w:hAnsi="Book Antiqua"/>
        </w:rPr>
        <w:t xml:space="preserve"> DC differentiation and function </w:t>
      </w:r>
      <w:r w:rsidR="00B72BEF" w:rsidRPr="00700A64">
        <w:rPr>
          <w:rFonts w:ascii="Book Antiqua" w:hAnsi="Book Antiqua"/>
        </w:rPr>
        <w:t>are</w:t>
      </w:r>
      <w:r w:rsidR="00A47E3F" w:rsidRPr="00700A64">
        <w:rPr>
          <w:rFonts w:ascii="Book Antiqua" w:hAnsi="Book Antiqua"/>
        </w:rPr>
        <w:t xml:space="preserve"> </w:t>
      </w:r>
      <w:r w:rsidR="00E62301" w:rsidRPr="00700A64">
        <w:rPr>
          <w:rFonts w:ascii="Book Antiqua" w:hAnsi="Book Antiqua"/>
        </w:rPr>
        <w:t xml:space="preserve">regulated by </w:t>
      </w:r>
      <w:r w:rsidR="0093016F" w:rsidRPr="00700A64">
        <w:rPr>
          <w:rFonts w:ascii="Book Antiqua" w:hAnsi="Book Antiqua"/>
        </w:rPr>
        <w:t xml:space="preserve">the </w:t>
      </w:r>
      <w:r w:rsidR="00E62301" w:rsidRPr="00700A64">
        <w:rPr>
          <w:rFonts w:ascii="Book Antiqua" w:hAnsi="Book Antiqua"/>
        </w:rPr>
        <w:t>estrogen receptor ligands</w:t>
      </w:r>
      <w:r w:rsidR="00AD082C" w:rsidRPr="00700A64">
        <w:rPr>
          <w:rFonts w:ascii="Book Antiqua" w:hAnsi="Book Antiqua"/>
          <w:vertAlign w:val="superscript"/>
        </w:rPr>
        <w:t>[51]</w:t>
      </w:r>
      <w:r w:rsidR="009F636B" w:rsidRPr="00700A64">
        <w:rPr>
          <w:rFonts w:ascii="Book Antiqua" w:hAnsi="Book Antiqua"/>
        </w:rPr>
        <w:t>.</w:t>
      </w:r>
      <w:r w:rsidR="00716894" w:rsidRPr="00700A64">
        <w:rPr>
          <w:rFonts w:ascii="Book Antiqua" w:hAnsi="Book Antiqua"/>
        </w:rPr>
        <w:t xml:space="preserve"> Mao </w:t>
      </w:r>
      <w:r w:rsidR="00B13CEC" w:rsidRPr="00B13CEC">
        <w:rPr>
          <w:rFonts w:ascii="Book Antiqua" w:hAnsi="Book Antiqua"/>
          <w:i/>
        </w:rPr>
        <w:t>et al</w:t>
      </w:r>
      <w:r w:rsidR="00AD082C" w:rsidRPr="00700A64">
        <w:rPr>
          <w:rFonts w:ascii="Book Antiqua" w:hAnsi="Book Antiqua"/>
          <w:vertAlign w:val="superscript"/>
        </w:rPr>
        <w:t>[</w:t>
      </w:r>
      <w:r w:rsidR="006759D9" w:rsidRPr="00700A64">
        <w:rPr>
          <w:rFonts w:ascii="Book Antiqua" w:hAnsi="Book Antiqua"/>
          <w:vertAlign w:val="superscript"/>
        </w:rPr>
        <w:t>5</w:t>
      </w:r>
      <w:r w:rsidR="00AD082C" w:rsidRPr="00700A64">
        <w:rPr>
          <w:rFonts w:ascii="Book Antiqua" w:hAnsi="Book Antiqua"/>
          <w:vertAlign w:val="superscript"/>
        </w:rPr>
        <w:t>2]</w:t>
      </w:r>
      <w:r w:rsidR="006759D9" w:rsidRPr="00700A64">
        <w:rPr>
          <w:rFonts w:ascii="Book Antiqua" w:hAnsi="Book Antiqua"/>
          <w:vertAlign w:val="superscript"/>
        </w:rPr>
        <w:t xml:space="preserve"> </w:t>
      </w:r>
      <w:r w:rsidR="0093016F" w:rsidRPr="00700A64">
        <w:rPr>
          <w:rFonts w:ascii="Book Antiqua" w:hAnsi="Book Antiqua"/>
        </w:rPr>
        <w:t xml:space="preserve">reported </w:t>
      </w:r>
      <w:r w:rsidR="00716894" w:rsidRPr="00700A64">
        <w:rPr>
          <w:rFonts w:ascii="Book Antiqua" w:hAnsi="Book Antiqua"/>
        </w:rPr>
        <w:t>that estr</w:t>
      </w:r>
      <w:r w:rsidR="00353BAD" w:rsidRPr="00700A64">
        <w:rPr>
          <w:rFonts w:ascii="Book Antiqua" w:hAnsi="Book Antiqua"/>
        </w:rPr>
        <w:t>ogen</w:t>
      </w:r>
      <w:r w:rsidR="00716894" w:rsidRPr="00700A64">
        <w:rPr>
          <w:rFonts w:ascii="Book Antiqua" w:hAnsi="Book Antiqua"/>
        </w:rPr>
        <w:t xml:space="preserve">-dependent </w:t>
      </w:r>
      <w:r w:rsidR="00353BAD" w:rsidRPr="00700A64">
        <w:rPr>
          <w:rFonts w:ascii="Book Antiqua" w:hAnsi="Book Antiqua"/>
        </w:rPr>
        <w:t>CD11c+</w:t>
      </w:r>
      <w:r w:rsidR="00716894" w:rsidRPr="00700A64">
        <w:rPr>
          <w:rFonts w:ascii="Book Antiqua" w:hAnsi="Book Antiqua"/>
        </w:rPr>
        <w:t>CD11b</w:t>
      </w:r>
      <w:r w:rsidR="00353BAD" w:rsidRPr="00700A64">
        <w:rPr>
          <w:rFonts w:ascii="Book Antiqua" w:hAnsi="Book Antiqua"/>
        </w:rPr>
        <w:t xml:space="preserve"> Ly6C</w:t>
      </w:r>
      <w:r w:rsidR="00353BAD" w:rsidRPr="00700A64">
        <w:rPr>
          <w:rFonts w:ascii="Book Antiqua" w:hAnsi="Book Antiqua"/>
          <w:vertAlign w:val="superscript"/>
        </w:rPr>
        <w:t>-</w:t>
      </w:r>
      <w:r w:rsidR="00716894" w:rsidRPr="00700A64">
        <w:rPr>
          <w:rFonts w:ascii="Book Antiqua" w:hAnsi="Book Antiqua"/>
        </w:rPr>
        <w:t xml:space="preserve"> DCs express </w:t>
      </w:r>
      <w:r w:rsidR="00531928" w:rsidRPr="00700A64">
        <w:rPr>
          <w:rFonts w:ascii="Book Antiqua" w:hAnsi="Book Antiqua"/>
        </w:rPr>
        <w:t>L</w:t>
      </w:r>
      <w:r w:rsidR="00716894" w:rsidRPr="00700A64">
        <w:rPr>
          <w:rFonts w:ascii="Book Antiqua" w:hAnsi="Book Antiqua"/>
        </w:rPr>
        <w:t xml:space="preserve">angerin (CD207). </w:t>
      </w:r>
      <w:r w:rsidR="007F08A6" w:rsidRPr="00700A64">
        <w:rPr>
          <w:rFonts w:ascii="Book Antiqua" w:hAnsi="Book Antiqua"/>
        </w:rPr>
        <w:t>O</w:t>
      </w:r>
      <w:r w:rsidR="00C71848" w:rsidRPr="00700A64">
        <w:rPr>
          <w:rFonts w:ascii="Book Antiqua" w:hAnsi="Book Antiqua"/>
        </w:rPr>
        <w:t xml:space="preserve">ur </w:t>
      </w:r>
      <w:r w:rsidR="007F08A6" w:rsidRPr="00700A64">
        <w:rPr>
          <w:rFonts w:ascii="Book Antiqua" w:hAnsi="Book Antiqua"/>
        </w:rPr>
        <w:t xml:space="preserve">result </w:t>
      </w:r>
      <w:r w:rsidR="00B72BEF" w:rsidRPr="00700A64">
        <w:rPr>
          <w:rFonts w:ascii="Book Antiqua" w:hAnsi="Book Antiqua"/>
        </w:rPr>
        <w:t xml:space="preserve">regarding </w:t>
      </w:r>
      <w:r w:rsidR="00C71848" w:rsidRPr="00700A64">
        <w:rPr>
          <w:rFonts w:ascii="Book Antiqua" w:hAnsi="Book Antiqua"/>
        </w:rPr>
        <w:t>the significant correlation between</w:t>
      </w:r>
      <w:r w:rsidR="00A47E3F" w:rsidRPr="00700A64">
        <w:rPr>
          <w:rFonts w:ascii="Book Antiqua" w:hAnsi="Book Antiqua"/>
        </w:rPr>
        <w:t xml:space="preserve"> the</w:t>
      </w:r>
      <w:r w:rsidR="00C71848" w:rsidRPr="00700A64">
        <w:rPr>
          <w:rFonts w:ascii="Book Antiqua" w:hAnsi="Book Antiqua"/>
        </w:rPr>
        <w:t xml:space="preserve"> densit</w:t>
      </w:r>
      <w:r w:rsidR="00A47E3F" w:rsidRPr="00700A64">
        <w:rPr>
          <w:rFonts w:ascii="Book Antiqua" w:hAnsi="Book Antiqua"/>
        </w:rPr>
        <w:t>ies</w:t>
      </w:r>
      <w:r w:rsidR="00C71848" w:rsidRPr="00700A64">
        <w:rPr>
          <w:rFonts w:ascii="Book Antiqua" w:hAnsi="Book Antiqua"/>
        </w:rPr>
        <w:t xml:space="preserve"> of CD11c+ and</w:t>
      </w:r>
      <w:r w:rsidR="0093016F" w:rsidRPr="00700A64">
        <w:rPr>
          <w:rFonts w:ascii="Book Antiqua" w:hAnsi="Book Antiqua"/>
        </w:rPr>
        <w:t xml:space="preserve"> </w:t>
      </w:r>
      <w:r w:rsidR="00C71848" w:rsidRPr="00700A64">
        <w:rPr>
          <w:rFonts w:ascii="Book Antiqua" w:hAnsi="Book Antiqua"/>
        </w:rPr>
        <w:t xml:space="preserve">Langerin+ DCs, </w:t>
      </w:r>
      <w:r w:rsidR="007F08A6" w:rsidRPr="00700A64">
        <w:rPr>
          <w:rFonts w:ascii="Book Antiqua" w:hAnsi="Book Antiqua"/>
        </w:rPr>
        <w:t>particularly</w:t>
      </w:r>
      <w:r w:rsidR="00C71848" w:rsidRPr="00700A64">
        <w:rPr>
          <w:rFonts w:ascii="Book Antiqua" w:hAnsi="Book Antiqua"/>
        </w:rPr>
        <w:t xml:space="preserve"> in female</w:t>
      </w:r>
      <w:r w:rsidR="0093016F" w:rsidRPr="00700A64">
        <w:rPr>
          <w:rFonts w:ascii="Book Antiqua" w:hAnsi="Book Antiqua"/>
        </w:rPr>
        <w:t xml:space="preserve"> patients</w:t>
      </w:r>
      <w:r w:rsidR="007074DB" w:rsidRPr="00700A64">
        <w:rPr>
          <w:rFonts w:ascii="Book Antiqua" w:hAnsi="Book Antiqua"/>
        </w:rPr>
        <w:t xml:space="preserve"> </w:t>
      </w:r>
      <w:r w:rsidR="00C71848" w:rsidRPr="00700A64">
        <w:rPr>
          <w:rFonts w:ascii="Book Antiqua" w:hAnsi="Book Antiqua"/>
        </w:rPr>
        <w:t>with CD</w:t>
      </w:r>
      <w:r w:rsidR="00A47E3F" w:rsidRPr="00700A64">
        <w:rPr>
          <w:rFonts w:ascii="Book Antiqua" w:hAnsi="Book Antiqua"/>
        </w:rPr>
        <w:t>,</w:t>
      </w:r>
      <w:r w:rsidR="00C71848" w:rsidRPr="00700A64">
        <w:rPr>
          <w:rFonts w:ascii="Book Antiqua" w:hAnsi="Book Antiqua"/>
        </w:rPr>
        <w:t xml:space="preserve"> is in agreement with</w:t>
      </w:r>
      <w:r w:rsidR="00802041" w:rsidRPr="00700A64">
        <w:rPr>
          <w:rFonts w:ascii="Book Antiqua" w:hAnsi="Book Antiqua"/>
        </w:rPr>
        <w:t xml:space="preserve"> </w:t>
      </w:r>
      <w:r w:rsidR="0093016F" w:rsidRPr="00700A64">
        <w:rPr>
          <w:rFonts w:ascii="Book Antiqua" w:hAnsi="Book Antiqua"/>
        </w:rPr>
        <w:t>the finding of the above authors</w:t>
      </w:r>
      <w:r w:rsidR="00C71848" w:rsidRPr="00700A64">
        <w:rPr>
          <w:rFonts w:ascii="Book Antiqua" w:hAnsi="Book Antiqua"/>
        </w:rPr>
        <w:t xml:space="preserve">. </w:t>
      </w:r>
      <w:r w:rsidR="00330E99" w:rsidRPr="00700A64">
        <w:rPr>
          <w:rFonts w:ascii="Book Antiqua" w:hAnsi="Book Antiqua"/>
        </w:rPr>
        <w:t xml:space="preserve">Xiao </w:t>
      </w:r>
      <w:r w:rsidR="00B13CEC" w:rsidRPr="00B13CEC">
        <w:rPr>
          <w:rFonts w:ascii="Book Antiqua" w:hAnsi="Book Antiqua"/>
          <w:i/>
        </w:rPr>
        <w:t>et al</w:t>
      </w:r>
      <w:r w:rsidR="00447493" w:rsidRPr="00700A64">
        <w:rPr>
          <w:rFonts w:ascii="Book Antiqua" w:hAnsi="Book Antiqua"/>
          <w:vertAlign w:val="superscript"/>
        </w:rPr>
        <w:t>[</w:t>
      </w:r>
      <w:r w:rsidR="006759D9" w:rsidRPr="00700A64">
        <w:rPr>
          <w:rFonts w:ascii="Book Antiqua" w:hAnsi="Book Antiqua"/>
          <w:vertAlign w:val="superscript"/>
        </w:rPr>
        <w:t>5</w:t>
      </w:r>
      <w:r w:rsidR="00447493" w:rsidRPr="00700A64">
        <w:rPr>
          <w:rFonts w:ascii="Book Antiqua" w:hAnsi="Book Antiqua"/>
          <w:vertAlign w:val="superscript"/>
        </w:rPr>
        <w:t xml:space="preserve">3] </w:t>
      </w:r>
      <w:r w:rsidR="00330E99" w:rsidRPr="00700A64">
        <w:rPr>
          <w:rFonts w:ascii="Book Antiqua" w:hAnsi="Book Antiqua"/>
        </w:rPr>
        <w:t xml:space="preserve">demonstrated that estrogen can induce IDO expression by DCs </w:t>
      </w:r>
      <w:r w:rsidR="00F8461E" w:rsidRPr="00700A64">
        <w:rPr>
          <w:rFonts w:ascii="Book Antiqua" w:hAnsi="Book Antiqua"/>
        </w:rPr>
        <w:t>through</w:t>
      </w:r>
      <w:r w:rsidR="00330E99" w:rsidRPr="00700A64">
        <w:rPr>
          <w:rFonts w:ascii="Book Antiqua" w:hAnsi="Book Antiqua"/>
        </w:rPr>
        <w:t xml:space="preserve"> suppression of T cell function via </w:t>
      </w:r>
      <w:r w:rsidR="00F8461E" w:rsidRPr="00700A64">
        <w:rPr>
          <w:rFonts w:ascii="Book Antiqua" w:hAnsi="Book Antiqua"/>
        </w:rPr>
        <w:t xml:space="preserve">the </w:t>
      </w:r>
      <w:r w:rsidR="00330E99" w:rsidRPr="00700A64">
        <w:rPr>
          <w:rFonts w:ascii="Book Antiqua" w:hAnsi="Book Antiqua"/>
        </w:rPr>
        <w:t>IDO pathway. In our study</w:t>
      </w:r>
      <w:r w:rsidR="00A47E3F" w:rsidRPr="00700A64">
        <w:rPr>
          <w:rFonts w:ascii="Book Antiqua" w:hAnsi="Book Antiqua"/>
        </w:rPr>
        <w:t>,</w:t>
      </w:r>
      <w:r w:rsidR="00330E99" w:rsidRPr="00700A64">
        <w:rPr>
          <w:rFonts w:ascii="Book Antiqua" w:hAnsi="Book Antiqua"/>
        </w:rPr>
        <w:t xml:space="preserve"> the </w:t>
      </w:r>
      <w:r w:rsidR="00B80636" w:rsidRPr="00700A64">
        <w:rPr>
          <w:rFonts w:ascii="Book Antiqua" w:hAnsi="Book Antiqua"/>
        </w:rPr>
        <w:t xml:space="preserve">higher </w:t>
      </w:r>
      <w:r w:rsidR="00330E99" w:rsidRPr="00700A64">
        <w:rPr>
          <w:rFonts w:ascii="Book Antiqua" w:hAnsi="Book Antiqua"/>
        </w:rPr>
        <w:t>prevalence of IDO+ DCs in female compar</w:t>
      </w:r>
      <w:r w:rsidR="00F8461E" w:rsidRPr="00700A64">
        <w:rPr>
          <w:rFonts w:ascii="Book Antiqua" w:hAnsi="Book Antiqua"/>
        </w:rPr>
        <w:t>ed</w:t>
      </w:r>
      <w:r w:rsidR="00330E99" w:rsidRPr="00700A64">
        <w:rPr>
          <w:rFonts w:ascii="Book Antiqua" w:hAnsi="Book Antiqua"/>
        </w:rPr>
        <w:t xml:space="preserve"> with male</w:t>
      </w:r>
      <w:r w:rsidR="00F8461E" w:rsidRPr="00700A64">
        <w:rPr>
          <w:rFonts w:ascii="Book Antiqua" w:hAnsi="Book Antiqua"/>
        </w:rPr>
        <w:t xml:space="preserve"> patients,</w:t>
      </w:r>
      <w:r w:rsidR="00330E99" w:rsidRPr="00700A64">
        <w:rPr>
          <w:rFonts w:ascii="Book Antiqua" w:hAnsi="Book Antiqua"/>
        </w:rPr>
        <w:t xml:space="preserve"> especially in </w:t>
      </w:r>
      <w:r w:rsidR="00C37A43" w:rsidRPr="00700A64">
        <w:rPr>
          <w:rFonts w:ascii="Book Antiqua" w:hAnsi="Book Antiqua"/>
        </w:rPr>
        <w:t xml:space="preserve">the group </w:t>
      </w:r>
      <w:r w:rsidR="00330E99" w:rsidRPr="00700A64">
        <w:rPr>
          <w:rFonts w:ascii="Book Antiqua" w:hAnsi="Book Antiqua"/>
        </w:rPr>
        <w:t>with</w:t>
      </w:r>
      <w:r w:rsidR="00F8461E" w:rsidRPr="00700A64">
        <w:rPr>
          <w:rFonts w:ascii="Book Antiqua" w:hAnsi="Book Antiqua"/>
        </w:rPr>
        <w:t xml:space="preserve"> </w:t>
      </w:r>
      <w:r w:rsidR="00330E99" w:rsidRPr="00700A64">
        <w:rPr>
          <w:rFonts w:ascii="Book Antiqua" w:hAnsi="Book Antiqua"/>
        </w:rPr>
        <w:t xml:space="preserve">normal mucosa </w:t>
      </w:r>
      <w:r w:rsidR="00F8461E" w:rsidRPr="00700A64">
        <w:rPr>
          <w:rFonts w:ascii="Book Antiqua" w:hAnsi="Book Antiqua"/>
        </w:rPr>
        <w:t xml:space="preserve">and </w:t>
      </w:r>
      <w:r w:rsidR="00B72BEF" w:rsidRPr="00700A64">
        <w:rPr>
          <w:rFonts w:ascii="Book Antiqua" w:hAnsi="Book Antiqua"/>
        </w:rPr>
        <w:t xml:space="preserve">a </w:t>
      </w:r>
      <w:r w:rsidR="00330E99" w:rsidRPr="00700A64">
        <w:rPr>
          <w:rFonts w:ascii="Book Antiqua" w:hAnsi="Book Antiqua"/>
        </w:rPr>
        <w:t xml:space="preserve">mean age </w:t>
      </w:r>
      <w:r w:rsidR="00F8461E" w:rsidRPr="00700A64">
        <w:rPr>
          <w:rFonts w:ascii="Book Antiqua" w:hAnsi="Book Antiqua"/>
        </w:rPr>
        <w:t xml:space="preserve">of </w:t>
      </w:r>
      <w:r w:rsidR="00330E99" w:rsidRPr="00700A64">
        <w:rPr>
          <w:rFonts w:ascii="Book Antiqua" w:hAnsi="Book Antiqua"/>
        </w:rPr>
        <w:t>1</w:t>
      </w:r>
      <w:r w:rsidR="00C37A43" w:rsidRPr="00700A64">
        <w:rPr>
          <w:rFonts w:ascii="Book Antiqua" w:hAnsi="Book Antiqua"/>
        </w:rPr>
        <w:t>3</w:t>
      </w:r>
      <w:r w:rsidR="00330E99" w:rsidRPr="00700A64">
        <w:rPr>
          <w:rFonts w:ascii="Book Antiqua" w:hAnsi="Book Antiqua"/>
        </w:rPr>
        <w:t>.</w:t>
      </w:r>
      <w:r w:rsidR="00C37A43" w:rsidRPr="00700A64">
        <w:rPr>
          <w:rFonts w:ascii="Book Antiqua" w:hAnsi="Book Antiqua"/>
        </w:rPr>
        <w:t>5</w:t>
      </w:r>
      <w:r w:rsidR="00EB7313">
        <w:rPr>
          <w:rFonts w:ascii="Book Antiqua" w:hAnsi="Book Antiqua" w:hint="eastAsia"/>
          <w:lang w:eastAsia="zh-CN"/>
        </w:rPr>
        <w:t xml:space="preserve"> </w:t>
      </w:r>
      <w:r w:rsidR="00330E99" w:rsidRPr="00700A64">
        <w:rPr>
          <w:rFonts w:ascii="Book Antiqua" w:hAnsi="Book Antiqua"/>
        </w:rPr>
        <w:sym w:font="Symbol" w:char="F0B1"/>
      </w:r>
      <w:r w:rsidR="00EB7313">
        <w:rPr>
          <w:rFonts w:ascii="Book Antiqua" w:hAnsi="Book Antiqua" w:hint="eastAsia"/>
          <w:lang w:eastAsia="zh-CN"/>
        </w:rPr>
        <w:t xml:space="preserve"> </w:t>
      </w:r>
      <w:r w:rsidR="00330E99" w:rsidRPr="00700A64">
        <w:rPr>
          <w:rFonts w:ascii="Book Antiqua" w:hAnsi="Book Antiqua"/>
        </w:rPr>
        <w:t>4.</w:t>
      </w:r>
      <w:r w:rsidR="00C37A43" w:rsidRPr="00700A64">
        <w:rPr>
          <w:rFonts w:ascii="Book Antiqua" w:hAnsi="Book Antiqua"/>
        </w:rPr>
        <w:t>3</w:t>
      </w:r>
      <w:r w:rsidR="00F8461E" w:rsidRPr="00700A64">
        <w:rPr>
          <w:rFonts w:ascii="Book Antiqua" w:hAnsi="Book Antiqua"/>
        </w:rPr>
        <w:t xml:space="preserve"> years</w:t>
      </w:r>
      <w:r w:rsidR="00A47E3F" w:rsidRPr="00700A64">
        <w:rPr>
          <w:rFonts w:ascii="Book Antiqua" w:hAnsi="Book Antiqua"/>
        </w:rPr>
        <w:t>,</w:t>
      </w:r>
      <w:r w:rsidR="00330E99" w:rsidRPr="00700A64">
        <w:rPr>
          <w:rFonts w:ascii="Book Antiqua" w:hAnsi="Book Antiqua"/>
        </w:rPr>
        <w:t xml:space="preserve"> could </w:t>
      </w:r>
      <w:r w:rsidR="00F8461E" w:rsidRPr="00700A64">
        <w:rPr>
          <w:rFonts w:ascii="Book Antiqua" w:hAnsi="Book Antiqua"/>
        </w:rPr>
        <w:t xml:space="preserve">have </w:t>
      </w:r>
      <w:r w:rsidR="00A47E3F" w:rsidRPr="00700A64">
        <w:rPr>
          <w:rFonts w:ascii="Book Antiqua" w:hAnsi="Book Antiqua"/>
        </w:rPr>
        <w:t xml:space="preserve">already </w:t>
      </w:r>
      <w:r w:rsidR="00F8461E" w:rsidRPr="00700A64">
        <w:rPr>
          <w:rFonts w:ascii="Book Antiqua" w:hAnsi="Book Antiqua"/>
        </w:rPr>
        <w:t xml:space="preserve">been affected </w:t>
      </w:r>
      <w:r w:rsidR="00330E99" w:rsidRPr="00700A64">
        <w:rPr>
          <w:rFonts w:ascii="Book Antiqua" w:hAnsi="Book Antiqua"/>
        </w:rPr>
        <w:t xml:space="preserve">by </w:t>
      </w:r>
      <w:r w:rsidR="00F8461E" w:rsidRPr="00700A64">
        <w:rPr>
          <w:rFonts w:ascii="Book Antiqua" w:hAnsi="Book Antiqua"/>
        </w:rPr>
        <w:t xml:space="preserve">the female </w:t>
      </w:r>
      <w:r w:rsidR="00330E99" w:rsidRPr="00700A64">
        <w:rPr>
          <w:rFonts w:ascii="Book Antiqua" w:hAnsi="Book Antiqua"/>
        </w:rPr>
        <w:t>hormonal status</w:t>
      </w:r>
      <w:r w:rsidR="00531928" w:rsidRPr="00700A64">
        <w:rPr>
          <w:rFonts w:ascii="Book Antiqua" w:hAnsi="Book Antiqua"/>
        </w:rPr>
        <w:t xml:space="preserve">, </w:t>
      </w:r>
      <w:r w:rsidR="00F8461E" w:rsidRPr="00700A64">
        <w:rPr>
          <w:rFonts w:ascii="Book Antiqua" w:hAnsi="Book Antiqua"/>
        </w:rPr>
        <w:t xml:space="preserve">although </w:t>
      </w:r>
      <w:r w:rsidR="00AC00CF" w:rsidRPr="00700A64">
        <w:rPr>
          <w:rFonts w:ascii="Book Antiqua" w:hAnsi="Book Antiqua"/>
        </w:rPr>
        <w:t>t</w:t>
      </w:r>
      <w:r w:rsidR="00C37A43" w:rsidRPr="00700A64">
        <w:rPr>
          <w:rFonts w:ascii="Book Antiqua" w:hAnsi="Book Antiqua"/>
        </w:rPr>
        <w:t>he mean age of male</w:t>
      </w:r>
      <w:r w:rsidR="00F8461E" w:rsidRPr="00700A64">
        <w:rPr>
          <w:rFonts w:ascii="Book Antiqua" w:hAnsi="Book Antiqua"/>
        </w:rPr>
        <w:t xml:space="preserve"> subjects</w:t>
      </w:r>
      <w:r w:rsidR="00C37A43" w:rsidRPr="00700A64">
        <w:rPr>
          <w:rFonts w:ascii="Book Antiqua" w:hAnsi="Book Antiqua"/>
        </w:rPr>
        <w:t xml:space="preserve"> with normal mucosa (11.4</w:t>
      </w:r>
      <w:r w:rsidR="00EB7313">
        <w:rPr>
          <w:rFonts w:ascii="Book Antiqua" w:hAnsi="Book Antiqua" w:hint="eastAsia"/>
          <w:lang w:eastAsia="zh-CN"/>
        </w:rPr>
        <w:t xml:space="preserve"> </w:t>
      </w:r>
      <w:r w:rsidR="00C37A43" w:rsidRPr="00700A64">
        <w:rPr>
          <w:rFonts w:ascii="Book Antiqua" w:hAnsi="Book Antiqua"/>
        </w:rPr>
        <w:sym w:font="Symbol" w:char="F0B1"/>
      </w:r>
      <w:r w:rsidR="00EB7313">
        <w:rPr>
          <w:rFonts w:ascii="Book Antiqua" w:hAnsi="Book Antiqua" w:hint="eastAsia"/>
          <w:lang w:eastAsia="zh-CN"/>
        </w:rPr>
        <w:t xml:space="preserve"> </w:t>
      </w:r>
      <w:r w:rsidR="00C37A43" w:rsidRPr="00700A64">
        <w:rPr>
          <w:rFonts w:ascii="Book Antiqua" w:hAnsi="Book Antiqua"/>
        </w:rPr>
        <w:t>5.8) did not differ significantly from female</w:t>
      </w:r>
      <w:r w:rsidR="00F8461E" w:rsidRPr="00700A64">
        <w:rPr>
          <w:rFonts w:ascii="Book Antiqua" w:hAnsi="Book Antiqua"/>
        </w:rPr>
        <w:t xml:space="preserve"> subjects</w:t>
      </w:r>
      <w:r w:rsidR="00C37A43" w:rsidRPr="00700A64">
        <w:rPr>
          <w:rFonts w:ascii="Book Antiqua" w:hAnsi="Book Antiqua"/>
        </w:rPr>
        <w:t xml:space="preserve"> </w:t>
      </w:r>
      <w:r w:rsidR="00A47E3F" w:rsidRPr="00700A64">
        <w:rPr>
          <w:rFonts w:ascii="Book Antiqua" w:hAnsi="Book Antiqua"/>
        </w:rPr>
        <w:t xml:space="preserve">of similar age </w:t>
      </w:r>
      <w:r w:rsidR="00C37A43" w:rsidRPr="00700A64">
        <w:rPr>
          <w:rFonts w:ascii="Book Antiqua" w:hAnsi="Book Antiqua"/>
        </w:rPr>
        <w:t>(</w:t>
      </w:r>
      <w:r w:rsidR="00F94270" w:rsidRPr="00700A64">
        <w:rPr>
          <w:rFonts w:ascii="Book Antiqua" w:hAnsi="Book Antiqua"/>
          <w:i/>
        </w:rPr>
        <w:t xml:space="preserve">P = </w:t>
      </w:r>
      <w:r w:rsidR="00C37A43" w:rsidRPr="00700A64">
        <w:rPr>
          <w:rFonts w:ascii="Book Antiqua" w:hAnsi="Book Antiqua"/>
        </w:rPr>
        <w:t>0.25).</w:t>
      </w:r>
      <w:r w:rsidR="00330E99" w:rsidRPr="00700A64">
        <w:rPr>
          <w:rFonts w:ascii="Book Antiqua" w:hAnsi="Book Antiqua"/>
        </w:rPr>
        <w:t xml:space="preserve"> </w:t>
      </w:r>
      <w:r w:rsidR="005D69CE" w:rsidRPr="00700A64">
        <w:rPr>
          <w:rFonts w:ascii="Book Antiqua" w:hAnsi="Book Antiqua"/>
        </w:rPr>
        <w:t>Despite the</w:t>
      </w:r>
      <w:r w:rsidR="00283D25" w:rsidRPr="00700A64">
        <w:rPr>
          <w:rFonts w:ascii="Book Antiqua" w:hAnsi="Book Antiqua"/>
        </w:rPr>
        <w:t xml:space="preserve"> </w:t>
      </w:r>
      <w:r w:rsidR="00E32C8C" w:rsidRPr="00700A64">
        <w:rPr>
          <w:rFonts w:ascii="Book Antiqua" w:hAnsi="Book Antiqua"/>
        </w:rPr>
        <w:t>ge</w:t>
      </w:r>
      <w:r w:rsidR="00283D25" w:rsidRPr="00700A64">
        <w:rPr>
          <w:rFonts w:ascii="Book Antiqua" w:hAnsi="Book Antiqua"/>
        </w:rPr>
        <w:t xml:space="preserve">nder influences, we still </w:t>
      </w:r>
      <w:r w:rsidR="00F8461E" w:rsidRPr="00700A64">
        <w:rPr>
          <w:rFonts w:ascii="Book Antiqua" w:hAnsi="Book Antiqua"/>
        </w:rPr>
        <w:lastRenderedPageBreak/>
        <w:t xml:space="preserve">believe </w:t>
      </w:r>
      <w:r w:rsidR="00283D25" w:rsidRPr="00700A64">
        <w:rPr>
          <w:rFonts w:ascii="Book Antiqua" w:hAnsi="Book Antiqua"/>
        </w:rPr>
        <w:t xml:space="preserve">that </w:t>
      </w:r>
      <w:r w:rsidR="004344D1" w:rsidRPr="00700A64">
        <w:rPr>
          <w:rFonts w:ascii="Book Antiqua" w:hAnsi="Book Antiqua"/>
        </w:rPr>
        <w:t>differences in the distribution of the DC subsets in the small intestinal mucosa of CD patients and controls are</w:t>
      </w:r>
      <w:r w:rsidR="00283D25" w:rsidRPr="00700A64">
        <w:rPr>
          <w:rFonts w:ascii="Book Antiqua" w:hAnsi="Book Antiqua"/>
        </w:rPr>
        <w:t xml:space="preserve"> significant. </w:t>
      </w:r>
      <w:r w:rsidR="00011E5A" w:rsidRPr="00700A64">
        <w:rPr>
          <w:rFonts w:ascii="Book Antiqua" w:hAnsi="Book Antiqua"/>
        </w:rPr>
        <w:t xml:space="preserve"> </w:t>
      </w:r>
      <w:r w:rsidR="00CA580B" w:rsidRPr="00700A64">
        <w:rPr>
          <w:rFonts w:ascii="Book Antiqua" w:hAnsi="Book Antiqua"/>
        </w:rPr>
        <w:t xml:space="preserve">  </w:t>
      </w:r>
    </w:p>
    <w:p w:rsidR="00F068D4" w:rsidRPr="00700A64" w:rsidRDefault="00F068D4" w:rsidP="00B90E53">
      <w:pPr>
        <w:widowControl w:val="0"/>
        <w:adjustRightInd w:val="0"/>
        <w:snapToGrid w:val="0"/>
        <w:spacing w:line="360" w:lineRule="auto"/>
        <w:ind w:firstLineChars="100" w:firstLine="240"/>
        <w:jc w:val="both"/>
        <w:rPr>
          <w:rFonts w:ascii="Book Antiqua" w:hAnsi="Book Antiqua"/>
          <w:bCs/>
        </w:rPr>
      </w:pPr>
      <w:r w:rsidRPr="00700A64">
        <w:rPr>
          <w:rFonts w:ascii="Book Antiqua" w:hAnsi="Book Antiqua"/>
        </w:rPr>
        <w:t>Another limitation of our study is that we did not know the microbiota status of the small intestine</w:t>
      </w:r>
      <w:r w:rsidR="0035481C" w:rsidRPr="00700A64">
        <w:rPr>
          <w:rFonts w:ascii="Book Antiqua" w:hAnsi="Book Antiqua"/>
        </w:rPr>
        <w:t>s</w:t>
      </w:r>
      <w:r w:rsidRPr="00700A64">
        <w:rPr>
          <w:rFonts w:ascii="Book Antiqua" w:hAnsi="Book Antiqua"/>
        </w:rPr>
        <w:t xml:space="preserve"> of the studied persons. </w:t>
      </w:r>
      <w:r w:rsidR="0032620E" w:rsidRPr="00700A64">
        <w:rPr>
          <w:rFonts w:ascii="Book Antiqua" w:hAnsi="Book Antiqua"/>
        </w:rPr>
        <w:t>We agree that</w:t>
      </w:r>
      <w:r w:rsidR="00A47E3F" w:rsidRPr="00700A64">
        <w:rPr>
          <w:rFonts w:ascii="Book Antiqua" w:hAnsi="Book Antiqua"/>
        </w:rPr>
        <w:t xml:space="preserve"> the</w:t>
      </w:r>
      <w:r w:rsidR="0032620E" w:rsidRPr="00700A64">
        <w:rPr>
          <w:rFonts w:ascii="Book Antiqua" w:hAnsi="Book Antiqua"/>
        </w:rPr>
        <w:t xml:space="preserve"> m</w:t>
      </w:r>
      <w:r w:rsidRPr="00700A64">
        <w:rPr>
          <w:rFonts w:ascii="Book Antiqua" w:hAnsi="Book Antiqua"/>
        </w:rPr>
        <w:t>icrobiota can strongly influence and regulate the homeostasis of effector immune cells, including the distribution of different subtypes of DCs and Treg cells</w:t>
      </w:r>
      <w:r w:rsidR="00A47E3F" w:rsidRPr="00700A64">
        <w:rPr>
          <w:rFonts w:ascii="Book Antiqua" w:hAnsi="Book Antiqua"/>
        </w:rPr>
        <w:t>,</w:t>
      </w:r>
      <w:r w:rsidRPr="00700A64">
        <w:rPr>
          <w:rFonts w:ascii="Book Antiqua" w:hAnsi="Book Antiqua"/>
        </w:rPr>
        <w:t xml:space="preserve"> </w:t>
      </w:r>
      <w:r w:rsidR="0035481C" w:rsidRPr="00700A64">
        <w:rPr>
          <w:rFonts w:ascii="Book Antiqua" w:hAnsi="Book Antiqua"/>
        </w:rPr>
        <w:t>along with</w:t>
      </w:r>
      <w:r w:rsidRPr="00700A64">
        <w:rPr>
          <w:rFonts w:ascii="Book Antiqua" w:hAnsi="Book Antiqua"/>
        </w:rPr>
        <w:t xml:space="preserve"> other immunoregulatory events</w:t>
      </w:r>
      <w:r w:rsidR="00A47E3F" w:rsidRPr="00700A64">
        <w:rPr>
          <w:rFonts w:ascii="Book Antiqua" w:hAnsi="Book Antiqua"/>
        </w:rPr>
        <w:t>,</w:t>
      </w:r>
      <w:r w:rsidRPr="00700A64">
        <w:rPr>
          <w:rFonts w:ascii="Book Antiqua" w:hAnsi="Book Antiqua"/>
        </w:rPr>
        <w:t xml:space="preserve"> in </w:t>
      </w:r>
      <w:r w:rsidR="00A47E3F" w:rsidRPr="00700A64">
        <w:rPr>
          <w:rFonts w:ascii="Book Antiqua" w:hAnsi="Book Antiqua"/>
        </w:rPr>
        <w:t xml:space="preserve">the </w:t>
      </w:r>
      <w:r w:rsidRPr="00700A64">
        <w:rPr>
          <w:rFonts w:ascii="Book Antiqua" w:hAnsi="Book Antiqua"/>
        </w:rPr>
        <w:t>small bowel mucosa</w:t>
      </w:r>
      <w:r w:rsidR="006200E0" w:rsidRPr="00700A64">
        <w:rPr>
          <w:rFonts w:ascii="Book Antiqua" w:hAnsi="Book Antiqua"/>
          <w:vertAlign w:val="superscript"/>
        </w:rPr>
        <w:t>[3</w:t>
      </w:r>
      <w:r w:rsidR="006200E0" w:rsidRPr="00EB7313">
        <w:rPr>
          <w:rFonts w:ascii="Book Antiqua" w:hAnsi="Book Antiqua"/>
          <w:vertAlign w:val="superscript"/>
        </w:rPr>
        <w:t>,</w:t>
      </w:r>
      <w:r w:rsidR="00153EB5" w:rsidRPr="00700A64">
        <w:rPr>
          <w:rFonts w:ascii="Book Antiqua" w:hAnsi="Book Antiqua"/>
          <w:vertAlign w:val="superscript"/>
        </w:rPr>
        <w:t>54</w:t>
      </w:r>
      <w:r w:rsidR="006200E0" w:rsidRPr="00700A64">
        <w:rPr>
          <w:rFonts w:ascii="Book Antiqua" w:hAnsi="Book Antiqua"/>
          <w:vertAlign w:val="superscript"/>
        </w:rPr>
        <w:t>]</w:t>
      </w:r>
      <w:r w:rsidRPr="00700A64">
        <w:rPr>
          <w:rFonts w:ascii="Book Antiqua" w:hAnsi="Book Antiqua"/>
        </w:rPr>
        <w:t xml:space="preserve">. However, this </w:t>
      </w:r>
      <w:r w:rsidR="0035481C" w:rsidRPr="00700A64">
        <w:rPr>
          <w:rFonts w:ascii="Book Antiqua" w:hAnsi="Book Antiqua"/>
        </w:rPr>
        <w:t xml:space="preserve">factor </w:t>
      </w:r>
      <w:r w:rsidRPr="00700A64">
        <w:rPr>
          <w:rFonts w:ascii="Book Antiqua" w:hAnsi="Book Antiqua"/>
        </w:rPr>
        <w:t>is known to be one of the major limitations of other similar studies</w:t>
      </w:r>
      <w:r w:rsidR="00A47E3F" w:rsidRPr="00700A64">
        <w:rPr>
          <w:rFonts w:ascii="Book Antiqua" w:hAnsi="Book Antiqua"/>
        </w:rPr>
        <w:t>,</w:t>
      </w:r>
      <w:r w:rsidRPr="00700A64">
        <w:rPr>
          <w:rFonts w:ascii="Book Antiqua" w:hAnsi="Book Antiqua"/>
        </w:rPr>
        <w:t xml:space="preserve"> unless the intestinal microbiota is studied specifically</w:t>
      </w:r>
      <w:r w:rsidR="006200E0" w:rsidRPr="00700A64">
        <w:rPr>
          <w:rFonts w:ascii="Book Antiqua" w:hAnsi="Book Antiqua"/>
          <w:vertAlign w:val="superscript"/>
        </w:rPr>
        <w:t>[</w:t>
      </w:r>
      <w:r w:rsidR="00153EB5" w:rsidRPr="00700A64">
        <w:rPr>
          <w:rFonts w:ascii="Book Antiqua" w:hAnsi="Book Antiqua"/>
          <w:vertAlign w:val="superscript"/>
        </w:rPr>
        <w:t>55</w:t>
      </w:r>
      <w:r w:rsidR="006200E0" w:rsidRPr="00700A64">
        <w:rPr>
          <w:rFonts w:ascii="Book Antiqua" w:hAnsi="Book Antiqua"/>
          <w:vertAlign w:val="superscript"/>
        </w:rPr>
        <w:t>]</w:t>
      </w:r>
      <w:r w:rsidRPr="00700A64">
        <w:rPr>
          <w:rFonts w:ascii="Book Antiqua" w:hAnsi="Book Antiqua"/>
        </w:rPr>
        <w:t xml:space="preserve">. Even in cases </w:t>
      </w:r>
      <w:r w:rsidR="00A47E3F" w:rsidRPr="00700A64">
        <w:rPr>
          <w:rFonts w:ascii="Book Antiqua" w:hAnsi="Book Antiqua"/>
        </w:rPr>
        <w:t xml:space="preserve">where </w:t>
      </w:r>
      <w:r w:rsidRPr="00700A64">
        <w:rPr>
          <w:rFonts w:ascii="Book Antiqua" w:hAnsi="Book Antiqua"/>
        </w:rPr>
        <w:t>it is studied</w:t>
      </w:r>
      <w:r w:rsidR="00A47E3F" w:rsidRPr="00700A64">
        <w:rPr>
          <w:rFonts w:ascii="Book Antiqua" w:hAnsi="Book Antiqua"/>
        </w:rPr>
        <w:t>,</w:t>
      </w:r>
      <w:r w:rsidRPr="00700A64">
        <w:rPr>
          <w:rFonts w:ascii="Book Antiqua" w:hAnsi="Book Antiqua"/>
        </w:rPr>
        <w:t xml:space="preserve"> the interpretation of study results is difficult</w:t>
      </w:r>
      <w:r w:rsidR="00144DFD" w:rsidRPr="00700A64">
        <w:rPr>
          <w:rFonts w:ascii="Book Antiqua" w:hAnsi="Book Antiqua"/>
        </w:rPr>
        <w:t xml:space="preserve"> because </w:t>
      </w:r>
      <w:r w:rsidRPr="00700A64">
        <w:rPr>
          <w:rFonts w:ascii="Book Antiqua" w:hAnsi="Book Antiqua"/>
        </w:rPr>
        <w:t>the intestinal microbiota is dependent on different nutritional factors</w:t>
      </w:r>
      <w:r w:rsidR="006200E0" w:rsidRPr="00700A64">
        <w:rPr>
          <w:rFonts w:ascii="Book Antiqua" w:hAnsi="Book Antiqua"/>
          <w:vertAlign w:val="superscript"/>
        </w:rPr>
        <w:t>[</w:t>
      </w:r>
      <w:r w:rsidRPr="00700A64">
        <w:rPr>
          <w:rFonts w:ascii="Book Antiqua" w:hAnsi="Book Antiqua"/>
          <w:vertAlign w:val="superscript"/>
        </w:rPr>
        <w:t>7,8</w:t>
      </w:r>
      <w:r w:rsidR="006200E0" w:rsidRPr="00700A64">
        <w:rPr>
          <w:rFonts w:ascii="Book Antiqua" w:hAnsi="Book Antiqua"/>
          <w:vertAlign w:val="superscript"/>
        </w:rPr>
        <w:t>]</w:t>
      </w:r>
      <w:r w:rsidR="006200E0" w:rsidRPr="00700A64">
        <w:rPr>
          <w:rFonts w:ascii="Book Antiqua" w:hAnsi="Book Antiqua"/>
        </w:rPr>
        <w:t>.</w:t>
      </w:r>
    </w:p>
    <w:p w:rsidR="00402438" w:rsidRPr="00700A64" w:rsidRDefault="0026132D" w:rsidP="00B90E53">
      <w:pPr>
        <w:adjustRightInd w:val="0"/>
        <w:snapToGrid w:val="0"/>
        <w:spacing w:line="360" w:lineRule="auto"/>
        <w:ind w:firstLineChars="100" w:firstLine="240"/>
        <w:jc w:val="both"/>
        <w:rPr>
          <w:rFonts w:ascii="Book Antiqua" w:hAnsi="Book Antiqua"/>
        </w:rPr>
      </w:pPr>
      <w:r w:rsidRPr="00700A64">
        <w:rPr>
          <w:rFonts w:ascii="Book Antiqua" w:hAnsi="Book Antiqua"/>
        </w:rPr>
        <w:t>In conclusion, w</w:t>
      </w:r>
      <w:r w:rsidR="00402438" w:rsidRPr="00700A64">
        <w:rPr>
          <w:rFonts w:ascii="Book Antiqua" w:hAnsi="Book Antiqua"/>
        </w:rPr>
        <w:t>e established that CD patients express</w:t>
      </w:r>
      <w:r w:rsidR="000F205A" w:rsidRPr="00700A64">
        <w:rPr>
          <w:rFonts w:ascii="Book Antiqua" w:hAnsi="Book Antiqua"/>
        </w:rPr>
        <w:t>ed</w:t>
      </w:r>
      <w:r w:rsidR="00402438" w:rsidRPr="00700A64">
        <w:rPr>
          <w:rFonts w:ascii="Book Antiqua" w:hAnsi="Book Antiqua"/>
        </w:rPr>
        <w:t xml:space="preserve"> higher densit</w:t>
      </w:r>
      <w:r w:rsidR="000F205A" w:rsidRPr="00700A64">
        <w:rPr>
          <w:rFonts w:ascii="Book Antiqua" w:hAnsi="Book Antiqua"/>
        </w:rPr>
        <w:t>ies</w:t>
      </w:r>
      <w:r w:rsidR="00402438" w:rsidRPr="00700A64">
        <w:rPr>
          <w:rFonts w:ascii="Book Antiqua" w:hAnsi="Book Antiqua"/>
        </w:rPr>
        <w:t xml:space="preserve"> of CD11c+, IDO+</w:t>
      </w:r>
      <w:r w:rsidR="00BB783C" w:rsidRPr="00700A64">
        <w:rPr>
          <w:rFonts w:ascii="Book Antiqua" w:hAnsi="Book Antiqua"/>
        </w:rPr>
        <w:t xml:space="preserve"> and</w:t>
      </w:r>
      <w:r w:rsidR="00402438" w:rsidRPr="00700A64">
        <w:rPr>
          <w:rFonts w:ascii="Book Antiqua" w:hAnsi="Book Antiqua"/>
        </w:rPr>
        <w:t xml:space="preserve"> CD103+ DCs</w:t>
      </w:r>
      <w:r w:rsidR="00BB783C" w:rsidRPr="00700A64">
        <w:rPr>
          <w:rFonts w:ascii="Book Antiqua" w:hAnsi="Book Antiqua"/>
        </w:rPr>
        <w:t xml:space="preserve"> and</w:t>
      </w:r>
      <w:r w:rsidR="000F205A" w:rsidRPr="00700A64">
        <w:rPr>
          <w:rFonts w:ascii="Book Antiqua" w:hAnsi="Book Antiqua"/>
        </w:rPr>
        <w:t xml:space="preserve"> </w:t>
      </w:r>
      <w:r w:rsidR="00FD6716" w:rsidRPr="00700A64">
        <w:rPr>
          <w:rFonts w:ascii="Book Antiqua" w:hAnsi="Book Antiqua"/>
        </w:rPr>
        <w:t>Langerin</w:t>
      </w:r>
      <w:r w:rsidR="00402438" w:rsidRPr="00700A64">
        <w:rPr>
          <w:rFonts w:ascii="Book Antiqua" w:hAnsi="Book Antiqua"/>
        </w:rPr>
        <w:t xml:space="preserve">+ DCs in </w:t>
      </w:r>
      <w:r w:rsidR="000F205A" w:rsidRPr="00700A64">
        <w:rPr>
          <w:rFonts w:ascii="Book Antiqua" w:hAnsi="Book Antiqua"/>
        </w:rPr>
        <w:t xml:space="preserve">the </w:t>
      </w:r>
      <w:r w:rsidR="00402438" w:rsidRPr="00700A64">
        <w:rPr>
          <w:rFonts w:ascii="Book Antiqua" w:hAnsi="Book Antiqua"/>
        </w:rPr>
        <w:t>small bowel mucosa</w:t>
      </w:r>
      <w:r w:rsidR="00402438" w:rsidRPr="00700A64">
        <w:rPr>
          <w:rFonts w:ascii="Book Antiqua" w:hAnsi="Book Antiqua"/>
          <w:bCs/>
        </w:rPr>
        <w:t xml:space="preserve"> compared with </w:t>
      </w:r>
      <w:r w:rsidR="000F205A" w:rsidRPr="00700A64">
        <w:rPr>
          <w:rFonts w:ascii="Book Antiqua" w:hAnsi="Book Antiqua"/>
          <w:bCs/>
        </w:rPr>
        <w:t xml:space="preserve">the </w:t>
      </w:r>
      <w:r w:rsidR="00402438" w:rsidRPr="00700A64">
        <w:rPr>
          <w:rFonts w:ascii="Book Antiqua" w:hAnsi="Book Antiqua"/>
          <w:bCs/>
        </w:rPr>
        <w:t xml:space="preserve">control persons. The </w:t>
      </w:r>
      <w:r w:rsidR="0092091E" w:rsidRPr="00700A64">
        <w:rPr>
          <w:rFonts w:ascii="Book Antiqua" w:hAnsi="Book Antiqua"/>
          <w:bCs/>
        </w:rPr>
        <w:t xml:space="preserve">densities </w:t>
      </w:r>
      <w:r w:rsidR="00402438" w:rsidRPr="00700A64">
        <w:rPr>
          <w:rFonts w:ascii="Book Antiqua" w:hAnsi="Book Antiqua"/>
          <w:bCs/>
        </w:rPr>
        <w:t xml:space="preserve">of </w:t>
      </w:r>
      <w:r w:rsidR="000F205A" w:rsidRPr="00700A64">
        <w:rPr>
          <w:rFonts w:ascii="Book Antiqua" w:hAnsi="Book Antiqua"/>
          <w:bCs/>
        </w:rPr>
        <w:t>both</w:t>
      </w:r>
      <w:r w:rsidR="00B00A00" w:rsidRPr="00700A64">
        <w:rPr>
          <w:rFonts w:ascii="Book Antiqua" w:hAnsi="Book Antiqua"/>
          <w:bCs/>
        </w:rPr>
        <w:t xml:space="preserve"> </w:t>
      </w:r>
      <w:r w:rsidR="00402438" w:rsidRPr="00700A64">
        <w:rPr>
          <w:rFonts w:ascii="Book Antiqua" w:hAnsi="Book Antiqua"/>
          <w:bCs/>
        </w:rPr>
        <w:t>FOXP3+ Treg</w:t>
      </w:r>
      <w:r w:rsidR="00D52329" w:rsidRPr="00700A64">
        <w:rPr>
          <w:rFonts w:ascii="Book Antiqua" w:hAnsi="Book Antiqua"/>
          <w:bCs/>
        </w:rPr>
        <w:t>s</w:t>
      </w:r>
      <w:r w:rsidR="00402438" w:rsidRPr="00700A64">
        <w:rPr>
          <w:rFonts w:ascii="Book Antiqua" w:hAnsi="Book Antiqua"/>
          <w:bCs/>
        </w:rPr>
        <w:t xml:space="preserve"> </w:t>
      </w:r>
      <w:r w:rsidR="000F205A" w:rsidRPr="00700A64">
        <w:rPr>
          <w:rFonts w:ascii="Book Antiqua" w:hAnsi="Book Antiqua"/>
          <w:bCs/>
        </w:rPr>
        <w:t xml:space="preserve">and </w:t>
      </w:r>
      <w:r w:rsidR="00402438" w:rsidRPr="00700A64">
        <w:rPr>
          <w:rFonts w:ascii="Book Antiqua" w:hAnsi="Book Antiqua"/>
          <w:bCs/>
        </w:rPr>
        <w:t xml:space="preserve">IDO+DCs </w:t>
      </w:r>
      <w:r w:rsidR="0092091E" w:rsidRPr="00700A64">
        <w:rPr>
          <w:rFonts w:ascii="Book Antiqua" w:hAnsi="Book Antiqua"/>
          <w:bCs/>
        </w:rPr>
        <w:t xml:space="preserve">were </w:t>
      </w:r>
      <w:r w:rsidR="00402438" w:rsidRPr="00700A64">
        <w:rPr>
          <w:rFonts w:ascii="Book Antiqua" w:hAnsi="Book Antiqua"/>
          <w:bCs/>
        </w:rPr>
        <w:t xml:space="preserve">significantly increased in CD </w:t>
      </w:r>
      <w:r w:rsidR="000F205A" w:rsidRPr="00700A64">
        <w:rPr>
          <w:rFonts w:ascii="Book Antiqua" w:hAnsi="Book Antiqua"/>
          <w:bCs/>
        </w:rPr>
        <w:t xml:space="preserve">patients </w:t>
      </w:r>
      <w:r w:rsidR="0092091E" w:rsidRPr="00700A64">
        <w:rPr>
          <w:rFonts w:ascii="Book Antiqua" w:hAnsi="Book Antiqua"/>
          <w:bCs/>
        </w:rPr>
        <w:t>with and without</w:t>
      </w:r>
      <w:r w:rsidR="00402438" w:rsidRPr="00700A64">
        <w:rPr>
          <w:rFonts w:ascii="Book Antiqua" w:hAnsi="Book Antiqua"/>
          <w:bCs/>
        </w:rPr>
        <w:t xml:space="preserve"> coexisting T1D.</w:t>
      </w:r>
      <w:r w:rsidR="00402438" w:rsidRPr="00700A64">
        <w:rPr>
          <w:rFonts w:ascii="Book Antiqua" w:hAnsi="Book Antiqua"/>
        </w:rPr>
        <w:t xml:space="preserve"> </w:t>
      </w:r>
      <w:r w:rsidR="000F205A" w:rsidRPr="00700A64">
        <w:rPr>
          <w:rFonts w:ascii="Book Antiqua" w:hAnsi="Book Antiqua"/>
        </w:rPr>
        <w:t>A</w:t>
      </w:r>
      <w:r w:rsidR="00402438" w:rsidRPr="00700A64">
        <w:rPr>
          <w:rFonts w:ascii="Book Antiqua" w:hAnsi="Book Antiqua"/>
        </w:rPr>
        <w:t xml:space="preserve"> significant correlation </w:t>
      </w:r>
      <w:r w:rsidR="000F205A" w:rsidRPr="00700A64">
        <w:rPr>
          <w:rFonts w:ascii="Book Antiqua" w:hAnsi="Book Antiqua"/>
        </w:rPr>
        <w:t xml:space="preserve">was </w:t>
      </w:r>
      <w:r w:rsidR="00BB783C" w:rsidRPr="00700A64">
        <w:rPr>
          <w:rFonts w:ascii="Book Antiqua" w:hAnsi="Book Antiqua"/>
        </w:rPr>
        <w:t xml:space="preserve">identified </w:t>
      </w:r>
      <w:r w:rsidR="00402438" w:rsidRPr="00700A64">
        <w:rPr>
          <w:rFonts w:ascii="Book Antiqua" w:hAnsi="Book Antiqua"/>
        </w:rPr>
        <w:t>between</w:t>
      </w:r>
      <w:r w:rsidR="0092091E" w:rsidRPr="00700A64">
        <w:rPr>
          <w:rFonts w:ascii="Book Antiqua" w:hAnsi="Book Antiqua"/>
        </w:rPr>
        <w:t xml:space="preserve"> the</w:t>
      </w:r>
      <w:r w:rsidR="00402438" w:rsidRPr="00700A64">
        <w:rPr>
          <w:rFonts w:ascii="Book Antiqua" w:hAnsi="Book Antiqua"/>
        </w:rPr>
        <w:t xml:space="preserve"> densit</w:t>
      </w:r>
      <w:r w:rsidR="000F205A" w:rsidRPr="00700A64">
        <w:rPr>
          <w:rFonts w:ascii="Book Antiqua" w:hAnsi="Book Antiqua"/>
        </w:rPr>
        <w:t>ies</w:t>
      </w:r>
      <w:r w:rsidR="00402438" w:rsidRPr="00700A64">
        <w:rPr>
          <w:rFonts w:ascii="Book Antiqua" w:hAnsi="Book Antiqua"/>
        </w:rPr>
        <w:t xml:space="preserve"> of CD103+ DCs and FOXP3+ T</w:t>
      </w:r>
      <w:r w:rsidR="00766414" w:rsidRPr="00700A64">
        <w:rPr>
          <w:rFonts w:ascii="Book Antiqua" w:hAnsi="Book Antiqua"/>
        </w:rPr>
        <w:t>regs</w:t>
      </w:r>
      <w:r w:rsidR="00BB783C" w:rsidRPr="00700A64">
        <w:rPr>
          <w:rFonts w:ascii="Book Antiqua" w:hAnsi="Book Antiqua"/>
        </w:rPr>
        <w:t xml:space="preserve"> and</w:t>
      </w:r>
      <w:r w:rsidR="00402438" w:rsidRPr="00700A64">
        <w:rPr>
          <w:rFonts w:ascii="Book Antiqua" w:hAnsi="Book Antiqua"/>
        </w:rPr>
        <w:t xml:space="preserve"> between </w:t>
      </w:r>
      <w:r w:rsidR="0092091E" w:rsidRPr="00700A64">
        <w:rPr>
          <w:rFonts w:ascii="Book Antiqua" w:hAnsi="Book Antiqua"/>
        </w:rPr>
        <w:t xml:space="preserve">the </w:t>
      </w:r>
      <w:r w:rsidR="000F205A" w:rsidRPr="00700A64">
        <w:rPr>
          <w:rFonts w:ascii="Book Antiqua" w:hAnsi="Book Antiqua"/>
        </w:rPr>
        <w:t xml:space="preserve">densities of </w:t>
      </w:r>
      <w:r w:rsidR="00402438" w:rsidRPr="00700A64">
        <w:rPr>
          <w:rFonts w:ascii="Book Antiqua" w:hAnsi="Book Antiqua"/>
        </w:rPr>
        <w:t>IDO+ DCs and FOXP3+T</w:t>
      </w:r>
      <w:r w:rsidR="00766414" w:rsidRPr="00700A64">
        <w:rPr>
          <w:rFonts w:ascii="Book Antiqua" w:hAnsi="Book Antiqua"/>
        </w:rPr>
        <w:t>regs</w:t>
      </w:r>
      <w:r w:rsidR="00402438" w:rsidRPr="00700A64">
        <w:rPr>
          <w:rFonts w:ascii="Book Antiqua" w:hAnsi="Book Antiqua"/>
        </w:rPr>
        <w:t>. This</w:t>
      </w:r>
      <w:r w:rsidR="00BB783C" w:rsidRPr="00700A64">
        <w:rPr>
          <w:rFonts w:ascii="Book Antiqua" w:hAnsi="Book Antiqua"/>
        </w:rPr>
        <w:t xml:space="preserve"> finding highlights </w:t>
      </w:r>
      <w:r w:rsidR="00402438" w:rsidRPr="00700A64">
        <w:rPr>
          <w:rFonts w:ascii="Book Antiqua" w:hAnsi="Book Antiqua"/>
        </w:rPr>
        <w:t xml:space="preserve">the participation of diverse DC subsets in </w:t>
      </w:r>
      <w:r w:rsidR="000F205A" w:rsidRPr="00700A64">
        <w:rPr>
          <w:rFonts w:ascii="Book Antiqua" w:hAnsi="Book Antiqua"/>
        </w:rPr>
        <w:t xml:space="preserve">the </w:t>
      </w:r>
      <w:r w:rsidR="00402438" w:rsidRPr="00700A64">
        <w:rPr>
          <w:rFonts w:ascii="Book Antiqua" w:hAnsi="Book Antiqua"/>
        </w:rPr>
        <w:t xml:space="preserve">pathological processes of CD and indicates </w:t>
      </w:r>
      <w:r w:rsidR="0092091E" w:rsidRPr="00700A64">
        <w:rPr>
          <w:rFonts w:ascii="Book Antiqua" w:hAnsi="Book Antiqua"/>
        </w:rPr>
        <w:t xml:space="preserve">the </w:t>
      </w:r>
      <w:r w:rsidR="00402438" w:rsidRPr="00700A64">
        <w:rPr>
          <w:rFonts w:ascii="Book Antiqua" w:hAnsi="Book Antiqua"/>
        </w:rPr>
        <w:t>possible involvement of tolerogenic DCs in Treg</w:t>
      </w:r>
      <w:r w:rsidR="00766414" w:rsidRPr="00700A64">
        <w:rPr>
          <w:rFonts w:ascii="Book Antiqua" w:hAnsi="Book Antiqua"/>
        </w:rPr>
        <w:t>s</w:t>
      </w:r>
      <w:r w:rsidR="00402438" w:rsidRPr="00700A64">
        <w:rPr>
          <w:rFonts w:ascii="Book Antiqua" w:hAnsi="Book Antiqua"/>
        </w:rPr>
        <w:t xml:space="preserve"> development to maintain intestinal immunological tolerance in CD patients. Our result</w:t>
      </w:r>
      <w:r w:rsidR="0092091E" w:rsidRPr="00700A64">
        <w:rPr>
          <w:rFonts w:ascii="Book Antiqua" w:hAnsi="Book Antiqua"/>
        </w:rPr>
        <w:t>s</w:t>
      </w:r>
      <w:r w:rsidR="00402438" w:rsidRPr="00700A64">
        <w:rPr>
          <w:rFonts w:ascii="Book Antiqua" w:hAnsi="Book Antiqua"/>
        </w:rPr>
        <w:t xml:space="preserve"> </w:t>
      </w:r>
      <w:r w:rsidR="000F205A" w:rsidRPr="00700A64">
        <w:rPr>
          <w:rFonts w:ascii="Book Antiqua" w:hAnsi="Book Antiqua"/>
        </w:rPr>
        <w:t xml:space="preserve">demonstrate </w:t>
      </w:r>
      <w:r w:rsidR="00402438" w:rsidRPr="00700A64">
        <w:rPr>
          <w:rFonts w:ascii="Book Antiqua" w:hAnsi="Book Antiqua"/>
        </w:rPr>
        <w:t xml:space="preserve">the diversity of </w:t>
      </w:r>
      <w:r w:rsidR="000F205A" w:rsidRPr="00700A64">
        <w:rPr>
          <w:rFonts w:ascii="Book Antiqua" w:hAnsi="Book Antiqua"/>
        </w:rPr>
        <w:t>the</w:t>
      </w:r>
      <w:r w:rsidR="00402438" w:rsidRPr="00700A64">
        <w:rPr>
          <w:rFonts w:ascii="Book Antiqua" w:hAnsi="Book Antiqua"/>
        </w:rPr>
        <w:t xml:space="preserve"> mechanisms </w:t>
      </w:r>
      <w:r w:rsidR="000F205A" w:rsidRPr="00700A64">
        <w:rPr>
          <w:rFonts w:ascii="Book Antiqua" w:hAnsi="Book Antiqua"/>
        </w:rPr>
        <w:t xml:space="preserve">of immunoregulation </w:t>
      </w:r>
      <w:r w:rsidR="00402438" w:rsidRPr="00700A64">
        <w:rPr>
          <w:rFonts w:ascii="Book Antiqua" w:hAnsi="Book Antiqua"/>
        </w:rPr>
        <w:t xml:space="preserve">and </w:t>
      </w:r>
      <w:r w:rsidR="0092091E" w:rsidRPr="00700A64">
        <w:rPr>
          <w:rFonts w:ascii="Book Antiqua" w:hAnsi="Book Antiqua"/>
        </w:rPr>
        <w:t xml:space="preserve">the </w:t>
      </w:r>
      <w:r w:rsidR="00402438" w:rsidRPr="00700A64">
        <w:rPr>
          <w:rFonts w:ascii="Book Antiqua" w:hAnsi="Book Antiqua"/>
        </w:rPr>
        <w:t>various types of DC involvement in CD</w:t>
      </w:r>
      <w:r w:rsidR="000F205A" w:rsidRPr="00700A64">
        <w:rPr>
          <w:rFonts w:ascii="Book Antiqua" w:hAnsi="Book Antiqua"/>
        </w:rPr>
        <w:t>,</w:t>
      </w:r>
      <w:r w:rsidR="00402438" w:rsidRPr="00700A64">
        <w:rPr>
          <w:rFonts w:ascii="Book Antiqua" w:hAnsi="Book Antiqua"/>
        </w:rPr>
        <w:t xml:space="preserve"> </w:t>
      </w:r>
      <w:r w:rsidR="00163BC4" w:rsidRPr="00700A64">
        <w:rPr>
          <w:rFonts w:ascii="Book Antiqua" w:hAnsi="Book Antiqua"/>
        </w:rPr>
        <w:t>emphasizing</w:t>
      </w:r>
      <w:r w:rsidR="00402438" w:rsidRPr="00700A64">
        <w:rPr>
          <w:rFonts w:ascii="Book Antiqua" w:hAnsi="Book Antiqua"/>
        </w:rPr>
        <w:t xml:space="preserve"> the importance of Langerin+ DC</w:t>
      </w:r>
      <w:r w:rsidR="00BE74AA" w:rsidRPr="00700A64">
        <w:rPr>
          <w:rFonts w:ascii="Book Antiqua" w:hAnsi="Book Antiqua"/>
        </w:rPr>
        <w:t>s</w:t>
      </w:r>
      <w:r w:rsidR="00402438" w:rsidRPr="00700A64">
        <w:rPr>
          <w:rFonts w:ascii="Book Antiqua" w:hAnsi="Book Antiqua"/>
        </w:rPr>
        <w:t xml:space="preserve"> in </w:t>
      </w:r>
      <w:r w:rsidR="000F205A" w:rsidRPr="00700A64">
        <w:rPr>
          <w:rFonts w:ascii="Book Antiqua" w:hAnsi="Book Antiqua"/>
        </w:rPr>
        <w:t xml:space="preserve">the </w:t>
      </w:r>
      <w:r w:rsidR="00402438" w:rsidRPr="00700A64">
        <w:rPr>
          <w:rFonts w:ascii="Book Antiqua" w:hAnsi="Book Antiqua"/>
        </w:rPr>
        <w:t>small intestinal mucosa</w:t>
      </w:r>
      <w:r w:rsidR="007339EC" w:rsidRPr="00700A64">
        <w:rPr>
          <w:rFonts w:ascii="Book Antiqua" w:hAnsi="Book Antiqua"/>
        </w:rPr>
        <w:t>.</w:t>
      </w:r>
    </w:p>
    <w:p w:rsidR="00FE43F6" w:rsidRDefault="00FE43F6" w:rsidP="00B90E53">
      <w:pPr>
        <w:adjustRightInd w:val="0"/>
        <w:snapToGrid w:val="0"/>
        <w:spacing w:line="360" w:lineRule="auto"/>
        <w:jc w:val="both"/>
        <w:rPr>
          <w:rFonts w:ascii="Book Antiqua" w:hAnsi="Book Antiqua"/>
          <w:b/>
          <w:lang w:eastAsia="zh-CN"/>
        </w:rPr>
      </w:pPr>
    </w:p>
    <w:p w:rsidR="00064806" w:rsidRPr="00EB7313" w:rsidRDefault="00ED1549" w:rsidP="00B90E53">
      <w:pPr>
        <w:adjustRightInd w:val="0"/>
        <w:snapToGrid w:val="0"/>
        <w:spacing w:line="360" w:lineRule="auto"/>
        <w:jc w:val="both"/>
        <w:rPr>
          <w:rFonts w:ascii="Book Antiqua" w:hAnsi="Book Antiqua"/>
          <w:b/>
          <w:lang w:eastAsia="zh-CN"/>
        </w:rPr>
      </w:pPr>
      <w:r w:rsidRPr="00700A64">
        <w:rPr>
          <w:rFonts w:ascii="Book Antiqua" w:hAnsi="Book Antiqua"/>
          <w:b/>
        </w:rPr>
        <w:t>A</w:t>
      </w:r>
      <w:r w:rsidR="009D40FC" w:rsidRPr="00700A64">
        <w:rPr>
          <w:rFonts w:ascii="Book Antiqua" w:hAnsi="Book Antiqua"/>
          <w:b/>
        </w:rPr>
        <w:t>CKNOWLEDGMENTS</w:t>
      </w:r>
    </w:p>
    <w:p w:rsidR="004467DD" w:rsidRPr="00EB7313" w:rsidRDefault="00742C32" w:rsidP="00B90E53">
      <w:pPr>
        <w:adjustRightInd w:val="0"/>
        <w:snapToGrid w:val="0"/>
        <w:spacing w:line="360" w:lineRule="auto"/>
        <w:jc w:val="both"/>
        <w:rPr>
          <w:rFonts w:ascii="Book Antiqua" w:hAnsi="Book Antiqua"/>
        </w:rPr>
      </w:pPr>
      <w:r w:rsidRPr="00700A64">
        <w:rPr>
          <w:rFonts w:ascii="Book Antiqua" w:hAnsi="Book Antiqua"/>
        </w:rPr>
        <w:t>We would like to thank Dr. Tiina Rägo from the Children’s Clinic of Tartu University Hospital, Tartu</w:t>
      </w:r>
      <w:r w:rsidR="00C20994" w:rsidRPr="00700A64">
        <w:rPr>
          <w:rFonts w:ascii="Book Antiqua" w:hAnsi="Book Antiqua"/>
        </w:rPr>
        <w:t>,</w:t>
      </w:r>
      <w:r w:rsidRPr="00700A64">
        <w:rPr>
          <w:rFonts w:ascii="Book Antiqua" w:hAnsi="Book Antiqua"/>
        </w:rPr>
        <w:t xml:space="preserve"> for part of the clinical material </w:t>
      </w:r>
      <w:r w:rsidR="00C20994" w:rsidRPr="00700A64">
        <w:rPr>
          <w:rFonts w:ascii="Book Antiqua" w:hAnsi="Book Antiqua"/>
        </w:rPr>
        <w:t>and</w:t>
      </w:r>
      <w:r w:rsidR="00F56877" w:rsidRPr="00700A64">
        <w:rPr>
          <w:rFonts w:ascii="Book Antiqua" w:hAnsi="Book Antiqua"/>
        </w:rPr>
        <w:t xml:space="preserve"> </w:t>
      </w:r>
      <w:r w:rsidRPr="00700A64">
        <w:rPr>
          <w:rFonts w:ascii="Book Antiqua" w:hAnsi="Book Antiqua"/>
        </w:rPr>
        <w:t>Mrs.</w:t>
      </w:r>
      <w:r w:rsidR="001601FE" w:rsidRPr="00700A64">
        <w:rPr>
          <w:rFonts w:ascii="Book Antiqua" w:hAnsi="Book Antiqua"/>
        </w:rPr>
        <w:t xml:space="preserve"> </w:t>
      </w:r>
      <w:r w:rsidRPr="00700A64">
        <w:rPr>
          <w:rFonts w:ascii="Book Antiqua" w:hAnsi="Book Antiqua"/>
        </w:rPr>
        <w:t xml:space="preserve">Anu Kaldmaa </w:t>
      </w:r>
      <w:r w:rsidRPr="00700A64">
        <w:rPr>
          <w:rStyle w:val="affiliation"/>
          <w:rFonts w:ascii="Book Antiqua" w:hAnsi="Book Antiqua"/>
        </w:rPr>
        <w:t xml:space="preserve">from the Department of Immunology, </w:t>
      </w:r>
      <w:r w:rsidR="00BF7762" w:rsidRPr="00700A64">
        <w:rPr>
          <w:rFonts w:ascii="Book Antiqua" w:hAnsi="Book Antiqua"/>
          <w:color w:val="000000"/>
        </w:rPr>
        <w:t xml:space="preserve">Institute of Biomedicine and </w:t>
      </w:r>
      <w:r w:rsidR="00BF7762" w:rsidRPr="00700A64">
        <w:rPr>
          <w:rFonts w:ascii="Book Antiqua" w:hAnsi="Book Antiqua"/>
          <w:color w:val="000000"/>
        </w:rPr>
        <w:lastRenderedPageBreak/>
        <w:t>Translational Medicine</w:t>
      </w:r>
      <w:r w:rsidR="00BF7762" w:rsidRPr="00700A64">
        <w:rPr>
          <w:rFonts w:ascii="Book Antiqua" w:hAnsi="Book Antiqua"/>
        </w:rPr>
        <w:t xml:space="preserve">, </w:t>
      </w:r>
      <w:r w:rsidRPr="00700A64">
        <w:rPr>
          <w:rStyle w:val="affiliation"/>
          <w:rFonts w:ascii="Book Antiqua" w:hAnsi="Book Antiqua"/>
        </w:rPr>
        <w:t>University of Tartu</w:t>
      </w:r>
      <w:r w:rsidR="00C20994" w:rsidRPr="00700A64">
        <w:rPr>
          <w:rStyle w:val="affiliation"/>
          <w:rFonts w:ascii="Book Antiqua" w:hAnsi="Book Antiqua"/>
        </w:rPr>
        <w:t>,</w:t>
      </w:r>
      <w:r w:rsidR="00DF4D4E" w:rsidRPr="00700A64">
        <w:rPr>
          <w:rStyle w:val="affiliation"/>
          <w:rFonts w:ascii="Book Antiqua" w:hAnsi="Book Antiqua"/>
        </w:rPr>
        <w:t xml:space="preserve"> </w:t>
      </w:r>
      <w:r w:rsidR="00DF4D4E" w:rsidRPr="00700A64">
        <w:rPr>
          <w:rFonts w:ascii="Book Antiqua" w:hAnsi="Book Antiqua"/>
        </w:rPr>
        <w:t xml:space="preserve">and </w:t>
      </w:r>
      <w:r w:rsidR="00DF4D4E" w:rsidRPr="00700A64">
        <w:rPr>
          <w:rFonts w:ascii="Book Antiqua" w:hAnsi="Book Antiqua"/>
          <w:bCs/>
        </w:rPr>
        <w:t xml:space="preserve">Mrs. Merje Jakobson </w:t>
      </w:r>
      <w:r w:rsidR="00DF4D4E" w:rsidRPr="00700A64">
        <w:rPr>
          <w:rFonts w:ascii="Book Antiqua" w:hAnsi="Book Antiqua"/>
        </w:rPr>
        <w:t>from the Department of Pathology</w:t>
      </w:r>
      <w:r w:rsidR="006D03DB" w:rsidRPr="00700A64">
        <w:rPr>
          <w:rFonts w:ascii="Book Antiqua" w:hAnsi="Book Antiqua"/>
        </w:rPr>
        <w:t>,</w:t>
      </w:r>
      <w:r w:rsidR="00DF4D4E" w:rsidRPr="00700A64">
        <w:rPr>
          <w:rFonts w:ascii="Book Antiqua" w:hAnsi="Book Antiqua"/>
        </w:rPr>
        <w:t xml:space="preserve"> Tartu University Hospital</w:t>
      </w:r>
      <w:r w:rsidR="00C20994" w:rsidRPr="00700A64">
        <w:rPr>
          <w:rFonts w:ascii="Book Antiqua" w:hAnsi="Book Antiqua"/>
        </w:rPr>
        <w:t>,</w:t>
      </w:r>
      <w:r w:rsidR="00F56877" w:rsidRPr="00700A64">
        <w:rPr>
          <w:rFonts w:ascii="Book Antiqua" w:hAnsi="Book Antiqua"/>
        </w:rPr>
        <w:t xml:space="preserve"> </w:t>
      </w:r>
      <w:r w:rsidRPr="00700A64">
        <w:rPr>
          <w:rFonts w:ascii="Book Antiqua" w:hAnsi="Book Antiqua"/>
        </w:rPr>
        <w:t xml:space="preserve">for their assistance </w:t>
      </w:r>
      <w:r w:rsidR="00F56877" w:rsidRPr="00700A64">
        <w:rPr>
          <w:rFonts w:ascii="Book Antiqua" w:hAnsi="Book Antiqua"/>
        </w:rPr>
        <w:t xml:space="preserve">with </w:t>
      </w:r>
      <w:r w:rsidR="00DF4D4E" w:rsidRPr="00700A64">
        <w:rPr>
          <w:rFonts w:ascii="Book Antiqua" w:hAnsi="Book Antiqua"/>
        </w:rPr>
        <w:t xml:space="preserve">the </w:t>
      </w:r>
      <w:r w:rsidRPr="00700A64">
        <w:rPr>
          <w:rFonts w:ascii="Book Antiqua" w:hAnsi="Book Antiqua"/>
        </w:rPr>
        <w:t>laboratory</w:t>
      </w:r>
      <w:r w:rsidR="006D03DB" w:rsidRPr="00700A64">
        <w:rPr>
          <w:rFonts w:ascii="Book Antiqua" w:hAnsi="Book Antiqua"/>
        </w:rPr>
        <w:t xml:space="preserve"> procedures</w:t>
      </w:r>
      <w:r w:rsidR="00DF4D4E" w:rsidRPr="00700A64">
        <w:rPr>
          <w:rFonts w:ascii="Book Antiqua" w:hAnsi="Book Antiqua"/>
        </w:rPr>
        <w:t>.</w:t>
      </w:r>
      <w:r w:rsidRPr="00700A64">
        <w:rPr>
          <w:rFonts w:ascii="Book Antiqua" w:hAnsi="Book Antiqua"/>
        </w:rPr>
        <w:t xml:space="preserve"> </w:t>
      </w:r>
      <w:r w:rsidR="004F3A84" w:rsidRPr="00700A64">
        <w:rPr>
          <w:rFonts w:ascii="Book Antiqua" w:hAnsi="Book Antiqua"/>
        </w:rPr>
        <w:t xml:space="preserve">We </w:t>
      </w:r>
      <w:r w:rsidR="006D03DB" w:rsidRPr="00700A64">
        <w:rPr>
          <w:rFonts w:ascii="Book Antiqua" w:hAnsi="Book Antiqua"/>
        </w:rPr>
        <w:t>are grateful to</w:t>
      </w:r>
      <w:r w:rsidR="004F3A84" w:rsidRPr="00700A64">
        <w:rPr>
          <w:rFonts w:ascii="Book Antiqua" w:hAnsi="Book Antiqua"/>
        </w:rPr>
        <w:t xml:space="preserve"> Mrs. Kristi Alnek and Helis Janson </w:t>
      </w:r>
      <w:r w:rsidR="00CC2F51" w:rsidRPr="00700A64">
        <w:rPr>
          <w:rStyle w:val="affiliation"/>
          <w:rFonts w:ascii="Book Antiqua" w:hAnsi="Book Antiqua"/>
        </w:rPr>
        <w:t xml:space="preserve">from the Department of Immunology, </w:t>
      </w:r>
      <w:r w:rsidR="00BF7762" w:rsidRPr="00700A64">
        <w:rPr>
          <w:rFonts w:ascii="Book Antiqua" w:hAnsi="Book Antiqua"/>
          <w:color w:val="000000"/>
        </w:rPr>
        <w:t>Institute of Biomedicine and Translational Medicine</w:t>
      </w:r>
      <w:r w:rsidR="00BF7762" w:rsidRPr="00700A64">
        <w:rPr>
          <w:rFonts w:ascii="Book Antiqua" w:hAnsi="Book Antiqua"/>
        </w:rPr>
        <w:t xml:space="preserve">, </w:t>
      </w:r>
      <w:r w:rsidR="00CC2F51" w:rsidRPr="00700A64">
        <w:rPr>
          <w:rStyle w:val="affiliation"/>
          <w:rFonts w:ascii="Book Antiqua" w:hAnsi="Book Antiqua"/>
        </w:rPr>
        <w:t>University of Tartu,</w:t>
      </w:r>
      <w:r w:rsidR="00CC2F51" w:rsidRPr="00700A64">
        <w:rPr>
          <w:rFonts w:ascii="Book Antiqua" w:hAnsi="Book Antiqua"/>
        </w:rPr>
        <w:t xml:space="preserve"> </w:t>
      </w:r>
      <w:r w:rsidR="004F3A84" w:rsidRPr="00700A64">
        <w:rPr>
          <w:rFonts w:ascii="Book Antiqua" w:hAnsi="Book Antiqua"/>
        </w:rPr>
        <w:t xml:space="preserve">for performing the </w:t>
      </w:r>
      <w:r w:rsidR="005D6069" w:rsidRPr="00700A64">
        <w:rPr>
          <w:rFonts w:ascii="Book Antiqua" w:hAnsi="Book Antiqua"/>
        </w:rPr>
        <w:t>t</w:t>
      </w:r>
      <w:r w:rsidR="004F3A84" w:rsidRPr="00700A64">
        <w:rPr>
          <w:rFonts w:ascii="Book Antiqua" w:hAnsi="Book Antiqua"/>
          <w:bCs/>
        </w:rPr>
        <w:t>issue transglutaminase IgA antibody (IgA-tTG) immunoassay.</w:t>
      </w:r>
      <w:r w:rsidR="00EB7313">
        <w:rPr>
          <w:rFonts w:ascii="Book Antiqua" w:hAnsi="Book Antiqua" w:hint="eastAsia"/>
          <w:lang w:eastAsia="zh-CN"/>
        </w:rPr>
        <w:t xml:space="preserve"> </w:t>
      </w:r>
      <w:r w:rsidR="004467DD" w:rsidRPr="00700A64">
        <w:rPr>
          <w:rFonts w:ascii="Book Antiqua" w:hAnsi="Book Antiqua"/>
          <w:bCs/>
        </w:rPr>
        <w:t>We thank Mrs.</w:t>
      </w:r>
      <w:r w:rsidR="00F56877" w:rsidRPr="00700A64">
        <w:rPr>
          <w:rFonts w:ascii="Book Antiqua" w:hAnsi="Book Antiqua"/>
          <w:bCs/>
        </w:rPr>
        <w:t xml:space="preserve"> </w:t>
      </w:r>
      <w:r w:rsidR="004467DD" w:rsidRPr="00700A64">
        <w:rPr>
          <w:rFonts w:ascii="Book Antiqua" w:hAnsi="Book Antiqua"/>
          <w:bCs/>
        </w:rPr>
        <w:t>Ülle Kirsimä</w:t>
      </w:r>
      <w:r w:rsidR="006D03DB" w:rsidRPr="00700A64">
        <w:rPr>
          <w:rFonts w:ascii="Book Antiqua" w:hAnsi="Book Antiqua"/>
          <w:bCs/>
        </w:rPr>
        <w:t>gi</w:t>
      </w:r>
      <w:r w:rsidR="004467DD" w:rsidRPr="00700A64">
        <w:rPr>
          <w:rFonts w:ascii="Book Antiqua" w:hAnsi="Book Antiqua"/>
          <w:bCs/>
        </w:rPr>
        <w:t xml:space="preserve"> from </w:t>
      </w:r>
      <w:r w:rsidR="00BE65BC" w:rsidRPr="00700A64">
        <w:rPr>
          <w:rFonts w:ascii="Book Antiqua" w:hAnsi="Book Antiqua"/>
          <w:bCs/>
        </w:rPr>
        <w:t>the</w:t>
      </w:r>
      <w:r w:rsidR="004467DD" w:rsidRPr="00700A64">
        <w:rPr>
          <w:rFonts w:ascii="Book Antiqua" w:hAnsi="Book Antiqua"/>
          <w:bCs/>
        </w:rPr>
        <w:t xml:space="preserve"> Surgery</w:t>
      </w:r>
      <w:r w:rsidR="00BE65BC" w:rsidRPr="00700A64">
        <w:rPr>
          <w:rFonts w:ascii="Book Antiqua" w:hAnsi="Book Antiqua"/>
          <w:bCs/>
        </w:rPr>
        <w:t xml:space="preserve"> Department</w:t>
      </w:r>
      <w:r w:rsidR="004467DD" w:rsidRPr="00700A64">
        <w:rPr>
          <w:rFonts w:ascii="Book Antiqua" w:hAnsi="Book Antiqua"/>
          <w:bCs/>
        </w:rPr>
        <w:t>, University of Tartu</w:t>
      </w:r>
      <w:r w:rsidR="00C20994" w:rsidRPr="00700A64">
        <w:rPr>
          <w:rFonts w:ascii="Book Antiqua" w:hAnsi="Book Antiqua"/>
          <w:bCs/>
        </w:rPr>
        <w:t>,</w:t>
      </w:r>
      <w:r w:rsidR="00F56877" w:rsidRPr="00700A64">
        <w:rPr>
          <w:rFonts w:ascii="Book Antiqua" w:hAnsi="Book Antiqua"/>
          <w:bCs/>
        </w:rPr>
        <w:t xml:space="preserve"> </w:t>
      </w:r>
      <w:r w:rsidR="00804153" w:rsidRPr="00700A64">
        <w:rPr>
          <w:rFonts w:ascii="Book Antiqua" w:hAnsi="Book Antiqua"/>
          <w:bCs/>
        </w:rPr>
        <w:t xml:space="preserve">and </w:t>
      </w:r>
      <w:r w:rsidR="00DF4D4E" w:rsidRPr="00700A64">
        <w:rPr>
          <w:rFonts w:ascii="Book Antiqua" w:hAnsi="Book Antiqua"/>
        </w:rPr>
        <w:t>the</w:t>
      </w:r>
      <w:r w:rsidR="00804153" w:rsidRPr="00700A64">
        <w:rPr>
          <w:rFonts w:ascii="Book Antiqua" w:hAnsi="Book Antiqua"/>
        </w:rPr>
        <w:t xml:space="preserve"> medical student</w:t>
      </w:r>
      <w:r w:rsidR="00F56877" w:rsidRPr="00700A64">
        <w:rPr>
          <w:rFonts w:ascii="Book Antiqua" w:hAnsi="Book Antiqua"/>
        </w:rPr>
        <w:t>,</w:t>
      </w:r>
      <w:r w:rsidR="00804153" w:rsidRPr="00700A64">
        <w:rPr>
          <w:rFonts w:ascii="Book Antiqua" w:hAnsi="Book Antiqua"/>
        </w:rPr>
        <w:t xml:space="preserve"> Helerin Raikerus</w:t>
      </w:r>
      <w:r w:rsidR="00F56877" w:rsidRPr="00700A64">
        <w:rPr>
          <w:rFonts w:ascii="Book Antiqua" w:hAnsi="Book Antiqua"/>
        </w:rPr>
        <w:t>,</w:t>
      </w:r>
      <w:r w:rsidR="00804153" w:rsidRPr="00700A64">
        <w:rPr>
          <w:rFonts w:ascii="Book Antiqua" w:hAnsi="Book Antiqua"/>
        </w:rPr>
        <w:t xml:space="preserve"> </w:t>
      </w:r>
      <w:r w:rsidR="004467DD" w:rsidRPr="00700A64">
        <w:rPr>
          <w:rFonts w:ascii="Book Antiqua" w:hAnsi="Book Antiqua"/>
          <w:bCs/>
        </w:rPr>
        <w:t xml:space="preserve">for </w:t>
      </w:r>
      <w:r w:rsidR="00DF4D4E" w:rsidRPr="00700A64">
        <w:rPr>
          <w:rFonts w:ascii="Book Antiqua" w:hAnsi="Book Antiqua"/>
          <w:bCs/>
        </w:rPr>
        <w:t xml:space="preserve">their </w:t>
      </w:r>
      <w:r w:rsidR="00804153" w:rsidRPr="00700A64">
        <w:rPr>
          <w:rFonts w:ascii="Book Antiqua" w:hAnsi="Book Antiqua"/>
        </w:rPr>
        <w:t xml:space="preserve">help </w:t>
      </w:r>
      <w:r w:rsidR="00F56877" w:rsidRPr="00700A64">
        <w:rPr>
          <w:rFonts w:ascii="Book Antiqua" w:hAnsi="Book Antiqua"/>
        </w:rPr>
        <w:t xml:space="preserve">with </w:t>
      </w:r>
      <w:r w:rsidR="00804153" w:rsidRPr="00700A64">
        <w:rPr>
          <w:rFonts w:ascii="Book Antiqua" w:hAnsi="Book Antiqua"/>
        </w:rPr>
        <w:t>statistical analysis.</w:t>
      </w:r>
      <w:r w:rsidR="00804153" w:rsidRPr="00700A64" w:rsidDel="00804153">
        <w:rPr>
          <w:rFonts w:ascii="Book Antiqua" w:hAnsi="Book Antiqua"/>
        </w:rPr>
        <w:t xml:space="preserve"> </w:t>
      </w:r>
    </w:p>
    <w:p w:rsidR="004F3A84" w:rsidRPr="00700A64" w:rsidRDefault="004F3A84" w:rsidP="00B90E53">
      <w:pPr>
        <w:adjustRightInd w:val="0"/>
        <w:snapToGrid w:val="0"/>
        <w:spacing w:line="360" w:lineRule="auto"/>
        <w:jc w:val="both"/>
        <w:rPr>
          <w:rFonts w:ascii="Book Antiqua" w:hAnsi="Book Antiqua"/>
        </w:rPr>
      </w:pPr>
    </w:p>
    <w:p w:rsidR="00766414" w:rsidRPr="00700A64" w:rsidRDefault="00766414" w:rsidP="00B90E53">
      <w:pPr>
        <w:adjustRightInd w:val="0"/>
        <w:snapToGrid w:val="0"/>
        <w:spacing w:line="360" w:lineRule="auto"/>
        <w:jc w:val="both"/>
        <w:rPr>
          <w:rFonts w:ascii="Book Antiqua" w:hAnsi="Book Antiqua"/>
          <w:b/>
          <w:lang w:eastAsia="zh-CN"/>
        </w:rPr>
      </w:pPr>
      <w:r w:rsidRPr="00700A64">
        <w:rPr>
          <w:rFonts w:ascii="Book Antiqua" w:hAnsi="Book Antiqua"/>
          <w:b/>
        </w:rPr>
        <w:t>COMMENTS</w:t>
      </w:r>
    </w:p>
    <w:p w:rsidR="00766414" w:rsidRPr="00EB7313" w:rsidRDefault="00766414" w:rsidP="00B90E53">
      <w:pPr>
        <w:adjustRightInd w:val="0"/>
        <w:snapToGrid w:val="0"/>
        <w:spacing w:line="360" w:lineRule="auto"/>
        <w:jc w:val="both"/>
        <w:rPr>
          <w:rFonts w:ascii="Book Antiqua" w:hAnsi="Book Antiqua"/>
          <w:b/>
          <w:i/>
          <w:lang w:eastAsia="zh-CN"/>
        </w:rPr>
      </w:pPr>
      <w:r w:rsidRPr="00700A64">
        <w:rPr>
          <w:rFonts w:ascii="Book Antiqua" w:hAnsi="Book Antiqua"/>
          <w:b/>
          <w:i/>
        </w:rPr>
        <w:t>Background</w:t>
      </w:r>
    </w:p>
    <w:p w:rsidR="00766414" w:rsidRPr="00700A64" w:rsidRDefault="00766414" w:rsidP="00B90E53">
      <w:pPr>
        <w:adjustRightInd w:val="0"/>
        <w:snapToGrid w:val="0"/>
        <w:spacing w:line="360" w:lineRule="auto"/>
        <w:jc w:val="both"/>
        <w:rPr>
          <w:rFonts w:ascii="Book Antiqua" w:hAnsi="Book Antiqua"/>
        </w:rPr>
      </w:pPr>
      <w:r w:rsidRPr="00700A64">
        <w:rPr>
          <w:rFonts w:ascii="Book Antiqua" w:hAnsi="Book Antiqua"/>
        </w:rPr>
        <w:t>The role of the gut immune system is thought to be of crucial importance in the pathogenesis of celiac disease (CD) and type 1 diabetes (T1D). Several research groups have demonstrated a marked association between the development of T1D and preceding alterations in the small bowel mucosa. Dendritic cells (DCs)</w:t>
      </w:r>
      <w:r w:rsidRPr="00700A64">
        <w:rPr>
          <w:rFonts w:ascii="Book Antiqua" w:hAnsi="Book Antiqua"/>
          <w:bCs/>
        </w:rPr>
        <w:t xml:space="preserve"> have received much attention in both diseases due to their strategic role in gut homeostasis by processing external antigens (including wheat proteins) and by determining tolerance to self-antigens</w:t>
      </w:r>
      <w:r w:rsidRPr="00700A64">
        <w:rPr>
          <w:rFonts w:ascii="Book Antiqua" w:hAnsi="Book Antiqua"/>
        </w:rPr>
        <w:t>.</w:t>
      </w:r>
      <w:r w:rsidRPr="00700A64">
        <w:rPr>
          <w:rFonts w:ascii="Book Antiqua" w:hAnsi="Book Antiqua"/>
          <w:bCs/>
        </w:rPr>
        <w:t xml:space="preserve"> </w:t>
      </w:r>
    </w:p>
    <w:p w:rsidR="00766414" w:rsidRPr="00700A64" w:rsidRDefault="00766414" w:rsidP="00B90E53">
      <w:pPr>
        <w:adjustRightInd w:val="0"/>
        <w:snapToGrid w:val="0"/>
        <w:spacing w:line="360" w:lineRule="auto"/>
        <w:jc w:val="both"/>
        <w:rPr>
          <w:rFonts w:ascii="Book Antiqua" w:hAnsi="Book Antiqua"/>
          <w:bCs/>
        </w:rPr>
      </w:pPr>
    </w:p>
    <w:p w:rsidR="00766414" w:rsidRPr="00EB7313" w:rsidRDefault="00766414" w:rsidP="00B90E53">
      <w:pPr>
        <w:adjustRightInd w:val="0"/>
        <w:snapToGrid w:val="0"/>
        <w:spacing w:line="360" w:lineRule="auto"/>
        <w:jc w:val="both"/>
        <w:rPr>
          <w:rFonts w:ascii="Book Antiqua" w:hAnsi="Book Antiqua"/>
          <w:b/>
          <w:i/>
          <w:lang w:eastAsia="zh-CN"/>
        </w:rPr>
      </w:pPr>
      <w:r w:rsidRPr="00700A64">
        <w:rPr>
          <w:rFonts w:ascii="Book Antiqua" w:hAnsi="Book Antiqua"/>
          <w:b/>
          <w:i/>
        </w:rPr>
        <w:t>Research frontiers</w:t>
      </w:r>
    </w:p>
    <w:p w:rsidR="00766414" w:rsidRPr="00EB7313" w:rsidRDefault="00766414" w:rsidP="00B90E53">
      <w:pPr>
        <w:autoSpaceDE w:val="0"/>
        <w:autoSpaceDN w:val="0"/>
        <w:adjustRightInd w:val="0"/>
        <w:snapToGrid w:val="0"/>
        <w:spacing w:line="360" w:lineRule="auto"/>
        <w:jc w:val="both"/>
        <w:rPr>
          <w:rFonts w:ascii="Book Antiqua" w:hAnsi="Book Antiqua"/>
        </w:rPr>
      </w:pPr>
      <w:r w:rsidRPr="00700A64">
        <w:rPr>
          <w:rFonts w:ascii="Book Antiqua" w:hAnsi="Book Antiqua"/>
          <w:bCs/>
        </w:rPr>
        <w:t xml:space="preserve">The important role of CD11c+ CD103+ DCs </w:t>
      </w:r>
      <w:r w:rsidR="001F4F11" w:rsidRPr="00700A64">
        <w:rPr>
          <w:rFonts w:ascii="Book Antiqua" w:hAnsi="Book Antiqua"/>
          <w:bCs/>
        </w:rPr>
        <w:t xml:space="preserve">and </w:t>
      </w:r>
      <w:r w:rsidR="001F4F11" w:rsidRPr="00700A64">
        <w:rPr>
          <w:rFonts w:ascii="Book Antiqua" w:hAnsi="Book Antiqua"/>
        </w:rPr>
        <w:t>indoleamine</w:t>
      </w:r>
      <w:r w:rsidR="001F4F11" w:rsidRPr="00700A64">
        <w:rPr>
          <w:rFonts w:ascii="Book Antiqua" w:hAnsi="Book Antiqua"/>
          <w:bCs/>
        </w:rPr>
        <w:t xml:space="preserve"> 2, 3-dioxygenase (IDO) </w:t>
      </w:r>
      <w:r w:rsidRPr="00700A64">
        <w:rPr>
          <w:rFonts w:ascii="Book Antiqua" w:hAnsi="Book Antiqua"/>
          <w:bCs/>
        </w:rPr>
        <w:t xml:space="preserve">in the induction of </w:t>
      </w:r>
      <w:r w:rsidR="00D52329" w:rsidRPr="00700A64">
        <w:rPr>
          <w:rFonts w:ascii="Book Antiqua" w:hAnsi="Book Antiqua"/>
          <w:bCs/>
        </w:rPr>
        <w:t>regulatory T cells (Tregs)</w:t>
      </w:r>
      <w:r w:rsidRPr="00700A64">
        <w:rPr>
          <w:rFonts w:ascii="Book Antiqua" w:hAnsi="Book Antiqua"/>
          <w:bCs/>
        </w:rPr>
        <w:t xml:space="preserve"> differentiation have been </w:t>
      </w:r>
      <w:r w:rsidR="001F4F11" w:rsidRPr="00700A64">
        <w:rPr>
          <w:rFonts w:ascii="Book Antiqua" w:hAnsi="Book Antiqua"/>
          <w:bCs/>
        </w:rPr>
        <w:t>established</w:t>
      </w:r>
      <w:r w:rsidRPr="00700A64">
        <w:rPr>
          <w:rFonts w:ascii="Book Antiqua" w:hAnsi="Book Antiqua"/>
          <w:bCs/>
        </w:rPr>
        <w:t xml:space="preserve">. In addition, </w:t>
      </w:r>
      <w:r w:rsidRPr="00700A64">
        <w:rPr>
          <w:rFonts w:ascii="Book Antiqua" w:hAnsi="Book Antiqua"/>
        </w:rPr>
        <w:t xml:space="preserve">DCs carrying Langerin (CD207) proteins have received considerable interest. The expression of Langerin by CD103+CD11b+ </w:t>
      </w:r>
      <w:r w:rsidRPr="00700A64">
        <w:rPr>
          <w:rFonts w:ascii="Book Antiqua" w:hAnsi="Book Antiqua"/>
          <w:i/>
        </w:rPr>
        <w:t>lamina propria</w:t>
      </w:r>
      <w:r w:rsidRPr="00700A64">
        <w:rPr>
          <w:rFonts w:ascii="Book Antiqua" w:hAnsi="Book Antiqua"/>
        </w:rPr>
        <w:t xml:space="preserve"> DCs in the human ileum has recently been reported. However, the presence of Langerin+ DCs in the small bowel mucosa in pathological conditions such as CD and T1D has not yet been studied. We also do not know how Langerin+ DCs are related to other DC subsets and Tregs in the human small intestinal mucosa. Because Langerin+ DCs are significant modulators of events </w:t>
      </w:r>
      <w:r w:rsidRPr="00700A64">
        <w:rPr>
          <w:rFonts w:ascii="Book Antiqua" w:hAnsi="Book Antiqua"/>
        </w:rPr>
        <w:lastRenderedPageBreak/>
        <w:t xml:space="preserve">in the skin, another important immunological barrier of the organism, knowledge of the function of these cells in the small intestinal mucosa may be of general importance. </w:t>
      </w:r>
      <w:r w:rsidRPr="00700A64">
        <w:rPr>
          <w:rFonts w:ascii="Book Antiqua" w:hAnsi="Book Antiqua"/>
          <w:bCs/>
        </w:rPr>
        <w:t>This research aims to investigate the densities of CD11c+ DCs, CD103+ DCs, IDO+ DCs and Langerin+ DCs, along with FOXP3+ Treg</w:t>
      </w:r>
      <w:r w:rsidR="001F4F11" w:rsidRPr="00700A64">
        <w:rPr>
          <w:rFonts w:ascii="Book Antiqua" w:hAnsi="Book Antiqua"/>
          <w:bCs/>
        </w:rPr>
        <w:t>s</w:t>
      </w:r>
      <w:r w:rsidRPr="00700A64">
        <w:rPr>
          <w:rFonts w:ascii="Book Antiqua" w:hAnsi="Book Antiqua"/>
          <w:bCs/>
        </w:rPr>
        <w:t>, in the small bowel mucosa in CD patients with and without coexisting T1D and to compare these densities with those found in histologically normal intestinal mucosa in persons with functional dyspepsia using immunohistochemical and immunofluorescence methods.</w:t>
      </w:r>
    </w:p>
    <w:p w:rsidR="00766414" w:rsidRPr="00700A64" w:rsidRDefault="00766414" w:rsidP="00B90E53">
      <w:pPr>
        <w:adjustRightInd w:val="0"/>
        <w:snapToGrid w:val="0"/>
        <w:spacing w:line="360" w:lineRule="auto"/>
        <w:jc w:val="both"/>
        <w:rPr>
          <w:rFonts w:ascii="Book Antiqua" w:hAnsi="Book Antiqua"/>
          <w:bCs/>
        </w:rPr>
      </w:pPr>
    </w:p>
    <w:p w:rsidR="00766414" w:rsidRPr="00700A64" w:rsidRDefault="00766414" w:rsidP="00B90E53">
      <w:pPr>
        <w:adjustRightInd w:val="0"/>
        <w:snapToGrid w:val="0"/>
        <w:spacing w:line="360" w:lineRule="auto"/>
        <w:jc w:val="both"/>
        <w:rPr>
          <w:rFonts w:ascii="Book Antiqua" w:hAnsi="Book Antiqua"/>
          <w:b/>
          <w:i/>
          <w:lang w:eastAsia="zh-CN"/>
        </w:rPr>
      </w:pPr>
      <w:r w:rsidRPr="00700A64">
        <w:rPr>
          <w:rFonts w:ascii="Book Antiqua" w:hAnsi="Book Antiqua"/>
          <w:b/>
          <w:i/>
        </w:rPr>
        <w:t>Innovations and breakthroughs</w:t>
      </w:r>
    </w:p>
    <w:p w:rsidR="00766414" w:rsidRPr="00EB7313" w:rsidRDefault="00766414" w:rsidP="00B90E53">
      <w:pPr>
        <w:adjustRightInd w:val="0"/>
        <w:snapToGrid w:val="0"/>
        <w:spacing w:line="360" w:lineRule="auto"/>
        <w:jc w:val="both"/>
        <w:rPr>
          <w:rFonts w:ascii="Book Antiqua" w:hAnsi="Book Antiqua"/>
          <w:b/>
          <w:i/>
        </w:rPr>
      </w:pPr>
      <w:r w:rsidRPr="00700A64">
        <w:rPr>
          <w:rFonts w:ascii="Book Antiqua" w:hAnsi="Book Antiqua"/>
        </w:rPr>
        <w:t>The main finding of this study was the significantly higher densities of CD11c+, tolerogenic IDO+, CD103+ and Langerin+ DCs in the small bowel mucosa of patients with CD compared with subjects with normal small bowel mucosa. The densities of IDO+ and particularly of CD103+ DCs were high in CD patients with coexisting T1D, possibly demonstrating the strongest pressure on the local immune system in these patients.</w:t>
      </w:r>
      <w:r w:rsidR="00EB7313">
        <w:rPr>
          <w:rFonts w:ascii="Book Antiqua" w:hAnsi="Book Antiqua" w:hint="eastAsia"/>
          <w:b/>
          <w:i/>
          <w:lang w:eastAsia="zh-CN"/>
        </w:rPr>
        <w:t xml:space="preserve"> </w:t>
      </w:r>
      <w:r w:rsidRPr="00700A64">
        <w:rPr>
          <w:rFonts w:ascii="Book Antiqua" w:hAnsi="Book Antiqua"/>
        </w:rPr>
        <w:t>A significant correlation between the densities of tolerogenic DCs and FOXP3+ Tregs in the small bowel mucosa of the persons studied might confirm the involvement of these DCs in enhanced FOXP3+ Tregs development.</w:t>
      </w:r>
    </w:p>
    <w:p w:rsidR="00766414" w:rsidRPr="00700A64" w:rsidRDefault="00766414" w:rsidP="00B90E53">
      <w:pPr>
        <w:adjustRightInd w:val="0"/>
        <w:snapToGrid w:val="0"/>
        <w:spacing w:line="360" w:lineRule="auto"/>
        <w:jc w:val="both"/>
        <w:rPr>
          <w:rFonts w:ascii="Book Antiqua" w:hAnsi="Book Antiqua"/>
          <w:b/>
        </w:rPr>
      </w:pPr>
    </w:p>
    <w:p w:rsidR="00766414" w:rsidRPr="00EB7313" w:rsidRDefault="00766414" w:rsidP="00B90E53">
      <w:pPr>
        <w:adjustRightInd w:val="0"/>
        <w:snapToGrid w:val="0"/>
        <w:spacing w:line="360" w:lineRule="auto"/>
        <w:jc w:val="both"/>
        <w:rPr>
          <w:rFonts w:ascii="Book Antiqua" w:hAnsi="Book Antiqua"/>
          <w:b/>
          <w:i/>
          <w:lang w:eastAsia="zh-CN"/>
        </w:rPr>
      </w:pPr>
      <w:r w:rsidRPr="00700A64">
        <w:rPr>
          <w:rFonts w:ascii="Book Antiqua" w:hAnsi="Book Antiqua"/>
          <w:b/>
          <w:i/>
        </w:rPr>
        <w:t>Applications</w:t>
      </w:r>
    </w:p>
    <w:p w:rsidR="00766414" w:rsidRPr="00700A64" w:rsidRDefault="00766414" w:rsidP="00B90E53">
      <w:pPr>
        <w:adjustRightInd w:val="0"/>
        <w:snapToGrid w:val="0"/>
        <w:spacing w:line="360" w:lineRule="auto"/>
        <w:jc w:val="both"/>
        <w:rPr>
          <w:rFonts w:ascii="Book Antiqua" w:hAnsi="Book Antiqua"/>
        </w:rPr>
      </w:pPr>
      <w:r w:rsidRPr="00700A64">
        <w:rPr>
          <w:rFonts w:ascii="Book Antiqua" w:hAnsi="Book Antiqua"/>
        </w:rPr>
        <w:t>This finding highlights the participation of diverse DC subsets in the pathological processes of CD and indicates the possible involvement of tolerogenic DCs in Tregs development to maintain intestinal immunological tolerance in CD patients. Our results demonstrate the diversity of the mechanisms of immunoregulation and the various types of DC involvement in CD, emphasizing the importance of Langerin+ DCs in the small intestinal mucosa.</w:t>
      </w:r>
    </w:p>
    <w:p w:rsidR="00766414" w:rsidRPr="00700A64" w:rsidRDefault="00766414" w:rsidP="00B90E53">
      <w:pPr>
        <w:adjustRightInd w:val="0"/>
        <w:snapToGrid w:val="0"/>
        <w:spacing w:line="360" w:lineRule="auto"/>
        <w:jc w:val="both"/>
        <w:rPr>
          <w:rFonts w:ascii="Book Antiqua" w:hAnsi="Book Antiqua"/>
          <w:b/>
        </w:rPr>
      </w:pPr>
    </w:p>
    <w:p w:rsidR="00766414" w:rsidRPr="00700A64" w:rsidRDefault="00766414" w:rsidP="00B90E53">
      <w:pPr>
        <w:adjustRightInd w:val="0"/>
        <w:snapToGrid w:val="0"/>
        <w:spacing w:line="360" w:lineRule="auto"/>
        <w:jc w:val="both"/>
        <w:rPr>
          <w:rFonts w:ascii="Book Antiqua" w:hAnsi="Book Antiqua"/>
          <w:b/>
          <w:i/>
          <w:lang w:eastAsia="zh-CN"/>
        </w:rPr>
      </w:pPr>
      <w:r w:rsidRPr="00700A64">
        <w:rPr>
          <w:rFonts w:ascii="Book Antiqua" w:hAnsi="Book Antiqua"/>
          <w:b/>
          <w:i/>
        </w:rPr>
        <w:lastRenderedPageBreak/>
        <w:t>Terminology</w:t>
      </w:r>
    </w:p>
    <w:p w:rsidR="00766414" w:rsidRPr="00EB7313" w:rsidRDefault="00766414" w:rsidP="00B90E53">
      <w:pPr>
        <w:adjustRightInd w:val="0"/>
        <w:snapToGrid w:val="0"/>
        <w:spacing w:line="360" w:lineRule="auto"/>
        <w:jc w:val="both"/>
        <w:rPr>
          <w:rFonts w:ascii="Book Antiqua" w:hAnsi="Book Antiqua"/>
        </w:rPr>
      </w:pPr>
      <w:r w:rsidRPr="00EB7313">
        <w:rPr>
          <w:rFonts w:ascii="Book Antiqua" w:hAnsi="Book Antiqua"/>
          <w:bCs/>
        </w:rPr>
        <w:t>IDO</w:t>
      </w:r>
      <w:r w:rsidRPr="00700A64">
        <w:rPr>
          <w:rFonts w:ascii="Book Antiqua" w:hAnsi="Book Antiqua"/>
        </w:rPr>
        <w:t xml:space="preserve"> is an immunomodulatory enzyme involved in tryptophan catabolism with immunosuppressive effects that has been implicated in the control of intestinal inflammation. </w:t>
      </w:r>
      <w:r w:rsidRPr="00700A64">
        <w:rPr>
          <w:rFonts w:ascii="Book Antiqua" w:hAnsi="Book Antiqua"/>
          <w:bCs/>
        </w:rPr>
        <w:t xml:space="preserve">Higher IDO expression has been measured </w:t>
      </w:r>
      <w:r w:rsidRPr="00700A64">
        <w:rPr>
          <w:rFonts w:ascii="Book Antiqua" w:hAnsi="Book Antiqua"/>
        </w:rPr>
        <w:t>in intestinal biopsies from CD patients.</w:t>
      </w:r>
      <w:r w:rsidR="00EB7313">
        <w:rPr>
          <w:rFonts w:ascii="Book Antiqua" w:hAnsi="Book Antiqua" w:hint="eastAsia"/>
          <w:lang w:eastAsia="zh-CN"/>
        </w:rPr>
        <w:t xml:space="preserve"> </w:t>
      </w:r>
      <w:r w:rsidRPr="00EB7313">
        <w:rPr>
          <w:rFonts w:ascii="Book Antiqua" w:hAnsi="Book Antiqua"/>
        </w:rPr>
        <w:t xml:space="preserve">Langerin </w:t>
      </w:r>
      <w:r w:rsidRPr="00700A64">
        <w:rPr>
          <w:rFonts w:ascii="Book Antiqua" w:hAnsi="Book Antiqua"/>
        </w:rPr>
        <w:t>was originally identified as a Langerhans cell -specific C-type lectin receptor involved in antigen capture.</w:t>
      </w:r>
      <w:r w:rsidR="00EB7313">
        <w:rPr>
          <w:rFonts w:ascii="Book Antiqua" w:hAnsi="Book Antiqua" w:hint="eastAsia"/>
          <w:lang w:eastAsia="zh-CN"/>
        </w:rPr>
        <w:t xml:space="preserve"> </w:t>
      </w:r>
      <w:r w:rsidRPr="00EB7313">
        <w:rPr>
          <w:rFonts w:ascii="Book Antiqua" w:hAnsi="Book Antiqua"/>
        </w:rPr>
        <w:t>Tolerogenic DCs</w:t>
      </w:r>
      <w:r w:rsidRPr="00700A64">
        <w:rPr>
          <w:rFonts w:ascii="Book Antiqua" w:hAnsi="Book Antiqua"/>
        </w:rPr>
        <w:t xml:space="preserve"> are dendritic cells, predominantly  CD103+, that are isolated from </w:t>
      </w:r>
      <w:r w:rsidRPr="00700A64">
        <w:rPr>
          <w:rFonts w:ascii="Book Antiqua" w:hAnsi="Book Antiqua"/>
          <w:i/>
        </w:rPr>
        <w:t>lamina propria</w:t>
      </w:r>
      <w:r w:rsidRPr="00700A64">
        <w:rPr>
          <w:rFonts w:ascii="Book Antiqua" w:hAnsi="Book Antiqua"/>
        </w:rPr>
        <w:t xml:space="preserve"> and mesenteric lymph nodes and are able to drive the development of CD4+FOXP3+ Tregs. </w:t>
      </w:r>
      <w:r w:rsidRPr="00EB7313">
        <w:rPr>
          <w:rFonts w:ascii="Book Antiqua" w:hAnsi="Book Antiqua"/>
          <w:bCs/>
        </w:rPr>
        <w:t>Regulatory T cells</w:t>
      </w:r>
      <w:r w:rsidRPr="00EB7313">
        <w:rPr>
          <w:rFonts w:ascii="Book Antiqua" w:hAnsi="Book Antiqua"/>
        </w:rPr>
        <w:t xml:space="preserve"> (</w:t>
      </w:r>
      <w:r w:rsidRPr="00EB7313">
        <w:rPr>
          <w:rFonts w:ascii="Book Antiqua" w:hAnsi="Book Antiqua"/>
          <w:bCs/>
        </w:rPr>
        <w:t>Tregs</w:t>
      </w:r>
      <w:r w:rsidRPr="00EB7313">
        <w:rPr>
          <w:rFonts w:ascii="Book Antiqua" w:hAnsi="Book Antiqua"/>
        </w:rPr>
        <w:t>)</w:t>
      </w:r>
      <w:r w:rsidRPr="00700A64">
        <w:rPr>
          <w:rFonts w:ascii="Book Antiqua" w:hAnsi="Book Antiqua"/>
        </w:rPr>
        <w:t xml:space="preserve"> are a subpopulation of CD4+CD25+FOXP3+ T cells that modulate the immune system, mainly by immunosuppressive activity, and play an important role in intestinal homeostasis.</w:t>
      </w:r>
    </w:p>
    <w:p w:rsidR="00766414" w:rsidRPr="00700A64" w:rsidRDefault="00766414" w:rsidP="00B90E53">
      <w:pPr>
        <w:adjustRightInd w:val="0"/>
        <w:snapToGrid w:val="0"/>
        <w:spacing w:line="360" w:lineRule="auto"/>
        <w:jc w:val="both"/>
        <w:rPr>
          <w:rFonts w:ascii="Book Antiqua" w:hAnsi="Book Antiqua"/>
          <w:lang w:eastAsia="zh-CN"/>
        </w:rPr>
      </w:pPr>
    </w:p>
    <w:p w:rsidR="00766414" w:rsidRPr="00700A64" w:rsidRDefault="00766414" w:rsidP="00B90E53">
      <w:pPr>
        <w:adjustRightInd w:val="0"/>
        <w:snapToGrid w:val="0"/>
        <w:spacing w:line="360" w:lineRule="auto"/>
        <w:jc w:val="both"/>
        <w:rPr>
          <w:rFonts w:ascii="Book Antiqua" w:hAnsi="Book Antiqua"/>
          <w:b/>
          <w:i/>
          <w:lang w:eastAsia="zh-CN"/>
        </w:rPr>
      </w:pPr>
      <w:r w:rsidRPr="00700A64">
        <w:rPr>
          <w:rFonts w:ascii="Book Antiqua" w:hAnsi="Book Antiqua"/>
          <w:b/>
          <w:i/>
        </w:rPr>
        <w:t>Peer review</w:t>
      </w:r>
    </w:p>
    <w:p w:rsidR="00766414" w:rsidRPr="00700A64" w:rsidRDefault="00766414" w:rsidP="00B90E53">
      <w:pPr>
        <w:adjustRightInd w:val="0"/>
        <w:snapToGrid w:val="0"/>
        <w:spacing w:line="360" w:lineRule="auto"/>
        <w:jc w:val="both"/>
        <w:rPr>
          <w:rFonts w:ascii="Book Antiqua" w:hAnsi="Book Antiqua"/>
          <w:b/>
          <w:i/>
        </w:rPr>
      </w:pPr>
      <w:r w:rsidRPr="00700A64">
        <w:rPr>
          <w:rFonts w:ascii="Book Antiqua" w:hAnsi="Book Antiqua"/>
        </w:rPr>
        <w:t>The current manuscript studied DCs and FOXP3-positive Tregs and their interactions in the small bowel mucosa of patients with CD with or without T1D.</w:t>
      </w:r>
    </w:p>
    <w:p w:rsidR="00064806" w:rsidRDefault="00064806" w:rsidP="00B90E53">
      <w:pPr>
        <w:adjustRightInd w:val="0"/>
        <w:snapToGrid w:val="0"/>
        <w:spacing w:line="360" w:lineRule="auto"/>
        <w:jc w:val="both"/>
        <w:rPr>
          <w:rFonts w:ascii="Book Antiqua" w:hAnsi="Book Antiqua"/>
          <w:b/>
          <w:bCs/>
          <w:sz w:val="21"/>
          <w:lang w:eastAsia="zh-CN"/>
        </w:rPr>
      </w:pPr>
      <w:r w:rsidRPr="00700A64">
        <w:rPr>
          <w:rFonts w:ascii="Book Antiqua" w:hAnsi="Book Antiqua"/>
          <w:b/>
        </w:rPr>
        <w:br w:type="page"/>
      </w:r>
      <w:r w:rsidRPr="00A638EF">
        <w:rPr>
          <w:rFonts w:ascii="Book Antiqua" w:hAnsi="Book Antiqua"/>
          <w:b/>
          <w:bCs/>
          <w:sz w:val="21"/>
        </w:rPr>
        <w:lastRenderedPageBreak/>
        <w:t>R</w:t>
      </w:r>
      <w:r w:rsidR="00BD3386" w:rsidRPr="00A638EF">
        <w:rPr>
          <w:rFonts w:ascii="Book Antiqua" w:hAnsi="Book Antiqua"/>
          <w:b/>
          <w:bCs/>
          <w:sz w:val="21"/>
        </w:rPr>
        <w:t>EFERENCES</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Gujral N</w:t>
      </w:r>
      <w:r w:rsidRPr="00341B9A">
        <w:rPr>
          <w:rFonts w:ascii="Book Antiqua" w:eastAsia="宋体" w:hAnsi="Book Antiqua" w:cs="宋体"/>
          <w:color w:val="000000"/>
          <w:sz w:val="21"/>
          <w:szCs w:val="21"/>
        </w:rPr>
        <w:t>, Freeman HJ, Thomson AB. Celiac disease: prevalence, diagnosis, pathogenesis and treatment.</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World J Gastroenterol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18</w:t>
      </w:r>
      <w:r w:rsidRPr="00341B9A">
        <w:rPr>
          <w:rFonts w:ascii="Book Antiqua" w:eastAsia="宋体" w:hAnsi="Book Antiqua" w:cs="宋体"/>
          <w:color w:val="000000"/>
          <w:sz w:val="21"/>
          <w:szCs w:val="21"/>
        </w:rPr>
        <w:t>: 6036-6059 [PMID: 23155333 DOI: 10.3748/wjg.v18.i42.6036]</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Jabri B</w:t>
      </w:r>
      <w:r w:rsidRPr="00341B9A">
        <w:rPr>
          <w:rFonts w:ascii="Book Antiqua" w:eastAsia="宋体" w:hAnsi="Book Antiqua" w:cs="宋体"/>
          <w:color w:val="000000"/>
          <w:sz w:val="21"/>
          <w:szCs w:val="21"/>
        </w:rPr>
        <w:t>, Sollid LM. Tissue-mediated control of immunopathology in coeliac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Nat Rev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9</w:t>
      </w:r>
      <w:r w:rsidRPr="00341B9A">
        <w:rPr>
          <w:rFonts w:ascii="Book Antiqua" w:eastAsia="宋体" w:hAnsi="Book Antiqua" w:cs="宋体"/>
          <w:color w:val="000000"/>
          <w:sz w:val="21"/>
          <w:szCs w:val="21"/>
        </w:rPr>
        <w:t>: 858-870 [PMID: 19935805 DOI: 10.1038/nri2670]</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Bollrath J</w:t>
      </w:r>
      <w:r w:rsidRPr="00341B9A">
        <w:rPr>
          <w:rFonts w:ascii="Book Antiqua" w:eastAsia="宋体" w:hAnsi="Book Antiqua" w:cs="宋体"/>
          <w:color w:val="000000"/>
          <w:sz w:val="21"/>
          <w:szCs w:val="21"/>
        </w:rPr>
        <w:t>, Powrie FM. Controlling the frontier: regulatory T-cells and intestinal homeostasis.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Semin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25</w:t>
      </w:r>
      <w:r w:rsidRPr="00341B9A">
        <w:rPr>
          <w:rFonts w:ascii="Book Antiqua" w:eastAsia="宋体" w:hAnsi="Book Antiqua" w:cs="宋体"/>
          <w:color w:val="000000"/>
          <w:sz w:val="21"/>
          <w:szCs w:val="21"/>
        </w:rPr>
        <w:t>: 352-357 [PMID: 24184013 DOI: 10.1016/j.smim.2013.09.002]</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773DF1">
        <w:rPr>
          <w:rFonts w:ascii="Book Antiqua" w:eastAsia="宋体" w:hAnsi="Book Antiqua" w:cs="宋体"/>
          <w:color w:val="000000"/>
          <w:sz w:val="21"/>
          <w:szCs w:val="21"/>
        </w:rPr>
        <w:t>4</w:t>
      </w:r>
      <w:r w:rsidRPr="00773DF1">
        <w:rPr>
          <w:rStyle w:val="apple-converted-space"/>
          <w:rFonts w:ascii="Book Antiqua" w:hAnsi="Book Antiqua"/>
          <w:color w:val="000000"/>
          <w:sz w:val="21"/>
          <w:szCs w:val="21"/>
        </w:rPr>
        <w:t> </w:t>
      </w:r>
      <w:r w:rsidRPr="00773DF1">
        <w:rPr>
          <w:rFonts w:ascii="Book Antiqua" w:hAnsi="Book Antiqua"/>
          <w:b/>
          <w:bCs/>
          <w:color w:val="000000"/>
          <w:sz w:val="21"/>
          <w:szCs w:val="21"/>
        </w:rPr>
        <w:t>Vaarala O</w:t>
      </w:r>
      <w:r w:rsidRPr="00773DF1">
        <w:rPr>
          <w:rFonts w:ascii="Book Antiqua" w:hAnsi="Book Antiqua"/>
          <w:color w:val="000000"/>
          <w:sz w:val="21"/>
          <w:szCs w:val="21"/>
        </w:rPr>
        <w:t>. Gut and the induction of immune tolerance in type 1 diabetes.</w:t>
      </w:r>
      <w:r w:rsidRPr="00773DF1">
        <w:rPr>
          <w:rStyle w:val="apple-converted-space"/>
          <w:rFonts w:ascii="Book Antiqua" w:hAnsi="Book Antiqua"/>
          <w:color w:val="000000"/>
          <w:sz w:val="21"/>
          <w:szCs w:val="21"/>
        </w:rPr>
        <w:t> </w:t>
      </w:r>
      <w:r w:rsidRPr="00773DF1">
        <w:rPr>
          <w:rFonts w:ascii="Book Antiqua" w:hAnsi="Book Antiqua"/>
          <w:i/>
          <w:iCs/>
          <w:color w:val="000000"/>
          <w:sz w:val="21"/>
          <w:szCs w:val="21"/>
        </w:rPr>
        <w:t>Diabetes Metab Res Rev</w:t>
      </w:r>
      <w:r w:rsidRPr="00773DF1">
        <w:rPr>
          <w:rStyle w:val="apple-converted-space"/>
          <w:rFonts w:ascii="Book Antiqua" w:hAnsi="Book Antiqua"/>
          <w:color w:val="000000"/>
          <w:sz w:val="21"/>
          <w:szCs w:val="21"/>
        </w:rPr>
        <w:t> 1999</w:t>
      </w:r>
      <w:r w:rsidRPr="00773DF1">
        <w:rPr>
          <w:rFonts w:ascii="Book Antiqua" w:hAnsi="Book Antiqua"/>
          <w:color w:val="000000"/>
          <w:sz w:val="21"/>
          <w:szCs w:val="21"/>
        </w:rPr>
        <w:t>;</w:t>
      </w:r>
      <w:r w:rsidRPr="00773DF1">
        <w:rPr>
          <w:rStyle w:val="apple-converted-space"/>
          <w:rFonts w:ascii="Book Antiqua" w:hAnsi="Book Antiqua"/>
          <w:color w:val="000000"/>
          <w:sz w:val="21"/>
          <w:szCs w:val="21"/>
        </w:rPr>
        <w:t> </w:t>
      </w:r>
      <w:r w:rsidRPr="00773DF1">
        <w:rPr>
          <w:rFonts w:ascii="Book Antiqua" w:hAnsi="Book Antiqua"/>
          <w:b/>
          <w:bCs/>
          <w:color w:val="000000"/>
          <w:sz w:val="21"/>
          <w:szCs w:val="21"/>
        </w:rPr>
        <w:t>15</w:t>
      </w:r>
      <w:r w:rsidRPr="00773DF1">
        <w:rPr>
          <w:rFonts w:ascii="Book Antiqua" w:hAnsi="Book Antiqua"/>
          <w:color w:val="000000"/>
          <w:sz w:val="21"/>
          <w:szCs w:val="21"/>
        </w:rPr>
        <w:t xml:space="preserve">: 353-361 [PMID: 10585621 </w:t>
      </w:r>
      <w:r w:rsidRPr="00341B9A">
        <w:rPr>
          <w:rFonts w:ascii="Book Antiqua" w:eastAsia="宋体" w:hAnsi="Book Antiqua" w:cs="宋体"/>
          <w:color w:val="000000"/>
          <w:sz w:val="21"/>
          <w:szCs w:val="21"/>
        </w:rPr>
        <w:t>DOI: 10.1002/(SICI</w:t>
      </w:r>
      <w:r w:rsidRPr="00773DF1">
        <w:rPr>
          <w:rFonts w:ascii="Book Antiqua" w:eastAsia="宋体" w:hAnsi="Book Antiqua" w:cs="宋体"/>
          <w:color w:val="000000"/>
          <w:sz w:val="21"/>
          <w:szCs w:val="21"/>
        </w:rPr>
        <w:t>)1520-7560(199909/10)15:5&lt;353::AID-DMRR59&gt;3.0.CO;</w:t>
      </w:r>
      <w:r w:rsidRPr="00341B9A">
        <w:rPr>
          <w:rFonts w:ascii="Book Antiqua" w:eastAsia="宋体" w:hAnsi="Book Antiqua" w:cs="宋体"/>
          <w:color w:val="000000"/>
          <w:sz w:val="21"/>
          <w:szCs w:val="21"/>
        </w:rPr>
        <w:t>2-4]</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5</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Auricchio R</w:t>
      </w:r>
      <w:r w:rsidRPr="00341B9A">
        <w:rPr>
          <w:rFonts w:ascii="Book Antiqua" w:eastAsia="宋体" w:hAnsi="Book Antiqua" w:cs="宋体"/>
          <w:color w:val="000000"/>
          <w:sz w:val="21"/>
          <w:szCs w:val="21"/>
        </w:rPr>
        <w:t>, Paparo F, Maglio M, Franzese A, Lombardi F, Valerio G, Nardone G, Percopo S, Greco L, Troncone R. In vitro-deranged intestinal immune response to gliadin in type 1 diabetes.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Diabetes</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2004;</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53</w:t>
      </w:r>
      <w:r w:rsidRPr="00341B9A">
        <w:rPr>
          <w:rFonts w:ascii="Book Antiqua" w:eastAsia="宋体" w:hAnsi="Book Antiqua" w:cs="宋体"/>
          <w:color w:val="000000"/>
          <w:sz w:val="21"/>
          <w:szCs w:val="21"/>
        </w:rPr>
        <w:t>: 1680-1683 [PMID: 15220190 DOI: 10.2337/diabetes.53.7.1680]</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6</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Uibo R</w:t>
      </w:r>
      <w:r w:rsidRPr="00341B9A">
        <w:rPr>
          <w:rFonts w:ascii="Book Antiqua" w:eastAsia="宋体" w:hAnsi="Book Antiqua" w:cs="宋体"/>
          <w:color w:val="000000"/>
          <w:sz w:val="21"/>
          <w:szCs w:val="21"/>
        </w:rPr>
        <w:t>, Panarina M, Teesalu K, Talja I, Sepp E, Utt M, Mikelsaar M, Heilman K, Uibo O, Vorobjova T. Celiac disease in patients with type 1 diabetes: a condition with distinct changes in intestinal immunity?</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Cell Mol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8</w:t>
      </w:r>
      <w:r w:rsidRPr="00341B9A">
        <w:rPr>
          <w:rFonts w:ascii="Book Antiqua" w:eastAsia="宋体" w:hAnsi="Book Antiqua" w:cs="宋体"/>
          <w:color w:val="000000"/>
          <w:sz w:val="21"/>
          <w:szCs w:val="21"/>
        </w:rPr>
        <w:t>: 150-156 [PMID: 21317917 DOI: 10.1038/cmi.2010.66]</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7</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Visser J</w:t>
      </w:r>
      <w:r w:rsidRPr="00341B9A">
        <w:rPr>
          <w:rFonts w:ascii="Book Antiqua" w:eastAsia="宋体" w:hAnsi="Book Antiqua" w:cs="宋体"/>
          <w:color w:val="000000"/>
          <w:sz w:val="21"/>
          <w:szCs w:val="21"/>
        </w:rPr>
        <w:t>, Rozing J, Sapone A, Lammers K, Fasano A. Tight junctions, intestinal permeability, and autoimmunity: celiac disease and type 1 diabetes paradigms.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Ann N Y Acad Sci</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1165</w:t>
      </w:r>
      <w:r w:rsidRPr="00341B9A">
        <w:rPr>
          <w:rFonts w:ascii="Book Antiqua" w:eastAsia="宋体" w:hAnsi="Book Antiqua" w:cs="宋体"/>
          <w:color w:val="000000"/>
          <w:sz w:val="21"/>
          <w:szCs w:val="21"/>
        </w:rPr>
        <w:t>: 195-205 [PMID: 19538307 DOI: 10.1111/j.1749-6632.2009.04037.x]</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Sorini C</w:t>
      </w:r>
      <w:r w:rsidRPr="00341B9A">
        <w:rPr>
          <w:rFonts w:ascii="Book Antiqua" w:eastAsia="宋体" w:hAnsi="Book Antiqua" w:cs="宋体"/>
          <w:color w:val="000000"/>
          <w:sz w:val="21"/>
          <w:szCs w:val="21"/>
        </w:rPr>
        <w:t>, Falcone M. Shaping the (auto)immune response in the gut: the role of intestinal immune regulation in the prevention of type 1 diabetes.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Am J Clin Exp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w:t>
      </w:r>
      <w:r w:rsidRPr="00341B9A">
        <w:rPr>
          <w:rFonts w:ascii="Book Antiqua" w:eastAsia="宋体" w:hAnsi="Book Antiqua" w:cs="宋体"/>
          <w:color w:val="000000"/>
          <w:sz w:val="21"/>
          <w:szCs w:val="21"/>
        </w:rPr>
        <w:t>: 156-171 [PMID: 23885333]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Holmes GK</w:t>
      </w:r>
      <w:r w:rsidRPr="00341B9A">
        <w:rPr>
          <w:rFonts w:ascii="Book Antiqua" w:eastAsia="宋体" w:hAnsi="Book Antiqua" w:cs="宋体"/>
          <w:color w:val="000000"/>
          <w:sz w:val="21"/>
          <w:szCs w:val="21"/>
        </w:rPr>
        <w:t>. Screening for coeliac disease in type 1 diabetes.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Arch Dis Child</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87</w:t>
      </w:r>
      <w:r w:rsidRPr="00341B9A">
        <w:rPr>
          <w:rFonts w:ascii="Book Antiqua" w:eastAsia="宋体" w:hAnsi="Book Antiqua" w:cs="宋体"/>
          <w:color w:val="000000"/>
          <w:sz w:val="21"/>
          <w:szCs w:val="21"/>
        </w:rPr>
        <w:t>: 495-498 [PMID: 12456547 DOI: 10.1136/adc.87.6.495]</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Rescigno M</w:t>
      </w:r>
      <w:r w:rsidRPr="00341B9A">
        <w:rPr>
          <w:rFonts w:ascii="Book Antiqua" w:eastAsia="宋体" w:hAnsi="Book Antiqua" w:cs="宋体"/>
          <w:color w:val="000000"/>
          <w:sz w:val="21"/>
          <w:szCs w:val="21"/>
        </w:rPr>
        <w:t>, Di Sabatino A. Dendritic cells in intestinal homeostasis and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J Clin Invest</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119</w:t>
      </w:r>
      <w:r w:rsidRPr="00341B9A">
        <w:rPr>
          <w:rFonts w:ascii="Book Antiqua" w:eastAsia="宋体" w:hAnsi="Book Antiqua" w:cs="宋体"/>
          <w:color w:val="000000"/>
          <w:sz w:val="21"/>
          <w:szCs w:val="21"/>
        </w:rPr>
        <w:t>: 2441-2450 [PMID: 19729841 DOI: 10.1172/JCI39134]</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Lewis KL</w:t>
      </w:r>
      <w:r w:rsidRPr="00341B9A">
        <w:rPr>
          <w:rFonts w:ascii="Book Antiqua" w:eastAsia="宋体" w:hAnsi="Book Antiqua" w:cs="宋体"/>
          <w:color w:val="000000"/>
          <w:sz w:val="21"/>
          <w:szCs w:val="21"/>
        </w:rPr>
        <w:t>, Reizis B. Dendritic cells: arbiters of immunity and immunological tolerance.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Cold Spring Harb Perspect Biol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4</w:t>
      </w:r>
      <w:r w:rsidRPr="00341B9A">
        <w:rPr>
          <w:rFonts w:ascii="Book Antiqua" w:eastAsia="宋体" w:hAnsi="Book Antiqua" w:cs="宋体"/>
          <w:color w:val="000000"/>
          <w:sz w:val="21"/>
          <w:szCs w:val="21"/>
        </w:rPr>
        <w:t>: a007401 [PMID: 22855722 DOI: 10.1101/cshperspect.a007401]</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lastRenderedPageBreak/>
        <w:t>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Iliev ID</w:t>
      </w:r>
      <w:r w:rsidRPr="00341B9A">
        <w:rPr>
          <w:rFonts w:ascii="Book Antiqua" w:eastAsia="宋体" w:hAnsi="Book Antiqua" w:cs="宋体"/>
          <w:color w:val="000000"/>
          <w:sz w:val="21"/>
          <w:szCs w:val="21"/>
        </w:rPr>
        <w:t>, Spadoni I, Mileti E, Matteoli G, Sonzogni A, Sampietro GM, Foschi D, Caprioli F, Viale G, Rescigno M. Human intestinal epithelial cells promote the differentiation of tolerogenic dendritic cells.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Gut</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58</w:t>
      </w:r>
      <w:r w:rsidRPr="00341B9A">
        <w:rPr>
          <w:rFonts w:ascii="Book Antiqua" w:eastAsia="宋体" w:hAnsi="Book Antiqua" w:cs="宋体"/>
          <w:color w:val="000000"/>
          <w:sz w:val="21"/>
          <w:szCs w:val="21"/>
        </w:rPr>
        <w:t>: 1481-1489 [PMID: 19570762 DOI: 10.1136/gut.2008.175166]</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Scott CL</w:t>
      </w:r>
      <w:r w:rsidRPr="00341B9A">
        <w:rPr>
          <w:rFonts w:ascii="Book Antiqua" w:eastAsia="宋体" w:hAnsi="Book Antiqua" w:cs="宋体"/>
          <w:color w:val="000000"/>
          <w:sz w:val="21"/>
          <w:szCs w:val="21"/>
        </w:rPr>
        <w:t>, Aumeunier AM, Mowat AM. Intestinal CD103+ dendritic cells: master regulators of tolerance?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Trends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32</w:t>
      </w:r>
      <w:r w:rsidRPr="00341B9A">
        <w:rPr>
          <w:rFonts w:ascii="Book Antiqua" w:eastAsia="宋体" w:hAnsi="Book Antiqua" w:cs="宋体"/>
          <w:color w:val="000000"/>
          <w:sz w:val="21"/>
          <w:szCs w:val="21"/>
        </w:rPr>
        <w:t>: 412-419 [PMID: 21816673 DOI: 10.1016/j.it.2011.06.003]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14</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del Rio ML</w:t>
      </w:r>
      <w:r w:rsidRPr="00341B9A">
        <w:rPr>
          <w:rFonts w:ascii="Book Antiqua" w:eastAsia="宋体" w:hAnsi="Book Antiqua" w:cs="宋体"/>
          <w:color w:val="000000"/>
          <w:sz w:val="21"/>
          <w:szCs w:val="21"/>
        </w:rPr>
        <w:t>, Bernhardt G, Rodriguez-Barbosa JI, Förster R. Development and functional specialization of CD103+ dendritic cells.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Immunol Rev</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234</w:t>
      </w:r>
      <w:r w:rsidRPr="00341B9A">
        <w:rPr>
          <w:rFonts w:ascii="Book Antiqua" w:eastAsia="宋体" w:hAnsi="Book Antiqua" w:cs="宋体"/>
          <w:color w:val="000000"/>
          <w:sz w:val="21"/>
          <w:szCs w:val="21"/>
        </w:rPr>
        <w:t>: 268-281 [PMID: 20193025 DOI: 10.1111/j.0105-2896.2009.00874.x]</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15</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Stock A</w:t>
      </w:r>
      <w:r w:rsidRPr="00341B9A">
        <w:rPr>
          <w:rFonts w:ascii="Book Antiqua" w:eastAsia="宋体" w:hAnsi="Book Antiqua" w:cs="宋体"/>
          <w:color w:val="000000"/>
          <w:sz w:val="21"/>
          <w:szCs w:val="21"/>
        </w:rPr>
        <w:t>, Napolitani G, Cerundolo V. Intestinal DC in migrational imprinting of immune cells.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Immunol Cell Biol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91</w:t>
      </w:r>
      <w:r w:rsidRPr="00341B9A">
        <w:rPr>
          <w:rFonts w:ascii="Book Antiqua" w:eastAsia="宋体" w:hAnsi="Book Antiqua" w:cs="宋体"/>
          <w:color w:val="000000"/>
          <w:sz w:val="21"/>
          <w:szCs w:val="21"/>
        </w:rPr>
        <w:t>: 240-249 [PMID: 23295361 DOI: 10.1038/icb.2012.73]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16</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Munn DH</w:t>
      </w:r>
      <w:r w:rsidRPr="00341B9A">
        <w:rPr>
          <w:rFonts w:ascii="Book Antiqua" w:eastAsia="宋体" w:hAnsi="Book Antiqua" w:cs="宋体"/>
          <w:color w:val="000000"/>
          <w:sz w:val="21"/>
          <w:szCs w:val="21"/>
        </w:rPr>
        <w:t>, Sharma MD, Lee JR, Jhaver KG, Johnson TS, Keskin DB, Marshall B, Chandler P, Antonia SJ, Burgess R, Slingluff CL, Mellor AL. Potential regulatory function of human dendritic cells expressing indoleamine 2,3-dioxygenase.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Science</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297</w:t>
      </w:r>
      <w:r w:rsidRPr="00341B9A">
        <w:rPr>
          <w:rFonts w:ascii="Book Antiqua" w:eastAsia="宋体" w:hAnsi="Book Antiqua" w:cs="宋体"/>
          <w:color w:val="000000"/>
          <w:sz w:val="21"/>
          <w:szCs w:val="21"/>
        </w:rPr>
        <w:t>: 1867-1870 [PMID: 12228717 DOI: 10.1126/science.1073514]</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17</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Cherayil BJ</w:t>
      </w:r>
      <w:r w:rsidRPr="00341B9A">
        <w:rPr>
          <w:rFonts w:ascii="Book Antiqua" w:eastAsia="宋体" w:hAnsi="Book Antiqua" w:cs="宋体"/>
          <w:color w:val="000000"/>
          <w:sz w:val="21"/>
          <w:szCs w:val="21"/>
        </w:rPr>
        <w:t>. Indoleamine 2,3-dioxygenase in intestinal immunity and inflammation.</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Inflamm Bowel Dis</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15</w:t>
      </w:r>
      <w:r w:rsidRPr="00341B9A">
        <w:rPr>
          <w:rFonts w:ascii="Book Antiqua" w:eastAsia="宋体" w:hAnsi="Book Antiqua" w:cs="宋体"/>
          <w:color w:val="000000"/>
          <w:sz w:val="21"/>
          <w:szCs w:val="21"/>
        </w:rPr>
        <w:t>: 1391-1396 [PMID: 19322906 DOI: 10.1002/ibd.20910]</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Matteoli G</w:t>
      </w:r>
      <w:r w:rsidRPr="00341B9A">
        <w:rPr>
          <w:rFonts w:ascii="Book Antiqua" w:eastAsia="宋体" w:hAnsi="Book Antiqua" w:cs="宋体"/>
          <w:color w:val="000000"/>
          <w:sz w:val="21"/>
          <w:szCs w:val="21"/>
        </w:rPr>
        <w:t>, Mazzini E, Iliev ID, Mileti E, Fallarino F, Puccetti P, Chieppa M, Rescigno M. Gut CD103+ dendritic cells express indoleamine 2,3-dioxygenase which influences T regulatory/T effector cell balance and oral tolerance induction.</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Gut</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59</w:t>
      </w:r>
      <w:r w:rsidRPr="00341B9A">
        <w:rPr>
          <w:rFonts w:ascii="Book Antiqua" w:eastAsia="宋体" w:hAnsi="Book Antiqua" w:cs="宋体"/>
          <w:color w:val="000000"/>
          <w:sz w:val="21"/>
          <w:szCs w:val="21"/>
        </w:rPr>
        <w:t>: 595-604 [PMID: 20427394 DOI: 10.1136/gut.2009.185108]</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19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Torres MI</w:t>
      </w:r>
      <w:r w:rsidRPr="00341B9A">
        <w:rPr>
          <w:rFonts w:ascii="Book Antiqua" w:eastAsia="宋体" w:hAnsi="Book Antiqua" w:cs="宋体"/>
          <w:color w:val="000000"/>
          <w:sz w:val="21"/>
          <w:szCs w:val="21"/>
        </w:rPr>
        <w:t>, López-Casado MA, Lorite P, Ríos A. Tryptophan metabolism and indoleamine 2,3-dioxygenase expression in coeliac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Clin Exp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2007;</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148</w:t>
      </w:r>
      <w:r w:rsidRPr="00341B9A">
        <w:rPr>
          <w:rFonts w:ascii="Book Antiqua" w:eastAsia="宋体" w:hAnsi="Book Antiqua" w:cs="宋体"/>
          <w:color w:val="000000"/>
          <w:sz w:val="21"/>
          <w:szCs w:val="21"/>
        </w:rPr>
        <w:t>: 419-424 [PMID: 17362267 DOI: 10.1111/j.1365-2249.2007.03365.x]</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Merad M</w:t>
      </w:r>
      <w:r w:rsidRPr="00341B9A">
        <w:rPr>
          <w:rFonts w:ascii="Book Antiqua" w:eastAsia="宋体" w:hAnsi="Book Antiqua" w:cs="宋体"/>
          <w:color w:val="000000"/>
          <w:sz w:val="21"/>
          <w:szCs w:val="21"/>
        </w:rPr>
        <w:t>, Ginhoux F, Collin M. Origin, homeostasis and function of Langerhans cells and other langerin-expressing dendritic cells.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Nat Rev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8</w:t>
      </w:r>
      <w:r w:rsidRPr="00341B9A">
        <w:rPr>
          <w:rFonts w:ascii="Book Antiqua" w:eastAsia="宋体" w:hAnsi="Book Antiqua" w:cs="宋体"/>
          <w:color w:val="000000"/>
          <w:sz w:val="21"/>
          <w:szCs w:val="21"/>
        </w:rPr>
        <w:t>: 935-947 [PMID: 19029989 DOI: 10.1038/nri2455]</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Valladeau J</w:t>
      </w:r>
      <w:r w:rsidRPr="00341B9A">
        <w:rPr>
          <w:rFonts w:ascii="Book Antiqua" w:eastAsia="宋体" w:hAnsi="Book Antiqua" w:cs="宋体"/>
          <w:color w:val="000000"/>
          <w:sz w:val="21"/>
          <w:szCs w:val="21"/>
        </w:rPr>
        <w:t>, Ravel O, Dezutter-Dambuyant C, Moore K, Kleijmeer M, Liu Y, Duvert-Frances V, Vincent C, Schmitt D, Davoust J, Caux C, Lebecque S, Saeland S. Langerin, a novel C-type lectin specific to Langerhans cells, is an endocytic receptor that induces the formation of Birbeck granules.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Immunity</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12</w:t>
      </w:r>
      <w:r w:rsidRPr="00341B9A">
        <w:rPr>
          <w:rFonts w:ascii="Book Antiqua" w:eastAsia="宋体" w:hAnsi="Book Antiqua" w:cs="宋体"/>
          <w:color w:val="000000"/>
          <w:sz w:val="21"/>
          <w:szCs w:val="21"/>
        </w:rPr>
        <w:t>: 71-81 [PMID: 10661407]</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lastRenderedPageBreak/>
        <w:t>22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Chang SY</w:t>
      </w:r>
      <w:r w:rsidRPr="00341B9A">
        <w:rPr>
          <w:rFonts w:ascii="Book Antiqua" w:eastAsia="宋体" w:hAnsi="Book Antiqua" w:cs="宋体"/>
          <w:color w:val="000000"/>
          <w:sz w:val="21"/>
          <w:szCs w:val="21"/>
        </w:rPr>
        <w:t>, Kweon MN. Langerin-expressing dendritic cells in gut-associated lymphoid tissues.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Immunol Rev</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234</w:t>
      </w:r>
      <w:r w:rsidRPr="00341B9A">
        <w:rPr>
          <w:rFonts w:ascii="Book Antiqua" w:eastAsia="宋体" w:hAnsi="Book Antiqua" w:cs="宋体"/>
          <w:color w:val="000000"/>
          <w:sz w:val="21"/>
          <w:szCs w:val="21"/>
        </w:rPr>
        <w:t>: 233-246 [PMID: 20193022 DOI: 10.1111/j.0105-2896.2009.00878.x]</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Welty NE</w:t>
      </w:r>
      <w:r w:rsidRPr="00341B9A">
        <w:rPr>
          <w:rFonts w:ascii="Book Antiqua" w:eastAsia="宋体" w:hAnsi="Book Antiqua" w:cs="宋体"/>
          <w:color w:val="000000"/>
          <w:sz w:val="21"/>
          <w:szCs w:val="21"/>
        </w:rPr>
        <w:t>, Staley C, Ghilardi N, Sadowsky MJ, Igyártó BZ, Kaplan DH. Intestinal lamina propria dendritic cells maintain T cell homeostasis but do not affect commensalism.</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J Exp Med</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210</w:t>
      </w:r>
      <w:r w:rsidRPr="00341B9A">
        <w:rPr>
          <w:rFonts w:ascii="Book Antiqua" w:eastAsia="宋体" w:hAnsi="Book Antiqua" w:cs="宋体"/>
          <w:color w:val="000000"/>
          <w:sz w:val="21"/>
          <w:szCs w:val="21"/>
        </w:rPr>
        <w:t xml:space="preserve">: 2011-2024 [PMID: 24019552 DOI: </w:t>
      </w:r>
      <w:r w:rsidRPr="00773DF1">
        <w:rPr>
          <w:rFonts w:ascii="Book Antiqua" w:eastAsia="宋体" w:hAnsi="Book Antiqua" w:cs="宋体"/>
          <w:color w:val="000000"/>
          <w:sz w:val="21"/>
          <w:szCs w:val="21"/>
        </w:rPr>
        <w:t>10.1084/jem.20130728</w:t>
      </w:r>
      <w:r w:rsidRPr="00341B9A">
        <w:rPr>
          <w:rFonts w:ascii="Book Antiqua" w:eastAsia="宋体" w:hAnsi="Book Antiqua" w:cs="宋体"/>
          <w:color w:val="000000"/>
          <w:sz w:val="21"/>
          <w:szCs w:val="21"/>
        </w:rPr>
        <w:t>]</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24</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Mention JJ</w:t>
      </w:r>
      <w:r w:rsidRPr="00341B9A">
        <w:rPr>
          <w:rFonts w:ascii="Book Antiqua" w:eastAsia="宋体" w:hAnsi="Book Antiqua" w:cs="宋体"/>
          <w:color w:val="000000"/>
          <w:sz w:val="21"/>
          <w:szCs w:val="21"/>
        </w:rPr>
        <w:t>, Ben Ahmed M, Bègue B, Barbe U, Verkarre V, Asnafi V, Colombel JF, Cugnenc PH, Ruemmele FM, McIntyre E, Brousse N, Cellier C, Cerf-Bensussan N. Interleukin 15: a key to disrupted intraepithelial lymphocyte homeostasis and lymphomagenesis in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Gastroenterology</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125</w:t>
      </w:r>
      <w:r w:rsidRPr="00341B9A">
        <w:rPr>
          <w:rFonts w:ascii="Book Antiqua" w:eastAsia="宋体" w:hAnsi="Book Antiqua" w:cs="宋体"/>
          <w:color w:val="000000"/>
          <w:sz w:val="21"/>
          <w:szCs w:val="21"/>
        </w:rPr>
        <w:t>: 730-745 [PMID: 12949719 DOI: 10.1016/S0016-5085(03)01047-3]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25</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De Nitto D</w:t>
      </w:r>
      <w:r w:rsidRPr="00341B9A">
        <w:rPr>
          <w:rFonts w:ascii="Book Antiqua" w:eastAsia="宋体" w:hAnsi="Book Antiqua" w:cs="宋体"/>
          <w:color w:val="000000"/>
          <w:sz w:val="21"/>
          <w:szCs w:val="21"/>
        </w:rPr>
        <w:t>, Monteleone I, Franzè E, Pallone F, Monteleone G. Involvement of interleukin-15 and interleukin-21, two gamma-chain-related cytokines, in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World J Gastroenterol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15</w:t>
      </w:r>
      <w:r w:rsidRPr="00341B9A">
        <w:rPr>
          <w:rFonts w:ascii="Book Antiqua" w:eastAsia="宋体" w:hAnsi="Book Antiqua" w:cs="宋体"/>
          <w:color w:val="000000"/>
          <w:sz w:val="21"/>
          <w:szCs w:val="21"/>
        </w:rPr>
        <w:t>: 4609-4614 [PMID: 19787822 DOI: 10.3748/wjg.15.4609]</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26</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Mohamadzadeh M</w:t>
      </w:r>
      <w:r w:rsidRPr="00341B9A">
        <w:rPr>
          <w:rFonts w:ascii="Book Antiqua" w:eastAsia="宋体" w:hAnsi="Book Antiqua" w:cs="宋体"/>
          <w:color w:val="000000"/>
          <w:sz w:val="21"/>
          <w:szCs w:val="21"/>
        </w:rPr>
        <w:t>, Berard F, Essert G, Chalouni C, Pulendran B, Davoust J, Bridges G, Palucka AK, Banchereau J. Interleukin 15 skews monocyte differentiation into dendritic cells with features of Langerhans cells.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J Exp Med</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194</w:t>
      </w:r>
      <w:r w:rsidRPr="00341B9A">
        <w:rPr>
          <w:rFonts w:ascii="Book Antiqua" w:eastAsia="宋体" w:hAnsi="Book Antiqua" w:cs="宋体"/>
          <w:color w:val="000000"/>
          <w:sz w:val="21"/>
          <w:szCs w:val="21"/>
        </w:rPr>
        <w:t>: 1013-1020 [PMID: 11581322 DOI: 10.1084/jem.194.7.1013]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773DF1">
        <w:rPr>
          <w:rFonts w:ascii="Book Antiqua" w:eastAsia="宋体" w:hAnsi="Book Antiqua" w:cs="宋体"/>
          <w:color w:val="000000"/>
          <w:sz w:val="21"/>
          <w:szCs w:val="21"/>
        </w:rPr>
        <w:t xml:space="preserve">27 </w:t>
      </w:r>
      <w:r w:rsidRPr="00773DF1">
        <w:rPr>
          <w:rFonts w:ascii="Book Antiqua" w:hAnsi="Book Antiqua"/>
          <w:color w:val="000000"/>
          <w:sz w:val="21"/>
          <w:szCs w:val="21"/>
        </w:rPr>
        <w:t>Revised criteria for diagnosis of coeliac disease. Report of Working Group of European Society of Paediatric Gastroenterology and Nutrition.</w:t>
      </w:r>
      <w:r w:rsidRPr="00773DF1">
        <w:rPr>
          <w:rStyle w:val="apple-converted-space"/>
          <w:rFonts w:ascii="Book Antiqua" w:hAnsi="Book Antiqua"/>
          <w:color w:val="000000"/>
          <w:sz w:val="21"/>
          <w:szCs w:val="21"/>
        </w:rPr>
        <w:t> </w:t>
      </w:r>
      <w:r w:rsidRPr="00773DF1">
        <w:rPr>
          <w:rFonts w:ascii="Book Antiqua" w:hAnsi="Book Antiqua"/>
          <w:i/>
          <w:iCs/>
          <w:color w:val="000000"/>
          <w:sz w:val="21"/>
          <w:szCs w:val="21"/>
        </w:rPr>
        <w:t>Arch Dis Child</w:t>
      </w:r>
      <w:r w:rsidRPr="00773DF1">
        <w:rPr>
          <w:rStyle w:val="apple-converted-space"/>
          <w:rFonts w:ascii="Book Antiqua" w:hAnsi="Book Antiqua"/>
          <w:color w:val="000000"/>
          <w:sz w:val="21"/>
          <w:szCs w:val="21"/>
        </w:rPr>
        <w:t> </w:t>
      </w:r>
      <w:r w:rsidRPr="00773DF1">
        <w:rPr>
          <w:rFonts w:ascii="Book Antiqua" w:hAnsi="Book Antiqua"/>
          <w:color w:val="000000"/>
          <w:sz w:val="21"/>
          <w:szCs w:val="21"/>
        </w:rPr>
        <w:t>1990;</w:t>
      </w:r>
      <w:r w:rsidRPr="00773DF1">
        <w:rPr>
          <w:rStyle w:val="apple-converted-space"/>
          <w:rFonts w:ascii="Book Antiqua" w:hAnsi="Book Antiqua"/>
          <w:color w:val="000000"/>
          <w:sz w:val="21"/>
          <w:szCs w:val="21"/>
        </w:rPr>
        <w:t> </w:t>
      </w:r>
      <w:r w:rsidRPr="00773DF1">
        <w:rPr>
          <w:rFonts w:ascii="Book Antiqua" w:hAnsi="Book Antiqua"/>
          <w:b/>
          <w:bCs/>
          <w:color w:val="000000"/>
          <w:sz w:val="21"/>
          <w:szCs w:val="21"/>
        </w:rPr>
        <w:t>65</w:t>
      </w:r>
      <w:r w:rsidRPr="00773DF1">
        <w:rPr>
          <w:rFonts w:ascii="Book Antiqua" w:hAnsi="Book Antiqua"/>
          <w:color w:val="000000"/>
          <w:sz w:val="21"/>
          <w:szCs w:val="21"/>
        </w:rPr>
        <w:t>: 909-911 [PMID: 2205160</w:t>
      </w:r>
      <w:r w:rsidRPr="00773DF1">
        <w:rPr>
          <w:rFonts w:ascii="Book Antiqua" w:eastAsia="宋体" w:hAnsi="Book Antiqua" w:cs="宋体"/>
          <w:color w:val="000000"/>
          <w:sz w:val="21"/>
          <w:szCs w:val="21"/>
        </w:rPr>
        <w:t xml:space="preserve"> </w:t>
      </w:r>
      <w:r w:rsidRPr="00341B9A">
        <w:rPr>
          <w:rFonts w:ascii="Book Antiqua" w:eastAsia="宋体" w:hAnsi="Book Antiqua" w:cs="宋体"/>
          <w:caps/>
          <w:color w:val="000000"/>
          <w:sz w:val="21"/>
          <w:szCs w:val="21"/>
        </w:rPr>
        <w:t>doi</w:t>
      </w:r>
      <w:r w:rsidRPr="00341B9A">
        <w:rPr>
          <w:rFonts w:ascii="Book Antiqua" w:eastAsia="宋体" w:hAnsi="Book Antiqua" w:cs="宋体"/>
          <w:color w:val="000000"/>
          <w:sz w:val="21"/>
          <w:szCs w:val="21"/>
        </w:rPr>
        <w:t>: 10.1136/adc.65.8.909]</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Marsh MN</w:t>
      </w:r>
      <w:r w:rsidRPr="00341B9A">
        <w:rPr>
          <w:rFonts w:ascii="Book Antiqua" w:eastAsia="宋体" w:hAnsi="Book Antiqua" w:cs="宋体"/>
          <w:color w:val="000000"/>
          <w:sz w:val="21"/>
          <w:szCs w:val="21"/>
        </w:rPr>
        <w:t>. Gluten, major histocompatibility complex, and the small intestine. A molecular and immunobiologic approach to the spectrum of gluten sensitivity ('celiac sprue').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Gastroenterology</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1992;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102</w:t>
      </w:r>
      <w:r w:rsidRPr="00341B9A">
        <w:rPr>
          <w:rFonts w:ascii="Book Antiqua" w:eastAsia="宋体" w:hAnsi="Book Antiqua" w:cs="宋体"/>
          <w:color w:val="000000"/>
          <w:sz w:val="21"/>
          <w:szCs w:val="21"/>
        </w:rPr>
        <w:t>: 330-354 [PMID: 1727768]</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29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Ráki M</w:t>
      </w:r>
      <w:r w:rsidRPr="00341B9A">
        <w:rPr>
          <w:rFonts w:ascii="Book Antiqua" w:eastAsia="宋体" w:hAnsi="Book Antiqua" w:cs="宋体"/>
          <w:color w:val="000000"/>
          <w:sz w:val="21"/>
          <w:szCs w:val="21"/>
        </w:rPr>
        <w:t>, Tollefsen S, Molberg Ø, Lundin KE, Sollid LM, Jahnsen FL. A unique dendritic cell subset accumulates in the celiac lesion and efficiently activates gluten-reactive T cells.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Gastroenterology</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2006;</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131</w:t>
      </w:r>
      <w:r w:rsidRPr="00341B9A">
        <w:rPr>
          <w:rFonts w:ascii="Book Antiqua" w:eastAsia="宋体" w:hAnsi="Book Antiqua" w:cs="宋体"/>
          <w:color w:val="000000"/>
          <w:sz w:val="21"/>
          <w:szCs w:val="21"/>
        </w:rPr>
        <w:t>: 428-438 [PMID: 16890596 DOI: 10.1053/j.gastro.2006.06.002]</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Beitnes AC</w:t>
      </w:r>
      <w:r w:rsidRPr="00341B9A">
        <w:rPr>
          <w:rFonts w:ascii="Book Antiqua" w:eastAsia="宋体" w:hAnsi="Book Antiqua" w:cs="宋体"/>
          <w:color w:val="000000"/>
          <w:sz w:val="21"/>
          <w:szCs w:val="21"/>
        </w:rPr>
        <w:t>, Ráki M, Brottveit M, Lundin KE, Jahnsen FL, Sollid LM. Rapid accumulation of CD14+CD11c+ dendritic cells in gut mucosa of celiac disease after in vivo gluten challenge.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PLoS One</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7</w:t>
      </w:r>
      <w:r w:rsidRPr="00341B9A">
        <w:rPr>
          <w:rFonts w:ascii="Book Antiqua" w:eastAsia="宋体" w:hAnsi="Book Antiqua" w:cs="宋体"/>
          <w:color w:val="000000"/>
          <w:sz w:val="21"/>
          <w:szCs w:val="21"/>
        </w:rPr>
        <w:t>: e33556 [PMID: 22438948]</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Beitnes AC</w:t>
      </w:r>
      <w:r w:rsidRPr="00341B9A">
        <w:rPr>
          <w:rFonts w:ascii="Book Antiqua" w:eastAsia="宋体" w:hAnsi="Book Antiqua" w:cs="宋体"/>
          <w:color w:val="000000"/>
          <w:sz w:val="21"/>
          <w:szCs w:val="21"/>
        </w:rPr>
        <w:t xml:space="preserve">, Ráki M, Lundin KE, Jahnsen J, Sollid LM, Jahnsen FL. Density of CD163+ CD11c+ dendritic cells increases and CD103+ dendritic cells decreases in the coeliac </w:t>
      </w:r>
      <w:r w:rsidRPr="00341B9A">
        <w:rPr>
          <w:rFonts w:ascii="Book Antiqua" w:eastAsia="宋体" w:hAnsi="Book Antiqua" w:cs="宋体"/>
          <w:color w:val="000000"/>
          <w:sz w:val="21"/>
          <w:szCs w:val="21"/>
        </w:rPr>
        <w:lastRenderedPageBreak/>
        <w:t>lesion.</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Scand J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74</w:t>
      </w:r>
      <w:r w:rsidRPr="00341B9A">
        <w:rPr>
          <w:rFonts w:ascii="Book Antiqua" w:eastAsia="宋体" w:hAnsi="Book Antiqua" w:cs="宋体"/>
          <w:color w:val="000000"/>
          <w:sz w:val="21"/>
          <w:szCs w:val="21"/>
        </w:rPr>
        <w:t>: 186-194 [PMID: 21392045 DOI: 10.1111/j.1365-3083.2011.02549.x]</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Badami E</w:t>
      </w:r>
      <w:r w:rsidRPr="00341B9A">
        <w:rPr>
          <w:rFonts w:ascii="Book Antiqua" w:eastAsia="宋体" w:hAnsi="Book Antiqua" w:cs="宋体"/>
          <w:color w:val="000000"/>
          <w:sz w:val="21"/>
          <w:szCs w:val="21"/>
        </w:rPr>
        <w:t>, Sorini C, Coccia M, Usuelli V, Molteni L, Bolla AM, Scavini M, Mariani A, King C, Bosi E, Falcone M. Defective differentiation of regulatory FoxP3+ T cells by small-intestinal dendritic cells in patients with type 1 diabetes.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Diabetes</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60</w:t>
      </w:r>
      <w:r w:rsidRPr="00341B9A">
        <w:rPr>
          <w:rFonts w:ascii="Book Antiqua" w:eastAsia="宋体" w:hAnsi="Book Antiqua" w:cs="宋体"/>
          <w:color w:val="000000"/>
          <w:sz w:val="21"/>
          <w:szCs w:val="21"/>
        </w:rPr>
        <w:t>: 2120-2124 [PMID: 21646390 DOI: 10.2337/db10-1201]</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Tiittanen M</w:t>
      </w:r>
      <w:r w:rsidRPr="00341B9A">
        <w:rPr>
          <w:rFonts w:ascii="Book Antiqua" w:eastAsia="宋体" w:hAnsi="Book Antiqua" w:cs="宋体"/>
          <w:color w:val="000000"/>
          <w:sz w:val="21"/>
          <w:szCs w:val="21"/>
        </w:rPr>
        <w:t>, Westerholm-Ormio M, Verkasalo M, Savilahti E, Vaarala O. Infiltration of forkhead box P3-expressing cells in small intestinal mucosa in coeliac disease but not in type 1 diabetes.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Clin Exp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152</w:t>
      </w:r>
      <w:r w:rsidRPr="00341B9A">
        <w:rPr>
          <w:rFonts w:ascii="Book Antiqua" w:eastAsia="宋体" w:hAnsi="Book Antiqua" w:cs="宋体"/>
          <w:color w:val="000000"/>
          <w:sz w:val="21"/>
          <w:szCs w:val="21"/>
        </w:rPr>
        <w:t>: 498-507 [PMID: 18435801 DOI: 10.1111/j.1365-2249.2008.03662.x]</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34</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Vorobjova T</w:t>
      </w:r>
      <w:r w:rsidRPr="00341B9A">
        <w:rPr>
          <w:rFonts w:ascii="Book Antiqua" w:eastAsia="宋体" w:hAnsi="Book Antiqua" w:cs="宋体"/>
          <w:color w:val="000000"/>
          <w:sz w:val="21"/>
          <w:szCs w:val="21"/>
        </w:rPr>
        <w:t>, Uibo O, Heilman K, Rägo T, Honkanen J, Vaarala O, Tillmann V, Ojakivi I, Uibo R. Increased FOXP3 expression in small-bowel mucosa of children with coeliac disease and type I diabetes mellitus.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Scand J Gastroenterol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44</w:t>
      </w:r>
      <w:r w:rsidRPr="00341B9A">
        <w:rPr>
          <w:rFonts w:ascii="Book Antiqua" w:eastAsia="宋体" w:hAnsi="Book Antiqua" w:cs="宋体"/>
          <w:color w:val="000000"/>
          <w:sz w:val="21"/>
          <w:szCs w:val="21"/>
        </w:rPr>
        <w:t>: 422-430 [PMID: 19096978 DOI: 10.1080/00365520802624177]</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35</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Cianci R</w:t>
      </w:r>
      <w:r w:rsidRPr="00341B9A">
        <w:rPr>
          <w:rFonts w:ascii="Book Antiqua" w:eastAsia="宋体" w:hAnsi="Book Antiqua" w:cs="宋体"/>
          <w:color w:val="000000"/>
          <w:sz w:val="21"/>
          <w:szCs w:val="21"/>
        </w:rPr>
        <w:t>, Cammarota G, Frisullo G, Pagliari D, Ianiro G, Martini M, Frosali S, Plantone D, Damato V, Casciano F, Landolfi R, Paola Batocchi A, Pandolfi F. Tissue-infiltrating lymphocytes analysis reveals large modifications of the duodenal "immunological niche" in coeliac disease after gluten-free diet.</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Clin Transl Gastroenterol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3</w:t>
      </w:r>
      <w:r w:rsidRPr="00341B9A">
        <w:rPr>
          <w:rFonts w:ascii="Book Antiqua" w:eastAsia="宋体" w:hAnsi="Book Antiqua" w:cs="宋体"/>
          <w:color w:val="000000"/>
          <w:sz w:val="21"/>
          <w:szCs w:val="21"/>
        </w:rPr>
        <w:t>: e28 [PMID: 23324655 DOI: 10.1038/ctg.2012.22]</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36</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Brazowski E</w:t>
      </w:r>
      <w:r w:rsidRPr="00341B9A">
        <w:rPr>
          <w:rFonts w:ascii="Book Antiqua" w:eastAsia="宋体" w:hAnsi="Book Antiqua" w:cs="宋体"/>
          <w:color w:val="000000"/>
          <w:sz w:val="21"/>
          <w:szCs w:val="21"/>
        </w:rPr>
        <w:t>, Cohen S, Yaron A, Filip I, Eisenthal A. FOXP3 expression in duodenal mucosa in pediatric patients with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Pathobiology</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77</w:t>
      </w:r>
      <w:r w:rsidRPr="00341B9A">
        <w:rPr>
          <w:rFonts w:ascii="Book Antiqua" w:eastAsia="宋体" w:hAnsi="Book Antiqua" w:cs="宋体"/>
          <w:color w:val="000000"/>
          <w:sz w:val="21"/>
          <w:szCs w:val="21"/>
        </w:rPr>
        <w:t>: 328-334 [PMID: 21266832 DOI: 10.1159/000322049]</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37</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Frisullo G</w:t>
      </w:r>
      <w:r w:rsidRPr="00341B9A">
        <w:rPr>
          <w:rFonts w:ascii="Book Antiqua" w:eastAsia="宋体" w:hAnsi="Book Antiqua" w:cs="宋体"/>
          <w:color w:val="000000"/>
          <w:sz w:val="21"/>
          <w:szCs w:val="21"/>
        </w:rPr>
        <w:t>, Nociti V, Iorio R, Patanella AK, Marti A, Assunta B, Plantone D, Cammarota G, Tonali PA, Batocchi AP. Increased CD4+CD25+Foxp3+ T cells in peripheral blood of celiac disease patients: correlation with dietary treatment.</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Hum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70</w:t>
      </w:r>
      <w:r w:rsidRPr="00341B9A">
        <w:rPr>
          <w:rFonts w:ascii="Book Antiqua" w:eastAsia="宋体" w:hAnsi="Book Antiqua" w:cs="宋体"/>
          <w:color w:val="000000"/>
          <w:sz w:val="21"/>
          <w:szCs w:val="21"/>
        </w:rPr>
        <w:t>: 430-435 [PMID: 19364517 DOI: 10.1016/j.humimm.2009.04.006]</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Borrelli M</w:t>
      </w:r>
      <w:r w:rsidRPr="00341B9A">
        <w:rPr>
          <w:rFonts w:ascii="Book Antiqua" w:eastAsia="宋体" w:hAnsi="Book Antiqua" w:cs="宋体"/>
          <w:color w:val="000000"/>
          <w:sz w:val="21"/>
          <w:szCs w:val="21"/>
        </w:rPr>
        <w:t>, Salvati VM, Maglio M, Zanzi D, Ferrara K, Santagata S, Ponticelli D, Aitoro R, Mazzarella G, Lania G, Gianfrani C, Auricchio R, Troncone R. Immunoregulatory pathways are active in the small intestinal mucosa of patients with potential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Am J Gastroenterol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108</w:t>
      </w:r>
      <w:r w:rsidRPr="00341B9A">
        <w:rPr>
          <w:rFonts w:ascii="Book Antiqua" w:eastAsia="宋体" w:hAnsi="Book Antiqua" w:cs="宋体"/>
          <w:color w:val="000000"/>
          <w:sz w:val="21"/>
          <w:szCs w:val="21"/>
        </w:rPr>
        <w:t>: 1775-1784 [PMID: 24060758 DOI: 10.1038/ajg.2013.303]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39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Kivling A</w:t>
      </w:r>
      <w:r w:rsidRPr="00341B9A">
        <w:rPr>
          <w:rFonts w:ascii="Book Antiqua" w:eastAsia="宋体" w:hAnsi="Book Antiqua" w:cs="宋体"/>
          <w:color w:val="000000"/>
          <w:sz w:val="21"/>
          <w:szCs w:val="21"/>
        </w:rPr>
        <w:t>, Nilsson L, Fälth-Magnusson K, Söllvander S, Johanson C, Faresjö M. Diverse foxp3 expression in children with type 1 diabetes and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Ann N Y Acad Sci</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1150</w:t>
      </w:r>
      <w:r w:rsidRPr="00341B9A">
        <w:rPr>
          <w:rFonts w:ascii="Book Antiqua" w:eastAsia="宋体" w:hAnsi="Book Antiqua" w:cs="宋体"/>
          <w:color w:val="000000"/>
          <w:sz w:val="21"/>
          <w:szCs w:val="21"/>
        </w:rPr>
        <w:t>: 273-277 [PMID: 19120312 DOI: 10.1196/annals.1447.018]</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lastRenderedPageBreak/>
        <w:t>40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Granzotto M</w:t>
      </w:r>
      <w:r w:rsidRPr="00341B9A">
        <w:rPr>
          <w:rFonts w:ascii="Book Antiqua" w:eastAsia="宋体" w:hAnsi="Book Antiqua" w:cs="宋体"/>
          <w:color w:val="000000"/>
          <w:sz w:val="21"/>
          <w:szCs w:val="21"/>
        </w:rPr>
        <w:t>, dal Bo S, Quaglia S, Tommasini A, Piscianz E, Valencic E, Ferrara F, Martelossi S, Ventura A, Not T. Regulatory T-cell function is impaired in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Dig Dis Sci</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54</w:t>
      </w:r>
      <w:r w:rsidRPr="00341B9A">
        <w:rPr>
          <w:rFonts w:ascii="Book Antiqua" w:eastAsia="宋体" w:hAnsi="Book Antiqua" w:cs="宋体"/>
          <w:color w:val="000000"/>
          <w:sz w:val="21"/>
          <w:szCs w:val="21"/>
        </w:rPr>
        <w:t>: 1513-1519 [PMID: 18975083 DOI: 10.1007/s10620-008-0501-x]</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Zanzi D</w:t>
      </w:r>
      <w:r w:rsidRPr="00341B9A">
        <w:rPr>
          <w:rFonts w:ascii="Book Antiqua" w:eastAsia="宋体" w:hAnsi="Book Antiqua" w:cs="宋体"/>
          <w:color w:val="000000"/>
          <w:sz w:val="21"/>
          <w:szCs w:val="21"/>
        </w:rPr>
        <w:t>, Stefanile R, Santagata S, Iaffaldano L, Iaquinto G, Giardullo N, Lania G, Vigliano I, Vera AR, Ferrara K, Auricchio S, Troncone R, Mazzarella G. IL-15 interferes with suppressive activity of intestinal regulatory T cells expanded in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Am J Gastroenterol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106</w:t>
      </w:r>
      <w:r w:rsidRPr="00341B9A">
        <w:rPr>
          <w:rFonts w:ascii="Book Antiqua" w:eastAsia="宋体" w:hAnsi="Book Antiqua" w:cs="宋体"/>
          <w:color w:val="000000"/>
          <w:sz w:val="21"/>
          <w:szCs w:val="21"/>
        </w:rPr>
        <w:t>: 1308-1317 [PMID: 21468011 DOI: 10.1038/ajg.2011.80]</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Hmida NB</w:t>
      </w:r>
      <w:r w:rsidRPr="00341B9A">
        <w:rPr>
          <w:rFonts w:ascii="Book Antiqua" w:eastAsia="宋体" w:hAnsi="Book Antiqua" w:cs="宋体"/>
          <w:color w:val="000000"/>
          <w:sz w:val="21"/>
          <w:szCs w:val="21"/>
        </w:rPr>
        <w:t>, Ben Ahmed M, Moussa A, Rejeb MB, Said Y, Kourda N, Meresse B, Abdeladhim M, Louzir H, Cerf-Bensussan N. Impaired control of effector T cells by regulatory T cells: a clue to loss of oral tolerance and autoimmunity in celiac disease?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Am J Gastroenterol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107</w:t>
      </w:r>
      <w:r w:rsidRPr="00341B9A">
        <w:rPr>
          <w:rFonts w:ascii="Book Antiqua" w:eastAsia="宋体" w:hAnsi="Book Antiqua" w:cs="宋体"/>
          <w:color w:val="000000"/>
          <w:sz w:val="21"/>
          <w:szCs w:val="21"/>
        </w:rPr>
        <w:t>: 604-611 [PMID: 22108452 DOI: 10.1038/ajg.2011.397]</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Ben Ahmed M</w:t>
      </w:r>
      <w:r w:rsidRPr="00341B9A">
        <w:rPr>
          <w:rFonts w:ascii="Book Antiqua" w:eastAsia="宋体" w:hAnsi="Book Antiqua" w:cs="宋体"/>
          <w:color w:val="000000"/>
          <w:sz w:val="21"/>
          <w:szCs w:val="21"/>
        </w:rPr>
        <w:t>, Belhadj Hmida N, Moes N, Buyse S, Abdeladhim M, Louzir H, Cerf-Bensussan N. IL-15 renders conventional lymphocytes resistant to suppressive functions of regulatory T cells through activation of the phosphatidylinositol 3-kinase pathway.</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J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182</w:t>
      </w:r>
      <w:r w:rsidRPr="00341B9A">
        <w:rPr>
          <w:rFonts w:ascii="Book Antiqua" w:eastAsia="宋体" w:hAnsi="Book Antiqua" w:cs="宋体"/>
          <w:color w:val="000000"/>
          <w:sz w:val="21"/>
          <w:szCs w:val="21"/>
        </w:rPr>
        <w:t>: 6763-6770 [PMID: 19454671 DOI: 10.4049/jimmunol.0801792]</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44</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Rescigno M</w:t>
      </w:r>
      <w:r w:rsidRPr="00341B9A">
        <w:rPr>
          <w:rFonts w:ascii="Book Antiqua" w:eastAsia="宋体" w:hAnsi="Book Antiqua" w:cs="宋体"/>
          <w:color w:val="000000"/>
          <w:sz w:val="21"/>
          <w:szCs w:val="21"/>
        </w:rPr>
        <w:t>, Urbano M, Valzasina B, Francolini M, Rotta G, Bonasio R, Granucci F, Kraehenbuhl JP, Ricciardi-Castagnoli P. Dendritic cells express tight junction proteins and penetrate gut epithelial monolayers to sample bacteria.</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Nat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w:t>
      </w:r>
      <w:r w:rsidRPr="00341B9A">
        <w:rPr>
          <w:rFonts w:ascii="Book Antiqua" w:eastAsia="宋体" w:hAnsi="Book Antiqua" w:cs="宋体"/>
          <w:color w:val="000000"/>
          <w:sz w:val="21"/>
          <w:szCs w:val="21"/>
        </w:rPr>
        <w:t>: 361-367 [PMID: 11276208 DOI: 10.1038/86373]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45</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Farache J</w:t>
      </w:r>
      <w:r w:rsidRPr="00341B9A">
        <w:rPr>
          <w:rFonts w:ascii="Book Antiqua" w:eastAsia="宋体" w:hAnsi="Book Antiqua" w:cs="宋体"/>
          <w:color w:val="000000"/>
          <w:sz w:val="21"/>
          <w:szCs w:val="21"/>
        </w:rPr>
        <w:t>, Zigmond E, Shakhar G, Jung S. Contributions of dendritic cells and macrophages to intestinal homeostasis and immune defense.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Immunol Cell Biol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91</w:t>
      </w:r>
      <w:r w:rsidRPr="00341B9A">
        <w:rPr>
          <w:rFonts w:ascii="Book Antiqua" w:eastAsia="宋体" w:hAnsi="Book Antiqua" w:cs="宋体"/>
          <w:color w:val="000000"/>
          <w:sz w:val="21"/>
          <w:szCs w:val="21"/>
        </w:rPr>
        <w:t>: 232-239 [PMID: 23399695 DOI: 10.1038/icb.2012.79]</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46</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Rochereau N</w:t>
      </w:r>
      <w:r w:rsidRPr="00341B9A">
        <w:rPr>
          <w:rFonts w:ascii="Book Antiqua" w:eastAsia="宋体" w:hAnsi="Book Antiqua" w:cs="宋体"/>
          <w:color w:val="000000"/>
          <w:sz w:val="21"/>
          <w:szCs w:val="21"/>
        </w:rPr>
        <w:t>, Verrier B, Pin JJ, Genin C, Paul S. Phenotypic localization of distinct DC subsets in mouse Peyer Patch.</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Vaccine</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29</w:t>
      </w:r>
      <w:r w:rsidRPr="00341B9A">
        <w:rPr>
          <w:rFonts w:ascii="Book Antiqua" w:eastAsia="宋体" w:hAnsi="Book Antiqua" w:cs="宋体"/>
          <w:color w:val="000000"/>
          <w:sz w:val="21"/>
          <w:szCs w:val="21"/>
        </w:rPr>
        <w:t>: 3655-3661 [PMID: 21439318 DOI: 10.1016/j.vaccine.2011.03.012]</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47</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Feinberg H</w:t>
      </w:r>
      <w:r w:rsidRPr="00341B9A">
        <w:rPr>
          <w:rFonts w:ascii="Book Antiqua" w:eastAsia="宋体" w:hAnsi="Book Antiqua" w:cs="宋体"/>
          <w:color w:val="000000"/>
          <w:sz w:val="21"/>
          <w:szCs w:val="21"/>
        </w:rPr>
        <w:t>, Rowntree TJ, Tan SL, Drickamer K, Weis WI, Taylor ME. Common polymorphisms in human langerin change specificity for glycan ligands.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J Biol Chem</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288</w:t>
      </w:r>
      <w:r w:rsidRPr="00341B9A">
        <w:rPr>
          <w:rFonts w:ascii="Book Antiqua" w:eastAsia="宋体" w:hAnsi="Book Antiqua" w:cs="宋体"/>
          <w:color w:val="000000"/>
          <w:sz w:val="21"/>
          <w:szCs w:val="21"/>
        </w:rPr>
        <w:t>: 36762-36771 [PMID: 24217250 DOI: 10.1074/jbc.M113.528000]</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48</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Chabrol E</w:t>
      </w:r>
      <w:r w:rsidRPr="00341B9A">
        <w:rPr>
          <w:rFonts w:ascii="Book Antiqua" w:eastAsia="宋体" w:hAnsi="Book Antiqua" w:cs="宋体"/>
          <w:color w:val="000000"/>
          <w:sz w:val="21"/>
          <w:szCs w:val="21"/>
        </w:rPr>
        <w:t>, Nurisso A, Daina A, Vassal-Stermann E, Thepaut M, Girard E, Vivès RR, Fieschi F. Glycosaminoglycans are interactants of Langerin: comparison with gp120 highlights an unexpected calcium-independent binding mode.</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PLoS One</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7</w:t>
      </w:r>
      <w:r w:rsidRPr="00341B9A">
        <w:rPr>
          <w:rFonts w:ascii="Book Antiqua" w:eastAsia="宋体" w:hAnsi="Book Antiqua" w:cs="宋体"/>
          <w:color w:val="000000"/>
          <w:sz w:val="21"/>
          <w:szCs w:val="21"/>
        </w:rPr>
        <w:t>: e50722 [PMID: 23226363 DOI: 10.1371/journal.pone.0050722]</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lastRenderedPageBreak/>
        <w:t>49</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Teesalu K</w:t>
      </w:r>
      <w:r w:rsidRPr="00341B9A">
        <w:rPr>
          <w:rFonts w:ascii="Book Antiqua" w:eastAsia="宋体" w:hAnsi="Book Antiqua" w:cs="宋体"/>
          <w:color w:val="000000"/>
          <w:sz w:val="21"/>
          <w:szCs w:val="21"/>
        </w:rPr>
        <w:t>, Uibo O, Uibo R, Utt M. Kinetic and functional characterisation of the heparin-binding peptides from human transglutaminase 2.</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J Pept Sci</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18</w:t>
      </w:r>
      <w:r w:rsidRPr="00341B9A">
        <w:rPr>
          <w:rFonts w:ascii="Book Antiqua" w:eastAsia="宋体" w:hAnsi="Book Antiqua" w:cs="宋体"/>
          <w:color w:val="000000"/>
          <w:sz w:val="21"/>
          <w:szCs w:val="21"/>
        </w:rPr>
        <w:t>: 350-356 [PMID: 22447354 DOI: 10.1002/psc.2413]</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50</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Sankaran-Walters S</w:t>
      </w:r>
      <w:r w:rsidRPr="00341B9A">
        <w:rPr>
          <w:rFonts w:ascii="Book Antiqua" w:eastAsia="宋体" w:hAnsi="Book Antiqua" w:cs="宋体"/>
          <w:color w:val="000000"/>
          <w:sz w:val="21"/>
          <w:szCs w:val="21"/>
        </w:rPr>
        <w:t>, Macal M, Grishina I, Nagy L, Goulart L, Coolidge K, Li J, Fenton A, Williams T, Miller MK, Flamm J, Prindiville T, George M, Dandekar S. Sex differences matter in the gut: effect on mucosal immune activation and inflammation.</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Biol Sex Differ</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4</w:t>
      </w:r>
      <w:r w:rsidRPr="00341B9A">
        <w:rPr>
          <w:rFonts w:ascii="Book Antiqua" w:eastAsia="宋体" w:hAnsi="Book Antiqua" w:cs="宋体"/>
          <w:color w:val="000000"/>
          <w:sz w:val="21"/>
          <w:szCs w:val="21"/>
        </w:rPr>
        <w:t>: 10 [PMID: 23651648 DOI: 10.1186/2042-6410-4-10]</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51</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Kovats S</w:t>
      </w:r>
      <w:r w:rsidRPr="00341B9A">
        <w:rPr>
          <w:rFonts w:ascii="Book Antiqua" w:eastAsia="宋体" w:hAnsi="Book Antiqua" w:cs="宋体"/>
          <w:color w:val="000000"/>
          <w:sz w:val="21"/>
          <w:szCs w:val="21"/>
        </w:rPr>
        <w:t>. Estrogen receptors regulate an inflammatory pathway of dendritic cell differentiation: mechanisms and implications for immunity.</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Horm Behav</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62</w:t>
      </w:r>
      <w:r w:rsidRPr="00341B9A">
        <w:rPr>
          <w:rFonts w:ascii="Book Antiqua" w:eastAsia="宋体" w:hAnsi="Book Antiqua" w:cs="宋体"/>
          <w:color w:val="000000"/>
          <w:sz w:val="21"/>
          <w:szCs w:val="21"/>
        </w:rPr>
        <w:t>: 254-262 [PMID: 22561458 DOI: 10.1016/j.yhbeh.2012.04.011]</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52</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Mao A</w:t>
      </w:r>
      <w:r w:rsidRPr="00341B9A">
        <w:rPr>
          <w:rFonts w:ascii="Book Antiqua" w:eastAsia="宋体" w:hAnsi="Book Antiqua" w:cs="宋体"/>
          <w:color w:val="000000"/>
          <w:sz w:val="21"/>
          <w:szCs w:val="21"/>
        </w:rPr>
        <w:t>, Paharkova-Vatchkova V, Hardy J, Miller MM, Kovats S. Estrogen selectively promotes the differentiation of dendritic cells with characteristics of Langerhans cells.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J Immunol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2005;</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175</w:t>
      </w:r>
      <w:r w:rsidRPr="00341B9A">
        <w:rPr>
          <w:rFonts w:ascii="Book Antiqua" w:eastAsia="宋体" w:hAnsi="Book Antiqua" w:cs="宋体"/>
          <w:color w:val="000000"/>
          <w:sz w:val="21"/>
          <w:szCs w:val="21"/>
        </w:rPr>
        <w:t>: 5146-5151 [PMID: 16210618 DOI: 10.4049/jimmunol.175.8.5146]</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53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Xiao BG</w:t>
      </w:r>
      <w:r w:rsidRPr="00341B9A">
        <w:rPr>
          <w:rFonts w:ascii="Book Antiqua" w:eastAsia="宋体" w:hAnsi="Book Antiqua" w:cs="宋体"/>
          <w:color w:val="000000"/>
          <w:sz w:val="21"/>
          <w:szCs w:val="21"/>
        </w:rPr>
        <w:t>, Liu X, Link H. Antigen-specific T cell functions are suppressed over the estrogen-dendritic cell-indoleamine 2,3-dioxygenase axis.</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Steroids</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2004;</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69</w:t>
      </w:r>
      <w:r w:rsidRPr="00341B9A">
        <w:rPr>
          <w:rFonts w:ascii="Book Antiqua" w:eastAsia="宋体" w:hAnsi="Book Antiqua" w:cs="宋体"/>
          <w:color w:val="000000"/>
          <w:sz w:val="21"/>
          <w:szCs w:val="21"/>
        </w:rPr>
        <w:t>: 653-659 [PMID: 15465110 DOI: 10.1016/j.steroids.2004.05.019]</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54</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Goto Y</w:t>
      </w:r>
      <w:r w:rsidRPr="00341B9A">
        <w:rPr>
          <w:rFonts w:ascii="Book Antiqua" w:eastAsia="宋体" w:hAnsi="Book Antiqua" w:cs="宋体"/>
          <w:color w:val="000000"/>
          <w:sz w:val="21"/>
          <w:szCs w:val="21"/>
        </w:rPr>
        <w:t>, Ivanov II. Intestinal epithelial cells as mediators of the commensal-host immune crosstalk.</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Immunol Cell Biol</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91</w:t>
      </w:r>
      <w:r w:rsidRPr="00341B9A">
        <w:rPr>
          <w:rFonts w:ascii="Book Antiqua" w:eastAsia="宋体" w:hAnsi="Book Antiqua" w:cs="宋体"/>
          <w:color w:val="000000"/>
          <w:sz w:val="21"/>
          <w:szCs w:val="21"/>
        </w:rPr>
        <w:t>: 204-214 [PMID: 23318659 DOI: 10.1038/icb.2012.80]</w:t>
      </w:r>
    </w:p>
    <w:p w:rsidR="00FE43F6" w:rsidRPr="00341B9A" w:rsidRDefault="00FE43F6" w:rsidP="00B90E53">
      <w:pPr>
        <w:adjustRightInd w:val="0"/>
        <w:snapToGrid w:val="0"/>
        <w:spacing w:line="360" w:lineRule="auto"/>
        <w:jc w:val="both"/>
        <w:rPr>
          <w:rFonts w:ascii="Book Antiqua" w:eastAsia="宋体" w:hAnsi="Book Antiqua" w:cs="宋体"/>
          <w:color w:val="000000"/>
          <w:sz w:val="21"/>
          <w:szCs w:val="21"/>
        </w:rPr>
      </w:pPr>
      <w:r w:rsidRPr="00341B9A">
        <w:rPr>
          <w:rFonts w:ascii="Book Antiqua" w:eastAsia="宋体" w:hAnsi="Book Antiqua" w:cs="宋体"/>
          <w:color w:val="000000"/>
          <w:sz w:val="21"/>
          <w:szCs w:val="21"/>
        </w:rPr>
        <w:t>55</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Sjöberg V</w:t>
      </w:r>
      <w:r w:rsidRPr="00341B9A">
        <w:rPr>
          <w:rFonts w:ascii="Book Antiqua" w:eastAsia="宋体" w:hAnsi="Book Antiqua" w:cs="宋体"/>
          <w:color w:val="000000"/>
          <w:sz w:val="21"/>
          <w:szCs w:val="21"/>
        </w:rPr>
        <w:t>, Sandström O, Hedberg M, Hammarström S, Hernell O, Hammarström ML. Intestinal T-cell responses in celiac disease - impact of celiac disease associated bacteria.</w:t>
      </w:r>
      <w:r w:rsidRPr="00773DF1">
        <w:rPr>
          <w:rFonts w:ascii="Book Antiqua" w:eastAsia="宋体" w:hAnsi="Book Antiqua" w:cs="宋体"/>
          <w:color w:val="000000"/>
          <w:sz w:val="21"/>
          <w:szCs w:val="21"/>
        </w:rPr>
        <w:t> </w:t>
      </w:r>
      <w:r w:rsidRPr="00341B9A">
        <w:rPr>
          <w:rFonts w:ascii="Book Antiqua" w:eastAsia="宋体" w:hAnsi="Book Antiqua" w:cs="宋体"/>
          <w:i/>
          <w:iCs/>
          <w:color w:val="000000"/>
          <w:sz w:val="21"/>
          <w:szCs w:val="21"/>
        </w:rPr>
        <w:t>PLoS One</w:t>
      </w:r>
      <w:r w:rsidRPr="00773DF1">
        <w:rPr>
          <w:rFonts w:ascii="Book Antiqua" w:eastAsia="宋体" w:hAnsi="Book Antiqua" w:cs="宋体"/>
          <w:color w:val="000000"/>
          <w:sz w:val="21"/>
          <w:szCs w:val="21"/>
        </w:rPr>
        <w:t> </w:t>
      </w:r>
      <w:r w:rsidRPr="00341B9A">
        <w:rPr>
          <w:rFonts w:ascii="Book Antiqua" w:eastAsia="宋体" w:hAnsi="Book Antiqua" w:cs="宋体"/>
          <w:color w:val="000000"/>
          <w:sz w:val="21"/>
          <w:szCs w:val="21"/>
        </w:rPr>
        <w:t>2013;</w:t>
      </w:r>
      <w:r w:rsidRPr="00773DF1">
        <w:rPr>
          <w:rFonts w:ascii="Book Antiqua" w:eastAsia="宋体" w:hAnsi="Book Antiqua" w:cs="宋体"/>
          <w:color w:val="000000"/>
          <w:sz w:val="21"/>
          <w:szCs w:val="21"/>
        </w:rPr>
        <w:t> </w:t>
      </w:r>
      <w:r w:rsidRPr="00341B9A">
        <w:rPr>
          <w:rFonts w:ascii="Book Antiqua" w:eastAsia="宋体" w:hAnsi="Book Antiqua" w:cs="宋体"/>
          <w:b/>
          <w:bCs/>
          <w:color w:val="000000"/>
          <w:sz w:val="21"/>
          <w:szCs w:val="21"/>
        </w:rPr>
        <w:t>8</w:t>
      </w:r>
      <w:r w:rsidRPr="00341B9A">
        <w:rPr>
          <w:rFonts w:ascii="Book Antiqua" w:eastAsia="宋体" w:hAnsi="Book Antiqua" w:cs="宋体"/>
          <w:color w:val="000000"/>
          <w:sz w:val="21"/>
          <w:szCs w:val="21"/>
        </w:rPr>
        <w:t>: e53414 [PMID: 23326425 DOI: 10.1371/journal.pone.0053414]</w:t>
      </w:r>
    </w:p>
    <w:p w:rsidR="00FE43F6" w:rsidRPr="00773DF1" w:rsidRDefault="00FE43F6" w:rsidP="00B90E53">
      <w:pPr>
        <w:adjustRightInd w:val="0"/>
        <w:snapToGrid w:val="0"/>
        <w:spacing w:line="360" w:lineRule="auto"/>
        <w:jc w:val="both"/>
        <w:rPr>
          <w:rFonts w:ascii="Book Antiqua" w:hAnsi="Book Antiqua"/>
          <w:sz w:val="21"/>
          <w:szCs w:val="21"/>
        </w:rPr>
      </w:pPr>
    </w:p>
    <w:p w:rsidR="00FE43F6" w:rsidRPr="00457CF0" w:rsidRDefault="00FE43F6" w:rsidP="00570E1A">
      <w:pPr>
        <w:adjustRightInd w:val="0"/>
        <w:snapToGrid w:val="0"/>
        <w:spacing w:line="360" w:lineRule="auto"/>
        <w:ind w:left="361" w:hangingChars="150" w:hanging="361"/>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Pr="00FE43F6">
        <w:rPr>
          <w:rFonts w:ascii="Book Antiqua" w:hAnsi="Book Antiqua"/>
          <w:bCs/>
          <w:szCs w:val="21"/>
        </w:rPr>
        <w:t>Pessi</w:t>
      </w:r>
      <w:r w:rsidRPr="00FE43F6">
        <w:rPr>
          <w:rFonts w:ascii="Book Antiqua" w:hAnsi="Book Antiqua" w:hint="eastAsia"/>
          <w:bCs/>
          <w:szCs w:val="21"/>
          <w:lang w:eastAsia="zh-CN"/>
        </w:rPr>
        <w:t xml:space="preserve"> T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FE43F6" w:rsidRPr="00FE43F6" w:rsidRDefault="00FE43F6" w:rsidP="00B90E53">
      <w:pPr>
        <w:adjustRightInd w:val="0"/>
        <w:snapToGrid w:val="0"/>
        <w:spacing w:line="360" w:lineRule="auto"/>
        <w:jc w:val="both"/>
        <w:rPr>
          <w:rFonts w:ascii="Book Antiqua" w:hAnsi="Book Antiqua"/>
          <w:b/>
          <w:bCs/>
          <w:lang w:eastAsia="zh-CN"/>
        </w:rPr>
      </w:pPr>
    </w:p>
    <w:p w:rsidR="00CC2F51" w:rsidRPr="00700A64" w:rsidRDefault="00CC2F51" w:rsidP="00B90E53">
      <w:pPr>
        <w:adjustRightInd w:val="0"/>
        <w:snapToGrid w:val="0"/>
        <w:spacing w:line="360" w:lineRule="auto"/>
        <w:jc w:val="both"/>
        <w:rPr>
          <w:rFonts w:ascii="Book Antiqua" w:hAnsi="Book Antiqua"/>
          <w:b/>
          <w:bCs/>
        </w:rPr>
      </w:pPr>
    </w:p>
    <w:p w:rsidR="00CC2F51" w:rsidRPr="00700A64" w:rsidRDefault="00CC2F51" w:rsidP="00B90E53">
      <w:pPr>
        <w:adjustRightInd w:val="0"/>
        <w:snapToGrid w:val="0"/>
        <w:spacing w:line="360" w:lineRule="auto"/>
        <w:jc w:val="both"/>
        <w:rPr>
          <w:rFonts w:ascii="Book Antiqua" w:hAnsi="Book Antiqua"/>
          <w:b/>
          <w:bCs/>
        </w:rPr>
      </w:pPr>
    </w:p>
    <w:p w:rsidR="00A70179" w:rsidRPr="00700A64" w:rsidRDefault="00A70179" w:rsidP="00B90E53">
      <w:pPr>
        <w:adjustRightInd w:val="0"/>
        <w:snapToGrid w:val="0"/>
        <w:spacing w:line="360" w:lineRule="auto"/>
        <w:jc w:val="both"/>
        <w:rPr>
          <w:rFonts w:ascii="Book Antiqua" w:hAnsi="Book Antiqua"/>
          <w:b/>
        </w:rPr>
        <w:sectPr w:rsidR="00A70179" w:rsidRPr="00700A64">
          <w:headerReference w:type="default" r:id="rId8"/>
          <w:pgSz w:w="12240" w:h="15840"/>
          <w:pgMar w:top="1440" w:right="1800" w:bottom="1440" w:left="1800" w:header="708" w:footer="708" w:gutter="0"/>
          <w:cols w:space="708"/>
          <w:docGrid w:linePitch="360"/>
        </w:sectPr>
      </w:pPr>
    </w:p>
    <w:p w:rsidR="00DD30B9" w:rsidRPr="00700A64" w:rsidRDefault="00A70179" w:rsidP="00B90E53">
      <w:pPr>
        <w:adjustRightInd w:val="0"/>
        <w:snapToGrid w:val="0"/>
        <w:spacing w:line="360" w:lineRule="auto"/>
        <w:jc w:val="both"/>
        <w:rPr>
          <w:rFonts w:ascii="Book Antiqua" w:hAnsi="Book Antiqua"/>
          <w:b/>
          <w:lang w:eastAsia="zh-CN"/>
        </w:rPr>
      </w:pPr>
      <w:r w:rsidRPr="00700A64">
        <w:rPr>
          <w:rFonts w:ascii="Book Antiqua" w:hAnsi="Book Antiqua"/>
          <w:b/>
        </w:rPr>
        <w:lastRenderedPageBreak/>
        <w:t>Table 1 Number</w:t>
      </w:r>
      <w:r w:rsidR="00C8170D" w:rsidRPr="00700A64">
        <w:rPr>
          <w:rFonts w:ascii="Book Antiqua" w:hAnsi="Book Antiqua"/>
          <w:b/>
        </w:rPr>
        <w:t>s</w:t>
      </w:r>
      <w:r w:rsidRPr="00700A64">
        <w:rPr>
          <w:rFonts w:ascii="Book Antiqua" w:hAnsi="Book Antiqua"/>
          <w:b/>
        </w:rPr>
        <w:t>, mean age</w:t>
      </w:r>
      <w:r w:rsidR="00C8170D" w:rsidRPr="00700A64">
        <w:rPr>
          <w:rFonts w:ascii="Book Antiqua" w:hAnsi="Book Antiqua"/>
          <w:b/>
        </w:rPr>
        <w:t>s</w:t>
      </w:r>
      <w:r w:rsidRPr="00700A64">
        <w:rPr>
          <w:rFonts w:ascii="Book Antiqua" w:hAnsi="Book Antiqua"/>
          <w:b/>
        </w:rPr>
        <w:t>, gender</w:t>
      </w:r>
      <w:r w:rsidR="00C8170D" w:rsidRPr="00700A64">
        <w:rPr>
          <w:rFonts w:ascii="Book Antiqua" w:hAnsi="Book Antiqua"/>
          <w:b/>
        </w:rPr>
        <w:t>s</w:t>
      </w:r>
      <w:r w:rsidRPr="00700A64">
        <w:rPr>
          <w:rFonts w:ascii="Book Antiqua" w:hAnsi="Book Antiqua"/>
          <w:b/>
        </w:rPr>
        <w:t xml:space="preserve"> and IgA-tTG positivity</w:t>
      </w:r>
      <w:r w:rsidR="00C8170D" w:rsidRPr="00700A64">
        <w:rPr>
          <w:rFonts w:ascii="Book Antiqua" w:hAnsi="Book Antiqua"/>
          <w:b/>
        </w:rPr>
        <w:t xml:space="preserve"> results</w:t>
      </w:r>
      <w:r w:rsidRPr="00700A64">
        <w:rPr>
          <w:rFonts w:ascii="Book Antiqua" w:hAnsi="Book Antiqua"/>
          <w:b/>
        </w:rPr>
        <w:t xml:space="preserve"> of the persons studied</w:t>
      </w:r>
      <w:r w:rsidR="00DD30B9">
        <w:rPr>
          <w:rFonts w:ascii="Book Antiqua" w:hAnsi="Book Antiqua" w:hint="eastAsia"/>
          <w:b/>
          <w:lang w:eastAsia="zh-CN"/>
        </w:rPr>
        <w:t xml:space="preserve"> </w:t>
      </w:r>
      <w:r w:rsidR="00DD30B9" w:rsidRPr="00DD30B9">
        <w:rPr>
          <w:rFonts w:ascii="Book Antiqua" w:hAnsi="Book Antiqua" w:hint="eastAsia"/>
          <w:b/>
          <w:i/>
          <w:lang w:eastAsia="zh-CN"/>
        </w:rPr>
        <w:t>n</w:t>
      </w:r>
      <w:r w:rsidR="00DD30B9">
        <w:rPr>
          <w:rFonts w:ascii="Book Antiqua" w:hAnsi="Book Antiqua" w:hint="eastAsia"/>
          <w:b/>
          <w:lang w:eastAsia="zh-CN"/>
        </w:rPr>
        <w:t xml:space="preserve"> (%)</w:t>
      </w:r>
    </w:p>
    <w:p w:rsidR="00A70179" w:rsidRPr="00700A64" w:rsidRDefault="00A70179" w:rsidP="00B90E53">
      <w:pPr>
        <w:adjustRightInd w:val="0"/>
        <w:snapToGrid w:val="0"/>
        <w:spacing w:line="360" w:lineRule="auto"/>
        <w:jc w:val="both"/>
        <w:rPr>
          <w:rFonts w:ascii="Book Antiqua" w:hAnsi="Book Antiqua"/>
        </w:rPr>
      </w:pPr>
    </w:p>
    <w:tbl>
      <w:tblPr>
        <w:tblW w:w="12299" w:type="dxa"/>
        <w:tblBorders>
          <w:top w:val="single" w:sz="4" w:space="0" w:color="auto"/>
        </w:tblBorders>
        <w:tblLook w:val="00A0" w:firstRow="1" w:lastRow="0" w:firstColumn="1" w:lastColumn="0" w:noHBand="0" w:noVBand="0"/>
      </w:tblPr>
      <w:tblGrid>
        <w:gridCol w:w="1930"/>
        <w:gridCol w:w="1439"/>
        <w:gridCol w:w="1274"/>
        <w:gridCol w:w="1531"/>
        <w:gridCol w:w="29"/>
        <w:gridCol w:w="1134"/>
        <w:gridCol w:w="1364"/>
        <w:gridCol w:w="1188"/>
        <w:gridCol w:w="2410"/>
      </w:tblGrid>
      <w:tr w:rsidR="00A70179" w:rsidRPr="00DD30B9" w:rsidTr="00A602C3">
        <w:tc>
          <w:tcPr>
            <w:tcW w:w="1930" w:type="dxa"/>
            <w:vMerge w:val="restart"/>
            <w:tcBorders>
              <w:top w:val="single" w:sz="4" w:space="0" w:color="auto"/>
            </w:tcBorders>
          </w:tcPr>
          <w:p w:rsidR="00A70179" w:rsidRPr="00DD30B9" w:rsidRDefault="00A70179" w:rsidP="00B90E53">
            <w:pPr>
              <w:adjustRightInd w:val="0"/>
              <w:snapToGrid w:val="0"/>
              <w:spacing w:line="360" w:lineRule="auto"/>
              <w:jc w:val="both"/>
              <w:rPr>
                <w:rFonts w:ascii="Book Antiqua" w:hAnsi="Book Antiqua"/>
                <w:b/>
              </w:rPr>
            </w:pPr>
            <w:r w:rsidRPr="00DD30B9">
              <w:rPr>
                <w:rFonts w:ascii="Book Antiqua" w:hAnsi="Book Antiqua"/>
                <w:b/>
              </w:rPr>
              <w:t>Study group</w:t>
            </w:r>
          </w:p>
        </w:tc>
        <w:tc>
          <w:tcPr>
            <w:tcW w:w="1439" w:type="dxa"/>
            <w:vMerge w:val="restart"/>
            <w:tcBorders>
              <w:top w:val="single" w:sz="4" w:space="0" w:color="auto"/>
            </w:tcBorders>
          </w:tcPr>
          <w:p w:rsidR="00A70179" w:rsidRPr="00DD30B9" w:rsidRDefault="00A70179" w:rsidP="00B90E53">
            <w:pPr>
              <w:adjustRightInd w:val="0"/>
              <w:snapToGrid w:val="0"/>
              <w:spacing w:line="360" w:lineRule="auto"/>
              <w:jc w:val="both"/>
              <w:rPr>
                <w:rFonts w:ascii="Book Antiqua" w:hAnsi="Book Antiqua"/>
                <w:b/>
              </w:rPr>
            </w:pPr>
            <w:r w:rsidRPr="00DD30B9">
              <w:rPr>
                <w:rFonts w:ascii="Book Antiqua" w:hAnsi="Book Antiqua"/>
                <w:b/>
              </w:rPr>
              <w:t>Number of persons</w:t>
            </w:r>
          </w:p>
        </w:tc>
        <w:tc>
          <w:tcPr>
            <w:tcW w:w="1274" w:type="dxa"/>
            <w:vMerge w:val="restart"/>
            <w:tcBorders>
              <w:top w:val="single" w:sz="4" w:space="0" w:color="auto"/>
            </w:tcBorders>
          </w:tcPr>
          <w:p w:rsidR="00A70179" w:rsidRPr="00DD30B9" w:rsidRDefault="00DD30B9" w:rsidP="00B90E53">
            <w:pPr>
              <w:adjustRightInd w:val="0"/>
              <w:snapToGrid w:val="0"/>
              <w:spacing w:line="360" w:lineRule="auto"/>
              <w:jc w:val="both"/>
              <w:rPr>
                <w:rFonts w:ascii="Book Antiqua" w:hAnsi="Book Antiqua"/>
                <w:b/>
                <w:lang w:eastAsia="zh-CN"/>
              </w:rPr>
            </w:pPr>
            <w:r w:rsidRPr="00DD30B9">
              <w:rPr>
                <w:rFonts w:ascii="Book Antiqua" w:hAnsi="Book Antiqua" w:hint="eastAsia"/>
                <w:b/>
                <w:lang w:eastAsia="zh-CN"/>
              </w:rPr>
              <w:t>Age</w:t>
            </w:r>
            <w:r w:rsidR="00A602C3" w:rsidRPr="00A602C3">
              <w:rPr>
                <w:rFonts w:ascii="Book Antiqua" w:hAnsi="Book Antiqua" w:hint="eastAsia"/>
                <w:b/>
                <w:caps/>
                <w:vertAlign w:val="superscript"/>
                <w:lang w:eastAsia="zh-CN"/>
              </w:rPr>
              <w:t>1</w:t>
            </w:r>
            <w:r w:rsidRPr="00DD30B9">
              <w:rPr>
                <w:rFonts w:ascii="Book Antiqua" w:hAnsi="Book Antiqua" w:hint="eastAsia"/>
                <w:b/>
                <w:lang w:eastAsia="zh-CN"/>
              </w:rPr>
              <w:t xml:space="preserve"> </w:t>
            </w:r>
          </w:p>
        </w:tc>
        <w:tc>
          <w:tcPr>
            <w:tcW w:w="2694" w:type="dxa"/>
            <w:gridSpan w:val="3"/>
            <w:tcBorders>
              <w:top w:val="single" w:sz="4" w:space="0" w:color="auto"/>
            </w:tcBorders>
          </w:tcPr>
          <w:p w:rsidR="00A70179" w:rsidRPr="00DD30B9" w:rsidDel="00E615A6" w:rsidRDefault="00A70179" w:rsidP="00B90E53">
            <w:pPr>
              <w:adjustRightInd w:val="0"/>
              <w:snapToGrid w:val="0"/>
              <w:spacing w:line="360" w:lineRule="auto"/>
              <w:jc w:val="both"/>
              <w:rPr>
                <w:rFonts w:ascii="Book Antiqua" w:hAnsi="Book Antiqua"/>
                <w:b/>
              </w:rPr>
            </w:pPr>
            <w:r w:rsidRPr="00DD30B9">
              <w:rPr>
                <w:rFonts w:ascii="Book Antiqua" w:hAnsi="Book Antiqua"/>
                <w:b/>
              </w:rPr>
              <w:t>Male</w:t>
            </w:r>
          </w:p>
        </w:tc>
        <w:tc>
          <w:tcPr>
            <w:tcW w:w="2552" w:type="dxa"/>
            <w:gridSpan w:val="2"/>
            <w:tcBorders>
              <w:top w:val="single" w:sz="4" w:space="0" w:color="auto"/>
            </w:tcBorders>
          </w:tcPr>
          <w:p w:rsidR="00A70179" w:rsidRPr="00DD30B9" w:rsidRDefault="00A70179" w:rsidP="00B90E53">
            <w:pPr>
              <w:adjustRightInd w:val="0"/>
              <w:snapToGrid w:val="0"/>
              <w:spacing w:line="360" w:lineRule="auto"/>
              <w:jc w:val="both"/>
              <w:rPr>
                <w:rFonts w:ascii="Book Antiqua" w:hAnsi="Book Antiqua"/>
                <w:b/>
              </w:rPr>
            </w:pPr>
            <w:r w:rsidRPr="00DD30B9">
              <w:rPr>
                <w:rFonts w:ascii="Book Antiqua" w:hAnsi="Book Antiqua"/>
                <w:b/>
              </w:rPr>
              <w:t>Female</w:t>
            </w:r>
          </w:p>
        </w:tc>
        <w:tc>
          <w:tcPr>
            <w:tcW w:w="2410" w:type="dxa"/>
            <w:vMerge w:val="restart"/>
            <w:tcBorders>
              <w:top w:val="single" w:sz="4" w:space="0" w:color="auto"/>
            </w:tcBorders>
          </w:tcPr>
          <w:p w:rsidR="00A70179" w:rsidRPr="00DD30B9" w:rsidRDefault="00A70179" w:rsidP="00B90E53">
            <w:pPr>
              <w:adjustRightInd w:val="0"/>
              <w:snapToGrid w:val="0"/>
              <w:spacing w:line="360" w:lineRule="auto"/>
              <w:jc w:val="both"/>
              <w:rPr>
                <w:rFonts w:ascii="Book Antiqua" w:hAnsi="Book Antiqua"/>
                <w:b/>
              </w:rPr>
            </w:pPr>
            <w:r w:rsidRPr="00DD30B9">
              <w:rPr>
                <w:rFonts w:ascii="Book Antiqua" w:hAnsi="Book Antiqua"/>
                <w:b/>
              </w:rPr>
              <w:t>IgA-tTG</w:t>
            </w:r>
            <w:r w:rsidR="00C8170D" w:rsidRPr="00DD30B9">
              <w:rPr>
                <w:rFonts w:ascii="Book Antiqua" w:hAnsi="Book Antiqua"/>
                <w:b/>
              </w:rPr>
              <w:t>-</w:t>
            </w:r>
            <w:r w:rsidRPr="00DD30B9">
              <w:rPr>
                <w:rFonts w:ascii="Book Antiqua" w:hAnsi="Book Antiqua"/>
                <w:b/>
              </w:rPr>
              <w:t>positive</w:t>
            </w:r>
          </w:p>
          <w:p w:rsidR="00A70179" w:rsidRPr="00DD30B9" w:rsidRDefault="00A70179" w:rsidP="00B90E53">
            <w:pPr>
              <w:adjustRightInd w:val="0"/>
              <w:snapToGrid w:val="0"/>
              <w:spacing w:line="360" w:lineRule="auto"/>
              <w:jc w:val="both"/>
              <w:rPr>
                <w:rFonts w:ascii="Book Antiqua" w:hAnsi="Book Antiqua"/>
                <w:b/>
              </w:rPr>
            </w:pPr>
            <w:r w:rsidRPr="00DD30B9">
              <w:rPr>
                <w:rFonts w:ascii="Book Antiqua" w:hAnsi="Book Antiqua"/>
                <w:b/>
              </w:rPr>
              <w:t>(&gt;</w:t>
            </w:r>
            <w:r w:rsidR="00DD30B9">
              <w:rPr>
                <w:rFonts w:ascii="Book Antiqua" w:hAnsi="Book Antiqua" w:hint="eastAsia"/>
                <w:b/>
                <w:lang w:eastAsia="zh-CN"/>
              </w:rPr>
              <w:t xml:space="preserve"> </w:t>
            </w:r>
            <w:r w:rsidRPr="00DD30B9">
              <w:rPr>
                <w:rFonts w:ascii="Book Antiqua" w:hAnsi="Book Antiqua"/>
                <w:b/>
              </w:rPr>
              <w:t>10 U/m</w:t>
            </w:r>
            <w:r w:rsidR="00DD30B9">
              <w:rPr>
                <w:rFonts w:ascii="Book Antiqua" w:hAnsi="Book Antiqua" w:hint="eastAsia"/>
                <w:b/>
                <w:lang w:eastAsia="zh-CN"/>
              </w:rPr>
              <w:t>L</w:t>
            </w:r>
            <w:r w:rsidRPr="00DD30B9">
              <w:rPr>
                <w:rFonts w:ascii="Book Antiqua" w:hAnsi="Book Antiqua"/>
                <w:b/>
              </w:rPr>
              <w:t>)</w:t>
            </w:r>
          </w:p>
        </w:tc>
      </w:tr>
      <w:tr w:rsidR="00DD30B9" w:rsidRPr="00700A64" w:rsidTr="00A602C3">
        <w:tc>
          <w:tcPr>
            <w:tcW w:w="1930" w:type="dxa"/>
            <w:vMerge/>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b/>
              </w:rPr>
            </w:pPr>
          </w:p>
        </w:tc>
        <w:tc>
          <w:tcPr>
            <w:tcW w:w="1439" w:type="dxa"/>
            <w:vMerge/>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b/>
              </w:rPr>
            </w:pPr>
          </w:p>
        </w:tc>
        <w:tc>
          <w:tcPr>
            <w:tcW w:w="1274" w:type="dxa"/>
            <w:vMerge/>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b/>
              </w:rPr>
            </w:pPr>
          </w:p>
        </w:tc>
        <w:tc>
          <w:tcPr>
            <w:tcW w:w="1531" w:type="dxa"/>
            <w:tcBorders>
              <w:top w:val="nil"/>
              <w:bottom w:val="single" w:sz="4" w:space="0" w:color="auto"/>
            </w:tcBorders>
          </w:tcPr>
          <w:p w:rsidR="00DD30B9" w:rsidRPr="00DD30B9" w:rsidRDefault="00DD30B9" w:rsidP="00B90E53">
            <w:pPr>
              <w:adjustRightInd w:val="0"/>
              <w:snapToGrid w:val="0"/>
              <w:spacing w:line="360" w:lineRule="auto"/>
              <w:jc w:val="both"/>
              <w:rPr>
                <w:rFonts w:ascii="Book Antiqua" w:hAnsi="Book Antiqua"/>
                <w:b/>
                <w:lang w:eastAsia="zh-CN"/>
              </w:rPr>
            </w:pPr>
            <w:r w:rsidRPr="00DD30B9">
              <w:rPr>
                <w:rFonts w:ascii="Book Antiqua" w:hAnsi="Book Antiqua"/>
                <w:b/>
              </w:rPr>
              <w:t>number</w:t>
            </w:r>
          </w:p>
        </w:tc>
        <w:tc>
          <w:tcPr>
            <w:tcW w:w="1163" w:type="dxa"/>
            <w:gridSpan w:val="2"/>
            <w:tcBorders>
              <w:top w:val="nil"/>
              <w:bottom w:val="single" w:sz="4" w:space="0" w:color="auto"/>
            </w:tcBorders>
          </w:tcPr>
          <w:p w:rsidR="00DD30B9" w:rsidRPr="00DD30B9" w:rsidRDefault="00A602C3" w:rsidP="00B90E53">
            <w:pPr>
              <w:adjustRightInd w:val="0"/>
              <w:snapToGrid w:val="0"/>
              <w:spacing w:line="360" w:lineRule="auto"/>
              <w:jc w:val="both"/>
              <w:rPr>
                <w:rFonts w:ascii="Book Antiqua" w:hAnsi="Book Antiqua"/>
                <w:b/>
                <w:lang w:eastAsia="zh-CN"/>
              </w:rPr>
            </w:pPr>
            <w:r w:rsidRPr="00DD30B9">
              <w:rPr>
                <w:rFonts w:ascii="Book Antiqua" w:hAnsi="Book Antiqua" w:hint="eastAsia"/>
                <w:b/>
                <w:lang w:eastAsia="zh-CN"/>
              </w:rPr>
              <w:t>Age</w:t>
            </w:r>
            <w:r w:rsidRPr="00A602C3">
              <w:rPr>
                <w:rFonts w:ascii="Book Antiqua" w:hAnsi="Book Antiqua" w:hint="eastAsia"/>
                <w:b/>
                <w:caps/>
                <w:vertAlign w:val="superscript"/>
                <w:lang w:eastAsia="zh-CN"/>
              </w:rPr>
              <w:t>1</w:t>
            </w:r>
          </w:p>
        </w:tc>
        <w:tc>
          <w:tcPr>
            <w:tcW w:w="1364" w:type="dxa"/>
            <w:tcBorders>
              <w:top w:val="nil"/>
              <w:bottom w:val="single" w:sz="4" w:space="0" w:color="auto"/>
            </w:tcBorders>
          </w:tcPr>
          <w:p w:rsidR="00DD30B9" w:rsidRPr="00DD30B9" w:rsidRDefault="00DD30B9" w:rsidP="00B90E53">
            <w:pPr>
              <w:adjustRightInd w:val="0"/>
              <w:snapToGrid w:val="0"/>
              <w:spacing w:line="360" w:lineRule="auto"/>
              <w:jc w:val="both"/>
              <w:rPr>
                <w:rFonts w:ascii="Book Antiqua" w:hAnsi="Book Antiqua"/>
                <w:b/>
              </w:rPr>
            </w:pPr>
            <w:r w:rsidRPr="00DD30B9">
              <w:rPr>
                <w:rFonts w:ascii="Book Antiqua" w:hAnsi="Book Antiqua"/>
                <w:b/>
              </w:rPr>
              <w:t xml:space="preserve">number </w:t>
            </w:r>
          </w:p>
        </w:tc>
        <w:tc>
          <w:tcPr>
            <w:tcW w:w="1188" w:type="dxa"/>
            <w:tcBorders>
              <w:top w:val="nil"/>
              <w:bottom w:val="single" w:sz="4" w:space="0" w:color="auto"/>
            </w:tcBorders>
          </w:tcPr>
          <w:p w:rsidR="00DD30B9" w:rsidRPr="00DD30B9" w:rsidRDefault="00A602C3" w:rsidP="00B90E53">
            <w:pPr>
              <w:adjustRightInd w:val="0"/>
              <w:snapToGrid w:val="0"/>
              <w:spacing w:line="360" w:lineRule="auto"/>
              <w:jc w:val="both"/>
              <w:rPr>
                <w:rFonts w:ascii="Book Antiqua" w:hAnsi="Book Antiqua"/>
                <w:b/>
                <w:lang w:eastAsia="zh-CN"/>
              </w:rPr>
            </w:pPr>
            <w:r w:rsidRPr="00DD30B9">
              <w:rPr>
                <w:rFonts w:ascii="Book Antiqua" w:hAnsi="Book Antiqua" w:hint="eastAsia"/>
                <w:b/>
                <w:lang w:eastAsia="zh-CN"/>
              </w:rPr>
              <w:t>Age</w:t>
            </w:r>
            <w:r w:rsidRPr="00A602C3">
              <w:rPr>
                <w:rFonts w:ascii="Book Antiqua" w:hAnsi="Book Antiqua" w:hint="eastAsia"/>
                <w:b/>
                <w:caps/>
                <w:vertAlign w:val="superscript"/>
                <w:lang w:eastAsia="zh-CN"/>
              </w:rPr>
              <w:t>1</w:t>
            </w:r>
          </w:p>
        </w:tc>
        <w:tc>
          <w:tcPr>
            <w:tcW w:w="2410" w:type="dxa"/>
            <w:vMerge/>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b/>
              </w:rPr>
            </w:pPr>
          </w:p>
        </w:tc>
      </w:tr>
      <w:tr w:rsidR="00DD30B9" w:rsidRPr="00700A64" w:rsidTr="00A602C3">
        <w:tc>
          <w:tcPr>
            <w:tcW w:w="1930" w:type="dxa"/>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Celiac disease (CD)</w:t>
            </w:r>
          </w:p>
        </w:tc>
        <w:tc>
          <w:tcPr>
            <w:tcW w:w="1439" w:type="dxa"/>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18</w:t>
            </w:r>
          </w:p>
        </w:tc>
        <w:tc>
          <w:tcPr>
            <w:tcW w:w="1274" w:type="dxa"/>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9.9</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10.7</w:t>
            </w:r>
          </w:p>
        </w:tc>
        <w:tc>
          <w:tcPr>
            <w:tcW w:w="1560" w:type="dxa"/>
            <w:gridSpan w:val="2"/>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lang w:eastAsia="zh-CN"/>
              </w:rPr>
            </w:pPr>
            <w:r w:rsidRPr="00700A64">
              <w:rPr>
                <w:rFonts w:ascii="Book Antiqua" w:hAnsi="Book Antiqua"/>
              </w:rPr>
              <w:t>5 (28)</w:t>
            </w:r>
            <w:r w:rsidR="00A602C3">
              <w:rPr>
                <w:rFonts w:ascii="Book Antiqua" w:hAnsi="Book Antiqua" w:hint="eastAsia"/>
                <w:vertAlign w:val="superscript"/>
                <w:lang w:eastAsia="zh-CN"/>
              </w:rPr>
              <w:t>b</w:t>
            </w:r>
          </w:p>
        </w:tc>
        <w:tc>
          <w:tcPr>
            <w:tcW w:w="1134" w:type="dxa"/>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8.3</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3.1</w:t>
            </w:r>
          </w:p>
        </w:tc>
        <w:tc>
          <w:tcPr>
            <w:tcW w:w="1364" w:type="dxa"/>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lang w:eastAsia="zh-CN"/>
              </w:rPr>
            </w:pPr>
            <w:r w:rsidRPr="00700A64">
              <w:rPr>
                <w:rFonts w:ascii="Book Antiqua" w:hAnsi="Book Antiqua"/>
              </w:rPr>
              <w:t>13 (72)</w:t>
            </w:r>
            <w:r w:rsidR="00A602C3">
              <w:rPr>
                <w:rFonts w:ascii="Book Antiqua" w:hAnsi="Book Antiqua" w:hint="eastAsia"/>
                <w:vertAlign w:val="superscript"/>
                <w:lang w:eastAsia="zh-CN"/>
              </w:rPr>
              <w:t>b</w:t>
            </w:r>
          </w:p>
        </w:tc>
        <w:tc>
          <w:tcPr>
            <w:tcW w:w="1188" w:type="dxa"/>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10.5</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12.5</w:t>
            </w:r>
          </w:p>
        </w:tc>
        <w:tc>
          <w:tcPr>
            <w:tcW w:w="2410" w:type="dxa"/>
            <w:tcBorders>
              <w:top w:val="single" w:sz="4" w:space="0" w:color="auto"/>
            </w:tcBorders>
          </w:tcPr>
          <w:p w:rsidR="00DD30B9" w:rsidRPr="00700A64" w:rsidRDefault="00DD30B9" w:rsidP="00B90E53">
            <w:pPr>
              <w:adjustRightInd w:val="0"/>
              <w:snapToGrid w:val="0"/>
              <w:spacing w:line="360" w:lineRule="auto"/>
              <w:jc w:val="both"/>
              <w:rPr>
                <w:rFonts w:ascii="Book Antiqua" w:hAnsi="Book Antiqua"/>
                <w:lang w:eastAsia="zh-CN"/>
              </w:rPr>
            </w:pPr>
            <w:r w:rsidRPr="00700A64">
              <w:rPr>
                <w:rFonts w:ascii="Book Antiqua" w:hAnsi="Book Antiqua"/>
              </w:rPr>
              <w:t>18/18</w:t>
            </w:r>
            <w:r w:rsidR="00A602C3">
              <w:rPr>
                <w:rFonts w:ascii="Book Antiqua" w:hAnsi="Book Antiqua" w:hint="eastAsia"/>
                <w:vertAlign w:val="superscript"/>
                <w:lang w:eastAsia="zh-CN"/>
              </w:rPr>
              <w:t>b</w:t>
            </w:r>
          </w:p>
        </w:tc>
      </w:tr>
      <w:tr w:rsidR="00DD30B9" w:rsidRPr="00700A64" w:rsidTr="00A602C3">
        <w:tc>
          <w:tcPr>
            <w:tcW w:w="1930"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CD with T1D</w:t>
            </w:r>
          </w:p>
        </w:tc>
        <w:tc>
          <w:tcPr>
            <w:tcW w:w="1439"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15</w:t>
            </w:r>
          </w:p>
        </w:tc>
        <w:tc>
          <w:tcPr>
            <w:tcW w:w="127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8.5</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3.7</w:t>
            </w:r>
          </w:p>
        </w:tc>
        <w:tc>
          <w:tcPr>
            <w:tcW w:w="1560" w:type="dxa"/>
            <w:gridSpan w:val="2"/>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8 (53)</w:t>
            </w:r>
          </w:p>
        </w:tc>
        <w:tc>
          <w:tcPr>
            <w:tcW w:w="113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8.6</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4.8</w:t>
            </w:r>
          </w:p>
        </w:tc>
        <w:tc>
          <w:tcPr>
            <w:tcW w:w="136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7 (47)</w:t>
            </w:r>
          </w:p>
        </w:tc>
        <w:tc>
          <w:tcPr>
            <w:tcW w:w="1188"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8.5</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2.1</w:t>
            </w:r>
          </w:p>
        </w:tc>
        <w:tc>
          <w:tcPr>
            <w:tcW w:w="2410"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11/11</w:t>
            </w:r>
          </w:p>
        </w:tc>
      </w:tr>
      <w:tr w:rsidR="00DD30B9" w:rsidRPr="00700A64" w:rsidTr="00A602C3">
        <w:tc>
          <w:tcPr>
            <w:tcW w:w="1930"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T1D</w:t>
            </w:r>
          </w:p>
        </w:tc>
        <w:tc>
          <w:tcPr>
            <w:tcW w:w="1439"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2</w:t>
            </w:r>
          </w:p>
        </w:tc>
        <w:tc>
          <w:tcPr>
            <w:tcW w:w="127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8.5</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6.4</w:t>
            </w:r>
          </w:p>
        </w:tc>
        <w:tc>
          <w:tcPr>
            <w:tcW w:w="1560" w:type="dxa"/>
            <w:gridSpan w:val="2"/>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2 (100)</w:t>
            </w:r>
          </w:p>
        </w:tc>
        <w:tc>
          <w:tcPr>
            <w:tcW w:w="113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8.5</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6.4</w:t>
            </w:r>
          </w:p>
        </w:tc>
        <w:tc>
          <w:tcPr>
            <w:tcW w:w="136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0</w:t>
            </w:r>
          </w:p>
        </w:tc>
        <w:tc>
          <w:tcPr>
            <w:tcW w:w="1188"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w:t>
            </w:r>
          </w:p>
        </w:tc>
        <w:tc>
          <w:tcPr>
            <w:tcW w:w="2410"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0/2</w:t>
            </w:r>
          </w:p>
        </w:tc>
      </w:tr>
      <w:tr w:rsidR="00DD30B9" w:rsidRPr="00700A64" w:rsidTr="00A602C3">
        <w:tc>
          <w:tcPr>
            <w:tcW w:w="1930"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Control group</w:t>
            </w:r>
          </w:p>
        </w:tc>
        <w:tc>
          <w:tcPr>
            <w:tcW w:w="1439"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39</w:t>
            </w:r>
          </w:p>
        </w:tc>
        <w:tc>
          <w:tcPr>
            <w:tcW w:w="127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12.8</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4.9</w:t>
            </w:r>
          </w:p>
        </w:tc>
        <w:tc>
          <w:tcPr>
            <w:tcW w:w="1560" w:type="dxa"/>
            <w:gridSpan w:val="2"/>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14 (36)</w:t>
            </w:r>
            <w:r w:rsidRPr="00700A64">
              <w:rPr>
                <w:rFonts w:ascii="Book Antiqua" w:hAnsi="Book Antiqua"/>
                <w:vertAlign w:val="superscript"/>
              </w:rPr>
              <w:t>b</w:t>
            </w:r>
          </w:p>
        </w:tc>
        <w:tc>
          <w:tcPr>
            <w:tcW w:w="113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11.4</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5.9</w:t>
            </w:r>
          </w:p>
        </w:tc>
        <w:tc>
          <w:tcPr>
            <w:tcW w:w="1364"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25 (64)</w:t>
            </w:r>
            <w:r w:rsidRPr="00700A64">
              <w:rPr>
                <w:rFonts w:ascii="Book Antiqua" w:hAnsi="Book Antiqua"/>
                <w:vertAlign w:val="superscript"/>
              </w:rPr>
              <w:t>b</w:t>
            </w:r>
          </w:p>
        </w:tc>
        <w:tc>
          <w:tcPr>
            <w:tcW w:w="1188" w:type="dxa"/>
            <w:tcBorders>
              <w:top w:val="nil"/>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13.5</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4.3</w:t>
            </w:r>
          </w:p>
        </w:tc>
        <w:tc>
          <w:tcPr>
            <w:tcW w:w="2410" w:type="dxa"/>
            <w:tcBorders>
              <w:top w:val="nil"/>
            </w:tcBorders>
          </w:tcPr>
          <w:p w:rsidR="00DD30B9" w:rsidRPr="00700A64" w:rsidRDefault="00DD30B9" w:rsidP="00B90E53">
            <w:pPr>
              <w:adjustRightInd w:val="0"/>
              <w:snapToGrid w:val="0"/>
              <w:spacing w:line="360" w:lineRule="auto"/>
              <w:jc w:val="both"/>
              <w:rPr>
                <w:rFonts w:ascii="Book Antiqua" w:hAnsi="Book Antiqua"/>
                <w:lang w:eastAsia="zh-CN"/>
              </w:rPr>
            </w:pPr>
            <w:r w:rsidRPr="00700A64">
              <w:rPr>
                <w:rFonts w:ascii="Book Antiqua" w:hAnsi="Book Antiqua"/>
              </w:rPr>
              <w:t>2/35</w:t>
            </w:r>
            <w:r w:rsidR="00A602C3">
              <w:rPr>
                <w:rFonts w:ascii="Book Antiqua" w:hAnsi="Book Antiqua" w:hint="eastAsia"/>
                <w:vertAlign w:val="superscript"/>
                <w:lang w:eastAsia="zh-CN"/>
              </w:rPr>
              <w:t>b</w:t>
            </w:r>
          </w:p>
        </w:tc>
      </w:tr>
      <w:tr w:rsidR="00DD30B9" w:rsidRPr="00700A64" w:rsidTr="00A602C3">
        <w:tc>
          <w:tcPr>
            <w:tcW w:w="1930" w:type="dxa"/>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Total</w:t>
            </w:r>
          </w:p>
        </w:tc>
        <w:tc>
          <w:tcPr>
            <w:tcW w:w="1439" w:type="dxa"/>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74</w:t>
            </w:r>
          </w:p>
        </w:tc>
        <w:tc>
          <w:tcPr>
            <w:tcW w:w="1274" w:type="dxa"/>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11.1</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6.8</w:t>
            </w:r>
          </w:p>
        </w:tc>
        <w:tc>
          <w:tcPr>
            <w:tcW w:w="1560" w:type="dxa"/>
            <w:gridSpan w:val="2"/>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lang w:eastAsia="zh-CN"/>
              </w:rPr>
            </w:pPr>
            <w:r w:rsidRPr="00700A64">
              <w:rPr>
                <w:rFonts w:ascii="Book Antiqua" w:hAnsi="Book Antiqua"/>
              </w:rPr>
              <w:t>29 (39)</w:t>
            </w:r>
            <w:r w:rsidR="00A602C3">
              <w:rPr>
                <w:rFonts w:ascii="Book Antiqua" w:hAnsi="Book Antiqua" w:hint="eastAsia"/>
                <w:vertAlign w:val="superscript"/>
                <w:lang w:eastAsia="zh-CN"/>
              </w:rPr>
              <w:t>b</w:t>
            </w:r>
          </w:p>
        </w:tc>
        <w:tc>
          <w:tcPr>
            <w:tcW w:w="1134" w:type="dxa"/>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9.9</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5.2</w:t>
            </w:r>
          </w:p>
        </w:tc>
        <w:tc>
          <w:tcPr>
            <w:tcW w:w="1364" w:type="dxa"/>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lang w:eastAsia="zh-CN"/>
              </w:rPr>
            </w:pPr>
            <w:r w:rsidRPr="00700A64">
              <w:rPr>
                <w:rFonts w:ascii="Book Antiqua" w:hAnsi="Book Antiqua"/>
              </w:rPr>
              <w:t>45 (61)</w:t>
            </w:r>
            <w:r w:rsidR="00A602C3">
              <w:rPr>
                <w:rFonts w:ascii="Book Antiqua" w:hAnsi="Book Antiqua" w:hint="eastAsia"/>
                <w:vertAlign w:val="superscript"/>
                <w:lang w:eastAsia="zh-CN"/>
              </w:rPr>
              <w:t>b</w:t>
            </w:r>
          </w:p>
        </w:tc>
        <w:tc>
          <w:tcPr>
            <w:tcW w:w="1188" w:type="dxa"/>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11.9</w:t>
            </w:r>
            <w:r>
              <w:rPr>
                <w:rFonts w:ascii="Book Antiqua" w:hAnsi="Book Antiqua" w:hint="eastAsia"/>
                <w:lang w:eastAsia="zh-CN"/>
              </w:rPr>
              <w:t xml:space="preserve"> </w:t>
            </w:r>
            <w:r w:rsidRPr="00700A64">
              <w:rPr>
                <w:rFonts w:ascii="Book Antiqua" w:hAnsi="Book Antiqua"/>
              </w:rPr>
              <w:sym w:font="Symbol" w:char="F0B1"/>
            </w:r>
            <w:r>
              <w:rPr>
                <w:rFonts w:ascii="Book Antiqua" w:hAnsi="Book Antiqua" w:hint="eastAsia"/>
                <w:lang w:eastAsia="zh-CN"/>
              </w:rPr>
              <w:t xml:space="preserve"> </w:t>
            </w:r>
            <w:r w:rsidRPr="00700A64">
              <w:rPr>
                <w:rFonts w:ascii="Book Antiqua" w:hAnsi="Book Antiqua"/>
              </w:rPr>
              <w:t>7.6</w:t>
            </w:r>
          </w:p>
        </w:tc>
        <w:tc>
          <w:tcPr>
            <w:tcW w:w="2410" w:type="dxa"/>
            <w:tcBorders>
              <w:top w:val="nil"/>
              <w:bottom w:val="single" w:sz="4" w:space="0" w:color="auto"/>
            </w:tcBorders>
          </w:tcPr>
          <w:p w:rsidR="00DD30B9" w:rsidRPr="00700A64" w:rsidRDefault="00DD30B9" w:rsidP="00B90E53">
            <w:pPr>
              <w:adjustRightInd w:val="0"/>
              <w:snapToGrid w:val="0"/>
              <w:spacing w:line="360" w:lineRule="auto"/>
              <w:jc w:val="both"/>
              <w:rPr>
                <w:rFonts w:ascii="Book Antiqua" w:hAnsi="Book Antiqua"/>
              </w:rPr>
            </w:pPr>
            <w:r w:rsidRPr="00700A64">
              <w:rPr>
                <w:rFonts w:ascii="Book Antiqua" w:hAnsi="Book Antiqua"/>
              </w:rPr>
              <w:t>31/66</w:t>
            </w:r>
          </w:p>
        </w:tc>
      </w:tr>
    </w:tbl>
    <w:p w:rsidR="00A70179" w:rsidRPr="00700A64" w:rsidRDefault="00A602C3" w:rsidP="00B90E53">
      <w:pPr>
        <w:adjustRightInd w:val="0"/>
        <w:snapToGrid w:val="0"/>
        <w:spacing w:line="360" w:lineRule="auto"/>
        <w:jc w:val="both"/>
        <w:rPr>
          <w:rFonts w:ascii="Book Antiqua" w:hAnsi="Book Antiqua"/>
          <w:lang w:eastAsia="zh-CN"/>
        </w:rPr>
      </w:pPr>
      <w:r w:rsidRPr="00A602C3">
        <w:rPr>
          <w:rFonts w:ascii="Book Antiqua" w:hAnsi="Book Antiqua" w:hint="eastAsia"/>
          <w:caps/>
          <w:vertAlign w:val="superscript"/>
          <w:lang w:eastAsia="zh-CN"/>
        </w:rPr>
        <w:t>1</w:t>
      </w:r>
      <w:r>
        <w:rPr>
          <w:rFonts w:ascii="Book Antiqua" w:hAnsi="Book Antiqua" w:hint="eastAsia"/>
          <w:lang w:eastAsia="zh-CN"/>
        </w:rPr>
        <w:t>Value is the</w:t>
      </w:r>
      <w:r w:rsidRPr="00A602C3">
        <w:rPr>
          <w:rFonts w:ascii="Book Antiqua" w:hAnsi="Book Antiqua" w:hint="eastAsia"/>
          <w:lang w:eastAsia="zh-CN"/>
        </w:rPr>
        <w:t xml:space="preserve"> </w:t>
      </w:r>
      <w:r w:rsidRPr="00A602C3">
        <w:rPr>
          <w:rFonts w:ascii="Book Antiqua" w:hAnsi="Book Antiqua"/>
        </w:rPr>
        <w:t xml:space="preserve">mean </w:t>
      </w:r>
      <w:r w:rsidRPr="00A602C3">
        <w:rPr>
          <w:rFonts w:ascii="Book Antiqua" w:hAnsi="Book Antiqua"/>
        </w:rPr>
        <w:sym w:font="Symbol" w:char="F0B1"/>
      </w:r>
      <w:r w:rsidRPr="00A602C3">
        <w:rPr>
          <w:rFonts w:ascii="Book Antiqua" w:hAnsi="Book Antiqua"/>
        </w:rPr>
        <w:t xml:space="preserve"> SD</w:t>
      </w:r>
      <w:r>
        <w:rPr>
          <w:rFonts w:ascii="Book Antiqua" w:hAnsi="Book Antiqua" w:hint="eastAsia"/>
          <w:lang w:eastAsia="zh-CN"/>
        </w:rPr>
        <w:t xml:space="preserve">. </w:t>
      </w:r>
      <w:r w:rsidRPr="00A602C3">
        <w:rPr>
          <w:rFonts w:ascii="Book Antiqua" w:hAnsi="Book Antiqua" w:hint="eastAsia"/>
          <w:vertAlign w:val="superscript"/>
          <w:lang w:eastAsia="zh-CN"/>
        </w:rPr>
        <w:t>b</w:t>
      </w:r>
      <w:r>
        <w:rPr>
          <w:rFonts w:ascii="Book Antiqua" w:hAnsi="Book Antiqua" w:hint="eastAsia"/>
          <w:i/>
          <w:lang w:eastAsia="zh-CN"/>
        </w:rPr>
        <w:t xml:space="preserve">P </w:t>
      </w:r>
      <w:r w:rsidRPr="00A602C3">
        <w:rPr>
          <w:rFonts w:ascii="Book Antiqua" w:hAnsi="Book Antiqua"/>
          <w:i/>
          <w:lang w:eastAsia="zh-CN"/>
        </w:rPr>
        <w:t xml:space="preserve">≤ </w:t>
      </w:r>
      <w:r w:rsidR="00F94270" w:rsidRPr="00700A64">
        <w:rPr>
          <w:rFonts w:ascii="Book Antiqua" w:hAnsi="Book Antiqua"/>
          <w:i/>
        </w:rPr>
        <w:t xml:space="preserve"> </w:t>
      </w:r>
      <w:r w:rsidR="00A70179" w:rsidRPr="00700A64">
        <w:rPr>
          <w:rFonts w:ascii="Book Antiqua" w:hAnsi="Book Antiqua"/>
        </w:rPr>
        <w:t>0.01</w:t>
      </w:r>
      <w:r>
        <w:rPr>
          <w:rFonts w:ascii="Book Antiqua" w:hAnsi="Book Antiqua" w:hint="eastAsia"/>
          <w:lang w:eastAsia="zh-CN"/>
        </w:rPr>
        <w:t xml:space="preserve">, </w:t>
      </w:r>
      <w:r w:rsidRPr="00A602C3">
        <w:rPr>
          <w:rFonts w:ascii="Book Antiqua" w:hAnsi="Book Antiqua"/>
        </w:rPr>
        <w:t>study group</w:t>
      </w:r>
      <w:r w:rsidRPr="00A602C3">
        <w:rPr>
          <w:rFonts w:ascii="Book Antiqua" w:hAnsi="Book Antiqua" w:hint="eastAsia"/>
          <w:lang w:eastAsia="zh-CN"/>
        </w:rPr>
        <w:t xml:space="preserve"> </w:t>
      </w:r>
      <w:r w:rsidRPr="00A602C3">
        <w:rPr>
          <w:rFonts w:ascii="Book Antiqua" w:hAnsi="Book Antiqua" w:hint="eastAsia"/>
          <w:i/>
          <w:lang w:eastAsia="zh-CN"/>
        </w:rPr>
        <w:t xml:space="preserve">vs </w:t>
      </w:r>
      <w:r w:rsidRPr="00A602C3">
        <w:rPr>
          <w:rFonts w:ascii="Book Antiqua" w:hAnsi="Book Antiqua" w:hint="eastAsia"/>
          <w:lang w:eastAsia="zh-CN"/>
        </w:rPr>
        <w:t xml:space="preserve">control group. </w:t>
      </w:r>
    </w:p>
    <w:p w:rsidR="00A70179" w:rsidRPr="00700A64" w:rsidRDefault="00A70179" w:rsidP="00B90E53">
      <w:pPr>
        <w:adjustRightInd w:val="0"/>
        <w:snapToGrid w:val="0"/>
        <w:spacing w:line="360" w:lineRule="auto"/>
        <w:jc w:val="both"/>
        <w:rPr>
          <w:rFonts w:ascii="Book Antiqua" w:hAnsi="Book Antiqua"/>
          <w:b/>
        </w:rPr>
      </w:pPr>
      <w:r w:rsidRPr="00700A64">
        <w:rPr>
          <w:rFonts w:ascii="Book Antiqua" w:hAnsi="Book Antiqua"/>
        </w:rPr>
        <w:br w:type="page"/>
      </w:r>
      <w:r w:rsidRPr="00700A64">
        <w:rPr>
          <w:rFonts w:ascii="Book Antiqua" w:hAnsi="Book Antiqua"/>
          <w:b/>
        </w:rPr>
        <w:lastRenderedPageBreak/>
        <w:t xml:space="preserve">Table 2 </w:t>
      </w:r>
      <w:r w:rsidR="00405DE3" w:rsidRPr="00405DE3">
        <w:rPr>
          <w:rFonts w:ascii="Book Antiqua" w:hAnsi="Book Antiqua"/>
          <w:b/>
          <w:caps/>
        </w:rPr>
        <w:t>a</w:t>
      </w:r>
      <w:r w:rsidR="00405DE3" w:rsidRPr="00405DE3">
        <w:rPr>
          <w:rFonts w:ascii="Book Antiqua" w:hAnsi="Book Antiqua"/>
          <w:b/>
        </w:rPr>
        <w:t xml:space="preserve">reas under the curve </w:t>
      </w:r>
      <w:r w:rsidRPr="00700A64">
        <w:rPr>
          <w:rFonts w:ascii="Book Antiqua" w:hAnsi="Book Antiqua"/>
          <w:b/>
        </w:rPr>
        <w:t>values</w:t>
      </w:r>
      <w:r w:rsidR="00C8170D" w:rsidRPr="00700A64">
        <w:rPr>
          <w:rFonts w:ascii="Book Antiqua" w:hAnsi="Book Antiqua"/>
          <w:b/>
        </w:rPr>
        <w:t xml:space="preserve"> and the</w:t>
      </w:r>
      <w:r w:rsidRPr="00700A64">
        <w:rPr>
          <w:rFonts w:ascii="Book Antiqua" w:hAnsi="Book Antiqua"/>
          <w:b/>
        </w:rPr>
        <w:t xml:space="preserve"> cut-off, sensitivity and specificity values for different </w:t>
      </w:r>
      <w:r w:rsidR="004519B9" w:rsidRPr="00700A64">
        <w:rPr>
          <w:rFonts w:ascii="Book Antiqua" w:hAnsi="Book Antiqua"/>
          <w:b/>
          <w:bCs/>
        </w:rPr>
        <w:t>dendritic cell</w:t>
      </w:r>
      <w:r w:rsidR="004519B9">
        <w:rPr>
          <w:rFonts w:ascii="Book Antiqua" w:hAnsi="Book Antiqua" w:hint="eastAsia"/>
          <w:b/>
          <w:bCs/>
          <w:lang w:eastAsia="zh-CN"/>
        </w:rPr>
        <w:t xml:space="preserve">s </w:t>
      </w:r>
      <w:r w:rsidRPr="00700A64">
        <w:rPr>
          <w:rFonts w:ascii="Book Antiqua" w:hAnsi="Book Antiqua"/>
          <w:b/>
        </w:rPr>
        <w:t>and Treg</w:t>
      </w:r>
      <w:r w:rsidR="001F7C8C" w:rsidRPr="00700A64">
        <w:rPr>
          <w:rFonts w:ascii="Book Antiqua" w:hAnsi="Book Antiqua"/>
          <w:b/>
        </w:rPr>
        <w:t>s</w:t>
      </w:r>
      <w:r w:rsidRPr="00700A64">
        <w:rPr>
          <w:rFonts w:ascii="Book Antiqua" w:hAnsi="Book Antiqua"/>
          <w:b/>
        </w:rPr>
        <w:t xml:space="preserve"> markers in the group</w:t>
      </w:r>
      <w:r w:rsidR="0092091E" w:rsidRPr="00700A64">
        <w:rPr>
          <w:rFonts w:ascii="Book Antiqua" w:hAnsi="Book Antiqua"/>
          <w:b/>
        </w:rPr>
        <w:t>s</w:t>
      </w:r>
      <w:r w:rsidRPr="00700A64">
        <w:rPr>
          <w:rFonts w:ascii="Book Antiqua" w:hAnsi="Book Antiqua"/>
          <w:b/>
        </w:rPr>
        <w:t xml:space="preserve"> studied  </w:t>
      </w:r>
    </w:p>
    <w:p w:rsidR="00C95F9E" w:rsidRPr="00700A64" w:rsidRDefault="00C95F9E" w:rsidP="00B90E53">
      <w:pPr>
        <w:adjustRightInd w:val="0"/>
        <w:snapToGrid w:val="0"/>
        <w:spacing w:line="360" w:lineRule="auto"/>
        <w:jc w:val="both"/>
        <w:rPr>
          <w:rFonts w:ascii="Book Antiqua" w:hAnsi="Book Antiqua"/>
        </w:rPr>
      </w:pPr>
    </w:p>
    <w:tbl>
      <w:tblPr>
        <w:tblW w:w="13362" w:type="dxa"/>
        <w:tblBorders>
          <w:top w:val="single" w:sz="4" w:space="0" w:color="auto"/>
          <w:bottom w:val="single" w:sz="4" w:space="0" w:color="auto"/>
        </w:tblBorders>
        <w:tblLayout w:type="fixed"/>
        <w:tblLook w:val="00A0" w:firstRow="1" w:lastRow="0" w:firstColumn="1" w:lastColumn="0" w:noHBand="0" w:noVBand="0"/>
      </w:tblPr>
      <w:tblGrid>
        <w:gridCol w:w="1487"/>
        <w:gridCol w:w="719"/>
        <w:gridCol w:w="1092"/>
        <w:gridCol w:w="1276"/>
        <w:gridCol w:w="1134"/>
        <w:gridCol w:w="673"/>
        <w:gridCol w:w="858"/>
        <w:gridCol w:w="1160"/>
        <w:gridCol w:w="1146"/>
        <w:gridCol w:w="610"/>
        <w:gridCol w:w="826"/>
        <w:gridCol w:w="1160"/>
        <w:gridCol w:w="1221"/>
      </w:tblGrid>
      <w:tr w:rsidR="00405DE3" w:rsidRPr="00405DE3" w:rsidTr="00405DE3">
        <w:tc>
          <w:tcPr>
            <w:tcW w:w="1487" w:type="dxa"/>
            <w:vMerge w:val="restart"/>
            <w:tcBorders>
              <w:top w:val="single" w:sz="4" w:space="0" w:color="auto"/>
            </w:tcBorders>
          </w:tcPr>
          <w:p w:rsidR="00405DE3" w:rsidRPr="00405DE3" w:rsidRDefault="00405DE3" w:rsidP="00B90E53">
            <w:pPr>
              <w:adjustRightInd w:val="0"/>
              <w:snapToGrid w:val="0"/>
              <w:spacing w:line="360" w:lineRule="auto"/>
              <w:jc w:val="both"/>
              <w:rPr>
                <w:rFonts w:ascii="Book Antiqua" w:hAnsi="Book Antiqua"/>
                <w:b/>
              </w:rPr>
            </w:pPr>
            <w:r w:rsidRPr="00405DE3">
              <w:rPr>
                <w:rFonts w:ascii="Book Antiqua" w:hAnsi="Book Antiqua"/>
                <w:b/>
              </w:rPr>
              <w:t>Markers</w:t>
            </w:r>
          </w:p>
        </w:tc>
        <w:tc>
          <w:tcPr>
            <w:tcW w:w="4221" w:type="dxa"/>
            <w:gridSpan w:val="4"/>
            <w:tcBorders>
              <w:top w:val="single" w:sz="4" w:space="0" w:color="auto"/>
              <w:bottom w:val="single" w:sz="4" w:space="0" w:color="auto"/>
            </w:tcBorders>
          </w:tcPr>
          <w:p w:rsidR="00405DE3" w:rsidRPr="00405DE3" w:rsidRDefault="00405DE3" w:rsidP="00B90E53">
            <w:pPr>
              <w:adjustRightInd w:val="0"/>
              <w:snapToGrid w:val="0"/>
              <w:spacing w:line="360" w:lineRule="auto"/>
              <w:jc w:val="both"/>
              <w:rPr>
                <w:rFonts w:ascii="Book Antiqua" w:hAnsi="Book Antiqua"/>
                <w:b/>
              </w:rPr>
            </w:pPr>
            <w:r w:rsidRPr="00405DE3">
              <w:rPr>
                <w:rFonts w:ascii="Book Antiqua" w:hAnsi="Book Antiqua"/>
                <w:b/>
              </w:rPr>
              <w:t>Entire study group</w:t>
            </w:r>
          </w:p>
        </w:tc>
        <w:tc>
          <w:tcPr>
            <w:tcW w:w="3837" w:type="dxa"/>
            <w:gridSpan w:val="4"/>
            <w:tcBorders>
              <w:top w:val="single" w:sz="4" w:space="0" w:color="auto"/>
              <w:bottom w:val="single" w:sz="4" w:space="0" w:color="auto"/>
            </w:tcBorders>
          </w:tcPr>
          <w:p w:rsidR="00405DE3" w:rsidRPr="00405DE3" w:rsidRDefault="00405DE3" w:rsidP="00B90E53">
            <w:pPr>
              <w:adjustRightInd w:val="0"/>
              <w:snapToGrid w:val="0"/>
              <w:spacing w:line="360" w:lineRule="auto"/>
              <w:jc w:val="both"/>
              <w:rPr>
                <w:rFonts w:ascii="Book Antiqua" w:hAnsi="Book Antiqua"/>
                <w:b/>
              </w:rPr>
            </w:pPr>
            <w:r w:rsidRPr="00405DE3">
              <w:rPr>
                <w:rFonts w:ascii="Book Antiqua" w:hAnsi="Book Antiqua"/>
                <w:b/>
              </w:rPr>
              <w:t>Patients with CD</w:t>
            </w:r>
          </w:p>
        </w:tc>
        <w:tc>
          <w:tcPr>
            <w:tcW w:w="3817" w:type="dxa"/>
            <w:gridSpan w:val="4"/>
            <w:tcBorders>
              <w:top w:val="single" w:sz="4" w:space="0" w:color="auto"/>
              <w:bottom w:val="single" w:sz="4" w:space="0" w:color="auto"/>
            </w:tcBorders>
          </w:tcPr>
          <w:p w:rsidR="00405DE3" w:rsidRPr="00405DE3" w:rsidRDefault="00405DE3" w:rsidP="00B90E53">
            <w:pPr>
              <w:adjustRightInd w:val="0"/>
              <w:snapToGrid w:val="0"/>
              <w:spacing w:line="360" w:lineRule="auto"/>
              <w:jc w:val="both"/>
              <w:rPr>
                <w:rFonts w:ascii="Book Antiqua" w:hAnsi="Book Antiqua"/>
                <w:b/>
              </w:rPr>
            </w:pPr>
            <w:r w:rsidRPr="00405DE3">
              <w:rPr>
                <w:rFonts w:ascii="Book Antiqua" w:hAnsi="Book Antiqua"/>
                <w:b/>
              </w:rPr>
              <w:t>Patients with CD and T1D</w:t>
            </w:r>
          </w:p>
        </w:tc>
      </w:tr>
      <w:tr w:rsidR="00405DE3" w:rsidRPr="00700A64" w:rsidTr="00405DE3">
        <w:tc>
          <w:tcPr>
            <w:tcW w:w="1487" w:type="dxa"/>
            <w:vMerge/>
            <w:tcBorders>
              <w:bottom w:val="single" w:sz="4" w:space="0" w:color="auto"/>
            </w:tcBorders>
          </w:tcPr>
          <w:p w:rsidR="00405DE3" w:rsidRPr="00700A64" w:rsidRDefault="00405DE3" w:rsidP="00B90E53">
            <w:pPr>
              <w:adjustRightInd w:val="0"/>
              <w:snapToGrid w:val="0"/>
              <w:spacing w:line="360" w:lineRule="auto"/>
              <w:jc w:val="both"/>
              <w:rPr>
                <w:rFonts w:ascii="Book Antiqua" w:hAnsi="Book Antiqua"/>
                <w:b/>
              </w:rPr>
            </w:pPr>
          </w:p>
        </w:tc>
        <w:tc>
          <w:tcPr>
            <w:tcW w:w="719"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AUC</w:t>
            </w:r>
          </w:p>
        </w:tc>
        <w:tc>
          <w:tcPr>
            <w:tcW w:w="1092"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Cut-off</w:t>
            </w:r>
          </w:p>
        </w:tc>
        <w:tc>
          <w:tcPr>
            <w:tcW w:w="1276"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Sensitivity</w:t>
            </w:r>
          </w:p>
        </w:tc>
        <w:tc>
          <w:tcPr>
            <w:tcW w:w="1134"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Specificity</w:t>
            </w:r>
          </w:p>
        </w:tc>
        <w:tc>
          <w:tcPr>
            <w:tcW w:w="673"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AUC</w:t>
            </w:r>
          </w:p>
        </w:tc>
        <w:tc>
          <w:tcPr>
            <w:tcW w:w="858"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Cut-off</w:t>
            </w:r>
          </w:p>
        </w:tc>
        <w:tc>
          <w:tcPr>
            <w:tcW w:w="1160"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Sensitivity</w:t>
            </w:r>
          </w:p>
        </w:tc>
        <w:tc>
          <w:tcPr>
            <w:tcW w:w="1146"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Specificity</w:t>
            </w:r>
          </w:p>
        </w:tc>
        <w:tc>
          <w:tcPr>
            <w:tcW w:w="610"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AUC</w:t>
            </w:r>
          </w:p>
        </w:tc>
        <w:tc>
          <w:tcPr>
            <w:tcW w:w="826"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Cut-off</w:t>
            </w:r>
          </w:p>
        </w:tc>
        <w:tc>
          <w:tcPr>
            <w:tcW w:w="1160"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Sensitivity</w:t>
            </w:r>
          </w:p>
        </w:tc>
        <w:tc>
          <w:tcPr>
            <w:tcW w:w="1221" w:type="dxa"/>
            <w:tcBorders>
              <w:top w:val="single" w:sz="4" w:space="0" w:color="auto"/>
              <w:bottom w:val="single" w:sz="4" w:space="0" w:color="auto"/>
            </w:tcBorders>
          </w:tcPr>
          <w:p w:rsidR="00405DE3" w:rsidRPr="00700A64" w:rsidRDefault="00405DE3" w:rsidP="00B90E53">
            <w:pPr>
              <w:adjustRightInd w:val="0"/>
              <w:snapToGrid w:val="0"/>
              <w:spacing w:line="360" w:lineRule="auto"/>
              <w:jc w:val="both"/>
              <w:rPr>
                <w:rFonts w:ascii="Book Antiqua" w:hAnsi="Book Antiqua"/>
              </w:rPr>
            </w:pPr>
            <w:r w:rsidRPr="00700A64">
              <w:rPr>
                <w:rFonts w:ascii="Book Antiqua" w:hAnsi="Book Antiqua"/>
              </w:rPr>
              <w:t>Specificity</w:t>
            </w:r>
          </w:p>
        </w:tc>
      </w:tr>
      <w:tr w:rsidR="00A70179" w:rsidRPr="00700A64" w:rsidTr="00405DE3">
        <w:tc>
          <w:tcPr>
            <w:tcW w:w="1487"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FOXP3 (paraff)</w:t>
            </w:r>
          </w:p>
        </w:tc>
        <w:tc>
          <w:tcPr>
            <w:tcW w:w="719"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0.92</w:t>
            </w:r>
          </w:p>
        </w:tc>
        <w:tc>
          <w:tcPr>
            <w:tcW w:w="1092"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4.8</w:t>
            </w:r>
          </w:p>
        </w:tc>
        <w:tc>
          <w:tcPr>
            <w:tcW w:w="1276"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0.87</w:t>
            </w:r>
          </w:p>
        </w:tc>
        <w:tc>
          <w:tcPr>
            <w:tcW w:w="1134"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0.94</w:t>
            </w:r>
          </w:p>
        </w:tc>
        <w:tc>
          <w:tcPr>
            <w:tcW w:w="673"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0.92</w:t>
            </w:r>
          </w:p>
        </w:tc>
        <w:tc>
          <w:tcPr>
            <w:tcW w:w="858"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4.8</w:t>
            </w:r>
          </w:p>
        </w:tc>
        <w:tc>
          <w:tcPr>
            <w:tcW w:w="1160"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0.88</w:t>
            </w:r>
          </w:p>
        </w:tc>
        <w:tc>
          <w:tcPr>
            <w:tcW w:w="1146"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0.94</w:t>
            </w:r>
          </w:p>
        </w:tc>
        <w:tc>
          <w:tcPr>
            <w:tcW w:w="610"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0.91</w:t>
            </w:r>
          </w:p>
        </w:tc>
        <w:tc>
          <w:tcPr>
            <w:tcW w:w="826"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5.0</w:t>
            </w:r>
          </w:p>
        </w:tc>
        <w:tc>
          <w:tcPr>
            <w:tcW w:w="1160"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0.85</w:t>
            </w:r>
          </w:p>
        </w:tc>
        <w:tc>
          <w:tcPr>
            <w:tcW w:w="1221" w:type="dxa"/>
            <w:tcBorders>
              <w:top w:val="single" w:sz="4" w:space="0" w:color="auto"/>
            </w:tcBorders>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0.94</w:t>
            </w:r>
          </w:p>
        </w:tc>
      </w:tr>
      <w:tr w:rsidR="00A70179" w:rsidRPr="00700A64" w:rsidTr="00405DE3">
        <w:tc>
          <w:tcPr>
            <w:tcW w:w="1487"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IDO (paraff)</w:t>
            </w:r>
          </w:p>
        </w:tc>
        <w:tc>
          <w:tcPr>
            <w:tcW w:w="719"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0.89</w:t>
            </w:r>
          </w:p>
        </w:tc>
        <w:tc>
          <w:tcPr>
            <w:tcW w:w="1092"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11.2</w:t>
            </w:r>
          </w:p>
        </w:tc>
        <w:tc>
          <w:tcPr>
            <w:tcW w:w="127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0.85</w:t>
            </w:r>
          </w:p>
        </w:tc>
        <w:tc>
          <w:tcPr>
            <w:tcW w:w="1134"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0.87</w:t>
            </w:r>
          </w:p>
        </w:tc>
        <w:tc>
          <w:tcPr>
            <w:tcW w:w="673"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0.88</w:t>
            </w:r>
          </w:p>
        </w:tc>
        <w:tc>
          <w:tcPr>
            <w:tcW w:w="858"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13.1</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0.81</w:t>
            </w:r>
          </w:p>
        </w:tc>
        <w:tc>
          <w:tcPr>
            <w:tcW w:w="114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0.93</w:t>
            </w:r>
          </w:p>
        </w:tc>
        <w:tc>
          <w:tcPr>
            <w:tcW w:w="61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0.91</w:t>
            </w:r>
          </w:p>
        </w:tc>
        <w:tc>
          <w:tcPr>
            <w:tcW w:w="82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11.2</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0.90</w:t>
            </w:r>
          </w:p>
        </w:tc>
        <w:tc>
          <w:tcPr>
            <w:tcW w:w="1221"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0.87</w:t>
            </w:r>
          </w:p>
        </w:tc>
      </w:tr>
      <w:tr w:rsidR="00A70179" w:rsidRPr="00700A64" w:rsidTr="00405DE3">
        <w:tc>
          <w:tcPr>
            <w:tcW w:w="1487"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CD11c (IF)</w:t>
            </w:r>
          </w:p>
        </w:tc>
        <w:tc>
          <w:tcPr>
            <w:tcW w:w="719"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0.72</w:t>
            </w:r>
          </w:p>
        </w:tc>
        <w:tc>
          <w:tcPr>
            <w:tcW w:w="1092"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10.1</w:t>
            </w:r>
          </w:p>
        </w:tc>
        <w:tc>
          <w:tcPr>
            <w:tcW w:w="127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0.55</w:t>
            </w:r>
          </w:p>
        </w:tc>
        <w:tc>
          <w:tcPr>
            <w:tcW w:w="1134"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0.92</w:t>
            </w:r>
          </w:p>
        </w:tc>
        <w:tc>
          <w:tcPr>
            <w:tcW w:w="673"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0.79</w:t>
            </w:r>
          </w:p>
        </w:tc>
        <w:tc>
          <w:tcPr>
            <w:tcW w:w="858"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10.1</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0.61</w:t>
            </w:r>
          </w:p>
        </w:tc>
        <w:tc>
          <w:tcPr>
            <w:tcW w:w="114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0.92</w:t>
            </w:r>
          </w:p>
        </w:tc>
        <w:tc>
          <w:tcPr>
            <w:tcW w:w="61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0.62</w:t>
            </w:r>
          </w:p>
        </w:tc>
        <w:tc>
          <w:tcPr>
            <w:tcW w:w="82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12.1</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0.38</w:t>
            </w:r>
          </w:p>
        </w:tc>
        <w:tc>
          <w:tcPr>
            <w:tcW w:w="1221"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1.0</w:t>
            </w:r>
          </w:p>
        </w:tc>
      </w:tr>
      <w:tr w:rsidR="00A70179" w:rsidRPr="00700A64" w:rsidTr="00405DE3">
        <w:tc>
          <w:tcPr>
            <w:tcW w:w="1487"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IDO (IF)</w:t>
            </w:r>
          </w:p>
        </w:tc>
        <w:tc>
          <w:tcPr>
            <w:tcW w:w="719"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0.70</w:t>
            </w:r>
          </w:p>
        </w:tc>
        <w:tc>
          <w:tcPr>
            <w:tcW w:w="1092"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9.7</w:t>
            </w:r>
          </w:p>
        </w:tc>
        <w:tc>
          <w:tcPr>
            <w:tcW w:w="127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0.45</w:t>
            </w:r>
          </w:p>
        </w:tc>
        <w:tc>
          <w:tcPr>
            <w:tcW w:w="1134"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0.95</w:t>
            </w:r>
          </w:p>
        </w:tc>
        <w:tc>
          <w:tcPr>
            <w:tcW w:w="673"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0.72</w:t>
            </w:r>
          </w:p>
        </w:tc>
        <w:tc>
          <w:tcPr>
            <w:tcW w:w="858"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10.1</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0.50</w:t>
            </w:r>
          </w:p>
        </w:tc>
        <w:tc>
          <w:tcPr>
            <w:tcW w:w="114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0.97</w:t>
            </w:r>
          </w:p>
        </w:tc>
        <w:tc>
          <w:tcPr>
            <w:tcW w:w="61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0.67</w:t>
            </w:r>
          </w:p>
        </w:tc>
        <w:tc>
          <w:tcPr>
            <w:tcW w:w="82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9.7</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0.39</w:t>
            </w:r>
          </w:p>
        </w:tc>
        <w:tc>
          <w:tcPr>
            <w:tcW w:w="1221"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0.95</w:t>
            </w:r>
          </w:p>
        </w:tc>
      </w:tr>
      <w:tr w:rsidR="00A70179" w:rsidRPr="00700A64" w:rsidTr="00405DE3">
        <w:tc>
          <w:tcPr>
            <w:tcW w:w="1487"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CD11c (paraff)</w:t>
            </w:r>
          </w:p>
        </w:tc>
        <w:tc>
          <w:tcPr>
            <w:tcW w:w="719"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0.70</w:t>
            </w:r>
          </w:p>
        </w:tc>
        <w:tc>
          <w:tcPr>
            <w:tcW w:w="1092"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10.6</w:t>
            </w:r>
          </w:p>
        </w:tc>
        <w:tc>
          <w:tcPr>
            <w:tcW w:w="127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0.87</w:t>
            </w:r>
          </w:p>
        </w:tc>
        <w:tc>
          <w:tcPr>
            <w:tcW w:w="1134"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0.45</w:t>
            </w:r>
          </w:p>
        </w:tc>
        <w:tc>
          <w:tcPr>
            <w:tcW w:w="673"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0.71</w:t>
            </w:r>
          </w:p>
        </w:tc>
        <w:tc>
          <w:tcPr>
            <w:tcW w:w="858"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24.8</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0.47</w:t>
            </w:r>
          </w:p>
        </w:tc>
        <w:tc>
          <w:tcPr>
            <w:tcW w:w="114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0.90</w:t>
            </w:r>
          </w:p>
        </w:tc>
        <w:tc>
          <w:tcPr>
            <w:tcW w:w="61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0.68</w:t>
            </w:r>
          </w:p>
        </w:tc>
        <w:tc>
          <w:tcPr>
            <w:tcW w:w="82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16.6</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0.62</w:t>
            </w:r>
          </w:p>
        </w:tc>
        <w:tc>
          <w:tcPr>
            <w:tcW w:w="1221"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0.71</w:t>
            </w:r>
          </w:p>
        </w:tc>
      </w:tr>
      <w:tr w:rsidR="00A70179" w:rsidRPr="00700A64" w:rsidTr="00405DE3">
        <w:tc>
          <w:tcPr>
            <w:tcW w:w="1487"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CD103 (IF)</w:t>
            </w:r>
          </w:p>
        </w:tc>
        <w:tc>
          <w:tcPr>
            <w:tcW w:w="719"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0.77</w:t>
            </w:r>
          </w:p>
        </w:tc>
        <w:tc>
          <w:tcPr>
            <w:tcW w:w="1092"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7.8</w:t>
            </w:r>
          </w:p>
        </w:tc>
        <w:tc>
          <w:tcPr>
            <w:tcW w:w="127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0.74</w:t>
            </w:r>
          </w:p>
        </w:tc>
        <w:tc>
          <w:tcPr>
            <w:tcW w:w="1134"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0.74</w:t>
            </w:r>
          </w:p>
        </w:tc>
        <w:tc>
          <w:tcPr>
            <w:tcW w:w="673"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0.71</w:t>
            </w:r>
          </w:p>
        </w:tc>
        <w:tc>
          <w:tcPr>
            <w:tcW w:w="858"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8.8</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0.61</w:t>
            </w:r>
          </w:p>
        </w:tc>
        <w:tc>
          <w:tcPr>
            <w:tcW w:w="114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0.76</w:t>
            </w:r>
          </w:p>
        </w:tc>
        <w:tc>
          <w:tcPr>
            <w:tcW w:w="61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0.86</w:t>
            </w:r>
          </w:p>
        </w:tc>
        <w:tc>
          <w:tcPr>
            <w:tcW w:w="82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7.3</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1.0</w:t>
            </w:r>
          </w:p>
        </w:tc>
        <w:tc>
          <w:tcPr>
            <w:tcW w:w="1221"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0.68</w:t>
            </w:r>
          </w:p>
        </w:tc>
      </w:tr>
      <w:tr w:rsidR="00A70179" w:rsidRPr="00700A64" w:rsidTr="00405DE3">
        <w:tc>
          <w:tcPr>
            <w:tcW w:w="1487"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 xml:space="preserve">Langerin </w:t>
            </w:r>
            <w:r w:rsidRPr="00700A64">
              <w:rPr>
                <w:rFonts w:ascii="Book Antiqua" w:hAnsi="Book Antiqua"/>
              </w:rPr>
              <w:lastRenderedPageBreak/>
              <w:t>(IF)</w:t>
            </w:r>
          </w:p>
        </w:tc>
        <w:tc>
          <w:tcPr>
            <w:tcW w:w="719"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lastRenderedPageBreak/>
              <w:t>0.57</w:t>
            </w:r>
          </w:p>
        </w:tc>
        <w:tc>
          <w:tcPr>
            <w:tcW w:w="1092"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8.8</w:t>
            </w:r>
          </w:p>
        </w:tc>
        <w:tc>
          <w:tcPr>
            <w:tcW w:w="127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0.36</w:t>
            </w:r>
          </w:p>
        </w:tc>
        <w:tc>
          <w:tcPr>
            <w:tcW w:w="1134"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0.90</w:t>
            </w:r>
          </w:p>
        </w:tc>
        <w:tc>
          <w:tcPr>
            <w:tcW w:w="673"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0.59</w:t>
            </w:r>
          </w:p>
        </w:tc>
        <w:tc>
          <w:tcPr>
            <w:tcW w:w="858"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8.6</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0.44</w:t>
            </w:r>
          </w:p>
        </w:tc>
        <w:tc>
          <w:tcPr>
            <w:tcW w:w="114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0.84</w:t>
            </w:r>
          </w:p>
        </w:tc>
        <w:tc>
          <w:tcPr>
            <w:tcW w:w="61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0.5</w:t>
            </w:r>
            <w:r w:rsidRPr="00700A64">
              <w:rPr>
                <w:rFonts w:ascii="Book Antiqua" w:hAnsi="Book Antiqua"/>
              </w:rPr>
              <w:lastRenderedPageBreak/>
              <w:t>5</w:t>
            </w:r>
          </w:p>
        </w:tc>
        <w:tc>
          <w:tcPr>
            <w:tcW w:w="826"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lastRenderedPageBreak/>
              <w:t>7.</w:t>
            </w:r>
            <w:r w:rsidR="00FC6B57" w:rsidRPr="00700A64">
              <w:rPr>
                <w:rFonts w:ascii="Book Antiqua" w:hAnsi="Book Antiqua"/>
              </w:rPr>
              <w:t>4</w:t>
            </w:r>
          </w:p>
        </w:tc>
        <w:tc>
          <w:tcPr>
            <w:tcW w:w="1160"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0.54</w:t>
            </w:r>
          </w:p>
        </w:tc>
        <w:tc>
          <w:tcPr>
            <w:tcW w:w="1221" w:type="dxa"/>
          </w:tcPr>
          <w:p w:rsidR="00A70179" w:rsidRPr="00700A64" w:rsidRDefault="00A70179" w:rsidP="00B90E53">
            <w:pPr>
              <w:adjustRightInd w:val="0"/>
              <w:snapToGrid w:val="0"/>
              <w:spacing w:line="360" w:lineRule="auto"/>
              <w:jc w:val="both"/>
              <w:rPr>
                <w:rFonts w:ascii="Book Antiqua" w:hAnsi="Book Antiqua"/>
              </w:rPr>
            </w:pPr>
            <w:r w:rsidRPr="00700A64">
              <w:rPr>
                <w:rFonts w:ascii="Book Antiqua" w:hAnsi="Book Antiqua"/>
              </w:rPr>
              <w:t>0.68</w:t>
            </w:r>
          </w:p>
        </w:tc>
      </w:tr>
    </w:tbl>
    <w:p w:rsidR="00A70179" w:rsidRPr="00700A64" w:rsidRDefault="00A70179" w:rsidP="00B90E53">
      <w:pPr>
        <w:adjustRightInd w:val="0"/>
        <w:snapToGrid w:val="0"/>
        <w:spacing w:line="360" w:lineRule="auto"/>
        <w:jc w:val="both"/>
        <w:rPr>
          <w:rFonts w:ascii="Book Antiqua" w:hAnsi="Book Antiqua"/>
          <w:lang w:eastAsia="zh-CN"/>
        </w:rPr>
      </w:pPr>
      <w:r w:rsidRPr="00700A64">
        <w:rPr>
          <w:rFonts w:ascii="Book Antiqua" w:hAnsi="Book Antiqua"/>
        </w:rPr>
        <w:lastRenderedPageBreak/>
        <w:t>AUC</w:t>
      </w:r>
      <w:r w:rsidR="00405DE3">
        <w:rPr>
          <w:rFonts w:ascii="Book Antiqua" w:hAnsi="Book Antiqua" w:hint="eastAsia"/>
          <w:lang w:eastAsia="zh-CN"/>
        </w:rPr>
        <w:t>:</w:t>
      </w:r>
      <w:r w:rsidRPr="00700A64">
        <w:rPr>
          <w:rFonts w:ascii="Book Antiqua" w:hAnsi="Book Antiqua"/>
        </w:rPr>
        <w:t xml:space="preserve"> </w:t>
      </w:r>
      <w:r w:rsidR="00C8170D" w:rsidRPr="00700A64">
        <w:rPr>
          <w:rFonts w:ascii="Book Antiqua" w:hAnsi="Book Antiqua"/>
        </w:rPr>
        <w:t>A</w:t>
      </w:r>
      <w:r w:rsidRPr="00700A64">
        <w:rPr>
          <w:rFonts w:ascii="Book Antiqua" w:hAnsi="Book Antiqua"/>
        </w:rPr>
        <w:t>rea under the receiver operating characteri</w:t>
      </w:r>
      <w:r w:rsidR="00EF1A97" w:rsidRPr="00700A64">
        <w:rPr>
          <w:rFonts w:ascii="Book Antiqua" w:hAnsi="Book Antiqua"/>
        </w:rPr>
        <w:t>stic curve</w:t>
      </w:r>
      <w:r w:rsidR="00405DE3">
        <w:rPr>
          <w:rFonts w:ascii="Book Antiqua" w:hAnsi="Book Antiqua" w:hint="eastAsia"/>
          <w:lang w:eastAsia="zh-CN"/>
        </w:rPr>
        <w:t xml:space="preserve">; </w:t>
      </w:r>
      <w:r w:rsidR="00EC6FAE" w:rsidRPr="00700A64">
        <w:rPr>
          <w:rFonts w:ascii="Book Antiqua" w:hAnsi="Book Antiqua"/>
        </w:rPr>
        <w:t>C</w:t>
      </w:r>
      <w:r w:rsidRPr="00700A64">
        <w:rPr>
          <w:rFonts w:ascii="Book Antiqua" w:hAnsi="Book Antiqua"/>
        </w:rPr>
        <w:t>ut-off</w:t>
      </w:r>
      <w:r w:rsidR="00405DE3">
        <w:rPr>
          <w:rFonts w:ascii="Book Antiqua" w:hAnsi="Book Antiqua" w:hint="eastAsia"/>
          <w:lang w:eastAsia="zh-CN"/>
        </w:rPr>
        <w:t>:</w:t>
      </w:r>
      <w:r w:rsidRPr="00700A64">
        <w:rPr>
          <w:rFonts w:ascii="Book Antiqua" w:hAnsi="Book Antiqua"/>
        </w:rPr>
        <w:t xml:space="preserve"> </w:t>
      </w:r>
      <w:r w:rsidR="00C8170D" w:rsidRPr="00700A64">
        <w:rPr>
          <w:rFonts w:ascii="Book Antiqua" w:hAnsi="Book Antiqua"/>
        </w:rPr>
        <w:t>M</w:t>
      </w:r>
      <w:r w:rsidRPr="00700A64">
        <w:rPr>
          <w:rFonts w:ascii="Book Antiqua" w:hAnsi="Book Antiqua"/>
        </w:rPr>
        <w:t>arker value at which sensitivity and specificity are optimal</w:t>
      </w:r>
      <w:r w:rsidR="00405DE3">
        <w:rPr>
          <w:rFonts w:ascii="Book Antiqua" w:hAnsi="Book Antiqua" w:hint="eastAsia"/>
          <w:lang w:eastAsia="zh-CN"/>
        </w:rPr>
        <w:t xml:space="preserve">; </w:t>
      </w:r>
      <w:r w:rsidR="00405DE3">
        <w:rPr>
          <w:rFonts w:ascii="Book Antiqua" w:hAnsi="Book Antiqua"/>
        </w:rPr>
        <w:t>paraff</w:t>
      </w:r>
      <w:r w:rsidR="00405DE3">
        <w:rPr>
          <w:rFonts w:ascii="Book Antiqua" w:hAnsi="Book Antiqua" w:hint="eastAsia"/>
          <w:lang w:eastAsia="zh-CN"/>
        </w:rPr>
        <w:t>:</w:t>
      </w:r>
      <w:r w:rsidR="00C8170D" w:rsidRPr="00700A64">
        <w:rPr>
          <w:rFonts w:ascii="Book Antiqua" w:hAnsi="Book Antiqua"/>
        </w:rPr>
        <w:t xml:space="preserve"> </w:t>
      </w:r>
      <w:r w:rsidRPr="00700A64">
        <w:rPr>
          <w:rFonts w:ascii="Book Antiqua" w:hAnsi="Book Antiqua"/>
        </w:rPr>
        <w:t>Immunohistochemistry on paraffin-embedded specimens</w:t>
      </w:r>
      <w:r w:rsidR="00405DE3">
        <w:rPr>
          <w:rFonts w:ascii="Book Antiqua" w:hAnsi="Book Antiqua" w:hint="eastAsia"/>
          <w:lang w:eastAsia="zh-CN"/>
        </w:rPr>
        <w:t xml:space="preserve">; </w:t>
      </w:r>
      <w:r w:rsidRPr="00700A64">
        <w:rPr>
          <w:rFonts w:ascii="Book Antiqua" w:hAnsi="Book Antiqua"/>
        </w:rPr>
        <w:t>IF</w:t>
      </w:r>
      <w:r w:rsidR="00405DE3">
        <w:rPr>
          <w:rFonts w:ascii="Book Antiqua" w:hAnsi="Book Antiqua" w:hint="eastAsia"/>
          <w:lang w:eastAsia="zh-CN"/>
        </w:rPr>
        <w:t xml:space="preserve">: </w:t>
      </w:r>
      <w:r w:rsidRPr="00700A64">
        <w:rPr>
          <w:rFonts w:ascii="Book Antiqua" w:hAnsi="Book Antiqua"/>
        </w:rPr>
        <w:t>Immunofluorescence staining on cryostat sections</w:t>
      </w:r>
      <w:r w:rsidR="00405DE3">
        <w:rPr>
          <w:rFonts w:ascii="Book Antiqua" w:hAnsi="Book Antiqua" w:hint="eastAsia"/>
          <w:lang w:eastAsia="zh-CN"/>
        </w:rPr>
        <w:t>.</w:t>
      </w:r>
      <w:r w:rsidRPr="00700A64">
        <w:rPr>
          <w:rFonts w:ascii="Book Antiqua" w:hAnsi="Book Antiqua"/>
        </w:rPr>
        <w:t xml:space="preserve"> </w:t>
      </w:r>
    </w:p>
    <w:p w:rsidR="00A70179" w:rsidRPr="00700A64" w:rsidRDefault="00A70179" w:rsidP="00B90E53">
      <w:pPr>
        <w:adjustRightInd w:val="0"/>
        <w:snapToGrid w:val="0"/>
        <w:spacing w:line="360" w:lineRule="auto"/>
        <w:jc w:val="both"/>
        <w:rPr>
          <w:rFonts w:ascii="Book Antiqua" w:hAnsi="Book Antiqua"/>
          <w:b/>
        </w:rPr>
        <w:sectPr w:rsidR="00A70179" w:rsidRPr="00700A64" w:rsidSect="00A70179">
          <w:pgSz w:w="15840" w:h="12240" w:orient="landscape" w:code="1"/>
          <w:pgMar w:top="1797" w:right="1440" w:bottom="1797" w:left="1440" w:header="709" w:footer="709" w:gutter="0"/>
          <w:cols w:space="708"/>
          <w:docGrid w:linePitch="360"/>
        </w:sectPr>
      </w:pPr>
    </w:p>
    <w:p w:rsidR="00710989" w:rsidRPr="00700A64" w:rsidRDefault="00864BB5" w:rsidP="00B90E53">
      <w:pPr>
        <w:adjustRightInd w:val="0"/>
        <w:snapToGrid w:val="0"/>
        <w:spacing w:line="360" w:lineRule="auto"/>
        <w:jc w:val="both"/>
        <w:rPr>
          <w:rFonts w:ascii="Book Antiqua" w:hAnsi="Book Antiqua"/>
        </w:rPr>
      </w:pPr>
      <w:r>
        <w:rPr>
          <w:rFonts w:ascii="Book Antiqua" w:hAnsi="Book Antiqua"/>
          <w:noProof/>
          <w:lang w:eastAsia="zh-CN"/>
        </w:rPr>
        <w:lastRenderedPageBreak/>
        <mc:AlternateContent>
          <mc:Choice Requires="wps">
            <w:drawing>
              <wp:anchor distT="0" distB="0" distL="114300" distR="114300" simplePos="0" relativeHeight="251656704" behindDoc="0" locked="0" layoutInCell="1" allowOverlap="1">
                <wp:simplePos x="0" y="0"/>
                <wp:positionH relativeFrom="column">
                  <wp:posOffset>899795</wp:posOffset>
                </wp:positionH>
                <wp:positionV relativeFrom="paragraph">
                  <wp:posOffset>867410</wp:posOffset>
                </wp:positionV>
                <wp:extent cx="457200" cy="114300"/>
                <wp:effectExtent l="23495" t="76835" r="43180" b="1841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68.3pt" to="106.8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" strokecolor="white" strokeweight="2.25pt">
                <v:stroke endarrow="block"/>
              </v:line>
            </w:pict>
          </mc:Fallback>
        </mc:AlternateContent>
      </w:r>
      <w:r>
        <w:rPr>
          <w:rFonts w:ascii="Book Antiqua" w:hAnsi="Book Antiqua"/>
          <w:noProof/>
          <w:lang w:eastAsia="zh-CN"/>
        </w:rPr>
        <mc:AlternateContent>
          <mc:Choice Requires="wps">
            <w:drawing>
              <wp:anchor distT="0" distB="0" distL="114300" distR="114300" simplePos="0" relativeHeight="251657728" behindDoc="0" locked="0" layoutInCell="1" allowOverlap="1">
                <wp:simplePos x="0" y="0"/>
                <wp:positionH relativeFrom="column">
                  <wp:posOffset>2088515</wp:posOffset>
                </wp:positionH>
                <wp:positionV relativeFrom="paragraph">
                  <wp:posOffset>438785</wp:posOffset>
                </wp:positionV>
                <wp:extent cx="578485" cy="203200"/>
                <wp:effectExtent l="40640" t="19685" r="19050" b="723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485" cy="20320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34.55pt" to="210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" strokecolor="white" strokeweight="2.25pt">
                <v:stroke endarrow="block"/>
              </v:line>
            </w:pict>
          </mc:Fallback>
        </mc:AlternateContent>
      </w:r>
      <w:r w:rsidR="001D7929" w:rsidRPr="00700A64">
        <w:rPr>
          <w:rFonts w:ascii="Book Antiqua" w:hAnsi="Book Antiqua"/>
          <w:noProof/>
          <w:lang w:eastAsia="zh-CN"/>
        </w:rPr>
        <w:drawing>
          <wp:inline distT="0" distB="0" distL="0" distR="0" wp14:anchorId="51D1642E" wp14:editId="68FD2BCC">
            <wp:extent cx="3329940" cy="2484120"/>
            <wp:effectExtent l="19050" t="0" r="3810" b="0"/>
            <wp:docPr id="1" name="Picture 2" descr="Image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52"/>
                    <pic:cNvPicPr>
                      <a:picLocks noChangeAspect="1" noChangeArrowheads="1"/>
                    </pic:cNvPicPr>
                  </pic:nvPicPr>
                  <pic:blipFill>
                    <a:blip r:embed="rId9" cstate="print"/>
                    <a:srcRect/>
                    <a:stretch>
                      <a:fillRect/>
                    </a:stretch>
                  </pic:blipFill>
                  <pic:spPr bwMode="auto">
                    <a:xfrm>
                      <a:off x="0" y="0"/>
                      <a:ext cx="3329940" cy="2484120"/>
                    </a:xfrm>
                    <a:prstGeom prst="rect">
                      <a:avLst/>
                    </a:prstGeom>
                    <a:noFill/>
                    <a:ln w="9525">
                      <a:noFill/>
                      <a:miter lim="800000"/>
                      <a:headEnd/>
                      <a:tailEnd/>
                    </a:ln>
                  </pic:spPr>
                </pic:pic>
              </a:graphicData>
            </a:graphic>
          </wp:inline>
        </w:drawing>
      </w:r>
      <w:r w:rsidR="00710989" w:rsidRPr="00700A64">
        <w:rPr>
          <w:rFonts w:ascii="Book Antiqua" w:hAnsi="Book Antiqua"/>
        </w:rPr>
        <w:t xml:space="preserve"> </w:t>
      </w:r>
    </w:p>
    <w:p w:rsidR="00710989" w:rsidRPr="00700A64" w:rsidRDefault="00710989" w:rsidP="00B90E53">
      <w:pPr>
        <w:adjustRightInd w:val="0"/>
        <w:snapToGrid w:val="0"/>
        <w:spacing w:line="360" w:lineRule="auto"/>
        <w:jc w:val="both"/>
        <w:rPr>
          <w:rFonts w:ascii="Book Antiqua" w:hAnsi="Book Antiqua"/>
        </w:rPr>
      </w:pPr>
    </w:p>
    <w:p w:rsidR="007123F8" w:rsidRPr="00FD54CB" w:rsidRDefault="007123F8" w:rsidP="00B90E53">
      <w:pPr>
        <w:adjustRightInd w:val="0"/>
        <w:snapToGrid w:val="0"/>
        <w:spacing w:line="360" w:lineRule="auto"/>
        <w:jc w:val="both"/>
        <w:rPr>
          <w:rFonts w:ascii="Book Antiqua" w:hAnsi="Book Antiqua"/>
          <w:lang w:eastAsia="zh-CN"/>
        </w:rPr>
      </w:pPr>
      <w:r w:rsidRPr="00700A64">
        <w:rPr>
          <w:rFonts w:ascii="Book Antiqua" w:hAnsi="Book Antiqua"/>
          <w:b/>
        </w:rPr>
        <w:t>Figure 1</w:t>
      </w:r>
      <w:r w:rsidRPr="00700A64">
        <w:rPr>
          <w:rFonts w:ascii="Book Antiqua" w:hAnsi="Book Antiqua"/>
        </w:rPr>
        <w:t xml:space="preserve"> </w:t>
      </w:r>
      <w:r w:rsidRPr="00405DE3">
        <w:rPr>
          <w:rFonts w:ascii="Book Antiqua" w:hAnsi="Book Antiqua"/>
          <w:b/>
        </w:rPr>
        <w:t>Double staining for CD11c (purple-red</w:t>
      </w:r>
      <w:r w:rsidR="00405DE3">
        <w:rPr>
          <w:rFonts w:ascii="Book Antiqua" w:hAnsi="Book Antiqua" w:hint="eastAsia"/>
          <w:b/>
          <w:lang w:eastAsia="zh-CN"/>
        </w:rPr>
        <w:t>, short arrow</w:t>
      </w:r>
      <w:r w:rsidRPr="00405DE3">
        <w:rPr>
          <w:rFonts w:ascii="Book Antiqua" w:hAnsi="Book Antiqua"/>
          <w:b/>
        </w:rPr>
        <w:t>) and FOXP3 (blue</w:t>
      </w:r>
      <w:r w:rsidR="00405DE3">
        <w:rPr>
          <w:rFonts w:ascii="Book Antiqua" w:hAnsi="Book Antiqua" w:hint="eastAsia"/>
          <w:b/>
          <w:lang w:eastAsia="zh-CN"/>
        </w:rPr>
        <w:t>, long arrow</w:t>
      </w:r>
      <w:r w:rsidRPr="00405DE3">
        <w:rPr>
          <w:rFonts w:ascii="Book Antiqua" w:hAnsi="Book Antiqua"/>
          <w:b/>
        </w:rPr>
        <w:t xml:space="preserve">) on a paraffin section of the small bowel mucosa. </w:t>
      </w:r>
      <w:r w:rsidRPr="00FD54CB">
        <w:rPr>
          <w:rFonts w:ascii="Book Antiqua" w:hAnsi="Book Antiqua"/>
        </w:rPr>
        <w:t>Original magnification, 40</w:t>
      </w:r>
      <w:r w:rsidR="00405DE3" w:rsidRPr="00FD54CB">
        <w:rPr>
          <w:rFonts w:ascii="Book Antiqua" w:hAnsi="Book Antiqua" w:hint="eastAsia"/>
          <w:lang w:eastAsia="zh-CN"/>
        </w:rPr>
        <w:t xml:space="preserve"> </w:t>
      </w:r>
      <w:r w:rsidRPr="00FD54CB">
        <w:rPr>
          <w:rFonts w:ascii="Book Antiqua" w:hAnsi="Book Antiqua"/>
        </w:rPr>
        <w:t>x objective; 10</w:t>
      </w:r>
      <w:r w:rsidR="00405DE3" w:rsidRPr="00FD54CB">
        <w:rPr>
          <w:rFonts w:ascii="Book Antiqua" w:hAnsi="Book Antiqua" w:hint="eastAsia"/>
          <w:lang w:eastAsia="zh-CN"/>
        </w:rPr>
        <w:t xml:space="preserve"> </w:t>
      </w:r>
      <w:r w:rsidRPr="00FD54CB">
        <w:rPr>
          <w:rFonts w:ascii="Book Antiqua" w:hAnsi="Book Antiqua"/>
        </w:rPr>
        <w:t>x eyepiece.</w:t>
      </w:r>
    </w:p>
    <w:p w:rsidR="005819CC" w:rsidRDefault="005819CC" w:rsidP="00B90E53">
      <w:pPr>
        <w:adjustRightInd w:val="0"/>
        <w:snapToGrid w:val="0"/>
        <w:spacing w:line="360" w:lineRule="auto"/>
        <w:jc w:val="both"/>
        <w:rPr>
          <w:rFonts w:ascii="Book Antiqua" w:hAnsi="Book Antiqua"/>
          <w:b/>
          <w:lang w:eastAsia="zh-CN"/>
        </w:rPr>
      </w:pPr>
      <w:r>
        <w:rPr>
          <w:rFonts w:ascii="Book Antiqua" w:hAnsi="Book Antiqua"/>
          <w:b/>
          <w:lang w:eastAsia="zh-CN"/>
        </w:rPr>
        <w:br w:type="page"/>
      </w:r>
    </w:p>
    <w:p w:rsidR="005819CC" w:rsidRDefault="005819CC" w:rsidP="00B90E53">
      <w:pPr>
        <w:adjustRightInd w:val="0"/>
        <w:snapToGrid w:val="0"/>
        <w:spacing w:line="360" w:lineRule="auto"/>
        <w:jc w:val="both"/>
        <w:rPr>
          <w:rFonts w:ascii="Book Antiqua" w:hAnsi="Book Antiqua"/>
          <w:b/>
          <w:lang w:eastAsia="zh-CN"/>
        </w:rPr>
      </w:pPr>
    </w:p>
    <w:p w:rsidR="005819CC" w:rsidRDefault="005819CC" w:rsidP="00B90E53">
      <w:pPr>
        <w:adjustRightInd w:val="0"/>
        <w:snapToGrid w:val="0"/>
        <w:spacing w:line="360" w:lineRule="auto"/>
        <w:jc w:val="both"/>
        <w:rPr>
          <w:rFonts w:ascii="Book Antiqua" w:hAnsi="Book Antiqua"/>
          <w:b/>
          <w:lang w:eastAsia="zh-CN"/>
        </w:rPr>
      </w:pPr>
      <w:r>
        <w:rPr>
          <w:noProof/>
          <w:lang w:eastAsia="zh-CN"/>
        </w:rPr>
        <w:drawing>
          <wp:inline distT="0" distB="0" distL="0" distR="0" wp14:anchorId="53863150" wp14:editId="5E1E9BBC">
            <wp:extent cx="1564224" cy="14671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63419" cy="1466379"/>
                    </a:xfrm>
                    <a:prstGeom prst="rect">
                      <a:avLst/>
                    </a:prstGeom>
                  </pic:spPr>
                </pic:pic>
              </a:graphicData>
            </a:graphic>
          </wp:inline>
        </w:drawing>
      </w:r>
      <w:r>
        <w:rPr>
          <w:rFonts w:ascii="Book Antiqua" w:hAnsi="Book Antiqua" w:hint="eastAsia"/>
          <w:b/>
          <w:lang w:eastAsia="zh-CN"/>
        </w:rPr>
        <w:t xml:space="preserve">  </w:t>
      </w:r>
      <w:r>
        <w:rPr>
          <w:noProof/>
          <w:lang w:eastAsia="zh-CN"/>
        </w:rPr>
        <w:drawing>
          <wp:inline distT="0" distB="0" distL="0" distR="0" wp14:anchorId="574954AF" wp14:editId="3342B22A">
            <wp:extent cx="1514902" cy="1435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13968" cy="1434910"/>
                    </a:xfrm>
                    <a:prstGeom prst="rect">
                      <a:avLst/>
                    </a:prstGeom>
                  </pic:spPr>
                </pic:pic>
              </a:graphicData>
            </a:graphic>
          </wp:inline>
        </w:drawing>
      </w:r>
    </w:p>
    <w:p w:rsidR="005819CC" w:rsidRPr="005819CC" w:rsidRDefault="005819CC" w:rsidP="00B90E53">
      <w:pPr>
        <w:adjustRightInd w:val="0"/>
        <w:snapToGrid w:val="0"/>
        <w:spacing w:line="360" w:lineRule="auto"/>
        <w:jc w:val="both"/>
        <w:rPr>
          <w:rFonts w:ascii="Book Antiqua" w:hAnsi="Book Antiqua"/>
          <w:lang w:eastAsia="zh-CN"/>
        </w:rPr>
      </w:pPr>
      <w:r w:rsidRPr="005819CC">
        <w:rPr>
          <w:rFonts w:ascii="Book Antiqua" w:hAnsi="Book Antiqua" w:hint="eastAsia"/>
          <w:lang w:eastAsia="zh-CN"/>
        </w:rPr>
        <w:t>A</w:t>
      </w:r>
      <w:r w:rsidRPr="005819CC">
        <w:rPr>
          <w:rFonts w:ascii="Book Antiqua" w:hAnsi="Book Antiqua"/>
          <w:lang w:eastAsia="zh-CN"/>
        </w:rPr>
        <w:t>…………………………</w:t>
      </w:r>
      <w:r>
        <w:rPr>
          <w:rFonts w:ascii="Book Antiqua" w:hAnsi="Book Antiqua" w:hint="eastAsia"/>
          <w:lang w:eastAsia="zh-CN"/>
        </w:rPr>
        <w:t xml:space="preserve"> </w:t>
      </w:r>
      <w:r w:rsidRPr="005819CC">
        <w:rPr>
          <w:rFonts w:ascii="Book Antiqua" w:hAnsi="Book Antiqua"/>
          <w:lang w:eastAsia="zh-CN"/>
        </w:rPr>
        <w:t>B</w:t>
      </w:r>
    </w:p>
    <w:p w:rsidR="00405DE3" w:rsidRDefault="00405DE3" w:rsidP="00B90E53">
      <w:pPr>
        <w:adjustRightInd w:val="0"/>
        <w:snapToGrid w:val="0"/>
        <w:spacing w:line="360" w:lineRule="auto"/>
        <w:jc w:val="both"/>
        <w:rPr>
          <w:rFonts w:ascii="Book Antiqua" w:hAnsi="Book Antiqua"/>
        </w:rPr>
      </w:pPr>
    </w:p>
    <w:p w:rsidR="00710989" w:rsidRPr="00700A64" w:rsidRDefault="005819CC" w:rsidP="00B90E53">
      <w:pPr>
        <w:adjustRightInd w:val="0"/>
        <w:snapToGrid w:val="0"/>
        <w:spacing w:line="360" w:lineRule="auto"/>
        <w:jc w:val="both"/>
        <w:rPr>
          <w:rFonts w:ascii="Book Antiqua" w:hAnsi="Book Antiqua"/>
          <w:lang w:eastAsia="zh-CN"/>
        </w:rPr>
      </w:pPr>
      <w:r w:rsidRPr="00700A64">
        <w:rPr>
          <w:rFonts w:ascii="Book Antiqua" w:hAnsi="Book Antiqua"/>
        </w:rPr>
        <w:object w:dxaOrig="8468" w:dyaOrig="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05pt;height:112.05pt" o:ole="">
            <v:imagedata r:id="rId12" o:title=""/>
          </v:shape>
          <o:OLEObject Type="Embed" ProgID="Prism5.Document" ShapeID="_x0000_i1025" DrawAspect="Content" ObjectID="_1467523216" r:id="rId13"/>
        </w:object>
      </w:r>
      <w:r w:rsidR="00710989" w:rsidRPr="00700A64">
        <w:rPr>
          <w:rFonts w:ascii="Book Antiqua" w:hAnsi="Book Antiqua"/>
        </w:rPr>
        <w:t xml:space="preserve"> </w:t>
      </w:r>
      <w:r w:rsidR="00405DE3">
        <w:rPr>
          <w:rFonts w:ascii="Book Antiqua" w:hAnsi="Book Antiqua" w:hint="eastAsia"/>
          <w:lang w:eastAsia="zh-CN"/>
        </w:rPr>
        <w:t xml:space="preserve">    </w:t>
      </w:r>
      <w:r w:rsidRPr="00700A64">
        <w:rPr>
          <w:rFonts w:ascii="Book Antiqua" w:hAnsi="Book Antiqua"/>
        </w:rPr>
        <w:object w:dxaOrig="7042" w:dyaOrig="4486">
          <v:shape id="_x0000_i1026" type="#_x0000_t75" style="width:124.6pt;height:102.7pt" o:ole="">
            <v:imagedata r:id="rId14" o:title=""/>
          </v:shape>
          <o:OLEObject Type="Embed" ProgID="Prism5.Document" ShapeID="_x0000_i1026" DrawAspect="Content" ObjectID="_1467523217" r:id="rId15"/>
        </w:object>
      </w:r>
    </w:p>
    <w:p w:rsidR="00405DE3" w:rsidRPr="00FD54CB" w:rsidRDefault="00405DE3" w:rsidP="00B90E53">
      <w:pPr>
        <w:adjustRightInd w:val="0"/>
        <w:snapToGrid w:val="0"/>
        <w:spacing w:line="360" w:lineRule="auto"/>
        <w:jc w:val="both"/>
        <w:rPr>
          <w:rFonts w:ascii="Book Antiqua" w:hAnsi="Book Antiqua"/>
          <w:lang w:eastAsia="zh-CN"/>
        </w:rPr>
      </w:pPr>
      <w:r w:rsidRPr="00FD54CB">
        <w:rPr>
          <w:rFonts w:ascii="Book Antiqua" w:hAnsi="Book Antiqua"/>
        </w:rPr>
        <w:t>C</w:t>
      </w:r>
      <w:r w:rsidRPr="00FD54CB">
        <w:rPr>
          <w:rFonts w:ascii="Book Antiqua" w:hAnsi="Book Antiqua" w:hint="eastAsia"/>
          <w:lang w:eastAsia="zh-CN"/>
        </w:rPr>
        <w:t xml:space="preserve">             </w:t>
      </w:r>
      <w:r w:rsidR="005819CC" w:rsidRPr="00FD54CB">
        <w:rPr>
          <w:rFonts w:ascii="Book Antiqua" w:hAnsi="Book Antiqua" w:hint="eastAsia"/>
          <w:lang w:eastAsia="zh-CN"/>
        </w:rPr>
        <w:t xml:space="preserve">                              </w:t>
      </w:r>
      <w:r w:rsidRPr="00FD54CB">
        <w:rPr>
          <w:rFonts w:ascii="Book Antiqua" w:hAnsi="Book Antiqua" w:hint="eastAsia"/>
          <w:lang w:eastAsia="zh-CN"/>
        </w:rPr>
        <w:t xml:space="preserve"> D</w:t>
      </w:r>
    </w:p>
    <w:p w:rsidR="006D30AC" w:rsidRPr="00700A64" w:rsidRDefault="006D30AC" w:rsidP="00B90E53">
      <w:pPr>
        <w:adjustRightInd w:val="0"/>
        <w:snapToGrid w:val="0"/>
        <w:spacing w:line="360" w:lineRule="auto"/>
        <w:jc w:val="both"/>
        <w:rPr>
          <w:rFonts w:ascii="Book Antiqua" w:hAnsi="Book Antiqua"/>
          <w:lang w:eastAsia="zh-CN"/>
        </w:rPr>
      </w:pPr>
      <w:r w:rsidRPr="00700A64">
        <w:rPr>
          <w:rFonts w:ascii="Book Antiqua" w:hAnsi="Book Antiqua"/>
          <w:b/>
        </w:rPr>
        <w:t>Figure 2</w:t>
      </w:r>
      <w:r w:rsidR="00415434">
        <w:rPr>
          <w:rFonts w:ascii="Book Antiqua" w:hAnsi="Book Antiqua" w:hint="eastAsia"/>
          <w:b/>
          <w:lang w:eastAsia="zh-CN"/>
        </w:rPr>
        <w:t xml:space="preserve"> </w:t>
      </w:r>
      <w:r w:rsidR="00415434" w:rsidRPr="00415434">
        <w:rPr>
          <w:rFonts w:ascii="Book Antiqua" w:hAnsi="Book Antiqua" w:hint="eastAsia"/>
          <w:b/>
          <w:lang w:eastAsia="zh-CN"/>
        </w:rPr>
        <w:t>D</w:t>
      </w:r>
      <w:r w:rsidR="00415434" w:rsidRPr="00415434">
        <w:rPr>
          <w:rFonts w:ascii="Book Antiqua" w:hAnsi="Book Antiqua"/>
          <w:b/>
        </w:rPr>
        <w:t xml:space="preserve">ensity of CD11c+ </w:t>
      </w:r>
      <w:r w:rsidR="00FD54CB" w:rsidRPr="00FD54CB">
        <w:rPr>
          <w:rFonts w:ascii="Book Antiqua" w:hAnsi="Book Antiqua"/>
          <w:b/>
        </w:rPr>
        <w:t>dendritic cells</w:t>
      </w:r>
      <w:r w:rsidR="00415434" w:rsidRPr="00415434">
        <w:rPr>
          <w:rFonts w:ascii="Book Antiqua" w:hAnsi="Book Antiqua" w:hint="eastAsia"/>
          <w:b/>
          <w:lang w:eastAsia="zh-CN"/>
        </w:rPr>
        <w:t xml:space="preserve"> (A), </w:t>
      </w:r>
      <w:r w:rsidR="00415434" w:rsidRPr="00415434">
        <w:rPr>
          <w:rFonts w:ascii="Book Antiqua" w:hAnsi="Book Antiqua"/>
          <w:b/>
        </w:rPr>
        <w:t xml:space="preserve">FOXP3+ </w:t>
      </w:r>
      <w:r w:rsidR="00FD54CB" w:rsidRPr="00FD54CB">
        <w:rPr>
          <w:rFonts w:ascii="Book Antiqua" w:hAnsi="Book Antiqua"/>
          <w:b/>
        </w:rPr>
        <w:t>regulatory T cells</w:t>
      </w:r>
      <w:r w:rsidR="00FD54CB" w:rsidRPr="00FD54CB">
        <w:rPr>
          <w:rFonts w:ascii="Book Antiqua" w:hAnsi="Book Antiqua" w:hint="eastAsia"/>
          <w:b/>
        </w:rPr>
        <w:t xml:space="preserve"> </w:t>
      </w:r>
      <w:r w:rsidR="00415434" w:rsidRPr="00415434">
        <w:rPr>
          <w:rFonts w:ascii="Book Antiqua" w:hAnsi="Book Antiqua" w:hint="eastAsia"/>
          <w:b/>
          <w:lang w:eastAsia="zh-CN"/>
        </w:rPr>
        <w:t xml:space="preserve">(B) </w:t>
      </w:r>
      <w:r w:rsidR="00415434" w:rsidRPr="00415434">
        <w:rPr>
          <w:rFonts w:ascii="Book Antiqua" w:hAnsi="Book Antiqua"/>
          <w:b/>
        </w:rPr>
        <w:t>in paraffin sections for the different study groups</w:t>
      </w:r>
      <w:r w:rsidR="00FD54CB">
        <w:rPr>
          <w:rFonts w:ascii="Book Antiqua" w:hAnsi="Book Antiqua" w:hint="eastAsia"/>
          <w:b/>
          <w:lang w:eastAsia="zh-CN"/>
        </w:rPr>
        <w:t>;</w:t>
      </w:r>
      <w:r w:rsidR="00415434" w:rsidRPr="00415434">
        <w:rPr>
          <w:rFonts w:ascii="Book Antiqua" w:hAnsi="Book Antiqua" w:hint="eastAsia"/>
          <w:b/>
          <w:lang w:eastAsia="zh-CN"/>
        </w:rPr>
        <w:t xml:space="preserve"> </w:t>
      </w:r>
      <w:r w:rsidR="00415434" w:rsidRPr="00415434">
        <w:rPr>
          <w:rFonts w:ascii="Book Antiqua" w:hAnsi="Book Antiqua"/>
          <w:b/>
        </w:rPr>
        <w:t xml:space="preserve">spearman’s rank correlation between the histological grades (according to Marsh) and FOXP3+ </w:t>
      </w:r>
      <w:r w:rsidR="00FD54CB" w:rsidRPr="00FD54CB">
        <w:rPr>
          <w:rFonts w:ascii="Book Antiqua" w:hAnsi="Book Antiqua"/>
          <w:b/>
        </w:rPr>
        <w:t xml:space="preserve">regulatory T cells </w:t>
      </w:r>
      <w:r w:rsidR="00415434" w:rsidRPr="00415434">
        <w:rPr>
          <w:rFonts w:ascii="Book Antiqua" w:hAnsi="Book Antiqua"/>
          <w:b/>
        </w:rPr>
        <w:t>cell densities</w:t>
      </w:r>
      <w:r w:rsidR="00415434" w:rsidRPr="00415434">
        <w:rPr>
          <w:rFonts w:ascii="Book Antiqua" w:hAnsi="Book Antiqua" w:hint="eastAsia"/>
          <w:b/>
          <w:lang w:eastAsia="zh-CN"/>
        </w:rPr>
        <w:t xml:space="preserve"> (C) or </w:t>
      </w:r>
      <w:r w:rsidR="00415434" w:rsidRPr="00415434">
        <w:rPr>
          <w:rFonts w:ascii="Book Antiqua" w:hAnsi="Book Antiqua"/>
          <w:b/>
        </w:rPr>
        <w:t xml:space="preserve">between the densities of FOXP3+ </w:t>
      </w:r>
      <w:r w:rsidR="00FD54CB" w:rsidRPr="00FD54CB">
        <w:rPr>
          <w:rFonts w:ascii="Book Antiqua" w:hAnsi="Book Antiqua"/>
          <w:b/>
        </w:rPr>
        <w:t xml:space="preserve">regulatory T cells </w:t>
      </w:r>
      <w:r w:rsidR="00415434" w:rsidRPr="00415434">
        <w:rPr>
          <w:rFonts w:ascii="Book Antiqua" w:hAnsi="Book Antiqua"/>
          <w:b/>
        </w:rPr>
        <w:t>and serum IgA-tTG levels</w:t>
      </w:r>
      <w:r w:rsidR="00415434" w:rsidRPr="00415434">
        <w:rPr>
          <w:rFonts w:ascii="Book Antiqua" w:hAnsi="Book Antiqua" w:hint="eastAsia"/>
          <w:b/>
          <w:lang w:eastAsia="zh-CN"/>
        </w:rPr>
        <w:t xml:space="preserve"> (D)</w:t>
      </w:r>
      <w:r w:rsidR="00415434" w:rsidRPr="00415434">
        <w:rPr>
          <w:rFonts w:ascii="Book Antiqua" w:hAnsi="Book Antiqua"/>
          <w:b/>
        </w:rPr>
        <w:t xml:space="preserve"> in the studied persons</w:t>
      </w:r>
      <w:r w:rsidR="00415434" w:rsidRPr="00415434">
        <w:rPr>
          <w:rFonts w:ascii="Book Antiqua" w:hAnsi="Book Antiqua" w:hint="eastAsia"/>
          <w:b/>
          <w:lang w:eastAsia="zh-CN"/>
        </w:rPr>
        <w:t xml:space="preserve">. </w:t>
      </w:r>
      <w:r w:rsidR="00415434">
        <w:rPr>
          <w:rFonts w:ascii="Book Antiqua" w:hAnsi="Book Antiqua" w:hint="eastAsia"/>
          <w:vertAlign w:val="superscript"/>
          <w:lang w:eastAsia="zh-CN"/>
        </w:rPr>
        <w:t>b</w:t>
      </w:r>
      <w:r w:rsidR="00F94270" w:rsidRPr="00700A64">
        <w:rPr>
          <w:rFonts w:ascii="Book Antiqua" w:hAnsi="Book Antiqua"/>
          <w:i/>
        </w:rPr>
        <w:t xml:space="preserve">P </w:t>
      </w:r>
      <w:r w:rsidR="00415434">
        <w:rPr>
          <w:rFonts w:ascii="Book Antiqua" w:hAnsi="Book Antiqua" w:hint="eastAsia"/>
          <w:i/>
          <w:lang w:eastAsia="zh-CN"/>
        </w:rPr>
        <w:t>&lt;</w:t>
      </w:r>
      <w:r w:rsidR="00F94270" w:rsidRPr="00700A64">
        <w:rPr>
          <w:rFonts w:ascii="Book Antiqua" w:hAnsi="Book Antiqua"/>
          <w:i/>
        </w:rPr>
        <w:t xml:space="preserve"> </w:t>
      </w:r>
      <w:r w:rsidR="00415434">
        <w:rPr>
          <w:rFonts w:ascii="Book Antiqua" w:hAnsi="Book Antiqua"/>
        </w:rPr>
        <w:t>0.</w:t>
      </w:r>
      <w:r w:rsidRPr="00700A64">
        <w:rPr>
          <w:rFonts w:ascii="Book Antiqua" w:hAnsi="Book Antiqua"/>
        </w:rPr>
        <w:t>0</w:t>
      </w:r>
      <w:r w:rsidR="00415434">
        <w:rPr>
          <w:rFonts w:ascii="Book Antiqua" w:hAnsi="Book Antiqua" w:hint="eastAsia"/>
          <w:lang w:eastAsia="zh-CN"/>
        </w:rPr>
        <w:t>1</w:t>
      </w:r>
      <w:r w:rsidR="005819CC">
        <w:rPr>
          <w:rFonts w:ascii="Book Antiqua" w:hAnsi="Book Antiqua" w:hint="eastAsia"/>
          <w:lang w:eastAsia="zh-CN"/>
        </w:rPr>
        <w:t>,</w:t>
      </w:r>
      <w:r w:rsidRPr="00700A64">
        <w:rPr>
          <w:rFonts w:ascii="Book Antiqua" w:hAnsi="Book Antiqua"/>
        </w:rPr>
        <w:t xml:space="preserve"> CD total </w:t>
      </w:r>
      <w:r w:rsidR="00F94270" w:rsidRPr="00700A64">
        <w:rPr>
          <w:rFonts w:ascii="Book Antiqua" w:hAnsi="Book Antiqua"/>
          <w:i/>
        </w:rPr>
        <w:t>vs</w:t>
      </w:r>
      <w:r w:rsidRPr="00700A64">
        <w:rPr>
          <w:rFonts w:ascii="Book Antiqua" w:hAnsi="Book Antiqua"/>
          <w:i/>
        </w:rPr>
        <w:t xml:space="preserve"> </w:t>
      </w:r>
      <w:r w:rsidRPr="00700A64">
        <w:rPr>
          <w:rFonts w:ascii="Book Antiqua" w:hAnsi="Book Antiqua"/>
        </w:rPr>
        <w:t>normal mucosa</w:t>
      </w:r>
      <w:r w:rsidR="005819CC">
        <w:rPr>
          <w:rFonts w:ascii="Book Antiqua" w:hAnsi="Book Antiqua" w:hint="eastAsia"/>
          <w:lang w:eastAsia="zh-CN"/>
        </w:rPr>
        <w:t>;</w:t>
      </w:r>
      <w:r w:rsidR="00415434">
        <w:rPr>
          <w:rFonts w:ascii="Book Antiqua" w:hAnsi="Book Antiqua" w:hint="eastAsia"/>
          <w:lang w:eastAsia="zh-CN"/>
        </w:rPr>
        <w:t xml:space="preserve"> </w:t>
      </w:r>
      <w:r w:rsidR="005819CC">
        <w:rPr>
          <w:rFonts w:ascii="Book Antiqua" w:hAnsi="Book Antiqua" w:hint="eastAsia"/>
          <w:vertAlign w:val="superscript"/>
          <w:lang w:eastAsia="zh-CN"/>
        </w:rPr>
        <w:t>d</w:t>
      </w:r>
      <w:r w:rsidR="00F94270" w:rsidRPr="00700A64">
        <w:rPr>
          <w:rFonts w:ascii="Book Antiqua" w:hAnsi="Book Antiqua"/>
          <w:i/>
        </w:rPr>
        <w:t xml:space="preserve">P </w:t>
      </w:r>
      <w:r w:rsidR="005819CC">
        <w:rPr>
          <w:rFonts w:ascii="Book Antiqua" w:hAnsi="Book Antiqua" w:hint="eastAsia"/>
          <w:i/>
          <w:lang w:eastAsia="zh-CN"/>
        </w:rPr>
        <w:t>&lt;</w:t>
      </w:r>
      <w:r w:rsidR="00F94270" w:rsidRPr="00700A64">
        <w:rPr>
          <w:rFonts w:ascii="Book Antiqua" w:hAnsi="Book Antiqua"/>
          <w:i/>
        </w:rPr>
        <w:t xml:space="preserve"> </w:t>
      </w:r>
      <w:r w:rsidRPr="00700A64">
        <w:rPr>
          <w:rFonts w:ascii="Book Antiqua" w:hAnsi="Book Antiqua"/>
        </w:rPr>
        <w:t>0.0</w:t>
      </w:r>
      <w:r w:rsidR="005819CC">
        <w:rPr>
          <w:rFonts w:ascii="Book Antiqua" w:hAnsi="Book Antiqua" w:hint="eastAsia"/>
          <w:lang w:eastAsia="zh-CN"/>
        </w:rPr>
        <w:t>1,</w:t>
      </w:r>
      <w:r w:rsidRPr="00700A64">
        <w:rPr>
          <w:rFonts w:ascii="Book Antiqua" w:hAnsi="Book Antiqua"/>
        </w:rPr>
        <w:t xml:space="preserve"> CD </w:t>
      </w:r>
      <w:r w:rsidR="00F94270" w:rsidRPr="00700A64">
        <w:rPr>
          <w:rFonts w:ascii="Book Antiqua" w:hAnsi="Book Antiqua"/>
          <w:i/>
        </w:rPr>
        <w:t>vs</w:t>
      </w:r>
      <w:r w:rsidRPr="00700A64">
        <w:rPr>
          <w:rFonts w:ascii="Book Antiqua" w:hAnsi="Book Antiqua"/>
          <w:i/>
        </w:rPr>
        <w:t xml:space="preserve"> </w:t>
      </w:r>
      <w:r w:rsidRPr="00700A64">
        <w:rPr>
          <w:rFonts w:ascii="Book Antiqua" w:hAnsi="Book Antiqua"/>
        </w:rPr>
        <w:t xml:space="preserve">normal mucosa; </w:t>
      </w:r>
      <w:r w:rsidR="005819CC">
        <w:rPr>
          <w:rFonts w:ascii="Book Antiqua" w:hAnsi="Book Antiqua" w:hint="eastAsia"/>
          <w:vertAlign w:val="superscript"/>
          <w:lang w:eastAsia="zh-CN"/>
        </w:rPr>
        <w:t>f</w:t>
      </w:r>
      <w:r w:rsidR="00F94270" w:rsidRPr="00700A64">
        <w:rPr>
          <w:rFonts w:ascii="Book Antiqua" w:hAnsi="Book Antiqua"/>
          <w:i/>
        </w:rPr>
        <w:t xml:space="preserve">P </w:t>
      </w:r>
      <w:r w:rsidR="005819CC">
        <w:rPr>
          <w:rFonts w:ascii="Book Antiqua" w:hAnsi="Book Antiqua" w:hint="eastAsia"/>
          <w:i/>
          <w:lang w:eastAsia="zh-CN"/>
        </w:rPr>
        <w:t>&lt;</w:t>
      </w:r>
      <w:r w:rsidR="005819CC" w:rsidRPr="00700A64">
        <w:rPr>
          <w:rFonts w:ascii="Book Antiqua" w:hAnsi="Book Antiqua"/>
          <w:i/>
        </w:rPr>
        <w:t xml:space="preserve"> </w:t>
      </w:r>
      <w:r w:rsidR="005819CC">
        <w:rPr>
          <w:rFonts w:ascii="Book Antiqua" w:hAnsi="Book Antiqua"/>
        </w:rPr>
        <w:t>0.</w:t>
      </w:r>
      <w:r w:rsidR="005819CC" w:rsidRPr="00700A64">
        <w:rPr>
          <w:rFonts w:ascii="Book Antiqua" w:hAnsi="Book Antiqua"/>
        </w:rPr>
        <w:t>0</w:t>
      </w:r>
      <w:r w:rsidR="005819CC">
        <w:rPr>
          <w:rFonts w:ascii="Book Antiqua" w:hAnsi="Book Antiqua" w:hint="eastAsia"/>
          <w:lang w:eastAsia="zh-CN"/>
        </w:rPr>
        <w:t>1,</w:t>
      </w:r>
      <w:r w:rsidRPr="00700A64">
        <w:rPr>
          <w:rFonts w:ascii="Book Antiqua" w:hAnsi="Book Antiqua"/>
        </w:rPr>
        <w:t xml:space="preserve"> CD with T1D </w:t>
      </w:r>
      <w:r w:rsidR="00F94270" w:rsidRPr="00700A64">
        <w:rPr>
          <w:rFonts w:ascii="Book Antiqua" w:hAnsi="Book Antiqua"/>
          <w:i/>
        </w:rPr>
        <w:t>vs</w:t>
      </w:r>
      <w:r w:rsidRPr="00700A64">
        <w:rPr>
          <w:rFonts w:ascii="Book Antiqua" w:hAnsi="Book Antiqua"/>
        </w:rPr>
        <w:t xml:space="preserve"> normal mucosa; </w:t>
      </w:r>
      <w:r w:rsidR="005819CC">
        <w:rPr>
          <w:rFonts w:ascii="Book Antiqua" w:hAnsi="Book Antiqua" w:hint="eastAsia"/>
          <w:vertAlign w:val="superscript"/>
          <w:lang w:eastAsia="zh-CN"/>
        </w:rPr>
        <w:t>h</w:t>
      </w:r>
      <w:r w:rsidR="00F94270" w:rsidRPr="00700A64">
        <w:rPr>
          <w:rFonts w:ascii="Book Antiqua" w:hAnsi="Book Antiqua"/>
          <w:i/>
        </w:rPr>
        <w:t xml:space="preserve">P </w:t>
      </w:r>
      <w:r w:rsidR="005819CC">
        <w:rPr>
          <w:rFonts w:ascii="Book Antiqua" w:hAnsi="Book Antiqua" w:hint="eastAsia"/>
          <w:i/>
          <w:lang w:eastAsia="zh-CN"/>
        </w:rPr>
        <w:t>&lt;</w:t>
      </w:r>
      <w:r w:rsidR="005819CC" w:rsidRPr="00700A64">
        <w:rPr>
          <w:rFonts w:ascii="Book Antiqua" w:hAnsi="Book Antiqua"/>
          <w:i/>
        </w:rPr>
        <w:t xml:space="preserve"> </w:t>
      </w:r>
      <w:r w:rsidR="005819CC" w:rsidRPr="00700A64">
        <w:rPr>
          <w:rFonts w:ascii="Book Antiqua" w:hAnsi="Book Antiqua"/>
        </w:rPr>
        <w:t>0.0</w:t>
      </w:r>
      <w:r w:rsidR="005819CC">
        <w:rPr>
          <w:rFonts w:ascii="Book Antiqua" w:hAnsi="Book Antiqua" w:hint="eastAsia"/>
          <w:lang w:eastAsia="zh-CN"/>
        </w:rPr>
        <w:t>1,</w:t>
      </w:r>
      <w:r w:rsidRPr="00700A64">
        <w:rPr>
          <w:rFonts w:ascii="Book Antiqua" w:hAnsi="Book Antiqua"/>
        </w:rPr>
        <w:t xml:space="preserve"> CD total </w:t>
      </w:r>
      <w:r w:rsidR="00F94270" w:rsidRPr="00700A64">
        <w:rPr>
          <w:rFonts w:ascii="Book Antiqua" w:hAnsi="Book Antiqua"/>
          <w:i/>
        </w:rPr>
        <w:t>vs</w:t>
      </w:r>
      <w:r w:rsidRPr="00700A64">
        <w:rPr>
          <w:rFonts w:ascii="Book Antiqua" w:hAnsi="Book Antiqua"/>
        </w:rPr>
        <w:t xml:space="preserve"> normal mucosa</w:t>
      </w:r>
      <w:r w:rsidR="005819CC">
        <w:rPr>
          <w:rFonts w:ascii="Book Antiqua" w:hAnsi="Book Antiqua" w:hint="eastAsia"/>
          <w:lang w:eastAsia="zh-CN"/>
        </w:rPr>
        <w:t>;</w:t>
      </w:r>
      <w:r w:rsidRPr="00700A64">
        <w:rPr>
          <w:rFonts w:ascii="Book Antiqua" w:hAnsi="Book Antiqua"/>
        </w:rPr>
        <w:t xml:space="preserve"> </w:t>
      </w:r>
      <w:r w:rsidR="00FD54CB">
        <w:rPr>
          <w:rFonts w:ascii="Book Antiqua" w:hAnsi="Book Antiqua" w:hint="eastAsia"/>
          <w:vertAlign w:val="superscript"/>
          <w:lang w:eastAsia="zh-CN"/>
        </w:rPr>
        <w:t>i</w:t>
      </w:r>
      <w:r w:rsidRPr="00700A64">
        <w:rPr>
          <w:rFonts w:ascii="Book Antiqua" w:hAnsi="Book Antiqua"/>
          <w:i/>
        </w:rPr>
        <w:t>P</w:t>
      </w:r>
      <w:r w:rsidRPr="00700A64">
        <w:rPr>
          <w:rFonts w:ascii="Book Antiqua" w:hAnsi="Book Antiqua"/>
        </w:rPr>
        <w:t xml:space="preserve"> value for CD </w:t>
      </w:r>
      <w:r w:rsidR="00F94270" w:rsidRPr="00700A64">
        <w:rPr>
          <w:rFonts w:ascii="Book Antiqua" w:hAnsi="Book Antiqua"/>
          <w:i/>
        </w:rPr>
        <w:t>vs</w:t>
      </w:r>
      <w:r w:rsidRPr="00700A64">
        <w:rPr>
          <w:rFonts w:ascii="Book Antiqua" w:hAnsi="Book Antiqua"/>
        </w:rPr>
        <w:t xml:space="preserve"> CD with T1D not statistically significant</w:t>
      </w:r>
      <w:r w:rsidR="00FD54CB">
        <w:rPr>
          <w:rFonts w:ascii="Book Antiqua" w:hAnsi="Book Antiqua" w:hint="eastAsia"/>
          <w:lang w:eastAsia="zh-CN"/>
        </w:rPr>
        <w:t xml:space="preserve">. CD: </w:t>
      </w:r>
      <w:r w:rsidR="00FD54CB" w:rsidRPr="00FD54CB">
        <w:rPr>
          <w:rFonts w:ascii="Book Antiqua" w:hAnsi="Book Antiqua"/>
          <w:caps/>
          <w:lang w:eastAsia="zh-CN"/>
        </w:rPr>
        <w:t>c</w:t>
      </w:r>
      <w:r w:rsidR="00FD54CB" w:rsidRPr="00FD54CB">
        <w:rPr>
          <w:rFonts w:ascii="Book Antiqua" w:hAnsi="Book Antiqua"/>
          <w:lang w:eastAsia="zh-CN"/>
        </w:rPr>
        <w:t>eliac disease</w:t>
      </w:r>
      <w:r w:rsidR="00FD54CB">
        <w:rPr>
          <w:rFonts w:ascii="Book Antiqua" w:hAnsi="Book Antiqua" w:hint="eastAsia"/>
          <w:lang w:eastAsia="zh-CN"/>
        </w:rPr>
        <w:t xml:space="preserve">; T1D: </w:t>
      </w:r>
      <w:r w:rsidR="00FD54CB" w:rsidRPr="00FD54CB">
        <w:rPr>
          <w:rFonts w:ascii="Book Antiqua" w:hAnsi="Book Antiqua"/>
          <w:caps/>
          <w:lang w:eastAsia="zh-CN"/>
        </w:rPr>
        <w:t>t</w:t>
      </w:r>
      <w:r w:rsidR="00FD54CB" w:rsidRPr="00FD54CB">
        <w:rPr>
          <w:rFonts w:ascii="Book Antiqua" w:hAnsi="Book Antiqua"/>
          <w:lang w:eastAsia="zh-CN"/>
        </w:rPr>
        <w:t>ype 1 diabetes</w:t>
      </w:r>
      <w:r w:rsidR="00FD54CB">
        <w:rPr>
          <w:rFonts w:ascii="Book Antiqua" w:hAnsi="Book Antiqua" w:hint="eastAsia"/>
          <w:lang w:eastAsia="zh-CN"/>
        </w:rPr>
        <w:t>.</w:t>
      </w:r>
    </w:p>
    <w:p w:rsidR="00710989" w:rsidRPr="00700A64" w:rsidRDefault="00864BB5" w:rsidP="00B90E53">
      <w:pPr>
        <w:adjustRightInd w:val="0"/>
        <w:snapToGrid w:val="0"/>
        <w:spacing w:line="360" w:lineRule="auto"/>
        <w:jc w:val="both"/>
        <w:rPr>
          <w:rFonts w:ascii="Book Antiqua" w:hAnsi="Book Antiqua"/>
        </w:rPr>
      </w:pPr>
      <w:r>
        <w:rPr>
          <w:rFonts w:ascii="Book Antiqua" w:hAnsi="Book Antiqua"/>
          <w:noProof/>
          <w:lang w:eastAsia="zh-CN"/>
        </w:rPr>
        <w:lastRenderedPageBreak/>
        <mc:AlternateContent>
          <mc:Choice Requires="wps">
            <w:drawing>
              <wp:anchor distT="0" distB="0" distL="114300" distR="114300" simplePos="0" relativeHeight="251658752" behindDoc="0" locked="0" layoutInCell="1" allowOverlap="1">
                <wp:simplePos x="0" y="0"/>
                <wp:positionH relativeFrom="column">
                  <wp:posOffset>2762250</wp:posOffset>
                </wp:positionH>
                <wp:positionV relativeFrom="paragraph">
                  <wp:posOffset>1095375</wp:posOffset>
                </wp:positionV>
                <wp:extent cx="466725" cy="209550"/>
                <wp:effectExtent l="38100" t="9525" r="9525" b="571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09550"/>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86.25pt" to="254.2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" strokecolor="white" strokeweight="1.5pt">
                <v:stroke endarrow="block"/>
              </v:line>
            </w:pict>
          </mc:Fallback>
        </mc:AlternateContent>
      </w:r>
      <w:r w:rsidR="00710989" w:rsidRPr="00700A64">
        <w:rPr>
          <w:rFonts w:ascii="Book Antiqua" w:hAnsi="Book Antiqua"/>
          <w:b/>
        </w:rPr>
        <w:tab/>
      </w:r>
      <w:r w:rsidR="001D7929" w:rsidRPr="00700A64">
        <w:rPr>
          <w:rFonts w:ascii="Book Antiqua" w:hAnsi="Book Antiqua"/>
          <w:noProof/>
          <w:lang w:eastAsia="zh-CN"/>
        </w:rPr>
        <w:drawing>
          <wp:inline distT="0" distB="0" distL="0" distR="0" wp14:anchorId="20B9C103" wp14:editId="112E5C12">
            <wp:extent cx="3355975" cy="2501900"/>
            <wp:effectExtent l="19050" t="0" r="0" b="0"/>
            <wp:docPr id="6" name="Picture 13"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43"/>
                    <pic:cNvPicPr>
                      <a:picLocks noChangeAspect="1" noChangeArrowheads="1"/>
                    </pic:cNvPicPr>
                  </pic:nvPicPr>
                  <pic:blipFill>
                    <a:blip r:embed="rId16" cstate="print"/>
                    <a:srcRect/>
                    <a:stretch>
                      <a:fillRect/>
                    </a:stretch>
                  </pic:blipFill>
                  <pic:spPr bwMode="auto">
                    <a:xfrm>
                      <a:off x="0" y="0"/>
                      <a:ext cx="3355975" cy="2501900"/>
                    </a:xfrm>
                    <a:prstGeom prst="rect">
                      <a:avLst/>
                    </a:prstGeom>
                    <a:noFill/>
                    <a:ln w="9525">
                      <a:noFill/>
                      <a:miter lim="800000"/>
                      <a:headEnd/>
                      <a:tailEnd/>
                    </a:ln>
                  </pic:spPr>
                </pic:pic>
              </a:graphicData>
            </a:graphic>
          </wp:inline>
        </w:drawing>
      </w:r>
      <w:r w:rsidR="00710989" w:rsidRPr="00700A64">
        <w:rPr>
          <w:rFonts w:ascii="Book Antiqua" w:hAnsi="Book Antiqua"/>
        </w:rPr>
        <w:t xml:space="preserve">   </w:t>
      </w:r>
    </w:p>
    <w:p w:rsidR="00710989" w:rsidRPr="00700A64" w:rsidRDefault="00710989" w:rsidP="00B90E53">
      <w:pPr>
        <w:adjustRightInd w:val="0"/>
        <w:snapToGrid w:val="0"/>
        <w:spacing w:line="360" w:lineRule="auto"/>
        <w:jc w:val="both"/>
        <w:rPr>
          <w:rFonts w:ascii="Book Antiqua" w:hAnsi="Book Antiqua"/>
        </w:rPr>
      </w:pPr>
    </w:p>
    <w:p w:rsidR="006D30AC" w:rsidRPr="00FD54CB" w:rsidRDefault="006D30AC" w:rsidP="00B90E53">
      <w:pPr>
        <w:adjustRightInd w:val="0"/>
        <w:snapToGrid w:val="0"/>
        <w:spacing w:line="360" w:lineRule="auto"/>
        <w:jc w:val="both"/>
        <w:rPr>
          <w:rFonts w:ascii="Book Antiqua" w:hAnsi="Book Antiqua"/>
          <w:b/>
        </w:rPr>
      </w:pPr>
      <w:r w:rsidRPr="00FD54CB">
        <w:rPr>
          <w:rFonts w:ascii="Book Antiqua" w:hAnsi="Book Antiqua"/>
          <w:b/>
        </w:rPr>
        <w:t>Figure 3</w:t>
      </w:r>
      <w:r w:rsidRPr="00FD54CB">
        <w:rPr>
          <w:rFonts w:ascii="Book Antiqua" w:hAnsi="Book Antiqua"/>
          <w:b/>
          <w:bCs/>
        </w:rPr>
        <w:t xml:space="preserve"> Positive staining for IDO</w:t>
      </w:r>
      <w:r w:rsidRPr="00FD54CB">
        <w:rPr>
          <w:rFonts w:ascii="Book Antiqua" w:hAnsi="Book Antiqua"/>
          <w:b/>
        </w:rPr>
        <w:t xml:space="preserve"> (purple-red) on a paraffin section of the small bowel mucosa. </w:t>
      </w:r>
      <w:r w:rsidRPr="00FD54CB">
        <w:rPr>
          <w:rFonts w:ascii="Book Antiqua" w:hAnsi="Book Antiqua"/>
        </w:rPr>
        <w:t>Original magnification, 40</w:t>
      </w:r>
      <w:r w:rsidR="00FD54CB" w:rsidRPr="00FD54CB">
        <w:rPr>
          <w:rFonts w:ascii="Book Antiqua" w:hAnsi="Book Antiqua" w:hint="eastAsia"/>
          <w:lang w:eastAsia="zh-CN"/>
        </w:rPr>
        <w:t xml:space="preserve"> </w:t>
      </w:r>
      <w:r w:rsidRPr="00FD54CB">
        <w:rPr>
          <w:rFonts w:ascii="Book Antiqua" w:hAnsi="Book Antiqua"/>
        </w:rPr>
        <w:t>x objective; 10</w:t>
      </w:r>
      <w:r w:rsidR="00FD54CB" w:rsidRPr="00FD54CB">
        <w:rPr>
          <w:rFonts w:ascii="Book Antiqua" w:hAnsi="Book Antiqua" w:hint="eastAsia"/>
          <w:lang w:eastAsia="zh-CN"/>
        </w:rPr>
        <w:t xml:space="preserve"> </w:t>
      </w:r>
      <w:r w:rsidRPr="00FD54CB">
        <w:rPr>
          <w:rFonts w:ascii="Book Antiqua" w:hAnsi="Book Antiqua"/>
        </w:rPr>
        <w:t>x eyepiece.</w:t>
      </w:r>
    </w:p>
    <w:p w:rsidR="0017755D" w:rsidRDefault="0017755D" w:rsidP="00B90E53">
      <w:pPr>
        <w:adjustRightInd w:val="0"/>
        <w:snapToGrid w:val="0"/>
        <w:spacing w:line="360" w:lineRule="auto"/>
        <w:jc w:val="both"/>
        <w:rPr>
          <w:rFonts w:ascii="Book Antiqua" w:hAnsi="Book Antiqua"/>
          <w:b/>
        </w:rPr>
      </w:pPr>
      <w:r>
        <w:rPr>
          <w:rFonts w:ascii="Book Antiqua" w:hAnsi="Book Antiqua"/>
          <w:b/>
        </w:rPr>
        <w:br w:type="page"/>
      </w:r>
    </w:p>
    <w:p w:rsidR="006D30AC" w:rsidRPr="00700A64" w:rsidRDefault="006D30AC" w:rsidP="00B90E53">
      <w:pPr>
        <w:adjustRightInd w:val="0"/>
        <w:snapToGrid w:val="0"/>
        <w:spacing w:line="360" w:lineRule="auto"/>
        <w:jc w:val="both"/>
        <w:rPr>
          <w:rFonts w:ascii="Book Antiqua" w:hAnsi="Book Antiqua"/>
          <w:b/>
        </w:rPr>
      </w:pPr>
    </w:p>
    <w:p w:rsidR="006D30AC" w:rsidRPr="00700A64" w:rsidRDefault="0017755D" w:rsidP="00B90E53">
      <w:pPr>
        <w:adjustRightInd w:val="0"/>
        <w:snapToGrid w:val="0"/>
        <w:spacing w:line="360" w:lineRule="auto"/>
        <w:jc w:val="both"/>
        <w:rPr>
          <w:rFonts w:ascii="Book Antiqua" w:hAnsi="Book Antiqua"/>
          <w:b/>
          <w:lang w:eastAsia="zh-CN"/>
        </w:rPr>
      </w:pPr>
      <w:r>
        <w:rPr>
          <w:noProof/>
          <w:lang w:eastAsia="zh-CN"/>
        </w:rPr>
        <w:drawing>
          <wp:inline distT="0" distB="0" distL="0" distR="0" wp14:anchorId="3A8ED90F" wp14:editId="1529E8F9">
            <wp:extent cx="1405719" cy="148789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06207" cy="1488415"/>
                    </a:xfrm>
                    <a:prstGeom prst="rect">
                      <a:avLst/>
                    </a:prstGeom>
                  </pic:spPr>
                </pic:pic>
              </a:graphicData>
            </a:graphic>
          </wp:inline>
        </w:drawing>
      </w:r>
      <w:r>
        <w:rPr>
          <w:rFonts w:ascii="Book Antiqua" w:hAnsi="Book Antiqua" w:hint="eastAsia"/>
          <w:b/>
          <w:lang w:eastAsia="zh-CN"/>
        </w:rPr>
        <w:t xml:space="preserve">       </w:t>
      </w:r>
      <w:r w:rsidRPr="00700A64">
        <w:rPr>
          <w:rFonts w:ascii="Book Antiqua" w:hAnsi="Book Antiqua"/>
        </w:rPr>
        <w:object w:dxaOrig="8625" w:dyaOrig="4867">
          <v:shape id="_x0000_i1027" type="#_x0000_t75" style="width:154.65pt;height:115.85pt" o:ole="">
            <v:imagedata r:id="rId18" o:title=""/>
          </v:shape>
          <o:OLEObject Type="Embed" ProgID="Prism5.Document" ShapeID="_x0000_i1027" DrawAspect="Content" ObjectID="_1467523218" r:id="rId19"/>
        </w:object>
      </w:r>
    </w:p>
    <w:p w:rsidR="006D30AC" w:rsidRPr="0017755D" w:rsidRDefault="0017755D" w:rsidP="00B90E53">
      <w:pPr>
        <w:adjustRightInd w:val="0"/>
        <w:snapToGrid w:val="0"/>
        <w:spacing w:line="360" w:lineRule="auto"/>
        <w:jc w:val="both"/>
        <w:rPr>
          <w:rFonts w:ascii="Book Antiqua" w:hAnsi="Book Antiqua"/>
          <w:lang w:eastAsia="zh-CN"/>
        </w:rPr>
      </w:pPr>
      <w:r w:rsidRPr="0017755D">
        <w:rPr>
          <w:rFonts w:ascii="Book Antiqua" w:hAnsi="Book Antiqua" w:hint="eastAsia"/>
          <w:lang w:eastAsia="zh-CN"/>
        </w:rPr>
        <w:t xml:space="preserve">A                                        </w:t>
      </w:r>
      <w:r>
        <w:rPr>
          <w:rFonts w:ascii="Book Antiqua" w:hAnsi="Book Antiqua" w:hint="eastAsia"/>
          <w:lang w:eastAsia="zh-CN"/>
        </w:rPr>
        <w:t xml:space="preserve"> </w:t>
      </w:r>
      <w:r w:rsidRPr="0017755D">
        <w:rPr>
          <w:rFonts w:ascii="Book Antiqua" w:hAnsi="Book Antiqua" w:hint="eastAsia"/>
          <w:lang w:eastAsia="zh-CN"/>
        </w:rPr>
        <w:t>B</w:t>
      </w:r>
    </w:p>
    <w:p w:rsidR="00710989" w:rsidRPr="00700A64" w:rsidRDefault="00710989" w:rsidP="00B90E53">
      <w:pPr>
        <w:adjustRightInd w:val="0"/>
        <w:snapToGrid w:val="0"/>
        <w:spacing w:line="360" w:lineRule="auto"/>
        <w:jc w:val="both"/>
        <w:rPr>
          <w:rFonts w:ascii="Book Antiqua" w:hAnsi="Book Antiqua"/>
          <w:b/>
        </w:rPr>
      </w:pPr>
    </w:p>
    <w:p w:rsidR="00710989" w:rsidRPr="00700A64" w:rsidRDefault="0017755D" w:rsidP="00B90E53">
      <w:pPr>
        <w:adjustRightInd w:val="0"/>
        <w:snapToGrid w:val="0"/>
        <w:spacing w:line="360" w:lineRule="auto"/>
        <w:jc w:val="both"/>
        <w:rPr>
          <w:rFonts w:ascii="Book Antiqua" w:hAnsi="Book Antiqua"/>
          <w:b/>
          <w:lang w:eastAsia="zh-CN"/>
        </w:rPr>
      </w:pPr>
      <w:r w:rsidRPr="00700A64">
        <w:rPr>
          <w:rFonts w:ascii="Book Antiqua" w:hAnsi="Book Antiqua"/>
        </w:rPr>
        <w:object w:dxaOrig="6725" w:dyaOrig="4471">
          <v:shape id="_x0000_i1028" type="#_x0000_t75" style="width:147.15pt;height:97.05pt" o:ole="">
            <v:imagedata r:id="rId20" o:title=""/>
          </v:shape>
          <o:OLEObject Type="Embed" ProgID="Prism5.Document" ShapeID="_x0000_i1028" DrawAspect="Content" ObjectID="_1467523219" r:id="rId21"/>
        </w:object>
      </w:r>
      <w:r>
        <w:rPr>
          <w:rFonts w:ascii="Book Antiqua" w:hAnsi="Book Antiqua" w:hint="eastAsia"/>
          <w:lang w:eastAsia="zh-CN"/>
        </w:rPr>
        <w:t xml:space="preserve">  </w:t>
      </w:r>
      <w:r w:rsidRPr="00700A64">
        <w:rPr>
          <w:rFonts w:ascii="Book Antiqua" w:hAnsi="Book Antiqua"/>
        </w:rPr>
        <w:object w:dxaOrig="7215" w:dyaOrig="4954">
          <v:shape id="_x0000_i1029" type="#_x0000_t75" style="width:141.5pt;height:96.4pt" o:ole="">
            <v:imagedata r:id="rId22" o:title=""/>
          </v:shape>
          <o:OLEObject Type="Embed" ProgID="Prism5.Document" ShapeID="_x0000_i1029" DrawAspect="Content" ObjectID="_1467523220" r:id="rId23"/>
        </w:object>
      </w:r>
    </w:p>
    <w:p w:rsidR="00710989" w:rsidRPr="0017755D" w:rsidRDefault="0017755D" w:rsidP="00B90E53">
      <w:pPr>
        <w:adjustRightInd w:val="0"/>
        <w:snapToGrid w:val="0"/>
        <w:spacing w:line="360" w:lineRule="auto"/>
        <w:jc w:val="both"/>
        <w:rPr>
          <w:rFonts w:ascii="Book Antiqua" w:hAnsi="Book Antiqua"/>
          <w:lang w:eastAsia="zh-CN"/>
        </w:rPr>
      </w:pPr>
      <w:r w:rsidRPr="0017755D">
        <w:rPr>
          <w:rFonts w:ascii="Book Antiqua" w:hAnsi="Book Antiqua" w:hint="eastAsia"/>
          <w:lang w:eastAsia="zh-CN"/>
        </w:rPr>
        <w:t>C                                                D</w:t>
      </w:r>
    </w:p>
    <w:p w:rsidR="00710989" w:rsidRPr="00700A64" w:rsidRDefault="00710989" w:rsidP="00B90E53">
      <w:pPr>
        <w:adjustRightInd w:val="0"/>
        <w:snapToGrid w:val="0"/>
        <w:spacing w:line="360" w:lineRule="auto"/>
        <w:jc w:val="both"/>
        <w:rPr>
          <w:rFonts w:ascii="Book Antiqua" w:hAnsi="Book Antiqua"/>
          <w:b/>
        </w:rPr>
      </w:pPr>
    </w:p>
    <w:p w:rsidR="006D30AC" w:rsidRPr="008B1DDB" w:rsidRDefault="006D30AC" w:rsidP="00B90E53">
      <w:pPr>
        <w:pStyle w:val="-11"/>
        <w:adjustRightInd w:val="0"/>
        <w:snapToGrid w:val="0"/>
        <w:spacing w:after="0" w:line="360" w:lineRule="auto"/>
        <w:ind w:left="0"/>
        <w:contextualSpacing w:val="0"/>
        <w:jc w:val="both"/>
        <w:rPr>
          <w:rFonts w:ascii="Book Antiqua" w:eastAsiaTheme="minorEastAsia" w:hAnsi="Book Antiqua"/>
          <w:b/>
          <w:bCs/>
          <w:sz w:val="24"/>
          <w:szCs w:val="24"/>
          <w:lang w:eastAsia="zh-CN"/>
        </w:rPr>
      </w:pPr>
      <w:r w:rsidRPr="008B1DDB">
        <w:rPr>
          <w:rFonts w:ascii="Book Antiqua" w:hAnsi="Book Antiqua"/>
          <w:b/>
        </w:rPr>
        <w:t>Figure 4</w:t>
      </w:r>
      <w:r w:rsidR="00FD54CB" w:rsidRPr="008B1DDB">
        <w:rPr>
          <w:rFonts w:ascii="Book Antiqua" w:hAnsi="Book Antiqua" w:hint="eastAsia"/>
          <w:b/>
          <w:lang w:eastAsia="zh-CN"/>
        </w:rPr>
        <w:t xml:space="preserve"> </w:t>
      </w:r>
      <w:r w:rsidRPr="008B1DDB">
        <w:rPr>
          <w:rFonts w:ascii="Book Antiqua" w:hAnsi="Book Antiqua"/>
          <w:b/>
          <w:caps/>
          <w:sz w:val="24"/>
          <w:szCs w:val="24"/>
        </w:rPr>
        <w:t>d</w:t>
      </w:r>
      <w:r w:rsidRPr="008B1DDB">
        <w:rPr>
          <w:rFonts w:ascii="Book Antiqua" w:hAnsi="Book Antiqua"/>
          <w:b/>
          <w:sz w:val="24"/>
          <w:szCs w:val="24"/>
        </w:rPr>
        <w:t>ensities of IDO+ DCs on paraffin sections for the different study groups</w:t>
      </w:r>
      <w:r w:rsidR="008B1DDB" w:rsidRPr="008B1DDB">
        <w:rPr>
          <w:rFonts w:ascii="Book Antiqua" w:eastAsiaTheme="minorEastAsia" w:hAnsi="Book Antiqua" w:hint="eastAsia"/>
          <w:b/>
          <w:sz w:val="24"/>
          <w:szCs w:val="24"/>
          <w:lang w:eastAsia="zh-CN"/>
        </w:rPr>
        <w:t xml:space="preserve"> (A)</w:t>
      </w:r>
      <w:r w:rsidR="008B1DDB" w:rsidRPr="008B1DDB">
        <w:rPr>
          <w:rFonts w:ascii="Book Antiqua" w:hAnsi="Book Antiqua" w:hint="eastAsia"/>
          <w:b/>
          <w:lang w:eastAsia="zh-CN"/>
        </w:rPr>
        <w:t>;</w:t>
      </w:r>
      <w:r w:rsidRPr="008B1DDB">
        <w:rPr>
          <w:rFonts w:ascii="Book Antiqua" w:hAnsi="Book Antiqua"/>
          <w:b/>
          <w:sz w:val="24"/>
          <w:szCs w:val="24"/>
        </w:rPr>
        <w:t xml:space="preserve"> </w:t>
      </w:r>
      <w:r w:rsidR="008B1DDB" w:rsidRPr="008B1DDB">
        <w:rPr>
          <w:rFonts w:ascii="Book Antiqua" w:hAnsi="Book Antiqua"/>
          <w:b/>
          <w:bCs/>
          <w:sz w:val="24"/>
          <w:szCs w:val="24"/>
        </w:rPr>
        <w:t>Spearman’s rank correlation between the histological grades (according to Marsh) and IDO+ DCs (on paraffin sections) for the studied persons</w:t>
      </w:r>
      <w:r w:rsidR="008B1DDB" w:rsidRPr="008B1DDB">
        <w:rPr>
          <w:rFonts w:ascii="Book Antiqua" w:eastAsiaTheme="minorEastAsia" w:hAnsi="Book Antiqua" w:hint="eastAsia"/>
          <w:b/>
          <w:bCs/>
          <w:sz w:val="24"/>
          <w:szCs w:val="24"/>
          <w:lang w:eastAsia="zh-CN"/>
        </w:rPr>
        <w:t xml:space="preserve"> (B); </w:t>
      </w:r>
      <w:r w:rsidR="008B1DDB" w:rsidRPr="008B1DDB">
        <w:rPr>
          <w:rFonts w:ascii="Book Antiqua" w:hAnsi="Book Antiqua"/>
          <w:b/>
          <w:sz w:val="24"/>
          <w:szCs w:val="24"/>
        </w:rPr>
        <w:t>between the densities of IDO+DCs and serum IgA-tTG levels in the studied persons</w:t>
      </w:r>
      <w:r w:rsidR="008B1DDB" w:rsidRPr="008B1DDB">
        <w:rPr>
          <w:rFonts w:ascii="Book Antiqua" w:eastAsiaTheme="minorEastAsia" w:hAnsi="Book Antiqua" w:hint="eastAsia"/>
          <w:b/>
          <w:sz w:val="24"/>
          <w:szCs w:val="24"/>
          <w:lang w:eastAsia="zh-CN"/>
        </w:rPr>
        <w:t xml:space="preserve"> (C); </w:t>
      </w:r>
      <w:r w:rsidR="008B1DDB" w:rsidRPr="008B1DDB">
        <w:rPr>
          <w:rFonts w:ascii="Book Antiqua" w:eastAsiaTheme="minorEastAsia" w:hAnsi="Book Antiqua" w:hint="eastAsia"/>
          <w:b/>
          <w:bCs/>
          <w:sz w:val="24"/>
          <w:szCs w:val="24"/>
          <w:lang w:eastAsia="zh-CN"/>
        </w:rPr>
        <w:t xml:space="preserve">or </w:t>
      </w:r>
      <w:r w:rsidR="008B1DDB" w:rsidRPr="008B1DDB">
        <w:rPr>
          <w:rFonts w:ascii="Book Antiqua" w:hAnsi="Book Antiqua"/>
          <w:b/>
          <w:bCs/>
          <w:sz w:val="24"/>
          <w:szCs w:val="24"/>
        </w:rPr>
        <w:t>between the densities of IDO+ DCs and FOXP3+ Treg cells for the entire study group, evaluated on paraffin sections (</w:t>
      </w:r>
      <w:r w:rsidR="008B1DDB" w:rsidRPr="008B1DDB">
        <w:rPr>
          <w:rFonts w:ascii="Book Antiqua" w:hAnsi="Book Antiqua"/>
          <w:b/>
          <w:bCs/>
          <w:i/>
          <w:sz w:val="24"/>
          <w:szCs w:val="24"/>
        </w:rPr>
        <w:t>r</w:t>
      </w:r>
      <w:r w:rsidR="008B1DDB" w:rsidRPr="008B1DDB">
        <w:rPr>
          <w:rFonts w:ascii="Book Antiqua" w:eastAsiaTheme="minorEastAsia" w:hAnsi="Book Antiqua" w:hint="eastAsia"/>
          <w:b/>
          <w:bCs/>
          <w:i/>
          <w:sz w:val="24"/>
          <w:szCs w:val="24"/>
          <w:lang w:eastAsia="zh-CN"/>
        </w:rPr>
        <w:t xml:space="preserve"> </w:t>
      </w:r>
      <w:r w:rsidR="008B1DDB" w:rsidRPr="008B1DDB">
        <w:rPr>
          <w:rFonts w:ascii="Book Antiqua" w:hAnsi="Book Antiqua"/>
          <w:b/>
          <w:bCs/>
          <w:sz w:val="24"/>
          <w:szCs w:val="24"/>
        </w:rPr>
        <w:t>=</w:t>
      </w:r>
      <w:r w:rsidR="008B1DDB" w:rsidRPr="008B1DDB">
        <w:rPr>
          <w:rFonts w:ascii="Book Antiqua" w:eastAsiaTheme="minorEastAsia" w:hAnsi="Book Antiqua" w:hint="eastAsia"/>
          <w:b/>
          <w:bCs/>
          <w:sz w:val="24"/>
          <w:szCs w:val="24"/>
          <w:lang w:eastAsia="zh-CN"/>
        </w:rPr>
        <w:t xml:space="preserve"> </w:t>
      </w:r>
      <w:r w:rsidR="008B1DDB" w:rsidRPr="008B1DDB">
        <w:rPr>
          <w:rFonts w:ascii="Book Antiqua" w:hAnsi="Book Antiqua"/>
          <w:b/>
          <w:bCs/>
          <w:sz w:val="24"/>
          <w:szCs w:val="24"/>
        </w:rPr>
        <w:t xml:space="preserve">0.76; </w:t>
      </w:r>
      <w:r w:rsidR="008B1DDB" w:rsidRPr="008B1DDB">
        <w:rPr>
          <w:rFonts w:ascii="Book Antiqua" w:hAnsi="Book Antiqua"/>
          <w:b/>
          <w:bCs/>
          <w:i/>
          <w:sz w:val="24"/>
          <w:szCs w:val="24"/>
        </w:rPr>
        <w:t xml:space="preserve">P = </w:t>
      </w:r>
      <w:r w:rsidR="008B1DDB" w:rsidRPr="008B1DDB">
        <w:rPr>
          <w:rFonts w:ascii="Book Antiqua" w:hAnsi="Book Antiqua"/>
          <w:b/>
          <w:bCs/>
          <w:sz w:val="24"/>
          <w:szCs w:val="24"/>
        </w:rPr>
        <w:t>0.0001)</w:t>
      </w:r>
      <w:r w:rsidR="008B1DDB" w:rsidRPr="008B1DDB">
        <w:rPr>
          <w:rFonts w:ascii="Book Antiqua" w:eastAsiaTheme="minorEastAsia" w:hAnsi="Book Antiqua" w:hint="eastAsia"/>
          <w:b/>
          <w:bCs/>
          <w:sz w:val="24"/>
          <w:szCs w:val="24"/>
          <w:lang w:eastAsia="zh-CN"/>
        </w:rPr>
        <w:t xml:space="preserve"> (</w:t>
      </w:r>
      <w:r w:rsidR="008B1DDB" w:rsidRPr="008B1DDB">
        <w:rPr>
          <w:rFonts w:ascii="Book Antiqua" w:eastAsiaTheme="minorEastAsia" w:hAnsi="Book Antiqua" w:hint="eastAsia"/>
          <w:b/>
          <w:bCs/>
          <w:caps/>
          <w:sz w:val="24"/>
          <w:szCs w:val="24"/>
          <w:lang w:eastAsia="zh-CN"/>
        </w:rPr>
        <w:t>D</w:t>
      </w:r>
      <w:r w:rsidR="008B1DDB" w:rsidRPr="008B1DDB">
        <w:rPr>
          <w:rFonts w:ascii="Book Antiqua" w:eastAsiaTheme="minorEastAsia" w:hAnsi="Book Antiqua" w:hint="eastAsia"/>
          <w:b/>
          <w:bCs/>
          <w:sz w:val="24"/>
          <w:szCs w:val="24"/>
          <w:lang w:eastAsia="zh-CN"/>
        </w:rPr>
        <w:t>)</w:t>
      </w:r>
      <w:r w:rsidR="008B1DDB" w:rsidRPr="008B1DDB">
        <w:rPr>
          <w:rFonts w:ascii="Book Antiqua" w:hAnsi="Book Antiqua"/>
          <w:b/>
          <w:bCs/>
          <w:sz w:val="24"/>
          <w:szCs w:val="24"/>
        </w:rPr>
        <w:t>.</w:t>
      </w:r>
      <w:r w:rsidR="008B1DDB">
        <w:rPr>
          <w:rFonts w:ascii="Book Antiqua" w:eastAsiaTheme="minorEastAsia" w:hAnsi="Book Antiqua" w:hint="eastAsia"/>
          <w:b/>
          <w:bCs/>
          <w:sz w:val="24"/>
          <w:szCs w:val="24"/>
          <w:lang w:eastAsia="zh-CN"/>
        </w:rPr>
        <w:t xml:space="preserve"> </w:t>
      </w:r>
      <w:r w:rsidRPr="00700A64">
        <w:rPr>
          <w:rFonts w:ascii="Book Antiqua" w:hAnsi="Book Antiqua"/>
          <w:sz w:val="24"/>
          <w:szCs w:val="24"/>
        </w:rPr>
        <w:t xml:space="preserve">The dots represent the mean values of positively stained cells per microscopic field. </w:t>
      </w:r>
      <w:r w:rsidR="00FD54CB">
        <w:rPr>
          <w:rFonts w:ascii="Book Antiqua" w:hAnsi="Book Antiqua" w:hint="eastAsia"/>
          <w:vertAlign w:val="superscript"/>
          <w:lang w:eastAsia="zh-CN"/>
        </w:rPr>
        <w:t>b</w:t>
      </w:r>
      <w:r w:rsidR="00F94270" w:rsidRPr="00700A64">
        <w:rPr>
          <w:rFonts w:ascii="Book Antiqua" w:hAnsi="Book Antiqua"/>
          <w:i/>
          <w:sz w:val="24"/>
          <w:szCs w:val="24"/>
        </w:rPr>
        <w:t xml:space="preserve">P </w:t>
      </w:r>
      <w:r w:rsidR="00FD54CB">
        <w:rPr>
          <w:rFonts w:ascii="Book Antiqua" w:hAnsi="Book Antiqua" w:hint="eastAsia"/>
          <w:i/>
          <w:lang w:eastAsia="zh-CN"/>
        </w:rPr>
        <w:t xml:space="preserve">&lt; </w:t>
      </w:r>
      <w:r w:rsidR="00FD54CB">
        <w:rPr>
          <w:rFonts w:ascii="Book Antiqua" w:hAnsi="Book Antiqua" w:hint="eastAsia"/>
          <w:lang w:eastAsia="zh-CN"/>
        </w:rPr>
        <w:t>0.01,</w:t>
      </w:r>
      <w:r w:rsidRPr="00700A64">
        <w:rPr>
          <w:rFonts w:ascii="Book Antiqua" w:hAnsi="Book Antiqua"/>
          <w:sz w:val="24"/>
          <w:szCs w:val="24"/>
        </w:rPr>
        <w:t xml:space="preserve"> CD </w:t>
      </w:r>
      <w:r w:rsidR="00F94270" w:rsidRPr="00700A64">
        <w:rPr>
          <w:rFonts w:ascii="Book Antiqua" w:hAnsi="Book Antiqua"/>
          <w:i/>
          <w:sz w:val="24"/>
          <w:szCs w:val="24"/>
        </w:rPr>
        <w:t>vs</w:t>
      </w:r>
      <w:r w:rsidRPr="00700A64">
        <w:rPr>
          <w:rFonts w:ascii="Book Antiqua" w:hAnsi="Book Antiqua"/>
          <w:sz w:val="24"/>
          <w:szCs w:val="24"/>
        </w:rPr>
        <w:t xml:space="preserve"> normal mucosa; </w:t>
      </w:r>
      <w:r w:rsidR="00FD54CB">
        <w:rPr>
          <w:rFonts w:ascii="Book Antiqua" w:hAnsi="Book Antiqua" w:hint="eastAsia"/>
          <w:vertAlign w:val="superscript"/>
          <w:lang w:eastAsia="zh-CN"/>
        </w:rPr>
        <w:t>d</w:t>
      </w:r>
      <w:r w:rsidR="00F94270" w:rsidRPr="00700A64">
        <w:rPr>
          <w:rFonts w:ascii="Book Antiqua" w:hAnsi="Book Antiqua"/>
          <w:i/>
          <w:sz w:val="24"/>
          <w:szCs w:val="24"/>
        </w:rPr>
        <w:t xml:space="preserve">P </w:t>
      </w:r>
      <w:r w:rsidR="00A5789A">
        <w:rPr>
          <w:rFonts w:ascii="Book Antiqua" w:hAnsi="Book Antiqua" w:hint="eastAsia"/>
          <w:i/>
          <w:lang w:eastAsia="zh-CN"/>
        </w:rPr>
        <w:t>&lt;</w:t>
      </w:r>
      <w:r w:rsidRPr="00700A64">
        <w:rPr>
          <w:rFonts w:ascii="Book Antiqua" w:hAnsi="Book Antiqua"/>
          <w:sz w:val="24"/>
          <w:szCs w:val="24"/>
        </w:rPr>
        <w:t xml:space="preserve"> CD</w:t>
      </w:r>
      <w:r w:rsidR="00A5789A">
        <w:rPr>
          <w:rFonts w:ascii="Book Antiqua" w:hAnsi="Book Antiqua" w:hint="eastAsia"/>
          <w:lang w:eastAsia="zh-CN"/>
        </w:rPr>
        <w:t>,</w:t>
      </w:r>
      <w:r w:rsidRPr="00700A64">
        <w:rPr>
          <w:rFonts w:ascii="Book Antiqua" w:hAnsi="Book Antiqua"/>
          <w:sz w:val="24"/>
          <w:szCs w:val="24"/>
        </w:rPr>
        <w:t xml:space="preserve"> with T1D </w:t>
      </w:r>
      <w:r w:rsidR="00F94270" w:rsidRPr="00700A64">
        <w:rPr>
          <w:rFonts w:ascii="Book Antiqua" w:hAnsi="Book Antiqua"/>
          <w:i/>
          <w:sz w:val="24"/>
          <w:szCs w:val="24"/>
        </w:rPr>
        <w:t>vs</w:t>
      </w:r>
      <w:r w:rsidRPr="00700A64">
        <w:rPr>
          <w:rFonts w:ascii="Book Antiqua" w:hAnsi="Book Antiqua"/>
          <w:sz w:val="24"/>
          <w:szCs w:val="24"/>
        </w:rPr>
        <w:t xml:space="preserve"> normal mucosa; </w:t>
      </w:r>
      <w:r w:rsidR="00A5789A">
        <w:rPr>
          <w:rFonts w:ascii="Book Antiqua" w:hAnsi="Book Antiqua" w:hint="eastAsia"/>
          <w:vertAlign w:val="superscript"/>
          <w:lang w:eastAsia="zh-CN"/>
        </w:rPr>
        <w:t>h</w:t>
      </w:r>
      <w:r w:rsidR="00F94270" w:rsidRPr="00700A64">
        <w:rPr>
          <w:rFonts w:ascii="Book Antiqua" w:hAnsi="Book Antiqua"/>
          <w:i/>
          <w:sz w:val="24"/>
          <w:szCs w:val="24"/>
        </w:rPr>
        <w:t xml:space="preserve">P </w:t>
      </w:r>
      <w:r w:rsidR="00A5789A">
        <w:rPr>
          <w:rFonts w:ascii="Book Antiqua" w:hAnsi="Book Antiqua" w:hint="eastAsia"/>
          <w:i/>
          <w:lang w:eastAsia="zh-CN"/>
        </w:rPr>
        <w:t xml:space="preserve">&lt; </w:t>
      </w:r>
      <w:r w:rsidRPr="00700A64">
        <w:rPr>
          <w:rFonts w:ascii="Book Antiqua" w:hAnsi="Book Antiqua"/>
          <w:sz w:val="24"/>
          <w:szCs w:val="24"/>
        </w:rPr>
        <w:t>0.0</w:t>
      </w:r>
      <w:r w:rsidR="00A5789A">
        <w:rPr>
          <w:rFonts w:ascii="Book Antiqua" w:hAnsi="Book Antiqua" w:hint="eastAsia"/>
          <w:lang w:eastAsia="zh-CN"/>
        </w:rPr>
        <w:t>1,</w:t>
      </w:r>
      <w:r w:rsidRPr="00700A64">
        <w:rPr>
          <w:rFonts w:ascii="Book Antiqua" w:hAnsi="Book Antiqua"/>
          <w:sz w:val="24"/>
          <w:szCs w:val="24"/>
        </w:rPr>
        <w:t xml:space="preserve"> CD total </w:t>
      </w:r>
      <w:r w:rsidR="00F94270" w:rsidRPr="00700A64">
        <w:rPr>
          <w:rFonts w:ascii="Book Antiqua" w:hAnsi="Book Antiqua"/>
          <w:i/>
          <w:sz w:val="24"/>
          <w:szCs w:val="24"/>
        </w:rPr>
        <w:t>vs</w:t>
      </w:r>
      <w:r w:rsidRPr="00700A64">
        <w:rPr>
          <w:rFonts w:ascii="Book Antiqua" w:hAnsi="Book Antiqua"/>
          <w:i/>
          <w:sz w:val="24"/>
          <w:szCs w:val="24"/>
        </w:rPr>
        <w:t xml:space="preserve"> </w:t>
      </w:r>
      <w:r w:rsidRPr="00700A64">
        <w:rPr>
          <w:rFonts w:ascii="Book Antiqua" w:hAnsi="Book Antiqua"/>
          <w:sz w:val="24"/>
          <w:szCs w:val="24"/>
        </w:rPr>
        <w:t>normal mucosa.</w:t>
      </w:r>
      <w:r w:rsidR="008B1DDB">
        <w:rPr>
          <w:rFonts w:ascii="Book Antiqua" w:eastAsiaTheme="minorEastAsia" w:hAnsi="Book Antiqua" w:hint="eastAsia"/>
          <w:sz w:val="24"/>
          <w:szCs w:val="24"/>
          <w:lang w:eastAsia="zh-CN"/>
        </w:rPr>
        <w:t xml:space="preserve"> </w:t>
      </w:r>
      <w:r w:rsidR="008B1DDB">
        <w:rPr>
          <w:rFonts w:ascii="Book Antiqua" w:hAnsi="Book Antiqua" w:hint="eastAsia"/>
          <w:lang w:eastAsia="zh-CN"/>
        </w:rPr>
        <w:t xml:space="preserve">CD: </w:t>
      </w:r>
      <w:r w:rsidR="008B1DDB" w:rsidRPr="00FD54CB">
        <w:rPr>
          <w:rFonts w:ascii="Book Antiqua" w:hAnsi="Book Antiqua"/>
          <w:caps/>
          <w:lang w:eastAsia="zh-CN"/>
        </w:rPr>
        <w:t>c</w:t>
      </w:r>
      <w:r w:rsidR="008B1DDB" w:rsidRPr="00FD54CB">
        <w:rPr>
          <w:rFonts w:ascii="Book Antiqua" w:hAnsi="Book Antiqua"/>
          <w:lang w:eastAsia="zh-CN"/>
        </w:rPr>
        <w:t>eliac disease</w:t>
      </w:r>
      <w:r w:rsidR="008B1DDB">
        <w:rPr>
          <w:rFonts w:ascii="Book Antiqua" w:hAnsi="Book Antiqua" w:hint="eastAsia"/>
          <w:lang w:eastAsia="zh-CN"/>
        </w:rPr>
        <w:t xml:space="preserve">; T1D: </w:t>
      </w:r>
      <w:r w:rsidR="008B1DDB" w:rsidRPr="00FD54CB">
        <w:rPr>
          <w:rFonts w:ascii="Book Antiqua" w:hAnsi="Book Antiqua"/>
          <w:caps/>
          <w:lang w:eastAsia="zh-CN"/>
        </w:rPr>
        <w:t>t</w:t>
      </w:r>
      <w:r w:rsidR="008B1DDB" w:rsidRPr="00FD54CB">
        <w:rPr>
          <w:rFonts w:ascii="Book Antiqua" w:hAnsi="Book Antiqua"/>
          <w:lang w:eastAsia="zh-CN"/>
        </w:rPr>
        <w:t>ype 1 diabetes</w:t>
      </w:r>
      <w:r w:rsidR="008B1DDB">
        <w:rPr>
          <w:rFonts w:ascii="Book Antiqua" w:hAnsi="Book Antiqua" w:hint="eastAsia"/>
          <w:lang w:eastAsia="zh-CN"/>
        </w:rPr>
        <w:t>.</w:t>
      </w:r>
    </w:p>
    <w:p w:rsidR="00710989" w:rsidRPr="00700A64" w:rsidRDefault="00710989" w:rsidP="00B90E53">
      <w:pPr>
        <w:adjustRightInd w:val="0"/>
        <w:snapToGrid w:val="0"/>
        <w:spacing w:line="360" w:lineRule="auto"/>
        <w:jc w:val="both"/>
        <w:rPr>
          <w:rFonts w:ascii="Book Antiqua" w:hAnsi="Book Antiqua"/>
          <w:b/>
          <w:bCs/>
        </w:rPr>
      </w:pPr>
    </w:p>
    <w:p w:rsidR="00710989" w:rsidRPr="00700A64" w:rsidRDefault="00710989" w:rsidP="00B90E53">
      <w:pPr>
        <w:adjustRightInd w:val="0"/>
        <w:snapToGrid w:val="0"/>
        <w:spacing w:line="360" w:lineRule="auto"/>
        <w:jc w:val="both"/>
        <w:rPr>
          <w:rFonts w:ascii="Book Antiqua" w:hAnsi="Book Antiqua"/>
          <w:b/>
          <w:bCs/>
          <w:lang w:val="et-EE"/>
        </w:rPr>
      </w:pPr>
      <w:r w:rsidRPr="00700A64">
        <w:rPr>
          <w:rFonts w:ascii="Book Antiqua" w:hAnsi="Book Antiqua"/>
          <w:b/>
          <w:bCs/>
          <w:lang w:val="et-EE"/>
        </w:rPr>
        <w:br w:type="page"/>
      </w:r>
    </w:p>
    <w:p w:rsidR="00710989" w:rsidRPr="00700A64" w:rsidRDefault="001D7929" w:rsidP="00B90E53">
      <w:pPr>
        <w:adjustRightInd w:val="0"/>
        <w:snapToGrid w:val="0"/>
        <w:spacing w:line="360" w:lineRule="auto"/>
        <w:jc w:val="both"/>
        <w:rPr>
          <w:rFonts w:ascii="Book Antiqua" w:hAnsi="Book Antiqua"/>
          <w:noProof/>
        </w:rPr>
      </w:pPr>
      <w:r w:rsidRPr="00700A64">
        <w:rPr>
          <w:rFonts w:ascii="Book Antiqua" w:hAnsi="Book Antiqua"/>
          <w:b/>
          <w:noProof/>
          <w:lang w:eastAsia="zh-CN"/>
        </w:rPr>
        <w:lastRenderedPageBreak/>
        <w:drawing>
          <wp:inline distT="0" distB="0" distL="0" distR="0" wp14:anchorId="03DB47BE" wp14:editId="0E5BE8BE">
            <wp:extent cx="1769190" cy="1323833"/>
            <wp:effectExtent l="0" t="0" r="0" b="0"/>
            <wp:docPr id="11" name="Picture 16" descr="Image018_Combined001_ch00_CDDM-35_Hiir_IDO+C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8_Combined001_ch00_CDDM-35_Hiir_IDO+CD103"/>
                    <pic:cNvPicPr>
                      <a:picLocks noChangeAspect="1" noChangeArrowheads="1"/>
                    </pic:cNvPicPr>
                  </pic:nvPicPr>
                  <pic:blipFill>
                    <a:blip r:embed="rId24" cstate="print"/>
                    <a:srcRect/>
                    <a:stretch>
                      <a:fillRect/>
                    </a:stretch>
                  </pic:blipFill>
                  <pic:spPr bwMode="auto">
                    <a:xfrm>
                      <a:off x="0" y="0"/>
                      <a:ext cx="1768345" cy="1323201"/>
                    </a:xfrm>
                    <a:prstGeom prst="rect">
                      <a:avLst/>
                    </a:prstGeom>
                    <a:noFill/>
                    <a:ln w="9525">
                      <a:noFill/>
                      <a:miter lim="800000"/>
                      <a:headEnd/>
                      <a:tailEnd/>
                    </a:ln>
                  </pic:spPr>
                </pic:pic>
              </a:graphicData>
            </a:graphic>
          </wp:inline>
        </w:drawing>
      </w:r>
      <w:r w:rsidR="00710989" w:rsidRPr="00700A64">
        <w:rPr>
          <w:rFonts w:ascii="Book Antiqua" w:hAnsi="Book Antiqua"/>
          <w:lang w:val="et-EE"/>
        </w:rPr>
        <w:t xml:space="preserve">  </w:t>
      </w:r>
      <w:r w:rsidRPr="00700A64">
        <w:rPr>
          <w:rFonts w:ascii="Book Antiqua" w:hAnsi="Book Antiqua"/>
          <w:noProof/>
          <w:lang w:eastAsia="zh-CN"/>
        </w:rPr>
        <w:drawing>
          <wp:inline distT="0" distB="0" distL="0" distR="0" wp14:anchorId="76FC74A5" wp14:editId="4E13E3EA">
            <wp:extent cx="1739814" cy="1303361"/>
            <wp:effectExtent l="0" t="0" r="0" b="0"/>
            <wp:docPr id="12" name="Picture 17" descr="Image046_Combined001CD11c+CD103_Murrik_CD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46_Combined001CD11c+CD103_Murrik_CDDM-5"/>
                    <pic:cNvPicPr>
                      <a:picLocks noChangeAspect="1" noChangeArrowheads="1"/>
                    </pic:cNvPicPr>
                  </pic:nvPicPr>
                  <pic:blipFill>
                    <a:blip r:embed="rId25" cstate="print"/>
                    <a:srcRect/>
                    <a:stretch>
                      <a:fillRect/>
                    </a:stretch>
                  </pic:blipFill>
                  <pic:spPr bwMode="auto">
                    <a:xfrm>
                      <a:off x="0" y="0"/>
                      <a:ext cx="1740847" cy="1304135"/>
                    </a:xfrm>
                    <a:prstGeom prst="rect">
                      <a:avLst/>
                    </a:prstGeom>
                    <a:noFill/>
                    <a:ln w="9525">
                      <a:noFill/>
                      <a:miter lim="800000"/>
                      <a:headEnd/>
                      <a:tailEnd/>
                    </a:ln>
                  </pic:spPr>
                </pic:pic>
              </a:graphicData>
            </a:graphic>
          </wp:inline>
        </w:drawing>
      </w:r>
    </w:p>
    <w:p w:rsidR="0017755D" w:rsidRPr="00700A64" w:rsidRDefault="0017755D" w:rsidP="00B90E53">
      <w:pPr>
        <w:adjustRightInd w:val="0"/>
        <w:snapToGrid w:val="0"/>
        <w:spacing w:line="360" w:lineRule="auto"/>
        <w:ind w:firstLineChars="300" w:firstLine="723"/>
        <w:jc w:val="both"/>
        <w:rPr>
          <w:rFonts w:ascii="Book Antiqua" w:hAnsi="Book Antiqua"/>
          <w:b/>
          <w:bCs/>
          <w:lang w:val="et-EE"/>
        </w:rPr>
      </w:pPr>
      <w:r w:rsidRPr="00700A64">
        <w:rPr>
          <w:rFonts w:ascii="Book Antiqua" w:hAnsi="Book Antiqua"/>
          <w:b/>
          <w:bCs/>
          <w:lang w:val="et-EE"/>
        </w:rPr>
        <w:t>A</w:t>
      </w:r>
      <w:r w:rsidRPr="00700A64">
        <w:rPr>
          <w:rFonts w:ascii="Book Antiqua" w:hAnsi="Book Antiqua"/>
          <w:b/>
          <w:bCs/>
          <w:lang w:val="et-EE"/>
        </w:rPr>
        <w:tab/>
      </w:r>
      <w:r w:rsidRPr="00700A64">
        <w:rPr>
          <w:rFonts w:ascii="Book Antiqua" w:hAnsi="Book Antiqua"/>
          <w:b/>
          <w:bCs/>
          <w:lang w:val="et-EE"/>
        </w:rPr>
        <w:tab/>
      </w:r>
      <w:r w:rsidRPr="00700A64">
        <w:rPr>
          <w:rFonts w:ascii="Book Antiqua" w:hAnsi="Book Antiqua"/>
          <w:b/>
          <w:bCs/>
          <w:lang w:val="et-EE"/>
        </w:rPr>
        <w:tab/>
      </w:r>
      <w:r>
        <w:rPr>
          <w:rFonts w:ascii="Book Antiqua" w:hAnsi="Book Antiqua" w:hint="eastAsia"/>
          <w:b/>
          <w:bCs/>
          <w:lang w:val="et-EE" w:eastAsia="zh-CN"/>
        </w:rPr>
        <w:t xml:space="preserve">       </w:t>
      </w:r>
      <w:r w:rsidRPr="00700A64">
        <w:rPr>
          <w:rFonts w:ascii="Book Antiqua" w:hAnsi="Book Antiqua"/>
          <w:b/>
          <w:bCs/>
          <w:lang w:val="et-EE"/>
        </w:rPr>
        <w:t>B</w:t>
      </w:r>
    </w:p>
    <w:p w:rsidR="00710989" w:rsidRPr="00700A64" w:rsidRDefault="00710989" w:rsidP="00B90E53">
      <w:pPr>
        <w:adjustRightInd w:val="0"/>
        <w:snapToGrid w:val="0"/>
        <w:spacing w:line="360" w:lineRule="auto"/>
        <w:jc w:val="both"/>
        <w:rPr>
          <w:rFonts w:ascii="Book Antiqua" w:hAnsi="Book Antiqua"/>
          <w:lang w:val="et-EE"/>
        </w:rPr>
      </w:pPr>
    </w:p>
    <w:p w:rsidR="00D122AF" w:rsidRPr="0017755D" w:rsidRDefault="00D122AF" w:rsidP="00B90E53">
      <w:pPr>
        <w:adjustRightInd w:val="0"/>
        <w:snapToGrid w:val="0"/>
        <w:spacing w:line="360" w:lineRule="auto"/>
        <w:jc w:val="both"/>
        <w:rPr>
          <w:rFonts w:ascii="Book Antiqua" w:hAnsi="Book Antiqua"/>
        </w:rPr>
      </w:pPr>
      <w:r w:rsidRPr="0017755D">
        <w:rPr>
          <w:rFonts w:ascii="Book Antiqua" w:hAnsi="Book Antiqua"/>
          <w:b/>
        </w:rPr>
        <w:t xml:space="preserve">Figure 5 </w:t>
      </w:r>
      <w:r w:rsidRPr="0017755D">
        <w:rPr>
          <w:rFonts w:ascii="Book Antiqua" w:hAnsi="Book Antiqua"/>
          <w:b/>
          <w:bCs/>
        </w:rPr>
        <w:t xml:space="preserve">Double-staining for IDO (blue) and CD103 (green) (merged, panel A) and double-staining for CD11c (red) and CD103 (green) (merged, panel B) on cryostat sections of the small bowel mucosa. </w:t>
      </w:r>
      <w:r w:rsidRPr="0017755D">
        <w:rPr>
          <w:rFonts w:ascii="Book Antiqua" w:hAnsi="Book Antiqua"/>
        </w:rPr>
        <w:t>Original magnification, 40</w:t>
      </w:r>
      <w:r w:rsidR="0017755D" w:rsidRPr="0017755D">
        <w:rPr>
          <w:rFonts w:ascii="Book Antiqua" w:hAnsi="Book Antiqua" w:hint="eastAsia"/>
          <w:lang w:eastAsia="zh-CN"/>
        </w:rPr>
        <w:t xml:space="preserve"> </w:t>
      </w:r>
      <w:r w:rsidRPr="0017755D">
        <w:rPr>
          <w:rFonts w:ascii="Book Antiqua" w:hAnsi="Book Antiqua"/>
        </w:rPr>
        <w:t>x objective; 10</w:t>
      </w:r>
      <w:r w:rsidR="0017755D" w:rsidRPr="0017755D">
        <w:rPr>
          <w:rFonts w:ascii="Book Antiqua" w:hAnsi="Book Antiqua" w:hint="eastAsia"/>
          <w:lang w:eastAsia="zh-CN"/>
        </w:rPr>
        <w:t xml:space="preserve"> </w:t>
      </w:r>
      <w:r w:rsidRPr="0017755D">
        <w:rPr>
          <w:rFonts w:ascii="Book Antiqua" w:hAnsi="Book Antiqua"/>
        </w:rPr>
        <w:t>x eyepiece.</w:t>
      </w:r>
    </w:p>
    <w:p w:rsidR="00710989" w:rsidRPr="00700A64" w:rsidRDefault="00710989" w:rsidP="00B90E53">
      <w:pPr>
        <w:adjustRightInd w:val="0"/>
        <w:snapToGrid w:val="0"/>
        <w:spacing w:line="360" w:lineRule="auto"/>
        <w:jc w:val="both"/>
        <w:rPr>
          <w:rFonts w:ascii="Book Antiqua" w:hAnsi="Book Antiqua"/>
          <w:b/>
          <w:bCs/>
        </w:rPr>
      </w:pPr>
    </w:p>
    <w:p w:rsidR="00710989" w:rsidRPr="00700A64" w:rsidRDefault="00710989" w:rsidP="00B90E53">
      <w:pPr>
        <w:adjustRightInd w:val="0"/>
        <w:snapToGrid w:val="0"/>
        <w:spacing w:line="360" w:lineRule="auto"/>
        <w:jc w:val="both"/>
        <w:rPr>
          <w:rFonts w:ascii="Book Antiqua" w:hAnsi="Book Antiqua"/>
          <w:b/>
          <w:bCs/>
        </w:rPr>
      </w:pPr>
    </w:p>
    <w:p w:rsidR="0017755D" w:rsidRDefault="00710989" w:rsidP="00B90E53">
      <w:pPr>
        <w:adjustRightInd w:val="0"/>
        <w:snapToGrid w:val="0"/>
        <w:spacing w:line="360" w:lineRule="auto"/>
        <w:jc w:val="both"/>
        <w:rPr>
          <w:rFonts w:ascii="Book Antiqua" w:hAnsi="Book Antiqua"/>
          <w:b/>
          <w:bCs/>
          <w:lang w:eastAsia="zh-CN"/>
        </w:rPr>
      </w:pPr>
      <w:r w:rsidRPr="00700A64">
        <w:rPr>
          <w:rFonts w:ascii="Book Antiqua" w:hAnsi="Book Antiqua"/>
          <w:b/>
          <w:bCs/>
        </w:rPr>
        <w:br w:type="page"/>
      </w:r>
      <w:r w:rsidR="0017755D">
        <w:rPr>
          <w:noProof/>
          <w:lang w:eastAsia="zh-CN"/>
        </w:rPr>
        <w:lastRenderedPageBreak/>
        <w:drawing>
          <wp:inline distT="0" distB="0" distL="0" distR="0" wp14:anchorId="6C1B5927" wp14:editId="70382281">
            <wp:extent cx="1772455" cy="171961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72670" cy="1719826"/>
                    </a:xfrm>
                    <a:prstGeom prst="rect">
                      <a:avLst/>
                    </a:prstGeom>
                  </pic:spPr>
                </pic:pic>
              </a:graphicData>
            </a:graphic>
          </wp:inline>
        </w:drawing>
      </w:r>
      <w:r w:rsidR="0017755D">
        <w:rPr>
          <w:rFonts w:ascii="Book Antiqua" w:hAnsi="Book Antiqua" w:hint="eastAsia"/>
          <w:b/>
          <w:bCs/>
          <w:lang w:eastAsia="zh-CN"/>
        </w:rPr>
        <w:t xml:space="preserve">  </w:t>
      </w:r>
      <w:r w:rsidR="0017755D" w:rsidRPr="00700A64">
        <w:rPr>
          <w:rFonts w:ascii="Book Antiqua" w:hAnsi="Book Antiqua"/>
        </w:rPr>
        <w:object w:dxaOrig="8568" w:dyaOrig="4594">
          <v:shape id="_x0000_i1030" type="#_x0000_t75" style="width:2in;height:134.6pt" o:ole="">
            <v:imagedata r:id="rId27" o:title=""/>
          </v:shape>
          <o:OLEObject Type="Embed" ProgID="Prism5.Document" ShapeID="_x0000_i1030" DrawAspect="Content" ObjectID="_1467523221" r:id="rId28"/>
        </w:object>
      </w:r>
    </w:p>
    <w:p w:rsidR="00710989" w:rsidRPr="0017755D" w:rsidRDefault="00710989" w:rsidP="00B90E53">
      <w:pPr>
        <w:adjustRightInd w:val="0"/>
        <w:snapToGrid w:val="0"/>
        <w:spacing w:line="360" w:lineRule="auto"/>
        <w:jc w:val="both"/>
        <w:rPr>
          <w:rFonts w:ascii="Book Antiqua" w:hAnsi="Book Antiqua"/>
          <w:lang w:val="et-EE"/>
        </w:rPr>
      </w:pPr>
      <w:r w:rsidRPr="0017755D">
        <w:rPr>
          <w:rFonts w:ascii="Book Antiqua" w:hAnsi="Book Antiqua"/>
          <w:bCs/>
        </w:rPr>
        <w:t>A</w:t>
      </w:r>
      <w:r w:rsidR="0017755D" w:rsidRPr="0017755D">
        <w:rPr>
          <w:rFonts w:ascii="Book Antiqua" w:hAnsi="Book Antiqua" w:hint="eastAsia"/>
          <w:lang w:val="et-EE" w:eastAsia="zh-CN"/>
        </w:rPr>
        <w:t xml:space="preserve">                                               </w:t>
      </w:r>
      <w:r w:rsidRPr="0017755D">
        <w:rPr>
          <w:rFonts w:ascii="Book Antiqua" w:hAnsi="Book Antiqua"/>
        </w:rPr>
        <w:t>B</w:t>
      </w:r>
    </w:p>
    <w:p w:rsidR="00710989" w:rsidRPr="00700A64" w:rsidRDefault="00710989" w:rsidP="00B90E53">
      <w:pPr>
        <w:adjustRightInd w:val="0"/>
        <w:snapToGrid w:val="0"/>
        <w:spacing w:line="360" w:lineRule="auto"/>
        <w:jc w:val="both"/>
        <w:rPr>
          <w:rFonts w:ascii="Book Antiqua" w:hAnsi="Book Antiqua"/>
        </w:rPr>
      </w:pPr>
    </w:p>
    <w:p w:rsidR="00710989" w:rsidRPr="00700A64" w:rsidRDefault="0017755D" w:rsidP="00B90E53">
      <w:pPr>
        <w:adjustRightInd w:val="0"/>
        <w:snapToGrid w:val="0"/>
        <w:spacing w:line="360" w:lineRule="auto"/>
        <w:jc w:val="both"/>
        <w:rPr>
          <w:rFonts w:ascii="Book Antiqua" w:hAnsi="Book Antiqua"/>
        </w:rPr>
      </w:pPr>
      <w:r w:rsidRPr="00700A64">
        <w:rPr>
          <w:rFonts w:ascii="Book Antiqua" w:hAnsi="Book Antiqua"/>
        </w:rPr>
        <w:object w:dxaOrig="7875" w:dyaOrig="5673">
          <v:shape id="_x0000_i1031" type="#_x0000_t75" style="width:145.9pt;height:105.2pt" o:ole="">
            <v:imagedata r:id="rId29" o:title=""/>
          </v:shape>
          <o:OLEObject Type="Embed" ProgID="Prism5.Document" ShapeID="_x0000_i1031" DrawAspect="Content" ObjectID="_1467523222" r:id="rId30"/>
        </w:object>
      </w:r>
    </w:p>
    <w:p w:rsidR="00710989" w:rsidRPr="005D0E4B" w:rsidRDefault="00710989" w:rsidP="00B90E53">
      <w:pPr>
        <w:pStyle w:val="ab"/>
        <w:adjustRightInd w:val="0"/>
        <w:snapToGrid w:val="0"/>
        <w:spacing w:after="0" w:line="360" w:lineRule="auto"/>
        <w:ind w:left="0"/>
        <w:contextualSpacing w:val="0"/>
        <w:jc w:val="both"/>
        <w:rPr>
          <w:rFonts w:ascii="Book Antiqua" w:eastAsiaTheme="minorEastAsia" w:hAnsi="Book Antiqua"/>
          <w:b/>
          <w:bCs/>
          <w:sz w:val="24"/>
          <w:szCs w:val="24"/>
          <w:lang w:val="et-EE" w:eastAsia="zh-CN"/>
        </w:rPr>
      </w:pPr>
      <w:r w:rsidRPr="00700A64">
        <w:rPr>
          <w:rFonts w:ascii="Book Antiqua" w:hAnsi="Book Antiqua"/>
          <w:b/>
          <w:bCs/>
          <w:sz w:val="24"/>
          <w:szCs w:val="24"/>
          <w:lang w:val="et-EE"/>
        </w:rPr>
        <w:t>C</w:t>
      </w:r>
    </w:p>
    <w:p w:rsidR="005D0E4B" w:rsidRPr="008B1DDB" w:rsidRDefault="005B0E83" w:rsidP="00B90E53">
      <w:pPr>
        <w:pStyle w:val="-11"/>
        <w:adjustRightInd w:val="0"/>
        <w:snapToGrid w:val="0"/>
        <w:spacing w:after="0" w:line="360" w:lineRule="auto"/>
        <w:ind w:left="0"/>
        <w:contextualSpacing w:val="0"/>
        <w:jc w:val="both"/>
        <w:rPr>
          <w:rFonts w:ascii="Book Antiqua" w:eastAsiaTheme="minorEastAsia" w:hAnsi="Book Antiqua"/>
          <w:b/>
          <w:bCs/>
          <w:sz w:val="24"/>
          <w:szCs w:val="24"/>
          <w:lang w:eastAsia="zh-CN"/>
        </w:rPr>
      </w:pPr>
      <w:r w:rsidRPr="00700A64">
        <w:rPr>
          <w:rFonts w:ascii="Book Antiqua" w:hAnsi="Book Antiqua"/>
          <w:b/>
          <w:bCs/>
          <w:sz w:val="24"/>
          <w:szCs w:val="24"/>
        </w:rPr>
        <w:t>Figure 6</w:t>
      </w:r>
      <w:r w:rsidRPr="00700A64">
        <w:rPr>
          <w:rFonts w:ascii="Book Antiqua" w:hAnsi="Book Antiqua"/>
          <w:bCs/>
          <w:sz w:val="24"/>
          <w:szCs w:val="24"/>
        </w:rPr>
        <w:t xml:space="preserve"> </w:t>
      </w:r>
      <w:r w:rsidRPr="0017755D">
        <w:rPr>
          <w:rFonts w:ascii="Book Antiqua" w:hAnsi="Book Antiqua"/>
          <w:b/>
          <w:bCs/>
          <w:caps/>
          <w:sz w:val="24"/>
          <w:szCs w:val="24"/>
        </w:rPr>
        <w:t>d</w:t>
      </w:r>
      <w:r w:rsidRPr="0017755D">
        <w:rPr>
          <w:rFonts w:ascii="Book Antiqua" w:hAnsi="Book Antiqua"/>
          <w:b/>
          <w:bCs/>
          <w:sz w:val="24"/>
          <w:szCs w:val="24"/>
        </w:rPr>
        <w:t>ensities of CD103+ DCs on cryostat sections</w:t>
      </w:r>
      <w:r w:rsidR="0017755D" w:rsidRPr="0017755D">
        <w:rPr>
          <w:rFonts w:ascii="Book Antiqua" w:hAnsi="Book Antiqua"/>
          <w:b/>
          <w:bCs/>
          <w:sz w:val="24"/>
          <w:szCs w:val="24"/>
        </w:rPr>
        <w:t xml:space="preserve"> for the different study groups</w:t>
      </w:r>
      <w:r w:rsidR="0017755D" w:rsidRPr="0017755D">
        <w:rPr>
          <w:rFonts w:ascii="Book Antiqua" w:eastAsiaTheme="minorEastAsia" w:hAnsi="Book Antiqua" w:hint="eastAsia"/>
          <w:b/>
          <w:bCs/>
          <w:sz w:val="24"/>
          <w:szCs w:val="24"/>
          <w:lang w:eastAsia="zh-CN"/>
        </w:rPr>
        <w:t xml:space="preserve"> (A); </w:t>
      </w:r>
      <w:r w:rsidR="0017755D" w:rsidRPr="0017755D">
        <w:rPr>
          <w:rFonts w:ascii="Book Antiqua" w:hAnsi="Book Antiqua"/>
          <w:b/>
          <w:bCs/>
          <w:sz w:val="24"/>
          <w:szCs w:val="24"/>
        </w:rPr>
        <w:t>Spearman’s</w:t>
      </w:r>
      <w:r w:rsidR="0017755D" w:rsidRPr="0017755D">
        <w:rPr>
          <w:rFonts w:ascii="Book Antiqua" w:eastAsiaTheme="minorEastAsia" w:hAnsi="Book Antiqua" w:hint="eastAsia"/>
          <w:b/>
          <w:bCs/>
          <w:sz w:val="24"/>
          <w:szCs w:val="24"/>
          <w:lang w:eastAsia="zh-CN"/>
        </w:rPr>
        <w:t xml:space="preserve"> </w:t>
      </w:r>
      <w:r w:rsidR="0017755D" w:rsidRPr="0017755D">
        <w:rPr>
          <w:rFonts w:ascii="Book Antiqua" w:hAnsi="Book Antiqua"/>
          <w:b/>
          <w:bCs/>
          <w:sz w:val="24"/>
          <w:szCs w:val="24"/>
        </w:rPr>
        <w:t>rank correlation between the histological grades (according to Marsh) and the densities of CD103+ DCs for the studied persons</w:t>
      </w:r>
      <w:r w:rsidR="0017755D" w:rsidRPr="0017755D">
        <w:rPr>
          <w:rFonts w:ascii="Book Antiqua" w:eastAsiaTheme="minorEastAsia" w:hAnsi="Book Antiqua" w:hint="eastAsia"/>
          <w:b/>
          <w:bCs/>
          <w:sz w:val="24"/>
          <w:szCs w:val="24"/>
          <w:lang w:eastAsia="zh-CN"/>
        </w:rPr>
        <w:t xml:space="preserve"> (B); or </w:t>
      </w:r>
      <w:r w:rsidR="0017755D" w:rsidRPr="0017755D">
        <w:rPr>
          <w:rFonts w:ascii="Book Antiqua" w:hAnsi="Book Antiqua"/>
          <w:b/>
          <w:bCs/>
          <w:sz w:val="24"/>
          <w:szCs w:val="24"/>
        </w:rPr>
        <w:t>between the densities of CD103+ DCs and FOXP3+ Treg cells for the entire study group</w:t>
      </w:r>
      <w:r w:rsidR="0017755D" w:rsidRPr="0017755D">
        <w:rPr>
          <w:rFonts w:ascii="Book Antiqua" w:eastAsiaTheme="minorEastAsia" w:hAnsi="Book Antiqua" w:hint="eastAsia"/>
          <w:b/>
          <w:bCs/>
          <w:sz w:val="24"/>
          <w:szCs w:val="24"/>
          <w:lang w:eastAsia="zh-CN"/>
        </w:rPr>
        <w:t xml:space="preserve"> (C).</w:t>
      </w:r>
      <w:r w:rsidR="0017755D" w:rsidRPr="0017755D">
        <w:rPr>
          <w:rFonts w:ascii="Book Antiqua" w:hAnsi="Book Antiqua"/>
          <w:b/>
          <w:bCs/>
          <w:sz w:val="24"/>
          <w:szCs w:val="24"/>
        </w:rPr>
        <w:t xml:space="preserve"> </w:t>
      </w:r>
      <w:r w:rsidRPr="00700A64">
        <w:rPr>
          <w:rFonts w:ascii="Book Antiqua" w:hAnsi="Book Antiqua"/>
          <w:bCs/>
          <w:sz w:val="24"/>
          <w:szCs w:val="24"/>
        </w:rPr>
        <w:t xml:space="preserve">The dots represent the mean values of positively stained cells per microscopic field. </w:t>
      </w:r>
      <w:r w:rsidR="005D0E4B">
        <w:rPr>
          <w:rFonts w:ascii="Book Antiqua" w:eastAsiaTheme="minorEastAsia" w:hAnsi="Book Antiqua" w:hint="eastAsia"/>
          <w:bCs/>
          <w:sz w:val="24"/>
          <w:szCs w:val="24"/>
          <w:vertAlign w:val="superscript"/>
          <w:lang w:eastAsia="zh-CN"/>
        </w:rPr>
        <w:t>b</w:t>
      </w:r>
      <w:r w:rsidR="00F94270" w:rsidRPr="00700A64">
        <w:rPr>
          <w:rFonts w:ascii="Book Antiqua" w:hAnsi="Book Antiqua"/>
          <w:bCs/>
          <w:i/>
          <w:sz w:val="24"/>
          <w:szCs w:val="24"/>
        </w:rPr>
        <w:t xml:space="preserve">P </w:t>
      </w:r>
      <w:r w:rsidR="005D0E4B" w:rsidRPr="005D0E4B">
        <w:rPr>
          <w:rFonts w:ascii="Book Antiqua" w:eastAsiaTheme="minorEastAsia" w:hAnsi="Book Antiqua"/>
          <w:bCs/>
          <w:i/>
          <w:sz w:val="24"/>
          <w:szCs w:val="24"/>
          <w:lang w:eastAsia="zh-CN"/>
        </w:rPr>
        <w:t>≤</w:t>
      </w:r>
      <w:r w:rsidR="00F94270" w:rsidRPr="00700A64">
        <w:rPr>
          <w:rFonts w:ascii="Book Antiqua" w:hAnsi="Book Antiqua"/>
          <w:bCs/>
          <w:i/>
          <w:sz w:val="24"/>
          <w:szCs w:val="24"/>
        </w:rPr>
        <w:t xml:space="preserve"> </w:t>
      </w:r>
      <w:r w:rsidRPr="00700A64">
        <w:rPr>
          <w:rFonts w:ascii="Book Antiqua" w:hAnsi="Book Antiqua"/>
          <w:bCs/>
          <w:sz w:val="24"/>
          <w:szCs w:val="24"/>
        </w:rPr>
        <w:t>0.01</w:t>
      </w:r>
      <w:r w:rsidR="005D0E4B">
        <w:rPr>
          <w:rFonts w:ascii="Book Antiqua" w:eastAsiaTheme="minorEastAsia" w:hAnsi="Book Antiqua" w:hint="eastAsia"/>
          <w:bCs/>
          <w:sz w:val="24"/>
          <w:szCs w:val="24"/>
          <w:lang w:eastAsia="zh-CN"/>
        </w:rPr>
        <w:t>,</w:t>
      </w:r>
      <w:r w:rsidRPr="00700A64">
        <w:rPr>
          <w:rFonts w:ascii="Book Antiqua" w:hAnsi="Book Antiqua"/>
          <w:bCs/>
          <w:sz w:val="24"/>
          <w:szCs w:val="24"/>
        </w:rPr>
        <w:t xml:space="preserve"> CD </w:t>
      </w:r>
      <w:r w:rsidR="00F94270" w:rsidRPr="00700A64">
        <w:rPr>
          <w:rFonts w:ascii="Book Antiqua" w:hAnsi="Book Antiqua"/>
          <w:bCs/>
          <w:i/>
          <w:sz w:val="24"/>
          <w:szCs w:val="24"/>
        </w:rPr>
        <w:t>vs</w:t>
      </w:r>
      <w:r w:rsidRPr="00700A64">
        <w:rPr>
          <w:rFonts w:ascii="Book Antiqua" w:hAnsi="Book Antiqua"/>
          <w:bCs/>
          <w:sz w:val="24"/>
          <w:szCs w:val="24"/>
        </w:rPr>
        <w:t xml:space="preserve"> normal mucosa; </w:t>
      </w:r>
      <w:r w:rsidR="005D0E4B">
        <w:rPr>
          <w:rFonts w:ascii="Book Antiqua" w:eastAsiaTheme="minorEastAsia" w:hAnsi="Book Antiqua" w:hint="eastAsia"/>
          <w:bCs/>
          <w:sz w:val="24"/>
          <w:szCs w:val="24"/>
          <w:vertAlign w:val="superscript"/>
          <w:lang w:eastAsia="zh-CN"/>
        </w:rPr>
        <w:t>d</w:t>
      </w:r>
      <w:r w:rsidR="00F94270" w:rsidRPr="00700A64">
        <w:rPr>
          <w:rFonts w:ascii="Book Antiqua" w:hAnsi="Book Antiqua"/>
          <w:bCs/>
          <w:i/>
          <w:sz w:val="24"/>
          <w:szCs w:val="24"/>
        </w:rPr>
        <w:t xml:space="preserve">P </w:t>
      </w:r>
      <w:r w:rsidR="005D0E4B">
        <w:rPr>
          <w:rFonts w:ascii="Book Antiqua" w:eastAsiaTheme="minorEastAsia" w:hAnsi="Book Antiqua" w:hint="eastAsia"/>
          <w:bCs/>
          <w:i/>
          <w:sz w:val="24"/>
          <w:szCs w:val="24"/>
          <w:lang w:eastAsia="zh-CN"/>
        </w:rPr>
        <w:t>&lt;</w:t>
      </w:r>
      <w:r w:rsidR="005D0E4B" w:rsidRPr="00700A64">
        <w:rPr>
          <w:rFonts w:ascii="Book Antiqua" w:hAnsi="Book Antiqua"/>
          <w:bCs/>
          <w:i/>
          <w:sz w:val="24"/>
          <w:szCs w:val="24"/>
        </w:rPr>
        <w:t xml:space="preserve"> </w:t>
      </w:r>
      <w:r w:rsidR="005D0E4B" w:rsidRPr="00700A64">
        <w:rPr>
          <w:rFonts w:ascii="Book Antiqua" w:hAnsi="Book Antiqua"/>
          <w:bCs/>
          <w:sz w:val="24"/>
          <w:szCs w:val="24"/>
        </w:rPr>
        <w:t>0.01</w:t>
      </w:r>
      <w:r w:rsidR="005D0E4B">
        <w:rPr>
          <w:rFonts w:ascii="Book Antiqua" w:eastAsiaTheme="minorEastAsia" w:hAnsi="Book Antiqua" w:hint="eastAsia"/>
          <w:bCs/>
          <w:sz w:val="24"/>
          <w:szCs w:val="24"/>
          <w:lang w:eastAsia="zh-CN"/>
        </w:rPr>
        <w:t>,</w:t>
      </w:r>
      <w:r w:rsidRPr="00700A64">
        <w:rPr>
          <w:rFonts w:ascii="Book Antiqua" w:hAnsi="Book Antiqua"/>
          <w:bCs/>
          <w:sz w:val="24"/>
          <w:szCs w:val="24"/>
        </w:rPr>
        <w:t xml:space="preserve"> CD with T1D </w:t>
      </w:r>
      <w:r w:rsidR="00F94270" w:rsidRPr="00700A64">
        <w:rPr>
          <w:rFonts w:ascii="Book Antiqua" w:hAnsi="Book Antiqua"/>
          <w:bCs/>
          <w:i/>
          <w:sz w:val="24"/>
          <w:szCs w:val="24"/>
        </w:rPr>
        <w:t>vs</w:t>
      </w:r>
      <w:r w:rsidRPr="00700A64">
        <w:rPr>
          <w:rFonts w:ascii="Book Antiqua" w:hAnsi="Book Antiqua"/>
          <w:bCs/>
          <w:i/>
          <w:sz w:val="24"/>
          <w:szCs w:val="24"/>
        </w:rPr>
        <w:t xml:space="preserve"> </w:t>
      </w:r>
      <w:r w:rsidRPr="00700A64">
        <w:rPr>
          <w:rFonts w:ascii="Book Antiqua" w:hAnsi="Book Antiqua"/>
          <w:bCs/>
          <w:sz w:val="24"/>
          <w:szCs w:val="24"/>
        </w:rPr>
        <w:t xml:space="preserve">normal mucosa; </w:t>
      </w:r>
      <w:r w:rsidR="005D0E4B">
        <w:rPr>
          <w:rFonts w:ascii="Book Antiqua" w:eastAsiaTheme="minorEastAsia" w:hAnsi="Book Antiqua" w:hint="eastAsia"/>
          <w:bCs/>
          <w:sz w:val="24"/>
          <w:szCs w:val="24"/>
          <w:vertAlign w:val="superscript"/>
          <w:lang w:eastAsia="zh-CN"/>
        </w:rPr>
        <w:t>f</w:t>
      </w:r>
      <w:r w:rsidR="00F94270" w:rsidRPr="00700A64">
        <w:rPr>
          <w:rFonts w:ascii="Book Antiqua" w:hAnsi="Book Antiqua"/>
          <w:bCs/>
          <w:i/>
          <w:sz w:val="24"/>
          <w:szCs w:val="24"/>
        </w:rPr>
        <w:t xml:space="preserve">P </w:t>
      </w:r>
      <w:r w:rsidR="005D0E4B">
        <w:rPr>
          <w:rFonts w:ascii="Book Antiqua" w:eastAsiaTheme="minorEastAsia" w:hAnsi="Book Antiqua" w:hint="eastAsia"/>
          <w:bCs/>
          <w:i/>
          <w:sz w:val="24"/>
          <w:szCs w:val="24"/>
          <w:lang w:eastAsia="zh-CN"/>
        </w:rPr>
        <w:t>&lt;</w:t>
      </w:r>
      <w:r w:rsidR="005D0E4B" w:rsidRPr="00700A64">
        <w:rPr>
          <w:rFonts w:ascii="Book Antiqua" w:hAnsi="Book Antiqua"/>
          <w:bCs/>
          <w:i/>
          <w:sz w:val="24"/>
          <w:szCs w:val="24"/>
        </w:rPr>
        <w:t xml:space="preserve"> </w:t>
      </w:r>
      <w:r w:rsidR="005D0E4B" w:rsidRPr="00700A64">
        <w:rPr>
          <w:rFonts w:ascii="Book Antiqua" w:hAnsi="Book Antiqua"/>
          <w:bCs/>
          <w:sz w:val="24"/>
          <w:szCs w:val="24"/>
        </w:rPr>
        <w:t>0.01</w:t>
      </w:r>
      <w:r w:rsidR="005D0E4B">
        <w:rPr>
          <w:rFonts w:ascii="Book Antiqua" w:eastAsiaTheme="minorEastAsia" w:hAnsi="Book Antiqua" w:hint="eastAsia"/>
          <w:bCs/>
          <w:sz w:val="24"/>
          <w:szCs w:val="24"/>
          <w:lang w:eastAsia="zh-CN"/>
        </w:rPr>
        <w:t>,</w:t>
      </w:r>
      <w:r w:rsidRPr="00700A64">
        <w:rPr>
          <w:rFonts w:ascii="Book Antiqua" w:hAnsi="Book Antiqua"/>
          <w:bCs/>
          <w:sz w:val="24"/>
          <w:szCs w:val="24"/>
        </w:rPr>
        <w:t xml:space="preserve"> CD total </w:t>
      </w:r>
      <w:r w:rsidR="00F94270" w:rsidRPr="00700A64">
        <w:rPr>
          <w:rFonts w:ascii="Book Antiqua" w:hAnsi="Book Antiqua"/>
          <w:bCs/>
          <w:i/>
          <w:sz w:val="24"/>
          <w:szCs w:val="24"/>
        </w:rPr>
        <w:t>vs</w:t>
      </w:r>
      <w:r w:rsidRPr="00700A64">
        <w:rPr>
          <w:rFonts w:ascii="Book Antiqua" w:hAnsi="Book Antiqua"/>
          <w:bCs/>
          <w:sz w:val="24"/>
          <w:szCs w:val="24"/>
        </w:rPr>
        <w:t xml:space="preserve"> normal mucosa.</w:t>
      </w:r>
      <w:r w:rsidR="0017755D">
        <w:rPr>
          <w:rFonts w:ascii="Book Antiqua" w:eastAsiaTheme="minorEastAsia" w:hAnsi="Book Antiqua" w:hint="eastAsia"/>
          <w:bCs/>
          <w:sz w:val="24"/>
          <w:szCs w:val="24"/>
          <w:lang w:eastAsia="zh-CN"/>
        </w:rPr>
        <w:t xml:space="preserve"> </w:t>
      </w:r>
      <w:r w:rsidR="005D0E4B">
        <w:rPr>
          <w:rFonts w:ascii="Book Antiqua" w:hAnsi="Book Antiqua" w:hint="eastAsia"/>
          <w:lang w:eastAsia="zh-CN"/>
        </w:rPr>
        <w:t xml:space="preserve">CD: </w:t>
      </w:r>
      <w:r w:rsidR="005D0E4B" w:rsidRPr="00FD54CB">
        <w:rPr>
          <w:rFonts w:ascii="Book Antiqua" w:hAnsi="Book Antiqua"/>
          <w:caps/>
          <w:lang w:eastAsia="zh-CN"/>
        </w:rPr>
        <w:t>c</w:t>
      </w:r>
      <w:r w:rsidR="005D0E4B" w:rsidRPr="00FD54CB">
        <w:rPr>
          <w:rFonts w:ascii="Book Antiqua" w:hAnsi="Book Antiqua"/>
          <w:lang w:eastAsia="zh-CN"/>
        </w:rPr>
        <w:t>eliac disease</w:t>
      </w:r>
      <w:r w:rsidR="005D0E4B">
        <w:rPr>
          <w:rFonts w:ascii="Book Antiqua" w:hAnsi="Book Antiqua" w:hint="eastAsia"/>
          <w:lang w:eastAsia="zh-CN"/>
        </w:rPr>
        <w:t xml:space="preserve">; T1D: </w:t>
      </w:r>
      <w:r w:rsidR="005D0E4B" w:rsidRPr="00FD54CB">
        <w:rPr>
          <w:rFonts w:ascii="Book Antiqua" w:hAnsi="Book Antiqua"/>
          <w:caps/>
          <w:lang w:eastAsia="zh-CN"/>
        </w:rPr>
        <w:t>t</w:t>
      </w:r>
      <w:r w:rsidR="005D0E4B" w:rsidRPr="00FD54CB">
        <w:rPr>
          <w:rFonts w:ascii="Book Antiqua" w:hAnsi="Book Antiqua"/>
          <w:lang w:eastAsia="zh-CN"/>
        </w:rPr>
        <w:t>ype 1 diabetes</w:t>
      </w:r>
      <w:r w:rsidR="005D0E4B">
        <w:rPr>
          <w:rFonts w:ascii="Book Antiqua" w:hAnsi="Book Antiqua" w:hint="eastAsia"/>
          <w:lang w:eastAsia="zh-CN"/>
        </w:rPr>
        <w:t>.</w:t>
      </w:r>
    </w:p>
    <w:p w:rsidR="005B0E83" w:rsidRPr="0017755D" w:rsidRDefault="005B0E83" w:rsidP="00B90E53">
      <w:pPr>
        <w:pStyle w:val="-11"/>
        <w:adjustRightInd w:val="0"/>
        <w:snapToGrid w:val="0"/>
        <w:spacing w:after="0" w:line="360" w:lineRule="auto"/>
        <w:ind w:left="0"/>
        <w:contextualSpacing w:val="0"/>
        <w:jc w:val="both"/>
        <w:rPr>
          <w:rFonts w:ascii="Book Antiqua" w:eastAsiaTheme="minorEastAsia" w:hAnsi="Book Antiqua"/>
          <w:bCs/>
          <w:sz w:val="24"/>
          <w:szCs w:val="24"/>
          <w:lang w:eastAsia="zh-CN"/>
        </w:rPr>
      </w:pPr>
    </w:p>
    <w:p w:rsidR="00710989" w:rsidRPr="00700A64" w:rsidRDefault="005B0E83" w:rsidP="00B90E53">
      <w:pPr>
        <w:pStyle w:val="-11"/>
        <w:numPr>
          <w:ilvl w:val="0"/>
          <w:numId w:val="29"/>
        </w:numPr>
        <w:adjustRightInd w:val="0"/>
        <w:snapToGrid w:val="0"/>
        <w:spacing w:after="0" w:line="360" w:lineRule="auto"/>
        <w:ind w:left="0"/>
        <w:contextualSpacing w:val="0"/>
        <w:jc w:val="both"/>
        <w:rPr>
          <w:rFonts w:ascii="Book Antiqua" w:hAnsi="Book Antiqua"/>
          <w:sz w:val="24"/>
          <w:szCs w:val="24"/>
          <w:lang w:val="et-EE"/>
        </w:rPr>
      </w:pPr>
      <w:r w:rsidRPr="00700A64">
        <w:rPr>
          <w:rFonts w:ascii="Book Antiqua" w:hAnsi="Book Antiqua"/>
          <w:sz w:val="24"/>
          <w:szCs w:val="24"/>
        </w:rPr>
        <w:br w:type="page"/>
      </w:r>
    </w:p>
    <w:p w:rsidR="00710989" w:rsidRPr="00700A64" w:rsidRDefault="005D0E4B" w:rsidP="00B90E53">
      <w:pPr>
        <w:adjustRightInd w:val="0"/>
        <w:snapToGrid w:val="0"/>
        <w:spacing w:line="360" w:lineRule="auto"/>
        <w:jc w:val="both"/>
        <w:rPr>
          <w:rFonts w:ascii="Book Antiqua" w:hAnsi="Book Antiqua"/>
          <w:b/>
          <w:noProof/>
          <w:vertAlign w:val="superscript"/>
        </w:rPr>
      </w:pPr>
      <w:r>
        <w:rPr>
          <w:noProof/>
          <w:lang w:eastAsia="zh-CN"/>
        </w:rPr>
        <w:lastRenderedPageBreak/>
        <w:drawing>
          <wp:inline distT="0" distB="0" distL="0" distR="0" wp14:anchorId="349099F0" wp14:editId="2A6E5565">
            <wp:extent cx="3381375" cy="24288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81375" cy="2428875"/>
                    </a:xfrm>
                    <a:prstGeom prst="rect">
                      <a:avLst/>
                    </a:prstGeom>
                  </pic:spPr>
                </pic:pic>
              </a:graphicData>
            </a:graphic>
          </wp:inline>
        </w:drawing>
      </w:r>
    </w:p>
    <w:p w:rsidR="00710989" w:rsidRPr="00700A64" w:rsidRDefault="00710989" w:rsidP="00B90E53">
      <w:pPr>
        <w:adjustRightInd w:val="0"/>
        <w:snapToGrid w:val="0"/>
        <w:spacing w:line="360" w:lineRule="auto"/>
        <w:jc w:val="both"/>
        <w:rPr>
          <w:rFonts w:ascii="Book Antiqua" w:hAnsi="Book Antiqua"/>
          <w:b/>
          <w:vertAlign w:val="superscript"/>
          <w:lang w:val="et-EE"/>
        </w:rPr>
      </w:pPr>
    </w:p>
    <w:p w:rsidR="00464D90" w:rsidRPr="00700A64" w:rsidRDefault="00464D90" w:rsidP="00B90E53">
      <w:pPr>
        <w:adjustRightInd w:val="0"/>
        <w:snapToGrid w:val="0"/>
        <w:spacing w:line="360" w:lineRule="auto"/>
        <w:jc w:val="both"/>
        <w:rPr>
          <w:rFonts w:ascii="Book Antiqua" w:hAnsi="Book Antiqua"/>
          <w:lang w:eastAsia="zh-CN"/>
        </w:rPr>
      </w:pPr>
      <w:r w:rsidRPr="00700A64">
        <w:rPr>
          <w:rFonts w:ascii="Book Antiqua" w:hAnsi="Book Antiqua"/>
          <w:b/>
          <w:bCs/>
        </w:rPr>
        <w:t>Figure 7</w:t>
      </w:r>
      <w:r w:rsidR="005D0E4B">
        <w:rPr>
          <w:rFonts w:ascii="Book Antiqua" w:hAnsi="Book Antiqua" w:hint="eastAsia"/>
          <w:bCs/>
          <w:lang w:eastAsia="zh-CN"/>
        </w:rPr>
        <w:t xml:space="preserve"> </w:t>
      </w:r>
      <w:r w:rsidR="005D0E4B" w:rsidRPr="005D0E4B">
        <w:rPr>
          <w:rFonts w:ascii="Book Antiqua" w:hAnsi="Book Antiqua" w:hint="eastAsia"/>
          <w:b/>
          <w:bCs/>
          <w:lang w:eastAsia="zh-CN"/>
        </w:rPr>
        <w:t>M</w:t>
      </w:r>
      <w:r w:rsidRPr="005D0E4B">
        <w:rPr>
          <w:rFonts w:ascii="Book Antiqua" w:hAnsi="Book Antiqua"/>
          <w:b/>
          <w:bCs/>
        </w:rPr>
        <w:t>ean values of CD11c+, IDO+, CD103+ and Langerin+ DCs in celiac disease patients are significantly higher compared with these values in persons with normal small bowel mucosa (according to the immunofluorescence data from cryostat sections).</w:t>
      </w:r>
      <w:r w:rsidRPr="00700A64">
        <w:rPr>
          <w:rFonts w:ascii="Book Antiqua" w:hAnsi="Book Antiqua"/>
          <w:bCs/>
        </w:rPr>
        <w:t xml:space="preserve"> </w:t>
      </w:r>
      <w:r w:rsidRPr="00700A64">
        <w:rPr>
          <w:rFonts w:ascii="Book Antiqua" w:hAnsi="Book Antiqua"/>
        </w:rPr>
        <w:t xml:space="preserve">Columns represent the mean values of positively stained cells per microscopic field in patients with CD </w:t>
      </w:r>
      <w:r w:rsidR="00F94270" w:rsidRPr="00700A64">
        <w:rPr>
          <w:rFonts w:ascii="Book Antiqua" w:hAnsi="Book Antiqua"/>
          <w:i/>
        </w:rPr>
        <w:t>vs</w:t>
      </w:r>
      <w:r w:rsidRPr="00700A64">
        <w:rPr>
          <w:rFonts w:ascii="Book Antiqua" w:hAnsi="Book Antiqua"/>
        </w:rPr>
        <w:t xml:space="preserve"> patients with normal mucosa. </w:t>
      </w:r>
      <w:r w:rsidR="005D0E4B">
        <w:rPr>
          <w:rFonts w:ascii="Book Antiqua" w:hAnsi="Book Antiqua" w:hint="eastAsia"/>
          <w:vertAlign w:val="superscript"/>
          <w:lang w:eastAsia="zh-CN"/>
        </w:rPr>
        <w:t>b</w:t>
      </w:r>
      <w:r w:rsidR="00F94270" w:rsidRPr="00700A64">
        <w:rPr>
          <w:rFonts w:ascii="Book Antiqua" w:hAnsi="Book Antiqua"/>
          <w:i/>
        </w:rPr>
        <w:t xml:space="preserve">P </w:t>
      </w:r>
      <w:r w:rsidR="005D0E4B">
        <w:rPr>
          <w:rFonts w:ascii="Book Antiqua" w:hAnsi="Book Antiqua" w:hint="eastAsia"/>
          <w:i/>
          <w:lang w:eastAsia="zh-CN"/>
        </w:rPr>
        <w:t xml:space="preserve">&lt; </w:t>
      </w:r>
      <w:r w:rsidRPr="00700A64">
        <w:rPr>
          <w:rFonts w:ascii="Book Antiqua" w:hAnsi="Book Antiqua"/>
        </w:rPr>
        <w:t>0.0</w:t>
      </w:r>
      <w:r w:rsidR="005D0E4B">
        <w:rPr>
          <w:rFonts w:ascii="Book Antiqua" w:hAnsi="Book Antiqua" w:hint="eastAsia"/>
          <w:lang w:eastAsia="zh-CN"/>
        </w:rPr>
        <w:t xml:space="preserve">1, </w:t>
      </w:r>
      <w:r w:rsidR="005D0E4B" w:rsidRPr="005D0E4B">
        <w:rPr>
          <w:rFonts w:ascii="Book Antiqua" w:hAnsi="Book Antiqua"/>
          <w:lang w:eastAsia="zh-CN"/>
        </w:rPr>
        <w:t>CD11c+</w:t>
      </w:r>
      <w:r w:rsidR="005D0E4B">
        <w:rPr>
          <w:rFonts w:ascii="Book Antiqua" w:hAnsi="Book Antiqua" w:hint="eastAsia"/>
          <w:lang w:eastAsia="zh-CN"/>
        </w:rPr>
        <w:t xml:space="preserve"> </w:t>
      </w:r>
      <w:r w:rsidR="005D0E4B" w:rsidRPr="00700A64">
        <w:rPr>
          <w:rFonts w:ascii="Book Antiqua" w:hAnsi="Book Antiqua"/>
        </w:rPr>
        <w:t xml:space="preserve">in patients with CD </w:t>
      </w:r>
      <w:r w:rsidR="005D0E4B" w:rsidRPr="00700A64">
        <w:rPr>
          <w:rFonts w:ascii="Book Antiqua" w:hAnsi="Book Antiqua"/>
          <w:i/>
        </w:rPr>
        <w:t>vs</w:t>
      </w:r>
      <w:r w:rsidR="005D0E4B">
        <w:rPr>
          <w:rFonts w:ascii="Book Antiqua" w:hAnsi="Book Antiqua"/>
        </w:rPr>
        <w:t xml:space="preserve"> patients with normal mucosa</w:t>
      </w:r>
      <w:r w:rsidRPr="00700A64">
        <w:rPr>
          <w:rFonts w:ascii="Book Antiqua" w:hAnsi="Book Antiqua"/>
        </w:rPr>
        <w:t xml:space="preserve">; </w:t>
      </w:r>
      <w:r w:rsidR="005D0E4B">
        <w:rPr>
          <w:rFonts w:ascii="Book Antiqua" w:hAnsi="Book Antiqua" w:hint="eastAsia"/>
          <w:vertAlign w:val="superscript"/>
          <w:lang w:eastAsia="zh-CN"/>
        </w:rPr>
        <w:t>d</w:t>
      </w:r>
      <w:r w:rsidR="00F94270" w:rsidRPr="00700A64">
        <w:rPr>
          <w:rFonts w:ascii="Book Antiqua" w:hAnsi="Book Antiqua"/>
          <w:i/>
        </w:rPr>
        <w:t xml:space="preserve">P </w:t>
      </w:r>
      <w:r w:rsidR="005D0E4B">
        <w:rPr>
          <w:rFonts w:ascii="Book Antiqua" w:hAnsi="Book Antiqua" w:hint="eastAsia"/>
          <w:i/>
          <w:lang w:eastAsia="zh-CN"/>
        </w:rPr>
        <w:t xml:space="preserve">&lt; </w:t>
      </w:r>
      <w:r w:rsidR="005D0E4B" w:rsidRPr="00700A64">
        <w:rPr>
          <w:rFonts w:ascii="Book Antiqua" w:hAnsi="Book Antiqua"/>
        </w:rPr>
        <w:t>0.0</w:t>
      </w:r>
      <w:r w:rsidR="005D0E4B">
        <w:rPr>
          <w:rFonts w:ascii="Book Antiqua" w:hAnsi="Book Antiqua" w:hint="eastAsia"/>
          <w:lang w:eastAsia="zh-CN"/>
        </w:rPr>
        <w:t xml:space="preserve">1, </w:t>
      </w:r>
      <w:r w:rsidR="005D0E4B">
        <w:rPr>
          <w:rFonts w:ascii="Book Antiqua" w:hAnsi="Book Antiqua"/>
          <w:lang w:eastAsia="zh-CN"/>
        </w:rPr>
        <w:t>IDO+</w:t>
      </w:r>
      <w:r w:rsidR="005D0E4B">
        <w:rPr>
          <w:rFonts w:ascii="Book Antiqua" w:hAnsi="Book Antiqua" w:hint="eastAsia"/>
          <w:lang w:eastAsia="zh-CN"/>
        </w:rPr>
        <w:t xml:space="preserve"> </w:t>
      </w:r>
      <w:r w:rsidR="005D0E4B" w:rsidRPr="00700A64">
        <w:rPr>
          <w:rFonts w:ascii="Book Antiqua" w:hAnsi="Book Antiqua"/>
        </w:rPr>
        <w:t xml:space="preserve">in patients with CD </w:t>
      </w:r>
      <w:r w:rsidR="005D0E4B" w:rsidRPr="00700A64">
        <w:rPr>
          <w:rFonts w:ascii="Book Antiqua" w:hAnsi="Book Antiqua"/>
          <w:i/>
        </w:rPr>
        <w:t>vs</w:t>
      </w:r>
      <w:r w:rsidR="005D0E4B">
        <w:rPr>
          <w:rFonts w:ascii="Book Antiqua" w:hAnsi="Book Antiqua"/>
        </w:rPr>
        <w:t xml:space="preserve"> patients with normal mucosa</w:t>
      </w:r>
      <w:r w:rsidRPr="00700A64">
        <w:rPr>
          <w:rFonts w:ascii="Book Antiqua" w:hAnsi="Book Antiqua"/>
        </w:rPr>
        <w:t xml:space="preserve">; </w:t>
      </w:r>
      <w:r w:rsidR="005D0E4B">
        <w:rPr>
          <w:rFonts w:ascii="Book Antiqua" w:hAnsi="Book Antiqua" w:hint="eastAsia"/>
          <w:vertAlign w:val="superscript"/>
          <w:lang w:eastAsia="zh-CN"/>
        </w:rPr>
        <w:t>f</w:t>
      </w:r>
      <w:r w:rsidR="00F94270" w:rsidRPr="00700A64">
        <w:rPr>
          <w:rFonts w:ascii="Book Antiqua" w:hAnsi="Book Antiqua"/>
          <w:i/>
        </w:rPr>
        <w:t xml:space="preserve">P </w:t>
      </w:r>
      <w:r w:rsidR="005D0E4B">
        <w:rPr>
          <w:rFonts w:ascii="Book Antiqua" w:hAnsi="Book Antiqua" w:hint="eastAsia"/>
          <w:i/>
          <w:lang w:eastAsia="zh-CN"/>
        </w:rPr>
        <w:t xml:space="preserve">&lt; </w:t>
      </w:r>
      <w:r w:rsidR="005D0E4B" w:rsidRPr="00700A64">
        <w:rPr>
          <w:rFonts w:ascii="Book Antiqua" w:hAnsi="Book Antiqua"/>
        </w:rPr>
        <w:t>0.0</w:t>
      </w:r>
      <w:r w:rsidR="005D0E4B">
        <w:rPr>
          <w:rFonts w:ascii="Book Antiqua" w:hAnsi="Book Antiqua" w:hint="eastAsia"/>
          <w:lang w:eastAsia="zh-CN"/>
        </w:rPr>
        <w:t>1,</w:t>
      </w:r>
      <w:r w:rsidR="005D0E4B" w:rsidRPr="005D0E4B">
        <w:t xml:space="preserve"> </w:t>
      </w:r>
      <w:r w:rsidR="005D0E4B" w:rsidRPr="005D0E4B">
        <w:rPr>
          <w:rFonts w:ascii="Book Antiqua" w:hAnsi="Book Antiqua"/>
          <w:lang w:eastAsia="zh-CN"/>
        </w:rPr>
        <w:t>CD103+</w:t>
      </w:r>
      <w:r w:rsidR="005D0E4B" w:rsidRPr="005D0E4B">
        <w:rPr>
          <w:rFonts w:ascii="Book Antiqua" w:hAnsi="Book Antiqua"/>
        </w:rPr>
        <w:t xml:space="preserve"> </w:t>
      </w:r>
      <w:r w:rsidR="005D0E4B" w:rsidRPr="00700A64">
        <w:rPr>
          <w:rFonts w:ascii="Book Antiqua" w:hAnsi="Book Antiqua"/>
        </w:rPr>
        <w:t xml:space="preserve">in patients with CD </w:t>
      </w:r>
      <w:r w:rsidR="005D0E4B" w:rsidRPr="00700A64">
        <w:rPr>
          <w:rFonts w:ascii="Book Antiqua" w:hAnsi="Book Antiqua"/>
          <w:i/>
        </w:rPr>
        <w:t>vs</w:t>
      </w:r>
      <w:r w:rsidR="005D0E4B">
        <w:rPr>
          <w:rFonts w:ascii="Book Antiqua" w:hAnsi="Book Antiqua"/>
        </w:rPr>
        <w:t xml:space="preserve"> patients with normal mucosa</w:t>
      </w:r>
      <w:r w:rsidRPr="00700A64">
        <w:rPr>
          <w:rFonts w:ascii="Book Antiqua" w:hAnsi="Book Antiqua"/>
        </w:rPr>
        <w:t xml:space="preserve">; </w:t>
      </w:r>
      <w:r w:rsidR="005D0E4B">
        <w:rPr>
          <w:rFonts w:ascii="Book Antiqua" w:hAnsi="Book Antiqua" w:hint="eastAsia"/>
          <w:vertAlign w:val="superscript"/>
          <w:lang w:eastAsia="zh-CN"/>
        </w:rPr>
        <w:t>a</w:t>
      </w:r>
      <w:r w:rsidR="00F94270" w:rsidRPr="00700A64">
        <w:rPr>
          <w:rFonts w:ascii="Book Antiqua" w:hAnsi="Book Antiqua"/>
          <w:i/>
        </w:rPr>
        <w:t xml:space="preserve">P </w:t>
      </w:r>
      <w:r w:rsidR="005D0E4B">
        <w:rPr>
          <w:rFonts w:ascii="Book Antiqua" w:hAnsi="Book Antiqua" w:hint="eastAsia"/>
          <w:i/>
          <w:lang w:eastAsia="zh-CN"/>
        </w:rPr>
        <w:t>&lt;</w:t>
      </w:r>
      <w:r w:rsidR="00F94270" w:rsidRPr="00700A64">
        <w:rPr>
          <w:rFonts w:ascii="Book Antiqua" w:hAnsi="Book Antiqua"/>
          <w:i/>
        </w:rPr>
        <w:t xml:space="preserve"> </w:t>
      </w:r>
      <w:r w:rsidR="005D0E4B">
        <w:rPr>
          <w:rFonts w:ascii="Book Antiqua" w:hAnsi="Book Antiqua"/>
        </w:rPr>
        <w:t>0.0</w:t>
      </w:r>
      <w:r w:rsidR="005D0E4B">
        <w:rPr>
          <w:rFonts w:ascii="Book Antiqua" w:hAnsi="Book Antiqua" w:hint="eastAsia"/>
          <w:lang w:eastAsia="zh-CN"/>
        </w:rPr>
        <w:t xml:space="preserve">5, </w:t>
      </w:r>
      <w:r w:rsidR="005D0E4B" w:rsidRPr="005D0E4B">
        <w:rPr>
          <w:rFonts w:ascii="Book Antiqua" w:hAnsi="Book Antiqua"/>
          <w:bCs/>
        </w:rPr>
        <w:t>Langerin+</w:t>
      </w:r>
      <w:r w:rsidR="005D0E4B">
        <w:rPr>
          <w:rFonts w:ascii="Book Antiqua" w:hAnsi="Book Antiqua" w:hint="eastAsia"/>
          <w:b/>
          <w:bCs/>
          <w:lang w:eastAsia="zh-CN"/>
        </w:rPr>
        <w:t xml:space="preserve"> </w:t>
      </w:r>
      <w:r w:rsidR="005D0E4B" w:rsidRPr="005D0E4B">
        <w:rPr>
          <w:rFonts w:ascii="Book Antiqua" w:hAnsi="Book Antiqua"/>
          <w:lang w:eastAsia="zh-CN"/>
        </w:rPr>
        <w:t>CD103+</w:t>
      </w:r>
      <w:r w:rsidR="005D0E4B" w:rsidRPr="005D0E4B">
        <w:rPr>
          <w:rFonts w:ascii="Book Antiqua" w:hAnsi="Book Antiqua"/>
        </w:rPr>
        <w:t xml:space="preserve"> </w:t>
      </w:r>
      <w:r w:rsidR="005D0E4B" w:rsidRPr="00700A64">
        <w:rPr>
          <w:rFonts w:ascii="Book Antiqua" w:hAnsi="Book Antiqua"/>
        </w:rPr>
        <w:t xml:space="preserve">in patients with CD </w:t>
      </w:r>
      <w:r w:rsidR="005D0E4B" w:rsidRPr="00700A64">
        <w:rPr>
          <w:rFonts w:ascii="Book Antiqua" w:hAnsi="Book Antiqua"/>
          <w:i/>
        </w:rPr>
        <w:t>vs</w:t>
      </w:r>
      <w:r w:rsidR="005D0E4B">
        <w:rPr>
          <w:rFonts w:ascii="Book Antiqua" w:hAnsi="Book Antiqua"/>
        </w:rPr>
        <w:t xml:space="preserve"> patients with normal mucosa</w:t>
      </w:r>
      <w:r w:rsidR="005D0E4B">
        <w:rPr>
          <w:rFonts w:ascii="Book Antiqua" w:hAnsi="Book Antiqua" w:hint="eastAsia"/>
          <w:lang w:eastAsia="zh-CN"/>
        </w:rPr>
        <w:t>.</w:t>
      </w:r>
    </w:p>
    <w:p w:rsidR="00464D90" w:rsidRPr="00700A64" w:rsidRDefault="00464D90" w:rsidP="00B90E53">
      <w:pPr>
        <w:adjustRightInd w:val="0"/>
        <w:snapToGrid w:val="0"/>
        <w:spacing w:line="360" w:lineRule="auto"/>
        <w:jc w:val="both"/>
        <w:rPr>
          <w:rFonts w:ascii="Book Antiqua" w:hAnsi="Book Antiqua"/>
          <w:bCs/>
        </w:rPr>
      </w:pPr>
    </w:p>
    <w:p w:rsidR="00710989" w:rsidRPr="00700A64" w:rsidRDefault="00710989" w:rsidP="00B90E53">
      <w:pPr>
        <w:adjustRightInd w:val="0"/>
        <w:snapToGrid w:val="0"/>
        <w:spacing w:line="360" w:lineRule="auto"/>
        <w:jc w:val="both"/>
        <w:rPr>
          <w:rFonts w:ascii="Book Antiqua" w:hAnsi="Book Antiqua"/>
          <w:b/>
          <w:noProof/>
        </w:rPr>
      </w:pPr>
    </w:p>
    <w:p w:rsidR="00710989" w:rsidRPr="00700A64" w:rsidRDefault="00710989" w:rsidP="00B90E53">
      <w:pPr>
        <w:adjustRightInd w:val="0"/>
        <w:snapToGrid w:val="0"/>
        <w:spacing w:line="360" w:lineRule="auto"/>
        <w:jc w:val="both"/>
        <w:rPr>
          <w:rFonts w:ascii="Book Antiqua" w:hAnsi="Book Antiqua"/>
          <w:b/>
          <w:noProof/>
        </w:rPr>
      </w:pPr>
    </w:p>
    <w:p w:rsidR="00710989" w:rsidRPr="00700A64" w:rsidRDefault="00710989" w:rsidP="00B90E53">
      <w:pPr>
        <w:adjustRightInd w:val="0"/>
        <w:snapToGrid w:val="0"/>
        <w:spacing w:line="360" w:lineRule="auto"/>
        <w:jc w:val="both"/>
        <w:rPr>
          <w:rFonts w:ascii="Book Antiqua" w:hAnsi="Book Antiqua"/>
          <w:b/>
          <w:bCs/>
          <w:lang w:val="et-EE"/>
        </w:rPr>
      </w:pPr>
      <w:r w:rsidRPr="00700A64">
        <w:rPr>
          <w:rFonts w:ascii="Book Antiqua" w:hAnsi="Book Antiqua"/>
          <w:b/>
          <w:bCs/>
          <w:lang w:val="et-EE"/>
        </w:rPr>
        <w:br w:type="page"/>
      </w:r>
    </w:p>
    <w:p w:rsidR="00710989" w:rsidRPr="00700A64" w:rsidRDefault="001D7929" w:rsidP="00B90E53">
      <w:pPr>
        <w:adjustRightInd w:val="0"/>
        <w:snapToGrid w:val="0"/>
        <w:spacing w:line="360" w:lineRule="auto"/>
        <w:jc w:val="both"/>
        <w:rPr>
          <w:rFonts w:ascii="Book Antiqua" w:hAnsi="Book Antiqua"/>
          <w:b/>
          <w:noProof/>
        </w:rPr>
      </w:pPr>
      <w:r w:rsidRPr="00700A64">
        <w:rPr>
          <w:rFonts w:ascii="Book Antiqua" w:hAnsi="Book Antiqua"/>
          <w:noProof/>
          <w:lang w:eastAsia="zh-CN"/>
        </w:rPr>
        <w:lastRenderedPageBreak/>
        <w:drawing>
          <wp:inline distT="0" distB="0" distL="0" distR="0" wp14:anchorId="65CEC8EC" wp14:editId="48FEFFA4">
            <wp:extent cx="2639695" cy="1958340"/>
            <wp:effectExtent l="19050" t="0" r="8255" b="0"/>
            <wp:docPr id="17" name="Picture 102" descr="Image030_ch00Langerin_x40_CDDM-48_T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030_ch00Langerin_x40_CDDM-48_Tamm"/>
                    <pic:cNvPicPr>
                      <a:picLocks noChangeAspect="1" noChangeArrowheads="1"/>
                    </pic:cNvPicPr>
                  </pic:nvPicPr>
                  <pic:blipFill>
                    <a:blip r:embed="rId32" cstate="print"/>
                    <a:srcRect/>
                    <a:stretch>
                      <a:fillRect/>
                    </a:stretch>
                  </pic:blipFill>
                  <pic:spPr bwMode="auto">
                    <a:xfrm>
                      <a:off x="0" y="0"/>
                      <a:ext cx="2639695" cy="1958340"/>
                    </a:xfrm>
                    <a:prstGeom prst="rect">
                      <a:avLst/>
                    </a:prstGeom>
                    <a:noFill/>
                    <a:ln w="9525">
                      <a:noFill/>
                      <a:miter lim="800000"/>
                      <a:headEnd/>
                      <a:tailEnd/>
                    </a:ln>
                  </pic:spPr>
                </pic:pic>
              </a:graphicData>
            </a:graphic>
          </wp:inline>
        </w:drawing>
      </w:r>
      <w:r w:rsidR="00710989" w:rsidRPr="00700A64">
        <w:rPr>
          <w:rFonts w:ascii="Book Antiqua" w:hAnsi="Book Antiqua"/>
          <w:b/>
          <w:bCs/>
          <w:lang w:val="et-EE"/>
        </w:rPr>
        <w:t xml:space="preserve"> </w:t>
      </w:r>
      <w:r w:rsidRPr="00700A64">
        <w:rPr>
          <w:rFonts w:ascii="Book Antiqua" w:hAnsi="Book Antiqua"/>
          <w:b/>
          <w:noProof/>
          <w:lang w:eastAsia="zh-CN"/>
        </w:rPr>
        <w:drawing>
          <wp:inline distT="0" distB="0" distL="0" distR="0" wp14:anchorId="79A224B8" wp14:editId="5C67A77F">
            <wp:extent cx="2613660" cy="1958340"/>
            <wp:effectExtent l="19050" t="0" r="0" b="0"/>
            <wp:docPr id="18" name="Picture 105" descr="Image068_Langerin_Valk_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068_Langerin_Valk_BGR"/>
                    <pic:cNvPicPr>
                      <a:picLocks noChangeAspect="1" noChangeArrowheads="1"/>
                    </pic:cNvPicPr>
                  </pic:nvPicPr>
                  <pic:blipFill>
                    <a:blip r:embed="rId33" cstate="print"/>
                    <a:srcRect/>
                    <a:stretch>
                      <a:fillRect/>
                    </a:stretch>
                  </pic:blipFill>
                  <pic:spPr bwMode="auto">
                    <a:xfrm>
                      <a:off x="0" y="0"/>
                      <a:ext cx="2613660" cy="1958340"/>
                    </a:xfrm>
                    <a:prstGeom prst="rect">
                      <a:avLst/>
                    </a:prstGeom>
                    <a:noFill/>
                    <a:ln w="9525">
                      <a:noFill/>
                      <a:miter lim="800000"/>
                      <a:headEnd/>
                      <a:tailEnd/>
                    </a:ln>
                  </pic:spPr>
                </pic:pic>
              </a:graphicData>
            </a:graphic>
          </wp:inline>
        </w:drawing>
      </w:r>
    </w:p>
    <w:p w:rsidR="005D0E4B" w:rsidRPr="00700A64" w:rsidRDefault="005D0E4B" w:rsidP="00B90E53">
      <w:pPr>
        <w:adjustRightInd w:val="0"/>
        <w:snapToGrid w:val="0"/>
        <w:spacing w:line="360" w:lineRule="auto"/>
        <w:jc w:val="both"/>
        <w:rPr>
          <w:rFonts w:ascii="Book Antiqua" w:hAnsi="Book Antiqua"/>
          <w:b/>
          <w:bCs/>
          <w:lang w:val="et-EE"/>
        </w:rPr>
      </w:pPr>
      <w:r w:rsidRPr="00700A64">
        <w:rPr>
          <w:rFonts w:ascii="Book Antiqua" w:hAnsi="Book Antiqua"/>
          <w:b/>
          <w:bCs/>
          <w:lang w:val="et-EE"/>
        </w:rPr>
        <w:t>A</w:t>
      </w:r>
      <w:r w:rsidRPr="00700A64">
        <w:rPr>
          <w:rFonts w:ascii="Book Antiqua" w:hAnsi="Book Antiqua"/>
          <w:b/>
          <w:bCs/>
          <w:lang w:val="et-EE"/>
        </w:rPr>
        <w:tab/>
      </w:r>
      <w:r w:rsidRPr="00700A64">
        <w:rPr>
          <w:rFonts w:ascii="Book Antiqua" w:hAnsi="Book Antiqua"/>
          <w:b/>
          <w:bCs/>
          <w:lang w:val="et-EE"/>
        </w:rPr>
        <w:tab/>
      </w:r>
      <w:r w:rsidRPr="00700A64">
        <w:rPr>
          <w:rFonts w:ascii="Book Antiqua" w:hAnsi="Book Antiqua"/>
          <w:b/>
          <w:bCs/>
          <w:lang w:val="et-EE"/>
        </w:rPr>
        <w:tab/>
      </w:r>
      <w:r w:rsidRPr="00700A64">
        <w:rPr>
          <w:rFonts w:ascii="Book Antiqua" w:hAnsi="Book Antiqua"/>
          <w:b/>
          <w:bCs/>
          <w:lang w:val="et-EE"/>
        </w:rPr>
        <w:tab/>
      </w:r>
      <w:r w:rsidRPr="00700A64">
        <w:rPr>
          <w:rFonts w:ascii="Book Antiqua" w:hAnsi="Book Antiqua"/>
          <w:b/>
          <w:bCs/>
          <w:lang w:val="et-EE"/>
        </w:rPr>
        <w:tab/>
      </w:r>
      <w:r w:rsidRPr="00700A64">
        <w:rPr>
          <w:rFonts w:ascii="Book Antiqua" w:hAnsi="Book Antiqua"/>
          <w:b/>
          <w:bCs/>
          <w:lang w:val="et-EE"/>
        </w:rPr>
        <w:tab/>
        <w:t>B</w:t>
      </w:r>
    </w:p>
    <w:p w:rsidR="00710989" w:rsidRPr="00700A64" w:rsidRDefault="00710989" w:rsidP="00B90E53">
      <w:pPr>
        <w:adjustRightInd w:val="0"/>
        <w:snapToGrid w:val="0"/>
        <w:spacing w:line="360" w:lineRule="auto"/>
        <w:jc w:val="both"/>
        <w:rPr>
          <w:rFonts w:ascii="Book Antiqua" w:hAnsi="Book Antiqua"/>
          <w:b/>
          <w:bCs/>
          <w:lang w:val="et-EE"/>
        </w:rPr>
      </w:pPr>
    </w:p>
    <w:p w:rsidR="00464D90" w:rsidRPr="00700A64" w:rsidRDefault="00464D90" w:rsidP="00B90E53">
      <w:pPr>
        <w:adjustRightInd w:val="0"/>
        <w:snapToGrid w:val="0"/>
        <w:spacing w:line="360" w:lineRule="auto"/>
        <w:jc w:val="both"/>
        <w:rPr>
          <w:rFonts w:ascii="Book Antiqua" w:hAnsi="Book Antiqua"/>
        </w:rPr>
      </w:pPr>
      <w:r w:rsidRPr="005D0E4B">
        <w:rPr>
          <w:rFonts w:ascii="Book Antiqua" w:hAnsi="Book Antiqua"/>
          <w:b/>
        </w:rPr>
        <w:t xml:space="preserve">Figure 8 Staining for Langerin (CD207) on </w:t>
      </w:r>
      <w:r w:rsidRPr="005D0E4B">
        <w:rPr>
          <w:rFonts w:ascii="Book Antiqua" w:hAnsi="Book Antiqua"/>
          <w:b/>
          <w:bCs/>
        </w:rPr>
        <w:t xml:space="preserve">cryostat sections of the small bowel mucosa </w:t>
      </w:r>
      <w:r w:rsidRPr="005D0E4B">
        <w:rPr>
          <w:rFonts w:ascii="Book Antiqua" w:hAnsi="Book Antiqua"/>
          <w:b/>
        </w:rPr>
        <w:t xml:space="preserve">in the lamina propria (A) and </w:t>
      </w:r>
      <w:r w:rsidRPr="005D0E4B">
        <w:rPr>
          <w:rFonts w:ascii="Book Antiqua" w:hAnsi="Book Antiqua"/>
          <w:b/>
          <w:bCs/>
        </w:rPr>
        <w:t>in the epithelium of the villus of the small bowel mucosa</w:t>
      </w:r>
      <w:r w:rsidRPr="005D0E4B">
        <w:rPr>
          <w:rFonts w:ascii="Book Antiqua" w:hAnsi="Book Antiqua"/>
          <w:b/>
        </w:rPr>
        <w:t xml:space="preserve"> (B). </w:t>
      </w:r>
      <w:r w:rsidRPr="00700A64">
        <w:rPr>
          <w:rFonts w:ascii="Book Antiqua" w:hAnsi="Book Antiqua"/>
        </w:rPr>
        <w:t>Original magnification, 40</w:t>
      </w:r>
      <w:r w:rsidR="005D0E4B">
        <w:rPr>
          <w:rFonts w:ascii="Book Antiqua" w:hAnsi="Book Antiqua" w:hint="eastAsia"/>
          <w:lang w:eastAsia="zh-CN"/>
        </w:rPr>
        <w:t xml:space="preserve"> </w:t>
      </w:r>
      <w:r w:rsidRPr="00700A64">
        <w:rPr>
          <w:rFonts w:ascii="Book Antiqua" w:hAnsi="Book Antiqua"/>
        </w:rPr>
        <w:t>x objective; 10</w:t>
      </w:r>
      <w:r w:rsidR="005D0E4B">
        <w:rPr>
          <w:rFonts w:ascii="Book Antiqua" w:hAnsi="Book Antiqua" w:hint="eastAsia"/>
          <w:lang w:eastAsia="zh-CN"/>
        </w:rPr>
        <w:t xml:space="preserve"> </w:t>
      </w:r>
      <w:r w:rsidRPr="00700A64">
        <w:rPr>
          <w:rFonts w:ascii="Book Antiqua" w:hAnsi="Book Antiqua"/>
        </w:rPr>
        <w:t>x eyepiece.</w:t>
      </w:r>
    </w:p>
    <w:p w:rsidR="00464D90" w:rsidRPr="00700A64" w:rsidRDefault="00464D90" w:rsidP="00B90E53">
      <w:pPr>
        <w:adjustRightInd w:val="0"/>
        <w:snapToGrid w:val="0"/>
        <w:spacing w:line="360" w:lineRule="auto"/>
        <w:jc w:val="both"/>
        <w:rPr>
          <w:rFonts w:ascii="Book Antiqua" w:hAnsi="Book Antiqua"/>
          <w:b/>
        </w:rPr>
      </w:pPr>
    </w:p>
    <w:p w:rsidR="00464D90" w:rsidRPr="00700A64" w:rsidRDefault="00464D90" w:rsidP="00B90E53">
      <w:pPr>
        <w:adjustRightInd w:val="0"/>
        <w:snapToGrid w:val="0"/>
        <w:spacing w:line="360" w:lineRule="auto"/>
        <w:jc w:val="both"/>
        <w:rPr>
          <w:rFonts w:ascii="Book Antiqua" w:hAnsi="Book Antiqua"/>
          <w:b/>
        </w:rPr>
      </w:pPr>
    </w:p>
    <w:p w:rsidR="00710989" w:rsidRPr="00700A64" w:rsidRDefault="00710989" w:rsidP="00B90E53">
      <w:pPr>
        <w:adjustRightInd w:val="0"/>
        <w:snapToGrid w:val="0"/>
        <w:spacing w:line="360" w:lineRule="auto"/>
        <w:jc w:val="both"/>
        <w:rPr>
          <w:rFonts w:ascii="Book Antiqua" w:hAnsi="Book Antiqua"/>
          <w:b/>
          <w:bCs/>
          <w:lang w:val="et-EE"/>
        </w:rPr>
      </w:pPr>
      <w:r w:rsidRPr="00700A64">
        <w:rPr>
          <w:rFonts w:ascii="Book Antiqua" w:hAnsi="Book Antiqua"/>
          <w:b/>
        </w:rPr>
        <w:br w:type="page"/>
      </w:r>
      <w:r w:rsidRPr="00700A64">
        <w:rPr>
          <w:rFonts w:ascii="Book Antiqua" w:hAnsi="Book Antiqua"/>
          <w:b/>
          <w:bCs/>
          <w:lang w:val="et-EE"/>
        </w:rPr>
        <w:lastRenderedPageBreak/>
        <w:tab/>
      </w:r>
      <w:r w:rsidRPr="00700A64">
        <w:rPr>
          <w:rFonts w:ascii="Book Antiqua" w:hAnsi="Book Antiqua"/>
          <w:b/>
          <w:bCs/>
          <w:lang w:val="et-EE"/>
        </w:rPr>
        <w:tab/>
      </w:r>
      <w:r w:rsidRPr="00700A64">
        <w:rPr>
          <w:rFonts w:ascii="Book Antiqua" w:hAnsi="Book Antiqua"/>
          <w:b/>
          <w:bCs/>
          <w:lang w:val="et-EE"/>
        </w:rPr>
        <w:tab/>
      </w:r>
      <w:r w:rsidRPr="00700A64">
        <w:rPr>
          <w:rFonts w:ascii="Book Antiqua" w:hAnsi="Book Antiqua"/>
          <w:b/>
          <w:bCs/>
          <w:lang w:val="et-EE"/>
        </w:rPr>
        <w:tab/>
      </w:r>
      <w:r w:rsidRPr="00700A64">
        <w:rPr>
          <w:rFonts w:ascii="Book Antiqua" w:hAnsi="Book Antiqua"/>
          <w:b/>
          <w:bCs/>
          <w:lang w:val="et-EE"/>
        </w:rPr>
        <w:tab/>
      </w:r>
    </w:p>
    <w:p w:rsidR="00710989" w:rsidRPr="00700A64" w:rsidRDefault="00710989" w:rsidP="00B90E53">
      <w:pPr>
        <w:adjustRightInd w:val="0"/>
        <w:snapToGrid w:val="0"/>
        <w:spacing w:line="360" w:lineRule="auto"/>
        <w:jc w:val="both"/>
        <w:rPr>
          <w:rFonts w:ascii="Book Antiqua" w:hAnsi="Book Antiqua"/>
        </w:rPr>
      </w:pPr>
      <w:r w:rsidRPr="00700A64">
        <w:rPr>
          <w:rFonts w:ascii="Book Antiqua" w:hAnsi="Book Antiqua"/>
        </w:rPr>
        <w:object w:dxaOrig="5863" w:dyaOrig="6041">
          <v:shape id="_x0000_i1032" type="#_x0000_t75" style="width:223.5pt;height:230.4pt" o:ole="">
            <v:imagedata r:id="rId34" o:title=""/>
          </v:shape>
          <o:OLEObject Type="Embed" ProgID="Prism5.Document" ShapeID="_x0000_i1032" DrawAspect="Content" ObjectID="_1467523223" r:id="rId35"/>
        </w:object>
      </w:r>
      <w:r w:rsidRPr="00700A64">
        <w:rPr>
          <w:rFonts w:ascii="Book Antiqua" w:hAnsi="Book Antiqua"/>
        </w:rPr>
        <w:t xml:space="preserve">           </w:t>
      </w:r>
    </w:p>
    <w:p w:rsidR="00464D90" w:rsidRPr="005D0E4B" w:rsidRDefault="00464D90" w:rsidP="00B90E53">
      <w:pPr>
        <w:adjustRightInd w:val="0"/>
        <w:snapToGrid w:val="0"/>
        <w:spacing w:line="360" w:lineRule="auto"/>
        <w:jc w:val="both"/>
        <w:rPr>
          <w:rFonts w:ascii="Book Antiqua" w:hAnsi="Book Antiqua"/>
        </w:rPr>
      </w:pPr>
      <w:r w:rsidRPr="005D0E4B">
        <w:rPr>
          <w:rFonts w:ascii="Book Antiqua" w:hAnsi="Book Antiqua"/>
          <w:b/>
          <w:bCs/>
        </w:rPr>
        <w:t xml:space="preserve">Figure 9 </w:t>
      </w:r>
      <w:r w:rsidR="005D0E4B">
        <w:rPr>
          <w:rFonts w:ascii="Book Antiqua" w:hAnsi="Book Antiqua" w:hint="eastAsia"/>
          <w:b/>
          <w:lang w:eastAsia="zh-CN"/>
        </w:rPr>
        <w:t>D</w:t>
      </w:r>
      <w:r w:rsidRPr="005D0E4B">
        <w:rPr>
          <w:rFonts w:ascii="Book Antiqua" w:hAnsi="Book Antiqua"/>
          <w:b/>
        </w:rPr>
        <w:t xml:space="preserve">ensities of Langerin+ DCs on paraffin sections for the different study groups. </w:t>
      </w:r>
      <w:r w:rsidRPr="005D0E4B">
        <w:rPr>
          <w:rFonts w:ascii="Book Antiqua" w:hAnsi="Book Antiqua"/>
        </w:rPr>
        <w:t>The dots represent the mean values of positively stained cells per microscopic field.</w:t>
      </w:r>
      <w:r w:rsidR="005D0E4B" w:rsidRPr="005D0E4B">
        <w:rPr>
          <w:rFonts w:ascii="Book Antiqua" w:hAnsi="Book Antiqua" w:hint="eastAsia"/>
          <w:lang w:eastAsia="zh-CN"/>
        </w:rPr>
        <w:t xml:space="preserve"> </w:t>
      </w:r>
      <w:r w:rsidRPr="005D0E4B">
        <w:rPr>
          <w:rFonts w:ascii="Book Antiqua" w:hAnsi="Book Antiqua"/>
          <w:vertAlign w:val="superscript"/>
        </w:rPr>
        <w:t>a</w:t>
      </w:r>
      <w:r w:rsidR="00F94270" w:rsidRPr="005D0E4B">
        <w:rPr>
          <w:rFonts w:ascii="Book Antiqua" w:hAnsi="Book Antiqua"/>
          <w:i/>
        </w:rPr>
        <w:t xml:space="preserve">P </w:t>
      </w:r>
      <w:r w:rsidR="005D0E4B" w:rsidRPr="005D0E4B">
        <w:rPr>
          <w:rFonts w:ascii="Book Antiqua" w:hAnsi="Book Antiqua" w:hint="eastAsia"/>
          <w:i/>
          <w:lang w:eastAsia="zh-CN"/>
        </w:rPr>
        <w:t>&lt;</w:t>
      </w:r>
      <w:r w:rsidR="00F94270" w:rsidRPr="005D0E4B">
        <w:rPr>
          <w:rFonts w:ascii="Book Antiqua" w:hAnsi="Book Antiqua"/>
          <w:i/>
        </w:rPr>
        <w:t xml:space="preserve"> </w:t>
      </w:r>
      <w:r w:rsidRPr="005D0E4B">
        <w:rPr>
          <w:rFonts w:ascii="Book Antiqua" w:hAnsi="Book Antiqua"/>
        </w:rPr>
        <w:t>0.0</w:t>
      </w:r>
      <w:r w:rsidR="005D0E4B" w:rsidRPr="005D0E4B">
        <w:rPr>
          <w:rFonts w:ascii="Book Antiqua" w:hAnsi="Book Antiqua" w:hint="eastAsia"/>
          <w:lang w:eastAsia="zh-CN"/>
        </w:rPr>
        <w:t>5</w:t>
      </w:r>
      <w:r w:rsidRPr="005D0E4B">
        <w:rPr>
          <w:rFonts w:ascii="Book Antiqua" w:hAnsi="Book Antiqua"/>
        </w:rPr>
        <w:t xml:space="preserve"> CD total </w:t>
      </w:r>
      <w:r w:rsidR="00F94270" w:rsidRPr="005D0E4B">
        <w:rPr>
          <w:rFonts w:ascii="Book Antiqua" w:hAnsi="Book Antiqua"/>
          <w:i/>
        </w:rPr>
        <w:t>vs</w:t>
      </w:r>
      <w:r w:rsidRPr="005D0E4B">
        <w:rPr>
          <w:rFonts w:ascii="Book Antiqua" w:hAnsi="Book Antiqua"/>
        </w:rPr>
        <w:t xml:space="preserve"> normal mucosa.</w:t>
      </w:r>
    </w:p>
    <w:p w:rsidR="00464D90" w:rsidRPr="00700A64" w:rsidRDefault="00464D90" w:rsidP="00B90E53">
      <w:pPr>
        <w:adjustRightInd w:val="0"/>
        <w:snapToGrid w:val="0"/>
        <w:spacing w:line="360" w:lineRule="auto"/>
        <w:jc w:val="both"/>
        <w:rPr>
          <w:rFonts w:ascii="Book Antiqua" w:hAnsi="Book Antiqua"/>
          <w:b/>
          <w:bCs/>
        </w:rPr>
      </w:pPr>
    </w:p>
    <w:p w:rsidR="00710989" w:rsidRPr="00700A64" w:rsidRDefault="00710989" w:rsidP="00B90E53">
      <w:pPr>
        <w:adjustRightInd w:val="0"/>
        <w:snapToGrid w:val="0"/>
        <w:spacing w:line="360" w:lineRule="auto"/>
        <w:jc w:val="both"/>
        <w:rPr>
          <w:rFonts w:ascii="Book Antiqua" w:hAnsi="Book Antiqua"/>
          <w:b/>
          <w:bCs/>
        </w:rPr>
      </w:pPr>
      <w:r w:rsidRPr="00700A64">
        <w:rPr>
          <w:rFonts w:ascii="Book Antiqua" w:hAnsi="Book Antiqua"/>
          <w:b/>
          <w:bCs/>
        </w:rPr>
        <w:br w:type="page"/>
      </w:r>
    </w:p>
    <w:p w:rsidR="00710989" w:rsidRPr="00700A64" w:rsidRDefault="001D7929" w:rsidP="00B90E53">
      <w:pPr>
        <w:adjustRightInd w:val="0"/>
        <w:snapToGrid w:val="0"/>
        <w:spacing w:line="360" w:lineRule="auto"/>
        <w:jc w:val="both"/>
        <w:rPr>
          <w:rFonts w:ascii="Book Antiqua" w:hAnsi="Book Antiqua"/>
          <w:b/>
          <w:bCs/>
        </w:rPr>
      </w:pPr>
      <w:r w:rsidRPr="00700A64">
        <w:rPr>
          <w:rFonts w:ascii="Book Antiqua" w:hAnsi="Book Antiqua" w:cs="Arial"/>
          <w:noProof/>
          <w:lang w:eastAsia="zh-CN"/>
        </w:rPr>
        <w:lastRenderedPageBreak/>
        <w:drawing>
          <wp:inline distT="0" distB="0" distL="0" distR="0" wp14:anchorId="0F918855" wp14:editId="5D27EC82">
            <wp:extent cx="3798698" cy="2687541"/>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srcRect/>
                    <a:stretch>
                      <a:fillRect/>
                    </a:stretch>
                  </pic:blipFill>
                  <pic:spPr bwMode="auto">
                    <a:xfrm>
                      <a:off x="0" y="0"/>
                      <a:ext cx="3801660" cy="2689637"/>
                    </a:xfrm>
                    <a:prstGeom prst="rect">
                      <a:avLst/>
                    </a:prstGeom>
                    <a:noFill/>
                    <a:ln w="9525">
                      <a:noFill/>
                      <a:miter lim="800000"/>
                      <a:headEnd/>
                      <a:tailEnd/>
                    </a:ln>
                  </pic:spPr>
                </pic:pic>
              </a:graphicData>
            </a:graphic>
          </wp:inline>
        </w:drawing>
      </w:r>
    </w:p>
    <w:p w:rsidR="00464D90" w:rsidRPr="00700A64" w:rsidRDefault="00464D90" w:rsidP="00B90E53">
      <w:pPr>
        <w:adjustRightInd w:val="0"/>
        <w:snapToGrid w:val="0"/>
        <w:spacing w:line="360" w:lineRule="auto"/>
        <w:jc w:val="both"/>
        <w:rPr>
          <w:rFonts w:ascii="Book Antiqua" w:hAnsi="Book Antiqua"/>
          <w:bCs/>
          <w:color w:val="000000"/>
          <w:u w:val="single"/>
        </w:rPr>
      </w:pPr>
      <w:r w:rsidRPr="00525771">
        <w:rPr>
          <w:rFonts w:ascii="Book Antiqua" w:hAnsi="Book Antiqua"/>
          <w:b/>
          <w:bCs/>
        </w:rPr>
        <w:t xml:space="preserve">Figure 10 </w:t>
      </w:r>
      <w:r w:rsidR="00525771" w:rsidRPr="00525771">
        <w:rPr>
          <w:rFonts w:ascii="Book Antiqua" w:hAnsi="Book Antiqua" w:hint="eastAsia"/>
          <w:b/>
          <w:bCs/>
          <w:lang w:eastAsia="zh-CN"/>
        </w:rPr>
        <w:t>R</w:t>
      </w:r>
      <w:r w:rsidR="00525771" w:rsidRPr="00525771">
        <w:rPr>
          <w:rFonts w:ascii="Book Antiqua" w:hAnsi="Book Antiqua"/>
          <w:b/>
          <w:bCs/>
          <w:color w:val="000000"/>
        </w:rPr>
        <w:t xml:space="preserve">eceiver operating characteristic </w:t>
      </w:r>
      <w:r w:rsidRPr="00525771">
        <w:rPr>
          <w:rFonts w:ascii="Book Antiqua" w:hAnsi="Book Antiqua"/>
          <w:b/>
          <w:bCs/>
          <w:color w:val="000000"/>
        </w:rPr>
        <w:t xml:space="preserve">curves of </w:t>
      </w:r>
      <w:r w:rsidR="00525771" w:rsidRPr="00525771">
        <w:rPr>
          <w:rFonts w:ascii="Book Antiqua" w:hAnsi="Book Antiqua"/>
          <w:b/>
          <w:bCs/>
          <w:color w:val="000000"/>
        </w:rPr>
        <w:t xml:space="preserve">dendritic cell </w:t>
      </w:r>
      <w:r w:rsidRPr="00525771">
        <w:rPr>
          <w:rFonts w:ascii="Book Antiqua" w:hAnsi="Book Antiqua"/>
          <w:b/>
          <w:bCs/>
          <w:color w:val="000000"/>
        </w:rPr>
        <w:t>and Treg</w:t>
      </w:r>
      <w:r w:rsidR="007F593D" w:rsidRPr="00525771">
        <w:rPr>
          <w:rFonts w:ascii="Book Antiqua" w:hAnsi="Book Antiqua"/>
          <w:b/>
          <w:bCs/>
          <w:color w:val="000000"/>
        </w:rPr>
        <w:t>s</w:t>
      </w:r>
      <w:r w:rsidRPr="00525771">
        <w:rPr>
          <w:rFonts w:ascii="Book Antiqua" w:hAnsi="Book Antiqua"/>
          <w:b/>
          <w:bCs/>
          <w:color w:val="000000"/>
        </w:rPr>
        <w:t xml:space="preserve"> markers, showing their overall capacity to discriminate between individuals with and without the disease.</w:t>
      </w:r>
      <w:r w:rsidRPr="00700A64">
        <w:rPr>
          <w:rFonts w:ascii="Book Antiqua" w:hAnsi="Book Antiqua"/>
          <w:bCs/>
          <w:color w:val="000000"/>
        </w:rPr>
        <w:t xml:space="preserve"> The diagonal line represents a worthless test (sensitivity = 1-specificity). The further the curve is from the diagonal line and the closer it is to the upper left- hand corner of the graph, the better the discriminative power of the test.</w:t>
      </w:r>
    </w:p>
    <w:p w:rsidR="00710989" w:rsidRPr="00700A64" w:rsidRDefault="00710989" w:rsidP="00B90E53">
      <w:pPr>
        <w:adjustRightInd w:val="0"/>
        <w:snapToGrid w:val="0"/>
        <w:spacing w:line="360" w:lineRule="auto"/>
        <w:jc w:val="both"/>
        <w:rPr>
          <w:rFonts w:ascii="Book Antiqua" w:hAnsi="Book Antiqua"/>
          <w:b/>
          <w:bCs/>
        </w:rPr>
      </w:pPr>
    </w:p>
    <w:p w:rsidR="00464D90" w:rsidRPr="00700A64" w:rsidRDefault="00464D90" w:rsidP="00B90E53">
      <w:pPr>
        <w:adjustRightInd w:val="0"/>
        <w:snapToGrid w:val="0"/>
        <w:spacing w:line="360" w:lineRule="auto"/>
        <w:jc w:val="both"/>
        <w:rPr>
          <w:rFonts w:ascii="Book Antiqua" w:hAnsi="Book Antiqua"/>
          <w:b/>
          <w:bCs/>
        </w:rPr>
      </w:pPr>
    </w:p>
    <w:p w:rsidR="000A752C" w:rsidRPr="0017755D" w:rsidRDefault="000A752C" w:rsidP="00B90E53">
      <w:pPr>
        <w:adjustRightInd w:val="0"/>
        <w:snapToGrid w:val="0"/>
        <w:spacing w:line="360" w:lineRule="auto"/>
        <w:jc w:val="both"/>
        <w:rPr>
          <w:rFonts w:ascii="Book Antiqua" w:hAnsi="Book Antiqua"/>
          <w:bCs/>
          <w:color w:val="000000"/>
          <w:lang w:eastAsia="zh-CN"/>
        </w:rPr>
      </w:pPr>
    </w:p>
    <w:sectPr w:rsidR="000A752C" w:rsidRPr="0017755D" w:rsidSect="00A70179">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9B" w:rsidRDefault="00B15D9B" w:rsidP="00325EE6">
      <w:r>
        <w:separator/>
      </w:r>
    </w:p>
  </w:endnote>
  <w:endnote w:type="continuationSeparator" w:id="0">
    <w:p w:rsidR="00B15D9B" w:rsidRDefault="00B15D9B" w:rsidP="0032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w:charset w:val="80"/>
    <w:family w:val="auto"/>
    <w:pitch w:val="variable"/>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9B" w:rsidRDefault="00B15D9B" w:rsidP="00325EE6">
      <w:r>
        <w:separator/>
      </w:r>
    </w:p>
  </w:footnote>
  <w:footnote w:type="continuationSeparator" w:id="0">
    <w:p w:rsidR="00B15D9B" w:rsidRDefault="00B15D9B" w:rsidP="0032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E3" w:rsidRDefault="00405DE3">
    <w:pPr>
      <w:pStyle w:val="a4"/>
      <w:jc w:val="right"/>
    </w:pPr>
    <w:r>
      <w:fldChar w:fldCharType="begin"/>
    </w:r>
    <w:r>
      <w:instrText xml:space="preserve"> PAGE   \* MERGEFORMAT </w:instrText>
    </w:r>
    <w:r>
      <w:fldChar w:fldCharType="separate"/>
    </w:r>
    <w:r w:rsidR="00801CC0">
      <w:rPr>
        <w:noProof/>
      </w:rPr>
      <w:t>42</w:t>
    </w:r>
    <w:r>
      <w:rPr>
        <w:noProof/>
      </w:rPr>
      <w:fldChar w:fldCharType="end"/>
    </w:r>
  </w:p>
  <w:p w:rsidR="00405DE3" w:rsidRDefault="00405D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626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C3C92"/>
    <w:multiLevelType w:val="hybridMultilevel"/>
    <w:tmpl w:val="F5DA60BE"/>
    <w:lvl w:ilvl="0" w:tplc="60FC12D6">
      <w:start w:val="1"/>
      <w:numFmt w:val="lowerLetter"/>
      <w:lvlText w:val="%1."/>
      <w:lvlJc w:val="left"/>
      <w:pPr>
        <w:ind w:left="720" w:hanging="36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56722"/>
    <w:multiLevelType w:val="hybridMultilevel"/>
    <w:tmpl w:val="453EB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22BD"/>
    <w:multiLevelType w:val="hybridMultilevel"/>
    <w:tmpl w:val="ACD2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5650A"/>
    <w:multiLevelType w:val="hybridMultilevel"/>
    <w:tmpl w:val="453EB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C0F79"/>
    <w:multiLevelType w:val="hybridMultilevel"/>
    <w:tmpl w:val="CDF24A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D3645D9"/>
    <w:multiLevelType w:val="hybridMultilevel"/>
    <w:tmpl w:val="9D3A4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35B29"/>
    <w:multiLevelType w:val="hybridMultilevel"/>
    <w:tmpl w:val="3A041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D05EE"/>
    <w:multiLevelType w:val="hybridMultilevel"/>
    <w:tmpl w:val="D4287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613F3"/>
    <w:multiLevelType w:val="hybridMultilevel"/>
    <w:tmpl w:val="3ADA42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ED5B8E"/>
    <w:multiLevelType w:val="hybridMultilevel"/>
    <w:tmpl w:val="3FA2A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85A65"/>
    <w:multiLevelType w:val="hybridMultilevel"/>
    <w:tmpl w:val="D4287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C35DD"/>
    <w:multiLevelType w:val="hybridMultilevel"/>
    <w:tmpl w:val="128843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625D56"/>
    <w:multiLevelType w:val="hybridMultilevel"/>
    <w:tmpl w:val="C7441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9B0797"/>
    <w:multiLevelType w:val="hybridMultilevel"/>
    <w:tmpl w:val="4F32A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5A2BCD"/>
    <w:multiLevelType w:val="hybridMultilevel"/>
    <w:tmpl w:val="44AC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E04EA"/>
    <w:multiLevelType w:val="hybridMultilevel"/>
    <w:tmpl w:val="0BB8132C"/>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2"/>
        </w:tabs>
        <w:ind w:left="1512" w:hanging="360"/>
      </w:pPr>
    </w:lvl>
    <w:lvl w:ilvl="2" w:tplc="1C1CA2CA">
      <w:start w:val="1"/>
      <w:numFmt w:val="upperLetter"/>
      <w:lvlText w:val="%3."/>
      <w:lvlJc w:val="left"/>
      <w:pPr>
        <w:tabs>
          <w:tab w:val="num" w:pos="2412"/>
        </w:tabs>
        <w:ind w:left="2412" w:hanging="360"/>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5E984568"/>
    <w:multiLevelType w:val="hybridMultilevel"/>
    <w:tmpl w:val="D4287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2151B"/>
    <w:multiLevelType w:val="hybridMultilevel"/>
    <w:tmpl w:val="E8687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052EF"/>
    <w:multiLevelType w:val="hybridMultilevel"/>
    <w:tmpl w:val="B6D0E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54959"/>
    <w:multiLevelType w:val="hybridMultilevel"/>
    <w:tmpl w:val="555C31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E4721"/>
    <w:multiLevelType w:val="hybridMultilevel"/>
    <w:tmpl w:val="F13AE402"/>
    <w:lvl w:ilvl="0" w:tplc="A53C663C">
      <w:start w:val="1"/>
      <w:numFmt w:val="bullet"/>
      <w:lvlText w:val=""/>
      <w:lvlJc w:val="left"/>
      <w:pPr>
        <w:tabs>
          <w:tab w:val="num" w:pos="720"/>
        </w:tabs>
        <w:ind w:left="720" w:hanging="360"/>
      </w:pPr>
      <w:rPr>
        <w:rFonts w:ascii="Symbol" w:hAnsi="Symbol" w:hint="default"/>
      </w:rPr>
    </w:lvl>
    <w:lvl w:ilvl="1" w:tplc="6C6CFA1E" w:tentative="1">
      <w:start w:val="1"/>
      <w:numFmt w:val="bullet"/>
      <w:lvlText w:val=""/>
      <w:lvlJc w:val="left"/>
      <w:pPr>
        <w:tabs>
          <w:tab w:val="num" w:pos="1440"/>
        </w:tabs>
        <w:ind w:left="1440" w:hanging="360"/>
      </w:pPr>
      <w:rPr>
        <w:rFonts w:ascii="Symbol" w:hAnsi="Symbol" w:hint="default"/>
      </w:rPr>
    </w:lvl>
    <w:lvl w:ilvl="2" w:tplc="0570E766" w:tentative="1">
      <w:start w:val="1"/>
      <w:numFmt w:val="bullet"/>
      <w:lvlText w:val=""/>
      <w:lvlJc w:val="left"/>
      <w:pPr>
        <w:tabs>
          <w:tab w:val="num" w:pos="2160"/>
        </w:tabs>
        <w:ind w:left="2160" w:hanging="360"/>
      </w:pPr>
      <w:rPr>
        <w:rFonts w:ascii="Symbol" w:hAnsi="Symbol" w:hint="default"/>
      </w:rPr>
    </w:lvl>
    <w:lvl w:ilvl="3" w:tplc="B2EA6594" w:tentative="1">
      <w:start w:val="1"/>
      <w:numFmt w:val="bullet"/>
      <w:lvlText w:val=""/>
      <w:lvlJc w:val="left"/>
      <w:pPr>
        <w:tabs>
          <w:tab w:val="num" w:pos="2880"/>
        </w:tabs>
        <w:ind w:left="2880" w:hanging="360"/>
      </w:pPr>
      <w:rPr>
        <w:rFonts w:ascii="Symbol" w:hAnsi="Symbol" w:hint="default"/>
      </w:rPr>
    </w:lvl>
    <w:lvl w:ilvl="4" w:tplc="62A0EEB2" w:tentative="1">
      <w:start w:val="1"/>
      <w:numFmt w:val="bullet"/>
      <w:lvlText w:val=""/>
      <w:lvlJc w:val="left"/>
      <w:pPr>
        <w:tabs>
          <w:tab w:val="num" w:pos="3600"/>
        </w:tabs>
        <w:ind w:left="3600" w:hanging="360"/>
      </w:pPr>
      <w:rPr>
        <w:rFonts w:ascii="Symbol" w:hAnsi="Symbol" w:hint="default"/>
      </w:rPr>
    </w:lvl>
    <w:lvl w:ilvl="5" w:tplc="BF42BF22" w:tentative="1">
      <w:start w:val="1"/>
      <w:numFmt w:val="bullet"/>
      <w:lvlText w:val=""/>
      <w:lvlJc w:val="left"/>
      <w:pPr>
        <w:tabs>
          <w:tab w:val="num" w:pos="4320"/>
        </w:tabs>
        <w:ind w:left="4320" w:hanging="360"/>
      </w:pPr>
      <w:rPr>
        <w:rFonts w:ascii="Symbol" w:hAnsi="Symbol" w:hint="default"/>
      </w:rPr>
    </w:lvl>
    <w:lvl w:ilvl="6" w:tplc="F8046CA8" w:tentative="1">
      <w:start w:val="1"/>
      <w:numFmt w:val="bullet"/>
      <w:lvlText w:val=""/>
      <w:lvlJc w:val="left"/>
      <w:pPr>
        <w:tabs>
          <w:tab w:val="num" w:pos="5040"/>
        </w:tabs>
        <w:ind w:left="5040" w:hanging="360"/>
      </w:pPr>
      <w:rPr>
        <w:rFonts w:ascii="Symbol" w:hAnsi="Symbol" w:hint="default"/>
      </w:rPr>
    </w:lvl>
    <w:lvl w:ilvl="7" w:tplc="EFFA071E" w:tentative="1">
      <w:start w:val="1"/>
      <w:numFmt w:val="bullet"/>
      <w:lvlText w:val=""/>
      <w:lvlJc w:val="left"/>
      <w:pPr>
        <w:tabs>
          <w:tab w:val="num" w:pos="5760"/>
        </w:tabs>
        <w:ind w:left="5760" w:hanging="360"/>
      </w:pPr>
      <w:rPr>
        <w:rFonts w:ascii="Symbol" w:hAnsi="Symbol" w:hint="default"/>
      </w:rPr>
    </w:lvl>
    <w:lvl w:ilvl="8" w:tplc="51080FFC" w:tentative="1">
      <w:start w:val="1"/>
      <w:numFmt w:val="bullet"/>
      <w:lvlText w:val=""/>
      <w:lvlJc w:val="left"/>
      <w:pPr>
        <w:tabs>
          <w:tab w:val="num" w:pos="6480"/>
        </w:tabs>
        <w:ind w:left="6480" w:hanging="360"/>
      </w:pPr>
      <w:rPr>
        <w:rFonts w:ascii="Symbol" w:hAnsi="Symbol" w:hint="default"/>
      </w:rPr>
    </w:lvl>
  </w:abstractNum>
  <w:abstractNum w:abstractNumId="22">
    <w:nsid w:val="6DAF1568"/>
    <w:multiLevelType w:val="hybridMultilevel"/>
    <w:tmpl w:val="D6F06218"/>
    <w:lvl w:ilvl="0" w:tplc="A10CE054">
      <w:start w:val="1"/>
      <w:numFmt w:val="bullet"/>
      <w:lvlText w:val=""/>
      <w:lvlJc w:val="left"/>
      <w:pPr>
        <w:tabs>
          <w:tab w:val="num" w:pos="720"/>
        </w:tabs>
        <w:ind w:left="720" w:hanging="360"/>
      </w:pPr>
      <w:rPr>
        <w:rFonts w:ascii="Symbol" w:hAnsi="Symbol" w:hint="default"/>
      </w:rPr>
    </w:lvl>
    <w:lvl w:ilvl="1" w:tplc="9B800A1A" w:tentative="1">
      <w:start w:val="1"/>
      <w:numFmt w:val="bullet"/>
      <w:lvlText w:val=""/>
      <w:lvlJc w:val="left"/>
      <w:pPr>
        <w:tabs>
          <w:tab w:val="num" w:pos="1440"/>
        </w:tabs>
        <w:ind w:left="1440" w:hanging="360"/>
      </w:pPr>
      <w:rPr>
        <w:rFonts w:ascii="Symbol" w:hAnsi="Symbol" w:hint="default"/>
      </w:rPr>
    </w:lvl>
    <w:lvl w:ilvl="2" w:tplc="D99A6CA6" w:tentative="1">
      <w:start w:val="1"/>
      <w:numFmt w:val="bullet"/>
      <w:lvlText w:val=""/>
      <w:lvlJc w:val="left"/>
      <w:pPr>
        <w:tabs>
          <w:tab w:val="num" w:pos="2160"/>
        </w:tabs>
        <w:ind w:left="2160" w:hanging="360"/>
      </w:pPr>
      <w:rPr>
        <w:rFonts w:ascii="Symbol" w:hAnsi="Symbol" w:hint="default"/>
      </w:rPr>
    </w:lvl>
    <w:lvl w:ilvl="3" w:tplc="87902A40" w:tentative="1">
      <w:start w:val="1"/>
      <w:numFmt w:val="bullet"/>
      <w:lvlText w:val=""/>
      <w:lvlJc w:val="left"/>
      <w:pPr>
        <w:tabs>
          <w:tab w:val="num" w:pos="2880"/>
        </w:tabs>
        <w:ind w:left="2880" w:hanging="360"/>
      </w:pPr>
      <w:rPr>
        <w:rFonts w:ascii="Symbol" w:hAnsi="Symbol" w:hint="default"/>
      </w:rPr>
    </w:lvl>
    <w:lvl w:ilvl="4" w:tplc="3830D1A4" w:tentative="1">
      <w:start w:val="1"/>
      <w:numFmt w:val="bullet"/>
      <w:lvlText w:val=""/>
      <w:lvlJc w:val="left"/>
      <w:pPr>
        <w:tabs>
          <w:tab w:val="num" w:pos="3600"/>
        </w:tabs>
        <w:ind w:left="3600" w:hanging="360"/>
      </w:pPr>
      <w:rPr>
        <w:rFonts w:ascii="Symbol" w:hAnsi="Symbol" w:hint="default"/>
      </w:rPr>
    </w:lvl>
    <w:lvl w:ilvl="5" w:tplc="376A36F4" w:tentative="1">
      <w:start w:val="1"/>
      <w:numFmt w:val="bullet"/>
      <w:lvlText w:val=""/>
      <w:lvlJc w:val="left"/>
      <w:pPr>
        <w:tabs>
          <w:tab w:val="num" w:pos="4320"/>
        </w:tabs>
        <w:ind w:left="4320" w:hanging="360"/>
      </w:pPr>
      <w:rPr>
        <w:rFonts w:ascii="Symbol" w:hAnsi="Symbol" w:hint="default"/>
      </w:rPr>
    </w:lvl>
    <w:lvl w:ilvl="6" w:tplc="A73E9258" w:tentative="1">
      <w:start w:val="1"/>
      <w:numFmt w:val="bullet"/>
      <w:lvlText w:val=""/>
      <w:lvlJc w:val="left"/>
      <w:pPr>
        <w:tabs>
          <w:tab w:val="num" w:pos="5040"/>
        </w:tabs>
        <w:ind w:left="5040" w:hanging="360"/>
      </w:pPr>
      <w:rPr>
        <w:rFonts w:ascii="Symbol" w:hAnsi="Symbol" w:hint="default"/>
      </w:rPr>
    </w:lvl>
    <w:lvl w:ilvl="7" w:tplc="D9EE1328" w:tentative="1">
      <w:start w:val="1"/>
      <w:numFmt w:val="bullet"/>
      <w:lvlText w:val=""/>
      <w:lvlJc w:val="left"/>
      <w:pPr>
        <w:tabs>
          <w:tab w:val="num" w:pos="5760"/>
        </w:tabs>
        <w:ind w:left="5760" w:hanging="360"/>
      </w:pPr>
      <w:rPr>
        <w:rFonts w:ascii="Symbol" w:hAnsi="Symbol" w:hint="default"/>
      </w:rPr>
    </w:lvl>
    <w:lvl w:ilvl="8" w:tplc="56C41ED0" w:tentative="1">
      <w:start w:val="1"/>
      <w:numFmt w:val="bullet"/>
      <w:lvlText w:val=""/>
      <w:lvlJc w:val="left"/>
      <w:pPr>
        <w:tabs>
          <w:tab w:val="num" w:pos="6480"/>
        </w:tabs>
        <w:ind w:left="6480" w:hanging="360"/>
      </w:pPr>
      <w:rPr>
        <w:rFonts w:ascii="Symbol" w:hAnsi="Symbol" w:hint="default"/>
      </w:rPr>
    </w:lvl>
  </w:abstractNum>
  <w:abstractNum w:abstractNumId="23">
    <w:nsid w:val="70815318"/>
    <w:multiLevelType w:val="hybridMultilevel"/>
    <w:tmpl w:val="11263E20"/>
    <w:lvl w:ilvl="0" w:tplc="F58C7C1E">
      <w:start w:val="1"/>
      <w:numFmt w:val="lowerLetter"/>
      <w:lvlText w:val="%1."/>
      <w:lvlJc w:val="left"/>
      <w:pPr>
        <w:ind w:left="720" w:hanging="36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D0156"/>
    <w:multiLevelType w:val="hybridMultilevel"/>
    <w:tmpl w:val="621408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C477672"/>
    <w:multiLevelType w:val="hybridMultilevel"/>
    <w:tmpl w:val="DF428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5709D"/>
    <w:multiLevelType w:val="hybridMultilevel"/>
    <w:tmpl w:val="AD52A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568C3"/>
    <w:multiLevelType w:val="hybridMultilevel"/>
    <w:tmpl w:val="453EB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B1257"/>
    <w:multiLevelType w:val="hybridMultilevel"/>
    <w:tmpl w:val="C8FCEC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1"/>
  </w:num>
  <w:num w:numId="2">
    <w:abstractNumId w:val="22"/>
  </w:num>
  <w:num w:numId="3">
    <w:abstractNumId w:val="14"/>
  </w:num>
  <w:num w:numId="4">
    <w:abstractNumId w:val="6"/>
  </w:num>
  <w:num w:numId="5">
    <w:abstractNumId w:val="15"/>
  </w:num>
  <w:num w:numId="6">
    <w:abstractNumId w:val="24"/>
  </w:num>
  <w:num w:numId="7">
    <w:abstractNumId w:val="9"/>
  </w:num>
  <w:num w:numId="8">
    <w:abstractNumId w:val="16"/>
  </w:num>
  <w:num w:numId="9">
    <w:abstractNumId w:val="23"/>
  </w:num>
  <w:num w:numId="10">
    <w:abstractNumId w:val="3"/>
  </w:num>
  <w:num w:numId="11">
    <w:abstractNumId w:val="25"/>
  </w:num>
  <w:num w:numId="12">
    <w:abstractNumId w:val="13"/>
  </w:num>
  <w:num w:numId="13">
    <w:abstractNumId w:val="10"/>
  </w:num>
  <w:num w:numId="14">
    <w:abstractNumId w:val="1"/>
  </w:num>
  <w:num w:numId="15">
    <w:abstractNumId w:val="19"/>
  </w:num>
  <w:num w:numId="16">
    <w:abstractNumId w:val="26"/>
  </w:num>
  <w:num w:numId="17">
    <w:abstractNumId w:val="28"/>
  </w:num>
  <w:num w:numId="18">
    <w:abstractNumId w:val="5"/>
  </w:num>
  <w:num w:numId="19">
    <w:abstractNumId w:val="2"/>
  </w:num>
  <w:num w:numId="20">
    <w:abstractNumId w:val="11"/>
  </w:num>
  <w:num w:numId="21">
    <w:abstractNumId w:val="18"/>
  </w:num>
  <w:num w:numId="22">
    <w:abstractNumId w:val="4"/>
  </w:num>
  <w:num w:numId="23">
    <w:abstractNumId w:val="8"/>
  </w:num>
  <w:num w:numId="24">
    <w:abstractNumId w:val="20"/>
  </w:num>
  <w:num w:numId="25">
    <w:abstractNumId w:val="7"/>
  </w:num>
  <w:num w:numId="26">
    <w:abstractNumId w:val="0"/>
  </w:num>
  <w:num w:numId="27">
    <w:abstractNumId w:val="27"/>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55"/>
    <w:rsid w:val="00000015"/>
    <w:rsid w:val="0000029F"/>
    <w:rsid w:val="00000D6C"/>
    <w:rsid w:val="00003635"/>
    <w:rsid w:val="00003769"/>
    <w:rsid w:val="00005BC9"/>
    <w:rsid w:val="00011E5A"/>
    <w:rsid w:val="00012DA0"/>
    <w:rsid w:val="00012E4F"/>
    <w:rsid w:val="00014097"/>
    <w:rsid w:val="00014477"/>
    <w:rsid w:val="0001520E"/>
    <w:rsid w:val="00017712"/>
    <w:rsid w:val="000204CA"/>
    <w:rsid w:val="00020F9A"/>
    <w:rsid w:val="00021361"/>
    <w:rsid w:val="00025BCF"/>
    <w:rsid w:val="00025D9A"/>
    <w:rsid w:val="00025E05"/>
    <w:rsid w:val="0002691E"/>
    <w:rsid w:val="00026C3E"/>
    <w:rsid w:val="0002770B"/>
    <w:rsid w:val="00030C22"/>
    <w:rsid w:val="00032EA4"/>
    <w:rsid w:val="000417F2"/>
    <w:rsid w:val="0004302E"/>
    <w:rsid w:val="00043337"/>
    <w:rsid w:val="0004468D"/>
    <w:rsid w:val="00044DD4"/>
    <w:rsid w:val="000454BB"/>
    <w:rsid w:val="000458E3"/>
    <w:rsid w:val="000461CE"/>
    <w:rsid w:val="00050193"/>
    <w:rsid w:val="00052E58"/>
    <w:rsid w:val="00053109"/>
    <w:rsid w:val="0005344F"/>
    <w:rsid w:val="000555CA"/>
    <w:rsid w:val="00056FEB"/>
    <w:rsid w:val="00057D94"/>
    <w:rsid w:val="00057FDE"/>
    <w:rsid w:val="000610D2"/>
    <w:rsid w:val="00061826"/>
    <w:rsid w:val="00061D26"/>
    <w:rsid w:val="00062A9C"/>
    <w:rsid w:val="0006330E"/>
    <w:rsid w:val="000647DD"/>
    <w:rsid w:val="00064806"/>
    <w:rsid w:val="00064BEF"/>
    <w:rsid w:val="00066CBD"/>
    <w:rsid w:val="00071166"/>
    <w:rsid w:val="000719D6"/>
    <w:rsid w:val="00074576"/>
    <w:rsid w:val="000748C4"/>
    <w:rsid w:val="00077C89"/>
    <w:rsid w:val="000801A0"/>
    <w:rsid w:val="000808EC"/>
    <w:rsid w:val="00080C52"/>
    <w:rsid w:val="00081F51"/>
    <w:rsid w:val="00082D93"/>
    <w:rsid w:val="00084AEF"/>
    <w:rsid w:val="0008551B"/>
    <w:rsid w:val="00085B41"/>
    <w:rsid w:val="0009043F"/>
    <w:rsid w:val="000919DF"/>
    <w:rsid w:val="00092D22"/>
    <w:rsid w:val="000930DC"/>
    <w:rsid w:val="000935F7"/>
    <w:rsid w:val="00093BC7"/>
    <w:rsid w:val="00093E3E"/>
    <w:rsid w:val="000962CD"/>
    <w:rsid w:val="000A0184"/>
    <w:rsid w:val="000A3AAB"/>
    <w:rsid w:val="000A3EDF"/>
    <w:rsid w:val="000A41F0"/>
    <w:rsid w:val="000A752C"/>
    <w:rsid w:val="000B2C84"/>
    <w:rsid w:val="000B2D00"/>
    <w:rsid w:val="000B51D5"/>
    <w:rsid w:val="000B5387"/>
    <w:rsid w:val="000C1070"/>
    <w:rsid w:val="000C21EE"/>
    <w:rsid w:val="000C44D1"/>
    <w:rsid w:val="000C540B"/>
    <w:rsid w:val="000C5767"/>
    <w:rsid w:val="000C7560"/>
    <w:rsid w:val="000D007D"/>
    <w:rsid w:val="000D33C1"/>
    <w:rsid w:val="000D3FD9"/>
    <w:rsid w:val="000D405E"/>
    <w:rsid w:val="000D407A"/>
    <w:rsid w:val="000D5555"/>
    <w:rsid w:val="000D566D"/>
    <w:rsid w:val="000D56A2"/>
    <w:rsid w:val="000D5920"/>
    <w:rsid w:val="000D63EF"/>
    <w:rsid w:val="000E0A57"/>
    <w:rsid w:val="000E1928"/>
    <w:rsid w:val="000E2141"/>
    <w:rsid w:val="000E33E6"/>
    <w:rsid w:val="000E3719"/>
    <w:rsid w:val="000E7A46"/>
    <w:rsid w:val="000F1CB4"/>
    <w:rsid w:val="000F1F11"/>
    <w:rsid w:val="000F205A"/>
    <w:rsid w:val="000F4934"/>
    <w:rsid w:val="000F654D"/>
    <w:rsid w:val="00100804"/>
    <w:rsid w:val="001029DB"/>
    <w:rsid w:val="00103160"/>
    <w:rsid w:val="0010467A"/>
    <w:rsid w:val="00105F69"/>
    <w:rsid w:val="00112D29"/>
    <w:rsid w:val="00115242"/>
    <w:rsid w:val="001217DE"/>
    <w:rsid w:val="001223AE"/>
    <w:rsid w:val="00125A74"/>
    <w:rsid w:val="00125AC7"/>
    <w:rsid w:val="00125C80"/>
    <w:rsid w:val="001278D7"/>
    <w:rsid w:val="00127DAA"/>
    <w:rsid w:val="00130964"/>
    <w:rsid w:val="00131905"/>
    <w:rsid w:val="00133758"/>
    <w:rsid w:val="0013448E"/>
    <w:rsid w:val="001360C4"/>
    <w:rsid w:val="0014091A"/>
    <w:rsid w:val="00142A29"/>
    <w:rsid w:val="00142DE3"/>
    <w:rsid w:val="00142F8C"/>
    <w:rsid w:val="0014306B"/>
    <w:rsid w:val="00143564"/>
    <w:rsid w:val="001440B5"/>
    <w:rsid w:val="00144DFD"/>
    <w:rsid w:val="001465DB"/>
    <w:rsid w:val="00147782"/>
    <w:rsid w:val="00150180"/>
    <w:rsid w:val="00151B8B"/>
    <w:rsid w:val="00151DDC"/>
    <w:rsid w:val="00152626"/>
    <w:rsid w:val="001538D4"/>
    <w:rsid w:val="00153EB5"/>
    <w:rsid w:val="0015643E"/>
    <w:rsid w:val="001601FE"/>
    <w:rsid w:val="001606C4"/>
    <w:rsid w:val="00160CCF"/>
    <w:rsid w:val="001633BF"/>
    <w:rsid w:val="00163BC4"/>
    <w:rsid w:val="00164A26"/>
    <w:rsid w:val="0016556A"/>
    <w:rsid w:val="00166C6D"/>
    <w:rsid w:val="00166DC0"/>
    <w:rsid w:val="00170288"/>
    <w:rsid w:val="001726CE"/>
    <w:rsid w:val="00172731"/>
    <w:rsid w:val="00176454"/>
    <w:rsid w:val="00176F09"/>
    <w:rsid w:val="0017755D"/>
    <w:rsid w:val="0018055C"/>
    <w:rsid w:val="001811F5"/>
    <w:rsid w:val="00182784"/>
    <w:rsid w:val="001845B7"/>
    <w:rsid w:val="00184897"/>
    <w:rsid w:val="00184B86"/>
    <w:rsid w:val="001857FA"/>
    <w:rsid w:val="0018669F"/>
    <w:rsid w:val="00190CC5"/>
    <w:rsid w:val="00193791"/>
    <w:rsid w:val="00193F3B"/>
    <w:rsid w:val="00195902"/>
    <w:rsid w:val="00195EFA"/>
    <w:rsid w:val="001969CB"/>
    <w:rsid w:val="001A05B2"/>
    <w:rsid w:val="001A412C"/>
    <w:rsid w:val="001A4220"/>
    <w:rsid w:val="001A4C05"/>
    <w:rsid w:val="001A5CC0"/>
    <w:rsid w:val="001A6E2E"/>
    <w:rsid w:val="001A7104"/>
    <w:rsid w:val="001A71C5"/>
    <w:rsid w:val="001A7929"/>
    <w:rsid w:val="001B0F5B"/>
    <w:rsid w:val="001B2662"/>
    <w:rsid w:val="001B2F1F"/>
    <w:rsid w:val="001B36A7"/>
    <w:rsid w:val="001B4FB8"/>
    <w:rsid w:val="001B74F6"/>
    <w:rsid w:val="001C392C"/>
    <w:rsid w:val="001C45A6"/>
    <w:rsid w:val="001C4812"/>
    <w:rsid w:val="001C4E62"/>
    <w:rsid w:val="001C6F14"/>
    <w:rsid w:val="001D0E24"/>
    <w:rsid w:val="001D23FF"/>
    <w:rsid w:val="001D2FCD"/>
    <w:rsid w:val="001D3757"/>
    <w:rsid w:val="001D3B07"/>
    <w:rsid w:val="001D6289"/>
    <w:rsid w:val="001D7929"/>
    <w:rsid w:val="001D79CB"/>
    <w:rsid w:val="001D7F15"/>
    <w:rsid w:val="001E116F"/>
    <w:rsid w:val="001E150C"/>
    <w:rsid w:val="001E3358"/>
    <w:rsid w:val="001E4BDE"/>
    <w:rsid w:val="001E5B00"/>
    <w:rsid w:val="001F15B3"/>
    <w:rsid w:val="001F31D2"/>
    <w:rsid w:val="001F4F11"/>
    <w:rsid w:val="001F6A0A"/>
    <w:rsid w:val="001F7C8C"/>
    <w:rsid w:val="00200453"/>
    <w:rsid w:val="0020086B"/>
    <w:rsid w:val="00200D26"/>
    <w:rsid w:val="00205F5F"/>
    <w:rsid w:val="0020795F"/>
    <w:rsid w:val="00207E43"/>
    <w:rsid w:val="00210B48"/>
    <w:rsid w:val="002112B2"/>
    <w:rsid w:val="00211A05"/>
    <w:rsid w:val="00211DBF"/>
    <w:rsid w:val="00215387"/>
    <w:rsid w:val="002206FD"/>
    <w:rsid w:val="00221870"/>
    <w:rsid w:val="00222567"/>
    <w:rsid w:val="00222647"/>
    <w:rsid w:val="00222994"/>
    <w:rsid w:val="00225B8C"/>
    <w:rsid w:val="00225E7C"/>
    <w:rsid w:val="00227C06"/>
    <w:rsid w:val="002300EE"/>
    <w:rsid w:val="00231064"/>
    <w:rsid w:val="00231615"/>
    <w:rsid w:val="00231E08"/>
    <w:rsid w:val="00233D22"/>
    <w:rsid w:val="002349B1"/>
    <w:rsid w:val="002374BD"/>
    <w:rsid w:val="00237610"/>
    <w:rsid w:val="00241098"/>
    <w:rsid w:val="00241AB0"/>
    <w:rsid w:val="00242853"/>
    <w:rsid w:val="00242CE1"/>
    <w:rsid w:val="00242EA0"/>
    <w:rsid w:val="002432CE"/>
    <w:rsid w:val="002437EA"/>
    <w:rsid w:val="00244E04"/>
    <w:rsid w:val="00251A47"/>
    <w:rsid w:val="00252ABE"/>
    <w:rsid w:val="00252C4A"/>
    <w:rsid w:val="00254C05"/>
    <w:rsid w:val="00255F26"/>
    <w:rsid w:val="00260D89"/>
    <w:rsid w:val="0026132D"/>
    <w:rsid w:val="0026163A"/>
    <w:rsid w:val="002627A4"/>
    <w:rsid w:val="00264877"/>
    <w:rsid w:val="002651DC"/>
    <w:rsid w:val="00265A11"/>
    <w:rsid w:val="00267138"/>
    <w:rsid w:val="002704B7"/>
    <w:rsid w:val="00272ADF"/>
    <w:rsid w:val="00272AEB"/>
    <w:rsid w:val="00274717"/>
    <w:rsid w:val="00275274"/>
    <w:rsid w:val="00276B27"/>
    <w:rsid w:val="00277545"/>
    <w:rsid w:val="0027763C"/>
    <w:rsid w:val="0028394F"/>
    <w:rsid w:val="00283D25"/>
    <w:rsid w:val="00285EFA"/>
    <w:rsid w:val="00292412"/>
    <w:rsid w:val="0029308A"/>
    <w:rsid w:val="0029637C"/>
    <w:rsid w:val="0029652A"/>
    <w:rsid w:val="00296999"/>
    <w:rsid w:val="002974EC"/>
    <w:rsid w:val="00297DBF"/>
    <w:rsid w:val="002A2BDC"/>
    <w:rsid w:val="002A2C5E"/>
    <w:rsid w:val="002A32CD"/>
    <w:rsid w:val="002A39E4"/>
    <w:rsid w:val="002A3AF4"/>
    <w:rsid w:val="002A4E3F"/>
    <w:rsid w:val="002A55D1"/>
    <w:rsid w:val="002A6339"/>
    <w:rsid w:val="002A741E"/>
    <w:rsid w:val="002A7882"/>
    <w:rsid w:val="002B0403"/>
    <w:rsid w:val="002B3A31"/>
    <w:rsid w:val="002B3A92"/>
    <w:rsid w:val="002B689F"/>
    <w:rsid w:val="002B69A8"/>
    <w:rsid w:val="002B6E55"/>
    <w:rsid w:val="002C0120"/>
    <w:rsid w:val="002C1445"/>
    <w:rsid w:val="002C6CC1"/>
    <w:rsid w:val="002C6E16"/>
    <w:rsid w:val="002D2A29"/>
    <w:rsid w:val="002D2BCE"/>
    <w:rsid w:val="002D2CCA"/>
    <w:rsid w:val="002D4668"/>
    <w:rsid w:val="002D47E4"/>
    <w:rsid w:val="002D63E7"/>
    <w:rsid w:val="002D7D06"/>
    <w:rsid w:val="002E127E"/>
    <w:rsid w:val="002E2F0F"/>
    <w:rsid w:val="002E4000"/>
    <w:rsid w:val="002E510B"/>
    <w:rsid w:val="002E52CB"/>
    <w:rsid w:val="002E5336"/>
    <w:rsid w:val="002E588B"/>
    <w:rsid w:val="002E5DB9"/>
    <w:rsid w:val="002E6469"/>
    <w:rsid w:val="002F0790"/>
    <w:rsid w:val="002F1AFB"/>
    <w:rsid w:val="002F2D0E"/>
    <w:rsid w:val="002F4BDB"/>
    <w:rsid w:val="002F5D7C"/>
    <w:rsid w:val="002F5E7A"/>
    <w:rsid w:val="0030092C"/>
    <w:rsid w:val="00302156"/>
    <w:rsid w:val="00302382"/>
    <w:rsid w:val="00303F6D"/>
    <w:rsid w:val="0030539B"/>
    <w:rsid w:val="00306D3A"/>
    <w:rsid w:val="0030709C"/>
    <w:rsid w:val="003073FB"/>
    <w:rsid w:val="00307647"/>
    <w:rsid w:val="00307EDB"/>
    <w:rsid w:val="003128B3"/>
    <w:rsid w:val="00313209"/>
    <w:rsid w:val="003143B8"/>
    <w:rsid w:val="0031583A"/>
    <w:rsid w:val="00316C97"/>
    <w:rsid w:val="00317BBB"/>
    <w:rsid w:val="00320BE2"/>
    <w:rsid w:val="00323C4D"/>
    <w:rsid w:val="00325EE6"/>
    <w:rsid w:val="0032620E"/>
    <w:rsid w:val="00326386"/>
    <w:rsid w:val="00327505"/>
    <w:rsid w:val="003275DD"/>
    <w:rsid w:val="003301F7"/>
    <w:rsid w:val="0033044D"/>
    <w:rsid w:val="00330511"/>
    <w:rsid w:val="00330E99"/>
    <w:rsid w:val="00330F4D"/>
    <w:rsid w:val="003323A5"/>
    <w:rsid w:val="003326EA"/>
    <w:rsid w:val="00332B7F"/>
    <w:rsid w:val="00332E31"/>
    <w:rsid w:val="0033342C"/>
    <w:rsid w:val="00333471"/>
    <w:rsid w:val="00333951"/>
    <w:rsid w:val="00333AAD"/>
    <w:rsid w:val="003346B3"/>
    <w:rsid w:val="003350F1"/>
    <w:rsid w:val="00335288"/>
    <w:rsid w:val="00335CF0"/>
    <w:rsid w:val="00335E26"/>
    <w:rsid w:val="00336963"/>
    <w:rsid w:val="00336D2E"/>
    <w:rsid w:val="00340191"/>
    <w:rsid w:val="00340838"/>
    <w:rsid w:val="00344321"/>
    <w:rsid w:val="00344588"/>
    <w:rsid w:val="00344AE5"/>
    <w:rsid w:val="0034678B"/>
    <w:rsid w:val="00347F1E"/>
    <w:rsid w:val="003511F8"/>
    <w:rsid w:val="00352331"/>
    <w:rsid w:val="00353BAD"/>
    <w:rsid w:val="0035481C"/>
    <w:rsid w:val="00356585"/>
    <w:rsid w:val="00356F8C"/>
    <w:rsid w:val="00360304"/>
    <w:rsid w:val="00360B11"/>
    <w:rsid w:val="003616BF"/>
    <w:rsid w:val="00362681"/>
    <w:rsid w:val="00364FDE"/>
    <w:rsid w:val="003650D8"/>
    <w:rsid w:val="003659C8"/>
    <w:rsid w:val="00365E80"/>
    <w:rsid w:val="003663B7"/>
    <w:rsid w:val="00366EFD"/>
    <w:rsid w:val="00371EBD"/>
    <w:rsid w:val="00374093"/>
    <w:rsid w:val="00374422"/>
    <w:rsid w:val="00375174"/>
    <w:rsid w:val="00380FD7"/>
    <w:rsid w:val="003831BE"/>
    <w:rsid w:val="003834B7"/>
    <w:rsid w:val="0038482C"/>
    <w:rsid w:val="00390AAB"/>
    <w:rsid w:val="00391E54"/>
    <w:rsid w:val="00393FFB"/>
    <w:rsid w:val="00394CE8"/>
    <w:rsid w:val="003954F8"/>
    <w:rsid w:val="00395C48"/>
    <w:rsid w:val="00396511"/>
    <w:rsid w:val="00396C1A"/>
    <w:rsid w:val="00397F9B"/>
    <w:rsid w:val="003A11E0"/>
    <w:rsid w:val="003A149A"/>
    <w:rsid w:val="003A1E7B"/>
    <w:rsid w:val="003A1ED1"/>
    <w:rsid w:val="003A2882"/>
    <w:rsid w:val="003A3CE5"/>
    <w:rsid w:val="003A4ACF"/>
    <w:rsid w:val="003A55E2"/>
    <w:rsid w:val="003A5BFB"/>
    <w:rsid w:val="003A6694"/>
    <w:rsid w:val="003B013B"/>
    <w:rsid w:val="003B1B8C"/>
    <w:rsid w:val="003B1D02"/>
    <w:rsid w:val="003B3A65"/>
    <w:rsid w:val="003B40A8"/>
    <w:rsid w:val="003B5F31"/>
    <w:rsid w:val="003B64BA"/>
    <w:rsid w:val="003C0993"/>
    <w:rsid w:val="003C0DD0"/>
    <w:rsid w:val="003C158A"/>
    <w:rsid w:val="003C31F3"/>
    <w:rsid w:val="003C45FE"/>
    <w:rsid w:val="003C57BC"/>
    <w:rsid w:val="003D0C19"/>
    <w:rsid w:val="003D1010"/>
    <w:rsid w:val="003D125F"/>
    <w:rsid w:val="003D12B9"/>
    <w:rsid w:val="003D7623"/>
    <w:rsid w:val="003E0A9A"/>
    <w:rsid w:val="003E0B5A"/>
    <w:rsid w:val="003E248A"/>
    <w:rsid w:val="003E2A95"/>
    <w:rsid w:val="003E4378"/>
    <w:rsid w:val="003E5399"/>
    <w:rsid w:val="003E544F"/>
    <w:rsid w:val="003E5942"/>
    <w:rsid w:val="003E7325"/>
    <w:rsid w:val="003F11B1"/>
    <w:rsid w:val="003F426A"/>
    <w:rsid w:val="003F5604"/>
    <w:rsid w:val="0040015F"/>
    <w:rsid w:val="004006C6"/>
    <w:rsid w:val="00402438"/>
    <w:rsid w:val="00402691"/>
    <w:rsid w:val="00402B69"/>
    <w:rsid w:val="00403877"/>
    <w:rsid w:val="00405338"/>
    <w:rsid w:val="0040569C"/>
    <w:rsid w:val="00405DE3"/>
    <w:rsid w:val="0040794E"/>
    <w:rsid w:val="00410D63"/>
    <w:rsid w:val="0041168B"/>
    <w:rsid w:val="004134C5"/>
    <w:rsid w:val="00415434"/>
    <w:rsid w:val="004170B8"/>
    <w:rsid w:val="00417A1F"/>
    <w:rsid w:val="00417C76"/>
    <w:rsid w:val="00417F5D"/>
    <w:rsid w:val="00421165"/>
    <w:rsid w:val="004228C6"/>
    <w:rsid w:val="00422D36"/>
    <w:rsid w:val="00424465"/>
    <w:rsid w:val="00424F6E"/>
    <w:rsid w:val="00426728"/>
    <w:rsid w:val="00427006"/>
    <w:rsid w:val="004274A9"/>
    <w:rsid w:val="00427FB1"/>
    <w:rsid w:val="004301B8"/>
    <w:rsid w:val="00432735"/>
    <w:rsid w:val="004343E0"/>
    <w:rsid w:val="004344D1"/>
    <w:rsid w:val="00436272"/>
    <w:rsid w:val="00436B6E"/>
    <w:rsid w:val="00436EF1"/>
    <w:rsid w:val="004416EA"/>
    <w:rsid w:val="004456DC"/>
    <w:rsid w:val="004467DD"/>
    <w:rsid w:val="00447493"/>
    <w:rsid w:val="0045012E"/>
    <w:rsid w:val="00450825"/>
    <w:rsid w:val="004519B9"/>
    <w:rsid w:val="0045241B"/>
    <w:rsid w:val="00453883"/>
    <w:rsid w:val="00453BC1"/>
    <w:rsid w:val="00453CE8"/>
    <w:rsid w:val="00454565"/>
    <w:rsid w:val="0046057A"/>
    <w:rsid w:val="00461147"/>
    <w:rsid w:val="004616F8"/>
    <w:rsid w:val="0046182B"/>
    <w:rsid w:val="004648FF"/>
    <w:rsid w:val="00464D90"/>
    <w:rsid w:val="00470120"/>
    <w:rsid w:val="0047048C"/>
    <w:rsid w:val="00470D72"/>
    <w:rsid w:val="00474BEE"/>
    <w:rsid w:val="00474E6B"/>
    <w:rsid w:val="00474F4C"/>
    <w:rsid w:val="0047541A"/>
    <w:rsid w:val="0047551D"/>
    <w:rsid w:val="00475880"/>
    <w:rsid w:val="0048070A"/>
    <w:rsid w:val="00480F9A"/>
    <w:rsid w:val="004816E4"/>
    <w:rsid w:val="00483CE0"/>
    <w:rsid w:val="0048506A"/>
    <w:rsid w:val="0048542F"/>
    <w:rsid w:val="00487AA4"/>
    <w:rsid w:val="00492C93"/>
    <w:rsid w:val="00493902"/>
    <w:rsid w:val="004939B3"/>
    <w:rsid w:val="00495E65"/>
    <w:rsid w:val="00496B3F"/>
    <w:rsid w:val="00497118"/>
    <w:rsid w:val="004A0098"/>
    <w:rsid w:val="004A0CC2"/>
    <w:rsid w:val="004A15E7"/>
    <w:rsid w:val="004A352C"/>
    <w:rsid w:val="004A4E89"/>
    <w:rsid w:val="004A5170"/>
    <w:rsid w:val="004A79B3"/>
    <w:rsid w:val="004B27DD"/>
    <w:rsid w:val="004B2B0D"/>
    <w:rsid w:val="004B521A"/>
    <w:rsid w:val="004B5D57"/>
    <w:rsid w:val="004C02E9"/>
    <w:rsid w:val="004C068D"/>
    <w:rsid w:val="004C0DF9"/>
    <w:rsid w:val="004C2BD8"/>
    <w:rsid w:val="004C329D"/>
    <w:rsid w:val="004C471A"/>
    <w:rsid w:val="004C5A87"/>
    <w:rsid w:val="004C6397"/>
    <w:rsid w:val="004C660F"/>
    <w:rsid w:val="004C73A8"/>
    <w:rsid w:val="004C7E2C"/>
    <w:rsid w:val="004C7ED0"/>
    <w:rsid w:val="004D053C"/>
    <w:rsid w:val="004D0617"/>
    <w:rsid w:val="004D1291"/>
    <w:rsid w:val="004D25F0"/>
    <w:rsid w:val="004D4AAF"/>
    <w:rsid w:val="004D6952"/>
    <w:rsid w:val="004D6D20"/>
    <w:rsid w:val="004D7F2E"/>
    <w:rsid w:val="004E1B95"/>
    <w:rsid w:val="004E377F"/>
    <w:rsid w:val="004E463B"/>
    <w:rsid w:val="004E46D5"/>
    <w:rsid w:val="004E5326"/>
    <w:rsid w:val="004E5BF3"/>
    <w:rsid w:val="004E5DEC"/>
    <w:rsid w:val="004E642B"/>
    <w:rsid w:val="004F10E7"/>
    <w:rsid w:val="004F1E5D"/>
    <w:rsid w:val="004F29E7"/>
    <w:rsid w:val="004F3A84"/>
    <w:rsid w:val="004F4233"/>
    <w:rsid w:val="004F4898"/>
    <w:rsid w:val="004F71D2"/>
    <w:rsid w:val="004F7689"/>
    <w:rsid w:val="00500993"/>
    <w:rsid w:val="005022A6"/>
    <w:rsid w:val="00504C1B"/>
    <w:rsid w:val="00504C61"/>
    <w:rsid w:val="00505929"/>
    <w:rsid w:val="005077D8"/>
    <w:rsid w:val="00517AE2"/>
    <w:rsid w:val="00522A5C"/>
    <w:rsid w:val="0052514D"/>
    <w:rsid w:val="00525771"/>
    <w:rsid w:val="00525AB5"/>
    <w:rsid w:val="00525F11"/>
    <w:rsid w:val="00526317"/>
    <w:rsid w:val="005278E0"/>
    <w:rsid w:val="005305B9"/>
    <w:rsid w:val="00531928"/>
    <w:rsid w:val="00532B8A"/>
    <w:rsid w:val="00532EF0"/>
    <w:rsid w:val="005377AF"/>
    <w:rsid w:val="005406BC"/>
    <w:rsid w:val="00540DB8"/>
    <w:rsid w:val="00540E1A"/>
    <w:rsid w:val="005428D7"/>
    <w:rsid w:val="005442C6"/>
    <w:rsid w:val="005450C4"/>
    <w:rsid w:val="00546CAB"/>
    <w:rsid w:val="005478CF"/>
    <w:rsid w:val="0055226F"/>
    <w:rsid w:val="00553398"/>
    <w:rsid w:val="00555A70"/>
    <w:rsid w:val="00555B13"/>
    <w:rsid w:val="00557547"/>
    <w:rsid w:val="00560620"/>
    <w:rsid w:val="00561CD1"/>
    <w:rsid w:val="005659A3"/>
    <w:rsid w:val="00565BD4"/>
    <w:rsid w:val="00566FC7"/>
    <w:rsid w:val="00570E1A"/>
    <w:rsid w:val="00571558"/>
    <w:rsid w:val="005723C8"/>
    <w:rsid w:val="0057250B"/>
    <w:rsid w:val="0058181D"/>
    <w:rsid w:val="005819CC"/>
    <w:rsid w:val="00581C93"/>
    <w:rsid w:val="00581D1E"/>
    <w:rsid w:val="00582760"/>
    <w:rsid w:val="00582D7F"/>
    <w:rsid w:val="005868BA"/>
    <w:rsid w:val="005868D3"/>
    <w:rsid w:val="00587F68"/>
    <w:rsid w:val="00594420"/>
    <w:rsid w:val="005945EA"/>
    <w:rsid w:val="005971A5"/>
    <w:rsid w:val="005A0560"/>
    <w:rsid w:val="005A0836"/>
    <w:rsid w:val="005A18CF"/>
    <w:rsid w:val="005A4DDE"/>
    <w:rsid w:val="005A7948"/>
    <w:rsid w:val="005A7A83"/>
    <w:rsid w:val="005A7EF0"/>
    <w:rsid w:val="005B0601"/>
    <w:rsid w:val="005B0E83"/>
    <w:rsid w:val="005B1381"/>
    <w:rsid w:val="005B13F7"/>
    <w:rsid w:val="005B148C"/>
    <w:rsid w:val="005B2D38"/>
    <w:rsid w:val="005B5510"/>
    <w:rsid w:val="005B5C9D"/>
    <w:rsid w:val="005C01EC"/>
    <w:rsid w:val="005C1CBF"/>
    <w:rsid w:val="005C2825"/>
    <w:rsid w:val="005C38FA"/>
    <w:rsid w:val="005C68C3"/>
    <w:rsid w:val="005C7383"/>
    <w:rsid w:val="005C7879"/>
    <w:rsid w:val="005D09F8"/>
    <w:rsid w:val="005D0CF1"/>
    <w:rsid w:val="005D0E4B"/>
    <w:rsid w:val="005D11D0"/>
    <w:rsid w:val="005D6069"/>
    <w:rsid w:val="005D69CE"/>
    <w:rsid w:val="005E0D30"/>
    <w:rsid w:val="005E328D"/>
    <w:rsid w:val="005E3C8A"/>
    <w:rsid w:val="005E4072"/>
    <w:rsid w:val="005E5862"/>
    <w:rsid w:val="005E60A7"/>
    <w:rsid w:val="005E7CFE"/>
    <w:rsid w:val="005F0DE6"/>
    <w:rsid w:val="005F354C"/>
    <w:rsid w:val="005F382E"/>
    <w:rsid w:val="005F71AC"/>
    <w:rsid w:val="0060252F"/>
    <w:rsid w:val="00602BC3"/>
    <w:rsid w:val="00604EFF"/>
    <w:rsid w:val="00605310"/>
    <w:rsid w:val="006066B9"/>
    <w:rsid w:val="006103DE"/>
    <w:rsid w:val="0061266A"/>
    <w:rsid w:val="00614833"/>
    <w:rsid w:val="00616A24"/>
    <w:rsid w:val="00617A15"/>
    <w:rsid w:val="0062009D"/>
    <w:rsid w:val="006200E0"/>
    <w:rsid w:val="00620E26"/>
    <w:rsid w:val="00623BC4"/>
    <w:rsid w:val="00627CFD"/>
    <w:rsid w:val="0063044E"/>
    <w:rsid w:val="006312C6"/>
    <w:rsid w:val="00631434"/>
    <w:rsid w:val="00631641"/>
    <w:rsid w:val="0063304B"/>
    <w:rsid w:val="00633967"/>
    <w:rsid w:val="00634B5D"/>
    <w:rsid w:val="00635283"/>
    <w:rsid w:val="00635B72"/>
    <w:rsid w:val="0064042D"/>
    <w:rsid w:val="0064058E"/>
    <w:rsid w:val="006424ED"/>
    <w:rsid w:val="006428CA"/>
    <w:rsid w:val="006431A4"/>
    <w:rsid w:val="00644BFA"/>
    <w:rsid w:val="00646F81"/>
    <w:rsid w:val="00647A44"/>
    <w:rsid w:val="0065363C"/>
    <w:rsid w:val="00657A75"/>
    <w:rsid w:val="00661E91"/>
    <w:rsid w:val="006621AC"/>
    <w:rsid w:val="00662FB7"/>
    <w:rsid w:val="00664E2C"/>
    <w:rsid w:val="00665921"/>
    <w:rsid w:val="00666C30"/>
    <w:rsid w:val="00667797"/>
    <w:rsid w:val="00672055"/>
    <w:rsid w:val="00672739"/>
    <w:rsid w:val="00673866"/>
    <w:rsid w:val="006746DF"/>
    <w:rsid w:val="006759A5"/>
    <w:rsid w:val="006759D9"/>
    <w:rsid w:val="0067686E"/>
    <w:rsid w:val="00677B69"/>
    <w:rsid w:val="006811F4"/>
    <w:rsid w:val="00684BC2"/>
    <w:rsid w:val="00686B66"/>
    <w:rsid w:val="00686B9C"/>
    <w:rsid w:val="00686E2F"/>
    <w:rsid w:val="00687311"/>
    <w:rsid w:val="00687983"/>
    <w:rsid w:val="0069093C"/>
    <w:rsid w:val="00691169"/>
    <w:rsid w:val="00693082"/>
    <w:rsid w:val="0069593B"/>
    <w:rsid w:val="00696842"/>
    <w:rsid w:val="00697A47"/>
    <w:rsid w:val="006A0004"/>
    <w:rsid w:val="006A1CBB"/>
    <w:rsid w:val="006A29BF"/>
    <w:rsid w:val="006A31B8"/>
    <w:rsid w:val="006A45D1"/>
    <w:rsid w:val="006B3F3E"/>
    <w:rsid w:val="006B409B"/>
    <w:rsid w:val="006B45D4"/>
    <w:rsid w:val="006B59FE"/>
    <w:rsid w:val="006B7C85"/>
    <w:rsid w:val="006C156E"/>
    <w:rsid w:val="006C17FB"/>
    <w:rsid w:val="006C1C67"/>
    <w:rsid w:val="006C457B"/>
    <w:rsid w:val="006C4DCB"/>
    <w:rsid w:val="006C5AE8"/>
    <w:rsid w:val="006C62CD"/>
    <w:rsid w:val="006C6A95"/>
    <w:rsid w:val="006C6D50"/>
    <w:rsid w:val="006C738E"/>
    <w:rsid w:val="006C7872"/>
    <w:rsid w:val="006D03DB"/>
    <w:rsid w:val="006D0C24"/>
    <w:rsid w:val="006D30AC"/>
    <w:rsid w:val="006D3770"/>
    <w:rsid w:val="006D5037"/>
    <w:rsid w:val="006D522E"/>
    <w:rsid w:val="006D5401"/>
    <w:rsid w:val="006D5CD5"/>
    <w:rsid w:val="006D7EA7"/>
    <w:rsid w:val="006E0B11"/>
    <w:rsid w:val="006E1CD0"/>
    <w:rsid w:val="006E1E79"/>
    <w:rsid w:val="006E21F6"/>
    <w:rsid w:val="006E33DC"/>
    <w:rsid w:val="006E3C5E"/>
    <w:rsid w:val="006F0C3D"/>
    <w:rsid w:val="006F0D14"/>
    <w:rsid w:val="006F0F53"/>
    <w:rsid w:val="006F3321"/>
    <w:rsid w:val="006F3C0B"/>
    <w:rsid w:val="006F3D18"/>
    <w:rsid w:val="006F4693"/>
    <w:rsid w:val="006F4E73"/>
    <w:rsid w:val="006F55E1"/>
    <w:rsid w:val="00700721"/>
    <w:rsid w:val="00700A64"/>
    <w:rsid w:val="007045D3"/>
    <w:rsid w:val="0070483C"/>
    <w:rsid w:val="00705403"/>
    <w:rsid w:val="00705A75"/>
    <w:rsid w:val="007065AB"/>
    <w:rsid w:val="00706A7A"/>
    <w:rsid w:val="007073F9"/>
    <w:rsid w:val="007074DB"/>
    <w:rsid w:val="007077CD"/>
    <w:rsid w:val="00710757"/>
    <w:rsid w:val="00710989"/>
    <w:rsid w:val="00710CC8"/>
    <w:rsid w:val="0071189F"/>
    <w:rsid w:val="007121D6"/>
    <w:rsid w:val="007123F8"/>
    <w:rsid w:val="007127F0"/>
    <w:rsid w:val="00714A43"/>
    <w:rsid w:val="00714CAC"/>
    <w:rsid w:val="00715428"/>
    <w:rsid w:val="00715729"/>
    <w:rsid w:val="00716894"/>
    <w:rsid w:val="00721D04"/>
    <w:rsid w:val="00722445"/>
    <w:rsid w:val="007232D2"/>
    <w:rsid w:val="007237A2"/>
    <w:rsid w:val="00724A95"/>
    <w:rsid w:val="00727C49"/>
    <w:rsid w:val="0073214A"/>
    <w:rsid w:val="007339EC"/>
    <w:rsid w:val="00733B58"/>
    <w:rsid w:val="00733BEE"/>
    <w:rsid w:val="00736C3F"/>
    <w:rsid w:val="00740439"/>
    <w:rsid w:val="00742C32"/>
    <w:rsid w:val="00743064"/>
    <w:rsid w:val="007452F6"/>
    <w:rsid w:val="00747B00"/>
    <w:rsid w:val="00747C5B"/>
    <w:rsid w:val="00753342"/>
    <w:rsid w:val="00753E7A"/>
    <w:rsid w:val="00753E9A"/>
    <w:rsid w:val="0075551C"/>
    <w:rsid w:val="00755D19"/>
    <w:rsid w:val="00757D51"/>
    <w:rsid w:val="00760EAA"/>
    <w:rsid w:val="00762A76"/>
    <w:rsid w:val="00764195"/>
    <w:rsid w:val="0076544C"/>
    <w:rsid w:val="00765E36"/>
    <w:rsid w:val="00766385"/>
    <w:rsid w:val="007663F5"/>
    <w:rsid w:val="00766414"/>
    <w:rsid w:val="00771039"/>
    <w:rsid w:val="007713DC"/>
    <w:rsid w:val="00771508"/>
    <w:rsid w:val="00771A5F"/>
    <w:rsid w:val="0077200A"/>
    <w:rsid w:val="007749F2"/>
    <w:rsid w:val="00776024"/>
    <w:rsid w:val="00776464"/>
    <w:rsid w:val="007779FC"/>
    <w:rsid w:val="00781ABD"/>
    <w:rsid w:val="00783328"/>
    <w:rsid w:val="0078335D"/>
    <w:rsid w:val="007875C1"/>
    <w:rsid w:val="007908AB"/>
    <w:rsid w:val="00790E7C"/>
    <w:rsid w:val="00792D61"/>
    <w:rsid w:val="007933D9"/>
    <w:rsid w:val="00793406"/>
    <w:rsid w:val="00795CA0"/>
    <w:rsid w:val="00796130"/>
    <w:rsid w:val="00797519"/>
    <w:rsid w:val="007978A6"/>
    <w:rsid w:val="007A0B8E"/>
    <w:rsid w:val="007A1881"/>
    <w:rsid w:val="007A1E68"/>
    <w:rsid w:val="007A3649"/>
    <w:rsid w:val="007A467F"/>
    <w:rsid w:val="007A479E"/>
    <w:rsid w:val="007A554A"/>
    <w:rsid w:val="007A63AB"/>
    <w:rsid w:val="007A6665"/>
    <w:rsid w:val="007A6A02"/>
    <w:rsid w:val="007B08A0"/>
    <w:rsid w:val="007B23D5"/>
    <w:rsid w:val="007B4C38"/>
    <w:rsid w:val="007B5839"/>
    <w:rsid w:val="007B73D5"/>
    <w:rsid w:val="007C1B9B"/>
    <w:rsid w:val="007C1E8A"/>
    <w:rsid w:val="007C4F51"/>
    <w:rsid w:val="007C57CC"/>
    <w:rsid w:val="007C64FE"/>
    <w:rsid w:val="007C6A46"/>
    <w:rsid w:val="007C6E79"/>
    <w:rsid w:val="007D0611"/>
    <w:rsid w:val="007D17E4"/>
    <w:rsid w:val="007D3E10"/>
    <w:rsid w:val="007D4503"/>
    <w:rsid w:val="007D5303"/>
    <w:rsid w:val="007D6C38"/>
    <w:rsid w:val="007D7941"/>
    <w:rsid w:val="007E062C"/>
    <w:rsid w:val="007E1885"/>
    <w:rsid w:val="007E1DAB"/>
    <w:rsid w:val="007E234C"/>
    <w:rsid w:val="007E300B"/>
    <w:rsid w:val="007E428C"/>
    <w:rsid w:val="007F08A6"/>
    <w:rsid w:val="007F19AC"/>
    <w:rsid w:val="007F1F0C"/>
    <w:rsid w:val="007F3684"/>
    <w:rsid w:val="007F593D"/>
    <w:rsid w:val="007F78AF"/>
    <w:rsid w:val="00800081"/>
    <w:rsid w:val="00801CC0"/>
    <w:rsid w:val="00802041"/>
    <w:rsid w:val="0080378D"/>
    <w:rsid w:val="00804153"/>
    <w:rsid w:val="00806D52"/>
    <w:rsid w:val="008073B8"/>
    <w:rsid w:val="008105F2"/>
    <w:rsid w:val="00811FFD"/>
    <w:rsid w:val="00814344"/>
    <w:rsid w:val="0081635A"/>
    <w:rsid w:val="008166C8"/>
    <w:rsid w:val="00820827"/>
    <w:rsid w:val="00824D01"/>
    <w:rsid w:val="00830CE9"/>
    <w:rsid w:val="008316B1"/>
    <w:rsid w:val="00834464"/>
    <w:rsid w:val="00834732"/>
    <w:rsid w:val="00834955"/>
    <w:rsid w:val="008369DF"/>
    <w:rsid w:val="00840827"/>
    <w:rsid w:val="00841E24"/>
    <w:rsid w:val="00842603"/>
    <w:rsid w:val="00843A2F"/>
    <w:rsid w:val="008441B1"/>
    <w:rsid w:val="008444F0"/>
    <w:rsid w:val="008460FA"/>
    <w:rsid w:val="00846D78"/>
    <w:rsid w:val="00850EBE"/>
    <w:rsid w:val="008534DD"/>
    <w:rsid w:val="00853970"/>
    <w:rsid w:val="00854767"/>
    <w:rsid w:val="0086099F"/>
    <w:rsid w:val="00861EE0"/>
    <w:rsid w:val="0086409C"/>
    <w:rsid w:val="0086449C"/>
    <w:rsid w:val="00864BB5"/>
    <w:rsid w:val="008653AC"/>
    <w:rsid w:val="008712C3"/>
    <w:rsid w:val="00871428"/>
    <w:rsid w:val="00872E75"/>
    <w:rsid w:val="00875B9F"/>
    <w:rsid w:val="008774EB"/>
    <w:rsid w:val="00877836"/>
    <w:rsid w:val="00882CE7"/>
    <w:rsid w:val="008854FB"/>
    <w:rsid w:val="008859F4"/>
    <w:rsid w:val="00887C8C"/>
    <w:rsid w:val="0089305B"/>
    <w:rsid w:val="0089335A"/>
    <w:rsid w:val="00893F23"/>
    <w:rsid w:val="00894272"/>
    <w:rsid w:val="00894414"/>
    <w:rsid w:val="00894925"/>
    <w:rsid w:val="008952BE"/>
    <w:rsid w:val="00895F94"/>
    <w:rsid w:val="00896ACC"/>
    <w:rsid w:val="00897917"/>
    <w:rsid w:val="008A275C"/>
    <w:rsid w:val="008A288E"/>
    <w:rsid w:val="008A3DB9"/>
    <w:rsid w:val="008A3E30"/>
    <w:rsid w:val="008A522E"/>
    <w:rsid w:val="008A5C1B"/>
    <w:rsid w:val="008A5D2A"/>
    <w:rsid w:val="008B1DDB"/>
    <w:rsid w:val="008B28B4"/>
    <w:rsid w:val="008B315E"/>
    <w:rsid w:val="008B42D9"/>
    <w:rsid w:val="008B6798"/>
    <w:rsid w:val="008B67D5"/>
    <w:rsid w:val="008B7510"/>
    <w:rsid w:val="008B7BCA"/>
    <w:rsid w:val="008C17A0"/>
    <w:rsid w:val="008C18F4"/>
    <w:rsid w:val="008D09F7"/>
    <w:rsid w:val="008D5318"/>
    <w:rsid w:val="008D6ED5"/>
    <w:rsid w:val="008E00E5"/>
    <w:rsid w:val="008E05FC"/>
    <w:rsid w:val="008E06D2"/>
    <w:rsid w:val="008E08A4"/>
    <w:rsid w:val="008E26BE"/>
    <w:rsid w:val="008E292E"/>
    <w:rsid w:val="008E31E5"/>
    <w:rsid w:val="008E3C64"/>
    <w:rsid w:val="008E532A"/>
    <w:rsid w:val="008E54EE"/>
    <w:rsid w:val="008E55D2"/>
    <w:rsid w:val="008E5936"/>
    <w:rsid w:val="008E6170"/>
    <w:rsid w:val="008F795F"/>
    <w:rsid w:val="00900C29"/>
    <w:rsid w:val="00900FA1"/>
    <w:rsid w:val="00903C6F"/>
    <w:rsid w:val="00906D33"/>
    <w:rsid w:val="00907713"/>
    <w:rsid w:val="00912656"/>
    <w:rsid w:val="009128C8"/>
    <w:rsid w:val="0091298E"/>
    <w:rsid w:val="00913D7C"/>
    <w:rsid w:val="00914090"/>
    <w:rsid w:val="009140A5"/>
    <w:rsid w:val="009173C4"/>
    <w:rsid w:val="00920719"/>
    <w:rsid w:val="0092091E"/>
    <w:rsid w:val="009222EF"/>
    <w:rsid w:val="0092315E"/>
    <w:rsid w:val="0092621A"/>
    <w:rsid w:val="00926F6C"/>
    <w:rsid w:val="0093016F"/>
    <w:rsid w:val="009314FC"/>
    <w:rsid w:val="00935F01"/>
    <w:rsid w:val="009368B6"/>
    <w:rsid w:val="0093767F"/>
    <w:rsid w:val="00941AE6"/>
    <w:rsid w:val="00941B16"/>
    <w:rsid w:val="00942F1C"/>
    <w:rsid w:val="0094422E"/>
    <w:rsid w:val="00944277"/>
    <w:rsid w:val="009460A6"/>
    <w:rsid w:val="00946376"/>
    <w:rsid w:val="009466B1"/>
    <w:rsid w:val="00946A6C"/>
    <w:rsid w:val="00946B9C"/>
    <w:rsid w:val="00947797"/>
    <w:rsid w:val="0094790A"/>
    <w:rsid w:val="0095390A"/>
    <w:rsid w:val="00956A7E"/>
    <w:rsid w:val="00961975"/>
    <w:rsid w:val="00963294"/>
    <w:rsid w:val="009647AC"/>
    <w:rsid w:val="00965D22"/>
    <w:rsid w:val="009701FB"/>
    <w:rsid w:val="00970A33"/>
    <w:rsid w:val="009717BC"/>
    <w:rsid w:val="00974D37"/>
    <w:rsid w:val="00975147"/>
    <w:rsid w:val="00980D51"/>
    <w:rsid w:val="00981B33"/>
    <w:rsid w:val="009829D4"/>
    <w:rsid w:val="00984238"/>
    <w:rsid w:val="00987D92"/>
    <w:rsid w:val="00992DFA"/>
    <w:rsid w:val="00994353"/>
    <w:rsid w:val="009947F5"/>
    <w:rsid w:val="00994B60"/>
    <w:rsid w:val="00994CFE"/>
    <w:rsid w:val="00996848"/>
    <w:rsid w:val="00997417"/>
    <w:rsid w:val="009A0480"/>
    <w:rsid w:val="009A1098"/>
    <w:rsid w:val="009A1CB3"/>
    <w:rsid w:val="009A1FE3"/>
    <w:rsid w:val="009A2676"/>
    <w:rsid w:val="009A35BE"/>
    <w:rsid w:val="009A36FD"/>
    <w:rsid w:val="009A651F"/>
    <w:rsid w:val="009A7064"/>
    <w:rsid w:val="009B2086"/>
    <w:rsid w:val="009B471F"/>
    <w:rsid w:val="009B4A4C"/>
    <w:rsid w:val="009B4CF9"/>
    <w:rsid w:val="009B5C7D"/>
    <w:rsid w:val="009B6004"/>
    <w:rsid w:val="009B6624"/>
    <w:rsid w:val="009B6696"/>
    <w:rsid w:val="009B77A2"/>
    <w:rsid w:val="009B7F01"/>
    <w:rsid w:val="009C2971"/>
    <w:rsid w:val="009C40A6"/>
    <w:rsid w:val="009C634E"/>
    <w:rsid w:val="009C7890"/>
    <w:rsid w:val="009D3C2D"/>
    <w:rsid w:val="009D3DDB"/>
    <w:rsid w:val="009D40FC"/>
    <w:rsid w:val="009D58FA"/>
    <w:rsid w:val="009D74B4"/>
    <w:rsid w:val="009E07D7"/>
    <w:rsid w:val="009E1215"/>
    <w:rsid w:val="009E2A1A"/>
    <w:rsid w:val="009E5132"/>
    <w:rsid w:val="009E5432"/>
    <w:rsid w:val="009E5875"/>
    <w:rsid w:val="009E5A3D"/>
    <w:rsid w:val="009E6050"/>
    <w:rsid w:val="009E6905"/>
    <w:rsid w:val="009F043C"/>
    <w:rsid w:val="009F156D"/>
    <w:rsid w:val="009F29A2"/>
    <w:rsid w:val="009F55CB"/>
    <w:rsid w:val="009F636B"/>
    <w:rsid w:val="009F70CE"/>
    <w:rsid w:val="00A00D83"/>
    <w:rsid w:val="00A0221C"/>
    <w:rsid w:val="00A0447A"/>
    <w:rsid w:val="00A05825"/>
    <w:rsid w:val="00A05CAE"/>
    <w:rsid w:val="00A0698E"/>
    <w:rsid w:val="00A06999"/>
    <w:rsid w:val="00A06E1A"/>
    <w:rsid w:val="00A07876"/>
    <w:rsid w:val="00A1080B"/>
    <w:rsid w:val="00A13F9F"/>
    <w:rsid w:val="00A2164E"/>
    <w:rsid w:val="00A218C1"/>
    <w:rsid w:val="00A26638"/>
    <w:rsid w:val="00A26E4A"/>
    <w:rsid w:val="00A27084"/>
    <w:rsid w:val="00A27539"/>
    <w:rsid w:val="00A3059C"/>
    <w:rsid w:val="00A321FF"/>
    <w:rsid w:val="00A340BB"/>
    <w:rsid w:val="00A40756"/>
    <w:rsid w:val="00A41449"/>
    <w:rsid w:val="00A43BC4"/>
    <w:rsid w:val="00A45BEA"/>
    <w:rsid w:val="00A45D3D"/>
    <w:rsid w:val="00A46175"/>
    <w:rsid w:val="00A46849"/>
    <w:rsid w:val="00A47144"/>
    <w:rsid w:val="00A47E3F"/>
    <w:rsid w:val="00A50F03"/>
    <w:rsid w:val="00A53336"/>
    <w:rsid w:val="00A55B66"/>
    <w:rsid w:val="00A56B34"/>
    <w:rsid w:val="00A57143"/>
    <w:rsid w:val="00A5789A"/>
    <w:rsid w:val="00A5797B"/>
    <w:rsid w:val="00A602C3"/>
    <w:rsid w:val="00A60C68"/>
    <w:rsid w:val="00A60F59"/>
    <w:rsid w:val="00A60F95"/>
    <w:rsid w:val="00A61E87"/>
    <w:rsid w:val="00A638EF"/>
    <w:rsid w:val="00A64BCC"/>
    <w:rsid w:val="00A65286"/>
    <w:rsid w:val="00A66440"/>
    <w:rsid w:val="00A66747"/>
    <w:rsid w:val="00A70179"/>
    <w:rsid w:val="00A7050F"/>
    <w:rsid w:val="00A7303E"/>
    <w:rsid w:val="00A74C11"/>
    <w:rsid w:val="00A7620C"/>
    <w:rsid w:val="00A76240"/>
    <w:rsid w:val="00A77447"/>
    <w:rsid w:val="00A77F11"/>
    <w:rsid w:val="00A81225"/>
    <w:rsid w:val="00A81AE4"/>
    <w:rsid w:val="00A82487"/>
    <w:rsid w:val="00A82503"/>
    <w:rsid w:val="00A85CD7"/>
    <w:rsid w:val="00A87049"/>
    <w:rsid w:val="00A9133B"/>
    <w:rsid w:val="00A9255A"/>
    <w:rsid w:val="00A94784"/>
    <w:rsid w:val="00A958FA"/>
    <w:rsid w:val="00A970E2"/>
    <w:rsid w:val="00AA0E32"/>
    <w:rsid w:val="00AA1D10"/>
    <w:rsid w:val="00AA7E27"/>
    <w:rsid w:val="00AB31CF"/>
    <w:rsid w:val="00AB3B8F"/>
    <w:rsid w:val="00AB3FDE"/>
    <w:rsid w:val="00AB6B37"/>
    <w:rsid w:val="00AC00CF"/>
    <w:rsid w:val="00AC0441"/>
    <w:rsid w:val="00AC0A4B"/>
    <w:rsid w:val="00AC1126"/>
    <w:rsid w:val="00AC135F"/>
    <w:rsid w:val="00AC193F"/>
    <w:rsid w:val="00AC25CB"/>
    <w:rsid w:val="00AC4AA6"/>
    <w:rsid w:val="00AC519C"/>
    <w:rsid w:val="00AD082C"/>
    <w:rsid w:val="00AD1EA0"/>
    <w:rsid w:val="00AD31E5"/>
    <w:rsid w:val="00AD3A8F"/>
    <w:rsid w:val="00AD4161"/>
    <w:rsid w:val="00AD5513"/>
    <w:rsid w:val="00AD5C84"/>
    <w:rsid w:val="00AD673B"/>
    <w:rsid w:val="00AE0117"/>
    <w:rsid w:val="00AE0284"/>
    <w:rsid w:val="00AE0EB2"/>
    <w:rsid w:val="00AE246B"/>
    <w:rsid w:val="00AE3D3C"/>
    <w:rsid w:val="00AE49A1"/>
    <w:rsid w:val="00AE5270"/>
    <w:rsid w:val="00AF028E"/>
    <w:rsid w:val="00AF1335"/>
    <w:rsid w:val="00AF150A"/>
    <w:rsid w:val="00AF56F5"/>
    <w:rsid w:val="00AF5F5F"/>
    <w:rsid w:val="00B00A00"/>
    <w:rsid w:val="00B02040"/>
    <w:rsid w:val="00B026A7"/>
    <w:rsid w:val="00B04251"/>
    <w:rsid w:val="00B051AC"/>
    <w:rsid w:val="00B054C4"/>
    <w:rsid w:val="00B0754F"/>
    <w:rsid w:val="00B07A70"/>
    <w:rsid w:val="00B10266"/>
    <w:rsid w:val="00B1234E"/>
    <w:rsid w:val="00B1237F"/>
    <w:rsid w:val="00B12FF0"/>
    <w:rsid w:val="00B13CEC"/>
    <w:rsid w:val="00B159BB"/>
    <w:rsid w:val="00B15D9B"/>
    <w:rsid w:val="00B1657B"/>
    <w:rsid w:val="00B17D11"/>
    <w:rsid w:val="00B21FBA"/>
    <w:rsid w:val="00B2315A"/>
    <w:rsid w:val="00B26474"/>
    <w:rsid w:val="00B26653"/>
    <w:rsid w:val="00B30BB6"/>
    <w:rsid w:val="00B30C97"/>
    <w:rsid w:val="00B30DE3"/>
    <w:rsid w:val="00B310B9"/>
    <w:rsid w:val="00B315AE"/>
    <w:rsid w:val="00B31B7A"/>
    <w:rsid w:val="00B31F99"/>
    <w:rsid w:val="00B356DF"/>
    <w:rsid w:val="00B363FB"/>
    <w:rsid w:val="00B37D30"/>
    <w:rsid w:val="00B41F9A"/>
    <w:rsid w:val="00B455A0"/>
    <w:rsid w:val="00B466ED"/>
    <w:rsid w:val="00B50EDF"/>
    <w:rsid w:val="00B54201"/>
    <w:rsid w:val="00B558AD"/>
    <w:rsid w:val="00B5604D"/>
    <w:rsid w:val="00B57120"/>
    <w:rsid w:val="00B57145"/>
    <w:rsid w:val="00B5739B"/>
    <w:rsid w:val="00B57E8A"/>
    <w:rsid w:val="00B61286"/>
    <w:rsid w:val="00B61F11"/>
    <w:rsid w:val="00B62253"/>
    <w:rsid w:val="00B62771"/>
    <w:rsid w:val="00B6389E"/>
    <w:rsid w:val="00B6661B"/>
    <w:rsid w:val="00B66BD2"/>
    <w:rsid w:val="00B67F38"/>
    <w:rsid w:val="00B70324"/>
    <w:rsid w:val="00B71945"/>
    <w:rsid w:val="00B72BEF"/>
    <w:rsid w:val="00B73002"/>
    <w:rsid w:val="00B74261"/>
    <w:rsid w:val="00B75BA8"/>
    <w:rsid w:val="00B77C4B"/>
    <w:rsid w:val="00B80636"/>
    <w:rsid w:val="00B8106E"/>
    <w:rsid w:val="00B81E96"/>
    <w:rsid w:val="00B8204E"/>
    <w:rsid w:val="00B82053"/>
    <w:rsid w:val="00B84CA0"/>
    <w:rsid w:val="00B857BC"/>
    <w:rsid w:val="00B86560"/>
    <w:rsid w:val="00B874DC"/>
    <w:rsid w:val="00B9040F"/>
    <w:rsid w:val="00B909FC"/>
    <w:rsid w:val="00B90E53"/>
    <w:rsid w:val="00B94534"/>
    <w:rsid w:val="00B94B20"/>
    <w:rsid w:val="00BA343C"/>
    <w:rsid w:val="00BA36F9"/>
    <w:rsid w:val="00BA4B2C"/>
    <w:rsid w:val="00BB014A"/>
    <w:rsid w:val="00BB1105"/>
    <w:rsid w:val="00BB299A"/>
    <w:rsid w:val="00BB437C"/>
    <w:rsid w:val="00BB4CDF"/>
    <w:rsid w:val="00BB50A4"/>
    <w:rsid w:val="00BB60E9"/>
    <w:rsid w:val="00BB783C"/>
    <w:rsid w:val="00BC5BF0"/>
    <w:rsid w:val="00BC65E5"/>
    <w:rsid w:val="00BC70D5"/>
    <w:rsid w:val="00BD07B1"/>
    <w:rsid w:val="00BD0929"/>
    <w:rsid w:val="00BD108F"/>
    <w:rsid w:val="00BD3386"/>
    <w:rsid w:val="00BD4042"/>
    <w:rsid w:val="00BD52BB"/>
    <w:rsid w:val="00BD5992"/>
    <w:rsid w:val="00BE04CD"/>
    <w:rsid w:val="00BE1D5C"/>
    <w:rsid w:val="00BE3026"/>
    <w:rsid w:val="00BE3110"/>
    <w:rsid w:val="00BE5E4A"/>
    <w:rsid w:val="00BE65BC"/>
    <w:rsid w:val="00BE66A8"/>
    <w:rsid w:val="00BE74AA"/>
    <w:rsid w:val="00BF162E"/>
    <w:rsid w:val="00BF4107"/>
    <w:rsid w:val="00BF7762"/>
    <w:rsid w:val="00BF7991"/>
    <w:rsid w:val="00C021E0"/>
    <w:rsid w:val="00C022B0"/>
    <w:rsid w:val="00C0335B"/>
    <w:rsid w:val="00C03A07"/>
    <w:rsid w:val="00C03C33"/>
    <w:rsid w:val="00C03C46"/>
    <w:rsid w:val="00C06330"/>
    <w:rsid w:val="00C06866"/>
    <w:rsid w:val="00C068AD"/>
    <w:rsid w:val="00C07B65"/>
    <w:rsid w:val="00C1071A"/>
    <w:rsid w:val="00C1140E"/>
    <w:rsid w:val="00C14C6E"/>
    <w:rsid w:val="00C161C5"/>
    <w:rsid w:val="00C1655D"/>
    <w:rsid w:val="00C16D5E"/>
    <w:rsid w:val="00C17D5A"/>
    <w:rsid w:val="00C20994"/>
    <w:rsid w:val="00C20E08"/>
    <w:rsid w:val="00C22042"/>
    <w:rsid w:val="00C225A5"/>
    <w:rsid w:val="00C23347"/>
    <w:rsid w:val="00C26E68"/>
    <w:rsid w:val="00C27ACE"/>
    <w:rsid w:val="00C30327"/>
    <w:rsid w:val="00C3097C"/>
    <w:rsid w:val="00C32A72"/>
    <w:rsid w:val="00C349F9"/>
    <w:rsid w:val="00C35157"/>
    <w:rsid w:val="00C35ABC"/>
    <w:rsid w:val="00C35C49"/>
    <w:rsid w:val="00C3620D"/>
    <w:rsid w:val="00C36257"/>
    <w:rsid w:val="00C366CB"/>
    <w:rsid w:val="00C3779F"/>
    <w:rsid w:val="00C37A43"/>
    <w:rsid w:val="00C37B6B"/>
    <w:rsid w:val="00C40A48"/>
    <w:rsid w:val="00C40B7E"/>
    <w:rsid w:val="00C42CBD"/>
    <w:rsid w:val="00C46A36"/>
    <w:rsid w:val="00C50071"/>
    <w:rsid w:val="00C50C50"/>
    <w:rsid w:val="00C50F0C"/>
    <w:rsid w:val="00C53E2D"/>
    <w:rsid w:val="00C561D0"/>
    <w:rsid w:val="00C57A9A"/>
    <w:rsid w:val="00C607EF"/>
    <w:rsid w:val="00C611DF"/>
    <w:rsid w:val="00C63D6A"/>
    <w:rsid w:val="00C64A63"/>
    <w:rsid w:val="00C65612"/>
    <w:rsid w:val="00C661E4"/>
    <w:rsid w:val="00C662EE"/>
    <w:rsid w:val="00C66FD1"/>
    <w:rsid w:val="00C6761F"/>
    <w:rsid w:val="00C70733"/>
    <w:rsid w:val="00C709F6"/>
    <w:rsid w:val="00C71848"/>
    <w:rsid w:val="00C72127"/>
    <w:rsid w:val="00C721E7"/>
    <w:rsid w:val="00C72D08"/>
    <w:rsid w:val="00C72E9E"/>
    <w:rsid w:val="00C7394B"/>
    <w:rsid w:val="00C744B6"/>
    <w:rsid w:val="00C748BD"/>
    <w:rsid w:val="00C748D4"/>
    <w:rsid w:val="00C74A96"/>
    <w:rsid w:val="00C75209"/>
    <w:rsid w:val="00C8010E"/>
    <w:rsid w:val="00C8089B"/>
    <w:rsid w:val="00C80E72"/>
    <w:rsid w:val="00C80FBB"/>
    <w:rsid w:val="00C8170D"/>
    <w:rsid w:val="00C850D8"/>
    <w:rsid w:val="00C86DA0"/>
    <w:rsid w:val="00C86FA9"/>
    <w:rsid w:val="00C9050E"/>
    <w:rsid w:val="00C90A74"/>
    <w:rsid w:val="00C90E8B"/>
    <w:rsid w:val="00C90FCB"/>
    <w:rsid w:val="00C92628"/>
    <w:rsid w:val="00C92DFE"/>
    <w:rsid w:val="00C942F1"/>
    <w:rsid w:val="00C94F2E"/>
    <w:rsid w:val="00C95F9E"/>
    <w:rsid w:val="00C96794"/>
    <w:rsid w:val="00C975E0"/>
    <w:rsid w:val="00C97B52"/>
    <w:rsid w:val="00CA0E4F"/>
    <w:rsid w:val="00CA143C"/>
    <w:rsid w:val="00CA1A73"/>
    <w:rsid w:val="00CA236D"/>
    <w:rsid w:val="00CA31B9"/>
    <w:rsid w:val="00CA4B7D"/>
    <w:rsid w:val="00CA580B"/>
    <w:rsid w:val="00CA5DEB"/>
    <w:rsid w:val="00CA6774"/>
    <w:rsid w:val="00CA7ADE"/>
    <w:rsid w:val="00CB1B02"/>
    <w:rsid w:val="00CB1EC8"/>
    <w:rsid w:val="00CB31C6"/>
    <w:rsid w:val="00CB3837"/>
    <w:rsid w:val="00CB6658"/>
    <w:rsid w:val="00CB69B2"/>
    <w:rsid w:val="00CC0530"/>
    <w:rsid w:val="00CC079B"/>
    <w:rsid w:val="00CC0F65"/>
    <w:rsid w:val="00CC1BA0"/>
    <w:rsid w:val="00CC26C8"/>
    <w:rsid w:val="00CC2E19"/>
    <w:rsid w:val="00CC2F51"/>
    <w:rsid w:val="00CC332C"/>
    <w:rsid w:val="00CC7D00"/>
    <w:rsid w:val="00CD17F8"/>
    <w:rsid w:val="00CD2B03"/>
    <w:rsid w:val="00CD4651"/>
    <w:rsid w:val="00CD62A1"/>
    <w:rsid w:val="00CD7882"/>
    <w:rsid w:val="00CE0854"/>
    <w:rsid w:val="00CE0E35"/>
    <w:rsid w:val="00CE37E1"/>
    <w:rsid w:val="00CE5675"/>
    <w:rsid w:val="00CE6418"/>
    <w:rsid w:val="00CE6869"/>
    <w:rsid w:val="00CE7A63"/>
    <w:rsid w:val="00CF1669"/>
    <w:rsid w:val="00CF2A86"/>
    <w:rsid w:val="00CF39F5"/>
    <w:rsid w:val="00CF4F2E"/>
    <w:rsid w:val="00CF76D7"/>
    <w:rsid w:val="00D01F33"/>
    <w:rsid w:val="00D0383F"/>
    <w:rsid w:val="00D05647"/>
    <w:rsid w:val="00D05F64"/>
    <w:rsid w:val="00D06A37"/>
    <w:rsid w:val="00D1033A"/>
    <w:rsid w:val="00D11505"/>
    <w:rsid w:val="00D11892"/>
    <w:rsid w:val="00D122AF"/>
    <w:rsid w:val="00D13505"/>
    <w:rsid w:val="00D149AE"/>
    <w:rsid w:val="00D14A01"/>
    <w:rsid w:val="00D14BED"/>
    <w:rsid w:val="00D16768"/>
    <w:rsid w:val="00D17A98"/>
    <w:rsid w:val="00D212F3"/>
    <w:rsid w:val="00D229B9"/>
    <w:rsid w:val="00D234FB"/>
    <w:rsid w:val="00D240BE"/>
    <w:rsid w:val="00D245E1"/>
    <w:rsid w:val="00D30918"/>
    <w:rsid w:val="00D30FCB"/>
    <w:rsid w:val="00D31DC2"/>
    <w:rsid w:val="00D31F91"/>
    <w:rsid w:val="00D33DF0"/>
    <w:rsid w:val="00D36536"/>
    <w:rsid w:val="00D36D1E"/>
    <w:rsid w:val="00D37206"/>
    <w:rsid w:val="00D40A6D"/>
    <w:rsid w:val="00D410BF"/>
    <w:rsid w:val="00D420F6"/>
    <w:rsid w:val="00D429B3"/>
    <w:rsid w:val="00D4546F"/>
    <w:rsid w:val="00D47606"/>
    <w:rsid w:val="00D47DAD"/>
    <w:rsid w:val="00D5065A"/>
    <w:rsid w:val="00D52329"/>
    <w:rsid w:val="00D53D2B"/>
    <w:rsid w:val="00D55FCC"/>
    <w:rsid w:val="00D56111"/>
    <w:rsid w:val="00D57C23"/>
    <w:rsid w:val="00D57E3B"/>
    <w:rsid w:val="00D60039"/>
    <w:rsid w:val="00D60911"/>
    <w:rsid w:val="00D63C2E"/>
    <w:rsid w:val="00D64627"/>
    <w:rsid w:val="00D65027"/>
    <w:rsid w:val="00D6545F"/>
    <w:rsid w:val="00D657E4"/>
    <w:rsid w:val="00D6596C"/>
    <w:rsid w:val="00D66B84"/>
    <w:rsid w:val="00D67541"/>
    <w:rsid w:val="00D72331"/>
    <w:rsid w:val="00D778BC"/>
    <w:rsid w:val="00D80315"/>
    <w:rsid w:val="00D813F6"/>
    <w:rsid w:val="00D855D0"/>
    <w:rsid w:val="00D8611C"/>
    <w:rsid w:val="00D8636C"/>
    <w:rsid w:val="00D90708"/>
    <w:rsid w:val="00D9072B"/>
    <w:rsid w:val="00D91827"/>
    <w:rsid w:val="00D92364"/>
    <w:rsid w:val="00D92A8B"/>
    <w:rsid w:val="00D965D2"/>
    <w:rsid w:val="00D96AFD"/>
    <w:rsid w:val="00DA1207"/>
    <w:rsid w:val="00DA1A55"/>
    <w:rsid w:val="00DA2CAB"/>
    <w:rsid w:val="00DA39D3"/>
    <w:rsid w:val="00DA48E4"/>
    <w:rsid w:val="00DA6354"/>
    <w:rsid w:val="00DA7012"/>
    <w:rsid w:val="00DA7668"/>
    <w:rsid w:val="00DB106F"/>
    <w:rsid w:val="00DB2AE1"/>
    <w:rsid w:val="00DB3B73"/>
    <w:rsid w:val="00DB5867"/>
    <w:rsid w:val="00DB5886"/>
    <w:rsid w:val="00DB7077"/>
    <w:rsid w:val="00DC04B1"/>
    <w:rsid w:val="00DC0D3A"/>
    <w:rsid w:val="00DC148B"/>
    <w:rsid w:val="00DC16DA"/>
    <w:rsid w:val="00DC2688"/>
    <w:rsid w:val="00DC574C"/>
    <w:rsid w:val="00DC753E"/>
    <w:rsid w:val="00DC797B"/>
    <w:rsid w:val="00DD0E2E"/>
    <w:rsid w:val="00DD1704"/>
    <w:rsid w:val="00DD17E8"/>
    <w:rsid w:val="00DD183E"/>
    <w:rsid w:val="00DD1AAC"/>
    <w:rsid w:val="00DD1C9A"/>
    <w:rsid w:val="00DD2A44"/>
    <w:rsid w:val="00DD2E46"/>
    <w:rsid w:val="00DD30B9"/>
    <w:rsid w:val="00DD35CB"/>
    <w:rsid w:val="00DD372D"/>
    <w:rsid w:val="00DD39BE"/>
    <w:rsid w:val="00DD6047"/>
    <w:rsid w:val="00DD60FA"/>
    <w:rsid w:val="00DD62FB"/>
    <w:rsid w:val="00DD6AE1"/>
    <w:rsid w:val="00DD749F"/>
    <w:rsid w:val="00DE518A"/>
    <w:rsid w:val="00DE5F06"/>
    <w:rsid w:val="00DE66AF"/>
    <w:rsid w:val="00DE7BEE"/>
    <w:rsid w:val="00DF053D"/>
    <w:rsid w:val="00DF060D"/>
    <w:rsid w:val="00DF1A9F"/>
    <w:rsid w:val="00DF1CA0"/>
    <w:rsid w:val="00DF2231"/>
    <w:rsid w:val="00DF38E1"/>
    <w:rsid w:val="00DF4558"/>
    <w:rsid w:val="00DF4D4E"/>
    <w:rsid w:val="00DF5344"/>
    <w:rsid w:val="00E01E0B"/>
    <w:rsid w:val="00E02961"/>
    <w:rsid w:val="00E0437E"/>
    <w:rsid w:val="00E047F9"/>
    <w:rsid w:val="00E05E46"/>
    <w:rsid w:val="00E06167"/>
    <w:rsid w:val="00E12067"/>
    <w:rsid w:val="00E138F9"/>
    <w:rsid w:val="00E14973"/>
    <w:rsid w:val="00E14AAA"/>
    <w:rsid w:val="00E170C3"/>
    <w:rsid w:val="00E1733F"/>
    <w:rsid w:val="00E20885"/>
    <w:rsid w:val="00E219D6"/>
    <w:rsid w:val="00E2230C"/>
    <w:rsid w:val="00E24FDF"/>
    <w:rsid w:val="00E250F8"/>
    <w:rsid w:val="00E264DD"/>
    <w:rsid w:val="00E27419"/>
    <w:rsid w:val="00E27983"/>
    <w:rsid w:val="00E27E8D"/>
    <w:rsid w:val="00E30994"/>
    <w:rsid w:val="00E30E4D"/>
    <w:rsid w:val="00E3259B"/>
    <w:rsid w:val="00E32C8C"/>
    <w:rsid w:val="00E340FD"/>
    <w:rsid w:val="00E34DD5"/>
    <w:rsid w:val="00E36707"/>
    <w:rsid w:val="00E36A70"/>
    <w:rsid w:val="00E4570D"/>
    <w:rsid w:val="00E4582C"/>
    <w:rsid w:val="00E50076"/>
    <w:rsid w:val="00E5107F"/>
    <w:rsid w:val="00E52EAF"/>
    <w:rsid w:val="00E5312C"/>
    <w:rsid w:val="00E540F0"/>
    <w:rsid w:val="00E54355"/>
    <w:rsid w:val="00E602CE"/>
    <w:rsid w:val="00E60FFE"/>
    <w:rsid w:val="00E62301"/>
    <w:rsid w:val="00E63169"/>
    <w:rsid w:val="00E6319D"/>
    <w:rsid w:val="00E6399B"/>
    <w:rsid w:val="00E63B15"/>
    <w:rsid w:val="00E64071"/>
    <w:rsid w:val="00E663AA"/>
    <w:rsid w:val="00E66BA0"/>
    <w:rsid w:val="00E673AA"/>
    <w:rsid w:val="00E71C74"/>
    <w:rsid w:val="00E725A9"/>
    <w:rsid w:val="00E72A0F"/>
    <w:rsid w:val="00E74109"/>
    <w:rsid w:val="00E74882"/>
    <w:rsid w:val="00E7572C"/>
    <w:rsid w:val="00E757A1"/>
    <w:rsid w:val="00E76BAA"/>
    <w:rsid w:val="00E76C29"/>
    <w:rsid w:val="00E7704D"/>
    <w:rsid w:val="00E80B25"/>
    <w:rsid w:val="00E8114D"/>
    <w:rsid w:val="00E820B9"/>
    <w:rsid w:val="00E8300F"/>
    <w:rsid w:val="00E841A7"/>
    <w:rsid w:val="00E85050"/>
    <w:rsid w:val="00E86CE8"/>
    <w:rsid w:val="00E92364"/>
    <w:rsid w:val="00E92AB8"/>
    <w:rsid w:val="00E92FFD"/>
    <w:rsid w:val="00E943D6"/>
    <w:rsid w:val="00E94E0F"/>
    <w:rsid w:val="00E9514E"/>
    <w:rsid w:val="00E9545A"/>
    <w:rsid w:val="00E960A3"/>
    <w:rsid w:val="00E972D6"/>
    <w:rsid w:val="00EA0C35"/>
    <w:rsid w:val="00EA20EE"/>
    <w:rsid w:val="00EA38DE"/>
    <w:rsid w:val="00EA4AAD"/>
    <w:rsid w:val="00EA6544"/>
    <w:rsid w:val="00EA6B30"/>
    <w:rsid w:val="00EA71D2"/>
    <w:rsid w:val="00EA7895"/>
    <w:rsid w:val="00EB0C30"/>
    <w:rsid w:val="00EB21BC"/>
    <w:rsid w:val="00EB22F9"/>
    <w:rsid w:val="00EB2683"/>
    <w:rsid w:val="00EB355E"/>
    <w:rsid w:val="00EB5AAB"/>
    <w:rsid w:val="00EB718A"/>
    <w:rsid w:val="00EB7313"/>
    <w:rsid w:val="00EB7CAA"/>
    <w:rsid w:val="00EC1052"/>
    <w:rsid w:val="00EC30DF"/>
    <w:rsid w:val="00EC3E1F"/>
    <w:rsid w:val="00EC4AE5"/>
    <w:rsid w:val="00EC5084"/>
    <w:rsid w:val="00EC52A1"/>
    <w:rsid w:val="00EC5C6D"/>
    <w:rsid w:val="00EC6D67"/>
    <w:rsid w:val="00EC6FAE"/>
    <w:rsid w:val="00ED1549"/>
    <w:rsid w:val="00ED1CDC"/>
    <w:rsid w:val="00ED23D6"/>
    <w:rsid w:val="00ED37A2"/>
    <w:rsid w:val="00ED483C"/>
    <w:rsid w:val="00ED4DD2"/>
    <w:rsid w:val="00EE1BEB"/>
    <w:rsid w:val="00EE3462"/>
    <w:rsid w:val="00EE426E"/>
    <w:rsid w:val="00EE4384"/>
    <w:rsid w:val="00EE4BB7"/>
    <w:rsid w:val="00EE6193"/>
    <w:rsid w:val="00EF06FA"/>
    <w:rsid w:val="00EF071F"/>
    <w:rsid w:val="00EF0BAE"/>
    <w:rsid w:val="00EF1A97"/>
    <w:rsid w:val="00EF27EB"/>
    <w:rsid w:val="00EF2BA5"/>
    <w:rsid w:val="00EF4065"/>
    <w:rsid w:val="00EF4B6D"/>
    <w:rsid w:val="00EF590A"/>
    <w:rsid w:val="00EF5F3F"/>
    <w:rsid w:val="00EF7910"/>
    <w:rsid w:val="00F006F3"/>
    <w:rsid w:val="00F04A49"/>
    <w:rsid w:val="00F068D4"/>
    <w:rsid w:val="00F104E1"/>
    <w:rsid w:val="00F11030"/>
    <w:rsid w:val="00F127A9"/>
    <w:rsid w:val="00F12B30"/>
    <w:rsid w:val="00F12DDC"/>
    <w:rsid w:val="00F1315B"/>
    <w:rsid w:val="00F132BB"/>
    <w:rsid w:val="00F14D96"/>
    <w:rsid w:val="00F15A3C"/>
    <w:rsid w:val="00F21966"/>
    <w:rsid w:val="00F234BE"/>
    <w:rsid w:val="00F237B6"/>
    <w:rsid w:val="00F24A44"/>
    <w:rsid w:val="00F24DCC"/>
    <w:rsid w:val="00F32258"/>
    <w:rsid w:val="00F334A9"/>
    <w:rsid w:val="00F33ADA"/>
    <w:rsid w:val="00F33FBC"/>
    <w:rsid w:val="00F357DD"/>
    <w:rsid w:val="00F3582A"/>
    <w:rsid w:val="00F36675"/>
    <w:rsid w:val="00F378E7"/>
    <w:rsid w:val="00F42D78"/>
    <w:rsid w:val="00F45158"/>
    <w:rsid w:val="00F45FCC"/>
    <w:rsid w:val="00F4673C"/>
    <w:rsid w:val="00F47119"/>
    <w:rsid w:val="00F47D25"/>
    <w:rsid w:val="00F52677"/>
    <w:rsid w:val="00F531F3"/>
    <w:rsid w:val="00F53F27"/>
    <w:rsid w:val="00F56877"/>
    <w:rsid w:val="00F60F85"/>
    <w:rsid w:val="00F64C20"/>
    <w:rsid w:val="00F6595F"/>
    <w:rsid w:val="00F65C7F"/>
    <w:rsid w:val="00F65C83"/>
    <w:rsid w:val="00F664F5"/>
    <w:rsid w:val="00F70925"/>
    <w:rsid w:val="00F70A55"/>
    <w:rsid w:val="00F734F5"/>
    <w:rsid w:val="00F74921"/>
    <w:rsid w:val="00F8020D"/>
    <w:rsid w:val="00F80D54"/>
    <w:rsid w:val="00F82743"/>
    <w:rsid w:val="00F8461E"/>
    <w:rsid w:val="00F878D5"/>
    <w:rsid w:val="00F91B76"/>
    <w:rsid w:val="00F94270"/>
    <w:rsid w:val="00F9444D"/>
    <w:rsid w:val="00F95DA2"/>
    <w:rsid w:val="00F95DDE"/>
    <w:rsid w:val="00F96458"/>
    <w:rsid w:val="00F96BAC"/>
    <w:rsid w:val="00FA1177"/>
    <w:rsid w:val="00FA19D0"/>
    <w:rsid w:val="00FA24C3"/>
    <w:rsid w:val="00FA318E"/>
    <w:rsid w:val="00FA332A"/>
    <w:rsid w:val="00FA363E"/>
    <w:rsid w:val="00FA4F32"/>
    <w:rsid w:val="00FA59D9"/>
    <w:rsid w:val="00FB435C"/>
    <w:rsid w:val="00FB4938"/>
    <w:rsid w:val="00FB6E85"/>
    <w:rsid w:val="00FC0469"/>
    <w:rsid w:val="00FC145F"/>
    <w:rsid w:val="00FC1981"/>
    <w:rsid w:val="00FC3C88"/>
    <w:rsid w:val="00FC4CC2"/>
    <w:rsid w:val="00FC5C6F"/>
    <w:rsid w:val="00FC5F2B"/>
    <w:rsid w:val="00FC6B57"/>
    <w:rsid w:val="00FD0518"/>
    <w:rsid w:val="00FD1A76"/>
    <w:rsid w:val="00FD2275"/>
    <w:rsid w:val="00FD3E00"/>
    <w:rsid w:val="00FD5329"/>
    <w:rsid w:val="00FD54CB"/>
    <w:rsid w:val="00FD6198"/>
    <w:rsid w:val="00FD6716"/>
    <w:rsid w:val="00FD6B84"/>
    <w:rsid w:val="00FD6CF7"/>
    <w:rsid w:val="00FD7E9B"/>
    <w:rsid w:val="00FE051D"/>
    <w:rsid w:val="00FE0653"/>
    <w:rsid w:val="00FE43F6"/>
    <w:rsid w:val="00FE5F4A"/>
    <w:rsid w:val="00FE7D4C"/>
    <w:rsid w:val="00FF08AE"/>
    <w:rsid w:val="00FF426D"/>
    <w:rsid w:val="00FF5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rsid w:val="00CE37E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CA0"/>
    <w:rPr>
      <w:color w:val="0000FF"/>
      <w:u w:val="single"/>
    </w:rPr>
  </w:style>
  <w:style w:type="paragraph" w:styleId="2">
    <w:name w:val="Body Text 2"/>
    <w:basedOn w:val="a"/>
    <w:rsid w:val="00DF1CA0"/>
    <w:pPr>
      <w:spacing w:line="480" w:lineRule="auto"/>
      <w:jc w:val="both"/>
    </w:pPr>
    <w:rPr>
      <w:lang w:val="en-GB"/>
    </w:rPr>
  </w:style>
  <w:style w:type="character" w:customStyle="1" w:styleId="affiliation">
    <w:name w:val="affiliation"/>
    <w:rsid w:val="00064806"/>
    <w:rPr>
      <w:sz w:val="24"/>
      <w:szCs w:val="24"/>
    </w:rPr>
  </w:style>
  <w:style w:type="paragraph" w:styleId="a4">
    <w:name w:val="header"/>
    <w:basedOn w:val="a"/>
    <w:link w:val="Char"/>
    <w:uiPriority w:val="99"/>
    <w:rsid w:val="00325EE6"/>
    <w:pPr>
      <w:tabs>
        <w:tab w:val="center" w:pos="4680"/>
        <w:tab w:val="right" w:pos="9360"/>
      </w:tabs>
    </w:pPr>
  </w:style>
  <w:style w:type="character" w:customStyle="1" w:styleId="Char">
    <w:name w:val="页眉 Char"/>
    <w:link w:val="a4"/>
    <w:uiPriority w:val="99"/>
    <w:rsid w:val="00325EE6"/>
    <w:rPr>
      <w:sz w:val="24"/>
      <w:szCs w:val="24"/>
    </w:rPr>
  </w:style>
  <w:style w:type="paragraph" w:styleId="a5">
    <w:name w:val="footer"/>
    <w:basedOn w:val="a"/>
    <w:link w:val="Char0"/>
    <w:rsid w:val="00325EE6"/>
    <w:pPr>
      <w:tabs>
        <w:tab w:val="center" w:pos="4680"/>
        <w:tab w:val="right" w:pos="9360"/>
      </w:tabs>
    </w:pPr>
  </w:style>
  <w:style w:type="character" w:customStyle="1" w:styleId="Char0">
    <w:name w:val="页脚 Char"/>
    <w:link w:val="a5"/>
    <w:rsid w:val="00325EE6"/>
    <w:rPr>
      <w:sz w:val="24"/>
      <w:szCs w:val="24"/>
    </w:rPr>
  </w:style>
  <w:style w:type="character" w:customStyle="1" w:styleId="highlight">
    <w:name w:val="highlight"/>
    <w:basedOn w:val="a0"/>
    <w:rsid w:val="00FC5F2B"/>
  </w:style>
  <w:style w:type="character" w:customStyle="1" w:styleId="slug-doi">
    <w:name w:val="slug-doi"/>
    <w:basedOn w:val="a0"/>
    <w:rsid w:val="00323C4D"/>
  </w:style>
  <w:style w:type="paragraph" w:customStyle="1" w:styleId="-11">
    <w:name w:val="彩色列表 - 强调文字颜色 11"/>
    <w:basedOn w:val="a"/>
    <w:uiPriority w:val="34"/>
    <w:qFormat/>
    <w:rsid w:val="00970A33"/>
    <w:pPr>
      <w:spacing w:after="200" w:line="276" w:lineRule="auto"/>
      <w:ind w:left="720"/>
      <w:contextualSpacing/>
    </w:pPr>
    <w:rPr>
      <w:rFonts w:ascii="Calibri" w:eastAsia="Calibri" w:hAnsi="Calibri"/>
      <w:sz w:val="22"/>
      <w:szCs w:val="22"/>
    </w:rPr>
  </w:style>
  <w:style w:type="character" w:styleId="a6">
    <w:name w:val="annotation reference"/>
    <w:rsid w:val="00327505"/>
    <w:rPr>
      <w:sz w:val="16"/>
      <w:szCs w:val="16"/>
    </w:rPr>
  </w:style>
  <w:style w:type="paragraph" w:styleId="a7">
    <w:name w:val="annotation text"/>
    <w:basedOn w:val="a"/>
    <w:link w:val="Char1"/>
    <w:rsid w:val="00327505"/>
    <w:rPr>
      <w:sz w:val="20"/>
      <w:szCs w:val="20"/>
    </w:rPr>
  </w:style>
  <w:style w:type="character" w:customStyle="1" w:styleId="Char1">
    <w:name w:val="批注文字 Char"/>
    <w:link w:val="a7"/>
    <w:rsid w:val="00327505"/>
    <w:rPr>
      <w:lang w:val="en-US" w:eastAsia="en-US"/>
    </w:rPr>
  </w:style>
  <w:style w:type="paragraph" w:styleId="a8">
    <w:name w:val="annotation subject"/>
    <w:basedOn w:val="a7"/>
    <w:next w:val="a7"/>
    <w:link w:val="Char2"/>
    <w:rsid w:val="00327505"/>
    <w:rPr>
      <w:b/>
      <w:bCs/>
    </w:rPr>
  </w:style>
  <w:style w:type="character" w:customStyle="1" w:styleId="Char2">
    <w:name w:val="批注主题 Char"/>
    <w:link w:val="a8"/>
    <w:rsid w:val="00327505"/>
    <w:rPr>
      <w:b/>
      <w:bCs/>
      <w:lang w:val="en-US" w:eastAsia="en-US"/>
    </w:rPr>
  </w:style>
  <w:style w:type="paragraph" w:styleId="a9">
    <w:name w:val="Balloon Text"/>
    <w:basedOn w:val="a"/>
    <w:link w:val="Char3"/>
    <w:rsid w:val="00327505"/>
    <w:rPr>
      <w:rFonts w:ascii="Tahoma" w:hAnsi="Tahoma"/>
      <w:sz w:val="16"/>
      <w:szCs w:val="16"/>
    </w:rPr>
  </w:style>
  <w:style w:type="character" w:customStyle="1" w:styleId="Char3">
    <w:name w:val="批注框文本 Char"/>
    <w:link w:val="a9"/>
    <w:rsid w:val="00327505"/>
    <w:rPr>
      <w:rFonts w:ascii="Tahoma" w:hAnsi="Tahoma" w:cs="Tahoma"/>
      <w:sz w:val="16"/>
      <w:szCs w:val="16"/>
    </w:rPr>
  </w:style>
  <w:style w:type="character" w:customStyle="1" w:styleId="1Char">
    <w:name w:val="标题 1 Char"/>
    <w:link w:val="1"/>
    <w:rsid w:val="00CE37E1"/>
    <w:rPr>
      <w:rFonts w:ascii="Cambria" w:eastAsia="Times New Roman" w:hAnsi="Cambria" w:cs="Times New Roman"/>
      <w:b/>
      <w:bCs/>
      <w:kern w:val="32"/>
      <w:sz w:val="32"/>
      <w:szCs w:val="32"/>
      <w:lang w:val="en-US" w:eastAsia="en-US"/>
    </w:rPr>
  </w:style>
  <w:style w:type="paragraph" w:customStyle="1" w:styleId="TOC1">
    <w:name w:val="TOC 标题1"/>
    <w:basedOn w:val="1"/>
    <w:next w:val="a"/>
    <w:uiPriority w:val="39"/>
    <w:qFormat/>
    <w:rsid w:val="004D6952"/>
    <w:pPr>
      <w:keepLines/>
      <w:spacing w:before="480" w:after="0" w:line="276" w:lineRule="auto"/>
      <w:outlineLvl w:val="9"/>
    </w:pPr>
    <w:rPr>
      <w:color w:val="365F91"/>
      <w:kern w:val="0"/>
      <w:sz w:val="28"/>
      <w:szCs w:val="28"/>
      <w:lang w:eastAsia="ja-JP"/>
    </w:rPr>
  </w:style>
  <w:style w:type="paragraph" w:customStyle="1" w:styleId="-110">
    <w:name w:val="彩色底纹 - 强调文字颜色 11"/>
    <w:hidden/>
    <w:uiPriority w:val="71"/>
    <w:rsid w:val="00EB2683"/>
    <w:rPr>
      <w:sz w:val="24"/>
      <w:szCs w:val="24"/>
    </w:rPr>
  </w:style>
  <w:style w:type="paragraph" w:styleId="aa">
    <w:name w:val="Revision"/>
    <w:hidden/>
    <w:uiPriority w:val="99"/>
    <w:semiHidden/>
    <w:rsid w:val="00CD4651"/>
    <w:rPr>
      <w:sz w:val="24"/>
      <w:szCs w:val="24"/>
    </w:rPr>
  </w:style>
  <w:style w:type="paragraph" w:styleId="ab">
    <w:name w:val="List Paragraph"/>
    <w:basedOn w:val="a"/>
    <w:uiPriority w:val="34"/>
    <w:qFormat/>
    <w:rsid w:val="00710989"/>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FE4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rsid w:val="00CE37E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CA0"/>
    <w:rPr>
      <w:color w:val="0000FF"/>
      <w:u w:val="single"/>
    </w:rPr>
  </w:style>
  <w:style w:type="paragraph" w:styleId="2">
    <w:name w:val="Body Text 2"/>
    <w:basedOn w:val="a"/>
    <w:rsid w:val="00DF1CA0"/>
    <w:pPr>
      <w:spacing w:line="480" w:lineRule="auto"/>
      <w:jc w:val="both"/>
    </w:pPr>
    <w:rPr>
      <w:lang w:val="en-GB"/>
    </w:rPr>
  </w:style>
  <w:style w:type="character" w:customStyle="1" w:styleId="affiliation">
    <w:name w:val="affiliation"/>
    <w:rsid w:val="00064806"/>
    <w:rPr>
      <w:sz w:val="24"/>
      <w:szCs w:val="24"/>
    </w:rPr>
  </w:style>
  <w:style w:type="paragraph" w:styleId="a4">
    <w:name w:val="header"/>
    <w:basedOn w:val="a"/>
    <w:link w:val="Char"/>
    <w:uiPriority w:val="99"/>
    <w:rsid w:val="00325EE6"/>
    <w:pPr>
      <w:tabs>
        <w:tab w:val="center" w:pos="4680"/>
        <w:tab w:val="right" w:pos="9360"/>
      </w:tabs>
    </w:pPr>
  </w:style>
  <w:style w:type="character" w:customStyle="1" w:styleId="Char">
    <w:name w:val="页眉 Char"/>
    <w:link w:val="a4"/>
    <w:uiPriority w:val="99"/>
    <w:rsid w:val="00325EE6"/>
    <w:rPr>
      <w:sz w:val="24"/>
      <w:szCs w:val="24"/>
    </w:rPr>
  </w:style>
  <w:style w:type="paragraph" w:styleId="a5">
    <w:name w:val="footer"/>
    <w:basedOn w:val="a"/>
    <w:link w:val="Char0"/>
    <w:rsid w:val="00325EE6"/>
    <w:pPr>
      <w:tabs>
        <w:tab w:val="center" w:pos="4680"/>
        <w:tab w:val="right" w:pos="9360"/>
      </w:tabs>
    </w:pPr>
  </w:style>
  <w:style w:type="character" w:customStyle="1" w:styleId="Char0">
    <w:name w:val="页脚 Char"/>
    <w:link w:val="a5"/>
    <w:rsid w:val="00325EE6"/>
    <w:rPr>
      <w:sz w:val="24"/>
      <w:szCs w:val="24"/>
    </w:rPr>
  </w:style>
  <w:style w:type="character" w:customStyle="1" w:styleId="highlight">
    <w:name w:val="highlight"/>
    <w:basedOn w:val="a0"/>
    <w:rsid w:val="00FC5F2B"/>
  </w:style>
  <w:style w:type="character" w:customStyle="1" w:styleId="slug-doi">
    <w:name w:val="slug-doi"/>
    <w:basedOn w:val="a0"/>
    <w:rsid w:val="00323C4D"/>
  </w:style>
  <w:style w:type="paragraph" w:customStyle="1" w:styleId="-11">
    <w:name w:val="彩色列表 - 强调文字颜色 11"/>
    <w:basedOn w:val="a"/>
    <w:uiPriority w:val="34"/>
    <w:qFormat/>
    <w:rsid w:val="00970A33"/>
    <w:pPr>
      <w:spacing w:after="200" w:line="276" w:lineRule="auto"/>
      <w:ind w:left="720"/>
      <w:contextualSpacing/>
    </w:pPr>
    <w:rPr>
      <w:rFonts w:ascii="Calibri" w:eastAsia="Calibri" w:hAnsi="Calibri"/>
      <w:sz w:val="22"/>
      <w:szCs w:val="22"/>
    </w:rPr>
  </w:style>
  <w:style w:type="character" w:styleId="a6">
    <w:name w:val="annotation reference"/>
    <w:rsid w:val="00327505"/>
    <w:rPr>
      <w:sz w:val="16"/>
      <w:szCs w:val="16"/>
    </w:rPr>
  </w:style>
  <w:style w:type="paragraph" w:styleId="a7">
    <w:name w:val="annotation text"/>
    <w:basedOn w:val="a"/>
    <w:link w:val="Char1"/>
    <w:rsid w:val="00327505"/>
    <w:rPr>
      <w:sz w:val="20"/>
      <w:szCs w:val="20"/>
    </w:rPr>
  </w:style>
  <w:style w:type="character" w:customStyle="1" w:styleId="Char1">
    <w:name w:val="批注文字 Char"/>
    <w:link w:val="a7"/>
    <w:rsid w:val="00327505"/>
    <w:rPr>
      <w:lang w:val="en-US" w:eastAsia="en-US"/>
    </w:rPr>
  </w:style>
  <w:style w:type="paragraph" w:styleId="a8">
    <w:name w:val="annotation subject"/>
    <w:basedOn w:val="a7"/>
    <w:next w:val="a7"/>
    <w:link w:val="Char2"/>
    <w:rsid w:val="00327505"/>
    <w:rPr>
      <w:b/>
      <w:bCs/>
    </w:rPr>
  </w:style>
  <w:style w:type="character" w:customStyle="1" w:styleId="Char2">
    <w:name w:val="批注主题 Char"/>
    <w:link w:val="a8"/>
    <w:rsid w:val="00327505"/>
    <w:rPr>
      <w:b/>
      <w:bCs/>
      <w:lang w:val="en-US" w:eastAsia="en-US"/>
    </w:rPr>
  </w:style>
  <w:style w:type="paragraph" w:styleId="a9">
    <w:name w:val="Balloon Text"/>
    <w:basedOn w:val="a"/>
    <w:link w:val="Char3"/>
    <w:rsid w:val="00327505"/>
    <w:rPr>
      <w:rFonts w:ascii="Tahoma" w:hAnsi="Tahoma"/>
      <w:sz w:val="16"/>
      <w:szCs w:val="16"/>
    </w:rPr>
  </w:style>
  <w:style w:type="character" w:customStyle="1" w:styleId="Char3">
    <w:name w:val="批注框文本 Char"/>
    <w:link w:val="a9"/>
    <w:rsid w:val="00327505"/>
    <w:rPr>
      <w:rFonts w:ascii="Tahoma" w:hAnsi="Tahoma" w:cs="Tahoma"/>
      <w:sz w:val="16"/>
      <w:szCs w:val="16"/>
    </w:rPr>
  </w:style>
  <w:style w:type="character" w:customStyle="1" w:styleId="1Char">
    <w:name w:val="标题 1 Char"/>
    <w:link w:val="1"/>
    <w:rsid w:val="00CE37E1"/>
    <w:rPr>
      <w:rFonts w:ascii="Cambria" w:eastAsia="Times New Roman" w:hAnsi="Cambria" w:cs="Times New Roman"/>
      <w:b/>
      <w:bCs/>
      <w:kern w:val="32"/>
      <w:sz w:val="32"/>
      <w:szCs w:val="32"/>
      <w:lang w:val="en-US" w:eastAsia="en-US"/>
    </w:rPr>
  </w:style>
  <w:style w:type="paragraph" w:customStyle="1" w:styleId="TOC1">
    <w:name w:val="TOC 标题1"/>
    <w:basedOn w:val="1"/>
    <w:next w:val="a"/>
    <w:uiPriority w:val="39"/>
    <w:qFormat/>
    <w:rsid w:val="004D6952"/>
    <w:pPr>
      <w:keepLines/>
      <w:spacing w:before="480" w:after="0" w:line="276" w:lineRule="auto"/>
      <w:outlineLvl w:val="9"/>
    </w:pPr>
    <w:rPr>
      <w:color w:val="365F91"/>
      <w:kern w:val="0"/>
      <w:sz w:val="28"/>
      <w:szCs w:val="28"/>
      <w:lang w:eastAsia="ja-JP"/>
    </w:rPr>
  </w:style>
  <w:style w:type="paragraph" w:customStyle="1" w:styleId="-110">
    <w:name w:val="彩色底纹 - 强调文字颜色 11"/>
    <w:hidden/>
    <w:uiPriority w:val="71"/>
    <w:rsid w:val="00EB2683"/>
    <w:rPr>
      <w:sz w:val="24"/>
      <w:szCs w:val="24"/>
    </w:rPr>
  </w:style>
  <w:style w:type="paragraph" w:styleId="aa">
    <w:name w:val="Revision"/>
    <w:hidden/>
    <w:uiPriority w:val="99"/>
    <w:semiHidden/>
    <w:rsid w:val="00CD4651"/>
    <w:rPr>
      <w:sz w:val="24"/>
      <w:szCs w:val="24"/>
    </w:rPr>
  </w:style>
  <w:style w:type="paragraph" w:styleId="ab">
    <w:name w:val="List Paragraph"/>
    <w:basedOn w:val="a"/>
    <w:uiPriority w:val="34"/>
    <w:qFormat/>
    <w:rsid w:val="00710989"/>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FE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368">
      <w:bodyDiv w:val="1"/>
      <w:marLeft w:val="0"/>
      <w:marRight w:val="0"/>
      <w:marTop w:val="0"/>
      <w:marBottom w:val="0"/>
      <w:divBdr>
        <w:top w:val="none" w:sz="0" w:space="0" w:color="auto"/>
        <w:left w:val="none" w:sz="0" w:space="0" w:color="auto"/>
        <w:bottom w:val="none" w:sz="0" w:space="0" w:color="auto"/>
        <w:right w:val="none" w:sz="0" w:space="0" w:color="auto"/>
      </w:divBdr>
      <w:divsChild>
        <w:div w:id="58334527">
          <w:marLeft w:val="0"/>
          <w:marRight w:val="0"/>
          <w:marTop w:val="0"/>
          <w:marBottom w:val="0"/>
          <w:divBdr>
            <w:top w:val="none" w:sz="0" w:space="0" w:color="auto"/>
            <w:left w:val="none" w:sz="0" w:space="0" w:color="auto"/>
            <w:bottom w:val="none" w:sz="0" w:space="0" w:color="auto"/>
            <w:right w:val="none" w:sz="0" w:space="0" w:color="auto"/>
          </w:divBdr>
        </w:div>
      </w:divsChild>
    </w:div>
    <w:div w:id="15892103">
      <w:bodyDiv w:val="1"/>
      <w:marLeft w:val="0"/>
      <w:marRight w:val="0"/>
      <w:marTop w:val="0"/>
      <w:marBottom w:val="0"/>
      <w:divBdr>
        <w:top w:val="none" w:sz="0" w:space="0" w:color="auto"/>
        <w:left w:val="none" w:sz="0" w:space="0" w:color="auto"/>
        <w:bottom w:val="none" w:sz="0" w:space="0" w:color="auto"/>
        <w:right w:val="none" w:sz="0" w:space="0" w:color="auto"/>
      </w:divBdr>
      <w:divsChild>
        <w:div w:id="803890553">
          <w:marLeft w:val="0"/>
          <w:marRight w:val="0"/>
          <w:marTop w:val="0"/>
          <w:marBottom w:val="0"/>
          <w:divBdr>
            <w:top w:val="none" w:sz="0" w:space="0" w:color="auto"/>
            <w:left w:val="none" w:sz="0" w:space="0" w:color="auto"/>
            <w:bottom w:val="none" w:sz="0" w:space="0" w:color="auto"/>
            <w:right w:val="none" w:sz="0" w:space="0" w:color="auto"/>
          </w:divBdr>
        </w:div>
      </w:divsChild>
    </w:div>
    <w:div w:id="17314436">
      <w:bodyDiv w:val="1"/>
      <w:marLeft w:val="0"/>
      <w:marRight w:val="0"/>
      <w:marTop w:val="0"/>
      <w:marBottom w:val="0"/>
      <w:divBdr>
        <w:top w:val="none" w:sz="0" w:space="0" w:color="auto"/>
        <w:left w:val="none" w:sz="0" w:space="0" w:color="auto"/>
        <w:bottom w:val="none" w:sz="0" w:space="0" w:color="auto"/>
        <w:right w:val="none" w:sz="0" w:space="0" w:color="auto"/>
      </w:divBdr>
      <w:divsChild>
        <w:div w:id="1593006266">
          <w:marLeft w:val="0"/>
          <w:marRight w:val="0"/>
          <w:marTop w:val="0"/>
          <w:marBottom w:val="0"/>
          <w:divBdr>
            <w:top w:val="none" w:sz="0" w:space="0" w:color="auto"/>
            <w:left w:val="none" w:sz="0" w:space="0" w:color="auto"/>
            <w:bottom w:val="none" w:sz="0" w:space="0" w:color="auto"/>
            <w:right w:val="none" w:sz="0" w:space="0" w:color="auto"/>
          </w:divBdr>
        </w:div>
      </w:divsChild>
    </w:div>
    <w:div w:id="47192421">
      <w:bodyDiv w:val="1"/>
      <w:marLeft w:val="0"/>
      <w:marRight w:val="0"/>
      <w:marTop w:val="0"/>
      <w:marBottom w:val="0"/>
      <w:divBdr>
        <w:top w:val="none" w:sz="0" w:space="0" w:color="auto"/>
        <w:left w:val="none" w:sz="0" w:space="0" w:color="auto"/>
        <w:bottom w:val="none" w:sz="0" w:space="0" w:color="auto"/>
        <w:right w:val="none" w:sz="0" w:space="0" w:color="auto"/>
      </w:divBdr>
      <w:divsChild>
        <w:div w:id="266349387">
          <w:marLeft w:val="0"/>
          <w:marRight w:val="0"/>
          <w:marTop w:val="0"/>
          <w:marBottom w:val="0"/>
          <w:divBdr>
            <w:top w:val="none" w:sz="0" w:space="0" w:color="auto"/>
            <w:left w:val="none" w:sz="0" w:space="0" w:color="auto"/>
            <w:bottom w:val="none" w:sz="0" w:space="0" w:color="auto"/>
            <w:right w:val="none" w:sz="0" w:space="0" w:color="auto"/>
          </w:divBdr>
        </w:div>
      </w:divsChild>
    </w:div>
    <w:div w:id="178352255">
      <w:bodyDiv w:val="1"/>
      <w:marLeft w:val="0"/>
      <w:marRight w:val="0"/>
      <w:marTop w:val="0"/>
      <w:marBottom w:val="0"/>
      <w:divBdr>
        <w:top w:val="none" w:sz="0" w:space="0" w:color="auto"/>
        <w:left w:val="none" w:sz="0" w:space="0" w:color="auto"/>
        <w:bottom w:val="none" w:sz="0" w:space="0" w:color="auto"/>
        <w:right w:val="none" w:sz="0" w:space="0" w:color="auto"/>
      </w:divBdr>
      <w:divsChild>
        <w:div w:id="890531081">
          <w:marLeft w:val="0"/>
          <w:marRight w:val="0"/>
          <w:marTop w:val="0"/>
          <w:marBottom w:val="0"/>
          <w:divBdr>
            <w:top w:val="none" w:sz="0" w:space="0" w:color="auto"/>
            <w:left w:val="none" w:sz="0" w:space="0" w:color="auto"/>
            <w:bottom w:val="none" w:sz="0" w:space="0" w:color="auto"/>
            <w:right w:val="none" w:sz="0" w:space="0" w:color="auto"/>
          </w:divBdr>
          <w:divsChild>
            <w:div w:id="684136010">
              <w:marLeft w:val="0"/>
              <w:marRight w:val="0"/>
              <w:marTop w:val="0"/>
              <w:marBottom w:val="0"/>
              <w:divBdr>
                <w:top w:val="none" w:sz="0" w:space="0" w:color="auto"/>
                <w:left w:val="none" w:sz="0" w:space="0" w:color="auto"/>
                <w:bottom w:val="none" w:sz="0" w:space="0" w:color="auto"/>
                <w:right w:val="none" w:sz="0" w:space="0" w:color="auto"/>
              </w:divBdr>
            </w:div>
            <w:div w:id="14050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7760">
      <w:bodyDiv w:val="1"/>
      <w:marLeft w:val="0"/>
      <w:marRight w:val="0"/>
      <w:marTop w:val="0"/>
      <w:marBottom w:val="0"/>
      <w:divBdr>
        <w:top w:val="none" w:sz="0" w:space="0" w:color="auto"/>
        <w:left w:val="none" w:sz="0" w:space="0" w:color="auto"/>
        <w:bottom w:val="none" w:sz="0" w:space="0" w:color="auto"/>
        <w:right w:val="none" w:sz="0" w:space="0" w:color="auto"/>
      </w:divBdr>
      <w:divsChild>
        <w:div w:id="984696124">
          <w:marLeft w:val="0"/>
          <w:marRight w:val="0"/>
          <w:marTop w:val="0"/>
          <w:marBottom w:val="0"/>
          <w:divBdr>
            <w:top w:val="none" w:sz="0" w:space="0" w:color="auto"/>
            <w:left w:val="none" w:sz="0" w:space="0" w:color="auto"/>
            <w:bottom w:val="none" w:sz="0" w:space="0" w:color="auto"/>
            <w:right w:val="none" w:sz="0" w:space="0" w:color="auto"/>
          </w:divBdr>
        </w:div>
      </w:divsChild>
    </w:div>
    <w:div w:id="457644924">
      <w:bodyDiv w:val="1"/>
      <w:marLeft w:val="0"/>
      <w:marRight w:val="0"/>
      <w:marTop w:val="0"/>
      <w:marBottom w:val="0"/>
      <w:divBdr>
        <w:top w:val="none" w:sz="0" w:space="0" w:color="auto"/>
        <w:left w:val="none" w:sz="0" w:space="0" w:color="auto"/>
        <w:bottom w:val="none" w:sz="0" w:space="0" w:color="auto"/>
        <w:right w:val="none" w:sz="0" w:space="0" w:color="auto"/>
      </w:divBdr>
      <w:divsChild>
        <w:div w:id="1256405377">
          <w:marLeft w:val="0"/>
          <w:marRight w:val="0"/>
          <w:marTop w:val="0"/>
          <w:marBottom w:val="0"/>
          <w:divBdr>
            <w:top w:val="none" w:sz="0" w:space="0" w:color="auto"/>
            <w:left w:val="none" w:sz="0" w:space="0" w:color="auto"/>
            <w:bottom w:val="none" w:sz="0" w:space="0" w:color="auto"/>
            <w:right w:val="none" w:sz="0" w:space="0" w:color="auto"/>
          </w:divBdr>
        </w:div>
      </w:divsChild>
    </w:div>
    <w:div w:id="566916185">
      <w:bodyDiv w:val="1"/>
      <w:marLeft w:val="0"/>
      <w:marRight w:val="0"/>
      <w:marTop w:val="0"/>
      <w:marBottom w:val="0"/>
      <w:divBdr>
        <w:top w:val="none" w:sz="0" w:space="0" w:color="auto"/>
        <w:left w:val="none" w:sz="0" w:space="0" w:color="auto"/>
        <w:bottom w:val="none" w:sz="0" w:space="0" w:color="auto"/>
        <w:right w:val="none" w:sz="0" w:space="0" w:color="auto"/>
      </w:divBdr>
      <w:divsChild>
        <w:div w:id="1391416940">
          <w:marLeft w:val="0"/>
          <w:marRight w:val="0"/>
          <w:marTop w:val="0"/>
          <w:marBottom w:val="0"/>
          <w:divBdr>
            <w:top w:val="none" w:sz="0" w:space="0" w:color="auto"/>
            <w:left w:val="none" w:sz="0" w:space="0" w:color="auto"/>
            <w:bottom w:val="none" w:sz="0" w:space="0" w:color="auto"/>
            <w:right w:val="none" w:sz="0" w:space="0" w:color="auto"/>
          </w:divBdr>
          <w:divsChild>
            <w:div w:id="2052612682">
              <w:marLeft w:val="0"/>
              <w:marRight w:val="0"/>
              <w:marTop w:val="0"/>
              <w:marBottom w:val="0"/>
              <w:divBdr>
                <w:top w:val="none" w:sz="0" w:space="0" w:color="auto"/>
                <w:left w:val="none" w:sz="0" w:space="0" w:color="auto"/>
                <w:bottom w:val="none" w:sz="0" w:space="0" w:color="auto"/>
                <w:right w:val="none" w:sz="0" w:space="0" w:color="auto"/>
              </w:divBdr>
              <w:divsChild>
                <w:div w:id="753161098">
                  <w:marLeft w:val="0"/>
                  <w:marRight w:val="0"/>
                  <w:marTop w:val="0"/>
                  <w:marBottom w:val="0"/>
                  <w:divBdr>
                    <w:top w:val="none" w:sz="0" w:space="0" w:color="auto"/>
                    <w:left w:val="none" w:sz="0" w:space="0" w:color="auto"/>
                    <w:bottom w:val="none" w:sz="0" w:space="0" w:color="auto"/>
                    <w:right w:val="none" w:sz="0" w:space="0" w:color="auto"/>
                  </w:divBdr>
                  <w:divsChild>
                    <w:div w:id="768087983">
                      <w:marLeft w:val="0"/>
                      <w:marRight w:val="0"/>
                      <w:marTop w:val="0"/>
                      <w:marBottom w:val="0"/>
                      <w:divBdr>
                        <w:top w:val="none" w:sz="0" w:space="0" w:color="auto"/>
                        <w:left w:val="none" w:sz="0" w:space="0" w:color="auto"/>
                        <w:bottom w:val="none" w:sz="0" w:space="0" w:color="auto"/>
                        <w:right w:val="none" w:sz="0" w:space="0" w:color="auto"/>
                      </w:divBdr>
                      <w:divsChild>
                        <w:div w:id="1830441691">
                          <w:marLeft w:val="0"/>
                          <w:marRight w:val="0"/>
                          <w:marTop w:val="0"/>
                          <w:marBottom w:val="0"/>
                          <w:divBdr>
                            <w:top w:val="none" w:sz="0" w:space="0" w:color="auto"/>
                            <w:left w:val="none" w:sz="0" w:space="0" w:color="auto"/>
                            <w:bottom w:val="none" w:sz="0" w:space="0" w:color="auto"/>
                            <w:right w:val="none" w:sz="0" w:space="0" w:color="auto"/>
                          </w:divBdr>
                          <w:divsChild>
                            <w:div w:id="1415201512">
                              <w:marLeft w:val="0"/>
                              <w:marRight w:val="0"/>
                              <w:marTop w:val="0"/>
                              <w:marBottom w:val="0"/>
                              <w:divBdr>
                                <w:top w:val="none" w:sz="0" w:space="0" w:color="auto"/>
                                <w:left w:val="none" w:sz="0" w:space="0" w:color="auto"/>
                                <w:bottom w:val="none" w:sz="0" w:space="0" w:color="auto"/>
                                <w:right w:val="none" w:sz="0" w:space="0" w:color="auto"/>
                              </w:divBdr>
                              <w:divsChild>
                                <w:div w:id="2134059193">
                                  <w:marLeft w:val="0"/>
                                  <w:marRight w:val="0"/>
                                  <w:marTop w:val="0"/>
                                  <w:marBottom w:val="0"/>
                                  <w:divBdr>
                                    <w:top w:val="none" w:sz="0" w:space="0" w:color="auto"/>
                                    <w:left w:val="none" w:sz="0" w:space="0" w:color="auto"/>
                                    <w:bottom w:val="none" w:sz="0" w:space="0" w:color="auto"/>
                                    <w:right w:val="none" w:sz="0" w:space="0" w:color="auto"/>
                                  </w:divBdr>
                                  <w:divsChild>
                                    <w:div w:id="2541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02934">
      <w:bodyDiv w:val="1"/>
      <w:marLeft w:val="0"/>
      <w:marRight w:val="0"/>
      <w:marTop w:val="0"/>
      <w:marBottom w:val="0"/>
      <w:divBdr>
        <w:top w:val="none" w:sz="0" w:space="0" w:color="auto"/>
        <w:left w:val="none" w:sz="0" w:space="0" w:color="auto"/>
        <w:bottom w:val="none" w:sz="0" w:space="0" w:color="auto"/>
        <w:right w:val="none" w:sz="0" w:space="0" w:color="auto"/>
      </w:divBdr>
      <w:divsChild>
        <w:div w:id="13449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369001">
      <w:bodyDiv w:val="1"/>
      <w:marLeft w:val="0"/>
      <w:marRight w:val="0"/>
      <w:marTop w:val="0"/>
      <w:marBottom w:val="0"/>
      <w:divBdr>
        <w:top w:val="none" w:sz="0" w:space="0" w:color="auto"/>
        <w:left w:val="none" w:sz="0" w:space="0" w:color="auto"/>
        <w:bottom w:val="none" w:sz="0" w:space="0" w:color="auto"/>
        <w:right w:val="none" w:sz="0" w:space="0" w:color="auto"/>
      </w:divBdr>
      <w:divsChild>
        <w:div w:id="569850525">
          <w:marLeft w:val="0"/>
          <w:marRight w:val="0"/>
          <w:marTop w:val="0"/>
          <w:marBottom w:val="0"/>
          <w:divBdr>
            <w:top w:val="none" w:sz="0" w:space="0" w:color="auto"/>
            <w:left w:val="none" w:sz="0" w:space="0" w:color="auto"/>
            <w:bottom w:val="none" w:sz="0" w:space="0" w:color="auto"/>
            <w:right w:val="none" w:sz="0" w:space="0" w:color="auto"/>
          </w:divBdr>
          <w:divsChild>
            <w:div w:id="108815985">
              <w:marLeft w:val="0"/>
              <w:marRight w:val="0"/>
              <w:marTop w:val="0"/>
              <w:marBottom w:val="0"/>
              <w:divBdr>
                <w:top w:val="none" w:sz="0" w:space="0" w:color="auto"/>
                <w:left w:val="none" w:sz="0" w:space="0" w:color="auto"/>
                <w:bottom w:val="none" w:sz="0" w:space="0" w:color="auto"/>
                <w:right w:val="none" w:sz="0" w:space="0" w:color="auto"/>
              </w:divBdr>
            </w:div>
            <w:div w:id="501553986">
              <w:marLeft w:val="0"/>
              <w:marRight w:val="0"/>
              <w:marTop w:val="0"/>
              <w:marBottom w:val="0"/>
              <w:divBdr>
                <w:top w:val="none" w:sz="0" w:space="0" w:color="auto"/>
                <w:left w:val="none" w:sz="0" w:space="0" w:color="auto"/>
                <w:bottom w:val="none" w:sz="0" w:space="0" w:color="auto"/>
                <w:right w:val="none" w:sz="0" w:space="0" w:color="auto"/>
              </w:divBdr>
            </w:div>
            <w:div w:id="810827399">
              <w:marLeft w:val="0"/>
              <w:marRight w:val="0"/>
              <w:marTop w:val="0"/>
              <w:marBottom w:val="0"/>
              <w:divBdr>
                <w:top w:val="none" w:sz="0" w:space="0" w:color="auto"/>
                <w:left w:val="none" w:sz="0" w:space="0" w:color="auto"/>
                <w:bottom w:val="none" w:sz="0" w:space="0" w:color="auto"/>
                <w:right w:val="none" w:sz="0" w:space="0" w:color="auto"/>
              </w:divBdr>
            </w:div>
            <w:div w:id="880946790">
              <w:marLeft w:val="0"/>
              <w:marRight w:val="0"/>
              <w:marTop w:val="0"/>
              <w:marBottom w:val="0"/>
              <w:divBdr>
                <w:top w:val="none" w:sz="0" w:space="0" w:color="auto"/>
                <w:left w:val="none" w:sz="0" w:space="0" w:color="auto"/>
                <w:bottom w:val="none" w:sz="0" w:space="0" w:color="auto"/>
                <w:right w:val="none" w:sz="0" w:space="0" w:color="auto"/>
              </w:divBdr>
            </w:div>
            <w:div w:id="1003243837">
              <w:marLeft w:val="0"/>
              <w:marRight w:val="0"/>
              <w:marTop w:val="0"/>
              <w:marBottom w:val="0"/>
              <w:divBdr>
                <w:top w:val="none" w:sz="0" w:space="0" w:color="auto"/>
                <w:left w:val="none" w:sz="0" w:space="0" w:color="auto"/>
                <w:bottom w:val="none" w:sz="0" w:space="0" w:color="auto"/>
                <w:right w:val="none" w:sz="0" w:space="0" w:color="auto"/>
              </w:divBdr>
            </w:div>
            <w:div w:id="1331106416">
              <w:marLeft w:val="0"/>
              <w:marRight w:val="0"/>
              <w:marTop w:val="0"/>
              <w:marBottom w:val="0"/>
              <w:divBdr>
                <w:top w:val="none" w:sz="0" w:space="0" w:color="auto"/>
                <w:left w:val="none" w:sz="0" w:space="0" w:color="auto"/>
                <w:bottom w:val="none" w:sz="0" w:space="0" w:color="auto"/>
                <w:right w:val="none" w:sz="0" w:space="0" w:color="auto"/>
              </w:divBdr>
            </w:div>
            <w:div w:id="1392147860">
              <w:marLeft w:val="0"/>
              <w:marRight w:val="0"/>
              <w:marTop w:val="0"/>
              <w:marBottom w:val="0"/>
              <w:divBdr>
                <w:top w:val="none" w:sz="0" w:space="0" w:color="auto"/>
                <w:left w:val="none" w:sz="0" w:space="0" w:color="auto"/>
                <w:bottom w:val="none" w:sz="0" w:space="0" w:color="auto"/>
                <w:right w:val="none" w:sz="0" w:space="0" w:color="auto"/>
              </w:divBdr>
            </w:div>
            <w:div w:id="1412699735">
              <w:marLeft w:val="0"/>
              <w:marRight w:val="0"/>
              <w:marTop w:val="0"/>
              <w:marBottom w:val="0"/>
              <w:divBdr>
                <w:top w:val="none" w:sz="0" w:space="0" w:color="auto"/>
                <w:left w:val="none" w:sz="0" w:space="0" w:color="auto"/>
                <w:bottom w:val="none" w:sz="0" w:space="0" w:color="auto"/>
                <w:right w:val="none" w:sz="0" w:space="0" w:color="auto"/>
              </w:divBdr>
            </w:div>
            <w:div w:id="1418214813">
              <w:marLeft w:val="0"/>
              <w:marRight w:val="0"/>
              <w:marTop w:val="0"/>
              <w:marBottom w:val="0"/>
              <w:divBdr>
                <w:top w:val="none" w:sz="0" w:space="0" w:color="auto"/>
                <w:left w:val="none" w:sz="0" w:space="0" w:color="auto"/>
                <w:bottom w:val="none" w:sz="0" w:space="0" w:color="auto"/>
                <w:right w:val="none" w:sz="0" w:space="0" w:color="auto"/>
              </w:divBdr>
            </w:div>
            <w:div w:id="1520318926">
              <w:marLeft w:val="0"/>
              <w:marRight w:val="0"/>
              <w:marTop w:val="0"/>
              <w:marBottom w:val="0"/>
              <w:divBdr>
                <w:top w:val="none" w:sz="0" w:space="0" w:color="auto"/>
                <w:left w:val="none" w:sz="0" w:space="0" w:color="auto"/>
                <w:bottom w:val="none" w:sz="0" w:space="0" w:color="auto"/>
                <w:right w:val="none" w:sz="0" w:space="0" w:color="auto"/>
              </w:divBdr>
            </w:div>
            <w:div w:id="15551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3575">
      <w:bodyDiv w:val="1"/>
      <w:marLeft w:val="0"/>
      <w:marRight w:val="0"/>
      <w:marTop w:val="0"/>
      <w:marBottom w:val="0"/>
      <w:divBdr>
        <w:top w:val="none" w:sz="0" w:space="0" w:color="auto"/>
        <w:left w:val="none" w:sz="0" w:space="0" w:color="auto"/>
        <w:bottom w:val="none" w:sz="0" w:space="0" w:color="auto"/>
        <w:right w:val="none" w:sz="0" w:space="0" w:color="auto"/>
      </w:divBdr>
      <w:divsChild>
        <w:div w:id="861210716">
          <w:marLeft w:val="0"/>
          <w:marRight w:val="1"/>
          <w:marTop w:val="0"/>
          <w:marBottom w:val="0"/>
          <w:divBdr>
            <w:top w:val="none" w:sz="0" w:space="0" w:color="auto"/>
            <w:left w:val="none" w:sz="0" w:space="0" w:color="auto"/>
            <w:bottom w:val="none" w:sz="0" w:space="0" w:color="auto"/>
            <w:right w:val="none" w:sz="0" w:space="0" w:color="auto"/>
          </w:divBdr>
          <w:divsChild>
            <w:div w:id="1346399898">
              <w:marLeft w:val="0"/>
              <w:marRight w:val="0"/>
              <w:marTop w:val="0"/>
              <w:marBottom w:val="0"/>
              <w:divBdr>
                <w:top w:val="none" w:sz="0" w:space="0" w:color="auto"/>
                <w:left w:val="none" w:sz="0" w:space="0" w:color="auto"/>
                <w:bottom w:val="none" w:sz="0" w:space="0" w:color="auto"/>
                <w:right w:val="none" w:sz="0" w:space="0" w:color="auto"/>
              </w:divBdr>
              <w:divsChild>
                <w:div w:id="902719547">
                  <w:marLeft w:val="0"/>
                  <w:marRight w:val="1"/>
                  <w:marTop w:val="0"/>
                  <w:marBottom w:val="0"/>
                  <w:divBdr>
                    <w:top w:val="none" w:sz="0" w:space="0" w:color="auto"/>
                    <w:left w:val="none" w:sz="0" w:space="0" w:color="auto"/>
                    <w:bottom w:val="none" w:sz="0" w:space="0" w:color="auto"/>
                    <w:right w:val="none" w:sz="0" w:space="0" w:color="auto"/>
                  </w:divBdr>
                  <w:divsChild>
                    <w:div w:id="699015919">
                      <w:marLeft w:val="0"/>
                      <w:marRight w:val="0"/>
                      <w:marTop w:val="0"/>
                      <w:marBottom w:val="0"/>
                      <w:divBdr>
                        <w:top w:val="none" w:sz="0" w:space="0" w:color="auto"/>
                        <w:left w:val="none" w:sz="0" w:space="0" w:color="auto"/>
                        <w:bottom w:val="none" w:sz="0" w:space="0" w:color="auto"/>
                        <w:right w:val="none" w:sz="0" w:space="0" w:color="auto"/>
                      </w:divBdr>
                      <w:divsChild>
                        <w:div w:id="1990016986">
                          <w:marLeft w:val="0"/>
                          <w:marRight w:val="0"/>
                          <w:marTop w:val="0"/>
                          <w:marBottom w:val="0"/>
                          <w:divBdr>
                            <w:top w:val="none" w:sz="0" w:space="0" w:color="auto"/>
                            <w:left w:val="none" w:sz="0" w:space="0" w:color="auto"/>
                            <w:bottom w:val="none" w:sz="0" w:space="0" w:color="auto"/>
                            <w:right w:val="none" w:sz="0" w:space="0" w:color="auto"/>
                          </w:divBdr>
                          <w:divsChild>
                            <w:div w:id="1849709070">
                              <w:marLeft w:val="0"/>
                              <w:marRight w:val="0"/>
                              <w:marTop w:val="120"/>
                              <w:marBottom w:val="360"/>
                              <w:divBdr>
                                <w:top w:val="none" w:sz="0" w:space="0" w:color="auto"/>
                                <w:left w:val="none" w:sz="0" w:space="0" w:color="auto"/>
                                <w:bottom w:val="none" w:sz="0" w:space="0" w:color="auto"/>
                                <w:right w:val="none" w:sz="0" w:space="0" w:color="auto"/>
                              </w:divBdr>
                              <w:divsChild>
                                <w:div w:id="1588345850">
                                  <w:marLeft w:val="0"/>
                                  <w:marRight w:val="0"/>
                                  <w:marTop w:val="0"/>
                                  <w:marBottom w:val="0"/>
                                  <w:divBdr>
                                    <w:top w:val="none" w:sz="0" w:space="0" w:color="auto"/>
                                    <w:left w:val="none" w:sz="0" w:space="0" w:color="auto"/>
                                    <w:bottom w:val="none" w:sz="0" w:space="0" w:color="auto"/>
                                    <w:right w:val="none" w:sz="0" w:space="0" w:color="auto"/>
                                  </w:divBdr>
                                  <w:divsChild>
                                    <w:div w:id="8658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167392">
      <w:bodyDiv w:val="1"/>
      <w:marLeft w:val="0"/>
      <w:marRight w:val="0"/>
      <w:marTop w:val="0"/>
      <w:marBottom w:val="0"/>
      <w:divBdr>
        <w:top w:val="none" w:sz="0" w:space="0" w:color="auto"/>
        <w:left w:val="none" w:sz="0" w:space="0" w:color="auto"/>
        <w:bottom w:val="none" w:sz="0" w:space="0" w:color="auto"/>
        <w:right w:val="none" w:sz="0" w:space="0" w:color="auto"/>
      </w:divBdr>
      <w:divsChild>
        <w:div w:id="460462363">
          <w:marLeft w:val="0"/>
          <w:marRight w:val="0"/>
          <w:marTop w:val="0"/>
          <w:marBottom w:val="0"/>
          <w:divBdr>
            <w:top w:val="none" w:sz="0" w:space="0" w:color="auto"/>
            <w:left w:val="none" w:sz="0" w:space="0" w:color="auto"/>
            <w:bottom w:val="none" w:sz="0" w:space="0" w:color="auto"/>
            <w:right w:val="none" w:sz="0" w:space="0" w:color="auto"/>
          </w:divBdr>
        </w:div>
      </w:divsChild>
    </w:div>
    <w:div w:id="772627168">
      <w:bodyDiv w:val="1"/>
      <w:marLeft w:val="0"/>
      <w:marRight w:val="0"/>
      <w:marTop w:val="0"/>
      <w:marBottom w:val="0"/>
      <w:divBdr>
        <w:top w:val="none" w:sz="0" w:space="0" w:color="auto"/>
        <w:left w:val="none" w:sz="0" w:space="0" w:color="auto"/>
        <w:bottom w:val="none" w:sz="0" w:space="0" w:color="auto"/>
        <w:right w:val="none" w:sz="0" w:space="0" w:color="auto"/>
      </w:divBdr>
      <w:divsChild>
        <w:div w:id="126895657">
          <w:marLeft w:val="0"/>
          <w:marRight w:val="0"/>
          <w:marTop w:val="0"/>
          <w:marBottom w:val="0"/>
          <w:divBdr>
            <w:top w:val="none" w:sz="0" w:space="0" w:color="auto"/>
            <w:left w:val="none" w:sz="0" w:space="0" w:color="auto"/>
            <w:bottom w:val="none" w:sz="0" w:space="0" w:color="auto"/>
            <w:right w:val="none" w:sz="0" w:space="0" w:color="auto"/>
          </w:divBdr>
          <w:divsChild>
            <w:div w:id="147021388">
              <w:marLeft w:val="0"/>
              <w:marRight w:val="0"/>
              <w:marTop w:val="0"/>
              <w:marBottom w:val="0"/>
              <w:divBdr>
                <w:top w:val="none" w:sz="0" w:space="0" w:color="auto"/>
                <w:left w:val="none" w:sz="0" w:space="0" w:color="auto"/>
                <w:bottom w:val="none" w:sz="0" w:space="0" w:color="auto"/>
                <w:right w:val="none" w:sz="0" w:space="0" w:color="auto"/>
              </w:divBdr>
            </w:div>
            <w:div w:id="638415013">
              <w:marLeft w:val="0"/>
              <w:marRight w:val="0"/>
              <w:marTop w:val="0"/>
              <w:marBottom w:val="0"/>
              <w:divBdr>
                <w:top w:val="none" w:sz="0" w:space="0" w:color="auto"/>
                <w:left w:val="none" w:sz="0" w:space="0" w:color="auto"/>
                <w:bottom w:val="none" w:sz="0" w:space="0" w:color="auto"/>
                <w:right w:val="none" w:sz="0" w:space="0" w:color="auto"/>
              </w:divBdr>
            </w:div>
            <w:div w:id="851796217">
              <w:marLeft w:val="0"/>
              <w:marRight w:val="0"/>
              <w:marTop w:val="0"/>
              <w:marBottom w:val="0"/>
              <w:divBdr>
                <w:top w:val="none" w:sz="0" w:space="0" w:color="auto"/>
                <w:left w:val="none" w:sz="0" w:space="0" w:color="auto"/>
                <w:bottom w:val="none" w:sz="0" w:space="0" w:color="auto"/>
                <w:right w:val="none" w:sz="0" w:space="0" w:color="auto"/>
              </w:divBdr>
            </w:div>
            <w:div w:id="1002438663">
              <w:marLeft w:val="0"/>
              <w:marRight w:val="0"/>
              <w:marTop w:val="0"/>
              <w:marBottom w:val="0"/>
              <w:divBdr>
                <w:top w:val="none" w:sz="0" w:space="0" w:color="auto"/>
                <w:left w:val="none" w:sz="0" w:space="0" w:color="auto"/>
                <w:bottom w:val="none" w:sz="0" w:space="0" w:color="auto"/>
                <w:right w:val="none" w:sz="0" w:space="0" w:color="auto"/>
              </w:divBdr>
            </w:div>
            <w:div w:id="1262252025">
              <w:marLeft w:val="0"/>
              <w:marRight w:val="0"/>
              <w:marTop w:val="0"/>
              <w:marBottom w:val="0"/>
              <w:divBdr>
                <w:top w:val="none" w:sz="0" w:space="0" w:color="auto"/>
                <w:left w:val="none" w:sz="0" w:space="0" w:color="auto"/>
                <w:bottom w:val="none" w:sz="0" w:space="0" w:color="auto"/>
                <w:right w:val="none" w:sz="0" w:space="0" w:color="auto"/>
              </w:divBdr>
            </w:div>
            <w:div w:id="1272083596">
              <w:marLeft w:val="0"/>
              <w:marRight w:val="0"/>
              <w:marTop w:val="0"/>
              <w:marBottom w:val="0"/>
              <w:divBdr>
                <w:top w:val="none" w:sz="0" w:space="0" w:color="auto"/>
                <w:left w:val="none" w:sz="0" w:space="0" w:color="auto"/>
                <w:bottom w:val="none" w:sz="0" w:space="0" w:color="auto"/>
                <w:right w:val="none" w:sz="0" w:space="0" w:color="auto"/>
              </w:divBdr>
            </w:div>
            <w:div w:id="1378315377">
              <w:marLeft w:val="0"/>
              <w:marRight w:val="0"/>
              <w:marTop w:val="0"/>
              <w:marBottom w:val="0"/>
              <w:divBdr>
                <w:top w:val="none" w:sz="0" w:space="0" w:color="auto"/>
                <w:left w:val="none" w:sz="0" w:space="0" w:color="auto"/>
                <w:bottom w:val="none" w:sz="0" w:space="0" w:color="auto"/>
                <w:right w:val="none" w:sz="0" w:space="0" w:color="auto"/>
              </w:divBdr>
            </w:div>
            <w:div w:id="1456681178">
              <w:marLeft w:val="0"/>
              <w:marRight w:val="0"/>
              <w:marTop w:val="0"/>
              <w:marBottom w:val="0"/>
              <w:divBdr>
                <w:top w:val="none" w:sz="0" w:space="0" w:color="auto"/>
                <w:left w:val="none" w:sz="0" w:space="0" w:color="auto"/>
                <w:bottom w:val="none" w:sz="0" w:space="0" w:color="auto"/>
                <w:right w:val="none" w:sz="0" w:space="0" w:color="auto"/>
              </w:divBdr>
            </w:div>
            <w:div w:id="1714234688">
              <w:marLeft w:val="0"/>
              <w:marRight w:val="0"/>
              <w:marTop w:val="0"/>
              <w:marBottom w:val="0"/>
              <w:divBdr>
                <w:top w:val="none" w:sz="0" w:space="0" w:color="auto"/>
                <w:left w:val="none" w:sz="0" w:space="0" w:color="auto"/>
                <w:bottom w:val="none" w:sz="0" w:space="0" w:color="auto"/>
                <w:right w:val="none" w:sz="0" w:space="0" w:color="auto"/>
              </w:divBdr>
            </w:div>
            <w:div w:id="1872258427">
              <w:marLeft w:val="0"/>
              <w:marRight w:val="0"/>
              <w:marTop w:val="0"/>
              <w:marBottom w:val="0"/>
              <w:divBdr>
                <w:top w:val="none" w:sz="0" w:space="0" w:color="auto"/>
                <w:left w:val="none" w:sz="0" w:space="0" w:color="auto"/>
                <w:bottom w:val="none" w:sz="0" w:space="0" w:color="auto"/>
                <w:right w:val="none" w:sz="0" w:space="0" w:color="auto"/>
              </w:divBdr>
            </w:div>
            <w:div w:id="21229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410">
      <w:bodyDiv w:val="1"/>
      <w:marLeft w:val="0"/>
      <w:marRight w:val="0"/>
      <w:marTop w:val="0"/>
      <w:marBottom w:val="0"/>
      <w:divBdr>
        <w:top w:val="none" w:sz="0" w:space="0" w:color="auto"/>
        <w:left w:val="none" w:sz="0" w:space="0" w:color="auto"/>
        <w:bottom w:val="none" w:sz="0" w:space="0" w:color="auto"/>
        <w:right w:val="none" w:sz="0" w:space="0" w:color="auto"/>
      </w:divBdr>
      <w:divsChild>
        <w:div w:id="2137796599">
          <w:marLeft w:val="0"/>
          <w:marRight w:val="1"/>
          <w:marTop w:val="0"/>
          <w:marBottom w:val="0"/>
          <w:divBdr>
            <w:top w:val="none" w:sz="0" w:space="0" w:color="auto"/>
            <w:left w:val="none" w:sz="0" w:space="0" w:color="auto"/>
            <w:bottom w:val="none" w:sz="0" w:space="0" w:color="auto"/>
            <w:right w:val="none" w:sz="0" w:space="0" w:color="auto"/>
          </w:divBdr>
          <w:divsChild>
            <w:div w:id="1852378707">
              <w:marLeft w:val="0"/>
              <w:marRight w:val="0"/>
              <w:marTop w:val="0"/>
              <w:marBottom w:val="0"/>
              <w:divBdr>
                <w:top w:val="none" w:sz="0" w:space="0" w:color="auto"/>
                <w:left w:val="none" w:sz="0" w:space="0" w:color="auto"/>
                <w:bottom w:val="none" w:sz="0" w:space="0" w:color="auto"/>
                <w:right w:val="none" w:sz="0" w:space="0" w:color="auto"/>
              </w:divBdr>
              <w:divsChild>
                <w:div w:id="739862084">
                  <w:marLeft w:val="0"/>
                  <w:marRight w:val="1"/>
                  <w:marTop w:val="0"/>
                  <w:marBottom w:val="0"/>
                  <w:divBdr>
                    <w:top w:val="none" w:sz="0" w:space="0" w:color="auto"/>
                    <w:left w:val="none" w:sz="0" w:space="0" w:color="auto"/>
                    <w:bottom w:val="none" w:sz="0" w:space="0" w:color="auto"/>
                    <w:right w:val="none" w:sz="0" w:space="0" w:color="auto"/>
                  </w:divBdr>
                  <w:divsChild>
                    <w:div w:id="734280983">
                      <w:marLeft w:val="0"/>
                      <w:marRight w:val="0"/>
                      <w:marTop w:val="0"/>
                      <w:marBottom w:val="0"/>
                      <w:divBdr>
                        <w:top w:val="none" w:sz="0" w:space="0" w:color="auto"/>
                        <w:left w:val="none" w:sz="0" w:space="0" w:color="auto"/>
                        <w:bottom w:val="none" w:sz="0" w:space="0" w:color="auto"/>
                        <w:right w:val="none" w:sz="0" w:space="0" w:color="auto"/>
                      </w:divBdr>
                      <w:divsChild>
                        <w:div w:id="2001348235">
                          <w:marLeft w:val="0"/>
                          <w:marRight w:val="0"/>
                          <w:marTop w:val="0"/>
                          <w:marBottom w:val="0"/>
                          <w:divBdr>
                            <w:top w:val="none" w:sz="0" w:space="0" w:color="auto"/>
                            <w:left w:val="none" w:sz="0" w:space="0" w:color="auto"/>
                            <w:bottom w:val="none" w:sz="0" w:space="0" w:color="auto"/>
                            <w:right w:val="none" w:sz="0" w:space="0" w:color="auto"/>
                          </w:divBdr>
                          <w:divsChild>
                            <w:div w:id="392656914">
                              <w:marLeft w:val="0"/>
                              <w:marRight w:val="0"/>
                              <w:marTop w:val="120"/>
                              <w:marBottom w:val="360"/>
                              <w:divBdr>
                                <w:top w:val="none" w:sz="0" w:space="0" w:color="auto"/>
                                <w:left w:val="none" w:sz="0" w:space="0" w:color="auto"/>
                                <w:bottom w:val="none" w:sz="0" w:space="0" w:color="auto"/>
                                <w:right w:val="none" w:sz="0" w:space="0" w:color="auto"/>
                              </w:divBdr>
                              <w:divsChild>
                                <w:div w:id="1486165995">
                                  <w:marLeft w:val="0"/>
                                  <w:marRight w:val="0"/>
                                  <w:marTop w:val="0"/>
                                  <w:marBottom w:val="0"/>
                                  <w:divBdr>
                                    <w:top w:val="none" w:sz="0" w:space="0" w:color="auto"/>
                                    <w:left w:val="none" w:sz="0" w:space="0" w:color="auto"/>
                                    <w:bottom w:val="none" w:sz="0" w:space="0" w:color="auto"/>
                                    <w:right w:val="none" w:sz="0" w:space="0" w:color="auto"/>
                                  </w:divBdr>
                                  <w:divsChild>
                                    <w:div w:id="12729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215823">
      <w:bodyDiv w:val="1"/>
      <w:marLeft w:val="0"/>
      <w:marRight w:val="0"/>
      <w:marTop w:val="0"/>
      <w:marBottom w:val="0"/>
      <w:divBdr>
        <w:top w:val="none" w:sz="0" w:space="0" w:color="auto"/>
        <w:left w:val="none" w:sz="0" w:space="0" w:color="auto"/>
        <w:bottom w:val="none" w:sz="0" w:space="0" w:color="auto"/>
        <w:right w:val="none" w:sz="0" w:space="0" w:color="auto"/>
      </w:divBdr>
      <w:divsChild>
        <w:div w:id="1088161273">
          <w:marLeft w:val="0"/>
          <w:marRight w:val="0"/>
          <w:marTop w:val="0"/>
          <w:marBottom w:val="0"/>
          <w:divBdr>
            <w:top w:val="none" w:sz="0" w:space="0" w:color="auto"/>
            <w:left w:val="none" w:sz="0" w:space="0" w:color="auto"/>
            <w:bottom w:val="none" w:sz="0" w:space="0" w:color="auto"/>
            <w:right w:val="none" w:sz="0" w:space="0" w:color="auto"/>
          </w:divBdr>
          <w:divsChild>
            <w:div w:id="122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8615">
      <w:bodyDiv w:val="1"/>
      <w:marLeft w:val="0"/>
      <w:marRight w:val="0"/>
      <w:marTop w:val="0"/>
      <w:marBottom w:val="0"/>
      <w:divBdr>
        <w:top w:val="none" w:sz="0" w:space="0" w:color="auto"/>
        <w:left w:val="none" w:sz="0" w:space="0" w:color="auto"/>
        <w:bottom w:val="none" w:sz="0" w:space="0" w:color="auto"/>
        <w:right w:val="none" w:sz="0" w:space="0" w:color="auto"/>
      </w:divBdr>
    </w:div>
    <w:div w:id="887686598">
      <w:bodyDiv w:val="1"/>
      <w:marLeft w:val="0"/>
      <w:marRight w:val="0"/>
      <w:marTop w:val="0"/>
      <w:marBottom w:val="0"/>
      <w:divBdr>
        <w:top w:val="none" w:sz="0" w:space="0" w:color="auto"/>
        <w:left w:val="none" w:sz="0" w:space="0" w:color="auto"/>
        <w:bottom w:val="none" w:sz="0" w:space="0" w:color="auto"/>
        <w:right w:val="none" w:sz="0" w:space="0" w:color="auto"/>
      </w:divBdr>
      <w:divsChild>
        <w:div w:id="307520640">
          <w:marLeft w:val="0"/>
          <w:marRight w:val="1"/>
          <w:marTop w:val="0"/>
          <w:marBottom w:val="0"/>
          <w:divBdr>
            <w:top w:val="none" w:sz="0" w:space="0" w:color="auto"/>
            <w:left w:val="none" w:sz="0" w:space="0" w:color="auto"/>
            <w:bottom w:val="none" w:sz="0" w:space="0" w:color="auto"/>
            <w:right w:val="none" w:sz="0" w:space="0" w:color="auto"/>
          </w:divBdr>
          <w:divsChild>
            <w:div w:id="596135438">
              <w:marLeft w:val="0"/>
              <w:marRight w:val="0"/>
              <w:marTop w:val="0"/>
              <w:marBottom w:val="0"/>
              <w:divBdr>
                <w:top w:val="none" w:sz="0" w:space="0" w:color="auto"/>
                <w:left w:val="none" w:sz="0" w:space="0" w:color="auto"/>
                <w:bottom w:val="none" w:sz="0" w:space="0" w:color="auto"/>
                <w:right w:val="none" w:sz="0" w:space="0" w:color="auto"/>
              </w:divBdr>
              <w:divsChild>
                <w:div w:id="1796024597">
                  <w:marLeft w:val="0"/>
                  <w:marRight w:val="1"/>
                  <w:marTop w:val="0"/>
                  <w:marBottom w:val="0"/>
                  <w:divBdr>
                    <w:top w:val="none" w:sz="0" w:space="0" w:color="auto"/>
                    <w:left w:val="none" w:sz="0" w:space="0" w:color="auto"/>
                    <w:bottom w:val="none" w:sz="0" w:space="0" w:color="auto"/>
                    <w:right w:val="none" w:sz="0" w:space="0" w:color="auto"/>
                  </w:divBdr>
                  <w:divsChild>
                    <w:div w:id="1930307726">
                      <w:marLeft w:val="0"/>
                      <w:marRight w:val="0"/>
                      <w:marTop w:val="0"/>
                      <w:marBottom w:val="0"/>
                      <w:divBdr>
                        <w:top w:val="none" w:sz="0" w:space="0" w:color="auto"/>
                        <w:left w:val="none" w:sz="0" w:space="0" w:color="auto"/>
                        <w:bottom w:val="none" w:sz="0" w:space="0" w:color="auto"/>
                        <w:right w:val="none" w:sz="0" w:space="0" w:color="auto"/>
                      </w:divBdr>
                      <w:divsChild>
                        <w:div w:id="1704986350">
                          <w:marLeft w:val="0"/>
                          <w:marRight w:val="0"/>
                          <w:marTop w:val="0"/>
                          <w:marBottom w:val="0"/>
                          <w:divBdr>
                            <w:top w:val="none" w:sz="0" w:space="0" w:color="auto"/>
                            <w:left w:val="none" w:sz="0" w:space="0" w:color="auto"/>
                            <w:bottom w:val="none" w:sz="0" w:space="0" w:color="auto"/>
                            <w:right w:val="none" w:sz="0" w:space="0" w:color="auto"/>
                          </w:divBdr>
                          <w:divsChild>
                            <w:div w:id="1306349836">
                              <w:marLeft w:val="0"/>
                              <w:marRight w:val="0"/>
                              <w:marTop w:val="120"/>
                              <w:marBottom w:val="360"/>
                              <w:divBdr>
                                <w:top w:val="none" w:sz="0" w:space="0" w:color="auto"/>
                                <w:left w:val="none" w:sz="0" w:space="0" w:color="auto"/>
                                <w:bottom w:val="none" w:sz="0" w:space="0" w:color="auto"/>
                                <w:right w:val="none" w:sz="0" w:space="0" w:color="auto"/>
                              </w:divBdr>
                              <w:divsChild>
                                <w:div w:id="943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9390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114">
          <w:marLeft w:val="0"/>
          <w:marRight w:val="0"/>
          <w:marTop w:val="0"/>
          <w:marBottom w:val="0"/>
          <w:divBdr>
            <w:top w:val="none" w:sz="0" w:space="0" w:color="auto"/>
            <w:left w:val="none" w:sz="0" w:space="0" w:color="auto"/>
            <w:bottom w:val="none" w:sz="0" w:space="0" w:color="auto"/>
            <w:right w:val="none" w:sz="0" w:space="0" w:color="auto"/>
          </w:divBdr>
          <w:divsChild>
            <w:div w:id="245774678">
              <w:marLeft w:val="0"/>
              <w:marRight w:val="0"/>
              <w:marTop w:val="0"/>
              <w:marBottom w:val="0"/>
              <w:divBdr>
                <w:top w:val="none" w:sz="0" w:space="0" w:color="auto"/>
                <w:left w:val="none" w:sz="0" w:space="0" w:color="auto"/>
                <w:bottom w:val="none" w:sz="0" w:space="0" w:color="auto"/>
                <w:right w:val="none" w:sz="0" w:space="0" w:color="auto"/>
              </w:divBdr>
            </w:div>
            <w:div w:id="500858096">
              <w:marLeft w:val="0"/>
              <w:marRight w:val="0"/>
              <w:marTop w:val="0"/>
              <w:marBottom w:val="0"/>
              <w:divBdr>
                <w:top w:val="none" w:sz="0" w:space="0" w:color="auto"/>
                <w:left w:val="none" w:sz="0" w:space="0" w:color="auto"/>
                <w:bottom w:val="none" w:sz="0" w:space="0" w:color="auto"/>
                <w:right w:val="none" w:sz="0" w:space="0" w:color="auto"/>
              </w:divBdr>
            </w:div>
            <w:div w:id="609355391">
              <w:marLeft w:val="0"/>
              <w:marRight w:val="0"/>
              <w:marTop w:val="0"/>
              <w:marBottom w:val="0"/>
              <w:divBdr>
                <w:top w:val="none" w:sz="0" w:space="0" w:color="auto"/>
                <w:left w:val="none" w:sz="0" w:space="0" w:color="auto"/>
                <w:bottom w:val="none" w:sz="0" w:space="0" w:color="auto"/>
                <w:right w:val="none" w:sz="0" w:space="0" w:color="auto"/>
              </w:divBdr>
            </w:div>
            <w:div w:id="632636945">
              <w:marLeft w:val="0"/>
              <w:marRight w:val="0"/>
              <w:marTop w:val="0"/>
              <w:marBottom w:val="0"/>
              <w:divBdr>
                <w:top w:val="none" w:sz="0" w:space="0" w:color="auto"/>
                <w:left w:val="none" w:sz="0" w:space="0" w:color="auto"/>
                <w:bottom w:val="none" w:sz="0" w:space="0" w:color="auto"/>
                <w:right w:val="none" w:sz="0" w:space="0" w:color="auto"/>
              </w:divBdr>
            </w:div>
            <w:div w:id="870338851">
              <w:marLeft w:val="0"/>
              <w:marRight w:val="0"/>
              <w:marTop w:val="0"/>
              <w:marBottom w:val="0"/>
              <w:divBdr>
                <w:top w:val="none" w:sz="0" w:space="0" w:color="auto"/>
                <w:left w:val="none" w:sz="0" w:space="0" w:color="auto"/>
                <w:bottom w:val="none" w:sz="0" w:space="0" w:color="auto"/>
                <w:right w:val="none" w:sz="0" w:space="0" w:color="auto"/>
              </w:divBdr>
            </w:div>
            <w:div w:id="1089427349">
              <w:marLeft w:val="0"/>
              <w:marRight w:val="0"/>
              <w:marTop w:val="0"/>
              <w:marBottom w:val="0"/>
              <w:divBdr>
                <w:top w:val="none" w:sz="0" w:space="0" w:color="auto"/>
                <w:left w:val="none" w:sz="0" w:space="0" w:color="auto"/>
                <w:bottom w:val="none" w:sz="0" w:space="0" w:color="auto"/>
                <w:right w:val="none" w:sz="0" w:space="0" w:color="auto"/>
              </w:divBdr>
            </w:div>
            <w:div w:id="14946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7319">
      <w:bodyDiv w:val="1"/>
      <w:marLeft w:val="0"/>
      <w:marRight w:val="0"/>
      <w:marTop w:val="0"/>
      <w:marBottom w:val="0"/>
      <w:divBdr>
        <w:top w:val="none" w:sz="0" w:space="0" w:color="auto"/>
        <w:left w:val="none" w:sz="0" w:space="0" w:color="auto"/>
        <w:bottom w:val="none" w:sz="0" w:space="0" w:color="auto"/>
        <w:right w:val="none" w:sz="0" w:space="0" w:color="auto"/>
      </w:divBdr>
      <w:divsChild>
        <w:div w:id="551885410">
          <w:marLeft w:val="0"/>
          <w:marRight w:val="0"/>
          <w:marTop w:val="0"/>
          <w:marBottom w:val="0"/>
          <w:divBdr>
            <w:top w:val="none" w:sz="0" w:space="0" w:color="auto"/>
            <w:left w:val="none" w:sz="0" w:space="0" w:color="auto"/>
            <w:bottom w:val="none" w:sz="0" w:space="0" w:color="auto"/>
            <w:right w:val="none" w:sz="0" w:space="0" w:color="auto"/>
          </w:divBdr>
          <w:divsChild>
            <w:div w:id="13558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216">
      <w:bodyDiv w:val="1"/>
      <w:marLeft w:val="0"/>
      <w:marRight w:val="0"/>
      <w:marTop w:val="0"/>
      <w:marBottom w:val="0"/>
      <w:divBdr>
        <w:top w:val="none" w:sz="0" w:space="0" w:color="auto"/>
        <w:left w:val="none" w:sz="0" w:space="0" w:color="auto"/>
        <w:bottom w:val="none" w:sz="0" w:space="0" w:color="auto"/>
        <w:right w:val="none" w:sz="0" w:space="0" w:color="auto"/>
      </w:divBdr>
      <w:divsChild>
        <w:div w:id="309988011">
          <w:marLeft w:val="0"/>
          <w:marRight w:val="0"/>
          <w:marTop w:val="0"/>
          <w:marBottom w:val="0"/>
          <w:divBdr>
            <w:top w:val="none" w:sz="0" w:space="0" w:color="auto"/>
            <w:left w:val="none" w:sz="0" w:space="0" w:color="auto"/>
            <w:bottom w:val="none" w:sz="0" w:space="0" w:color="auto"/>
            <w:right w:val="none" w:sz="0" w:space="0" w:color="auto"/>
          </w:divBdr>
        </w:div>
      </w:divsChild>
    </w:div>
    <w:div w:id="1019350933">
      <w:bodyDiv w:val="1"/>
      <w:marLeft w:val="0"/>
      <w:marRight w:val="0"/>
      <w:marTop w:val="0"/>
      <w:marBottom w:val="0"/>
      <w:divBdr>
        <w:top w:val="none" w:sz="0" w:space="0" w:color="auto"/>
        <w:left w:val="none" w:sz="0" w:space="0" w:color="auto"/>
        <w:bottom w:val="none" w:sz="0" w:space="0" w:color="auto"/>
        <w:right w:val="none" w:sz="0" w:space="0" w:color="auto"/>
      </w:divBdr>
      <w:divsChild>
        <w:div w:id="1620381725">
          <w:marLeft w:val="0"/>
          <w:marRight w:val="1"/>
          <w:marTop w:val="0"/>
          <w:marBottom w:val="0"/>
          <w:divBdr>
            <w:top w:val="none" w:sz="0" w:space="0" w:color="auto"/>
            <w:left w:val="none" w:sz="0" w:space="0" w:color="auto"/>
            <w:bottom w:val="none" w:sz="0" w:space="0" w:color="auto"/>
            <w:right w:val="none" w:sz="0" w:space="0" w:color="auto"/>
          </w:divBdr>
          <w:divsChild>
            <w:div w:id="139153933">
              <w:marLeft w:val="0"/>
              <w:marRight w:val="0"/>
              <w:marTop w:val="0"/>
              <w:marBottom w:val="0"/>
              <w:divBdr>
                <w:top w:val="none" w:sz="0" w:space="0" w:color="auto"/>
                <w:left w:val="none" w:sz="0" w:space="0" w:color="auto"/>
                <w:bottom w:val="none" w:sz="0" w:space="0" w:color="auto"/>
                <w:right w:val="none" w:sz="0" w:space="0" w:color="auto"/>
              </w:divBdr>
              <w:divsChild>
                <w:div w:id="2141267083">
                  <w:marLeft w:val="0"/>
                  <w:marRight w:val="1"/>
                  <w:marTop w:val="0"/>
                  <w:marBottom w:val="0"/>
                  <w:divBdr>
                    <w:top w:val="none" w:sz="0" w:space="0" w:color="auto"/>
                    <w:left w:val="none" w:sz="0" w:space="0" w:color="auto"/>
                    <w:bottom w:val="none" w:sz="0" w:space="0" w:color="auto"/>
                    <w:right w:val="none" w:sz="0" w:space="0" w:color="auto"/>
                  </w:divBdr>
                  <w:divsChild>
                    <w:div w:id="2132553624">
                      <w:marLeft w:val="0"/>
                      <w:marRight w:val="0"/>
                      <w:marTop w:val="0"/>
                      <w:marBottom w:val="0"/>
                      <w:divBdr>
                        <w:top w:val="none" w:sz="0" w:space="0" w:color="auto"/>
                        <w:left w:val="none" w:sz="0" w:space="0" w:color="auto"/>
                        <w:bottom w:val="none" w:sz="0" w:space="0" w:color="auto"/>
                        <w:right w:val="none" w:sz="0" w:space="0" w:color="auto"/>
                      </w:divBdr>
                      <w:divsChild>
                        <w:div w:id="1178039267">
                          <w:marLeft w:val="0"/>
                          <w:marRight w:val="0"/>
                          <w:marTop w:val="0"/>
                          <w:marBottom w:val="0"/>
                          <w:divBdr>
                            <w:top w:val="none" w:sz="0" w:space="0" w:color="auto"/>
                            <w:left w:val="none" w:sz="0" w:space="0" w:color="auto"/>
                            <w:bottom w:val="none" w:sz="0" w:space="0" w:color="auto"/>
                            <w:right w:val="none" w:sz="0" w:space="0" w:color="auto"/>
                          </w:divBdr>
                          <w:divsChild>
                            <w:div w:id="421756091">
                              <w:marLeft w:val="0"/>
                              <w:marRight w:val="0"/>
                              <w:marTop w:val="120"/>
                              <w:marBottom w:val="360"/>
                              <w:divBdr>
                                <w:top w:val="none" w:sz="0" w:space="0" w:color="auto"/>
                                <w:left w:val="none" w:sz="0" w:space="0" w:color="auto"/>
                                <w:bottom w:val="none" w:sz="0" w:space="0" w:color="auto"/>
                                <w:right w:val="none" w:sz="0" w:space="0" w:color="auto"/>
                              </w:divBdr>
                              <w:divsChild>
                                <w:div w:id="1234779348">
                                  <w:marLeft w:val="0"/>
                                  <w:marRight w:val="0"/>
                                  <w:marTop w:val="0"/>
                                  <w:marBottom w:val="0"/>
                                  <w:divBdr>
                                    <w:top w:val="none" w:sz="0" w:space="0" w:color="auto"/>
                                    <w:left w:val="none" w:sz="0" w:space="0" w:color="auto"/>
                                    <w:bottom w:val="none" w:sz="0" w:space="0" w:color="auto"/>
                                    <w:right w:val="none" w:sz="0" w:space="0" w:color="auto"/>
                                  </w:divBdr>
                                  <w:divsChild>
                                    <w:div w:id="363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225148">
      <w:bodyDiv w:val="1"/>
      <w:marLeft w:val="0"/>
      <w:marRight w:val="0"/>
      <w:marTop w:val="0"/>
      <w:marBottom w:val="0"/>
      <w:divBdr>
        <w:top w:val="none" w:sz="0" w:space="0" w:color="auto"/>
        <w:left w:val="none" w:sz="0" w:space="0" w:color="auto"/>
        <w:bottom w:val="none" w:sz="0" w:space="0" w:color="auto"/>
        <w:right w:val="none" w:sz="0" w:space="0" w:color="auto"/>
      </w:divBdr>
      <w:divsChild>
        <w:div w:id="1214926365">
          <w:marLeft w:val="0"/>
          <w:marRight w:val="0"/>
          <w:marTop w:val="0"/>
          <w:marBottom w:val="0"/>
          <w:divBdr>
            <w:top w:val="none" w:sz="0" w:space="0" w:color="auto"/>
            <w:left w:val="none" w:sz="0" w:space="0" w:color="auto"/>
            <w:bottom w:val="none" w:sz="0" w:space="0" w:color="auto"/>
            <w:right w:val="none" w:sz="0" w:space="0" w:color="auto"/>
          </w:divBdr>
        </w:div>
      </w:divsChild>
    </w:div>
    <w:div w:id="1151023260">
      <w:bodyDiv w:val="1"/>
      <w:marLeft w:val="0"/>
      <w:marRight w:val="0"/>
      <w:marTop w:val="0"/>
      <w:marBottom w:val="0"/>
      <w:divBdr>
        <w:top w:val="none" w:sz="0" w:space="0" w:color="auto"/>
        <w:left w:val="none" w:sz="0" w:space="0" w:color="auto"/>
        <w:bottom w:val="none" w:sz="0" w:space="0" w:color="auto"/>
        <w:right w:val="none" w:sz="0" w:space="0" w:color="auto"/>
      </w:divBdr>
      <w:divsChild>
        <w:div w:id="584459792">
          <w:marLeft w:val="0"/>
          <w:marRight w:val="0"/>
          <w:marTop w:val="0"/>
          <w:marBottom w:val="0"/>
          <w:divBdr>
            <w:top w:val="none" w:sz="0" w:space="0" w:color="auto"/>
            <w:left w:val="none" w:sz="0" w:space="0" w:color="auto"/>
            <w:bottom w:val="none" w:sz="0" w:space="0" w:color="auto"/>
            <w:right w:val="none" w:sz="0" w:space="0" w:color="auto"/>
          </w:divBdr>
        </w:div>
      </w:divsChild>
    </w:div>
    <w:div w:id="1196964545">
      <w:bodyDiv w:val="1"/>
      <w:marLeft w:val="0"/>
      <w:marRight w:val="0"/>
      <w:marTop w:val="0"/>
      <w:marBottom w:val="0"/>
      <w:divBdr>
        <w:top w:val="none" w:sz="0" w:space="0" w:color="auto"/>
        <w:left w:val="none" w:sz="0" w:space="0" w:color="auto"/>
        <w:bottom w:val="none" w:sz="0" w:space="0" w:color="auto"/>
        <w:right w:val="none" w:sz="0" w:space="0" w:color="auto"/>
      </w:divBdr>
    </w:div>
    <w:div w:id="1284729552">
      <w:bodyDiv w:val="1"/>
      <w:marLeft w:val="0"/>
      <w:marRight w:val="0"/>
      <w:marTop w:val="0"/>
      <w:marBottom w:val="0"/>
      <w:divBdr>
        <w:top w:val="none" w:sz="0" w:space="0" w:color="auto"/>
        <w:left w:val="none" w:sz="0" w:space="0" w:color="auto"/>
        <w:bottom w:val="none" w:sz="0" w:space="0" w:color="auto"/>
        <w:right w:val="none" w:sz="0" w:space="0" w:color="auto"/>
      </w:divBdr>
      <w:divsChild>
        <w:div w:id="2056808867">
          <w:marLeft w:val="0"/>
          <w:marRight w:val="0"/>
          <w:marTop w:val="0"/>
          <w:marBottom w:val="0"/>
          <w:divBdr>
            <w:top w:val="none" w:sz="0" w:space="0" w:color="auto"/>
            <w:left w:val="none" w:sz="0" w:space="0" w:color="auto"/>
            <w:bottom w:val="none" w:sz="0" w:space="0" w:color="auto"/>
            <w:right w:val="none" w:sz="0" w:space="0" w:color="auto"/>
          </w:divBdr>
        </w:div>
      </w:divsChild>
    </w:div>
    <w:div w:id="1298872991">
      <w:bodyDiv w:val="1"/>
      <w:marLeft w:val="0"/>
      <w:marRight w:val="0"/>
      <w:marTop w:val="0"/>
      <w:marBottom w:val="0"/>
      <w:divBdr>
        <w:top w:val="none" w:sz="0" w:space="0" w:color="auto"/>
        <w:left w:val="none" w:sz="0" w:space="0" w:color="auto"/>
        <w:bottom w:val="none" w:sz="0" w:space="0" w:color="auto"/>
        <w:right w:val="none" w:sz="0" w:space="0" w:color="auto"/>
      </w:divBdr>
      <w:divsChild>
        <w:div w:id="965283096">
          <w:marLeft w:val="0"/>
          <w:marRight w:val="0"/>
          <w:marTop w:val="0"/>
          <w:marBottom w:val="0"/>
          <w:divBdr>
            <w:top w:val="none" w:sz="0" w:space="0" w:color="auto"/>
            <w:left w:val="none" w:sz="0" w:space="0" w:color="auto"/>
            <w:bottom w:val="none" w:sz="0" w:space="0" w:color="auto"/>
            <w:right w:val="none" w:sz="0" w:space="0" w:color="auto"/>
          </w:divBdr>
        </w:div>
      </w:divsChild>
    </w:div>
    <w:div w:id="1319531033">
      <w:bodyDiv w:val="1"/>
      <w:marLeft w:val="0"/>
      <w:marRight w:val="0"/>
      <w:marTop w:val="0"/>
      <w:marBottom w:val="0"/>
      <w:divBdr>
        <w:top w:val="none" w:sz="0" w:space="0" w:color="auto"/>
        <w:left w:val="none" w:sz="0" w:space="0" w:color="auto"/>
        <w:bottom w:val="none" w:sz="0" w:space="0" w:color="auto"/>
        <w:right w:val="none" w:sz="0" w:space="0" w:color="auto"/>
      </w:divBdr>
      <w:divsChild>
        <w:div w:id="671449075">
          <w:marLeft w:val="0"/>
          <w:marRight w:val="0"/>
          <w:marTop w:val="0"/>
          <w:marBottom w:val="0"/>
          <w:divBdr>
            <w:top w:val="none" w:sz="0" w:space="0" w:color="auto"/>
            <w:left w:val="none" w:sz="0" w:space="0" w:color="auto"/>
            <w:bottom w:val="none" w:sz="0" w:space="0" w:color="auto"/>
            <w:right w:val="none" w:sz="0" w:space="0" w:color="auto"/>
          </w:divBdr>
          <w:divsChild>
            <w:div w:id="334574773">
              <w:marLeft w:val="0"/>
              <w:marRight w:val="0"/>
              <w:marTop w:val="0"/>
              <w:marBottom w:val="0"/>
              <w:divBdr>
                <w:top w:val="none" w:sz="0" w:space="0" w:color="auto"/>
                <w:left w:val="none" w:sz="0" w:space="0" w:color="auto"/>
                <w:bottom w:val="none" w:sz="0" w:space="0" w:color="auto"/>
                <w:right w:val="none" w:sz="0" w:space="0" w:color="auto"/>
              </w:divBdr>
            </w:div>
            <w:div w:id="415440236">
              <w:marLeft w:val="0"/>
              <w:marRight w:val="0"/>
              <w:marTop w:val="0"/>
              <w:marBottom w:val="0"/>
              <w:divBdr>
                <w:top w:val="none" w:sz="0" w:space="0" w:color="auto"/>
                <w:left w:val="none" w:sz="0" w:space="0" w:color="auto"/>
                <w:bottom w:val="none" w:sz="0" w:space="0" w:color="auto"/>
                <w:right w:val="none" w:sz="0" w:space="0" w:color="auto"/>
              </w:divBdr>
            </w:div>
            <w:div w:id="896630393">
              <w:marLeft w:val="0"/>
              <w:marRight w:val="0"/>
              <w:marTop w:val="0"/>
              <w:marBottom w:val="0"/>
              <w:divBdr>
                <w:top w:val="none" w:sz="0" w:space="0" w:color="auto"/>
                <w:left w:val="none" w:sz="0" w:space="0" w:color="auto"/>
                <w:bottom w:val="none" w:sz="0" w:space="0" w:color="auto"/>
                <w:right w:val="none" w:sz="0" w:space="0" w:color="auto"/>
              </w:divBdr>
            </w:div>
            <w:div w:id="1518807661">
              <w:marLeft w:val="0"/>
              <w:marRight w:val="0"/>
              <w:marTop w:val="0"/>
              <w:marBottom w:val="0"/>
              <w:divBdr>
                <w:top w:val="none" w:sz="0" w:space="0" w:color="auto"/>
                <w:left w:val="none" w:sz="0" w:space="0" w:color="auto"/>
                <w:bottom w:val="none" w:sz="0" w:space="0" w:color="auto"/>
                <w:right w:val="none" w:sz="0" w:space="0" w:color="auto"/>
              </w:divBdr>
            </w:div>
            <w:div w:id="18349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5306">
      <w:bodyDiv w:val="1"/>
      <w:marLeft w:val="0"/>
      <w:marRight w:val="0"/>
      <w:marTop w:val="0"/>
      <w:marBottom w:val="0"/>
      <w:divBdr>
        <w:top w:val="none" w:sz="0" w:space="0" w:color="auto"/>
        <w:left w:val="none" w:sz="0" w:space="0" w:color="auto"/>
        <w:bottom w:val="none" w:sz="0" w:space="0" w:color="auto"/>
        <w:right w:val="none" w:sz="0" w:space="0" w:color="auto"/>
      </w:divBdr>
      <w:divsChild>
        <w:div w:id="932931196">
          <w:marLeft w:val="0"/>
          <w:marRight w:val="0"/>
          <w:marTop w:val="0"/>
          <w:marBottom w:val="0"/>
          <w:divBdr>
            <w:top w:val="none" w:sz="0" w:space="0" w:color="auto"/>
            <w:left w:val="none" w:sz="0" w:space="0" w:color="auto"/>
            <w:bottom w:val="none" w:sz="0" w:space="0" w:color="auto"/>
            <w:right w:val="none" w:sz="0" w:space="0" w:color="auto"/>
          </w:divBdr>
        </w:div>
      </w:divsChild>
    </w:div>
    <w:div w:id="1349063131">
      <w:bodyDiv w:val="1"/>
      <w:marLeft w:val="0"/>
      <w:marRight w:val="0"/>
      <w:marTop w:val="0"/>
      <w:marBottom w:val="0"/>
      <w:divBdr>
        <w:top w:val="none" w:sz="0" w:space="0" w:color="auto"/>
        <w:left w:val="none" w:sz="0" w:space="0" w:color="auto"/>
        <w:bottom w:val="none" w:sz="0" w:space="0" w:color="auto"/>
        <w:right w:val="none" w:sz="0" w:space="0" w:color="auto"/>
      </w:divBdr>
      <w:divsChild>
        <w:div w:id="573399749">
          <w:marLeft w:val="0"/>
          <w:marRight w:val="0"/>
          <w:marTop w:val="0"/>
          <w:marBottom w:val="0"/>
          <w:divBdr>
            <w:top w:val="none" w:sz="0" w:space="0" w:color="auto"/>
            <w:left w:val="none" w:sz="0" w:space="0" w:color="auto"/>
            <w:bottom w:val="none" w:sz="0" w:space="0" w:color="auto"/>
            <w:right w:val="none" w:sz="0" w:space="0" w:color="auto"/>
          </w:divBdr>
        </w:div>
      </w:divsChild>
    </w:div>
    <w:div w:id="1364482177">
      <w:bodyDiv w:val="1"/>
      <w:marLeft w:val="0"/>
      <w:marRight w:val="0"/>
      <w:marTop w:val="0"/>
      <w:marBottom w:val="0"/>
      <w:divBdr>
        <w:top w:val="none" w:sz="0" w:space="0" w:color="auto"/>
        <w:left w:val="none" w:sz="0" w:space="0" w:color="auto"/>
        <w:bottom w:val="none" w:sz="0" w:space="0" w:color="auto"/>
        <w:right w:val="none" w:sz="0" w:space="0" w:color="auto"/>
      </w:divBdr>
      <w:divsChild>
        <w:div w:id="1000739276">
          <w:marLeft w:val="0"/>
          <w:marRight w:val="0"/>
          <w:marTop w:val="0"/>
          <w:marBottom w:val="0"/>
          <w:divBdr>
            <w:top w:val="none" w:sz="0" w:space="0" w:color="auto"/>
            <w:left w:val="none" w:sz="0" w:space="0" w:color="auto"/>
            <w:bottom w:val="none" w:sz="0" w:space="0" w:color="auto"/>
            <w:right w:val="none" w:sz="0" w:space="0" w:color="auto"/>
          </w:divBdr>
        </w:div>
      </w:divsChild>
    </w:div>
    <w:div w:id="1368676903">
      <w:bodyDiv w:val="1"/>
      <w:marLeft w:val="0"/>
      <w:marRight w:val="0"/>
      <w:marTop w:val="0"/>
      <w:marBottom w:val="0"/>
      <w:divBdr>
        <w:top w:val="none" w:sz="0" w:space="0" w:color="auto"/>
        <w:left w:val="none" w:sz="0" w:space="0" w:color="auto"/>
        <w:bottom w:val="none" w:sz="0" w:space="0" w:color="auto"/>
        <w:right w:val="none" w:sz="0" w:space="0" w:color="auto"/>
      </w:divBdr>
      <w:divsChild>
        <w:div w:id="628363527">
          <w:marLeft w:val="0"/>
          <w:marRight w:val="0"/>
          <w:marTop w:val="0"/>
          <w:marBottom w:val="0"/>
          <w:divBdr>
            <w:top w:val="none" w:sz="0" w:space="0" w:color="auto"/>
            <w:left w:val="none" w:sz="0" w:space="0" w:color="auto"/>
            <w:bottom w:val="none" w:sz="0" w:space="0" w:color="auto"/>
            <w:right w:val="none" w:sz="0" w:space="0" w:color="auto"/>
          </w:divBdr>
          <w:divsChild>
            <w:div w:id="787510169">
              <w:marLeft w:val="0"/>
              <w:marRight w:val="0"/>
              <w:marTop w:val="0"/>
              <w:marBottom w:val="0"/>
              <w:divBdr>
                <w:top w:val="none" w:sz="0" w:space="0" w:color="auto"/>
                <w:left w:val="none" w:sz="0" w:space="0" w:color="auto"/>
                <w:bottom w:val="none" w:sz="0" w:space="0" w:color="auto"/>
                <w:right w:val="none" w:sz="0" w:space="0" w:color="auto"/>
              </w:divBdr>
            </w:div>
            <w:div w:id="937756233">
              <w:marLeft w:val="0"/>
              <w:marRight w:val="0"/>
              <w:marTop w:val="0"/>
              <w:marBottom w:val="0"/>
              <w:divBdr>
                <w:top w:val="none" w:sz="0" w:space="0" w:color="auto"/>
                <w:left w:val="none" w:sz="0" w:space="0" w:color="auto"/>
                <w:bottom w:val="none" w:sz="0" w:space="0" w:color="auto"/>
                <w:right w:val="none" w:sz="0" w:space="0" w:color="auto"/>
              </w:divBdr>
            </w:div>
            <w:div w:id="1674641911">
              <w:marLeft w:val="0"/>
              <w:marRight w:val="0"/>
              <w:marTop w:val="0"/>
              <w:marBottom w:val="0"/>
              <w:divBdr>
                <w:top w:val="none" w:sz="0" w:space="0" w:color="auto"/>
                <w:left w:val="none" w:sz="0" w:space="0" w:color="auto"/>
                <w:bottom w:val="none" w:sz="0" w:space="0" w:color="auto"/>
                <w:right w:val="none" w:sz="0" w:space="0" w:color="auto"/>
              </w:divBdr>
            </w:div>
            <w:div w:id="1743602912">
              <w:marLeft w:val="0"/>
              <w:marRight w:val="0"/>
              <w:marTop w:val="0"/>
              <w:marBottom w:val="0"/>
              <w:divBdr>
                <w:top w:val="none" w:sz="0" w:space="0" w:color="auto"/>
                <w:left w:val="none" w:sz="0" w:space="0" w:color="auto"/>
                <w:bottom w:val="none" w:sz="0" w:space="0" w:color="auto"/>
                <w:right w:val="none" w:sz="0" w:space="0" w:color="auto"/>
              </w:divBdr>
            </w:div>
            <w:div w:id="1901213721">
              <w:marLeft w:val="0"/>
              <w:marRight w:val="0"/>
              <w:marTop w:val="0"/>
              <w:marBottom w:val="0"/>
              <w:divBdr>
                <w:top w:val="none" w:sz="0" w:space="0" w:color="auto"/>
                <w:left w:val="none" w:sz="0" w:space="0" w:color="auto"/>
                <w:bottom w:val="none" w:sz="0" w:space="0" w:color="auto"/>
                <w:right w:val="none" w:sz="0" w:space="0" w:color="auto"/>
              </w:divBdr>
            </w:div>
            <w:div w:id="1903831793">
              <w:marLeft w:val="0"/>
              <w:marRight w:val="0"/>
              <w:marTop w:val="0"/>
              <w:marBottom w:val="0"/>
              <w:divBdr>
                <w:top w:val="none" w:sz="0" w:space="0" w:color="auto"/>
                <w:left w:val="none" w:sz="0" w:space="0" w:color="auto"/>
                <w:bottom w:val="none" w:sz="0" w:space="0" w:color="auto"/>
                <w:right w:val="none" w:sz="0" w:space="0" w:color="auto"/>
              </w:divBdr>
            </w:div>
            <w:div w:id="1945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50583">
      <w:bodyDiv w:val="1"/>
      <w:marLeft w:val="0"/>
      <w:marRight w:val="0"/>
      <w:marTop w:val="0"/>
      <w:marBottom w:val="0"/>
      <w:divBdr>
        <w:top w:val="none" w:sz="0" w:space="0" w:color="auto"/>
        <w:left w:val="none" w:sz="0" w:space="0" w:color="auto"/>
        <w:bottom w:val="none" w:sz="0" w:space="0" w:color="auto"/>
        <w:right w:val="none" w:sz="0" w:space="0" w:color="auto"/>
      </w:divBdr>
    </w:div>
    <w:div w:id="1403716170">
      <w:bodyDiv w:val="1"/>
      <w:marLeft w:val="0"/>
      <w:marRight w:val="0"/>
      <w:marTop w:val="0"/>
      <w:marBottom w:val="0"/>
      <w:divBdr>
        <w:top w:val="none" w:sz="0" w:space="0" w:color="auto"/>
        <w:left w:val="none" w:sz="0" w:space="0" w:color="auto"/>
        <w:bottom w:val="none" w:sz="0" w:space="0" w:color="auto"/>
        <w:right w:val="none" w:sz="0" w:space="0" w:color="auto"/>
      </w:divBdr>
      <w:divsChild>
        <w:div w:id="574124335">
          <w:marLeft w:val="0"/>
          <w:marRight w:val="0"/>
          <w:marTop w:val="0"/>
          <w:marBottom w:val="0"/>
          <w:divBdr>
            <w:top w:val="none" w:sz="0" w:space="0" w:color="auto"/>
            <w:left w:val="none" w:sz="0" w:space="0" w:color="auto"/>
            <w:bottom w:val="none" w:sz="0" w:space="0" w:color="auto"/>
            <w:right w:val="none" w:sz="0" w:space="0" w:color="auto"/>
          </w:divBdr>
          <w:divsChild>
            <w:div w:id="4527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8723">
      <w:bodyDiv w:val="1"/>
      <w:marLeft w:val="0"/>
      <w:marRight w:val="0"/>
      <w:marTop w:val="0"/>
      <w:marBottom w:val="0"/>
      <w:divBdr>
        <w:top w:val="none" w:sz="0" w:space="0" w:color="auto"/>
        <w:left w:val="none" w:sz="0" w:space="0" w:color="auto"/>
        <w:bottom w:val="none" w:sz="0" w:space="0" w:color="auto"/>
        <w:right w:val="none" w:sz="0" w:space="0" w:color="auto"/>
      </w:divBdr>
      <w:divsChild>
        <w:div w:id="1953710744">
          <w:marLeft w:val="0"/>
          <w:marRight w:val="1"/>
          <w:marTop w:val="0"/>
          <w:marBottom w:val="0"/>
          <w:divBdr>
            <w:top w:val="none" w:sz="0" w:space="0" w:color="auto"/>
            <w:left w:val="none" w:sz="0" w:space="0" w:color="auto"/>
            <w:bottom w:val="none" w:sz="0" w:space="0" w:color="auto"/>
            <w:right w:val="none" w:sz="0" w:space="0" w:color="auto"/>
          </w:divBdr>
          <w:divsChild>
            <w:div w:id="2142847020">
              <w:marLeft w:val="0"/>
              <w:marRight w:val="0"/>
              <w:marTop w:val="0"/>
              <w:marBottom w:val="0"/>
              <w:divBdr>
                <w:top w:val="none" w:sz="0" w:space="0" w:color="auto"/>
                <w:left w:val="none" w:sz="0" w:space="0" w:color="auto"/>
                <w:bottom w:val="none" w:sz="0" w:space="0" w:color="auto"/>
                <w:right w:val="none" w:sz="0" w:space="0" w:color="auto"/>
              </w:divBdr>
              <w:divsChild>
                <w:div w:id="1307390252">
                  <w:marLeft w:val="0"/>
                  <w:marRight w:val="1"/>
                  <w:marTop w:val="0"/>
                  <w:marBottom w:val="0"/>
                  <w:divBdr>
                    <w:top w:val="none" w:sz="0" w:space="0" w:color="auto"/>
                    <w:left w:val="none" w:sz="0" w:space="0" w:color="auto"/>
                    <w:bottom w:val="none" w:sz="0" w:space="0" w:color="auto"/>
                    <w:right w:val="none" w:sz="0" w:space="0" w:color="auto"/>
                  </w:divBdr>
                  <w:divsChild>
                    <w:div w:id="2079356181">
                      <w:marLeft w:val="0"/>
                      <w:marRight w:val="0"/>
                      <w:marTop w:val="0"/>
                      <w:marBottom w:val="0"/>
                      <w:divBdr>
                        <w:top w:val="none" w:sz="0" w:space="0" w:color="auto"/>
                        <w:left w:val="none" w:sz="0" w:space="0" w:color="auto"/>
                        <w:bottom w:val="none" w:sz="0" w:space="0" w:color="auto"/>
                        <w:right w:val="none" w:sz="0" w:space="0" w:color="auto"/>
                      </w:divBdr>
                      <w:divsChild>
                        <w:div w:id="739251822">
                          <w:marLeft w:val="0"/>
                          <w:marRight w:val="0"/>
                          <w:marTop w:val="0"/>
                          <w:marBottom w:val="0"/>
                          <w:divBdr>
                            <w:top w:val="none" w:sz="0" w:space="0" w:color="auto"/>
                            <w:left w:val="none" w:sz="0" w:space="0" w:color="auto"/>
                            <w:bottom w:val="none" w:sz="0" w:space="0" w:color="auto"/>
                            <w:right w:val="none" w:sz="0" w:space="0" w:color="auto"/>
                          </w:divBdr>
                          <w:divsChild>
                            <w:div w:id="1494951102">
                              <w:marLeft w:val="0"/>
                              <w:marRight w:val="0"/>
                              <w:marTop w:val="120"/>
                              <w:marBottom w:val="360"/>
                              <w:divBdr>
                                <w:top w:val="none" w:sz="0" w:space="0" w:color="auto"/>
                                <w:left w:val="none" w:sz="0" w:space="0" w:color="auto"/>
                                <w:bottom w:val="none" w:sz="0" w:space="0" w:color="auto"/>
                                <w:right w:val="none" w:sz="0" w:space="0" w:color="auto"/>
                              </w:divBdr>
                              <w:divsChild>
                                <w:div w:id="287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5229">
      <w:bodyDiv w:val="1"/>
      <w:marLeft w:val="0"/>
      <w:marRight w:val="0"/>
      <w:marTop w:val="0"/>
      <w:marBottom w:val="0"/>
      <w:divBdr>
        <w:top w:val="none" w:sz="0" w:space="0" w:color="auto"/>
        <w:left w:val="none" w:sz="0" w:space="0" w:color="auto"/>
        <w:bottom w:val="none" w:sz="0" w:space="0" w:color="auto"/>
        <w:right w:val="none" w:sz="0" w:space="0" w:color="auto"/>
      </w:divBdr>
      <w:divsChild>
        <w:div w:id="255792455">
          <w:marLeft w:val="0"/>
          <w:marRight w:val="0"/>
          <w:marTop w:val="0"/>
          <w:marBottom w:val="0"/>
          <w:divBdr>
            <w:top w:val="none" w:sz="0" w:space="0" w:color="auto"/>
            <w:left w:val="none" w:sz="0" w:space="0" w:color="auto"/>
            <w:bottom w:val="none" w:sz="0" w:space="0" w:color="auto"/>
            <w:right w:val="none" w:sz="0" w:space="0" w:color="auto"/>
          </w:divBdr>
          <w:divsChild>
            <w:div w:id="80571383">
              <w:marLeft w:val="0"/>
              <w:marRight w:val="0"/>
              <w:marTop w:val="0"/>
              <w:marBottom w:val="0"/>
              <w:divBdr>
                <w:top w:val="none" w:sz="0" w:space="0" w:color="auto"/>
                <w:left w:val="none" w:sz="0" w:space="0" w:color="auto"/>
                <w:bottom w:val="none" w:sz="0" w:space="0" w:color="auto"/>
                <w:right w:val="none" w:sz="0" w:space="0" w:color="auto"/>
              </w:divBdr>
            </w:div>
            <w:div w:id="170335215">
              <w:marLeft w:val="0"/>
              <w:marRight w:val="0"/>
              <w:marTop w:val="0"/>
              <w:marBottom w:val="0"/>
              <w:divBdr>
                <w:top w:val="none" w:sz="0" w:space="0" w:color="auto"/>
                <w:left w:val="none" w:sz="0" w:space="0" w:color="auto"/>
                <w:bottom w:val="none" w:sz="0" w:space="0" w:color="auto"/>
                <w:right w:val="none" w:sz="0" w:space="0" w:color="auto"/>
              </w:divBdr>
            </w:div>
            <w:div w:id="470901675">
              <w:marLeft w:val="0"/>
              <w:marRight w:val="0"/>
              <w:marTop w:val="0"/>
              <w:marBottom w:val="0"/>
              <w:divBdr>
                <w:top w:val="none" w:sz="0" w:space="0" w:color="auto"/>
                <w:left w:val="none" w:sz="0" w:space="0" w:color="auto"/>
                <w:bottom w:val="none" w:sz="0" w:space="0" w:color="auto"/>
                <w:right w:val="none" w:sz="0" w:space="0" w:color="auto"/>
              </w:divBdr>
            </w:div>
            <w:div w:id="476647254">
              <w:marLeft w:val="0"/>
              <w:marRight w:val="0"/>
              <w:marTop w:val="0"/>
              <w:marBottom w:val="0"/>
              <w:divBdr>
                <w:top w:val="none" w:sz="0" w:space="0" w:color="auto"/>
                <w:left w:val="none" w:sz="0" w:space="0" w:color="auto"/>
                <w:bottom w:val="none" w:sz="0" w:space="0" w:color="auto"/>
                <w:right w:val="none" w:sz="0" w:space="0" w:color="auto"/>
              </w:divBdr>
            </w:div>
            <w:div w:id="502280826">
              <w:marLeft w:val="0"/>
              <w:marRight w:val="0"/>
              <w:marTop w:val="0"/>
              <w:marBottom w:val="0"/>
              <w:divBdr>
                <w:top w:val="none" w:sz="0" w:space="0" w:color="auto"/>
                <w:left w:val="none" w:sz="0" w:space="0" w:color="auto"/>
                <w:bottom w:val="none" w:sz="0" w:space="0" w:color="auto"/>
                <w:right w:val="none" w:sz="0" w:space="0" w:color="auto"/>
              </w:divBdr>
            </w:div>
            <w:div w:id="832456960">
              <w:marLeft w:val="0"/>
              <w:marRight w:val="0"/>
              <w:marTop w:val="0"/>
              <w:marBottom w:val="0"/>
              <w:divBdr>
                <w:top w:val="none" w:sz="0" w:space="0" w:color="auto"/>
                <w:left w:val="none" w:sz="0" w:space="0" w:color="auto"/>
                <w:bottom w:val="none" w:sz="0" w:space="0" w:color="auto"/>
                <w:right w:val="none" w:sz="0" w:space="0" w:color="auto"/>
              </w:divBdr>
            </w:div>
            <w:div w:id="872959234">
              <w:marLeft w:val="0"/>
              <w:marRight w:val="0"/>
              <w:marTop w:val="0"/>
              <w:marBottom w:val="0"/>
              <w:divBdr>
                <w:top w:val="none" w:sz="0" w:space="0" w:color="auto"/>
                <w:left w:val="none" w:sz="0" w:space="0" w:color="auto"/>
                <w:bottom w:val="none" w:sz="0" w:space="0" w:color="auto"/>
                <w:right w:val="none" w:sz="0" w:space="0" w:color="auto"/>
              </w:divBdr>
            </w:div>
            <w:div w:id="895162136">
              <w:marLeft w:val="0"/>
              <w:marRight w:val="0"/>
              <w:marTop w:val="0"/>
              <w:marBottom w:val="0"/>
              <w:divBdr>
                <w:top w:val="none" w:sz="0" w:space="0" w:color="auto"/>
                <w:left w:val="none" w:sz="0" w:space="0" w:color="auto"/>
                <w:bottom w:val="none" w:sz="0" w:space="0" w:color="auto"/>
                <w:right w:val="none" w:sz="0" w:space="0" w:color="auto"/>
              </w:divBdr>
            </w:div>
            <w:div w:id="1022974517">
              <w:marLeft w:val="0"/>
              <w:marRight w:val="0"/>
              <w:marTop w:val="0"/>
              <w:marBottom w:val="0"/>
              <w:divBdr>
                <w:top w:val="none" w:sz="0" w:space="0" w:color="auto"/>
                <w:left w:val="none" w:sz="0" w:space="0" w:color="auto"/>
                <w:bottom w:val="none" w:sz="0" w:space="0" w:color="auto"/>
                <w:right w:val="none" w:sz="0" w:space="0" w:color="auto"/>
              </w:divBdr>
            </w:div>
            <w:div w:id="1091466928">
              <w:marLeft w:val="0"/>
              <w:marRight w:val="0"/>
              <w:marTop w:val="0"/>
              <w:marBottom w:val="0"/>
              <w:divBdr>
                <w:top w:val="none" w:sz="0" w:space="0" w:color="auto"/>
                <w:left w:val="none" w:sz="0" w:space="0" w:color="auto"/>
                <w:bottom w:val="none" w:sz="0" w:space="0" w:color="auto"/>
                <w:right w:val="none" w:sz="0" w:space="0" w:color="auto"/>
              </w:divBdr>
            </w:div>
            <w:div w:id="1198002532">
              <w:marLeft w:val="0"/>
              <w:marRight w:val="0"/>
              <w:marTop w:val="0"/>
              <w:marBottom w:val="0"/>
              <w:divBdr>
                <w:top w:val="none" w:sz="0" w:space="0" w:color="auto"/>
                <w:left w:val="none" w:sz="0" w:space="0" w:color="auto"/>
                <w:bottom w:val="none" w:sz="0" w:space="0" w:color="auto"/>
                <w:right w:val="none" w:sz="0" w:space="0" w:color="auto"/>
              </w:divBdr>
            </w:div>
            <w:div w:id="1582563587">
              <w:marLeft w:val="0"/>
              <w:marRight w:val="0"/>
              <w:marTop w:val="0"/>
              <w:marBottom w:val="0"/>
              <w:divBdr>
                <w:top w:val="none" w:sz="0" w:space="0" w:color="auto"/>
                <w:left w:val="none" w:sz="0" w:space="0" w:color="auto"/>
                <w:bottom w:val="none" w:sz="0" w:space="0" w:color="auto"/>
                <w:right w:val="none" w:sz="0" w:space="0" w:color="auto"/>
              </w:divBdr>
            </w:div>
            <w:div w:id="1657807097">
              <w:marLeft w:val="0"/>
              <w:marRight w:val="0"/>
              <w:marTop w:val="0"/>
              <w:marBottom w:val="0"/>
              <w:divBdr>
                <w:top w:val="none" w:sz="0" w:space="0" w:color="auto"/>
                <w:left w:val="none" w:sz="0" w:space="0" w:color="auto"/>
                <w:bottom w:val="none" w:sz="0" w:space="0" w:color="auto"/>
                <w:right w:val="none" w:sz="0" w:space="0" w:color="auto"/>
              </w:divBdr>
            </w:div>
            <w:div w:id="1763529431">
              <w:marLeft w:val="0"/>
              <w:marRight w:val="0"/>
              <w:marTop w:val="0"/>
              <w:marBottom w:val="0"/>
              <w:divBdr>
                <w:top w:val="none" w:sz="0" w:space="0" w:color="auto"/>
                <w:left w:val="none" w:sz="0" w:space="0" w:color="auto"/>
                <w:bottom w:val="none" w:sz="0" w:space="0" w:color="auto"/>
                <w:right w:val="none" w:sz="0" w:space="0" w:color="auto"/>
              </w:divBdr>
            </w:div>
            <w:div w:id="178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644">
      <w:bodyDiv w:val="1"/>
      <w:marLeft w:val="0"/>
      <w:marRight w:val="0"/>
      <w:marTop w:val="0"/>
      <w:marBottom w:val="0"/>
      <w:divBdr>
        <w:top w:val="none" w:sz="0" w:space="0" w:color="auto"/>
        <w:left w:val="none" w:sz="0" w:space="0" w:color="auto"/>
        <w:bottom w:val="none" w:sz="0" w:space="0" w:color="auto"/>
        <w:right w:val="none" w:sz="0" w:space="0" w:color="auto"/>
      </w:divBdr>
      <w:divsChild>
        <w:div w:id="387609577">
          <w:marLeft w:val="0"/>
          <w:marRight w:val="0"/>
          <w:marTop w:val="0"/>
          <w:marBottom w:val="0"/>
          <w:divBdr>
            <w:top w:val="none" w:sz="0" w:space="0" w:color="auto"/>
            <w:left w:val="none" w:sz="0" w:space="0" w:color="auto"/>
            <w:bottom w:val="none" w:sz="0" w:space="0" w:color="auto"/>
            <w:right w:val="none" w:sz="0" w:space="0" w:color="auto"/>
          </w:divBdr>
        </w:div>
      </w:divsChild>
    </w:div>
    <w:div w:id="1548028092">
      <w:bodyDiv w:val="1"/>
      <w:marLeft w:val="0"/>
      <w:marRight w:val="0"/>
      <w:marTop w:val="0"/>
      <w:marBottom w:val="0"/>
      <w:divBdr>
        <w:top w:val="none" w:sz="0" w:space="0" w:color="auto"/>
        <w:left w:val="none" w:sz="0" w:space="0" w:color="auto"/>
        <w:bottom w:val="none" w:sz="0" w:space="0" w:color="auto"/>
        <w:right w:val="none" w:sz="0" w:space="0" w:color="auto"/>
      </w:divBdr>
      <w:divsChild>
        <w:div w:id="30231052">
          <w:marLeft w:val="0"/>
          <w:marRight w:val="0"/>
          <w:marTop w:val="0"/>
          <w:marBottom w:val="0"/>
          <w:divBdr>
            <w:top w:val="none" w:sz="0" w:space="0" w:color="auto"/>
            <w:left w:val="none" w:sz="0" w:space="0" w:color="auto"/>
            <w:bottom w:val="none" w:sz="0" w:space="0" w:color="auto"/>
            <w:right w:val="none" w:sz="0" w:space="0" w:color="auto"/>
          </w:divBdr>
        </w:div>
      </w:divsChild>
    </w:div>
    <w:div w:id="1560164158">
      <w:bodyDiv w:val="1"/>
      <w:marLeft w:val="0"/>
      <w:marRight w:val="0"/>
      <w:marTop w:val="0"/>
      <w:marBottom w:val="0"/>
      <w:divBdr>
        <w:top w:val="none" w:sz="0" w:space="0" w:color="auto"/>
        <w:left w:val="none" w:sz="0" w:space="0" w:color="auto"/>
        <w:bottom w:val="none" w:sz="0" w:space="0" w:color="auto"/>
        <w:right w:val="none" w:sz="0" w:space="0" w:color="auto"/>
      </w:divBdr>
      <w:divsChild>
        <w:div w:id="31000929">
          <w:marLeft w:val="0"/>
          <w:marRight w:val="0"/>
          <w:marTop w:val="0"/>
          <w:marBottom w:val="0"/>
          <w:divBdr>
            <w:top w:val="none" w:sz="0" w:space="0" w:color="auto"/>
            <w:left w:val="none" w:sz="0" w:space="0" w:color="auto"/>
            <w:bottom w:val="none" w:sz="0" w:space="0" w:color="auto"/>
            <w:right w:val="none" w:sz="0" w:space="0" w:color="auto"/>
          </w:divBdr>
          <w:divsChild>
            <w:div w:id="199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9037">
      <w:bodyDiv w:val="1"/>
      <w:marLeft w:val="0"/>
      <w:marRight w:val="0"/>
      <w:marTop w:val="0"/>
      <w:marBottom w:val="0"/>
      <w:divBdr>
        <w:top w:val="none" w:sz="0" w:space="0" w:color="auto"/>
        <w:left w:val="none" w:sz="0" w:space="0" w:color="auto"/>
        <w:bottom w:val="none" w:sz="0" w:space="0" w:color="auto"/>
        <w:right w:val="none" w:sz="0" w:space="0" w:color="auto"/>
      </w:divBdr>
    </w:div>
    <w:div w:id="1636834145">
      <w:bodyDiv w:val="1"/>
      <w:marLeft w:val="0"/>
      <w:marRight w:val="0"/>
      <w:marTop w:val="0"/>
      <w:marBottom w:val="0"/>
      <w:divBdr>
        <w:top w:val="none" w:sz="0" w:space="0" w:color="auto"/>
        <w:left w:val="none" w:sz="0" w:space="0" w:color="auto"/>
        <w:bottom w:val="none" w:sz="0" w:space="0" w:color="auto"/>
        <w:right w:val="none" w:sz="0" w:space="0" w:color="auto"/>
      </w:divBdr>
      <w:divsChild>
        <w:div w:id="799415644">
          <w:marLeft w:val="0"/>
          <w:marRight w:val="0"/>
          <w:marTop w:val="0"/>
          <w:marBottom w:val="0"/>
          <w:divBdr>
            <w:top w:val="none" w:sz="0" w:space="0" w:color="auto"/>
            <w:left w:val="none" w:sz="0" w:space="0" w:color="auto"/>
            <w:bottom w:val="none" w:sz="0" w:space="0" w:color="auto"/>
            <w:right w:val="none" w:sz="0" w:space="0" w:color="auto"/>
          </w:divBdr>
        </w:div>
      </w:divsChild>
    </w:div>
    <w:div w:id="1662849105">
      <w:bodyDiv w:val="1"/>
      <w:marLeft w:val="0"/>
      <w:marRight w:val="0"/>
      <w:marTop w:val="0"/>
      <w:marBottom w:val="0"/>
      <w:divBdr>
        <w:top w:val="none" w:sz="0" w:space="0" w:color="auto"/>
        <w:left w:val="none" w:sz="0" w:space="0" w:color="auto"/>
        <w:bottom w:val="none" w:sz="0" w:space="0" w:color="auto"/>
        <w:right w:val="none" w:sz="0" w:space="0" w:color="auto"/>
      </w:divBdr>
      <w:divsChild>
        <w:div w:id="1727339187">
          <w:marLeft w:val="0"/>
          <w:marRight w:val="1"/>
          <w:marTop w:val="0"/>
          <w:marBottom w:val="0"/>
          <w:divBdr>
            <w:top w:val="none" w:sz="0" w:space="0" w:color="auto"/>
            <w:left w:val="none" w:sz="0" w:space="0" w:color="auto"/>
            <w:bottom w:val="none" w:sz="0" w:space="0" w:color="auto"/>
            <w:right w:val="none" w:sz="0" w:space="0" w:color="auto"/>
          </w:divBdr>
          <w:divsChild>
            <w:div w:id="1035154818">
              <w:marLeft w:val="0"/>
              <w:marRight w:val="0"/>
              <w:marTop w:val="0"/>
              <w:marBottom w:val="0"/>
              <w:divBdr>
                <w:top w:val="none" w:sz="0" w:space="0" w:color="auto"/>
                <w:left w:val="none" w:sz="0" w:space="0" w:color="auto"/>
                <w:bottom w:val="none" w:sz="0" w:space="0" w:color="auto"/>
                <w:right w:val="none" w:sz="0" w:space="0" w:color="auto"/>
              </w:divBdr>
              <w:divsChild>
                <w:div w:id="423762891">
                  <w:marLeft w:val="0"/>
                  <w:marRight w:val="1"/>
                  <w:marTop w:val="0"/>
                  <w:marBottom w:val="0"/>
                  <w:divBdr>
                    <w:top w:val="none" w:sz="0" w:space="0" w:color="auto"/>
                    <w:left w:val="none" w:sz="0" w:space="0" w:color="auto"/>
                    <w:bottom w:val="none" w:sz="0" w:space="0" w:color="auto"/>
                    <w:right w:val="none" w:sz="0" w:space="0" w:color="auto"/>
                  </w:divBdr>
                  <w:divsChild>
                    <w:div w:id="1256278949">
                      <w:marLeft w:val="0"/>
                      <w:marRight w:val="0"/>
                      <w:marTop w:val="0"/>
                      <w:marBottom w:val="0"/>
                      <w:divBdr>
                        <w:top w:val="none" w:sz="0" w:space="0" w:color="auto"/>
                        <w:left w:val="none" w:sz="0" w:space="0" w:color="auto"/>
                        <w:bottom w:val="none" w:sz="0" w:space="0" w:color="auto"/>
                        <w:right w:val="none" w:sz="0" w:space="0" w:color="auto"/>
                      </w:divBdr>
                      <w:divsChild>
                        <w:div w:id="227151491">
                          <w:marLeft w:val="0"/>
                          <w:marRight w:val="0"/>
                          <w:marTop w:val="0"/>
                          <w:marBottom w:val="0"/>
                          <w:divBdr>
                            <w:top w:val="none" w:sz="0" w:space="0" w:color="auto"/>
                            <w:left w:val="none" w:sz="0" w:space="0" w:color="auto"/>
                            <w:bottom w:val="none" w:sz="0" w:space="0" w:color="auto"/>
                            <w:right w:val="none" w:sz="0" w:space="0" w:color="auto"/>
                          </w:divBdr>
                          <w:divsChild>
                            <w:div w:id="1613122435">
                              <w:marLeft w:val="0"/>
                              <w:marRight w:val="0"/>
                              <w:marTop w:val="120"/>
                              <w:marBottom w:val="360"/>
                              <w:divBdr>
                                <w:top w:val="none" w:sz="0" w:space="0" w:color="auto"/>
                                <w:left w:val="none" w:sz="0" w:space="0" w:color="auto"/>
                                <w:bottom w:val="none" w:sz="0" w:space="0" w:color="auto"/>
                                <w:right w:val="none" w:sz="0" w:space="0" w:color="auto"/>
                              </w:divBdr>
                              <w:divsChild>
                                <w:div w:id="2001687727">
                                  <w:marLeft w:val="0"/>
                                  <w:marRight w:val="0"/>
                                  <w:marTop w:val="0"/>
                                  <w:marBottom w:val="0"/>
                                  <w:divBdr>
                                    <w:top w:val="none" w:sz="0" w:space="0" w:color="auto"/>
                                    <w:left w:val="none" w:sz="0" w:space="0" w:color="auto"/>
                                    <w:bottom w:val="none" w:sz="0" w:space="0" w:color="auto"/>
                                    <w:right w:val="none" w:sz="0" w:space="0" w:color="auto"/>
                                  </w:divBdr>
                                  <w:divsChild>
                                    <w:div w:id="15155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838572">
      <w:bodyDiv w:val="1"/>
      <w:marLeft w:val="0"/>
      <w:marRight w:val="0"/>
      <w:marTop w:val="0"/>
      <w:marBottom w:val="0"/>
      <w:divBdr>
        <w:top w:val="none" w:sz="0" w:space="0" w:color="auto"/>
        <w:left w:val="none" w:sz="0" w:space="0" w:color="auto"/>
        <w:bottom w:val="none" w:sz="0" w:space="0" w:color="auto"/>
        <w:right w:val="none" w:sz="0" w:space="0" w:color="auto"/>
      </w:divBdr>
      <w:divsChild>
        <w:div w:id="770206710">
          <w:marLeft w:val="0"/>
          <w:marRight w:val="0"/>
          <w:marTop w:val="0"/>
          <w:marBottom w:val="0"/>
          <w:divBdr>
            <w:top w:val="none" w:sz="0" w:space="0" w:color="auto"/>
            <w:left w:val="none" w:sz="0" w:space="0" w:color="auto"/>
            <w:bottom w:val="none" w:sz="0" w:space="0" w:color="auto"/>
            <w:right w:val="none" w:sz="0" w:space="0" w:color="auto"/>
          </w:divBdr>
          <w:divsChild>
            <w:div w:id="4945668">
              <w:marLeft w:val="0"/>
              <w:marRight w:val="0"/>
              <w:marTop w:val="0"/>
              <w:marBottom w:val="0"/>
              <w:divBdr>
                <w:top w:val="none" w:sz="0" w:space="0" w:color="auto"/>
                <w:left w:val="none" w:sz="0" w:space="0" w:color="auto"/>
                <w:bottom w:val="none" w:sz="0" w:space="0" w:color="auto"/>
                <w:right w:val="none" w:sz="0" w:space="0" w:color="auto"/>
              </w:divBdr>
            </w:div>
            <w:div w:id="116802245">
              <w:marLeft w:val="0"/>
              <w:marRight w:val="0"/>
              <w:marTop w:val="0"/>
              <w:marBottom w:val="0"/>
              <w:divBdr>
                <w:top w:val="none" w:sz="0" w:space="0" w:color="auto"/>
                <w:left w:val="none" w:sz="0" w:space="0" w:color="auto"/>
                <w:bottom w:val="none" w:sz="0" w:space="0" w:color="auto"/>
                <w:right w:val="none" w:sz="0" w:space="0" w:color="auto"/>
              </w:divBdr>
            </w:div>
            <w:div w:id="19491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3786">
      <w:bodyDiv w:val="1"/>
      <w:marLeft w:val="0"/>
      <w:marRight w:val="0"/>
      <w:marTop w:val="0"/>
      <w:marBottom w:val="0"/>
      <w:divBdr>
        <w:top w:val="none" w:sz="0" w:space="0" w:color="auto"/>
        <w:left w:val="none" w:sz="0" w:space="0" w:color="auto"/>
        <w:bottom w:val="none" w:sz="0" w:space="0" w:color="auto"/>
        <w:right w:val="none" w:sz="0" w:space="0" w:color="auto"/>
      </w:divBdr>
      <w:divsChild>
        <w:div w:id="1611666432">
          <w:marLeft w:val="0"/>
          <w:marRight w:val="0"/>
          <w:marTop w:val="0"/>
          <w:marBottom w:val="0"/>
          <w:divBdr>
            <w:top w:val="none" w:sz="0" w:space="0" w:color="auto"/>
            <w:left w:val="none" w:sz="0" w:space="0" w:color="auto"/>
            <w:bottom w:val="none" w:sz="0" w:space="0" w:color="auto"/>
            <w:right w:val="none" w:sz="0" w:space="0" w:color="auto"/>
          </w:divBdr>
        </w:div>
      </w:divsChild>
    </w:div>
    <w:div w:id="1707294990">
      <w:bodyDiv w:val="1"/>
      <w:marLeft w:val="0"/>
      <w:marRight w:val="0"/>
      <w:marTop w:val="0"/>
      <w:marBottom w:val="0"/>
      <w:divBdr>
        <w:top w:val="none" w:sz="0" w:space="0" w:color="auto"/>
        <w:left w:val="none" w:sz="0" w:space="0" w:color="auto"/>
        <w:bottom w:val="none" w:sz="0" w:space="0" w:color="auto"/>
        <w:right w:val="none" w:sz="0" w:space="0" w:color="auto"/>
      </w:divBdr>
      <w:divsChild>
        <w:div w:id="1362977998">
          <w:marLeft w:val="0"/>
          <w:marRight w:val="1"/>
          <w:marTop w:val="0"/>
          <w:marBottom w:val="0"/>
          <w:divBdr>
            <w:top w:val="none" w:sz="0" w:space="0" w:color="auto"/>
            <w:left w:val="none" w:sz="0" w:space="0" w:color="auto"/>
            <w:bottom w:val="none" w:sz="0" w:space="0" w:color="auto"/>
            <w:right w:val="none" w:sz="0" w:space="0" w:color="auto"/>
          </w:divBdr>
          <w:divsChild>
            <w:div w:id="202668883">
              <w:marLeft w:val="0"/>
              <w:marRight w:val="0"/>
              <w:marTop w:val="0"/>
              <w:marBottom w:val="0"/>
              <w:divBdr>
                <w:top w:val="none" w:sz="0" w:space="0" w:color="auto"/>
                <w:left w:val="none" w:sz="0" w:space="0" w:color="auto"/>
                <w:bottom w:val="none" w:sz="0" w:space="0" w:color="auto"/>
                <w:right w:val="none" w:sz="0" w:space="0" w:color="auto"/>
              </w:divBdr>
              <w:divsChild>
                <w:div w:id="905339517">
                  <w:marLeft w:val="0"/>
                  <w:marRight w:val="1"/>
                  <w:marTop w:val="0"/>
                  <w:marBottom w:val="0"/>
                  <w:divBdr>
                    <w:top w:val="none" w:sz="0" w:space="0" w:color="auto"/>
                    <w:left w:val="none" w:sz="0" w:space="0" w:color="auto"/>
                    <w:bottom w:val="none" w:sz="0" w:space="0" w:color="auto"/>
                    <w:right w:val="none" w:sz="0" w:space="0" w:color="auto"/>
                  </w:divBdr>
                  <w:divsChild>
                    <w:div w:id="1288851316">
                      <w:marLeft w:val="0"/>
                      <w:marRight w:val="0"/>
                      <w:marTop w:val="0"/>
                      <w:marBottom w:val="0"/>
                      <w:divBdr>
                        <w:top w:val="none" w:sz="0" w:space="0" w:color="auto"/>
                        <w:left w:val="none" w:sz="0" w:space="0" w:color="auto"/>
                        <w:bottom w:val="none" w:sz="0" w:space="0" w:color="auto"/>
                        <w:right w:val="none" w:sz="0" w:space="0" w:color="auto"/>
                      </w:divBdr>
                      <w:divsChild>
                        <w:div w:id="2072925008">
                          <w:marLeft w:val="0"/>
                          <w:marRight w:val="0"/>
                          <w:marTop w:val="0"/>
                          <w:marBottom w:val="0"/>
                          <w:divBdr>
                            <w:top w:val="none" w:sz="0" w:space="0" w:color="auto"/>
                            <w:left w:val="none" w:sz="0" w:space="0" w:color="auto"/>
                            <w:bottom w:val="none" w:sz="0" w:space="0" w:color="auto"/>
                            <w:right w:val="none" w:sz="0" w:space="0" w:color="auto"/>
                          </w:divBdr>
                          <w:divsChild>
                            <w:div w:id="1551648920">
                              <w:marLeft w:val="0"/>
                              <w:marRight w:val="0"/>
                              <w:marTop w:val="120"/>
                              <w:marBottom w:val="360"/>
                              <w:divBdr>
                                <w:top w:val="none" w:sz="0" w:space="0" w:color="auto"/>
                                <w:left w:val="none" w:sz="0" w:space="0" w:color="auto"/>
                                <w:bottom w:val="none" w:sz="0" w:space="0" w:color="auto"/>
                                <w:right w:val="none" w:sz="0" w:space="0" w:color="auto"/>
                              </w:divBdr>
                              <w:divsChild>
                                <w:div w:id="671878744">
                                  <w:marLeft w:val="0"/>
                                  <w:marRight w:val="0"/>
                                  <w:marTop w:val="0"/>
                                  <w:marBottom w:val="0"/>
                                  <w:divBdr>
                                    <w:top w:val="none" w:sz="0" w:space="0" w:color="auto"/>
                                    <w:left w:val="none" w:sz="0" w:space="0" w:color="auto"/>
                                    <w:bottom w:val="none" w:sz="0" w:space="0" w:color="auto"/>
                                    <w:right w:val="none" w:sz="0" w:space="0" w:color="auto"/>
                                  </w:divBdr>
                                  <w:divsChild>
                                    <w:div w:id="13273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124">
      <w:bodyDiv w:val="1"/>
      <w:marLeft w:val="0"/>
      <w:marRight w:val="0"/>
      <w:marTop w:val="0"/>
      <w:marBottom w:val="0"/>
      <w:divBdr>
        <w:top w:val="none" w:sz="0" w:space="0" w:color="auto"/>
        <w:left w:val="none" w:sz="0" w:space="0" w:color="auto"/>
        <w:bottom w:val="none" w:sz="0" w:space="0" w:color="auto"/>
        <w:right w:val="none" w:sz="0" w:space="0" w:color="auto"/>
      </w:divBdr>
      <w:divsChild>
        <w:div w:id="1176336218">
          <w:marLeft w:val="0"/>
          <w:marRight w:val="0"/>
          <w:marTop w:val="0"/>
          <w:marBottom w:val="0"/>
          <w:divBdr>
            <w:top w:val="none" w:sz="0" w:space="0" w:color="auto"/>
            <w:left w:val="none" w:sz="0" w:space="0" w:color="auto"/>
            <w:bottom w:val="none" w:sz="0" w:space="0" w:color="auto"/>
            <w:right w:val="none" w:sz="0" w:space="0" w:color="auto"/>
          </w:divBdr>
        </w:div>
      </w:divsChild>
    </w:div>
    <w:div w:id="1732341055">
      <w:bodyDiv w:val="1"/>
      <w:marLeft w:val="0"/>
      <w:marRight w:val="0"/>
      <w:marTop w:val="0"/>
      <w:marBottom w:val="0"/>
      <w:divBdr>
        <w:top w:val="none" w:sz="0" w:space="0" w:color="auto"/>
        <w:left w:val="none" w:sz="0" w:space="0" w:color="auto"/>
        <w:bottom w:val="none" w:sz="0" w:space="0" w:color="auto"/>
        <w:right w:val="none" w:sz="0" w:space="0" w:color="auto"/>
      </w:divBdr>
      <w:divsChild>
        <w:div w:id="1946880217">
          <w:marLeft w:val="0"/>
          <w:marRight w:val="0"/>
          <w:marTop w:val="0"/>
          <w:marBottom w:val="0"/>
          <w:divBdr>
            <w:top w:val="none" w:sz="0" w:space="0" w:color="auto"/>
            <w:left w:val="none" w:sz="0" w:space="0" w:color="auto"/>
            <w:bottom w:val="none" w:sz="0" w:space="0" w:color="auto"/>
            <w:right w:val="none" w:sz="0" w:space="0" w:color="auto"/>
          </w:divBdr>
          <w:divsChild>
            <w:div w:id="539321549">
              <w:marLeft w:val="0"/>
              <w:marRight w:val="0"/>
              <w:marTop w:val="0"/>
              <w:marBottom w:val="0"/>
              <w:divBdr>
                <w:top w:val="none" w:sz="0" w:space="0" w:color="auto"/>
                <w:left w:val="none" w:sz="0" w:space="0" w:color="auto"/>
                <w:bottom w:val="none" w:sz="0" w:space="0" w:color="auto"/>
                <w:right w:val="none" w:sz="0" w:space="0" w:color="auto"/>
              </w:divBdr>
            </w:div>
            <w:div w:id="675036164">
              <w:marLeft w:val="0"/>
              <w:marRight w:val="0"/>
              <w:marTop w:val="0"/>
              <w:marBottom w:val="0"/>
              <w:divBdr>
                <w:top w:val="none" w:sz="0" w:space="0" w:color="auto"/>
                <w:left w:val="none" w:sz="0" w:space="0" w:color="auto"/>
                <w:bottom w:val="none" w:sz="0" w:space="0" w:color="auto"/>
                <w:right w:val="none" w:sz="0" w:space="0" w:color="auto"/>
              </w:divBdr>
            </w:div>
            <w:div w:id="1151827125">
              <w:marLeft w:val="0"/>
              <w:marRight w:val="0"/>
              <w:marTop w:val="0"/>
              <w:marBottom w:val="0"/>
              <w:divBdr>
                <w:top w:val="none" w:sz="0" w:space="0" w:color="auto"/>
                <w:left w:val="none" w:sz="0" w:space="0" w:color="auto"/>
                <w:bottom w:val="none" w:sz="0" w:space="0" w:color="auto"/>
                <w:right w:val="none" w:sz="0" w:space="0" w:color="auto"/>
              </w:divBdr>
            </w:div>
            <w:div w:id="1322469932">
              <w:marLeft w:val="0"/>
              <w:marRight w:val="0"/>
              <w:marTop w:val="0"/>
              <w:marBottom w:val="0"/>
              <w:divBdr>
                <w:top w:val="none" w:sz="0" w:space="0" w:color="auto"/>
                <w:left w:val="none" w:sz="0" w:space="0" w:color="auto"/>
                <w:bottom w:val="none" w:sz="0" w:space="0" w:color="auto"/>
                <w:right w:val="none" w:sz="0" w:space="0" w:color="auto"/>
              </w:divBdr>
            </w:div>
            <w:div w:id="17001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46">
      <w:bodyDiv w:val="1"/>
      <w:marLeft w:val="0"/>
      <w:marRight w:val="0"/>
      <w:marTop w:val="0"/>
      <w:marBottom w:val="0"/>
      <w:divBdr>
        <w:top w:val="none" w:sz="0" w:space="0" w:color="auto"/>
        <w:left w:val="none" w:sz="0" w:space="0" w:color="auto"/>
        <w:bottom w:val="none" w:sz="0" w:space="0" w:color="auto"/>
        <w:right w:val="none" w:sz="0" w:space="0" w:color="auto"/>
      </w:divBdr>
      <w:divsChild>
        <w:div w:id="1638877235">
          <w:marLeft w:val="0"/>
          <w:marRight w:val="1"/>
          <w:marTop w:val="0"/>
          <w:marBottom w:val="0"/>
          <w:divBdr>
            <w:top w:val="none" w:sz="0" w:space="0" w:color="auto"/>
            <w:left w:val="none" w:sz="0" w:space="0" w:color="auto"/>
            <w:bottom w:val="none" w:sz="0" w:space="0" w:color="auto"/>
            <w:right w:val="none" w:sz="0" w:space="0" w:color="auto"/>
          </w:divBdr>
          <w:divsChild>
            <w:div w:id="1166480585">
              <w:marLeft w:val="0"/>
              <w:marRight w:val="0"/>
              <w:marTop w:val="0"/>
              <w:marBottom w:val="0"/>
              <w:divBdr>
                <w:top w:val="none" w:sz="0" w:space="0" w:color="auto"/>
                <w:left w:val="none" w:sz="0" w:space="0" w:color="auto"/>
                <w:bottom w:val="none" w:sz="0" w:space="0" w:color="auto"/>
                <w:right w:val="none" w:sz="0" w:space="0" w:color="auto"/>
              </w:divBdr>
              <w:divsChild>
                <w:div w:id="1275400969">
                  <w:marLeft w:val="0"/>
                  <w:marRight w:val="1"/>
                  <w:marTop w:val="0"/>
                  <w:marBottom w:val="0"/>
                  <w:divBdr>
                    <w:top w:val="none" w:sz="0" w:space="0" w:color="auto"/>
                    <w:left w:val="none" w:sz="0" w:space="0" w:color="auto"/>
                    <w:bottom w:val="none" w:sz="0" w:space="0" w:color="auto"/>
                    <w:right w:val="none" w:sz="0" w:space="0" w:color="auto"/>
                  </w:divBdr>
                  <w:divsChild>
                    <w:div w:id="1863282117">
                      <w:marLeft w:val="0"/>
                      <w:marRight w:val="0"/>
                      <w:marTop w:val="0"/>
                      <w:marBottom w:val="0"/>
                      <w:divBdr>
                        <w:top w:val="none" w:sz="0" w:space="0" w:color="auto"/>
                        <w:left w:val="none" w:sz="0" w:space="0" w:color="auto"/>
                        <w:bottom w:val="none" w:sz="0" w:space="0" w:color="auto"/>
                        <w:right w:val="none" w:sz="0" w:space="0" w:color="auto"/>
                      </w:divBdr>
                      <w:divsChild>
                        <w:div w:id="222833757">
                          <w:marLeft w:val="0"/>
                          <w:marRight w:val="0"/>
                          <w:marTop w:val="0"/>
                          <w:marBottom w:val="0"/>
                          <w:divBdr>
                            <w:top w:val="none" w:sz="0" w:space="0" w:color="auto"/>
                            <w:left w:val="none" w:sz="0" w:space="0" w:color="auto"/>
                            <w:bottom w:val="none" w:sz="0" w:space="0" w:color="auto"/>
                            <w:right w:val="none" w:sz="0" w:space="0" w:color="auto"/>
                          </w:divBdr>
                          <w:divsChild>
                            <w:div w:id="1361316091">
                              <w:marLeft w:val="0"/>
                              <w:marRight w:val="0"/>
                              <w:marTop w:val="120"/>
                              <w:marBottom w:val="360"/>
                              <w:divBdr>
                                <w:top w:val="none" w:sz="0" w:space="0" w:color="auto"/>
                                <w:left w:val="none" w:sz="0" w:space="0" w:color="auto"/>
                                <w:bottom w:val="none" w:sz="0" w:space="0" w:color="auto"/>
                                <w:right w:val="none" w:sz="0" w:space="0" w:color="auto"/>
                              </w:divBdr>
                              <w:divsChild>
                                <w:div w:id="147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44997">
      <w:bodyDiv w:val="1"/>
      <w:marLeft w:val="0"/>
      <w:marRight w:val="0"/>
      <w:marTop w:val="0"/>
      <w:marBottom w:val="0"/>
      <w:divBdr>
        <w:top w:val="none" w:sz="0" w:space="0" w:color="auto"/>
        <w:left w:val="none" w:sz="0" w:space="0" w:color="auto"/>
        <w:bottom w:val="none" w:sz="0" w:space="0" w:color="auto"/>
        <w:right w:val="none" w:sz="0" w:space="0" w:color="auto"/>
      </w:divBdr>
      <w:divsChild>
        <w:div w:id="1097798677">
          <w:marLeft w:val="0"/>
          <w:marRight w:val="0"/>
          <w:marTop w:val="0"/>
          <w:marBottom w:val="0"/>
          <w:divBdr>
            <w:top w:val="none" w:sz="0" w:space="0" w:color="auto"/>
            <w:left w:val="none" w:sz="0" w:space="0" w:color="auto"/>
            <w:bottom w:val="none" w:sz="0" w:space="0" w:color="auto"/>
            <w:right w:val="none" w:sz="0" w:space="0" w:color="auto"/>
          </w:divBdr>
          <w:divsChild>
            <w:div w:id="381485648">
              <w:marLeft w:val="0"/>
              <w:marRight w:val="0"/>
              <w:marTop w:val="0"/>
              <w:marBottom w:val="0"/>
              <w:divBdr>
                <w:top w:val="none" w:sz="0" w:space="0" w:color="auto"/>
                <w:left w:val="none" w:sz="0" w:space="0" w:color="auto"/>
                <w:bottom w:val="none" w:sz="0" w:space="0" w:color="auto"/>
                <w:right w:val="none" w:sz="0" w:space="0" w:color="auto"/>
              </w:divBdr>
            </w:div>
            <w:div w:id="1328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119">
      <w:bodyDiv w:val="1"/>
      <w:marLeft w:val="0"/>
      <w:marRight w:val="0"/>
      <w:marTop w:val="0"/>
      <w:marBottom w:val="0"/>
      <w:divBdr>
        <w:top w:val="none" w:sz="0" w:space="0" w:color="auto"/>
        <w:left w:val="none" w:sz="0" w:space="0" w:color="auto"/>
        <w:bottom w:val="none" w:sz="0" w:space="0" w:color="auto"/>
        <w:right w:val="none" w:sz="0" w:space="0" w:color="auto"/>
      </w:divBdr>
      <w:divsChild>
        <w:div w:id="1185435316">
          <w:marLeft w:val="0"/>
          <w:marRight w:val="0"/>
          <w:marTop w:val="0"/>
          <w:marBottom w:val="0"/>
          <w:divBdr>
            <w:top w:val="none" w:sz="0" w:space="0" w:color="auto"/>
            <w:left w:val="none" w:sz="0" w:space="0" w:color="auto"/>
            <w:bottom w:val="none" w:sz="0" w:space="0" w:color="auto"/>
            <w:right w:val="none" w:sz="0" w:space="0" w:color="auto"/>
          </w:divBdr>
          <w:divsChild>
            <w:div w:id="315302172">
              <w:marLeft w:val="0"/>
              <w:marRight w:val="0"/>
              <w:marTop w:val="0"/>
              <w:marBottom w:val="0"/>
              <w:divBdr>
                <w:top w:val="none" w:sz="0" w:space="0" w:color="auto"/>
                <w:left w:val="none" w:sz="0" w:space="0" w:color="auto"/>
                <w:bottom w:val="none" w:sz="0" w:space="0" w:color="auto"/>
                <w:right w:val="none" w:sz="0" w:space="0" w:color="auto"/>
              </w:divBdr>
              <w:divsChild>
                <w:div w:id="339090554">
                  <w:marLeft w:val="0"/>
                  <w:marRight w:val="0"/>
                  <w:marTop w:val="0"/>
                  <w:marBottom w:val="0"/>
                  <w:divBdr>
                    <w:top w:val="none" w:sz="0" w:space="0" w:color="auto"/>
                    <w:left w:val="none" w:sz="0" w:space="0" w:color="auto"/>
                    <w:bottom w:val="none" w:sz="0" w:space="0" w:color="auto"/>
                    <w:right w:val="none" w:sz="0" w:space="0" w:color="auto"/>
                  </w:divBdr>
                  <w:divsChild>
                    <w:div w:id="775055871">
                      <w:marLeft w:val="0"/>
                      <w:marRight w:val="0"/>
                      <w:marTop w:val="0"/>
                      <w:marBottom w:val="0"/>
                      <w:divBdr>
                        <w:top w:val="none" w:sz="0" w:space="0" w:color="auto"/>
                        <w:left w:val="none" w:sz="0" w:space="0" w:color="auto"/>
                        <w:bottom w:val="none" w:sz="0" w:space="0" w:color="auto"/>
                        <w:right w:val="none" w:sz="0" w:space="0" w:color="auto"/>
                      </w:divBdr>
                      <w:divsChild>
                        <w:div w:id="1149446989">
                          <w:marLeft w:val="0"/>
                          <w:marRight w:val="0"/>
                          <w:marTop w:val="0"/>
                          <w:marBottom w:val="0"/>
                          <w:divBdr>
                            <w:top w:val="none" w:sz="0" w:space="0" w:color="auto"/>
                            <w:left w:val="none" w:sz="0" w:space="0" w:color="auto"/>
                            <w:bottom w:val="none" w:sz="0" w:space="0" w:color="auto"/>
                            <w:right w:val="none" w:sz="0" w:space="0" w:color="auto"/>
                          </w:divBdr>
                          <w:divsChild>
                            <w:div w:id="1664965790">
                              <w:marLeft w:val="0"/>
                              <w:marRight w:val="0"/>
                              <w:marTop w:val="0"/>
                              <w:marBottom w:val="0"/>
                              <w:divBdr>
                                <w:top w:val="none" w:sz="0" w:space="0" w:color="auto"/>
                                <w:left w:val="none" w:sz="0" w:space="0" w:color="auto"/>
                                <w:bottom w:val="none" w:sz="0" w:space="0" w:color="auto"/>
                                <w:right w:val="none" w:sz="0" w:space="0" w:color="auto"/>
                              </w:divBdr>
                              <w:divsChild>
                                <w:div w:id="1841506056">
                                  <w:marLeft w:val="0"/>
                                  <w:marRight w:val="0"/>
                                  <w:marTop w:val="0"/>
                                  <w:marBottom w:val="0"/>
                                  <w:divBdr>
                                    <w:top w:val="none" w:sz="0" w:space="0" w:color="auto"/>
                                    <w:left w:val="none" w:sz="0" w:space="0" w:color="auto"/>
                                    <w:bottom w:val="none" w:sz="0" w:space="0" w:color="auto"/>
                                    <w:right w:val="none" w:sz="0" w:space="0" w:color="auto"/>
                                  </w:divBdr>
                                  <w:divsChild>
                                    <w:div w:id="1366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10524">
      <w:bodyDiv w:val="1"/>
      <w:marLeft w:val="0"/>
      <w:marRight w:val="0"/>
      <w:marTop w:val="0"/>
      <w:marBottom w:val="0"/>
      <w:divBdr>
        <w:top w:val="none" w:sz="0" w:space="0" w:color="auto"/>
        <w:left w:val="none" w:sz="0" w:space="0" w:color="auto"/>
        <w:bottom w:val="none" w:sz="0" w:space="0" w:color="auto"/>
        <w:right w:val="none" w:sz="0" w:space="0" w:color="auto"/>
      </w:divBdr>
    </w:div>
    <w:div w:id="1919318732">
      <w:bodyDiv w:val="1"/>
      <w:marLeft w:val="0"/>
      <w:marRight w:val="0"/>
      <w:marTop w:val="0"/>
      <w:marBottom w:val="0"/>
      <w:divBdr>
        <w:top w:val="none" w:sz="0" w:space="0" w:color="auto"/>
        <w:left w:val="none" w:sz="0" w:space="0" w:color="auto"/>
        <w:bottom w:val="none" w:sz="0" w:space="0" w:color="auto"/>
        <w:right w:val="none" w:sz="0" w:space="0" w:color="auto"/>
      </w:divBdr>
      <w:divsChild>
        <w:div w:id="964312351">
          <w:marLeft w:val="0"/>
          <w:marRight w:val="0"/>
          <w:marTop w:val="0"/>
          <w:marBottom w:val="0"/>
          <w:divBdr>
            <w:top w:val="none" w:sz="0" w:space="0" w:color="auto"/>
            <w:left w:val="none" w:sz="0" w:space="0" w:color="auto"/>
            <w:bottom w:val="none" w:sz="0" w:space="0" w:color="auto"/>
            <w:right w:val="none" w:sz="0" w:space="0" w:color="auto"/>
          </w:divBdr>
          <w:divsChild>
            <w:div w:id="1153792201">
              <w:marLeft w:val="0"/>
              <w:marRight w:val="0"/>
              <w:marTop w:val="0"/>
              <w:marBottom w:val="0"/>
              <w:divBdr>
                <w:top w:val="none" w:sz="0" w:space="0" w:color="auto"/>
                <w:left w:val="none" w:sz="0" w:space="0" w:color="auto"/>
                <w:bottom w:val="none" w:sz="0" w:space="0" w:color="auto"/>
                <w:right w:val="none" w:sz="0" w:space="0" w:color="auto"/>
              </w:divBdr>
            </w:div>
            <w:div w:id="18700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7426">
      <w:bodyDiv w:val="1"/>
      <w:marLeft w:val="0"/>
      <w:marRight w:val="0"/>
      <w:marTop w:val="0"/>
      <w:marBottom w:val="0"/>
      <w:divBdr>
        <w:top w:val="none" w:sz="0" w:space="0" w:color="auto"/>
        <w:left w:val="none" w:sz="0" w:space="0" w:color="auto"/>
        <w:bottom w:val="none" w:sz="0" w:space="0" w:color="auto"/>
        <w:right w:val="none" w:sz="0" w:space="0" w:color="auto"/>
      </w:divBdr>
      <w:divsChild>
        <w:div w:id="797914322">
          <w:marLeft w:val="0"/>
          <w:marRight w:val="0"/>
          <w:marTop w:val="0"/>
          <w:marBottom w:val="0"/>
          <w:divBdr>
            <w:top w:val="none" w:sz="0" w:space="0" w:color="auto"/>
            <w:left w:val="none" w:sz="0" w:space="0" w:color="auto"/>
            <w:bottom w:val="none" w:sz="0" w:space="0" w:color="auto"/>
            <w:right w:val="none" w:sz="0" w:space="0" w:color="auto"/>
          </w:divBdr>
        </w:div>
      </w:divsChild>
    </w:div>
    <w:div w:id="2016567055">
      <w:bodyDiv w:val="1"/>
      <w:marLeft w:val="0"/>
      <w:marRight w:val="0"/>
      <w:marTop w:val="0"/>
      <w:marBottom w:val="0"/>
      <w:divBdr>
        <w:top w:val="none" w:sz="0" w:space="0" w:color="auto"/>
        <w:left w:val="none" w:sz="0" w:space="0" w:color="auto"/>
        <w:bottom w:val="none" w:sz="0" w:space="0" w:color="auto"/>
        <w:right w:val="none" w:sz="0" w:space="0" w:color="auto"/>
      </w:divBdr>
      <w:divsChild>
        <w:div w:id="2017686976">
          <w:marLeft w:val="0"/>
          <w:marRight w:val="0"/>
          <w:marTop w:val="0"/>
          <w:marBottom w:val="0"/>
          <w:divBdr>
            <w:top w:val="none" w:sz="0" w:space="0" w:color="auto"/>
            <w:left w:val="none" w:sz="0" w:space="0" w:color="auto"/>
            <w:bottom w:val="none" w:sz="0" w:space="0" w:color="auto"/>
            <w:right w:val="none" w:sz="0" w:space="0" w:color="auto"/>
          </w:divBdr>
        </w:div>
      </w:divsChild>
    </w:div>
    <w:div w:id="2028406434">
      <w:bodyDiv w:val="1"/>
      <w:marLeft w:val="0"/>
      <w:marRight w:val="0"/>
      <w:marTop w:val="0"/>
      <w:marBottom w:val="0"/>
      <w:divBdr>
        <w:top w:val="none" w:sz="0" w:space="0" w:color="auto"/>
        <w:left w:val="none" w:sz="0" w:space="0" w:color="auto"/>
        <w:bottom w:val="none" w:sz="0" w:space="0" w:color="auto"/>
        <w:right w:val="none" w:sz="0" w:space="0" w:color="auto"/>
      </w:divBdr>
      <w:divsChild>
        <w:div w:id="1795899480">
          <w:marLeft w:val="0"/>
          <w:marRight w:val="0"/>
          <w:marTop w:val="0"/>
          <w:marBottom w:val="0"/>
          <w:divBdr>
            <w:top w:val="none" w:sz="0" w:space="0" w:color="auto"/>
            <w:left w:val="none" w:sz="0" w:space="0" w:color="auto"/>
            <w:bottom w:val="none" w:sz="0" w:space="0" w:color="auto"/>
            <w:right w:val="none" w:sz="0" w:space="0" w:color="auto"/>
          </w:divBdr>
        </w:div>
      </w:divsChild>
    </w:div>
    <w:div w:id="2048988402">
      <w:bodyDiv w:val="1"/>
      <w:marLeft w:val="0"/>
      <w:marRight w:val="0"/>
      <w:marTop w:val="0"/>
      <w:marBottom w:val="0"/>
      <w:divBdr>
        <w:top w:val="none" w:sz="0" w:space="0" w:color="auto"/>
        <w:left w:val="none" w:sz="0" w:space="0" w:color="auto"/>
        <w:bottom w:val="none" w:sz="0" w:space="0" w:color="auto"/>
        <w:right w:val="none" w:sz="0" w:space="0" w:color="auto"/>
      </w:divBdr>
      <w:divsChild>
        <w:div w:id="1127242398">
          <w:marLeft w:val="0"/>
          <w:marRight w:val="0"/>
          <w:marTop w:val="0"/>
          <w:marBottom w:val="0"/>
          <w:divBdr>
            <w:top w:val="none" w:sz="0" w:space="0" w:color="auto"/>
            <w:left w:val="none" w:sz="0" w:space="0" w:color="auto"/>
            <w:bottom w:val="none" w:sz="0" w:space="0" w:color="auto"/>
            <w:right w:val="none" w:sz="0" w:space="0" w:color="auto"/>
          </w:divBdr>
          <w:divsChild>
            <w:div w:id="519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1901">
      <w:bodyDiv w:val="1"/>
      <w:marLeft w:val="0"/>
      <w:marRight w:val="0"/>
      <w:marTop w:val="0"/>
      <w:marBottom w:val="0"/>
      <w:divBdr>
        <w:top w:val="none" w:sz="0" w:space="0" w:color="auto"/>
        <w:left w:val="none" w:sz="0" w:space="0" w:color="auto"/>
        <w:bottom w:val="none" w:sz="0" w:space="0" w:color="auto"/>
        <w:right w:val="none" w:sz="0" w:space="0" w:color="auto"/>
      </w:divBdr>
      <w:divsChild>
        <w:div w:id="637808116">
          <w:marLeft w:val="0"/>
          <w:marRight w:val="0"/>
          <w:marTop w:val="0"/>
          <w:marBottom w:val="0"/>
          <w:divBdr>
            <w:top w:val="none" w:sz="0" w:space="0" w:color="auto"/>
            <w:left w:val="none" w:sz="0" w:space="0" w:color="auto"/>
            <w:bottom w:val="none" w:sz="0" w:space="0" w:color="auto"/>
            <w:right w:val="none" w:sz="0" w:space="0" w:color="auto"/>
          </w:divBdr>
          <w:divsChild>
            <w:div w:id="134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233">
      <w:bodyDiv w:val="1"/>
      <w:marLeft w:val="0"/>
      <w:marRight w:val="0"/>
      <w:marTop w:val="0"/>
      <w:marBottom w:val="0"/>
      <w:divBdr>
        <w:top w:val="none" w:sz="0" w:space="0" w:color="auto"/>
        <w:left w:val="none" w:sz="0" w:space="0" w:color="auto"/>
        <w:bottom w:val="none" w:sz="0" w:space="0" w:color="auto"/>
        <w:right w:val="none" w:sz="0" w:space="0" w:color="auto"/>
      </w:divBdr>
      <w:divsChild>
        <w:div w:id="1663847526">
          <w:marLeft w:val="0"/>
          <w:marRight w:val="0"/>
          <w:marTop w:val="0"/>
          <w:marBottom w:val="0"/>
          <w:divBdr>
            <w:top w:val="none" w:sz="0" w:space="0" w:color="auto"/>
            <w:left w:val="none" w:sz="0" w:space="0" w:color="auto"/>
            <w:bottom w:val="none" w:sz="0" w:space="0" w:color="auto"/>
            <w:right w:val="none" w:sz="0" w:space="0" w:color="auto"/>
          </w:divBdr>
          <w:divsChild>
            <w:div w:id="179466606">
              <w:marLeft w:val="0"/>
              <w:marRight w:val="0"/>
              <w:marTop w:val="0"/>
              <w:marBottom w:val="0"/>
              <w:divBdr>
                <w:top w:val="none" w:sz="0" w:space="0" w:color="auto"/>
                <w:left w:val="none" w:sz="0" w:space="0" w:color="auto"/>
                <w:bottom w:val="none" w:sz="0" w:space="0" w:color="auto"/>
                <w:right w:val="none" w:sz="0" w:space="0" w:color="auto"/>
              </w:divBdr>
            </w:div>
            <w:div w:id="517281719">
              <w:marLeft w:val="0"/>
              <w:marRight w:val="0"/>
              <w:marTop w:val="0"/>
              <w:marBottom w:val="0"/>
              <w:divBdr>
                <w:top w:val="none" w:sz="0" w:space="0" w:color="auto"/>
                <w:left w:val="none" w:sz="0" w:space="0" w:color="auto"/>
                <w:bottom w:val="none" w:sz="0" w:space="0" w:color="auto"/>
                <w:right w:val="none" w:sz="0" w:space="0" w:color="auto"/>
              </w:divBdr>
            </w:div>
            <w:div w:id="682099224">
              <w:marLeft w:val="0"/>
              <w:marRight w:val="0"/>
              <w:marTop w:val="0"/>
              <w:marBottom w:val="0"/>
              <w:divBdr>
                <w:top w:val="none" w:sz="0" w:space="0" w:color="auto"/>
                <w:left w:val="none" w:sz="0" w:space="0" w:color="auto"/>
                <w:bottom w:val="none" w:sz="0" w:space="0" w:color="auto"/>
                <w:right w:val="none" w:sz="0" w:space="0" w:color="auto"/>
              </w:divBdr>
            </w:div>
            <w:div w:id="734474992">
              <w:marLeft w:val="0"/>
              <w:marRight w:val="0"/>
              <w:marTop w:val="0"/>
              <w:marBottom w:val="0"/>
              <w:divBdr>
                <w:top w:val="none" w:sz="0" w:space="0" w:color="auto"/>
                <w:left w:val="none" w:sz="0" w:space="0" w:color="auto"/>
                <w:bottom w:val="none" w:sz="0" w:space="0" w:color="auto"/>
                <w:right w:val="none" w:sz="0" w:space="0" w:color="auto"/>
              </w:divBdr>
            </w:div>
            <w:div w:id="1110859286">
              <w:marLeft w:val="0"/>
              <w:marRight w:val="0"/>
              <w:marTop w:val="0"/>
              <w:marBottom w:val="0"/>
              <w:divBdr>
                <w:top w:val="none" w:sz="0" w:space="0" w:color="auto"/>
                <w:left w:val="none" w:sz="0" w:space="0" w:color="auto"/>
                <w:bottom w:val="none" w:sz="0" w:space="0" w:color="auto"/>
                <w:right w:val="none" w:sz="0" w:space="0" w:color="auto"/>
              </w:divBdr>
            </w:div>
            <w:div w:id="1202399311">
              <w:marLeft w:val="0"/>
              <w:marRight w:val="0"/>
              <w:marTop w:val="0"/>
              <w:marBottom w:val="0"/>
              <w:divBdr>
                <w:top w:val="none" w:sz="0" w:space="0" w:color="auto"/>
                <w:left w:val="none" w:sz="0" w:space="0" w:color="auto"/>
                <w:bottom w:val="none" w:sz="0" w:space="0" w:color="auto"/>
                <w:right w:val="none" w:sz="0" w:space="0" w:color="auto"/>
              </w:divBdr>
            </w:div>
            <w:div w:id="1472821476">
              <w:marLeft w:val="0"/>
              <w:marRight w:val="0"/>
              <w:marTop w:val="0"/>
              <w:marBottom w:val="0"/>
              <w:divBdr>
                <w:top w:val="none" w:sz="0" w:space="0" w:color="auto"/>
                <w:left w:val="none" w:sz="0" w:space="0" w:color="auto"/>
                <w:bottom w:val="none" w:sz="0" w:space="0" w:color="auto"/>
                <w:right w:val="none" w:sz="0" w:space="0" w:color="auto"/>
              </w:divBdr>
            </w:div>
            <w:div w:id="1621719539">
              <w:marLeft w:val="0"/>
              <w:marRight w:val="0"/>
              <w:marTop w:val="0"/>
              <w:marBottom w:val="0"/>
              <w:divBdr>
                <w:top w:val="none" w:sz="0" w:space="0" w:color="auto"/>
                <w:left w:val="none" w:sz="0" w:space="0" w:color="auto"/>
                <w:bottom w:val="none" w:sz="0" w:space="0" w:color="auto"/>
                <w:right w:val="none" w:sz="0" w:space="0" w:color="auto"/>
              </w:divBdr>
            </w:div>
            <w:div w:id="1762485078">
              <w:marLeft w:val="0"/>
              <w:marRight w:val="0"/>
              <w:marTop w:val="0"/>
              <w:marBottom w:val="0"/>
              <w:divBdr>
                <w:top w:val="none" w:sz="0" w:space="0" w:color="auto"/>
                <w:left w:val="none" w:sz="0" w:space="0" w:color="auto"/>
                <w:bottom w:val="none" w:sz="0" w:space="0" w:color="auto"/>
                <w:right w:val="none" w:sz="0" w:space="0" w:color="auto"/>
              </w:divBdr>
            </w:div>
            <w:div w:id="1768888568">
              <w:marLeft w:val="0"/>
              <w:marRight w:val="0"/>
              <w:marTop w:val="0"/>
              <w:marBottom w:val="0"/>
              <w:divBdr>
                <w:top w:val="none" w:sz="0" w:space="0" w:color="auto"/>
                <w:left w:val="none" w:sz="0" w:space="0" w:color="auto"/>
                <w:bottom w:val="none" w:sz="0" w:space="0" w:color="auto"/>
                <w:right w:val="none" w:sz="0" w:space="0" w:color="auto"/>
              </w:divBdr>
            </w:div>
            <w:div w:id="1830249854">
              <w:marLeft w:val="0"/>
              <w:marRight w:val="0"/>
              <w:marTop w:val="0"/>
              <w:marBottom w:val="0"/>
              <w:divBdr>
                <w:top w:val="none" w:sz="0" w:space="0" w:color="auto"/>
                <w:left w:val="none" w:sz="0" w:space="0" w:color="auto"/>
                <w:bottom w:val="none" w:sz="0" w:space="0" w:color="auto"/>
                <w:right w:val="none" w:sz="0" w:space="0" w:color="auto"/>
              </w:divBdr>
            </w:div>
            <w:div w:id="1955135907">
              <w:marLeft w:val="0"/>
              <w:marRight w:val="0"/>
              <w:marTop w:val="0"/>
              <w:marBottom w:val="0"/>
              <w:divBdr>
                <w:top w:val="none" w:sz="0" w:space="0" w:color="auto"/>
                <w:left w:val="none" w:sz="0" w:space="0" w:color="auto"/>
                <w:bottom w:val="none" w:sz="0" w:space="0" w:color="auto"/>
                <w:right w:val="none" w:sz="0" w:space="0" w:color="auto"/>
              </w:divBdr>
            </w:div>
            <w:div w:id="2029597619">
              <w:marLeft w:val="0"/>
              <w:marRight w:val="0"/>
              <w:marTop w:val="0"/>
              <w:marBottom w:val="0"/>
              <w:divBdr>
                <w:top w:val="none" w:sz="0" w:space="0" w:color="auto"/>
                <w:left w:val="none" w:sz="0" w:space="0" w:color="auto"/>
                <w:bottom w:val="none" w:sz="0" w:space="0" w:color="auto"/>
                <w:right w:val="none" w:sz="0" w:space="0" w:color="auto"/>
              </w:divBdr>
            </w:div>
            <w:div w:id="2075614272">
              <w:marLeft w:val="0"/>
              <w:marRight w:val="0"/>
              <w:marTop w:val="0"/>
              <w:marBottom w:val="0"/>
              <w:divBdr>
                <w:top w:val="none" w:sz="0" w:space="0" w:color="auto"/>
                <w:left w:val="none" w:sz="0" w:space="0" w:color="auto"/>
                <w:bottom w:val="none" w:sz="0" w:space="0" w:color="auto"/>
                <w:right w:val="none" w:sz="0" w:space="0" w:color="auto"/>
              </w:divBdr>
            </w:div>
            <w:div w:id="21192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293">
      <w:bodyDiv w:val="1"/>
      <w:marLeft w:val="0"/>
      <w:marRight w:val="0"/>
      <w:marTop w:val="0"/>
      <w:marBottom w:val="0"/>
      <w:divBdr>
        <w:top w:val="none" w:sz="0" w:space="0" w:color="auto"/>
        <w:left w:val="none" w:sz="0" w:space="0" w:color="auto"/>
        <w:bottom w:val="none" w:sz="0" w:space="0" w:color="auto"/>
        <w:right w:val="none" w:sz="0" w:space="0" w:color="auto"/>
      </w:divBdr>
      <w:divsChild>
        <w:div w:id="2120105958">
          <w:marLeft w:val="0"/>
          <w:marRight w:val="1"/>
          <w:marTop w:val="0"/>
          <w:marBottom w:val="0"/>
          <w:divBdr>
            <w:top w:val="none" w:sz="0" w:space="0" w:color="auto"/>
            <w:left w:val="none" w:sz="0" w:space="0" w:color="auto"/>
            <w:bottom w:val="none" w:sz="0" w:space="0" w:color="auto"/>
            <w:right w:val="none" w:sz="0" w:space="0" w:color="auto"/>
          </w:divBdr>
          <w:divsChild>
            <w:div w:id="1133905176">
              <w:marLeft w:val="0"/>
              <w:marRight w:val="0"/>
              <w:marTop w:val="0"/>
              <w:marBottom w:val="0"/>
              <w:divBdr>
                <w:top w:val="none" w:sz="0" w:space="0" w:color="auto"/>
                <w:left w:val="none" w:sz="0" w:space="0" w:color="auto"/>
                <w:bottom w:val="none" w:sz="0" w:space="0" w:color="auto"/>
                <w:right w:val="none" w:sz="0" w:space="0" w:color="auto"/>
              </w:divBdr>
              <w:divsChild>
                <w:div w:id="1748652113">
                  <w:marLeft w:val="0"/>
                  <w:marRight w:val="1"/>
                  <w:marTop w:val="0"/>
                  <w:marBottom w:val="0"/>
                  <w:divBdr>
                    <w:top w:val="none" w:sz="0" w:space="0" w:color="auto"/>
                    <w:left w:val="none" w:sz="0" w:space="0" w:color="auto"/>
                    <w:bottom w:val="none" w:sz="0" w:space="0" w:color="auto"/>
                    <w:right w:val="none" w:sz="0" w:space="0" w:color="auto"/>
                  </w:divBdr>
                  <w:divsChild>
                    <w:div w:id="1314793804">
                      <w:marLeft w:val="0"/>
                      <w:marRight w:val="0"/>
                      <w:marTop w:val="0"/>
                      <w:marBottom w:val="0"/>
                      <w:divBdr>
                        <w:top w:val="none" w:sz="0" w:space="0" w:color="auto"/>
                        <w:left w:val="none" w:sz="0" w:space="0" w:color="auto"/>
                        <w:bottom w:val="none" w:sz="0" w:space="0" w:color="auto"/>
                        <w:right w:val="none" w:sz="0" w:space="0" w:color="auto"/>
                      </w:divBdr>
                      <w:divsChild>
                        <w:div w:id="1418284043">
                          <w:marLeft w:val="0"/>
                          <w:marRight w:val="0"/>
                          <w:marTop w:val="0"/>
                          <w:marBottom w:val="0"/>
                          <w:divBdr>
                            <w:top w:val="none" w:sz="0" w:space="0" w:color="auto"/>
                            <w:left w:val="none" w:sz="0" w:space="0" w:color="auto"/>
                            <w:bottom w:val="none" w:sz="0" w:space="0" w:color="auto"/>
                            <w:right w:val="none" w:sz="0" w:space="0" w:color="auto"/>
                          </w:divBdr>
                          <w:divsChild>
                            <w:div w:id="1940601795">
                              <w:marLeft w:val="0"/>
                              <w:marRight w:val="0"/>
                              <w:marTop w:val="120"/>
                              <w:marBottom w:val="360"/>
                              <w:divBdr>
                                <w:top w:val="none" w:sz="0" w:space="0" w:color="auto"/>
                                <w:left w:val="none" w:sz="0" w:space="0" w:color="auto"/>
                                <w:bottom w:val="none" w:sz="0" w:space="0" w:color="auto"/>
                                <w:right w:val="none" w:sz="0" w:space="0" w:color="auto"/>
                              </w:divBdr>
                              <w:divsChild>
                                <w:div w:id="1284733153">
                                  <w:marLeft w:val="420"/>
                                  <w:marRight w:val="0"/>
                                  <w:marTop w:val="0"/>
                                  <w:marBottom w:val="0"/>
                                  <w:divBdr>
                                    <w:top w:val="none" w:sz="0" w:space="0" w:color="auto"/>
                                    <w:left w:val="none" w:sz="0" w:space="0" w:color="auto"/>
                                    <w:bottom w:val="none" w:sz="0" w:space="0" w:color="auto"/>
                                    <w:right w:val="none" w:sz="0" w:space="0" w:color="auto"/>
                                  </w:divBdr>
                                  <w:divsChild>
                                    <w:div w:id="1008210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11959">
      <w:bodyDiv w:val="1"/>
      <w:marLeft w:val="0"/>
      <w:marRight w:val="0"/>
      <w:marTop w:val="0"/>
      <w:marBottom w:val="0"/>
      <w:divBdr>
        <w:top w:val="none" w:sz="0" w:space="0" w:color="auto"/>
        <w:left w:val="none" w:sz="0" w:space="0" w:color="auto"/>
        <w:bottom w:val="none" w:sz="0" w:space="0" w:color="auto"/>
        <w:right w:val="none" w:sz="0" w:space="0" w:color="auto"/>
      </w:divBdr>
      <w:divsChild>
        <w:div w:id="1620798912">
          <w:marLeft w:val="0"/>
          <w:marRight w:val="0"/>
          <w:marTop w:val="0"/>
          <w:marBottom w:val="0"/>
          <w:divBdr>
            <w:top w:val="none" w:sz="0" w:space="0" w:color="auto"/>
            <w:left w:val="none" w:sz="0" w:space="0" w:color="auto"/>
            <w:bottom w:val="none" w:sz="0" w:space="0" w:color="auto"/>
            <w:right w:val="none" w:sz="0" w:space="0" w:color="auto"/>
          </w:divBdr>
          <w:divsChild>
            <w:div w:id="9698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emf"/><Relationship Id="rId29"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image" Target="media/image20.wmf"/><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oleObject" Target="embeddings/oleObject7.bin"/><Relationship Id="rId35"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9368</Words>
  <Characters>53401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Increased density of CD11c+, CD103+, indoleamine 2,3-dioxygenase+ dendritic cells and FOXP3+ T cells expression in small bowel mucosa of celiac disease patients</vt:lpstr>
    </vt:vector>
  </TitlesOfParts>
  <Company>TÜ ARFR</Company>
  <LinksUpToDate>false</LinksUpToDate>
  <CharactersWithSpaces>62644</CharactersWithSpaces>
  <SharedDoc>false</SharedDoc>
  <HLinks>
    <vt:vector size="6" baseType="variant">
      <vt:variant>
        <vt:i4>2687052</vt:i4>
      </vt:variant>
      <vt:variant>
        <vt:i4>0</vt:i4>
      </vt:variant>
      <vt:variant>
        <vt:i4>0</vt:i4>
      </vt:variant>
      <vt:variant>
        <vt:i4>5</vt:i4>
      </vt:variant>
      <vt:variant>
        <vt:lpwstr>mailto:tamara.vorobjova@kliinikum.ee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density of CD11c+, CD103+, indoleamine 2,3-dioxygenase+ dendritic cells and FOXP3+ T cells expression in small bowel mucosa of celiac disease patients</dc:title>
  <dc:creator>Tamara Vorobjova</dc:creator>
  <cp:lastModifiedBy>LS Ma</cp:lastModifiedBy>
  <cp:revision>2</cp:revision>
  <cp:lastPrinted>2014-05-14T10:00:00Z</cp:lastPrinted>
  <dcterms:created xsi:type="dcterms:W3CDTF">2014-07-22T00:33:00Z</dcterms:created>
  <dcterms:modified xsi:type="dcterms:W3CDTF">2014-07-22T00:33:00Z</dcterms:modified>
</cp:coreProperties>
</file>