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94" w:rsidRPr="0011258C" w:rsidRDefault="002D0694" w:rsidP="002E6733">
      <w:pPr>
        <w:spacing w:line="360" w:lineRule="auto"/>
        <w:jc w:val="both"/>
        <w:rPr>
          <w:rFonts w:ascii="Book Antiqua" w:hAnsi="Book Antiqua"/>
          <w:b/>
          <w:lang w:eastAsia="zh-CN"/>
        </w:rPr>
      </w:pPr>
      <w:r w:rsidRPr="0011258C">
        <w:rPr>
          <w:rFonts w:ascii="Book Antiqua" w:hAnsi="Book Antiqua"/>
          <w:b/>
        </w:rPr>
        <w:t xml:space="preserve">Name of journal: World Journal of </w:t>
      </w:r>
      <w:r w:rsidRPr="0011258C">
        <w:rPr>
          <w:rFonts w:ascii="Book Antiqua" w:hAnsi="Book Antiqua"/>
          <w:b/>
          <w:lang w:eastAsia="zh-CN"/>
        </w:rPr>
        <w:t>Nephrology</w:t>
      </w:r>
    </w:p>
    <w:p w:rsidR="002D0694" w:rsidRPr="0011258C" w:rsidRDefault="002D0694" w:rsidP="002E6733">
      <w:pPr>
        <w:spacing w:line="360" w:lineRule="auto"/>
        <w:jc w:val="both"/>
        <w:rPr>
          <w:rFonts w:ascii="Book Antiqua" w:hAnsi="Book Antiqua"/>
          <w:b/>
          <w:lang w:eastAsia="zh-CN"/>
        </w:rPr>
      </w:pPr>
      <w:r w:rsidRPr="0011258C">
        <w:rPr>
          <w:rFonts w:ascii="Book Antiqua" w:hAnsi="Book Antiqua"/>
          <w:b/>
        </w:rPr>
        <w:t xml:space="preserve">ESPS Manuscript NO: </w:t>
      </w:r>
      <w:r w:rsidRPr="0011258C">
        <w:rPr>
          <w:rFonts w:ascii="Book Antiqua" w:hAnsi="Book Antiqua"/>
          <w:b/>
          <w:lang w:eastAsia="zh-CN"/>
        </w:rPr>
        <w:t>10516</w:t>
      </w:r>
    </w:p>
    <w:p w:rsidR="002D0694" w:rsidRPr="0011258C" w:rsidRDefault="002D0694" w:rsidP="002E6733">
      <w:pPr>
        <w:spacing w:line="360" w:lineRule="auto"/>
        <w:jc w:val="both"/>
        <w:rPr>
          <w:rFonts w:ascii="Book Antiqua" w:hAnsi="Book Antiqua"/>
          <w:b/>
          <w:lang w:eastAsia="zh-CN"/>
        </w:rPr>
      </w:pPr>
      <w:r w:rsidRPr="0011258C">
        <w:rPr>
          <w:rFonts w:ascii="Book Antiqua" w:hAnsi="Book Antiqua"/>
          <w:b/>
        </w:rPr>
        <w:t>Columns:</w:t>
      </w:r>
      <w:r w:rsidRPr="0011258C">
        <w:rPr>
          <w:rFonts w:ascii="Book Antiqua" w:hAnsi="Book Antiqua"/>
          <w:b/>
          <w:lang w:eastAsia="zh-CN"/>
        </w:rPr>
        <w:t xml:space="preserve"> </w:t>
      </w:r>
      <w:bookmarkStart w:id="0" w:name="_GoBack"/>
      <w:r w:rsidRPr="0011258C">
        <w:rPr>
          <w:rFonts w:ascii="Book Antiqua" w:hAnsi="Book Antiqua"/>
          <w:b/>
          <w:lang w:eastAsia="zh-CN"/>
        </w:rPr>
        <w:t>Randomized Controlled Trial</w:t>
      </w:r>
      <w:bookmarkEnd w:id="0"/>
    </w:p>
    <w:p w:rsidR="002D0694" w:rsidRPr="0011258C" w:rsidRDefault="002D0694" w:rsidP="002E6733">
      <w:pPr>
        <w:spacing w:line="360" w:lineRule="auto"/>
        <w:jc w:val="both"/>
        <w:rPr>
          <w:rFonts w:ascii="Book Antiqua" w:hAnsi="Book Antiqua"/>
          <w:b/>
          <w:lang w:eastAsia="zh-CN"/>
        </w:rPr>
      </w:pPr>
    </w:p>
    <w:p w:rsidR="002D0694" w:rsidRPr="0011258C" w:rsidRDefault="002D0694" w:rsidP="002E6733">
      <w:pPr>
        <w:spacing w:line="360" w:lineRule="auto"/>
        <w:jc w:val="both"/>
        <w:rPr>
          <w:rFonts w:ascii="Book Antiqua" w:hAnsi="Book Antiqua"/>
          <w:b/>
          <w:lang w:eastAsia="zh-CN"/>
        </w:rPr>
      </w:pPr>
      <w:r>
        <w:rPr>
          <w:rFonts w:ascii="Book Antiqua" w:hAnsi="Book Antiqua"/>
          <w:b/>
          <w:lang w:eastAsia="zh-CN"/>
        </w:rPr>
        <w:t>L</w:t>
      </w:r>
      <w:r w:rsidRPr="0011258C">
        <w:rPr>
          <w:rFonts w:ascii="Book Antiqua" w:hAnsi="Book Antiqua"/>
          <w:b/>
        </w:rPr>
        <w:t>ong-term outcome of ketoconazole and tacrolimus co-administration in kidney transplant patients</w:t>
      </w:r>
    </w:p>
    <w:p w:rsidR="002D0694" w:rsidRPr="0011258C" w:rsidRDefault="002D0694" w:rsidP="002E6733">
      <w:pPr>
        <w:spacing w:line="360" w:lineRule="auto"/>
        <w:jc w:val="both"/>
        <w:rPr>
          <w:rFonts w:ascii="Book Antiqua" w:hAnsi="Book Antiqua"/>
          <w:b/>
          <w:lang w:eastAsia="zh-CN"/>
        </w:rPr>
      </w:pPr>
    </w:p>
    <w:p w:rsidR="002D0694" w:rsidRPr="0011258C" w:rsidRDefault="002D0694" w:rsidP="002E6733">
      <w:pPr>
        <w:spacing w:line="360" w:lineRule="auto"/>
        <w:jc w:val="both"/>
        <w:rPr>
          <w:rFonts w:ascii="Book Antiqua" w:hAnsi="Book Antiqua"/>
          <w:i/>
          <w:lang w:eastAsia="zh-CN"/>
        </w:rPr>
      </w:pPr>
      <w:r w:rsidRPr="0011258C">
        <w:rPr>
          <w:rFonts w:ascii="Book Antiqua" w:hAnsi="Book Antiqua"/>
        </w:rPr>
        <w:t>Khan</w:t>
      </w:r>
      <w:r w:rsidRPr="0011258C">
        <w:rPr>
          <w:rFonts w:ascii="Book Antiqua" w:hAnsi="Book Antiqua"/>
          <w:lang w:eastAsia="zh-CN"/>
        </w:rPr>
        <w:t xml:space="preserve"> E </w:t>
      </w:r>
      <w:r w:rsidRPr="0011258C">
        <w:rPr>
          <w:rFonts w:ascii="Book Antiqua" w:hAnsi="Book Antiqua"/>
          <w:i/>
        </w:rPr>
        <w:t>et al</w:t>
      </w:r>
      <w:r w:rsidRPr="0011258C">
        <w:rPr>
          <w:rFonts w:ascii="Book Antiqua" w:hAnsi="Book Antiqua"/>
          <w:i/>
          <w:lang w:eastAsia="zh-CN"/>
        </w:rPr>
        <w:t xml:space="preserve">. </w:t>
      </w:r>
      <w:r w:rsidRPr="0011258C">
        <w:rPr>
          <w:rFonts w:ascii="Book Antiqua" w:hAnsi="Book Antiqua"/>
          <w:lang w:eastAsia="zh-CN"/>
        </w:rPr>
        <w:t>Ketoconazole and tacrolimus co-administration</w:t>
      </w:r>
    </w:p>
    <w:p w:rsidR="002D0694" w:rsidRPr="0011258C" w:rsidRDefault="002D0694" w:rsidP="002E6733">
      <w:pPr>
        <w:spacing w:line="360" w:lineRule="auto"/>
        <w:jc w:val="both"/>
        <w:rPr>
          <w:rFonts w:ascii="Book Antiqua" w:hAnsi="Book Antiqua"/>
        </w:rPr>
      </w:pPr>
    </w:p>
    <w:p w:rsidR="002D0694" w:rsidRPr="0011258C" w:rsidRDefault="002D0694" w:rsidP="002E6733">
      <w:pPr>
        <w:spacing w:line="360" w:lineRule="auto"/>
        <w:jc w:val="both"/>
        <w:rPr>
          <w:rFonts w:ascii="Book Antiqua" w:hAnsi="Book Antiqua"/>
        </w:rPr>
      </w:pPr>
      <w:r w:rsidRPr="0011258C">
        <w:rPr>
          <w:rFonts w:ascii="Book Antiqua" w:hAnsi="Book Antiqua"/>
        </w:rPr>
        <w:t xml:space="preserve">Enver Khan, Mary Killackey, </w:t>
      </w:r>
      <w:r w:rsidRPr="0011258C">
        <w:rPr>
          <w:rFonts w:ascii="Book Antiqua" w:hAnsi="Book Antiqua"/>
          <w:bCs/>
        </w:rPr>
        <w:t xml:space="preserve">Damodar </w:t>
      </w:r>
      <w:r w:rsidRPr="0011258C">
        <w:rPr>
          <w:rFonts w:ascii="Book Antiqua" w:hAnsi="Book Antiqua"/>
        </w:rPr>
        <w:t xml:space="preserve">Kumbala, </w:t>
      </w:r>
      <w:r w:rsidRPr="0011258C">
        <w:rPr>
          <w:rFonts w:ascii="Book Antiqua" w:hAnsi="Book Antiqua"/>
          <w:bCs/>
        </w:rPr>
        <w:t xml:space="preserve">Heather LaGuardia, </w:t>
      </w:r>
      <w:r w:rsidRPr="0011258C">
        <w:rPr>
          <w:rFonts w:ascii="Book Antiqua" w:hAnsi="Book Antiqua"/>
        </w:rPr>
        <w:t xml:space="preserve">Yongjun Liu, Huaizhen Qin, </w:t>
      </w:r>
      <w:r w:rsidRPr="0011258C">
        <w:rPr>
          <w:rFonts w:ascii="Book Antiqua" w:hAnsi="Book Antiqua"/>
          <w:bCs/>
        </w:rPr>
        <w:t xml:space="preserve">Brent Alper, </w:t>
      </w:r>
      <w:r w:rsidRPr="0011258C">
        <w:rPr>
          <w:rFonts w:ascii="Book Antiqua" w:hAnsi="Book Antiqua"/>
        </w:rPr>
        <w:t>Anil Paramesh, Joseph Buell</w:t>
      </w:r>
      <w:r w:rsidRPr="0011258C">
        <w:rPr>
          <w:rFonts w:ascii="Book Antiqua" w:hAnsi="Book Antiqua"/>
          <w:lang w:eastAsia="zh-CN"/>
        </w:rPr>
        <w:t>,</w:t>
      </w:r>
      <w:r w:rsidRPr="0011258C">
        <w:rPr>
          <w:rFonts w:ascii="Book Antiqua" w:hAnsi="Book Antiqua"/>
        </w:rPr>
        <w:t xml:space="preserve"> Rubin Zhang </w:t>
      </w: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r w:rsidRPr="0011258C">
        <w:rPr>
          <w:rFonts w:ascii="Book Antiqua" w:hAnsi="Book Antiqua"/>
          <w:b/>
        </w:rPr>
        <w:t xml:space="preserve">Enver Khan, Mary Killackey, </w:t>
      </w:r>
      <w:r w:rsidRPr="0011258C">
        <w:rPr>
          <w:rFonts w:ascii="Book Antiqua" w:hAnsi="Book Antiqua"/>
          <w:b/>
          <w:bCs/>
        </w:rPr>
        <w:t xml:space="preserve">Damodar </w:t>
      </w:r>
      <w:r w:rsidRPr="0011258C">
        <w:rPr>
          <w:rFonts w:ascii="Book Antiqua" w:hAnsi="Book Antiqua"/>
          <w:b/>
        </w:rPr>
        <w:t xml:space="preserve">Kumbala, </w:t>
      </w:r>
      <w:r w:rsidRPr="0011258C">
        <w:rPr>
          <w:rFonts w:ascii="Book Antiqua" w:hAnsi="Book Antiqua"/>
          <w:b/>
          <w:bCs/>
        </w:rPr>
        <w:t xml:space="preserve">Heather LaGuardia, </w:t>
      </w:r>
      <w:r w:rsidRPr="0011258C">
        <w:rPr>
          <w:rFonts w:ascii="Book Antiqua" w:hAnsi="Book Antiqua"/>
          <w:b/>
        </w:rPr>
        <w:t xml:space="preserve">Yongjun Liu, Huaizhen Qin, </w:t>
      </w:r>
      <w:r w:rsidRPr="0011258C">
        <w:rPr>
          <w:rFonts w:ascii="Book Antiqua" w:hAnsi="Book Antiqua"/>
          <w:b/>
          <w:bCs/>
        </w:rPr>
        <w:t xml:space="preserve">Brent Alper, </w:t>
      </w:r>
      <w:r w:rsidRPr="0011258C">
        <w:rPr>
          <w:rFonts w:ascii="Book Antiqua" w:hAnsi="Book Antiqua"/>
          <w:b/>
        </w:rPr>
        <w:t>Anil Paramesh, Joseph Buell</w:t>
      </w:r>
      <w:r w:rsidRPr="0011258C">
        <w:rPr>
          <w:rFonts w:ascii="Book Antiqua" w:hAnsi="Book Antiqua"/>
          <w:b/>
          <w:lang w:eastAsia="zh-CN"/>
        </w:rPr>
        <w:t>,</w:t>
      </w:r>
      <w:r w:rsidRPr="0011258C">
        <w:rPr>
          <w:rFonts w:ascii="Book Antiqua" w:hAnsi="Book Antiqua"/>
          <w:b/>
        </w:rPr>
        <w:t xml:space="preserve"> Rubin Zhang</w:t>
      </w:r>
      <w:r w:rsidRPr="0011258C">
        <w:rPr>
          <w:rFonts w:ascii="Book Antiqua" w:hAnsi="Book Antiqua"/>
          <w:b/>
          <w:lang w:eastAsia="zh-CN"/>
        </w:rPr>
        <w:t xml:space="preserve">, </w:t>
      </w:r>
      <w:r w:rsidRPr="0011258C">
        <w:rPr>
          <w:rFonts w:ascii="Book Antiqua" w:hAnsi="Book Antiqua"/>
        </w:rPr>
        <w:t>Section of Nephrology, Department of Medicine, New Orleans, L</w:t>
      </w:r>
      <w:r>
        <w:rPr>
          <w:rFonts w:ascii="Book Antiqua" w:hAnsi="Book Antiqua"/>
          <w:lang w:eastAsia="zh-CN"/>
        </w:rPr>
        <w:t>A</w:t>
      </w:r>
      <w:r w:rsidRPr="0011258C">
        <w:rPr>
          <w:rFonts w:ascii="Book Antiqua" w:hAnsi="Book Antiqua"/>
          <w:lang w:eastAsia="zh-CN"/>
        </w:rPr>
        <w:t xml:space="preserve"> </w:t>
      </w:r>
      <w:r w:rsidRPr="0011258C">
        <w:rPr>
          <w:rFonts w:ascii="Book Antiqua" w:hAnsi="Book Antiqua"/>
        </w:rPr>
        <w:t>70112, U</w:t>
      </w:r>
      <w:r>
        <w:rPr>
          <w:rFonts w:ascii="Book Antiqua" w:hAnsi="Book Antiqua"/>
          <w:lang w:eastAsia="zh-CN"/>
        </w:rPr>
        <w:t>nited States</w:t>
      </w: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rPr>
      </w:pPr>
      <w:r w:rsidRPr="0011258C">
        <w:rPr>
          <w:rFonts w:ascii="Book Antiqua" w:hAnsi="Book Antiqua"/>
          <w:b/>
        </w:rPr>
        <w:t>Author contributions:</w:t>
      </w:r>
      <w:r>
        <w:rPr>
          <w:rFonts w:ascii="Book Antiqua" w:hAnsi="Book Antiqua"/>
          <w:b/>
          <w:lang w:eastAsia="zh-CN"/>
        </w:rPr>
        <w:t xml:space="preserve"> </w:t>
      </w:r>
      <w:r w:rsidRPr="0011258C">
        <w:rPr>
          <w:rFonts w:ascii="Book Antiqua" w:hAnsi="Book Antiqua"/>
        </w:rPr>
        <w:t>Khan</w:t>
      </w:r>
      <w:r>
        <w:rPr>
          <w:rFonts w:ascii="Book Antiqua" w:hAnsi="Book Antiqua"/>
          <w:lang w:eastAsia="zh-CN"/>
        </w:rPr>
        <w:t xml:space="preserve"> L</w:t>
      </w:r>
      <w:r>
        <w:rPr>
          <w:rFonts w:ascii="Book Antiqua" w:hAnsi="Book Antiqua"/>
        </w:rPr>
        <w:t>,</w:t>
      </w:r>
      <w:r>
        <w:rPr>
          <w:rFonts w:ascii="Book Antiqua" w:hAnsi="Book Antiqua"/>
          <w:lang w:eastAsia="zh-CN"/>
        </w:rPr>
        <w:t xml:space="preserve"> </w:t>
      </w:r>
      <w:r w:rsidRPr="0011258C">
        <w:rPr>
          <w:rFonts w:ascii="Book Antiqua" w:hAnsi="Book Antiqua"/>
        </w:rPr>
        <w:t>Killackey</w:t>
      </w:r>
      <w:r>
        <w:rPr>
          <w:rFonts w:ascii="Book Antiqua" w:hAnsi="Book Antiqua"/>
          <w:lang w:eastAsia="zh-CN"/>
        </w:rPr>
        <w:t xml:space="preserve"> M</w:t>
      </w:r>
      <w:r w:rsidRPr="0011258C">
        <w:rPr>
          <w:rFonts w:ascii="Book Antiqua" w:hAnsi="Book Antiqua"/>
        </w:rPr>
        <w:t>, Kumbala</w:t>
      </w:r>
      <w:r>
        <w:rPr>
          <w:rFonts w:ascii="Book Antiqua" w:hAnsi="Book Antiqua"/>
          <w:lang w:eastAsia="zh-CN"/>
        </w:rPr>
        <w:t xml:space="preserve"> D</w:t>
      </w:r>
      <w:r w:rsidRPr="0011258C">
        <w:rPr>
          <w:rFonts w:ascii="Book Antiqua" w:hAnsi="Book Antiqua"/>
        </w:rPr>
        <w:t xml:space="preserve"> and </w:t>
      </w:r>
      <w:r w:rsidRPr="0011258C">
        <w:rPr>
          <w:rFonts w:ascii="Book Antiqua" w:hAnsi="Book Antiqua"/>
          <w:bCs/>
        </w:rPr>
        <w:t>LaGuardia</w:t>
      </w:r>
      <w:r>
        <w:rPr>
          <w:rFonts w:ascii="Book Antiqua" w:hAnsi="Book Antiqua"/>
          <w:bCs/>
          <w:lang w:eastAsia="zh-CN"/>
        </w:rPr>
        <w:t xml:space="preserve"> H</w:t>
      </w:r>
      <w:r w:rsidRPr="0011258C">
        <w:rPr>
          <w:rFonts w:ascii="Book Antiqua" w:hAnsi="Book Antiqua"/>
        </w:rPr>
        <w:t xml:space="preserve"> participated in data collection; Liu </w:t>
      </w:r>
      <w:r>
        <w:rPr>
          <w:rFonts w:ascii="Book Antiqua" w:hAnsi="Book Antiqua"/>
          <w:lang w:eastAsia="zh-CN"/>
        </w:rPr>
        <w:t xml:space="preserve">YJ </w:t>
      </w:r>
      <w:r w:rsidRPr="0011258C">
        <w:rPr>
          <w:rFonts w:ascii="Book Antiqua" w:hAnsi="Book Antiqua"/>
        </w:rPr>
        <w:t>and Qin</w:t>
      </w:r>
      <w:r>
        <w:rPr>
          <w:rFonts w:ascii="Book Antiqua" w:hAnsi="Book Antiqua"/>
          <w:lang w:eastAsia="zh-CN"/>
        </w:rPr>
        <w:t xml:space="preserve"> HZ</w:t>
      </w:r>
      <w:r w:rsidRPr="0011258C">
        <w:rPr>
          <w:rFonts w:ascii="Book Antiqua" w:hAnsi="Book Antiqua"/>
        </w:rPr>
        <w:t xml:space="preserve"> participated in data analysis; </w:t>
      </w:r>
      <w:r w:rsidRPr="0011258C">
        <w:rPr>
          <w:rFonts w:ascii="Book Antiqua" w:hAnsi="Book Antiqua"/>
          <w:bCs/>
        </w:rPr>
        <w:t>Alper</w:t>
      </w:r>
      <w:r>
        <w:rPr>
          <w:rFonts w:ascii="Book Antiqua" w:hAnsi="Book Antiqua"/>
          <w:bCs/>
          <w:lang w:eastAsia="zh-CN"/>
        </w:rPr>
        <w:t xml:space="preserve"> B</w:t>
      </w:r>
      <w:r w:rsidRPr="0011258C">
        <w:rPr>
          <w:rFonts w:ascii="Book Antiqua" w:hAnsi="Book Antiqua"/>
          <w:bCs/>
        </w:rPr>
        <w:t xml:space="preserve">, </w:t>
      </w:r>
      <w:r w:rsidRPr="0011258C">
        <w:rPr>
          <w:rFonts w:ascii="Book Antiqua" w:hAnsi="Book Antiqua"/>
        </w:rPr>
        <w:t>Paramesh</w:t>
      </w:r>
      <w:r>
        <w:rPr>
          <w:rFonts w:ascii="Book Antiqua" w:hAnsi="Book Antiqua"/>
          <w:lang w:eastAsia="zh-CN"/>
        </w:rPr>
        <w:t xml:space="preserve"> A</w:t>
      </w:r>
      <w:r w:rsidRPr="0011258C">
        <w:rPr>
          <w:rFonts w:ascii="Book Antiqua" w:hAnsi="Book Antiqua"/>
        </w:rPr>
        <w:t xml:space="preserve"> and Buell</w:t>
      </w:r>
      <w:r>
        <w:rPr>
          <w:rFonts w:ascii="Book Antiqua" w:hAnsi="Book Antiqua"/>
          <w:lang w:eastAsia="zh-CN"/>
        </w:rPr>
        <w:t xml:space="preserve"> J</w:t>
      </w:r>
      <w:r w:rsidRPr="0011258C">
        <w:rPr>
          <w:rFonts w:ascii="Book Antiqua" w:hAnsi="Book Antiqua"/>
        </w:rPr>
        <w:t xml:space="preserve"> participated in editing; Zhang</w:t>
      </w:r>
      <w:r>
        <w:rPr>
          <w:rFonts w:ascii="Book Antiqua" w:hAnsi="Book Antiqua"/>
          <w:lang w:eastAsia="zh-CN"/>
        </w:rPr>
        <w:t xml:space="preserve"> RB</w:t>
      </w:r>
      <w:r w:rsidRPr="0011258C">
        <w:rPr>
          <w:rFonts w:ascii="Book Antiqua" w:hAnsi="Book Antiqua"/>
        </w:rPr>
        <w:t xml:space="preserve"> participated in research design and writing.</w:t>
      </w:r>
    </w:p>
    <w:p w:rsidR="002D0694" w:rsidRPr="0011258C" w:rsidRDefault="002D0694" w:rsidP="002E6733">
      <w:pPr>
        <w:spacing w:line="360" w:lineRule="auto"/>
        <w:jc w:val="both"/>
        <w:rPr>
          <w:rFonts w:ascii="Book Antiqua" w:hAnsi="Book Antiqua"/>
          <w:b/>
          <w:lang w:eastAsia="zh-CN"/>
        </w:rPr>
      </w:pPr>
    </w:p>
    <w:p w:rsidR="002D0694" w:rsidRDefault="002D0694" w:rsidP="002E6733">
      <w:pPr>
        <w:spacing w:line="360" w:lineRule="auto"/>
        <w:jc w:val="both"/>
        <w:rPr>
          <w:rFonts w:ascii="Book Antiqua" w:hAnsi="Book Antiqua"/>
          <w:lang w:eastAsia="zh-CN"/>
        </w:rPr>
      </w:pPr>
      <w:r w:rsidRPr="0011258C">
        <w:rPr>
          <w:rFonts w:ascii="Book Antiqua" w:hAnsi="Book Antiqua"/>
          <w:b/>
        </w:rPr>
        <w:t>Correspondence to:</w:t>
      </w:r>
      <w:r w:rsidRPr="0011258C">
        <w:rPr>
          <w:rFonts w:ascii="Book Antiqua" w:hAnsi="Book Antiqua"/>
        </w:rPr>
        <w:t xml:space="preserve"> </w:t>
      </w:r>
      <w:smartTag w:uri="urn:schemas-microsoft-com:office:smarttags" w:element="City">
        <w:r w:rsidRPr="0011258C">
          <w:rPr>
            <w:rFonts w:ascii="Book Antiqua" w:hAnsi="Book Antiqua"/>
            <w:b/>
          </w:rPr>
          <w:t>Rubin Zhang</w:t>
        </w:r>
      </w:smartTag>
      <w:r w:rsidRPr="0011258C">
        <w:rPr>
          <w:rFonts w:ascii="Book Antiqua" w:hAnsi="Book Antiqua"/>
          <w:b/>
        </w:rPr>
        <w:t xml:space="preserve">, </w:t>
      </w:r>
      <w:smartTag w:uri="urn:schemas-microsoft-com:office:smarttags" w:element="State">
        <w:r w:rsidRPr="0011258C">
          <w:rPr>
            <w:rFonts w:ascii="Book Antiqua" w:hAnsi="Book Antiqua"/>
            <w:b/>
          </w:rPr>
          <w:t>MD</w:t>
        </w:r>
      </w:smartTag>
      <w:r w:rsidRPr="0011258C">
        <w:rPr>
          <w:rFonts w:ascii="Book Antiqua" w:hAnsi="Book Antiqua"/>
          <w:b/>
        </w:rPr>
        <w:t xml:space="preserve">, FASN, Professor </w:t>
      </w:r>
      <w:r w:rsidRPr="00FB3802">
        <w:rPr>
          <w:rFonts w:ascii="Book Antiqua" w:hAnsi="Book Antiqua"/>
        </w:rPr>
        <w:t>of Clinical Medicine</w:t>
      </w:r>
      <w:r w:rsidRPr="0011258C">
        <w:rPr>
          <w:rFonts w:ascii="Book Antiqua" w:hAnsi="Book Antiqua"/>
        </w:rPr>
        <w:t xml:space="preserve">, Section of Nephrology, Department of Medicine, </w:t>
      </w:r>
      <w:smartTag w:uri="urn:schemas-microsoft-com:office:smarttags" w:element="address">
        <w:smartTag w:uri="urn:schemas-microsoft-com:office:smarttags" w:element="Street">
          <w:r w:rsidRPr="0011258C">
            <w:rPr>
              <w:rFonts w:ascii="Book Antiqua" w:hAnsi="Book Antiqua"/>
            </w:rPr>
            <w:t>1430 Tulane Ave</w:t>
          </w:r>
        </w:smartTag>
      </w:smartTag>
      <w:r w:rsidRPr="0011258C">
        <w:rPr>
          <w:rFonts w:ascii="Book Antiqua" w:hAnsi="Book Antiqua"/>
        </w:rPr>
        <w:t xml:space="preserve">, Box SL-45, </w:t>
      </w:r>
      <w:smartTag w:uri="urn:schemas-microsoft-com:office:smarttags" w:element="City">
        <w:smartTag w:uri="urn:schemas-microsoft-com:office:smarttags" w:element="place">
          <w:r w:rsidRPr="0011258C">
            <w:rPr>
              <w:rFonts w:ascii="Book Antiqua" w:hAnsi="Book Antiqua"/>
            </w:rPr>
            <w:t>New Orleans</w:t>
          </w:r>
        </w:smartTag>
        <w:r w:rsidRPr="0011258C">
          <w:rPr>
            <w:rFonts w:ascii="Book Antiqua" w:hAnsi="Book Antiqua"/>
          </w:rPr>
          <w:t xml:space="preserve">, </w:t>
        </w:r>
        <w:smartTag w:uri="urn:schemas-microsoft-com:office:smarttags" w:element="State">
          <w:r w:rsidRPr="0011258C">
            <w:rPr>
              <w:rFonts w:ascii="Book Antiqua" w:hAnsi="Book Antiqua"/>
            </w:rPr>
            <w:t>L</w:t>
          </w:r>
          <w:r>
            <w:rPr>
              <w:rFonts w:ascii="Book Antiqua" w:hAnsi="Book Antiqua"/>
              <w:lang w:eastAsia="zh-CN"/>
            </w:rPr>
            <w:t>A</w:t>
          </w:r>
        </w:smartTag>
        <w:r w:rsidRPr="0011258C">
          <w:rPr>
            <w:rFonts w:ascii="Book Antiqua" w:hAnsi="Book Antiqua"/>
          </w:rPr>
          <w:t xml:space="preserve"> </w:t>
        </w:r>
        <w:smartTag w:uri="urn:schemas-microsoft-com:office:smarttags" w:element="PostalCode">
          <w:r w:rsidRPr="0011258C">
            <w:rPr>
              <w:rFonts w:ascii="Book Antiqua" w:hAnsi="Book Antiqua"/>
            </w:rPr>
            <w:t>70112</w:t>
          </w:r>
        </w:smartTag>
        <w:r w:rsidRPr="0011258C">
          <w:rPr>
            <w:rFonts w:ascii="Book Antiqua" w:hAnsi="Book Antiqua"/>
          </w:rPr>
          <w:t xml:space="preserve">, </w:t>
        </w:r>
        <w:smartTag w:uri="urn:schemas-microsoft-com:office:smarttags" w:element="country-region">
          <w:r w:rsidRPr="0011258C">
            <w:rPr>
              <w:rFonts w:ascii="Book Antiqua" w:hAnsi="Book Antiqua"/>
            </w:rPr>
            <w:t>U</w:t>
          </w:r>
          <w:r>
            <w:rPr>
              <w:rFonts w:ascii="Book Antiqua" w:hAnsi="Book Antiqua"/>
              <w:lang w:eastAsia="zh-CN"/>
            </w:rPr>
            <w:t>nited States</w:t>
          </w:r>
        </w:smartTag>
      </w:smartTag>
      <w:r w:rsidRPr="0011258C">
        <w:rPr>
          <w:rFonts w:ascii="Book Antiqua" w:hAnsi="Book Antiqua"/>
        </w:rPr>
        <w:t xml:space="preserve">. </w:t>
      </w:r>
      <w:r w:rsidRPr="00AC4A0C">
        <w:rPr>
          <w:rFonts w:ascii="Book Antiqua" w:hAnsi="Book Antiqua"/>
        </w:rPr>
        <w:t>rzhang@tulane.edu</w:t>
      </w:r>
    </w:p>
    <w:p w:rsidR="002D0694" w:rsidRPr="0011258C" w:rsidRDefault="002D0694" w:rsidP="002E6733">
      <w:pPr>
        <w:spacing w:line="360" w:lineRule="auto"/>
        <w:rPr>
          <w:rFonts w:ascii="Book Antiqua" w:hAnsi="Book Antiqua"/>
          <w:lang w:eastAsia="zh-CN"/>
        </w:rPr>
      </w:pPr>
      <w:r w:rsidRPr="0011258C">
        <w:rPr>
          <w:rFonts w:ascii="Book Antiqua" w:hAnsi="Book Antiqua"/>
          <w:b/>
        </w:rPr>
        <w:t>Telephone:</w:t>
      </w:r>
      <w:r w:rsidRPr="0011258C">
        <w:rPr>
          <w:rFonts w:ascii="Book Antiqua" w:hAnsi="Book Antiqua"/>
        </w:rPr>
        <w:t xml:space="preserve"> </w:t>
      </w:r>
      <w:r w:rsidRPr="0011258C">
        <w:rPr>
          <w:rFonts w:ascii="Book Antiqua" w:hAnsi="Book Antiqua"/>
          <w:lang w:eastAsia="zh-CN"/>
        </w:rPr>
        <w:t xml:space="preserve">+1-504-9881457                              </w:t>
      </w:r>
      <w:r w:rsidRPr="0011258C">
        <w:rPr>
          <w:rFonts w:ascii="Book Antiqua" w:hAnsi="Book Antiqua"/>
          <w:b/>
        </w:rPr>
        <w:t xml:space="preserve">Fax: </w:t>
      </w:r>
      <w:r w:rsidRPr="0011258C">
        <w:rPr>
          <w:rFonts w:ascii="Book Antiqua" w:hAnsi="Book Antiqua"/>
        </w:rPr>
        <w:t>+</w:t>
      </w:r>
      <w:r w:rsidRPr="0011258C">
        <w:rPr>
          <w:rFonts w:ascii="Book Antiqua" w:hAnsi="Book Antiqua"/>
          <w:lang w:eastAsia="zh-CN"/>
        </w:rPr>
        <w:t>1-504-9881105</w:t>
      </w:r>
    </w:p>
    <w:p w:rsidR="002D0694" w:rsidRPr="0011258C" w:rsidRDefault="002D0694" w:rsidP="002E6733">
      <w:pPr>
        <w:spacing w:line="360" w:lineRule="auto"/>
        <w:jc w:val="both"/>
        <w:rPr>
          <w:rFonts w:ascii="Book Antiqua" w:hAnsi="Book Antiqua"/>
          <w:b/>
          <w:lang w:eastAsia="zh-CN"/>
        </w:rPr>
      </w:pPr>
    </w:p>
    <w:p w:rsidR="002D0694" w:rsidRPr="0011258C" w:rsidRDefault="002D0694" w:rsidP="002E6733">
      <w:pPr>
        <w:spacing w:line="360" w:lineRule="auto"/>
        <w:rPr>
          <w:rFonts w:ascii="Book Antiqua" w:hAnsi="Book Antiqua"/>
          <w:lang w:eastAsia="zh-CN"/>
        </w:rPr>
      </w:pPr>
      <w:bookmarkStart w:id="1" w:name="OLE_LINK5"/>
      <w:bookmarkStart w:id="2" w:name="OLE_LINK4"/>
      <w:r w:rsidRPr="0011258C">
        <w:rPr>
          <w:rFonts w:ascii="Book Antiqua" w:hAnsi="Book Antiqua"/>
          <w:b/>
        </w:rPr>
        <w:t>Received:</w:t>
      </w:r>
      <w:r w:rsidRPr="0011258C">
        <w:rPr>
          <w:rFonts w:ascii="Book Antiqua" w:hAnsi="Book Antiqua"/>
        </w:rPr>
        <w:t xml:space="preserve"> April</w:t>
      </w:r>
      <w:r w:rsidRPr="0011258C">
        <w:rPr>
          <w:rFonts w:ascii="Book Antiqua" w:hAnsi="Book Antiqua"/>
          <w:lang w:eastAsia="zh-CN"/>
        </w:rPr>
        <w:t xml:space="preserve"> 4</w:t>
      </w:r>
      <w:r w:rsidRPr="0011258C">
        <w:rPr>
          <w:rFonts w:ascii="Book Antiqua" w:hAnsi="Book Antiqua"/>
        </w:rPr>
        <w:t>, 201</w:t>
      </w:r>
      <w:r w:rsidRPr="0011258C">
        <w:rPr>
          <w:rFonts w:ascii="Book Antiqua" w:hAnsi="Book Antiqua"/>
          <w:lang w:eastAsia="zh-CN"/>
        </w:rPr>
        <w:t>4</w:t>
      </w:r>
      <w:r w:rsidRPr="0011258C">
        <w:rPr>
          <w:rFonts w:ascii="Book Antiqua" w:hAnsi="Book Antiqua"/>
          <w:b/>
        </w:rPr>
        <w:t xml:space="preserve">       </w:t>
      </w:r>
      <w:r w:rsidRPr="0011258C">
        <w:rPr>
          <w:rFonts w:ascii="Book Antiqua" w:hAnsi="Book Antiqua"/>
        </w:rPr>
        <w:t xml:space="preserve"> </w:t>
      </w:r>
      <w:r w:rsidRPr="0011258C">
        <w:rPr>
          <w:rFonts w:ascii="Book Antiqua" w:hAnsi="Book Antiqua"/>
          <w:b/>
        </w:rPr>
        <w:t xml:space="preserve">Revised: </w:t>
      </w:r>
      <w:r w:rsidRPr="0011258C">
        <w:rPr>
          <w:rFonts w:ascii="Book Antiqua" w:hAnsi="Book Antiqua"/>
        </w:rPr>
        <w:t>June</w:t>
      </w:r>
      <w:r w:rsidRPr="0011258C">
        <w:rPr>
          <w:rFonts w:ascii="Book Antiqua" w:hAnsi="Book Antiqua"/>
          <w:lang w:eastAsia="zh-CN"/>
        </w:rPr>
        <w:t xml:space="preserve"> 25</w:t>
      </w:r>
      <w:r w:rsidRPr="0011258C">
        <w:rPr>
          <w:rFonts w:ascii="Book Antiqua" w:hAnsi="Book Antiqua"/>
        </w:rPr>
        <w:t>, 201</w:t>
      </w:r>
      <w:r w:rsidRPr="0011258C">
        <w:rPr>
          <w:rFonts w:ascii="Book Antiqua" w:hAnsi="Book Antiqua"/>
          <w:lang w:eastAsia="zh-CN"/>
        </w:rPr>
        <w:t>4</w:t>
      </w:r>
    </w:p>
    <w:p w:rsidR="006914BD" w:rsidRDefault="002D0694" w:rsidP="006914BD">
      <w:pPr>
        <w:rPr>
          <w:rFonts w:ascii="Book Antiqua" w:hAnsi="Book Antiqua"/>
          <w:color w:val="000000"/>
        </w:rPr>
      </w:pPr>
      <w:r w:rsidRPr="0011258C">
        <w:rPr>
          <w:rFonts w:ascii="Book Antiqua" w:hAnsi="Book Antiqua"/>
          <w:b/>
        </w:rPr>
        <w:t xml:space="preserve">Accepted: </w:t>
      </w:r>
      <w:bookmarkStart w:id="3" w:name="OLE_LINK1"/>
      <w:bookmarkStart w:id="4" w:name="OLE_LINK2"/>
      <w:bookmarkStart w:id="5" w:name="OLE_LINK3"/>
      <w:bookmarkStart w:id="6" w:name="OLE_LINK6"/>
      <w:bookmarkStart w:id="7" w:name="OLE_LINK7"/>
      <w:bookmarkStart w:id="8" w:name="OLE_LINK9"/>
      <w:bookmarkStart w:id="9" w:name="OLE_LINK10"/>
      <w:bookmarkStart w:id="10" w:name="OLE_LINK13"/>
      <w:bookmarkStart w:id="11" w:name="OLE_LINK14"/>
      <w:bookmarkStart w:id="12" w:name="OLE_LINK17"/>
      <w:bookmarkStart w:id="13" w:name="OLE_LINK18"/>
      <w:bookmarkStart w:id="14" w:name="OLE_LINK19"/>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r w:rsidR="006914BD">
        <w:rPr>
          <w:rFonts w:ascii="Book Antiqua" w:hAnsi="Book Antiqua"/>
          <w:color w:val="000000"/>
        </w:rPr>
        <w:t>July 27, 2014</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2D0694" w:rsidRPr="0011258C" w:rsidRDefault="002D0694" w:rsidP="002E6733">
      <w:pPr>
        <w:spacing w:line="360" w:lineRule="auto"/>
        <w:rPr>
          <w:rFonts w:ascii="Book Antiqua" w:hAnsi="Book Antiqua"/>
        </w:rPr>
      </w:pPr>
    </w:p>
    <w:p w:rsidR="002D0694" w:rsidRPr="0011258C" w:rsidRDefault="002D0694" w:rsidP="002E6733">
      <w:pPr>
        <w:spacing w:line="360" w:lineRule="auto"/>
        <w:rPr>
          <w:rFonts w:ascii="Book Antiqua" w:hAnsi="Book Antiqua"/>
        </w:rPr>
      </w:pPr>
      <w:r w:rsidRPr="0011258C">
        <w:rPr>
          <w:rFonts w:ascii="Book Antiqua" w:hAnsi="Book Antiqua"/>
          <w:b/>
        </w:rPr>
        <w:lastRenderedPageBreak/>
        <w:t xml:space="preserve">Published online: </w:t>
      </w:r>
      <w:bookmarkEnd w:id="1"/>
      <w:bookmarkEnd w:id="2"/>
    </w:p>
    <w:p w:rsidR="002D0694" w:rsidRPr="0011258C" w:rsidRDefault="002D0694" w:rsidP="002E6733">
      <w:pPr>
        <w:spacing w:line="360" w:lineRule="auto"/>
        <w:jc w:val="both"/>
        <w:rPr>
          <w:rFonts w:ascii="Book Antiqua" w:hAnsi="Book Antiqua"/>
          <w:lang w:eastAsia="zh-CN"/>
        </w:rPr>
      </w:pPr>
      <w:r w:rsidRPr="0011258C">
        <w:rPr>
          <w:rFonts w:ascii="Book Antiqua" w:hAnsi="Book Antiqua"/>
          <w:b/>
        </w:rPr>
        <w:t>Abstract</w:t>
      </w:r>
      <w:r w:rsidRPr="0011258C">
        <w:rPr>
          <w:rFonts w:ascii="Book Antiqua" w:hAnsi="Book Antiqua"/>
        </w:rPr>
        <w:t xml:space="preserve"> </w:t>
      </w:r>
    </w:p>
    <w:p w:rsidR="002D0694" w:rsidRPr="0011258C" w:rsidRDefault="002D0694" w:rsidP="002E6733">
      <w:pPr>
        <w:spacing w:line="360" w:lineRule="auto"/>
        <w:jc w:val="both"/>
        <w:rPr>
          <w:rFonts w:ascii="Book Antiqua" w:hAnsi="Book Antiqua"/>
          <w:lang w:eastAsia="zh-CN"/>
        </w:rPr>
      </w:pPr>
      <w:r w:rsidRPr="0011258C">
        <w:rPr>
          <w:rFonts w:ascii="Book Antiqua" w:hAnsi="Book Antiqua"/>
          <w:b/>
        </w:rPr>
        <w:t>AIM:</w:t>
      </w:r>
      <w:r w:rsidRPr="0011258C">
        <w:rPr>
          <w:rFonts w:ascii="Book Antiqua" w:hAnsi="Book Antiqua"/>
        </w:rPr>
        <w:t xml:space="preserve"> To study the long-term outcome of ketoconazole and tacrolimus combination in kidney transplant recipients.  </w:t>
      </w: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r w:rsidRPr="0011258C">
        <w:rPr>
          <w:rFonts w:ascii="Book Antiqua" w:hAnsi="Book Antiqua"/>
          <w:b/>
        </w:rPr>
        <w:t>METHODS:</w:t>
      </w:r>
      <w:r w:rsidRPr="0011258C">
        <w:rPr>
          <w:rFonts w:ascii="Book Antiqua" w:hAnsi="Book Antiqua"/>
          <w:b/>
          <w:lang w:eastAsia="zh-CN"/>
        </w:rPr>
        <w:t xml:space="preserve"> </w:t>
      </w:r>
      <w:r w:rsidRPr="0011258C">
        <w:rPr>
          <w:rFonts w:ascii="Book Antiqua" w:hAnsi="Book Antiqua"/>
        </w:rPr>
        <w:t>From 2006 to 2010, ketoconazole was given in 199 patients and was continued for at least 1 year or until graft failure (Group 1), while 149 patients did not recei</w:t>
      </w:r>
      <w:r>
        <w:rPr>
          <w:rFonts w:ascii="Book Antiqua" w:hAnsi="Book Antiqua"/>
        </w:rPr>
        <w:t xml:space="preserve">ve any ketoconazole (Group 2). </w:t>
      </w:r>
      <w:r w:rsidRPr="0011258C">
        <w:rPr>
          <w:rFonts w:ascii="Book Antiqua" w:hAnsi="Book Antiqua"/>
        </w:rPr>
        <w:t xml:space="preserve">A combination of tacrolimus, mycophenolate and steroid was used as maintenance therapy. High risk patients received basiliximab induction. </w:t>
      </w: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r w:rsidRPr="0011258C">
        <w:rPr>
          <w:rFonts w:ascii="Book Antiqua" w:hAnsi="Book Antiqua"/>
          <w:b/>
        </w:rPr>
        <w:t>RESULTS:</w:t>
      </w:r>
      <w:r w:rsidRPr="0011258C">
        <w:rPr>
          <w:rFonts w:ascii="Book Antiqua" w:hAnsi="Book Antiqua"/>
        </w:rPr>
        <w:t xml:space="preserve"> Basic demographic data was similar between the 2 groups. The 5-year cumulative incidence of biopsy-confirmed and clinically-treated acute rejection was significantly higher in Group 1 than in Group 2 (34%</w:t>
      </w:r>
      <w:r w:rsidRPr="0011258C">
        <w:rPr>
          <w:rFonts w:ascii="Book Antiqua" w:hAnsi="Book Antiqua"/>
          <w:lang w:eastAsia="zh-CN"/>
        </w:rPr>
        <w:t xml:space="preserve"> </w:t>
      </w:r>
      <w:r w:rsidRPr="0011258C">
        <w:rPr>
          <w:rFonts w:ascii="Book Antiqua" w:hAnsi="Book Antiqua"/>
          <w:i/>
        </w:rPr>
        <w:t>vs</w:t>
      </w:r>
      <w:r>
        <w:rPr>
          <w:rFonts w:ascii="Book Antiqua" w:hAnsi="Book Antiqua"/>
          <w:lang w:eastAsia="zh-CN"/>
        </w:rPr>
        <w:t xml:space="preserve"> </w:t>
      </w:r>
      <w:r w:rsidRPr="0011258C">
        <w:rPr>
          <w:rFonts w:ascii="Book Antiqua" w:hAnsi="Book Antiqua"/>
        </w:rPr>
        <w:t xml:space="preserve">18%, </w:t>
      </w:r>
      <w:r w:rsidRPr="00FB3802">
        <w:rPr>
          <w:rFonts w:ascii="Book Antiqua" w:hAnsi="Book Antiqua"/>
          <w:i/>
          <w:lang w:eastAsia="zh-CN"/>
        </w:rPr>
        <w:t xml:space="preserve">P </w:t>
      </w:r>
      <w:r w:rsidRPr="0011258C">
        <w:rPr>
          <w:rFonts w:ascii="Book Antiqua" w:hAnsi="Book Antiqua"/>
        </w:rPr>
        <w:t>=</w:t>
      </w:r>
      <w:r w:rsidRPr="0011258C">
        <w:rPr>
          <w:rFonts w:ascii="Book Antiqua" w:hAnsi="Book Antiqua"/>
          <w:lang w:eastAsia="zh-CN"/>
        </w:rPr>
        <w:t xml:space="preserve"> </w:t>
      </w:r>
      <w:r>
        <w:rPr>
          <w:rFonts w:ascii="Book Antiqua" w:hAnsi="Book Antiqua"/>
        </w:rPr>
        <w:t xml:space="preserve">0.01). </w:t>
      </w:r>
      <w:r w:rsidRPr="0011258C">
        <w:rPr>
          <w:rFonts w:ascii="Book Antiqua" w:hAnsi="Book Antiqua"/>
        </w:rPr>
        <w:t xml:space="preserve">The 5-year Kaplan-Meier estimated graft survival (74.3% </w:t>
      </w:r>
      <w:r w:rsidRPr="002840D7">
        <w:rPr>
          <w:rFonts w:ascii="Book Antiqua" w:hAnsi="Book Antiqua"/>
          <w:i/>
        </w:rPr>
        <w:t>vs</w:t>
      </w:r>
      <w:r w:rsidRPr="0011258C">
        <w:rPr>
          <w:rFonts w:ascii="Book Antiqua" w:hAnsi="Book Antiqua"/>
        </w:rPr>
        <w:t xml:space="preserve"> 76.4%, </w:t>
      </w:r>
      <w:r>
        <w:rPr>
          <w:rFonts w:eastAsia="FZKTJW--GB1-0"/>
          <w:i/>
          <w:color w:val="231F20"/>
          <w:lang w:eastAsia="zh-CN"/>
        </w:rPr>
        <w:t>P</w:t>
      </w:r>
      <w:r w:rsidRPr="0011258C">
        <w:rPr>
          <w:rFonts w:ascii="Book Antiqua" w:hAnsi="Book Antiqua"/>
        </w:rPr>
        <w:t xml:space="preserve"> =</w:t>
      </w:r>
      <w:r>
        <w:rPr>
          <w:rFonts w:ascii="Book Antiqua" w:hAnsi="Book Antiqua"/>
          <w:lang w:eastAsia="zh-CN"/>
        </w:rPr>
        <w:t xml:space="preserve"> </w:t>
      </w:r>
      <w:r w:rsidRPr="0011258C">
        <w:rPr>
          <w:rFonts w:ascii="Book Antiqua" w:hAnsi="Book Antiqua"/>
        </w:rPr>
        <w:t>0.58) and patient survival (87.8%</w:t>
      </w:r>
      <w:r w:rsidRPr="0011258C">
        <w:rPr>
          <w:rFonts w:ascii="Book Antiqua" w:hAnsi="Book Antiqua"/>
          <w:lang w:eastAsia="zh-CN"/>
        </w:rPr>
        <w:t xml:space="preserve"> </w:t>
      </w:r>
      <w:r w:rsidRPr="0011258C">
        <w:rPr>
          <w:rFonts w:ascii="Book Antiqua" w:hAnsi="Book Antiqua"/>
          <w:i/>
        </w:rPr>
        <w:t>vs</w:t>
      </w:r>
      <w:r w:rsidRPr="0011258C">
        <w:rPr>
          <w:rFonts w:ascii="Book Antiqua" w:hAnsi="Book Antiqua"/>
        </w:rPr>
        <w:t xml:space="preserve"> 87.5%, </w:t>
      </w:r>
      <w:r>
        <w:rPr>
          <w:rFonts w:ascii="Book Antiqua" w:hAnsi="Book Antiqua"/>
          <w:i/>
          <w:lang w:eastAsia="zh-CN"/>
        </w:rPr>
        <w:t>P</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 xml:space="preserve">0.93) were not different between the 2 groups. Multivariable analyses identified ketoconazole usage as an independent risk of acute rejection </w:t>
      </w:r>
      <w:r>
        <w:rPr>
          <w:rFonts w:ascii="Book Antiqua" w:hAnsi="Book Antiqua"/>
          <w:lang w:eastAsia="zh-CN"/>
        </w:rPr>
        <w:t>[h</w:t>
      </w:r>
      <w:r w:rsidRPr="00FB3802">
        <w:rPr>
          <w:rFonts w:ascii="Book Antiqua" w:hAnsi="Book Antiqua"/>
          <w:lang w:eastAsia="zh-CN"/>
        </w:rPr>
        <w:t>azard ratio</w:t>
      </w:r>
      <w:r w:rsidRPr="0011258C">
        <w:rPr>
          <w:rFonts w:ascii="Book Antiqua" w:hAnsi="Book Antiqua"/>
        </w:rPr>
        <w:t xml:space="preserve"> </w:t>
      </w:r>
      <w:r>
        <w:rPr>
          <w:rFonts w:ascii="Book Antiqua" w:hAnsi="Book Antiqua"/>
          <w:lang w:eastAsia="zh-CN"/>
        </w:rPr>
        <w:t>(</w:t>
      </w:r>
      <w:r w:rsidRPr="0011258C">
        <w:rPr>
          <w:rFonts w:ascii="Book Antiqua" w:hAnsi="Book Antiqua"/>
        </w:rPr>
        <w:t>HR</w:t>
      </w:r>
      <w:r>
        <w:rPr>
          <w:rFonts w:ascii="Book Antiqua" w:hAnsi="Book Antiqua"/>
          <w:lang w:eastAsia="zh-CN"/>
        </w:rPr>
        <w:t>)</w:t>
      </w:r>
      <w:r>
        <w:rPr>
          <w:rFonts w:ascii="Book Antiqua" w:hAnsi="Book Antiqua"/>
        </w:rPr>
        <w:t xml:space="preserve"> 2.33, 95%</w:t>
      </w:r>
      <w:r w:rsidRPr="0011258C">
        <w:rPr>
          <w:rFonts w:ascii="Book Antiqua" w:hAnsi="Book Antiqua"/>
        </w:rPr>
        <w:t>C</w:t>
      </w:r>
      <w:r>
        <w:rPr>
          <w:rFonts w:ascii="Book Antiqua" w:hAnsi="Book Antiqua"/>
          <w:lang w:eastAsia="zh-CN"/>
        </w:rPr>
        <w:t>I</w:t>
      </w:r>
      <w:r w:rsidR="00786FE5">
        <w:rPr>
          <w:rFonts w:ascii="Book Antiqua" w:hAnsi="Book Antiqua" w:hint="eastAsia"/>
          <w:lang w:eastAsia="zh-CN"/>
        </w:rPr>
        <w:t>:</w:t>
      </w:r>
      <w:r w:rsidRPr="0011258C">
        <w:rPr>
          <w:rFonts w:ascii="Book Antiqua" w:hAnsi="Book Antiqua"/>
        </w:rPr>
        <w:t xml:space="preserve"> 1.33-4.07; </w:t>
      </w:r>
      <w:r w:rsidRPr="00E71F3C">
        <w:rPr>
          <w:rFonts w:ascii="Book Antiqua" w:hAnsi="Book Antiqua"/>
          <w:i/>
          <w:lang w:eastAsia="zh-CN"/>
        </w:rPr>
        <w:t>P</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0.003</w:t>
      </w:r>
      <w:r>
        <w:rPr>
          <w:rFonts w:ascii="Book Antiqua" w:hAnsi="Book Antiqua"/>
          <w:lang w:eastAsia="zh-CN"/>
        </w:rPr>
        <w:t>]</w:t>
      </w:r>
      <w:r w:rsidRPr="0011258C">
        <w:rPr>
          <w:rFonts w:ascii="Book Antiqua" w:hAnsi="Book Antiqua"/>
        </w:rPr>
        <w:t xml:space="preserve"> while tacrolimus dose in the 2</w:t>
      </w:r>
      <w:r w:rsidRPr="00FB3802">
        <w:rPr>
          <w:rFonts w:ascii="Book Antiqua" w:hAnsi="Book Antiqua"/>
          <w:vertAlign w:val="superscript"/>
        </w:rPr>
        <w:t>nd</w:t>
      </w:r>
      <w:r w:rsidRPr="0011258C">
        <w:rPr>
          <w:rFonts w:ascii="Book Antiqua" w:hAnsi="Book Antiqua"/>
        </w:rPr>
        <w:t xml:space="preserve"> mon</w:t>
      </w:r>
      <w:r>
        <w:rPr>
          <w:rFonts w:ascii="Book Antiqua" w:hAnsi="Book Antiqua"/>
        </w:rPr>
        <w:t>th was protective (HR 0.89, 95%C</w:t>
      </w:r>
      <w:r>
        <w:rPr>
          <w:rFonts w:ascii="Book Antiqua" w:hAnsi="Book Antiqua"/>
          <w:lang w:eastAsia="zh-CN"/>
        </w:rPr>
        <w:t>I</w:t>
      </w:r>
      <w:r w:rsidR="00786FE5">
        <w:rPr>
          <w:rFonts w:ascii="Book Antiqua" w:hAnsi="Book Antiqua" w:hint="eastAsia"/>
          <w:lang w:eastAsia="zh-CN"/>
        </w:rPr>
        <w:t>:</w:t>
      </w:r>
      <w:r w:rsidRPr="0011258C">
        <w:rPr>
          <w:rFonts w:ascii="Book Antiqua" w:hAnsi="Book Antiqua"/>
        </w:rPr>
        <w:t xml:space="preserve"> 0.75-0.96; </w:t>
      </w:r>
      <w:r w:rsidRPr="00E71F3C">
        <w:rPr>
          <w:rFonts w:ascii="Book Antiqua" w:hAnsi="Book Antiqua"/>
          <w:i/>
          <w:lang w:eastAsia="zh-CN"/>
        </w:rPr>
        <w:t>P</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 xml:space="preserve">0.041). </w:t>
      </w: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rPr>
      </w:pPr>
      <w:r w:rsidRPr="0011258C">
        <w:rPr>
          <w:rFonts w:ascii="Book Antiqua" w:hAnsi="Book Antiqua"/>
          <w:b/>
        </w:rPr>
        <w:t>CONCLUSION:</w:t>
      </w:r>
      <w:r w:rsidRPr="0011258C">
        <w:rPr>
          <w:rFonts w:ascii="Book Antiqua" w:hAnsi="Book Antiqua" w:cs="Tahoma"/>
          <w:color w:val="0000FF"/>
        </w:rPr>
        <w:t xml:space="preserve"> </w:t>
      </w:r>
      <w:r w:rsidRPr="0011258C">
        <w:rPr>
          <w:rFonts w:ascii="Book Antiqua" w:hAnsi="Book Antiqua"/>
        </w:rPr>
        <w:t>Co-administration of ketoconazole and tacrolimus is associated with significantly higher incidence of acute rejection in kidney transplant recipients.</w:t>
      </w:r>
    </w:p>
    <w:p w:rsidR="002D0694" w:rsidRPr="0011258C" w:rsidRDefault="002D0694" w:rsidP="002E6733">
      <w:pPr>
        <w:spacing w:line="360" w:lineRule="auto"/>
        <w:jc w:val="both"/>
        <w:rPr>
          <w:rFonts w:ascii="Book Antiqua" w:hAnsi="Book Antiqua"/>
          <w:b/>
          <w:lang w:eastAsia="zh-CN"/>
        </w:rPr>
      </w:pPr>
    </w:p>
    <w:p w:rsidR="002D0694" w:rsidRPr="0011258C" w:rsidRDefault="002D0694" w:rsidP="002E6733">
      <w:pPr>
        <w:snapToGrid w:val="0"/>
        <w:spacing w:line="360" w:lineRule="auto"/>
        <w:rPr>
          <w:rFonts w:ascii="Book Antiqua" w:hAnsi="Book Antiqua"/>
        </w:rPr>
      </w:pPr>
      <w:bookmarkStart w:id="57" w:name="OLE_LINK98"/>
      <w:bookmarkStart w:id="58" w:name="OLE_LINK156"/>
      <w:bookmarkStart w:id="59" w:name="OLE_LINK196"/>
      <w:bookmarkStart w:id="60" w:name="OLE_LINK217"/>
      <w:bookmarkStart w:id="61" w:name="OLE_LINK242"/>
      <w:bookmarkStart w:id="62" w:name="OLE_LINK247"/>
      <w:r w:rsidRPr="0011258C">
        <w:rPr>
          <w:rFonts w:ascii="Book Antiqua" w:hAnsi="Book Antiqua"/>
        </w:rPr>
        <w:t xml:space="preserve">© </w:t>
      </w:r>
      <w:bookmarkEnd w:id="57"/>
      <w:bookmarkEnd w:id="58"/>
      <w:bookmarkEnd w:id="59"/>
      <w:bookmarkEnd w:id="60"/>
      <w:bookmarkEnd w:id="61"/>
      <w:bookmarkEnd w:id="62"/>
      <w:r w:rsidRPr="0011258C">
        <w:rPr>
          <w:rFonts w:ascii="Book Antiqua" w:hAnsi="Book Antiqua"/>
        </w:rPr>
        <w:t>2014 Baishideng Publishing Group Inc. All rights reserved.</w:t>
      </w:r>
    </w:p>
    <w:p w:rsidR="002D0694" w:rsidRPr="0011258C" w:rsidRDefault="002D0694" w:rsidP="002E6733">
      <w:pPr>
        <w:spacing w:line="360" w:lineRule="auto"/>
        <w:jc w:val="both"/>
        <w:rPr>
          <w:rFonts w:ascii="Book Antiqua" w:hAnsi="Book Antiqua"/>
          <w:b/>
          <w:lang w:eastAsia="zh-CN"/>
        </w:rPr>
      </w:pPr>
    </w:p>
    <w:p w:rsidR="002D0694" w:rsidRDefault="002D0694" w:rsidP="002E6733">
      <w:pPr>
        <w:spacing w:line="360" w:lineRule="auto"/>
        <w:jc w:val="both"/>
        <w:rPr>
          <w:rFonts w:ascii="Book Antiqua" w:hAnsi="Book Antiqua"/>
          <w:lang w:eastAsia="zh-CN"/>
        </w:rPr>
      </w:pPr>
      <w:r w:rsidRPr="0011258C">
        <w:rPr>
          <w:rFonts w:ascii="Book Antiqua" w:hAnsi="Book Antiqua"/>
          <w:b/>
        </w:rPr>
        <w:t>Key words:</w:t>
      </w:r>
      <w:r w:rsidRPr="0011258C">
        <w:rPr>
          <w:rFonts w:ascii="Book Antiqua" w:hAnsi="Book Antiqua"/>
        </w:rPr>
        <w:t xml:space="preserve"> </w:t>
      </w:r>
      <w:r w:rsidRPr="0011258C">
        <w:rPr>
          <w:rFonts w:ascii="Book Antiqua" w:hAnsi="Book Antiqua"/>
          <w:lang w:eastAsia="zh-CN"/>
        </w:rPr>
        <w:t>K</w:t>
      </w:r>
      <w:r w:rsidRPr="0011258C">
        <w:rPr>
          <w:rFonts w:ascii="Book Antiqua" w:hAnsi="Book Antiqua"/>
        </w:rPr>
        <w:t>idney transplant</w:t>
      </w:r>
      <w:r w:rsidRPr="0011258C">
        <w:rPr>
          <w:rFonts w:ascii="Book Antiqua" w:hAnsi="Book Antiqua"/>
          <w:lang w:eastAsia="zh-CN"/>
        </w:rPr>
        <w:t>; R</w:t>
      </w:r>
      <w:r w:rsidRPr="0011258C">
        <w:rPr>
          <w:rFonts w:ascii="Book Antiqua" w:hAnsi="Book Antiqua"/>
        </w:rPr>
        <w:t>ejection</w:t>
      </w:r>
      <w:r w:rsidRPr="0011258C">
        <w:rPr>
          <w:rFonts w:ascii="Book Antiqua" w:hAnsi="Book Antiqua"/>
          <w:lang w:eastAsia="zh-CN"/>
        </w:rPr>
        <w:t>; S</w:t>
      </w:r>
      <w:r w:rsidRPr="0011258C">
        <w:rPr>
          <w:rFonts w:ascii="Book Antiqua" w:hAnsi="Book Antiqua"/>
        </w:rPr>
        <w:t>urvival</w:t>
      </w:r>
      <w:r w:rsidRPr="0011258C">
        <w:rPr>
          <w:rFonts w:ascii="Book Antiqua" w:hAnsi="Book Antiqua"/>
          <w:lang w:eastAsia="zh-CN"/>
        </w:rPr>
        <w:t>; T</w:t>
      </w:r>
      <w:r w:rsidRPr="0011258C">
        <w:rPr>
          <w:rFonts w:ascii="Book Antiqua" w:hAnsi="Book Antiqua"/>
        </w:rPr>
        <w:t>acrolimus</w:t>
      </w:r>
      <w:r w:rsidRPr="0011258C">
        <w:rPr>
          <w:rFonts w:ascii="Book Antiqua" w:hAnsi="Book Antiqua"/>
          <w:lang w:eastAsia="zh-CN"/>
        </w:rPr>
        <w:t xml:space="preserve"> K</w:t>
      </w:r>
      <w:r w:rsidRPr="0011258C">
        <w:rPr>
          <w:rFonts w:ascii="Book Antiqua" w:hAnsi="Book Antiqua"/>
        </w:rPr>
        <w:t>etoconazole</w:t>
      </w:r>
      <w:r w:rsidRPr="0011258C">
        <w:rPr>
          <w:rFonts w:ascii="Book Antiqua" w:hAnsi="Book Antiqua"/>
          <w:lang w:eastAsia="zh-CN"/>
        </w:rPr>
        <w:t>; P</w:t>
      </w:r>
      <w:r w:rsidRPr="0011258C">
        <w:rPr>
          <w:rFonts w:ascii="Book Antiqua" w:hAnsi="Book Antiqua"/>
        </w:rPr>
        <w:t>harmacokinetics</w:t>
      </w:r>
      <w:r w:rsidRPr="0011258C">
        <w:rPr>
          <w:rFonts w:ascii="Book Antiqua" w:hAnsi="Book Antiqua"/>
          <w:lang w:eastAsia="zh-CN"/>
        </w:rPr>
        <w:t>; C</w:t>
      </w:r>
      <w:r w:rsidRPr="0011258C">
        <w:rPr>
          <w:rFonts w:ascii="Book Antiqua" w:hAnsi="Book Antiqua"/>
        </w:rPr>
        <w:t xml:space="preserve">ytochrome P450 </w:t>
      </w:r>
    </w:p>
    <w:p w:rsidR="002D0694" w:rsidRPr="0011258C" w:rsidRDefault="002D0694" w:rsidP="002E6733">
      <w:pPr>
        <w:spacing w:line="360" w:lineRule="auto"/>
        <w:jc w:val="both"/>
        <w:rPr>
          <w:rFonts w:ascii="Book Antiqua" w:hAnsi="Book Antiqua"/>
          <w:b/>
          <w:lang w:eastAsia="zh-CN"/>
        </w:rPr>
      </w:pPr>
    </w:p>
    <w:p w:rsidR="002D0694" w:rsidRPr="0011258C" w:rsidRDefault="002D0694" w:rsidP="002E6733">
      <w:pPr>
        <w:spacing w:line="360" w:lineRule="auto"/>
        <w:jc w:val="both"/>
        <w:rPr>
          <w:rFonts w:ascii="Book Antiqua" w:hAnsi="Book Antiqua"/>
        </w:rPr>
      </w:pPr>
      <w:r w:rsidRPr="0011258C">
        <w:rPr>
          <w:rFonts w:ascii="Book Antiqua" w:hAnsi="Book Antiqua"/>
          <w:b/>
        </w:rPr>
        <w:lastRenderedPageBreak/>
        <w:t xml:space="preserve">Core tip: </w:t>
      </w:r>
      <w:r w:rsidRPr="0011258C">
        <w:rPr>
          <w:rFonts w:ascii="Book Antiqua" w:hAnsi="Book Antiqua"/>
        </w:rPr>
        <w:t>Tacrolimus is mainly metabolized by cytochrome P450 enzymes and ketoconazole is a potent inhibitor of P450. Transplant programs often use ketoconazole to reduce the tacrolimus dose and financial cost. Small short-term studies had previously supported such practice, but the long-term outcome are still lacking. We hereby report our center’s experience of this combination in kidney transplant recipients. Our study suggests that co-administration of ketoconazole and tacrolimus is associated with significantly higher incidence of acute rejection in kidney transplant recipients.</w:t>
      </w:r>
    </w:p>
    <w:p w:rsidR="002D0694" w:rsidRPr="0011258C" w:rsidRDefault="002D0694" w:rsidP="002E6733">
      <w:pPr>
        <w:spacing w:line="360" w:lineRule="auto"/>
        <w:jc w:val="both"/>
        <w:rPr>
          <w:rFonts w:ascii="Book Antiqua" w:hAnsi="Book Antiqua"/>
        </w:rPr>
      </w:pPr>
    </w:p>
    <w:p w:rsidR="002D0694" w:rsidRPr="0011258C" w:rsidRDefault="002D0694" w:rsidP="002E6733">
      <w:pPr>
        <w:spacing w:line="360" w:lineRule="auto"/>
        <w:jc w:val="both"/>
        <w:rPr>
          <w:rFonts w:ascii="Book Antiqua" w:hAnsi="Book Antiqua"/>
        </w:rPr>
      </w:pPr>
      <w:r w:rsidRPr="0011258C">
        <w:rPr>
          <w:rFonts w:ascii="Book Antiqua" w:hAnsi="Book Antiqua"/>
        </w:rPr>
        <w:t xml:space="preserve">Khan E, Killackey M, Kumbala D, LaGuardia H, Liu YJ, Qin HZ, Alper B, Paramesh A, Buell J, Zhang R. </w:t>
      </w:r>
      <w:r>
        <w:rPr>
          <w:rFonts w:ascii="Book Antiqua" w:hAnsi="Book Antiqua"/>
          <w:lang w:eastAsia="zh-CN"/>
        </w:rPr>
        <w:t>L</w:t>
      </w:r>
      <w:r w:rsidRPr="0011258C">
        <w:rPr>
          <w:rFonts w:ascii="Book Antiqua" w:hAnsi="Book Antiqua"/>
        </w:rPr>
        <w:t xml:space="preserve">ong-term outcome of ketoconazole and tacrolimus co-administration in kidney transplant patients. </w:t>
      </w:r>
      <w:r w:rsidRPr="0011258C">
        <w:rPr>
          <w:rFonts w:ascii="Book Antiqua" w:hAnsi="Book Antiqua"/>
          <w:i/>
        </w:rPr>
        <w:t xml:space="preserve">World J Nephrol </w:t>
      </w:r>
      <w:r>
        <w:rPr>
          <w:rFonts w:ascii="Book Antiqua" w:hAnsi="Book Antiqua"/>
        </w:rPr>
        <w:t>2014</w:t>
      </w:r>
      <w:r>
        <w:rPr>
          <w:rFonts w:ascii="Book Antiqua" w:hAnsi="Book Antiqua"/>
          <w:lang w:eastAsia="zh-CN"/>
        </w:rPr>
        <w:t>;</w:t>
      </w:r>
      <w:r w:rsidRPr="0011258C">
        <w:rPr>
          <w:rFonts w:ascii="Book Antiqua" w:hAnsi="Book Antiqua"/>
        </w:rPr>
        <w:t xml:space="preserve"> In press</w:t>
      </w:r>
    </w:p>
    <w:p w:rsidR="002D0694" w:rsidRPr="0011258C" w:rsidRDefault="002D0694" w:rsidP="002E6733">
      <w:pPr>
        <w:spacing w:line="360" w:lineRule="auto"/>
        <w:jc w:val="both"/>
        <w:rPr>
          <w:rFonts w:ascii="Book Antiqua" w:hAnsi="Book Antiqua"/>
          <w:b/>
          <w:lang w:eastAsia="zh-CN"/>
        </w:rPr>
      </w:pPr>
    </w:p>
    <w:p w:rsidR="002D0694" w:rsidRPr="0011258C" w:rsidRDefault="002D0694" w:rsidP="002E6733">
      <w:pPr>
        <w:spacing w:line="360" w:lineRule="auto"/>
        <w:jc w:val="both"/>
        <w:rPr>
          <w:rFonts w:ascii="Book Antiqua" w:hAnsi="Book Antiqua"/>
          <w:b/>
        </w:rPr>
      </w:pPr>
      <w:r w:rsidRPr="0011258C">
        <w:rPr>
          <w:rFonts w:ascii="Book Antiqua" w:hAnsi="Book Antiqua"/>
          <w:b/>
          <w:lang w:val="fr-FR"/>
        </w:rPr>
        <w:t>INTRODUCTION</w:t>
      </w:r>
    </w:p>
    <w:p w:rsidR="002D0694" w:rsidRPr="0011258C" w:rsidRDefault="002D0694" w:rsidP="002E6733">
      <w:pPr>
        <w:autoSpaceDE w:val="0"/>
        <w:autoSpaceDN w:val="0"/>
        <w:adjustRightInd w:val="0"/>
        <w:spacing w:line="360" w:lineRule="auto"/>
        <w:jc w:val="both"/>
        <w:rPr>
          <w:rFonts w:ascii="Book Antiqua" w:hAnsi="Book Antiqua"/>
        </w:rPr>
      </w:pPr>
      <w:r w:rsidRPr="0011258C">
        <w:rPr>
          <w:rFonts w:ascii="Book Antiqua" w:hAnsi="Book Antiqua"/>
        </w:rPr>
        <w:t xml:space="preserve">Tacrolimus is a macrolide antibiotic produced from </w:t>
      </w:r>
      <w:r w:rsidRPr="0011258C">
        <w:rPr>
          <w:rFonts w:ascii="Book Antiqua" w:hAnsi="Book Antiqua"/>
          <w:iCs/>
        </w:rPr>
        <w:t>Streptomyces</w:t>
      </w:r>
      <w:r w:rsidRPr="0011258C">
        <w:rPr>
          <w:rFonts w:ascii="Book Antiqua" w:hAnsi="Book Antiqua"/>
        </w:rPr>
        <w:t xml:space="preserve"> </w:t>
      </w:r>
      <w:r w:rsidRPr="0011258C">
        <w:rPr>
          <w:rFonts w:ascii="Book Antiqua" w:hAnsi="Book Antiqua"/>
          <w:iCs/>
        </w:rPr>
        <w:t>tsukubaensis</w:t>
      </w:r>
      <w:r w:rsidRPr="0011258C">
        <w:rPr>
          <w:rFonts w:ascii="Book Antiqua" w:hAnsi="Book Antiqua"/>
          <w:i/>
          <w:iCs/>
        </w:rPr>
        <w:t xml:space="preserve">. </w:t>
      </w:r>
      <w:r w:rsidRPr="0011258C">
        <w:rPr>
          <w:rFonts w:ascii="Book Antiqua" w:hAnsi="Book Antiqua"/>
          <w:iCs/>
        </w:rPr>
        <w:t xml:space="preserve">It binds to </w:t>
      </w:r>
      <w:r w:rsidRPr="0011258C">
        <w:rPr>
          <w:rFonts w:ascii="Book Antiqua" w:hAnsi="Book Antiqua"/>
        </w:rPr>
        <w:t xml:space="preserve">FK506-binding protein to form a complex that inhibits calcineurin phosphatase in Tlymphocytes </w:t>
      </w:r>
      <w:r w:rsidRPr="0011258C">
        <w:rPr>
          <w:rFonts w:ascii="Book Antiqua" w:hAnsi="Book Antiqua"/>
          <w:lang w:eastAsia="zh-CN"/>
        </w:rPr>
        <w:t>[</w:t>
      </w:r>
      <w:r w:rsidRPr="0011258C">
        <w:rPr>
          <w:rFonts w:ascii="Book Antiqua" w:hAnsi="Book Antiqua"/>
        </w:rPr>
        <w:t>commonly referred as calcineurin inhibitor</w:t>
      </w:r>
      <w:r w:rsidRPr="0011258C">
        <w:rPr>
          <w:rFonts w:ascii="Book Antiqua" w:hAnsi="Book Antiqua"/>
          <w:lang w:eastAsia="zh-CN"/>
        </w:rPr>
        <w:t xml:space="preserve"> (</w:t>
      </w:r>
      <w:r w:rsidRPr="0011258C">
        <w:rPr>
          <w:rFonts w:ascii="Book Antiqua" w:hAnsi="Book Antiqua"/>
        </w:rPr>
        <w:t>CNI</w:t>
      </w:r>
      <w:r w:rsidRPr="0011258C">
        <w:rPr>
          <w:rFonts w:ascii="Book Antiqua" w:hAnsi="Book Antiqua"/>
          <w:lang w:eastAsia="zh-CN"/>
        </w:rPr>
        <w:t>)]</w:t>
      </w:r>
      <w:r w:rsidRPr="0011258C">
        <w:rPr>
          <w:rFonts w:ascii="Book Antiqua" w:hAnsi="Book Antiqua"/>
        </w:rPr>
        <w:t>.  Tacrolimus has been widely used as the primary immunosuppressive agent in kidney transplant patients</w:t>
      </w:r>
      <w:r w:rsidRPr="0011258C">
        <w:rPr>
          <w:rStyle w:val="aa"/>
          <w:rFonts w:ascii="Book Antiqua" w:hAnsi="Book Antiqua"/>
          <w:i w:val="0"/>
          <w:vertAlign w:val="superscript"/>
        </w:rPr>
        <w:t>[1]</w:t>
      </w:r>
      <w:r w:rsidRPr="0011258C">
        <w:rPr>
          <w:rFonts w:ascii="Book Antiqua" w:hAnsi="Book Antiqua"/>
        </w:rPr>
        <w:t>. Due to its narrow therapeutic index, optimal dosing with therapeutic monitoring is necessary. Tacrolimus is mainly metabolized by cytochrome P450-3A in the liver and a substrate of P-glycoprotein, an efflux pump, in both liver and intestine</w:t>
      </w:r>
      <w:r w:rsidRPr="0011258C">
        <w:rPr>
          <w:rStyle w:val="aa"/>
          <w:rFonts w:ascii="Book Antiqua" w:hAnsi="Book Antiqua"/>
          <w:i w:val="0"/>
          <w:vertAlign w:val="superscript"/>
        </w:rPr>
        <w:t>[2,3]</w:t>
      </w:r>
      <w:r w:rsidRPr="0011258C">
        <w:rPr>
          <w:rFonts w:ascii="Book Antiqua" w:hAnsi="Book Antiqua"/>
        </w:rPr>
        <w:t xml:space="preserve">. The inhibition of P450-3A and P-glycoprotein can slow down its metabolism and ketoconazole is such a potent inhibitor. Transplant programs often use ketoconazole to reduce the tacrolimus dose and cost.  The financial benefit and short-term safety of such a practice had been reported previously by a few small studies in </w:t>
      </w:r>
      <w:smartTag w:uri="urn:schemas-microsoft-com:office:smarttags" w:element="City">
        <w:smartTag w:uri="urn:schemas-microsoft-com:office:smarttags" w:element="country-region">
          <w:smartTag w:uri="urn:schemas-microsoft-com:office:smarttags" w:element="place">
            <w:r w:rsidRPr="0011258C">
              <w:rPr>
                <w:rFonts w:ascii="Book Antiqua" w:hAnsi="Book Antiqua"/>
              </w:rPr>
              <w:t>Egypt</w:t>
            </w:r>
          </w:smartTag>
        </w:smartTag>
      </w:smartTag>
      <w:r w:rsidRPr="0011258C">
        <w:rPr>
          <w:rStyle w:val="aa"/>
          <w:rFonts w:ascii="Book Antiqua" w:hAnsi="Book Antiqua"/>
          <w:i w:val="0"/>
          <w:vertAlign w:val="superscript"/>
        </w:rPr>
        <w:t>[4,5]</w:t>
      </w:r>
      <w:r w:rsidRPr="0011258C">
        <w:rPr>
          <w:rFonts w:ascii="Book Antiqua" w:hAnsi="Book Antiqua"/>
        </w:rPr>
        <w:t xml:space="preserve">. But the long-term outcomes of such a practice are still lacking.  </w:t>
      </w:r>
    </w:p>
    <w:p w:rsidR="002D0694" w:rsidRPr="0011258C" w:rsidRDefault="002D0694" w:rsidP="00786FE5">
      <w:pPr>
        <w:autoSpaceDE w:val="0"/>
        <w:autoSpaceDN w:val="0"/>
        <w:adjustRightInd w:val="0"/>
        <w:spacing w:line="360" w:lineRule="auto"/>
        <w:ind w:firstLineChars="100" w:firstLine="240"/>
        <w:jc w:val="both"/>
        <w:rPr>
          <w:rFonts w:ascii="Book Antiqua" w:hAnsi="Book Antiqua"/>
        </w:rPr>
      </w:pPr>
      <w:r w:rsidRPr="0011258C">
        <w:rPr>
          <w:rFonts w:ascii="Book Antiqua" w:hAnsi="Book Antiqua"/>
        </w:rPr>
        <w:t xml:space="preserve">Our interest in examining this issue comes from our participation in the </w:t>
      </w:r>
      <w:r w:rsidRPr="0011258C">
        <w:rPr>
          <w:rStyle w:val="st1"/>
          <w:rFonts w:ascii="Book Antiqua" w:hAnsi="Book Antiqua" w:cs="Arial"/>
        </w:rPr>
        <w:t>National Institutes of Health</w:t>
      </w:r>
      <w:r w:rsidRPr="0011258C">
        <w:rPr>
          <w:rStyle w:val="st1"/>
          <w:rFonts w:ascii="Book Antiqua" w:hAnsi="Book Antiqua" w:cs="Arial"/>
          <w:color w:val="444444"/>
          <w:lang w:eastAsia="zh-CN"/>
        </w:rPr>
        <w:t xml:space="preserve"> </w:t>
      </w:r>
      <w:r w:rsidRPr="0011258C">
        <w:rPr>
          <w:rFonts w:ascii="Book Antiqua" w:hAnsi="Book Antiqua"/>
        </w:rPr>
        <w:t xml:space="preserve">funded pilot study of solid organ transplants in </w:t>
      </w:r>
      <w:r w:rsidRPr="0011258C">
        <w:rPr>
          <w:rFonts w:ascii="Book Antiqua" w:hAnsi="Book Antiqua"/>
          <w:lang w:eastAsia="zh-CN"/>
        </w:rPr>
        <w:t>h</w:t>
      </w:r>
      <w:r w:rsidRPr="0011258C">
        <w:rPr>
          <w:rFonts w:ascii="Book Antiqua" w:hAnsi="Book Antiqua"/>
        </w:rPr>
        <w:t xml:space="preserve">uman </w:t>
      </w:r>
      <w:r w:rsidRPr="0011258C">
        <w:rPr>
          <w:rFonts w:ascii="Book Antiqua" w:hAnsi="Book Antiqua"/>
          <w:lang w:eastAsia="zh-CN"/>
        </w:rPr>
        <w:t>i</w:t>
      </w:r>
      <w:r w:rsidRPr="0011258C">
        <w:rPr>
          <w:rFonts w:ascii="Book Antiqua" w:hAnsi="Book Antiqua"/>
        </w:rPr>
        <w:t xml:space="preserve">mmunodeficiency </w:t>
      </w:r>
      <w:r w:rsidRPr="0011258C">
        <w:rPr>
          <w:rFonts w:ascii="Book Antiqua" w:hAnsi="Book Antiqua"/>
          <w:lang w:eastAsia="zh-CN"/>
        </w:rPr>
        <w:t>v</w:t>
      </w:r>
      <w:r w:rsidRPr="0011258C">
        <w:rPr>
          <w:rFonts w:ascii="Book Antiqua" w:hAnsi="Book Antiqua"/>
        </w:rPr>
        <w:t xml:space="preserve">irus </w:t>
      </w:r>
      <w:r w:rsidRPr="0011258C">
        <w:rPr>
          <w:rFonts w:ascii="Book Antiqua" w:hAnsi="Book Antiqua"/>
          <w:lang w:eastAsia="zh-CN"/>
        </w:rPr>
        <w:t>(</w:t>
      </w:r>
      <w:r w:rsidRPr="0011258C">
        <w:rPr>
          <w:rFonts w:ascii="Book Antiqua" w:hAnsi="Book Antiqua"/>
        </w:rPr>
        <w:t>HIV</w:t>
      </w:r>
      <w:r w:rsidRPr="0011258C">
        <w:rPr>
          <w:rFonts w:ascii="Book Antiqua" w:hAnsi="Book Antiqua"/>
          <w:lang w:eastAsia="zh-CN"/>
        </w:rPr>
        <w:t xml:space="preserve">) </w:t>
      </w:r>
      <w:r w:rsidRPr="0011258C">
        <w:rPr>
          <w:rFonts w:ascii="Book Antiqua" w:hAnsi="Book Antiqua"/>
        </w:rPr>
        <w:t>infected patients</w:t>
      </w:r>
      <w:r w:rsidRPr="0011258C">
        <w:rPr>
          <w:rStyle w:val="aa"/>
          <w:rFonts w:ascii="Book Antiqua" w:hAnsi="Book Antiqua"/>
          <w:i w:val="0"/>
          <w:vertAlign w:val="superscript"/>
        </w:rPr>
        <w:t>[6</w:t>
      </w:r>
      <w:r w:rsidRPr="0011258C">
        <w:rPr>
          <w:rStyle w:val="aa"/>
          <w:rFonts w:ascii="Book Antiqua" w:hAnsi="Book Antiqua"/>
          <w:i w:val="0"/>
          <w:vertAlign w:val="superscript"/>
          <w:lang w:eastAsia="zh-CN"/>
        </w:rPr>
        <w:t>-</w:t>
      </w:r>
      <w:r w:rsidRPr="0011258C">
        <w:rPr>
          <w:rStyle w:val="aa"/>
          <w:rFonts w:ascii="Book Antiqua" w:hAnsi="Book Antiqua"/>
          <w:i w:val="0"/>
          <w:vertAlign w:val="superscript"/>
        </w:rPr>
        <w:t>8]</w:t>
      </w:r>
      <w:r w:rsidRPr="0011258C">
        <w:rPr>
          <w:rFonts w:ascii="Book Antiqua" w:hAnsi="Book Antiqua"/>
        </w:rPr>
        <w:t xml:space="preserve">. There were unexpectedly higher </w:t>
      </w:r>
      <w:r w:rsidRPr="0011258C">
        <w:rPr>
          <w:rFonts w:ascii="Book Antiqua" w:hAnsi="Book Antiqua"/>
        </w:rPr>
        <w:lastRenderedPageBreak/>
        <w:t>incidences of acute rejection (by a factor of 2 to 3) in both kidney and liver recipients. About half of the rejections were early and aggressive</w:t>
      </w:r>
      <w:r w:rsidRPr="0011258C">
        <w:rPr>
          <w:rStyle w:val="aa"/>
          <w:rFonts w:ascii="Book Antiqua" w:hAnsi="Book Antiqua"/>
          <w:i w:val="0"/>
          <w:vertAlign w:val="superscript"/>
        </w:rPr>
        <w:t>[6,7]</w:t>
      </w:r>
      <w:r w:rsidRPr="0011258C">
        <w:rPr>
          <w:rFonts w:ascii="Book Antiqua" w:hAnsi="Book Antiqua"/>
        </w:rPr>
        <w:t xml:space="preserve">.  In these patients, the targeted trough levels of CNIs were consistent with those in non-HIV recipients, but their required doses of CNI were significantly lower due to the necessary treatment with anti-retroviral protease inhibitor, which also inhibits P450-3A and P-glycoprotein. Due to the altered pharmacokinetics, their total exposure to CNI </w:t>
      </w:r>
      <w:r w:rsidRPr="0011258C">
        <w:rPr>
          <w:rFonts w:ascii="Book Antiqua" w:hAnsi="Book Antiqua"/>
          <w:lang w:eastAsia="zh-CN"/>
        </w:rPr>
        <w:t>[</w:t>
      </w:r>
      <w:r w:rsidRPr="0011258C">
        <w:rPr>
          <w:rFonts w:ascii="Book Antiqua" w:hAnsi="Book Antiqua"/>
        </w:rPr>
        <w:t>area under curve</w:t>
      </w:r>
      <w:r w:rsidRPr="0011258C">
        <w:rPr>
          <w:rFonts w:ascii="Book Antiqua" w:hAnsi="Book Antiqua"/>
          <w:lang w:eastAsia="zh-CN"/>
        </w:rPr>
        <w:t xml:space="preserve"> (</w:t>
      </w:r>
      <w:r w:rsidRPr="0011258C">
        <w:rPr>
          <w:rFonts w:ascii="Book Antiqua" w:hAnsi="Book Antiqua"/>
        </w:rPr>
        <w:t>AUC</w:t>
      </w:r>
      <w:r w:rsidRPr="0011258C">
        <w:rPr>
          <w:rFonts w:ascii="Book Antiqua" w:hAnsi="Book Antiqua"/>
          <w:lang w:eastAsia="zh-CN"/>
        </w:rPr>
        <w:t>)]</w:t>
      </w:r>
      <w:r w:rsidRPr="0011258C">
        <w:rPr>
          <w:rFonts w:ascii="Book Antiqua" w:hAnsi="Book Antiqua"/>
        </w:rPr>
        <w:t xml:space="preserve"> likely was considerably low. This may be more plausible than other proposed viral and/or immunological factors to explain the higher-than-expected rejection rates in HIV</w:t>
      </w:r>
      <w:r w:rsidRPr="0011258C">
        <w:rPr>
          <w:rFonts w:ascii="Book Antiqua" w:hAnsi="Book Antiqua"/>
          <w:lang w:eastAsia="zh-CN"/>
        </w:rPr>
        <w:t xml:space="preserve"> </w:t>
      </w:r>
      <w:r w:rsidRPr="0011258C">
        <w:rPr>
          <w:rFonts w:ascii="Book Antiqua" w:hAnsi="Book Antiqua"/>
        </w:rPr>
        <w:t>infected patients</w:t>
      </w:r>
      <w:r w:rsidRPr="0011258C">
        <w:rPr>
          <w:rStyle w:val="aa"/>
          <w:rFonts w:ascii="Book Antiqua" w:hAnsi="Book Antiqua"/>
          <w:i w:val="0"/>
          <w:vertAlign w:val="superscript"/>
        </w:rPr>
        <w:t>[9</w:t>
      </w:r>
      <w:r w:rsidRPr="0011258C">
        <w:rPr>
          <w:rStyle w:val="aa"/>
          <w:rFonts w:ascii="Book Antiqua" w:hAnsi="Book Antiqua"/>
          <w:i w:val="0"/>
          <w:vertAlign w:val="superscript"/>
          <w:lang w:eastAsia="zh-CN"/>
        </w:rPr>
        <w:t>-</w:t>
      </w:r>
      <w:r w:rsidRPr="0011258C">
        <w:rPr>
          <w:rStyle w:val="aa"/>
          <w:rFonts w:ascii="Book Antiqua" w:hAnsi="Book Antiqua"/>
          <w:i w:val="0"/>
          <w:vertAlign w:val="superscript"/>
        </w:rPr>
        <w:t>11]</w:t>
      </w:r>
      <w:r w:rsidRPr="0011258C">
        <w:rPr>
          <w:rFonts w:ascii="Book Antiqua" w:hAnsi="Book Antiqua"/>
        </w:rPr>
        <w:t xml:space="preserve">.  In the current study, we analyze the long-term outcome of patients who received co-administration of ketoconazole and tacrolimus in non-HIV infected kidney transplant recipients. </w:t>
      </w:r>
    </w:p>
    <w:p w:rsidR="002D0694" w:rsidRPr="0011258C" w:rsidRDefault="002D0694" w:rsidP="002E6733">
      <w:pPr>
        <w:spacing w:line="360" w:lineRule="auto"/>
        <w:jc w:val="both"/>
        <w:rPr>
          <w:rFonts w:ascii="Book Antiqua" w:hAnsi="Book Antiqua"/>
          <w:b/>
        </w:rPr>
      </w:pPr>
    </w:p>
    <w:p w:rsidR="002D0694" w:rsidRPr="0011258C" w:rsidRDefault="002D0694" w:rsidP="002E6733">
      <w:pPr>
        <w:spacing w:line="360" w:lineRule="auto"/>
        <w:rPr>
          <w:rFonts w:ascii="Book Antiqua" w:hAnsi="Book Antiqua"/>
          <w:b/>
          <w:lang w:eastAsia="zh-CN"/>
        </w:rPr>
      </w:pPr>
      <w:r w:rsidRPr="0011258C">
        <w:rPr>
          <w:rFonts w:ascii="Book Antiqua" w:hAnsi="Book Antiqua"/>
          <w:b/>
        </w:rPr>
        <w:t>MATERIALS AND METHODS</w:t>
      </w:r>
    </w:p>
    <w:p w:rsidR="002D0694" w:rsidRPr="0011258C" w:rsidRDefault="002D0694" w:rsidP="002E6733">
      <w:pPr>
        <w:spacing w:line="360" w:lineRule="auto"/>
        <w:jc w:val="both"/>
        <w:rPr>
          <w:rFonts w:ascii="Book Antiqua" w:hAnsi="Book Antiqua"/>
          <w:lang w:eastAsia="zh-CN"/>
        </w:rPr>
      </w:pPr>
      <w:r w:rsidRPr="0011258C">
        <w:rPr>
          <w:rFonts w:ascii="Book Antiqua" w:hAnsi="Book Antiqua"/>
          <w:b/>
          <w:i/>
        </w:rPr>
        <w:t>Study population</w:t>
      </w:r>
    </w:p>
    <w:p w:rsidR="002D0694" w:rsidRPr="0011258C" w:rsidRDefault="002D0694" w:rsidP="002E6733">
      <w:pPr>
        <w:spacing w:line="360" w:lineRule="auto"/>
        <w:jc w:val="both"/>
        <w:rPr>
          <w:rFonts w:ascii="Book Antiqua" w:hAnsi="Book Antiqua"/>
          <w:bCs/>
        </w:rPr>
      </w:pPr>
      <w:r w:rsidRPr="0011258C">
        <w:rPr>
          <w:rFonts w:ascii="Book Antiqua" w:hAnsi="Book Antiqua"/>
        </w:rPr>
        <w:t xml:space="preserve">This is a retrospective review, and patients were identified using the transplant center database at </w:t>
      </w:r>
      <w:smartTag w:uri="urn:schemas-microsoft-com:office:smarttags" w:element="PlaceName">
        <w:smartTag w:uri="urn:schemas-microsoft-com:office:smarttags" w:element="place">
          <w:r w:rsidRPr="0011258C">
            <w:rPr>
              <w:rFonts w:ascii="Book Antiqua" w:hAnsi="Book Antiqua"/>
            </w:rPr>
            <w:t>Tulane</w:t>
          </w:r>
        </w:smartTag>
        <w:r w:rsidRPr="0011258C">
          <w:rPr>
            <w:rFonts w:ascii="Book Antiqua" w:hAnsi="Book Antiqua"/>
          </w:rPr>
          <w:t xml:space="preserve"> </w:t>
        </w:r>
        <w:smartTag w:uri="urn:schemas-microsoft-com:office:smarttags" w:element="PlaceType">
          <w:r w:rsidRPr="0011258C">
            <w:rPr>
              <w:rFonts w:ascii="Book Antiqua" w:hAnsi="Book Antiqua"/>
            </w:rPr>
            <w:t>University</w:t>
          </w:r>
        </w:smartTag>
        <w:r w:rsidRPr="0011258C">
          <w:rPr>
            <w:rFonts w:ascii="Book Antiqua" w:hAnsi="Book Antiqua"/>
          </w:rPr>
          <w:t xml:space="preserve"> </w:t>
        </w:r>
        <w:smartTag w:uri="urn:schemas-microsoft-com:office:smarttags" w:element="PlaceType">
          <w:r w:rsidRPr="0011258C">
            <w:rPr>
              <w:rFonts w:ascii="Book Antiqua" w:hAnsi="Book Antiqua"/>
            </w:rPr>
            <w:t>Hospital</w:t>
          </w:r>
        </w:smartTag>
      </w:smartTag>
      <w:r w:rsidRPr="0011258C">
        <w:rPr>
          <w:rFonts w:ascii="Book Antiqua" w:hAnsi="Book Antiqua"/>
        </w:rPr>
        <w:t xml:space="preserve"> </w:t>
      </w:r>
      <w:r>
        <w:rPr>
          <w:rFonts w:ascii="Book Antiqua" w:hAnsi="Book Antiqua"/>
          <w:lang w:eastAsia="zh-CN"/>
        </w:rPr>
        <w:t>and</w:t>
      </w:r>
      <w:r w:rsidRPr="0011258C">
        <w:rPr>
          <w:rFonts w:ascii="Book Antiqua" w:hAnsi="Book Antiqua"/>
        </w:rPr>
        <w:t xml:space="preserve"> Clinic. During the period between 2006 and 2010, there were consecutive 450 non-HIV infected adult patients who underwent a primary kidney transplant at our center. Among them, ketoconazole was given in 199 patients after transplant surgery and was continued for at least 1 year or until graft failure (Group 1), while 149 patients did not recei</w:t>
      </w:r>
      <w:r>
        <w:rPr>
          <w:rFonts w:ascii="Book Antiqua" w:hAnsi="Book Antiqua"/>
        </w:rPr>
        <w:t xml:space="preserve">ve any ketoconazole (Group 2). </w:t>
      </w:r>
      <w:r w:rsidRPr="0011258C">
        <w:rPr>
          <w:rFonts w:ascii="Book Antiqua" w:hAnsi="Book Antiqua"/>
        </w:rPr>
        <w:t>A combination of tacrolimus, mycophenolate and steroid was used as maintenance therapy in all patients. Factors for excluding patients from this study included primary graft non-function (N</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3), death in first week of transplant surgery (N</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2), incomplete data due to lost fellow-up (N</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19), different combination of maintenance immunosuppressives (N</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 xml:space="preserve">48) or usage of other drug that inhibits (such as diltiazem, amiodarone, </w:t>
      </w:r>
      <w:r w:rsidRPr="0011258C">
        <w:rPr>
          <w:rFonts w:ascii="Book Antiqua" w:hAnsi="Book Antiqua"/>
          <w:i/>
        </w:rPr>
        <w:t>etc</w:t>
      </w:r>
      <w:r>
        <w:rPr>
          <w:rFonts w:ascii="Book Antiqua" w:hAnsi="Book Antiqua"/>
          <w:i/>
          <w:lang w:eastAsia="zh-CN"/>
        </w:rPr>
        <w:t>.</w:t>
      </w:r>
      <w:r w:rsidRPr="0011258C">
        <w:rPr>
          <w:rFonts w:ascii="Book Antiqua" w:hAnsi="Book Antiqua"/>
        </w:rPr>
        <w:t xml:space="preserve">) or reduces (such as phenytoin, isoniazid, </w:t>
      </w:r>
      <w:r w:rsidRPr="0011258C">
        <w:rPr>
          <w:rFonts w:ascii="Book Antiqua" w:hAnsi="Book Antiqua"/>
          <w:i/>
        </w:rPr>
        <w:t>etc</w:t>
      </w:r>
      <w:r>
        <w:rPr>
          <w:rFonts w:ascii="Book Antiqua" w:hAnsi="Book Antiqua"/>
          <w:i/>
          <w:lang w:eastAsia="zh-CN"/>
        </w:rPr>
        <w:t>.</w:t>
      </w:r>
      <w:r w:rsidRPr="0011258C">
        <w:rPr>
          <w:rFonts w:ascii="Book Antiqua" w:hAnsi="Book Antiqua"/>
        </w:rPr>
        <w:t>) P450 enzymes (N</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9).  The patients, whose ketoconazole was stopped before 1 year of kidney transplant (N</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17) or before the graft failure (N</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 xml:space="preserve">4) were also excluded from analysis. </w:t>
      </w:r>
      <w:r w:rsidRPr="0011258C">
        <w:rPr>
          <w:rFonts w:ascii="Book Antiqua" w:hAnsi="Book Antiqua"/>
          <w:bCs/>
        </w:rPr>
        <w:t xml:space="preserve">All patients were followed up closely at our center, </w:t>
      </w:r>
      <w:r w:rsidRPr="0011258C">
        <w:rPr>
          <w:rFonts w:ascii="Book Antiqua" w:hAnsi="Book Antiqua"/>
        </w:rPr>
        <w:t xml:space="preserve">including scheduled routine labs and clinic </w:t>
      </w:r>
      <w:r w:rsidRPr="0011258C">
        <w:rPr>
          <w:rFonts w:ascii="Book Antiqua" w:hAnsi="Book Antiqua"/>
        </w:rPr>
        <w:lastRenderedPageBreak/>
        <w:t xml:space="preserve">visits. Patients with acute illness were usually directly admitted or transferred to our center, and the outside events were recorded in a timely manner.   </w:t>
      </w:r>
    </w:p>
    <w:p w:rsidR="002D0694" w:rsidRPr="0011258C" w:rsidRDefault="002D0694" w:rsidP="002E6733">
      <w:pPr>
        <w:spacing w:line="360" w:lineRule="auto"/>
        <w:jc w:val="both"/>
        <w:rPr>
          <w:rFonts w:ascii="Book Antiqua" w:hAnsi="Book Antiqua"/>
          <w:bCs/>
        </w:rPr>
      </w:pPr>
    </w:p>
    <w:p w:rsidR="002D0694" w:rsidRPr="0011258C" w:rsidRDefault="002D0694" w:rsidP="002E6733">
      <w:pPr>
        <w:spacing w:line="360" w:lineRule="auto"/>
        <w:jc w:val="both"/>
        <w:rPr>
          <w:rFonts w:ascii="Book Antiqua" w:hAnsi="Book Antiqua"/>
          <w:lang w:eastAsia="zh-CN"/>
        </w:rPr>
      </w:pPr>
      <w:r w:rsidRPr="0011258C">
        <w:rPr>
          <w:rFonts w:ascii="Book Antiqua" w:hAnsi="Book Antiqua"/>
          <w:b/>
          <w:i/>
        </w:rPr>
        <w:t>Immunosuppressive therapy</w:t>
      </w:r>
    </w:p>
    <w:p w:rsidR="002D0694" w:rsidRPr="0011258C" w:rsidRDefault="002D0694" w:rsidP="002E6733">
      <w:pPr>
        <w:spacing w:line="360" w:lineRule="auto"/>
        <w:jc w:val="both"/>
        <w:rPr>
          <w:rFonts w:ascii="Book Antiqua" w:hAnsi="Book Antiqua"/>
          <w:lang w:eastAsia="zh-CN"/>
        </w:rPr>
      </w:pPr>
      <w:r w:rsidRPr="0011258C">
        <w:rPr>
          <w:rFonts w:ascii="Book Antiqua" w:hAnsi="Book Antiqua"/>
        </w:rPr>
        <w:t>High risk patients, defined as having peak panel reactive antibody &gt;</w:t>
      </w:r>
      <w:r w:rsidRPr="0011258C">
        <w:rPr>
          <w:rFonts w:ascii="Book Antiqua" w:hAnsi="Book Antiqua"/>
          <w:lang w:eastAsia="zh-CN"/>
        </w:rPr>
        <w:t xml:space="preserve"> </w:t>
      </w:r>
      <w:r w:rsidRPr="0011258C">
        <w:rPr>
          <w:rFonts w:ascii="Book Antiqua" w:hAnsi="Book Antiqua"/>
        </w:rPr>
        <w:t xml:space="preserve">10%, </w:t>
      </w:r>
      <w:r w:rsidRPr="0011258C">
        <w:rPr>
          <w:rStyle w:val="st1"/>
          <w:rFonts w:ascii="Book Antiqua" w:hAnsi="Book Antiqua" w:cs="Arial"/>
        </w:rPr>
        <w:t>human leukocyte antigen</w:t>
      </w:r>
      <w:r w:rsidRPr="0011258C">
        <w:rPr>
          <w:rFonts w:ascii="Book Antiqua" w:hAnsi="Book Antiqua"/>
        </w:rPr>
        <w:t xml:space="preserve"> mismatch &gt; 4, donor cold ischemia time &gt; 18 h or expanded criteria donor kidneys, received induction therapy with 2 doses of basiliximab (20 mg per dose). Corticosteroids were administrated as methylprednisolone 500 mg IV intraoperatively, then tapered on postoperative days 1 to 3, and changed to oral prednisone 60 mg on postoperative day 4.  The patients typically continued oral prednisone 20 mg daily for the first month, then 10 mg daily for the 2</w:t>
      </w:r>
      <w:r w:rsidRPr="0011258C">
        <w:rPr>
          <w:rFonts w:ascii="Book Antiqua" w:hAnsi="Book Antiqua"/>
          <w:vertAlign w:val="superscript"/>
        </w:rPr>
        <w:t>nd</w:t>
      </w:r>
      <w:r w:rsidRPr="0011258C">
        <w:rPr>
          <w:rFonts w:ascii="Book Antiqua" w:hAnsi="Book Antiqua"/>
        </w:rPr>
        <w:t xml:space="preserve"> month and 5 mg daily thereafter. Each patient was started mycophenolate, either</w:t>
      </w:r>
      <w:r>
        <w:rPr>
          <w:rFonts w:ascii="Book Antiqua" w:hAnsi="Book Antiqua"/>
        </w:rPr>
        <w:t xml:space="preserve"> mycophenolate mofetil at 1 g</w:t>
      </w:r>
      <w:r w:rsidRPr="0011258C">
        <w:rPr>
          <w:rFonts w:ascii="Book Antiqua" w:hAnsi="Book Antiqua"/>
        </w:rPr>
        <w:t xml:space="preserve"> or enteric-coated sodium mycophenolate at 720 mg, twice daily after transplant.  Oral tacrolimus was started immediately after transplant, and doses were adjusted to keep the 12-h trough levels at 8 to 12 ng/m</w:t>
      </w:r>
      <w:r>
        <w:rPr>
          <w:rFonts w:ascii="Book Antiqua" w:hAnsi="Book Antiqua"/>
          <w:lang w:eastAsia="zh-CN"/>
        </w:rPr>
        <w:t>L</w:t>
      </w:r>
      <w:r w:rsidRPr="0011258C">
        <w:rPr>
          <w:rFonts w:ascii="Book Antiqua" w:hAnsi="Book Antiqua"/>
        </w:rPr>
        <w:t xml:space="preserve"> for the first year. The target of tacrolimus trough levels was then maintained at 4 to 6 ng/m</w:t>
      </w:r>
      <w:r>
        <w:rPr>
          <w:rFonts w:ascii="Book Antiqua" w:hAnsi="Book Antiqua"/>
          <w:lang w:eastAsia="zh-CN"/>
        </w:rPr>
        <w:t>L</w:t>
      </w:r>
      <w:r w:rsidRPr="0011258C">
        <w:rPr>
          <w:rFonts w:ascii="Book Antiqua" w:hAnsi="Book Antiqua"/>
        </w:rPr>
        <w:t xml:space="preserve"> after the first year. Whole blood tacrolimus concentrations were measured with liquid chromatography-tandem mass spectrometry in our hospital. The decision of adding ketoconazole was typically made within the first week of transplant surgery in order for patients to achieve the targeted trough levels prior to discharge. The dose of ketoconazole was started at100mg per day in all patients, and further increased to 200</w:t>
      </w:r>
      <w:r w:rsidRPr="0011258C">
        <w:rPr>
          <w:rFonts w:ascii="Book Antiqua" w:hAnsi="Book Antiqua"/>
          <w:lang w:eastAsia="zh-CN"/>
        </w:rPr>
        <w:t xml:space="preserve"> </w:t>
      </w:r>
      <w:r w:rsidRPr="0011258C">
        <w:rPr>
          <w:rFonts w:ascii="Book Antiqua" w:hAnsi="Book Antiqua"/>
        </w:rPr>
        <w:t xml:space="preserve">mg per day in 4 patients.  </w:t>
      </w: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b/>
          <w:lang w:eastAsia="zh-CN"/>
        </w:rPr>
      </w:pPr>
      <w:r w:rsidRPr="0011258C">
        <w:rPr>
          <w:rFonts w:ascii="Book Antiqua" w:hAnsi="Book Antiqua"/>
          <w:b/>
          <w:i/>
        </w:rPr>
        <w:t>Infection prophylaxis</w:t>
      </w:r>
    </w:p>
    <w:p w:rsidR="002D0694" w:rsidRPr="0011258C" w:rsidRDefault="002D0694" w:rsidP="002E6733">
      <w:pPr>
        <w:spacing w:line="360" w:lineRule="auto"/>
        <w:jc w:val="both"/>
        <w:rPr>
          <w:rFonts w:ascii="Book Antiqua" w:hAnsi="Book Antiqua"/>
          <w:lang w:eastAsia="zh-CN"/>
        </w:rPr>
      </w:pPr>
      <w:r w:rsidRPr="0011258C">
        <w:rPr>
          <w:rFonts w:ascii="Book Antiqua" w:hAnsi="Book Antiqua"/>
        </w:rPr>
        <w:t xml:space="preserve">All patients received one tablet of sulfamethoxazole/trimethoprim DS three times per week for the first year as prophylaxis for pneumocystis pneumonia and bacterial infections.  Three-month antifungal prophylaxis with oral nystatin was given to patients who did not receive ketoconazole. Cytomegalovirus </w:t>
      </w:r>
      <w:r w:rsidRPr="0011258C">
        <w:rPr>
          <w:rFonts w:ascii="Book Antiqua" w:hAnsi="Book Antiqua"/>
          <w:lang w:eastAsia="zh-CN"/>
        </w:rPr>
        <w:t>(</w:t>
      </w:r>
      <w:r w:rsidRPr="0011258C">
        <w:rPr>
          <w:rFonts w:ascii="Book Antiqua" w:hAnsi="Book Antiqua"/>
        </w:rPr>
        <w:t>CMV</w:t>
      </w:r>
      <w:r w:rsidRPr="0011258C">
        <w:rPr>
          <w:rFonts w:ascii="Book Antiqua" w:hAnsi="Book Antiqua"/>
          <w:lang w:eastAsia="zh-CN"/>
        </w:rPr>
        <w:t>)</w:t>
      </w:r>
      <w:r w:rsidRPr="0011258C">
        <w:rPr>
          <w:rFonts w:ascii="Book Antiqua" w:hAnsi="Book Antiqua"/>
        </w:rPr>
        <w:t xml:space="preserve"> prophylaxis was given to CMV seronegative recipients who received organs from a CMV seropositive donor. The </w:t>
      </w:r>
      <w:r w:rsidRPr="0011258C">
        <w:rPr>
          <w:rFonts w:ascii="Book Antiqua" w:hAnsi="Book Antiqua"/>
        </w:rPr>
        <w:lastRenderedPageBreak/>
        <w:t xml:space="preserve">regimen included IV ganciclovir during the transplant hospitalization followed by oral ganciclovir or valganciclovir for 3 mo.  </w:t>
      </w: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b/>
          <w:i/>
          <w:lang w:eastAsia="zh-CN"/>
        </w:rPr>
      </w:pPr>
      <w:r w:rsidRPr="0011258C">
        <w:rPr>
          <w:rFonts w:ascii="Book Antiqua" w:hAnsi="Book Antiqua"/>
          <w:b/>
          <w:i/>
        </w:rPr>
        <w:t>Rejection</w:t>
      </w:r>
    </w:p>
    <w:p w:rsidR="002D0694" w:rsidRPr="0011258C" w:rsidRDefault="002D0694" w:rsidP="002E6733">
      <w:pPr>
        <w:spacing w:line="360" w:lineRule="auto"/>
        <w:jc w:val="both"/>
        <w:rPr>
          <w:rFonts w:ascii="Book Antiqua" w:hAnsi="Book Antiqua"/>
        </w:rPr>
      </w:pPr>
      <w:r w:rsidRPr="0011258C">
        <w:rPr>
          <w:rFonts w:ascii="Book Antiqua" w:hAnsi="Book Antiqua"/>
          <w:b/>
        </w:rPr>
        <w:t xml:space="preserve"> </w:t>
      </w:r>
      <w:r w:rsidRPr="0011258C">
        <w:rPr>
          <w:rFonts w:ascii="Book Antiqua" w:hAnsi="Book Antiqua"/>
        </w:rPr>
        <w:t xml:space="preserve">Acute rejection was presumed when patients had a sudden increase of serum creatinine that could not be explained by other clinical causes. Kidney biopsy was performed before the treatment. The severity of rejection was defined according to Banff criteria. Acute cellular rejection of grade 1 or below was initially treated with IV methylprednisolone for </w:t>
      </w:r>
      <w:r w:rsidRPr="0011258C">
        <w:rPr>
          <w:rFonts w:ascii="Book Antiqua" w:hAnsi="Book Antiqua"/>
          <w:lang w:eastAsia="zh-CN"/>
        </w:rPr>
        <w:t>three</w:t>
      </w:r>
      <w:r w:rsidRPr="0011258C">
        <w:rPr>
          <w:rFonts w:ascii="Book Antiqua" w:hAnsi="Book Antiqua"/>
        </w:rPr>
        <w:t xml:space="preserve"> days. Thymoglobulin was used for steroid resistant cellular rejection, or as the initial therapy for rejection of Banff</w:t>
      </w:r>
      <w:r>
        <w:rPr>
          <w:rFonts w:ascii="Book Antiqua" w:hAnsi="Book Antiqua"/>
        </w:rPr>
        <w:t xml:space="preserve"> grade 2 or higher. </w:t>
      </w:r>
      <w:r w:rsidRPr="0011258C">
        <w:rPr>
          <w:rFonts w:ascii="Book Antiqua" w:hAnsi="Book Antiqua"/>
        </w:rPr>
        <w:t xml:space="preserve">Acute antibody mediated rejection (AMR) was diagnosed with positive C4d staining in the peritubular capillaries and/or demonstration of donor specific antibody. AMR was treated with a course of 5 to 7 daily plasmapheresis and IVIG (150 mg/kg) in addition to IV methylprednisolone and thymoglobulin. </w:t>
      </w:r>
    </w:p>
    <w:p w:rsidR="002D0694" w:rsidRPr="0011258C" w:rsidRDefault="002D0694" w:rsidP="002E6733">
      <w:pPr>
        <w:spacing w:line="360" w:lineRule="auto"/>
        <w:jc w:val="both"/>
        <w:rPr>
          <w:rFonts w:ascii="Book Antiqua" w:hAnsi="Book Antiqua"/>
        </w:rPr>
      </w:pPr>
    </w:p>
    <w:p w:rsidR="002D0694" w:rsidRPr="0011258C" w:rsidRDefault="002D0694" w:rsidP="002E6733">
      <w:pPr>
        <w:spacing w:line="360" w:lineRule="auto"/>
        <w:rPr>
          <w:rFonts w:ascii="Book Antiqua" w:hAnsi="Book Antiqua"/>
          <w:b/>
          <w:i/>
        </w:rPr>
      </w:pPr>
      <w:r w:rsidRPr="0011258C">
        <w:rPr>
          <w:rFonts w:ascii="Book Antiqua" w:hAnsi="Book Antiqua"/>
          <w:b/>
          <w:i/>
        </w:rPr>
        <w:t>Statistical analysis</w:t>
      </w:r>
    </w:p>
    <w:p w:rsidR="002D0694" w:rsidRPr="0011258C" w:rsidRDefault="002D0694" w:rsidP="002E6733">
      <w:pPr>
        <w:spacing w:line="360" w:lineRule="auto"/>
        <w:jc w:val="both"/>
        <w:rPr>
          <w:rFonts w:ascii="Book Antiqua" w:hAnsi="Book Antiqua"/>
          <w:lang w:eastAsia="zh-CN"/>
        </w:rPr>
      </w:pPr>
      <w:r w:rsidRPr="0011258C">
        <w:rPr>
          <w:rFonts w:ascii="Book Antiqua" w:hAnsi="Book Antiqua"/>
        </w:rPr>
        <w:t xml:space="preserve">The outcome measures included: </w:t>
      </w:r>
      <w:r w:rsidRPr="0011258C">
        <w:rPr>
          <w:rFonts w:ascii="Book Antiqua" w:hAnsi="Book Antiqua"/>
          <w:lang w:eastAsia="zh-CN"/>
        </w:rPr>
        <w:t>(</w:t>
      </w:r>
      <w:r w:rsidRPr="0011258C">
        <w:rPr>
          <w:rFonts w:ascii="Book Antiqua" w:hAnsi="Book Antiqua"/>
        </w:rPr>
        <w:t>1)</w:t>
      </w:r>
      <w:r w:rsidRPr="0011258C">
        <w:rPr>
          <w:rFonts w:ascii="Book Antiqua" w:hAnsi="Book Antiqua"/>
          <w:lang w:eastAsia="zh-CN"/>
        </w:rPr>
        <w:t xml:space="preserve"> </w:t>
      </w:r>
      <w:r w:rsidRPr="0011258C">
        <w:rPr>
          <w:rFonts w:ascii="Book Antiqua" w:hAnsi="Book Antiqua"/>
        </w:rPr>
        <w:t>incidence of biopsy-confirmed and clinically-treated acute rejection</w:t>
      </w:r>
      <w:r w:rsidRPr="0011258C">
        <w:rPr>
          <w:rFonts w:ascii="Book Antiqua" w:hAnsi="Book Antiqua"/>
          <w:lang w:eastAsia="zh-CN"/>
        </w:rPr>
        <w:t xml:space="preserve">, (2) </w:t>
      </w:r>
      <w:r w:rsidRPr="0011258C">
        <w:rPr>
          <w:rFonts w:ascii="Book Antiqua" w:hAnsi="Book Antiqua"/>
        </w:rPr>
        <w:t>patient and kidney graft survival</w:t>
      </w:r>
      <w:r w:rsidRPr="0011258C">
        <w:rPr>
          <w:rFonts w:ascii="Book Antiqua" w:hAnsi="Book Antiqua"/>
          <w:lang w:eastAsia="zh-CN"/>
        </w:rPr>
        <w:t>, (</w:t>
      </w:r>
      <w:r w:rsidRPr="0011258C">
        <w:rPr>
          <w:rFonts w:ascii="Book Antiqua" w:hAnsi="Book Antiqua"/>
        </w:rPr>
        <w:t>3) quality of graft function</w:t>
      </w:r>
      <w:r w:rsidRPr="0011258C">
        <w:rPr>
          <w:rFonts w:ascii="Book Antiqua" w:hAnsi="Book Antiqua"/>
          <w:lang w:eastAsia="zh-CN"/>
        </w:rPr>
        <w:t xml:space="preserve">, (4) </w:t>
      </w:r>
      <w:r w:rsidRPr="0011258C">
        <w:rPr>
          <w:rFonts w:ascii="Book Antiqua" w:hAnsi="Book Antiqua"/>
        </w:rPr>
        <w:t xml:space="preserve">incidence of clinically treated infections. Statistical analyses were performed using Statistics Analysis System </w:t>
      </w:r>
      <w:r w:rsidRPr="0011258C">
        <w:rPr>
          <w:rFonts w:ascii="Book Antiqua" w:hAnsi="Book Antiqua"/>
          <w:lang w:eastAsia="zh-CN"/>
        </w:rPr>
        <w:t>(</w:t>
      </w:r>
      <w:r w:rsidRPr="0011258C">
        <w:rPr>
          <w:rFonts w:ascii="Book Antiqua" w:hAnsi="Book Antiqua"/>
        </w:rPr>
        <w:t>SAS</w:t>
      </w:r>
      <w:r w:rsidRPr="0011258C">
        <w:rPr>
          <w:rFonts w:ascii="Book Antiqua" w:hAnsi="Book Antiqua"/>
          <w:lang w:eastAsia="zh-CN"/>
        </w:rPr>
        <w:t>)</w:t>
      </w:r>
      <w:r w:rsidRPr="0011258C">
        <w:rPr>
          <w:rFonts w:ascii="Book Antiqua" w:hAnsi="Book Antiqua"/>
        </w:rPr>
        <w:t xml:space="preserve"> version 9.3 software (SAS Institute Inc, Cary, NC, USA). Chi-squared or Fisher exact test was used for count data, </w:t>
      </w:r>
      <w:r w:rsidRPr="0011258C">
        <w:rPr>
          <w:rFonts w:ascii="Book Antiqua" w:hAnsi="Book Antiqua"/>
          <w:i/>
        </w:rPr>
        <w:t>t</w:t>
      </w:r>
      <w:r w:rsidRPr="0011258C">
        <w:rPr>
          <w:rFonts w:ascii="Book Antiqua" w:hAnsi="Book Antiqua"/>
        </w:rPr>
        <w:t xml:space="preserve">-test was used for continuous measures. Product-limit estimates of survival curves were generated by the Kaplan–Meier method and the survival difference was analyzed by log-rank test. Multivariable logistic regression analysis with a stepwise variable selection was used for examining risk factors of acute rejection. A </w:t>
      </w:r>
      <w:r w:rsidRPr="00D378B4">
        <w:rPr>
          <w:rFonts w:eastAsia="FZKTJW--GB1-0"/>
          <w:i/>
          <w:color w:val="231F20"/>
        </w:rPr>
        <w:t>P</w:t>
      </w:r>
      <w:r w:rsidRPr="0011258C">
        <w:rPr>
          <w:rFonts w:ascii="Book Antiqua" w:hAnsi="Book Antiqua"/>
        </w:rPr>
        <w:t xml:space="preserve"> -value &lt;</w:t>
      </w:r>
      <w:r w:rsidRPr="0011258C">
        <w:rPr>
          <w:rFonts w:ascii="Book Antiqua" w:hAnsi="Book Antiqua"/>
          <w:lang w:eastAsia="zh-CN"/>
        </w:rPr>
        <w:t xml:space="preserve"> </w:t>
      </w:r>
      <w:r w:rsidRPr="0011258C">
        <w:rPr>
          <w:rFonts w:ascii="Book Antiqua" w:hAnsi="Book Antiqua"/>
        </w:rPr>
        <w:t xml:space="preserve">0.05 was considered statistically significant.  If there was no data at or around the particular time point, the previous or next available measure was used for analysis. </w:t>
      </w:r>
    </w:p>
    <w:p w:rsidR="002D0694" w:rsidRPr="0011258C" w:rsidRDefault="002D0694" w:rsidP="002E6733">
      <w:pPr>
        <w:spacing w:line="360" w:lineRule="auto"/>
        <w:rPr>
          <w:rFonts w:ascii="Book Antiqua" w:hAnsi="Book Antiqua"/>
          <w:b/>
          <w:lang w:eastAsia="zh-CN"/>
        </w:rPr>
      </w:pPr>
      <w:r w:rsidRPr="0011258C">
        <w:rPr>
          <w:rFonts w:ascii="Book Antiqua" w:hAnsi="Book Antiqua"/>
          <w:b/>
        </w:rPr>
        <w:t>RESULTS</w:t>
      </w:r>
    </w:p>
    <w:p w:rsidR="002D0694" w:rsidRPr="0011258C" w:rsidRDefault="002D0694" w:rsidP="002E6733">
      <w:pPr>
        <w:spacing w:line="360" w:lineRule="auto"/>
        <w:jc w:val="both"/>
        <w:rPr>
          <w:rFonts w:ascii="Book Antiqua" w:hAnsi="Book Antiqua"/>
          <w:lang w:eastAsia="zh-CN"/>
        </w:rPr>
      </w:pPr>
      <w:r w:rsidRPr="0011258C">
        <w:rPr>
          <w:rFonts w:ascii="Book Antiqua" w:hAnsi="Book Antiqua"/>
        </w:rPr>
        <w:lastRenderedPageBreak/>
        <w:t>From 2006 to 2010, a total of 450 adult patients received a primary kidney transplant in our center. All of them were transplanted 3 to 7.5 years ago as of July 31, 2013, which is the end of the study period. Table 1 summarizes the demographic characteristics at the time of kidney transplants, and shows that there was no significant difference between the 2 groups. The total daily tacrolimus dose, 12-h</w:t>
      </w:r>
      <w:r w:rsidRPr="0011258C">
        <w:rPr>
          <w:rFonts w:ascii="Book Antiqua" w:hAnsi="Book Antiqua"/>
          <w:lang w:eastAsia="zh-CN"/>
        </w:rPr>
        <w:t xml:space="preserve"> </w:t>
      </w:r>
      <w:r w:rsidRPr="0011258C">
        <w:rPr>
          <w:rFonts w:ascii="Book Antiqua" w:hAnsi="Book Antiqua"/>
        </w:rPr>
        <w:t>trough level and graft function (serum creatini</w:t>
      </w:r>
      <w:r>
        <w:rPr>
          <w:rFonts w:ascii="Book Antiqua" w:hAnsi="Book Antiqua"/>
        </w:rPr>
        <w:t xml:space="preserve">ne) are summarized in Table 2. </w:t>
      </w:r>
      <w:r w:rsidRPr="0011258C">
        <w:rPr>
          <w:rFonts w:ascii="Book Antiqua" w:hAnsi="Book Antiqua"/>
        </w:rPr>
        <w:t xml:space="preserve">Both groups achieved similar targeted trough levels at all times according to our immunosuppressive protocol. Compared to Group 2, Group 1 initially required higher dose of tacrolimus during the first week of transplant. With administration of ketoconazole, their daily tacrolimus dose decreased. Subsequently, Group 1 required significantly lower dose of tacrolimus in the first month and in all times after that. The graft function remained comparable between the 2 groups.   </w:t>
      </w:r>
    </w:p>
    <w:p w:rsidR="002D0694" w:rsidRPr="0011258C" w:rsidRDefault="002D0694" w:rsidP="00786FE5">
      <w:pPr>
        <w:spacing w:line="360" w:lineRule="auto"/>
        <w:ind w:firstLineChars="100" w:firstLine="240"/>
        <w:jc w:val="both"/>
        <w:rPr>
          <w:rFonts w:ascii="Book Antiqua" w:hAnsi="Book Antiqua"/>
          <w:lang w:eastAsia="zh-CN"/>
        </w:rPr>
      </w:pPr>
      <w:r w:rsidRPr="0011258C">
        <w:rPr>
          <w:rFonts w:ascii="Book Antiqua" w:hAnsi="Book Antiqua"/>
        </w:rPr>
        <w:t>The key post transplant eve</w:t>
      </w:r>
      <w:r>
        <w:rPr>
          <w:rFonts w:ascii="Book Antiqua" w:hAnsi="Book Antiqua"/>
        </w:rPr>
        <w:t xml:space="preserve">nts are summarized in Table 3. </w:t>
      </w:r>
      <w:r w:rsidRPr="0011258C">
        <w:rPr>
          <w:rFonts w:ascii="Book Antiqua" w:hAnsi="Book Antiqua"/>
        </w:rPr>
        <w:t>The delayed graft function (DGF) was defined by an inadequate renal function that required dialysis support in the first week after transplant. In both groups, the percentage of patients who had DGF was similar. Acute rejections were the biopsy-confirmed and clinically-treated ones. The 5-year cumulative incidence of acute rejection was significantly higher in Group 1 than Group 2, but the types of</w:t>
      </w:r>
      <w:r>
        <w:rPr>
          <w:rFonts w:ascii="Book Antiqua" w:hAnsi="Book Antiqua"/>
        </w:rPr>
        <w:t xml:space="preserve"> rejection were not different. </w:t>
      </w:r>
      <w:r w:rsidRPr="0011258C">
        <w:rPr>
          <w:rFonts w:ascii="Book Antiqua" w:hAnsi="Book Antiqua"/>
        </w:rPr>
        <w:t xml:space="preserve">There was no significant difference in the incidence of CNI toxicity or infectious disease between the 2 groups.  Here, the CNI toxicity was the renal toxicity confirmed by kidney biopsy and required CNI dose reduction.  </w:t>
      </w:r>
    </w:p>
    <w:p w:rsidR="002D0694" w:rsidRPr="0011258C" w:rsidRDefault="002D0694" w:rsidP="00786FE5">
      <w:pPr>
        <w:spacing w:line="360" w:lineRule="auto"/>
        <w:ind w:firstLineChars="100" w:firstLine="240"/>
        <w:jc w:val="both"/>
        <w:rPr>
          <w:rFonts w:ascii="Book Antiqua" w:hAnsi="Book Antiqua"/>
          <w:lang w:eastAsia="zh-CN"/>
        </w:rPr>
      </w:pPr>
      <w:r w:rsidRPr="0011258C">
        <w:rPr>
          <w:rFonts w:ascii="Book Antiqua" w:hAnsi="Book Antiqua"/>
        </w:rPr>
        <w:t>There was no statistical difference in graft survival by Kaplan-Meier analysis between the two groups (Figure 1</w:t>
      </w:r>
      <w:r>
        <w:rPr>
          <w:rFonts w:ascii="Book Antiqua" w:hAnsi="Book Antiqua"/>
          <w:lang w:eastAsia="zh-CN"/>
        </w:rPr>
        <w:t>A</w:t>
      </w:r>
      <w:r w:rsidRPr="0011258C">
        <w:rPr>
          <w:rFonts w:ascii="Book Antiqua" w:hAnsi="Book Antiqua"/>
        </w:rPr>
        <w:t>). The estimated graft survivals at 1, 3 and 5</w:t>
      </w:r>
      <w:r w:rsidRPr="0011258C">
        <w:rPr>
          <w:rFonts w:ascii="Book Antiqua" w:hAnsi="Book Antiqua"/>
          <w:lang w:eastAsia="zh-CN"/>
        </w:rPr>
        <w:t xml:space="preserve"> </w:t>
      </w:r>
      <w:r w:rsidRPr="0011258C">
        <w:rPr>
          <w:rFonts w:ascii="Book Antiqua" w:hAnsi="Book Antiqua"/>
        </w:rPr>
        <w:t>years were 92.4%, 82.4% and 74.3% in Group 1</w:t>
      </w:r>
      <w:r>
        <w:rPr>
          <w:rFonts w:ascii="Book Antiqua" w:hAnsi="Book Antiqua"/>
        </w:rPr>
        <w:t>, and 94.6%, 83.8% and 76.4% in Group 2</w:t>
      </w:r>
      <w:r w:rsidRPr="0011258C">
        <w:rPr>
          <w:rFonts w:ascii="Book Antiqua" w:hAnsi="Book Antiqua"/>
        </w:rPr>
        <w:t xml:space="preserve"> (log rank </w:t>
      </w:r>
      <w:r w:rsidRPr="002859EC">
        <w:rPr>
          <w:rFonts w:ascii="Book Antiqua" w:hAnsi="Book Antiqua"/>
          <w:i/>
          <w:lang w:eastAsia="zh-CN"/>
        </w:rPr>
        <w:t>P</w:t>
      </w:r>
      <w:r>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0.58). There was no difference in patient surviva</w:t>
      </w:r>
      <w:r>
        <w:rPr>
          <w:rFonts w:ascii="Book Antiqua" w:hAnsi="Book Antiqua"/>
        </w:rPr>
        <w:t xml:space="preserve">l between the 2 groups (Figure </w:t>
      </w:r>
      <w:r>
        <w:rPr>
          <w:rFonts w:ascii="Book Antiqua" w:hAnsi="Book Antiqua"/>
          <w:lang w:eastAsia="zh-CN"/>
        </w:rPr>
        <w:t>1B</w:t>
      </w:r>
      <w:r w:rsidRPr="0011258C">
        <w:rPr>
          <w:rFonts w:ascii="Book Antiqua" w:hAnsi="Book Antiqua"/>
        </w:rPr>
        <w:t>). The Kaplan-Meier estimated 1, 3, and 5</w:t>
      </w:r>
      <w:r w:rsidRPr="0011258C">
        <w:rPr>
          <w:rFonts w:ascii="Book Antiqua" w:hAnsi="Book Antiqua"/>
          <w:lang w:eastAsia="zh-CN"/>
        </w:rPr>
        <w:t xml:space="preserve"> </w:t>
      </w:r>
      <w:r w:rsidRPr="0011258C">
        <w:rPr>
          <w:rFonts w:ascii="Book Antiqua" w:hAnsi="Book Antiqua"/>
        </w:rPr>
        <w:t xml:space="preserve">years patient survivals were 96%, 91.4% and 87.8% in Group 1, and 96.6%, 90.5%, 87.5% in Group 2 (log rank </w:t>
      </w:r>
      <w:r w:rsidRPr="00E13A64">
        <w:rPr>
          <w:rFonts w:ascii="Book Antiqua" w:hAnsi="Book Antiqua"/>
          <w:i/>
          <w:lang w:eastAsia="zh-CN"/>
        </w:rPr>
        <w:t>P</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 xml:space="preserve">0.93). The causes of graft loss and death were listed in Table 3. There was no statistical difference in the overall causes of graft loss or patient death between the 2 groups. </w:t>
      </w:r>
    </w:p>
    <w:p w:rsidR="002D0694" w:rsidRPr="0011258C" w:rsidRDefault="002D0694" w:rsidP="00786FE5">
      <w:pPr>
        <w:spacing w:line="360" w:lineRule="auto"/>
        <w:ind w:firstLineChars="100" w:firstLine="240"/>
        <w:jc w:val="both"/>
        <w:rPr>
          <w:rFonts w:ascii="Book Antiqua" w:hAnsi="Book Antiqua"/>
        </w:rPr>
      </w:pPr>
      <w:r w:rsidRPr="0011258C">
        <w:rPr>
          <w:rFonts w:ascii="Book Antiqua" w:hAnsi="Book Antiqua"/>
        </w:rPr>
        <w:lastRenderedPageBreak/>
        <w:t>The risk factors for acute rejection were examined by multivariable logi</w:t>
      </w:r>
      <w:r>
        <w:rPr>
          <w:rFonts w:ascii="Book Antiqua" w:hAnsi="Book Antiqua"/>
        </w:rPr>
        <w:t>stic regression analyses.</w:t>
      </w:r>
      <w:r>
        <w:rPr>
          <w:rFonts w:ascii="Book Antiqua" w:hAnsi="Book Antiqua"/>
          <w:lang w:eastAsia="zh-CN"/>
        </w:rPr>
        <w:t xml:space="preserve"> </w:t>
      </w:r>
      <w:r w:rsidRPr="0011258C">
        <w:rPr>
          <w:rFonts w:ascii="Book Antiqua" w:hAnsi="Book Antiqua"/>
        </w:rPr>
        <w:t>The identified significant factors are listed in Table 4. We found that ketoconazole usage was an independent risk o</w:t>
      </w:r>
      <w:r>
        <w:rPr>
          <w:rFonts w:ascii="Book Antiqua" w:hAnsi="Book Antiqua"/>
        </w:rPr>
        <w:t xml:space="preserve">f acute rejection </w:t>
      </w:r>
      <w:r>
        <w:rPr>
          <w:rFonts w:ascii="Book Antiqua" w:hAnsi="Book Antiqua"/>
          <w:lang w:eastAsia="zh-CN"/>
        </w:rPr>
        <w:t>[h</w:t>
      </w:r>
      <w:r w:rsidRPr="00FB3802">
        <w:rPr>
          <w:rFonts w:ascii="Book Antiqua" w:hAnsi="Book Antiqua"/>
          <w:lang w:eastAsia="zh-CN"/>
        </w:rPr>
        <w:t>azard ratio</w:t>
      </w:r>
      <w:r w:rsidRPr="0011258C">
        <w:rPr>
          <w:rFonts w:ascii="Book Antiqua" w:hAnsi="Book Antiqua"/>
        </w:rPr>
        <w:t xml:space="preserve"> </w:t>
      </w:r>
      <w:r>
        <w:rPr>
          <w:rFonts w:ascii="Book Antiqua" w:hAnsi="Book Antiqua"/>
          <w:lang w:eastAsia="zh-CN"/>
        </w:rPr>
        <w:t>(</w:t>
      </w:r>
      <w:r w:rsidRPr="00BA16E6">
        <w:rPr>
          <w:rFonts w:ascii="Book Antiqua" w:hAnsi="Book Antiqua"/>
        </w:rPr>
        <w:t>HR</w:t>
      </w:r>
      <w:r>
        <w:rPr>
          <w:rFonts w:ascii="Book Antiqua" w:hAnsi="Book Antiqua"/>
          <w:lang w:eastAsia="zh-CN"/>
        </w:rPr>
        <w:t>)</w:t>
      </w:r>
      <w:r>
        <w:rPr>
          <w:rFonts w:ascii="Book Antiqua" w:hAnsi="Book Antiqua"/>
        </w:rPr>
        <w:t xml:space="preserve"> 2.33, 95%</w:t>
      </w:r>
      <w:r w:rsidRPr="0011258C">
        <w:rPr>
          <w:rFonts w:ascii="Book Antiqua" w:hAnsi="Book Antiqua"/>
        </w:rPr>
        <w:t>C</w:t>
      </w:r>
      <w:r>
        <w:rPr>
          <w:rFonts w:ascii="Book Antiqua" w:hAnsi="Book Antiqua"/>
          <w:lang w:eastAsia="zh-CN"/>
        </w:rPr>
        <w:t>I</w:t>
      </w:r>
      <w:r w:rsidRPr="0011258C">
        <w:rPr>
          <w:rFonts w:ascii="Book Antiqua" w:hAnsi="Book Antiqua"/>
        </w:rPr>
        <w:t xml:space="preserve"> 1.33-4.07; </w:t>
      </w:r>
      <w:r w:rsidRPr="00E13A64">
        <w:rPr>
          <w:rFonts w:ascii="Book Antiqua" w:hAnsi="Book Antiqua"/>
          <w:i/>
          <w:lang w:eastAsia="zh-CN"/>
        </w:rPr>
        <w:t>P</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Pr>
          <w:rFonts w:ascii="Book Antiqua" w:hAnsi="Book Antiqua"/>
        </w:rPr>
        <w:t>0.003</w:t>
      </w:r>
      <w:r>
        <w:rPr>
          <w:rFonts w:ascii="Book Antiqua" w:hAnsi="Book Antiqua"/>
          <w:lang w:eastAsia="zh-CN"/>
        </w:rPr>
        <w:t>]</w:t>
      </w:r>
      <w:r>
        <w:rPr>
          <w:rFonts w:ascii="Book Antiqua" w:hAnsi="Book Antiqua"/>
        </w:rPr>
        <w:t xml:space="preserve">. </w:t>
      </w:r>
      <w:r w:rsidRPr="0011258C">
        <w:rPr>
          <w:rFonts w:ascii="Book Antiqua" w:hAnsi="Book Antiqua"/>
        </w:rPr>
        <w:t>Tacrolimus dose at each time point was also tested. The daily dose of tacrolimus in the 2</w:t>
      </w:r>
      <w:r w:rsidRPr="002859EC">
        <w:rPr>
          <w:rFonts w:ascii="Book Antiqua" w:hAnsi="Book Antiqua"/>
          <w:vertAlign w:val="superscript"/>
        </w:rPr>
        <w:t>nd</w:t>
      </w:r>
      <w:r w:rsidRPr="0011258C">
        <w:rPr>
          <w:rFonts w:ascii="Book Antiqua" w:hAnsi="Book Antiqua"/>
        </w:rPr>
        <w:t xml:space="preserve"> month after transplant was a significant factor in determining the </w:t>
      </w:r>
      <w:r>
        <w:rPr>
          <w:rFonts w:ascii="Book Antiqua" w:hAnsi="Book Antiqua"/>
        </w:rPr>
        <w:t>risk of rejection (HR 0.89, 95%</w:t>
      </w:r>
      <w:r w:rsidRPr="0011258C">
        <w:rPr>
          <w:rFonts w:ascii="Book Antiqua" w:hAnsi="Book Antiqua"/>
        </w:rPr>
        <w:t>C</w:t>
      </w:r>
      <w:r>
        <w:rPr>
          <w:rFonts w:ascii="Book Antiqua" w:hAnsi="Book Antiqua"/>
          <w:lang w:eastAsia="zh-CN"/>
        </w:rPr>
        <w:t>I</w:t>
      </w:r>
      <w:r w:rsidRPr="0011258C">
        <w:rPr>
          <w:rFonts w:ascii="Book Antiqua" w:hAnsi="Book Antiqua"/>
        </w:rPr>
        <w:t xml:space="preserve"> 0.75-0.96; </w:t>
      </w:r>
      <w:r w:rsidRPr="00D378B4">
        <w:rPr>
          <w:rFonts w:eastAsia="FZKTJW--GB1-0"/>
          <w:i/>
          <w:color w:val="231F20"/>
        </w:rPr>
        <w:t>P</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 xml:space="preserve">0.041), </w:t>
      </w:r>
      <w:r w:rsidRPr="0011258C">
        <w:rPr>
          <w:rFonts w:ascii="Book Antiqua" w:hAnsi="Book Antiqua"/>
          <w:i/>
        </w:rPr>
        <w:t>i.e.</w:t>
      </w:r>
      <w:r w:rsidRPr="0011258C">
        <w:rPr>
          <w:rFonts w:ascii="Book Antiqua" w:hAnsi="Book Antiqua"/>
          <w:i/>
          <w:lang w:eastAsia="zh-CN"/>
        </w:rPr>
        <w:t>,</w:t>
      </w:r>
      <w:r w:rsidRPr="0011258C">
        <w:rPr>
          <w:rFonts w:ascii="Book Antiqua" w:hAnsi="Book Antiqua"/>
          <w:i/>
        </w:rPr>
        <w:t xml:space="preserve"> </w:t>
      </w:r>
      <w:r w:rsidRPr="0011258C">
        <w:rPr>
          <w:rFonts w:ascii="Book Antiqua" w:hAnsi="Book Antiqua"/>
        </w:rPr>
        <w:t>the higher the daily dose, th</w:t>
      </w:r>
      <w:r>
        <w:rPr>
          <w:rFonts w:ascii="Book Antiqua" w:hAnsi="Book Antiqua"/>
        </w:rPr>
        <w:t xml:space="preserve">e lower the risk of rejection. </w:t>
      </w:r>
      <w:r w:rsidRPr="0011258C">
        <w:rPr>
          <w:rFonts w:ascii="Book Antiqua" w:hAnsi="Book Antiqua"/>
        </w:rPr>
        <w:t xml:space="preserve">Other commonly described risk factors in literatures, such as black ethnicity, DGF and infectious complications were also demonstrated in our study, while live donor kidneys were associated with lower risk of rejection compared to the deceased donor kidneys.  </w:t>
      </w:r>
    </w:p>
    <w:p w:rsidR="002D0694" w:rsidRPr="0011258C" w:rsidRDefault="002D0694" w:rsidP="002E6733">
      <w:pPr>
        <w:spacing w:line="360" w:lineRule="auto"/>
        <w:jc w:val="both"/>
        <w:rPr>
          <w:rFonts w:ascii="Book Antiqua" w:hAnsi="Book Antiqua"/>
        </w:rPr>
      </w:pPr>
    </w:p>
    <w:p w:rsidR="002D0694" w:rsidRPr="0011258C" w:rsidRDefault="002D0694" w:rsidP="002E6733">
      <w:pPr>
        <w:spacing w:line="360" w:lineRule="auto"/>
        <w:rPr>
          <w:rFonts w:ascii="Book Antiqua" w:hAnsi="Book Antiqua"/>
          <w:b/>
          <w:lang w:eastAsia="zh-CN"/>
        </w:rPr>
      </w:pPr>
      <w:r w:rsidRPr="0011258C">
        <w:rPr>
          <w:rFonts w:ascii="Book Antiqua" w:hAnsi="Book Antiqua"/>
          <w:b/>
        </w:rPr>
        <w:t>DISCUSSION</w:t>
      </w:r>
    </w:p>
    <w:p w:rsidR="002D0694" w:rsidRPr="0011258C" w:rsidRDefault="002D0694" w:rsidP="002E6733">
      <w:pPr>
        <w:autoSpaceDE w:val="0"/>
        <w:autoSpaceDN w:val="0"/>
        <w:adjustRightInd w:val="0"/>
        <w:spacing w:line="360" w:lineRule="auto"/>
        <w:jc w:val="both"/>
        <w:rPr>
          <w:rFonts w:ascii="Book Antiqua" w:hAnsi="Book Antiqua"/>
          <w:lang w:eastAsia="zh-CN"/>
        </w:rPr>
      </w:pPr>
      <w:r w:rsidRPr="0011258C">
        <w:rPr>
          <w:rFonts w:ascii="Book Antiqua" w:hAnsi="Book Antiqua"/>
        </w:rPr>
        <w:t>Tacrolimus remains a backbone of modern immunosuppressive therapy in solid organ transplants. Due to the numerous adverse effects, narrow safety margin and large intra- and inter-individual variability in pharmacokinetics, therapeutic monitoring is mandatory</w:t>
      </w:r>
      <w:r>
        <w:rPr>
          <w:rStyle w:val="aa"/>
          <w:rFonts w:ascii="Book Antiqua" w:hAnsi="Book Antiqua"/>
          <w:i w:val="0"/>
          <w:vertAlign w:val="superscript"/>
        </w:rPr>
        <w:t>[1</w:t>
      </w:r>
      <w:r>
        <w:rPr>
          <w:rStyle w:val="aa"/>
          <w:rFonts w:ascii="Book Antiqua" w:hAnsi="Book Antiqua"/>
          <w:i w:val="0"/>
          <w:vertAlign w:val="superscript"/>
          <w:lang w:eastAsia="zh-CN"/>
        </w:rPr>
        <w:t>-</w:t>
      </w:r>
      <w:r w:rsidRPr="0011258C">
        <w:rPr>
          <w:rStyle w:val="aa"/>
          <w:rFonts w:ascii="Book Antiqua" w:hAnsi="Book Antiqua"/>
          <w:i w:val="0"/>
          <w:vertAlign w:val="superscript"/>
        </w:rPr>
        <w:t>3]</w:t>
      </w:r>
      <w:r w:rsidRPr="0011258C">
        <w:rPr>
          <w:rFonts w:ascii="Book Antiqua" w:hAnsi="Book Antiqua"/>
        </w:rPr>
        <w:t>. The normal pharmacokinetic curve of tacrolimus has a peak-and-trough pattern. A rapid peak phase reflects the absorption after an oral dose while a slow slope towards trough level</w:t>
      </w:r>
      <w:r>
        <w:rPr>
          <w:rFonts w:ascii="Book Antiqua" w:hAnsi="Book Antiqua"/>
        </w:rPr>
        <w:t xml:space="preserve"> reflects the drug metabolism. </w:t>
      </w:r>
      <w:r w:rsidRPr="0011258C">
        <w:rPr>
          <w:rFonts w:ascii="Book Antiqua" w:hAnsi="Book Antiqua"/>
        </w:rPr>
        <w:t>Ideally, tacrolimus dosing should be based on a 12</w:t>
      </w:r>
      <w:r w:rsidRPr="0011258C">
        <w:rPr>
          <w:rFonts w:ascii="Book Antiqua" w:hAnsi="Book Antiqua"/>
          <w:lang w:eastAsia="zh-CN"/>
        </w:rPr>
        <w:t xml:space="preserve"> </w:t>
      </w:r>
      <w:r w:rsidRPr="0011258C">
        <w:rPr>
          <w:rFonts w:ascii="Book Antiqua" w:hAnsi="Book Antiqua"/>
        </w:rPr>
        <w:t xml:space="preserve">h area under the curve </w:t>
      </w:r>
      <w:r w:rsidRPr="0011258C">
        <w:rPr>
          <w:rFonts w:ascii="Book Antiqua" w:hAnsi="Book Antiqua"/>
          <w:lang w:eastAsia="zh-CN"/>
        </w:rPr>
        <w:t>(</w:t>
      </w:r>
      <w:r w:rsidRPr="0011258C">
        <w:rPr>
          <w:rFonts w:ascii="Book Antiqua" w:hAnsi="Book Antiqua"/>
        </w:rPr>
        <w:t>AUC</w:t>
      </w:r>
      <w:r w:rsidRPr="0011258C">
        <w:rPr>
          <w:rFonts w:ascii="Book Antiqua" w:hAnsi="Book Antiqua"/>
          <w:lang w:eastAsia="zh-CN"/>
        </w:rPr>
        <w:t>)</w:t>
      </w:r>
      <w:r w:rsidRPr="0011258C">
        <w:rPr>
          <w:rFonts w:ascii="Book Antiqua" w:hAnsi="Book Antiqua"/>
        </w:rPr>
        <w:t xml:space="preserve"> that indicates th</w:t>
      </w:r>
      <w:r>
        <w:rPr>
          <w:rFonts w:ascii="Book Antiqua" w:hAnsi="Book Antiqua"/>
        </w:rPr>
        <w:t xml:space="preserve">e extent of systemic exposure. </w:t>
      </w:r>
      <w:r w:rsidRPr="0011258C">
        <w:rPr>
          <w:rFonts w:ascii="Book Antiqua" w:hAnsi="Book Antiqua"/>
        </w:rPr>
        <w:t>In clinical practice, oral doing is usually guided by monitoring 12h trough levels, because of the convenience for blood sampling and the assumed correlation between trough level and AUC</w:t>
      </w:r>
      <w:r w:rsidRPr="0011258C">
        <w:rPr>
          <w:rStyle w:val="aa"/>
          <w:rFonts w:ascii="Book Antiqua" w:hAnsi="Book Antiqua"/>
          <w:i w:val="0"/>
          <w:vertAlign w:val="superscript"/>
        </w:rPr>
        <w:t>[2,3,12,13]</w:t>
      </w:r>
      <w:r w:rsidRPr="0011258C">
        <w:rPr>
          <w:rFonts w:ascii="Book Antiqua" w:hAnsi="Book Antiqua"/>
        </w:rPr>
        <w:t>. However, this correlation varies considerably and the best sampling time for a spot tacrolimus level to predict its total body exposure remains controversial</w:t>
      </w:r>
      <w:r w:rsidRPr="0011258C">
        <w:rPr>
          <w:rStyle w:val="aa"/>
          <w:rFonts w:ascii="Book Antiqua" w:hAnsi="Book Antiqua"/>
          <w:i w:val="0"/>
          <w:vertAlign w:val="superscript"/>
        </w:rPr>
        <w:t>[2</w:t>
      </w:r>
      <w:r>
        <w:rPr>
          <w:rStyle w:val="aa"/>
          <w:rFonts w:ascii="Book Antiqua" w:hAnsi="Book Antiqua"/>
          <w:i w:val="0"/>
          <w:vertAlign w:val="superscript"/>
        </w:rPr>
        <w:t>,3,12</w:t>
      </w:r>
      <w:r>
        <w:rPr>
          <w:rStyle w:val="aa"/>
          <w:rFonts w:ascii="Book Antiqua" w:hAnsi="Book Antiqua"/>
          <w:i w:val="0"/>
          <w:vertAlign w:val="superscript"/>
          <w:lang w:eastAsia="zh-CN"/>
        </w:rPr>
        <w:t>-</w:t>
      </w:r>
      <w:r w:rsidRPr="0011258C">
        <w:rPr>
          <w:rStyle w:val="aa"/>
          <w:rFonts w:ascii="Book Antiqua" w:hAnsi="Book Antiqua"/>
          <w:i w:val="0"/>
          <w:vertAlign w:val="superscript"/>
        </w:rPr>
        <w:t>14]</w:t>
      </w:r>
      <w:r w:rsidRPr="0011258C">
        <w:rPr>
          <w:rFonts w:ascii="Book Antiqua" w:hAnsi="Book Antiqua"/>
        </w:rPr>
        <w:t>. The advance in pharmacogenetics has led the discovery of several gene polymorphisms in P450 family, which explains the inter-individual variability of tacrolimus metabolism</w:t>
      </w:r>
      <w:r w:rsidRPr="0011258C">
        <w:rPr>
          <w:rStyle w:val="aa"/>
          <w:rFonts w:ascii="Book Antiqua" w:hAnsi="Book Antiqua"/>
          <w:i w:val="0"/>
          <w:vertAlign w:val="superscript"/>
        </w:rPr>
        <w:t>[13,15,16]</w:t>
      </w:r>
      <w:r w:rsidRPr="0011258C">
        <w:rPr>
          <w:rFonts w:ascii="Book Antiqua" w:hAnsi="Book Antiqua"/>
        </w:rPr>
        <w:t>.</w:t>
      </w:r>
      <w:r>
        <w:rPr>
          <w:rFonts w:ascii="Book Antiqua" w:hAnsi="Book Antiqua"/>
          <w:lang w:eastAsia="zh-CN"/>
        </w:rPr>
        <w:t xml:space="preserve"> </w:t>
      </w:r>
      <w:r w:rsidRPr="0011258C">
        <w:rPr>
          <w:rFonts w:ascii="Book Antiqua" w:hAnsi="Book Antiqua"/>
        </w:rPr>
        <w:t>Transplant patients expressing P450-3A5 (expressers) were shown to need higher doses of tacrolimus than non-expressers to reach similar trough levels</w:t>
      </w:r>
      <w:r w:rsidRPr="0011258C">
        <w:rPr>
          <w:rStyle w:val="aa"/>
          <w:rFonts w:ascii="Book Antiqua" w:hAnsi="Book Antiqua"/>
          <w:i w:val="0"/>
          <w:vertAlign w:val="superscript"/>
        </w:rPr>
        <w:t>[13,16]</w:t>
      </w:r>
      <w:r w:rsidRPr="0011258C">
        <w:rPr>
          <w:rFonts w:ascii="Book Antiqua" w:hAnsi="Book Antiqua"/>
        </w:rPr>
        <w:t xml:space="preserve">. </w:t>
      </w:r>
    </w:p>
    <w:p w:rsidR="002D0694" w:rsidRPr="0011258C" w:rsidRDefault="002D0694" w:rsidP="00786FE5">
      <w:pPr>
        <w:spacing w:line="360" w:lineRule="auto"/>
        <w:ind w:firstLineChars="100" w:firstLine="240"/>
        <w:jc w:val="both"/>
        <w:rPr>
          <w:rFonts w:ascii="Book Antiqua" w:hAnsi="Book Antiqua"/>
          <w:lang w:eastAsia="zh-CN"/>
        </w:rPr>
      </w:pPr>
      <w:r w:rsidRPr="0011258C">
        <w:rPr>
          <w:rFonts w:ascii="Book Antiqua" w:hAnsi="Book Antiqua"/>
        </w:rPr>
        <w:lastRenderedPageBreak/>
        <w:t>Our study suggests that co-administration of ketoconazole with tacrolimus increase the risk of acute rejection. The 5-year cumulative incidence of acute rejection was significantly higher in Group 1 (34%) than Group 2</w:t>
      </w:r>
      <w:r w:rsidRPr="0011258C">
        <w:rPr>
          <w:rFonts w:ascii="Book Antiqua" w:hAnsi="Book Antiqua"/>
          <w:lang w:eastAsia="zh-CN"/>
        </w:rPr>
        <w:t xml:space="preserve"> </w:t>
      </w:r>
      <w:r w:rsidRPr="0011258C">
        <w:rPr>
          <w:rFonts w:ascii="Book Antiqua" w:hAnsi="Book Antiqua"/>
        </w:rPr>
        <w:t>(18%), although the types of rejection were not different.  Both groups achieved similar targeted trough levels at all time</w:t>
      </w:r>
      <w:r>
        <w:rPr>
          <w:rFonts w:ascii="Book Antiqua" w:hAnsi="Book Antiqua"/>
        </w:rPr>
        <w:t xml:space="preserve">-points according to protocol. </w:t>
      </w:r>
      <w:r w:rsidRPr="0011258C">
        <w:rPr>
          <w:rFonts w:ascii="Book Antiqua" w:hAnsi="Book Antiqua"/>
        </w:rPr>
        <w:t>Compared to Group 2, Group 1 initially required higher dose of tacrolimus in the first week of transplant. As expected, their daily tacrolimus dose decreased with addition of ketoconazole. Subsequently, group 1 had significantly lower dose of tacrolimus in the first mont</w:t>
      </w:r>
      <w:r>
        <w:rPr>
          <w:rFonts w:ascii="Book Antiqua" w:hAnsi="Book Antiqua"/>
        </w:rPr>
        <w:t xml:space="preserve">h and at all times after that. </w:t>
      </w:r>
      <w:r w:rsidRPr="0011258C">
        <w:rPr>
          <w:rFonts w:ascii="Book Antiqua" w:hAnsi="Book Antiqua"/>
        </w:rPr>
        <w:t>The risk factors for acute rejection were examined and we found that the use of ketoconazole was an independent risk of acute rejection (OR 2.33, 9</w:t>
      </w:r>
      <w:r>
        <w:rPr>
          <w:rFonts w:ascii="Book Antiqua" w:hAnsi="Book Antiqua"/>
        </w:rPr>
        <w:t>5%C</w:t>
      </w:r>
      <w:r>
        <w:rPr>
          <w:rFonts w:ascii="Book Antiqua" w:hAnsi="Book Antiqua"/>
          <w:lang w:eastAsia="zh-CN"/>
        </w:rPr>
        <w:t>I</w:t>
      </w:r>
      <w:r w:rsidR="00786FE5">
        <w:rPr>
          <w:rFonts w:ascii="Book Antiqua" w:hAnsi="Book Antiqua" w:hint="eastAsia"/>
          <w:lang w:eastAsia="zh-CN"/>
        </w:rPr>
        <w:t>:</w:t>
      </w:r>
      <w:r>
        <w:rPr>
          <w:rFonts w:ascii="Book Antiqua" w:hAnsi="Book Antiqua"/>
        </w:rPr>
        <w:t xml:space="preserve"> 1.33-4.07; </w:t>
      </w:r>
      <w:r w:rsidRPr="00E13A64">
        <w:rPr>
          <w:rFonts w:ascii="Book Antiqua" w:hAnsi="Book Antiqua"/>
          <w:i/>
          <w:lang w:eastAsia="zh-CN"/>
        </w:rPr>
        <w:t>P</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0.003). The daily dose of tacrolimus in the 2</w:t>
      </w:r>
      <w:r w:rsidRPr="00E13A64">
        <w:rPr>
          <w:rFonts w:ascii="Book Antiqua" w:hAnsi="Book Antiqua"/>
          <w:vertAlign w:val="superscript"/>
        </w:rPr>
        <w:t>nd</w:t>
      </w:r>
      <w:r w:rsidRPr="0011258C">
        <w:rPr>
          <w:rFonts w:ascii="Book Antiqua" w:hAnsi="Book Antiqua"/>
        </w:rPr>
        <w:t xml:space="preserve"> month after transplant was protecti</w:t>
      </w:r>
      <w:r>
        <w:rPr>
          <w:rFonts w:ascii="Book Antiqua" w:hAnsi="Book Antiqua"/>
        </w:rPr>
        <w:t>ve from rejection (HR 0.89, 95%</w:t>
      </w:r>
      <w:r w:rsidRPr="0011258C">
        <w:rPr>
          <w:rFonts w:ascii="Book Antiqua" w:hAnsi="Book Antiqua"/>
        </w:rPr>
        <w:t>C</w:t>
      </w:r>
      <w:r>
        <w:rPr>
          <w:rFonts w:ascii="Book Antiqua" w:hAnsi="Book Antiqua"/>
          <w:lang w:eastAsia="zh-CN"/>
        </w:rPr>
        <w:t>I</w:t>
      </w:r>
      <w:r w:rsidR="00786FE5">
        <w:rPr>
          <w:rFonts w:ascii="Book Antiqua" w:hAnsi="Book Antiqua" w:hint="eastAsia"/>
          <w:lang w:eastAsia="zh-CN"/>
        </w:rPr>
        <w:t>:</w:t>
      </w:r>
      <w:r w:rsidRPr="0011258C">
        <w:rPr>
          <w:rFonts w:ascii="Book Antiqua" w:hAnsi="Book Antiqua"/>
        </w:rPr>
        <w:t xml:space="preserve"> 0.75-0.96; </w:t>
      </w:r>
      <w:r w:rsidRPr="00E13A64">
        <w:rPr>
          <w:rFonts w:ascii="Book Antiqua" w:hAnsi="Book Antiqua"/>
          <w:i/>
          <w:lang w:eastAsia="zh-CN"/>
        </w:rPr>
        <w:t>P</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0.041),</w:t>
      </w:r>
      <w:r w:rsidRPr="0011258C">
        <w:rPr>
          <w:rFonts w:ascii="Book Antiqua" w:hAnsi="Book Antiqua"/>
          <w:i/>
        </w:rPr>
        <w:t xml:space="preserve"> i.e.</w:t>
      </w:r>
      <w:r w:rsidRPr="0011258C">
        <w:rPr>
          <w:rFonts w:ascii="Book Antiqua" w:hAnsi="Book Antiqua"/>
          <w:i/>
          <w:lang w:eastAsia="zh-CN"/>
        </w:rPr>
        <w:t>,</w:t>
      </w:r>
      <w:r w:rsidRPr="0011258C">
        <w:rPr>
          <w:rFonts w:ascii="Book Antiqua" w:hAnsi="Book Antiqua"/>
        </w:rPr>
        <w:t xml:space="preserve"> the higher the daily dose, the lower the risk of rejection. This suggests that higher incidence of rejection may be directly related to the reduced dose of tacrolimus from the co-administration of ketoconazole. </w:t>
      </w:r>
    </w:p>
    <w:p w:rsidR="002D0694" w:rsidRPr="0011258C" w:rsidRDefault="002D0694" w:rsidP="00786FE5">
      <w:pPr>
        <w:autoSpaceDE w:val="0"/>
        <w:autoSpaceDN w:val="0"/>
        <w:adjustRightInd w:val="0"/>
        <w:spacing w:line="360" w:lineRule="auto"/>
        <w:ind w:firstLineChars="100" w:firstLine="240"/>
        <w:jc w:val="both"/>
        <w:rPr>
          <w:rFonts w:ascii="Book Antiqua" w:hAnsi="Book Antiqua"/>
          <w:lang w:eastAsia="zh-CN"/>
        </w:rPr>
      </w:pPr>
      <w:r w:rsidRPr="0011258C">
        <w:rPr>
          <w:rFonts w:ascii="Book Antiqua" w:hAnsi="Book Antiqua"/>
        </w:rPr>
        <w:t>Previous studies from Egypt reported long-term safety and financial savings of coadministration of ketoconazole with cyclosporine in 51 patients after living-related kidney transplants</w:t>
      </w:r>
      <w:r w:rsidRPr="0011258C">
        <w:rPr>
          <w:rStyle w:val="aa"/>
          <w:rFonts w:ascii="Book Antiqua" w:hAnsi="Book Antiqua"/>
          <w:i w:val="0"/>
          <w:vertAlign w:val="superscript"/>
        </w:rPr>
        <w:t>[19,20]</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The same group further studied the coadministration of ketoconazole with tacrolimus</w:t>
      </w:r>
      <w:r w:rsidRPr="0011258C">
        <w:rPr>
          <w:rStyle w:val="aa"/>
          <w:rFonts w:ascii="Book Antiqua" w:hAnsi="Book Antiqua"/>
          <w:i w:val="0"/>
          <w:vertAlign w:val="superscript"/>
        </w:rPr>
        <w:t>[4,5]</w:t>
      </w:r>
      <w:r w:rsidRPr="0011258C">
        <w:rPr>
          <w:rFonts w:ascii="Book Antiqua" w:hAnsi="Book Antiqua"/>
        </w:rPr>
        <w:t xml:space="preserve">. A total of 70 live donor kidney transplant recipients were randomized into ketoconazole group (100 mg/d) and control group (without ketoconazole). By </w:t>
      </w:r>
      <w:r w:rsidRPr="0011258C">
        <w:rPr>
          <w:rFonts w:ascii="Book Antiqua" w:hAnsi="Book Antiqua"/>
          <w:lang w:eastAsia="zh-CN"/>
        </w:rPr>
        <w:t>six</w:t>
      </w:r>
      <w:r w:rsidRPr="0011258C">
        <w:rPr>
          <w:rFonts w:ascii="Book Antiqua" w:hAnsi="Book Antiqua"/>
        </w:rPr>
        <w:t xml:space="preserve"> months, ketoconazole group experienced significant reduction of tacrolimus dose (by 58.7%) and cost (by 56.9%)</w:t>
      </w:r>
      <w:r w:rsidRPr="0011258C">
        <w:rPr>
          <w:rStyle w:val="aa"/>
          <w:rFonts w:ascii="Book Antiqua" w:hAnsi="Book Antiqua"/>
          <w:i w:val="0"/>
          <w:vertAlign w:val="superscript"/>
        </w:rPr>
        <w:t>[4]</w:t>
      </w:r>
      <w:r>
        <w:rPr>
          <w:rFonts w:ascii="Book Antiqua" w:hAnsi="Book Antiqua"/>
        </w:rPr>
        <w:t xml:space="preserve">. </w:t>
      </w:r>
      <w:r w:rsidRPr="0011258C">
        <w:rPr>
          <w:rFonts w:ascii="Book Antiqua" w:hAnsi="Book Antiqua"/>
        </w:rPr>
        <w:t>After 2 years, ketoconazole group still had a remarkable reduction of tacrolimus dose (by 53.8%) and financial cost (by 52.9%). There was no adverse effect of ketoconazole throughout the 2 years</w:t>
      </w:r>
      <w:r w:rsidRPr="0011258C">
        <w:rPr>
          <w:rStyle w:val="aa"/>
          <w:rFonts w:ascii="Book Antiqua" w:hAnsi="Book Antiqua"/>
          <w:i w:val="0"/>
          <w:vertAlign w:val="superscript"/>
        </w:rPr>
        <w:t>[5]</w:t>
      </w:r>
      <w:r w:rsidRPr="0011258C">
        <w:rPr>
          <w:rFonts w:ascii="Book Antiqua" w:hAnsi="Book Antiqua"/>
        </w:rPr>
        <w:t xml:space="preserve">. None of the Egyptian studies noted higher incidence of acute rejection with ketoconazole. Our current study is different from theirs in many aspects. In addition to a larger population and longer follow-up, our transplant recipients were more heterogeneous where the majority of patients were African Americans (64% in Group 1). Deceased donor kidneys (74%) rather than living-donor kidneys were the dominant allografts and about 30% of </w:t>
      </w:r>
      <w:r w:rsidRPr="0011258C">
        <w:rPr>
          <w:rFonts w:ascii="Book Antiqua" w:hAnsi="Book Antiqua"/>
        </w:rPr>
        <w:lastRenderedPageBreak/>
        <w:t>patients experienced DGF after transplants. Many patients were also highly sensitized and/or poorly matched with donors. Therefore, our patients would be considered to have higher risk for acute rejection</w:t>
      </w:r>
      <w:r w:rsidRPr="0011258C">
        <w:rPr>
          <w:rStyle w:val="aa"/>
          <w:rFonts w:ascii="Book Antiqua" w:hAnsi="Book Antiqua"/>
          <w:i w:val="0"/>
          <w:vertAlign w:val="superscript"/>
        </w:rPr>
        <w:t>[17,18]</w:t>
      </w:r>
      <w:r w:rsidRPr="0011258C">
        <w:rPr>
          <w:rFonts w:ascii="Book Antiqua" w:hAnsi="Book Antiqua"/>
        </w:rPr>
        <w:t xml:space="preserve">. This may explain the difference in the results. Similar to their studies, we did not found any toxic side effect of using low dose of ketoconazole in kidney transplant patients.  </w:t>
      </w:r>
    </w:p>
    <w:p w:rsidR="002D0694" w:rsidRPr="0011258C" w:rsidRDefault="002D0694" w:rsidP="00786FE5">
      <w:pPr>
        <w:tabs>
          <w:tab w:val="left" w:pos="5400"/>
        </w:tabs>
        <w:autoSpaceDE w:val="0"/>
        <w:autoSpaceDN w:val="0"/>
        <w:adjustRightInd w:val="0"/>
        <w:spacing w:line="360" w:lineRule="auto"/>
        <w:ind w:firstLineChars="100" w:firstLine="240"/>
        <w:jc w:val="both"/>
        <w:rPr>
          <w:rFonts w:ascii="Book Antiqua" w:hAnsi="Book Antiqua"/>
          <w:lang w:eastAsia="zh-CN"/>
        </w:rPr>
      </w:pPr>
      <w:r w:rsidRPr="0011258C">
        <w:rPr>
          <w:rFonts w:ascii="Book Antiqua" w:hAnsi="Book Antiqua"/>
        </w:rPr>
        <w:t>In HIV-infected transplant patients, we have experienced difficulties in dosing CNI.  As reported previously, the acute rejection rates were unexpectedly high (31% at 1 year, and 41% at 3 years) in HIV-infected kidney recipients despite the fact that their targeted trough levels of CNI were similar to non-HIV patients. More than half (52%) of acute rejection episodes did not respond to steroid therapy</w:t>
      </w:r>
      <w:r w:rsidRPr="0011258C">
        <w:rPr>
          <w:rStyle w:val="aa"/>
          <w:rFonts w:ascii="Book Antiqua" w:hAnsi="Book Antiqua"/>
          <w:i w:val="0"/>
          <w:vertAlign w:val="superscript"/>
        </w:rPr>
        <w:t>[6]</w:t>
      </w:r>
      <w:r>
        <w:rPr>
          <w:rFonts w:ascii="Book Antiqua" w:hAnsi="Book Antiqua"/>
        </w:rPr>
        <w:t xml:space="preserve">. </w:t>
      </w:r>
      <w:r w:rsidRPr="0011258C">
        <w:rPr>
          <w:rFonts w:ascii="Book Antiqua" w:hAnsi="Book Antiqua"/>
        </w:rPr>
        <w:t>Even in HIV-infected liver transplant recipients, about half of the acute rejections occurred within the first 3 wk of transplant</w:t>
      </w:r>
      <w:r w:rsidRPr="0011258C">
        <w:rPr>
          <w:rStyle w:val="aa"/>
          <w:rFonts w:ascii="Book Antiqua" w:hAnsi="Book Antiqua"/>
          <w:i w:val="0"/>
          <w:vertAlign w:val="superscript"/>
        </w:rPr>
        <w:t>[7]</w:t>
      </w:r>
      <w:r w:rsidRPr="0011258C">
        <w:rPr>
          <w:rFonts w:ascii="Book Antiqua" w:hAnsi="Book Antiqua"/>
        </w:rPr>
        <w:t>.</w:t>
      </w:r>
      <w:r>
        <w:rPr>
          <w:rFonts w:ascii="Book Antiqua" w:hAnsi="Book Antiqua"/>
          <w:lang w:eastAsia="zh-CN"/>
        </w:rPr>
        <w:t xml:space="preserve"> </w:t>
      </w:r>
      <w:r w:rsidRPr="0011258C">
        <w:rPr>
          <w:rFonts w:ascii="Book Antiqua" w:hAnsi="Book Antiqua"/>
        </w:rPr>
        <w:t xml:space="preserve">The protease inhibitor (also a potent inhibitor of P450-3A and P-glycoprotein) used to control HIV infection in these patients likely changed the normal pharmacokinetic curve of CNI. Jain </w:t>
      </w:r>
      <w:r w:rsidRPr="0011258C">
        <w:rPr>
          <w:rFonts w:ascii="Book Antiqua" w:hAnsi="Book Antiqua"/>
          <w:i/>
        </w:rPr>
        <w:t>et al</w:t>
      </w:r>
      <w:r w:rsidRPr="0011258C">
        <w:rPr>
          <w:rStyle w:val="aa"/>
          <w:rFonts w:ascii="Book Antiqua" w:hAnsi="Book Antiqua"/>
          <w:i w:val="0"/>
          <w:vertAlign w:val="superscript"/>
        </w:rPr>
        <w:t>[11]</w:t>
      </w:r>
      <w:r>
        <w:rPr>
          <w:rFonts w:ascii="Book Antiqua" w:hAnsi="Book Antiqua"/>
          <w:i/>
          <w:lang w:eastAsia="zh-CN"/>
        </w:rPr>
        <w:t xml:space="preserve"> </w:t>
      </w:r>
      <w:r w:rsidRPr="0011258C">
        <w:rPr>
          <w:rFonts w:ascii="Book Antiqua" w:hAnsi="Book Antiqua"/>
        </w:rPr>
        <w:t>found that the pharmacokinetic curves of tacrolimus in these patients did not show a normal peak-and-trough pattern, but rather resembled a flat line</w:t>
      </w:r>
      <w:r>
        <w:rPr>
          <w:rFonts w:ascii="Book Antiqua" w:hAnsi="Book Antiqua"/>
        </w:rPr>
        <w:t xml:space="preserve">. </w:t>
      </w:r>
      <w:r w:rsidRPr="0011258C">
        <w:rPr>
          <w:rFonts w:ascii="Book Antiqua" w:hAnsi="Book Antiqua"/>
        </w:rPr>
        <w:t>Recently, van Maarseveen</w:t>
      </w:r>
      <w:r w:rsidRPr="0011258C">
        <w:rPr>
          <w:rFonts w:ascii="Book Antiqua" w:hAnsi="Book Antiqua"/>
          <w:i/>
        </w:rPr>
        <w:t xml:space="preserve"> et al</w:t>
      </w:r>
      <w:r w:rsidRPr="0011258C">
        <w:rPr>
          <w:rStyle w:val="aa"/>
          <w:rFonts w:ascii="Book Antiqua" w:hAnsi="Book Antiqua"/>
          <w:i w:val="0"/>
          <w:vertAlign w:val="superscript"/>
        </w:rPr>
        <w:t>[21]</w:t>
      </w:r>
      <w:r>
        <w:rPr>
          <w:rFonts w:ascii="Book Antiqua" w:hAnsi="Book Antiqua"/>
          <w:i/>
          <w:lang w:eastAsia="zh-CN"/>
        </w:rPr>
        <w:t xml:space="preserve"> </w:t>
      </w:r>
      <w:r w:rsidRPr="0011258C">
        <w:rPr>
          <w:rFonts w:ascii="Book Antiqua" w:hAnsi="Book Antiqua"/>
        </w:rPr>
        <w:t>studied the pharmacokinetics of tacrolimus in patients receiving ritonavir. It was found that their pharmacokinetic curves lacked an absorption peak every 12 h. When similar trough level was targeted, their mean 12-h AUC was approximately 44% lower than the AUC in HIV-negative recipients. Therefore, the authors suggested that the trough levels of tacrolimus in the HIV-positive patients receiving ritonavir should be approximately</w:t>
      </w:r>
      <w:r w:rsidRPr="0011258C">
        <w:rPr>
          <w:rFonts w:ascii="Book Antiqua" w:hAnsi="Book Antiqua"/>
          <w:lang w:eastAsia="zh-CN"/>
        </w:rPr>
        <w:t xml:space="preserve"> </w:t>
      </w:r>
      <w:r w:rsidRPr="0011258C">
        <w:rPr>
          <w:rFonts w:ascii="Book Antiqua" w:hAnsi="Book Antiqua"/>
        </w:rPr>
        <w:t xml:space="preserve">40% higher compared to HIV-negative recipients in order to achieve an equivalent exposure (AUCs) of tacrolimus. Indeed, the previous study also noted that a higher tacrolimus trough level was associated with a decreased risk of first rejection </w:t>
      </w:r>
      <w:r w:rsidRPr="00BA16E6">
        <w:rPr>
          <w:rFonts w:ascii="Book Antiqua" w:hAnsi="Book Antiqua"/>
        </w:rPr>
        <w:t>(HR</w:t>
      </w:r>
      <w:r w:rsidRPr="00BA16E6">
        <w:rPr>
          <w:rFonts w:ascii="Book Antiqua" w:hAnsi="Book Antiqua"/>
          <w:lang w:eastAsia="zh-CN"/>
        </w:rPr>
        <w:t xml:space="preserve"> </w:t>
      </w:r>
      <w:r w:rsidRPr="00BA16E6">
        <w:rPr>
          <w:rFonts w:ascii="Book Antiqua" w:hAnsi="Book Antiqua"/>
        </w:rPr>
        <w:t>0.90; 95%CI</w:t>
      </w:r>
      <w:r w:rsidR="00786FE5">
        <w:rPr>
          <w:rFonts w:ascii="Book Antiqua" w:hAnsi="Book Antiqua" w:hint="eastAsia"/>
          <w:lang w:eastAsia="zh-CN"/>
        </w:rPr>
        <w:t>:</w:t>
      </w:r>
      <w:r w:rsidRPr="00BA16E6">
        <w:rPr>
          <w:rFonts w:ascii="Book Antiqua" w:hAnsi="Book Antiqua"/>
        </w:rPr>
        <w:t xml:space="preserve"> 0.81-1.00; </w:t>
      </w:r>
      <w:r w:rsidRPr="00BA16E6">
        <w:rPr>
          <w:rFonts w:ascii="Book Antiqua" w:hAnsi="Book Antiqua"/>
          <w:i/>
          <w:lang w:eastAsia="zh-CN"/>
        </w:rPr>
        <w:t xml:space="preserve">P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0.04) in HIV-infected transplant patients</w:t>
      </w:r>
      <w:r w:rsidRPr="0011258C">
        <w:rPr>
          <w:rStyle w:val="aa"/>
          <w:rFonts w:ascii="Book Antiqua" w:hAnsi="Book Antiqua"/>
          <w:i w:val="0"/>
          <w:vertAlign w:val="superscript"/>
        </w:rPr>
        <w:t>[6]</w:t>
      </w:r>
      <w:r w:rsidRPr="0011258C">
        <w:rPr>
          <w:rFonts w:ascii="Book Antiqua" w:hAnsi="Book Antiqua"/>
        </w:rPr>
        <w:t xml:space="preserve">.  </w:t>
      </w:r>
    </w:p>
    <w:p w:rsidR="002D0694" w:rsidRPr="0011258C" w:rsidRDefault="002D0694" w:rsidP="00786FE5">
      <w:pPr>
        <w:autoSpaceDE w:val="0"/>
        <w:autoSpaceDN w:val="0"/>
        <w:adjustRightInd w:val="0"/>
        <w:spacing w:line="360" w:lineRule="auto"/>
        <w:ind w:firstLineChars="100" w:firstLine="240"/>
        <w:jc w:val="both"/>
        <w:rPr>
          <w:rFonts w:ascii="Book Antiqua" w:hAnsi="Book Antiqua"/>
          <w:lang w:eastAsia="zh-CN"/>
        </w:rPr>
      </w:pPr>
      <w:r w:rsidRPr="0011258C">
        <w:rPr>
          <w:rFonts w:ascii="Book Antiqua" w:hAnsi="Book Antiqua"/>
        </w:rPr>
        <w:t>Interestingly, a recent study found that HIV could infect the transplanted renal allografts despite undetectable viremia. The reinfection of HIV in tubular cells was hypothesized to stimulate immune responses and increase the risk of rejection</w:t>
      </w:r>
      <w:r w:rsidRPr="0011258C">
        <w:rPr>
          <w:rStyle w:val="aa"/>
          <w:rFonts w:ascii="Book Antiqua" w:hAnsi="Book Antiqua"/>
          <w:i w:val="0"/>
          <w:vertAlign w:val="superscript"/>
        </w:rPr>
        <w:t>[9]</w:t>
      </w:r>
      <w:r w:rsidRPr="0011258C">
        <w:rPr>
          <w:rFonts w:ascii="Book Antiqua" w:hAnsi="Book Antiqua"/>
        </w:rPr>
        <w:t>. A dysregulated immune response in HIV-infected host was also proposed by others</w:t>
      </w:r>
      <w:r w:rsidRPr="0011258C">
        <w:rPr>
          <w:rStyle w:val="aa"/>
          <w:rFonts w:ascii="Book Antiqua" w:hAnsi="Book Antiqua"/>
          <w:i w:val="0"/>
          <w:vertAlign w:val="superscript"/>
        </w:rPr>
        <w:t>[6,7]</w:t>
      </w:r>
      <w:r w:rsidRPr="0011258C">
        <w:rPr>
          <w:rFonts w:ascii="Book Antiqua" w:hAnsi="Book Antiqua"/>
        </w:rPr>
        <w:t xml:space="preserve">. </w:t>
      </w:r>
      <w:r w:rsidRPr="0011258C">
        <w:rPr>
          <w:rFonts w:ascii="Book Antiqua" w:hAnsi="Book Antiqua"/>
        </w:rPr>
        <w:lastRenderedPageBreak/>
        <w:t xml:space="preserve">However, a French report showed similar rejection rates (15%) after kidney transplants in HIV-infected patients </w:t>
      </w:r>
      <w:r w:rsidRPr="0011258C">
        <w:rPr>
          <w:rFonts w:ascii="Book Antiqua" w:hAnsi="Book Antiqua"/>
          <w:i/>
          <w:lang w:eastAsia="zh-CN"/>
        </w:rPr>
        <w:t>vs</w:t>
      </w:r>
      <w:r>
        <w:rPr>
          <w:rFonts w:ascii="Book Antiqua" w:hAnsi="Book Antiqua"/>
          <w:i/>
          <w:lang w:eastAsia="zh-CN"/>
        </w:rPr>
        <w:t xml:space="preserve"> </w:t>
      </w:r>
      <w:r w:rsidRPr="0011258C">
        <w:rPr>
          <w:rFonts w:ascii="Book Antiqua" w:hAnsi="Book Antiqua"/>
          <w:lang w:eastAsia="zh-CN"/>
        </w:rPr>
        <w:t xml:space="preserve"> </w:t>
      </w:r>
      <w:r w:rsidRPr="0011258C">
        <w:rPr>
          <w:rFonts w:ascii="Book Antiqua" w:hAnsi="Book Antiqua"/>
        </w:rPr>
        <w:t>non-infected patients</w:t>
      </w:r>
      <w:r w:rsidRPr="0011258C">
        <w:rPr>
          <w:rStyle w:val="aa"/>
          <w:rFonts w:ascii="Book Antiqua" w:hAnsi="Book Antiqua"/>
          <w:i w:val="0"/>
          <w:vertAlign w:val="superscript"/>
        </w:rPr>
        <w:t>[22]</w:t>
      </w:r>
      <w:r w:rsidRPr="0011258C">
        <w:rPr>
          <w:rFonts w:ascii="Book Antiqua" w:hAnsi="Book Antiqua"/>
        </w:rPr>
        <w:t>. They attributed the lower rejection rate to the use of ralte</w:t>
      </w:r>
      <w:r>
        <w:rPr>
          <w:rFonts w:ascii="Book Antiqua" w:hAnsi="Book Antiqua"/>
        </w:rPr>
        <w:t>gravir (an integrase inhibitor)</w:t>
      </w:r>
      <w:r>
        <w:rPr>
          <w:rFonts w:ascii="Book Antiqua" w:hAnsi="Book Antiqua"/>
          <w:lang w:eastAsia="zh-CN"/>
        </w:rPr>
        <w:t xml:space="preserve"> </w:t>
      </w:r>
      <w:r w:rsidRPr="0011258C">
        <w:rPr>
          <w:rFonts w:ascii="Book Antiqua" w:hAnsi="Book Antiqua"/>
        </w:rPr>
        <w:t>-based antiviral therapy, which does not inhibit P450 system. Subsequently, their patients had “normal” exposures to CNI. Lack o</w:t>
      </w:r>
      <w:r>
        <w:rPr>
          <w:rFonts w:ascii="Book Antiqua" w:hAnsi="Book Antiqua"/>
          <w:lang w:eastAsia="zh-CN"/>
        </w:rPr>
        <w:t>f</w:t>
      </w:r>
      <w:r w:rsidRPr="0011258C">
        <w:rPr>
          <w:rFonts w:ascii="Book Antiqua" w:hAnsi="Book Antiqua"/>
        </w:rPr>
        <w:t xml:space="preserve"> higher incidence of rejection in the French study does not support the hypothesis</w:t>
      </w:r>
      <w:r w:rsidRPr="0011258C">
        <w:rPr>
          <w:rFonts w:ascii="Book Antiqua" w:hAnsi="Book Antiqua"/>
          <w:lang w:eastAsia="zh-CN"/>
        </w:rPr>
        <w:t xml:space="preserve"> </w:t>
      </w:r>
      <w:r w:rsidRPr="0011258C">
        <w:rPr>
          <w:rFonts w:ascii="Book Antiqua" w:hAnsi="Book Antiqua"/>
        </w:rPr>
        <w:t xml:space="preserve">of either viral infection or dysregulated immune response as the predominant mechanism for the higher rejection rates observed in the US study. Taken together, a more plausible explanation appears to be lower exposure to CNI due to co-administration of protease inhibitor in these HIV-infected recipients. </w:t>
      </w:r>
    </w:p>
    <w:p w:rsidR="002D0694" w:rsidRPr="0011258C" w:rsidRDefault="002D0694" w:rsidP="00786FE5">
      <w:pPr>
        <w:autoSpaceDE w:val="0"/>
        <w:autoSpaceDN w:val="0"/>
        <w:adjustRightInd w:val="0"/>
        <w:spacing w:line="360" w:lineRule="auto"/>
        <w:ind w:firstLineChars="100" w:firstLine="240"/>
        <w:jc w:val="both"/>
        <w:rPr>
          <w:rFonts w:ascii="Book Antiqua" w:hAnsi="Book Antiqua"/>
          <w:lang w:eastAsia="zh-CN"/>
        </w:rPr>
      </w:pPr>
      <w:r w:rsidRPr="0011258C">
        <w:rPr>
          <w:rFonts w:ascii="Book Antiqua" w:hAnsi="Book Antiqua"/>
        </w:rPr>
        <w:t xml:space="preserve">We speculate that similarly altered pharmacokinetic phenomenon would exist in our patients, which could explain our result. Co-administration of ketoconazole lowered the dose of tacrolimus and flatted the normal peak-and-trough curve, therefore, decreased the AUC of tacrolimus and increased the risk of acute rejection. </w:t>
      </w:r>
    </w:p>
    <w:p w:rsidR="002D0694" w:rsidRPr="0011258C" w:rsidRDefault="002D0694" w:rsidP="00786FE5">
      <w:pPr>
        <w:autoSpaceDE w:val="0"/>
        <w:autoSpaceDN w:val="0"/>
        <w:adjustRightInd w:val="0"/>
        <w:spacing w:line="360" w:lineRule="auto"/>
        <w:ind w:firstLineChars="100" w:firstLine="240"/>
        <w:jc w:val="both"/>
        <w:rPr>
          <w:rFonts w:ascii="Book Antiqua" w:hAnsi="Book Antiqua"/>
        </w:rPr>
      </w:pPr>
      <w:r w:rsidRPr="0011258C">
        <w:rPr>
          <w:rFonts w:ascii="Book Antiqua" w:hAnsi="Book Antiqua"/>
        </w:rPr>
        <w:t xml:space="preserve">Our study is limited by its retrospective nature, single center data, and lack of peak level monitoring and AUC data of tacrolimus. Nevertheless, it is the first report of high risk of rejection associated with coadministration of ketoconazole with tacrolimus in HIV-negative transplant recipients. This is consistent with the results in HIV-infected transplant patients. It is an important issue for caring those patients with financial difficulty. This issue may be particularly relevant in the developing countries where co-administration of an inexpensive P450-3A inhibitor is a common practice to cut costs associated with expensive CNI. Our data suggests that high vigilance and careful monitoring is necessary, especially if other risk factors of rejection are present. Clearly, a prospective, randomized or a self-controlled study is needed to characterize the pharmacokinetic curves of tacrolimus with ketoconazole, so that a higher trough level can be proposed for clinical practice.  </w:t>
      </w:r>
    </w:p>
    <w:p w:rsidR="002D0694" w:rsidRPr="0011258C" w:rsidRDefault="002D0694" w:rsidP="002E6733">
      <w:pPr>
        <w:autoSpaceDE w:val="0"/>
        <w:autoSpaceDN w:val="0"/>
        <w:adjustRightInd w:val="0"/>
        <w:spacing w:line="360" w:lineRule="auto"/>
        <w:jc w:val="both"/>
        <w:rPr>
          <w:rFonts w:ascii="Book Antiqua" w:hAnsi="Book Antiqua"/>
          <w:b/>
          <w:lang w:eastAsia="zh-CN"/>
        </w:rPr>
      </w:pPr>
    </w:p>
    <w:p w:rsidR="002D0694" w:rsidRPr="0011258C" w:rsidRDefault="002D0694" w:rsidP="002E6733">
      <w:pPr>
        <w:spacing w:line="360" w:lineRule="auto"/>
        <w:rPr>
          <w:rFonts w:ascii="Book Antiqua" w:hAnsi="Book Antiqua"/>
          <w:b/>
          <w:lang w:eastAsia="zh-CN"/>
        </w:rPr>
      </w:pPr>
      <w:r w:rsidRPr="0011258C">
        <w:rPr>
          <w:rFonts w:ascii="Book Antiqua" w:hAnsi="Book Antiqua"/>
          <w:b/>
        </w:rPr>
        <w:t>COMMENTS</w:t>
      </w:r>
    </w:p>
    <w:p w:rsidR="002D0694" w:rsidRPr="0011258C" w:rsidRDefault="002D0694" w:rsidP="002E6733">
      <w:pPr>
        <w:spacing w:line="360" w:lineRule="auto"/>
        <w:rPr>
          <w:rFonts w:ascii="Book Antiqua" w:hAnsi="Book Antiqua"/>
          <w:b/>
          <w:i/>
        </w:rPr>
      </w:pPr>
      <w:r w:rsidRPr="0011258C">
        <w:rPr>
          <w:rFonts w:ascii="Book Antiqua" w:hAnsi="Book Antiqua"/>
          <w:b/>
          <w:i/>
        </w:rPr>
        <w:t>Background</w:t>
      </w:r>
    </w:p>
    <w:p w:rsidR="002D0694" w:rsidRPr="0011258C" w:rsidRDefault="002D0694" w:rsidP="002E6733">
      <w:pPr>
        <w:spacing w:line="360" w:lineRule="auto"/>
        <w:jc w:val="both"/>
        <w:rPr>
          <w:rFonts w:ascii="Book Antiqua" w:hAnsi="Book Antiqua"/>
        </w:rPr>
      </w:pPr>
      <w:r w:rsidRPr="0011258C">
        <w:rPr>
          <w:rFonts w:ascii="Book Antiqua" w:hAnsi="Book Antiqua"/>
        </w:rPr>
        <w:lastRenderedPageBreak/>
        <w:t xml:space="preserve">Tacrolimus is mainly metabolized by cytochrome P450 enzymes and ketoconazole is a potent inhibitor of P450. Transplant programs often use ketoconazole to reduce the tacrolimus dose and financial cost. But the long-term safety of this combination in kidney transplant recipients remains to be studied. </w:t>
      </w:r>
    </w:p>
    <w:p w:rsidR="002D0694" w:rsidRPr="0011258C" w:rsidRDefault="002D0694" w:rsidP="002E6733">
      <w:pPr>
        <w:spacing w:line="360" w:lineRule="auto"/>
        <w:jc w:val="both"/>
        <w:rPr>
          <w:rFonts w:ascii="Book Antiqua" w:hAnsi="Book Antiqua"/>
        </w:rPr>
      </w:pPr>
    </w:p>
    <w:p w:rsidR="002D0694" w:rsidRPr="0011258C" w:rsidRDefault="002D0694" w:rsidP="002E6733">
      <w:pPr>
        <w:spacing w:line="360" w:lineRule="auto"/>
        <w:rPr>
          <w:rFonts w:ascii="Book Antiqua" w:hAnsi="Book Antiqua"/>
          <w:b/>
          <w:i/>
        </w:rPr>
      </w:pPr>
      <w:r w:rsidRPr="0011258C">
        <w:rPr>
          <w:rFonts w:ascii="Book Antiqua" w:hAnsi="Book Antiqua"/>
          <w:b/>
          <w:i/>
        </w:rPr>
        <w:t>Research frontiers</w:t>
      </w:r>
    </w:p>
    <w:p w:rsidR="002D0694" w:rsidRPr="0011258C" w:rsidRDefault="002D0694" w:rsidP="002E6733">
      <w:pPr>
        <w:autoSpaceDE w:val="0"/>
        <w:autoSpaceDN w:val="0"/>
        <w:adjustRightInd w:val="0"/>
        <w:spacing w:line="360" w:lineRule="auto"/>
        <w:jc w:val="both"/>
        <w:rPr>
          <w:rFonts w:ascii="Book Antiqua" w:hAnsi="Book Antiqua"/>
          <w:lang w:eastAsia="zh-CN"/>
        </w:rPr>
      </w:pPr>
      <w:r>
        <w:rPr>
          <w:rFonts w:ascii="Book Antiqua" w:hAnsi="Book Antiqua"/>
          <w:lang w:eastAsia="zh-CN"/>
        </w:rPr>
        <w:t>This</w:t>
      </w:r>
      <w:r w:rsidRPr="0011258C">
        <w:rPr>
          <w:rFonts w:ascii="Book Antiqua" w:hAnsi="Book Antiqua"/>
        </w:rPr>
        <w:t xml:space="preserve"> experience in </w:t>
      </w:r>
      <w:r w:rsidRPr="0011258C">
        <w:rPr>
          <w:rFonts w:ascii="Book Antiqua" w:hAnsi="Book Antiqua"/>
          <w:lang w:eastAsia="zh-CN"/>
        </w:rPr>
        <w:t>h</w:t>
      </w:r>
      <w:r w:rsidRPr="0011258C">
        <w:rPr>
          <w:rFonts w:ascii="Book Antiqua" w:hAnsi="Book Antiqua"/>
        </w:rPr>
        <w:t xml:space="preserve">uman </w:t>
      </w:r>
      <w:r w:rsidRPr="0011258C">
        <w:rPr>
          <w:rFonts w:ascii="Book Antiqua" w:hAnsi="Book Antiqua"/>
          <w:lang w:eastAsia="zh-CN"/>
        </w:rPr>
        <w:t>i</w:t>
      </w:r>
      <w:r w:rsidRPr="0011258C">
        <w:rPr>
          <w:rFonts w:ascii="Book Antiqua" w:hAnsi="Book Antiqua"/>
        </w:rPr>
        <w:t xml:space="preserve">mmunodeficiency </w:t>
      </w:r>
      <w:r w:rsidRPr="0011258C">
        <w:rPr>
          <w:rFonts w:ascii="Book Antiqua" w:hAnsi="Book Antiqua"/>
          <w:lang w:eastAsia="zh-CN"/>
        </w:rPr>
        <w:t>v</w:t>
      </w:r>
      <w:r w:rsidRPr="0011258C">
        <w:rPr>
          <w:rFonts w:ascii="Book Antiqua" w:hAnsi="Book Antiqua"/>
        </w:rPr>
        <w:t>irus</w:t>
      </w:r>
      <w:r w:rsidRPr="0011258C">
        <w:rPr>
          <w:rFonts w:ascii="Book Antiqua" w:hAnsi="Book Antiqua"/>
          <w:lang w:eastAsia="zh-CN"/>
        </w:rPr>
        <w:t xml:space="preserve"> (</w:t>
      </w:r>
      <w:r w:rsidRPr="0011258C">
        <w:rPr>
          <w:rFonts w:ascii="Book Antiqua" w:hAnsi="Book Antiqua"/>
        </w:rPr>
        <w:t>HIV</w:t>
      </w:r>
      <w:r w:rsidRPr="0011258C">
        <w:rPr>
          <w:rFonts w:ascii="Book Antiqua" w:hAnsi="Book Antiqua"/>
          <w:lang w:eastAsia="zh-CN"/>
        </w:rPr>
        <w:t xml:space="preserve">) </w:t>
      </w:r>
      <w:r w:rsidRPr="0011258C">
        <w:rPr>
          <w:rFonts w:ascii="Book Antiqua" w:hAnsi="Book Antiqua"/>
        </w:rPr>
        <w:t xml:space="preserve">infected patients has noted unexpected high incidences of acute rejection after kidney and liver transplants. In these patients, the targeted trough levels of calcineurin inhibitors (CNIs) were consistent with those in non-HIV recipients, but their required doses of CNI were significantly lower due to the necessary treatment with anti-retroviral protease inhibitor, which inhibits P450 enzymes. </w:t>
      </w:r>
    </w:p>
    <w:p w:rsidR="002D0694" w:rsidRPr="0011258C" w:rsidRDefault="002D0694" w:rsidP="002E6733">
      <w:pPr>
        <w:autoSpaceDE w:val="0"/>
        <w:autoSpaceDN w:val="0"/>
        <w:adjustRightInd w:val="0"/>
        <w:spacing w:line="360" w:lineRule="auto"/>
        <w:jc w:val="both"/>
        <w:rPr>
          <w:rFonts w:ascii="Book Antiqua" w:hAnsi="Book Antiqua"/>
          <w:lang w:eastAsia="zh-CN"/>
        </w:rPr>
      </w:pPr>
    </w:p>
    <w:p w:rsidR="002D0694" w:rsidRPr="0011258C" w:rsidRDefault="002D0694" w:rsidP="002E6733">
      <w:pPr>
        <w:autoSpaceDE w:val="0"/>
        <w:autoSpaceDN w:val="0"/>
        <w:adjustRightInd w:val="0"/>
        <w:spacing w:line="360" w:lineRule="auto"/>
        <w:jc w:val="both"/>
        <w:rPr>
          <w:rFonts w:ascii="Book Antiqua" w:hAnsi="Book Antiqua"/>
          <w:lang w:eastAsia="zh-CN"/>
        </w:rPr>
      </w:pPr>
      <w:r w:rsidRPr="0011258C">
        <w:rPr>
          <w:rFonts w:ascii="Book Antiqua" w:hAnsi="Book Antiqua"/>
          <w:b/>
          <w:i/>
        </w:rPr>
        <w:t>Innovations and breakthroughs</w:t>
      </w:r>
      <w:r w:rsidRPr="0011258C">
        <w:rPr>
          <w:rFonts w:ascii="Book Antiqua" w:hAnsi="Book Antiqua"/>
        </w:rPr>
        <w:t xml:space="preserve"> </w:t>
      </w:r>
    </w:p>
    <w:p w:rsidR="002D0694" w:rsidRPr="0011258C" w:rsidRDefault="002D0694" w:rsidP="002E6733">
      <w:pPr>
        <w:autoSpaceDE w:val="0"/>
        <w:autoSpaceDN w:val="0"/>
        <w:adjustRightInd w:val="0"/>
        <w:spacing w:line="360" w:lineRule="auto"/>
        <w:jc w:val="both"/>
        <w:rPr>
          <w:rFonts w:ascii="Book Antiqua" w:hAnsi="Book Antiqua"/>
          <w:lang w:eastAsia="zh-CN"/>
        </w:rPr>
      </w:pPr>
      <w:r w:rsidRPr="0011258C">
        <w:rPr>
          <w:rFonts w:ascii="Book Antiqua" w:hAnsi="Book Antiqua"/>
        </w:rPr>
        <w:t>Due to the altered pharmacokinetics of CNI by P450 inhibition from protease inhibitor, the total exposure to CNI (area under curve) is considerably low. This may explain the higher-than-expected rejection rates in HIV</w:t>
      </w:r>
      <w:r w:rsidRPr="0011258C">
        <w:rPr>
          <w:rFonts w:ascii="Book Antiqua" w:hAnsi="Book Antiqua"/>
          <w:lang w:eastAsia="zh-CN"/>
        </w:rPr>
        <w:t xml:space="preserve"> </w:t>
      </w:r>
      <w:r w:rsidRPr="0011258C">
        <w:rPr>
          <w:rFonts w:ascii="Book Antiqua" w:hAnsi="Book Antiqua"/>
        </w:rPr>
        <w:t xml:space="preserve">infected patients. In the current study, </w:t>
      </w:r>
      <w:r>
        <w:rPr>
          <w:rFonts w:ascii="Book Antiqua" w:hAnsi="Book Antiqua"/>
          <w:lang w:eastAsia="zh-CN"/>
        </w:rPr>
        <w:t>the authors</w:t>
      </w:r>
      <w:r w:rsidRPr="0011258C">
        <w:rPr>
          <w:rFonts w:ascii="Book Antiqua" w:hAnsi="Book Antiqua"/>
        </w:rPr>
        <w:t xml:space="preserve"> have reported similar outcome from the coadministration of ketoconazole with tacrolimus in non-HIV infected kidney transplant recipients. </w:t>
      </w:r>
    </w:p>
    <w:p w:rsidR="002D0694" w:rsidRPr="0011258C" w:rsidRDefault="002D0694" w:rsidP="002E6733">
      <w:pPr>
        <w:autoSpaceDE w:val="0"/>
        <w:autoSpaceDN w:val="0"/>
        <w:adjustRightInd w:val="0"/>
        <w:spacing w:line="360" w:lineRule="auto"/>
        <w:jc w:val="both"/>
        <w:rPr>
          <w:rFonts w:ascii="Book Antiqua" w:hAnsi="Book Antiqua"/>
          <w:lang w:eastAsia="zh-CN"/>
        </w:rPr>
      </w:pPr>
    </w:p>
    <w:p w:rsidR="002D0694" w:rsidRPr="0011258C" w:rsidRDefault="002D0694" w:rsidP="002E6733">
      <w:pPr>
        <w:spacing w:line="360" w:lineRule="auto"/>
        <w:rPr>
          <w:rFonts w:ascii="Book Antiqua" w:hAnsi="Book Antiqua"/>
          <w:b/>
          <w:i/>
        </w:rPr>
      </w:pPr>
      <w:r w:rsidRPr="0011258C">
        <w:rPr>
          <w:rFonts w:ascii="Book Antiqua" w:hAnsi="Book Antiqua"/>
          <w:b/>
          <w:i/>
        </w:rPr>
        <w:t>Applications</w:t>
      </w:r>
    </w:p>
    <w:p w:rsidR="002D0694" w:rsidRPr="0011258C" w:rsidRDefault="002D0694" w:rsidP="002E6733">
      <w:pPr>
        <w:autoSpaceDE w:val="0"/>
        <w:autoSpaceDN w:val="0"/>
        <w:adjustRightInd w:val="0"/>
        <w:spacing w:line="360" w:lineRule="auto"/>
        <w:jc w:val="both"/>
        <w:rPr>
          <w:rFonts w:ascii="Book Antiqua" w:hAnsi="Book Antiqua"/>
          <w:lang w:eastAsia="zh-CN"/>
        </w:rPr>
      </w:pPr>
      <w:r w:rsidRPr="0011258C">
        <w:rPr>
          <w:rFonts w:ascii="Book Antiqua" w:hAnsi="Book Antiqua"/>
        </w:rPr>
        <w:t>Coadministration of a P450 inhibitor to cut the dose and cost of tacrolimus may increase the risk of graft rejection.</w:t>
      </w:r>
      <w:r w:rsidRPr="0011258C">
        <w:rPr>
          <w:rFonts w:ascii="Book Antiqua" w:hAnsi="Book Antiqua"/>
          <w:lang w:eastAsia="zh-CN"/>
        </w:rPr>
        <w:t xml:space="preserve"> </w:t>
      </w:r>
      <w:r w:rsidRPr="0011258C">
        <w:rPr>
          <w:rFonts w:ascii="Book Antiqua" w:hAnsi="Book Antiqua"/>
        </w:rPr>
        <w:t xml:space="preserve">High vigilance and careful monitoring is necessary. A prospective, randomized or a self-controlled study is needed to characterize the pharmacokinetic curves of tacrolimus with ketoconazole, so that a higher trough level can be proposed for clinical practice.  </w:t>
      </w:r>
    </w:p>
    <w:p w:rsidR="002D0694" w:rsidRPr="0011258C" w:rsidRDefault="002D0694" w:rsidP="002E6733">
      <w:pPr>
        <w:autoSpaceDE w:val="0"/>
        <w:autoSpaceDN w:val="0"/>
        <w:adjustRightInd w:val="0"/>
        <w:spacing w:line="360" w:lineRule="auto"/>
        <w:jc w:val="both"/>
        <w:rPr>
          <w:rFonts w:ascii="Book Antiqua" w:hAnsi="Book Antiqua"/>
          <w:lang w:eastAsia="zh-CN"/>
        </w:rPr>
      </w:pPr>
    </w:p>
    <w:p w:rsidR="002D0694" w:rsidRPr="0011258C" w:rsidRDefault="002D0694" w:rsidP="002E6733">
      <w:pPr>
        <w:spacing w:line="360" w:lineRule="auto"/>
        <w:rPr>
          <w:rFonts w:ascii="Book Antiqua" w:hAnsi="Book Antiqua"/>
          <w:b/>
          <w:i/>
        </w:rPr>
      </w:pPr>
      <w:r w:rsidRPr="0011258C">
        <w:rPr>
          <w:rFonts w:ascii="Book Antiqua" w:hAnsi="Book Antiqua"/>
          <w:b/>
          <w:i/>
        </w:rPr>
        <w:t>Terminology</w:t>
      </w:r>
    </w:p>
    <w:p w:rsidR="002D0694" w:rsidRPr="0011258C" w:rsidRDefault="002D0694" w:rsidP="002E6733">
      <w:pPr>
        <w:autoSpaceDE w:val="0"/>
        <w:autoSpaceDN w:val="0"/>
        <w:adjustRightInd w:val="0"/>
        <w:spacing w:line="360" w:lineRule="auto"/>
        <w:jc w:val="both"/>
        <w:rPr>
          <w:rFonts w:ascii="Book Antiqua" w:hAnsi="Book Antiqua"/>
          <w:lang w:eastAsia="zh-CN"/>
        </w:rPr>
      </w:pPr>
      <w:r w:rsidRPr="0011258C">
        <w:rPr>
          <w:rFonts w:ascii="Book Antiqua" w:hAnsi="Book Antiqua"/>
        </w:rPr>
        <w:lastRenderedPageBreak/>
        <w:t xml:space="preserve">Kidney transplant: remove a kidney from a donor and put it into a patient with kidney failure; Rejection: recipient body attacks donor kidney as a foreign object; tacrolimus: a key drug to prevent rejection; ketoconazole: a cheap antibiotics that inhibits the breakdown of tacrolimus, therefore, saves the dose and cost of tacrolimus. </w:t>
      </w:r>
    </w:p>
    <w:p w:rsidR="002D0694" w:rsidRPr="0011258C" w:rsidRDefault="002D0694" w:rsidP="002E6733">
      <w:pPr>
        <w:autoSpaceDE w:val="0"/>
        <w:autoSpaceDN w:val="0"/>
        <w:adjustRightInd w:val="0"/>
        <w:spacing w:line="360" w:lineRule="auto"/>
        <w:jc w:val="both"/>
        <w:rPr>
          <w:rFonts w:ascii="Book Antiqua" w:hAnsi="Book Antiqua"/>
          <w:lang w:eastAsia="zh-CN"/>
        </w:rPr>
      </w:pPr>
    </w:p>
    <w:p w:rsidR="002D0694" w:rsidRPr="0011258C" w:rsidRDefault="002D0694" w:rsidP="002E6733">
      <w:pPr>
        <w:spacing w:line="360" w:lineRule="auto"/>
        <w:rPr>
          <w:rFonts w:ascii="Book Antiqua" w:hAnsi="Book Antiqua"/>
          <w:b/>
          <w:i/>
        </w:rPr>
      </w:pPr>
      <w:r w:rsidRPr="0011258C">
        <w:rPr>
          <w:rFonts w:ascii="Book Antiqua" w:hAnsi="Book Antiqua"/>
          <w:b/>
          <w:i/>
        </w:rPr>
        <w:t>Peer review</w:t>
      </w:r>
    </w:p>
    <w:p w:rsidR="002D0694" w:rsidRDefault="002D0694" w:rsidP="002E6733">
      <w:pPr>
        <w:autoSpaceDE w:val="0"/>
        <w:autoSpaceDN w:val="0"/>
        <w:adjustRightInd w:val="0"/>
        <w:spacing w:line="360" w:lineRule="auto"/>
        <w:jc w:val="both"/>
        <w:rPr>
          <w:rFonts w:ascii="Book Antiqua" w:hAnsi="Book Antiqua"/>
          <w:lang w:eastAsia="zh-CN"/>
        </w:rPr>
      </w:pPr>
      <w:r w:rsidRPr="0017528E">
        <w:rPr>
          <w:rFonts w:ascii="Book Antiqua" w:hAnsi="Book Antiqua"/>
        </w:rPr>
        <w:t>This is a needed study exploring the outcome of attempting to reduce the dose of tacrolimus by adding ketoconazole to the regimen in first kidney transplant recipients to reduce the cost of immunosuppressive drugs. The interest of this work lies primarily in the observation of the authors regarding the five-year cumulative incidence of acute rejection in the group with ketoconazole and the consequently conclusion that the use of ketoconazole was an independent risk of acute rejection. The overall study is correct and the literature is to date.</w:t>
      </w: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b/>
          <w:lang w:eastAsia="zh-CN"/>
        </w:rPr>
      </w:pPr>
      <w:r w:rsidRPr="006778D3">
        <w:rPr>
          <w:rFonts w:ascii="Book Antiqua" w:hAnsi="Book Antiqua"/>
          <w:b/>
        </w:rPr>
        <w:t>REFERENCES</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 xml:space="preserve">1 </w:t>
      </w:r>
      <w:r w:rsidRPr="0011258C">
        <w:rPr>
          <w:rFonts w:ascii="Book Antiqua" w:hAnsi="Book Antiqua" w:cs="宋体"/>
          <w:b/>
          <w:lang w:eastAsia="zh-CN"/>
        </w:rPr>
        <w:t>Zhang R</w:t>
      </w:r>
      <w:r w:rsidRPr="0011258C">
        <w:rPr>
          <w:rFonts w:ascii="Book Antiqua" w:hAnsi="Book Antiqua" w:cs="宋体"/>
          <w:lang w:eastAsia="zh-CN"/>
        </w:rPr>
        <w:t xml:space="preserve">. Modern Immunosuppressive therapy in kidney transplantation. </w:t>
      </w:r>
      <w:r w:rsidRPr="006778D3">
        <w:rPr>
          <w:rFonts w:ascii="Book Antiqua" w:hAnsi="Book Antiqua" w:cs="Arial"/>
          <w:i/>
        </w:rPr>
        <w:t>Open J Organ Transpl Surg</w:t>
      </w:r>
      <w:r>
        <w:rPr>
          <w:rFonts w:ascii="Book Antiqua" w:hAnsi="Book Antiqua" w:cs="Arial"/>
          <w:i/>
          <w:lang w:eastAsia="zh-CN"/>
        </w:rPr>
        <w:t xml:space="preserve"> </w:t>
      </w:r>
      <w:r w:rsidRPr="0011258C">
        <w:rPr>
          <w:rFonts w:ascii="Book Antiqua" w:hAnsi="Book Antiqua" w:cs="宋体"/>
          <w:lang w:eastAsia="zh-CN"/>
        </w:rPr>
        <w:t>2013; 3: 22-31 [DOI:</w:t>
      </w:r>
      <w:r>
        <w:rPr>
          <w:rFonts w:ascii="Verdana" w:hAnsi="Verdana"/>
          <w:color w:val="000000"/>
          <w:sz w:val="15"/>
          <w:szCs w:val="15"/>
          <w:lang w:eastAsia="zh-CN"/>
        </w:rPr>
        <w:t xml:space="preserve"> </w:t>
      </w:r>
      <w:hyperlink r:id="rId8" w:tgtFrame="_blank" w:history="1">
        <w:r w:rsidRPr="006778D3">
          <w:rPr>
            <w:rFonts w:ascii="Book Antiqua" w:hAnsi="Book Antiqua" w:cs="宋体"/>
            <w:lang w:eastAsia="zh-CN"/>
          </w:rPr>
          <w:t>10.4236/ojots.2013.32005</w:t>
        </w:r>
      </w:hyperlink>
      <w:r w:rsidRPr="0011258C">
        <w:rPr>
          <w:rFonts w:ascii="Book Antiqua" w:hAnsi="Book Antiqua" w:cs="宋体"/>
          <w:lang w:eastAsia="zh-CN"/>
        </w:rPr>
        <w:t>]</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2 </w:t>
      </w:r>
      <w:r w:rsidRPr="0011258C">
        <w:rPr>
          <w:rFonts w:ascii="Book Antiqua" w:hAnsi="Book Antiqua" w:cs="宋体"/>
          <w:b/>
          <w:bCs/>
          <w:lang w:eastAsia="zh-CN"/>
        </w:rPr>
        <w:t>Lemahieu WP</w:t>
      </w:r>
      <w:r w:rsidRPr="0011258C">
        <w:rPr>
          <w:rFonts w:ascii="Book Antiqua" w:hAnsi="Book Antiqua" w:cs="宋体"/>
          <w:lang w:eastAsia="zh-CN"/>
        </w:rPr>
        <w:t>, Maes BD, Verbeke K, Vanrenterghem Y. CYP3A4 and P-glycoprotein activity in healthy controls and transplant patients on cyclosporin vs. tacrolimus vs. sirolimus. </w:t>
      </w:r>
      <w:r w:rsidRPr="0011258C">
        <w:rPr>
          <w:rFonts w:ascii="Book Antiqua" w:hAnsi="Book Antiqua" w:cs="宋体"/>
          <w:i/>
          <w:iCs/>
          <w:lang w:eastAsia="zh-CN"/>
        </w:rPr>
        <w:t>Am J Transplant</w:t>
      </w:r>
      <w:r w:rsidRPr="0011258C">
        <w:rPr>
          <w:rFonts w:ascii="Book Antiqua" w:hAnsi="Book Antiqua" w:cs="宋体"/>
          <w:lang w:eastAsia="zh-CN"/>
        </w:rPr>
        <w:t> 2004; </w:t>
      </w:r>
      <w:r w:rsidRPr="0011258C">
        <w:rPr>
          <w:rFonts w:ascii="Book Antiqua" w:hAnsi="Book Antiqua" w:cs="宋体"/>
          <w:b/>
          <w:bCs/>
          <w:lang w:eastAsia="zh-CN"/>
        </w:rPr>
        <w:t>4</w:t>
      </w:r>
      <w:r w:rsidRPr="0011258C">
        <w:rPr>
          <w:rFonts w:ascii="Book Antiqua" w:hAnsi="Book Antiqua" w:cs="宋体"/>
          <w:lang w:eastAsia="zh-CN"/>
        </w:rPr>
        <w:t>: 1514-1522 [PMID: 15307840 DOI: 10.1111/j.1600-6143.2004.00539.x]</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3 </w:t>
      </w:r>
      <w:r w:rsidRPr="0011258C">
        <w:rPr>
          <w:rFonts w:ascii="Book Antiqua" w:hAnsi="Book Antiqua" w:cs="宋体"/>
          <w:b/>
          <w:bCs/>
          <w:lang w:eastAsia="zh-CN"/>
        </w:rPr>
        <w:t>Scholten EM</w:t>
      </w:r>
      <w:r w:rsidRPr="0011258C">
        <w:rPr>
          <w:rFonts w:ascii="Book Antiqua" w:hAnsi="Book Antiqua" w:cs="宋体"/>
          <w:lang w:eastAsia="zh-CN"/>
        </w:rPr>
        <w:t>, Cremers SC, Schoemaker RC, Rowshani AT, van Kan EJ, den Hartigh J, Paul LC, de Fijter JW. AUC-guided dosing of tacrolimus prevents progressive systemic overexposure in renal transplant recipients. </w:t>
      </w:r>
      <w:r w:rsidRPr="0011258C">
        <w:rPr>
          <w:rFonts w:ascii="Book Antiqua" w:hAnsi="Book Antiqua" w:cs="宋体"/>
          <w:i/>
          <w:iCs/>
          <w:lang w:eastAsia="zh-CN"/>
        </w:rPr>
        <w:t>Kidney Int</w:t>
      </w:r>
      <w:r w:rsidRPr="0011258C">
        <w:rPr>
          <w:rFonts w:ascii="Book Antiqua" w:hAnsi="Book Antiqua" w:cs="宋体"/>
          <w:lang w:eastAsia="zh-CN"/>
        </w:rPr>
        <w:t> 2005; </w:t>
      </w:r>
      <w:r w:rsidRPr="0011258C">
        <w:rPr>
          <w:rFonts w:ascii="Book Antiqua" w:hAnsi="Book Antiqua" w:cs="宋体"/>
          <w:b/>
          <w:bCs/>
          <w:lang w:eastAsia="zh-CN"/>
        </w:rPr>
        <w:t>67</w:t>
      </w:r>
      <w:r w:rsidRPr="0011258C">
        <w:rPr>
          <w:rFonts w:ascii="Book Antiqua" w:hAnsi="Book Antiqua" w:cs="宋体"/>
          <w:lang w:eastAsia="zh-CN"/>
        </w:rPr>
        <w:t>: 2440-2447 [PMID: 15882290 DOI: 10.1111/j.1523-1755.2005.00352.x]</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4 </w:t>
      </w:r>
      <w:r w:rsidRPr="0011258C">
        <w:rPr>
          <w:rFonts w:ascii="Book Antiqua" w:hAnsi="Book Antiqua" w:cs="宋体"/>
          <w:b/>
          <w:bCs/>
          <w:lang w:eastAsia="zh-CN"/>
        </w:rPr>
        <w:t>el-Dahshan KF</w:t>
      </w:r>
      <w:r w:rsidRPr="0011258C">
        <w:rPr>
          <w:rFonts w:ascii="Book Antiqua" w:hAnsi="Book Antiqua" w:cs="宋体"/>
          <w:lang w:eastAsia="zh-CN"/>
        </w:rPr>
        <w:t>, Bakr MA, Donia AF, Badr Ael-S, Sobh MA. Co-administration of ketoconazole to tacrolimus-treated kidney transplant recipients: a prospective randomized study. </w:t>
      </w:r>
      <w:r w:rsidRPr="0011258C">
        <w:rPr>
          <w:rFonts w:ascii="Book Antiqua" w:hAnsi="Book Antiqua" w:cs="宋体"/>
          <w:i/>
          <w:iCs/>
          <w:lang w:eastAsia="zh-CN"/>
        </w:rPr>
        <w:t>Nephrol Dial Transplant</w:t>
      </w:r>
      <w:r w:rsidRPr="0011258C">
        <w:rPr>
          <w:rFonts w:ascii="Book Antiqua" w:hAnsi="Book Antiqua" w:cs="宋体"/>
          <w:lang w:eastAsia="zh-CN"/>
        </w:rPr>
        <w:t> 2004; </w:t>
      </w:r>
      <w:r w:rsidRPr="0011258C">
        <w:rPr>
          <w:rFonts w:ascii="Book Antiqua" w:hAnsi="Book Antiqua" w:cs="宋体"/>
          <w:b/>
          <w:bCs/>
          <w:lang w:eastAsia="zh-CN"/>
        </w:rPr>
        <w:t>19</w:t>
      </w:r>
      <w:r w:rsidRPr="0011258C">
        <w:rPr>
          <w:rFonts w:ascii="Book Antiqua" w:hAnsi="Book Antiqua" w:cs="宋体"/>
          <w:lang w:eastAsia="zh-CN"/>
        </w:rPr>
        <w:t>: 1613-1617 [PMID: 15034161 DOI: 10.1093/ndt/gfh191]</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lastRenderedPageBreak/>
        <w:t>5 </w:t>
      </w:r>
      <w:r w:rsidRPr="0011258C">
        <w:rPr>
          <w:rFonts w:ascii="Book Antiqua" w:hAnsi="Book Antiqua" w:cs="宋体"/>
          <w:b/>
          <w:bCs/>
          <w:lang w:eastAsia="zh-CN"/>
        </w:rPr>
        <w:t>El-Dahshan KF</w:t>
      </w:r>
      <w:r w:rsidRPr="0011258C">
        <w:rPr>
          <w:rFonts w:ascii="Book Antiqua" w:hAnsi="Book Antiqua" w:cs="宋体"/>
          <w:lang w:eastAsia="zh-CN"/>
        </w:rPr>
        <w:t>, Bakr MA, Donia AF, Badr Ael-S, Sobh MA. Ketoconazole-tacrolimus coadministration in kidney transplant recipients: two-year results of a prospective randomized study. </w:t>
      </w:r>
      <w:r w:rsidRPr="0011258C">
        <w:rPr>
          <w:rFonts w:ascii="Book Antiqua" w:hAnsi="Book Antiqua" w:cs="宋体"/>
          <w:i/>
          <w:iCs/>
          <w:lang w:eastAsia="zh-CN"/>
        </w:rPr>
        <w:t>Am J Nephrol</w:t>
      </w:r>
      <w:r w:rsidRPr="0011258C">
        <w:rPr>
          <w:rFonts w:ascii="Book Antiqua" w:hAnsi="Book Antiqua" w:cs="宋体"/>
          <w:lang w:eastAsia="zh-CN"/>
        </w:rPr>
        <w:t> 2006; </w:t>
      </w:r>
      <w:r w:rsidRPr="0011258C">
        <w:rPr>
          <w:rFonts w:ascii="Book Antiqua" w:hAnsi="Book Antiqua" w:cs="宋体"/>
          <w:b/>
          <w:bCs/>
          <w:lang w:eastAsia="zh-CN"/>
        </w:rPr>
        <w:t>26</w:t>
      </w:r>
      <w:r w:rsidRPr="0011258C">
        <w:rPr>
          <w:rFonts w:ascii="Book Antiqua" w:hAnsi="Book Antiqua" w:cs="宋体"/>
          <w:lang w:eastAsia="zh-CN"/>
        </w:rPr>
        <w:t>: 293-298 [PMID: 16804292 DOI: 10.1159/000094133]</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6 </w:t>
      </w:r>
      <w:r w:rsidRPr="0011258C">
        <w:rPr>
          <w:rFonts w:ascii="Book Antiqua" w:hAnsi="Book Antiqua" w:cs="宋体"/>
          <w:b/>
          <w:bCs/>
          <w:lang w:eastAsia="zh-CN"/>
        </w:rPr>
        <w:t>Stock PG</w:t>
      </w:r>
      <w:r w:rsidRPr="0011258C">
        <w:rPr>
          <w:rFonts w:ascii="Book Antiqua" w:hAnsi="Book Antiqua" w:cs="宋体"/>
          <w:lang w:eastAsia="zh-CN"/>
        </w:rPr>
        <w:t>, Barin B, Murphy B, Hanto D, Diego JM, Light J, Davis C, Blumberg E, Simon D, Subramanian A, Millis JM, Lyon GM, Brayman K, Slakey D, Shapiro R, Melancon J, Jacobson JM, Stosor V, Olson JL, Stablein DM, Roland ME. Outcomes of kidney transplantation in HIV-infected recipients. </w:t>
      </w:r>
      <w:r w:rsidRPr="0011258C">
        <w:rPr>
          <w:rFonts w:ascii="Book Antiqua" w:hAnsi="Book Antiqua" w:cs="宋体"/>
          <w:i/>
          <w:iCs/>
          <w:lang w:eastAsia="zh-CN"/>
        </w:rPr>
        <w:t>N Engl J Med</w:t>
      </w:r>
      <w:r w:rsidRPr="0011258C">
        <w:rPr>
          <w:rFonts w:ascii="Book Antiqua" w:hAnsi="Book Antiqua" w:cs="宋体"/>
          <w:lang w:eastAsia="zh-CN"/>
        </w:rPr>
        <w:t> 2010; </w:t>
      </w:r>
      <w:r w:rsidRPr="0011258C">
        <w:rPr>
          <w:rFonts w:ascii="Book Antiqua" w:hAnsi="Book Antiqua" w:cs="宋体"/>
          <w:b/>
          <w:bCs/>
          <w:lang w:eastAsia="zh-CN"/>
        </w:rPr>
        <w:t>363</w:t>
      </w:r>
      <w:r w:rsidRPr="0011258C">
        <w:rPr>
          <w:rFonts w:ascii="Book Antiqua" w:hAnsi="Book Antiqua" w:cs="宋体"/>
          <w:lang w:eastAsia="zh-CN"/>
        </w:rPr>
        <w:t>: 2004-2014 [PMID: 21083386 DOI: 10.1056/NEJMoa1001197]</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7 </w:t>
      </w:r>
      <w:r w:rsidRPr="0011258C">
        <w:rPr>
          <w:rFonts w:ascii="Book Antiqua" w:hAnsi="Book Antiqua" w:cs="宋体"/>
          <w:b/>
          <w:bCs/>
          <w:lang w:eastAsia="zh-CN"/>
        </w:rPr>
        <w:t>Terrault NA</w:t>
      </w:r>
      <w:r w:rsidRPr="0011258C">
        <w:rPr>
          <w:rFonts w:ascii="Book Antiqua" w:hAnsi="Book Antiqua" w:cs="宋体"/>
          <w:lang w:eastAsia="zh-CN"/>
        </w:rPr>
        <w:t>, Roland ME, Schiano T, Dove L, Wong MT, Poordad F, Ragni MV, Barin B, Simon D, Olthoff KM, Johnson L, Stosor V, Jayaweera D, Fung J, Sherman KE, Subramanian A, Millis JM, Slakey D, Berg CL, Carlson L, Ferrell L, Stablein DM, Odim J, Fox L, Stock PG. Outcomes of liver transplant recipients with hepatitis C and human immunodeficiency virus coinfection. </w:t>
      </w:r>
      <w:r w:rsidRPr="0011258C">
        <w:rPr>
          <w:rFonts w:ascii="Book Antiqua" w:hAnsi="Book Antiqua" w:cs="宋体"/>
          <w:i/>
          <w:iCs/>
          <w:lang w:eastAsia="zh-CN"/>
        </w:rPr>
        <w:t>Liver</w:t>
      </w:r>
      <w:r w:rsidRPr="0011258C">
        <w:rPr>
          <w:rFonts w:ascii="Book Antiqua" w:hAnsi="Book Antiqua" w:cs="宋体"/>
          <w:iCs/>
          <w:lang w:eastAsia="zh-CN"/>
        </w:rPr>
        <w:t xml:space="preserve"> </w:t>
      </w:r>
      <w:r w:rsidRPr="0011258C">
        <w:rPr>
          <w:rFonts w:ascii="Book Antiqua" w:hAnsi="Book Antiqua" w:cs="宋体"/>
          <w:i/>
          <w:iCs/>
          <w:lang w:eastAsia="zh-CN"/>
        </w:rPr>
        <w:t>Transpl</w:t>
      </w:r>
      <w:r w:rsidRPr="0011258C">
        <w:rPr>
          <w:rFonts w:ascii="Book Antiqua" w:hAnsi="Book Antiqua" w:cs="宋体"/>
          <w:i/>
          <w:lang w:eastAsia="zh-CN"/>
        </w:rPr>
        <w:t> </w:t>
      </w:r>
      <w:r w:rsidRPr="0011258C">
        <w:rPr>
          <w:rFonts w:ascii="Book Antiqua" w:hAnsi="Book Antiqua" w:cs="宋体"/>
          <w:lang w:eastAsia="zh-CN"/>
        </w:rPr>
        <w:t>2012; </w:t>
      </w:r>
      <w:r w:rsidRPr="0011258C">
        <w:rPr>
          <w:rFonts w:ascii="Book Antiqua" w:hAnsi="Book Antiqua" w:cs="宋体"/>
          <w:b/>
          <w:bCs/>
          <w:lang w:eastAsia="zh-CN"/>
        </w:rPr>
        <w:t>18</w:t>
      </w:r>
      <w:r w:rsidRPr="0011258C">
        <w:rPr>
          <w:rFonts w:ascii="Book Antiqua" w:hAnsi="Book Antiqua" w:cs="宋体"/>
          <w:lang w:eastAsia="zh-CN"/>
        </w:rPr>
        <w:t>: 716-726 [PMID: 22328294 DOI: 10.1002/lt.23411]</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8 </w:t>
      </w:r>
      <w:r w:rsidRPr="0011258C">
        <w:rPr>
          <w:rFonts w:ascii="Book Antiqua" w:hAnsi="Book Antiqua" w:cs="宋体"/>
          <w:b/>
          <w:bCs/>
          <w:lang w:eastAsia="zh-CN"/>
        </w:rPr>
        <w:t>Hayes K</w:t>
      </w:r>
      <w:r w:rsidRPr="0011258C">
        <w:rPr>
          <w:rFonts w:ascii="Book Antiqua" w:hAnsi="Book Antiqua" w:cs="宋体"/>
          <w:lang w:eastAsia="zh-CN"/>
        </w:rPr>
        <w:t>, Van Sickels N, Buell J, Killa</w:t>
      </w:r>
      <w:r w:rsidRPr="0011258C">
        <w:rPr>
          <w:rFonts w:ascii="Book Antiqua" w:hAnsi="Book Antiqua" w:cs="宋体"/>
          <w:b/>
          <w:lang w:eastAsia="zh-CN"/>
        </w:rPr>
        <w:t>cke</w:t>
      </w:r>
      <w:r w:rsidRPr="0011258C">
        <w:rPr>
          <w:rFonts w:ascii="Book Antiqua" w:hAnsi="Book Antiqua" w:cs="宋体"/>
          <w:lang w:eastAsia="zh-CN"/>
        </w:rPr>
        <w:t>y M, Zhang R, Slakey D, Lukitsch I, Alper A, Mushatt D, Asad S, Paramesh A. Successful transplantation of HIV patients: the Louisiana experience. </w:t>
      </w:r>
      <w:r w:rsidRPr="0011258C">
        <w:rPr>
          <w:rFonts w:ascii="Book Antiqua" w:hAnsi="Book Antiqua" w:cs="宋体"/>
          <w:i/>
          <w:iCs/>
          <w:lang w:eastAsia="zh-CN"/>
        </w:rPr>
        <w:t>J La State Med Soc</w:t>
      </w:r>
      <w:r w:rsidRPr="0011258C">
        <w:rPr>
          <w:rFonts w:ascii="Book Antiqua" w:hAnsi="Book Antiqua" w:cs="宋体"/>
          <w:lang w:eastAsia="zh-CN"/>
        </w:rPr>
        <w:t> 2012</w:t>
      </w:r>
      <w:r w:rsidRPr="0011258C">
        <w:rPr>
          <w:rFonts w:ascii="Book Antiqua" w:hAnsi="Book Antiqua" w:cs="宋体"/>
          <w:b/>
          <w:lang w:eastAsia="zh-CN"/>
        </w:rPr>
        <w:t>;</w:t>
      </w:r>
      <w:r w:rsidRPr="0011258C">
        <w:rPr>
          <w:rFonts w:ascii="Book Antiqua" w:hAnsi="Book Antiqua" w:cs="宋体"/>
          <w:lang w:eastAsia="zh-CN"/>
        </w:rPr>
        <w:t> </w:t>
      </w:r>
      <w:r w:rsidRPr="0011258C">
        <w:rPr>
          <w:rFonts w:ascii="Book Antiqua" w:hAnsi="Book Antiqua" w:cs="宋体"/>
          <w:b/>
          <w:bCs/>
          <w:lang w:eastAsia="zh-CN"/>
        </w:rPr>
        <w:t>164</w:t>
      </w:r>
      <w:r w:rsidRPr="0011258C">
        <w:rPr>
          <w:rFonts w:ascii="Book Antiqua" w:hAnsi="Book Antiqua" w:cs="宋体"/>
          <w:lang w:eastAsia="zh-CN"/>
        </w:rPr>
        <w:t>: 191-193 [PMID: 22953455]</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9 </w:t>
      </w:r>
      <w:r w:rsidRPr="0011258C">
        <w:rPr>
          <w:rFonts w:ascii="Book Antiqua" w:hAnsi="Book Antiqua" w:cs="宋体"/>
          <w:b/>
          <w:bCs/>
          <w:lang w:eastAsia="zh-CN"/>
        </w:rPr>
        <w:t>Canaud G</w:t>
      </w:r>
      <w:r w:rsidRPr="0011258C">
        <w:rPr>
          <w:rFonts w:ascii="Book Antiqua" w:hAnsi="Book Antiqua" w:cs="宋体"/>
          <w:lang w:eastAsia="zh-CN"/>
        </w:rPr>
        <w:t>, Dejucq-Rainsford N, Avettand-Fenoël V, Viard JP, Anglicheau D, Bienaimé F, Muorah M, Galmiche L, Gribouval O, Noël LH, Satie AP, Martinez F, Sberro-Soussan R, Scemla A, Gubler MC, Friedlander G, Antignac C, Timsit MO, Onetti Muda A, Terzi F, Rouzioux C, Legendre C. The kidney as a reservoir for HIV-1 after renal transplantation. </w:t>
      </w:r>
      <w:r w:rsidRPr="0011258C">
        <w:rPr>
          <w:rFonts w:ascii="Book Antiqua" w:hAnsi="Book Antiqua" w:cs="宋体"/>
          <w:i/>
          <w:iCs/>
          <w:lang w:eastAsia="zh-CN"/>
        </w:rPr>
        <w:t>J Am Soc Nephrol</w:t>
      </w:r>
      <w:r w:rsidRPr="0011258C">
        <w:rPr>
          <w:rFonts w:ascii="Book Antiqua" w:hAnsi="Book Antiqua" w:cs="宋体"/>
          <w:lang w:eastAsia="zh-CN"/>
        </w:rPr>
        <w:t> 2014; </w:t>
      </w:r>
      <w:r w:rsidRPr="0011258C">
        <w:rPr>
          <w:rFonts w:ascii="Book Antiqua" w:hAnsi="Book Antiqua" w:cs="宋体"/>
          <w:b/>
          <w:bCs/>
          <w:lang w:eastAsia="zh-CN"/>
        </w:rPr>
        <w:t>25</w:t>
      </w:r>
      <w:r w:rsidRPr="0011258C">
        <w:rPr>
          <w:rFonts w:ascii="Book Antiqua" w:hAnsi="Book Antiqua" w:cs="宋体"/>
          <w:lang w:eastAsia="zh-CN"/>
        </w:rPr>
        <w:t>: 407-419 [PMID: 24309185 DOI: 10.1681/asn.2013050564]</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10 </w:t>
      </w:r>
      <w:r w:rsidRPr="0011258C">
        <w:rPr>
          <w:rFonts w:ascii="Book Antiqua" w:hAnsi="Book Antiqua" w:cs="宋体"/>
          <w:b/>
          <w:bCs/>
          <w:lang w:eastAsia="zh-CN"/>
        </w:rPr>
        <w:t>Frassetto LA</w:t>
      </w:r>
      <w:r w:rsidRPr="0011258C">
        <w:rPr>
          <w:rFonts w:ascii="Book Antiqua" w:hAnsi="Book Antiqua" w:cs="宋体"/>
          <w:lang w:eastAsia="zh-CN"/>
        </w:rPr>
        <w:t>, Browne M, Cheng A, Wolfe AR, Roland ME, Stock PG, Carlson L, Benet LZ. Immunosuppressant pharmacokinetics and dosing modifications in HIV-1 infected liver and kidney transplant recipients. </w:t>
      </w:r>
      <w:r w:rsidRPr="0011258C">
        <w:rPr>
          <w:rFonts w:ascii="Book Antiqua" w:hAnsi="Book Antiqua" w:cs="宋体"/>
          <w:i/>
          <w:iCs/>
          <w:lang w:eastAsia="zh-CN"/>
        </w:rPr>
        <w:t>Am J Transplant</w:t>
      </w:r>
      <w:r w:rsidRPr="0011258C">
        <w:rPr>
          <w:rFonts w:ascii="Book Antiqua" w:hAnsi="Book Antiqua" w:cs="宋体"/>
          <w:lang w:eastAsia="zh-CN"/>
        </w:rPr>
        <w:t> 2007; </w:t>
      </w:r>
      <w:r w:rsidRPr="0011258C">
        <w:rPr>
          <w:rFonts w:ascii="Book Antiqua" w:hAnsi="Book Antiqua" w:cs="宋体"/>
          <w:b/>
          <w:bCs/>
          <w:lang w:eastAsia="zh-CN"/>
        </w:rPr>
        <w:t>7</w:t>
      </w:r>
      <w:r w:rsidRPr="0011258C">
        <w:rPr>
          <w:rFonts w:ascii="Book Antiqua" w:hAnsi="Book Antiqua" w:cs="宋体"/>
          <w:lang w:eastAsia="zh-CN"/>
        </w:rPr>
        <w:t>: 2816-2820 [PMID: 17949460 DOI: 10.1111/j.1600-6143.2007.02007.x]</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lastRenderedPageBreak/>
        <w:t>11 </w:t>
      </w:r>
      <w:r w:rsidRPr="0011258C">
        <w:rPr>
          <w:rFonts w:ascii="Book Antiqua" w:hAnsi="Book Antiqua" w:cs="宋体"/>
          <w:b/>
          <w:bCs/>
          <w:lang w:eastAsia="zh-CN"/>
        </w:rPr>
        <w:t>Jain AK</w:t>
      </w:r>
      <w:r w:rsidRPr="0011258C">
        <w:rPr>
          <w:rFonts w:ascii="Book Antiqua" w:hAnsi="Book Antiqua" w:cs="宋体"/>
          <w:lang w:eastAsia="zh-CN"/>
        </w:rPr>
        <w:t>, Venkataramanan R, Shapiro R, Scantlebury VP, Potdar S, Bonham CA, Pokharna R, Rohal S, Ragni M, Fung JJ. Interaction between tacrolimus and antiretroviral agents in human immunodeficiency virus-positive liver and kidney transplantation patients. </w:t>
      </w:r>
      <w:r w:rsidRPr="0011258C">
        <w:rPr>
          <w:rFonts w:ascii="Book Antiqua" w:hAnsi="Book Antiqua" w:cs="宋体"/>
          <w:i/>
          <w:iCs/>
          <w:lang w:eastAsia="zh-CN"/>
        </w:rPr>
        <w:t>Transplant Proc</w:t>
      </w:r>
      <w:r w:rsidRPr="0011258C">
        <w:rPr>
          <w:rFonts w:ascii="Book Antiqua" w:hAnsi="Book Antiqua" w:cs="宋体"/>
          <w:lang w:eastAsia="zh-CN"/>
        </w:rPr>
        <w:t> 2002; </w:t>
      </w:r>
      <w:r w:rsidRPr="0011258C">
        <w:rPr>
          <w:rFonts w:ascii="Book Antiqua" w:hAnsi="Book Antiqua" w:cs="宋体"/>
          <w:b/>
          <w:bCs/>
          <w:lang w:eastAsia="zh-CN"/>
        </w:rPr>
        <w:t>34</w:t>
      </w:r>
      <w:r w:rsidRPr="0011258C">
        <w:rPr>
          <w:rFonts w:ascii="Book Antiqua" w:hAnsi="Book Antiqua" w:cs="宋体"/>
          <w:lang w:eastAsia="zh-CN"/>
        </w:rPr>
        <w:t>: 1540-1541 [PMID: 12176474]</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12 </w:t>
      </w:r>
      <w:r w:rsidRPr="0011258C">
        <w:rPr>
          <w:rFonts w:ascii="Book Antiqua" w:hAnsi="Book Antiqua" w:cs="宋体"/>
          <w:b/>
          <w:bCs/>
          <w:lang w:eastAsia="zh-CN"/>
        </w:rPr>
        <w:t>Naik P</w:t>
      </w:r>
      <w:r w:rsidRPr="0011258C">
        <w:rPr>
          <w:rFonts w:ascii="Book Antiqua" w:hAnsi="Book Antiqua" w:cs="宋体"/>
          <w:lang w:eastAsia="zh-CN"/>
        </w:rPr>
        <w:t>, Madhavarapu M, Mayur P, Nayak KS, Sritharan V. Pharmacokinetics of tacrolimus in adult renal transplant recipients. </w:t>
      </w:r>
      <w:r w:rsidRPr="0011258C">
        <w:rPr>
          <w:rFonts w:ascii="Book Antiqua" w:hAnsi="Book Antiqua" w:cs="宋体"/>
          <w:i/>
          <w:iCs/>
          <w:lang w:eastAsia="zh-CN"/>
        </w:rPr>
        <w:t>Drug Metabol Drug Interact</w:t>
      </w:r>
      <w:r w:rsidRPr="0011258C">
        <w:rPr>
          <w:rFonts w:ascii="Book Antiqua" w:hAnsi="Book Antiqua" w:cs="宋体"/>
          <w:lang w:eastAsia="zh-CN"/>
        </w:rPr>
        <w:t> 2012; </w:t>
      </w:r>
      <w:r w:rsidRPr="0011258C">
        <w:rPr>
          <w:rFonts w:ascii="Book Antiqua" w:hAnsi="Book Antiqua" w:cs="宋体"/>
          <w:b/>
          <w:bCs/>
          <w:lang w:eastAsia="zh-CN"/>
        </w:rPr>
        <w:t>27</w:t>
      </w:r>
      <w:r w:rsidRPr="0011258C">
        <w:rPr>
          <w:rFonts w:ascii="Book Antiqua" w:hAnsi="Book Antiqua" w:cs="宋体"/>
          <w:lang w:eastAsia="zh-CN"/>
        </w:rPr>
        <w:t>: 151-155 [PMID: 23089531 DOI: 10.1515/dmdi-2012-0008]</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13 </w:t>
      </w:r>
      <w:r w:rsidRPr="0011258C">
        <w:rPr>
          <w:rFonts w:ascii="Book Antiqua" w:hAnsi="Book Antiqua" w:cs="宋体"/>
          <w:b/>
          <w:bCs/>
          <w:lang w:eastAsia="zh-CN"/>
        </w:rPr>
        <w:t>Chen SY</w:t>
      </w:r>
      <w:r w:rsidRPr="0011258C">
        <w:rPr>
          <w:rFonts w:ascii="Book Antiqua" w:hAnsi="Book Antiqua" w:cs="宋体"/>
          <w:lang w:eastAsia="zh-CN"/>
        </w:rPr>
        <w:t>, Li JL, Meng FH, Wang XD, Liu T, Li J, Liu LS, Fu Q, Huang M, Wang CX. Individualization of tacrolimus dosage basing on cytochrome P450 3A5 polymorphism--a prospective, randomized, controlled study. </w:t>
      </w:r>
      <w:r w:rsidRPr="0011258C">
        <w:rPr>
          <w:rFonts w:ascii="Book Antiqua" w:hAnsi="Book Antiqua" w:cs="宋体"/>
          <w:i/>
          <w:iCs/>
          <w:lang w:eastAsia="zh-CN"/>
        </w:rPr>
        <w:t xml:space="preserve">Clin Transplant </w:t>
      </w:r>
      <w:r w:rsidRPr="0011258C">
        <w:rPr>
          <w:rFonts w:ascii="Book Antiqua" w:hAnsi="Book Antiqua"/>
          <w:bCs/>
        </w:rPr>
        <w:t>2013</w:t>
      </w:r>
      <w:r w:rsidRPr="0011258C">
        <w:rPr>
          <w:rFonts w:ascii="Book Antiqua" w:hAnsi="Book Antiqua" w:cs="宋体"/>
          <w:lang w:eastAsia="zh-CN"/>
        </w:rPr>
        <w:t>; </w:t>
      </w:r>
      <w:r w:rsidRPr="0011258C">
        <w:rPr>
          <w:rFonts w:ascii="Book Antiqua" w:hAnsi="Book Antiqua" w:cs="宋体"/>
          <w:b/>
          <w:bCs/>
          <w:lang w:eastAsia="zh-CN"/>
        </w:rPr>
        <w:t>27</w:t>
      </w:r>
      <w:r w:rsidRPr="0011258C">
        <w:rPr>
          <w:rFonts w:ascii="Book Antiqua" w:hAnsi="Book Antiqua" w:cs="宋体"/>
          <w:lang w:eastAsia="zh-CN"/>
        </w:rPr>
        <w:t>: E272-E281 [PMID: 23432535 DOI: 10.1111/ctr.12101]</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14 </w:t>
      </w:r>
      <w:r w:rsidRPr="0011258C">
        <w:rPr>
          <w:rFonts w:ascii="Book Antiqua" w:hAnsi="Book Antiqua" w:cs="宋体"/>
          <w:b/>
          <w:bCs/>
          <w:lang w:eastAsia="zh-CN"/>
        </w:rPr>
        <w:t>Frassetto LA</w:t>
      </w:r>
      <w:r w:rsidRPr="0011258C">
        <w:rPr>
          <w:rFonts w:ascii="Book Antiqua" w:hAnsi="Book Antiqua" w:cs="宋体"/>
          <w:lang w:eastAsia="zh-CN"/>
        </w:rPr>
        <w:t>, Tan-Tam CC, Barin B, Browne M, Wolfe AR, Stock PG, Roland M, Benet LZ. Best single time point correlations with AUC for cyclosporine and tacrolimus in HIV-infected kidney and liver transplant recipients. </w:t>
      </w:r>
      <w:r w:rsidRPr="0011258C">
        <w:rPr>
          <w:rFonts w:ascii="Book Antiqua" w:hAnsi="Book Antiqua" w:cs="宋体"/>
          <w:i/>
          <w:iCs/>
          <w:lang w:eastAsia="zh-CN"/>
        </w:rPr>
        <w:t>Transplantation</w:t>
      </w:r>
      <w:r w:rsidRPr="0011258C">
        <w:rPr>
          <w:rFonts w:ascii="Book Antiqua" w:hAnsi="Book Antiqua" w:cs="宋体"/>
          <w:lang w:eastAsia="zh-CN"/>
        </w:rPr>
        <w:t> 2014; </w:t>
      </w:r>
      <w:r w:rsidRPr="0011258C">
        <w:rPr>
          <w:rFonts w:ascii="Book Antiqua" w:hAnsi="Book Antiqua" w:cs="宋体"/>
          <w:b/>
          <w:bCs/>
          <w:lang w:eastAsia="zh-CN"/>
        </w:rPr>
        <w:t>97</w:t>
      </w:r>
      <w:r w:rsidRPr="0011258C">
        <w:rPr>
          <w:rFonts w:ascii="Book Antiqua" w:hAnsi="Book Antiqua" w:cs="宋体"/>
          <w:lang w:eastAsia="zh-CN"/>
        </w:rPr>
        <w:t>: 702-707 [PMID: 24389906 DOI: 10.1097/01.tp.0000441097.30094.31]</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15</w:t>
      </w:r>
      <w:hyperlink r:id="rId9" w:tgtFrame="_blank" w:history="1">
        <w:r w:rsidRPr="0011258C">
          <w:rPr>
            <w:rStyle w:val="a5"/>
            <w:rFonts w:ascii="Book Antiqua" w:hAnsi="Book Antiqua"/>
            <w:b/>
            <w:color w:val="auto"/>
            <w:u w:val="none"/>
          </w:rPr>
          <w:t xml:space="preserve"> Yee</w:t>
        </w:r>
      </w:hyperlink>
      <w:r w:rsidRPr="0011258C">
        <w:rPr>
          <w:rFonts w:ascii="Book Antiqua" w:hAnsi="Book Antiqua"/>
          <w:b/>
          <w:lang w:eastAsia="zh-CN"/>
        </w:rPr>
        <w:t xml:space="preserve"> ML</w:t>
      </w:r>
      <w:r w:rsidRPr="0011258C">
        <w:rPr>
          <w:rFonts w:ascii="Book Antiqua" w:hAnsi="Book Antiqua"/>
        </w:rPr>
        <w:t xml:space="preserve">, </w:t>
      </w:r>
      <w:hyperlink r:id="rId10" w:tgtFrame="_blank" w:history="1">
        <w:r w:rsidRPr="0011258C">
          <w:rPr>
            <w:rStyle w:val="a5"/>
            <w:rFonts w:ascii="Book Antiqua" w:hAnsi="Book Antiqua"/>
            <w:color w:val="auto"/>
            <w:u w:val="none"/>
          </w:rPr>
          <w:t>Tan</w:t>
        </w:r>
      </w:hyperlink>
      <w:r w:rsidRPr="0011258C">
        <w:rPr>
          <w:rFonts w:ascii="Book Antiqua" w:hAnsi="Book Antiqua"/>
          <w:lang w:eastAsia="zh-CN"/>
        </w:rPr>
        <w:t xml:space="preserve"> HH</w:t>
      </w:r>
      <w:r w:rsidRPr="0011258C">
        <w:rPr>
          <w:rFonts w:ascii="Book Antiqua" w:hAnsi="Book Antiqua"/>
        </w:rPr>
        <w:t>,</w:t>
      </w:r>
      <w:hyperlink r:id="rId11" w:tgtFrame="_blank" w:history="1">
        <w:r w:rsidRPr="0011258C">
          <w:rPr>
            <w:rStyle w:val="a5"/>
            <w:rFonts w:ascii="Book Antiqua" w:hAnsi="Book Antiqua"/>
            <w:color w:val="auto"/>
            <w:u w:val="none"/>
          </w:rPr>
          <w:t xml:space="preserve"> Sia</w:t>
        </w:r>
      </w:hyperlink>
      <w:r w:rsidRPr="0011258C">
        <w:rPr>
          <w:rFonts w:ascii="Book Antiqua" w:hAnsi="Book Antiqua"/>
          <w:lang w:eastAsia="zh-CN"/>
        </w:rPr>
        <w:t xml:space="preserve"> WJ</w:t>
      </w:r>
      <w:r w:rsidRPr="0011258C">
        <w:rPr>
          <w:rFonts w:ascii="Book Antiqua" w:hAnsi="Book Antiqua"/>
        </w:rPr>
        <w:t xml:space="preserve">, </w:t>
      </w:r>
      <w:hyperlink r:id="rId12" w:tgtFrame="_blank" w:history="1">
        <w:r w:rsidRPr="0011258C">
          <w:rPr>
            <w:rStyle w:val="a5"/>
            <w:rFonts w:ascii="Book Antiqua" w:hAnsi="Book Antiqua"/>
            <w:color w:val="auto"/>
            <w:u w:val="none"/>
          </w:rPr>
          <w:t>Yau</w:t>
        </w:r>
      </w:hyperlink>
      <w:r w:rsidRPr="0011258C">
        <w:rPr>
          <w:rFonts w:ascii="Book Antiqua" w:hAnsi="Book Antiqua"/>
          <w:lang w:eastAsia="zh-CN"/>
        </w:rPr>
        <w:t xml:space="preserve"> WP. </w:t>
      </w:r>
      <w:r w:rsidRPr="0011258C">
        <w:rPr>
          <w:rFonts w:ascii="Book Antiqua" w:hAnsi="Book Antiqua" w:cs="宋体"/>
          <w:lang w:eastAsia="zh-CN"/>
        </w:rPr>
        <w:t>Influences of Donor and Recipient Gene Polymorphisms on Tacrolimus Dosing and Pharmacokinetics in Asian Liver Transplant Patients</w:t>
      </w:r>
      <w:r>
        <w:rPr>
          <w:rFonts w:ascii="Book Antiqua" w:hAnsi="Book Antiqua" w:cs="宋体"/>
          <w:lang w:eastAsia="zh-CN"/>
        </w:rPr>
        <w:t>.</w:t>
      </w:r>
      <w:r w:rsidRPr="0011258C">
        <w:rPr>
          <w:rFonts w:ascii="Book Antiqua" w:hAnsi="Book Antiqua" w:cs="宋体"/>
          <w:lang w:eastAsia="zh-CN"/>
        </w:rPr>
        <w:t xml:space="preserve"> </w:t>
      </w:r>
      <w:r w:rsidRPr="006778D3">
        <w:rPr>
          <w:rFonts w:ascii="Book Antiqua" w:hAnsi="Book Antiqua" w:cs="Arial"/>
          <w:i/>
        </w:rPr>
        <w:t>Open J Organ</w:t>
      </w:r>
      <w:r w:rsidR="00786FE5">
        <w:rPr>
          <w:rFonts w:ascii="Book Antiqua" w:hAnsi="Book Antiqua" w:cs="Arial" w:hint="eastAsia"/>
          <w:i/>
          <w:lang w:eastAsia="zh-CN"/>
        </w:rPr>
        <w:t xml:space="preserve"> </w:t>
      </w:r>
      <w:r w:rsidRPr="006778D3">
        <w:rPr>
          <w:rFonts w:ascii="Book Antiqua" w:hAnsi="Book Antiqua" w:cs="Arial"/>
          <w:i/>
        </w:rPr>
        <w:t>Transpl Surg</w:t>
      </w:r>
      <w:r w:rsidRPr="0011258C">
        <w:rPr>
          <w:rFonts w:ascii="Book Antiqua" w:hAnsi="Book Antiqua" w:cs="宋体"/>
          <w:lang w:eastAsia="zh-CN"/>
        </w:rPr>
        <w:t xml:space="preserve"> 2013; </w:t>
      </w:r>
      <w:r w:rsidRPr="0011258C">
        <w:rPr>
          <w:rFonts w:ascii="Book Antiqua" w:hAnsi="Book Antiqua" w:cs="宋体"/>
          <w:b/>
          <w:lang w:eastAsia="zh-CN"/>
        </w:rPr>
        <w:t>3</w:t>
      </w:r>
      <w:r w:rsidRPr="0011258C">
        <w:rPr>
          <w:rFonts w:ascii="Book Antiqua" w:hAnsi="Book Antiqua" w:cs="宋体"/>
          <w:lang w:eastAsia="zh-CN"/>
        </w:rPr>
        <w:t>: 53-61 [DOI: 10.4236/ojots.2013.33011]</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16 </w:t>
      </w:r>
      <w:r w:rsidRPr="0011258C">
        <w:rPr>
          <w:rFonts w:ascii="Book Antiqua" w:hAnsi="Book Antiqua" w:cs="宋体"/>
          <w:b/>
          <w:bCs/>
          <w:lang w:eastAsia="zh-CN"/>
        </w:rPr>
        <w:t>Tang HL</w:t>
      </w:r>
      <w:r w:rsidRPr="0011258C">
        <w:rPr>
          <w:rFonts w:ascii="Book Antiqua" w:hAnsi="Book Antiqua" w:cs="宋体"/>
          <w:lang w:eastAsia="zh-CN"/>
        </w:rPr>
        <w:t>, Xie HG, Yao Y, Hu YF. Lower tacrolimus daily dose requirements and acute rejection rates in the CYP3A5 nonexpressers than expressers. </w:t>
      </w:r>
      <w:r w:rsidRPr="0011258C">
        <w:rPr>
          <w:rFonts w:ascii="Book Antiqua" w:hAnsi="Book Antiqua" w:cs="宋体"/>
          <w:i/>
          <w:iCs/>
          <w:lang w:eastAsia="zh-CN"/>
        </w:rPr>
        <w:t>Pharmacogenet Genomics</w:t>
      </w:r>
      <w:r w:rsidRPr="0011258C">
        <w:rPr>
          <w:rFonts w:ascii="Book Antiqua" w:hAnsi="Book Antiqua" w:cs="宋体"/>
          <w:lang w:eastAsia="zh-CN"/>
        </w:rPr>
        <w:t> 2011; </w:t>
      </w:r>
      <w:r w:rsidRPr="0011258C">
        <w:rPr>
          <w:rFonts w:ascii="Book Antiqua" w:hAnsi="Book Antiqua" w:cs="宋体"/>
          <w:b/>
          <w:bCs/>
          <w:lang w:eastAsia="zh-CN"/>
        </w:rPr>
        <w:t>21</w:t>
      </w:r>
      <w:r w:rsidRPr="0011258C">
        <w:rPr>
          <w:rFonts w:ascii="Book Antiqua" w:hAnsi="Book Antiqua" w:cs="宋体"/>
          <w:lang w:eastAsia="zh-CN"/>
        </w:rPr>
        <w:t>: 713-720 [PMID: 21886016 DOI: 10.1097/FPC.0b013e32834a48ca]</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17 </w:t>
      </w:r>
      <w:r w:rsidRPr="0011258C">
        <w:rPr>
          <w:rFonts w:ascii="Book Antiqua" w:hAnsi="Book Antiqua" w:cs="宋体"/>
          <w:b/>
          <w:bCs/>
          <w:lang w:eastAsia="zh-CN"/>
        </w:rPr>
        <w:t>Quiroga I</w:t>
      </w:r>
      <w:r w:rsidRPr="0011258C">
        <w:rPr>
          <w:rFonts w:ascii="Book Antiqua" w:hAnsi="Book Antiqua" w:cs="宋体"/>
          <w:lang w:eastAsia="zh-CN"/>
        </w:rPr>
        <w:t>, McShane P, Koo DD, Gray D, Friend PJ, Fuggle S, Darby C. Major effects of delayed graft function and cold ischaemia time on renal allograft survival. </w:t>
      </w:r>
      <w:r w:rsidRPr="0011258C">
        <w:rPr>
          <w:rFonts w:ascii="Book Antiqua" w:hAnsi="Book Antiqua" w:cs="宋体"/>
          <w:i/>
          <w:iCs/>
          <w:lang w:eastAsia="zh-CN"/>
        </w:rPr>
        <w:t>Nephrol Dial Transplant</w:t>
      </w:r>
      <w:r w:rsidRPr="0011258C">
        <w:rPr>
          <w:rFonts w:ascii="Book Antiqua" w:hAnsi="Book Antiqua" w:cs="宋体"/>
          <w:lang w:eastAsia="zh-CN"/>
        </w:rPr>
        <w:t> 2006; </w:t>
      </w:r>
      <w:r w:rsidRPr="0011258C">
        <w:rPr>
          <w:rFonts w:ascii="Book Antiqua" w:hAnsi="Book Antiqua" w:cs="宋体"/>
          <w:b/>
          <w:bCs/>
          <w:lang w:eastAsia="zh-CN"/>
        </w:rPr>
        <w:t>21</w:t>
      </w:r>
      <w:r w:rsidRPr="0011258C">
        <w:rPr>
          <w:rFonts w:ascii="Book Antiqua" w:hAnsi="Book Antiqua" w:cs="宋体"/>
          <w:lang w:eastAsia="zh-CN"/>
        </w:rPr>
        <w:t>: 1689-1696 [PMID: 16490743 DOI: 10.1093/ndt/gfl042]</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18 </w:t>
      </w:r>
      <w:r w:rsidRPr="0011258C">
        <w:rPr>
          <w:rFonts w:ascii="Book Antiqua" w:hAnsi="Book Antiqua" w:cs="宋体"/>
          <w:b/>
          <w:bCs/>
          <w:lang w:eastAsia="zh-CN"/>
        </w:rPr>
        <w:t>Chouhan KK</w:t>
      </w:r>
      <w:r w:rsidRPr="0011258C">
        <w:rPr>
          <w:rFonts w:ascii="Book Antiqua" w:hAnsi="Book Antiqua" w:cs="宋体"/>
          <w:lang w:eastAsia="zh-CN"/>
        </w:rPr>
        <w:t>, Zhang R. Antibody induction therapy in adult kidney transplantation: A controversy continues. </w:t>
      </w:r>
      <w:r w:rsidRPr="0011258C">
        <w:rPr>
          <w:rFonts w:ascii="Book Antiqua" w:hAnsi="Book Antiqua" w:cs="宋体"/>
          <w:i/>
          <w:iCs/>
          <w:lang w:eastAsia="zh-CN"/>
        </w:rPr>
        <w:t>World J Transplant</w:t>
      </w:r>
      <w:r w:rsidRPr="0011258C">
        <w:rPr>
          <w:rFonts w:ascii="Book Antiqua" w:hAnsi="Book Antiqua" w:cs="宋体"/>
          <w:lang w:eastAsia="zh-CN"/>
        </w:rPr>
        <w:t> 2012; </w:t>
      </w:r>
      <w:r w:rsidRPr="0011258C">
        <w:rPr>
          <w:rFonts w:ascii="Book Antiqua" w:hAnsi="Book Antiqua" w:cs="宋体"/>
          <w:b/>
          <w:bCs/>
          <w:lang w:eastAsia="zh-CN"/>
        </w:rPr>
        <w:t>2</w:t>
      </w:r>
      <w:r w:rsidRPr="0011258C">
        <w:rPr>
          <w:rFonts w:ascii="Book Antiqua" w:hAnsi="Book Antiqua" w:cs="宋体"/>
          <w:lang w:eastAsia="zh-CN"/>
        </w:rPr>
        <w:t>: 19-26 [PMID: 24175192 DOI: 10.5500/wjt.v2.i2.19]</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19 </w:t>
      </w:r>
      <w:r w:rsidRPr="0011258C">
        <w:rPr>
          <w:rFonts w:ascii="Book Antiqua" w:hAnsi="Book Antiqua" w:cs="宋体"/>
          <w:b/>
          <w:bCs/>
          <w:lang w:eastAsia="zh-CN"/>
        </w:rPr>
        <w:t>Sobh MA</w:t>
      </w:r>
      <w:r w:rsidRPr="0011258C">
        <w:rPr>
          <w:rFonts w:ascii="Book Antiqua" w:hAnsi="Book Antiqua" w:cs="宋体"/>
          <w:lang w:eastAsia="zh-CN"/>
        </w:rPr>
        <w:t xml:space="preserve">, Hamdy AF, El Agroudy AE, El Sayed K, El-Diasty T, Bakr MA, Ghoneim MA. Coadministration of ketoconazole and cyclosporine for kidney transplant </w:t>
      </w:r>
      <w:r w:rsidRPr="0011258C">
        <w:rPr>
          <w:rFonts w:ascii="Book Antiqua" w:hAnsi="Book Antiqua" w:cs="宋体"/>
          <w:lang w:eastAsia="zh-CN"/>
        </w:rPr>
        <w:lastRenderedPageBreak/>
        <w:t>recipients: long-term follow-up and study of metabolic consequences. </w:t>
      </w:r>
      <w:r w:rsidRPr="0011258C">
        <w:rPr>
          <w:rFonts w:ascii="Book Antiqua" w:hAnsi="Book Antiqua" w:cs="宋体"/>
          <w:i/>
          <w:iCs/>
          <w:lang w:eastAsia="zh-CN"/>
        </w:rPr>
        <w:t>Am J Kidney Dis</w:t>
      </w:r>
      <w:r w:rsidRPr="0011258C">
        <w:rPr>
          <w:rFonts w:ascii="Book Antiqua" w:hAnsi="Book Antiqua" w:cs="宋体"/>
          <w:lang w:eastAsia="zh-CN"/>
        </w:rPr>
        <w:t> 2001; </w:t>
      </w:r>
      <w:r w:rsidRPr="0011258C">
        <w:rPr>
          <w:rFonts w:ascii="Book Antiqua" w:hAnsi="Book Antiqua" w:cs="宋体"/>
          <w:b/>
          <w:bCs/>
          <w:lang w:eastAsia="zh-CN"/>
        </w:rPr>
        <w:t>37</w:t>
      </w:r>
      <w:r w:rsidRPr="0011258C">
        <w:rPr>
          <w:rFonts w:ascii="Book Antiqua" w:hAnsi="Book Antiqua" w:cs="宋体"/>
          <w:lang w:eastAsia="zh-CN"/>
        </w:rPr>
        <w:t>: 510-517 [PMID: 11228175 DOI: 10.1053/ajkd.2001.22075]</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20 </w:t>
      </w:r>
      <w:r w:rsidRPr="0011258C">
        <w:rPr>
          <w:rFonts w:ascii="Book Antiqua" w:hAnsi="Book Antiqua" w:cs="宋体"/>
          <w:b/>
          <w:bCs/>
          <w:lang w:eastAsia="zh-CN"/>
        </w:rPr>
        <w:t>el-Agroudy AE</w:t>
      </w:r>
      <w:r w:rsidRPr="0011258C">
        <w:rPr>
          <w:rFonts w:ascii="Book Antiqua" w:hAnsi="Book Antiqua" w:cs="宋体"/>
          <w:lang w:eastAsia="zh-CN"/>
        </w:rPr>
        <w:t>, Sobh MA, Hamdy AF, Ghoneim MA. A prospective, randomized study of coadministration of ketoconazole and cyclosporine a in kidney transplant recipients: ten-year follow-up. </w:t>
      </w:r>
      <w:r w:rsidRPr="0011258C">
        <w:rPr>
          <w:rFonts w:ascii="Book Antiqua" w:hAnsi="Book Antiqua" w:cs="宋体"/>
          <w:i/>
          <w:iCs/>
          <w:lang w:eastAsia="zh-CN"/>
        </w:rPr>
        <w:t>Transplantation</w:t>
      </w:r>
      <w:r w:rsidRPr="0011258C">
        <w:rPr>
          <w:rFonts w:ascii="Book Antiqua" w:hAnsi="Book Antiqua" w:cs="宋体"/>
          <w:lang w:eastAsia="zh-CN"/>
        </w:rPr>
        <w:t> 2004; </w:t>
      </w:r>
      <w:r w:rsidRPr="0011258C">
        <w:rPr>
          <w:rFonts w:ascii="Book Antiqua" w:hAnsi="Book Antiqua" w:cs="宋体"/>
          <w:b/>
          <w:bCs/>
          <w:lang w:eastAsia="zh-CN"/>
        </w:rPr>
        <w:t>77</w:t>
      </w:r>
      <w:r w:rsidRPr="0011258C">
        <w:rPr>
          <w:rFonts w:ascii="Book Antiqua" w:hAnsi="Book Antiqua" w:cs="宋体"/>
          <w:lang w:eastAsia="zh-CN"/>
        </w:rPr>
        <w:t>: 1371-1376 [PMID: 15167592 DOI: 10.1097/01.TP.0000121133.84763.26]</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21 </w:t>
      </w:r>
      <w:r w:rsidRPr="0011258C">
        <w:rPr>
          <w:rFonts w:ascii="Book Antiqua" w:hAnsi="Book Antiqua" w:cs="宋体"/>
          <w:b/>
          <w:bCs/>
          <w:lang w:eastAsia="zh-CN"/>
        </w:rPr>
        <w:t>van Maarseveen EM</w:t>
      </w:r>
      <w:r w:rsidRPr="0011258C">
        <w:rPr>
          <w:rFonts w:ascii="Book Antiqua" w:hAnsi="Book Antiqua" w:cs="宋体"/>
          <w:lang w:eastAsia="zh-CN"/>
        </w:rPr>
        <w:t>, Crommelin HA, Mudrikova T, van den Broek MP, van Zuilen AD. Pretransplantation pharmacokinetic curves of tacrolimus in HIV-infected patients on ritonavir-containing cART: a pilot study. </w:t>
      </w:r>
      <w:r w:rsidRPr="0011258C">
        <w:rPr>
          <w:rFonts w:ascii="Book Antiqua" w:hAnsi="Book Antiqua" w:cs="宋体"/>
          <w:i/>
          <w:iCs/>
          <w:lang w:eastAsia="zh-CN"/>
        </w:rPr>
        <w:t>Transplantation</w:t>
      </w:r>
      <w:r w:rsidRPr="0011258C">
        <w:rPr>
          <w:rFonts w:ascii="Book Antiqua" w:hAnsi="Book Antiqua" w:cs="宋体"/>
          <w:lang w:eastAsia="zh-CN"/>
        </w:rPr>
        <w:t> 2013; </w:t>
      </w:r>
      <w:r w:rsidRPr="0011258C">
        <w:rPr>
          <w:rFonts w:ascii="Book Antiqua" w:hAnsi="Book Antiqua" w:cs="宋体"/>
          <w:b/>
          <w:bCs/>
          <w:lang w:eastAsia="zh-CN"/>
        </w:rPr>
        <w:t>95</w:t>
      </w:r>
      <w:r w:rsidRPr="0011258C">
        <w:rPr>
          <w:rFonts w:ascii="Book Antiqua" w:hAnsi="Book Antiqua" w:cs="宋体"/>
          <w:lang w:eastAsia="zh-CN"/>
        </w:rPr>
        <w:t>: 397-402 [PMID: 23250333 DOI: 10.1097/TP.0b013e3182734651]</w:t>
      </w:r>
    </w:p>
    <w:p w:rsidR="002D0694" w:rsidRPr="0011258C" w:rsidRDefault="002D0694" w:rsidP="002E6733">
      <w:pPr>
        <w:spacing w:line="360" w:lineRule="auto"/>
        <w:jc w:val="both"/>
        <w:rPr>
          <w:rFonts w:ascii="Book Antiqua" w:hAnsi="Book Antiqua" w:cs="宋体"/>
          <w:lang w:eastAsia="zh-CN"/>
        </w:rPr>
      </w:pPr>
      <w:r w:rsidRPr="0011258C">
        <w:rPr>
          <w:rFonts w:ascii="Book Antiqua" w:hAnsi="Book Antiqua" w:cs="宋体"/>
          <w:lang w:eastAsia="zh-CN"/>
        </w:rPr>
        <w:t>22 </w:t>
      </w:r>
      <w:r w:rsidRPr="0011258C">
        <w:rPr>
          <w:rFonts w:ascii="Book Antiqua" w:hAnsi="Book Antiqua" w:cs="宋体"/>
          <w:b/>
          <w:bCs/>
          <w:lang w:eastAsia="zh-CN"/>
        </w:rPr>
        <w:t>Touzot M</w:t>
      </w:r>
      <w:r w:rsidRPr="0011258C">
        <w:rPr>
          <w:rFonts w:ascii="Book Antiqua" w:hAnsi="Book Antiqua" w:cs="宋体"/>
          <w:lang w:eastAsia="zh-CN"/>
        </w:rPr>
        <w:t>, Pillebout E, Matignon M, Tricot L, Viard JP, Rondeau E, Legendre C, Glotz D, Delahousse M, Lang P, Peraldi MN. Renal transplantation in HIV-infected patients: the Paris experience. </w:t>
      </w:r>
      <w:r w:rsidRPr="0011258C">
        <w:rPr>
          <w:rFonts w:ascii="Book Antiqua" w:hAnsi="Book Antiqua" w:cs="宋体"/>
          <w:i/>
          <w:iCs/>
          <w:lang w:eastAsia="zh-CN"/>
        </w:rPr>
        <w:t>Am J Transplant</w:t>
      </w:r>
      <w:r w:rsidRPr="0011258C">
        <w:rPr>
          <w:rFonts w:ascii="Book Antiqua" w:hAnsi="Book Antiqua" w:cs="宋体"/>
          <w:lang w:eastAsia="zh-CN"/>
        </w:rPr>
        <w:t> 2010; </w:t>
      </w:r>
      <w:r w:rsidRPr="0011258C">
        <w:rPr>
          <w:rFonts w:ascii="Book Antiqua" w:hAnsi="Book Antiqua" w:cs="宋体"/>
          <w:b/>
          <w:bCs/>
          <w:lang w:eastAsia="zh-CN"/>
        </w:rPr>
        <w:t>10</w:t>
      </w:r>
      <w:r w:rsidRPr="0011258C">
        <w:rPr>
          <w:rFonts w:ascii="Book Antiqua" w:hAnsi="Book Antiqua" w:cs="宋体"/>
          <w:lang w:eastAsia="zh-CN"/>
        </w:rPr>
        <w:t>: 2263-2269 [PMID: 20840478 DOI: 10.1111/j.1600-6143.2010.03258.x]</w:t>
      </w:r>
    </w:p>
    <w:p w:rsidR="002D0694" w:rsidRPr="0011258C" w:rsidRDefault="002D0694" w:rsidP="002E6733">
      <w:pPr>
        <w:spacing w:line="360" w:lineRule="auto"/>
        <w:jc w:val="both"/>
        <w:rPr>
          <w:rFonts w:ascii="Book Antiqua" w:hAnsi="Book Antiqua"/>
          <w:noProof/>
        </w:rPr>
      </w:pPr>
      <w:r w:rsidRPr="0011258C">
        <w:rPr>
          <w:rFonts w:ascii="Book Antiqua" w:hAnsi="Book Antiqua"/>
        </w:rPr>
        <w:fldChar w:fldCharType="begin"/>
      </w:r>
      <w:r w:rsidRPr="0011258C">
        <w:rPr>
          <w:rFonts w:ascii="Book Antiqua" w:hAnsi="Book Antiqua"/>
        </w:rPr>
        <w:instrText xml:space="preserve"> ADDIN EN.REFLIST </w:instrText>
      </w:r>
      <w:r w:rsidRPr="0011258C">
        <w:rPr>
          <w:rFonts w:ascii="Book Antiqua" w:hAnsi="Book Antiqua"/>
        </w:rPr>
        <w:fldChar w:fldCharType="separate"/>
      </w:r>
    </w:p>
    <w:p w:rsidR="002D0694" w:rsidRPr="0011258C" w:rsidRDefault="002D0694" w:rsidP="002E6733">
      <w:pPr>
        <w:spacing w:line="360" w:lineRule="auto"/>
        <w:jc w:val="right"/>
        <w:rPr>
          <w:rFonts w:ascii="Book Antiqua" w:hAnsi="Book Antiqua"/>
          <w:lang w:eastAsia="zh-CN"/>
        </w:rPr>
      </w:pPr>
      <w:r w:rsidRPr="0011258C">
        <w:rPr>
          <w:rFonts w:ascii="Book Antiqua" w:hAnsi="Book Antiqua"/>
        </w:rPr>
        <w:fldChar w:fldCharType="end"/>
      </w:r>
      <w:bookmarkStart w:id="63" w:name="OLE_LINK139"/>
      <w:bookmarkStart w:id="64" w:name="OLE_LINK142"/>
      <w:bookmarkStart w:id="65" w:name="OLE_LINK187"/>
      <w:r w:rsidRPr="0011258C">
        <w:rPr>
          <w:rStyle w:val="Char1"/>
          <w:rFonts w:ascii="Book Antiqua" w:hAnsi="Book Antiqua" w:cs="Arial"/>
          <w:bCs/>
          <w:noProof/>
          <w:sz w:val="24"/>
          <w:szCs w:val="24"/>
        </w:rPr>
        <w:t xml:space="preserve"> </w:t>
      </w:r>
      <w:r w:rsidRPr="0011258C">
        <w:rPr>
          <w:rStyle w:val="ab"/>
          <w:rFonts w:ascii="Book Antiqua" w:hAnsi="Book Antiqua" w:cs="Arial"/>
          <w:bCs/>
          <w:noProof/>
        </w:rPr>
        <w:t>P-</w:t>
      </w:r>
      <w:r w:rsidRPr="0011258C">
        <w:rPr>
          <w:rStyle w:val="ab"/>
          <w:rFonts w:ascii="Book Antiqua" w:hAnsi="Book Antiqua" w:cs="Arial"/>
          <w:bCs/>
          <w:noProof/>
          <w:lang w:eastAsia="zh-CN"/>
        </w:rPr>
        <w:t xml:space="preserve"> </w:t>
      </w:r>
      <w:r w:rsidRPr="0011258C">
        <w:rPr>
          <w:rStyle w:val="ab"/>
          <w:rFonts w:ascii="Book Antiqua" w:hAnsi="Book Antiqua" w:cs="Arial"/>
          <w:bCs/>
          <w:noProof/>
        </w:rPr>
        <w:t>Reviewer</w:t>
      </w:r>
      <w:r w:rsidRPr="0011258C">
        <w:rPr>
          <w:rStyle w:val="ab"/>
          <w:rFonts w:ascii="Book Antiqua" w:hAnsi="Book Antiqua" w:cs="Arial"/>
          <w:bCs/>
          <w:noProof/>
          <w:lang w:eastAsia="zh-CN"/>
        </w:rPr>
        <w:t>:</w:t>
      </w:r>
      <w:r w:rsidRPr="0011258C">
        <w:rPr>
          <w:rFonts w:ascii="Book Antiqua" w:hAnsi="Book Antiqua"/>
        </w:rPr>
        <w:t xml:space="preserve"> </w:t>
      </w:r>
      <w:r w:rsidRPr="0011258C">
        <w:rPr>
          <w:rFonts w:ascii="Book Antiqua" w:hAnsi="Book Antiqua"/>
          <w:color w:val="000000"/>
        </w:rPr>
        <w:t>Cantarovich</w:t>
      </w:r>
      <w:r w:rsidRPr="0011258C">
        <w:rPr>
          <w:rFonts w:ascii="Book Antiqua" w:hAnsi="Book Antiqua"/>
          <w:lang w:eastAsia="zh-CN"/>
        </w:rPr>
        <w:t xml:space="preserve"> F, </w:t>
      </w:r>
      <w:r w:rsidRPr="0011258C">
        <w:rPr>
          <w:rFonts w:ascii="Book Antiqua" w:hAnsi="Book Antiqua"/>
          <w:color w:val="000000"/>
        </w:rPr>
        <w:t>Friedman</w:t>
      </w:r>
      <w:r w:rsidRPr="0011258C">
        <w:rPr>
          <w:rFonts w:ascii="Book Antiqua" w:hAnsi="Book Antiqua"/>
          <w:color w:val="000000"/>
          <w:lang w:eastAsia="zh-CN"/>
        </w:rPr>
        <w:t xml:space="preserve"> </w:t>
      </w:r>
      <w:r w:rsidRPr="0011258C">
        <w:rPr>
          <w:rFonts w:ascii="Book Antiqua" w:hAnsi="Book Antiqua"/>
          <w:color w:val="000000"/>
        </w:rPr>
        <w:t>EA</w:t>
      </w:r>
      <w:r w:rsidRPr="0011258C">
        <w:rPr>
          <w:rFonts w:ascii="Book Antiqua" w:hAnsi="Book Antiqua"/>
          <w:lang w:eastAsia="zh-CN"/>
        </w:rPr>
        <w:t xml:space="preserve">, </w:t>
      </w:r>
      <w:r w:rsidRPr="0011258C">
        <w:rPr>
          <w:rFonts w:ascii="Book Antiqua" w:hAnsi="Book Antiqua"/>
          <w:color w:val="000000"/>
        </w:rPr>
        <w:t>Wagner</w:t>
      </w:r>
      <w:r w:rsidRPr="0011258C">
        <w:rPr>
          <w:rFonts w:ascii="Book Antiqua" w:hAnsi="Book Antiqua"/>
          <w:color w:val="000000"/>
          <w:lang w:eastAsia="zh-CN"/>
        </w:rPr>
        <w:t xml:space="preserve"> </w:t>
      </w:r>
      <w:r w:rsidRPr="0011258C">
        <w:rPr>
          <w:rFonts w:ascii="Book Antiqua" w:hAnsi="Book Antiqua"/>
          <w:color w:val="000000"/>
        </w:rPr>
        <w:t>KD</w:t>
      </w:r>
    </w:p>
    <w:p w:rsidR="002D0694" w:rsidRPr="0011258C" w:rsidRDefault="002D0694" w:rsidP="002E6733">
      <w:pPr>
        <w:spacing w:line="360" w:lineRule="auto"/>
        <w:jc w:val="right"/>
        <w:rPr>
          <w:rFonts w:ascii="Book Antiqua" w:hAnsi="Book Antiqua"/>
          <w:lang w:eastAsia="zh-CN"/>
        </w:rPr>
      </w:pPr>
      <w:r w:rsidRPr="0011258C">
        <w:rPr>
          <w:rFonts w:ascii="Book Antiqua" w:hAnsi="Book Antiqua"/>
          <w:b/>
        </w:rPr>
        <w:t>S-</w:t>
      </w:r>
      <w:r w:rsidRPr="0011258C">
        <w:rPr>
          <w:rFonts w:ascii="Book Antiqua" w:hAnsi="Book Antiqua"/>
          <w:b/>
          <w:lang w:eastAsia="zh-CN"/>
        </w:rPr>
        <w:t xml:space="preserve"> </w:t>
      </w:r>
      <w:r w:rsidRPr="0011258C">
        <w:rPr>
          <w:rFonts w:ascii="Book Antiqua" w:hAnsi="Book Antiqua"/>
          <w:b/>
        </w:rPr>
        <w:t>Editor</w:t>
      </w:r>
      <w:r w:rsidRPr="0011258C">
        <w:rPr>
          <w:rFonts w:ascii="Book Antiqua" w:hAnsi="Book Antiqua"/>
          <w:lang w:eastAsia="zh-CN"/>
        </w:rPr>
        <w:t>:</w:t>
      </w:r>
      <w:r w:rsidRPr="0011258C">
        <w:rPr>
          <w:rFonts w:ascii="Book Antiqua" w:hAnsi="Book Antiqua"/>
        </w:rPr>
        <w:t xml:space="preserve"> </w:t>
      </w:r>
      <w:r w:rsidRPr="0011258C">
        <w:rPr>
          <w:rFonts w:ascii="Book Antiqua" w:hAnsi="Book Antiqua"/>
          <w:lang w:eastAsia="zh-CN"/>
        </w:rPr>
        <w:t>Song  XX</w:t>
      </w:r>
      <w:r w:rsidR="00786FE5">
        <w:rPr>
          <w:rFonts w:ascii="Book Antiqua" w:hAnsi="Book Antiqua" w:hint="eastAsia"/>
          <w:lang w:eastAsia="zh-CN"/>
        </w:rPr>
        <w:t xml:space="preserve"> </w:t>
      </w:r>
      <w:r w:rsidRPr="0011258C">
        <w:rPr>
          <w:rFonts w:ascii="Book Antiqua" w:hAnsi="Book Antiqua"/>
          <w:b/>
          <w:bCs/>
        </w:rPr>
        <w:t>L-</w:t>
      </w:r>
      <w:r w:rsidRPr="0011258C">
        <w:rPr>
          <w:rFonts w:ascii="Book Antiqua" w:hAnsi="Book Antiqua"/>
          <w:b/>
          <w:bCs/>
          <w:lang w:eastAsia="zh-CN"/>
        </w:rPr>
        <w:t xml:space="preserve"> </w:t>
      </w:r>
      <w:r w:rsidRPr="0011258C">
        <w:rPr>
          <w:rFonts w:ascii="Book Antiqua" w:hAnsi="Book Antiqua"/>
          <w:b/>
          <w:bCs/>
        </w:rPr>
        <w:t>Editor</w:t>
      </w:r>
      <w:r w:rsidRPr="0011258C">
        <w:rPr>
          <w:rFonts w:ascii="Book Antiqua" w:hAnsi="Book Antiqua"/>
          <w:b/>
          <w:bCs/>
          <w:lang w:eastAsia="zh-CN"/>
        </w:rPr>
        <w:t>:</w:t>
      </w:r>
      <w:r w:rsidRPr="0011258C">
        <w:rPr>
          <w:rFonts w:ascii="Book Antiqua" w:hAnsi="Book Antiqua"/>
          <w:b/>
          <w:bCs/>
        </w:rPr>
        <w:t xml:space="preserve">   E-</w:t>
      </w:r>
      <w:r w:rsidRPr="0011258C">
        <w:rPr>
          <w:rFonts w:ascii="Book Antiqua" w:hAnsi="Book Antiqua"/>
          <w:b/>
          <w:bCs/>
          <w:lang w:eastAsia="zh-CN"/>
        </w:rPr>
        <w:t xml:space="preserve"> </w:t>
      </w:r>
      <w:r w:rsidRPr="0011258C">
        <w:rPr>
          <w:rFonts w:ascii="Book Antiqua" w:hAnsi="Book Antiqua"/>
          <w:b/>
          <w:bCs/>
        </w:rPr>
        <w:t>Editor</w:t>
      </w:r>
      <w:bookmarkEnd w:id="63"/>
      <w:r w:rsidRPr="0011258C">
        <w:rPr>
          <w:rFonts w:ascii="Book Antiqua" w:hAnsi="Book Antiqua"/>
          <w:b/>
          <w:bCs/>
          <w:lang w:eastAsia="zh-CN"/>
        </w:rPr>
        <w:t>:</w:t>
      </w:r>
    </w:p>
    <w:bookmarkEnd w:id="64"/>
    <w:bookmarkEnd w:id="65"/>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Pr="0011258C" w:rsidRDefault="002D0694" w:rsidP="002E6733">
      <w:pPr>
        <w:spacing w:line="360" w:lineRule="auto"/>
        <w:jc w:val="both"/>
        <w:rPr>
          <w:rFonts w:ascii="Book Antiqua" w:hAnsi="Book Antiqua"/>
          <w:lang w:eastAsia="zh-CN"/>
        </w:rPr>
      </w:pPr>
    </w:p>
    <w:p w:rsidR="002D0694" w:rsidRDefault="001B3E31" w:rsidP="009034F9">
      <w:pPr>
        <w:spacing w:line="480" w:lineRule="auto"/>
        <w:rPr>
          <w:noProof/>
          <w:sz w:val="28"/>
          <w:szCs w:val="28"/>
          <w:lang w:eastAsia="zh-CN"/>
        </w:rPr>
      </w:pPr>
      <w:r>
        <w:rPr>
          <w:noProof/>
          <w:lang w:eastAsia="zh-CN"/>
        </w:rPr>
        <mc:AlternateContent>
          <mc:Choice Requires="wps">
            <w:drawing>
              <wp:anchor distT="0" distB="0" distL="114300" distR="114300" simplePos="0" relativeHeight="251654144" behindDoc="0" locked="0" layoutInCell="1" allowOverlap="1">
                <wp:simplePos x="0" y="0"/>
                <wp:positionH relativeFrom="column">
                  <wp:posOffset>533400</wp:posOffset>
                </wp:positionH>
                <wp:positionV relativeFrom="paragraph">
                  <wp:posOffset>1371600</wp:posOffset>
                </wp:positionV>
                <wp:extent cx="1945640" cy="457200"/>
                <wp:effectExtent l="9525" t="9525" r="698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457200"/>
                        </a:xfrm>
                        <a:prstGeom prst="rect">
                          <a:avLst/>
                        </a:prstGeom>
                        <a:solidFill>
                          <a:srgbClr val="FFFFFF"/>
                        </a:solidFill>
                        <a:ln w="9525">
                          <a:solidFill>
                            <a:srgbClr val="FFFFFF"/>
                          </a:solidFill>
                          <a:miter lim="800000"/>
                          <a:headEnd/>
                          <a:tailEnd/>
                        </a:ln>
                      </wps:spPr>
                      <wps:txbx>
                        <w:txbxContent>
                          <w:p w:rsidR="002D0694" w:rsidRPr="00BF687E" w:rsidRDefault="002D0694" w:rsidP="000E690F">
                            <w:pPr>
                              <w:rPr>
                                <w:rFonts w:ascii="Calibri" w:hAnsi="Calibri"/>
                                <w:sz w:val="22"/>
                                <w:szCs w:val="22"/>
                                <w:lang w:eastAsia="zh-CN"/>
                              </w:rPr>
                            </w:pPr>
                            <w:r w:rsidRPr="000E690F">
                              <w:rPr>
                                <w:rFonts w:ascii="Book Antiqua" w:hAnsi="Book Antiqua"/>
                              </w:rPr>
                              <w:t>Group 1</w:t>
                            </w:r>
                            <w:r w:rsidRPr="000E690F">
                              <w:rPr>
                                <w:rFonts w:ascii="Book Antiqua" w:hAnsi="Book Antiqua"/>
                                <w:sz w:val="22"/>
                                <w:szCs w:val="22"/>
                                <w:lang w:eastAsia="zh-CN"/>
                              </w:rPr>
                              <w:t xml:space="preserve"> </w:t>
                            </w:r>
                            <w:r>
                              <w:rPr>
                                <w:rFonts w:ascii="Calibri" w:hAnsi="Calibri"/>
                                <w:sz w:val="22"/>
                                <w:szCs w:val="22"/>
                                <w:lang w:eastAsia="zh-CN"/>
                              </w:rPr>
                              <w:t xml:space="preserve"> </w:t>
                            </w:r>
                            <w:r w:rsidR="001B3E31">
                              <w:rPr>
                                <w:rFonts w:ascii="Calibri" w:hAnsi="Calibri"/>
                                <w:noProof/>
                                <w:sz w:val="22"/>
                                <w:szCs w:val="22"/>
                                <w:lang w:eastAsia="zh-CN"/>
                              </w:rPr>
                              <w:drawing>
                                <wp:inline distT="0" distB="0" distL="0" distR="0">
                                  <wp:extent cx="914400" cy="15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5875"/>
                                          </a:xfrm>
                                          <a:prstGeom prst="rect">
                                            <a:avLst/>
                                          </a:prstGeom>
                                          <a:noFill/>
                                          <a:ln>
                                            <a:noFill/>
                                          </a:ln>
                                        </pic:spPr>
                                      </pic:pic>
                                    </a:graphicData>
                                  </a:graphic>
                                </wp:inline>
                              </w:drawing>
                            </w:r>
                          </w:p>
                          <w:p w:rsidR="002D0694" w:rsidRPr="00BF687E" w:rsidRDefault="002D0694" w:rsidP="000E690F">
                            <w:pPr>
                              <w:rPr>
                                <w:rFonts w:ascii="Calibri" w:hAnsi="Calibri"/>
                                <w:sz w:val="22"/>
                                <w:szCs w:val="22"/>
                                <w:lang w:eastAsia="zh-CN"/>
                              </w:rPr>
                            </w:pPr>
                            <w:r w:rsidRPr="000E690F">
                              <w:rPr>
                                <w:rFonts w:ascii="Book Antiqua" w:hAnsi="Book Antiqua"/>
                              </w:rPr>
                              <w:t>Group 2</w:t>
                            </w:r>
                            <w:r>
                              <w:rPr>
                                <w:rFonts w:ascii="Calibri" w:hAnsi="Calibri"/>
                                <w:sz w:val="22"/>
                                <w:szCs w:val="22"/>
                                <w:lang w:eastAsia="zh-CN"/>
                              </w:rPr>
                              <w:t xml:space="preserve">  </w:t>
                            </w:r>
                            <w:r w:rsidR="001B3E31">
                              <w:rPr>
                                <w:rFonts w:ascii="Calibri" w:hAnsi="Calibri"/>
                                <w:noProof/>
                                <w:sz w:val="22"/>
                                <w:szCs w:val="22"/>
                                <w:lang w:eastAsia="zh-CN"/>
                              </w:rPr>
                              <w:drawing>
                                <wp:inline distT="0" distB="0" distL="0" distR="0">
                                  <wp:extent cx="898525" cy="158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8525" cy="15875"/>
                                          </a:xfrm>
                                          <a:prstGeom prst="rect">
                                            <a:avLst/>
                                          </a:prstGeom>
                                          <a:noFill/>
                                          <a:ln>
                                            <a:noFill/>
                                          </a:ln>
                                        </pic:spPr>
                                      </pic:pic>
                                    </a:graphicData>
                                  </a:graphic>
                                </wp:inline>
                              </w:drawing>
                            </w:r>
                          </w:p>
                          <w:p w:rsidR="002D0694" w:rsidRDefault="002D0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08pt;width:153.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" strokecolor="white">
                <v:textbox>
                  <w:txbxContent>
                    <w:p w:rsidR="002D0694" w:rsidRPr="00BF687E" w:rsidRDefault="002D0694" w:rsidP="000E690F">
                      <w:pPr>
                        <w:rPr>
                          <w:rFonts w:ascii="Calibri" w:hAnsi="Calibri"/>
                          <w:sz w:val="22"/>
                          <w:szCs w:val="22"/>
                          <w:lang w:eastAsia="zh-CN"/>
                        </w:rPr>
                      </w:pPr>
                      <w:r w:rsidRPr="000E690F">
                        <w:rPr>
                          <w:rFonts w:ascii="Book Antiqua" w:hAnsi="Book Antiqua"/>
                        </w:rPr>
                        <w:t>Group 1</w:t>
                      </w:r>
                      <w:r w:rsidRPr="000E690F">
                        <w:rPr>
                          <w:rFonts w:ascii="Book Antiqua" w:hAnsi="Book Antiqua"/>
                          <w:sz w:val="22"/>
                          <w:szCs w:val="22"/>
                          <w:lang w:eastAsia="zh-CN"/>
                        </w:rPr>
                        <w:t xml:space="preserve"> </w:t>
                      </w:r>
                      <w:r>
                        <w:rPr>
                          <w:rFonts w:ascii="Calibri" w:hAnsi="Calibri"/>
                          <w:sz w:val="22"/>
                          <w:szCs w:val="22"/>
                          <w:lang w:eastAsia="zh-CN"/>
                        </w:rPr>
                        <w:t xml:space="preserve"> </w:t>
                      </w:r>
                      <w:r w:rsidR="001B3E31">
                        <w:rPr>
                          <w:rFonts w:ascii="Calibri" w:hAnsi="Calibri"/>
                          <w:noProof/>
                          <w:sz w:val="22"/>
                          <w:szCs w:val="22"/>
                          <w:lang w:eastAsia="zh-CN"/>
                        </w:rPr>
                        <w:drawing>
                          <wp:inline distT="0" distB="0" distL="0" distR="0">
                            <wp:extent cx="914400" cy="15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5875"/>
                                    </a:xfrm>
                                    <a:prstGeom prst="rect">
                                      <a:avLst/>
                                    </a:prstGeom>
                                    <a:noFill/>
                                    <a:ln>
                                      <a:noFill/>
                                    </a:ln>
                                  </pic:spPr>
                                </pic:pic>
                              </a:graphicData>
                            </a:graphic>
                          </wp:inline>
                        </w:drawing>
                      </w:r>
                    </w:p>
                    <w:p w:rsidR="002D0694" w:rsidRPr="00BF687E" w:rsidRDefault="002D0694" w:rsidP="000E690F">
                      <w:pPr>
                        <w:rPr>
                          <w:rFonts w:ascii="Calibri" w:hAnsi="Calibri"/>
                          <w:sz w:val="22"/>
                          <w:szCs w:val="22"/>
                          <w:lang w:eastAsia="zh-CN"/>
                        </w:rPr>
                      </w:pPr>
                      <w:r w:rsidRPr="000E690F">
                        <w:rPr>
                          <w:rFonts w:ascii="Book Antiqua" w:hAnsi="Book Antiqua"/>
                        </w:rPr>
                        <w:t>Group 2</w:t>
                      </w:r>
                      <w:r>
                        <w:rPr>
                          <w:rFonts w:ascii="Calibri" w:hAnsi="Calibri"/>
                          <w:sz w:val="22"/>
                          <w:szCs w:val="22"/>
                          <w:lang w:eastAsia="zh-CN"/>
                        </w:rPr>
                        <w:t xml:space="preserve">  </w:t>
                      </w:r>
                      <w:r w:rsidR="001B3E31">
                        <w:rPr>
                          <w:rFonts w:ascii="Calibri" w:hAnsi="Calibri"/>
                          <w:noProof/>
                          <w:sz w:val="22"/>
                          <w:szCs w:val="22"/>
                          <w:lang w:eastAsia="zh-CN"/>
                        </w:rPr>
                        <w:drawing>
                          <wp:inline distT="0" distB="0" distL="0" distR="0">
                            <wp:extent cx="898525" cy="158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8525" cy="15875"/>
                                    </a:xfrm>
                                    <a:prstGeom prst="rect">
                                      <a:avLst/>
                                    </a:prstGeom>
                                    <a:noFill/>
                                    <a:ln>
                                      <a:noFill/>
                                    </a:ln>
                                  </pic:spPr>
                                </pic:pic>
                              </a:graphicData>
                            </a:graphic>
                          </wp:inline>
                        </w:drawing>
                      </w:r>
                    </w:p>
                    <w:p w:rsidR="002D0694" w:rsidRDefault="002D0694"/>
                  </w:txbxContent>
                </v:textbox>
              </v:shape>
            </w:pict>
          </mc:Fallback>
        </mc:AlternateContent>
      </w: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2133600</wp:posOffset>
                </wp:positionH>
                <wp:positionV relativeFrom="paragraph">
                  <wp:posOffset>457200</wp:posOffset>
                </wp:positionV>
                <wp:extent cx="457200" cy="290195"/>
                <wp:effectExtent l="9525" t="9525" r="9525" b="1079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0195"/>
                        </a:xfrm>
                        <a:prstGeom prst="rect">
                          <a:avLst/>
                        </a:prstGeom>
                        <a:solidFill>
                          <a:srgbClr val="FFFFFF"/>
                        </a:solidFill>
                        <a:ln w="9525">
                          <a:solidFill>
                            <a:srgbClr val="FFFFFF"/>
                          </a:solidFill>
                          <a:miter lim="800000"/>
                          <a:headEnd/>
                          <a:tailEnd/>
                        </a:ln>
                      </wps:spPr>
                      <wps:txbx>
                        <w:txbxContent>
                          <w:p w:rsidR="002D0694" w:rsidRPr="003669AA" w:rsidRDefault="002D0694" w:rsidP="00BF687E">
                            <w:pPr>
                              <w:jc w:val="center"/>
                              <w:rPr>
                                <w:rFonts w:ascii="Book Antiqua" w:hAnsi="Book Antiqua"/>
                                <w:lang w:eastAsia="zh-CN"/>
                              </w:rPr>
                            </w:pPr>
                            <w:r w:rsidRPr="003669AA">
                              <w:rPr>
                                <w:rFonts w:ascii="Book Antiqua" w:hAnsi="Book Antiqua"/>
                                <w:lang w:eastAsia="zh-CN"/>
                              </w:rPr>
                              <w: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8pt;margin-top:36pt;width:36pt;height:2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" strokecolor="white">
                <v:textbox style="mso-fit-shape-to-text:t">
                  <w:txbxContent>
                    <w:p w:rsidR="002D0694" w:rsidRPr="003669AA" w:rsidRDefault="002D0694" w:rsidP="00BF687E">
                      <w:pPr>
                        <w:jc w:val="center"/>
                        <w:rPr>
                          <w:rFonts w:ascii="Book Antiqua" w:hAnsi="Book Antiqua"/>
                          <w:lang w:eastAsia="zh-CN"/>
                        </w:rPr>
                      </w:pPr>
                      <w:r w:rsidRPr="003669AA">
                        <w:rPr>
                          <w:rFonts w:ascii="Book Antiqua" w:hAnsi="Book Antiqua"/>
                          <w:lang w:eastAsia="zh-CN"/>
                        </w:rPr>
                        <w:t>A</w:t>
                      </w:r>
                    </w:p>
                  </w:txbxContent>
                </v:textbox>
              </v:shape>
            </w:pict>
          </mc:Fallback>
        </mc:AlternateContent>
      </w:r>
      <w:r>
        <w:rPr>
          <w:noProof/>
          <w:lang w:eastAsia="zh-CN"/>
        </w:rPr>
        <mc:AlternateContent>
          <mc:Choice Requires="wps">
            <w:drawing>
              <wp:anchor distT="0" distB="0" distL="114300" distR="114300" simplePos="0" relativeHeight="251656192" behindDoc="0" locked="0" layoutInCell="1" allowOverlap="1">
                <wp:simplePos x="0" y="0"/>
                <wp:positionH relativeFrom="column">
                  <wp:posOffset>-151765</wp:posOffset>
                </wp:positionH>
                <wp:positionV relativeFrom="paragraph">
                  <wp:posOffset>457200</wp:posOffset>
                </wp:positionV>
                <wp:extent cx="380365" cy="2265045"/>
                <wp:effectExtent l="10160" t="9525" r="9525" b="1143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265045"/>
                        </a:xfrm>
                        <a:prstGeom prst="rect">
                          <a:avLst/>
                        </a:prstGeom>
                        <a:solidFill>
                          <a:srgbClr val="FFFFFF"/>
                        </a:solidFill>
                        <a:ln w="9525">
                          <a:solidFill>
                            <a:srgbClr val="FFFFFF"/>
                          </a:solidFill>
                          <a:miter lim="800000"/>
                          <a:headEnd/>
                          <a:tailEnd/>
                        </a:ln>
                      </wps:spPr>
                      <wps:txbx>
                        <w:txbxContent>
                          <w:p w:rsidR="002D0694" w:rsidRPr="00BF687E" w:rsidRDefault="002D0694" w:rsidP="0030437E">
                            <w:pPr>
                              <w:jc w:val="center"/>
                              <w:rPr>
                                <w:rFonts w:ascii="Book Antiqua" w:hAnsi="Book Antiqua"/>
                                <w:b/>
                              </w:rPr>
                            </w:pPr>
                            <w:r w:rsidRPr="00BF687E">
                              <w:rPr>
                                <w:rFonts w:ascii="Book Antiqua" w:hAnsi="Book Antiqua"/>
                                <w:b/>
                              </w:rPr>
                              <w:t>Probability of graft survival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95pt;margin-top:36pt;width:29.95pt;height:17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" strokecolor="white">
                <v:textbox style="layout-flow:vertical;mso-layout-flow-alt:bottom-to-top">
                  <w:txbxContent>
                    <w:p w:rsidR="002D0694" w:rsidRPr="00BF687E" w:rsidRDefault="002D0694" w:rsidP="0030437E">
                      <w:pPr>
                        <w:jc w:val="center"/>
                        <w:rPr>
                          <w:rFonts w:ascii="Book Antiqua" w:hAnsi="Book Antiqua"/>
                          <w:b/>
                        </w:rPr>
                      </w:pPr>
                      <w:r w:rsidRPr="00BF687E">
                        <w:rPr>
                          <w:rFonts w:ascii="Book Antiqua" w:hAnsi="Book Antiqua"/>
                          <w:b/>
                        </w:rPr>
                        <w:t>Probability of graft survival</w:t>
                      </w: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3354705</wp:posOffset>
                </wp:positionV>
                <wp:extent cx="381000" cy="2817495"/>
                <wp:effectExtent l="9525" t="11430" r="9525"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17495"/>
                        </a:xfrm>
                        <a:prstGeom prst="rect">
                          <a:avLst/>
                        </a:prstGeom>
                        <a:solidFill>
                          <a:srgbClr val="FFFFFF"/>
                        </a:solidFill>
                        <a:ln w="9525">
                          <a:solidFill>
                            <a:srgbClr val="FFFFFF"/>
                          </a:solidFill>
                          <a:miter lim="800000"/>
                          <a:headEnd/>
                          <a:tailEnd/>
                        </a:ln>
                      </wps:spPr>
                      <wps:txbx>
                        <w:txbxContent>
                          <w:p w:rsidR="002D0694" w:rsidRPr="003669AA" w:rsidRDefault="002D0694" w:rsidP="003669AA">
                            <w:pPr>
                              <w:jc w:val="center"/>
                              <w:rPr>
                                <w:rFonts w:ascii="Book Antiqua" w:hAnsi="Book Antiqua"/>
                                <w:b/>
                              </w:rPr>
                            </w:pPr>
                            <w:r w:rsidRPr="003669AA">
                              <w:rPr>
                                <w:rFonts w:ascii="Book Antiqua" w:hAnsi="Book Antiqua"/>
                                <w:b/>
                              </w:rPr>
                              <w:t xml:space="preserve">Probability of patient survival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264.15pt;width:30pt;height:2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" strokecolor="white">
                <v:textbox style="layout-flow:vertical;mso-layout-flow-alt:bottom-to-top">
                  <w:txbxContent>
                    <w:p w:rsidR="002D0694" w:rsidRPr="003669AA" w:rsidRDefault="002D0694" w:rsidP="003669AA">
                      <w:pPr>
                        <w:jc w:val="center"/>
                        <w:rPr>
                          <w:rFonts w:ascii="Book Antiqua" w:hAnsi="Book Antiqua"/>
                          <w:b/>
                        </w:rPr>
                      </w:pPr>
                      <w:r w:rsidRPr="003669AA">
                        <w:rPr>
                          <w:rFonts w:ascii="Book Antiqua" w:hAnsi="Book Antiqua"/>
                          <w:b/>
                        </w:rPr>
                        <w:t xml:space="preserve">Probability of patient survival </w:t>
                      </w:r>
                    </w:p>
                  </w:txbxContent>
                </v:textbox>
              </v:shape>
            </w:pict>
          </mc:Fallback>
        </mc:AlternateContent>
      </w:r>
      <w:r>
        <w:rPr>
          <w:noProof/>
          <w:lang w:eastAsia="zh-CN"/>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2971800</wp:posOffset>
                </wp:positionV>
                <wp:extent cx="2359660" cy="284480"/>
                <wp:effectExtent l="9525" t="9525" r="12065" b="1079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84480"/>
                        </a:xfrm>
                        <a:prstGeom prst="rect">
                          <a:avLst/>
                        </a:prstGeom>
                        <a:solidFill>
                          <a:srgbClr val="FFFFFF"/>
                        </a:solidFill>
                        <a:ln w="9525">
                          <a:solidFill>
                            <a:srgbClr val="FFFFFF"/>
                          </a:solidFill>
                          <a:miter lim="800000"/>
                          <a:headEnd/>
                          <a:tailEnd/>
                        </a:ln>
                      </wps:spPr>
                      <wps:txbx>
                        <w:txbxContent>
                          <w:p w:rsidR="002D0694" w:rsidRPr="00BF687E" w:rsidRDefault="002D0694" w:rsidP="0030437E">
                            <w:pPr>
                              <w:jc w:val="center"/>
                              <w:rPr>
                                <w:rFonts w:ascii="Book Antiqua" w:hAnsi="Book Antiqua"/>
                                <w:b/>
                              </w:rPr>
                            </w:pPr>
                            <w:r w:rsidRPr="00BF687E">
                              <w:rPr>
                                <w:rFonts w:ascii="Book Antiqua" w:hAnsi="Book Antiqua"/>
                                <w:b/>
                              </w:rPr>
                              <w:t>Years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6pt;margin-top:234pt;width:185.8pt;height: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" strokecolor="white">
                <v:textbox style="mso-fit-shape-to-text:t">
                  <w:txbxContent>
                    <w:p w:rsidR="002D0694" w:rsidRPr="00BF687E" w:rsidRDefault="002D0694" w:rsidP="0030437E">
                      <w:pPr>
                        <w:jc w:val="center"/>
                        <w:rPr>
                          <w:rFonts w:ascii="Book Antiqua" w:hAnsi="Book Antiqua"/>
                          <w:b/>
                        </w:rPr>
                      </w:pPr>
                      <w:r w:rsidRPr="00BF687E">
                        <w:rPr>
                          <w:rFonts w:ascii="Book Antiqua" w:hAnsi="Book Antiqua"/>
                          <w:b/>
                        </w:rPr>
                        <w:t>Years</w:t>
                      </w:r>
                    </w:p>
                  </w:txbxContent>
                </v:textbox>
              </v:shape>
            </w:pict>
          </mc:Fallback>
        </mc:AlternateContent>
      </w:r>
      <w:r>
        <w:rPr>
          <w:noProof/>
          <w:sz w:val="28"/>
          <w:szCs w:val="28"/>
          <w:lang w:eastAsia="zh-CN"/>
        </w:rPr>
        <w:drawing>
          <wp:inline distT="0" distB="0" distL="0" distR="0">
            <wp:extent cx="3045460" cy="3291840"/>
            <wp:effectExtent l="0" t="0" r="2540" b="3810"/>
            <wp:docPr id="5" name="Picture 1" descr="Fig_348_G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348_Graf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5460" cy="3291840"/>
                    </a:xfrm>
                    <a:prstGeom prst="rect">
                      <a:avLst/>
                    </a:prstGeom>
                    <a:noFill/>
                    <a:ln>
                      <a:noFill/>
                    </a:ln>
                  </pic:spPr>
                </pic:pic>
              </a:graphicData>
            </a:graphic>
          </wp:inline>
        </w:drawing>
      </w:r>
    </w:p>
    <w:p w:rsidR="002D0694" w:rsidRDefault="001B3E31" w:rsidP="009034F9">
      <w:pPr>
        <w:spacing w:line="480" w:lineRule="auto"/>
        <w:rPr>
          <w:noProof/>
          <w:sz w:val="28"/>
          <w:szCs w:val="28"/>
          <w:lang w:eastAsia="zh-CN"/>
        </w:rPr>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252095</wp:posOffset>
                </wp:positionV>
                <wp:extent cx="381000" cy="342900"/>
                <wp:effectExtent l="9525" t="13970" r="9525"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FFFFFF"/>
                          </a:solidFill>
                          <a:miter lim="800000"/>
                          <a:headEnd/>
                          <a:tailEnd/>
                        </a:ln>
                      </wps:spPr>
                      <wps:txbx>
                        <w:txbxContent>
                          <w:p w:rsidR="002D0694" w:rsidRPr="003669AA" w:rsidRDefault="002D0694" w:rsidP="003669AA">
                            <w:pPr>
                              <w:rPr>
                                <w:rFonts w:ascii="Book Antiqua" w:hAnsi="Book Antiqua"/>
                                <w:lang w:eastAsia="zh-CN"/>
                              </w:rPr>
                            </w:pPr>
                            <w:r w:rsidRPr="003669AA">
                              <w:rPr>
                                <w:rFonts w:ascii="Book Antiqua" w:hAnsi="Book Antiqu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80pt;margin-top:19.85pt;width:3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" strokecolor="white">
                <v:textbox>
                  <w:txbxContent>
                    <w:p w:rsidR="002D0694" w:rsidRPr="003669AA" w:rsidRDefault="002D0694" w:rsidP="003669AA">
                      <w:pPr>
                        <w:rPr>
                          <w:rFonts w:ascii="Book Antiqua" w:hAnsi="Book Antiqua"/>
                          <w:lang w:eastAsia="zh-CN"/>
                        </w:rPr>
                      </w:pPr>
                      <w:r w:rsidRPr="003669AA">
                        <w:rPr>
                          <w:rFonts w:ascii="Book Antiqua" w:hAnsi="Book Antiqua"/>
                          <w:lang w:eastAsia="zh-CN"/>
                        </w:rPr>
                        <w:t>B</w:t>
                      </w:r>
                    </w:p>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2652395</wp:posOffset>
                </wp:positionV>
                <wp:extent cx="2358390" cy="284480"/>
                <wp:effectExtent l="9525" t="13970" r="13335" b="133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84480"/>
                        </a:xfrm>
                        <a:prstGeom prst="rect">
                          <a:avLst/>
                        </a:prstGeom>
                        <a:solidFill>
                          <a:srgbClr val="FFFFFF"/>
                        </a:solidFill>
                        <a:ln w="9525">
                          <a:solidFill>
                            <a:srgbClr val="FFFFFF"/>
                          </a:solidFill>
                          <a:miter lim="800000"/>
                          <a:headEnd/>
                          <a:tailEnd/>
                        </a:ln>
                      </wps:spPr>
                      <wps:txbx>
                        <w:txbxContent>
                          <w:p w:rsidR="002D0694" w:rsidRPr="003669AA" w:rsidRDefault="002D0694" w:rsidP="00BF687E">
                            <w:pPr>
                              <w:jc w:val="center"/>
                              <w:rPr>
                                <w:rFonts w:ascii="Book Antiqua" w:hAnsi="Book Antiqua"/>
                                <w:b/>
                              </w:rPr>
                            </w:pPr>
                            <w:r w:rsidRPr="003669AA">
                              <w:rPr>
                                <w:rFonts w:ascii="Book Antiqua" w:hAnsi="Book Antiqua"/>
                                <w:b/>
                              </w:rPr>
                              <w:t>Years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0pt;margin-top:208.85pt;width:185.7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" strokecolor="white">
                <v:textbox style="mso-fit-shape-to-text:t">
                  <w:txbxContent>
                    <w:p w:rsidR="002D0694" w:rsidRPr="003669AA" w:rsidRDefault="002D0694" w:rsidP="00BF687E">
                      <w:pPr>
                        <w:jc w:val="center"/>
                        <w:rPr>
                          <w:rFonts w:ascii="Book Antiqua" w:hAnsi="Book Antiqua"/>
                          <w:b/>
                        </w:rPr>
                      </w:pPr>
                      <w:r w:rsidRPr="003669AA">
                        <w:rPr>
                          <w:rFonts w:ascii="Book Antiqua" w:hAnsi="Book Antiqua"/>
                          <w:b/>
                        </w:rPr>
                        <w:t>Years</w:t>
                      </w:r>
                    </w:p>
                  </w:txbxContent>
                </v:textbox>
              </v:shape>
            </w:pict>
          </mc:Fallback>
        </mc:AlternateContent>
      </w: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928370</wp:posOffset>
                </wp:positionV>
                <wp:extent cx="1993265" cy="654685"/>
                <wp:effectExtent l="9525" t="13970" r="6985"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654685"/>
                        </a:xfrm>
                        <a:prstGeom prst="rect">
                          <a:avLst/>
                        </a:prstGeom>
                        <a:solidFill>
                          <a:srgbClr val="FFFFFF"/>
                        </a:solidFill>
                        <a:ln w="9525">
                          <a:solidFill>
                            <a:srgbClr val="FFFFFF"/>
                          </a:solidFill>
                          <a:miter lim="800000"/>
                          <a:headEnd/>
                          <a:tailEnd/>
                        </a:ln>
                      </wps:spPr>
                      <wps:txbx>
                        <w:txbxContent>
                          <w:p w:rsidR="002D0694" w:rsidRPr="00BF687E" w:rsidRDefault="002D0694" w:rsidP="00BF687E">
                            <w:pPr>
                              <w:rPr>
                                <w:rFonts w:ascii="Calibri" w:hAnsi="Calibri"/>
                                <w:sz w:val="22"/>
                                <w:szCs w:val="22"/>
                                <w:lang w:eastAsia="zh-CN"/>
                              </w:rPr>
                            </w:pPr>
                            <w:r w:rsidRPr="000E690F">
                              <w:rPr>
                                <w:rFonts w:ascii="Book Antiqua" w:hAnsi="Book Antiqua"/>
                              </w:rPr>
                              <w:t>Group 1</w:t>
                            </w:r>
                            <w:r w:rsidRPr="000E690F">
                              <w:rPr>
                                <w:rFonts w:ascii="Book Antiqua" w:hAnsi="Book Antiqua"/>
                                <w:sz w:val="22"/>
                                <w:szCs w:val="22"/>
                                <w:lang w:eastAsia="zh-CN"/>
                              </w:rPr>
                              <w:t xml:space="preserve"> </w:t>
                            </w:r>
                            <w:r>
                              <w:rPr>
                                <w:rFonts w:ascii="Calibri" w:hAnsi="Calibri"/>
                                <w:sz w:val="22"/>
                                <w:szCs w:val="22"/>
                                <w:lang w:eastAsia="zh-CN"/>
                              </w:rPr>
                              <w:t xml:space="preserve"> </w:t>
                            </w:r>
                            <w:r w:rsidR="001B3E31">
                              <w:rPr>
                                <w:rFonts w:ascii="Calibri" w:hAnsi="Calibri"/>
                                <w:noProof/>
                                <w:sz w:val="22"/>
                                <w:szCs w:val="22"/>
                                <w:lang w:eastAsia="zh-CN"/>
                              </w:rPr>
                              <w:drawing>
                                <wp:inline distT="0" distB="0" distL="0" distR="0">
                                  <wp:extent cx="914400" cy="158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5875"/>
                                          </a:xfrm>
                                          <a:prstGeom prst="rect">
                                            <a:avLst/>
                                          </a:prstGeom>
                                          <a:noFill/>
                                          <a:ln>
                                            <a:noFill/>
                                          </a:ln>
                                        </pic:spPr>
                                      </pic:pic>
                                    </a:graphicData>
                                  </a:graphic>
                                </wp:inline>
                              </w:drawing>
                            </w:r>
                          </w:p>
                          <w:p w:rsidR="002D0694" w:rsidRPr="00BF687E" w:rsidRDefault="002D0694" w:rsidP="00BF687E">
                            <w:pPr>
                              <w:rPr>
                                <w:rFonts w:ascii="Calibri" w:hAnsi="Calibri"/>
                                <w:sz w:val="22"/>
                                <w:szCs w:val="22"/>
                                <w:lang w:eastAsia="zh-CN"/>
                              </w:rPr>
                            </w:pPr>
                            <w:r w:rsidRPr="000E690F">
                              <w:rPr>
                                <w:rFonts w:ascii="Book Antiqua" w:hAnsi="Book Antiqua"/>
                              </w:rPr>
                              <w:t>Group 2</w:t>
                            </w:r>
                            <w:r>
                              <w:rPr>
                                <w:rFonts w:ascii="Calibri" w:hAnsi="Calibri"/>
                                <w:sz w:val="22"/>
                                <w:szCs w:val="22"/>
                                <w:lang w:eastAsia="zh-CN"/>
                              </w:rPr>
                              <w:t xml:space="preserve">  </w:t>
                            </w:r>
                            <w:r w:rsidR="001B3E31">
                              <w:rPr>
                                <w:rFonts w:ascii="Calibri" w:hAnsi="Calibri"/>
                                <w:noProof/>
                                <w:sz w:val="22"/>
                                <w:szCs w:val="22"/>
                                <w:lang w:eastAsia="zh-CN"/>
                              </w:rPr>
                              <w:drawing>
                                <wp:inline distT="0" distB="0" distL="0" distR="0">
                                  <wp:extent cx="898525" cy="158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8525" cy="15875"/>
                                          </a:xfrm>
                                          <a:prstGeom prst="rect">
                                            <a:avLst/>
                                          </a:prstGeom>
                                          <a:noFill/>
                                          <a:ln>
                                            <a:noFill/>
                                          </a:ln>
                                        </pic:spPr>
                                      </pic:pic>
                                    </a:graphicData>
                                  </a:graphic>
                                </wp:inline>
                              </w:drawing>
                            </w:r>
                          </w:p>
                          <w:p w:rsidR="002D0694" w:rsidRDefault="002D0694" w:rsidP="00BF687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2pt;margin-top:73.1pt;width:156.95pt;height:5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" strokecolor="white">
                <v:textbox style="mso-fit-shape-to-text:t">
                  <w:txbxContent>
                    <w:p w:rsidR="002D0694" w:rsidRPr="00BF687E" w:rsidRDefault="002D0694" w:rsidP="00BF687E">
                      <w:pPr>
                        <w:rPr>
                          <w:rFonts w:ascii="Calibri" w:hAnsi="Calibri"/>
                          <w:sz w:val="22"/>
                          <w:szCs w:val="22"/>
                          <w:lang w:eastAsia="zh-CN"/>
                        </w:rPr>
                      </w:pPr>
                      <w:r w:rsidRPr="000E690F">
                        <w:rPr>
                          <w:rFonts w:ascii="Book Antiqua" w:hAnsi="Book Antiqua"/>
                        </w:rPr>
                        <w:t>Group 1</w:t>
                      </w:r>
                      <w:r w:rsidRPr="000E690F">
                        <w:rPr>
                          <w:rFonts w:ascii="Book Antiqua" w:hAnsi="Book Antiqua"/>
                          <w:sz w:val="22"/>
                          <w:szCs w:val="22"/>
                          <w:lang w:eastAsia="zh-CN"/>
                        </w:rPr>
                        <w:t xml:space="preserve"> </w:t>
                      </w:r>
                      <w:r>
                        <w:rPr>
                          <w:rFonts w:ascii="Calibri" w:hAnsi="Calibri"/>
                          <w:sz w:val="22"/>
                          <w:szCs w:val="22"/>
                          <w:lang w:eastAsia="zh-CN"/>
                        </w:rPr>
                        <w:t xml:space="preserve"> </w:t>
                      </w:r>
                      <w:r w:rsidR="001B3E31">
                        <w:rPr>
                          <w:rFonts w:ascii="Calibri" w:hAnsi="Calibri"/>
                          <w:noProof/>
                          <w:sz w:val="22"/>
                          <w:szCs w:val="22"/>
                          <w:lang w:eastAsia="zh-CN"/>
                        </w:rPr>
                        <w:drawing>
                          <wp:inline distT="0" distB="0" distL="0" distR="0">
                            <wp:extent cx="914400" cy="158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5875"/>
                                    </a:xfrm>
                                    <a:prstGeom prst="rect">
                                      <a:avLst/>
                                    </a:prstGeom>
                                    <a:noFill/>
                                    <a:ln>
                                      <a:noFill/>
                                    </a:ln>
                                  </pic:spPr>
                                </pic:pic>
                              </a:graphicData>
                            </a:graphic>
                          </wp:inline>
                        </w:drawing>
                      </w:r>
                    </w:p>
                    <w:p w:rsidR="002D0694" w:rsidRPr="00BF687E" w:rsidRDefault="002D0694" w:rsidP="00BF687E">
                      <w:pPr>
                        <w:rPr>
                          <w:rFonts w:ascii="Calibri" w:hAnsi="Calibri"/>
                          <w:sz w:val="22"/>
                          <w:szCs w:val="22"/>
                          <w:lang w:eastAsia="zh-CN"/>
                        </w:rPr>
                      </w:pPr>
                      <w:r w:rsidRPr="000E690F">
                        <w:rPr>
                          <w:rFonts w:ascii="Book Antiqua" w:hAnsi="Book Antiqua"/>
                        </w:rPr>
                        <w:t>Group 2</w:t>
                      </w:r>
                      <w:r>
                        <w:rPr>
                          <w:rFonts w:ascii="Calibri" w:hAnsi="Calibri"/>
                          <w:sz w:val="22"/>
                          <w:szCs w:val="22"/>
                          <w:lang w:eastAsia="zh-CN"/>
                        </w:rPr>
                        <w:t xml:space="preserve">  </w:t>
                      </w:r>
                      <w:r w:rsidR="001B3E31">
                        <w:rPr>
                          <w:rFonts w:ascii="Calibri" w:hAnsi="Calibri"/>
                          <w:noProof/>
                          <w:sz w:val="22"/>
                          <w:szCs w:val="22"/>
                          <w:lang w:eastAsia="zh-CN"/>
                        </w:rPr>
                        <w:drawing>
                          <wp:inline distT="0" distB="0" distL="0" distR="0">
                            <wp:extent cx="898525" cy="158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8525" cy="15875"/>
                                    </a:xfrm>
                                    <a:prstGeom prst="rect">
                                      <a:avLst/>
                                    </a:prstGeom>
                                    <a:noFill/>
                                    <a:ln>
                                      <a:noFill/>
                                    </a:ln>
                                  </pic:spPr>
                                </pic:pic>
                              </a:graphicData>
                            </a:graphic>
                          </wp:inline>
                        </w:drawing>
                      </w:r>
                    </w:p>
                    <w:p w:rsidR="002D0694" w:rsidRDefault="002D0694" w:rsidP="00BF687E"/>
                  </w:txbxContent>
                </v:textbox>
              </v:shape>
            </w:pict>
          </mc:Fallback>
        </mc:AlternateContent>
      </w:r>
      <w:r>
        <w:rPr>
          <w:noProof/>
          <w:sz w:val="28"/>
          <w:szCs w:val="28"/>
          <w:lang w:eastAsia="zh-CN"/>
        </w:rPr>
        <w:drawing>
          <wp:inline distT="0" distB="0" distL="0" distR="0">
            <wp:extent cx="2950210" cy="2950210"/>
            <wp:effectExtent l="0" t="0" r="2540" b="2540"/>
            <wp:docPr id="10" name="Picture 2" descr="Fig_348_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348_Pati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0210" cy="2950210"/>
                    </a:xfrm>
                    <a:prstGeom prst="rect">
                      <a:avLst/>
                    </a:prstGeom>
                    <a:noFill/>
                    <a:ln>
                      <a:noFill/>
                    </a:ln>
                  </pic:spPr>
                </pic:pic>
              </a:graphicData>
            </a:graphic>
          </wp:inline>
        </w:drawing>
      </w:r>
    </w:p>
    <w:p w:rsidR="002D0694" w:rsidRPr="003669AA" w:rsidRDefault="002D0694" w:rsidP="003669AA">
      <w:pPr>
        <w:spacing w:line="480" w:lineRule="auto"/>
        <w:rPr>
          <w:rFonts w:ascii="Book Antiqua" w:hAnsi="Book Antiqua"/>
          <w:lang w:eastAsia="zh-CN"/>
        </w:rPr>
      </w:pPr>
      <w:r w:rsidRPr="001C0D85">
        <w:rPr>
          <w:rFonts w:ascii="Book Antiqua" w:hAnsi="Book Antiqua"/>
          <w:b/>
        </w:rPr>
        <w:lastRenderedPageBreak/>
        <w:t>Figure 1</w:t>
      </w:r>
      <w:r w:rsidRPr="001C0D85">
        <w:rPr>
          <w:rFonts w:ascii="Book Antiqua" w:hAnsi="Book Antiqua"/>
          <w:b/>
          <w:lang w:eastAsia="zh-CN"/>
        </w:rPr>
        <w:t xml:space="preserve"> </w:t>
      </w:r>
      <w:r w:rsidRPr="001C0D85">
        <w:rPr>
          <w:rFonts w:ascii="Book Antiqua" w:hAnsi="Book Antiqua"/>
          <w:b/>
        </w:rPr>
        <w:t>Kaplan-Meier estimated survival</w:t>
      </w:r>
      <w:r w:rsidRPr="003669AA">
        <w:rPr>
          <w:rFonts w:ascii="Book Antiqua" w:hAnsi="Book Antiqua"/>
        </w:rPr>
        <w:t>.</w:t>
      </w:r>
      <w:r w:rsidRPr="003669AA">
        <w:rPr>
          <w:rFonts w:ascii="Book Antiqua" w:hAnsi="Book Antiqua"/>
          <w:lang w:eastAsia="zh-CN"/>
        </w:rPr>
        <w:t xml:space="preserve"> A: </w:t>
      </w:r>
      <w:r>
        <w:rPr>
          <w:rFonts w:ascii="Book Antiqua" w:hAnsi="Book Antiqua"/>
          <w:lang w:eastAsia="zh-CN"/>
        </w:rPr>
        <w:t>K</w:t>
      </w:r>
      <w:r w:rsidRPr="003669AA">
        <w:rPr>
          <w:rFonts w:ascii="Book Antiqua" w:hAnsi="Book Antiqua"/>
        </w:rPr>
        <w:t>idney graft survival</w:t>
      </w:r>
      <w:r w:rsidRPr="003669AA">
        <w:rPr>
          <w:rFonts w:ascii="Book Antiqua" w:hAnsi="Book Antiqua"/>
          <w:lang w:eastAsia="zh-CN"/>
        </w:rPr>
        <w:t xml:space="preserve">; B: </w:t>
      </w:r>
      <w:r>
        <w:rPr>
          <w:rFonts w:ascii="Book Antiqua" w:hAnsi="Book Antiqua"/>
          <w:lang w:eastAsia="zh-CN"/>
        </w:rPr>
        <w:t>P</w:t>
      </w:r>
      <w:r w:rsidRPr="003669AA">
        <w:rPr>
          <w:rFonts w:ascii="Book Antiqua" w:hAnsi="Book Antiqua"/>
        </w:rPr>
        <w:t>atient survival</w:t>
      </w:r>
      <w:r>
        <w:rPr>
          <w:rFonts w:ascii="Book Antiqua" w:hAnsi="Book Antiqua"/>
          <w:lang w:eastAsia="zh-CN"/>
        </w:rPr>
        <w:t>.</w:t>
      </w:r>
    </w:p>
    <w:p w:rsidR="002D0694" w:rsidRDefault="002D0694" w:rsidP="009034F9">
      <w:pPr>
        <w:spacing w:line="480" w:lineRule="auto"/>
        <w:rPr>
          <w:noProof/>
          <w:sz w:val="28"/>
          <w:szCs w:val="28"/>
          <w:lang w:eastAsia="zh-CN"/>
        </w:rPr>
      </w:pPr>
    </w:p>
    <w:p w:rsidR="002D0694" w:rsidRDefault="002D0694" w:rsidP="009034F9">
      <w:pPr>
        <w:spacing w:line="480" w:lineRule="auto"/>
        <w:rPr>
          <w:noProof/>
          <w:sz w:val="28"/>
          <w:szCs w:val="28"/>
          <w:lang w:eastAsia="zh-CN"/>
        </w:rPr>
      </w:pPr>
    </w:p>
    <w:p w:rsidR="002D0694" w:rsidRPr="0011258C" w:rsidRDefault="002D0694" w:rsidP="002E6733">
      <w:pPr>
        <w:spacing w:line="360" w:lineRule="auto"/>
        <w:rPr>
          <w:rFonts w:ascii="Book Antiqua" w:hAnsi="Book Antiqua"/>
          <w:b/>
          <w:lang w:eastAsia="zh-CN"/>
        </w:rPr>
      </w:pPr>
    </w:p>
    <w:p w:rsidR="002D0694" w:rsidRPr="0011258C" w:rsidRDefault="002D0694" w:rsidP="00965920">
      <w:pPr>
        <w:shd w:val="clear" w:color="auto" w:fill="FFFFFF"/>
        <w:spacing w:line="360" w:lineRule="auto"/>
        <w:textAlignment w:val="baseline"/>
        <w:rPr>
          <w:rFonts w:ascii="Book Antiqua" w:hAnsi="Book Antiqua"/>
          <w:b/>
          <w:color w:val="222222"/>
          <w:lang w:eastAsia="zh-CN"/>
        </w:rPr>
      </w:pPr>
      <w:r w:rsidRPr="0011258C">
        <w:rPr>
          <w:rFonts w:ascii="Book Antiqua" w:hAnsi="Book Antiqua"/>
          <w:b/>
        </w:rPr>
        <w:t>Table 1</w:t>
      </w:r>
      <w:r w:rsidRPr="0011258C">
        <w:rPr>
          <w:rFonts w:ascii="Book Antiqua" w:hAnsi="Book Antiqua"/>
          <w:lang w:eastAsia="zh-CN"/>
        </w:rPr>
        <w:t xml:space="preserve"> </w:t>
      </w:r>
      <w:r w:rsidRPr="0011258C">
        <w:rPr>
          <w:rFonts w:ascii="Book Antiqua" w:hAnsi="Book Antiqua"/>
          <w:b/>
        </w:rPr>
        <w:t>Demographic characteristics of transplant patients between Group 1 (with ketoconazole) and Group 2 (without ketoconazole)</w:t>
      </w:r>
    </w:p>
    <w:tbl>
      <w:tblPr>
        <w:tblpPr w:leftFromText="180" w:rightFromText="180" w:vertAnchor="text" w:horzAnchor="margin" w:tblpY="26"/>
        <w:tblW w:w="9576" w:type="dxa"/>
        <w:tblLayout w:type="fixed"/>
        <w:tblLook w:val="01E0" w:firstRow="1" w:lastRow="1" w:firstColumn="1" w:lastColumn="1" w:noHBand="0" w:noVBand="0"/>
      </w:tblPr>
      <w:tblGrid>
        <w:gridCol w:w="3108"/>
        <w:gridCol w:w="2400"/>
        <w:gridCol w:w="1993"/>
        <w:gridCol w:w="2075"/>
      </w:tblGrid>
      <w:tr w:rsidR="002D0694" w:rsidRPr="0011258C" w:rsidTr="00965920">
        <w:tc>
          <w:tcPr>
            <w:tcW w:w="3108" w:type="dxa"/>
            <w:tcBorders>
              <w:top w:val="single" w:sz="12" w:space="0" w:color="auto"/>
            </w:tcBorders>
            <w:vAlign w:val="center"/>
          </w:tcPr>
          <w:p w:rsidR="002D0694" w:rsidRPr="0011258C" w:rsidRDefault="002D0694" w:rsidP="00965920">
            <w:pPr>
              <w:spacing w:line="360" w:lineRule="auto"/>
              <w:jc w:val="center"/>
              <w:rPr>
                <w:rFonts w:ascii="Book Antiqua" w:hAnsi="Book Antiqua"/>
              </w:rPr>
            </w:pPr>
          </w:p>
        </w:tc>
        <w:tc>
          <w:tcPr>
            <w:tcW w:w="2400" w:type="dxa"/>
            <w:tcBorders>
              <w:top w:val="single" w:sz="12" w:space="0" w:color="auto"/>
            </w:tcBorders>
            <w:vAlign w:val="center"/>
          </w:tcPr>
          <w:p w:rsidR="002D0694" w:rsidRPr="0011258C" w:rsidRDefault="002D0694" w:rsidP="00786FE5">
            <w:pPr>
              <w:spacing w:line="360" w:lineRule="auto"/>
              <w:ind w:firstLineChars="240" w:firstLine="578"/>
              <w:rPr>
                <w:rFonts w:ascii="Book Antiqua" w:hAnsi="Book Antiqua"/>
                <w:b/>
              </w:rPr>
            </w:pPr>
            <w:r w:rsidRPr="0011258C">
              <w:rPr>
                <w:rFonts w:ascii="Book Antiqua" w:hAnsi="Book Antiqua"/>
                <w:b/>
              </w:rPr>
              <w:t>Group 1</w:t>
            </w:r>
          </w:p>
        </w:tc>
        <w:tc>
          <w:tcPr>
            <w:tcW w:w="1993" w:type="dxa"/>
            <w:tcBorders>
              <w:top w:val="single" w:sz="12" w:space="0" w:color="auto"/>
            </w:tcBorders>
            <w:vAlign w:val="center"/>
          </w:tcPr>
          <w:p w:rsidR="002D0694" w:rsidRPr="0011258C" w:rsidRDefault="002D0694" w:rsidP="00786FE5">
            <w:pPr>
              <w:spacing w:line="360" w:lineRule="auto"/>
              <w:ind w:firstLineChars="147" w:firstLine="354"/>
              <w:rPr>
                <w:rFonts w:ascii="Book Antiqua" w:hAnsi="Book Antiqua"/>
                <w:b/>
              </w:rPr>
            </w:pPr>
            <w:r w:rsidRPr="0011258C">
              <w:rPr>
                <w:rFonts w:ascii="Book Antiqua" w:hAnsi="Book Antiqua"/>
                <w:b/>
              </w:rPr>
              <w:t>Group 2</w:t>
            </w:r>
          </w:p>
        </w:tc>
        <w:tc>
          <w:tcPr>
            <w:tcW w:w="2075" w:type="dxa"/>
            <w:tcBorders>
              <w:top w:val="single" w:sz="12" w:space="0" w:color="auto"/>
            </w:tcBorders>
            <w:vAlign w:val="center"/>
          </w:tcPr>
          <w:p w:rsidR="002D0694" w:rsidRPr="0011258C" w:rsidRDefault="002D0694" w:rsidP="00965920">
            <w:pPr>
              <w:spacing w:line="360" w:lineRule="auto"/>
              <w:jc w:val="center"/>
              <w:rPr>
                <w:rFonts w:ascii="Book Antiqua" w:hAnsi="Book Antiqua"/>
                <w:b/>
              </w:rPr>
            </w:pPr>
            <w:r w:rsidRPr="0011258C">
              <w:rPr>
                <w:rFonts w:ascii="Book Antiqua" w:hAnsi="Book Antiqua"/>
                <w:b/>
                <w:i/>
                <w:lang w:eastAsia="zh-CN"/>
              </w:rPr>
              <w:t>P</w:t>
            </w:r>
            <w:r w:rsidRPr="0011258C">
              <w:rPr>
                <w:rFonts w:ascii="Book Antiqua" w:hAnsi="Book Antiqua"/>
                <w:b/>
              </w:rPr>
              <w:t>-value</w:t>
            </w:r>
          </w:p>
        </w:tc>
      </w:tr>
      <w:tr w:rsidR="002D0694" w:rsidRPr="0011258C" w:rsidTr="00965920">
        <w:tc>
          <w:tcPr>
            <w:tcW w:w="3108" w:type="dxa"/>
            <w:tcBorders>
              <w:bottom w:val="single" w:sz="12" w:space="0" w:color="auto"/>
            </w:tcBorders>
            <w:vAlign w:val="center"/>
          </w:tcPr>
          <w:p w:rsidR="002D0694" w:rsidRPr="0011258C" w:rsidRDefault="002D0694" w:rsidP="00965920">
            <w:pPr>
              <w:spacing w:line="360" w:lineRule="auto"/>
              <w:jc w:val="center"/>
              <w:rPr>
                <w:rFonts w:ascii="Book Antiqua" w:hAnsi="Book Antiqua"/>
              </w:rPr>
            </w:pPr>
          </w:p>
        </w:tc>
        <w:tc>
          <w:tcPr>
            <w:tcW w:w="2400" w:type="dxa"/>
            <w:tcBorders>
              <w:bottom w:val="single" w:sz="12" w:space="0" w:color="auto"/>
            </w:tcBorders>
            <w:vAlign w:val="center"/>
          </w:tcPr>
          <w:p w:rsidR="002D0694" w:rsidRPr="0011258C" w:rsidRDefault="002D0694" w:rsidP="00965920">
            <w:pPr>
              <w:spacing w:line="360" w:lineRule="auto"/>
              <w:ind w:left="-148" w:right="369"/>
              <w:jc w:val="center"/>
              <w:rPr>
                <w:rFonts w:ascii="Book Antiqua" w:hAnsi="Book Antiqua"/>
                <w:b/>
              </w:rPr>
            </w:pPr>
            <w:r w:rsidRPr="0011258C">
              <w:rPr>
                <w:rFonts w:ascii="Book Antiqua" w:hAnsi="Book Antiqua"/>
                <w:b/>
                <w:lang w:eastAsia="zh-CN"/>
              </w:rPr>
              <w:t xml:space="preserve">         </w:t>
            </w:r>
            <w:r w:rsidRPr="0011258C">
              <w:rPr>
                <w:rFonts w:ascii="Book Antiqua" w:hAnsi="Book Antiqua"/>
                <w:b/>
              </w:rPr>
              <w:t>(N</w:t>
            </w:r>
            <w:r w:rsidRPr="0011258C">
              <w:rPr>
                <w:rFonts w:ascii="Book Antiqua" w:hAnsi="Book Antiqua"/>
                <w:b/>
                <w:lang w:eastAsia="zh-CN"/>
              </w:rPr>
              <w:t xml:space="preserve"> </w:t>
            </w:r>
            <w:r w:rsidRPr="0011258C">
              <w:rPr>
                <w:rFonts w:ascii="Book Antiqua" w:hAnsi="Book Antiqua"/>
                <w:b/>
              </w:rPr>
              <w:t>=</w:t>
            </w:r>
            <w:r w:rsidRPr="0011258C">
              <w:rPr>
                <w:rFonts w:ascii="Book Antiqua" w:hAnsi="Book Antiqua"/>
                <w:b/>
                <w:lang w:eastAsia="zh-CN"/>
              </w:rPr>
              <w:t xml:space="preserve"> </w:t>
            </w:r>
            <w:r w:rsidRPr="0011258C">
              <w:rPr>
                <w:rFonts w:ascii="Book Antiqua" w:hAnsi="Book Antiqua"/>
                <w:b/>
              </w:rPr>
              <w:t>199)</w:t>
            </w:r>
          </w:p>
        </w:tc>
        <w:tc>
          <w:tcPr>
            <w:tcW w:w="1993" w:type="dxa"/>
            <w:tcBorders>
              <w:bottom w:val="single" w:sz="12" w:space="0" w:color="auto"/>
            </w:tcBorders>
            <w:vAlign w:val="center"/>
          </w:tcPr>
          <w:p w:rsidR="002D0694" w:rsidRPr="0011258C" w:rsidRDefault="002D0694" w:rsidP="00786FE5">
            <w:pPr>
              <w:spacing w:line="360" w:lineRule="auto"/>
              <w:ind w:right="369" w:firstLineChars="146" w:firstLine="352"/>
              <w:rPr>
                <w:rFonts w:ascii="Book Antiqua" w:hAnsi="Book Antiqua"/>
                <w:b/>
              </w:rPr>
            </w:pPr>
            <w:r w:rsidRPr="0011258C">
              <w:rPr>
                <w:rFonts w:ascii="Book Antiqua" w:hAnsi="Book Antiqua"/>
                <w:b/>
              </w:rPr>
              <w:t>(N</w:t>
            </w:r>
            <w:r w:rsidRPr="0011258C">
              <w:rPr>
                <w:rFonts w:ascii="Book Antiqua" w:hAnsi="Book Antiqua"/>
                <w:b/>
                <w:lang w:eastAsia="zh-CN"/>
              </w:rPr>
              <w:t xml:space="preserve"> </w:t>
            </w:r>
            <w:r w:rsidRPr="0011258C">
              <w:rPr>
                <w:rFonts w:ascii="Book Antiqua" w:hAnsi="Book Antiqua"/>
                <w:b/>
              </w:rPr>
              <w:t>=</w:t>
            </w:r>
            <w:r w:rsidRPr="0011258C">
              <w:rPr>
                <w:rFonts w:ascii="Book Antiqua" w:hAnsi="Book Antiqua"/>
                <w:b/>
                <w:lang w:eastAsia="zh-CN"/>
              </w:rPr>
              <w:t xml:space="preserve"> </w:t>
            </w:r>
            <w:r w:rsidRPr="0011258C">
              <w:rPr>
                <w:rFonts w:ascii="Book Antiqua" w:hAnsi="Book Antiqua"/>
                <w:b/>
              </w:rPr>
              <w:t>149)</w:t>
            </w:r>
          </w:p>
        </w:tc>
        <w:tc>
          <w:tcPr>
            <w:tcW w:w="2075" w:type="dxa"/>
            <w:tcBorders>
              <w:bottom w:val="single" w:sz="12" w:space="0" w:color="auto"/>
            </w:tcBorders>
            <w:vAlign w:val="center"/>
          </w:tcPr>
          <w:p w:rsidR="002D0694" w:rsidRPr="0011258C" w:rsidRDefault="002D0694" w:rsidP="00965920">
            <w:pPr>
              <w:spacing w:line="360" w:lineRule="auto"/>
              <w:ind w:right="369"/>
              <w:jc w:val="center"/>
              <w:rPr>
                <w:rFonts w:ascii="Book Antiqua" w:hAnsi="Book Antiqua"/>
                <w:b/>
              </w:rPr>
            </w:pPr>
          </w:p>
        </w:tc>
      </w:tr>
      <w:tr w:rsidR="002D0694" w:rsidRPr="0011258C" w:rsidTr="00965920">
        <w:tc>
          <w:tcPr>
            <w:tcW w:w="3108" w:type="dxa"/>
            <w:tcBorders>
              <w:top w:val="single" w:sz="12" w:space="0" w:color="auto"/>
            </w:tcBorders>
            <w:vAlign w:val="center"/>
          </w:tcPr>
          <w:p w:rsidR="002D0694" w:rsidRPr="0011258C" w:rsidRDefault="002D0694" w:rsidP="00965920">
            <w:pPr>
              <w:spacing w:line="360" w:lineRule="auto"/>
              <w:jc w:val="both"/>
              <w:rPr>
                <w:rFonts w:ascii="Book Antiqua" w:hAnsi="Book Antiqua"/>
                <w:b/>
              </w:rPr>
            </w:pPr>
            <w:r w:rsidRPr="0011258C">
              <w:rPr>
                <w:rFonts w:ascii="Book Antiqua" w:hAnsi="Book Antiqua"/>
                <w:b/>
              </w:rPr>
              <w:t>Age, mean ± SD (yr)</w:t>
            </w:r>
          </w:p>
        </w:tc>
        <w:tc>
          <w:tcPr>
            <w:tcW w:w="2400" w:type="dxa"/>
            <w:tcBorders>
              <w:top w:val="single" w:sz="12" w:space="0" w:color="auto"/>
            </w:tcBorders>
            <w:vAlign w:val="center"/>
          </w:tcPr>
          <w:p w:rsidR="002D0694" w:rsidRPr="0011258C" w:rsidRDefault="002D0694" w:rsidP="00965920">
            <w:pPr>
              <w:spacing w:line="360" w:lineRule="auto"/>
              <w:ind w:right="369"/>
              <w:jc w:val="center"/>
              <w:rPr>
                <w:rFonts w:ascii="Book Antiqua" w:hAnsi="Book Antiqua"/>
              </w:rPr>
            </w:pPr>
            <w:r w:rsidRPr="0011258C">
              <w:rPr>
                <w:rFonts w:ascii="Book Antiqua" w:hAnsi="Book Antiqua"/>
              </w:rPr>
              <w:t>47.2  ± 13.2</w:t>
            </w:r>
          </w:p>
        </w:tc>
        <w:tc>
          <w:tcPr>
            <w:tcW w:w="1993" w:type="dxa"/>
            <w:tcBorders>
              <w:top w:val="single" w:sz="12" w:space="0" w:color="auto"/>
            </w:tcBorders>
            <w:vAlign w:val="center"/>
          </w:tcPr>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48.8  ± 14.4</w:t>
            </w:r>
          </w:p>
        </w:tc>
        <w:tc>
          <w:tcPr>
            <w:tcW w:w="2075" w:type="dxa"/>
            <w:tcBorders>
              <w:top w:val="single" w:sz="12" w:space="0" w:color="auto"/>
            </w:tcBorders>
            <w:vAlign w:val="center"/>
          </w:tcPr>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0.21</w:t>
            </w:r>
          </w:p>
        </w:tc>
      </w:tr>
      <w:tr w:rsidR="002D0694" w:rsidRPr="0011258C" w:rsidTr="00965920">
        <w:tc>
          <w:tcPr>
            <w:tcW w:w="3108" w:type="dxa"/>
            <w:vAlign w:val="center"/>
          </w:tcPr>
          <w:p w:rsidR="002D0694" w:rsidRPr="0011258C" w:rsidRDefault="002D0694" w:rsidP="00965920">
            <w:pPr>
              <w:spacing w:line="360" w:lineRule="auto"/>
              <w:rPr>
                <w:rFonts w:ascii="Book Antiqua" w:hAnsi="Book Antiqua"/>
                <w:b/>
              </w:rPr>
            </w:pPr>
            <w:r w:rsidRPr="0011258C">
              <w:rPr>
                <w:rFonts w:ascii="Book Antiqua" w:hAnsi="Book Antiqua"/>
                <w:b/>
              </w:rPr>
              <w:t>Gender (%)</w:t>
            </w:r>
            <w:r w:rsidRPr="0011258C">
              <w:rPr>
                <w:rFonts w:ascii="Book Antiqua" w:hAnsi="Book Antiqua"/>
                <w:b/>
                <w:lang w:eastAsia="zh-CN"/>
              </w:rPr>
              <w:t xml:space="preserve"> </w:t>
            </w:r>
            <w:r w:rsidRPr="0011258C">
              <w:rPr>
                <w:rFonts w:ascii="Book Antiqua" w:hAnsi="Book Antiqua"/>
                <w:b/>
              </w:rPr>
              <w:t>male</w:t>
            </w:r>
          </w:p>
        </w:tc>
        <w:tc>
          <w:tcPr>
            <w:tcW w:w="2400" w:type="dxa"/>
            <w:vAlign w:val="center"/>
          </w:tcPr>
          <w:p w:rsidR="002D0694" w:rsidRPr="0011258C" w:rsidRDefault="002D0694" w:rsidP="00786FE5">
            <w:pPr>
              <w:spacing w:line="360" w:lineRule="auto"/>
              <w:ind w:leftChars="150" w:left="360" w:right="369" w:firstLineChars="200" w:firstLine="480"/>
              <w:rPr>
                <w:rFonts w:ascii="Book Antiqua" w:hAnsi="Book Antiqua"/>
              </w:rPr>
            </w:pPr>
            <w:r w:rsidRPr="0011258C">
              <w:rPr>
                <w:rFonts w:ascii="Book Antiqua" w:hAnsi="Book Antiqua"/>
              </w:rPr>
              <w:t>56</w:t>
            </w:r>
          </w:p>
        </w:tc>
        <w:tc>
          <w:tcPr>
            <w:tcW w:w="1993" w:type="dxa"/>
            <w:vAlign w:val="center"/>
          </w:tcPr>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61</w:t>
            </w:r>
          </w:p>
        </w:tc>
        <w:tc>
          <w:tcPr>
            <w:tcW w:w="2075" w:type="dxa"/>
            <w:vAlign w:val="center"/>
          </w:tcPr>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0.47</w:t>
            </w:r>
          </w:p>
        </w:tc>
      </w:tr>
      <w:tr w:rsidR="002D0694" w:rsidRPr="0011258C" w:rsidTr="00965920">
        <w:tc>
          <w:tcPr>
            <w:tcW w:w="3108" w:type="dxa"/>
            <w:vAlign w:val="center"/>
          </w:tcPr>
          <w:p w:rsidR="002D0694" w:rsidRPr="0011258C" w:rsidRDefault="002D0694" w:rsidP="00965920">
            <w:pPr>
              <w:spacing w:line="360" w:lineRule="auto"/>
              <w:jc w:val="both"/>
              <w:rPr>
                <w:rFonts w:ascii="Book Antiqua" w:hAnsi="Book Antiqua"/>
                <w:b/>
              </w:rPr>
            </w:pPr>
            <w:r w:rsidRPr="0011258C">
              <w:rPr>
                <w:rFonts w:ascii="Book Antiqua" w:hAnsi="Book Antiqua"/>
                <w:b/>
                <w:lang w:eastAsia="zh-CN"/>
              </w:rPr>
              <w:t>f</w:t>
            </w:r>
            <w:r w:rsidRPr="0011258C">
              <w:rPr>
                <w:rFonts w:ascii="Book Antiqua" w:hAnsi="Book Antiqua"/>
                <w:b/>
              </w:rPr>
              <w:t>emale</w:t>
            </w:r>
          </w:p>
        </w:tc>
        <w:tc>
          <w:tcPr>
            <w:tcW w:w="2400" w:type="dxa"/>
            <w:vAlign w:val="center"/>
          </w:tcPr>
          <w:p w:rsidR="002D0694" w:rsidRPr="0011258C" w:rsidRDefault="002D0694" w:rsidP="00786FE5">
            <w:pPr>
              <w:spacing w:line="360" w:lineRule="auto"/>
              <w:ind w:leftChars="150" w:left="360" w:right="369" w:firstLineChars="200" w:firstLine="480"/>
              <w:rPr>
                <w:rFonts w:ascii="Book Antiqua" w:hAnsi="Book Antiqua"/>
              </w:rPr>
            </w:pPr>
            <w:r w:rsidRPr="0011258C">
              <w:rPr>
                <w:rFonts w:ascii="Book Antiqua" w:hAnsi="Book Antiqua"/>
              </w:rPr>
              <w:t>44</w:t>
            </w:r>
          </w:p>
        </w:tc>
        <w:tc>
          <w:tcPr>
            <w:tcW w:w="1993" w:type="dxa"/>
            <w:vAlign w:val="center"/>
          </w:tcPr>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39</w:t>
            </w:r>
          </w:p>
        </w:tc>
        <w:tc>
          <w:tcPr>
            <w:tcW w:w="2075" w:type="dxa"/>
            <w:vAlign w:val="center"/>
          </w:tcPr>
          <w:p w:rsidR="002D0694" w:rsidRPr="0011258C" w:rsidRDefault="002D0694" w:rsidP="00965920">
            <w:pPr>
              <w:spacing w:line="360" w:lineRule="auto"/>
              <w:ind w:left="360" w:right="369"/>
              <w:jc w:val="center"/>
              <w:rPr>
                <w:rFonts w:ascii="Book Antiqua" w:hAnsi="Book Antiqua"/>
              </w:rPr>
            </w:pPr>
          </w:p>
        </w:tc>
      </w:tr>
      <w:tr w:rsidR="002D0694" w:rsidRPr="0011258C" w:rsidTr="00965920">
        <w:tc>
          <w:tcPr>
            <w:tcW w:w="3108" w:type="dxa"/>
            <w:vAlign w:val="center"/>
          </w:tcPr>
          <w:p w:rsidR="002D0694" w:rsidRPr="0011258C" w:rsidRDefault="002D0694" w:rsidP="00965920">
            <w:pPr>
              <w:spacing w:line="360" w:lineRule="auto"/>
              <w:jc w:val="both"/>
              <w:rPr>
                <w:rFonts w:ascii="Book Antiqua" w:hAnsi="Book Antiqua"/>
                <w:b/>
              </w:rPr>
            </w:pPr>
            <w:r w:rsidRPr="0011258C">
              <w:rPr>
                <w:rFonts w:ascii="Book Antiqua" w:hAnsi="Book Antiqua"/>
                <w:b/>
              </w:rPr>
              <w:t>Race (%)</w:t>
            </w:r>
            <w:r w:rsidRPr="0011258C">
              <w:rPr>
                <w:rFonts w:ascii="Book Antiqua" w:hAnsi="Book Antiqua"/>
                <w:b/>
                <w:lang w:eastAsia="zh-CN"/>
              </w:rPr>
              <w:t xml:space="preserve"> </w:t>
            </w:r>
            <w:r w:rsidRPr="0011258C">
              <w:rPr>
                <w:rFonts w:ascii="Book Antiqua" w:hAnsi="Book Antiqua"/>
                <w:b/>
              </w:rPr>
              <w:t>black</w:t>
            </w:r>
          </w:p>
        </w:tc>
        <w:tc>
          <w:tcPr>
            <w:tcW w:w="2400" w:type="dxa"/>
            <w:vAlign w:val="center"/>
          </w:tcPr>
          <w:p w:rsidR="002D0694" w:rsidRPr="0011258C" w:rsidRDefault="002D0694" w:rsidP="00786FE5">
            <w:pPr>
              <w:spacing w:line="360" w:lineRule="auto"/>
              <w:ind w:leftChars="150" w:left="360" w:right="369" w:firstLineChars="200" w:firstLine="480"/>
              <w:rPr>
                <w:rFonts w:ascii="Book Antiqua" w:hAnsi="Book Antiqua"/>
              </w:rPr>
            </w:pPr>
            <w:r w:rsidRPr="0011258C">
              <w:rPr>
                <w:rFonts w:ascii="Book Antiqua" w:hAnsi="Book Antiqua"/>
              </w:rPr>
              <w:t>64</w:t>
            </w:r>
          </w:p>
        </w:tc>
        <w:tc>
          <w:tcPr>
            <w:tcW w:w="1993" w:type="dxa"/>
            <w:vAlign w:val="center"/>
          </w:tcPr>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55</w:t>
            </w:r>
          </w:p>
        </w:tc>
        <w:tc>
          <w:tcPr>
            <w:tcW w:w="2075" w:type="dxa"/>
            <w:vAlign w:val="center"/>
          </w:tcPr>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0.19</w:t>
            </w:r>
          </w:p>
        </w:tc>
      </w:tr>
      <w:tr w:rsidR="002D0694" w:rsidRPr="0011258C" w:rsidTr="00965920">
        <w:tc>
          <w:tcPr>
            <w:tcW w:w="3108" w:type="dxa"/>
            <w:vAlign w:val="center"/>
          </w:tcPr>
          <w:p w:rsidR="002D0694" w:rsidRPr="0011258C" w:rsidRDefault="002D0694" w:rsidP="00965920">
            <w:pPr>
              <w:spacing w:line="360" w:lineRule="auto"/>
              <w:jc w:val="both"/>
              <w:rPr>
                <w:rFonts w:ascii="Book Antiqua" w:hAnsi="Book Antiqua"/>
                <w:b/>
              </w:rPr>
            </w:pPr>
            <w:r w:rsidRPr="0011258C">
              <w:rPr>
                <w:rFonts w:ascii="Book Antiqua" w:hAnsi="Book Antiqua"/>
                <w:b/>
                <w:lang w:eastAsia="zh-CN"/>
              </w:rPr>
              <w:t>N</w:t>
            </w:r>
            <w:r w:rsidRPr="0011258C">
              <w:rPr>
                <w:rFonts w:ascii="Book Antiqua" w:hAnsi="Book Antiqua"/>
                <w:b/>
              </w:rPr>
              <w:t>on-black</w:t>
            </w:r>
          </w:p>
        </w:tc>
        <w:tc>
          <w:tcPr>
            <w:tcW w:w="2400" w:type="dxa"/>
            <w:vAlign w:val="center"/>
          </w:tcPr>
          <w:p w:rsidR="002D0694" w:rsidRPr="0011258C" w:rsidRDefault="002D0694" w:rsidP="00786FE5">
            <w:pPr>
              <w:spacing w:line="360" w:lineRule="auto"/>
              <w:ind w:leftChars="150" w:left="360" w:right="369" w:firstLineChars="200" w:firstLine="480"/>
              <w:rPr>
                <w:rFonts w:ascii="Book Antiqua" w:hAnsi="Book Antiqua"/>
              </w:rPr>
            </w:pPr>
            <w:r w:rsidRPr="0011258C">
              <w:rPr>
                <w:rFonts w:ascii="Book Antiqua" w:hAnsi="Book Antiqua"/>
              </w:rPr>
              <w:t>36</w:t>
            </w:r>
          </w:p>
        </w:tc>
        <w:tc>
          <w:tcPr>
            <w:tcW w:w="1993" w:type="dxa"/>
            <w:vAlign w:val="center"/>
          </w:tcPr>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45</w:t>
            </w:r>
          </w:p>
        </w:tc>
        <w:tc>
          <w:tcPr>
            <w:tcW w:w="2075" w:type="dxa"/>
            <w:vAlign w:val="center"/>
          </w:tcPr>
          <w:p w:rsidR="002D0694" w:rsidRPr="0011258C" w:rsidRDefault="002D0694" w:rsidP="00965920">
            <w:pPr>
              <w:spacing w:line="360" w:lineRule="auto"/>
              <w:ind w:left="360" w:right="369"/>
              <w:jc w:val="center"/>
              <w:rPr>
                <w:rFonts w:ascii="Book Antiqua" w:hAnsi="Book Antiqua"/>
              </w:rPr>
            </w:pPr>
          </w:p>
        </w:tc>
      </w:tr>
      <w:tr w:rsidR="002D0694" w:rsidRPr="0011258C" w:rsidTr="00965920">
        <w:tc>
          <w:tcPr>
            <w:tcW w:w="3108" w:type="dxa"/>
            <w:vAlign w:val="center"/>
          </w:tcPr>
          <w:p w:rsidR="002D0694" w:rsidRPr="0011258C" w:rsidRDefault="002D0694" w:rsidP="00965920">
            <w:pPr>
              <w:spacing w:line="360" w:lineRule="auto"/>
              <w:jc w:val="both"/>
              <w:rPr>
                <w:rFonts w:ascii="Book Antiqua" w:hAnsi="Book Antiqua"/>
                <w:b/>
              </w:rPr>
            </w:pPr>
            <w:r w:rsidRPr="0011258C">
              <w:rPr>
                <w:rFonts w:ascii="Book Antiqua" w:hAnsi="Book Antiqua"/>
                <w:b/>
              </w:rPr>
              <w:t>BMI (kg/m</w:t>
            </w:r>
            <w:r w:rsidRPr="0011258C">
              <w:rPr>
                <w:rFonts w:ascii="Book Antiqua" w:hAnsi="Book Antiqua"/>
                <w:b/>
                <w:vertAlign w:val="superscript"/>
              </w:rPr>
              <w:t>2</w:t>
            </w:r>
            <w:r w:rsidRPr="0011258C">
              <w:rPr>
                <w:rFonts w:ascii="Book Antiqua" w:hAnsi="Book Antiqua"/>
                <w:b/>
              </w:rPr>
              <w:t>)</w:t>
            </w:r>
          </w:p>
          <w:p w:rsidR="002D0694" w:rsidRPr="0011258C" w:rsidRDefault="002D0694" w:rsidP="00965920">
            <w:pPr>
              <w:spacing w:line="360" w:lineRule="auto"/>
              <w:jc w:val="both"/>
              <w:rPr>
                <w:rFonts w:ascii="Book Antiqua" w:hAnsi="Book Antiqua"/>
                <w:b/>
              </w:rPr>
            </w:pPr>
            <w:r w:rsidRPr="0011258C">
              <w:rPr>
                <w:rFonts w:ascii="Book Antiqua" w:hAnsi="Book Antiqua"/>
                <w:b/>
              </w:rPr>
              <w:t>Peak PRA (%)</w:t>
            </w:r>
          </w:p>
          <w:p w:rsidR="002D0694" w:rsidRPr="0011258C" w:rsidRDefault="002D0694" w:rsidP="00965920">
            <w:pPr>
              <w:spacing w:line="360" w:lineRule="auto"/>
              <w:jc w:val="both"/>
              <w:rPr>
                <w:rFonts w:ascii="Book Antiqua" w:hAnsi="Book Antiqua"/>
                <w:b/>
              </w:rPr>
            </w:pPr>
            <w:r w:rsidRPr="0011258C">
              <w:rPr>
                <w:rFonts w:ascii="Book Antiqua" w:hAnsi="Book Antiqua"/>
                <w:b/>
              </w:rPr>
              <w:t>HLA mismatch</w:t>
            </w:r>
          </w:p>
          <w:p w:rsidR="002D0694" w:rsidRPr="0011258C" w:rsidRDefault="002D0694" w:rsidP="00965920">
            <w:pPr>
              <w:spacing w:line="360" w:lineRule="auto"/>
              <w:jc w:val="both"/>
              <w:rPr>
                <w:rFonts w:ascii="Book Antiqua" w:hAnsi="Book Antiqua"/>
                <w:b/>
              </w:rPr>
            </w:pPr>
            <w:r w:rsidRPr="0011258C">
              <w:rPr>
                <w:rFonts w:ascii="Book Antiqua" w:hAnsi="Book Antiqua"/>
                <w:b/>
              </w:rPr>
              <w:t>Causes of ESRD (%)</w:t>
            </w:r>
          </w:p>
          <w:p w:rsidR="002D0694" w:rsidRPr="0011258C" w:rsidRDefault="002D0694" w:rsidP="00965920">
            <w:pPr>
              <w:spacing w:line="360" w:lineRule="auto"/>
              <w:jc w:val="both"/>
              <w:rPr>
                <w:rFonts w:ascii="Book Antiqua" w:hAnsi="Book Antiqua"/>
                <w:b/>
              </w:rPr>
            </w:pPr>
            <w:r w:rsidRPr="0011258C">
              <w:rPr>
                <w:rFonts w:ascii="Book Antiqua" w:hAnsi="Book Antiqua"/>
                <w:b/>
                <w:lang w:eastAsia="zh-CN"/>
              </w:rPr>
              <w:t>D</w:t>
            </w:r>
            <w:r w:rsidRPr="0011258C">
              <w:rPr>
                <w:rFonts w:ascii="Book Antiqua" w:hAnsi="Book Antiqua"/>
                <w:b/>
              </w:rPr>
              <w:t>iabetes</w:t>
            </w:r>
          </w:p>
          <w:p w:rsidR="002D0694" w:rsidRPr="0011258C" w:rsidRDefault="002D0694" w:rsidP="00965920">
            <w:pPr>
              <w:spacing w:line="360" w:lineRule="auto"/>
              <w:jc w:val="both"/>
              <w:rPr>
                <w:rFonts w:ascii="Book Antiqua" w:hAnsi="Book Antiqua"/>
                <w:b/>
              </w:rPr>
            </w:pPr>
            <w:r w:rsidRPr="0011258C">
              <w:rPr>
                <w:rFonts w:ascii="Book Antiqua" w:hAnsi="Book Antiqua"/>
                <w:b/>
                <w:lang w:eastAsia="zh-CN"/>
              </w:rPr>
              <w:t>H</w:t>
            </w:r>
            <w:r w:rsidRPr="0011258C">
              <w:rPr>
                <w:rFonts w:ascii="Book Antiqua" w:hAnsi="Book Antiqua"/>
                <w:b/>
              </w:rPr>
              <w:t>ypertension</w:t>
            </w:r>
          </w:p>
          <w:p w:rsidR="002D0694" w:rsidRPr="0011258C" w:rsidRDefault="002D0694" w:rsidP="00965920">
            <w:pPr>
              <w:spacing w:line="360" w:lineRule="auto"/>
              <w:jc w:val="both"/>
              <w:rPr>
                <w:rFonts w:ascii="Book Antiqua" w:hAnsi="Book Antiqua"/>
                <w:b/>
              </w:rPr>
            </w:pPr>
            <w:r w:rsidRPr="0011258C">
              <w:rPr>
                <w:rFonts w:ascii="Book Antiqua" w:hAnsi="Book Antiqua"/>
                <w:b/>
                <w:lang w:eastAsia="zh-CN"/>
              </w:rPr>
              <w:t>N</w:t>
            </w:r>
            <w:r w:rsidRPr="0011258C">
              <w:rPr>
                <w:rFonts w:ascii="Book Antiqua" w:hAnsi="Book Antiqua"/>
                <w:b/>
              </w:rPr>
              <w:t>ephritis</w:t>
            </w:r>
          </w:p>
          <w:p w:rsidR="002D0694" w:rsidRPr="0011258C" w:rsidRDefault="002D0694" w:rsidP="00965920">
            <w:pPr>
              <w:spacing w:line="360" w:lineRule="auto"/>
              <w:jc w:val="both"/>
              <w:rPr>
                <w:rFonts w:ascii="Book Antiqua" w:hAnsi="Book Antiqua"/>
                <w:b/>
              </w:rPr>
            </w:pPr>
            <w:r w:rsidRPr="0011258C">
              <w:rPr>
                <w:rFonts w:ascii="Book Antiqua" w:hAnsi="Book Antiqua"/>
                <w:b/>
              </w:rPr>
              <w:t>PCKD</w:t>
            </w:r>
          </w:p>
          <w:p w:rsidR="002D0694" w:rsidRPr="0011258C" w:rsidRDefault="002D0694" w:rsidP="00965920">
            <w:pPr>
              <w:spacing w:line="360" w:lineRule="auto"/>
              <w:jc w:val="both"/>
              <w:rPr>
                <w:rFonts w:ascii="Book Antiqua" w:hAnsi="Book Antiqua"/>
                <w:b/>
              </w:rPr>
            </w:pPr>
            <w:r w:rsidRPr="0011258C">
              <w:rPr>
                <w:rFonts w:ascii="Book Antiqua" w:hAnsi="Book Antiqua"/>
                <w:b/>
                <w:lang w:eastAsia="zh-CN"/>
              </w:rPr>
              <w:t>O</w:t>
            </w:r>
            <w:r w:rsidRPr="0011258C">
              <w:rPr>
                <w:rFonts w:ascii="Book Antiqua" w:hAnsi="Book Antiqua"/>
                <w:b/>
              </w:rPr>
              <w:t>thers</w:t>
            </w:r>
          </w:p>
        </w:tc>
        <w:tc>
          <w:tcPr>
            <w:tcW w:w="2400" w:type="dxa"/>
            <w:vAlign w:val="center"/>
          </w:tcPr>
          <w:p w:rsidR="002D0694" w:rsidRPr="0011258C" w:rsidRDefault="002D0694" w:rsidP="00965920">
            <w:pPr>
              <w:spacing w:line="360" w:lineRule="auto"/>
              <w:ind w:right="369"/>
              <w:jc w:val="center"/>
              <w:rPr>
                <w:rFonts w:ascii="Book Antiqua" w:hAnsi="Book Antiqua"/>
              </w:rPr>
            </w:pPr>
            <w:r w:rsidRPr="0011258C">
              <w:rPr>
                <w:rFonts w:ascii="Book Antiqua" w:hAnsi="Book Antiqua"/>
              </w:rPr>
              <w:t>28.3 ± 5.4</w:t>
            </w:r>
          </w:p>
          <w:p w:rsidR="002D0694" w:rsidRPr="0011258C" w:rsidRDefault="002D0694" w:rsidP="00965920">
            <w:pPr>
              <w:spacing w:line="360" w:lineRule="auto"/>
              <w:ind w:right="369"/>
              <w:jc w:val="center"/>
              <w:rPr>
                <w:rFonts w:ascii="Book Antiqua" w:hAnsi="Book Antiqua"/>
              </w:rPr>
            </w:pPr>
            <w:r w:rsidRPr="0011258C">
              <w:rPr>
                <w:rFonts w:ascii="Book Antiqua" w:hAnsi="Book Antiqua"/>
              </w:rPr>
              <w:t>15.5 ± 25.3</w:t>
            </w:r>
          </w:p>
          <w:p w:rsidR="002D0694" w:rsidRPr="0011258C" w:rsidRDefault="002D0694" w:rsidP="00965920">
            <w:pPr>
              <w:spacing w:line="360" w:lineRule="auto"/>
              <w:ind w:right="369"/>
              <w:jc w:val="center"/>
              <w:rPr>
                <w:rFonts w:ascii="Book Antiqua" w:hAnsi="Book Antiqua"/>
              </w:rPr>
            </w:pPr>
            <w:r w:rsidRPr="0011258C">
              <w:rPr>
                <w:rFonts w:ascii="Book Antiqua" w:hAnsi="Book Antiqua"/>
              </w:rPr>
              <w:t>4.1  ± 1.4</w:t>
            </w:r>
          </w:p>
          <w:p w:rsidR="002D0694" w:rsidRPr="0011258C" w:rsidRDefault="002D0694" w:rsidP="00965920">
            <w:pPr>
              <w:spacing w:line="360" w:lineRule="auto"/>
              <w:ind w:right="369"/>
              <w:jc w:val="center"/>
              <w:rPr>
                <w:rFonts w:ascii="Book Antiqua" w:hAnsi="Book Antiqua"/>
              </w:rPr>
            </w:pP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25</w:t>
            </w: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38</w:t>
            </w: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19</w:t>
            </w: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8</w:t>
            </w: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10</w:t>
            </w:r>
          </w:p>
        </w:tc>
        <w:tc>
          <w:tcPr>
            <w:tcW w:w="1993" w:type="dxa"/>
            <w:vAlign w:val="center"/>
          </w:tcPr>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27.4 ± 5.7</w:t>
            </w: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13.8 ± 27.0</w:t>
            </w: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3.9 ± 1.6</w:t>
            </w:r>
          </w:p>
          <w:p w:rsidR="002D0694" w:rsidRPr="0011258C" w:rsidRDefault="002D0694" w:rsidP="00965920">
            <w:pPr>
              <w:spacing w:line="360" w:lineRule="auto"/>
              <w:ind w:right="369"/>
              <w:jc w:val="center"/>
              <w:rPr>
                <w:rFonts w:ascii="Book Antiqua" w:hAnsi="Book Antiqua"/>
              </w:rPr>
            </w:pP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31</w:t>
            </w: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35</w:t>
            </w: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15</w:t>
            </w: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6</w:t>
            </w: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13</w:t>
            </w:r>
          </w:p>
        </w:tc>
        <w:tc>
          <w:tcPr>
            <w:tcW w:w="2075" w:type="dxa"/>
            <w:vAlign w:val="center"/>
          </w:tcPr>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0.34</w:t>
            </w:r>
          </w:p>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0.27</w:t>
            </w:r>
          </w:p>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0.52</w:t>
            </w:r>
          </w:p>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0.75</w:t>
            </w:r>
          </w:p>
        </w:tc>
      </w:tr>
      <w:tr w:rsidR="002D0694" w:rsidRPr="0011258C" w:rsidTr="00965920">
        <w:tc>
          <w:tcPr>
            <w:tcW w:w="3108" w:type="dxa"/>
            <w:vAlign w:val="center"/>
          </w:tcPr>
          <w:p w:rsidR="002D0694" w:rsidRPr="0011258C" w:rsidRDefault="002D0694" w:rsidP="00965920">
            <w:pPr>
              <w:spacing w:line="360" w:lineRule="auto"/>
              <w:jc w:val="both"/>
              <w:rPr>
                <w:rFonts w:ascii="Book Antiqua" w:hAnsi="Book Antiqua"/>
                <w:b/>
              </w:rPr>
            </w:pPr>
            <w:r w:rsidRPr="0011258C">
              <w:rPr>
                <w:rFonts w:ascii="Book Antiqua" w:hAnsi="Book Antiqua"/>
                <w:b/>
              </w:rPr>
              <w:t>Induction (%)</w:t>
            </w:r>
          </w:p>
        </w:tc>
        <w:tc>
          <w:tcPr>
            <w:tcW w:w="2400" w:type="dxa"/>
            <w:vAlign w:val="center"/>
          </w:tcPr>
          <w:p w:rsidR="002D0694" w:rsidRPr="0011258C" w:rsidRDefault="002D0694" w:rsidP="00786FE5">
            <w:pPr>
              <w:spacing w:line="360" w:lineRule="auto"/>
              <w:ind w:leftChars="150" w:left="360" w:right="369" w:firstLineChars="200" w:firstLine="480"/>
              <w:rPr>
                <w:rFonts w:ascii="Book Antiqua" w:hAnsi="Book Antiqua"/>
              </w:rPr>
            </w:pPr>
            <w:r w:rsidRPr="0011258C">
              <w:rPr>
                <w:rFonts w:ascii="Book Antiqua" w:hAnsi="Book Antiqua"/>
              </w:rPr>
              <w:t>55</w:t>
            </w:r>
          </w:p>
        </w:tc>
        <w:tc>
          <w:tcPr>
            <w:tcW w:w="1993" w:type="dxa"/>
            <w:vAlign w:val="center"/>
          </w:tcPr>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51</w:t>
            </w:r>
          </w:p>
        </w:tc>
        <w:tc>
          <w:tcPr>
            <w:tcW w:w="2075" w:type="dxa"/>
            <w:vAlign w:val="center"/>
          </w:tcPr>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0.51</w:t>
            </w:r>
          </w:p>
        </w:tc>
      </w:tr>
      <w:tr w:rsidR="002D0694" w:rsidRPr="0011258C" w:rsidTr="00965920">
        <w:tc>
          <w:tcPr>
            <w:tcW w:w="3108" w:type="dxa"/>
            <w:vAlign w:val="center"/>
          </w:tcPr>
          <w:p w:rsidR="002D0694" w:rsidRPr="0011258C" w:rsidRDefault="002D0694" w:rsidP="00965920">
            <w:pPr>
              <w:spacing w:line="360" w:lineRule="auto"/>
              <w:jc w:val="both"/>
              <w:rPr>
                <w:rFonts w:ascii="Book Antiqua" w:hAnsi="Book Antiqua"/>
                <w:b/>
              </w:rPr>
            </w:pPr>
            <w:r w:rsidRPr="0011258C">
              <w:rPr>
                <w:rFonts w:ascii="Book Antiqua" w:hAnsi="Book Antiqua"/>
                <w:b/>
              </w:rPr>
              <w:t>Donors (%)</w:t>
            </w:r>
          </w:p>
          <w:p w:rsidR="002D0694" w:rsidRPr="0011258C" w:rsidRDefault="002D0694" w:rsidP="00965920">
            <w:pPr>
              <w:spacing w:line="360" w:lineRule="auto"/>
              <w:jc w:val="both"/>
              <w:rPr>
                <w:rFonts w:ascii="Book Antiqua" w:hAnsi="Book Antiqua"/>
                <w:b/>
              </w:rPr>
            </w:pPr>
            <w:r w:rsidRPr="0011258C">
              <w:rPr>
                <w:rFonts w:ascii="Book Antiqua" w:hAnsi="Book Antiqua"/>
                <w:b/>
                <w:lang w:eastAsia="zh-CN"/>
              </w:rPr>
              <w:t>L</w:t>
            </w:r>
            <w:r w:rsidRPr="0011258C">
              <w:rPr>
                <w:rFonts w:ascii="Book Antiqua" w:hAnsi="Book Antiqua"/>
                <w:b/>
              </w:rPr>
              <w:t>iving</w:t>
            </w:r>
          </w:p>
          <w:p w:rsidR="002D0694" w:rsidRPr="0011258C" w:rsidRDefault="002D0694" w:rsidP="00965920">
            <w:pPr>
              <w:spacing w:line="360" w:lineRule="auto"/>
              <w:jc w:val="both"/>
              <w:rPr>
                <w:rFonts w:ascii="Book Antiqua" w:hAnsi="Book Antiqua"/>
                <w:b/>
              </w:rPr>
            </w:pPr>
            <w:r w:rsidRPr="0011258C">
              <w:rPr>
                <w:rFonts w:ascii="Book Antiqua" w:hAnsi="Book Antiqua"/>
                <w:b/>
                <w:lang w:eastAsia="zh-CN"/>
              </w:rPr>
              <w:t>D</w:t>
            </w:r>
            <w:r w:rsidRPr="0011258C">
              <w:rPr>
                <w:rFonts w:ascii="Book Antiqua" w:hAnsi="Book Antiqua"/>
                <w:b/>
              </w:rPr>
              <w:t>eceased</w:t>
            </w:r>
          </w:p>
        </w:tc>
        <w:tc>
          <w:tcPr>
            <w:tcW w:w="2400" w:type="dxa"/>
            <w:vAlign w:val="center"/>
          </w:tcPr>
          <w:p w:rsidR="002D0694" w:rsidRPr="0011258C" w:rsidRDefault="002D0694" w:rsidP="00965920">
            <w:pPr>
              <w:spacing w:line="360" w:lineRule="auto"/>
              <w:ind w:left="360" w:right="369"/>
              <w:jc w:val="center"/>
              <w:rPr>
                <w:rFonts w:ascii="Book Antiqua" w:hAnsi="Book Antiqua"/>
              </w:rPr>
            </w:pPr>
          </w:p>
          <w:p w:rsidR="002D0694" w:rsidRPr="0011258C" w:rsidRDefault="002D0694" w:rsidP="00786FE5">
            <w:pPr>
              <w:spacing w:line="360" w:lineRule="auto"/>
              <w:ind w:leftChars="150" w:left="360" w:right="369" w:firstLineChars="200" w:firstLine="480"/>
              <w:rPr>
                <w:rFonts w:ascii="Book Antiqua" w:hAnsi="Book Antiqua"/>
              </w:rPr>
            </w:pPr>
            <w:r w:rsidRPr="0011258C">
              <w:rPr>
                <w:rFonts w:ascii="Book Antiqua" w:hAnsi="Book Antiqua"/>
              </w:rPr>
              <w:t>26</w:t>
            </w:r>
          </w:p>
          <w:p w:rsidR="002D0694" w:rsidRPr="0011258C" w:rsidRDefault="002D0694" w:rsidP="00786FE5">
            <w:pPr>
              <w:spacing w:line="360" w:lineRule="auto"/>
              <w:ind w:leftChars="150" w:left="360" w:right="369" w:firstLineChars="200" w:firstLine="480"/>
              <w:rPr>
                <w:rFonts w:ascii="Book Antiqua" w:hAnsi="Book Antiqua"/>
              </w:rPr>
            </w:pPr>
            <w:r w:rsidRPr="0011258C">
              <w:rPr>
                <w:rFonts w:ascii="Book Antiqua" w:hAnsi="Book Antiqua"/>
              </w:rPr>
              <w:t>74</w:t>
            </w:r>
          </w:p>
        </w:tc>
        <w:tc>
          <w:tcPr>
            <w:tcW w:w="1993" w:type="dxa"/>
            <w:vAlign w:val="center"/>
          </w:tcPr>
          <w:p w:rsidR="002D0694" w:rsidRPr="0011258C" w:rsidRDefault="002D0694" w:rsidP="00965920">
            <w:pPr>
              <w:spacing w:line="360" w:lineRule="auto"/>
              <w:ind w:right="369"/>
              <w:jc w:val="center"/>
              <w:rPr>
                <w:rFonts w:ascii="Book Antiqua" w:hAnsi="Book Antiqua"/>
              </w:rPr>
            </w:pP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29</w:t>
            </w:r>
          </w:p>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71</w:t>
            </w:r>
          </w:p>
        </w:tc>
        <w:tc>
          <w:tcPr>
            <w:tcW w:w="2075" w:type="dxa"/>
            <w:vAlign w:val="center"/>
          </w:tcPr>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0.63</w:t>
            </w:r>
          </w:p>
        </w:tc>
      </w:tr>
      <w:tr w:rsidR="002D0694" w:rsidRPr="0011258C" w:rsidTr="00965920">
        <w:tc>
          <w:tcPr>
            <w:tcW w:w="3108" w:type="dxa"/>
            <w:tcBorders>
              <w:bottom w:val="single" w:sz="12" w:space="0" w:color="auto"/>
            </w:tcBorders>
            <w:vAlign w:val="center"/>
          </w:tcPr>
          <w:p w:rsidR="002D0694" w:rsidRPr="0011258C" w:rsidRDefault="002D0694" w:rsidP="00965920">
            <w:pPr>
              <w:spacing w:line="360" w:lineRule="auto"/>
              <w:jc w:val="both"/>
              <w:rPr>
                <w:rFonts w:ascii="Book Antiqua" w:hAnsi="Book Antiqua"/>
                <w:b/>
              </w:rPr>
            </w:pPr>
            <w:r w:rsidRPr="0011258C">
              <w:rPr>
                <w:rFonts w:ascii="Book Antiqua" w:hAnsi="Book Antiqua"/>
                <w:b/>
              </w:rPr>
              <w:t>CIT (h)</w:t>
            </w:r>
          </w:p>
        </w:tc>
        <w:tc>
          <w:tcPr>
            <w:tcW w:w="2400" w:type="dxa"/>
            <w:tcBorders>
              <w:bottom w:val="single" w:sz="12" w:space="0" w:color="auto"/>
            </w:tcBorders>
            <w:vAlign w:val="center"/>
          </w:tcPr>
          <w:p w:rsidR="002D0694" w:rsidRPr="0011258C" w:rsidRDefault="002D0694" w:rsidP="00965920">
            <w:pPr>
              <w:spacing w:line="360" w:lineRule="auto"/>
              <w:ind w:right="369"/>
              <w:jc w:val="center"/>
              <w:rPr>
                <w:rFonts w:ascii="Book Antiqua" w:hAnsi="Book Antiqua"/>
              </w:rPr>
            </w:pPr>
            <w:r w:rsidRPr="0011258C">
              <w:rPr>
                <w:rFonts w:ascii="Book Antiqua" w:hAnsi="Book Antiqua"/>
              </w:rPr>
              <w:t>17.8 ± 7.2</w:t>
            </w:r>
          </w:p>
        </w:tc>
        <w:tc>
          <w:tcPr>
            <w:tcW w:w="1993" w:type="dxa"/>
            <w:tcBorders>
              <w:bottom w:val="single" w:sz="12" w:space="0" w:color="auto"/>
            </w:tcBorders>
            <w:vAlign w:val="center"/>
          </w:tcPr>
          <w:p w:rsidR="002D0694" w:rsidRPr="0011258C" w:rsidRDefault="002D0694" w:rsidP="00965920">
            <w:pPr>
              <w:spacing w:line="360" w:lineRule="auto"/>
              <w:ind w:right="369"/>
              <w:jc w:val="center"/>
              <w:rPr>
                <w:rFonts w:ascii="Book Antiqua" w:hAnsi="Book Antiqua"/>
              </w:rPr>
            </w:pPr>
            <w:r w:rsidRPr="0011258C">
              <w:rPr>
                <w:rFonts w:ascii="Book Antiqua" w:hAnsi="Book Antiqua"/>
                <w:lang w:eastAsia="zh-CN"/>
              </w:rPr>
              <w:t xml:space="preserve">   </w:t>
            </w:r>
            <w:r w:rsidRPr="0011258C">
              <w:rPr>
                <w:rFonts w:ascii="Book Antiqua" w:hAnsi="Book Antiqua"/>
              </w:rPr>
              <w:t>18.5 ± 6.4</w:t>
            </w:r>
          </w:p>
        </w:tc>
        <w:tc>
          <w:tcPr>
            <w:tcW w:w="2075" w:type="dxa"/>
            <w:tcBorders>
              <w:bottom w:val="single" w:sz="12" w:space="0" w:color="auto"/>
            </w:tcBorders>
            <w:vAlign w:val="center"/>
          </w:tcPr>
          <w:p w:rsidR="002D0694" w:rsidRPr="0011258C" w:rsidRDefault="002D0694" w:rsidP="00965920">
            <w:pPr>
              <w:spacing w:line="360" w:lineRule="auto"/>
              <w:ind w:left="360" w:right="369"/>
              <w:jc w:val="center"/>
              <w:rPr>
                <w:rFonts w:ascii="Book Antiqua" w:hAnsi="Book Antiqua"/>
              </w:rPr>
            </w:pPr>
            <w:r w:rsidRPr="0011258C">
              <w:rPr>
                <w:rFonts w:ascii="Book Antiqua" w:hAnsi="Book Antiqua"/>
              </w:rPr>
              <w:t>0.24</w:t>
            </w:r>
          </w:p>
        </w:tc>
      </w:tr>
    </w:tbl>
    <w:p w:rsidR="002D0694" w:rsidRPr="0011258C" w:rsidRDefault="002D0694" w:rsidP="009E3FB8">
      <w:pPr>
        <w:spacing w:line="360" w:lineRule="auto"/>
        <w:jc w:val="both"/>
        <w:rPr>
          <w:rFonts w:ascii="Book Antiqua" w:hAnsi="Book Antiqua"/>
          <w:b/>
          <w:lang w:eastAsia="zh-CN"/>
        </w:rPr>
      </w:pPr>
      <w:r w:rsidRPr="0011258C">
        <w:rPr>
          <w:rFonts w:ascii="Book Antiqua" w:hAnsi="Book Antiqua"/>
        </w:rPr>
        <w:lastRenderedPageBreak/>
        <w:t>SD</w:t>
      </w:r>
      <w:r w:rsidRPr="002859EC">
        <w:rPr>
          <w:rFonts w:ascii="Book Antiqua" w:hAnsi="Book Antiqua"/>
          <w:lang w:eastAsia="zh-CN"/>
        </w:rPr>
        <w:t>:</w:t>
      </w:r>
      <w:r w:rsidRPr="0011258C">
        <w:rPr>
          <w:rFonts w:ascii="Book Antiqua" w:hAnsi="Book Antiqua"/>
          <w:b/>
          <w:lang w:eastAsia="zh-CN"/>
        </w:rPr>
        <w:t xml:space="preserve"> </w:t>
      </w:r>
      <w:r w:rsidRPr="0011258C">
        <w:rPr>
          <w:rFonts w:ascii="Book Antiqua" w:hAnsi="Book Antiqua"/>
        </w:rPr>
        <w:t xml:space="preserve">Standard </w:t>
      </w:r>
      <w:r w:rsidRPr="0011258C">
        <w:rPr>
          <w:rFonts w:ascii="Book Antiqua" w:hAnsi="Book Antiqua"/>
          <w:lang w:eastAsia="zh-CN"/>
        </w:rPr>
        <w:t>d</w:t>
      </w:r>
      <w:r w:rsidRPr="0011258C">
        <w:rPr>
          <w:rFonts w:ascii="Book Antiqua" w:hAnsi="Book Antiqua"/>
        </w:rPr>
        <w:t>eviation</w:t>
      </w:r>
      <w:r w:rsidRPr="0011258C">
        <w:rPr>
          <w:rFonts w:ascii="Book Antiqua" w:hAnsi="Book Antiqua"/>
          <w:lang w:eastAsia="zh-CN"/>
        </w:rPr>
        <w:t xml:space="preserve">; BMI: </w:t>
      </w:r>
      <w:r w:rsidRPr="0011258C">
        <w:rPr>
          <w:rFonts w:ascii="Book Antiqua" w:hAnsi="Book Antiqua"/>
        </w:rPr>
        <w:t>Body mass index</w:t>
      </w:r>
      <w:r w:rsidRPr="0011258C">
        <w:rPr>
          <w:rFonts w:ascii="Book Antiqua" w:hAnsi="Book Antiqua"/>
          <w:lang w:eastAsia="zh-CN"/>
        </w:rPr>
        <w:t xml:space="preserve">; PRA: Panel reactive antibodies; HLA: Human leukocyte antigen; ESRD: </w:t>
      </w:r>
      <w:r w:rsidRPr="0011258C">
        <w:rPr>
          <w:rFonts w:ascii="Book Antiqua" w:hAnsi="Book Antiqua"/>
        </w:rPr>
        <w:t>End stage renal disease</w:t>
      </w:r>
      <w:r w:rsidRPr="0011258C">
        <w:rPr>
          <w:rFonts w:ascii="Book Antiqua" w:hAnsi="Book Antiqua"/>
          <w:lang w:eastAsia="zh-CN"/>
        </w:rPr>
        <w:t xml:space="preserve">; </w:t>
      </w:r>
      <w:r w:rsidRPr="0011258C">
        <w:rPr>
          <w:rFonts w:ascii="Book Antiqua" w:hAnsi="Book Antiqua"/>
        </w:rPr>
        <w:t>PCKD</w:t>
      </w:r>
      <w:r w:rsidRPr="0011258C">
        <w:rPr>
          <w:rFonts w:ascii="Book Antiqua" w:hAnsi="Book Antiqua"/>
          <w:lang w:eastAsia="zh-CN"/>
        </w:rPr>
        <w:t xml:space="preserve">: </w:t>
      </w:r>
      <w:r w:rsidRPr="00651874">
        <w:rPr>
          <w:rStyle w:val="st1"/>
          <w:rFonts w:ascii="Book Antiqua" w:hAnsi="Book Antiqua" w:cs="Arial"/>
        </w:rPr>
        <w:t>P</w:t>
      </w:r>
      <w:r w:rsidRPr="0011258C">
        <w:rPr>
          <w:rFonts w:ascii="Book Antiqua" w:hAnsi="Book Antiqua"/>
        </w:rPr>
        <w:t>olycystic kidney disease</w:t>
      </w:r>
      <w:r w:rsidRPr="0011258C">
        <w:rPr>
          <w:rFonts w:ascii="Book Antiqua" w:hAnsi="Book Antiqua"/>
          <w:lang w:eastAsia="zh-CN"/>
        </w:rPr>
        <w:t>.</w:t>
      </w:r>
    </w:p>
    <w:p w:rsidR="002D0694" w:rsidRPr="0011258C" w:rsidRDefault="002D0694" w:rsidP="002E6733">
      <w:pPr>
        <w:spacing w:line="360" w:lineRule="auto"/>
        <w:rPr>
          <w:rFonts w:ascii="Book Antiqua" w:hAnsi="Book Antiqua"/>
          <w:i/>
          <w:lang w:eastAsia="zh-CN"/>
        </w:rPr>
      </w:pPr>
    </w:p>
    <w:p w:rsidR="002D0694" w:rsidRPr="0011258C" w:rsidRDefault="002D0694" w:rsidP="002E6733">
      <w:pPr>
        <w:spacing w:line="360" w:lineRule="auto"/>
        <w:rPr>
          <w:rFonts w:ascii="Book Antiqua" w:hAnsi="Book Antiqua"/>
        </w:rPr>
      </w:pPr>
    </w:p>
    <w:p w:rsidR="002D0694" w:rsidRPr="0011258C" w:rsidRDefault="002D0694" w:rsidP="002E6733">
      <w:pPr>
        <w:spacing w:line="360" w:lineRule="auto"/>
        <w:rPr>
          <w:rFonts w:ascii="Book Antiqua" w:hAnsi="Book Antiqua"/>
        </w:rPr>
      </w:pPr>
    </w:p>
    <w:p w:rsidR="002D0694" w:rsidRPr="0011258C" w:rsidRDefault="002D0694" w:rsidP="004C6993">
      <w:pPr>
        <w:spacing w:line="360" w:lineRule="auto"/>
        <w:rPr>
          <w:rFonts w:ascii="Book Antiqua" w:hAnsi="Book Antiqua"/>
          <w:b/>
        </w:rPr>
      </w:pPr>
      <w:r w:rsidRPr="0011258C">
        <w:rPr>
          <w:rFonts w:ascii="Book Antiqua" w:hAnsi="Book Antiqua"/>
          <w:b/>
        </w:rPr>
        <w:t>Table 2</w:t>
      </w:r>
      <w:r w:rsidRPr="0011258C">
        <w:rPr>
          <w:rFonts w:ascii="Book Antiqua" w:hAnsi="Book Antiqua"/>
          <w:b/>
          <w:lang w:eastAsia="zh-CN"/>
        </w:rPr>
        <w:t xml:space="preserve"> </w:t>
      </w:r>
      <w:r w:rsidRPr="0011258C">
        <w:rPr>
          <w:rFonts w:ascii="Book Antiqua" w:hAnsi="Book Antiqua"/>
          <w:b/>
        </w:rPr>
        <w:t>Tacrolimus dose, trough level and kidney function in the two groups</w:t>
      </w:r>
    </w:p>
    <w:tbl>
      <w:tblPr>
        <w:tblW w:w="0" w:type="auto"/>
        <w:tblInd w:w="-342" w:type="dxa"/>
        <w:tblLook w:val="00A0" w:firstRow="1" w:lastRow="0" w:firstColumn="1" w:lastColumn="0" w:noHBand="0" w:noVBand="0"/>
      </w:tblPr>
      <w:tblGrid>
        <w:gridCol w:w="1835"/>
        <w:gridCol w:w="1346"/>
        <w:gridCol w:w="1350"/>
        <w:gridCol w:w="1350"/>
        <w:gridCol w:w="1341"/>
        <w:gridCol w:w="1341"/>
        <w:gridCol w:w="1341"/>
      </w:tblGrid>
      <w:tr w:rsidR="002D0694" w:rsidRPr="0011258C" w:rsidTr="009E3FB8">
        <w:tc>
          <w:tcPr>
            <w:tcW w:w="1835" w:type="dxa"/>
            <w:tcBorders>
              <w:top w:val="single" w:sz="12" w:space="0" w:color="auto"/>
              <w:bottom w:val="single" w:sz="12" w:space="0" w:color="auto"/>
            </w:tcBorders>
          </w:tcPr>
          <w:p w:rsidR="002D0694" w:rsidRPr="0011258C" w:rsidRDefault="002D0694" w:rsidP="002E6733">
            <w:pPr>
              <w:spacing w:line="360" w:lineRule="auto"/>
              <w:rPr>
                <w:rFonts w:ascii="Book Antiqua" w:hAnsi="Book Antiqua"/>
                <w:b/>
              </w:rPr>
            </w:pPr>
          </w:p>
        </w:tc>
        <w:tc>
          <w:tcPr>
            <w:tcW w:w="1346" w:type="dxa"/>
            <w:tcBorders>
              <w:top w:val="single" w:sz="12" w:space="0" w:color="auto"/>
              <w:bottom w:val="single" w:sz="12" w:space="0" w:color="auto"/>
            </w:tcBorders>
            <w:vAlign w:val="center"/>
          </w:tcPr>
          <w:p w:rsidR="002D0694" w:rsidRPr="0011258C" w:rsidRDefault="002D0694" w:rsidP="009E3FB8">
            <w:pPr>
              <w:spacing w:before="120" w:after="120" w:line="360" w:lineRule="auto"/>
              <w:jc w:val="center"/>
              <w:rPr>
                <w:rFonts w:ascii="Book Antiqua" w:hAnsi="Book Antiqua"/>
                <w:b/>
              </w:rPr>
            </w:pPr>
            <w:r w:rsidRPr="0011258C">
              <w:rPr>
                <w:rFonts w:ascii="Book Antiqua" w:hAnsi="Book Antiqua"/>
                <w:b/>
              </w:rPr>
              <w:t>1 wk</w:t>
            </w:r>
          </w:p>
        </w:tc>
        <w:tc>
          <w:tcPr>
            <w:tcW w:w="1350" w:type="dxa"/>
            <w:tcBorders>
              <w:top w:val="single" w:sz="12" w:space="0" w:color="auto"/>
              <w:bottom w:val="single" w:sz="12" w:space="0" w:color="auto"/>
            </w:tcBorders>
            <w:vAlign w:val="center"/>
          </w:tcPr>
          <w:p w:rsidR="002D0694" w:rsidRPr="0011258C" w:rsidRDefault="002D0694" w:rsidP="009E3FB8">
            <w:pPr>
              <w:spacing w:before="120" w:after="120" w:line="360" w:lineRule="auto"/>
              <w:jc w:val="center"/>
              <w:rPr>
                <w:rFonts w:ascii="Book Antiqua" w:hAnsi="Book Antiqua"/>
                <w:b/>
                <w:lang w:eastAsia="zh-CN"/>
              </w:rPr>
            </w:pPr>
            <w:r w:rsidRPr="0011258C">
              <w:rPr>
                <w:rFonts w:ascii="Book Antiqua" w:hAnsi="Book Antiqua"/>
                <w:b/>
              </w:rPr>
              <w:t>1 mo</w:t>
            </w:r>
          </w:p>
        </w:tc>
        <w:tc>
          <w:tcPr>
            <w:tcW w:w="1350" w:type="dxa"/>
            <w:tcBorders>
              <w:top w:val="single" w:sz="12" w:space="0" w:color="auto"/>
              <w:bottom w:val="single" w:sz="12" w:space="0" w:color="auto"/>
            </w:tcBorders>
            <w:vAlign w:val="center"/>
          </w:tcPr>
          <w:p w:rsidR="002D0694" w:rsidRPr="0011258C" w:rsidRDefault="002D0694" w:rsidP="009E3FB8">
            <w:pPr>
              <w:spacing w:before="120" w:after="120" w:line="360" w:lineRule="auto"/>
              <w:jc w:val="center"/>
              <w:rPr>
                <w:rFonts w:ascii="Book Antiqua" w:hAnsi="Book Antiqua"/>
                <w:b/>
                <w:lang w:eastAsia="zh-CN"/>
              </w:rPr>
            </w:pPr>
            <w:r w:rsidRPr="0011258C">
              <w:rPr>
                <w:rFonts w:ascii="Book Antiqua" w:hAnsi="Book Antiqua"/>
                <w:b/>
              </w:rPr>
              <w:t>2 mo</w:t>
            </w:r>
          </w:p>
        </w:tc>
        <w:tc>
          <w:tcPr>
            <w:tcW w:w="1341" w:type="dxa"/>
            <w:tcBorders>
              <w:top w:val="single" w:sz="12" w:space="0" w:color="auto"/>
              <w:bottom w:val="single" w:sz="12" w:space="0" w:color="auto"/>
            </w:tcBorders>
            <w:vAlign w:val="center"/>
          </w:tcPr>
          <w:p w:rsidR="002D0694" w:rsidRPr="0011258C" w:rsidRDefault="002D0694" w:rsidP="009E3FB8">
            <w:pPr>
              <w:spacing w:before="120" w:after="120" w:line="360" w:lineRule="auto"/>
              <w:jc w:val="center"/>
              <w:rPr>
                <w:rFonts w:ascii="Book Antiqua" w:hAnsi="Book Antiqua"/>
                <w:b/>
              </w:rPr>
            </w:pPr>
            <w:r w:rsidRPr="0011258C">
              <w:rPr>
                <w:rFonts w:ascii="Book Antiqua" w:hAnsi="Book Antiqua"/>
                <w:b/>
              </w:rPr>
              <w:t>1 yr</w:t>
            </w:r>
          </w:p>
        </w:tc>
        <w:tc>
          <w:tcPr>
            <w:tcW w:w="1341" w:type="dxa"/>
            <w:tcBorders>
              <w:top w:val="single" w:sz="12" w:space="0" w:color="auto"/>
              <w:bottom w:val="single" w:sz="12" w:space="0" w:color="auto"/>
            </w:tcBorders>
            <w:vAlign w:val="center"/>
          </w:tcPr>
          <w:p w:rsidR="002D0694" w:rsidRPr="0011258C" w:rsidRDefault="002D0694" w:rsidP="009E3FB8">
            <w:pPr>
              <w:spacing w:before="120" w:after="120" w:line="360" w:lineRule="auto"/>
              <w:jc w:val="center"/>
              <w:rPr>
                <w:rFonts w:ascii="Book Antiqua" w:hAnsi="Book Antiqua"/>
                <w:b/>
              </w:rPr>
            </w:pPr>
            <w:r w:rsidRPr="0011258C">
              <w:rPr>
                <w:rFonts w:ascii="Book Antiqua" w:hAnsi="Book Antiqua"/>
                <w:b/>
              </w:rPr>
              <w:t>3 yr</w:t>
            </w:r>
          </w:p>
        </w:tc>
        <w:tc>
          <w:tcPr>
            <w:tcW w:w="1341" w:type="dxa"/>
            <w:tcBorders>
              <w:top w:val="single" w:sz="12" w:space="0" w:color="auto"/>
              <w:bottom w:val="single" w:sz="12" w:space="0" w:color="auto"/>
            </w:tcBorders>
            <w:vAlign w:val="center"/>
          </w:tcPr>
          <w:p w:rsidR="002D0694" w:rsidRPr="0011258C" w:rsidRDefault="002D0694" w:rsidP="009E3FB8">
            <w:pPr>
              <w:spacing w:before="120" w:after="120" w:line="360" w:lineRule="auto"/>
              <w:jc w:val="center"/>
              <w:rPr>
                <w:rFonts w:ascii="Book Antiqua" w:hAnsi="Book Antiqua"/>
                <w:b/>
              </w:rPr>
            </w:pPr>
            <w:r w:rsidRPr="0011258C">
              <w:rPr>
                <w:rFonts w:ascii="Book Antiqua" w:hAnsi="Book Antiqua"/>
                <w:b/>
              </w:rPr>
              <w:t>5 yr</w:t>
            </w:r>
          </w:p>
        </w:tc>
      </w:tr>
      <w:tr w:rsidR="002D0694" w:rsidRPr="0011258C" w:rsidTr="00310600">
        <w:tc>
          <w:tcPr>
            <w:tcW w:w="9904" w:type="dxa"/>
            <w:gridSpan w:val="7"/>
            <w:tcBorders>
              <w:top w:val="single" w:sz="12" w:space="0" w:color="auto"/>
            </w:tcBorders>
          </w:tcPr>
          <w:p w:rsidR="002D0694" w:rsidRPr="0011258C" w:rsidRDefault="002D0694" w:rsidP="002E6733">
            <w:pPr>
              <w:spacing w:line="360" w:lineRule="auto"/>
              <w:rPr>
                <w:rFonts w:ascii="Book Antiqua" w:hAnsi="Book Antiqua"/>
                <w:b/>
              </w:rPr>
            </w:pPr>
            <w:r w:rsidRPr="0011258C">
              <w:rPr>
                <w:rFonts w:ascii="Book Antiqua" w:hAnsi="Book Antiqua"/>
                <w:b/>
              </w:rPr>
              <w:t xml:space="preserve">Tacrolimus </w:t>
            </w:r>
            <w:r>
              <w:rPr>
                <w:rFonts w:ascii="Book Antiqua" w:hAnsi="Book Antiqua"/>
                <w:b/>
                <w:lang w:eastAsia="zh-CN"/>
              </w:rPr>
              <w:t>d</w:t>
            </w:r>
            <w:r w:rsidRPr="0011258C">
              <w:rPr>
                <w:rFonts w:ascii="Book Antiqua" w:hAnsi="Book Antiqua"/>
                <w:b/>
              </w:rPr>
              <w:t>ose (mg/d)</w:t>
            </w:r>
          </w:p>
        </w:tc>
      </w:tr>
      <w:tr w:rsidR="002D0694" w:rsidRPr="0011258C" w:rsidTr="009E3FB8">
        <w:tc>
          <w:tcPr>
            <w:tcW w:w="1835" w:type="dxa"/>
          </w:tcPr>
          <w:p w:rsidR="002D0694" w:rsidRPr="0011258C" w:rsidRDefault="002D0694" w:rsidP="002E6733">
            <w:pPr>
              <w:spacing w:line="360" w:lineRule="auto"/>
              <w:ind w:left="432"/>
              <w:rPr>
                <w:rFonts w:ascii="Book Antiqua" w:hAnsi="Book Antiqua"/>
                <w:b/>
                <w:lang w:eastAsia="zh-CN"/>
              </w:rPr>
            </w:pPr>
            <w:r>
              <w:rPr>
                <w:rFonts w:ascii="Book Antiqua" w:hAnsi="Book Antiqua"/>
                <w:b/>
              </w:rPr>
              <w:t>Group 1</w:t>
            </w:r>
          </w:p>
        </w:tc>
        <w:tc>
          <w:tcPr>
            <w:tcW w:w="1346"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10.9</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5.6</w:t>
            </w:r>
          </w:p>
        </w:tc>
        <w:tc>
          <w:tcPr>
            <w:tcW w:w="1350"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7.5</w:t>
            </w:r>
            <w:r w:rsidRPr="0011258C">
              <w:rPr>
                <w:rFonts w:ascii="Book Antiqua" w:hAnsi="Book Antiqua"/>
                <w:lang w:eastAsia="zh-CN"/>
              </w:rPr>
              <w:t xml:space="preserve"> ± </w:t>
            </w:r>
            <w:r w:rsidRPr="0011258C">
              <w:rPr>
                <w:rFonts w:ascii="Book Antiqua" w:hAnsi="Book Antiqua"/>
              </w:rPr>
              <w:t>4.8</w:t>
            </w:r>
          </w:p>
        </w:tc>
        <w:tc>
          <w:tcPr>
            <w:tcW w:w="1350"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6.0</w:t>
            </w:r>
            <w:r w:rsidRPr="0011258C">
              <w:rPr>
                <w:rFonts w:ascii="Book Antiqua" w:hAnsi="Book Antiqua"/>
                <w:lang w:eastAsia="zh-CN"/>
              </w:rPr>
              <w:t xml:space="preserve"> </w:t>
            </w:r>
            <w:r w:rsidRPr="0011258C">
              <w:rPr>
                <w:rFonts w:ascii="Book Antiqua" w:hAnsi="Book Antiqua"/>
              </w:rPr>
              <w:t>± 3.6</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5.6</w:t>
            </w:r>
            <w:r w:rsidRPr="0011258C">
              <w:rPr>
                <w:rFonts w:ascii="Book Antiqua" w:hAnsi="Book Antiqua"/>
                <w:lang w:eastAsia="zh-CN"/>
              </w:rPr>
              <w:t xml:space="preserve"> </w:t>
            </w:r>
            <w:r w:rsidRPr="0011258C">
              <w:rPr>
                <w:rFonts w:ascii="Book Antiqua" w:hAnsi="Book Antiqua"/>
              </w:rPr>
              <w:t>± 3.8</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5.3</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3.1</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4.9</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2.8</w:t>
            </w:r>
          </w:p>
        </w:tc>
      </w:tr>
      <w:tr w:rsidR="002D0694" w:rsidRPr="0011258C" w:rsidTr="009E3FB8">
        <w:tc>
          <w:tcPr>
            <w:tcW w:w="1835" w:type="dxa"/>
          </w:tcPr>
          <w:p w:rsidR="002D0694" w:rsidRPr="0011258C" w:rsidRDefault="002D0694" w:rsidP="002E6733">
            <w:pPr>
              <w:spacing w:line="360" w:lineRule="auto"/>
              <w:ind w:left="432"/>
              <w:rPr>
                <w:rFonts w:ascii="Book Antiqua" w:hAnsi="Book Antiqua"/>
                <w:b/>
                <w:lang w:eastAsia="zh-CN"/>
              </w:rPr>
            </w:pPr>
            <w:r>
              <w:rPr>
                <w:rFonts w:ascii="Book Antiqua" w:hAnsi="Book Antiqua"/>
                <w:b/>
              </w:rPr>
              <w:t>Group 2</w:t>
            </w:r>
          </w:p>
        </w:tc>
        <w:tc>
          <w:tcPr>
            <w:tcW w:w="1346"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8.6</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4.1</w:t>
            </w:r>
          </w:p>
        </w:tc>
        <w:tc>
          <w:tcPr>
            <w:tcW w:w="1350"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8.3</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3.7</w:t>
            </w:r>
          </w:p>
        </w:tc>
        <w:tc>
          <w:tcPr>
            <w:tcW w:w="1350"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8.1</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3.2</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7.8 ± 3.0</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7.0 ±</w:t>
            </w:r>
            <w:r w:rsidRPr="0011258C">
              <w:rPr>
                <w:rFonts w:ascii="Book Antiqua" w:hAnsi="Book Antiqua"/>
                <w:lang w:eastAsia="zh-CN"/>
              </w:rPr>
              <w:t xml:space="preserve"> </w:t>
            </w:r>
            <w:r w:rsidRPr="0011258C">
              <w:rPr>
                <w:rFonts w:ascii="Book Antiqua" w:hAnsi="Book Antiqua"/>
              </w:rPr>
              <w:t>2.2</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6.2 ±</w:t>
            </w:r>
            <w:r w:rsidRPr="0011258C">
              <w:rPr>
                <w:rFonts w:ascii="Book Antiqua" w:hAnsi="Book Antiqua"/>
                <w:lang w:eastAsia="zh-CN"/>
              </w:rPr>
              <w:t xml:space="preserve"> </w:t>
            </w:r>
            <w:r w:rsidRPr="0011258C">
              <w:rPr>
                <w:rFonts w:ascii="Book Antiqua" w:hAnsi="Book Antiqua"/>
              </w:rPr>
              <w:t>2.5</w:t>
            </w:r>
          </w:p>
        </w:tc>
      </w:tr>
      <w:tr w:rsidR="002D0694" w:rsidRPr="0011258C" w:rsidTr="009E3FB8">
        <w:tc>
          <w:tcPr>
            <w:tcW w:w="1835" w:type="dxa"/>
          </w:tcPr>
          <w:p w:rsidR="002D0694" w:rsidRPr="0011258C" w:rsidRDefault="002D0694" w:rsidP="002E6733">
            <w:pPr>
              <w:spacing w:line="360" w:lineRule="auto"/>
              <w:ind w:left="432"/>
              <w:rPr>
                <w:rFonts w:ascii="Book Antiqua" w:hAnsi="Book Antiqua"/>
                <w:b/>
              </w:rPr>
            </w:pPr>
            <w:r w:rsidRPr="0011258C">
              <w:rPr>
                <w:rFonts w:ascii="Book Antiqua" w:hAnsi="Book Antiqua"/>
                <w:b/>
                <w:i/>
                <w:lang w:eastAsia="zh-CN"/>
              </w:rPr>
              <w:t>P</w:t>
            </w:r>
            <w:r w:rsidRPr="0011258C">
              <w:rPr>
                <w:rFonts w:ascii="Book Antiqua" w:hAnsi="Book Antiqua"/>
                <w:b/>
              </w:rPr>
              <w:t>-value</w:t>
            </w:r>
          </w:p>
        </w:tc>
        <w:tc>
          <w:tcPr>
            <w:tcW w:w="1346" w:type="dxa"/>
            <w:vAlign w:val="center"/>
          </w:tcPr>
          <w:p w:rsidR="002D0694" w:rsidRPr="0011258C" w:rsidRDefault="002D0694" w:rsidP="009E3FB8">
            <w:pPr>
              <w:spacing w:line="360" w:lineRule="auto"/>
              <w:jc w:val="center"/>
              <w:rPr>
                <w:rFonts w:ascii="Book Antiqua" w:hAnsi="Book Antiqua"/>
              </w:rPr>
            </w:pPr>
            <w:r w:rsidRPr="0011258C">
              <w:rPr>
                <w:rFonts w:ascii="Book Antiqua" w:hAnsi="Book Antiqua"/>
              </w:rPr>
              <w:t>0.004</w:t>
            </w:r>
          </w:p>
        </w:tc>
        <w:tc>
          <w:tcPr>
            <w:tcW w:w="1350" w:type="dxa"/>
            <w:vAlign w:val="center"/>
          </w:tcPr>
          <w:p w:rsidR="002D0694" w:rsidRPr="0011258C" w:rsidRDefault="002D0694" w:rsidP="009E3FB8">
            <w:pPr>
              <w:spacing w:line="360" w:lineRule="auto"/>
              <w:jc w:val="center"/>
              <w:rPr>
                <w:rFonts w:ascii="Book Antiqua" w:hAnsi="Book Antiqua"/>
              </w:rPr>
            </w:pPr>
            <w:r w:rsidRPr="0011258C">
              <w:rPr>
                <w:rFonts w:ascii="Book Antiqua" w:hAnsi="Book Antiqua"/>
              </w:rPr>
              <w:t>0.03</w:t>
            </w:r>
          </w:p>
        </w:tc>
        <w:tc>
          <w:tcPr>
            <w:tcW w:w="1350" w:type="dxa"/>
            <w:vAlign w:val="center"/>
          </w:tcPr>
          <w:p w:rsidR="002D0694" w:rsidRPr="0011258C" w:rsidRDefault="002D0694" w:rsidP="009E3FB8">
            <w:pPr>
              <w:spacing w:line="360" w:lineRule="auto"/>
              <w:jc w:val="center"/>
              <w:rPr>
                <w:rFonts w:ascii="Book Antiqua" w:hAnsi="Book Antiqua"/>
              </w:rPr>
            </w:pPr>
            <w:r w:rsidRPr="0011258C">
              <w:rPr>
                <w:rFonts w:ascii="Book Antiqua" w:hAnsi="Book Antiqua"/>
              </w:rPr>
              <w:t>&lt;</w:t>
            </w:r>
            <w:r w:rsidRPr="0011258C">
              <w:rPr>
                <w:rFonts w:ascii="Book Antiqua" w:hAnsi="Book Antiqua"/>
                <w:lang w:eastAsia="zh-CN"/>
              </w:rPr>
              <w:t xml:space="preserve"> </w:t>
            </w:r>
            <w:r w:rsidRPr="0011258C">
              <w:rPr>
                <w:rFonts w:ascii="Book Antiqua" w:hAnsi="Book Antiqua"/>
              </w:rPr>
              <w:t>0.001</w:t>
            </w:r>
          </w:p>
        </w:tc>
        <w:tc>
          <w:tcPr>
            <w:tcW w:w="1341" w:type="dxa"/>
            <w:vAlign w:val="center"/>
          </w:tcPr>
          <w:p w:rsidR="002D0694" w:rsidRPr="0011258C" w:rsidRDefault="002D0694" w:rsidP="009E3FB8">
            <w:pPr>
              <w:spacing w:line="360" w:lineRule="auto"/>
              <w:jc w:val="center"/>
              <w:rPr>
                <w:rFonts w:ascii="Book Antiqua" w:hAnsi="Book Antiqua"/>
              </w:rPr>
            </w:pPr>
            <w:r w:rsidRPr="0011258C">
              <w:rPr>
                <w:rFonts w:ascii="Book Antiqua" w:hAnsi="Book Antiqua"/>
              </w:rPr>
              <w:t>&lt;</w:t>
            </w:r>
            <w:r w:rsidRPr="0011258C">
              <w:rPr>
                <w:rFonts w:ascii="Book Antiqua" w:hAnsi="Book Antiqua"/>
                <w:lang w:eastAsia="zh-CN"/>
              </w:rPr>
              <w:t xml:space="preserve"> </w:t>
            </w:r>
            <w:r w:rsidRPr="0011258C">
              <w:rPr>
                <w:rFonts w:ascii="Book Antiqua" w:hAnsi="Book Antiqua"/>
              </w:rPr>
              <w:t>0.001</w:t>
            </w:r>
          </w:p>
        </w:tc>
        <w:tc>
          <w:tcPr>
            <w:tcW w:w="1341" w:type="dxa"/>
            <w:vAlign w:val="center"/>
          </w:tcPr>
          <w:p w:rsidR="002D0694" w:rsidRPr="0011258C" w:rsidRDefault="002D0694" w:rsidP="009E3FB8">
            <w:pPr>
              <w:spacing w:line="360" w:lineRule="auto"/>
              <w:jc w:val="center"/>
              <w:rPr>
                <w:rFonts w:ascii="Book Antiqua" w:hAnsi="Book Antiqua"/>
              </w:rPr>
            </w:pPr>
            <w:r w:rsidRPr="0011258C">
              <w:rPr>
                <w:rFonts w:ascii="Book Antiqua" w:hAnsi="Book Antiqua"/>
              </w:rPr>
              <w:t>&lt;</w:t>
            </w:r>
            <w:r w:rsidRPr="0011258C">
              <w:rPr>
                <w:rFonts w:ascii="Book Antiqua" w:hAnsi="Book Antiqua"/>
                <w:lang w:eastAsia="zh-CN"/>
              </w:rPr>
              <w:t xml:space="preserve"> </w:t>
            </w:r>
            <w:r w:rsidRPr="0011258C">
              <w:rPr>
                <w:rFonts w:ascii="Book Antiqua" w:hAnsi="Book Antiqua"/>
              </w:rPr>
              <w:t>0.001</w:t>
            </w:r>
          </w:p>
        </w:tc>
        <w:tc>
          <w:tcPr>
            <w:tcW w:w="1341" w:type="dxa"/>
            <w:vAlign w:val="center"/>
          </w:tcPr>
          <w:p w:rsidR="002D0694" w:rsidRPr="0011258C" w:rsidRDefault="002D0694" w:rsidP="009E3FB8">
            <w:pPr>
              <w:spacing w:line="360" w:lineRule="auto"/>
              <w:jc w:val="center"/>
              <w:rPr>
                <w:rFonts w:ascii="Book Antiqua" w:hAnsi="Book Antiqua"/>
              </w:rPr>
            </w:pPr>
            <w:r w:rsidRPr="0011258C">
              <w:rPr>
                <w:rFonts w:ascii="Book Antiqua" w:hAnsi="Book Antiqua"/>
              </w:rPr>
              <w:t>&lt;</w:t>
            </w:r>
            <w:r w:rsidRPr="0011258C">
              <w:rPr>
                <w:rFonts w:ascii="Book Antiqua" w:hAnsi="Book Antiqua"/>
                <w:lang w:eastAsia="zh-CN"/>
              </w:rPr>
              <w:t xml:space="preserve"> </w:t>
            </w:r>
            <w:r w:rsidRPr="0011258C">
              <w:rPr>
                <w:rFonts w:ascii="Book Antiqua" w:hAnsi="Book Antiqua"/>
              </w:rPr>
              <w:t>0.001</w:t>
            </w:r>
          </w:p>
        </w:tc>
      </w:tr>
      <w:tr w:rsidR="002D0694" w:rsidRPr="0011258C" w:rsidTr="009E3FB8">
        <w:tc>
          <w:tcPr>
            <w:tcW w:w="9904" w:type="dxa"/>
            <w:gridSpan w:val="7"/>
            <w:vAlign w:val="center"/>
          </w:tcPr>
          <w:p w:rsidR="002D0694" w:rsidRPr="0011258C" w:rsidRDefault="002D0694" w:rsidP="009E3FB8">
            <w:pPr>
              <w:spacing w:line="360" w:lineRule="auto"/>
              <w:rPr>
                <w:rFonts w:ascii="Book Antiqua" w:hAnsi="Book Antiqua"/>
                <w:b/>
              </w:rPr>
            </w:pPr>
            <w:r w:rsidRPr="0011258C">
              <w:rPr>
                <w:rFonts w:ascii="Book Antiqua" w:hAnsi="Book Antiqua"/>
                <w:b/>
              </w:rPr>
              <w:t xml:space="preserve">Tacrolimus </w:t>
            </w:r>
            <w:r>
              <w:rPr>
                <w:rFonts w:ascii="Book Antiqua" w:hAnsi="Book Antiqua"/>
                <w:b/>
                <w:lang w:eastAsia="zh-CN"/>
              </w:rPr>
              <w:t>t</w:t>
            </w:r>
            <w:r w:rsidRPr="0011258C">
              <w:rPr>
                <w:rFonts w:ascii="Book Antiqua" w:hAnsi="Book Antiqua"/>
                <w:b/>
              </w:rPr>
              <w:t>rough level (</w:t>
            </w:r>
            <w:r w:rsidRPr="00DE7D4B">
              <w:rPr>
                <w:rFonts w:ascii="Book Antiqua" w:hAnsi="Book Antiqua"/>
                <w:b/>
              </w:rPr>
              <w:t xml:space="preserve">× </w:t>
            </w:r>
            <w:r w:rsidRPr="00DE7D4B">
              <w:rPr>
                <w:rFonts w:ascii="Book Antiqua" w:hAnsi="Book Antiqua"/>
                <w:b/>
                <w:lang w:eastAsia="zh-CN"/>
              </w:rPr>
              <w:t xml:space="preserve">10 </w:t>
            </w:r>
            <w:r w:rsidRPr="0011258C">
              <w:rPr>
                <w:rFonts w:ascii="Book Antiqua" w:hAnsi="Book Antiqua"/>
                <w:b/>
                <w:color w:val="000000"/>
              </w:rPr>
              <w:sym w:font="Symbol" w:char="F06D"/>
            </w:r>
            <w:r w:rsidRPr="0011258C">
              <w:rPr>
                <w:rFonts w:ascii="Book Antiqua" w:hAnsi="Book Antiqua"/>
                <w:b/>
              </w:rPr>
              <w:t>g/</w:t>
            </w:r>
            <w:r>
              <w:rPr>
                <w:rFonts w:ascii="Book Antiqua" w:hAnsi="Book Antiqua"/>
                <w:b/>
                <w:lang w:eastAsia="zh-CN"/>
              </w:rPr>
              <w:t>L</w:t>
            </w:r>
            <w:r w:rsidRPr="0011258C">
              <w:rPr>
                <w:rFonts w:ascii="Book Antiqua" w:hAnsi="Book Antiqua"/>
                <w:b/>
              </w:rPr>
              <w:t>)</w:t>
            </w:r>
          </w:p>
        </w:tc>
      </w:tr>
      <w:tr w:rsidR="002D0694" w:rsidRPr="0011258C" w:rsidTr="009E3FB8">
        <w:tc>
          <w:tcPr>
            <w:tcW w:w="1835" w:type="dxa"/>
          </w:tcPr>
          <w:p w:rsidR="002D0694" w:rsidRPr="0011258C" w:rsidRDefault="002D0694" w:rsidP="002E6733">
            <w:pPr>
              <w:spacing w:line="360" w:lineRule="auto"/>
              <w:ind w:left="432"/>
              <w:rPr>
                <w:rFonts w:ascii="Book Antiqua" w:hAnsi="Book Antiqua"/>
                <w:b/>
                <w:lang w:eastAsia="zh-CN"/>
              </w:rPr>
            </w:pPr>
            <w:r>
              <w:rPr>
                <w:rFonts w:ascii="Book Antiqua" w:hAnsi="Book Antiqua"/>
                <w:b/>
              </w:rPr>
              <w:t>Group 1</w:t>
            </w:r>
          </w:p>
        </w:tc>
        <w:tc>
          <w:tcPr>
            <w:tcW w:w="1346"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11.3</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2.1</w:t>
            </w:r>
          </w:p>
        </w:tc>
        <w:tc>
          <w:tcPr>
            <w:tcW w:w="1350"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9.7</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1.9</w:t>
            </w:r>
          </w:p>
        </w:tc>
        <w:tc>
          <w:tcPr>
            <w:tcW w:w="1350"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9.3</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1.7</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8.6</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2.1</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6.4 ± 1.9</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5.3</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1.4</w:t>
            </w:r>
          </w:p>
        </w:tc>
      </w:tr>
      <w:tr w:rsidR="002D0694" w:rsidRPr="0011258C" w:rsidTr="009E3FB8">
        <w:tc>
          <w:tcPr>
            <w:tcW w:w="1835" w:type="dxa"/>
          </w:tcPr>
          <w:p w:rsidR="002D0694" w:rsidRPr="0011258C" w:rsidRDefault="002D0694" w:rsidP="002E6733">
            <w:pPr>
              <w:spacing w:line="360" w:lineRule="auto"/>
              <w:ind w:left="432"/>
              <w:rPr>
                <w:rFonts w:ascii="Book Antiqua" w:hAnsi="Book Antiqua"/>
                <w:b/>
                <w:lang w:eastAsia="zh-CN"/>
              </w:rPr>
            </w:pPr>
            <w:r>
              <w:rPr>
                <w:rFonts w:ascii="Book Antiqua" w:hAnsi="Book Antiqua"/>
                <w:b/>
              </w:rPr>
              <w:t>Group 2</w:t>
            </w:r>
          </w:p>
        </w:tc>
        <w:tc>
          <w:tcPr>
            <w:tcW w:w="1346"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10.7</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1.8</w:t>
            </w:r>
          </w:p>
        </w:tc>
        <w:tc>
          <w:tcPr>
            <w:tcW w:w="1350"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10.2</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2.0</w:t>
            </w:r>
          </w:p>
        </w:tc>
        <w:tc>
          <w:tcPr>
            <w:tcW w:w="1350"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9.5</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1.6</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9.0</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1.8</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5.8</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1.7</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4.8</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1.5</w:t>
            </w:r>
          </w:p>
        </w:tc>
      </w:tr>
      <w:tr w:rsidR="002D0694" w:rsidRPr="0011258C" w:rsidTr="009E3FB8">
        <w:tc>
          <w:tcPr>
            <w:tcW w:w="9904" w:type="dxa"/>
            <w:gridSpan w:val="7"/>
            <w:vAlign w:val="center"/>
          </w:tcPr>
          <w:p w:rsidR="002D0694" w:rsidRPr="0011258C" w:rsidRDefault="002D0694" w:rsidP="009E3FB8">
            <w:pPr>
              <w:spacing w:line="360" w:lineRule="auto"/>
              <w:rPr>
                <w:rFonts w:ascii="Book Antiqua" w:hAnsi="Book Antiqua"/>
                <w:b/>
              </w:rPr>
            </w:pPr>
            <w:r w:rsidRPr="0011258C">
              <w:rPr>
                <w:rFonts w:ascii="Book Antiqua" w:hAnsi="Book Antiqua"/>
                <w:b/>
              </w:rPr>
              <w:t>Serum Cr</w:t>
            </w:r>
            <w:r w:rsidRPr="0011258C">
              <w:rPr>
                <w:rFonts w:ascii="Book Antiqua" w:hAnsi="Book Antiqua"/>
                <w:b/>
                <w:lang w:eastAsia="zh-CN"/>
              </w:rPr>
              <w:t xml:space="preserve"> </w:t>
            </w:r>
            <w:r>
              <w:rPr>
                <w:rFonts w:ascii="Book Antiqua" w:hAnsi="Book Antiqua"/>
                <w:b/>
              </w:rPr>
              <w:t>(</w:t>
            </w:r>
            <w:r w:rsidRPr="00DE7D4B">
              <w:rPr>
                <w:rFonts w:ascii="Book Antiqua" w:hAnsi="Book Antiqua"/>
                <w:b/>
              </w:rPr>
              <w:t xml:space="preserve">× </w:t>
            </w:r>
            <w:r w:rsidRPr="00DE7D4B">
              <w:rPr>
                <w:rFonts w:ascii="Book Antiqua" w:hAnsi="Book Antiqua"/>
                <w:b/>
                <w:lang w:eastAsia="zh-CN"/>
              </w:rPr>
              <w:t>10</w:t>
            </w:r>
            <w:r>
              <w:rPr>
                <w:rFonts w:ascii="Book Antiqua" w:hAnsi="Book Antiqua"/>
                <w:b/>
                <w:lang w:eastAsia="zh-CN"/>
              </w:rPr>
              <w:t xml:space="preserve"> </w:t>
            </w:r>
            <w:r>
              <w:rPr>
                <w:rFonts w:ascii="Book Antiqua" w:hAnsi="Book Antiqua"/>
                <w:b/>
              </w:rPr>
              <w:t>mg/</w:t>
            </w:r>
            <w:r>
              <w:rPr>
                <w:rFonts w:ascii="Book Antiqua" w:hAnsi="Book Antiqua"/>
                <w:b/>
                <w:lang w:eastAsia="zh-CN"/>
              </w:rPr>
              <w:t>L</w:t>
            </w:r>
            <w:r w:rsidRPr="0011258C">
              <w:rPr>
                <w:rFonts w:ascii="Book Antiqua" w:hAnsi="Book Antiqua"/>
                <w:b/>
              </w:rPr>
              <w:t>)</w:t>
            </w:r>
          </w:p>
        </w:tc>
      </w:tr>
      <w:tr w:rsidR="002D0694" w:rsidRPr="0011258C" w:rsidTr="009E3FB8">
        <w:tc>
          <w:tcPr>
            <w:tcW w:w="1835" w:type="dxa"/>
          </w:tcPr>
          <w:p w:rsidR="002D0694" w:rsidRPr="0011258C" w:rsidRDefault="002D0694" w:rsidP="002E6733">
            <w:pPr>
              <w:spacing w:line="360" w:lineRule="auto"/>
              <w:ind w:left="432"/>
              <w:rPr>
                <w:rFonts w:ascii="Book Antiqua" w:hAnsi="Book Antiqua"/>
                <w:b/>
                <w:lang w:eastAsia="zh-CN"/>
              </w:rPr>
            </w:pPr>
            <w:r>
              <w:rPr>
                <w:rFonts w:ascii="Book Antiqua" w:hAnsi="Book Antiqua"/>
                <w:b/>
              </w:rPr>
              <w:t>Group 1</w:t>
            </w:r>
          </w:p>
        </w:tc>
        <w:tc>
          <w:tcPr>
            <w:tcW w:w="1346"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2.2</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1.3</w:t>
            </w:r>
          </w:p>
        </w:tc>
        <w:tc>
          <w:tcPr>
            <w:tcW w:w="1350"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1.7</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1.1</w:t>
            </w:r>
          </w:p>
        </w:tc>
        <w:tc>
          <w:tcPr>
            <w:tcW w:w="1350"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1.5</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0.9</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1.6</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1.2</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1.6</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0.8</w:t>
            </w:r>
          </w:p>
        </w:tc>
        <w:tc>
          <w:tcPr>
            <w:tcW w:w="1341" w:type="dxa"/>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1.7</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0.9</w:t>
            </w:r>
          </w:p>
        </w:tc>
      </w:tr>
      <w:tr w:rsidR="002D0694" w:rsidRPr="0011258C" w:rsidTr="009E3FB8">
        <w:tc>
          <w:tcPr>
            <w:tcW w:w="1835" w:type="dxa"/>
            <w:tcBorders>
              <w:bottom w:val="single" w:sz="12" w:space="0" w:color="auto"/>
            </w:tcBorders>
          </w:tcPr>
          <w:p w:rsidR="002D0694" w:rsidRPr="0011258C" w:rsidRDefault="002D0694" w:rsidP="002E6733">
            <w:pPr>
              <w:spacing w:line="360" w:lineRule="auto"/>
              <w:ind w:left="432"/>
              <w:rPr>
                <w:rFonts w:ascii="Book Antiqua" w:hAnsi="Book Antiqua"/>
                <w:b/>
                <w:lang w:eastAsia="zh-CN"/>
              </w:rPr>
            </w:pPr>
            <w:r>
              <w:rPr>
                <w:rFonts w:ascii="Book Antiqua" w:hAnsi="Book Antiqua"/>
                <w:b/>
              </w:rPr>
              <w:t>Group 2</w:t>
            </w:r>
          </w:p>
        </w:tc>
        <w:tc>
          <w:tcPr>
            <w:tcW w:w="1346" w:type="dxa"/>
            <w:tcBorders>
              <w:bottom w:val="single" w:sz="12" w:space="0" w:color="auto"/>
            </w:tcBorders>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1.9</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1.1</w:t>
            </w:r>
          </w:p>
        </w:tc>
        <w:tc>
          <w:tcPr>
            <w:tcW w:w="1350" w:type="dxa"/>
            <w:tcBorders>
              <w:bottom w:val="single" w:sz="12" w:space="0" w:color="auto"/>
            </w:tcBorders>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1.7</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0.9</w:t>
            </w:r>
          </w:p>
        </w:tc>
        <w:tc>
          <w:tcPr>
            <w:tcW w:w="1350" w:type="dxa"/>
            <w:tcBorders>
              <w:bottom w:val="single" w:sz="12" w:space="0" w:color="auto"/>
            </w:tcBorders>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1.6</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0.7</w:t>
            </w:r>
          </w:p>
        </w:tc>
        <w:tc>
          <w:tcPr>
            <w:tcW w:w="1341" w:type="dxa"/>
            <w:tcBorders>
              <w:bottom w:val="single" w:sz="12" w:space="0" w:color="auto"/>
            </w:tcBorders>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1.5</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0.8</w:t>
            </w:r>
          </w:p>
        </w:tc>
        <w:tc>
          <w:tcPr>
            <w:tcW w:w="1341" w:type="dxa"/>
            <w:tcBorders>
              <w:bottom w:val="single" w:sz="12" w:space="0" w:color="auto"/>
            </w:tcBorders>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1.5</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0.7</w:t>
            </w:r>
          </w:p>
        </w:tc>
        <w:tc>
          <w:tcPr>
            <w:tcW w:w="1341" w:type="dxa"/>
            <w:tcBorders>
              <w:bottom w:val="single" w:sz="12" w:space="0" w:color="auto"/>
            </w:tcBorders>
            <w:vAlign w:val="center"/>
          </w:tcPr>
          <w:p w:rsidR="002D0694" w:rsidRPr="0011258C" w:rsidRDefault="002D0694" w:rsidP="009E3FB8">
            <w:pPr>
              <w:spacing w:line="360" w:lineRule="auto"/>
              <w:jc w:val="center"/>
              <w:rPr>
                <w:rFonts w:ascii="Book Antiqua" w:hAnsi="Book Antiqua"/>
                <w:b/>
              </w:rPr>
            </w:pPr>
            <w:r w:rsidRPr="0011258C">
              <w:rPr>
                <w:rFonts w:ascii="Book Antiqua" w:hAnsi="Book Antiqua"/>
              </w:rPr>
              <w:t>1.6</w:t>
            </w:r>
            <w:r w:rsidRPr="0011258C">
              <w:rPr>
                <w:rFonts w:ascii="Book Antiqua" w:hAnsi="Book Antiqua"/>
                <w:lang w:eastAsia="zh-CN"/>
              </w:rPr>
              <w:t xml:space="preserve"> </w:t>
            </w:r>
            <w:r w:rsidRPr="0011258C">
              <w:rPr>
                <w:rFonts w:ascii="Book Antiqua" w:hAnsi="Book Antiqua"/>
              </w:rPr>
              <w:t>±</w:t>
            </w:r>
            <w:r w:rsidRPr="0011258C">
              <w:rPr>
                <w:rFonts w:ascii="Book Antiqua" w:hAnsi="Book Antiqua"/>
                <w:lang w:eastAsia="zh-CN"/>
              </w:rPr>
              <w:t xml:space="preserve"> </w:t>
            </w:r>
            <w:r w:rsidRPr="0011258C">
              <w:rPr>
                <w:rFonts w:ascii="Book Antiqua" w:hAnsi="Book Antiqua"/>
              </w:rPr>
              <w:t>0.8</w:t>
            </w:r>
          </w:p>
        </w:tc>
      </w:tr>
    </w:tbl>
    <w:p w:rsidR="002D0694" w:rsidRPr="0011258C" w:rsidRDefault="002D0694" w:rsidP="002E6733">
      <w:pPr>
        <w:spacing w:line="360" w:lineRule="auto"/>
        <w:rPr>
          <w:rFonts w:ascii="Book Antiqua" w:hAnsi="Book Antiqua"/>
          <w:b/>
        </w:rPr>
      </w:pPr>
    </w:p>
    <w:p w:rsidR="002D0694" w:rsidRPr="00651874" w:rsidRDefault="002D0694" w:rsidP="00651874">
      <w:pPr>
        <w:spacing w:line="360" w:lineRule="auto"/>
        <w:rPr>
          <w:rFonts w:ascii="Book Antiqua" w:hAnsi="Book Antiqua"/>
          <w:b/>
        </w:rPr>
      </w:pPr>
      <w:r w:rsidRPr="0011258C">
        <w:rPr>
          <w:rFonts w:ascii="Book Antiqua" w:hAnsi="Book Antiqua"/>
          <w:i/>
        </w:rPr>
        <w:br w:type="page"/>
      </w:r>
      <w:r w:rsidRPr="00651874">
        <w:rPr>
          <w:rFonts w:ascii="Book Antiqua" w:hAnsi="Book Antiqua"/>
          <w:b/>
        </w:rPr>
        <w:lastRenderedPageBreak/>
        <w:t>Table 3</w:t>
      </w:r>
      <w:r>
        <w:rPr>
          <w:rFonts w:ascii="Book Antiqua" w:hAnsi="Book Antiqua"/>
          <w:b/>
          <w:lang w:eastAsia="zh-CN"/>
        </w:rPr>
        <w:t xml:space="preserve"> </w:t>
      </w:r>
      <w:r w:rsidRPr="00651874">
        <w:rPr>
          <w:rFonts w:ascii="Book Antiqua" w:hAnsi="Book Antiqua"/>
          <w:b/>
        </w:rPr>
        <w:t>Post transplant events and causes of graft loss and patient death</w:t>
      </w:r>
    </w:p>
    <w:tbl>
      <w:tblPr>
        <w:tblpPr w:leftFromText="180" w:rightFromText="180" w:vertAnchor="page" w:horzAnchor="margin" w:tblpY="1936"/>
        <w:tblW w:w="0" w:type="auto"/>
        <w:tblLook w:val="01E0" w:firstRow="1" w:lastRow="1" w:firstColumn="1" w:lastColumn="1" w:noHBand="0" w:noVBand="0"/>
      </w:tblPr>
      <w:tblGrid>
        <w:gridCol w:w="3407"/>
        <w:gridCol w:w="1918"/>
        <w:gridCol w:w="1918"/>
        <w:gridCol w:w="2045"/>
      </w:tblGrid>
      <w:tr w:rsidR="002D0694" w:rsidRPr="00651874" w:rsidTr="00310600">
        <w:trPr>
          <w:trHeight w:val="661"/>
        </w:trPr>
        <w:tc>
          <w:tcPr>
            <w:tcW w:w="3407" w:type="dxa"/>
            <w:tcBorders>
              <w:top w:val="single" w:sz="12" w:space="0" w:color="auto"/>
              <w:bottom w:val="single" w:sz="12" w:space="0" w:color="auto"/>
            </w:tcBorders>
          </w:tcPr>
          <w:p w:rsidR="002D0694" w:rsidRPr="00651874" w:rsidRDefault="002D0694" w:rsidP="00310600">
            <w:pPr>
              <w:rPr>
                <w:rFonts w:ascii="Book Antiqua" w:hAnsi="Book Antiqua"/>
              </w:rPr>
            </w:pPr>
          </w:p>
        </w:tc>
        <w:tc>
          <w:tcPr>
            <w:tcW w:w="1918" w:type="dxa"/>
            <w:tcBorders>
              <w:top w:val="single" w:sz="12" w:space="0" w:color="auto"/>
              <w:bottom w:val="single" w:sz="12" w:space="0" w:color="auto"/>
            </w:tcBorders>
          </w:tcPr>
          <w:p w:rsidR="002D0694" w:rsidRPr="00651874" w:rsidRDefault="002D0694" w:rsidP="00310600">
            <w:pPr>
              <w:jc w:val="center"/>
              <w:rPr>
                <w:rFonts w:ascii="Book Antiqua" w:hAnsi="Book Antiqua"/>
                <w:b/>
              </w:rPr>
            </w:pPr>
            <w:r w:rsidRPr="00651874">
              <w:rPr>
                <w:rFonts w:ascii="Book Antiqua" w:hAnsi="Book Antiqua"/>
                <w:b/>
              </w:rPr>
              <w:t>Group 1</w:t>
            </w:r>
          </w:p>
          <w:p w:rsidR="002D0694" w:rsidRPr="00651874" w:rsidRDefault="002D0694" w:rsidP="00310600">
            <w:pPr>
              <w:jc w:val="center"/>
              <w:rPr>
                <w:rFonts w:ascii="Book Antiqua" w:hAnsi="Book Antiqua"/>
                <w:b/>
              </w:rPr>
            </w:pPr>
            <w:r w:rsidRPr="00651874">
              <w:rPr>
                <w:rFonts w:ascii="Book Antiqua" w:hAnsi="Book Antiqua"/>
                <w:b/>
              </w:rPr>
              <w:t>(N</w:t>
            </w:r>
            <w:r>
              <w:rPr>
                <w:rFonts w:ascii="Book Antiqua" w:hAnsi="Book Antiqua"/>
                <w:b/>
                <w:lang w:eastAsia="zh-CN"/>
              </w:rPr>
              <w:t xml:space="preserve"> </w:t>
            </w:r>
            <w:r w:rsidRPr="00651874">
              <w:rPr>
                <w:rFonts w:ascii="Book Antiqua" w:hAnsi="Book Antiqua"/>
                <w:b/>
              </w:rPr>
              <w:t>=</w:t>
            </w:r>
            <w:r>
              <w:rPr>
                <w:rFonts w:ascii="Book Antiqua" w:hAnsi="Book Antiqua"/>
                <w:b/>
                <w:lang w:eastAsia="zh-CN"/>
              </w:rPr>
              <w:t xml:space="preserve"> </w:t>
            </w:r>
            <w:r w:rsidRPr="00651874">
              <w:rPr>
                <w:rFonts w:ascii="Book Antiqua" w:hAnsi="Book Antiqua"/>
                <w:b/>
              </w:rPr>
              <w:t>199)</w:t>
            </w:r>
          </w:p>
        </w:tc>
        <w:tc>
          <w:tcPr>
            <w:tcW w:w="1918" w:type="dxa"/>
            <w:tcBorders>
              <w:top w:val="single" w:sz="12" w:space="0" w:color="auto"/>
              <w:bottom w:val="single" w:sz="12" w:space="0" w:color="auto"/>
            </w:tcBorders>
          </w:tcPr>
          <w:p w:rsidR="002D0694" w:rsidRPr="00651874" w:rsidRDefault="002D0694" w:rsidP="00310600">
            <w:pPr>
              <w:jc w:val="center"/>
              <w:rPr>
                <w:rFonts w:ascii="Book Antiqua" w:hAnsi="Book Antiqua"/>
                <w:b/>
              </w:rPr>
            </w:pPr>
            <w:r w:rsidRPr="00651874">
              <w:rPr>
                <w:rFonts w:ascii="Book Antiqua" w:hAnsi="Book Antiqua"/>
                <w:b/>
              </w:rPr>
              <w:t>Group 2</w:t>
            </w:r>
          </w:p>
          <w:p w:rsidR="002D0694" w:rsidRPr="00651874" w:rsidRDefault="002D0694" w:rsidP="00310600">
            <w:pPr>
              <w:jc w:val="center"/>
              <w:rPr>
                <w:rFonts w:ascii="Book Antiqua" w:hAnsi="Book Antiqua"/>
                <w:b/>
              </w:rPr>
            </w:pPr>
            <w:r w:rsidRPr="00651874">
              <w:rPr>
                <w:rFonts w:ascii="Book Antiqua" w:hAnsi="Book Antiqua"/>
                <w:b/>
              </w:rPr>
              <w:t>(N</w:t>
            </w:r>
            <w:r>
              <w:rPr>
                <w:rFonts w:ascii="Book Antiqua" w:hAnsi="Book Antiqua"/>
                <w:b/>
                <w:lang w:eastAsia="zh-CN"/>
              </w:rPr>
              <w:t xml:space="preserve"> </w:t>
            </w:r>
            <w:r w:rsidRPr="00651874">
              <w:rPr>
                <w:rFonts w:ascii="Book Antiqua" w:hAnsi="Book Antiqua"/>
                <w:b/>
              </w:rPr>
              <w:t>=</w:t>
            </w:r>
            <w:r>
              <w:rPr>
                <w:rFonts w:ascii="Book Antiqua" w:hAnsi="Book Antiqua"/>
                <w:b/>
                <w:lang w:eastAsia="zh-CN"/>
              </w:rPr>
              <w:t xml:space="preserve"> </w:t>
            </w:r>
            <w:r w:rsidRPr="00651874">
              <w:rPr>
                <w:rFonts w:ascii="Book Antiqua" w:hAnsi="Book Antiqua"/>
                <w:b/>
              </w:rPr>
              <w:t>149)</w:t>
            </w:r>
          </w:p>
        </w:tc>
        <w:tc>
          <w:tcPr>
            <w:tcW w:w="2045" w:type="dxa"/>
            <w:tcBorders>
              <w:top w:val="single" w:sz="12" w:space="0" w:color="auto"/>
              <w:bottom w:val="single" w:sz="12" w:space="0" w:color="auto"/>
            </w:tcBorders>
          </w:tcPr>
          <w:p w:rsidR="002D0694" w:rsidRPr="00651874" w:rsidRDefault="002D0694" w:rsidP="00310600">
            <w:pPr>
              <w:jc w:val="center"/>
              <w:rPr>
                <w:rFonts w:ascii="Book Antiqua" w:hAnsi="Book Antiqua"/>
                <w:b/>
              </w:rPr>
            </w:pPr>
            <w:r w:rsidRPr="00651874">
              <w:rPr>
                <w:rFonts w:ascii="Book Antiqua" w:hAnsi="Book Antiqua"/>
                <w:b/>
                <w:i/>
                <w:lang w:eastAsia="zh-CN"/>
              </w:rPr>
              <w:t>P</w:t>
            </w:r>
            <w:r w:rsidRPr="00651874">
              <w:rPr>
                <w:rFonts w:ascii="Book Antiqua" w:hAnsi="Book Antiqua"/>
                <w:b/>
              </w:rPr>
              <w:t>-value</w:t>
            </w:r>
          </w:p>
        </w:tc>
      </w:tr>
      <w:tr w:rsidR="002D0694" w:rsidRPr="00651874" w:rsidTr="00651874">
        <w:trPr>
          <w:trHeight w:val="485"/>
        </w:trPr>
        <w:tc>
          <w:tcPr>
            <w:tcW w:w="3407" w:type="dxa"/>
            <w:tcBorders>
              <w:top w:val="single" w:sz="12" w:space="0" w:color="auto"/>
            </w:tcBorders>
            <w:vAlign w:val="center"/>
          </w:tcPr>
          <w:p w:rsidR="002D0694" w:rsidRPr="00651874" w:rsidRDefault="002D0694" w:rsidP="00651874">
            <w:pPr>
              <w:ind w:left="-11"/>
              <w:jc w:val="both"/>
              <w:rPr>
                <w:rFonts w:ascii="Book Antiqua" w:hAnsi="Book Antiqua"/>
                <w:b/>
              </w:rPr>
            </w:pPr>
            <w:r w:rsidRPr="00651874">
              <w:rPr>
                <w:rFonts w:ascii="Book Antiqua" w:hAnsi="Book Antiqua"/>
                <w:b/>
              </w:rPr>
              <w:t xml:space="preserve">Posttransplant Events, </w:t>
            </w:r>
            <w:r w:rsidRPr="00A21845">
              <w:rPr>
                <w:rFonts w:ascii="Book Antiqua" w:hAnsi="Book Antiqua"/>
                <w:b/>
                <w:i/>
              </w:rPr>
              <w:t xml:space="preserve">n </w:t>
            </w:r>
            <w:r w:rsidRPr="00651874">
              <w:rPr>
                <w:rFonts w:ascii="Book Antiqua" w:hAnsi="Book Antiqua"/>
                <w:b/>
              </w:rPr>
              <w:t xml:space="preserve">(%)                                                          </w:t>
            </w:r>
          </w:p>
        </w:tc>
        <w:tc>
          <w:tcPr>
            <w:tcW w:w="1918" w:type="dxa"/>
            <w:tcBorders>
              <w:top w:val="single" w:sz="12" w:space="0" w:color="auto"/>
            </w:tcBorders>
          </w:tcPr>
          <w:p w:rsidR="002D0694" w:rsidRPr="00651874" w:rsidRDefault="002D0694" w:rsidP="00310600">
            <w:pPr>
              <w:ind w:right="369"/>
              <w:jc w:val="center"/>
              <w:rPr>
                <w:rFonts w:ascii="Book Antiqua" w:hAnsi="Book Antiqua"/>
              </w:rPr>
            </w:pPr>
          </w:p>
        </w:tc>
        <w:tc>
          <w:tcPr>
            <w:tcW w:w="1918" w:type="dxa"/>
            <w:tcBorders>
              <w:top w:val="single" w:sz="12" w:space="0" w:color="auto"/>
            </w:tcBorders>
          </w:tcPr>
          <w:p w:rsidR="002D0694" w:rsidRPr="00651874" w:rsidRDefault="002D0694" w:rsidP="00310600">
            <w:pPr>
              <w:ind w:right="369"/>
              <w:jc w:val="center"/>
              <w:rPr>
                <w:rFonts w:ascii="Book Antiqua" w:hAnsi="Book Antiqua"/>
              </w:rPr>
            </w:pPr>
          </w:p>
        </w:tc>
        <w:tc>
          <w:tcPr>
            <w:tcW w:w="2045" w:type="dxa"/>
            <w:tcBorders>
              <w:top w:val="single" w:sz="12" w:space="0" w:color="auto"/>
            </w:tcBorders>
          </w:tcPr>
          <w:p w:rsidR="002D0694" w:rsidRPr="00651874" w:rsidRDefault="002D0694" w:rsidP="00310600">
            <w:pPr>
              <w:ind w:right="369"/>
              <w:jc w:val="center"/>
              <w:rPr>
                <w:rFonts w:ascii="Book Antiqua" w:hAnsi="Book Antiqua"/>
              </w:rPr>
            </w:pPr>
          </w:p>
        </w:tc>
      </w:tr>
      <w:tr w:rsidR="002D0694" w:rsidRPr="00651874" w:rsidTr="00651874">
        <w:trPr>
          <w:trHeight w:val="440"/>
        </w:trPr>
        <w:tc>
          <w:tcPr>
            <w:tcW w:w="3407" w:type="dxa"/>
            <w:vAlign w:val="center"/>
          </w:tcPr>
          <w:p w:rsidR="002D0694" w:rsidRPr="00651874" w:rsidRDefault="002D0694" w:rsidP="00651874">
            <w:pPr>
              <w:jc w:val="both"/>
              <w:rPr>
                <w:rFonts w:ascii="Book Antiqua" w:hAnsi="Book Antiqua"/>
                <w:b/>
              </w:rPr>
            </w:pPr>
            <w:r w:rsidRPr="00651874">
              <w:rPr>
                <w:rFonts w:ascii="Book Antiqua" w:hAnsi="Book Antiqua"/>
                <w:b/>
              </w:rPr>
              <w:t>Delayed graft function</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56</w:t>
            </w:r>
            <w:r>
              <w:rPr>
                <w:rFonts w:ascii="Book Antiqua" w:hAnsi="Book Antiqua"/>
                <w:lang w:eastAsia="zh-CN"/>
              </w:rPr>
              <w:t xml:space="preserve"> </w:t>
            </w:r>
            <w:r w:rsidRPr="00651874">
              <w:rPr>
                <w:rFonts w:ascii="Book Antiqua" w:hAnsi="Book Antiqua"/>
              </w:rPr>
              <w:t>(28)</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 xml:space="preserve"> 39</w:t>
            </w:r>
            <w:r>
              <w:rPr>
                <w:rFonts w:ascii="Book Antiqua" w:hAnsi="Book Antiqua"/>
                <w:lang w:eastAsia="zh-CN"/>
              </w:rPr>
              <w:t xml:space="preserve"> </w:t>
            </w:r>
            <w:r w:rsidRPr="00651874">
              <w:rPr>
                <w:rFonts w:ascii="Book Antiqua" w:hAnsi="Book Antiqua"/>
              </w:rPr>
              <w:t>(26)</w:t>
            </w:r>
          </w:p>
        </w:tc>
        <w:tc>
          <w:tcPr>
            <w:tcW w:w="2045" w:type="dxa"/>
          </w:tcPr>
          <w:p w:rsidR="002D0694" w:rsidRPr="00651874" w:rsidRDefault="002D0694" w:rsidP="00310600">
            <w:pPr>
              <w:ind w:right="369"/>
              <w:jc w:val="center"/>
              <w:rPr>
                <w:rFonts w:ascii="Book Antiqua" w:hAnsi="Book Antiqua"/>
              </w:rPr>
            </w:pPr>
            <w:r w:rsidRPr="00651874">
              <w:rPr>
                <w:rFonts w:ascii="Book Antiqua" w:hAnsi="Book Antiqua"/>
              </w:rPr>
              <w:t>0.77</w:t>
            </w:r>
          </w:p>
        </w:tc>
      </w:tr>
      <w:tr w:rsidR="002D0694" w:rsidRPr="00651874" w:rsidTr="00651874">
        <w:trPr>
          <w:trHeight w:val="1653"/>
        </w:trPr>
        <w:tc>
          <w:tcPr>
            <w:tcW w:w="3407" w:type="dxa"/>
            <w:vAlign w:val="center"/>
          </w:tcPr>
          <w:p w:rsidR="002D0694" w:rsidRPr="00651874" w:rsidRDefault="002D0694" w:rsidP="00651874">
            <w:pPr>
              <w:jc w:val="both"/>
              <w:rPr>
                <w:rFonts w:ascii="Book Antiqua" w:hAnsi="Book Antiqua"/>
                <w:b/>
              </w:rPr>
            </w:pPr>
            <w:r w:rsidRPr="00651874">
              <w:rPr>
                <w:rFonts w:ascii="Book Antiqua" w:hAnsi="Book Antiqua"/>
                <w:b/>
              </w:rPr>
              <w:t>Acute rejection</w:t>
            </w:r>
          </w:p>
          <w:p w:rsidR="002D0694" w:rsidRPr="00651874" w:rsidRDefault="002D0694" w:rsidP="00651874">
            <w:pPr>
              <w:ind w:left="-11"/>
              <w:jc w:val="both"/>
              <w:rPr>
                <w:rFonts w:ascii="Book Antiqua" w:hAnsi="Book Antiqua"/>
                <w:b/>
                <w:lang w:eastAsia="zh-CN"/>
              </w:rPr>
            </w:pPr>
            <w:r>
              <w:rPr>
                <w:rFonts w:ascii="Book Antiqua" w:hAnsi="Book Antiqua"/>
                <w:b/>
                <w:lang w:eastAsia="zh-CN"/>
              </w:rPr>
              <w:t>T</w:t>
            </w:r>
            <w:r>
              <w:rPr>
                <w:rFonts w:ascii="Book Antiqua" w:hAnsi="Book Antiqua"/>
                <w:b/>
              </w:rPr>
              <w:t>ype of rejection</w:t>
            </w:r>
          </w:p>
          <w:p w:rsidR="002D0694" w:rsidRPr="00651874" w:rsidRDefault="002D0694" w:rsidP="00651874">
            <w:pPr>
              <w:jc w:val="both"/>
              <w:rPr>
                <w:rFonts w:ascii="Book Antiqua" w:hAnsi="Book Antiqua"/>
                <w:b/>
              </w:rPr>
            </w:pPr>
            <w:r>
              <w:rPr>
                <w:rFonts w:ascii="Book Antiqua" w:hAnsi="Book Antiqua"/>
                <w:b/>
                <w:lang w:eastAsia="zh-CN"/>
              </w:rPr>
              <w:t>C</w:t>
            </w:r>
            <w:r w:rsidRPr="00651874">
              <w:rPr>
                <w:rFonts w:ascii="Book Antiqua" w:hAnsi="Book Antiqua"/>
                <w:b/>
              </w:rPr>
              <w:t xml:space="preserve">ellular rejection              </w:t>
            </w:r>
          </w:p>
          <w:p w:rsidR="002D0694" w:rsidRPr="00651874" w:rsidRDefault="002D0694" w:rsidP="00651874">
            <w:pPr>
              <w:ind w:left="-11"/>
              <w:jc w:val="both"/>
              <w:rPr>
                <w:rFonts w:ascii="Book Antiqua" w:hAnsi="Book Antiqua"/>
                <w:b/>
              </w:rPr>
            </w:pPr>
            <w:r>
              <w:rPr>
                <w:rFonts w:ascii="Book Antiqua" w:hAnsi="Book Antiqua"/>
                <w:b/>
                <w:lang w:eastAsia="zh-CN"/>
              </w:rPr>
              <w:t>A</w:t>
            </w:r>
            <w:r w:rsidRPr="00651874">
              <w:rPr>
                <w:rFonts w:ascii="Book Antiqua" w:hAnsi="Book Antiqua"/>
                <w:b/>
              </w:rPr>
              <w:t xml:space="preserve">ntibody rejection    </w:t>
            </w:r>
          </w:p>
          <w:p w:rsidR="002D0694" w:rsidRPr="00651874" w:rsidRDefault="002D0694" w:rsidP="00651874">
            <w:pPr>
              <w:ind w:left="-11"/>
              <w:jc w:val="both"/>
              <w:rPr>
                <w:rFonts w:ascii="Book Antiqua" w:hAnsi="Book Antiqua"/>
                <w:b/>
              </w:rPr>
            </w:pPr>
            <w:r>
              <w:rPr>
                <w:rFonts w:ascii="Book Antiqua" w:hAnsi="Book Antiqua"/>
                <w:b/>
              </w:rPr>
              <w:t xml:space="preserve"> </w:t>
            </w:r>
            <w:r>
              <w:rPr>
                <w:rFonts w:ascii="Book Antiqua" w:hAnsi="Book Antiqua"/>
                <w:b/>
                <w:lang w:eastAsia="zh-CN"/>
              </w:rPr>
              <w:t>B</w:t>
            </w:r>
            <w:r w:rsidRPr="00651874">
              <w:rPr>
                <w:rFonts w:ascii="Book Antiqua" w:hAnsi="Book Antiqua"/>
                <w:b/>
              </w:rPr>
              <w:t xml:space="preserve">oth rejections  </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68</w:t>
            </w:r>
            <w:r>
              <w:rPr>
                <w:rFonts w:ascii="Book Antiqua" w:hAnsi="Book Antiqua"/>
                <w:lang w:eastAsia="zh-CN"/>
              </w:rPr>
              <w:t xml:space="preserve"> </w:t>
            </w:r>
            <w:r w:rsidRPr="00651874">
              <w:rPr>
                <w:rFonts w:ascii="Book Antiqua" w:hAnsi="Book Antiqua"/>
              </w:rPr>
              <w:t>(34)</w:t>
            </w:r>
          </w:p>
          <w:p w:rsidR="002D0694" w:rsidRPr="00651874" w:rsidRDefault="002D0694" w:rsidP="00310600">
            <w:pPr>
              <w:ind w:right="369"/>
              <w:jc w:val="center"/>
              <w:rPr>
                <w:rFonts w:ascii="Book Antiqua" w:hAnsi="Book Antiqua"/>
              </w:rPr>
            </w:pPr>
          </w:p>
          <w:p w:rsidR="002D0694" w:rsidRPr="00651874" w:rsidRDefault="002D0694" w:rsidP="00310600">
            <w:pPr>
              <w:ind w:right="369"/>
              <w:jc w:val="center"/>
              <w:rPr>
                <w:rFonts w:ascii="Book Antiqua" w:hAnsi="Book Antiqua"/>
              </w:rPr>
            </w:pPr>
            <w:r w:rsidRPr="00651874">
              <w:rPr>
                <w:rFonts w:ascii="Book Antiqua" w:hAnsi="Book Antiqua"/>
              </w:rPr>
              <w:t>49</w:t>
            </w:r>
          </w:p>
          <w:p w:rsidR="002D0694" w:rsidRPr="00651874" w:rsidRDefault="002D0694" w:rsidP="00310600">
            <w:pPr>
              <w:ind w:right="369"/>
              <w:jc w:val="center"/>
              <w:rPr>
                <w:rFonts w:ascii="Book Antiqua" w:hAnsi="Book Antiqua"/>
              </w:rPr>
            </w:pPr>
            <w:r w:rsidRPr="00651874">
              <w:rPr>
                <w:rFonts w:ascii="Book Antiqua" w:hAnsi="Book Antiqua"/>
              </w:rPr>
              <w:t>14</w:t>
            </w:r>
          </w:p>
          <w:p w:rsidR="002D0694" w:rsidRPr="00651874" w:rsidRDefault="002D0694" w:rsidP="00310600">
            <w:pPr>
              <w:ind w:right="369"/>
              <w:jc w:val="center"/>
              <w:rPr>
                <w:rFonts w:ascii="Book Antiqua" w:hAnsi="Book Antiqua"/>
              </w:rPr>
            </w:pPr>
            <w:r w:rsidRPr="00651874">
              <w:rPr>
                <w:rFonts w:ascii="Book Antiqua" w:hAnsi="Book Antiqua"/>
              </w:rPr>
              <w:t>5</w:t>
            </w:r>
          </w:p>
        </w:tc>
        <w:tc>
          <w:tcPr>
            <w:tcW w:w="1918" w:type="dxa"/>
          </w:tcPr>
          <w:p w:rsidR="002D0694" w:rsidRPr="00651874" w:rsidRDefault="002D0694" w:rsidP="00310600">
            <w:pPr>
              <w:tabs>
                <w:tab w:val="left" w:pos="1350"/>
              </w:tabs>
              <w:ind w:left="-288" w:right="369"/>
              <w:jc w:val="center"/>
              <w:rPr>
                <w:rFonts w:ascii="Book Antiqua" w:hAnsi="Book Antiqua"/>
              </w:rPr>
            </w:pPr>
            <w:r w:rsidRPr="00651874">
              <w:rPr>
                <w:rFonts w:ascii="Book Antiqua" w:hAnsi="Book Antiqua"/>
              </w:rPr>
              <w:t xml:space="preserve">     27</w:t>
            </w:r>
            <w:r>
              <w:rPr>
                <w:rFonts w:ascii="Book Antiqua" w:hAnsi="Book Antiqua"/>
                <w:lang w:eastAsia="zh-CN"/>
              </w:rPr>
              <w:t xml:space="preserve"> </w:t>
            </w:r>
            <w:r w:rsidRPr="00651874">
              <w:rPr>
                <w:rFonts w:ascii="Book Antiqua" w:hAnsi="Book Antiqua"/>
              </w:rPr>
              <w:t>(18)</w:t>
            </w:r>
          </w:p>
          <w:p w:rsidR="002D0694" w:rsidRPr="00651874" w:rsidRDefault="002D0694" w:rsidP="00310600">
            <w:pPr>
              <w:ind w:left="-288" w:right="369"/>
              <w:jc w:val="center"/>
              <w:rPr>
                <w:rFonts w:ascii="Book Antiqua" w:hAnsi="Book Antiqua"/>
              </w:rPr>
            </w:pPr>
          </w:p>
          <w:p w:rsidR="002D0694" w:rsidRPr="00651874" w:rsidRDefault="002D0694" w:rsidP="00310600">
            <w:pPr>
              <w:ind w:left="-288" w:right="369"/>
              <w:jc w:val="center"/>
              <w:rPr>
                <w:rFonts w:ascii="Book Antiqua" w:hAnsi="Book Antiqua"/>
              </w:rPr>
            </w:pPr>
            <w:r w:rsidRPr="00651874">
              <w:rPr>
                <w:rFonts w:ascii="Book Antiqua" w:hAnsi="Book Antiqua"/>
              </w:rPr>
              <w:t xml:space="preserve">   17</w:t>
            </w:r>
          </w:p>
          <w:p w:rsidR="002D0694" w:rsidRPr="00651874" w:rsidRDefault="002D0694" w:rsidP="00310600">
            <w:pPr>
              <w:ind w:left="-288" w:right="369"/>
              <w:jc w:val="center"/>
              <w:rPr>
                <w:rFonts w:ascii="Book Antiqua" w:hAnsi="Book Antiqua"/>
              </w:rPr>
            </w:pPr>
            <w:r w:rsidRPr="00651874">
              <w:rPr>
                <w:rFonts w:ascii="Book Antiqua" w:hAnsi="Book Antiqua"/>
              </w:rPr>
              <w:t xml:space="preserve">   6</w:t>
            </w:r>
          </w:p>
          <w:p w:rsidR="002D0694" w:rsidRPr="00651874" w:rsidRDefault="002D0694" w:rsidP="00310600">
            <w:pPr>
              <w:ind w:left="-288" w:right="369"/>
              <w:jc w:val="center"/>
              <w:rPr>
                <w:rFonts w:ascii="Book Antiqua" w:hAnsi="Book Antiqua"/>
              </w:rPr>
            </w:pPr>
            <w:r w:rsidRPr="00651874">
              <w:rPr>
                <w:rFonts w:ascii="Book Antiqua" w:hAnsi="Book Antiqua"/>
              </w:rPr>
              <w:t xml:space="preserve">   4</w:t>
            </w:r>
          </w:p>
        </w:tc>
        <w:tc>
          <w:tcPr>
            <w:tcW w:w="2045" w:type="dxa"/>
          </w:tcPr>
          <w:p w:rsidR="002D0694" w:rsidRPr="00651874" w:rsidRDefault="002D0694" w:rsidP="00310600">
            <w:pPr>
              <w:ind w:right="369"/>
              <w:jc w:val="center"/>
              <w:rPr>
                <w:rFonts w:ascii="Book Antiqua" w:hAnsi="Book Antiqua"/>
              </w:rPr>
            </w:pPr>
            <w:r w:rsidRPr="00651874">
              <w:rPr>
                <w:rFonts w:ascii="Book Antiqua" w:hAnsi="Book Antiqua"/>
              </w:rPr>
              <w:t>0.01</w:t>
            </w:r>
          </w:p>
          <w:p w:rsidR="002D0694" w:rsidRPr="00651874" w:rsidRDefault="002D0694" w:rsidP="00310600">
            <w:pPr>
              <w:ind w:right="369"/>
              <w:jc w:val="center"/>
              <w:rPr>
                <w:rFonts w:ascii="Book Antiqua" w:hAnsi="Book Antiqua"/>
              </w:rPr>
            </w:pPr>
            <w:r w:rsidRPr="00651874">
              <w:rPr>
                <w:rFonts w:ascii="Book Antiqua" w:hAnsi="Book Antiqua"/>
              </w:rPr>
              <w:t>0.49</w:t>
            </w:r>
          </w:p>
        </w:tc>
      </w:tr>
      <w:tr w:rsidR="002D0694" w:rsidRPr="00651874" w:rsidTr="00651874">
        <w:trPr>
          <w:trHeight w:val="338"/>
        </w:trPr>
        <w:tc>
          <w:tcPr>
            <w:tcW w:w="3407" w:type="dxa"/>
            <w:vAlign w:val="center"/>
          </w:tcPr>
          <w:p w:rsidR="002D0694" w:rsidRPr="00651874" w:rsidRDefault="002D0694" w:rsidP="00651874">
            <w:pPr>
              <w:jc w:val="both"/>
              <w:rPr>
                <w:rFonts w:ascii="Book Antiqua" w:hAnsi="Book Antiqua"/>
                <w:b/>
              </w:rPr>
            </w:pPr>
            <w:r w:rsidRPr="00651874">
              <w:rPr>
                <w:rFonts w:ascii="Book Antiqua" w:hAnsi="Book Antiqua"/>
                <w:b/>
              </w:rPr>
              <w:t>CNI toxicity</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8(4)</w:t>
            </w:r>
          </w:p>
        </w:tc>
        <w:tc>
          <w:tcPr>
            <w:tcW w:w="1918" w:type="dxa"/>
          </w:tcPr>
          <w:p w:rsidR="002D0694" w:rsidRPr="00651874" w:rsidRDefault="002D0694" w:rsidP="00310600">
            <w:pPr>
              <w:ind w:left="-288" w:right="369"/>
              <w:jc w:val="center"/>
              <w:rPr>
                <w:rFonts w:ascii="Book Antiqua" w:hAnsi="Book Antiqua"/>
              </w:rPr>
            </w:pPr>
            <w:r w:rsidRPr="00651874">
              <w:rPr>
                <w:rFonts w:ascii="Book Antiqua" w:hAnsi="Book Antiqua"/>
              </w:rPr>
              <w:t xml:space="preserve">   15(10) </w:t>
            </w:r>
          </w:p>
        </w:tc>
        <w:tc>
          <w:tcPr>
            <w:tcW w:w="2045" w:type="dxa"/>
          </w:tcPr>
          <w:p w:rsidR="002D0694" w:rsidRPr="00651874" w:rsidRDefault="002D0694" w:rsidP="00310600">
            <w:pPr>
              <w:ind w:right="369"/>
              <w:jc w:val="center"/>
              <w:rPr>
                <w:rFonts w:ascii="Book Antiqua" w:hAnsi="Book Antiqua"/>
              </w:rPr>
            </w:pPr>
            <w:r w:rsidRPr="00651874">
              <w:rPr>
                <w:rFonts w:ascii="Book Antiqua" w:hAnsi="Book Antiqua"/>
              </w:rPr>
              <w:t>0.09</w:t>
            </w:r>
          </w:p>
        </w:tc>
      </w:tr>
      <w:tr w:rsidR="002D0694" w:rsidRPr="00651874" w:rsidTr="00651874">
        <w:trPr>
          <w:trHeight w:val="338"/>
        </w:trPr>
        <w:tc>
          <w:tcPr>
            <w:tcW w:w="3407" w:type="dxa"/>
            <w:vAlign w:val="center"/>
          </w:tcPr>
          <w:p w:rsidR="002D0694" w:rsidRPr="00651874" w:rsidRDefault="002D0694" w:rsidP="00651874">
            <w:pPr>
              <w:jc w:val="both"/>
              <w:rPr>
                <w:rFonts w:ascii="Book Antiqua" w:hAnsi="Book Antiqua"/>
                <w:b/>
              </w:rPr>
            </w:pPr>
            <w:r w:rsidRPr="00651874">
              <w:rPr>
                <w:rFonts w:ascii="Book Antiqua" w:hAnsi="Book Antiqua"/>
                <w:b/>
              </w:rPr>
              <w:t>Infectious diseases</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63(32)</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54(36)</w:t>
            </w:r>
          </w:p>
        </w:tc>
        <w:tc>
          <w:tcPr>
            <w:tcW w:w="2045" w:type="dxa"/>
          </w:tcPr>
          <w:p w:rsidR="002D0694" w:rsidRPr="00651874" w:rsidRDefault="002D0694" w:rsidP="00310600">
            <w:pPr>
              <w:ind w:right="369"/>
              <w:jc w:val="center"/>
              <w:rPr>
                <w:rFonts w:ascii="Book Antiqua" w:hAnsi="Book Antiqua"/>
              </w:rPr>
            </w:pPr>
            <w:r w:rsidRPr="00651874">
              <w:rPr>
                <w:rFonts w:ascii="Book Antiqua" w:hAnsi="Book Antiqua"/>
              </w:rPr>
              <w:t>0.37</w:t>
            </w:r>
          </w:p>
        </w:tc>
      </w:tr>
      <w:tr w:rsidR="002D0694" w:rsidRPr="00651874" w:rsidTr="00651874">
        <w:trPr>
          <w:trHeight w:val="1968"/>
        </w:trPr>
        <w:tc>
          <w:tcPr>
            <w:tcW w:w="3407" w:type="dxa"/>
            <w:vAlign w:val="center"/>
          </w:tcPr>
          <w:p w:rsidR="002D0694" w:rsidRPr="00651874" w:rsidRDefault="002D0694" w:rsidP="00651874">
            <w:pPr>
              <w:ind w:left="-11"/>
              <w:jc w:val="both"/>
              <w:rPr>
                <w:rFonts w:ascii="Book Antiqua" w:hAnsi="Book Antiqua"/>
                <w:b/>
                <w:lang w:eastAsia="zh-CN"/>
              </w:rPr>
            </w:pPr>
            <w:r>
              <w:rPr>
                <w:rFonts w:ascii="Book Antiqua" w:hAnsi="Book Antiqua"/>
                <w:b/>
                <w:lang w:eastAsia="zh-CN"/>
              </w:rPr>
              <w:t>T</w:t>
            </w:r>
            <w:r>
              <w:rPr>
                <w:rFonts w:ascii="Book Antiqua" w:hAnsi="Book Antiqua"/>
                <w:b/>
              </w:rPr>
              <w:t>ype of infection</w:t>
            </w:r>
          </w:p>
          <w:p w:rsidR="002D0694" w:rsidRPr="00651874" w:rsidRDefault="002D0694" w:rsidP="00651874">
            <w:pPr>
              <w:ind w:left="-11"/>
              <w:jc w:val="both"/>
              <w:rPr>
                <w:rFonts w:ascii="Book Antiqua" w:hAnsi="Book Antiqua"/>
                <w:b/>
              </w:rPr>
            </w:pPr>
            <w:r w:rsidRPr="00651874">
              <w:rPr>
                <w:rFonts w:ascii="Book Antiqua" w:hAnsi="Book Antiqua"/>
                <w:b/>
              </w:rPr>
              <w:t>CMV</w:t>
            </w:r>
          </w:p>
          <w:p w:rsidR="002D0694" w:rsidRPr="00651874" w:rsidRDefault="002D0694" w:rsidP="00651874">
            <w:pPr>
              <w:ind w:left="-11"/>
              <w:jc w:val="both"/>
              <w:rPr>
                <w:rFonts w:ascii="Book Antiqua" w:hAnsi="Book Antiqua"/>
                <w:b/>
              </w:rPr>
            </w:pPr>
            <w:r w:rsidRPr="00651874">
              <w:rPr>
                <w:rFonts w:ascii="Book Antiqua" w:hAnsi="Book Antiqua"/>
                <w:b/>
              </w:rPr>
              <w:t>BKV</w:t>
            </w:r>
          </w:p>
          <w:p w:rsidR="002D0694" w:rsidRPr="00651874" w:rsidRDefault="002D0694" w:rsidP="00651874">
            <w:pPr>
              <w:ind w:left="-11"/>
              <w:jc w:val="both"/>
              <w:rPr>
                <w:rFonts w:ascii="Book Antiqua" w:hAnsi="Book Antiqua"/>
                <w:b/>
              </w:rPr>
            </w:pPr>
            <w:r w:rsidRPr="00651874">
              <w:rPr>
                <w:rFonts w:ascii="Book Antiqua" w:hAnsi="Book Antiqua"/>
                <w:b/>
              </w:rPr>
              <w:t>HSV</w:t>
            </w:r>
          </w:p>
          <w:p w:rsidR="002D0694" w:rsidRPr="00651874" w:rsidRDefault="002D0694" w:rsidP="00651874">
            <w:pPr>
              <w:ind w:left="-11"/>
              <w:jc w:val="both"/>
              <w:rPr>
                <w:rFonts w:ascii="Book Antiqua" w:hAnsi="Book Antiqua"/>
                <w:b/>
              </w:rPr>
            </w:pPr>
            <w:r>
              <w:rPr>
                <w:rFonts w:ascii="Book Antiqua" w:hAnsi="Book Antiqua"/>
                <w:b/>
                <w:lang w:eastAsia="zh-CN"/>
              </w:rPr>
              <w:t>B</w:t>
            </w:r>
            <w:r w:rsidRPr="00651874">
              <w:rPr>
                <w:rFonts w:ascii="Book Antiqua" w:hAnsi="Book Antiqua"/>
                <w:b/>
              </w:rPr>
              <w:t>acteria</w:t>
            </w:r>
          </w:p>
          <w:p w:rsidR="002D0694" w:rsidRPr="00651874" w:rsidRDefault="002D0694" w:rsidP="00651874">
            <w:pPr>
              <w:ind w:left="-11"/>
              <w:jc w:val="both"/>
              <w:rPr>
                <w:rFonts w:ascii="Book Antiqua" w:hAnsi="Book Antiqua"/>
                <w:b/>
              </w:rPr>
            </w:pPr>
            <w:r>
              <w:rPr>
                <w:rFonts w:ascii="Book Antiqua" w:hAnsi="Book Antiqua"/>
                <w:b/>
                <w:lang w:eastAsia="zh-CN"/>
              </w:rPr>
              <w:t>F</w:t>
            </w:r>
            <w:r w:rsidRPr="00651874">
              <w:rPr>
                <w:rFonts w:ascii="Book Antiqua" w:hAnsi="Book Antiqua"/>
                <w:b/>
              </w:rPr>
              <w:t>ungus</w:t>
            </w:r>
          </w:p>
          <w:p w:rsidR="002D0694" w:rsidRPr="00651874" w:rsidRDefault="002D0694" w:rsidP="00651874">
            <w:pPr>
              <w:ind w:left="-11"/>
              <w:jc w:val="both"/>
              <w:rPr>
                <w:rFonts w:ascii="Book Antiqua" w:hAnsi="Book Antiqua"/>
                <w:b/>
                <w:lang w:eastAsia="zh-CN"/>
              </w:rPr>
            </w:pPr>
          </w:p>
        </w:tc>
        <w:tc>
          <w:tcPr>
            <w:tcW w:w="1918" w:type="dxa"/>
          </w:tcPr>
          <w:p w:rsidR="002D0694" w:rsidRPr="00651874" w:rsidRDefault="002D0694" w:rsidP="00310600">
            <w:pPr>
              <w:ind w:right="369"/>
              <w:jc w:val="center"/>
              <w:rPr>
                <w:rFonts w:ascii="Book Antiqua" w:hAnsi="Book Antiqua"/>
              </w:rPr>
            </w:pPr>
          </w:p>
          <w:p w:rsidR="002D0694" w:rsidRPr="00651874" w:rsidRDefault="002D0694" w:rsidP="00310600">
            <w:pPr>
              <w:ind w:right="369"/>
              <w:jc w:val="center"/>
              <w:rPr>
                <w:rFonts w:ascii="Book Antiqua" w:hAnsi="Book Antiqua"/>
              </w:rPr>
            </w:pPr>
            <w:r w:rsidRPr="00651874">
              <w:rPr>
                <w:rFonts w:ascii="Book Antiqua" w:hAnsi="Book Antiqua"/>
              </w:rPr>
              <w:t>32</w:t>
            </w:r>
          </w:p>
          <w:p w:rsidR="002D0694" w:rsidRPr="00651874" w:rsidRDefault="002D0694" w:rsidP="00310600">
            <w:pPr>
              <w:ind w:right="369"/>
              <w:jc w:val="center"/>
              <w:rPr>
                <w:rFonts w:ascii="Book Antiqua" w:hAnsi="Book Antiqua"/>
              </w:rPr>
            </w:pPr>
            <w:r w:rsidRPr="00651874">
              <w:rPr>
                <w:rFonts w:ascii="Book Antiqua" w:hAnsi="Book Antiqua"/>
              </w:rPr>
              <w:t>14</w:t>
            </w:r>
          </w:p>
          <w:p w:rsidR="002D0694" w:rsidRPr="00651874" w:rsidRDefault="002D0694" w:rsidP="00310600">
            <w:pPr>
              <w:ind w:right="369"/>
              <w:jc w:val="center"/>
              <w:rPr>
                <w:rFonts w:ascii="Book Antiqua" w:hAnsi="Book Antiqua"/>
              </w:rPr>
            </w:pPr>
            <w:r w:rsidRPr="00651874">
              <w:rPr>
                <w:rFonts w:ascii="Book Antiqua" w:hAnsi="Book Antiqua"/>
              </w:rPr>
              <w:t>5</w:t>
            </w:r>
          </w:p>
          <w:p w:rsidR="002D0694" w:rsidRPr="00651874" w:rsidRDefault="002D0694" w:rsidP="00310600">
            <w:pPr>
              <w:ind w:right="369"/>
              <w:jc w:val="center"/>
              <w:rPr>
                <w:rFonts w:ascii="Book Antiqua" w:hAnsi="Book Antiqua"/>
              </w:rPr>
            </w:pPr>
            <w:r w:rsidRPr="00651874">
              <w:rPr>
                <w:rFonts w:ascii="Book Antiqua" w:hAnsi="Book Antiqua"/>
              </w:rPr>
              <w:t>7</w:t>
            </w:r>
          </w:p>
          <w:p w:rsidR="002D0694" w:rsidRPr="00651874" w:rsidRDefault="002D0694" w:rsidP="00310600">
            <w:pPr>
              <w:ind w:right="369"/>
              <w:jc w:val="center"/>
              <w:rPr>
                <w:rFonts w:ascii="Book Antiqua" w:hAnsi="Book Antiqua"/>
              </w:rPr>
            </w:pPr>
            <w:r w:rsidRPr="00651874">
              <w:rPr>
                <w:rFonts w:ascii="Book Antiqua" w:hAnsi="Book Antiqua"/>
              </w:rPr>
              <w:t>5</w:t>
            </w:r>
          </w:p>
        </w:tc>
        <w:tc>
          <w:tcPr>
            <w:tcW w:w="1918" w:type="dxa"/>
          </w:tcPr>
          <w:p w:rsidR="002D0694" w:rsidRPr="00651874" w:rsidRDefault="002D0694" w:rsidP="00310600">
            <w:pPr>
              <w:ind w:right="369"/>
              <w:jc w:val="center"/>
              <w:rPr>
                <w:rFonts w:ascii="Book Antiqua" w:hAnsi="Book Antiqua"/>
              </w:rPr>
            </w:pPr>
          </w:p>
          <w:p w:rsidR="002D0694" w:rsidRPr="00651874" w:rsidRDefault="002D0694" w:rsidP="00310600">
            <w:pPr>
              <w:ind w:right="369"/>
              <w:jc w:val="center"/>
              <w:rPr>
                <w:rFonts w:ascii="Book Antiqua" w:hAnsi="Book Antiqua"/>
              </w:rPr>
            </w:pPr>
            <w:r w:rsidRPr="00651874">
              <w:rPr>
                <w:rFonts w:ascii="Book Antiqua" w:hAnsi="Book Antiqua"/>
              </w:rPr>
              <w:t>22</w:t>
            </w:r>
          </w:p>
          <w:p w:rsidR="002D0694" w:rsidRPr="00651874" w:rsidRDefault="002D0694" w:rsidP="00310600">
            <w:pPr>
              <w:ind w:right="369"/>
              <w:jc w:val="center"/>
              <w:rPr>
                <w:rFonts w:ascii="Book Antiqua" w:hAnsi="Book Antiqua"/>
              </w:rPr>
            </w:pPr>
            <w:r w:rsidRPr="00651874">
              <w:rPr>
                <w:rFonts w:ascii="Book Antiqua" w:hAnsi="Book Antiqua"/>
              </w:rPr>
              <w:t>13</w:t>
            </w:r>
          </w:p>
          <w:p w:rsidR="002D0694" w:rsidRPr="00651874" w:rsidRDefault="002D0694" w:rsidP="00310600">
            <w:pPr>
              <w:ind w:right="369"/>
              <w:jc w:val="center"/>
              <w:rPr>
                <w:rFonts w:ascii="Book Antiqua" w:hAnsi="Book Antiqua"/>
              </w:rPr>
            </w:pPr>
            <w:r w:rsidRPr="00651874">
              <w:rPr>
                <w:rFonts w:ascii="Book Antiqua" w:hAnsi="Book Antiqua"/>
              </w:rPr>
              <w:t>6</w:t>
            </w:r>
          </w:p>
          <w:p w:rsidR="002D0694" w:rsidRPr="00651874" w:rsidRDefault="002D0694" w:rsidP="00310600">
            <w:pPr>
              <w:ind w:right="369"/>
              <w:jc w:val="center"/>
              <w:rPr>
                <w:rFonts w:ascii="Book Antiqua" w:hAnsi="Book Antiqua"/>
              </w:rPr>
            </w:pPr>
            <w:r w:rsidRPr="00651874">
              <w:rPr>
                <w:rFonts w:ascii="Book Antiqua" w:hAnsi="Book Antiqua"/>
              </w:rPr>
              <w:t>10</w:t>
            </w:r>
          </w:p>
          <w:p w:rsidR="002D0694" w:rsidRPr="00651874" w:rsidRDefault="002D0694" w:rsidP="00310600">
            <w:pPr>
              <w:ind w:right="369"/>
              <w:jc w:val="center"/>
              <w:rPr>
                <w:rFonts w:ascii="Book Antiqua" w:hAnsi="Book Antiqua"/>
              </w:rPr>
            </w:pPr>
            <w:r w:rsidRPr="00651874">
              <w:rPr>
                <w:rFonts w:ascii="Book Antiqua" w:hAnsi="Book Antiqua"/>
              </w:rPr>
              <w:t>3</w:t>
            </w:r>
          </w:p>
        </w:tc>
        <w:tc>
          <w:tcPr>
            <w:tcW w:w="2045" w:type="dxa"/>
          </w:tcPr>
          <w:p w:rsidR="002D0694" w:rsidRPr="00651874" w:rsidRDefault="002D0694" w:rsidP="00310600">
            <w:pPr>
              <w:ind w:right="369"/>
              <w:jc w:val="center"/>
              <w:rPr>
                <w:rFonts w:ascii="Book Antiqua" w:hAnsi="Book Antiqua"/>
              </w:rPr>
            </w:pPr>
            <w:r w:rsidRPr="00651874">
              <w:rPr>
                <w:rFonts w:ascii="Book Antiqua" w:hAnsi="Book Antiqua"/>
              </w:rPr>
              <w:t>0.67</w:t>
            </w:r>
          </w:p>
        </w:tc>
      </w:tr>
      <w:tr w:rsidR="002D0694" w:rsidRPr="00651874" w:rsidTr="00651874">
        <w:trPr>
          <w:trHeight w:val="323"/>
        </w:trPr>
        <w:tc>
          <w:tcPr>
            <w:tcW w:w="3407" w:type="dxa"/>
            <w:vAlign w:val="center"/>
          </w:tcPr>
          <w:p w:rsidR="002D0694" w:rsidRPr="00651874" w:rsidRDefault="002D0694" w:rsidP="00651874">
            <w:pPr>
              <w:jc w:val="both"/>
              <w:rPr>
                <w:rFonts w:ascii="Book Antiqua" w:hAnsi="Book Antiqua"/>
                <w:b/>
              </w:rPr>
            </w:pPr>
            <w:r w:rsidRPr="00651874">
              <w:rPr>
                <w:rFonts w:ascii="Book Antiqua" w:hAnsi="Book Antiqua"/>
                <w:b/>
              </w:rPr>
              <w:t xml:space="preserve">Total Graft Loss, </w:t>
            </w:r>
            <w:r w:rsidRPr="00A21845">
              <w:rPr>
                <w:rFonts w:ascii="Book Antiqua" w:hAnsi="Book Antiqua"/>
                <w:b/>
                <w:i/>
              </w:rPr>
              <w:t>n</w:t>
            </w:r>
            <w:r w:rsidRPr="00651874">
              <w:rPr>
                <w:rFonts w:ascii="Book Antiqua" w:hAnsi="Book Antiqua"/>
                <w:b/>
              </w:rPr>
              <w:t xml:space="preserve"> (%)</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52</w:t>
            </w:r>
            <w:r>
              <w:rPr>
                <w:rFonts w:ascii="Book Antiqua" w:hAnsi="Book Antiqua"/>
                <w:lang w:eastAsia="zh-CN"/>
              </w:rPr>
              <w:t xml:space="preserve"> </w:t>
            </w:r>
            <w:r w:rsidRPr="00651874">
              <w:rPr>
                <w:rFonts w:ascii="Book Antiqua" w:hAnsi="Book Antiqua"/>
              </w:rPr>
              <w:t>(26)</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35</w:t>
            </w:r>
            <w:r>
              <w:rPr>
                <w:rFonts w:ascii="Book Antiqua" w:hAnsi="Book Antiqua"/>
                <w:lang w:eastAsia="zh-CN"/>
              </w:rPr>
              <w:t xml:space="preserve"> </w:t>
            </w:r>
            <w:r w:rsidRPr="00651874">
              <w:rPr>
                <w:rFonts w:ascii="Book Antiqua" w:hAnsi="Book Antiqua"/>
              </w:rPr>
              <w:t>(23)</w:t>
            </w:r>
          </w:p>
        </w:tc>
        <w:tc>
          <w:tcPr>
            <w:tcW w:w="2045" w:type="dxa"/>
          </w:tcPr>
          <w:p w:rsidR="002D0694" w:rsidRPr="00651874" w:rsidRDefault="002D0694" w:rsidP="00310600">
            <w:pPr>
              <w:tabs>
                <w:tab w:val="left" w:pos="1649"/>
              </w:tabs>
              <w:ind w:right="369"/>
              <w:jc w:val="center"/>
              <w:rPr>
                <w:rFonts w:ascii="Book Antiqua" w:hAnsi="Book Antiqua"/>
              </w:rPr>
            </w:pPr>
            <w:r w:rsidRPr="00651874">
              <w:rPr>
                <w:rFonts w:ascii="Book Antiqua" w:hAnsi="Book Antiqua"/>
              </w:rPr>
              <w:t>0.57</w:t>
            </w:r>
          </w:p>
        </w:tc>
      </w:tr>
      <w:tr w:rsidR="002D0694" w:rsidRPr="00651874" w:rsidTr="00651874">
        <w:trPr>
          <w:trHeight w:val="120"/>
        </w:trPr>
        <w:tc>
          <w:tcPr>
            <w:tcW w:w="3407" w:type="dxa"/>
            <w:vAlign w:val="center"/>
          </w:tcPr>
          <w:p w:rsidR="002D0694" w:rsidRPr="00651874" w:rsidRDefault="002D0694" w:rsidP="00651874">
            <w:pPr>
              <w:jc w:val="both"/>
              <w:rPr>
                <w:rFonts w:ascii="Book Antiqua" w:hAnsi="Book Antiqua"/>
                <w:b/>
                <w:lang w:eastAsia="zh-CN"/>
              </w:rPr>
            </w:pPr>
            <w:r>
              <w:rPr>
                <w:rFonts w:ascii="Book Antiqua" w:hAnsi="Book Antiqua"/>
                <w:b/>
                <w:lang w:eastAsia="zh-CN"/>
              </w:rPr>
              <w:t>C</w:t>
            </w:r>
            <w:r>
              <w:rPr>
                <w:rFonts w:ascii="Book Antiqua" w:hAnsi="Book Antiqua"/>
                <w:b/>
              </w:rPr>
              <w:t>auses of graft loss</w:t>
            </w:r>
          </w:p>
        </w:tc>
        <w:tc>
          <w:tcPr>
            <w:tcW w:w="1918" w:type="dxa"/>
          </w:tcPr>
          <w:p w:rsidR="002D0694" w:rsidRPr="00651874" w:rsidRDefault="002D0694" w:rsidP="00310600">
            <w:pPr>
              <w:ind w:right="369"/>
              <w:jc w:val="center"/>
              <w:rPr>
                <w:rFonts w:ascii="Book Antiqua" w:hAnsi="Book Antiqua"/>
              </w:rPr>
            </w:pPr>
          </w:p>
        </w:tc>
        <w:tc>
          <w:tcPr>
            <w:tcW w:w="1918" w:type="dxa"/>
          </w:tcPr>
          <w:p w:rsidR="002D0694" w:rsidRPr="00651874" w:rsidRDefault="002D0694" w:rsidP="00310600">
            <w:pPr>
              <w:ind w:right="369"/>
              <w:jc w:val="center"/>
              <w:rPr>
                <w:rFonts w:ascii="Book Antiqua" w:hAnsi="Book Antiqua"/>
              </w:rPr>
            </w:pPr>
          </w:p>
        </w:tc>
        <w:tc>
          <w:tcPr>
            <w:tcW w:w="2045" w:type="dxa"/>
          </w:tcPr>
          <w:p w:rsidR="002D0694" w:rsidRPr="00651874" w:rsidRDefault="002D0694" w:rsidP="00310600">
            <w:pPr>
              <w:ind w:right="369"/>
              <w:jc w:val="center"/>
              <w:rPr>
                <w:rFonts w:ascii="Book Antiqua" w:hAnsi="Book Antiqua"/>
              </w:rPr>
            </w:pPr>
            <w:r w:rsidRPr="00651874">
              <w:rPr>
                <w:rFonts w:ascii="Book Antiqua" w:hAnsi="Book Antiqua"/>
              </w:rPr>
              <w:t>0.88</w:t>
            </w:r>
          </w:p>
        </w:tc>
      </w:tr>
      <w:tr w:rsidR="002D0694" w:rsidRPr="00651874" w:rsidTr="00651874">
        <w:trPr>
          <w:trHeight w:val="323"/>
        </w:trPr>
        <w:tc>
          <w:tcPr>
            <w:tcW w:w="3407" w:type="dxa"/>
            <w:vAlign w:val="center"/>
          </w:tcPr>
          <w:p w:rsidR="002D0694" w:rsidRPr="00651874" w:rsidRDefault="002D0694" w:rsidP="00651874">
            <w:pPr>
              <w:jc w:val="both"/>
              <w:rPr>
                <w:rFonts w:ascii="Book Antiqua" w:hAnsi="Book Antiqua"/>
                <w:b/>
              </w:rPr>
            </w:pPr>
            <w:r w:rsidRPr="00651874">
              <w:rPr>
                <w:rFonts w:ascii="Book Antiqua" w:hAnsi="Book Antiqua"/>
                <w:b/>
              </w:rPr>
              <w:t>DWFG</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22</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16</w:t>
            </w:r>
          </w:p>
        </w:tc>
        <w:tc>
          <w:tcPr>
            <w:tcW w:w="2045" w:type="dxa"/>
          </w:tcPr>
          <w:p w:rsidR="002D0694" w:rsidRPr="00651874" w:rsidRDefault="002D0694" w:rsidP="00310600">
            <w:pPr>
              <w:ind w:right="369"/>
              <w:jc w:val="center"/>
              <w:rPr>
                <w:rFonts w:ascii="Book Antiqua" w:hAnsi="Book Antiqua"/>
              </w:rPr>
            </w:pPr>
          </w:p>
        </w:tc>
      </w:tr>
      <w:tr w:rsidR="002D0694" w:rsidRPr="00651874" w:rsidTr="00651874">
        <w:trPr>
          <w:trHeight w:val="338"/>
        </w:trPr>
        <w:tc>
          <w:tcPr>
            <w:tcW w:w="3407" w:type="dxa"/>
            <w:vAlign w:val="center"/>
          </w:tcPr>
          <w:p w:rsidR="002D0694" w:rsidRPr="00651874" w:rsidRDefault="002D0694" w:rsidP="00651874">
            <w:pPr>
              <w:jc w:val="both"/>
              <w:rPr>
                <w:rFonts w:ascii="Book Antiqua" w:hAnsi="Book Antiqua"/>
                <w:b/>
                <w:lang w:val="fr-FR"/>
              </w:rPr>
            </w:pPr>
            <w:r w:rsidRPr="00651874">
              <w:rPr>
                <w:rFonts w:ascii="Book Antiqua" w:hAnsi="Book Antiqua"/>
                <w:b/>
                <w:lang w:val="fr-FR"/>
              </w:rPr>
              <w:t>CAN</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17</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10</w:t>
            </w:r>
          </w:p>
        </w:tc>
        <w:tc>
          <w:tcPr>
            <w:tcW w:w="2045" w:type="dxa"/>
          </w:tcPr>
          <w:p w:rsidR="002D0694" w:rsidRPr="00651874" w:rsidRDefault="002D0694" w:rsidP="00310600">
            <w:pPr>
              <w:ind w:right="369"/>
              <w:jc w:val="center"/>
              <w:rPr>
                <w:rFonts w:ascii="Book Antiqua" w:hAnsi="Book Antiqua"/>
              </w:rPr>
            </w:pPr>
          </w:p>
        </w:tc>
      </w:tr>
      <w:tr w:rsidR="002D0694" w:rsidRPr="00651874" w:rsidTr="00651874">
        <w:trPr>
          <w:trHeight w:val="323"/>
        </w:trPr>
        <w:tc>
          <w:tcPr>
            <w:tcW w:w="3407" w:type="dxa"/>
            <w:vAlign w:val="center"/>
          </w:tcPr>
          <w:p w:rsidR="002D0694" w:rsidRPr="00651874" w:rsidRDefault="002D0694" w:rsidP="00651874">
            <w:pPr>
              <w:jc w:val="both"/>
              <w:rPr>
                <w:rFonts w:ascii="Book Antiqua" w:hAnsi="Book Antiqua"/>
                <w:b/>
              </w:rPr>
            </w:pPr>
            <w:r>
              <w:rPr>
                <w:rFonts w:ascii="Book Antiqua" w:hAnsi="Book Antiqua"/>
                <w:b/>
                <w:lang w:eastAsia="zh-CN"/>
              </w:rPr>
              <w:t>R</w:t>
            </w:r>
            <w:r w:rsidRPr="00651874">
              <w:rPr>
                <w:rFonts w:ascii="Book Antiqua" w:hAnsi="Book Antiqua"/>
                <w:b/>
              </w:rPr>
              <w:t>ejection</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9</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5</w:t>
            </w:r>
          </w:p>
        </w:tc>
        <w:tc>
          <w:tcPr>
            <w:tcW w:w="2045" w:type="dxa"/>
          </w:tcPr>
          <w:p w:rsidR="002D0694" w:rsidRPr="00651874" w:rsidRDefault="002D0694" w:rsidP="00310600">
            <w:pPr>
              <w:ind w:right="369"/>
              <w:jc w:val="center"/>
              <w:rPr>
                <w:rFonts w:ascii="Book Antiqua" w:hAnsi="Book Antiqua"/>
              </w:rPr>
            </w:pPr>
          </w:p>
        </w:tc>
      </w:tr>
      <w:tr w:rsidR="002D0694" w:rsidRPr="00651874" w:rsidTr="00651874">
        <w:trPr>
          <w:trHeight w:val="638"/>
        </w:trPr>
        <w:tc>
          <w:tcPr>
            <w:tcW w:w="3407" w:type="dxa"/>
            <w:vAlign w:val="center"/>
          </w:tcPr>
          <w:p w:rsidR="002D0694" w:rsidRPr="00651874" w:rsidRDefault="002D0694" w:rsidP="00651874">
            <w:pPr>
              <w:jc w:val="both"/>
              <w:rPr>
                <w:rFonts w:ascii="Book Antiqua" w:hAnsi="Book Antiqua"/>
                <w:b/>
              </w:rPr>
            </w:pPr>
            <w:r>
              <w:rPr>
                <w:rFonts w:ascii="Book Antiqua" w:hAnsi="Book Antiqua"/>
                <w:b/>
                <w:lang w:eastAsia="zh-CN"/>
              </w:rPr>
              <w:t>I</w:t>
            </w:r>
            <w:r w:rsidRPr="00651874">
              <w:rPr>
                <w:rFonts w:ascii="Book Antiqua" w:hAnsi="Book Antiqua"/>
                <w:b/>
              </w:rPr>
              <w:t>nfection</w:t>
            </w:r>
          </w:p>
          <w:p w:rsidR="002D0694" w:rsidRPr="00651874" w:rsidRDefault="002D0694" w:rsidP="00651874">
            <w:pPr>
              <w:jc w:val="both"/>
              <w:rPr>
                <w:rFonts w:ascii="Book Antiqua" w:hAnsi="Book Antiqua"/>
                <w:b/>
              </w:rPr>
            </w:pPr>
            <w:r>
              <w:rPr>
                <w:rFonts w:ascii="Book Antiqua" w:hAnsi="Book Antiqua"/>
                <w:b/>
                <w:lang w:eastAsia="zh-CN"/>
              </w:rPr>
              <w:t>O</w:t>
            </w:r>
            <w:r w:rsidRPr="00651874">
              <w:rPr>
                <w:rFonts w:ascii="Book Antiqua" w:hAnsi="Book Antiqua"/>
                <w:b/>
              </w:rPr>
              <w:t>thers</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2</w:t>
            </w:r>
          </w:p>
          <w:p w:rsidR="002D0694" w:rsidRPr="00651874" w:rsidRDefault="002D0694" w:rsidP="00310600">
            <w:pPr>
              <w:ind w:right="369"/>
              <w:jc w:val="center"/>
              <w:rPr>
                <w:rFonts w:ascii="Book Antiqua" w:hAnsi="Book Antiqua"/>
              </w:rPr>
            </w:pPr>
            <w:r w:rsidRPr="00651874">
              <w:rPr>
                <w:rFonts w:ascii="Book Antiqua" w:hAnsi="Book Antiqua"/>
              </w:rPr>
              <w:t>2</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3</w:t>
            </w:r>
          </w:p>
          <w:p w:rsidR="002D0694" w:rsidRPr="00651874" w:rsidRDefault="002D0694" w:rsidP="00310600">
            <w:pPr>
              <w:ind w:right="369"/>
              <w:jc w:val="center"/>
              <w:rPr>
                <w:rFonts w:ascii="Book Antiqua" w:hAnsi="Book Antiqua"/>
              </w:rPr>
            </w:pPr>
            <w:r w:rsidRPr="00651874">
              <w:rPr>
                <w:rFonts w:ascii="Book Antiqua" w:hAnsi="Book Antiqua"/>
              </w:rPr>
              <w:t>1</w:t>
            </w:r>
          </w:p>
        </w:tc>
        <w:tc>
          <w:tcPr>
            <w:tcW w:w="2045" w:type="dxa"/>
          </w:tcPr>
          <w:p w:rsidR="002D0694" w:rsidRPr="00651874" w:rsidRDefault="002D0694" w:rsidP="00310600">
            <w:pPr>
              <w:ind w:right="369"/>
              <w:jc w:val="center"/>
              <w:rPr>
                <w:rFonts w:ascii="Book Antiqua" w:hAnsi="Book Antiqua"/>
              </w:rPr>
            </w:pPr>
          </w:p>
        </w:tc>
      </w:tr>
      <w:tr w:rsidR="002D0694" w:rsidRPr="00651874" w:rsidTr="00651874">
        <w:trPr>
          <w:trHeight w:val="323"/>
        </w:trPr>
        <w:tc>
          <w:tcPr>
            <w:tcW w:w="3407" w:type="dxa"/>
            <w:vAlign w:val="center"/>
          </w:tcPr>
          <w:p w:rsidR="002D0694" w:rsidRPr="00651874" w:rsidRDefault="002D0694" w:rsidP="00651874">
            <w:pPr>
              <w:jc w:val="both"/>
              <w:rPr>
                <w:rFonts w:ascii="Book Antiqua" w:hAnsi="Book Antiqua"/>
                <w:b/>
              </w:rPr>
            </w:pPr>
            <w:r w:rsidRPr="00651874">
              <w:rPr>
                <w:rFonts w:ascii="Book Antiqua" w:hAnsi="Book Antiqua"/>
                <w:b/>
              </w:rPr>
              <w:t xml:space="preserve">Total Patient Death, </w:t>
            </w:r>
            <w:r w:rsidRPr="00A21845">
              <w:rPr>
                <w:rFonts w:ascii="Book Antiqua" w:hAnsi="Book Antiqua"/>
                <w:b/>
                <w:i/>
              </w:rPr>
              <w:t xml:space="preserve">n </w:t>
            </w:r>
            <w:r w:rsidRPr="00651874">
              <w:rPr>
                <w:rFonts w:ascii="Book Antiqua" w:hAnsi="Book Antiqua"/>
                <w:b/>
              </w:rPr>
              <w:t>(%)</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27</w:t>
            </w:r>
            <w:r>
              <w:rPr>
                <w:rFonts w:ascii="Book Antiqua" w:hAnsi="Book Antiqua"/>
                <w:lang w:eastAsia="zh-CN"/>
              </w:rPr>
              <w:t xml:space="preserve"> </w:t>
            </w:r>
            <w:r w:rsidRPr="00651874">
              <w:rPr>
                <w:rFonts w:ascii="Book Antiqua" w:hAnsi="Book Antiqua"/>
              </w:rPr>
              <w:t>(14)</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18</w:t>
            </w:r>
            <w:r>
              <w:rPr>
                <w:rFonts w:ascii="Book Antiqua" w:hAnsi="Book Antiqua"/>
                <w:lang w:eastAsia="zh-CN"/>
              </w:rPr>
              <w:t xml:space="preserve"> </w:t>
            </w:r>
            <w:r w:rsidRPr="00651874">
              <w:rPr>
                <w:rFonts w:ascii="Book Antiqua" w:hAnsi="Book Antiqua"/>
              </w:rPr>
              <w:t>(12)</w:t>
            </w:r>
          </w:p>
        </w:tc>
        <w:tc>
          <w:tcPr>
            <w:tcW w:w="2045" w:type="dxa"/>
          </w:tcPr>
          <w:p w:rsidR="002D0694" w:rsidRPr="00651874" w:rsidRDefault="002D0694" w:rsidP="00310600">
            <w:pPr>
              <w:tabs>
                <w:tab w:val="left" w:pos="1649"/>
              </w:tabs>
              <w:ind w:right="369"/>
              <w:jc w:val="center"/>
              <w:rPr>
                <w:rFonts w:ascii="Book Antiqua" w:hAnsi="Book Antiqua"/>
              </w:rPr>
            </w:pPr>
            <w:r w:rsidRPr="00651874">
              <w:rPr>
                <w:rFonts w:ascii="Book Antiqua" w:hAnsi="Book Antiqua"/>
              </w:rPr>
              <w:t>0.68</w:t>
            </w:r>
          </w:p>
        </w:tc>
      </w:tr>
      <w:tr w:rsidR="002D0694" w:rsidRPr="00651874" w:rsidTr="00651874">
        <w:trPr>
          <w:trHeight w:val="120"/>
        </w:trPr>
        <w:tc>
          <w:tcPr>
            <w:tcW w:w="3407" w:type="dxa"/>
            <w:vAlign w:val="center"/>
          </w:tcPr>
          <w:p w:rsidR="002D0694" w:rsidRPr="00651874" w:rsidRDefault="002D0694" w:rsidP="00651874">
            <w:pPr>
              <w:jc w:val="both"/>
              <w:rPr>
                <w:rFonts w:ascii="Book Antiqua" w:hAnsi="Book Antiqua"/>
                <w:b/>
                <w:lang w:eastAsia="zh-CN"/>
              </w:rPr>
            </w:pPr>
            <w:r>
              <w:rPr>
                <w:rFonts w:ascii="Book Antiqua" w:hAnsi="Book Antiqua"/>
                <w:b/>
                <w:lang w:eastAsia="zh-CN"/>
              </w:rPr>
              <w:t>C</w:t>
            </w:r>
            <w:r>
              <w:rPr>
                <w:rFonts w:ascii="Book Antiqua" w:hAnsi="Book Antiqua"/>
                <w:b/>
              </w:rPr>
              <w:t>auses of death</w:t>
            </w:r>
          </w:p>
        </w:tc>
        <w:tc>
          <w:tcPr>
            <w:tcW w:w="1918" w:type="dxa"/>
          </w:tcPr>
          <w:p w:rsidR="002D0694" w:rsidRPr="00651874" w:rsidRDefault="002D0694" w:rsidP="00310600">
            <w:pPr>
              <w:ind w:right="369"/>
              <w:jc w:val="center"/>
              <w:rPr>
                <w:rFonts w:ascii="Book Antiqua" w:hAnsi="Book Antiqua"/>
              </w:rPr>
            </w:pPr>
          </w:p>
        </w:tc>
        <w:tc>
          <w:tcPr>
            <w:tcW w:w="1918" w:type="dxa"/>
          </w:tcPr>
          <w:p w:rsidR="002D0694" w:rsidRPr="00651874" w:rsidRDefault="002D0694" w:rsidP="00310600">
            <w:pPr>
              <w:ind w:right="369"/>
              <w:jc w:val="center"/>
              <w:rPr>
                <w:rFonts w:ascii="Book Antiqua" w:hAnsi="Book Antiqua"/>
              </w:rPr>
            </w:pPr>
          </w:p>
        </w:tc>
        <w:tc>
          <w:tcPr>
            <w:tcW w:w="2045" w:type="dxa"/>
          </w:tcPr>
          <w:p w:rsidR="002D0694" w:rsidRPr="00651874" w:rsidRDefault="002D0694" w:rsidP="00310600">
            <w:pPr>
              <w:ind w:right="369"/>
              <w:jc w:val="center"/>
              <w:rPr>
                <w:rFonts w:ascii="Book Antiqua" w:hAnsi="Book Antiqua"/>
              </w:rPr>
            </w:pPr>
            <w:r w:rsidRPr="00651874">
              <w:rPr>
                <w:rFonts w:ascii="Book Antiqua" w:hAnsi="Book Antiqua"/>
              </w:rPr>
              <w:t>0.88</w:t>
            </w:r>
          </w:p>
        </w:tc>
      </w:tr>
      <w:tr w:rsidR="002D0694" w:rsidRPr="00651874" w:rsidTr="00651874">
        <w:trPr>
          <w:trHeight w:val="323"/>
        </w:trPr>
        <w:tc>
          <w:tcPr>
            <w:tcW w:w="3407" w:type="dxa"/>
            <w:vAlign w:val="center"/>
          </w:tcPr>
          <w:p w:rsidR="002D0694" w:rsidRPr="00651874" w:rsidRDefault="002D0694" w:rsidP="00651874">
            <w:pPr>
              <w:jc w:val="both"/>
              <w:rPr>
                <w:rFonts w:ascii="Book Antiqua" w:hAnsi="Book Antiqua"/>
                <w:b/>
              </w:rPr>
            </w:pPr>
            <w:r w:rsidRPr="00651874">
              <w:rPr>
                <w:rFonts w:ascii="Book Antiqua" w:hAnsi="Book Antiqua"/>
                <w:b/>
              </w:rPr>
              <w:t xml:space="preserve"> CVD</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14</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10</w:t>
            </w:r>
          </w:p>
        </w:tc>
        <w:tc>
          <w:tcPr>
            <w:tcW w:w="2045" w:type="dxa"/>
          </w:tcPr>
          <w:p w:rsidR="002D0694" w:rsidRPr="00651874" w:rsidRDefault="002D0694" w:rsidP="00310600">
            <w:pPr>
              <w:ind w:right="369"/>
              <w:jc w:val="center"/>
              <w:rPr>
                <w:rFonts w:ascii="Book Antiqua" w:hAnsi="Book Antiqua"/>
              </w:rPr>
            </w:pPr>
          </w:p>
        </w:tc>
      </w:tr>
      <w:tr w:rsidR="002D0694" w:rsidRPr="00651874" w:rsidTr="00651874">
        <w:trPr>
          <w:trHeight w:val="338"/>
        </w:trPr>
        <w:tc>
          <w:tcPr>
            <w:tcW w:w="3407" w:type="dxa"/>
            <w:vAlign w:val="center"/>
          </w:tcPr>
          <w:p w:rsidR="002D0694" w:rsidRPr="00651874" w:rsidRDefault="002D0694" w:rsidP="00651874">
            <w:pPr>
              <w:jc w:val="both"/>
              <w:rPr>
                <w:rFonts w:ascii="Book Antiqua" w:hAnsi="Book Antiqua"/>
                <w:b/>
                <w:lang w:val="fr-FR"/>
              </w:rPr>
            </w:pPr>
            <w:r>
              <w:rPr>
                <w:rFonts w:ascii="Book Antiqua" w:hAnsi="Book Antiqua"/>
                <w:b/>
                <w:lang w:val="fr-FR" w:eastAsia="zh-CN"/>
              </w:rPr>
              <w:t>I</w:t>
            </w:r>
            <w:r w:rsidRPr="00651874">
              <w:rPr>
                <w:rFonts w:ascii="Book Antiqua" w:hAnsi="Book Antiqua"/>
                <w:b/>
                <w:lang w:val="fr-FR"/>
              </w:rPr>
              <w:t>nfections</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6</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5</w:t>
            </w:r>
          </w:p>
        </w:tc>
        <w:tc>
          <w:tcPr>
            <w:tcW w:w="2045" w:type="dxa"/>
          </w:tcPr>
          <w:p w:rsidR="002D0694" w:rsidRPr="00651874" w:rsidRDefault="002D0694" w:rsidP="00310600">
            <w:pPr>
              <w:ind w:right="369"/>
              <w:jc w:val="center"/>
              <w:rPr>
                <w:rFonts w:ascii="Book Antiqua" w:hAnsi="Book Antiqua"/>
              </w:rPr>
            </w:pPr>
          </w:p>
        </w:tc>
      </w:tr>
      <w:tr w:rsidR="002D0694" w:rsidRPr="00651874" w:rsidTr="00651874">
        <w:trPr>
          <w:trHeight w:val="323"/>
        </w:trPr>
        <w:tc>
          <w:tcPr>
            <w:tcW w:w="3407" w:type="dxa"/>
            <w:vAlign w:val="center"/>
          </w:tcPr>
          <w:p w:rsidR="002D0694" w:rsidRPr="00651874" w:rsidRDefault="002D0694" w:rsidP="00651874">
            <w:pPr>
              <w:jc w:val="both"/>
              <w:rPr>
                <w:rFonts w:ascii="Book Antiqua" w:hAnsi="Book Antiqua"/>
                <w:b/>
              </w:rPr>
            </w:pPr>
            <w:r>
              <w:rPr>
                <w:rFonts w:ascii="Book Antiqua" w:hAnsi="Book Antiqua"/>
                <w:b/>
                <w:lang w:eastAsia="zh-CN"/>
              </w:rPr>
              <w:t>M</w:t>
            </w:r>
            <w:r w:rsidRPr="00651874">
              <w:rPr>
                <w:rFonts w:ascii="Book Antiqua" w:hAnsi="Book Antiqua"/>
                <w:b/>
              </w:rPr>
              <w:t>alignancy</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2</w:t>
            </w:r>
          </w:p>
        </w:tc>
        <w:tc>
          <w:tcPr>
            <w:tcW w:w="1918" w:type="dxa"/>
          </w:tcPr>
          <w:p w:rsidR="002D0694" w:rsidRPr="00651874" w:rsidRDefault="002D0694" w:rsidP="00310600">
            <w:pPr>
              <w:ind w:right="369"/>
              <w:jc w:val="center"/>
              <w:rPr>
                <w:rFonts w:ascii="Book Antiqua" w:hAnsi="Book Antiqua"/>
              </w:rPr>
            </w:pPr>
            <w:r w:rsidRPr="00651874">
              <w:rPr>
                <w:rFonts w:ascii="Book Antiqua" w:hAnsi="Book Antiqua"/>
              </w:rPr>
              <w:t>2</w:t>
            </w:r>
          </w:p>
        </w:tc>
        <w:tc>
          <w:tcPr>
            <w:tcW w:w="2045" w:type="dxa"/>
          </w:tcPr>
          <w:p w:rsidR="002D0694" w:rsidRPr="00651874" w:rsidRDefault="002D0694" w:rsidP="00310600">
            <w:pPr>
              <w:ind w:right="369"/>
              <w:jc w:val="center"/>
              <w:rPr>
                <w:rFonts w:ascii="Book Antiqua" w:hAnsi="Book Antiqua"/>
              </w:rPr>
            </w:pPr>
          </w:p>
        </w:tc>
      </w:tr>
      <w:tr w:rsidR="002D0694" w:rsidRPr="00651874" w:rsidTr="00A21845">
        <w:trPr>
          <w:trHeight w:val="584"/>
        </w:trPr>
        <w:tc>
          <w:tcPr>
            <w:tcW w:w="3407" w:type="dxa"/>
            <w:tcBorders>
              <w:bottom w:val="single" w:sz="12" w:space="0" w:color="auto"/>
            </w:tcBorders>
            <w:vAlign w:val="center"/>
          </w:tcPr>
          <w:p w:rsidR="002D0694" w:rsidRPr="00651874" w:rsidRDefault="002D0694" w:rsidP="00651874">
            <w:pPr>
              <w:jc w:val="both"/>
              <w:rPr>
                <w:rFonts w:ascii="Book Antiqua" w:hAnsi="Book Antiqua"/>
                <w:b/>
              </w:rPr>
            </w:pPr>
            <w:r>
              <w:rPr>
                <w:rFonts w:ascii="Book Antiqua" w:hAnsi="Book Antiqua"/>
                <w:b/>
                <w:lang w:eastAsia="zh-CN"/>
              </w:rPr>
              <w:t>O</w:t>
            </w:r>
            <w:r w:rsidRPr="00651874">
              <w:rPr>
                <w:rFonts w:ascii="Book Antiqua" w:hAnsi="Book Antiqua"/>
                <w:b/>
              </w:rPr>
              <w:t>thers</w:t>
            </w:r>
          </w:p>
        </w:tc>
        <w:tc>
          <w:tcPr>
            <w:tcW w:w="1918" w:type="dxa"/>
            <w:tcBorders>
              <w:bottom w:val="single" w:sz="12" w:space="0" w:color="auto"/>
            </w:tcBorders>
          </w:tcPr>
          <w:p w:rsidR="002D0694" w:rsidRPr="00651874" w:rsidRDefault="002D0694" w:rsidP="00310600">
            <w:pPr>
              <w:ind w:right="369"/>
              <w:jc w:val="center"/>
              <w:rPr>
                <w:rFonts w:ascii="Book Antiqua" w:hAnsi="Book Antiqua"/>
              </w:rPr>
            </w:pPr>
            <w:r w:rsidRPr="00651874">
              <w:rPr>
                <w:rFonts w:ascii="Book Antiqua" w:hAnsi="Book Antiqua"/>
              </w:rPr>
              <w:t>3</w:t>
            </w:r>
          </w:p>
        </w:tc>
        <w:tc>
          <w:tcPr>
            <w:tcW w:w="1918" w:type="dxa"/>
            <w:tcBorders>
              <w:bottom w:val="single" w:sz="12" w:space="0" w:color="auto"/>
            </w:tcBorders>
          </w:tcPr>
          <w:p w:rsidR="002D0694" w:rsidRPr="00651874" w:rsidRDefault="002D0694" w:rsidP="00310600">
            <w:pPr>
              <w:ind w:right="369"/>
              <w:jc w:val="center"/>
              <w:rPr>
                <w:rFonts w:ascii="Book Antiqua" w:hAnsi="Book Antiqua"/>
              </w:rPr>
            </w:pPr>
            <w:r w:rsidRPr="00651874">
              <w:rPr>
                <w:rFonts w:ascii="Book Antiqua" w:hAnsi="Book Antiqua"/>
              </w:rPr>
              <w:t>1</w:t>
            </w:r>
          </w:p>
        </w:tc>
        <w:tc>
          <w:tcPr>
            <w:tcW w:w="2045" w:type="dxa"/>
            <w:tcBorders>
              <w:bottom w:val="single" w:sz="12" w:space="0" w:color="auto"/>
            </w:tcBorders>
          </w:tcPr>
          <w:p w:rsidR="002D0694" w:rsidRPr="00651874" w:rsidRDefault="002D0694" w:rsidP="00310600">
            <w:pPr>
              <w:ind w:right="369"/>
              <w:jc w:val="center"/>
              <w:rPr>
                <w:rFonts w:ascii="Book Antiqua" w:hAnsi="Book Antiqua"/>
              </w:rPr>
            </w:pPr>
          </w:p>
        </w:tc>
      </w:tr>
    </w:tbl>
    <w:p w:rsidR="002D0694" w:rsidRPr="003C418C" w:rsidRDefault="002D0694" w:rsidP="003C418C">
      <w:pPr>
        <w:ind w:left="-11"/>
        <w:jc w:val="both"/>
        <w:rPr>
          <w:rFonts w:ascii="Book Antiqua" w:hAnsi="Book Antiqua"/>
          <w:b/>
          <w:szCs w:val="28"/>
          <w:lang w:eastAsia="zh-CN"/>
        </w:rPr>
      </w:pPr>
      <w:r w:rsidRPr="00651874">
        <w:rPr>
          <w:rFonts w:ascii="Book Antiqua" w:hAnsi="Book Antiqua"/>
        </w:rPr>
        <w:t>CNI</w:t>
      </w:r>
      <w:r>
        <w:rPr>
          <w:rFonts w:ascii="Book Antiqua" w:hAnsi="Book Antiqua"/>
          <w:lang w:eastAsia="zh-CN"/>
        </w:rPr>
        <w:t>: C</w:t>
      </w:r>
      <w:r w:rsidRPr="0011258C">
        <w:rPr>
          <w:rFonts w:ascii="Book Antiqua" w:hAnsi="Book Antiqua"/>
        </w:rPr>
        <w:t>alcineurin inhibitor</w:t>
      </w:r>
      <w:r>
        <w:rPr>
          <w:rFonts w:ascii="Book Antiqua" w:hAnsi="Book Antiqua"/>
          <w:lang w:eastAsia="zh-CN"/>
        </w:rPr>
        <w:t xml:space="preserve">; </w:t>
      </w:r>
      <w:r w:rsidRPr="003C418C">
        <w:rPr>
          <w:rFonts w:ascii="Book Antiqua" w:hAnsi="Book Antiqua"/>
        </w:rPr>
        <w:t>CMV</w:t>
      </w:r>
      <w:r w:rsidRPr="00A21845">
        <w:rPr>
          <w:rFonts w:ascii="Book Antiqua" w:hAnsi="Book Antiqua"/>
          <w:lang w:eastAsia="zh-CN"/>
        </w:rPr>
        <w:t>:</w:t>
      </w:r>
      <w:r>
        <w:rPr>
          <w:rFonts w:ascii="Book Antiqua" w:hAnsi="Book Antiqua"/>
          <w:b/>
          <w:lang w:eastAsia="zh-CN"/>
        </w:rPr>
        <w:t xml:space="preserve"> </w:t>
      </w:r>
      <w:r w:rsidRPr="0011258C">
        <w:rPr>
          <w:rFonts w:ascii="Book Antiqua" w:hAnsi="Book Antiqua"/>
        </w:rPr>
        <w:t>Cytomegalovirus</w:t>
      </w:r>
      <w:r>
        <w:rPr>
          <w:rFonts w:ascii="Book Antiqua" w:hAnsi="Book Antiqua"/>
          <w:lang w:eastAsia="zh-CN"/>
        </w:rPr>
        <w:t xml:space="preserve">; </w:t>
      </w:r>
      <w:r w:rsidRPr="003C418C">
        <w:rPr>
          <w:rFonts w:ascii="Book Antiqua" w:hAnsi="Book Antiqua"/>
        </w:rPr>
        <w:t>HS</w:t>
      </w:r>
      <w:r w:rsidRPr="003C418C">
        <w:rPr>
          <w:rFonts w:ascii="Book Antiqua" w:hAnsi="Book Antiqua"/>
          <w:lang w:eastAsia="zh-CN"/>
        </w:rPr>
        <w:t>V</w:t>
      </w:r>
      <w:r w:rsidRPr="00A21845">
        <w:rPr>
          <w:rFonts w:ascii="Book Antiqua" w:hAnsi="Book Antiqua"/>
          <w:lang w:eastAsia="zh-CN"/>
        </w:rPr>
        <w:t>:</w:t>
      </w:r>
      <w:r>
        <w:rPr>
          <w:rFonts w:ascii="Book Antiqua" w:hAnsi="Book Antiqua"/>
          <w:b/>
          <w:lang w:eastAsia="zh-CN"/>
        </w:rPr>
        <w:t xml:space="preserve"> </w:t>
      </w:r>
      <w:r>
        <w:rPr>
          <w:rFonts w:ascii="Book Antiqua" w:hAnsi="Book Antiqua"/>
          <w:lang w:eastAsia="zh-CN"/>
        </w:rPr>
        <w:t>H</w:t>
      </w:r>
      <w:r w:rsidRPr="003C418C">
        <w:rPr>
          <w:rFonts w:ascii="Book Antiqua" w:hAnsi="Book Antiqua"/>
        </w:rPr>
        <w:t>erpes simplex virus</w:t>
      </w:r>
      <w:r>
        <w:rPr>
          <w:rFonts w:ascii="Book Antiqua" w:hAnsi="Book Antiqua"/>
          <w:lang w:eastAsia="zh-CN"/>
        </w:rPr>
        <w:t xml:space="preserve">; </w:t>
      </w:r>
      <w:r w:rsidRPr="003C418C">
        <w:rPr>
          <w:rFonts w:ascii="Book Antiqua" w:hAnsi="Book Antiqua"/>
        </w:rPr>
        <w:t xml:space="preserve">CVD: </w:t>
      </w:r>
      <w:r>
        <w:rPr>
          <w:rFonts w:ascii="Book Antiqua" w:hAnsi="Book Antiqua"/>
          <w:lang w:eastAsia="zh-CN"/>
        </w:rPr>
        <w:t>C</w:t>
      </w:r>
      <w:r w:rsidRPr="003C418C">
        <w:rPr>
          <w:rFonts w:ascii="Book Antiqua" w:hAnsi="Book Antiqua"/>
        </w:rPr>
        <w:t>erebrovascular disease</w:t>
      </w:r>
      <w:r>
        <w:rPr>
          <w:rFonts w:ascii="Book Antiqua" w:hAnsi="Book Antiqua"/>
          <w:lang w:eastAsia="zh-CN"/>
        </w:rPr>
        <w:t>.</w:t>
      </w:r>
    </w:p>
    <w:p w:rsidR="002D0694" w:rsidRPr="0011258C" w:rsidRDefault="002D0694" w:rsidP="002E6733">
      <w:pPr>
        <w:spacing w:line="360" w:lineRule="auto"/>
        <w:rPr>
          <w:rFonts w:ascii="Book Antiqua" w:hAnsi="Book Antiqua"/>
        </w:rPr>
      </w:pPr>
    </w:p>
    <w:p w:rsidR="002D0694" w:rsidRPr="0011258C" w:rsidRDefault="002D0694" w:rsidP="002E6733">
      <w:pPr>
        <w:spacing w:line="360" w:lineRule="auto"/>
        <w:rPr>
          <w:rFonts w:ascii="Book Antiqua" w:hAnsi="Book Antiqua"/>
        </w:rPr>
      </w:pPr>
    </w:p>
    <w:p w:rsidR="002D0694" w:rsidRPr="0011258C" w:rsidRDefault="002D0694" w:rsidP="002E6733">
      <w:pPr>
        <w:spacing w:line="360" w:lineRule="auto"/>
        <w:rPr>
          <w:rFonts w:ascii="Book Antiqua" w:hAnsi="Book Antiqua"/>
        </w:rPr>
      </w:pPr>
    </w:p>
    <w:p w:rsidR="002D0694" w:rsidRPr="003C418C" w:rsidRDefault="002D0694" w:rsidP="003C418C">
      <w:pPr>
        <w:spacing w:line="360" w:lineRule="auto"/>
        <w:rPr>
          <w:rFonts w:ascii="Book Antiqua" w:hAnsi="Book Antiqua"/>
          <w:b/>
          <w:lang w:eastAsia="zh-CN"/>
        </w:rPr>
      </w:pPr>
      <w:r w:rsidRPr="003C418C">
        <w:rPr>
          <w:rFonts w:ascii="Book Antiqua" w:hAnsi="Book Antiqua"/>
          <w:b/>
        </w:rPr>
        <w:lastRenderedPageBreak/>
        <w:t>Table 4</w:t>
      </w:r>
      <w:r>
        <w:rPr>
          <w:rFonts w:ascii="Book Antiqua" w:hAnsi="Book Antiqua"/>
          <w:b/>
          <w:lang w:eastAsia="zh-CN"/>
        </w:rPr>
        <w:t xml:space="preserve"> </w:t>
      </w:r>
      <w:r w:rsidRPr="003C418C">
        <w:rPr>
          <w:rFonts w:ascii="Book Antiqua" w:hAnsi="Book Antiqua"/>
          <w:b/>
        </w:rPr>
        <w:t>Multivariable analysis of risk factors for acute rejection</w:t>
      </w:r>
    </w:p>
    <w:tbl>
      <w:tblPr>
        <w:tblW w:w="9990" w:type="dxa"/>
        <w:tblInd w:w="-342" w:type="dxa"/>
        <w:tblLook w:val="0000" w:firstRow="0" w:lastRow="0" w:firstColumn="0" w:lastColumn="0" w:noHBand="0" w:noVBand="0"/>
      </w:tblPr>
      <w:tblGrid>
        <w:gridCol w:w="4500"/>
        <w:gridCol w:w="2160"/>
        <w:gridCol w:w="1440"/>
        <w:gridCol w:w="1890"/>
      </w:tblGrid>
      <w:tr w:rsidR="002D0694" w:rsidRPr="0011258C" w:rsidTr="00310600">
        <w:trPr>
          <w:trHeight w:val="549"/>
        </w:trPr>
        <w:tc>
          <w:tcPr>
            <w:tcW w:w="4500" w:type="dxa"/>
            <w:tcBorders>
              <w:top w:val="single" w:sz="12" w:space="0" w:color="auto"/>
              <w:bottom w:val="single" w:sz="12" w:space="0" w:color="auto"/>
            </w:tcBorders>
            <w:noWrap/>
          </w:tcPr>
          <w:p w:rsidR="002D0694" w:rsidRPr="0011258C" w:rsidRDefault="002D0694" w:rsidP="002E6733">
            <w:pPr>
              <w:spacing w:line="360" w:lineRule="auto"/>
              <w:rPr>
                <w:rFonts w:ascii="Book Antiqua" w:hAnsi="Book Antiqua"/>
                <w:lang w:eastAsia="zh-CN"/>
              </w:rPr>
            </w:pPr>
          </w:p>
        </w:tc>
        <w:tc>
          <w:tcPr>
            <w:tcW w:w="2160" w:type="dxa"/>
            <w:tcBorders>
              <w:top w:val="single" w:sz="12" w:space="0" w:color="auto"/>
              <w:bottom w:val="single" w:sz="12" w:space="0" w:color="auto"/>
            </w:tcBorders>
            <w:noWrap/>
            <w:vAlign w:val="center"/>
          </w:tcPr>
          <w:p w:rsidR="002D0694" w:rsidRPr="003C418C" w:rsidRDefault="002D0694" w:rsidP="002E6733">
            <w:pPr>
              <w:tabs>
                <w:tab w:val="left" w:pos="267"/>
              </w:tabs>
              <w:spacing w:line="360" w:lineRule="auto"/>
              <w:jc w:val="center"/>
              <w:rPr>
                <w:rFonts w:ascii="Book Antiqua" w:hAnsi="Book Antiqua"/>
                <w:b/>
                <w:lang w:eastAsia="zh-CN"/>
              </w:rPr>
            </w:pPr>
            <w:r w:rsidRPr="003C418C">
              <w:rPr>
                <w:rFonts w:ascii="Book Antiqua" w:hAnsi="Book Antiqua"/>
                <w:b/>
                <w:lang w:eastAsia="zh-CN"/>
              </w:rPr>
              <w:t>Hazard ratio</w:t>
            </w:r>
          </w:p>
        </w:tc>
        <w:tc>
          <w:tcPr>
            <w:tcW w:w="1440" w:type="dxa"/>
            <w:tcBorders>
              <w:top w:val="single" w:sz="12" w:space="0" w:color="auto"/>
              <w:bottom w:val="single" w:sz="12" w:space="0" w:color="auto"/>
            </w:tcBorders>
            <w:noWrap/>
            <w:vAlign w:val="center"/>
          </w:tcPr>
          <w:p w:rsidR="002D0694" w:rsidRPr="003C418C" w:rsidRDefault="002D0694" w:rsidP="002E6733">
            <w:pPr>
              <w:spacing w:line="360" w:lineRule="auto"/>
              <w:ind w:left="44"/>
              <w:jc w:val="center"/>
              <w:rPr>
                <w:rFonts w:ascii="Book Antiqua" w:hAnsi="Book Antiqua"/>
                <w:b/>
                <w:lang w:eastAsia="zh-CN"/>
              </w:rPr>
            </w:pPr>
            <w:r>
              <w:rPr>
                <w:rFonts w:ascii="Book Antiqua" w:hAnsi="Book Antiqua"/>
                <w:b/>
                <w:lang w:eastAsia="zh-CN"/>
              </w:rPr>
              <w:t>95%</w:t>
            </w:r>
            <w:r w:rsidRPr="003C418C">
              <w:rPr>
                <w:rFonts w:ascii="Book Antiqua" w:hAnsi="Book Antiqua"/>
                <w:b/>
                <w:lang w:eastAsia="zh-CN"/>
              </w:rPr>
              <w:t>CI</w:t>
            </w:r>
          </w:p>
        </w:tc>
        <w:tc>
          <w:tcPr>
            <w:tcW w:w="1890" w:type="dxa"/>
            <w:tcBorders>
              <w:top w:val="single" w:sz="12" w:space="0" w:color="auto"/>
              <w:bottom w:val="single" w:sz="12" w:space="0" w:color="auto"/>
            </w:tcBorders>
            <w:noWrap/>
            <w:vAlign w:val="center"/>
          </w:tcPr>
          <w:p w:rsidR="002D0694" w:rsidRPr="003C418C" w:rsidRDefault="002D0694" w:rsidP="002E6733">
            <w:pPr>
              <w:spacing w:line="360" w:lineRule="auto"/>
              <w:ind w:left="252" w:right="-108"/>
              <w:jc w:val="center"/>
              <w:rPr>
                <w:rFonts w:ascii="Book Antiqua" w:hAnsi="Book Antiqua"/>
                <w:b/>
                <w:lang w:eastAsia="zh-CN"/>
              </w:rPr>
            </w:pPr>
            <w:r>
              <w:rPr>
                <w:rFonts w:ascii="Book Antiqua" w:hAnsi="Book Antiqua"/>
                <w:b/>
                <w:i/>
                <w:lang w:eastAsia="zh-CN"/>
              </w:rPr>
              <w:t>P</w:t>
            </w:r>
            <w:r w:rsidRPr="003C418C">
              <w:rPr>
                <w:rFonts w:ascii="Book Antiqua" w:hAnsi="Book Antiqua"/>
                <w:b/>
                <w:lang w:eastAsia="zh-CN"/>
              </w:rPr>
              <w:t>-value</w:t>
            </w:r>
          </w:p>
        </w:tc>
      </w:tr>
      <w:tr w:rsidR="002D0694" w:rsidRPr="0011258C" w:rsidTr="00310600">
        <w:trPr>
          <w:trHeight w:val="73"/>
        </w:trPr>
        <w:tc>
          <w:tcPr>
            <w:tcW w:w="4500" w:type="dxa"/>
            <w:tcBorders>
              <w:top w:val="single" w:sz="12" w:space="0" w:color="auto"/>
            </w:tcBorders>
            <w:noWrap/>
          </w:tcPr>
          <w:p w:rsidR="002D0694" w:rsidRPr="003C418C" w:rsidRDefault="002D0694" w:rsidP="002E6733">
            <w:pPr>
              <w:spacing w:before="120" w:after="120" w:line="360" w:lineRule="auto"/>
              <w:rPr>
                <w:rFonts w:ascii="Book Antiqua" w:hAnsi="Book Antiqua"/>
                <w:b/>
                <w:lang w:eastAsia="zh-CN"/>
              </w:rPr>
            </w:pPr>
            <w:r w:rsidRPr="003C418C">
              <w:rPr>
                <w:rFonts w:ascii="Book Antiqua" w:hAnsi="Book Antiqua"/>
                <w:b/>
                <w:lang w:eastAsia="zh-CN"/>
              </w:rPr>
              <w:t xml:space="preserve">Race (black </w:t>
            </w:r>
            <w:r w:rsidRPr="007A7CD1">
              <w:rPr>
                <w:rFonts w:ascii="Book Antiqua" w:hAnsi="Book Antiqua"/>
                <w:b/>
                <w:i/>
                <w:lang w:eastAsia="zh-CN"/>
              </w:rPr>
              <w:t>vs</w:t>
            </w:r>
            <w:r w:rsidRPr="003C418C">
              <w:rPr>
                <w:rFonts w:ascii="Book Antiqua" w:hAnsi="Book Antiqua"/>
                <w:b/>
                <w:lang w:eastAsia="zh-CN"/>
              </w:rPr>
              <w:t xml:space="preserve"> non-black )</w:t>
            </w:r>
          </w:p>
        </w:tc>
        <w:tc>
          <w:tcPr>
            <w:tcW w:w="2160" w:type="dxa"/>
            <w:tcBorders>
              <w:top w:val="single" w:sz="12" w:space="0" w:color="auto"/>
            </w:tcBorders>
            <w:noWrap/>
          </w:tcPr>
          <w:p w:rsidR="002D0694" w:rsidRPr="0011258C" w:rsidRDefault="002D0694" w:rsidP="002E6733">
            <w:pPr>
              <w:spacing w:before="120" w:after="120" w:line="360" w:lineRule="auto"/>
              <w:jc w:val="center"/>
              <w:rPr>
                <w:rFonts w:ascii="Book Antiqua" w:hAnsi="Book Antiqua"/>
                <w:lang w:eastAsia="zh-CN"/>
              </w:rPr>
            </w:pPr>
            <w:r w:rsidRPr="0011258C">
              <w:rPr>
                <w:rFonts w:ascii="Book Antiqua" w:hAnsi="Book Antiqua"/>
                <w:lang w:eastAsia="zh-CN"/>
              </w:rPr>
              <w:t>2.68</w:t>
            </w:r>
          </w:p>
        </w:tc>
        <w:tc>
          <w:tcPr>
            <w:tcW w:w="1440" w:type="dxa"/>
            <w:tcBorders>
              <w:top w:val="single" w:sz="12" w:space="0" w:color="auto"/>
            </w:tcBorders>
            <w:noWrap/>
          </w:tcPr>
          <w:p w:rsidR="002D0694" w:rsidRPr="0011258C" w:rsidRDefault="002D0694" w:rsidP="002E6733">
            <w:pPr>
              <w:spacing w:before="120" w:after="120" w:line="360" w:lineRule="auto"/>
              <w:jc w:val="center"/>
              <w:rPr>
                <w:rFonts w:ascii="Book Antiqua" w:hAnsi="Book Antiqua"/>
                <w:lang w:eastAsia="zh-CN"/>
              </w:rPr>
            </w:pPr>
            <w:r w:rsidRPr="0011258C">
              <w:rPr>
                <w:rFonts w:ascii="Book Antiqua" w:hAnsi="Book Antiqua"/>
                <w:lang w:eastAsia="zh-CN"/>
              </w:rPr>
              <w:t>1.67-6.73</w:t>
            </w:r>
          </w:p>
        </w:tc>
        <w:tc>
          <w:tcPr>
            <w:tcW w:w="1890" w:type="dxa"/>
            <w:tcBorders>
              <w:top w:val="single" w:sz="12" w:space="0" w:color="auto"/>
            </w:tcBorders>
            <w:noWrap/>
          </w:tcPr>
          <w:p w:rsidR="002D0694" w:rsidRPr="0011258C" w:rsidRDefault="002D0694" w:rsidP="002E6733">
            <w:pPr>
              <w:spacing w:before="120" w:after="120" w:line="360" w:lineRule="auto"/>
              <w:ind w:left="72" w:right="-108" w:firstLine="180"/>
              <w:jc w:val="center"/>
              <w:rPr>
                <w:rFonts w:ascii="Book Antiqua" w:hAnsi="Book Antiqua"/>
                <w:lang w:eastAsia="zh-CN"/>
              </w:rPr>
            </w:pPr>
            <w:r w:rsidRPr="0011258C">
              <w:rPr>
                <w:rFonts w:ascii="Book Antiqua" w:hAnsi="Book Antiqua"/>
                <w:lang w:eastAsia="zh-CN"/>
              </w:rPr>
              <w:t>0.032</w:t>
            </w:r>
          </w:p>
        </w:tc>
      </w:tr>
      <w:tr w:rsidR="002D0694" w:rsidRPr="0011258C" w:rsidTr="00310600">
        <w:trPr>
          <w:trHeight w:val="357"/>
        </w:trPr>
        <w:tc>
          <w:tcPr>
            <w:tcW w:w="4500" w:type="dxa"/>
            <w:noWrap/>
          </w:tcPr>
          <w:p w:rsidR="002D0694" w:rsidRPr="003C418C" w:rsidRDefault="002D0694" w:rsidP="002E6733">
            <w:pPr>
              <w:spacing w:before="120" w:after="120" w:line="360" w:lineRule="auto"/>
              <w:rPr>
                <w:rFonts w:ascii="Book Antiqua" w:hAnsi="Book Antiqua"/>
                <w:b/>
                <w:lang w:eastAsia="zh-CN"/>
              </w:rPr>
            </w:pPr>
            <w:r w:rsidRPr="003C418C">
              <w:rPr>
                <w:rFonts w:ascii="Book Antiqua" w:hAnsi="Book Antiqua"/>
                <w:b/>
                <w:lang w:eastAsia="zh-CN"/>
              </w:rPr>
              <w:t xml:space="preserve">Donor (living </w:t>
            </w:r>
            <w:r>
              <w:rPr>
                <w:rFonts w:ascii="Book Antiqua" w:hAnsi="Book Antiqua"/>
                <w:b/>
                <w:i/>
                <w:lang w:eastAsia="zh-CN"/>
              </w:rPr>
              <w:t>vs</w:t>
            </w:r>
            <w:r w:rsidRPr="007A7CD1">
              <w:rPr>
                <w:rFonts w:ascii="Book Antiqua" w:hAnsi="Book Antiqua"/>
                <w:b/>
                <w:i/>
                <w:lang w:eastAsia="zh-CN"/>
              </w:rPr>
              <w:t xml:space="preserve"> </w:t>
            </w:r>
            <w:r w:rsidRPr="003C418C">
              <w:rPr>
                <w:rFonts w:ascii="Book Antiqua" w:hAnsi="Book Antiqua"/>
                <w:b/>
                <w:lang w:eastAsia="zh-CN"/>
              </w:rPr>
              <w:t>deceased)</w:t>
            </w:r>
          </w:p>
        </w:tc>
        <w:tc>
          <w:tcPr>
            <w:tcW w:w="2160" w:type="dxa"/>
            <w:noWrap/>
          </w:tcPr>
          <w:p w:rsidR="002D0694" w:rsidRPr="0011258C" w:rsidRDefault="002D0694" w:rsidP="002E6733">
            <w:pPr>
              <w:spacing w:before="120" w:after="120" w:line="360" w:lineRule="auto"/>
              <w:jc w:val="center"/>
              <w:rPr>
                <w:rFonts w:ascii="Book Antiqua" w:hAnsi="Book Antiqua"/>
                <w:lang w:eastAsia="zh-CN"/>
              </w:rPr>
            </w:pPr>
            <w:r w:rsidRPr="0011258C">
              <w:rPr>
                <w:rFonts w:ascii="Book Antiqua" w:hAnsi="Book Antiqua"/>
                <w:lang w:eastAsia="zh-CN"/>
              </w:rPr>
              <w:t>0.32</w:t>
            </w:r>
          </w:p>
        </w:tc>
        <w:tc>
          <w:tcPr>
            <w:tcW w:w="1440" w:type="dxa"/>
            <w:noWrap/>
          </w:tcPr>
          <w:p w:rsidR="002D0694" w:rsidRPr="0011258C" w:rsidRDefault="002D0694" w:rsidP="002E6733">
            <w:pPr>
              <w:spacing w:before="120" w:after="120" w:line="360" w:lineRule="auto"/>
              <w:jc w:val="center"/>
              <w:rPr>
                <w:rFonts w:ascii="Book Antiqua" w:hAnsi="Book Antiqua"/>
                <w:lang w:eastAsia="zh-CN"/>
              </w:rPr>
            </w:pPr>
            <w:r w:rsidRPr="0011258C">
              <w:rPr>
                <w:rFonts w:ascii="Book Antiqua" w:hAnsi="Book Antiqua"/>
                <w:lang w:eastAsia="zh-CN"/>
              </w:rPr>
              <w:t>0.11-0.94</w:t>
            </w:r>
          </w:p>
        </w:tc>
        <w:tc>
          <w:tcPr>
            <w:tcW w:w="1890" w:type="dxa"/>
            <w:noWrap/>
          </w:tcPr>
          <w:p w:rsidR="002D0694" w:rsidRPr="0011258C" w:rsidRDefault="002D0694" w:rsidP="002E6733">
            <w:pPr>
              <w:spacing w:before="120" w:after="120" w:line="360" w:lineRule="auto"/>
              <w:ind w:left="72" w:right="-108" w:firstLine="180"/>
              <w:jc w:val="center"/>
              <w:rPr>
                <w:rFonts w:ascii="Book Antiqua" w:hAnsi="Book Antiqua"/>
                <w:lang w:eastAsia="zh-CN"/>
              </w:rPr>
            </w:pPr>
            <w:r w:rsidRPr="0011258C">
              <w:rPr>
                <w:rFonts w:ascii="Book Antiqua" w:hAnsi="Book Antiqua"/>
                <w:lang w:eastAsia="zh-CN"/>
              </w:rPr>
              <w:t>0.038</w:t>
            </w:r>
          </w:p>
        </w:tc>
      </w:tr>
      <w:tr w:rsidR="002D0694" w:rsidRPr="0011258C" w:rsidTr="00310600">
        <w:trPr>
          <w:trHeight w:val="1403"/>
        </w:trPr>
        <w:tc>
          <w:tcPr>
            <w:tcW w:w="4500" w:type="dxa"/>
            <w:tcBorders>
              <w:bottom w:val="single" w:sz="12" w:space="0" w:color="auto"/>
            </w:tcBorders>
            <w:noWrap/>
          </w:tcPr>
          <w:p w:rsidR="002D0694" w:rsidRPr="003C418C" w:rsidRDefault="002D0694" w:rsidP="002E6733">
            <w:pPr>
              <w:spacing w:before="120" w:after="120" w:line="360" w:lineRule="auto"/>
              <w:rPr>
                <w:rFonts w:ascii="Book Antiqua" w:hAnsi="Book Antiqua"/>
                <w:b/>
              </w:rPr>
            </w:pPr>
            <w:r w:rsidRPr="003C418C">
              <w:rPr>
                <w:rFonts w:ascii="Book Antiqua" w:hAnsi="Book Antiqua"/>
                <w:b/>
              </w:rPr>
              <w:t>Ketoconazole (yes</w:t>
            </w:r>
            <w:r w:rsidRPr="007A7CD1">
              <w:rPr>
                <w:rFonts w:ascii="Book Antiqua" w:hAnsi="Book Antiqua"/>
                <w:b/>
                <w:i/>
              </w:rPr>
              <w:t xml:space="preserve"> vs </w:t>
            </w:r>
            <w:r w:rsidRPr="003C418C">
              <w:rPr>
                <w:rFonts w:ascii="Book Antiqua" w:hAnsi="Book Antiqua"/>
                <w:b/>
              </w:rPr>
              <w:t>no)</w:t>
            </w:r>
          </w:p>
          <w:p w:rsidR="002D0694" w:rsidRPr="003C418C" w:rsidRDefault="002D0694" w:rsidP="002E6733">
            <w:pPr>
              <w:spacing w:before="120" w:after="120" w:line="360" w:lineRule="auto"/>
              <w:rPr>
                <w:rFonts w:ascii="Book Antiqua" w:hAnsi="Book Antiqua"/>
                <w:b/>
              </w:rPr>
            </w:pPr>
            <w:r w:rsidRPr="003C418C">
              <w:rPr>
                <w:rFonts w:ascii="Book Antiqua" w:hAnsi="Book Antiqua"/>
                <w:b/>
              </w:rPr>
              <w:t xml:space="preserve">Delayed graft function (yes </w:t>
            </w:r>
            <w:r w:rsidRPr="003C418C">
              <w:rPr>
                <w:rFonts w:ascii="Book Antiqua" w:hAnsi="Book Antiqua"/>
                <w:b/>
                <w:i/>
              </w:rPr>
              <w:t>vs</w:t>
            </w:r>
            <w:r w:rsidRPr="003C418C">
              <w:rPr>
                <w:rFonts w:ascii="Book Antiqua" w:hAnsi="Book Antiqua"/>
                <w:b/>
              </w:rPr>
              <w:t xml:space="preserve"> no)</w:t>
            </w:r>
          </w:p>
          <w:p w:rsidR="002D0694" w:rsidRPr="003C418C" w:rsidRDefault="002D0694" w:rsidP="002E6733">
            <w:pPr>
              <w:spacing w:before="120" w:after="120" w:line="360" w:lineRule="auto"/>
              <w:rPr>
                <w:rFonts w:ascii="Book Antiqua" w:hAnsi="Book Antiqua"/>
                <w:b/>
              </w:rPr>
            </w:pPr>
            <w:r w:rsidRPr="003C418C">
              <w:rPr>
                <w:rFonts w:ascii="Book Antiqua" w:hAnsi="Book Antiqua"/>
                <w:b/>
              </w:rPr>
              <w:t xml:space="preserve">Infection (yes </w:t>
            </w:r>
            <w:r w:rsidRPr="003C418C">
              <w:rPr>
                <w:rFonts w:ascii="Book Antiqua" w:hAnsi="Book Antiqua"/>
                <w:b/>
                <w:i/>
              </w:rPr>
              <w:t>vs</w:t>
            </w:r>
            <w:r>
              <w:rPr>
                <w:rFonts w:ascii="Book Antiqua" w:hAnsi="Book Antiqua"/>
                <w:b/>
                <w:i/>
                <w:lang w:eastAsia="zh-CN"/>
              </w:rPr>
              <w:t xml:space="preserve"> </w:t>
            </w:r>
            <w:r w:rsidRPr="003C418C">
              <w:rPr>
                <w:rFonts w:ascii="Book Antiqua" w:hAnsi="Book Antiqua"/>
                <w:b/>
              </w:rPr>
              <w:t>no)</w:t>
            </w:r>
          </w:p>
          <w:p w:rsidR="002D0694" w:rsidRPr="003C418C" w:rsidRDefault="002D0694" w:rsidP="002E6733">
            <w:pPr>
              <w:spacing w:before="120" w:after="120" w:line="360" w:lineRule="auto"/>
              <w:rPr>
                <w:rFonts w:ascii="Book Antiqua" w:hAnsi="Book Antiqua"/>
                <w:b/>
                <w:lang w:eastAsia="zh-CN"/>
              </w:rPr>
            </w:pPr>
            <w:r w:rsidRPr="003C418C">
              <w:rPr>
                <w:rFonts w:ascii="Book Antiqua" w:hAnsi="Book Antiqua"/>
                <w:b/>
              </w:rPr>
              <w:t>Tacrolimus dose (mg/d) in 2</w:t>
            </w:r>
            <w:r w:rsidRPr="00FF2794">
              <w:rPr>
                <w:rFonts w:ascii="Book Antiqua" w:hAnsi="Book Antiqua"/>
                <w:b/>
                <w:vertAlign w:val="superscript"/>
              </w:rPr>
              <w:t>nd</w:t>
            </w:r>
            <w:r w:rsidRPr="003C418C">
              <w:rPr>
                <w:rFonts w:ascii="Book Antiqua" w:hAnsi="Book Antiqua"/>
                <w:b/>
              </w:rPr>
              <w:t xml:space="preserve"> mo</w:t>
            </w:r>
            <w:r>
              <w:rPr>
                <w:rFonts w:ascii="Book Antiqua" w:hAnsi="Book Antiqua"/>
                <w:b/>
                <w:lang w:eastAsia="zh-CN"/>
              </w:rPr>
              <w:t>nth</w:t>
            </w:r>
          </w:p>
        </w:tc>
        <w:tc>
          <w:tcPr>
            <w:tcW w:w="2160" w:type="dxa"/>
            <w:tcBorders>
              <w:bottom w:val="single" w:sz="12" w:space="0" w:color="auto"/>
            </w:tcBorders>
            <w:noWrap/>
          </w:tcPr>
          <w:p w:rsidR="002D0694" w:rsidRPr="0011258C" w:rsidRDefault="002D0694" w:rsidP="002E6733">
            <w:pPr>
              <w:spacing w:before="120" w:after="120" w:line="360" w:lineRule="auto"/>
              <w:jc w:val="center"/>
              <w:rPr>
                <w:rFonts w:ascii="Book Antiqua" w:hAnsi="Book Antiqua"/>
                <w:lang w:eastAsia="zh-CN"/>
              </w:rPr>
            </w:pPr>
            <w:r w:rsidRPr="0011258C">
              <w:rPr>
                <w:rFonts w:ascii="Book Antiqua" w:hAnsi="Book Antiqua"/>
                <w:lang w:eastAsia="zh-CN"/>
              </w:rPr>
              <w:t>2.33</w:t>
            </w:r>
          </w:p>
          <w:p w:rsidR="002D0694" w:rsidRPr="0011258C" w:rsidRDefault="002D0694" w:rsidP="002E6733">
            <w:pPr>
              <w:spacing w:before="120" w:after="120" w:line="360" w:lineRule="auto"/>
              <w:jc w:val="center"/>
              <w:rPr>
                <w:rFonts w:ascii="Book Antiqua" w:hAnsi="Book Antiqua"/>
                <w:lang w:eastAsia="zh-CN"/>
              </w:rPr>
            </w:pPr>
            <w:r w:rsidRPr="0011258C">
              <w:rPr>
                <w:rFonts w:ascii="Book Antiqua" w:hAnsi="Book Antiqua"/>
                <w:lang w:eastAsia="zh-CN"/>
              </w:rPr>
              <w:t>2.14</w:t>
            </w:r>
          </w:p>
          <w:p w:rsidR="002D0694" w:rsidRPr="0011258C" w:rsidRDefault="002D0694" w:rsidP="002E6733">
            <w:pPr>
              <w:spacing w:before="120" w:after="120" w:line="360" w:lineRule="auto"/>
              <w:jc w:val="center"/>
              <w:rPr>
                <w:rFonts w:ascii="Book Antiqua" w:hAnsi="Book Antiqua"/>
                <w:lang w:eastAsia="zh-CN"/>
              </w:rPr>
            </w:pPr>
            <w:r w:rsidRPr="0011258C">
              <w:rPr>
                <w:rFonts w:ascii="Book Antiqua" w:hAnsi="Book Antiqua"/>
                <w:lang w:eastAsia="zh-CN"/>
              </w:rPr>
              <w:t>1.89</w:t>
            </w:r>
          </w:p>
          <w:p w:rsidR="002D0694" w:rsidRPr="0011258C" w:rsidRDefault="002D0694" w:rsidP="002E6733">
            <w:pPr>
              <w:spacing w:before="120" w:after="120" w:line="360" w:lineRule="auto"/>
              <w:jc w:val="center"/>
              <w:rPr>
                <w:rFonts w:ascii="Book Antiqua" w:hAnsi="Book Antiqua"/>
                <w:lang w:eastAsia="zh-CN"/>
              </w:rPr>
            </w:pPr>
            <w:r w:rsidRPr="0011258C">
              <w:rPr>
                <w:rFonts w:ascii="Book Antiqua" w:hAnsi="Book Antiqua"/>
                <w:lang w:eastAsia="zh-CN"/>
              </w:rPr>
              <w:t>0.89</w:t>
            </w:r>
          </w:p>
        </w:tc>
        <w:tc>
          <w:tcPr>
            <w:tcW w:w="1440" w:type="dxa"/>
            <w:tcBorders>
              <w:bottom w:val="single" w:sz="12" w:space="0" w:color="auto"/>
            </w:tcBorders>
            <w:noWrap/>
          </w:tcPr>
          <w:p w:rsidR="002D0694" w:rsidRPr="0011258C" w:rsidRDefault="002D0694" w:rsidP="002E6733">
            <w:pPr>
              <w:spacing w:before="120" w:after="120" w:line="360" w:lineRule="auto"/>
              <w:jc w:val="center"/>
              <w:rPr>
                <w:rFonts w:ascii="Book Antiqua" w:hAnsi="Book Antiqua"/>
                <w:lang w:eastAsia="zh-CN"/>
              </w:rPr>
            </w:pPr>
            <w:r w:rsidRPr="0011258C">
              <w:rPr>
                <w:rFonts w:ascii="Book Antiqua" w:hAnsi="Book Antiqua"/>
                <w:lang w:eastAsia="zh-CN"/>
              </w:rPr>
              <w:t>1.33-4.07</w:t>
            </w:r>
          </w:p>
          <w:p w:rsidR="002D0694" w:rsidRPr="0011258C" w:rsidRDefault="002D0694" w:rsidP="002E6733">
            <w:pPr>
              <w:spacing w:before="120" w:after="120" w:line="360" w:lineRule="auto"/>
              <w:jc w:val="center"/>
              <w:rPr>
                <w:rFonts w:ascii="Book Antiqua" w:hAnsi="Book Antiqua"/>
                <w:lang w:eastAsia="zh-CN"/>
              </w:rPr>
            </w:pPr>
            <w:r w:rsidRPr="0011258C">
              <w:rPr>
                <w:rFonts w:ascii="Book Antiqua" w:hAnsi="Book Antiqua"/>
                <w:lang w:eastAsia="zh-CN"/>
              </w:rPr>
              <w:t>1.22-3.73</w:t>
            </w:r>
          </w:p>
          <w:p w:rsidR="002D0694" w:rsidRPr="0011258C" w:rsidRDefault="002D0694" w:rsidP="002E6733">
            <w:pPr>
              <w:spacing w:before="120" w:after="120" w:line="360" w:lineRule="auto"/>
              <w:jc w:val="center"/>
              <w:rPr>
                <w:rFonts w:ascii="Book Antiqua" w:hAnsi="Book Antiqua"/>
                <w:lang w:eastAsia="zh-CN"/>
              </w:rPr>
            </w:pPr>
            <w:r w:rsidRPr="0011258C">
              <w:rPr>
                <w:rFonts w:ascii="Book Antiqua" w:hAnsi="Book Antiqua"/>
                <w:lang w:eastAsia="zh-CN"/>
              </w:rPr>
              <w:t>1.04-3.48</w:t>
            </w:r>
          </w:p>
          <w:p w:rsidR="002D0694" w:rsidRPr="0011258C" w:rsidRDefault="002D0694" w:rsidP="002E6733">
            <w:pPr>
              <w:spacing w:before="120" w:after="120" w:line="360" w:lineRule="auto"/>
              <w:jc w:val="center"/>
              <w:rPr>
                <w:rFonts w:ascii="Book Antiqua" w:hAnsi="Book Antiqua"/>
                <w:lang w:eastAsia="zh-CN"/>
              </w:rPr>
            </w:pPr>
            <w:r w:rsidRPr="0011258C">
              <w:rPr>
                <w:rFonts w:ascii="Book Antiqua" w:hAnsi="Book Antiqua"/>
                <w:lang w:eastAsia="zh-CN"/>
              </w:rPr>
              <w:t>0.75-0.96</w:t>
            </w:r>
          </w:p>
        </w:tc>
        <w:tc>
          <w:tcPr>
            <w:tcW w:w="1890" w:type="dxa"/>
            <w:tcBorders>
              <w:bottom w:val="single" w:sz="12" w:space="0" w:color="auto"/>
            </w:tcBorders>
            <w:noWrap/>
          </w:tcPr>
          <w:p w:rsidR="002D0694" w:rsidRPr="0011258C" w:rsidRDefault="002D0694" w:rsidP="002E6733">
            <w:pPr>
              <w:spacing w:before="120" w:after="120" w:line="360" w:lineRule="auto"/>
              <w:ind w:left="72" w:right="-108" w:firstLine="180"/>
              <w:jc w:val="center"/>
              <w:rPr>
                <w:rFonts w:ascii="Book Antiqua" w:hAnsi="Book Antiqua"/>
                <w:lang w:eastAsia="zh-CN"/>
              </w:rPr>
            </w:pPr>
            <w:r w:rsidRPr="0011258C">
              <w:rPr>
                <w:rFonts w:ascii="Book Antiqua" w:hAnsi="Book Antiqua"/>
                <w:lang w:eastAsia="zh-CN"/>
              </w:rPr>
              <w:t>0.003</w:t>
            </w:r>
          </w:p>
          <w:p w:rsidR="002D0694" w:rsidRPr="0011258C" w:rsidRDefault="002D0694" w:rsidP="002E6733">
            <w:pPr>
              <w:spacing w:before="120" w:after="120" w:line="360" w:lineRule="auto"/>
              <w:ind w:left="72" w:right="-108" w:firstLine="180"/>
              <w:jc w:val="center"/>
              <w:rPr>
                <w:rFonts w:ascii="Book Antiqua" w:hAnsi="Book Antiqua"/>
                <w:lang w:eastAsia="zh-CN"/>
              </w:rPr>
            </w:pPr>
            <w:r w:rsidRPr="0011258C">
              <w:rPr>
                <w:rFonts w:ascii="Book Antiqua" w:hAnsi="Book Antiqua"/>
                <w:lang w:eastAsia="zh-CN"/>
              </w:rPr>
              <w:t>0.008</w:t>
            </w:r>
          </w:p>
          <w:p w:rsidR="002D0694" w:rsidRPr="0011258C" w:rsidRDefault="002D0694" w:rsidP="002E6733">
            <w:pPr>
              <w:spacing w:before="120" w:after="120" w:line="360" w:lineRule="auto"/>
              <w:ind w:left="72" w:right="-108" w:firstLine="180"/>
              <w:jc w:val="center"/>
              <w:rPr>
                <w:rFonts w:ascii="Book Antiqua" w:hAnsi="Book Antiqua"/>
                <w:lang w:eastAsia="zh-CN"/>
              </w:rPr>
            </w:pPr>
            <w:r w:rsidRPr="0011258C">
              <w:rPr>
                <w:rFonts w:ascii="Book Antiqua" w:hAnsi="Book Antiqua"/>
                <w:lang w:eastAsia="zh-CN"/>
              </w:rPr>
              <w:t>0.038</w:t>
            </w:r>
          </w:p>
          <w:p w:rsidR="002D0694" w:rsidRPr="0011258C" w:rsidRDefault="002D0694" w:rsidP="002E6733">
            <w:pPr>
              <w:spacing w:before="120" w:after="120" w:line="360" w:lineRule="auto"/>
              <w:ind w:left="72" w:right="-108" w:firstLine="180"/>
              <w:jc w:val="center"/>
              <w:rPr>
                <w:rFonts w:ascii="Book Antiqua" w:hAnsi="Book Antiqua"/>
                <w:lang w:eastAsia="zh-CN"/>
              </w:rPr>
            </w:pPr>
            <w:r w:rsidRPr="0011258C">
              <w:rPr>
                <w:rFonts w:ascii="Book Antiqua" w:hAnsi="Book Antiqua"/>
                <w:lang w:eastAsia="zh-CN"/>
              </w:rPr>
              <w:t>0.041</w:t>
            </w:r>
          </w:p>
        </w:tc>
      </w:tr>
    </w:tbl>
    <w:p w:rsidR="002D0694" w:rsidRPr="0011258C" w:rsidRDefault="002D0694" w:rsidP="002E6733">
      <w:pPr>
        <w:spacing w:line="360" w:lineRule="auto"/>
        <w:jc w:val="both"/>
        <w:rPr>
          <w:rFonts w:ascii="Book Antiqua" w:hAnsi="Book Antiqua"/>
          <w:lang w:eastAsia="zh-CN"/>
        </w:rPr>
      </w:pPr>
    </w:p>
    <w:sectPr w:rsidR="002D0694" w:rsidRPr="0011258C" w:rsidSect="002474C1">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94" w:rsidRDefault="005B2494">
      <w:r>
        <w:separator/>
      </w:r>
    </w:p>
  </w:endnote>
  <w:endnote w:type="continuationSeparator" w:id="0">
    <w:p w:rsidR="005B2494" w:rsidRDefault="005B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ZKTJW--GB1-0">
    <w:altName w:val="黑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94" w:rsidRDefault="005B2494">
      <w:r>
        <w:separator/>
      </w:r>
    </w:p>
  </w:footnote>
  <w:footnote w:type="continuationSeparator" w:id="0">
    <w:p w:rsidR="005B2494" w:rsidRDefault="005B2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94" w:rsidRDefault="002D0694" w:rsidP="00D549B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D0694" w:rsidRDefault="002D0694" w:rsidP="006E6CC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94" w:rsidRDefault="002D0694" w:rsidP="00D549B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44DC6">
      <w:rPr>
        <w:rStyle w:val="a7"/>
        <w:noProof/>
      </w:rPr>
      <w:t>21</w:t>
    </w:r>
    <w:r>
      <w:rPr>
        <w:rStyle w:val="a7"/>
      </w:rPr>
      <w:fldChar w:fldCharType="end"/>
    </w:r>
  </w:p>
  <w:p w:rsidR="002D0694" w:rsidRDefault="002D0694" w:rsidP="006E6CC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356"/>
    <w:multiLevelType w:val="hybridMultilevel"/>
    <w:tmpl w:val="B5A4C13E"/>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nsid w:val="0F6D7556"/>
    <w:multiLevelType w:val="multilevel"/>
    <w:tmpl w:val="000C0A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0622E47"/>
    <w:multiLevelType w:val="hybridMultilevel"/>
    <w:tmpl w:val="3C56139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BDD4241"/>
    <w:multiLevelType w:val="hybridMultilevel"/>
    <w:tmpl w:val="63AC1B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1A5F19"/>
    <w:multiLevelType w:val="hybridMultilevel"/>
    <w:tmpl w:val="AE8E28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62919C6"/>
    <w:multiLevelType w:val="multilevel"/>
    <w:tmpl w:val="B98474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C9335CE"/>
    <w:multiLevelType w:val="hybridMultilevel"/>
    <w:tmpl w:val="B9102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3115DB0"/>
    <w:multiLevelType w:val="hybridMultilevel"/>
    <w:tmpl w:val="C22484E8"/>
    <w:lvl w:ilvl="0" w:tplc="8C3091CC">
      <w:start w:val="1"/>
      <w:numFmt w:val="decimal"/>
      <w:lvlText w:val="%1."/>
      <w:lvlJc w:val="left"/>
      <w:pPr>
        <w:tabs>
          <w:tab w:val="num" w:pos="810"/>
        </w:tabs>
        <w:ind w:left="81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9F93B05"/>
    <w:multiLevelType w:val="hybridMultilevel"/>
    <w:tmpl w:val="63AC1B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BF907B3"/>
    <w:multiLevelType w:val="multilevel"/>
    <w:tmpl w:val="E578A9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26"/>
    <w:rsid w:val="00000E03"/>
    <w:rsid w:val="00001F40"/>
    <w:rsid w:val="000024BF"/>
    <w:rsid w:val="00004357"/>
    <w:rsid w:val="00004C9C"/>
    <w:rsid w:val="00006135"/>
    <w:rsid w:val="00010B38"/>
    <w:rsid w:val="000135FF"/>
    <w:rsid w:val="00016943"/>
    <w:rsid w:val="00017679"/>
    <w:rsid w:val="00017F95"/>
    <w:rsid w:val="000229BE"/>
    <w:rsid w:val="00025399"/>
    <w:rsid w:val="0002632B"/>
    <w:rsid w:val="000269B5"/>
    <w:rsid w:val="00026BEC"/>
    <w:rsid w:val="00030DA1"/>
    <w:rsid w:val="0003229B"/>
    <w:rsid w:val="0003348D"/>
    <w:rsid w:val="0003367B"/>
    <w:rsid w:val="00040D53"/>
    <w:rsid w:val="00042110"/>
    <w:rsid w:val="00044DD0"/>
    <w:rsid w:val="000504F8"/>
    <w:rsid w:val="00051538"/>
    <w:rsid w:val="000515CD"/>
    <w:rsid w:val="0005275D"/>
    <w:rsid w:val="000530D6"/>
    <w:rsid w:val="00053B95"/>
    <w:rsid w:val="00054379"/>
    <w:rsid w:val="00054555"/>
    <w:rsid w:val="00054C57"/>
    <w:rsid w:val="000563B9"/>
    <w:rsid w:val="000570DF"/>
    <w:rsid w:val="00060027"/>
    <w:rsid w:val="000614E3"/>
    <w:rsid w:val="0006390B"/>
    <w:rsid w:val="000655B2"/>
    <w:rsid w:val="00065DC7"/>
    <w:rsid w:val="000665CA"/>
    <w:rsid w:val="0006757C"/>
    <w:rsid w:val="00067EDA"/>
    <w:rsid w:val="00070A1C"/>
    <w:rsid w:val="0007142A"/>
    <w:rsid w:val="00073668"/>
    <w:rsid w:val="000748C4"/>
    <w:rsid w:val="00075A73"/>
    <w:rsid w:val="00075BE8"/>
    <w:rsid w:val="000766A6"/>
    <w:rsid w:val="0008081F"/>
    <w:rsid w:val="00080E6B"/>
    <w:rsid w:val="00081224"/>
    <w:rsid w:val="00081ED3"/>
    <w:rsid w:val="00083271"/>
    <w:rsid w:val="000841F4"/>
    <w:rsid w:val="00084985"/>
    <w:rsid w:val="00084B95"/>
    <w:rsid w:val="00085233"/>
    <w:rsid w:val="00086960"/>
    <w:rsid w:val="00091086"/>
    <w:rsid w:val="000912AB"/>
    <w:rsid w:val="000940EC"/>
    <w:rsid w:val="00094AF0"/>
    <w:rsid w:val="000972AE"/>
    <w:rsid w:val="0009730C"/>
    <w:rsid w:val="000A0971"/>
    <w:rsid w:val="000A7986"/>
    <w:rsid w:val="000B0042"/>
    <w:rsid w:val="000B390E"/>
    <w:rsid w:val="000B4CDF"/>
    <w:rsid w:val="000C2C7C"/>
    <w:rsid w:val="000C3B36"/>
    <w:rsid w:val="000C3B53"/>
    <w:rsid w:val="000C43C6"/>
    <w:rsid w:val="000C5DAC"/>
    <w:rsid w:val="000C5F73"/>
    <w:rsid w:val="000C6434"/>
    <w:rsid w:val="000C74FC"/>
    <w:rsid w:val="000D0986"/>
    <w:rsid w:val="000D2688"/>
    <w:rsid w:val="000E08C4"/>
    <w:rsid w:val="000E0CE4"/>
    <w:rsid w:val="000E11D4"/>
    <w:rsid w:val="000E329E"/>
    <w:rsid w:val="000E4AA9"/>
    <w:rsid w:val="000E5C7F"/>
    <w:rsid w:val="000E5E59"/>
    <w:rsid w:val="000E60AD"/>
    <w:rsid w:val="000E6401"/>
    <w:rsid w:val="000E690F"/>
    <w:rsid w:val="000E78A0"/>
    <w:rsid w:val="000E79FA"/>
    <w:rsid w:val="000F166D"/>
    <w:rsid w:val="000F252F"/>
    <w:rsid w:val="000F34A4"/>
    <w:rsid w:val="001019A3"/>
    <w:rsid w:val="001038E4"/>
    <w:rsid w:val="0010473B"/>
    <w:rsid w:val="00107BA2"/>
    <w:rsid w:val="00107BCC"/>
    <w:rsid w:val="0011092A"/>
    <w:rsid w:val="00111340"/>
    <w:rsid w:val="00111376"/>
    <w:rsid w:val="00111AB2"/>
    <w:rsid w:val="00112326"/>
    <w:rsid w:val="0011258C"/>
    <w:rsid w:val="001159DD"/>
    <w:rsid w:val="00121827"/>
    <w:rsid w:val="00122662"/>
    <w:rsid w:val="00122CA0"/>
    <w:rsid w:val="001249BE"/>
    <w:rsid w:val="00124E34"/>
    <w:rsid w:val="00125FBB"/>
    <w:rsid w:val="00126041"/>
    <w:rsid w:val="00130C0E"/>
    <w:rsid w:val="00132407"/>
    <w:rsid w:val="00132D14"/>
    <w:rsid w:val="0013310B"/>
    <w:rsid w:val="0013460E"/>
    <w:rsid w:val="0013531A"/>
    <w:rsid w:val="001413DE"/>
    <w:rsid w:val="00146A80"/>
    <w:rsid w:val="00147715"/>
    <w:rsid w:val="00150ECE"/>
    <w:rsid w:val="00152AD6"/>
    <w:rsid w:val="00152FC8"/>
    <w:rsid w:val="00153AFC"/>
    <w:rsid w:val="0015734F"/>
    <w:rsid w:val="0016248D"/>
    <w:rsid w:val="00162881"/>
    <w:rsid w:val="001634AF"/>
    <w:rsid w:val="001638F5"/>
    <w:rsid w:val="001646BD"/>
    <w:rsid w:val="00174E17"/>
    <w:rsid w:val="0017528E"/>
    <w:rsid w:val="00181549"/>
    <w:rsid w:val="00183F73"/>
    <w:rsid w:val="00185C43"/>
    <w:rsid w:val="0018644B"/>
    <w:rsid w:val="00186D42"/>
    <w:rsid w:val="00186E98"/>
    <w:rsid w:val="00187EF2"/>
    <w:rsid w:val="00191ED1"/>
    <w:rsid w:val="00192B89"/>
    <w:rsid w:val="00193008"/>
    <w:rsid w:val="001933EF"/>
    <w:rsid w:val="00193A47"/>
    <w:rsid w:val="00194C97"/>
    <w:rsid w:val="001968C0"/>
    <w:rsid w:val="001A1B6A"/>
    <w:rsid w:val="001A3054"/>
    <w:rsid w:val="001A3056"/>
    <w:rsid w:val="001A44E5"/>
    <w:rsid w:val="001A6638"/>
    <w:rsid w:val="001A6DC8"/>
    <w:rsid w:val="001A7EB9"/>
    <w:rsid w:val="001B04BE"/>
    <w:rsid w:val="001B2663"/>
    <w:rsid w:val="001B3E31"/>
    <w:rsid w:val="001B4A54"/>
    <w:rsid w:val="001B5BE2"/>
    <w:rsid w:val="001C0D85"/>
    <w:rsid w:val="001C109E"/>
    <w:rsid w:val="001C2998"/>
    <w:rsid w:val="001C32F1"/>
    <w:rsid w:val="001C3395"/>
    <w:rsid w:val="001C3D71"/>
    <w:rsid w:val="001C66CF"/>
    <w:rsid w:val="001C7A04"/>
    <w:rsid w:val="001C7B04"/>
    <w:rsid w:val="001D0E39"/>
    <w:rsid w:val="001D1712"/>
    <w:rsid w:val="001D18CC"/>
    <w:rsid w:val="001D1AA2"/>
    <w:rsid w:val="001D208A"/>
    <w:rsid w:val="001D231C"/>
    <w:rsid w:val="001D3C09"/>
    <w:rsid w:val="001D3C36"/>
    <w:rsid w:val="001D5A23"/>
    <w:rsid w:val="001D754D"/>
    <w:rsid w:val="001D7A29"/>
    <w:rsid w:val="001E035A"/>
    <w:rsid w:val="001E0554"/>
    <w:rsid w:val="001E07D4"/>
    <w:rsid w:val="001E46E8"/>
    <w:rsid w:val="001E7238"/>
    <w:rsid w:val="001E723B"/>
    <w:rsid w:val="001F072D"/>
    <w:rsid w:val="001F0F2A"/>
    <w:rsid w:val="001F195C"/>
    <w:rsid w:val="001F42AE"/>
    <w:rsid w:val="001F6070"/>
    <w:rsid w:val="001F7935"/>
    <w:rsid w:val="002006DE"/>
    <w:rsid w:val="00201744"/>
    <w:rsid w:val="00201D35"/>
    <w:rsid w:val="00201DE9"/>
    <w:rsid w:val="00202338"/>
    <w:rsid w:val="00202C3C"/>
    <w:rsid w:val="00204866"/>
    <w:rsid w:val="00205550"/>
    <w:rsid w:val="00205990"/>
    <w:rsid w:val="00205C04"/>
    <w:rsid w:val="002063A0"/>
    <w:rsid w:val="002067C6"/>
    <w:rsid w:val="002073F9"/>
    <w:rsid w:val="0020766E"/>
    <w:rsid w:val="002107FE"/>
    <w:rsid w:val="0021321B"/>
    <w:rsid w:val="00213510"/>
    <w:rsid w:val="00216D59"/>
    <w:rsid w:val="00217FF1"/>
    <w:rsid w:val="0022052A"/>
    <w:rsid w:val="00221163"/>
    <w:rsid w:val="002227B3"/>
    <w:rsid w:val="00223127"/>
    <w:rsid w:val="00223909"/>
    <w:rsid w:val="00224FA0"/>
    <w:rsid w:val="00230363"/>
    <w:rsid w:val="0023041E"/>
    <w:rsid w:val="002306F6"/>
    <w:rsid w:val="00231EEB"/>
    <w:rsid w:val="002322F2"/>
    <w:rsid w:val="00232D33"/>
    <w:rsid w:val="00232E27"/>
    <w:rsid w:val="002331D2"/>
    <w:rsid w:val="00235BEA"/>
    <w:rsid w:val="00237357"/>
    <w:rsid w:val="0024556C"/>
    <w:rsid w:val="00246810"/>
    <w:rsid w:val="002474C1"/>
    <w:rsid w:val="00247808"/>
    <w:rsid w:val="0025028B"/>
    <w:rsid w:val="0025071F"/>
    <w:rsid w:val="002524F6"/>
    <w:rsid w:val="002549B7"/>
    <w:rsid w:val="002573F5"/>
    <w:rsid w:val="002606BF"/>
    <w:rsid w:val="00260811"/>
    <w:rsid w:val="00260AB7"/>
    <w:rsid w:val="00261496"/>
    <w:rsid w:val="00261647"/>
    <w:rsid w:val="00261BDC"/>
    <w:rsid w:val="00261E1D"/>
    <w:rsid w:val="00262021"/>
    <w:rsid w:val="00262987"/>
    <w:rsid w:val="002629CF"/>
    <w:rsid w:val="00262AD9"/>
    <w:rsid w:val="00265387"/>
    <w:rsid w:val="00265C1D"/>
    <w:rsid w:val="00266B9A"/>
    <w:rsid w:val="002714D0"/>
    <w:rsid w:val="002733A5"/>
    <w:rsid w:val="00280B91"/>
    <w:rsid w:val="002840D7"/>
    <w:rsid w:val="002859EC"/>
    <w:rsid w:val="0028610E"/>
    <w:rsid w:val="00286E35"/>
    <w:rsid w:val="002878D4"/>
    <w:rsid w:val="00290ADE"/>
    <w:rsid w:val="00291C4F"/>
    <w:rsid w:val="00292C8E"/>
    <w:rsid w:val="0029342E"/>
    <w:rsid w:val="0029351F"/>
    <w:rsid w:val="00293878"/>
    <w:rsid w:val="002A1885"/>
    <w:rsid w:val="002A68AE"/>
    <w:rsid w:val="002B0A01"/>
    <w:rsid w:val="002B1F2F"/>
    <w:rsid w:val="002B2FA8"/>
    <w:rsid w:val="002B3982"/>
    <w:rsid w:val="002B5173"/>
    <w:rsid w:val="002C0063"/>
    <w:rsid w:val="002C056F"/>
    <w:rsid w:val="002C0830"/>
    <w:rsid w:val="002C1A17"/>
    <w:rsid w:val="002C21F3"/>
    <w:rsid w:val="002C3455"/>
    <w:rsid w:val="002C36C6"/>
    <w:rsid w:val="002C583C"/>
    <w:rsid w:val="002C6A64"/>
    <w:rsid w:val="002C6F35"/>
    <w:rsid w:val="002C76CD"/>
    <w:rsid w:val="002D0694"/>
    <w:rsid w:val="002D1412"/>
    <w:rsid w:val="002D24FD"/>
    <w:rsid w:val="002D2688"/>
    <w:rsid w:val="002D3B38"/>
    <w:rsid w:val="002D6247"/>
    <w:rsid w:val="002D6368"/>
    <w:rsid w:val="002D7C45"/>
    <w:rsid w:val="002E0D21"/>
    <w:rsid w:val="002E20B7"/>
    <w:rsid w:val="002E22DD"/>
    <w:rsid w:val="002E31FC"/>
    <w:rsid w:val="002E368F"/>
    <w:rsid w:val="002E4577"/>
    <w:rsid w:val="002E6060"/>
    <w:rsid w:val="002E6467"/>
    <w:rsid w:val="002E6733"/>
    <w:rsid w:val="002F206A"/>
    <w:rsid w:val="002F2558"/>
    <w:rsid w:val="002F4514"/>
    <w:rsid w:val="002F7791"/>
    <w:rsid w:val="0030437E"/>
    <w:rsid w:val="003052B5"/>
    <w:rsid w:val="00310600"/>
    <w:rsid w:val="003148D4"/>
    <w:rsid w:val="00315B90"/>
    <w:rsid w:val="003174A0"/>
    <w:rsid w:val="00317A70"/>
    <w:rsid w:val="00317F76"/>
    <w:rsid w:val="00322381"/>
    <w:rsid w:val="0032269D"/>
    <w:rsid w:val="0032434D"/>
    <w:rsid w:val="0032675F"/>
    <w:rsid w:val="00330ACF"/>
    <w:rsid w:val="00332010"/>
    <w:rsid w:val="003329C1"/>
    <w:rsid w:val="0033400F"/>
    <w:rsid w:val="003350D7"/>
    <w:rsid w:val="00335C51"/>
    <w:rsid w:val="00336665"/>
    <w:rsid w:val="00337314"/>
    <w:rsid w:val="00337F10"/>
    <w:rsid w:val="003416D2"/>
    <w:rsid w:val="0034435B"/>
    <w:rsid w:val="00344AFE"/>
    <w:rsid w:val="00347728"/>
    <w:rsid w:val="003478B9"/>
    <w:rsid w:val="00350DBD"/>
    <w:rsid w:val="0035107D"/>
    <w:rsid w:val="003519BA"/>
    <w:rsid w:val="0035281A"/>
    <w:rsid w:val="00352FA0"/>
    <w:rsid w:val="00353E53"/>
    <w:rsid w:val="003563A1"/>
    <w:rsid w:val="003567B4"/>
    <w:rsid w:val="00356A52"/>
    <w:rsid w:val="00360826"/>
    <w:rsid w:val="00361DD4"/>
    <w:rsid w:val="003620C6"/>
    <w:rsid w:val="003621A4"/>
    <w:rsid w:val="0036566D"/>
    <w:rsid w:val="003663B1"/>
    <w:rsid w:val="0036652E"/>
    <w:rsid w:val="003669AA"/>
    <w:rsid w:val="00367F08"/>
    <w:rsid w:val="003708AE"/>
    <w:rsid w:val="003712B3"/>
    <w:rsid w:val="0037238E"/>
    <w:rsid w:val="003733CF"/>
    <w:rsid w:val="00377B90"/>
    <w:rsid w:val="003802BF"/>
    <w:rsid w:val="00380DCB"/>
    <w:rsid w:val="003815CF"/>
    <w:rsid w:val="00382CD8"/>
    <w:rsid w:val="00384B5A"/>
    <w:rsid w:val="00386B3F"/>
    <w:rsid w:val="00387498"/>
    <w:rsid w:val="0038773D"/>
    <w:rsid w:val="00387AC0"/>
    <w:rsid w:val="003903B8"/>
    <w:rsid w:val="00392A90"/>
    <w:rsid w:val="00392F80"/>
    <w:rsid w:val="0039357C"/>
    <w:rsid w:val="003935FD"/>
    <w:rsid w:val="00394208"/>
    <w:rsid w:val="00395A8F"/>
    <w:rsid w:val="0039603F"/>
    <w:rsid w:val="00397072"/>
    <w:rsid w:val="003976C4"/>
    <w:rsid w:val="003A02AF"/>
    <w:rsid w:val="003A4572"/>
    <w:rsid w:val="003B0D09"/>
    <w:rsid w:val="003B0DA2"/>
    <w:rsid w:val="003B105F"/>
    <w:rsid w:val="003B3226"/>
    <w:rsid w:val="003B656D"/>
    <w:rsid w:val="003B6644"/>
    <w:rsid w:val="003B697F"/>
    <w:rsid w:val="003C01A3"/>
    <w:rsid w:val="003C39BE"/>
    <w:rsid w:val="003C418C"/>
    <w:rsid w:val="003C6888"/>
    <w:rsid w:val="003C7434"/>
    <w:rsid w:val="003C7F95"/>
    <w:rsid w:val="003D0222"/>
    <w:rsid w:val="003D341D"/>
    <w:rsid w:val="003D36DB"/>
    <w:rsid w:val="003D382C"/>
    <w:rsid w:val="003D3A14"/>
    <w:rsid w:val="003D4DFA"/>
    <w:rsid w:val="003D6300"/>
    <w:rsid w:val="003D707E"/>
    <w:rsid w:val="003D7AF4"/>
    <w:rsid w:val="003E07E1"/>
    <w:rsid w:val="003E2A85"/>
    <w:rsid w:val="003E2F2B"/>
    <w:rsid w:val="003E37C2"/>
    <w:rsid w:val="003E6A23"/>
    <w:rsid w:val="003E7FC0"/>
    <w:rsid w:val="003F0A09"/>
    <w:rsid w:val="003F2522"/>
    <w:rsid w:val="003F314A"/>
    <w:rsid w:val="003F5FB7"/>
    <w:rsid w:val="003F6485"/>
    <w:rsid w:val="003F7941"/>
    <w:rsid w:val="00400794"/>
    <w:rsid w:val="00401DBE"/>
    <w:rsid w:val="004023A0"/>
    <w:rsid w:val="004044F4"/>
    <w:rsid w:val="0040587C"/>
    <w:rsid w:val="00410713"/>
    <w:rsid w:val="00410AD2"/>
    <w:rsid w:val="00412927"/>
    <w:rsid w:val="00417058"/>
    <w:rsid w:val="00420B06"/>
    <w:rsid w:val="00422B68"/>
    <w:rsid w:val="00425AF4"/>
    <w:rsid w:val="00426BEC"/>
    <w:rsid w:val="00427A3B"/>
    <w:rsid w:val="00430A82"/>
    <w:rsid w:val="00430D3A"/>
    <w:rsid w:val="00432720"/>
    <w:rsid w:val="0043284E"/>
    <w:rsid w:val="0043386C"/>
    <w:rsid w:val="004349B5"/>
    <w:rsid w:val="00437179"/>
    <w:rsid w:val="00437315"/>
    <w:rsid w:val="004378F6"/>
    <w:rsid w:val="00441B79"/>
    <w:rsid w:val="00443121"/>
    <w:rsid w:val="00444523"/>
    <w:rsid w:val="00445278"/>
    <w:rsid w:val="00446F42"/>
    <w:rsid w:val="0044711F"/>
    <w:rsid w:val="00450DE0"/>
    <w:rsid w:val="004512AC"/>
    <w:rsid w:val="004525D7"/>
    <w:rsid w:val="00455534"/>
    <w:rsid w:val="00455F76"/>
    <w:rsid w:val="0045620E"/>
    <w:rsid w:val="004604DB"/>
    <w:rsid w:val="004604E8"/>
    <w:rsid w:val="004617A3"/>
    <w:rsid w:val="0046387F"/>
    <w:rsid w:val="00464EAE"/>
    <w:rsid w:val="0046628A"/>
    <w:rsid w:val="00466325"/>
    <w:rsid w:val="004668C2"/>
    <w:rsid w:val="0046788F"/>
    <w:rsid w:val="00471051"/>
    <w:rsid w:val="004720DB"/>
    <w:rsid w:val="00472E28"/>
    <w:rsid w:val="00473D08"/>
    <w:rsid w:val="00473D3C"/>
    <w:rsid w:val="0047620D"/>
    <w:rsid w:val="00480AB7"/>
    <w:rsid w:val="0048121E"/>
    <w:rsid w:val="004812FE"/>
    <w:rsid w:val="00481C72"/>
    <w:rsid w:val="00482765"/>
    <w:rsid w:val="0048355B"/>
    <w:rsid w:val="004844AB"/>
    <w:rsid w:val="00484F99"/>
    <w:rsid w:val="0048689C"/>
    <w:rsid w:val="004907FA"/>
    <w:rsid w:val="0049138C"/>
    <w:rsid w:val="004916A9"/>
    <w:rsid w:val="00492B73"/>
    <w:rsid w:val="00492E89"/>
    <w:rsid w:val="00493AA2"/>
    <w:rsid w:val="00493E52"/>
    <w:rsid w:val="0049689C"/>
    <w:rsid w:val="004969BE"/>
    <w:rsid w:val="00496D6F"/>
    <w:rsid w:val="004A161B"/>
    <w:rsid w:val="004A1917"/>
    <w:rsid w:val="004A2A5B"/>
    <w:rsid w:val="004A3001"/>
    <w:rsid w:val="004A3203"/>
    <w:rsid w:val="004A32FC"/>
    <w:rsid w:val="004A4A5A"/>
    <w:rsid w:val="004A5649"/>
    <w:rsid w:val="004A752A"/>
    <w:rsid w:val="004B0C99"/>
    <w:rsid w:val="004B39CB"/>
    <w:rsid w:val="004B3C67"/>
    <w:rsid w:val="004B50EF"/>
    <w:rsid w:val="004B5192"/>
    <w:rsid w:val="004B533F"/>
    <w:rsid w:val="004B5F92"/>
    <w:rsid w:val="004B6ABF"/>
    <w:rsid w:val="004B6DCE"/>
    <w:rsid w:val="004B6FF8"/>
    <w:rsid w:val="004C09C8"/>
    <w:rsid w:val="004C2B76"/>
    <w:rsid w:val="004C2F84"/>
    <w:rsid w:val="004C4464"/>
    <w:rsid w:val="004C5665"/>
    <w:rsid w:val="004C5BF1"/>
    <w:rsid w:val="004C6993"/>
    <w:rsid w:val="004C6B01"/>
    <w:rsid w:val="004C6C90"/>
    <w:rsid w:val="004D100F"/>
    <w:rsid w:val="004D1F78"/>
    <w:rsid w:val="004D40DC"/>
    <w:rsid w:val="004D43AE"/>
    <w:rsid w:val="004D5CA5"/>
    <w:rsid w:val="004D73F9"/>
    <w:rsid w:val="004D7E0A"/>
    <w:rsid w:val="004E1652"/>
    <w:rsid w:val="004E258F"/>
    <w:rsid w:val="004E56FD"/>
    <w:rsid w:val="004E7432"/>
    <w:rsid w:val="004F09F5"/>
    <w:rsid w:val="004F1412"/>
    <w:rsid w:val="004F356D"/>
    <w:rsid w:val="004F520A"/>
    <w:rsid w:val="004F568B"/>
    <w:rsid w:val="004F5C45"/>
    <w:rsid w:val="004F7AE9"/>
    <w:rsid w:val="00500531"/>
    <w:rsid w:val="005012E4"/>
    <w:rsid w:val="00504860"/>
    <w:rsid w:val="00504C42"/>
    <w:rsid w:val="00504D03"/>
    <w:rsid w:val="00506B6F"/>
    <w:rsid w:val="00507DD5"/>
    <w:rsid w:val="00512C36"/>
    <w:rsid w:val="0051335C"/>
    <w:rsid w:val="00514933"/>
    <w:rsid w:val="0051643B"/>
    <w:rsid w:val="00516538"/>
    <w:rsid w:val="00517022"/>
    <w:rsid w:val="00517F91"/>
    <w:rsid w:val="0052256D"/>
    <w:rsid w:val="00524152"/>
    <w:rsid w:val="005250FE"/>
    <w:rsid w:val="0052550B"/>
    <w:rsid w:val="00530FAB"/>
    <w:rsid w:val="00532043"/>
    <w:rsid w:val="00535B43"/>
    <w:rsid w:val="005369A1"/>
    <w:rsid w:val="00536B8A"/>
    <w:rsid w:val="0054094B"/>
    <w:rsid w:val="00542769"/>
    <w:rsid w:val="00545C72"/>
    <w:rsid w:val="005524FC"/>
    <w:rsid w:val="0055259E"/>
    <w:rsid w:val="005553FF"/>
    <w:rsid w:val="00556BAC"/>
    <w:rsid w:val="00556E6C"/>
    <w:rsid w:val="00557804"/>
    <w:rsid w:val="00557E0C"/>
    <w:rsid w:val="00562266"/>
    <w:rsid w:val="00562803"/>
    <w:rsid w:val="005629B5"/>
    <w:rsid w:val="00562B03"/>
    <w:rsid w:val="00564910"/>
    <w:rsid w:val="00565276"/>
    <w:rsid w:val="00565DDD"/>
    <w:rsid w:val="00567A9F"/>
    <w:rsid w:val="00567DDE"/>
    <w:rsid w:val="00571302"/>
    <w:rsid w:val="00573049"/>
    <w:rsid w:val="00573385"/>
    <w:rsid w:val="005747CB"/>
    <w:rsid w:val="00576C7F"/>
    <w:rsid w:val="0058083D"/>
    <w:rsid w:val="005841AE"/>
    <w:rsid w:val="00584838"/>
    <w:rsid w:val="00584D4F"/>
    <w:rsid w:val="00587206"/>
    <w:rsid w:val="00593A90"/>
    <w:rsid w:val="00593D85"/>
    <w:rsid w:val="00595003"/>
    <w:rsid w:val="00597953"/>
    <w:rsid w:val="00597B28"/>
    <w:rsid w:val="005A0116"/>
    <w:rsid w:val="005A5FC3"/>
    <w:rsid w:val="005B08BD"/>
    <w:rsid w:val="005B08ED"/>
    <w:rsid w:val="005B1B3F"/>
    <w:rsid w:val="005B2494"/>
    <w:rsid w:val="005B2CA4"/>
    <w:rsid w:val="005B6410"/>
    <w:rsid w:val="005C0129"/>
    <w:rsid w:val="005C1F34"/>
    <w:rsid w:val="005C2A47"/>
    <w:rsid w:val="005C3E57"/>
    <w:rsid w:val="005C656B"/>
    <w:rsid w:val="005C687A"/>
    <w:rsid w:val="005C7FDD"/>
    <w:rsid w:val="005D0664"/>
    <w:rsid w:val="005D0D8D"/>
    <w:rsid w:val="005D1627"/>
    <w:rsid w:val="005D2E6B"/>
    <w:rsid w:val="005D69EF"/>
    <w:rsid w:val="005E1368"/>
    <w:rsid w:val="005E3185"/>
    <w:rsid w:val="005E3BF4"/>
    <w:rsid w:val="005E444D"/>
    <w:rsid w:val="005E7003"/>
    <w:rsid w:val="005E754E"/>
    <w:rsid w:val="005F0516"/>
    <w:rsid w:val="005F0E95"/>
    <w:rsid w:val="005F141D"/>
    <w:rsid w:val="005F2663"/>
    <w:rsid w:val="005F30AB"/>
    <w:rsid w:val="005F352F"/>
    <w:rsid w:val="005F39FE"/>
    <w:rsid w:val="005F3CF7"/>
    <w:rsid w:val="005F4F11"/>
    <w:rsid w:val="005F5BFE"/>
    <w:rsid w:val="005F6EA8"/>
    <w:rsid w:val="005F726C"/>
    <w:rsid w:val="00601135"/>
    <w:rsid w:val="0060318B"/>
    <w:rsid w:val="006054EB"/>
    <w:rsid w:val="0060573F"/>
    <w:rsid w:val="00611381"/>
    <w:rsid w:val="00611DFF"/>
    <w:rsid w:val="00613CB3"/>
    <w:rsid w:val="0061488B"/>
    <w:rsid w:val="00615097"/>
    <w:rsid w:val="00615A12"/>
    <w:rsid w:val="00616418"/>
    <w:rsid w:val="00616FF4"/>
    <w:rsid w:val="00617FA9"/>
    <w:rsid w:val="006208F4"/>
    <w:rsid w:val="006219DD"/>
    <w:rsid w:val="00622A80"/>
    <w:rsid w:val="00622CE2"/>
    <w:rsid w:val="00623F98"/>
    <w:rsid w:val="0063005E"/>
    <w:rsid w:val="006303BF"/>
    <w:rsid w:val="006323CF"/>
    <w:rsid w:val="00633DF1"/>
    <w:rsid w:val="006407DD"/>
    <w:rsid w:val="0064092D"/>
    <w:rsid w:val="00641C15"/>
    <w:rsid w:val="00646F2D"/>
    <w:rsid w:val="00646F8D"/>
    <w:rsid w:val="0064763A"/>
    <w:rsid w:val="00651874"/>
    <w:rsid w:val="006523B1"/>
    <w:rsid w:val="0065310E"/>
    <w:rsid w:val="00653249"/>
    <w:rsid w:val="006539DB"/>
    <w:rsid w:val="0065400D"/>
    <w:rsid w:val="00654CD2"/>
    <w:rsid w:val="00654F15"/>
    <w:rsid w:val="00656E65"/>
    <w:rsid w:val="006645E4"/>
    <w:rsid w:val="006646EE"/>
    <w:rsid w:val="0066503F"/>
    <w:rsid w:val="006656FE"/>
    <w:rsid w:val="00667746"/>
    <w:rsid w:val="00670679"/>
    <w:rsid w:val="00670866"/>
    <w:rsid w:val="00670E40"/>
    <w:rsid w:val="006717DC"/>
    <w:rsid w:val="0067352D"/>
    <w:rsid w:val="00674382"/>
    <w:rsid w:val="00674D0F"/>
    <w:rsid w:val="00676A5D"/>
    <w:rsid w:val="00676D1C"/>
    <w:rsid w:val="00676F66"/>
    <w:rsid w:val="006778C9"/>
    <w:rsid w:val="006778D3"/>
    <w:rsid w:val="0068035E"/>
    <w:rsid w:val="00680951"/>
    <w:rsid w:val="006826AE"/>
    <w:rsid w:val="00682703"/>
    <w:rsid w:val="00682F1C"/>
    <w:rsid w:val="00683DCA"/>
    <w:rsid w:val="00683E3A"/>
    <w:rsid w:val="0068428D"/>
    <w:rsid w:val="006847D2"/>
    <w:rsid w:val="00684D9B"/>
    <w:rsid w:val="006857D3"/>
    <w:rsid w:val="006914BD"/>
    <w:rsid w:val="0069173C"/>
    <w:rsid w:val="00691EF4"/>
    <w:rsid w:val="00692711"/>
    <w:rsid w:val="006933B3"/>
    <w:rsid w:val="0069354E"/>
    <w:rsid w:val="006979DC"/>
    <w:rsid w:val="006A0369"/>
    <w:rsid w:val="006A09B5"/>
    <w:rsid w:val="006A0EE5"/>
    <w:rsid w:val="006A1039"/>
    <w:rsid w:val="006A2A56"/>
    <w:rsid w:val="006A2D09"/>
    <w:rsid w:val="006A6B5E"/>
    <w:rsid w:val="006B014C"/>
    <w:rsid w:val="006B10B3"/>
    <w:rsid w:val="006B1346"/>
    <w:rsid w:val="006B1387"/>
    <w:rsid w:val="006B3BB0"/>
    <w:rsid w:val="006B5504"/>
    <w:rsid w:val="006B5C27"/>
    <w:rsid w:val="006B5E71"/>
    <w:rsid w:val="006B71EA"/>
    <w:rsid w:val="006C13DF"/>
    <w:rsid w:val="006C2682"/>
    <w:rsid w:val="006C3982"/>
    <w:rsid w:val="006C5CB6"/>
    <w:rsid w:val="006C5D10"/>
    <w:rsid w:val="006D12F7"/>
    <w:rsid w:val="006D2AE7"/>
    <w:rsid w:val="006D2B28"/>
    <w:rsid w:val="006D3DC4"/>
    <w:rsid w:val="006D6C30"/>
    <w:rsid w:val="006E2659"/>
    <w:rsid w:val="006E3189"/>
    <w:rsid w:val="006E64D3"/>
    <w:rsid w:val="006E6CCB"/>
    <w:rsid w:val="006F0505"/>
    <w:rsid w:val="006F0822"/>
    <w:rsid w:val="006F20ED"/>
    <w:rsid w:val="006F3A5A"/>
    <w:rsid w:val="006F449D"/>
    <w:rsid w:val="006F641A"/>
    <w:rsid w:val="006F6F91"/>
    <w:rsid w:val="0070124A"/>
    <w:rsid w:val="007013C3"/>
    <w:rsid w:val="007019AD"/>
    <w:rsid w:val="007019DD"/>
    <w:rsid w:val="00703583"/>
    <w:rsid w:val="00703660"/>
    <w:rsid w:val="0070505C"/>
    <w:rsid w:val="00705295"/>
    <w:rsid w:val="00705D73"/>
    <w:rsid w:val="00705FC7"/>
    <w:rsid w:val="00707CFA"/>
    <w:rsid w:val="00711B7F"/>
    <w:rsid w:val="0071243C"/>
    <w:rsid w:val="00713A23"/>
    <w:rsid w:val="00714527"/>
    <w:rsid w:val="007160B6"/>
    <w:rsid w:val="00716F66"/>
    <w:rsid w:val="007208F5"/>
    <w:rsid w:val="0072569A"/>
    <w:rsid w:val="00727240"/>
    <w:rsid w:val="007327EC"/>
    <w:rsid w:val="00733452"/>
    <w:rsid w:val="0073518A"/>
    <w:rsid w:val="00735AAA"/>
    <w:rsid w:val="0073699A"/>
    <w:rsid w:val="00736BAB"/>
    <w:rsid w:val="0073721B"/>
    <w:rsid w:val="00741E3E"/>
    <w:rsid w:val="00741F42"/>
    <w:rsid w:val="00742F50"/>
    <w:rsid w:val="0074473B"/>
    <w:rsid w:val="00745024"/>
    <w:rsid w:val="00745D6C"/>
    <w:rsid w:val="00746810"/>
    <w:rsid w:val="007476C5"/>
    <w:rsid w:val="00747AFF"/>
    <w:rsid w:val="00752D62"/>
    <w:rsid w:val="00757220"/>
    <w:rsid w:val="00760E72"/>
    <w:rsid w:val="00761B0F"/>
    <w:rsid w:val="00761BC9"/>
    <w:rsid w:val="007623DB"/>
    <w:rsid w:val="007634D4"/>
    <w:rsid w:val="007646FF"/>
    <w:rsid w:val="0076511F"/>
    <w:rsid w:val="007653EF"/>
    <w:rsid w:val="00773FFC"/>
    <w:rsid w:val="00775725"/>
    <w:rsid w:val="0077615E"/>
    <w:rsid w:val="00780E49"/>
    <w:rsid w:val="007811F8"/>
    <w:rsid w:val="007816E6"/>
    <w:rsid w:val="0078233E"/>
    <w:rsid w:val="0078335A"/>
    <w:rsid w:val="007836ED"/>
    <w:rsid w:val="0078375C"/>
    <w:rsid w:val="00786FE5"/>
    <w:rsid w:val="00795B48"/>
    <w:rsid w:val="0079634C"/>
    <w:rsid w:val="007A0577"/>
    <w:rsid w:val="007A1483"/>
    <w:rsid w:val="007A4CAD"/>
    <w:rsid w:val="007A4EED"/>
    <w:rsid w:val="007A5069"/>
    <w:rsid w:val="007A6119"/>
    <w:rsid w:val="007A6A03"/>
    <w:rsid w:val="007A6A86"/>
    <w:rsid w:val="007A7CD1"/>
    <w:rsid w:val="007B090C"/>
    <w:rsid w:val="007B12FD"/>
    <w:rsid w:val="007B1FFB"/>
    <w:rsid w:val="007B22FD"/>
    <w:rsid w:val="007B3EA0"/>
    <w:rsid w:val="007B458E"/>
    <w:rsid w:val="007B7BB3"/>
    <w:rsid w:val="007C421B"/>
    <w:rsid w:val="007C5B01"/>
    <w:rsid w:val="007D02A9"/>
    <w:rsid w:val="007D44C3"/>
    <w:rsid w:val="007D59AB"/>
    <w:rsid w:val="007D70BD"/>
    <w:rsid w:val="007D760F"/>
    <w:rsid w:val="007E0688"/>
    <w:rsid w:val="007E1E40"/>
    <w:rsid w:val="007E251A"/>
    <w:rsid w:val="007E272E"/>
    <w:rsid w:val="007E2F51"/>
    <w:rsid w:val="007E465C"/>
    <w:rsid w:val="007F01FF"/>
    <w:rsid w:val="007F42B7"/>
    <w:rsid w:val="007F4D3F"/>
    <w:rsid w:val="007F51DE"/>
    <w:rsid w:val="007F5FFE"/>
    <w:rsid w:val="007F6980"/>
    <w:rsid w:val="00800A10"/>
    <w:rsid w:val="00800DCD"/>
    <w:rsid w:val="0080165E"/>
    <w:rsid w:val="008023CE"/>
    <w:rsid w:val="0080268D"/>
    <w:rsid w:val="00804ADE"/>
    <w:rsid w:val="00804BEA"/>
    <w:rsid w:val="00804E6F"/>
    <w:rsid w:val="008062FF"/>
    <w:rsid w:val="00806F93"/>
    <w:rsid w:val="00812440"/>
    <w:rsid w:val="00812838"/>
    <w:rsid w:val="00815631"/>
    <w:rsid w:val="00816434"/>
    <w:rsid w:val="00816C51"/>
    <w:rsid w:val="00817C4E"/>
    <w:rsid w:val="00821B10"/>
    <w:rsid w:val="00823577"/>
    <w:rsid w:val="008238AF"/>
    <w:rsid w:val="008248F3"/>
    <w:rsid w:val="00824B24"/>
    <w:rsid w:val="0082520E"/>
    <w:rsid w:val="00826C03"/>
    <w:rsid w:val="00827837"/>
    <w:rsid w:val="00830399"/>
    <w:rsid w:val="00830645"/>
    <w:rsid w:val="00832534"/>
    <w:rsid w:val="008329F8"/>
    <w:rsid w:val="00836800"/>
    <w:rsid w:val="00837579"/>
    <w:rsid w:val="00840266"/>
    <w:rsid w:val="00840C69"/>
    <w:rsid w:val="00841619"/>
    <w:rsid w:val="0084176B"/>
    <w:rsid w:val="00843DDE"/>
    <w:rsid w:val="008458BA"/>
    <w:rsid w:val="008473DC"/>
    <w:rsid w:val="00850D51"/>
    <w:rsid w:val="00853BDC"/>
    <w:rsid w:val="008545E4"/>
    <w:rsid w:val="00855AFC"/>
    <w:rsid w:val="008567CB"/>
    <w:rsid w:val="00857057"/>
    <w:rsid w:val="00860255"/>
    <w:rsid w:val="00862867"/>
    <w:rsid w:val="00865A87"/>
    <w:rsid w:val="00866E5C"/>
    <w:rsid w:val="008706D2"/>
    <w:rsid w:val="0087207F"/>
    <w:rsid w:val="00876B31"/>
    <w:rsid w:val="00876CC5"/>
    <w:rsid w:val="0087726D"/>
    <w:rsid w:val="008814D7"/>
    <w:rsid w:val="008818B9"/>
    <w:rsid w:val="00881F11"/>
    <w:rsid w:val="0088428F"/>
    <w:rsid w:val="00884E24"/>
    <w:rsid w:val="0088623F"/>
    <w:rsid w:val="008866CD"/>
    <w:rsid w:val="00886AC6"/>
    <w:rsid w:val="00887146"/>
    <w:rsid w:val="00892368"/>
    <w:rsid w:val="00892F29"/>
    <w:rsid w:val="00894D4D"/>
    <w:rsid w:val="008969D5"/>
    <w:rsid w:val="0089717B"/>
    <w:rsid w:val="008A2ED0"/>
    <w:rsid w:val="008A3FD1"/>
    <w:rsid w:val="008A6629"/>
    <w:rsid w:val="008A6E86"/>
    <w:rsid w:val="008A724B"/>
    <w:rsid w:val="008A726F"/>
    <w:rsid w:val="008B1E1B"/>
    <w:rsid w:val="008B2592"/>
    <w:rsid w:val="008B2B8E"/>
    <w:rsid w:val="008B2D3F"/>
    <w:rsid w:val="008B3AEB"/>
    <w:rsid w:val="008B4D24"/>
    <w:rsid w:val="008B5319"/>
    <w:rsid w:val="008B770D"/>
    <w:rsid w:val="008C3290"/>
    <w:rsid w:val="008C5E5B"/>
    <w:rsid w:val="008C621D"/>
    <w:rsid w:val="008C696A"/>
    <w:rsid w:val="008C7B2A"/>
    <w:rsid w:val="008D017D"/>
    <w:rsid w:val="008D10EE"/>
    <w:rsid w:val="008D19A8"/>
    <w:rsid w:val="008D19C5"/>
    <w:rsid w:val="008D588C"/>
    <w:rsid w:val="008D6B0B"/>
    <w:rsid w:val="008D6F5F"/>
    <w:rsid w:val="008D77DC"/>
    <w:rsid w:val="008D7DD8"/>
    <w:rsid w:val="008E02AE"/>
    <w:rsid w:val="008E1309"/>
    <w:rsid w:val="008E4762"/>
    <w:rsid w:val="008E52D0"/>
    <w:rsid w:val="008E56E7"/>
    <w:rsid w:val="008E588D"/>
    <w:rsid w:val="008E6594"/>
    <w:rsid w:val="008E6D73"/>
    <w:rsid w:val="008E7DD6"/>
    <w:rsid w:val="008F0AE7"/>
    <w:rsid w:val="008F12E7"/>
    <w:rsid w:val="008F1D84"/>
    <w:rsid w:val="008F25C0"/>
    <w:rsid w:val="008F3347"/>
    <w:rsid w:val="008F39F1"/>
    <w:rsid w:val="008F48E4"/>
    <w:rsid w:val="00900217"/>
    <w:rsid w:val="00902180"/>
    <w:rsid w:val="009034F9"/>
    <w:rsid w:val="009036B5"/>
    <w:rsid w:val="00904FB4"/>
    <w:rsid w:val="00904FE6"/>
    <w:rsid w:val="00905C52"/>
    <w:rsid w:val="0090637A"/>
    <w:rsid w:val="00915467"/>
    <w:rsid w:val="00915C17"/>
    <w:rsid w:val="009169D7"/>
    <w:rsid w:val="00917704"/>
    <w:rsid w:val="00921056"/>
    <w:rsid w:val="00922D97"/>
    <w:rsid w:val="00924070"/>
    <w:rsid w:val="00926C56"/>
    <w:rsid w:val="00926EC9"/>
    <w:rsid w:val="00927949"/>
    <w:rsid w:val="0093385B"/>
    <w:rsid w:val="00934B12"/>
    <w:rsid w:val="00940793"/>
    <w:rsid w:val="00941D72"/>
    <w:rsid w:val="00941E74"/>
    <w:rsid w:val="00943671"/>
    <w:rsid w:val="00945EBB"/>
    <w:rsid w:val="0094744F"/>
    <w:rsid w:val="009476D5"/>
    <w:rsid w:val="009536C0"/>
    <w:rsid w:val="00953ABA"/>
    <w:rsid w:val="00955B0C"/>
    <w:rsid w:val="00956646"/>
    <w:rsid w:val="00956C67"/>
    <w:rsid w:val="009576EA"/>
    <w:rsid w:val="00960A4A"/>
    <w:rsid w:val="00960B45"/>
    <w:rsid w:val="00961095"/>
    <w:rsid w:val="00963F5D"/>
    <w:rsid w:val="00965920"/>
    <w:rsid w:val="00966559"/>
    <w:rsid w:val="00966A03"/>
    <w:rsid w:val="00967C27"/>
    <w:rsid w:val="00970897"/>
    <w:rsid w:val="00971CEA"/>
    <w:rsid w:val="00972534"/>
    <w:rsid w:val="0097343A"/>
    <w:rsid w:val="0097363B"/>
    <w:rsid w:val="00974EC2"/>
    <w:rsid w:val="009755CD"/>
    <w:rsid w:val="00975B41"/>
    <w:rsid w:val="00976078"/>
    <w:rsid w:val="009775B4"/>
    <w:rsid w:val="0098171E"/>
    <w:rsid w:val="009818DE"/>
    <w:rsid w:val="00983AA4"/>
    <w:rsid w:val="00984310"/>
    <w:rsid w:val="00986A86"/>
    <w:rsid w:val="00987756"/>
    <w:rsid w:val="0099139C"/>
    <w:rsid w:val="00991D22"/>
    <w:rsid w:val="009962BE"/>
    <w:rsid w:val="009A01F0"/>
    <w:rsid w:val="009A0204"/>
    <w:rsid w:val="009A0627"/>
    <w:rsid w:val="009A26BD"/>
    <w:rsid w:val="009A283C"/>
    <w:rsid w:val="009A2888"/>
    <w:rsid w:val="009A3A9A"/>
    <w:rsid w:val="009A414B"/>
    <w:rsid w:val="009A53AC"/>
    <w:rsid w:val="009B1A1F"/>
    <w:rsid w:val="009B295B"/>
    <w:rsid w:val="009B2E0C"/>
    <w:rsid w:val="009B4377"/>
    <w:rsid w:val="009B4D90"/>
    <w:rsid w:val="009B4DFE"/>
    <w:rsid w:val="009B5241"/>
    <w:rsid w:val="009B53A7"/>
    <w:rsid w:val="009B5544"/>
    <w:rsid w:val="009B65E3"/>
    <w:rsid w:val="009C1807"/>
    <w:rsid w:val="009C2D1C"/>
    <w:rsid w:val="009C2FBC"/>
    <w:rsid w:val="009C43EF"/>
    <w:rsid w:val="009D01FE"/>
    <w:rsid w:val="009D2E3B"/>
    <w:rsid w:val="009D5526"/>
    <w:rsid w:val="009D55CE"/>
    <w:rsid w:val="009D5BE4"/>
    <w:rsid w:val="009D63EB"/>
    <w:rsid w:val="009E1186"/>
    <w:rsid w:val="009E1790"/>
    <w:rsid w:val="009E3398"/>
    <w:rsid w:val="009E346F"/>
    <w:rsid w:val="009E3FB8"/>
    <w:rsid w:val="009E7719"/>
    <w:rsid w:val="009F13A9"/>
    <w:rsid w:val="009F259F"/>
    <w:rsid w:val="009F5991"/>
    <w:rsid w:val="00A01E16"/>
    <w:rsid w:val="00A037A6"/>
    <w:rsid w:val="00A04E04"/>
    <w:rsid w:val="00A05C1E"/>
    <w:rsid w:val="00A064C0"/>
    <w:rsid w:val="00A06A04"/>
    <w:rsid w:val="00A06EE7"/>
    <w:rsid w:val="00A11198"/>
    <w:rsid w:val="00A12026"/>
    <w:rsid w:val="00A12965"/>
    <w:rsid w:val="00A12C41"/>
    <w:rsid w:val="00A12DA9"/>
    <w:rsid w:val="00A13532"/>
    <w:rsid w:val="00A14CB2"/>
    <w:rsid w:val="00A15466"/>
    <w:rsid w:val="00A15B4F"/>
    <w:rsid w:val="00A15E45"/>
    <w:rsid w:val="00A21845"/>
    <w:rsid w:val="00A21C50"/>
    <w:rsid w:val="00A22E38"/>
    <w:rsid w:val="00A23BDE"/>
    <w:rsid w:val="00A2449C"/>
    <w:rsid w:val="00A2488E"/>
    <w:rsid w:val="00A24AD6"/>
    <w:rsid w:val="00A25D4F"/>
    <w:rsid w:val="00A25D97"/>
    <w:rsid w:val="00A306D0"/>
    <w:rsid w:val="00A308B0"/>
    <w:rsid w:val="00A31828"/>
    <w:rsid w:val="00A3245C"/>
    <w:rsid w:val="00A32F4E"/>
    <w:rsid w:val="00A34805"/>
    <w:rsid w:val="00A351A6"/>
    <w:rsid w:val="00A41298"/>
    <w:rsid w:val="00A41372"/>
    <w:rsid w:val="00A434C7"/>
    <w:rsid w:val="00A43995"/>
    <w:rsid w:val="00A46068"/>
    <w:rsid w:val="00A46085"/>
    <w:rsid w:val="00A46792"/>
    <w:rsid w:val="00A46E7E"/>
    <w:rsid w:val="00A473CD"/>
    <w:rsid w:val="00A47CFE"/>
    <w:rsid w:val="00A520D9"/>
    <w:rsid w:val="00A53CB2"/>
    <w:rsid w:val="00A53DA6"/>
    <w:rsid w:val="00A54978"/>
    <w:rsid w:val="00A54A24"/>
    <w:rsid w:val="00A559AC"/>
    <w:rsid w:val="00A563F4"/>
    <w:rsid w:val="00A5688E"/>
    <w:rsid w:val="00A61268"/>
    <w:rsid w:val="00A61293"/>
    <w:rsid w:val="00A6133A"/>
    <w:rsid w:val="00A61E5F"/>
    <w:rsid w:val="00A633DE"/>
    <w:rsid w:val="00A65BFB"/>
    <w:rsid w:val="00A67F5C"/>
    <w:rsid w:val="00A70B45"/>
    <w:rsid w:val="00A749F5"/>
    <w:rsid w:val="00A7512C"/>
    <w:rsid w:val="00A812F6"/>
    <w:rsid w:val="00A81EF4"/>
    <w:rsid w:val="00A8298F"/>
    <w:rsid w:val="00A829BC"/>
    <w:rsid w:val="00A84085"/>
    <w:rsid w:val="00A850E5"/>
    <w:rsid w:val="00A856DF"/>
    <w:rsid w:val="00A873B8"/>
    <w:rsid w:val="00A91635"/>
    <w:rsid w:val="00A92A17"/>
    <w:rsid w:val="00A94033"/>
    <w:rsid w:val="00A9450C"/>
    <w:rsid w:val="00A9471B"/>
    <w:rsid w:val="00AA1817"/>
    <w:rsid w:val="00AA222E"/>
    <w:rsid w:val="00AA55CC"/>
    <w:rsid w:val="00AA5C8F"/>
    <w:rsid w:val="00AA6729"/>
    <w:rsid w:val="00AB068C"/>
    <w:rsid w:val="00AB3CBD"/>
    <w:rsid w:val="00AB4320"/>
    <w:rsid w:val="00AB5F3E"/>
    <w:rsid w:val="00AB766B"/>
    <w:rsid w:val="00AC0B6D"/>
    <w:rsid w:val="00AC1F71"/>
    <w:rsid w:val="00AC46F4"/>
    <w:rsid w:val="00AC4A0C"/>
    <w:rsid w:val="00AC4B16"/>
    <w:rsid w:val="00AC5A7B"/>
    <w:rsid w:val="00AC7FE3"/>
    <w:rsid w:val="00AD03F7"/>
    <w:rsid w:val="00AE10BF"/>
    <w:rsid w:val="00AE1D1B"/>
    <w:rsid w:val="00AE3827"/>
    <w:rsid w:val="00AE4E67"/>
    <w:rsid w:val="00AE52FD"/>
    <w:rsid w:val="00AE59D3"/>
    <w:rsid w:val="00AE69D6"/>
    <w:rsid w:val="00AF1E58"/>
    <w:rsid w:val="00AF41AE"/>
    <w:rsid w:val="00AF4DA2"/>
    <w:rsid w:val="00AF5664"/>
    <w:rsid w:val="00AF73D2"/>
    <w:rsid w:val="00B020C9"/>
    <w:rsid w:val="00B03837"/>
    <w:rsid w:val="00B06220"/>
    <w:rsid w:val="00B118B6"/>
    <w:rsid w:val="00B12C1A"/>
    <w:rsid w:val="00B13A04"/>
    <w:rsid w:val="00B14510"/>
    <w:rsid w:val="00B158B8"/>
    <w:rsid w:val="00B16133"/>
    <w:rsid w:val="00B1638B"/>
    <w:rsid w:val="00B16B1E"/>
    <w:rsid w:val="00B179CE"/>
    <w:rsid w:val="00B2038D"/>
    <w:rsid w:val="00B21857"/>
    <w:rsid w:val="00B21D04"/>
    <w:rsid w:val="00B23864"/>
    <w:rsid w:val="00B23A05"/>
    <w:rsid w:val="00B24C70"/>
    <w:rsid w:val="00B27E12"/>
    <w:rsid w:val="00B304CA"/>
    <w:rsid w:val="00B3179A"/>
    <w:rsid w:val="00B33ADF"/>
    <w:rsid w:val="00B36433"/>
    <w:rsid w:val="00B36D82"/>
    <w:rsid w:val="00B370D9"/>
    <w:rsid w:val="00B405AA"/>
    <w:rsid w:val="00B40A79"/>
    <w:rsid w:val="00B433CB"/>
    <w:rsid w:val="00B4392F"/>
    <w:rsid w:val="00B44CBD"/>
    <w:rsid w:val="00B454F4"/>
    <w:rsid w:val="00B46AE3"/>
    <w:rsid w:val="00B51535"/>
    <w:rsid w:val="00B542CB"/>
    <w:rsid w:val="00B54ACE"/>
    <w:rsid w:val="00B55976"/>
    <w:rsid w:val="00B5694B"/>
    <w:rsid w:val="00B57D73"/>
    <w:rsid w:val="00B614E4"/>
    <w:rsid w:val="00B61C05"/>
    <w:rsid w:val="00B6304B"/>
    <w:rsid w:val="00B63257"/>
    <w:rsid w:val="00B639E6"/>
    <w:rsid w:val="00B65C39"/>
    <w:rsid w:val="00B6610B"/>
    <w:rsid w:val="00B669CA"/>
    <w:rsid w:val="00B70760"/>
    <w:rsid w:val="00B714E8"/>
    <w:rsid w:val="00B74194"/>
    <w:rsid w:val="00B7502F"/>
    <w:rsid w:val="00B75AE4"/>
    <w:rsid w:val="00B76D90"/>
    <w:rsid w:val="00B85B79"/>
    <w:rsid w:val="00B9192E"/>
    <w:rsid w:val="00B9210F"/>
    <w:rsid w:val="00B92B5B"/>
    <w:rsid w:val="00B93507"/>
    <w:rsid w:val="00B93CC6"/>
    <w:rsid w:val="00B942E5"/>
    <w:rsid w:val="00B955B5"/>
    <w:rsid w:val="00BA16E6"/>
    <w:rsid w:val="00BA61E5"/>
    <w:rsid w:val="00BB1ACA"/>
    <w:rsid w:val="00BB39E4"/>
    <w:rsid w:val="00BB55F2"/>
    <w:rsid w:val="00BB59C4"/>
    <w:rsid w:val="00BB75FE"/>
    <w:rsid w:val="00BB7942"/>
    <w:rsid w:val="00BB7B96"/>
    <w:rsid w:val="00BC063F"/>
    <w:rsid w:val="00BC3E42"/>
    <w:rsid w:val="00BC46F0"/>
    <w:rsid w:val="00BC6335"/>
    <w:rsid w:val="00BC706C"/>
    <w:rsid w:val="00BD0A1A"/>
    <w:rsid w:val="00BD2450"/>
    <w:rsid w:val="00BD2969"/>
    <w:rsid w:val="00BD41DA"/>
    <w:rsid w:val="00BD47A8"/>
    <w:rsid w:val="00BE2381"/>
    <w:rsid w:val="00BE32AD"/>
    <w:rsid w:val="00BE3894"/>
    <w:rsid w:val="00BE3AE2"/>
    <w:rsid w:val="00BE3ECE"/>
    <w:rsid w:val="00BE4DEB"/>
    <w:rsid w:val="00BE62BD"/>
    <w:rsid w:val="00BF259F"/>
    <w:rsid w:val="00BF3714"/>
    <w:rsid w:val="00BF3BF8"/>
    <w:rsid w:val="00BF3CD8"/>
    <w:rsid w:val="00BF4CF2"/>
    <w:rsid w:val="00BF5E39"/>
    <w:rsid w:val="00BF687E"/>
    <w:rsid w:val="00BF6897"/>
    <w:rsid w:val="00BF7915"/>
    <w:rsid w:val="00C0022F"/>
    <w:rsid w:val="00C00610"/>
    <w:rsid w:val="00C0076F"/>
    <w:rsid w:val="00C00C8B"/>
    <w:rsid w:val="00C02AD9"/>
    <w:rsid w:val="00C075D4"/>
    <w:rsid w:val="00C10DC9"/>
    <w:rsid w:val="00C1200B"/>
    <w:rsid w:val="00C1370C"/>
    <w:rsid w:val="00C13875"/>
    <w:rsid w:val="00C13FDF"/>
    <w:rsid w:val="00C1454C"/>
    <w:rsid w:val="00C14BA6"/>
    <w:rsid w:val="00C15134"/>
    <w:rsid w:val="00C15352"/>
    <w:rsid w:val="00C177C9"/>
    <w:rsid w:val="00C22A6F"/>
    <w:rsid w:val="00C239E5"/>
    <w:rsid w:val="00C23D65"/>
    <w:rsid w:val="00C25943"/>
    <w:rsid w:val="00C26490"/>
    <w:rsid w:val="00C322FA"/>
    <w:rsid w:val="00C33715"/>
    <w:rsid w:val="00C33C27"/>
    <w:rsid w:val="00C37B1F"/>
    <w:rsid w:val="00C37FF6"/>
    <w:rsid w:val="00C4042B"/>
    <w:rsid w:val="00C431D8"/>
    <w:rsid w:val="00C4325E"/>
    <w:rsid w:val="00C43455"/>
    <w:rsid w:val="00C43C3B"/>
    <w:rsid w:val="00C47A58"/>
    <w:rsid w:val="00C53815"/>
    <w:rsid w:val="00C55CAC"/>
    <w:rsid w:val="00C56369"/>
    <w:rsid w:val="00C56EF0"/>
    <w:rsid w:val="00C60001"/>
    <w:rsid w:val="00C61A94"/>
    <w:rsid w:val="00C61DF0"/>
    <w:rsid w:val="00C63247"/>
    <w:rsid w:val="00C63980"/>
    <w:rsid w:val="00C7013B"/>
    <w:rsid w:val="00C730A6"/>
    <w:rsid w:val="00C737F5"/>
    <w:rsid w:val="00C74D60"/>
    <w:rsid w:val="00C7511F"/>
    <w:rsid w:val="00C77678"/>
    <w:rsid w:val="00C777FA"/>
    <w:rsid w:val="00C77F19"/>
    <w:rsid w:val="00C8138B"/>
    <w:rsid w:val="00C81DFF"/>
    <w:rsid w:val="00C85715"/>
    <w:rsid w:val="00C90D2A"/>
    <w:rsid w:val="00C90FDB"/>
    <w:rsid w:val="00C91F37"/>
    <w:rsid w:val="00C920B8"/>
    <w:rsid w:val="00C92B49"/>
    <w:rsid w:val="00C948E5"/>
    <w:rsid w:val="00CA592B"/>
    <w:rsid w:val="00CA7751"/>
    <w:rsid w:val="00CB0270"/>
    <w:rsid w:val="00CB11A5"/>
    <w:rsid w:val="00CB180C"/>
    <w:rsid w:val="00CB206A"/>
    <w:rsid w:val="00CB6F9F"/>
    <w:rsid w:val="00CC0C01"/>
    <w:rsid w:val="00CC30D4"/>
    <w:rsid w:val="00CC3BC1"/>
    <w:rsid w:val="00CC5119"/>
    <w:rsid w:val="00CC5BF2"/>
    <w:rsid w:val="00CD01B9"/>
    <w:rsid w:val="00CD06DE"/>
    <w:rsid w:val="00CD1AFB"/>
    <w:rsid w:val="00CD20DE"/>
    <w:rsid w:val="00CD2D66"/>
    <w:rsid w:val="00CD3B8B"/>
    <w:rsid w:val="00CD3CBE"/>
    <w:rsid w:val="00CD6BDB"/>
    <w:rsid w:val="00CE023A"/>
    <w:rsid w:val="00CE0C53"/>
    <w:rsid w:val="00CE30D9"/>
    <w:rsid w:val="00CE5A03"/>
    <w:rsid w:val="00CE65D1"/>
    <w:rsid w:val="00CE66F5"/>
    <w:rsid w:val="00CE6881"/>
    <w:rsid w:val="00CF080C"/>
    <w:rsid w:val="00CF17CC"/>
    <w:rsid w:val="00CF2CAA"/>
    <w:rsid w:val="00CF2E62"/>
    <w:rsid w:val="00CF36A0"/>
    <w:rsid w:val="00CF5160"/>
    <w:rsid w:val="00CF5DF7"/>
    <w:rsid w:val="00CF77EC"/>
    <w:rsid w:val="00CF7C4C"/>
    <w:rsid w:val="00D01F02"/>
    <w:rsid w:val="00D05935"/>
    <w:rsid w:val="00D05ECC"/>
    <w:rsid w:val="00D05F67"/>
    <w:rsid w:val="00D112EE"/>
    <w:rsid w:val="00D133A9"/>
    <w:rsid w:val="00D13938"/>
    <w:rsid w:val="00D1494B"/>
    <w:rsid w:val="00D14CEE"/>
    <w:rsid w:val="00D15C35"/>
    <w:rsid w:val="00D1699A"/>
    <w:rsid w:val="00D24B46"/>
    <w:rsid w:val="00D2517F"/>
    <w:rsid w:val="00D26319"/>
    <w:rsid w:val="00D27E4B"/>
    <w:rsid w:val="00D33351"/>
    <w:rsid w:val="00D33AE2"/>
    <w:rsid w:val="00D3628A"/>
    <w:rsid w:val="00D36B52"/>
    <w:rsid w:val="00D378B4"/>
    <w:rsid w:val="00D37DDD"/>
    <w:rsid w:val="00D40156"/>
    <w:rsid w:val="00D4182D"/>
    <w:rsid w:val="00D44DC6"/>
    <w:rsid w:val="00D51739"/>
    <w:rsid w:val="00D5192B"/>
    <w:rsid w:val="00D524C2"/>
    <w:rsid w:val="00D530E9"/>
    <w:rsid w:val="00D540A3"/>
    <w:rsid w:val="00D549B5"/>
    <w:rsid w:val="00D61DA2"/>
    <w:rsid w:val="00D64030"/>
    <w:rsid w:val="00D64A8D"/>
    <w:rsid w:val="00D64FD3"/>
    <w:rsid w:val="00D65790"/>
    <w:rsid w:val="00D6669B"/>
    <w:rsid w:val="00D66C82"/>
    <w:rsid w:val="00D67E92"/>
    <w:rsid w:val="00D70419"/>
    <w:rsid w:val="00D704B2"/>
    <w:rsid w:val="00D71736"/>
    <w:rsid w:val="00D73278"/>
    <w:rsid w:val="00D74280"/>
    <w:rsid w:val="00D75FB6"/>
    <w:rsid w:val="00D766DC"/>
    <w:rsid w:val="00D76BC5"/>
    <w:rsid w:val="00D77439"/>
    <w:rsid w:val="00D77A6D"/>
    <w:rsid w:val="00D83F29"/>
    <w:rsid w:val="00D87285"/>
    <w:rsid w:val="00D873A1"/>
    <w:rsid w:val="00D90085"/>
    <w:rsid w:val="00D901F0"/>
    <w:rsid w:val="00D932EC"/>
    <w:rsid w:val="00D94686"/>
    <w:rsid w:val="00D94EAC"/>
    <w:rsid w:val="00D962AF"/>
    <w:rsid w:val="00DA01F2"/>
    <w:rsid w:val="00DA0E09"/>
    <w:rsid w:val="00DB334D"/>
    <w:rsid w:val="00DB4DF6"/>
    <w:rsid w:val="00DB64FE"/>
    <w:rsid w:val="00DB6562"/>
    <w:rsid w:val="00DC16DD"/>
    <w:rsid w:val="00DC3102"/>
    <w:rsid w:val="00DC3781"/>
    <w:rsid w:val="00DC5C00"/>
    <w:rsid w:val="00DC6352"/>
    <w:rsid w:val="00DC7AF7"/>
    <w:rsid w:val="00DD0B55"/>
    <w:rsid w:val="00DD0B6D"/>
    <w:rsid w:val="00DD1F8A"/>
    <w:rsid w:val="00DD27B4"/>
    <w:rsid w:val="00DD315A"/>
    <w:rsid w:val="00DD37EE"/>
    <w:rsid w:val="00DD39D7"/>
    <w:rsid w:val="00DD50C1"/>
    <w:rsid w:val="00DD72B0"/>
    <w:rsid w:val="00DE121D"/>
    <w:rsid w:val="00DE1832"/>
    <w:rsid w:val="00DE372E"/>
    <w:rsid w:val="00DE55F4"/>
    <w:rsid w:val="00DE5F1A"/>
    <w:rsid w:val="00DE7D4B"/>
    <w:rsid w:val="00DF089C"/>
    <w:rsid w:val="00DF2228"/>
    <w:rsid w:val="00DF2E8D"/>
    <w:rsid w:val="00DF3FE1"/>
    <w:rsid w:val="00DF5A95"/>
    <w:rsid w:val="00E03ACB"/>
    <w:rsid w:val="00E04F7C"/>
    <w:rsid w:val="00E05E34"/>
    <w:rsid w:val="00E06CF4"/>
    <w:rsid w:val="00E070E7"/>
    <w:rsid w:val="00E0728D"/>
    <w:rsid w:val="00E076EC"/>
    <w:rsid w:val="00E10247"/>
    <w:rsid w:val="00E1295D"/>
    <w:rsid w:val="00E12B70"/>
    <w:rsid w:val="00E131C3"/>
    <w:rsid w:val="00E13A42"/>
    <w:rsid w:val="00E13A64"/>
    <w:rsid w:val="00E13BEF"/>
    <w:rsid w:val="00E1452A"/>
    <w:rsid w:val="00E14835"/>
    <w:rsid w:val="00E1674A"/>
    <w:rsid w:val="00E17240"/>
    <w:rsid w:val="00E249BD"/>
    <w:rsid w:val="00E275F6"/>
    <w:rsid w:val="00E31E2C"/>
    <w:rsid w:val="00E341EF"/>
    <w:rsid w:val="00E34930"/>
    <w:rsid w:val="00E35BCB"/>
    <w:rsid w:val="00E40C2F"/>
    <w:rsid w:val="00E415EA"/>
    <w:rsid w:val="00E41ACD"/>
    <w:rsid w:val="00E42D87"/>
    <w:rsid w:val="00E44C56"/>
    <w:rsid w:val="00E45825"/>
    <w:rsid w:val="00E506EA"/>
    <w:rsid w:val="00E511CA"/>
    <w:rsid w:val="00E528C9"/>
    <w:rsid w:val="00E53DB7"/>
    <w:rsid w:val="00E55E59"/>
    <w:rsid w:val="00E56B2E"/>
    <w:rsid w:val="00E56EB6"/>
    <w:rsid w:val="00E604B3"/>
    <w:rsid w:val="00E61F32"/>
    <w:rsid w:val="00E627A2"/>
    <w:rsid w:val="00E62FA0"/>
    <w:rsid w:val="00E64569"/>
    <w:rsid w:val="00E66F5E"/>
    <w:rsid w:val="00E70398"/>
    <w:rsid w:val="00E7145D"/>
    <w:rsid w:val="00E71F3C"/>
    <w:rsid w:val="00E7361D"/>
    <w:rsid w:val="00E736A0"/>
    <w:rsid w:val="00E73AAF"/>
    <w:rsid w:val="00E770F1"/>
    <w:rsid w:val="00E820A9"/>
    <w:rsid w:val="00E82931"/>
    <w:rsid w:val="00E8618D"/>
    <w:rsid w:val="00E91CC9"/>
    <w:rsid w:val="00E9206A"/>
    <w:rsid w:val="00E94520"/>
    <w:rsid w:val="00E962C6"/>
    <w:rsid w:val="00E972D9"/>
    <w:rsid w:val="00E9736E"/>
    <w:rsid w:val="00E97B42"/>
    <w:rsid w:val="00EA1F3F"/>
    <w:rsid w:val="00EA24DA"/>
    <w:rsid w:val="00EA29CE"/>
    <w:rsid w:val="00EA415A"/>
    <w:rsid w:val="00EA7BD6"/>
    <w:rsid w:val="00EB0C99"/>
    <w:rsid w:val="00EB343D"/>
    <w:rsid w:val="00EB3946"/>
    <w:rsid w:val="00EB6377"/>
    <w:rsid w:val="00EB6592"/>
    <w:rsid w:val="00EB6941"/>
    <w:rsid w:val="00EB6A71"/>
    <w:rsid w:val="00EB79A7"/>
    <w:rsid w:val="00EC0802"/>
    <w:rsid w:val="00EC1D2C"/>
    <w:rsid w:val="00EC2675"/>
    <w:rsid w:val="00EC26BF"/>
    <w:rsid w:val="00EC3342"/>
    <w:rsid w:val="00EC3FC6"/>
    <w:rsid w:val="00EC489C"/>
    <w:rsid w:val="00EC5737"/>
    <w:rsid w:val="00EC5F31"/>
    <w:rsid w:val="00EC7DEB"/>
    <w:rsid w:val="00ED453A"/>
    <w:rsid w:val="00EE01AE"/>
    <w:rsid w:val="00EE0BF8"/>
    <w:rsid w:val="00EE373D"/>
    <w:rsid w:val="00EE4A02"/>
    <w:rsid w:val="00EE56B0"/>
    <w:rsid w:val="00EF044A"/>
    <w:rsid w:val="00EF0AB6"/>
    <w:rsid w:val="00EF14EB"/>
    <w:rsid w:val="00EF1E9C"/>
    <w:rsid w:val="00EF2220"/>
    <w:rsid w:val="00EF320F"/>
    <w:rsid w:val="00EF4E73"/>
    <w:rsid w:val="00EF5722"/>
    <w:rsid w:val="00EF576E"/>
    <w:rsid w:val="00EF6B85"/>
    <w:rsid w:val="00F01293"/>
    <w:rsid w:val="00F0347C"/>
    <w:rsid w:val="00F0387B"/>
    <w:rsid w:val="00F04AB1"/>
    <w:rsid w:val="00F067FF"/>
    <w:rsid w:val="00F10FBC"/>
    <w:rsid w:val="00F15057"/>
    <w:rsid w:val="00F15525"/>
    <w:rsid w:val="00F1657F"/>
    <w:rsid w:val="00F17FFD"/>
    <w:rsid w:val="00F20A17"/>
    <w:rsid w:val="00F20CC5"/>
    <w:rsid w:val="00F215B7"/>
    <w:rsid w:val="00F22175"/>
    <w:rsid w:val="00F23FD0"/>
    <w:rsid w:val="00F25111"/>
    <w:rsid w:val="00F2723F"/>
    <w:rsid w:val="00F32090"/>
    <w:rsid w:val="00F32320"/>
    <w:rsid w:val="00F33742"/>
    <w:rsid w:val="00F36AE0"/>
    <w:rsid w:val="00F4134A"/>
    <w:rsid w:val="00F42FF0"/>
    <w:rsid w:val="00F45656"/>
    <w:rsid w:val="00F47370"/>
    <w:rsid w:val="00F515BE"/>
    <w:rsid w:val="00F51797"/>
    <w:rsid w:val="00F52334"/>
    <w:rsid w:val="00F53888"/>
    <w:rsid w:val="00F53A15"/>
    <w:rsid w:val="00F54586"/>
    <w:rsid w:val="00F55CE8"/>
    <w:rsid w:val="00F564BD"/>
    <w:rsid w:val="00F5652D"/>
    <w:rsid w:val="00F56CEC"/>
    <w:rsid w:val="00F61C75"/>
    <w:rsid w:val="00F66ED6"/>
    <w:rsid w:val="00F672C3"/>
    <w:rsid w:val="00F6780F"/>
    <w:rsid w:val="00F7061F"/>
    <w:rsid w:val="00F728AE"/>
    <w:rsid w:val="00F750C5"/>
    <w:rsid w:val="00F755C2"/>
    <w:rsid w:val="00F7648E"/>
    <w:rsid w:val="00F808D2"/>
    <w:rsid w:val="00F84EAA"/>
    <w:rsid w:val="00F86A29"/>
    <w:rsid w:val="00F903D2"/>
    <w:rsid w:val="00F91C37"/>
    <w:rsid w:val="00F91FE7"/>
    <w:rsid w:val="00F92D68"/>
    <w:rsid w:val="00F94C39"/>
    <w:rsid w:val="00F956BC"/>
    <w:rsid w:val="00F9729F"/>
    <w:rsid w:val="00FA15FB"/>
    <w:rsid w:val="00FA3AF1"/>
    <w:rsid w:val="00FA64EF"/>
    <w:rsid w:val="00FA669B"/>
    <w:rsid w:val="00FA74F0"/>
    <w:rsid w:val="00FA77C6"/>
    <w:rsid w:val="00FA7897"/>
    <w:rsid w:val="00FA7910"/>
    <w:rsid w:val="00FB28EB"/>
    <w:rsid w:val="00FB3802"/>
    <w:rsid w:val="00FB5DF2"/>
    <w:rsid w:val="00FB5F36"/>
    <w:rsid w:val="00FB7830"/>
    <w:rsid w:val="00FC04A0"/>
    <w:rsid w:val="00FC0A26"/>
    <w:rsid w:val="00FC4B60"/>
    <w:rsid w:val="00FD0398"/>
    <w:rsid w:val="00FD0515"/>
    <w:rsid w:val="00FD174A"/>
    <w:rsid w:val="00FD1B6E"/>
    <w:rsid w:val="00FD3691"/>
    <w:rsid w:val="00FD4F8A"/>
    <w:rsid w:val="00FE0B31"/>
    <w:rsid w:val="00FE2353"/>
    <w:rsid w:val="00FE365C"/>
    <w:rsid w:val="00FE7121"/>
    <w:rsid w:val="00FE7559"/>
    <w:rsid w:val="00FE7F92"/>
    <w:rsid w:val="00FF049D"/>
    <w:rsid w:val="00FF1688"/>
    <w:rsid w:val="00FF21D9"/>
    <w:rsid w:val="00FF2794"/>
    <w:rsid w:val="00FF6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AB"/>
    <w:rPr>
      <w:sz w:val="24"/>
      <w:szCs w:val="24"/>
      <w:lang w:eastAsia="en-US"/>
    </w:rPr>
  </w:style>
  <w:style w:type="paragraph" w:styleId="1">
    <w:name w:val="heading 1"/>
    <w:basedOn w:val="a"/>
    <w:link w:val="1Char"/>
    <w:uiPriority w:val="99"/>
    <w:qFormat/>
    <w:rsid w:val="007476C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476C5"/>
    <w:rPr>
      <w:rFonts w:cs="Times New Roman"/>
      <w:b/>
      <w:bCs/>
      <w:kern w:val="36"/>
      <w:sz w:val="48"/>
      <w:szCs w:val="48"/>
    </w:rPr>
  </w:style>
  <w:style w:type="table" w:styleId="a3">
    <w:name w:val="Table Grid"/>
    <w:basedOn w:val="a1"/>
    <w:uiPriority w:val="99"/>
    <w:rsid w:val="0035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rsid w:val="007623DB"/>
    <w:rPr>
      <w:rFonts w:ascii="Tahoma" w:hAnsi="Tahoma" w:cs="Tahoma"/>
      <w:sz w:val="16"/>
      <w:szCs w:val="16"/>
    </w:rPr>
  </w:style>
  <w:style w:type="character" w:customStyle="1" w:styleId="Char">
    <w:name w:val="批注框文本 Char"/>
    <w:link w:val="a4"/>
    <w:uiPriority w:val="99"/>
    <w:semiHidden/>
    <w:locked/>
    <w:rsid w:val="0070124A"/>
    <w:rPr>
      <w:rFonts w:cs="Times New Roman"/>
      <w:kern w:val="0"/>
      <w:sz w:val="2"/>
      <w:lang w:eastAsia="en-US"/>
    </w:rPr>
  </w:style>
  <w:style w:type="character" w:styleId="a5">
    <w:name w:val="Hyperlink"/>
    <w:uiPriority w:val="99"/>
    <w:rsid w:val="004A3001"/>
    <w:rPr>
      <w:rFonts w:cs="Times New Roman"/>
      <w:color w:val="0000FF"/>
      <w:u w:val="single"/>
    </w:rPr>
  </w:style>
  <w:style w:type="paragraph" w:styleId="a6">
    <w:name w:val="header"/>
    <w:basedOn w:val="a"/>
    <w:link w:val="Char0"/>
    <w:uiPriority w:val="99"/>
    <w:rsid w:val="006E6CCB"/>
    <w:pPr>
      <w:tabs>
        <w:tab w:val="center" w:pos="4320"/>
        <w:tab w:val="right" w:pos="8640"/>
      </w:tabs>
    </w:pPr>
  </w:style>
  <w:style w:type="character" w:customStyle="1" w:styleId="Char0">
    <w:name w:val="页眉 Char"/>
    <w:link w:val="a6"/>
    <w:uiPriority w:val="99"/>
    <w:semiHidden/>
    <w:locked/>
    <w:rsid w:val="0070124A"/>
    <w:rPr>
      <w:rFonts w:cs="Times New Roman"/>
      <w:kern w:val="0"/>
      <w:sz w:val="18"/>
      <w:szCs w:val="18"/>
      <w:lang w:eastAsia="en-US"/>
    </w:rPr>
  </w:style>
  <w:style w:type="character" w:styleId="a7">
    <w:name w:val="page number"/>
    <w:uiPriority w:val="99"/>
    <w:rsid w:val="006E6CCB"/>
    <w:rPr>
      <w:rFonts w:cs="Times New Roman"/>
    </w:rPr>
  </w:style>
  <w:style w:type="paragraph" w:styleId="a8">
    <w:name w:val="footer"/>
    <w:basedOn w:val="a"/>
    <w:link w:val="Char1"/>
    <w:uiPriority w:val="99"/>
    <w:rsid w:val="002322F2"/>
    <w:pPr>
      <w:tabs>
        <w:tab w:val="center" w:pos="4320"/>
        <w:tab w:val="right" w:pos="8640"/>
      </w:tabs>
    </w:pPr>
  </w:style>
  <w:style w:type="character" w:customStyle="1" w:styleId="Char1">
    <w:name w:val="页脚 Char"/>
    <w:link w:val="a8"/>
    <w:uiPriority w:val="99"/>
    <w:semiHidden/>
    <w:locked/>
    <w:rsid w:val="0070124A"/>
    <w:rPr>
      <w:rFonts w:cs="Times New Roman"/>
      <w:kern w:val="0"/>
      <w:sz w:val="18"/>
      <w:szCs w:val="18"/>
      <w:lang w:eastAsia="en-US"/>
    </w:rPr>
  </w:style>
  <w:style w:type="table" w:styleId="3">
    <w:name w:val="Table Classic 3"/>
    <w:basedOn w:val="a1"/>
    <w:uiPriority w:val="99"/>
    <w:rsid w:val="00AF1E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2">
    <w:name w:val="Table Classic 2"/>
    <w:basedOn w:val="a1"/>
    <w:uiPriority w:val="99"/>
    <w:rsid w:val="00AF1E58"/>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10">
    <w:name w:val="Table 3D effects 1"/>
    <w:basedOn w:val="a1"/>
    <w:uiPriority w:val="99"/>
    <w:rsid w:val="00AF1E58"/>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1">
    <w:name w:val="Table Classic 1"/>
    <w:basedOn w:val="a1"/>
    <w:uiPriority w:val="99"/>
    <w:rsid w:val="001D18C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9">
    <w:name w:val="List Paragraph"/>
    <w:basedOn w:val="a"/>
    <w:uiPriority w:val="99"/>
    <w:qFormat/>
    <w:rsid w:val="00427A3B"/>
    <w:pPr>
      <w:ind w:left="720"/>
    </w:pPr>
  </w:style>
  <w:style w:type="paragraph" w:customStyle="1" w:styleId="content">
    <w:name w:val="content"/>
    <w:basedOn w:val="a"/>
    <w:uiPriority w:val="99"/>
    <w:rsid w:val="007476C5"/>
    <w:pPr>
      <w:spacing w:before="100" w:beforeAutospacing="1" w:after="100" w:afterAutospacing="1"/>
    </w:pPr>
  </w:style>
  <w:style w:type="character" w:customStyle="1" w:styleId="apple-converted-space">
    <w:name w:val="apple-converted-space"/>
    <w:uiPriority w:val="99"/>
    <w:rsid w:val="007476C5"/>
    <w:rPr>
      <w:rFonts w:cs="Times New Roman"/>
    </w:rPr>
  </w:style>
  <w:style w:type="character" w:customStyle="1" w:styleId="nlmsource">
    <w:name w:val="nlm_source"/>
    <w:uiPriority w:val="99"/>
    <w:rsid w:val="007476C5"/>
    <w:rPr>
      <w:rFonts w:cs="Times New Roman"/>
    </w:rPr>
  </w:style>
  <w:style w:type="paragraph" w:customStyle="1" w:styleId="number">
    <w:name w:val="number"/>
    <w:basedOn w:val="a"/>
    <w:uiPriority w:val="99"/>
    <w:rsid w:val="007476C5"/>
    <w:pPr>
      <w:spacing w:before="100" w:beforeAutospacing="1" w:after="100" w:afterAutospacing="1"/>
    </w:pPr>
  </w:style>
  <w:style w:type="character" w:customStyle="1" w:styleId="highlight">
    <w:name w:val="highlight"/>
    <w:uiPriority w:val="99"/>
    <w:rsid w:val="00824B24"/>
    <w:rPr>
      <w:rFonts w:cs="Times New Roman"/>
    </w:rPr>
  </w:style>
  <w:style w:type="character" w:customStyle="1" w:styleId="ref-label">
    <w:name w:val="ref-label"/>
    <w:uiPriority w:val="99"/>
    <w:rsid w:val="00E627A2"/>
    <w:rPr>
      <w:rFonts w:cs="Times New Roman"/>
    </w:rPr>
  </w:style>
  <w:style w:type="character" w:customStyle="1" w:styleId="cit-auth">
    <w:name w:val="cit-auth"/>
    <w:uiPriority w:val="99"/>
    <w:rsid w:val="00E627A2"/>
    <w:rPr>
      <w:rFonts w:cs="Times New Roman"/>
    </w:rPr>
  </w:style>
  <w:style w:type="character" w:customStyle="1" w:styleId="cit-name-surname">
    <w:name w:val="cit-name-surname"/>
    <w:uiPriority w:val="99"/>
    <w:rsid w:val="00E627A2"/>
    <w:rPr>
      <w:rFonts w:cs="Times New Roman"/>
    </w:rPr>
  </w:style>
  <w:style w:type="character" w:customStyle="1" w:styleId="cit-name-given-names">
    <w:name w:val="cit-name-given-names"/>
    <w:uiPriority w:val="99"/>
    <w:rsid w:val="00E627A2"/>
    <w:rPr>
      <w:rFonts w:cs="Times New Roman"/>
    </w:rPr>
  </w:style>
  <w:style w:type="character" w:styleId="HTML">
    <w:name w:val="HTML Cite"/>
    <w:uiPriority w:val="99"/>
    <w:rsid w:val="00E627A2"/>
    <w:rPr>
      <w:rFonts w:cs="Times New Roman"/>
      <w:i/>
      <w:iCs/>
    </w:rPr>
  </w:style>
  <w:style w:type="character" w:customStyle="1" w:styleId="cit-article-title">
    <w:name w:val="cit-article-title"/>
    <w:uiPriority w:val="99"/>
    <w:rsid w:val="00E627A2"/>
    <w:rPr>
      <w:rFonts w:cs="Times New Roman"/>
    </w:rPr>
  </w:style>
  <w:style w:type="character" w:customStyle="1" w:styleId="cit-vol">
    <w:name w:val="cit-vol"/>
    <w:uiPriority w:val="99"/>
    <w:rsid w:val="00E627A2"/>
    <w:rPr>
      <w:rFonts w:cs="Times New Roman"/>
    </w:rPr>
  </w:style>
  <w:style w:type="character" w:customStyle="1" w:styleId="cit-fpage">
    <w:name w:val="cit-fpage"/>
    <w:uiPriority w:val="99"/>
    <w:rsid w:val="00E627A2"/>
    <w:rPr>
      <w:rFonts w:cs="Times New Roman"/>
    </w:rPr>
  </w:style>
  <w:style w:type="character" w:customStyle="1" w:styleId="cit-lpage">
    <w:name w:val="cit-lpage"/>
    <w:uiPriority w:val="99"/>
    <w:rsid w:val="00E627A2"/>
    <w:rPr>
      <w:rFonts w:cs="Times New Roman"/>
    </w:rPr>
  </w:style>
  <w:style w:type="character" w:customStyle="1" w:styleId="cit-pub-date">
    <w:name w:val="cit-pub-date"/>
    <w:uiPriority w:val="99"/>
    <w:rsid w:val="00E627A2"/>
    <w:rPr>
      <w:rFonts w:cs="Times New Roman"/>
    </w:rPr>
  </w:style>
  <w:style w:type="character" w:customStyle="1" w:styleId="cit-reflinks-abstract">
    <w:name w:val="cit-reflinks-abstract"/>
    <w:uiPriority w:val="99"/>
    <w:rsid w:val="00E627A2"/>
    <w:rPr>
      <w:rFonts w:cs="Times New Roman"/>
    </w:rPr>
  </w:style>
  <w:style w:type="character" w:customStyle="1" w:styleId="cit-sep">
    <w:name w:val="cit-sep"/>
    <w:uiPriority w:val="99"/>
    <w:rsid w:val="00E627A2"/>
    <w:rPr>
      <w:rFonts w:cs="Times New Roman"/>
    </w:rPr>
  </w:style>
  <w:style w:type="character" w:customStyle="1" w:styleId="cit-reflinks-full-text">
    <w:name w:val="cit-reflinks-full-text"/>
    <w:uiPriority w:val="99"/>
    <w:rsid w:val="00E627A2"/>
    <w:rPr>
      <w:rFonts w:cs="Times New Roman"/>
    </w:rPr>
  </w:style>
  <w:style w:type="character" w:customStyle="1" w:styleId="free-full-text">
    <w:name w:val="free-full-text"/>
    <w:uiPriority w:val="99"/>
    <w:rsid w:val="00E627A2"/>
    <w:rPr>
      <w:rFonts w:cs="Times New Roman"/>
    </w:rPr>
  </w:style>
  <w:style w:type="paragraph" w:customStyle="1" w:styleId="Title1">
    <w:name w:val="Title1"/>
    <w:basedOn w:val="a"/>
    <w:uiPriority w:val="99"/>
    <w:rsid w:val="001D208A"/>
    <w:pPr>
      <w:spacing w:before="100" w:beforeAutospacing="1" w:after="100" w:afterAutospacing="1"/>
    </w:pPr>
  </w:style>
  <w:style w:type="paragraph" w:customStyle="1" w:styleId="desc">
    <w:name w:val="desc"/>
    <w:basedOn w:val="a"/>
    <w:uiPriority w:val="99"/>
    <w:rsid w:val="001D208A"/>
    <w:pPr>
      <w:spacing w:before="100" w:beforeAutospacing="1" w:after="100" w:afterAutospacing="1"/>
    </w:pPr>
  </w:style>
  <w:style w:type="paragraph" w:customStyle="1" w:styleId="details">
    <w:name w:val="details"/>
    <w:basedOn w:val="a"/>
    <w:uiPriority w:val="99"/>
    <w:rsid w:val="001D208A"/>
    <w:pPr>
      <w:spacing w:before="100" w:beforeAutospacing="1" w:after="100" w:afterAutospacing="1"/>
    </w:pPr>
  </w:style>
  <w:style w:type="character" w:customStyle="1" w:styleId="jrnl">
    <w:name w:val="jrnl"/>
    <w:uiPriority w:val="99"/>
    <w:rsid w:val="001D208A"/>
    <w:rPr>
      <w:rFonts w:cs="Times New Roman"/>
    </w:rPr>
  </w:style>
  <w:style w:type="character" w:styleId="aa">
    <w:name w:val="Emphasis"/>
    <w:uiPriority w:val="99"/>
    <w:qFormat/>
    <w:rsid w:val="0072569A"/>
    <w:rPr>
      <w:rFonts w:cs="Times New Roman"/>
      <w:i/>
      <w:iCs/>
    </w:rPr>
  </w:style>
  <w:style w:type="character" w:styleId="ab">
    <w:name w:val="Strong"/>
    <w:uiPriority w:val="99"/>
    <w:qFormat/>
    <w:locked/>
    <w:rsid w:val="00A61E5F"/>
    <w:rPr>
      <w:rFonts w:cs="Times New Roman"/>
      <w:b/>
    </w:rPr>
  </w:style>
  <w:style w:type="paragraph" w:customStyle="1" w:styleId="p0">
    <w:name w:val="p0"/>
    <w:basedOn w:val="a"/>
    <w:uiPriority w:val="99"/>
    <w:rsid w:val="000135FF"/>
    <w:pPr>
      <w:spacing w:line="240" w:lineRule="atLeast"/>
    </w:pPr>
    <w:rPr>
      <w:rFonts w:ascii="Century" w:hAnsi="Century" w:cs="宋体"/>
      <w:sz w:val="21"/>
      <w:szCs w:val="21"/>
      <w:lang w:eastAsia="zh-CN"/>
    </w:rPr>
  </w:style>
  <w:style w:type="character" w:customStyle="1" w:styleId="st1">
    <w:name w:val="st1"/>
    <w:uiPriority w:val="99"/>
    <w:rsid w:val="005427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AB"/>
    <w:rPr>
      <w:sz w:val="24"/>
      <w:szCs w:val="24"/>
      <w:lang w:eastAsia="en-US"/>
    </w:rPr>
  </w:style>
  <w:style w:type="paragraph" w:styleId="1">
    <w:name w:val="heading 1"/>
    <w:basedOn w:val="a"/>
    <w:link w:val="1Char"/>
    <w:uiPriority w:val="99"/>
    <w:qFormat/>
    <w:rsid w:val="007476C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476C5"/>
    <w:rPr>
      <w:rFonts w:cs="Times New Roman"/>
      <w:b/>
      <w:bCs/>
      <w:kern w:val="36"/>
      <w:sz w:val="48"/>
      <w:szCs w:val="48"/>
    </w:rPr>
  </w:style>
  <w:style w:type="table" w:styleId="a3">
    <w:name w:val="Table Grid"/>
    <w:basedOn w:val="a1"/>
    <w:uiPriority w:val="99"/>
    <w:rsid w:val="0035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rsid w:val="007623DB"/>
    <w:rPr>
      <w:rFonts w:ascii="Tahoma" w:hAnsi="Tahoma" w:cs="Tahoma"/>
      <w:sz w:val="16"/>
      <w:szCs w:val="16"/>
    </w:rPr>
  </w:style>
  <w:style w:type="character" w:customStyle="1" w:styleId="Char">
    <w:name w:val="批注框文本 Char"/>
    <w:link w:val="a4"/>
    <w:uiPriority w:val="99"/>
    <w:semiHidden/>
    <w:locked/>
    <w:rsid w:val="0070124A"/>
    <w:rPr>
      <w:rFonts w:cs="Times New Roman"/>
      <w:kern w:val="0"/>
      <w:sz w:val="2"/>
      <w:lang w:eastAsia="en-US"/>
    </w:rPr>
  </w:style>
  <w:style w:type="character" w:styleId="a5">
    <w:name w:val="Hyperlink"/>
    <w:uiPriority w:val="99"/>
    <w:rsid w:val="004A3001"/>
    <w:rPr>
      <w:rFonts w:cs="Times New Roman"/>
      <w:color w:val="0000FF"/>
      <w:u w:val="single"/>
    </w:rPr>
  </w:style>
  <w:style w:type="paragraph" w:styleId="a6">
    <w:name w:val="header"/>
    <w:basedOn w:val="a"/>
    <w:link w:val="Char0"/>
    <w:uiPriority w:val="99"/>
    <w:rsid w:val="006E6CCB"/>
    <w:pPr>
      <w:tabs>
        <w:tab w:val="center" w:pos="4320"/>
        <w:tab w:val="right" w:pos="8640"/>
      </w:tabs>
    </w:pPr>
  </w:style>
  <w:style w:type="character" w:customStyle="1" w:styleId="Char0">
    <w:name w:val="页眉 Char"/>
    <w:link w:val="a6"/>
    <w:uiPriority w:val="99"/>
    <w:semiHidden/>
    <w:locked/>
    <w:rsid w:val="0070124A"/>
    <w:rPr>
      <w:rFonts w:cs="Times New Roman"/>
      <w:kern w:val="0"/>
      <w:sz w:val="18"/>
      <w:szCs w:val="18"/>
      <w:lang w:eastAsia="en-US"/>
    </w:rPr>
  </w:style>
  <w:style w:type="character" w:styleId="a7">
    <w:name w:val="page number"/>
    <w:uiPriority w:val="99"/>
    <w:rsid w:val="006E6CCB"/>
    <w:rPr>
      <w:rFonts w:cs="Times New Roman"/>
    </w:rPr>
  </w:style>
  <w:style w:type="paragraph" w:styleId="a8">
    <w:name w:val="footer"/>
    <w:basedOn w:val="a"/>
    <w:link w:val="Char1"/>
    <w:uiPriority w:val="99"/>
    <w:rsid w:val="002322F2"/>
    <w:pPr>
      <w:tabs>
        <w:tab w:val="center" w:pos="4320"/>
        <w:tab w:val="right" w:pos="8640"/>
      </w:tabs>
    </w:pPr>
  </w:style>
  <w:style w:type="character" w:customStyle="1" w:styleId="Char1">
    <w:name w:val="页脚 Char"/>
    <w:link w:val="a8"/>
    <w:uiPriority w:val="99"/>
    <w:semiHidden/>
    <w:locked/>
    <w:rsid w:val="0070124A"/>
    <w:rPr>
      <w:rFonts w:cs="Times New Roman"/>
      <w:kern w:val="0"/>
      <w:sz w:val="18"/>
      <w:szCs w:val="18"/>
      <w:lang w:eastAsia="en-US"/>
    </w:rPr>
  </w:style>
  <w:style w:type="table" w:styleId="3">
    <w:name w:val="Table Classic 3"/>
    <w:basedOn w:val="a1"/>
    <w:uiPriority w:val="99"/>
    <w:rsid w:val="00AF1E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2">
    <w:name w:val="Table Classic 2"/>
    <w:basedOn w:val="a1"/>
    <w:uiPriority w:val="99"/>
    <w:rsid w:val="00AF1E58"/>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10">
    <w:name w:val="Table 3D effects 1"/>
    <w:basedOn w:val="a1"/>
    <w:uiPriority w:val="99"/>
    <w:rsid w:val="00AF1E58"/>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1">
    <w:name w:val="Table Classic 1"/>
    <w:basedOn w:val="a1"/>
    <w:uiPriority w:val="99"/>
    <w:rsid w:val="001D18C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9">
    <w:name w:val="List Paragraph"/>
    <w:basedOn w:val="a"/>
    <w:uiPriority w:val="99"/>
    <w:qFormat/>
    <w:rsid w:val="00427A3B"/>
    <w:pPr>
      <w:ind w:left="720"/>
    </w:pPr>
  </w:style>
  <w:style w:type="paragraph" w:customStyle="1" w:styleId="content">
    <w:name w:val="content"/>
    <w:basedOn w:val="a"/>
    <w:uiPriority w:val="99"/>
    <w:rsid w:val="007476C5"/>
    <w:pPr>
      <w:spacing w:before="100" w:beforeAutospacing="1" w:after="100" w:afterAutospacing="1"/>
    </w:pPr>
  </w:style>
  <w:style w:type="character" w:customStyle="1" w:styleId="apple-converted-space">
    <w:name w:val="apple-converted-space"/>
    <w:uiPriority w:val="99"/>
    <w:rsid w:val="007476C5"/>
    <w:rPr>
      <w:rFonts w:cs="Times New Roman"/>
    </w:rPr>
  </w:style>
  <w:style w:type="character" w:customStyle="1" w:styleId="nlmsource">
    <w:name w:val="nlm_source"/>
    <w:uiPriority w:val="99"/>
    <w:rsid w:val="007476C5"/>
    <w:rPr>
      <w:rFonts w:cs="Times New Roman"/>
    </w:rPr>
  </w:style>
  <w:style w:type="paragraph" w:customStyle="1" w:styleId="number">
    <w:name w:val="number"/>
    <w:basedOn w:val="a"/>
    <w:uiPriority w:val="99"/>
    <w:rsid w:val="007476C5"/>
    <w:pPr>
      <w:spacing w:before="100" w:beforeAutospacing="1" w:after="100" w:afterAutospacing="1"/>
    </w:pPr>
  </w:style>
  <w:style w:type="character" w:customStyle="1" w:styleId="highlight">
    <w:name w:val="highlight"/>
    <w:uiPriority w:val="99"/>
    <w:rsid w:val="00824B24"/>
    <w:rPr>
      <w:rFonts w:cs="Times New Roman"/>
    </w:rPr>
  </w:style>
  <w:style w:type="character" w:customStyle="1" w:styleId="ref-label">
    <w:name w:val="ref-label"/>
    <w:uiPriority w:val="99"/>
    <w:rsid w:val="00E627A2"/>
    <w:rPr>
      <w:rFonts w:cs="Times New Roman"/>
    </w:rPr>
  </w:style>
  <w:style w:type="character" w:customStyle="1" w:styleId="cit-auth">
    <w:name w:val="cit-auth"/>
    <w:uiPriority w:val="99"/>
    <w:rsid w:val="00E627A2"/>
    <w:rPr>
      <w:rFonts w:cs="Times New Roman"/>
    </w:rPr>
  </w:style>
  <w:style w:type="character" w:customStyle="1" w:styleId="cit-name-surname">
    <w:name w:val="cit-name-surname"/>
    <w:uiPriority w:val="99"/>
    <w:rsid w:val="00E627A2"/>
    <w:rPr>
      <w:rFonts w:cs="Times New Roman"/>
    </w:rPr>
  </w:style>
  <w:style w:type="character" w:customStyle="1" w:styleId="cit-name-given-names">
    <w:name w:val="cit-name-given-names"/>
    <w:uiPriority w:val="99"/>
    <w:rsid w:val="00E627A2"/>
    <w:rPr>
      <w:rFonts w:cs="Times New Roman"/>
    </w:rPr>
  </w:style>
  <w:style w:type="character" w:styleId="HTML">
    <w:name w:val="HTML Cite"/>
    <w:uiPriority w:val="99"/>
    <w:rsid w:val="00E627A2"/>
    <w:rPr>
      <w:rFonts w:cs="Times New Roman"/>
      <w:i/>
      <w:iCs/>
    </w:rPr>
  </w:style>
  <w:style w:type="character" w:customStyle="1" w:styleId="cit-article-title">
    <w:name w:val="cit-article-title"/>
    <w:uiPriority w:val="99"/>
    <w:rsid w:val="00E627A2"/>
    <w:rPr>
      <w:rFonts w:cs="Times New Roman"/>
    </w:rPr>
  </w:style>
  <w:style w:type="character" w:customStyle="1" w:styleId="cit-vol">
    <w:name w:val="cit-vol"/>
    <w:uiPriority w:val="99"/>
    <w:rsid w:val="00E627A2"/>
    <w:rPr>
      <w:rFonts w:cs="Times New Roman"/>
    </w:rPr>
  </w:style>
  <w:style w:type="character" w:customStyle="1" w:styleId="cit-fpage">
    <w:name w:val="cit-fpage"/>
    <w:uiPriority w:val="99"/>
    <w:rsid w:val="00E627A2"/>
    <w:rPr>
      <w:rFonts w:cs="Times New Roman"/>
    </w:rPr>
  </w:style>
  <w:style w:type="character" w:customStyle="1" w:styleId="cit-lpage">
    <w:name w:val="cit-lpage"/>
    <w:uiPriority w:val="99"/>
    <w:rsid w:val="00E627A2"/>
    <w:rPr>
      <w:rFonts w:cs="Times New Roman"/>
    </w:rPr>
  </w:style>
  <w:style w:type="character" w:customStyle="1" w:styleId="cit-pub-date">
    <w:name w:val="cit-pub-date"/>
    <w:uiPriority w:val="99"/>
    <w:rsid w:val="00E627A2"/>
    <w:rPr>
      <w:rFonts w:cs="Times New Roman"/>
    </w:rPr>
  </w:style>
  <w:style w:type="character" w:customStyle="1" w:styleId="cit-reflinks-abstract">
    <w:name w:val="cit-reflinks-abstract"/>
    <w:uiPriority w:val="99"/>
    <w:rsid w:val="00E627A2"/>
    <w:rPr>
      <w:rFonts w:cs="Times New Roman"/>
    </w:rPr>
  </w:style>
  <w:style w:type="character" w:customStyle="1" w:styleId="cit-sep">
    <w:name w:val="cit-sep"/>
    <w:uiPriority w:val="99"/>
    <w:rsid w:val="00E627A2"/>
    <w:rPr>
      <w:rFonts w:cs="Times New Roman"/>
    </w:rPr>
  </w:style>
  <w:style w:type="character" w:customStyle="1" w:styleId="cit-reflinks-full-text">
    <w:name w:val="cit-reflinks-full-text"/>
    <w:uiPriority w:val="99"/>
    <w:rsid w:val="00E627A2"/>
    <w:rPr>
      <w:rFonts w:cs="Times New Roman"/>
    </w:rPr>
  </w:style>
  <w:style w:type="character" w:customStyle="1" w:styleId="free-full-text">
    <w:name w:val="free-full-text"/>
    <w:uiPriority w:val="99"/>
    <w:rsid w:val="00E627A2"/>
    <w:rPr>
      <w:rFonts w:cs="Times New Roman"/>
    </w:rPr>
  </w:style>
  <w:style w:type="paragraph" w:customStyle="1" w:styleId="Title1">
    <w:name w:val="Title1"/>
    <w:basedOn w:val="a"/>
    <w:uiPriority w:val="99"/>
    <w:rsid w:val="001D208A"/>
    <w:pPr>
      <w:spacing w:before="100" w:beforeAutospacing="1" w:after="100" w:afterAutospacing="1"/>
    </w:pPr>
  </w:style>
  <w:style w:type="paragraph" w:customStyle="1" w:styleId="desc">
    <w:name w:val="desc"/>
    <w:basedOn w:val="a"/>
    <w:uiPriority w:val="99"/>
    <w:rsid w:val="001D208A"/>
    <w:pPr>
      <w:spacing w:before="100" w:beforeAutospacing="1" w:after="100" w:afterAutospacing="1"/>
    </w:pPr>
  </w:style>
  <w:style w:type="paragraph" w:customStyle="1" w:styleId="details">
    <w:name w:val="details"/>
    <w:basedOn w:val="a"/>
    <w:uiPriority w:val="99"/>
    <w:rsid w:val="001D208A"/>
    <w:pPr>
      <w:spacing w:before="100" w:beforeAutospacing="1" w:after="100" w:afterAutospacing="1"/>
    </w:pPr>
  </w:style>
  <w:style w:type="character" w:customStyle="1" w:styleId="jrnl">
    <w:name w:val="jrnl"/>
    <w:uiPriority w:val="99"/>
    <w:rsid w:val="001D208A"/>
    <w:rPr>
      <w:rFonts w:cs="Times New Roman"/>
    </w:rPr>
  </w:style>
  <w:style w:type="character" w:styleId="aa">
    <w:name w:val="Emphasis"/>
    <w:uiPriority w:val="99"/>
    <w:qFormat/>
    <w:rsid w:val="0072569A"/>
    <w:rPr>
      <w:rFonts w:cs="Times New Roman"/>
      <w:i/>
      <w:iCs/>
    </w:rPr>
  </w:style>
  <w:style w:type="character" w:styleId="ab">
    <w:name w:val="Strong"/>
    <w:uiPriority w:val="99"/>
    <w:qFormat/>
    <w:locked/>
    <w:rsid w:val="00A61E5F"/>
    <w:rPr>
      <w:rFonts w:cs="Times New Roman"/>
      <w:b/>
    </w:rPr>
  </w:style>
  <w:style w:type="paragraph" w:customStyle="1" w:styleId="p0">
    <w:name w:val="p0"/>
    <w:basedOn w:val="a"/>
    <w:uiPriority w:val="99"/>
    <w:rsid w:val="000135FF"/>
    <w:pPr>
      <w:spacing w:line="240" w:lineRule="atLeast"/>
    </w:pPr>
    <w:rPr>
      <w:rFonts w:ascii="Century" w:hAnsi="Century" w:cs="宋体"/>
      <w:sz w:val="21"/>
      <w:szCs w:val="21"/>
      <w:lang w:eastAsia="zh-CN"/>
    </w:rPr>
  </w:style>
  <w:style w:type="character" w:customStyle="1" w:styleId="st1">
    <w:name w:val="st1"/>
    <w:uiPriority w:val="99"/>
    <w:rsid w:val="005427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57284">
      <w:marLeft w:val="0"/>
      <w:marRight w:val="0"/>
      <w:marTop w:val="0"/>
      <w:marBottom w:val="0"/>
      <w:divBdr>
        <w:top w:val="none" w:sz="0" w:space="0" w:color="auto"/>
        <w:left w:val="none" w:sz="0" w:space="0" w:color="auto"/>
        <w:bottom w:val="none" w:sz="0" w:space="0" w:color="auto"/>
        <w:right w:val="none" w:sz="0" w:space="0" w:color="auto"/>
      </w:divBdr>
    </w:div>
    <w:div w:id="1256357285">
      <w:marLeft w:val="0"/>
      <w:marRight w:val="0"/>
      <w:marTop w:val="0"/>
      <w:marBottom w:val="0"/>
      <w:divBdr>
        <w:top w:val="none" w:sz="0" w:space="0" w:color="auto"/>
        <w:left w:val="none" w:sz="0" w:space="0" w:color="auto"/>
        <w:bottom w:val="none" w:sz="0" w:space="0" w:color="auto"/>
        <w:right w:val="none" w:sz="0" w:space="0" w:color="auto"/>
      </w:divBdr>
    </w:div>
    <w:div w:id="1256357288">
      <w:marLeft w:val="0"/>
      <w:marRight w:val="0"/>
      <w:marTop w:val="0"/>
      <w:marBottom w:val="0"/>
      <w:divBdr>
        <w:top w:val="none" w:sz="0" w:space="0" w:color="auto"/>
        <w:left w:val="none" w:sz="0" w:space="0" w:color="auto"/>
        <w:bottom w:val="none" w:sz="0" w:space="0" w:color="auto"/>
        <w:right w:val="none" w:sz="0" w:space="0" w:color="auto"/>
      </w:divBdr>
    </w:div>
    <w:div w:id="1256357289">
      <w:marLeft w:val="0"/>
      <w:marRight w:val="0"/>
      <w:marTop w:val="0"/>
      <w:marBottom w:val="0"/>
      <w:divBdr>
        <w:top w:val="none" w:sz="0" w:space="0" w:color="auto"/>
        <w:left w:val="none" w:sz="0" w:space="0" w:color="auto"/>
        <w:bottom w:val="none" w:sz="0" w:space="0" w:color="auto"/>
        <w:right w:val="none" w:sz="0" w:space="0" w:color="auto"/>
      </w:divBdr>
    </w:div>
    <w:div w:id="1256357290">
      <w:marLeft w:val="0"/>
      <w:marRight w:val="0"/>
      <w:marTop w:val="0"/>
      <w:marBottom w:val="0"/>
      <w:divBdr>
        <w:top w:val="none" w:sz="0" w:space="0" w:color="auto"/>
        <w:left w:val="none" w:sz="0" w:space="0" w:color="auto"/>
        <w:bottom w:val="none" w:sz="0" w:space="0" w:color="auto"/>
        <w:right w:val="none" w:sz="0" w:space="0" w:color="auto"/>
      </w:divBdr>
    </w:div>
    <w:div w:id="1256357291">
      <w:marLeft w:val="0"/>
      <w:marRight w:val="0"/>
      <w:marTop w:val="0"/>
      <w:marBottom w:val="0"/>
      <w:divBdr>
        <w:top w:val="none" w:sz="0" w:space="0" w:color="auto"/>
        <w:left w:val="none" w:sz="0" w:space="0" w:color="auto"/>
        <w:bottom w:val="none" w:sz="0" w:space="0" w:color="auto"/>
        <w:right w:val="none" w:sz="0" w:space="0" w:color="auto"/>
      </w:divBdr>
    </w:div>
    <w:div w:id="1256357296">
      <w:marLeft w:val="0"/>
      <w:marRight w:val="0"/>
      <w:marTop w:val="0"/>
      <w:marBottom w:val="0"/>
      <w:divBdr>
        <w:top w:val="none" w:sz="0" w:space="0" w:color="auto"/>
        <w:left w:val="none" w:sz="0" w:space="0" w:color="auto"/>
        <w:bottom w:val="none" w:sz="0" w:space="0" w:color="auto"/>
        <w:right w:val="none" w:sz="0" w:space="0" w:color="auto"/>
      </w:divBdr>
    </w:div>
    <w:div w:id="1256357297">
      <w:marLeft w:val="0"/>
      <w:marRight w:val="0"/>
      <w:marTop w:val="0"/>
      <w:marBottom w:val="0"/>
      <w:divBdr>
        <w:top w:val="none" w:sz="0" w:space="0" w:color="auto"/>
        <w:left w:val="none" w:sz="0" w:space="0" w:color="auto"/>
        <w:bottom w:val="none" w:sz="0" w:space="0" w:color="auto"/>
        <w:right w:val="none" w:sz="0" w:space="0" w:color="auto"/>
      </w:divBdr>
    </w:div>
    <w:div w:id="1256357300">
      <w:marLeft w:val="0"/>
      <w:marRight w:val="0"/>
      <w:marTop w:val="0"/>
      <w:marBottom w:val="0"/>
      <w:divBdr>
        <w:top w:val="none" w:sz="0" w:space="0" w:color="auto"/>
        <w:left w:val="none" w:sz="0" w:space="0" w:color="auto"/>
        <w:bottom w:val="none" w:sz="0" w:space="0" w:color="auto"/>
        <w:right w:val="none" w:sz="0" w:space="0" w:color="auto"/>
      </w:divBdr>
    </w:div>
    <w:div w:id="1256357301">
      <w:marLeft w:val="0"/>
      <w:marRight w:val="0"/>
      <w:marTop w:val="0"/>
      <w:marBottom w:val="0"/>
      <w:divBdr>
        <w:top w:val="none" w:sz="0" w:space="0" w:color="auto"/>
        <w:left w:val="none" w:sz="0" w:space="0" w:color="auto"/>
        <w:bottom w:val="none" w:sz="0" w:space="0" w:color="auto"/>
        <w:right w:val="none" w:sz="0" w:space="0" w:color="auto"/>
      </w:divBdr>
      <w:divsChild>
        <w:div w:id="1256357281">
          <w:marLeft w:val="0"/>
          <w:marRight w:val="0"/>
          <w:marTop w:val="168"/>
          <w:marBottom w:val="0"/>
          <w:divBdr>
            <w:top w:val="none" w:sz="0" w:space="0" w:color="auto"/>
            <w:left w:val="none" w:sz="0" w:space="0" w:color="auto"/>
            <w:bottom w:val="none" w:sz="0" w:space="0" w:color="auto"/>
            <w:right w:val="none" w:sz="0" w:space="0" w:color="auto"/>
          </w:divBdr>
          <w:divsChild>
            <w:div w:id="1256357287">
              <w:marLeft w:val="0"/>
              <w:marRight w:val="0"/>
              <w:marTop w:val="0"/>
              <w:marBottom w:val="0"/>
              <w:divBdr>
                <w:top w:val="none" w:sz="0" w:space="0" w:color="auto"/>
                <w:left w:val="none" w:sz="0" w:space="0" w:color="auto"/>
                <w:bottom w:val="none" w:sz="0" w:space="0" w:color="auto"/>
                <w:right w:val="none" w:sz="0" w:space="0" w:color="auto"/>
              </w:divBdr>
            </w:div>
            <w:div w:id="1256357310">
              <w:marLeft w:val="0"/>
              <w:marRight w:val="0"/>
              <w:marTop w:val="0"/>
              <w:marBottom w:val="0"/>
              <w:divBdr>
                <w:top w:val="none" w:sz="0" w:space="0" w:color="auto"/>
                <w:left w:val="none" w:sz="0" w:space="0" w:color="auto"/>
                <w:bottom w:val="none" w:sz="0" w:space="0" w:color="auto"/>
                <w:right w:val="none" w:sz="0" w:space="0" w:color="auto"/>
              </w:divBdr>
            </w:div>
          </w:divsChild>
        </w:div>
        <w:div w:id="1256357286">
          <w:marLeft w:val="0"/>
          <w:marRight w:val="0"/>
          <w:marTop w:val="168"/>
          <w:marBottom w:val="0"/>
          <w:divBdr>
            <w:top w:val="none" w:sz="0" w:space="0" w:color="auto"/>
            <w:left w:val="none" w:sz="0" w:space="0" w:color="auto"/>
            <w:bottom w:val="none" w:sz="0" w:space="0" w:color="auto"/>
            <w:right w:val="none" w:sz="0" w:space="0" w:color="auto"/>
          </w:divBdr>
          <w:divsChild>
            <w:div w:id="1256357278">
              <w:marLeft w:val="0"/>
              <w:marRight w:val="0"/>
              <w:marTop w:val="0"/>
              <w:marBottom w:val="0"/>
              <w:divBdr>
                <w:top w:val="none" w:sz="0" w:space="0" w:color="auto"/>
                <w:left w:val="none" w:sz="0" w:space="0" w:color="auto"/>
                <w:bottom w:val="none" w:sz="0" w:space="0" w:color="auto"/>
                <w:right w:val="none" w:sz="0" w:space="0" w:color="auto"/>
              </w:divBdr>
            </w:div>
            <w:div w:id="1256357306">
              <w:marLeft w:val="0"/>
              <w:marRight w:val="0"/>
              <w:marTop w:val="0"/>
              <w:marBottom w:val="0"/>
              <w:divBdr>
                <w:top w:val="none" w:sz="0" w:space="0" w:color="auto"/>
                <w:left w:val="none" w:sz="0" w:space="0" w:color="auto"/>
                <w:bottom w:val="none" w:sz="0" w:space="0" w:color="auto"/>
                <w:right w:val="none" w:sz="0" w:space="0" w:color="auto"/>
              </w:divBdr>
            </w:div>
          </w:divsChild>
        </w:div>
        <w:div w:id="1256357293">
          <w:marLeft w:val="0"/>
          <w:marRight w:val="0"/>
          <w:marTop w:val="168"/>
          <w:marBottom w:val="0"/>
          <w:divBdr>
            <w:top w:val="none" w:sz="0" w:space="0" w:color="auto"/>
            <w:left w:val="none" w:sz="0" w:space="0" w:color="auto"/>
            <w:bottom w:val="none" w:sz="0" w:space="0" w:color="auto"/>
            <w:right w:val="none" w:sz="0" w:space="0" w:color="auto"/>
          </w:divBdr>
          <w:divsChild>
            <w:div w:id="1256357299">
              <w:marLeft w:val="0"/>
              <w:marRight w:val="0"/>
              <w:marTop w:val="0"/>
              <w:marBottom w:val="0"/>
              <w:divBdr>
                <w:top w:val="none" w:sz="0" w:space="0" w:color="auto"/>
                <w:left w:val="none" w:sz="0" w:space="0" w:color="auto"/>
                <w:bottom w:val="none" w:sz="0" w:space="0" w:color="auto"/>
                <w:right w:val="none" w:sz="0" w:space="0" w:color="auto"/>
              </w:divBdr>
            </w:div>
            <w:div w:id="1256357302">
              <w:marLeft w:val="0"/>
              <w:marRight w:val="0"/>
              <w:marTop w:val="0"/>
              <w:marBottom w:val="0"/>
              <w:divBdr>
                <w:top w:val="none" w:sz="0" w:space="0" w:color="auto"/>
                <w:left w:val="none" w:sz="0" w:space="0" w:color="auto"/>
                <w:bottom w:val="none" w:sz="0" w:space="0" w:color="auto"/>
                <w:right w:val="none" w:sz="0" w:space="0" w:color="auto"/>
              </w:divBdr>
            </w:div>
          </w:divsChild>
        </w:div>
        <w:div w:id="1256357294">
          <w:marLeft w:val="0"/>
          <w:marRight w:val="0"/>
          <w:marTop w:val="168"/>
          <w:marBottom w:val="0"/>
          <w:divBdr>
            <w:top w:val="none" w:sz="0" w:space="0" w:color="auto"/>
            <w:left w:val="none" w:sz="0" w:space="0" w:color="auto"/>
            <w:bottom w:val="none" w:sz="0" w:space="0" w:color="auto"/>
            <w:right w:val="none" w:sz="0" w:space="0" w:color="auto"/>
          </w:divBdr>
          <w:divsChild>
            <w:div w:id="1256357292">
              <w:marLeft w:val="0"/>
              <w:marRight w:val="0"/>
              <w:marTop w:val="0"/>
              <w:marBottom w:val="0"/>
              <w:divBdr>
                <w:top w:val="none" w:sz="0" w:space="0" w:color="auto"/>
                <w:left w:val="none" w:sz="0" w:space="0" w:color="auto"/>
                <w:bottom w:val="none" w:sz="0" w:space="0" w:color="auto"/>
                <w:right w:val="none" w:sz="0" w:space="0" w:color="auto"/>
              </w:divBdr>
            </w:div>
            <w:div w:id="1256357303">
              <w:marLeft w:val="0"/>
              <w:marRight w:val="0"/>
              <w:marTop w:val="0"/>
              <w:marBottom w:val="0"/>
              <w:divBdr>
                <w:top w:val="none" w:sz="0" w:space="0" w:color="auto"/>
                <w:left w:val="none" w:sz="0" w:space="0" w:color="auto"/>
                <w:bottom w:val="none" w:sz="0" w:space="0" w:color="auto"/>
                <w:right w:val="none" w:sz="0" w:space="0" w:color="auto"/>
              </w:divBdr>
            </w:div>
          </w:divsChild>
        </w:div>
        <w:div w:id="1256357295">
          <w:marLeft w:val="0"/>
          <w:marRight w:val="0"/>
          <w:marTop w:val="168"/>
          <w:marBottom w:val="0"/>
          <w:divBdr>
            <w:top w:val="none" w:sz="0" w:space="0" w:color="auto"/>
            <w:left w:val="none" w:sz="0" w:space="0" w:color="auto"/>
            <w:bottom w:val="none" w:sz="0" w:space="0" w:color="auto"/>
            <w:right w:val="none" w:sz="0" w:space="0" w:color="auto"/>
          </w:divBdr>
          <w:divsChild>
            <w:div w:id="1256357283">
              <w:marLeft w:val="0"/>
              <w:marRight w:val="0"/>
              <w:marTop w:val="0"/>
              <w:marBottom w:val="0"/>
              <w:divBdr>
                <w:top w:val="none" w:sz="0" w:space="0" w:color="auto"/>
                <w:left w:val="none" w:sz="0" w:space="0" w:color="auto"/>
                <w:bottom w:val="none" w:sz="0" w:space="0" w:color="auto"/>
                <w:right w:val="none" w:sz="0" w:space="0" w:color="auto"/>
              </w:divBdr>
            </w:div>
          </w:divsChild>
        </w:div>
        <w:div w:id="1256357298">
          <w:marLeft w:val="0"/>
          <w:marRight w:val="0"/>
          <w:marTop w:val="168"/>
          <w:marBottom w:val="0"/>
          <w:divBdr>
            <w:top w:val="none" w:sz="0" w:space="0" w:color="auto"/>
            <w:left w:val="none" w:sz="0" w:space="0" w:color="auto"/>
            <w:bottom w:val="none" w:sz="0" w:space="0" w:color="auto"/>
            <w:right w:val="none" w:sz="0" w:space="0" w:color="auto"/>
          </w:divBdr>
          <w:divsChild>
            <w:div w:id="1256357282">
              <w:marLeft w:val="0"/>
              <w:marRight w:val="0"/>
              <w:marTop w:val="0"/>
              <w:marBottom w:val="0"/>
              <w:divBdr>
                <w:top w:val="none" w:sz="0" w:space="0" w:color="auto"/>
                <w:left w:val="none" w:sz="0" w:space="0" w:color="auto"/>
                <w:bottom w:val="none" w:sz="0" w:space="0" w:color="auto"/>
                <w:right w:val="none" w:sz="0" w:space="0" w:color="auto"/>
              </w:divBdr>
            </w:div>
            <w:div w:id="1256357304">
              <w:marLeft w:val="0"/>
              <w:marRight w:val="0"/>
              <w:marTop w:val="0"/>
              <w:marBottom w:val="0"/>
              <w:divBdr>
                <w:top w:val="none" w:sz="0" w:space="0" w:color="auto"/>
                <w:left w:val="none" w:sz="0" w:space="0" w:color="auto"/>
                <w:bottom w:val="none" w:sz="0" w:space="0" w:color="auto"/>
                <w:right w:val="none" w:sz="0" w:space="0" w:color="auto"/>
              </w:divBdr>
            </w:div>
          </w:divsChild>
        </w:div>
        <w:div w:id="1256357308">
          <w:marLeft w:val="0"/>
          <w:marRight w:val="0"/>
          <w:marTop w:val="168"/>
          <w:marBottom w:val="0"/>
          <w:divBdr>
            <w:top w:val="none" w:sz="0" w:space="0" w:color="auto"/>
            <w:left w:val="none" w:sz="0" w:space="0" w:color="auto"/>
            <w:bottom w:val="none" w:sz="0" w:space="0" w:color="auto"/>
            <w:right w:val="none" w:sz="0" w:space="0" w:color="auto"/>
          </w:divBdr>
          <w:divsChild>
            <w:div w:id="1256357279">
              <w:marLeft w:val="0"/>
              <w:marRight w:val="0"/>
              <w:marTop w:val="0"/>
              <w:marBottom w:val="0"/>
              <w:divBdr>
                <w:top w:val="none" w:sz="0" w:space="0" w:color="auto"/>
                <w:left w:val="none" w:sz="0" w:space="0" w:color="auto"/>
                <w:bottom w:val="none" w:sz="0" w:space="0" w:color="auto"/>
                <w:right w:val="none" w:sz="0" w:space="0" w:color="auto"/>
              </w:divBdr>
            </w:div>
            <w:div w:id="1256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7305">
      <w:marLeft w:val="0"/>
      <w:marRight w:val="0"/>
      <w:marTop w:val="0"/>
      <w:marBottom w:val="0"/>
      <w:divBdr>
        <w:top w:val="none" w:sz="0" w:space="0" w:color="auto"/>
        <w:left w:val="none" w:sz="0" w:space="0" w:color="auto"/>
        <w:bottom w:val="none" w:sz="0" w:space="0" w:color="auto"/>
        <w:right w:val="none" w:sz="0" w:space="0" w:color="auto"/>
      </w:divBdr>
    </w:div>
    <w:div w:id="1256357307">
      <w:marLeft w:val="0"/>
      <w:marRight w:val="0"/>
      <w:marTop w:val="0"/>
      <w:marBottom w:val="0"/>
      <w:divBdr>
        <w:top w:val="none" w:sz="0" w:space="0" w:color="auto"/>
        <w:left w:val="none" w:sz="0" w:space="0" w:color="auto"/>
        <w:bottom w:val="none" w:sz="0" w:space="0" w:color="auto"/>
        <w:right w:val="none" w:sz="0" w:space="0" w:color="auto"/>
      </w:divBdr>
      <w:divsChild>
        <w:div w:id="1256357280">
          <w:marLeft w:val="0"/>
          <w:marRight w:val="0"/>
          <w:marTop w:val="34"/>
          <w:marBottom w:val="34"/>
          <w:divBdr>
            <w:top w:val="none" w:sz="0" w:space="0" w:color="auto"/>
            <w:left w:val="none" w:sz="0" w:space="0" w:color="auto"/>
            <w:bottom w:val="none" w:sz="0" w:space="0" w:color="auto"/>
            <w:right w:val="none" w:sz="0" w:space="0" w:color="auto"/>
          </w:divBdr>
        </w:div>
      </w:divsChild>
    </w:div>
    <w:div w:id="1256357309">
      <w:marLeft w:val="0"/>
      <w:marRight w:val="0"/>
      <w:marTop w:val="0"/>
      <w:marBottom w:val="0"/>
      <w:divBdr>
        <w:top w:val="none" w:sz="0" w:space="0" w:color="auto"/>
        <w:left w:val="none" w:sz="0" w:space="0" w:color="auto"/>
        <w:bottom w:val="none" w:sz="0" w:space="0" w:color="auto"/>
        <w:right w:val="none" w:sz="0" w:space="0" w:color="auto"/>
      </w:divBdr>
    </w:div>
    <w:div w:id="1256357329">
      <w:marLeft w:val="0"/>
      <w:marRight w:val="0"/>
      <w:marTop w:val="0"/>
      <w:marBottom w:val="0"/>
      <w:divBdr>
        <w:top w:val="none" w:sz="0" w:space="0" w:color="auto"/>
        <w:left w:val="none" w:sz="0" w:space="0" w:color="auto"/>
        <w:bottom w:val="none" w:sz="0" w:space="0" w:color="auto"/>
        <w:right w:val="none" w:sz="0" w:space="0" w:color="auto"/>
      </w:divBdr>
      <w:divsChild>
        <w:div w:id="1256357324">
          <w:marLeft w:val="0"/>
          <w:marRight w:val="0"/>
          <w:marTop w:val="0"/>
          <w:marBottom w:val="0"/>
          <w:divBdr>
            <w:top w:val="none" w:sz="0" w:space="0" w:color="auto"/>
            <w:left w:val="none" w:sz="0" w:space="0" w:color="auto"/>
            <w:bottom w:val="none" w:sz="0" w:space="0" w:color="auto"/>
            <w:right w:val="none" w:sz="0" w:space="0" w:color="auto"/>
          </w:divBdr>
          <w:divsChild>
            <w:div w:id="1256357312">
              <w:marLeft w:val="0"/>
              <w:marRight w:val="0"/>
              <w:marTop w:val="0"/>
              <w:marBottom w:val="0"/>
              <w:divBdr>
                <w:top w:val="none" w:sz="0" w:space="0" w:color="auto"/>
                <w:left w:val="none" w:sz="0" w:space="0" w:color="auto"/>
                <w:bottom w:val="none" w:sz="0" w:space="0" w:color="auto"/>
                <w:right w:val="none" w:sz="0" w:space="0" w:color="auto"/>
              </w:divBdr>
            </w:div>
            <w:div w:id="1256357313">
              <w:marLeft w:val="0"/>
              <w:marRight w:val="0"/>
              <w:marTop w:val="0"/>
              <w:marBottom w:val="0"/>
              <w:divBdr>
                <w:top w:val="none" w:sz="0" w:space="0" w:color="auto"/>
                <w:left w:val="none" w:sz="0" w:space="0" w:color="auto"/>
                <w:bottom w:val="none" w:sz="0" w:space="0" w:color="auto"/>
                <w:right w:val="none" w:sz="0" w:space="0" w:color="auto"/>
              </w:divBdr>
            </w:div>
            <w:div w:id="1256357314">
              <w:marLeft w:val="0"/>
              <w:marRight w:val="0"/>
              <w:marTop w:val="0"/>
              <w:marBottom w:val="0"/>
              <w:divBdr>
                <w:top w:val="none" w:sz="0" w:space="0" w:color="auto"/>
                <w:left w:val="none" w:sz="0" w:space="0" w:color="auto"/>
                <w:bottom w:val="none" w:sz="0" w:space="0" w:color="auto"/>
                <w:right w:val="none" w:sz="0" w:space="0" w:color="auto"/>
              </w:divBdr>
            </w:div>
            <w:div w:id="1256357315">
              <w:marLeft w:val="0"/>
              <w:marRight w:val="0"/>
              <w:marTop w:val="0"/>
              <w:marBottom w:val="0"/>
              <w:divBdr>
                <w:top w:val="none" w:sz="0" w:space="0" w:color="auto"/>
                <w:left w:val="none" w:sz="0" w:space="0" w:color="auto"/>
                <w:bottom w:val="none" w:sz="0" w:space="0" w:color="auto"/>
                <w:right w:val="none" w:sz="0" w:space="0" w:color="auto"/>
              </w:divBdr>
            </w:div>
            <w:div w:id="1256357316">
              <w:marLeft w:val="0"/>
              <w:marRight w:val="0"/>
              <w:marTop w:val="0"/>
              <w:marBottom w:val="0"/>
              <w:divBdr>
                <w:top w:val="none" w:sz="0" w:space="0" w:color="auto"/>
                <w:left w:val="none" w:sz="0" w:space="0" w:color="auto"/>
                <w:bottom w:val="none" w:sz="0" w:space="0" w:color="auto"/>
                <w:right w:val="none" w:sz="0" w:space="0" w:color="auto"/>
              </w:divBdr>
            </w:div>
            <w:div w:id="1256357317">
              <w:marLeft w:val="0"/>
              <w:marRight w:val="0"/>
              <w:marTop w:val="0"/>
              <w:marBottom w:val="0"/>
              <w:divBdr>
                <w:top w:val="none" w:sz="0" w:space="0" w:color="auto"/>
                <w:left w:val="none" w:sz="0" w:space="0" w:color="auto"/>
                <w:bottom w:val="none" w:sz="0" w:space="0" w:color="auto"/>
                <w:right w:val="none" w:sz="0" w:space="0" w:color="auto"/>
              </w:divBdr>
            </w:div>
            <w:div w:id="1256357318">
              <w:marLeft w:val="0"/>
              <w:marRight w:val="0"/>
              <w:marTop w:val="0"/>
              <w:marBottom w:val="0"/>
              <w:divBdr>
                <w:top w:val="none" w:sz="0" w:space="0" w:color="auto"/>
                <w:left w:val="none" w:sz="0" w:space="0" w:color="auto"/>
                <w:bottom w:val="none" w:sz="0" w:space="0" w:color="auto"/>
                <w:right w:val="none" w:sz="0" w:space="0" w:color="auto"/>
              </w:divBdr>
            </w:div>
            <w:div w:id="1256357319">
              <w:marLeft w:val="0"/>
              <w:marRight w:val="0"/>
              <w:marTop w:val="0"/>
              <w:marBottom w:val="0"/>
              <w:divBdr>
                <w:top w:val="none" w:sz="0" w:space="0" w:color="auto"/>
                <w:left w:val="none" w:sz="0" w:space="0" w:color="auto"/>
                <w:bottom w:val="none" w:sz="0" w:space="0" w:color="auto"/>
                <w:right w:val="none" w:sz="0" w:space="0" w:color="auto"/>
              </w:divBdr>
            </w:div>
            <w:div w:id="1256357320">
              <w:marLeft w:val="0"/>
              <w:marRight w:val="0"/>
              <w:marTop w:val="0"/>
              <w:marBottom w:val="0"/>
              <w:divBdr>
                <w:top w:val="none" w:sz="0" w:space="0" w:color="auto"/>
                <w:left w:val="none" w:sz="0" w:space="0" w:color="auto"/>
                <w:bottom w:val="none" w:sz="0" w:space="0" w:color="auto"/>
                <w:right w:val="none" w:sz="0" w:space="0" w:color="auto"/>
              </w:divBdr>
            </w:div>
            <w:div w:id="1256357321">
              <w:marLeft w:val="0"/>
              <w:marRight w:val="0"/>
              <w:marTop w:val="0"/>
              <w:marBottom w:val="0"/>
              <w:divBdr>
                <w:top w:val="none" w:sz="0" w:space="0" w:color="auto"/>
                <w:left w:val="none" w:sz="0" w:space="0" w:color="auto"/>
                <w:bottom w:val="none" w:sz="0" w:space="0" w:color="auto"/>
                <w:right w:val="none" w:sz="0" w:space="0" w:color="auto"/>
              </w:divBdr>
            </w:div>
            <w:div w:id="1256357322">
              <w:marLeft w:val="0"/>
              <w:marRight w:val="0"/>
              <w:marTop w:val="0"/>
              <w:marBottom w:val="0"/>
              <w:divBdr>
                <w:top w:val="none" w:sz="0" w:space="0" w:color="auto"/>
                <w:left w:val="none" w:sz="0" w:space="0" w:color="auto"/>
                <w:bottom w:val="none" w:sz="0" w:space="0" w:color="auto"/>
                <w:right w:val="none" w:sz="0" w:space="0" w:color="auto"/>
              </w:divBdr>
            </w:div>
            <w:div w:id="1256357323">
              <w:marLeft w:val="0"/>
              <w:marRight w:val="0"/>
              <w:marTop w:val="0"/>
              <w:marBottom w:val="0"/>
              <w:divBdr>
                <w:top w:val="none" w:sz="0" w:space="0" w:color="auto"/>
                <w:left w:val="none" w:sz="0" w:space="0" w:color="auto"/>
                <w:bottom w:val="none" w:sz="0" w:space="0" w:color="auto"/>
                <w:right w:val="none" w:sz="0" w:space="0" w:color="auto"/>
              </w:divBdr>
            </w:div>
            <w:div w:id="1256357325">
              <w:marLeft w:val="0"/>
              <w:marRight w:val="0"/>
              <w:marTop w:val="0"/>
              <w:marBottom w:val="0"/>
              <w:divBdr>
                <w:top w:val="none" w:sz="0" w:space="0" w:color="auto"/>
                <w:left w:val="none" w:sz="0" w:space="0" w:color="auto"/>
                <w:bottom w:val="none" w:sz="0" w:space="0" w:color="auto"/>
                <w:right w:val="none" w:sz="0" w:space="0" w:color="auto"/>
              </w:divBdr>
            </w:div>
            <w:div w:id="1256357326">
              <w:marLeft w:val="0"/>
              <w:marRight w:val="0"/>
              <w:marTop w:val="0"/>
              <w:marBottom w:val="0"/>
              <w:divBdr>
                <w:top w:val="none" w:sz="0" w:space="0" w:color="auto"/>
                <w:left w:val="none" w:sz="0" w:space="0" w:color="auto"/>
                <w:bottom w:val="none" w:sz="0" w:space="0" w:color="auto"/>
                <w:right w:val="none" w:sz="0" w:space="0" w:color="auto"/>
              </w:divBdr>
            </w:div>
            <w:div w:id="1256357327">
              <w:marLeft w:val="0"/>
              <w:marRight w:val="0"/>
              <w:marTop w:val="0"/>
              <w:marBottom w:val="0"/>
              <w:divBdr>
                <w:top w:val="none" w:sz="0" w:space="0" w:color="auto"/>
                <w:left w:val="none" w:sz="0" w:space="0" w:color="auto"/>
                <w:bottom w:val="none" w:sz="0" w:space="0" w:color="auto"/>
                <w:right w:val="none" w:sz="0" w:space="0" w:color="auto"/>
              </w:divBdr>
            </w:div>
            <w:div w:id="1256357328">
              <w:marLeft w:val="0"/>
              <w:marRight w:val="0"/>
              <w:marTop w:val="0"/>
              <w:marBottom w:val="0"/>
              <w:divBdr>
                <w:top w:val="none" w:sz="0" w:space="0" w:color="auto"/>
                <w:left w:val="none" w:sz="0" w:space="0" w:color="auto"/>
                <w:bottom w:val="none" w:sz="0" w:space="0" w:color="auto"/>
                <w:right w:val="none" w:sz="0" w:space="0" w:color="auto"/>
              </w:divBdr>
            </w:div>
            <w:div w:id="1256357330">
              <w:marLeft w:val="0"/>
              <w:marRight w:val="0"/>
              <w:marTop w:val="0"/>
              <w:marBottom w:val="0"/>
              <w:divBdr>
                <w:top w:val="none" w:sz="0" w:space="0" w:color="auto"/>
                <w:left w:val="none" w:sz="0" w:space="0" w:color="auto"/>
                <w:bottom w:val="none" w:sz="0" w:space="0" w:color="auto"/>
                <w:right w:val="none" w:sz="0" w:space="0" w:color="auto"/>
              </w:divBdr>
            </w:div>
            <w:div w:id="1256357331">
              <w:marLeft w:val="0"/>
              <w:marRight w:val="0"/>
              <w:marTop w:val="0"/>
              <w:marBottom w:val="0"/>
              <w:divBdr>
                <w:top w:val="none" w:sz="0" w:space="0" w:color="auto"/>
                <w:left w:val="none" w:sz="0" w:space="0" w:color="auto"/>
                <w:bottom w:val="none" w:sz="0" w:space="0" w:color="auto"/>
                <w:right w:val="none" w:sz="0" w:space="0" w:color="auto"/>
              </w:divBdr>
            </w:div>
            <w:div w:id="1256357332">
              <w:marLeft w:val="0"/>
              <w:marRight w:val="0"/>
              <w:marTop w:val="0"/>
              <w:marBottom w:val="0"/>
              <w:divBdr>
                <w:top w:val="none" w:sz="0" w:space="0" w:color="auto"/>
                <w:left w:val="none" w:sz="0" w:space="0" w:color="auto"/>
                <w:bottom w:val="none" w:sz="0" w:space="0" w:color="auto"/>
                <w:right w:val="none" w:sz="0" w:space="0" w:color="auto"/>
              </w:divBdr>
            </w:div>
            <w:div w:id="1256357333">
              <w:marLeft w:val="0"/>
              <w:marRight w:val="0"/>
              <w:marTop w:val="0"/>
              <w:marBottom w:val="0"/>
              <w:divBdr>
                <w:top w:val="none" w:sz="0" w:space="0" w:color="auto"/>
                <w:left w:val="none" w:sz="0" w:space="0" w:color="auto"/>
                <w:bottom w:val="none" w:sz="0" w:space="0" w:color="auto"/>
                <w:right w:val="none" w:sz="0" w:space="0" w:color="auto"/>
              </w:divBdr>
            </w:div>
            <w:div w:id="1256357334">
              <w:marLeft w:val="0"/>
              <w:marRight w:val="0"/>
              <w:marTop w:val="0"/>
              <w:marBottom w:val="0"/>
              <w:divBdr>
                <w:top w:val="none" w:sz="0" w:space="0" w:color="auto"/>
                <w:left w:val="none" w:sz="0" w:space="0" w:color="auto"/>
                <w:bottom w:val="none" w:sz="0" w:space="0" w:color="auto"/>
                <w:right w:val="none" w:sz="0" w:space="0" w:color="auto"/>
              </w:divBdr>
            </w:div>
            <w:div w:id="1256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236/ojots.2013.32005" TargetMode="External"/><Relationship Id="rId13" Type="http://schemas.openxmlformats.org/officeDocument/2006/relationships/image" Target="media/image1.emf"/><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rp.org/journal/articles.aspx?searchCode=+Wai-Ping++Yau+&amp;searchField=authors&amp;page=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rp.org/journal/articles.aspx?searchCode=+Wan-Jin++Sia&amp;searchField=authors&amp;page=1"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scirp.org/journal/articles.aspx?searchCode=+Hui-Hui++Tan&amp;searchField=authors&amp;page=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rp.org/journal/articles.aspx?searchCode=Mei-Ling++Yee&amp;searchField=authors&amp;page=1"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5189</Words>
  <Characters>29582</Characters>
  <Application>Microsoft Office Word</Application>
  <DocSecurity>0</DocSecurity>
  <Lines>246</Lines>
  <Paragraphs>69</Paragraphs>
  <ScaleCrop>false</ScaleCrop>
  <Company>Tulane University Hospital &amp; Clinic/HCA</Company>
  <LinksUpToDate>false</LinksUpToDate>
  <CharactersWithSpaces>34702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Pediatric Kidney Transplants Into Adult Recipients: A 10 Year Experience and Lessons Learned</dc:title>
  <dc:creator>kte9924</dc:creator>
  <cp:lastModifiedBy>LS Ma</cp:lastModifiedBy>
  <cp:revision>2</cp:revision>
  <cp:lastPrinted>2014-02-12T21:59:00Z</cp:lastPrinted>
  <dcterms:created xsi:type="dcterms:W3CDTF">2014-07-27T06:25:00Z</dcterms:created>
  <dcterms:modified xsi:type="dcterms:W3CDTF">2014-07-27T06:25:00Z</dcterms:modified>
</cp:coreProperties>
</file>