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DC9" w:rsidRPr="0074779E" w:rsidRDefault="00356DC9" w:rsidP="007967A4">
      <w:pPr>
        <w:widowControl w:val="0"/>
        <w:spacing w:line="360" w:lineRule="auto"/>
        <w:jc w:val="both"/>
        <w:rPr>
          <w:rFonts w:ascii="Book Antiqua" w:eastAsia="Times New Roman" w:hAnsi="Book Antiqua" w:cs="宋体"/>
          <w:b/>
          <w:i/>
          <w:kern w:val="2"/>
          <w:sz w:val="24"/>
          <w:szCs w:val="24"/>
          <w:lang w:eastAsia="zh-CN"/>
        </w:rPr>
      </w:pPr>
      <w:r w:rsidRPr="0074779E">
        <w:rPr>
          <w:rFonts w:ascii="Book Antiqua" w:eastAsia="Times New Roman" w:hAnsi="Book Antiqua" w:cs="宋体"/>
          <w:b/>
          <w:kern w:val="2"/>
          <w:sz w:val="24"/>
          <w:szCs w:val="24"/>
          <w:lang w:eastAsia="zh-CN"/>
        </w:rPr>
        <w:t xml:space="preserve">Name of journal: </w:t>
      </w:r>
      <w:r w:rsidRPr="0074779E">
        <w:rPr>
          <w:rFonts w:ascii="Book Antiqua" w:eastAsia="Times New Roman" w:hAnsi="Book Antiqua" w:cs="宋体"/>
          <w:b/>
          <w:i/>
          <w:kern w:val="2"/>
          <w:sz w:val="24"/>
          <w:szCs w:val="24"/>
          <w:lang w:eastAsia="zh-CN"/>
        </w:rPr>
        <w:t>World Journal of Rheumatology</w:t>
      </w:r>
    </w:p>
    <w:p w:rsidR="00356DC9" w:rsidRPr="0074779E" w:rsidRDefault="00356DC9" w:rsidP="007967A4">
      <w:pPr>
        <w:widowControl w:val="0"/>
        <w:spacing w:line="360" w:lineRule="auto"/>
        <w:jc w:val="both"/>
        <w:rPr>
          <w:rFonts w:ascii="Book Antiqua" w:eastAsia="Times New Roman" w:hAnsi="Book Antiqua" w:cs="宋体"/>
          <w:b/>
          <w:i/>
          <w:kern w:val="2"/>
          <w:sz w:val="24"/>
          <w:szCs w:val="24"/>
          <w:lang w:eastAsia="zh-CN"/>
        </w:rPr>
      </w:pPr>
      <w:r w:rsidRPr="0074779E">
        <w:rPr>
          <w:rFonts w:ascii="Book Antiqua" w:hAnsi="Book Antiqua" w:cs="Arial"/>
          <w:b/>
          <w:kern w:val="2"/>
          <w:sz w:val="24"/>
          <w:szCs w:val="24"/>
          <w:lang w:val="en" w:eastAsia="zh-CN"/>
        </w:rPr>
        <w:t>ESPS Manuscript NO: 10603</w:t>
      </w:r>
    </w:p>
    <w:p w:rsidR="00356DC9" w:rsidRPr="0074779E" w:rsidRDefault="00356DC9" w:rsidP="007967A4">
      <w:pPr>
        <w:spacing w:line="360" w:lineRule="auto"/>
        <w:jc w:val="both"/>
        <w:rPr>
          <w:rFonts w:ascii="Book Antiqua" w:hAnsi="Book Antiqua"/>
          <w:b/>
          <w:bCs/>
          <w:sz w:val="24"/>
          <w:szCs w:val="24"/>
          <w:lang w:eastAsia="zh-CN"/>
        </w:rPr>
      </w:pPr>
      <w:r w:rsidRPr="0074779E">
        <w:rPr>
          <w:rFonts w:ascii="Book Antiqua" w:hAnsi="Book Antiqua"/>
          <w:b/>
          <w:bCs/>
          <w:sz w:val="24"/>
          <w:szCs w:val="24"/>
          <w:lang w:eastAsia="zh-CN"/>
        </w:rPr>
        <w:t xml:space="preserve">Columns: Observational Study  </w:t>
      </w:r>
    </w:p>
    <w:p w:rsidR="00356DC9" w:rsidRPr="00E14F93" w:rsidRDefault="00356DC9" w:rsidP="007967A4">
      <w:pPr>
        <w:spacing w:line="360" w:lineRule="auto"/>
        <w:jc w:val="both"/>
        <w:rPr>
          <w:rFonts w:ascii="Book Antiqua" w:hAnsi="Book Antiqua"/>
          <w:bCs/>
          <w:sz w:val="24"/>
          <w:szCs w:val="24"/>
          <w:lang w:eastAsia="zh-CN"/>
        </w:rPr>
      </w:pPr>
    </w:p>
    <w:p w:rsidR="00807A02" w:rsidRPr="00E14F93" w:rsidRDefault="00807A02" w:rsidP="007967A4">
      <w:pPr>
        <w:spacing w:line="360" w:lineRule="auto"/>
        <w:jc w:val="both"/>
        <w:rPr>
          <w:rFonts w:ascii="Book Antiqua" w:hAnsi="Book Antiqua"/>
          <w:b/>
          <w:bCs/>
          <w:sz w:val="24"/>
          <w:szCs w:val="24"/>
          <w:lang w:val="en-GB" w:eastAsia="zh-CN"/>
        </w:rPr>
      </w:pPr>
      <w:r w:rsidRPr="00E14F93">
        <w:rPr>
          <w:rFonts w:ascii="Book Antiqua" w:hAnsi="Book Antiqua"/>
          <w:b/>
          <w:bCs/>
          <w:sz w:val="24"/>
          <w:szCs w:val="24"/>
          <w:lang w:val="en-GB"/>
        </w:rPr>
        <w:t xml:space="preserve">Monitoring </w:t>
      </w:r>
      <w:r w:rsidR="00356DC9" w:rsidRPr="00E14F93">
        <w:rPr>
          <w:rFonts w:ascii="Book Antiqua" w:hAnsi="Book Antiqua"/>
          <w:b/>
          <w:bCs/>
          <w:sz w:val="24"/>
          <w:szCs w:val="24"/>
          <w:lang w:val="en-GB"/>
        </w:rPr>
        <w:t>osteoporosis t</w:t>
      </w:r>
      <w:r w:rsidRPr="00E14F93">
        <w:rPr>
          <w:rFonts w:ascii="Book Antiqua" w:hAnsi="Book Antiqua"/>
          <w:b/>
          <w:bCs/>
          <w:sz w:val="24"/>
          <w:szCs w:val="24"/>
          <w:lang w:val="en-GB"/>
        </w:rPr>
        <w:t>herapy: Can FRAX help assessing success or failure in achieving treatment goals?</w:t>
      </w:r>
    </w:p>
    <w:p w:rsidR="00356DC9" w:rsidRPr="00E14F93" w:rsidRDefault="00356DC9" w:rsidP="007967A4">
      <w:pPr>
        <w:spacing w:line="360" w:lineRule="auto"/>
        <w:jc w:val="both"/>
        <w:rPr>
          <w:rFonts w:ascii="Book Antiqua" w:hAnsi="Book Antiqua"/>
          <w:b/>
          <w:bCs/>
          <w:sz w:val="24"/>
          <w:szCs w:val="24"/>
          <w:lang w:val="en-GB" w:eastAsia="zh-CN"/>
        </w:rPr>
      </w:pPr>
    </w:p>
    <w:p w:rsidR="00356DC9" w:rsidRPr="00E14F93" w:rsidRDefault="00356DC9" w:rsidP="007967A4">
      <w:pPr>
        <w:spacing w:line="360" w:lineRule="auto"/>
        <w:jc w:val="both"/>
        <w:rPr>
          <w:rFonts w:ascii="Book Antiqua" w:hAnsi="Book Antiqua"/>
          <w:sz w:val="24"/>
          <w:szCs w:val="24"/>
          <w:lang w:val="en-GB" w:eastAsia="zh-CN"/>
        </w:rPr>
      </w:pPr>
      <w:r w:rsidRPr="00E14F93">
        <w:rPr>
          <w:rFonts w:ascii="Book Antiqua" w:hAnsi="Book Antiqua"/>
          <w:bCs/>
          <w:sz w:val="24"/>
          <w:szCs w:val="24"/>
        </w:rPr>
        <w:t xml:space="preserve">Yasser El </w:t>
      </w:r>
      <w:proofErr w:type="spellStart"/>
      <w:r w:rsidRPr="00E14F93">
        <w:rPr>
          <w:rFonts w:ascii="Book Antiqua" w:hAnsi="Book Antiqua"/>
          <w:bCs/>
          <w:sz w:val="24"/>
          <w:szCs w:val="24"/>
        </w:rPr>
        <w:t>Miedany</w:t>
      </w:r>
      <w:proofErr w:type="spellEnd"/>
      <w:r w:rsidRPr="00E14F93">
        <w:rPr>
          <w:rFonts w:ascii="Book Antiqua" w:hAnsi="Book Antiqua"/>
          <w:bCs/>
          <w:sz w:val="24"/>
          <w:szCs w:val="24"/>
          <w:lang w:eastAsia="zh-CN"/>
        </w:rPr>
        <w:t>,</w:t>
      </w:r>
      <w:r w:rsidRPr="00E14F93">
        <w:rPr>
          <w:rFonts w:ascii="Book Antiqua" w:hAnsi="Book Antiqua"/>
          <w:sz w:val="24"/>
          <w:szCs w:val="24"/>
          <w:lang w:val="en-GB"/>
        </w:rPr>
        <w:t xml:space="preserve"> </w:t>
      </w:r>
      <w:proofErr w:type="spellStart"/>
      <w:r w:rsidRPr="00E14F93">
        <w:rPr>
          <w:rFonts w:ascii="Book Antiqua" w:hAnsi="Book Antiqua"/>
          <w:bCs/>
          <w:sz w:val="24"/>
          <w:szCs w:val="24"/>
        </w:rPr>
        <w:t>Maha</w:t>
      </w:r>
      <w:proofErr w:type="spellEnd"/>
      <w:r w:rsidRPr="00E14F93">
        <w:rPr>
          <w:rFonts w:ascii="Book Antiqua" w:hAnsi="Book Antiqua"/>
          <w:bCs/>
          <w:sz w:val="24"/>
          <w:szCs w:val="24"/>
        </w:rPr>
        <w:t xml:space="preserve"> El </w:t>
      </w:r>
      <w:proofErr w:type="spellStart"/>
      <w:r w:rsidRPr="00E14F93">
        <w:rPr>
          <w:rFonts w:ascii="Book Antiqua" w:hAnsi="Book Antiqua"/>
          <w:bCs/>
          <w:sz w:val="24"/>
          <w:szCs w:val="24"/>
        </w:rPr>
        <w:t>Gaafary</w:t>
      </w:r>
      <w:proofErr w:type="spellEnd"/>
      <w:r w:rsidRPr="00E14F93">
        <w:rPr>
          <w:rFonts w:ascii="Book Antiqua" w:hAnsi="Book Antiqua"/>
          <w:bCs/>
          <w:sz w:val="24"/>
          <w:szCs w:val="24"/>
          <w:lang w:eastAsia="zh-CN"/>
        </w:rPr>
        <w:t>,</w:t>
      </w:r>
      <w:r w:rsidRPr="00E14F93">
        <w:rPr>
          <w:rFonts w:ascii="Book Antiqua" w:hAnsi="Book Antiqua"/>
          <w:bCs/>
          <w:sz w:val="24"/>
          <w:szCs w:val="24"/>
        </w:rPr>
        <w:t xml:space="preserve"> Ahmed El </w:t>
      </w:r>
      <w:proofErr w:type="spellStart"/>
      <w:r w:rsidRPr="00E14F93">
        <w:rPr>
          <w:rFonts w:ascii="Book Antiqua" w:hAnsi="Book Antiqua"/>
          <w:bCs/>
          <w:sz w:val="24"/>
          <w:szCs w:val="24"/>
        </w:rPr>
        <w:t>Yassaki</w:t>
      </w:r>
      <w:proofErr w:type="spellEnd"/>
      <w:r w:rsidRPr="00E14F93">
        <w:rPr>
          <w:rFonts w:ascii="Book Antiqua" w:hAnsi="Book Antiqua"/>
          <w:bCs/>
          <w:sz w:val="24"/>
          <w:szCs w:val="24"/>
        </w:rPr>
        <w:t xml:space="preserve">, Sally Youssef, Annie Nasr, </w:t>
      </w:r>
      <w:proofErr w:type="spellStart"/>
      <w:r w:rsidRPr="00E14F93">
        <w:rPr>
          <w:rFonts w:ascii="Book Antiqua" w:hAnsi="Book Antiqua"/>
          <w:bCs/>
          <w:sz w:val="24"/>
          <w:szCs w:val="24"/>
        </w:rPr>
        <w:t>Ihab</w:t>
      </w:r>
      <w:proofErr w:type="spellEnd"/>
      <w:r w:rsidRPr="00E14F93">
        <w:rPr>
          <w:rFonts w:ascii="Book Antiqua" w:hAnsi="Book Antiqua"/>
          <w:bCs/>
          <w:sz w:val="24"/>
          <w:szCs w:val="24"/>
        </w:rPr>
        <w:t xml:space="preserve"> Ahmed</w:t>
      </w:r>
    </w:p>
    <w:p w:rsidR="00EE2738" w:rsidRPr="00176188" w:rsidRDefault="00EE2738" w:rsidP="007967A4">
      <w:pPr>
        <w:spacing w:line="360" w:lineRule="auto"/>
        <w:jc w:val="both"/>
        <w:rPr>
          <w:rFonts w:ascii="Book Antiqua" w:hAnsi="Book Antiqua"/>
          <w:sz w:val="24"/>
          <w:szCs w:val="24"/>
          <w:lang w:val="en-GB" w:eastAsia="zh-CN"/>
        </w:rPr>
      </w:pPr>
    </w:p>
    <w:p w:rsidR="00EE2738" w:rsidRPr="00E14F93" w:rsidRDefault="00EE2738" w:rsidP="007967A4">
      <w:pPr>
        <w:spacing w:line="360" w:lineRule="auto"/>
        <w:jc w:val="both"/>
        <w:rPr>
          <w:rFonts w:ascii="Book Antiqua" w:hAnsi="Book Antiqua"/>
          <w:bCs/>
          <w:sz w:val="24"/>
          <w:szCs w:val="24"/>
          <w:lang w:eastAsia="zh-CN"/>
        </w:rPr>
      </w:pPr>
      <w:r w:rsidRPr="00E14F93">
        <w:rPr>
          <w:rFonts w:ascii="Book Antiqua" w:hAnsi="Book Antiqua"/>
          <w:b/>
          <w:bCs/>
          <w:sz w:val="24"/>
          <w:szCs w:val="24"/>
        </w:rPr>
        <w:t xml:space="preserve">Yasser El </w:t>
      </w:r>
      <w:proofErr w:type="spellStart"/>
      <w:r w:rsidRPr="00E14F93">
        <w:rPr>
          <w:rFonts w:ascii="Book Antiqua" w:hAnsi="Book Antiqua"/>
          <w:b/>
          <w:bCs/>
          <w:sz w:val="24"/>
          <w:szCs w:val="24"/>
        </w:rPr>
        <w:t>Miedany</w:t>
      </w:r>
      <w:proofErr w:type="spellEnd"/>
      <w:r w:rsidRPr="00E14F93">
        <w:rPr>
          <w:rFonts w:ascii="Book Antiqua" w:hAnsi="Book Antiqua"/>
          <w:b/>
          <w:bCs/>
          <w:sz w:val="24"/>
          <w:szCs w:val="24"/>
        </w:rPr>
        <w:t xml:space="preserve">, </w:t>
      </w:r>
      <w:r w:rsidR="00590715" w:rsidRPr="00E14F93">
        <w:rPr>
          <w:rFonts w:ascii="Book Antiqua" w:hAnsi="Book Antiqua"/>
          <w:b/>
          <w:bCs/>
          <w:sz w:val="24"/>
          <w:szCs w:val="24"/>
        </w:rPr>
        <w:t xml:space="preserve">Ahmed El </w:t>
      </w:r>
      <w:proofErr w:type="spellStart"/>
      <w:r w:rsidR="00590715" w:rsidRPr="00E14F93">
        <w:rPr>
          <w:rFonts w:ascii="Book Antiqua" w:hAnsi="Book Antiqua"/>
          <w:b/>
          <w:bCs/>
          <w:sz w:val="24"/>
          <w:szCs w:val="24"/>
        </w:rPr>
        <w:t>Yassaki</w:t>
      </w:r>
      <w:proofErr w:type="spellEnd"/>
      <w:r w:rsidR="00590715" w:rsidRPr="00E14F93">
        <w:rPr>
          <w:rFonts w:ascii="Book Antiqua" w:hAnsi="Book Antiqua"/>
          <w:b/>
          <w:bCs/>
          <w:sz w:val="24"/>
          <w:szCs w:val="24"/>
        </w:rPr>
        <w:t>,</w:t>
      </w:r>
      <w:r w:rsidR="00590715" w:rsidRPr="00E14F93">
        <w:rPr>
          <w:rFonts w:ascii="Book Antiqua" w:hAnsi="Book Antiqua"/>
          <w:b/>
          <w:bCs/>
          <w:sz w:val="24"/>
          <w:szCs w:val="24"/>
          <w:lang w:eastAsia="zh-CN"/>
        </w:rPr>
        <w:t xml:space="preserve"> </w:t>
      </w:r>
      <w:r w:rsidR="00590715" w:rsidRPr="00E14F93">
        <w:rPr>
          <w:rFonts w:ascii="Book Antiqua" w:hAnsi="Book Antiqua"/>
          <w:b/>
          <w:bCs/>
          <w:sz w:val="24"/>
          <w:szCs w:val="24"/>
        </w:rPr>
        <w:t>Sally Youssef,</w:t>
      </w:r>
      <w:r w:rsidR="00590715" w:rsidRPr="00E14F93">
        <w:rPr>
          <w:rFonts w:ascii="Book Antiqua" w:hAnsi="Book Antiqua"/>
          <w:b/>
          <w:bCs/>
          <w:sz w:val="24"/>
          <w:szCs w:val="24"/>
          <w:lang w:eastAsia="zh-CN"/>
        </w:rPr>
        <w:t xml:space="preserve"> </w:t>
      </w:r>
      <w:r w:rsidRPr="00E14F93">
        <w:rPr>
          <w:rFonts w:ascii="Book Antiqua" w:hAnsi="Book Antiqua"/>
          <w:bCs/>
          <w:sz w:val="24"/>
          <w:szCs w:val="24"/>
        </w:rPr>
        <w:t xml:space="preserve">Rheumatology </w:t>
      </w:r>
      <w:r w:rsidR="00590715" w:rsidRPr="00E14F93">
        <w:rPr>
          <w:rFonts w:ascii="Book Antiqua" w:hAnsi="Book Antiqua"/>
          <w:bCs/>
          <w:sz w:val="24"/>
          <w:szCs w:val="24"/>
          <w:lang w:eastAsia="zh-CN"/>
        </w:rPr>
        <w:t>and</w:t>
      </w:r>
      <w:r w:rsidRPr="00E14F93">
        <w:rPr>
          <w:rFonts w:ascii="Book Antiqua" w:hAnsi="Book Antiqua"/>
          <w:bCs/>
          <w:sz w:val="24"/>
          <w:szCs w:val="24"/>
        </w:rPr>
        <w:t xml:space="preserve"> Rehabilitation Department, </w:t>
      </w:r>
      <w:proofErr w:type="spellStart"/>
      <w:r w:rsidRPr="00E14F93">
        <w:rPr>
          <w:rFonts w:ascii="Book Antiqua" w:hAnsi="Book Antiqua"/>
          <w:bCs/>
          <w:sz w:val="24"/>
          <w:szCs w:val="24"/>
        </w:rPr>
        <w:t>Ain</w:t>
      </w:r>
      <w:proofErr w:type="spellEnd"/>
      <w:r w:rsidRPr="00E14F93">
        <w:rPr>
          <w:rFonts w:ascii="Book Antiqua" w:hAnsi="Book Antiqua"/>
          <w:bCs/>
          <w:sz w:val="24"/>
          <w:szCs w:val="24"/>
        </w:rPr>
        <w:t xml:space="preserve"> Shams University, Cairo</w:t>
      </w:r>
      <w:r w:rsidR="005822A8" w:rsidRPr="00E14F93">
        <w:rPr>
          <w:rFonts w:ascii="Book Antiqua" w:hAnsi="Book Antiqua"/>
          <w:bCs/>
          <w:sz w:val="24"/>
          <w:szCs w:val="24"/>
        </w:rPr>
        <w:t xml:space="preserve"> 11381</w:t>
      </w:r>
      <w:r w:rsidRPr="00E14F93">
        <w:rPr>
          <w:rFonts w:ascii="Book Antiqua" w:hAnsi="Book Antiqua"/>
          <w:bCs/>
          <w:sz w:val="24"/>
          <w:szCs w:val="24"/>
        </w:rPr>
        <w:t>, Egypt</w:t>
      </w:r>
    </w:p>
    <w:p w:rsidR="00220E7B" w:rsidRPr="00E14F93" w:rsidRDefault="00220E7B" w:rsidP="007967A4">
      <w:pPr>
        <w:spacing w:line="360" w:lineRule="auto"/>
        <w:jc w:val="both"/>
        <w:rPr>
          <w:rFonts w:ascii="Book Antiqua" w:hAnsi="Book Antiqua"/>
          <w:bCs/>
          <w:sz w:val="24"/>
          <w:szCs w:val="24"/>
          <w:lang w:eastAsia="zh-CN"/>
        </w:rPr>
      </w:pPr>
    </w:p>
    <w:p w:rsidR="00EE2738" w:rsidRPr="00E14F93" w:rsidRDefault="00590715" w:rsidP="007967A4">
      <w:pPr>
        <w:spacing w:line="360" w:lineRule="auto"/>
        <w:jc w:val="both"/>
        <w:rPr>
          <w:rFonts w:ascii="Book Antiqua" w:hAnsi="Book Antiqua"/>
          <w:bCs/>
          <w:sz w:val="24"/>
          <w:szCs w:val="24"/>
        </w:rPr>
      </w:pPr>
      <w:r w:rsidRPr="00E14F93">
        <w:rPr>
          <w:rFonts w:ascii="Book Antiqua" w:hAnsi="Book Antiqua"/>
          <w:b/>
          <w:bCs/>
          <w:sz w:val="24"/>
          <w:szCs w:val="24"/>
        </w:rPr>
        <w:t xml:space="preserve">Yasser El </w:t>
      </w:r>
      <w:proofErr w:type="spellStart"/>
      <w:r w:rsidRPr="00E14F93">
        <w:rPr>
          <w:rFonts w:ascii="Book Antiqua" w:hAnsi="Book Antiqua"/>
          <w:b/>
          <w:bCs/>
          <w:sz w:val="24"/>
          <w:szCs w:val="24"/>
        </w:rPr>
        <w:t>Miedany</w:t>
      </w:r>
      <w:proofErr w:type="spellEnd"/>
      <w:r w:rsidRPr="00E14F93">
        <w:rPr>
          <w:rFonts w:ascii="Book Antiqua" w:hAnsi="Book Antiqua"/>
          <w:b/>
          <w:bCs/>
          <w:sz w:val="24"/>
          <w:szCs w:val="24"/>
        </w:rPr>
        <w:t>,</w:t>
      </w:r>
      <w:r w:rsidRPr="00E14F93">
        <w:rPr>
          <w:rFonts w:ascii="Book Antiqua" w:hAnsi="Book Antiqua"/>
          <w:b/>
          <w:bCs/>
          <w:sz w:val="24"/>
          <w:szCs w:val="24"/>
          <w:lang w:eastAsia="zh-CN"/>
        </w:rPr>
        <w:t xml:space="preserve"> </w:t>
      </w:r>
      <w:proofErr w:type="spellStart"/>
      <w:r w:rsidR="00EE2738" w:rsidRPr="00E14F93">
        <w:rPr>
          <w:rFonts w:ascii="Book Antiqua" w:hAnsi="Book Antiqua"/>
          <w:bCs/>
          <w:sz w:val="24"/>
          <w:szCs w:val="24"/>
        </w:rPr>
        <w:t>Darent</w:t>
      </w:r>
      <w:proofErr w:type="spellEnd"/>
      <w:r w:rsidR="00EE2738" w:rsidRPr="00E14F93">
        <w:rPr>
          <w:rFonts w:ascii="Book Antiqua" w:hAnsi="Book Antiqua"/>
          <w:bCs/>
          <w:sz w:val="24"/>
          <w:szCs w:val="24"/>
        </w:rPr>
        <w:t xml:space="preserve"> Valley Hospital, Kent, </w:t>
      </w:r>
      <w:r w:rsidR="005822A8" w:rsidRPr="00E14F93">
        <w:rPr>
          <w:rFonts w:ascii="Book Antiqua" w:hAnsi="Book Antiqua"/>
          <w:bCs/>
          <w:sz w:val="24"/>
          <w:szCs w:val="24"/>
        </w:rPr>
        <w:t xml:space="preserve">DA2 8DA, </w:t>
      </w:r>
      <w:r w:rsidRPr="00E14F93">
        <w:rPr>
          <w:rFonts w:ascii="Book Antiqua" w:hAnsi="Book Antiqua"/>
          <w:bCs/>
          <w:sz w:val="24"/>
          <w:szCs w:val="24"/>
          <w:lang w:eastAsia="zh-CN"/>
        </w:rPr>
        <w:t xml:space="preserve">United </w:t>
      </w:r>
      <w:r w:rsidR="00EE2738" w:rsidRPr="00E14F93">
        <w:rPr>
          <w:rFonts w:ascii="Book Antiqua" w:hAnsi="Book Antiqua"/>
          <w:bCs/>
          <w:sz w:val="24"/>
          <w:szCs w:val="24"/>
        </w:rPr>
        <w:t>K</w:t>
      </w:r>
      <w:r w:rsidRPr="00E14F93">
        <w:rPr>
          <w:rFonts w:ascii="Book Antiqua" w:hAnsi="Book Antiqua"/>
          <w:bCs/>
          <w:sz w:val="24"/>
          <w:szCs w:val="24"/>
          <w:lang w:eastAsia="zh-CN"/>
        </w:rPr>
        <w:t>ingdom</w:t>
      </w:r>
    </w:p>
    <w:p w:rsidR="00EE2738" w:rsidRPr="00E14F93" w:rsidRDefault="00EE2738" w:rsidP="007967A4">
      <w:pPr>
        <w:spacing w:line="360" w:lineRule="auto"/>
        <w:jc w:val="both"/>
        <w:rPr>
          <w:rFonts w:ascii="Book Antiqua" w:hAnsi="Book Antiqua"/>
          <w:b/>
          <w:bCs/>
          <w:sz w:val="24"/>
          <w:szCs w:val="24"/>
        </w:rPr>
      </w:pPr>
    </w:p>
    <w:p w:rsidR="00EE2738" w:rsidRPr="0074779E" w:rsidRDefault="00EE2738" w:rsidP="007967A4">
      <w:pPr>
        <w:spacing w:line="360" w:lineRule="auto"/>
        <w:jc w:val="both"/>
        <w:rPr>
          <w:rFonts w:ascii="Book Antiqua" w:hAnsi="Book Antiqua"/>
          <w:b/>
          <w:bCs/>
          <w:sz w:val="24"/>
          <w:szCs w:val="24"/>
        </w:rPr>
      </w:pPr>
      <w:proofErr w:type="spellStart"/>
      <w:r w:rsidRPr="00E14F93">
        <w:rPr>
          <w:rFonts w:ascii="Book Antiqua" w:hAnsi="Book Antiqua"/>
          <w:b/>
          <w:bCs/>
          <w:sz w:val="24"/>
          <w:szCs w:val="24"/>
        </w:rPr>
        <w:t>Maha</w:t>
      </w:r>
      <w:proofErr w:type="spellEnd"/>
      <w:r w:rsidRPr="00E14F93">
        <w:rPr>
          <w:rFonts w:ascii="Book Antiqua" w:hAnsi="Book Antiqua"/>
          <w:b/>
          <w:bCs/>
          <w:sz w:val="24"/>
          <w:szCs w:val="24"/>
        </w:rPr>
        <w:t xml:space="preserve"> El </w:t>
      </w:r>
      <w:proofErr w:type="spellStart"/>
      <w:r w:rsidRPr="00E14F93">
        <w:rPr>
          <w:rFonts w:ascii="Book Antiqua" w:hAnsi="Book Antiqua"/>
          <w:b/>
          <w:bCs/>
          <w:sz w:val="24"/>
          <w:szCs w:val="24"/>
        </w:rPr>
        <w:t>Gaafary</w:t>
      </w:r>
      <w:proofErr w:type="spellEnd"/>
      <w:r w:rsidRPr="00E14F93">
        <w:rPr>
          <w:rFonts w:ascii="Book Antiqua" w:hAnsi="Book Antiqua"/>
          <w:b/>
          <w:bCs/>
          <w:sz w:val="24"/>
          <w:szCs w:val="24"/>
        </w:rPr>
        <w:t xml:space="preserve">, </w:t>
      </w:r>
      <w:r w:rsidRPr="00E14F93">
        <w:rPr>
          <w:rFonts w:ascii="Book Antiqua" w:hAnsi="Book Antiqua"/>
          <w:bCs/>
          <w:sz w:val="24"/>
          <w:szCs w:val="24"/>
        </w:rPr>
        <w:t xml:space="preserve">Environmental and Occupational Medicine, </w:t>
      </w:r>
      <w:proofErr w:type="spellStart"/>
      <w:r w:rsidRPr="00E14F93">
        <w:rPr>
          <w:rFonts w:ascii="Book Antiqua" w:hAnsi="Book Antiqua"/>
          <w:bCs/>
          <w:sz w:val="24"/>
          <w:szCs w:val="24"/>
        </w:rPr>
        <w:t>Ain</w:t>
      </w:r>
      <w:proofErr w:type="spellEnd"/>
      <w:r w:rsidRPr="00E14F93">
        <w:rPr>
          <w:rFonts w:ascii="Book Antiqua" w:hAnsi="Book Antiqua"/>
          <w:bCs/>
          <w:sz w:val="24"/>
          <w:szCs w:val="24"/>
        </w:rPr>
        <w:t xml:space="preserve"> Shams University,</w:t>
      </w:r>
      <w:r w:rsidR="0074779E">
        <w:rPr>
          <w:rFonts w:ascii="Book Antiqua" w:hAnsi="Book Antiqua" w:hint="eastAsia"/>
          <w:b/>
          <w:bCs/>
          <w:sz w:val="24"/>
          <w:szCs w:val="24"/>
          <w:lang w:eastAsia="zh-CN"/>
        </w:rPr>
        <w:t xml:space="preserve"> </w:t>
      </w:r>
      <w:r w:rsidRPr="00E14F93">
        <w:rPr>
          <w:rFonts w:ascii="Book Antiqua" w:hAnsi="Book Antiqua"/>
          <w:bCs/>
          <w:sz w:val="24"/>
          <w:szCs w:val="24"/>
        </w:rPr>
        <w:t>Cairo</w:t>
      </w:r>
      <w:r w:rsidR="005822A8" w:rsidRPr="00E14F93">
        <w:rPr>
          <w:rFonts w:ascii="Book Antiqua" w:hAnsi="Book Antiqua"/>
          <w:bCs/>
          <w:sz w:val="24"/>
          <w:szCs w:val="24"/>
        </w:rPr>
        <w:t xml:space="preserve"> 11381</w:t>
      </w:r>
      <w:r w:rsidRPr="00E14F93">
        <w:rPr>
          <w:rFonts w:ascii="Book Antiqua" w:hAnsi="Book Antiqua"/>
          <w:bCs/>
          <w:sz w:val="24"/>
          <w:szCs w:val="24"/>
        </w:rPr>
        <w:t>, Egypt</w:t>
      </w:r>
    </w:p>
    <w:p w:rsidR="00EE2738" w:rsidRPr="00E14F93" w:rsidRDefault="00EE2738" w:rsidP="007967A4">
      <w:pPr>
        <w:spacing w:line="360" w:lineRule="auto"/>
        <w:jc w:val="both"/>
        <w:rPr>
          <w:rFonts w:ascii="Book Antiqua" w:hAnsi="Book Antiqua"/>
          <w:b/>
          <w:bCs/>
          <w:sz w:val="24"/>
          <w:szCs w:val="24"/>
          <w:lang w:eastAsia="zh-CN"/>
        </w:rPr>
      </w:pPr>
    </w:p>
    <w:p w:rsidR="00EE2738" w:rsidRPr="00E14F93" w:rsidRDefault="00EE2738" w:rsidP="007967A4">
      <w:pPr>
        <w:spacing w:line="360" w:lineRule="auto"/>
        <w:jc w:val="both"/>
        <w:rPr>
          <w:rFonts w:ascii="Book Antiqua" w:hAnsi="Book Antiqua"/>
          <w:b/>
          <w:bCs/>
          <w:sz w:val="24"/>
          <w:szCs w:val="24"/>
        </w:rPr>
      </w:pPr>
      <w:r w:rsidRPr="00E14F93">
        <w:rPr>
          <w:rFonts w:ascii="Book Antiqua" w:hAnsi="Book Antiqua"/>
          <w:b/>
          <w:bCs/>
          <w:sz w:val="24"/>
          <w:szCs w:val="24"/>
        </w:rPr>
        <w:t xml:space="preserve">Annie Nasr, </w:t>
      </w:r>
      <w:r w:rsidR="00220E7B" w:rsidRPr="00E14F93">
        <w:rPr>
          <w:rFonts w:ascii="Book Antiqua" w:hAnsi="Book Antiqua"/>
          <w:bCs/>
          <w:sz w:val="24"/>
          <w:szCs w:val="24"/>
        </w:rPr>
        <w:t xml:space="preserve">Radiology, </w:t>
      </w:r>
      <w:proofErr w:type="spellStart"/>
      <w:r w:rsidR="0074779E">
        <w:rPr>
          <w:rFonts w:ascii="Book Antiqua" w:hAnsi="Book Antiqua"/>
          <w:bCs/>
          <w:sz w:val="24"/>
          <w:szCs w:val="24"/>
        </w:rPr>
        <w:t>Ain</w:t>
      </w:r>
      <w:proofErr w:type="spellEnd"/>
      <w:r w:rsidR="0074779E">
        <w:rPr>
          <w:rFonts w:ascii="Book Antiqua" w:hAnsi="Book Antiqua"/>
          <w:bCs/>
          <w:sz w:val="24"/>
          <w:szCs w:val="24"/>
        </w:rPr>
        <w:t xml:space="preserve"> Shams University, Cairo</w:t>
      </w:r>
      <w:r w:rsidRPr="00E14F93">
        <w:rPr>
          <w:rFonts w:ascii="Book Antiqua" w:hAnsi="Book Antiqua"/>
          <w:bCs/>
          <w:sz w:val="24"/>
          <w:szCs w:val="24"/>
        </w:rPr>
        <w:t xml:space="preserve"> </w:t>
      </w:r>
      <w:r w:rsidR="005822A8" w:rsidRPr="00E14F93">
        <w:rPr>
          <w:rFonts w:ascii="Book Antiqua" w:hAnsi="Book Antiqua"/>
          <w:bCs/>
          <w:sz w:val="24"/>
          <w:szCs w:val="24"/>
        </w:rPr>
        <w:t xml:space="preserve">11381, </w:t>
      </w:r>
      <w:r w:rsidRPr="00E14F93">
        <w:rPr>
          <w:rFonts w:ascii="Book Antiqua" w:hAnsi="Book Antiqua"/>
          <w:bCs/>
          <w:sz w:val="24"/>
          <w:szCs w:val="24"/>
        </w:rPr>
        <w:t>Egypt</w:t>
      </w:r>
    </w:p>
    <w:p w:rsidR="00EE2738" w:rsidRPr="00E14F93" w:rsidRDefault="00EE2738" w:rsidP="007967A4">
      <w:pPr>
        <w:spacing w:line="360" w:lineRule="auto"/>
        <w:jc w:val="both"/>
        <w:rPr>
          <w:rFonts w:ascii="Book Antiqua" w:hAnsi="Book Antiqua"/>
          <w:b/>
          <w:bCs/>
          <w:sz w:val="24"/>
          <w:szCs w:val="24"/>
        </w:rPr>
      </w:pPr>
    </w:p>
    <w:p w:rsidR="00EE2738" w:rsidRPr="00E14F93" w:rsidRDefault="00EE2738" w:rsidP="007967A4">
      <w:pPr>
        <w:spacing w:line="360" w:lineRule="auto"/>
        <w:jc w:val="both"/>
        <w:rPr>
          <w:rFonts w:ascii="Book Antiqua" w:hAnsi="Book Antiqua"/>
          <w:b/>
          <w:bCs/>
          <w:sz w:val="24"/>
          <w:szCs w:val="24"/>
        </w:rPr>
      </w:pPr>
      <w:proofErr w:type="spellStart"/>
      <w:r w:rsidRPr="00E14F93">
        <w:rPr>
          <w:rFonts w:ascii="Book Antiqua" w:hAnsi="Book Antiqua"/>
          <w:b/>
          <w:bCs/>
          <w:sz w:val="24"/>
          <w:szCs w:val="24"/>
        </w:rPr>
        <w:t>Ihab</w:t>
      </w:r>
      <w:proofErr w:type="spellEnd"/>
      <w:r w:rsidRPr="00E14F93">
        <w:rPr>
          <w:rFonts w:ascii="Book Antiqua" w:hAnsi="Book Antiqua"/>
          <w:b/>
          <w:bCs/>
          <w:sz w:val="24"/>
          <w:szCs w:val="24"/>
        </w:rPr>
        <w:t xml:space="preserve"> Ahmed, </w:t>
      </w:r>
      <w:r w:rsidRPr="00E14F93">
        <w:rPr>
          <w:rFonts w:ascii="Book Antiqua" w:hAnsi="Book Antiqua"/>
          <w:bCs/>
          <w:sz w:val="24"/>
          <w:szCs w:val="24"/>
        </w:rPr>
        <w:t xml:space="preserve">Internal Medicine, Cairo University, </w:t>
      </w:r>
      <w:r w:rsidR="005822A8" w:rsidRPr="00E14F93">
        <w:rPr>
          <w:rFonts w:ascii="Book Antiqua" w:hAnsi="Book Antiqua"/>
          <w:bCs/>
          <w:sz w:val="24"/>
          <w:szCs w:val="24"/>
        </w:rPr>
        <w:t xml:space="preserve">Cairo 11381, </w:t>
      </w:r>
      <w:r w:rsidRPr="00E14F93">
        <w:rPr>
          <w:rFonts w:ascii="Book Antiqua" w:hAnsi="Book Antiqua"/>
          <w:bCs/>
          <w:sz w:val="24"/>
          <w:szCs w:val="24"/>
        </w:rPr>
        <w:t>Egypt</w:t>
      </w:r>
    </w:p>
    <w:p w:rsidR="00EE2738" w:rsidRPr="00E14F93" w:rsidRDefault="00EE2738" w:rsidP="007967A4">
      <w:pPr>
        <w:spacing w:line="360" w:lineRule="auto"/>
        <w:jc w:val="both"/>
        <w:rPr>
          <w:rFonts w:ascii="Book Antiqua" w:hAnsi="Book Antiqua"/>
          <w:b/>
          <w:bCs/>
          <w:sz w:val="24"/>
          <w:szCs w:val="24"/>
          <w:lang w:eastAsia="zh-CN"/>
        </w:rPr>
      </w:pPr>
    </w:p>
    <w:p w:rsidR="00EE2738" w:rsidRDefault="00EE2738" w:rsidP="007967A4">
      <w:pPr>
        <w:spacing w:line="360" w:lineRule="auto"/>
        <w:jc w:val="both"/>
        <w:rPr>
          <w:rFonts w:ascii="Book Antiqua" w:hAnsi="Book Antiqua"/>
          <w:bCs/>
          <w:sz w:val="24"/>
          <w:szCs w:val="24"/>
          <w:lang w:eastAsia="zh-CN"/>
        </w:rPr>
      </w:pPr>
      <w:r w:rsidRPr="00E14F93">
        <w:rPr>
          <w:rFonts w:ascii="Book Antiqua" w:hAnsi="Book Antiqua"/>
          <w:b/>
          <w:bCs/>
          <w:sz w:val="24"/>
          <w:szCs w:val="24"/>
        </w:rPr>
        <w:t xml:space="preserve">Author contributions: </w:t>
      </w:r>
      <w:r w:rsidRPr="00E14F93">
        <w:rPr>
          <w:rFonts w:ascii="Book Antiqua" w:hAnsi="Book Antiqua"/>
          <w:bCs/>
          <w:sz w:val="24"/>
          <w:szCs w:val="24"/>
        </w:rPr>
        <w:t>All authors had a substantial contribution to the conception and</w:t>
      </w:r>
      <w:r w:rsidR="0074779E">
        <w:rPr>
          <w:rFonts w:ascii="Book Antiqua" w:hAnsi="Book Antiqua"/>
          <w:bCs/>
          <w:sz w:val="24"/>
          <w:szCs w:val="24"/>
        </w:rPr>
        <w:t xml:space="preserve"> design of the study, drafting/</w:t>
      </w:r>
      <w:r w:rsidRPr="00E14F93">
        <w:rPr>
          <w:rFonts w:ascii="Book Antiqua" w:hAnsi="Book Antiqua"/>
          <w:bCs/>
          <w:sz w:val="24"/>
          <w:szCs w:val="24"/>
        </w:rPr>
        <w:t>revising of the article and final approval of the version to be published.</w:t>
      </w:r>
    </w:p>
    <w:p w:rsidR="00176188" w:rsidRPr="00E14F93" w:rsidRDefault="00176188" w:rsidP="007967A4">
      <w:pPr>
        <w:spacing w:line="360" w:lineRule="auto"/>
        <w:jc w:val="both"/>
        <w:rPr>
          <w:rFonts w:ascii="Book Antiqua" w:hAnsi="Book Antiqua"/>
          <w:b/>
          <w:bCs/>
          <w:sz w:val="24"/>
          <w:szCs w:val="24"/>
          <w:lang w:eastAsia="zh-CN"/>
        </w:rPr>
      </w:pPr>
    </w:p>
    <w:p w:rsidR="00220E7B" w:rsidRPr="00E14F93" w:rsidRDefault="00220E7B" w:rsidP="007967A4">
      <w:pPr>
        <w:spacing w:line="360" w:lineRule="auto"/>
        <w:jc w:val="both"/>
        <w:rPr>
          <w:rFonts w:ascii="Book Antiqua" w:hAnsi="Book Antiqua"/>
          <w:b/>
          <w:bCs/>
          <w:sz w:val="24"/>
          <w:szCs w:val="24"/>
        </w:rPr>
      </w:pPr>
      <w:r w:rsidRPr="00E14F93">
        <w:rPr>
          <w:rFonts w:ascii="Book Antiqua" w:hAnsi="Book Antiqua"/>
          <w:b/>
          <w:sz w:val="24"/>
          <w:szCs w:val="24"/>
        </w:rPr>
        <w:t>Correspondence to:</w:t>
      </w:r>
      <w:r w:rsidRPr="00E14F93">
        <w:rPr>
          <w:rFonts w:ascii="Book Antiqua" w:hAnsi="Book Antiqua"/>
          <w:b/>
          <w:sz w:val="24"/>
          <w:szCs w:val="24"/>
          <w:lang w:eastAsia="zh-CN"/>
        </w:rPr>
        <w:t xml:space="preserve"> </w:t>
      </w:r>
      <w:r w:rsidR="00EE2738" w:rsidRPr="00E14F93">
        <w:rPr>
          <w:rFonts w:ascii="Book Antiqua" w:hAnsi="Book Antiqua"/>
          <w:b/>
          <w:bCs/>
          <w:sz w:val="24"/>
          <w:szCs w:val="24"/>
        </w:rPr>
        <w:t xml:space="preserve">Yasser El </w:t>
      </w:r>
      <w:proofErr w:type="spellStart"/>
      <w:r w:rsidR="00EE2738" w:rsidRPr="00E14F93">
        <w:rPr>
          <w:rFonts w:ascii="Book Antiqua" w:hAnsi="Book Antiqua"/>
          <w:b/>
          <w:bCs/>
          <w:sz w:val="24"/>
          <w:szCs w:val="24"/>
        </w:rPr>
        <w:t>Miedany</w:t>
      </w:r>
      <w:proofErr w:type="spellEnd"/>
      <w:r w:rsidR="00EE2738" w:rsidRPr="00E14F93">
        <w:rPr>
          <w:rFonts w:ascii="Book Antiqua" w:hAnsi="Book Antiqua"/>
          <w:b/>
          <w:bCs/>
          <w:sz w:val="24"/>
          <w:szCs w:val="24"/>
        </w:rPr>
        <w:t>, MD</w:t>
      </w:r>
      <w:r w:rsidRPr="00E14F93">
        <w:rPr>
          <w:rFonts w:ascii="Book Antiqua" w:hAnsi="Book Antiqua"/>
          <w:b/>
          <w:bCs/>
          <w:sz w:val="24"/>
          <w:szCs w:val="24"/>
          <w:lang w:eastAsia="zh-CN"/>
        </w:rPr>
        <w:t>,</w:t>
      </w:r>
      <w:r w:rsidR="00EE2738" w:rsidRPr="00E14F93">
        <w:rPr>
          <w:rFonts w:ascii="Book Antiqua" w:hAnsi="Book Antiqua"/>
          <w:b/>
          <w:bCs/>
          <w:sz w:val="24"/>
          <w:szCs w:val="24"/>
        </w:rPr>
        <w:t xml:space="preserve"> FRCP</w:t>
      </w:r>
      <w:r w:rsidRPr="00E14F93">
        <w:rPr>
          <w:rFonts w:ascii="Book Antiqua" w:hAnsi="Book Antiqua"/>
          <w:b/>
          <w:bCs/>
          <w:sz w:val="24"/>
          <w:szCs w:val="24"/>
          <w:lang w:eastAsia="zh-CN"/>
        </w:rPr>
        <w:t>,</w:t>
      </w:r>
      <w:r w:rsidRPr="0074779E">
        <w:rPr>
          <w:rFonts w:ascii="Book Antiqua" w:hAnsi="Book Antiqua"/>
          <w:b/>
          <w:bCs/>
          <w:sz w:val="24"/>
          <w:szCs w:val="24"/>
          <w:lang w:eastAsia="zh-CN"/>
        </w:rPr>
        <w:t xml:space="preserve"> </w:t>
      </w:r>
      <w:r w:rsidR="00EE2738" w:rsidRPr="0074779E">
        <w:rPr>
          <w:rFonts w:ascii="Book Antiqua" w:hAnsi="Book Antiqua"/>
          <w:b/>
          <w:bCs/>
          <w:sz w:val="24"/>
          <w:szCs w:val="24"/>
        </w:rPr>
        <w:t>Consultant Rheumatologist</w:t>
      </w:r>
      <w:r w:rsidRPr="0074779E">
        <w:rPr>
          <w:rFonts w:ascii="Book Antiqua" w:hAnsi="Book Antiqua"/>
          <w:b/>
          <w:bCs/>
          <w:sz w:val="24"/>
          <w:szCs w:val="24"/>
          <w:lang w:eastAsia="zh-CN"/>
        </w:rPr>
        <w:t xml:space="preserve">, </w:t>
      </w:r>
      <w:proofErr w:type="spellStart"/>
      <w:r w:rsidR="00EE2738" w:rsidRPr="00E14F93">
        <w:rPr>
          <w:rFonts w:ascii="Book Antiqua" w:hAnsi="Book Antiqua"/>
          <w:bCs/>
          <w:sz w:val="24"/>
          <w:szCs w:val="24"/>
        </w:rPr>
        <w:t>Darent</w:t>
      </w:r>
      <w:proofErr w:type="spellEnd"/>
      <w:r w:rsidR="00EE2738" w:rsidRPr="00E14F93">
        <w:rPr>
          <w:rFonts w:ascii="Book Antiqua" w:hAnsi="Book Antiqua"/>
          <w:bCs/>
          <w:sz w:val="24"/>
          <w:szCs w:val="24"/>
        </w:rPr>
        <w:t xml:space="preserve"> Valley Hospital, </w:t>
      </w:r>
      <w:proofErr w:type="spellStart"/>
      <w:r w:rsidR="00EE2738" w:rsidRPr="00E14F93">
        <w:rPr>
          <w:rFonts w:ascii="Book Antiqua" w:hAnsi="Book Antiqua"/>
          <w:bCs/>
          <w:sz w:val="24"/>
          <w:szCs w:val="24"/>
        </w:rPr>
        <w:t>Dartford</w:t>
      </w:r>
      <w:proofErr w:type="spellEnd"/>
      <w:r w:rsidR="00EE2738" w:rsidRPr="00E14F93">
        <w:rPr>
          <w:rFonts w:ascii="Book Antiqua" w:hAnsi="Book Antiqua"/>
          <w:bCs/>
          <w:sz w:val="24"/>
          <w:szCs w:val="24"/>
        </w:rPr>
        <w:t xml:space="preserve">, Kent, </w:t>
      </w:r>
      <w:r w:rsidRPr="00E14F93">
        <w:rPr>
          <w:rFonts w:ascii="Book Antiqua" w:hAnsi="Book Antiqua"/>
          <w:bCs/>
          <w:sz w:val="24"/>
          <w:szCs w:val="24"/>
        </w:rPr>
        <w:t xml:space="preserve">DA2 8DA, </w:t>
      </w:r>
      <w:r w:rsidRPr="00E14F93">
        <w:rPr>
          <w:rFonts w:ascii="Book Antiqua" w:hAnsi="Book Antiqua"/>
          <w:bCs/>
          <w:sz w:val="24"/>
          <w:szCs w:val="24"/>
          <w:lang w:eastAsia="zh-CN"/>
        </w:rPr>
        <w:t xml:space="preserve">United </w:t>
      </w:r>
      <w:r w:rsidRPr="00E14F93">
        <w:rPr>
          <w:rFonts w:ascii="Book Antiqua" w:hAnsi="Book Antiqua"/>
          <w:bCs/>
          <w:sz w:val="24"/>
          <w:szCs w:val="24"/>
        </w:rPr>
        <w:t>K</w:t>
      </w:r>
      <w:r w:rsidRPr="00E14F93">
        <w:rPr>
          <w:rFonts w:ascii="Book Antiqua" w:hAnsi="Book Antiqua"/>
          <w:bCs/>
          <w:sz w:val="24"/>
          <w:szCs w:val="24"/>
          <w:lang w:eastAsia="zh-CN"/>
        </w:rPr>
        <w:t>ingdom.</w:t>
      </w:r>
      <w:r w:rsidRPr="00E14F93">
        <w:rPr>
          <w:rFonts w:ascii="Book Antiqua" w:hAnsi="Book Antiqua"/>
          <w:bCs/>
          <w:sz w:val="24"/>
          <w:szCs w:val="24"/>
        </w:rPr>
        <w:t xml:space="preserve"> miedanycrd@yahoo.com</w:t>
      </w:r>
    </w:p>
    <w:p w:rsidR="00EE2738" w:rsidRPr="00E14F93" w:rsidRDefault="00EE2738" w:rsidP="007967A4">
      <w:pPr>
        <w:spacing w:line="360" w:lineRule="auto"/>
        <w:jc w:val="both"/>
        <w:rPr>
          <w:rFonts w:ascii="Book Antiqua" w:hAnsi="Book Antiqua"/>
          <w:b/>
          <w:bCs/>
          <w:sz w:val="24"/>
          <w:szCs w:val="24"/>
          <w:lang w:eastAsia="zh-CN"/>
        </w:rPr>
      </w:pPr>
    </w:p>
    <w:p w:rsidR="005974B2" w:rsidRPr="00E14F93" w:rsidRDefault="005974B2" w:rsidP="007967A4">
      <w:pPr>
        <w:spacing w:line="360" w:lineRule="auto"/>
        <w:jc w:val="both"/>
        <w:rPr>
          <w:rFonts w:ascii="Book Antiqua" w:hAnsi="Book Antiqua"/>
          <w:b/>
          <w:sz w:val="24"/>
          <w:szCs w:val="24"/>
          <w:lang w:eastAsia="zh-CN"/>
        </w:rPr>
      </w:pPr>
      <w:r w:rsidRPr="00E14F93">
        <w:rPr>
          <w:rFonts w:ascii="Book Antiqua" w:hAnsi="Book Antiqua"/>
          <w:b/>
          <w:sz w:val="24"/>
          <w:szCs w:val="24"/>
        </w:rPr>
        <w:t xml:space="preserve">Telephone: </w:t>
      </w:r>
      <w:r w:rsidR="005822A8" w:rsidRPr="00E14F93">
        <w:rPr>
          <w:rFonts w:ascii="Book Antiqua" w:hAnsi="Book Antiqua"/>
          <w:b/>
          <w:sz w:val="24"/>
          <w:szCs w:val="24"/>
        </w:rPr>
        <w:t xml:space="preserve"> </w:t>
      </w:r>
      <w:r w:rsidR="00220E7B" w:rsidRPr="00E14F93">
        <w:rPr>
          <w:rFonts w:ascii="Book Antiqua" w:hAnsi="Book Antiqua"/>
          <w:sz w:val="24"/>
          <w:szCs w:val="24"/>
          <w:lang w:eastAsia="zh-CN"/>
        </w:rPr>
        <w:t>+</w:t>
      </w:r>
      <w:r w:rsidR="005822A8" w:rsidRPr="00E14F93">
        <w:rPr>
          <w:rFonts w:ascii="Book Antiqua" w:hAnsi="Book Antiqua"/>
          <w:sz w:val="24"/>
          <w:szCs w:val="24"/>
        </w:rPr>
        <w:t>44</w:t>
      </w:r>
      <w:r w:rsidR="00220E7B" w:rsidRPr="00E14F93">
        <w:rPr>
          <w:rFonts w:ascii="Book Antiqua" w:hAnsi="Book Antiqua"/>
          <w:sz w:val="24"/>
          <w:szCs w:val="24"/>
          <w:lang w:eastAsia="zh-CN"/>
        </w:rPr>
        <w:t>-</w:t>
      </w:r>
      <w:r w:rsidR="005822A8" w:rsidRPr="00E14F93">
        <w:rPr>
          <w:rFonts w:ascii="Book Antiqua" w:hAnsi="Book Antiqua"/>
          <w:sz w:val="24"/>
          <w:szCs w:val="24"/>
        </w:rPr>
        <w:t>0</w:t>
      </w:r>
      <w:r w:rsidR="00220E7B" w:rsidRPr="00E14F93">
        <w:rPr>
          <w:rFonts w:ascii="Book Antiqua" w:hAnsi="Book Antiqua"/>
          <w:sz w:val="24"/>
          <w:szCs w:val="24"/>
        </w:rPr>
        <w:t>13</w:t>
      </w:r>
      <w:r w:rsidR="0074779E">
        <w:rPr>
          <w:rFonts w:ascii="Book Antiqua" w:hAnsi="Book Antiqua" w:hint="eastAsia"/>
          <w:sz w:val="24"/>
          <w:szCs w:val="24"/>
          <w:lang w:eastAsia="zh-CN"/>
        </w:rPr>
        <w:t>-</w:t>
      </w:r>
      <w:r w:rsidR="00220E7B" w:rsidRPr="00E14F93">
        <w:rPr>
          <w:rFonts w:ascii="Book Antiqua" w:hAnsi="Book Antiqua"/>
          <w:sz w:val="24"/>
          <w:szCs w:val="24"/>
        </w:rPr>
        <w:t>22</w:t>
      </w:r>
      <w:r w:rsidR="005822A8" w:rsidRPr="00E14F93">
        <w:rPr>
          <w:rFonts w:ascii="Book Antiqua" w:hAnsi="Book Antiqua"/>
          <w:sz w:val="24"/>
          <w:szCs w:val="24"/>
        </w:rPr>
        <w:t>428420</w:t>
      </w:r>
      <w:r w:rsidR="00220E7B" w:rsidRPr="00E14F93">
        <w:rPr>
          <w:rFonts w:ascii="Book Antiqua" w:hAnsi="Book Antiqua"/>
          <w:b/>
          <w:sz w:val="24"/>
          <w:szCs w:val="24"/>
          <w:lang w:eastAsia="zh-CN"/>
        </w:rPr>
        <w:t xml:space="preserve"> </w:t>
      </w:r>
      <w:r w:rsidRPr="00E14F93">
        <w:rPr>
          <w:rFonts w:ascii="Book Antiqua" w:hAnsi="Book Antiqua"/>
          <w:b/>
          <w:sz w:val="24"/>
          <w:szCs w:val="24"/>
        </w:rPr>
        <w:t>Fax:</w:t>
      </w:r>
      <w:r w:rsidR="005822A8" w:rsidRPr="00E14F93">
        <w:rPr>
          <w:rFonts w:ascii="Book Antiqua" w:hAnsi="Book Antiqua"/>
          <w:b/>
          <w:sz w:val="24"/>
          <w:szCs w:val="24"/>
        </w:rPr>
        <w:t xml:space="preserve"> </w:t>
      </w:r>
      <w:r w:rsidR="00220E7B" w:rsidRPr="00E14F93">
        <w:rPr>
          <w:rFonts w:ascii="Book Antiqua" w:hAnsi="Book Antiqua"/>
          <w:sz w:val="24"/>
          <w:szCs w:val="24"/>
          <w:lang w:eastAsia="zh-CN"/>
        </w:rPr>
        <w:t>+</w:t>
      </w:r>
      <w:r w:rsidR="005822A8" w:rsidRPr="00E14F93">
        <w:rPr>
          <w:rFonts w:ascii="Book Antiqua" w:hAnsi="Book Antiqua"/>
          <w:sz w:val="24"/>
          <w:szCs w:val="24"/>
        </w:rPr>
        <w:t>44</w:t>
      </w:r>
      <w:r w:rsidR="00220E7B" w:rsidRPr="00E14F93">
        <w:rPr>
          <w:rFonts w:ascii="Book Antiqua" w:hAnsi="Book Antiqua"/>
          <w:sz w:val="24"/>
          <w:szCs w:val="24"/>
          <w:lang w:eastAsia="zh-CN"/>
        </w:rPr>
        <w:t>-</w:t>
      </w:r>
      <w:r w:rsidR="005822A8" w:rsidRPr="00E14F93">
        <w:rPr>
          <w:rFonts w:ascii="Book Antiqua" w:hAnsi="Book Antiqua"/>
          <w:sz w:val="24"/>
          <w:szCs w:val="24"/>
        </w:rPr>
        <w:t>013</w:t>
      </w:r>
      <w:r w:rsidR="0074779E">
        <w:rPr>
          <w:rFonts w:ascii="Book Antiqua" w:hAnsi="Book Antiqua" w:hint="eastAsia"/>
          <w:sz w:val="24"/>
          <w:szCs w:val="24"/>
          <w:lang w:eastAsia="zh-CN"/>
        </w:rPr>
        <w:t>-</w:t>
      </w:r>
      <w:r w:rsidR="005822A8" w:rsidRPr="00E14F93">
        <w:rPr>
          <w:rFonts w:ascii="Book Antiqua" w:hAnsi="Book Antiqua"/>
          <w:sz w:val="24"/>
          <w:szCs w:val="24"/>
        </w:rPr>
        <w:t>22428415</w:t>
      </w:r>
    </w:p>
    <w:p w:rsidR="00EE2738" w:rsidRPr="00E14F93" w:rsidRDefault="00EE2738" w:rsidP="007967A4">
      <w:pPr>
        <w:spacing w:line="360" w:lineRule="auto"/>
        <w:jc w:val="both"/>
        <w:rPr>
          <w:rFonts w:ascii="Book Antiqua" w:hAnsi="Book Antiqua"/>
          <w:b/>
          <w:bCs/>
          <w:sz w:val="24"/>
          <w:szCs w:val="24"/>
        </w:rPr>
      </w:pPr>
    </w:p>
    <w:p w:rsidR="00220E7B" w:rsidRPr="00E14F93" w:rsidRDefault="00220E7B" w:rsidP="007967A4">
      <w:pPr>
        <w:spacing w:line="360" w:lineRule="auto"/>
        <w:jc w:val="both"/>
        <w:rPr>
          <w:rFonts w:ascii="Book Antiqua" w:hAnsi="Book Antiqua"/>
          <w:b/>
          <w:sz w:val="24"/>
          <w:szCs w:val="24"/>
        </w:rPr>
      </w:pPr>
      <w:r w:rsidRPr="00E14F93">
        <w:rPr>
          <w:rFonts w:ascii="Book Antiqua" w:hAnsi="Book Antiqua"/>
          <w:b/>
          <w:sz w:val="24"/>
          <w:szCs w:val="24"/>
        </w:rPr>
        <w:t xml:space="preserve">Received: </w:t>
      </w:r>
      <w:r w:rsidRPr="00E14F93">
        <w:rPr>
          <w:rFonts w:ascii="Book Antiqua" w:hAnsi="Book Antiqua"/>
          <w:sz w:val="24"/>
          <w:szCs w:val="24"/>
          <w:lang w:eastAsia="zh-CN"/>
        </w:rPr>
        <w:t>April 9, 2014</w:t>
      </w:r>
      <w:r w:rsidRPr="00E14F93">
        <w:rPr>
          <w:rFonts w:ascii="Book Antiqua" w:hAnsi="Book Antiqua"/>
          <w:sz w:val="24"/>
          <w:szCs w:val="24"/>
        </w:rPr>
        <w:t xml:space="preserve"> </w:t>
      </w:r>
      <w:r w:rsidRPr="00E14F93">
        <w:rPr>
          <w:rFonts w:ascii="Book Antiqua" w:hAnsi="Book Antiqua"/>
          <w:b/>
          <w:sz w:val="24"/>
          <w:szCs w:val="24"/>
        </w:rPr>
        <w:t xml:space="preserve">Revised: </w:t>
      </w:r>
      <w:r w:rsidRPr="00E14F93">
        <w:rPr>
          <w:rFonts w:ascii="Book Antiqua" w:hAnsi="Book Antiqua"/>
          <w:sz w:val="24"/>
          <w:szCs w:val="24"/>
          <w:lang w:eastAsia="zh-CN"/>
        </w:rPr>
        <w:t>June 21, 2014</w:t>
      </w:r>
      <w:r w:rsidRPr="00E14F93">
        <w:rPr>
          <w:rFonts w:ascii="Book Antiqua" w:hAnsi="Book Antiqua"/>
          <w:sz w:val="24"/>
          <w:szCs w:val="24"/>
        </w:rPr>
        <w:t xml:space="preserve"> </w:t>
      </w:r>
    </w:p>
    <w:p w:rsidR="00401DDE" w:rsidRDefault="00220E7B" w:rsidP="00401DDE">
      <w:pPr>
        <w:rPr>
          <w:rFonts w:ascii="Book Antiqua" w:hAnsi="Book Antiqua"/>
          <w:color w:val="000000"/>
          <w:sz w:val="24"/>
        </w:rPr>
      </w:pPr>
      <w:r w:rsidRPr="00E14F93">
        <w:rPr>
          <w:rFonts w:ascii="Book Antiqua" w:hAnsi="Book Antiqua"/>
          <w:b/>
          <w:sz w:val="24"/>
          <w:szCs w:val="24"/>
        </w:rPr>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r w:rsidR="00401DDE">
        <w:rPr>
          <w:rFonts w:ascii="Book Antiqua" w:hAnsi="Book Antiqua"/>
          <w:color w:val="000000"/>
          <w:sz w:val="24"/>
        </w:rPr>
        <w:t>July 25, 2014</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rsidR="00220E7B" w:rsidRPr="00E14F93" w:rsidRDefault="00220E7B" w:rsidP="007967A4">
      <w:pPr>
        <w:spacing w:line="360" w:lineRule="auto"/>
        <w:jc w:val="both"/>
        <w:rPr>
          <w:rFonts w:ascii="Book Antiqua" w:hAnsi="Book Antiqua"/>
          <w:b/>
          <w:sz w:val="24"/>
          <w:szCs w:val="24"/>
        </w:rPr>
      </w:pPr>
    </w:p>
    <w:p w:rsidR="00220E7B" w:rsidRPr="00E14F93" w:rsidRDefault="00220E7B" w:rsidP="007967A4">
      <w:pPr>
        <w:spacing w:line="360" w:lineRule="auto"/>
        <w:jc w:val="both"/>
        <w:rPr>
          <w:rFonts w:ascii="Book Antiqua" w:hAnsi="Book Antiqua" w:cs="宋体"/>
          <w:bCs/>
          <w:color w:val="000000"/>
          <w:sz w:val="24"/>
          <w:szCs w:val="24"/>
        </w:rPr>
      </w:pPr>
      <w:r w:rsidRPr="00E14F93">
        <w:rPr>
          <w:rFonts w:ascii="Book Antiqua" w:hAnsi="Book Antiqua"/>
          <w:b/>
          <w:sz w:val="24"/>
          <w:szCs w:val="24"/>
        </w:rPr>
        <w:t>Published online:</w:t>
      </w:r>
    </w:p>
    <w:p w:rsidR="00EE2738" w:rsidRPr="00E14F93" w:rsidRDefault="00EE2738" w:rsidP="007967A4">
      <w:pPr>
        <w:spacing w:line="360" w:lineRule="auto"/>
        <w:jc w:val="both"/>
        <w:rPr>
          <w:rFonts w:ascii="Book Antiqua" w:hAnsi="Book Antiqua"/>
          <w:b/>
          <w:bCs/>
          <w:sz w:val="24"/>
          <w:szCs w:val="24"/>
          <w:lang w:eastAsia="zh-CN"/>
        </w:rPr>
      </w:pPr>
    </w:p>
    <w:p w:rsidR="00807A02" w:rsidRPr="00E14F93" w:rsidRDefault="00356DC9" w:rsidP="007967A4">
      <w:pPr>
        <w:spacing w:line="360" w:lineRule="auto"/>
        <w:jc w:val="both"/>
        <w:rPr>
          <w:rFonts w:ascii="Book Antiqua" w:hAnsi="Book Antiqua"/>
          <w:b/>
          <w:bCs/>
          <w:sz w:val="24"/>
          <w:szCs w:val="24"/>
          <w:lang w:eastAsia="zh-CN"/>
        </w:rPr>
      </w:pPr>
      <w:r w:rsidRPr="00E14F93">
        <w:rPr>
          <w:rFonts w:ascii="Book Antiqua" w:hAnsi="Book Antiqua"/>
          <w:b/>
          <w:bCs/>
          <w:sz w:val="24"/>
          <w:szCs w:val="24"/>
        </w:rPr>
        <w:t>Abstract</w:t>
      </w:r>
    </w:p>
    <w:p w:rsidR="00807A02" w:rsidRPr="00E14F93" w:rsidRDefault="00356DC9" w:rsidP="007967A4">
      <w:pPr>
        <w:spacing w:line="360" w:lineRule="auto"/>
        <w:jc w:val="both"/>
        <w:rPr>
          <w:rFonts w:ascii="Book Antiqua" w:hAnsi="Book Antiqua"/>
          <w:b/>
          <w:bCs/>
          <w:sz w:val="24"/>
          <w:szCs w:val="24"/>
          <w:lang w:eastAsia="zh-CN"/>
        </w:rPr>
      </w:pPr>
      <w:r w:rsidRPr="00E14F93">
        <w:rPr>
          <w:rFonts w:ascii="Book Antiqua" w:hAnsi="Book Antiqua"/>
          <w:b/>
          <w:bCs/>
          <w:sz w:val="24"/>
          <w:szCs w:val="24"/>
          <w:lang w:eastAsia="zh-CN"/>
        </w:rPr>
        <w:t xml:space="preserve">AIM: </w:t>
      </w:r>
      <w:r w:rsidR="00807A02" w:rsidRPr="00E14F93">
        <w:rPr>
          <w:rFonts w:ascii="Book Antiqua" w:hAnsi="Book Antiqua"/>
          <w:sz w:val="24"/>
          <w:szCs w:val="24"/>
        </w:rPr>
        <w:t>To assess:</w:t>
      </w:r>
      <w:r w:rsidRPr="00E14F93">
        <w:rPr>
          <w:rFonts w:ascii="Book Antiqua" w:hAnsi="Book Antiqua"/>
          <w:bCs/>
          <w:sz w:val="24"/>
          <w:szCs w:val="24"/>
          <w:lang w:eastAsia="zh-CN"/>
        </w:rPr>
        <w:t xml:space="preserve"> (1) </w:t>
      </w:r>
      <w:r w:rsidR="00807A02" w:rsidRPr="00E14F93">
        <w:rPr>
          <w:rFonts w:ascii="Book Antiqua" w:hAnsi="Book Antiqua"/>
          <w:sz w:val="24"/>
          <w:szCs w:val="24"/>
        </w:rPr>
        <w:t xml:space="preserve">Whether </w:t>
      </w:r>
      <w:r w:rsidR="00E656D2" w:rsidRPr="00E14F93">
        <w:rPr>
          <w:rFonts w:ascii="Book Antiqua" w:hAnsi="Book Antiqua"/>
          <w:sz w:val="24"/>
          <w:szCs w:val="24"/>
        </w:rPr>
        <w:t xml:space="preserve">the World Health Organization fracture risk assessment tool </w:t>
      </w:r>
      <w:r w:rsidR="00485B72" w:rsidRPr="00E14F93">
        <w:rPr>
          <w:rFonts w:ascii="Book Antiqua" w:hAnsi="Book Antiqua"/>
          <w:sz w:val="24"/>
          <w:szCs w:val="24"/>
        </w:rPr>
        <w:t>(</w:t>
      </w:r>
      <w:r w:rsidR="00E656D2" w:rsidRPr="00E14F93">
        <w:rPr>
          <w:rFonts w:ascii="Book Antiqua" w:hAnsi="Book Antiqua"/>
          <w:sz w:val="24"/>
          <w:szCs w:val="24"/>
        </w:rPr>
        <w:t>FRAX</w:t>
      </w:r>
      <w:r w:rsidR="00485B72" w:rsidRPr="00E14F93">
        <w:rPr>
          <w:rFonts w:ascii="Book Antiqua" w:hAnsi="Book Antiqua"/>
          <w:sz w:val="24"/>
          <w:szCs w:val="24"/>
        </w:rPr>
        <w:t>)</w:t>
      </w:r>
      <w:r w:rsidR="00807A02" w:rsidRPr="00E14F93">
        <w:rPr>
          <w:rFonts w:ascii="Book Antiqua" w:hAnsi="Book Antiqua"/>
          <w:sz w:val="24"/>
          <w:szCs w:val="24"/>
        </w:rPr>
        <w:t xml:space="preserve"> can be used for monitoring </w:t>
      </w:r>
      <w:r w:rsidR="00485B72" w:rsidRPr="00E14F93">
        <w:rPr>
          <w:rFonts w:ascii="Book Antiqua" w:hAnsi="Book Antiqua"/>
          <w:sz w:val="24"/>
          <w:szCs w:val="24"/>
        </w:rPr>
        <w:t xml:space="preserve">osteoporosis </w:t>
      </w:r>
      <w:r w:rsidR="00807A02" w:rsidRPr="00E14F93">
        <w:rPr>
          <w:rFonts w:ascii="Book Antiqua" w:hAnsi="Book Antiqua"/>
          <w:sz w:val="24"/>
          <w:szCs w:val="24"/>
        </w:rPr>
        <w:t xml:space="preserve">patients receiving </w:t>
      </w:r>
      <w:r w:rsidR="00485B72" w:rsidRPr="00E14F93">
        <w:rPr>
          <w:rFonts w:ascii="Book Antiqua" w:hAnsi="Book Antiqua"/>
          <w:sz w:val="24"/>
          <w:szCs w:val="24"/>
        </w:rPr>
        <w:t>treatment</w:t>
      </w:r>
      <w:r w:rsidR="00807A02" w:rsidRPr="00E14F93">
        <w:rPr>
          <w:rFonts w:ascii="Book Antiqua" w:hAnsi="Book Antiqua"/>
          <w:sz w:val="24"/>
          <w:szCs w:val="24"/>
        </w:rPr>
        <w:t xml:space="preserve"> a</w:t>
      </w:r>
      <w:r w:rsidR="00485B72" w:rsidRPr="00E14F93">
        <w:rPr>
          <w:rFonts w:ascii="Book Antiqua" w:hAnsi="Book Antiqua"/>
          <w:sz w:val="24"/>
          <w:szCs w:val="24"/>
        </w:rPr>
        <w:t>s well as</w:t>
      </w:r>
      <w:r w:rsidR="00807A02" w:rsidRPr="00E14F93">
        <w:rPr>
          <w:rFonts w:ascii="Book Antiqua" w:hAnsi="Book Antiqua"/>
          <w:sz w:val="24"/>
          <w:szCs w:val="24"/>
        </w:rPr>
        <w:t xml:space="preserve"> its clinical implications</w:t>
      </w:r>
      <w:r w:rsidRPr="00E14F93">
        <w:rPr>
          <w:rFonts w:ascii="Book Antiqua" w:hAnsi="Book Antiqua"/>
          <w:sz w:val="24"/>
          <w:szCs w:val="24"/>
          <w:lang w:eastAsia="zh-CN"/>
        </w:rPr>
        <w:t>;</w:t>
      </w:r>
      <w:r w:rsidR="00807A02" w:rsidRPr="00E14F93">
        <w:rPr>
          <w:rFonts w:ascii="Book Antiqua" w:hAnsi="Book Antiqua"/>
          <w:sz w:val="24"/>
          <w:szCs w:val="24"/>
        </w:rPr>
        <w:t xml:space="preserve"> </w:t>
      </w:r>
      <w:r w:rsidRPr="00E14F93">
        <w:rPr>
          <w:rFonts w:ascii="Book Antiqua" w:hAnsi="Book Antiqua"/>
          <w:bCs/>
          <w:sz w:val="24"/>
          <w:szCs w:val="24"/>
          <w:lang w:eastAsia="zh-CN"/>
        </w:rPr>
        <w:t xml:space="preserve">(2) </w:t>
      </w:r>
      <w:r w:rsidR="00807A02" w:rsidRPr="00E14F93">
        <w:rPr>
          <w:rFonts w:ascii="Book Antiqua" w:hAnsi="Book Antiqua"/>
          <w:sz w:val="24"/>
          <w:szCs w:val="24"/>
        </w:rPr>
        <w:t xml:space="preserve">The relation between </w:t>
      </w:r>
      <w:r w:rsidR="00485B72" w:rsidRPr="00E14F93">
        <w:rPr>
          <w:rFonts w:ascii="Book Antiqua" w:hAnsi="Book Antiqua"/>
          <w:sz w:val="24"/>
          <w:szCs w:val="24"/>
        </w:rPr>
        <w:t>fracture incidence</w:t>
      </w:r>
      <w:r w:rsidR="00807A02" w:rsidRPr="00E14F93">
        <w:rPr>
          <w:rFonts w:ascii="Book Antiqua" w:hAnsi="Book Antiqua"/>
          <w:sz w:val="24"/>
          <w:szCs w:val="24"/>
        </w:rPr>
        <w:t xml:space="preserve"> </w:t>
      </w:r>
      <w:r w:rsidR="00485B72" w:rsidRPr="00E14F93">
        <w:rPr>
          <w:rFonts w:ascii="Book Antiqua" w:hAnsi="Book Antiqua"/>
          <w:sz w:val="24"/>
          <w:szCs w:val="24"/>
        </w:rPr>
        <w:t xml:space="preserve">and </w:t>
      </w:r>
      <w:r w:rsidR="00807A02" w:rsidRPr="00E14F93">
        <w:rPr>
          <w:rFonts w:ascii="Book Antiqua" w:hAnsi="Book Antiqua"/>
          <w:sz w:val="24"/>
          <w:szCs w:val="24"/>
        </w:rPr>
        <w:t>post-treatment FRAX.</w:t>
      </w:r>
    </w:p>
    <w:p w:rsidR="00807A02" w:rsidRPr="00E14F93" w:rsidRDefault="00807A02" w:rsidP="007967A4">
      <w:pPr>
        <w:spacing w:line="360" w:lineRule="auto"/>
        <w:jc w:val="both"/>
        <w:rPr>
          <w:rFonts w:ascii="Book Antiqua" w:hAnsi="Book Antiqua"/>
          <w:sz w:val="24"/>
          <w:szCs w:val="24"/>
        </w:rPr>
      </w:pPr>
    </w:p>
    <w:p w:rsidR="00807A02" w:rsidRPr="00E14F93" w:rsidRDefault="00A02F16" w:rsidP="007967A4">
      <w:pPr>
        <w:spacing w:line="360" w:lineRule="auto"/>
        <w:jc w:val="both"/>
        <w:rPr>
          <w:rFonts w:ascii="Book Antiqua" w:hAnsi="Book Antiqua"/>
          <w:sz w:val="24"/>
          <w:szCs w:val="24"/>
        </w:rPr>
      </w:pPr>
      <w:r w:rsidRPr="00E14F93">
        <w:rPr>
          <w:rFonts w:ascii="Book Antiqua" w:hAnsi="Book Antiqua"/>
          <w:b/>
          <w:sz w:val="24"/>
          <w:szCs w:val="24"/>
        </w:rPr>
        <w:t>METHODS:</w:t>
      </w:r>
      <w:r w:rsidRPr="00E14F93">
        <w:rPr>
          <w:rFonts w:ascii="Book Antiqua" w:hAnsi="Book Antiqua"/>
          <w:b/>
          <w:sz w:val="24"/>
          <w:szCs w:val="24"/>
          <w:lang w:eastAsia="zh-CN"/>
        </w:rPr>
        <w:t xml:space="preserve"> </w:t>
      </w:r>
      <w:r w:rsidRPr="00E14F93">
        <w:rPr>
          <w:rFonts w:ascii="Book Antiqua" w:hAnsi="Book Antiqua"/>
          <w:sz w:val="24"/>
          <w:szCs w:val="24"/>
        </w:rPr>
        <w:t>Five hundred and seventy-nine</w:t>
      </w:r>
      <w:r w:rsidR="00807A02" w:rsidRPr="00E14F93">
        <w:rPr>
          <w:rFonts w:ascii="Book Antiqua" w:hAnsi="Book Antiqua"/>
          <w:sz w:val="24"/>
          <w:szCs w:val="24"/>
        </w:rPr>
        <w:t xml:space="preserve"> osteoporotic women </w:t>
      </w:r>
      <w:r w:rsidR="00485B72" w:rsidRPr="00E14F93">
        <w:rPr>
          <w:rFonts w:ascii="Book Antiqua" w:hAnsi="Book Antiqua"/>
          <w:sz w:val="24"/>
          <w:szCs w:val="24"/>
        </w:rPr>
        <w:t>known to be</w:t>
      </w:r>
      <w:r w:rsidR="00807A02" w:rsidRPr="00E14F93">
        <w:rPr>
          <w:rFonts w:ascii="Book Antiqua" w:hAnsi="Book Antiqua"/>
          <w:sz w:val="24"/>
          <w:szCs w:val="24"/>
        </w:rPr>
        <w:t xml:space="preserve"> adherent to the prescribed osteoporosis </w:t>
      </w:r>
      <w:r w:rsidR="00485B72" w:rsidRPr="00E14F93">
        <w:rPr>
          <w:rFonts w:ascii="Book Antiqua" w:hAnsi="Book Antiqua"/>
          <w:sz w:val="24"/>
          <w:szCs w:val="24"/>
        </w:rPr>
        <w:t>medication</w:t>
      </w:r>
      <w:r w:rsidR="00807A02" w:rsidRPr="00E14F93">
        <w:rPr>
          <w:rFonts w:ascii="Book Antiqua" w:hAnsi="Book Antiqua"/>
          <w:sz w:val="24"/>
          <w:szCs w:val="24"/>
        </w:rPr>
        <w:t xml:space="preserve">, had </w:t>
      </w:r>
      <w:r w:rsidR="00E656D2" w:rsidRPr="00E14F93">
        <w:rPr>
          <w:rFonts w:ascii="Book Antiqua" w:hAnsi="Book Antiqua"/>
          <w:sz w:val="24"/>
          <w:szCs w:val="24"/>
          <w:lang w:val="en-GB"/>
        </w:rPr>
        <w:t>dual-energy X-ray absorptiometry</w:t>
      </w:r>
      <w:r w:rsidR="00807A02" w:rsidRPr="00E14F93">
        <w:rPr>
          <w:rFonts w:ascii="Book Antiqua" w:hAnsi="Book Antiqua"/>
          <w:sz w:val="24"/>
          <w:szCs w:val="24"/>
        </w:rPr>
        <w:t xml:space="preserve"> scan and fracture probability calculated at baseline, 2 and 5-years of osteoporosis t</w:t>
      </w:r>
      <w:r w:rsidR="00485B72" w:rsidRPr="00E14F93">
        <w:rPr>
          <w:rFonts w:ascii="Book Antiqua" w:hAnsi="Book Antiqua"/>
          <w:sz w:val="24"/>
          <w:szCs w:val="24"/>
        </w:rPr>
        <w:t>reatment</w:t>
      </w:r>
      <w:r w:rsidR="00807A02" w:rsidRPr="00E14F93">
        <w:rPr>
          <w:rFonts w:ascii="Book Antiqua" w:hAnsi="Book Antiqua"/>
          <w:sz w:val="24"/>
          <w:szCs w:val="24"/>
        </w:rPr>
        <w:t>. Th</w:t>
      </w:r>
      <w:r w:rsidR="00485B72" w:rsidRPr="00E14F93">
        <w:rPr>
          <w:rFonts w:ascii="Book Antiqua" w:hAnsi="Book Antiqua"/>
          <w:sz w:val="24"/>
          <w:szCs w:val="24"/>
        </w:rPr>
        <w:t>ose</w:t>
      </w:r>
      <w:r w:rsidR="00807A02" w:rsidRPr="00E14F93">
        <w:rPr>
          <w:rFonts w:ascii="Book Antiqua" w:hAnsi="Book Antiqua"/>
          <w:sz w:val="24"/>
          <w:szCs w:val="24"/>
        </w:rPr>
        <w:t xml:space="preserve"> </w:t>
      </w:r>
      <w:proofErr w:type="gramStart"/>
      <w:r w:rsidR="00807A02" w:rsidRPr="00E14F93">
        <w:rPr>
          <w:rFonts w:ascii="Book Antiqua" w:hAnsi="Book Antiqua"/>
          <w:sz w:val="24"/>
          <w:szCs w:val="24"/>
        </w:rPr>
        <w:t>patients</w:t>
      </w:r>
      <w:proofErr w:type="gramEnd"/>
      <w:r w:rsidR="00807A02" w:rsidRPr="00E14F93">
        <w:rPr>
          <w:rFonts w:ascii="Book Antiqua" w:hAnsi="Book Antiqua"/>
          <w:sz w:val="24"/>
          <w:szCs w:val="24"/>
        </w:rPr>
        <w:t xml:space="preserve"> who responded to t</w:t>
      </w:r>
      <w:r w:rsidR="00485B72" w:rsidRPr="00E14F93">
        <w:rPr>
          <w:rFonts w:ascii="Book Antiqua" w:hAnsi="Book Antiqua"/>
          <w:sz w:val="24"/>
          <w:szCs w:val="24"/>
        </w:rPr>
        <w:t>reatment</w:t>
      </w:r>
      <w:r w:rsidR="00807A02" w:rsidRPr="00E14F93">
        <w:rPr>
          <w:rFonts w:ascii="Book Antiqua" w:hAnsi="Book Antiqua"/>
          <w:sz w:val="24"/>
          <w:szCs w:val="24"/>
        </w:rPr>
        <w:t xml:space="preserve"> and did not sustain a new low trauma fracture </w:t>
      </w:r>
      <w:r w:rsidR="00485B72" w:rsidRPr="00E14F93">
        <w:rPr>
          <w:rFonts w:ascii="Book Antiqua" w:hAnsi="Book Antiqua"/>
          <w:sz w:val="24"/>
          <w:szCs w:val="24"/>
        </w:rPr>
        <w:t>during</w:t>
      </w:r>
      <w:r w:rsidR="00807A02" w:rsidRPr="00E14F93">
        <w:rPr>
          <w:rFonts w:ascii="Book Antiqua" w:hAnsi="Book Antiqua"/>
          <w:sz w:val="24"/>
          <w:szCs w:val="24"/>
        </w:rPr>
        <w:t xml:space="preserve"> the first 2 years, continued their t</w:t>
      </w:r>
      <w:r w:rsidR="00485B72" w:rsidRPr="00E14F93">
        <w:rPr>
          <w:rFonts w:ascii="Book Antiqua" w:hAnsi="Book Antiqua"/>
          <w:sz w:val="24"/>
          <w:szCs w:val="24"/>
        </w:rPr>
        <w:t>reatment</w:t>
      </w:r>
      <w:r w:rsidR="00807A02" w:rsidRPr="00E14F93">
        <w:rPr>
          <w:rFonts w:ascii="Book Antiqua" w:hAnsi="Book Antiqua"/>
          <w:sz w:val="24"/>
          <w:szCs w:val="24"/>
        </w:rPr>
        <w:t xml:space="preserve"> and were re</w:t>
      </w:r>
      <w:r w:rsidR="00485B72" w:rsidRPr="00E14F93">
        <w:rPr>
          <w:rFonts w:ascii="Book Antiqua" w:hAnsi="Book Antiqua"/>
          <w:sz w:val="24"/>
          <w:szCs w:val="24"/>
        </w:rPr>
        <w:t>-</w:t>
      </w:r>
      <w:r w:rsidR="00807A02" w:rsidRPr="00E14F93">
        <w:rPr>
          <w:rFonts w:ascii="Book Antiqua" w:hAnsi="Book Antiqua"/>
          <w:sz w:val="24"/>
          <w:szCs w:val="24"/>
        </w:rPr>
        <w:t xml:space="preserve">assessed 3-years later. The </w:t>
      </w:r>
      <w:r w:rsidR="00D85197" w:rsidRPr="00E14F93">
        <w:rPr>
          <w:rFonts w:ascii="Book Antiqua" w:hAnsi="Book Antiqua"/>
          <w:sz w:val="24"/>
          <w:szCs w:val="24"/>
        </w:rPr>
        <w:t xml:space="preserve">patient </w:t>
      </w:r>
      <w:r w:rsidR="00807A02" w:rsidRPr="00E14F93">
        <w:rPr>
          <w:rFonts w:ascii="Book Antiqua" w:hAnsi="Book Antiqua"/>
          <w:sz w:val="24"/>
          <w:szCs w:val="24"/>
        </w:rPr>
        <w:t xml:space="preserve">subgroup </w:t>
      </w:r>
      <w:proofErr w:type="gramStart"/>
      <w:r w:rsidR="00807A02" w:rsidRPr="00E14F93">
        <w:rPr>
          <w:rFonts w:ascii="Book Antiqua" w:hAnsi="Book Antiqua"/>
          <w:sz w:val="24"/>
          <w:szCs w:val="24"/>
        </w:rPr>
        <w:t>who</w:t>
      </w:r>
      <w:proofErr w:type="gramEnd"/>
      <w:r w:rsidR="00807A02" w:rsidRPr="00E14F93">
        <w:rPr>
          <w:rFonts w:ascii="Book Antiqua" w:hAnsi="Book Antiqua"/>
          <w:sz w:val="24"/>
          <w:szCs w:val="24"/>
        </w:rPr>
        <w:t xml:space="preserve"> did not achieve an impr</w:t>
      </w:r>
      <w:r w:rsidR="00485B72" w:rsidRPr="00E14F93">
        <w:rPr>
          <w:rFonts w:ascii="Book Antiqua" w:hAnsi="Book Antiqua"/>
          <w:sz w:val="24"/>
          <w:szCs w:val="24"/>
        </w:rPr>
        <w:t xml:space="preserve">ovement in their </w:t>
      </w:r>
      <w:r w:rsidR="00E656D2" w:rsidRPr="00E14F93">
        <w:rPr>
          <w:rFonts w:ascii="Book Antiqua" w:hAnsi="Book Antiqua"/>
          <w:sz w:val="24"/>
          <w:szCs w:val="24"/>
          <w:lang w:val="en-GB"/>
        </w:rPr>
        <w:t>bone mineral density (BMD)</w:t>
      </w:r>
      <w:r w:rsidR="00485B72" w:rsidRPr="00E14F93">
        <w:rPr>
          <w:rFonts w:ascii="Book Antiqua" w:hAnsi="Book Antiqua"/>
          <w:sz w:val="24"/>
          <w:szCs w:val="24"/>
        </w:rPr>
        <w:t xml:space="preserve"> or sustain</w:t>
      </w:r>
      <w:r w:rsidR="00807A02" w:rsidRPr="00E14F93">
        <w:rPr>
          <w:rFonts w:ascii="Book Antiqua" w:hAnsi="Book Antiqua"/>
          <w:sz w:val="24"/>
          <w:szCs w:val="24"/>
        </w:rPr>
        <w:t xml:space="preserve"> a</w:t>
      </w:r>
      <w:r w:rsidR="00485B72" w:rsidRPr="00E14F93">
        <w:rPr>
          <w:rFonts w:ascii="Book Antiqua" w:hAnsi="Book Antiqua"/>
          <w:sz w:val="24"/>
          <w:szCs w:val="24"/>
        </w:rPr>
        <w:t>ny</w:t>
      </w:r>
      <w:r w:rsidR="00807A02" w:rsidRPr="00E14F93">
        <w:rPr>
          <w:rFonts w:ascii="Book Antiqua" w:hAnsi="Book Antiqua"/>
          <w:sz w:val="24"/>
          <w:szCs w:val="24"/>
        </w:rPr>
        <w:t xml:space="preserve"> fracture </w:t>
      </w:r>
      <w:r w:rsidR="00485B72" w:rsidRPr="00E14F93">
        <w:rPr>
          <w:rFonts w:ascii="Book Antiqua" w:hAnsi="Book Antiqua"/>
          <w:sz w:val="24"/>
          <w:szCs w:val="24"/>
        </w:rPr>
        <w:t>within</w:t>
      </w:r>
      <w:r w:rsidR="00807A02" w:rsidRPr="00E14F93">
        <w:rPr>
          <w:rFonts w:ascii="Book Antiqua" w:hAnsi="Book Antiqua"/>
          <w:sz w:val="24"/>
          <w:szCs w:val="24"/>
        </w:rPr>
        <w:t xml:space="preserve"> the first 2-years, had their osteoporosis t</w:t>
      </w:r>
      <w:r w:rsidR="00485B72" w:rsidRPr="00E14F93">
        <w:rPr>
          <w:rFonts w:ascii="Book Antiqua" w:hAnsi="Book Antiqua"/>
          <w:sz w:val="24"/>
          <w:szCs w:val="24"/>
        </w:rPr>
        <w:t>reatment</w:t>
      </w:r>
      <w:r w:rsidR="00807A02" w:rsidRPr="00E14F93">
        <w:rPr>
          <w:rFonts w:ascii="Book Antiqua" w:hAnsi="Book Antiqua"/>
          <w:sz w:val="24"/>
          <w:szCs w:val="24"/>
        </w:rPr>
        <w:t xml:space="preserve"> changed. Outcome measures included BMD and FRAX </w:t>
      </w:r>
      <w:r w:rsidR="000E4EA9" w:rsidRPr="00E14F93">
        <w:rPr>
          <w:rFonts w:ascii="Book Antiqua" w:hAnsi="Book Antiqua"/>
          <w:sz w:val="24"/>
          <w:szCs w:val="24"/>
        </w:rPr>
        <w:t>assessment</w:t>
      </w:r>
      <w:r w:rsidR="00807A02" w:rsidRPr="00E14F93">
        <w:rPr>
          <w:rFonts w:ascii="Book Antiqua" w:hAnsi="Book Antiqua"/>
          <w:sz w:val="24"/>
          <w:szCs w:val="24"/>
        </w:rPr>
        <w:t xml:space="preserve"> </w:t>
      </w:r>
      <w:r w:rsidR="000E4EA9" w:rsidRPr="00E14F93">
        <w:rPr>
          <w:rFonts w:ascii="Book Antiqua" w:hAnsi="Book Antiqua"/>
          <w:sz w:val="24"/>
          <w:szCs w:val="24"/>
        </w:rPr>
        <w:t xml:space="preserve">calculated </w:t>
      </w:r>
      <w:r w:rsidR="00807A02" w:rsidRPr="00E14F93">
        <w:rPr>
          <w:rFonts w:ascii="Book Antiqua" w:hAnsi="Book Antiqua"/>
          <w:sz w:val="24"/>
          <w:szCs w:val="24"/>
        </w:rPr>
        <w:t xml:space="preserve">3-years after </w:t>
      </w:r>
      <w:r w:rsidR="000E4EA9" w:rsidRPr="00E14F93">
        <w:rPr>
          <w:rFonts w:ascii="Book Antiqua" w:hAnsi="Book Antiqua"/>
          <w:sz w:val="24"/>
          <w:szCs w:val="24"/>
        </w:rPr>
        <w:t>commencing</w:t>
      </w:r>
      <w:r w:rsidR="00807A02" w:rsidRPr="00E14F93">
        <w:rPr>
          <w:rFonts w:ascii="Book Antiqua" w:hAnsi="Book Antiqua"/>
          <w:sz w:val="24"/>
          <w:szCs w:val="24"/>
        </w:rPr>
        <w:t xml:space="preserve"> new osteoporosis t</w:t>
      </w:r>
      <w:r w:rsidR="000E4EA9" w:rsidRPr="00E14F93">
        <w:rPr>
          <w:rFonts w:ascii="Book Antiqua" w:hAnsi="Book Antiqua"/>
          <w:sz w:val="24"/>
          <w:szCs w:val="24"/>
        </w:rPr>
        <w:t>reatment</w:t>
      </w:r>
      <w:r w:rsidR="00807A02" w:rsidRPr="00E14F93">
        <w:rPr>
          <w:rFonts w:ascii="Book Antiqua" w:hAnsi="Book Antiqua"/>
          <w:sz w:val="24"/>
          <w:szCs w:val="24"/>
        </w:rPr>
        <w:t xml:space="preserve">. </w:t>
      </w:r>
    </w:p>
    <w:p w:rsidR="00807A02" w:rsidRPr="00E14F93" w:rsidRDefault="00807A02" w:rsidP="007967A4">
      <w:pPr>
        <w:spacing w:line="360" w:lineRule="auto"/>
        <w:jc w:val="both"/>
        <w:rPr>
          <w:rFonts w:ascii="Book Antiqua" w:hAnsi="Book Antiqua"/>
          <w:sz w:val="24"/>
          <w:szCs w:val="24"/>
        </w:rPr>
      </w:pPr>
    </w:p>
    <w:p w:rsidR="00807A02" w:rsidRPr="00E14F93" w:rsidRDefault="00A02F16" w:rsidP="007967A4">
      <w:pPr>
        <w:spacing w:line="360" w:lineRule="auto"/>
        <w:jc w:val="both"/>
        <w:rPr>
          <w:rFonts w:ascii="Book Antiqua" w:hAnsi="Book Antiqua"/>
          <w:sz w:val="24"/>
          <w:szCs w:val="24"/>
          <w:lang w:eastAsia="zh-CN"/>
        </w:rPr>
      </w:pPr>
      <w:r w:rsidRPr="00E14F93">
        <w:rPr>
          <w:rFonts w:ascii="Book Antiqua" w:hAnsi="Book Antiqua"/>
          <w:b/>
          <w:bCs/>
          <w:sz w:val="24"/>
          <w:szCs w:val="24"/>
        </w:rPr>
        <w:t>RESULTS:</w:t>
      </w:r>
      <w:r w:rsidRPr="00E14F93">
        <w:rPr>
          <w:rFonts w:ascii="Book Antiqua" w:hAnsi="Book Antiqua"/>
          <w:b/>
          <w:bCs/>
          <w:sz w:val="24"/>
          <w:szCs w:val="24"/>
          <w:lang w:eastAsia="zh-CN"/>
        </w:rPr>
        <w:t xml:space="preserve"> </w:t>
      </w:r>
      <w:r w:rsidR="000E4EA9" w:rsidRPr="00E14F93">
        <w:rPr>
          <w:rFonts w:ascii="Book Antiqua" w:hAnsi="Book Antiqua"/>
          <w:bCs/>
          <w:sz w:val="24"/>
          <w:szCs w:val="24"/>
          <w:lang w:eastAsia="zh-CN"/>
        </w:rPr>
        <w:t>There was a significant negative correlation between</w:t>
      </w:r>
      <w:r w:rsidR="00E656D2" w:rsidRPr="00E14F93">
        <w:rPr>
          <w:rFonts w:ascii="Book Antiqua" w:hAnsi="Book Antiqua"/>
          <w:b/>
          <w:bCs/>
          <w:sz w:val="24"/>
          <w:szCs w:val="24"/>
          <w:lang w:eastAsia="zh-CN"/>
        </w:rPr>
        <w:t xml:space="preserve"> </w:t>
      </w:r>
      <w:r w:rsidR="000E4EA9" w:rsidRPr="00E14F93">
        <w:rPr>
          <w:rFonts w:ascii="Book Antiqua" w:hAnsi="Book Antiqua"/>
          <w:bCs/>
          <w:sz w:val="24"/>
          <w:szCs w:val="24"/>
          <w:lang w:eastAsia="zh-CN"/>
        </w:rPr>
        <w:t>10-year probability of m</w:t>
      </w:r>
      <w:r w:rsidR="00807A02" w:rsidRPr="00E14F93">
        <w:rPr>
          <w:rFonts w:ascii="Book Antiqua" w:hAnsi="Book Antiqua"/>
          <w:sz w:val="24"/>
          <w:szCs w:val="24"/>
        </w:rPr>
        <w:t>ajor osteoporotic and hip fracture</w:t>
      </w:r>
      <w:r w:rsidR="000E4EA9" w:rsidRPr="00E14F93">
        <w:rPr>
          <w:rFonts w:ascii="Book Antiqua" w:hAnsi="Book Antiqua"/>
          <w:sz w:val="24"/>
          <w:szCs w:val="24"/>
        </w:rPr>
        <w:t>s</w:t>
      </w:r>
      <w:r w:rsidR="00807A02" w:rsidRPr="00E14F93">
        <w:rPr>
          <w:rFonts w:ascii="Book Antiqua" w:hAnsi="Book Antiqua"/>
          <w:sz w:val="24"/>
          <w:szCs w:val="24"/>
        </w:rPr>
        <w:t xml:space="preserve"> </w:t>
      </w:r>
      <w:r w:rsidR="000E4EA9" w:rsidRPr="00E14F93">
        <w:rPr>
          <w:rFonts w:ascii="Book Antiqua" w:hAnsi="Book Antiqua"/>
          <w:sz w:val="24"/>
          <w:szCs w:val="24"/>
        </w:rPr>
        <w:t>and</w:t>
      </w:r>
      <w:r w:rsidR="00807A02" w:rsidRPr="00E14F93">
        <w:rPr>
          <w:rFonts w:ascii="Book Antiqua" w:hAnsi="Book Antiqua"/>
          <w:sz w:val="24"/>
          <w:szCs w:val="24"/>
        </w:rPr>
        <w:t xml:space="preserve"> BMD at the total proximal femur at 2-years of t</w:t>
      </w:r>
      <w:r w:rsidR="000E4EA9" w:rsidRPr="00E14F93">
        <w:rPr>
          <w:rFonts w:ascii="Book Antiqua" w:hAnsi="Book Antiqua"/>
          <w:sz w:val="24"/>
          <w:szCs w:val="24"/>
        </w:rPr>
        <w:t>reatment</w:t>
      </w:r>
      <w:r w:rsidR="00807A02" w:rsidRPr="00E14F93">
        <w:rPr>
          <w:rFonts w:ascii="Book Antiqua" w:hAnsi="Book Antiqua"/>
          <w:sz w:val="24"/>
          <w:szCs w:val="24"/>
        </w:rPr>
        <w:t xml:space="preserve"> (R</w:t>
      </w:r>
      <w:r w:rsidR="00E656D2" w:rsidRPr="00E14F93">
        <w:rPr>
          <w:rFonts w:ascii="Book Antiqua" w:hAnsi="Book Antiqua"/>
          <w:sz w:val="24"/>
          <w:szCs w:val="24"/>
          <w:lang w:eastAsia="zh-CN"/>
        </w:rPr>
        <w:t xml:space="preserve"> </w:t>
      </w:r>
      <w:r w:rsidR="00807A02" w:rsidRPr="00E14F93">
        <w:rPr>
          <w:rFonts w:ascii="Book Antiqua" w:hAnsi="Book Antiqua"/>
          <w:sz w:val="24"/>
          <w:szCs w:val="24"/>
        </w:rPr>
        <w:t>= -0.449 and -0.479 respectively), and at 5-years (R</w:t>
      </w:r>
      <w:r w:rsidR="00E656D2" w:rsidRPr="00E14F93">
        <w:rPr>
          <w:rFonts w:ascii="Book Antiqua" w:hAnsi="Book Antiqua"/>
          <w:sz w:val="24"/>
          <w:szCs w:val="24"/>
          <w:lang w:eastAsia="zh-CN"/>
        </w:rPr>
        <w:t xml:space="preserve"> </w:t>
      </w:r>
      <w:r w:rsidR="00807A02" w:rsidRPr="00E14F93">
        <w:rPr>
          <w:rFonts w:ascii="Book Antiqua" w:hAnsi="Book Antiqua"/>
          <w:sz w:val="24"/>
          <w:szCs w:val="24"/>
        </w:rPr>
        <w:t>= -0.489 and -0.594 respectively). At both 2 years and 5 years of t</w:t>
      </w:r>
      <w:r w:rsidR="00BA3961" w:rsidRPr="00E14F93">
        <w:rPr>
          <w:rFonts w:ascii="Book Antiqua" w:hAnsi="Book Antiqua"/>
          <w:sz w:val="24"/>
          <w:szCs w:val="24"/>
        </w:rPr>
        <w:t>reatment</w:t>
      </w:r>
      <w:r w:rsidR="00807A02" w:rsidRPr="00E14F93">
        <w:rPr>
          <w:rFonts w:ascii="Book Antiqua" w:hAnsi="Book Antiqua"/>
          <w:sz w:val="24"/>
          <w:szCs w:val="24"/>
        </w:rPr>
        <w:t>,</w:t>
      </w:r>
      <w:r w:rsidR="00BA3961" w:rsidRPr="00E14F93">
        <w:rPr>
          <w:rFonts w:ascii="Book Antiqua" w:hAnsi="Book Antiqua"/>
          <w:sz w:val="24"/>
          <w:szCs w:val="24"/>
        </w:rPr>
        <w:t xml:space="preserve"> the</w:t>
      </w:r>
      <w:r w:rsidR="00807A02" w:rsidRPr="00E14F93">
        <w:rPr>
          <w:rFonts w:ascii="Book Antiqua" w:hAnsi="Book Antiqua"/>
          <w:sz w:val="24"/>
          <w:szCs w:val="24"/>
        </w:rPr>
        <w:t xml:space="preserve"> </w:t>
      </w:r>
      <w:r w:rsidR="00BA3961" w:rsidRPr="00E14F93">
        <w:rPr>
          <w:rFonts w:ascii="Book Antiqua" w:hAnsi="Book Antiqua"/>
          <w:sz w:val="24"/>
          <w:szCs w:val="24"/>
        </w:rPr>
        <w:t>10-year fracture probability showed</w:t>
      </w:r>
      <w:r w:rsidR="00807A02" w:rsidRPr="00E14F93">
        <w:rPr>
          <w:rFonts w:ascii="Book Antiqua" w:hAnsi="Book Antiqua"/>
          <w:sz w:val="24"/>
          <w:szCs w:val="24"/>
        </w:rPr>
        <w:t xml:space="preserve"> significant correlation </w:t>
      </w:r>
      <w:r w:rsidR="00BA3961" w:rsidRPr="00E14F93">
        <w:rPr>
          <w:rFonts w:ascii="Book Antiqua" w:hAnsi="Book Antiqua"/>
          <w:sz w:val="24"/>
          <w:szCs w:val="24"/>
        </w:rPr>
        <w:t xml:space="preserve">with </w:t>
      </w:r>
      <w:r w:rsidR="00807A02" w:rsidRPr="00E14F93">
        <w:rPr>
          <w:rFonts w:ascii="Book Antiqua" w:hAnsi="Book Antiqua"/>
          <w:sz w:val="24"/>
          <w:szCs w:val="24"/>
        </w:rPr>
        <w:t xml:space="preserve">the </w:t>
      </w:r>
      <w:r w:rsidR="00BA3961" w:rsidRPr="00E14F93">
        <w:rPr>
          <w:rFonts w:ascii="Book Antiqua" w:hAnsi="Book Antiqua"/>
          <w:sz w:val="24"/>
          <w:szCs w:val="24"/>
        </w:rPr>
        <w:t xml:space="preserve">incidence of </w:t>
      </w:r>
      <w:r w:rsidR="00807A02" w:rsidRPr="00E14F93">
        <w:rPr>
          <w:rFonts w:ascii="Book Antiqua" w:hAnsi="Book Antiqua"/>
          <w:sz w:val="24"/>
          <w:szCs w:val="24"/>
        </w:rPr>
        <w:t>fracture (</w:t>
      </w:r>
      <w:r w:rsidR="00807A02" w:rsidRPr="00E14F93">
        <w:rPr>
          <w:rFonts w:ascii="Book Antiqua" w:hAnsi="Book Antiqua"/>
          <w:i/>
          <w:sz w:val="24"/>
          <w:szCs w:val="24"/>
        </w:rPr>
        <w:t>P</w:t>
      </w:r>
      <w:r w:rsidR="00E656D2" w:rsidRPr="00E14F93">
        <w:rPr>
          <w:rFonts w:ascii="Book Antiqua" w:hAnsi="Book Antiqua"/>
          <w:sz w:val="24"/>
          <w:szCs w:val="24"/>
          <w:lang w:eastAsia="zh-CN"/>
        </w:rPr>
        <w:t xml:space="preserve"> </w:t>
      </w:r>
      <w:r w:rsidR="00807A02" w:rsidRPr="00E14F93">
        <w:rPr>
          <w:rFonts w:ascii="Book Antiqua" w:hAnsi="Book Antiqua"/>
          <w:sz w:val="24"/>
          <w:szCs w:val="24"/>
        </w:rPr>
        <w:t xml:space="preserve">&lt; 0.01). </w:t>
      </w:r>
      <w:r w:rsidR="00BA3961" w:rsidRPr="00E14F93">
        <w:rPr>
          <w:rFonts w:ascii="Book Antiqua" w:hAnsi="Book Antiqua"/>
          <w:sz w:val="24"/>
          <w:szCs w:val="24"/>
        </w:rPr>
        <w:t xml:space="preserve">On comparing </w:t>
      </w:r>
      <w:r w:rsidR="00BA3961" w:rsidRPr="00E14F93">
        <w:rPr>
          <w:rFonts w:ascii="Book Antiqua" w:hAnsi="Book Antiqua"/>
          <w:sz w:val="24"/>
          <w:szCs w:val="24"/>
        </w:rPr>
        <w:lastRenderedPageBreak/>
        <w:t>fracture probability, there was a</w:t>
      </w:r>
      <w:r w:rsidR="00807A02" w:rsidRPr="00E14F93">
        <w:rPr>
          <w:rFonts w:ascii="Book Antiqua" w:hAnsi="Book Antiqua"/>
          <w:sz w:val="24"/>
          <w:szCs w:val="24"/>
        </w:rPr>
        <w:t xml:space="preserve"> significant difference </w:t>
      </w:r>
      <w:r w:rsidR="00BA3961" w:rsidRPr="00E14F93">
        <w:rPr>
          <w:rFonts w:ascii="Book Antiqua" w:hAnsi="Book Antiqua"/>
          <w:sz w:val="24"/>
          <w:szCs w:val="24"/>
        </w:rPr>
        <w:t>(</w:t>
      </w:r>
      <w:r w:rsidR="00BA3961" w:rsidRPr="00E14F93">
        <w:rPr>
          <w:rFonts w:ascii="Book Antiqua" w:hAnsi="Book Antiqua"/>
          <w:i/>
          <w:sz w:val="24"/>
          <w:szCs w:val="24"/>
        </w:rPr>
        <w:t>P</w:t>
      </w:r>
      <w:r w:rsidR="00E656D2" w:rsidRPr="00E14F93">
        <w:rPr>
          <w:rFonts w:ascii="Book Antiqua" w:hAnsi="Book Antiqua"/>
          <w:sz w:val="24"/>
          <w:szCs w:val="24"/>
          <w:lang w:eastAsia="zh-CN"/>
        </w:rPr>
        <w:t xml:space="preserve"> </w:t>
      </w:r>
      <w:r w:rsidR="00BA3961" w:rsidRPr="00E14F93">
        <w:rPr>
          <w:rFonts w:ascii="Book Antiqua" w:hAnsi="Book Antiqua"/>
          <w:sz w:val="24"/>
          <w:szCs w:val="24"/>
        </w:rPr>
        <w:t xml:space="preserve">&lt; 0.05) </w:t>
      </w:r>
      <w:r w:rsidR="00807A02" w:rsidRPr="00E14F93">
        <w:rPr>
          <w:rFonts w:ascii="Book Antiqua" w:hAnsi="Book Antiqua"/>
          <w:sz w:val="24"/>
          <w:szCs w:val="24"/>
        </w:rPr>
        <w:t>between the responders and non-responders to osteoporosis t</w:t>
      </w:r>
      <w:r w:rsidR="00BA3961" w:rsidRPr="00E14F93">
        <w:rPr>
          <w:rFonts w:ascii="Book Antiqua" w:hAnsi="Book Antiqua"/>
          <w:sz w:val="24"/>
          <w:szCs w:val="24"/>
        </w:rPr>
        <w:t>reatment</w:t>
      </w:r>
      <w:r w:rsidR="00807A02" w:rsidRPr="00E14F93">
        <w:rPr>
          <w:rFonts w:ascii="Book Antiqua" w:hAnsi="Book Antiqua"/>
          <w:sz w:val="24"/>
          <w:szCs w:val="24"/>
        </w:rPr>
        <w:t>.</w:t>
      </w:r>
    </w:p>
    <w:p w:rsidR="00A02F16" w:rsidRPr="00E14F93" w:rsidRDefault="00A02F16" w:rsidP="007967A4">
      <w:pPr>
        <w:spacing w:line="360" w:lineRule="auto"/>
        <w:jc w:val="both"/>
        <w:rPr>
          <w:rFonts w:ascii="Book Antiqua" w:hAnsi="Book Antiqua"/>
          <w:b/>
          <w:bCs/>
          <w:sz w:val="24"/>
          <w:szCs w:val="24"/>
          <w:lang w:eastAsia="zh-CN"/>
        </w:rPr>
      </w:pPr>
    </w:p>
    <w:p w:rsidR="00807A02" w:rsidRPr="00E14F93" w:rsidRDefault="00A02F16" w:rsidP="007967A4">
      <w:pPr>
        <w:spacing w:line="360" w:lineRule="auto"/>
        <w:jc w:val="both"/>
        <w:rPr>
          <w:rFonts w:ascii="Book Antiqua" w:hAnsi="Book Antiqua"/>
          <w:sz w:val="24"/>
          <w:szCs w:val="24"/>
          <w:lang w:eastAsia="zh-CN"/>
        </w:rPr>
      </w:pPr>
      <w:r w:rsidRPr="00E14F93">
        <w:rPr>
          <w:rFonts w:ascii="Book Antiqua" w:hAnsi="Book Antiqua"/>
          <w:b/>
          <w:bCs/>
          <w:sz w:val="24"/>
          <w:szCs w:val="24"/>
        </w:rPr>
        <w:t>CONCLUSION:</w:t>
      </w:r>
      <w:r w:rsidRPr="00E14F93">
        <w:rPr>
          <w:rFonts w:ascii="Book Antiqua" w:hAnsi="Book Antiqua"/>
          <w:b/>
          <w:bCs/>
          <w:sz w:val="24"/>
          <w:szCs w:val="24"/>
          <w:lang w:eastAsia="zh-CN"/>
        </w:rPr>
        <w:t xml:space="preserve"> </w:t>
      </w:r>
      <w:r w:rsidR="00BA3961" w:rsidRPr="00E14F93">
        <w:rPr>
          <w:rFonts w:ascii="Book Antiqua" w:hAnsi="Book Antiqua"/>
          <w:bCs/>
          <w:sz w:val="24"/>
          <w:szCs w:val="24"/>
          <w:lang w:eastAsia="zh-CN"/>
        </w:rPr>
        <w:t>I</w:t>
      </w:r>
      <w:r w:rsidR="00BA3961" w:rsidRPr="00E14F93">
        <w:rPr>
          <w:rFonts w:ascii="Book Antiqua" w:hAnsi="Book Antiqua"/>
          <w:sz w:val="24"/>
          <w:szCs w:val="24"/>
        </w:rPr>
        <w:t xml:space="preserve">n women currently or previously treated for osteoporosis, </w:t>
      </w:r>
      <w:r w:rsidR="00807A02" w:rsidRPr="00E14F93">
        <w:rPr>
          <w:rFonts w:ascii="Book Antiqua" w:hAnsi="Book Antiqua"/>
          <w:sz w:val="24"/>
          <w:szCs w:val="24"/>
        </w:rPr>
        <w:t>the FRAX tool can be used to predict fracture probability. Osteoporosis t</w:t>
      </w:r>
      <w:r w:rsidR="00BA3961" w:rsidRPr="00E14F93">
        <w:rPr>
          <w:rFonts w:ascii="Book Antiqua" w:hAnsi="Book Antiqua"/>
          <w:sz w:val="24"/>
          <w:szCs w:val="24"/>
        </w:rPr>
        <w:t>reatment</w:t>
      </w:r>
      <w:r w:rsidR="00807A02" w:rsidRPr="00E14F93">
        <w:rPr>
          <w:rFonts w:ascii="Book Antiqua" w:hAnsi="Book Antiqua"/>
          <w:sz w:val="24"/>
          <w:szCs w:val="24"/>
        </w:rPr>
        <w:t xml:space="preserve"> does not </w:t>
      </w:r>
      <w:r w:rsidR="00BA3961" w:rsidRPr="00E14F93">
        <w:rPr>
          <w:rFonts w:ascii="Book Antiqua" w:hAnsi="Book Antiqua"/>
          <w:sz w:val="24"/>
          <w:szCs w:val="24"/>
        </w:rPr>
        <w:t>annul</w:t>
      </w:r>
      <w:r w:rsidR="00807A02" w:rsidRPr="00E14F93">
        <w:rPr>
          <w:rFonts w:ascii="Book Antiqua" w:hAnsi="Book Antiqua"/>
          <w:sz w:val="24"/>
          <w:szCs w:val="24"/>
        </w:rPr>
        <w:t xml:space="preserve"> prediction</w:t>
      </w:r>
      <w:r w:rsidR="00BA3961" w:rsidRPr="00E14F93">
        <w:rPr>
          <w:rFonts w:ascii="Book Antiqua" w:hAnsi="Book Antiqua"/>
          <w:sz w:val="24"/>
          <w:szCs w:val="24"/>
        </w:rPr>
        <w:t xml:space="preserve"> of fractures. </w:t>
      </w:r>
      <w:r w:rsidR="00807A02" w:rsidRPr="00E14F93">
        <w:rPr>
          <w:rFonts w:ascii="Book Antiqua" w:hAnsi="Book Antiqua"/>
          <w:sz w:val="24"/>
          <w:szCs w:val="24"/>
        </w:rPr>
        <w:t xml:space="preserve">FRAX </w:t>
      </w:r>
      <w:r w:rsidR="00BA3961" w:rsidRPr="00E14F93">
        <w:rPr>
          <w:rFonts w:ascii="Book Antiqua" w:hAnsi="Book Antiqua"/>
          <w:sz w:val="24"/>
          <w:szCs w:val="24"/>
        </w:rPr>
        <w:t xml:space="preserve">tool </w:t>
      </w:r>
      <w:r w:rsidR="00807A02" w:rsidRPr="00E14F93">
        <w:rPr>
          <w:rFonts w:ascii="Book Antiqua" w:hAnsi="Book Antiqua"/>
          <w:sz w:val="24"/>
          <w:szCs w:val="24"/>
        </w:rPr>
        <w:t>may</w:t>
      </w:r>
      <w:r w:rsidR="00BA3961" w:rsidRPr="00E14F93">
        <w:rPr>
          <w:rFonts w:ascii="Book Antiqua" w:hAnsi="Book Antiqua"/>
          <w:sz w:val="24"/>
          <w:szCs w:val="24"/>
        </w:rPr>
        <w:t xml:space="preserve"> be of value in</w:t>
      </w:r>
      <w:r w:rsidR="00807A02" w:rsidRPr="00E14F93">
        <w:rPr>
          <w:rFonts w:ascii="Book Antiqua" w:hAnsi="Book Antiqua"/>
          <w:sz w:val="24"/>
          <w:szCs w:val="24"/>
        </w:rPr>
        <w:t xml:space="preserve"> guiding clinicians towards the need for continu</w:t>
      </w:r>
      <w:r w:rsidR="00BA3961" w:rsidRPr="00E14F93">
        <w:rPr>
          <w:rFonts w:ascii="Book Antiqua" w:hAnsi="Book Antiqua"/>
          <w:sz w:val="24"/>
          <w:szCs w:val="24"/>
        </w:rPr>
        <w:t>ation</w:t>
      </w:r>
      <w:r w:rsidR="00807A02" w:rsidRPr="00E14F93">
        <w:rPr>
          <w:rFonts w:ascii="Book Antiqua" w:hAnsi="Book Antiqua"/>
          <w:sz w:val="24"/>
          <w:szCs w:val="24"/>
        </w:rPr>
        <w:t xml:space="preserve"> or</w:t>
      </w:r>
      <w:r w:rsidR="00BA3961" w:rsidRPr="00E14F93">
        <w:rPr>
          <w:rFonts w:ascii="Book Antiqua" w:hAnsi="Book Antiqua"/>
          <w:sz w:val="24"/>
          <w:szCs w:val="24"/>
        </w:rPr>
        <w:t xml:space="preserve"> withdrawal of treatment</w:t>
      </w:r>
      <w:r w:rsidR="00807A02" w:rsidRPr="00E14F93">
        <w:rPr>
          <w:rFonts w:ascii="Book Antiqua" w:hAnsi="Book Antiqua"/>
          <w:sz w:val="24"/>
          <w:szCs w:val="24"/>
        </w:rPr>
        <w:t>.</w:t>
      </w:r>
    </w:p>
    <w:p w:rsidR="00E656D2" w:rsidRPr="00E14F93" w:rsidRDefault="00E656D2" w:rsidP="007967A4">
      <w:pPr>
        <w:spacing w:line="360" w:lineRule="auto"/>
        <w:jc w:val="both"/>
        <w:rPr>
          <w:rFonts w:ascii="Book Antiqua" w:hAnsi="Book Antiqua"/>
          <w:sz w:val="24"/>
          <w:szCs w:val="24"/>
          <w:lang w:eastAsia="zh-CN"/>
        </w:rPr>
      </w:pPr>
    </w:p>
    <w:p w:rsidR="00E656D2" w:rsidRPr="00E14F93" w:rsidRDefault="00E656D2" w:rsidP="007967A4">
      <w:pPr>
        <w:spacing w:line="360" w:lineRule="auto"/>
        <w:jc w:val="both"/>
        <w:rPr>
          <w:rFonts w:ascii="Book Antiqua" w:hAnsi="Book Antiqua"/>
          <w:sz w:val="24"/>
          <w:szCs w:val="24"/>
          <w:lang w:val="en-GB" w:eastAsia="zh-CN"/>
        </w:rPr>
      </w:pPr>
      <w:r w:rsidRPr="00E14F93">
        <w:rPr>
          <w:rFonts w:ascii="Book Antiqua" w:hAnsi="Book Antiqua"/>
          <w:sz w:val="24"/>
          <w:szCs w:val="24"/>
        </w:rPr>
        <w:t xml:space="preserve">© </w:t>
      </w:r>
      <w:r w:rsidRPr="00E14F93">
        <w:rPr>
          <w:rFonts w:ascii="Book Antiqua" w:hAnsi="Book Antiqua"/>
          <w:sz w:val="24"/>
          <w:szCs w:val="24"/>
          <w:lang w:val="en-GB"/>
        </w:rPr>
        <w:t xml:space="preserve">2014 </w:t>
      </w:r>
      <w:proofErr w:type="spellStart"/>
      <w:r w:rsidRPr="00E14F93">
        <w:rPr>
          <w:rFonts w:ascii="Book Antiqua" w:hAnsi="Book Antiqua"/>
          <w:sz w:val="24"/>
          <w:szCs w:val="24"/>
          <w:lang w:val="en-GB"/>
        </w:rPr>
        <w:t>Baishideng</w:t>
      </w:r>
      <w:proofErr w:type="spellEnd"/>
      <w:r w:rsidRPr="00E14F93">
        <w:rPr>
          <w:rFonts w:ascii="Book Antiqua" w:hAnsi="Book Antiqua"/>
          <w:sz w:val="24"/>
          <w:szCs w:val="24"/>
          <w:lang w:val="en-GB"/>
        </w:rPr>
        <w:t xml:space="preserve"> Publishing Group Inc. All rights reserved.</w:t>
      </w:r>
    </w:p>
    <w:p w:rsidR="00E656D2" w:rsidRPr="00E14F93" w:rsidRDefault="00E656D2" w:rsidP="007967A4">
      <w:pPr>
        <w:spacing w:line="360" w:lineRule="auto"/>
        <w:jc w:val="both"/>
        <w:rPr>
          <w:rFonts w:ascii="Book Antiqua" w:hAnsi="Book Antiqua"/>
          <w:sz w:val="24"/>
          <w:szCs w:val="24"/>
          <w:lang w:eastAsia="zh-CN"/>
        </w:rPr>
      </w:pPr>
    </w:p>
    <w:p w:rsidR="00220E7B" w:rsidRPr="00E14F93" w:rsidRDefault="00220E7B" w:rsidP="007967A4">
      <w:pPr>
        <w:spacing w:line="360" w:lineRule="auto"/>
        <w:jc w:val="both"/>
        <w:rPr>
          <w:rFonts w:ascii="Book Antiqua" w:hAnsi="Book Antiqua"/>
          <w:b/>
          <w:bCs/>
          <w:sz w:val="24"/>
          <w:szCs w:val="24"/>
        </w:rPr>
      </w:pPr>
      <w:r w:rsidRPr="00E14F93">
        <w:rPr>
          <w:rFonts w:ascii="Book Antiqua" w:hAnsi="Book Antiqua"/>
          <w:b/>
          <w:bCs/>
          <w:sz w:val="24"/>
          <w:szCs w:val="24"/>
        </w:rPr>
        <w:t>Key words:</w:t>
      </w:r>
      <w:r w:rsidRPr="00E14F93">
        <w:rPr>
          <w:rFonts w:ascii="Book Antiqua" w:hAnsi="Book Antiqua"/>
          <w:b/>
          <w:bCs/>
          <w:sz w:val="24"/>
          <w:szCs w:val="24"/>
          <w:lang w:eastAsia="zh-CN"/>
        </w:rPr>
        <w:t xml:space="preserve"> </w:t>
      </w:r>
      <w:r w:rsidRPr="00E14F93">
        <w:rPr>
          <w:rFonts w:ascii="Book Antiqua" w:hAnsi="Book Antiqua"/>
          <w:sz w:val="24"/>
          <w:szCs w:val="24"/>
        </w:rPr>
        <w:t>The World Health Organization fracture risk assessment tool</w:t>
      </w:r>
      <w:r w:rsidRPr="00E14F93">
        <w:rPr>
          <w:rFonts w:ascii="Book Antiqua" w:hAnsi="Book Antiqua"/>
          <w:bCs/>
          <w:sz w:val="24"/>
          <w:szCs w:val="24"/>
          <w:lang w:eastAsia="zh-CN"/>
        </w:rPr>
        <w:t>;</w:t>
      </w:r>
      <w:r w:rsidRPr="00E14F93">
        <w:rPr>
          <w:rFonts w:ascii="Book Antiqua" w:hAnsi="Book Antiqua"/>
          <w:bCs/>
          <w:sz w:val="24"/>
          <w:szCs w:val="24"/>
        </w:rPr>
        <w:t xml:space="preserve"> Osteoporosis</w:t>
      </w:r>
      <w:r w:rsidRPr="00E14F93">
        <w:rPr>
          <w:rFonts w:ascii="Book Antiqua" w:hAnsi="Book Antiqua"/>
          <w:bCs/>
          <w:sz w:val="24"/>
          <w:szCs w:val="24"/>
          <w:lang w:eastAsia="zh-CN"/>
        </w:rPr>
        <w:t>;</w:t>
      </w:r>
      <w:r w:rsidRPr="00E14F93">
        <w:rPr>
          <w:rFonts w:ascii="Book Antiqua" w:hAnsi="Book Antiqua"/>
          <w:bCs/>
          <w:sz w:val="24"/>
          <w:szCs w:val="24"/>
        </w:rPr>
        <w:t xml:space="preserve"> fracture</w:t>
      </w:r>
      <w:r w:rsidRPr="00E14F93">
        <w:rPr>
          <w:rFonts w:ascii="Book Antiqua" w:hAnsi="Book Antiqua"/>
          <w:bCs/>
          <w:sz w:val="24"/>
          <w:szCs w:val="24"/>
          <w:lang w:eastAsia="zh-CN"/>
        </w:rPr>
        <w:t>;</w:t>
      </w:r>
      <w:r w:rsidRPr="00E14F93">
        <w:rPr>
          <w:rFonts w:ascii="Book Antiqua" w:hAnsi="Book Antiqua"/>
          <w:bCs/>
          <w:sz w:val="24"/>
          <w:szCs w:val="24"/>
        </w:rPr>
        <w:t xml:space="preserve"> </w:t>
      </w:r>
      <w:r w:rsidRPr="00E14F93">
        <w:rPr>
          <w:rFonts w:ascii="Book Antiqua" w:hAnsi="Book Antiqua"/>
          <w:sz w:val="24"/>
          <w:szCs w:val="24"/>
          <w:lang w:val="en-GB"/>
        </w:rPr>
        <w:t>Dual-energy X-ray absorptiometry</w:t>
      </w:r>
    </w:p>
    <w:p w:rsidR="00A02F16" w:rsidRPr="00E14F93" w:rsidRDefault="00A02F16" w:rsidP="007967A4">
      <w:pPr>
        <w:spacing w:line="360" w:lineRule="auto"/>
        <w:jc w:val="both"/>
        <w:rPr>
          <w:rFonts w:ascii="Book Antiqua" w:hAnsi="Book Antiqua"/>
          <w:b/>
          <w:bCs/>
          <w:sz w:val="24"/>
          <w:szCs w:val="24"/>
          <w:lang w:eastAsia="zh-CN"/>
        </w:rPr>
      </w:pPr>
    </w:p>
    <w:p w:rsidR="00356DC9" w:rsidRPr="00E14F93" w:rsidRDefault="00E656D2" w:rsidP="007967A4">
      <w:pPr>
        <w:spacing w:line="360" w:lineRule="auto"/>
        <w:jc w:val="both"/>
        <w:rPr>
          <w:rFonts w:ascii="Book Antiqua" w:hAnsi="Book Antiqua"/>
          <w:bCs/>
          <w:sz w:val="24"/>
          <w:szCs w:val="24"/>
        </w:rPr>
      </w:pPr>
      <w:r w:rsidRPr="00E14F93">
        <w:rPr>
          <w:rFonts w:ascii="Book Antiqua" w:hAnsi="Book Antiqua"/>
          <w:b/>
          <w:bCs/>
          <w:sz w:val="24"/>
          <w:szCs w:val="24"/>
          <w:lang w:eastAsia="zh-CN"/>
        </w:rPr>
        <w:t>Core tip</w:t>
      </w:r>
      <w:r w:rsidR="00356DC9" w:rsidRPr="00E14F93">
        <w:rPr>
          <w:rFonts w:ascii="Book Antiqua" w:hAnsi="Book Antiqua"/>
          <w:b/>
          <w:bCs/>
          <w:sz w:val="24"/>
          <w:szCs w:val="24"/>
        </w:rPr>
        <w:t xml:space="preserve">: </w:t>
      </w:r>
      <w:r w:rsidR="00356DC9" w:rsidRPr="00E14F93">
        <w:rPr>
          <w:rFonts w:ascii="Book Antiqua" w:hAnsi="Book Antiqua"/>
          <w:bCs/>
          <w:sz w:val="24"/>
          <w:szCs w:val="24"/>
        </w:rPr>
        <w:t>Treatment of osteoporosis should assure that the patient benefits from the treatment without experiencing undue harm. Monitoring of patients treated for osteoporosi</w:t>
      </w:r>
      <w:r w:rsidR="00220E7B" w:rsidRPr="00E14F93">
        <w:rPr>
          <w:rFonts w:ascii="Book Antiqua" w:hAnsi="Book Antiqua"/>
          <w:bCs/>
          <w:sz w:val="24"/>
          <w:szCs w:val="24"/>
        </w:rPr>
        <w:t xml:space="preserve">s has been </w:t>
      </w:r>
      <w:r w:rsidR="00356DC9" w:rsidRPr="00E14F93">
        <w:rPr>
          <w:rFonts w:ascii="Book Antiqua" w:hAnsi="Book Antiqua"/>
          <w:bCs/>
          <w:sz w:val="24"/>
          <w:szCs w:val="24"/>
        </w:rPr>
        <w:t xml:space="preserve">recommended and so far </w:t>
      </w:r>
      <w:r w:rsidR="00220E7B" w:rsidRPr="00E14F93">
        <w:rPr>
          <w:rFonts w:ascii="Book Antiqua" w:hAnsi="Book Antiqua"/>
          <w:sz w:val="24"/>
          <w:szCs w:val="24"/>
          <w:lang w:val="en-GB"/>
        </w:rPr>
        <w:t>dual-energy X-ray absorptiometry</w:t>
      </w:r>
      <w:r w:rsidR="00220E7B" w:rsidRPr="00E14F93">
        <w:rPr>
          <w:rFonts w:ascii="Book Antiqua" w:hAnsi="Book Antiqua"/>
          <w:bCs/>
          <w:sz w:val="24"/>
          <w:szCs w:val="24"/>
        </w:rPr>
        <w:t xml:space="preserve"> </w:t>
      </w:r>
      <w:r w:rsidR="00356DC9" w:rsidRPr="00E14F93">
        <w:rPr>
          <w:rFonts w:ascii="Book Antiqua" w:hAnsi="Book Antiqua"/>
          <w:bCs/>
          <w:sz w:val="24"/>
          <w:szCs w:val="24"/>
        </w:rPr>
        <w:t xml:space="preserve">has been recognized as the tool to monitor osteoporosis therapy by several clinical practice guidelines. Recently, the duration of osteoporosis therapy became a research question with the possibility of having a drug holiday. However, more research is still needed to adequately assess when to stop the osteoporosis therapy and what is the optimal duration of the drug holiday. This work was carried out aiming at determining whether </w:t>
      </w:r>
      <w:r w:rsidR="00220E7B" w:rsidRPr="00E14F93">
        <w:rPr>
          <w:rFonts w:ascii="Book Antiqua" w:hAnsi="Book Antiqua"/>
          <w:sz w:val="24"/>
          <w:szCs w:val="24"/>
        </w:rPr>
        <w:t>the World Health Organization fracture risk assessment tool</w:t>
      </w:r>
      <w:r w:rsidR="00356DC9" w:rsidRPr="00E14F93">
        <w:rPr>
          <w:rFonts w:ascii="Book Antiqua" w:hAnsi="Book Antiqua"/>
          <w:bCs/>
          <w:sz w:val="24"/>
          <w:szCs w:val="24"/>
        </w:rPr>
        <w:t xml:space="preserve"> can be used </w:t>
      </w:r>
      <w:r w:rsidR="0062227A" w:rsidRPr="00E14F93">
        <w:rPr>
          <w:rFonts w:ascii="Book Antiqua" w:hAnsi="Book Antiqua"/>
          <w:bCs/>
          <w:sz w:val="24"/>
          <w:szCs w:val="24"/>
        </w:rPr>
        <w:t>as a tool to</w:t>
      </w:r>
      <w:r w:rsidR="00356DC9" w:rsidRPr="00E14F93">
        <w:rPr>
          <w:rFonts w:ascii="Book Antiqua" w:hAnsi="Book Antiqua"/>
          <w:bCs/>
          <w:sz w:val="24"/>
          <w:szCs w:val="24"/>
        </w:rPr>
        <w:t xml:space="preserve"> monitor patients receiving osteoporosis t</w:t>
      </w:r>
      <w:r w:rsidR="00BA3961" w:rsidRPr="00E14F93">
        <w:rPr>
          <w:rFonts w:ascii="Book Antiqua" w:hAnsi="Book Antiqua"/>
          <w:bCs/>
          <w:sz w:val="24"/>
          <w:szCs w:val="24"/>
        </w:rPr>
        <w:t>reatment</w:t>
      </w:r>
      <w:r w:rsidR="00356DC9" w:rsidRPr="00E14F93">
        <w:rPr>
          <w:rFonts w:ascii="Book Antiqua" w:hAnsi="Book Antiqua"/>
          <w:bCs/>
          <w:sz w:val="24"/>
          <w:szCs w:val="24"/>
        </w:rPr>
        <w:t xml:space="preserve"> and to evaluate its ability to predict new low trauma fractures.</w:t>
      </w:r>
    </w:p>
    <w:p w:rsidR="00E656D2" w:rsidRPr="00E14F93" w:rsidRDefault="00E656D2" w:rsidP="007967A4">
      <w:pPr>
        <w:spacing w:line="360" w:lineRule="auto"/>
        <w:jc w:val="both"/>
        <w:rPr>
          <w:rFonts w:ascii="Book Antiqua" w:hAnsi="Book Antiqua"/>
          <w:sz w:val="24"/>
          <w:szCs w:val="24"/>
          <w:lang w:eastAsia="zh-CN"/>
        </w:rPr>
      </w:pPr>
    </w:p>
    <w:p w:rsidR="00E656D2" w:rsidRPr="00E14F93" w:rsidRDefault="00E656D2" w:rsidP="007967A4">
      <w:pPr>
        <w:spacing w:line="360" w:lineRule="auto"/>
        <w:jc w:val="both"/>
        <w:rPr>
          <w:rFonts w:ascii="Book Antiqua" w:hAnsi="Book Antiqua"/>
          <w:bCs/>
          <w:sz w:val="24"/>
          <w:szCs w:val="24"/>
          <w:lang w:val="en-GB" w:eastAsia="zh-CN"/>
        </w:rPr>
      </w:pPr>
      <w:r w:rsidRPr="00E14F93">
        <w:rPr>
          <w:rFonts w:ascii="Book Antiqua" w:hAnsi="Book Antiqua"/>
          <w:sz w:val="24"/>
          <w:szCs w:val="24"/>
          <w:lang w:val="en-GB"/>
        </w:rPr>
        <w:t xml:space="preserve">El </w:t>
      </w:r>
      <w:proofErr w:type="spellStart"/>
      <w:r w:rsidRPr="00E14F93">
        <w:rPr>
          <w:rFonts w:ascii="Book Antiqua" w:hAnsi="Book Antiqua"/>
          <w:sz w:val="24"/>
          <w:szCs w:val="24"/>
          <w:lang w:val="en-GB"/>
        </w:rPr>
        <w:t>Miedany</w:t>
      </w:r>
      <w:proofErr w:type="spellEnd"/>
      <w:r w:rsidRPr="00E14F93">
        <w:rPr>
          <w:rFonts w:ascii="Book Antiqua" w:hAnsi="Book Antiqua"/>
          <w:sz w:val="24"/>
          <w:szCs w:val="24"/>
          <w:lang w:val="en-GB"/>
        </w:rPr>
        <w:t xml:space="preserve"> Y, El </w:t>
      </w:r>
      <w:proofErr w:type="spellStart"/>
      <w:r w:rsidRPr="00E14F93">
        <w:rPr>
          <w:rFonts w:ascii="Book Antiqua" w:hAnsi="Book Antiqua"/>
          <w:sz w:val="24"/>
          <w:szCs w:val="24"/>
          <w:lang w:val="en-GB"/>
        </w:rPr>
        <w:t>Gaafary</w:t>
      </w:r>
      <w:proofErr w:type="spellEnd"/>
      <w:r w:rsidRPr="00E14F93">
        <w:rPr>
          <w:rFonts w:ascii="Book Antiqua" w:hAnsi="Book Antiqua"/>
          <w:sz w:val="24"/>
          <w:szCs w:val="24"/>
          <w:lang w:val="en-GB"/>
        </w:rPr>
        <w:t xml:space="preserve"> M, El </w:t>
      </w:r>
      <w:proofErr w:type="spellStart"/>
      <w:r w:rsidRPr="00E14F93">
        <w:rPr>
          <w:rFonts w:ascii="Book Antiqua" w:hAnsi="Book Antiqua"/>
          <w:sz w:val="24"/>
          <w:szCs w:val="24"/>
          <w:lang w:val="en-GB"/>
        </w:rPr>
        <w:t>Yassaki</w:t>
      </w:r>
      <w:proofErr w:type="spellEnd"/>
      <w:r w:rsidRPr="00E14F93">
        <w:rPr>
          <w:rFonts w:ascii="Book Antiqua" w:hAnsi="Book Antiqua"/>
          <w:sz w:val="24"/>
          <w:szCs w:val="24"/>
          <w:lang w:val="en-GB"/>
        </w:rPr>
        <w:t xml:space="preserve"> A, Youssef S, </w:t>
      </w:r>
      <w:proofErr w:type="gramStart"/>
      <w:r w:rsidRPr="00E14F93">
        <w:rPr>
          <w:rFonts w:ascii="Book Antiqua" w:hAnsi="Book Antiqua"/>
          <w:sz w:val="24"/>
          <w:szCs w:val="24"/>
          <w:lang w:val="en-GB"/>
        </w:rPr>
        <w:t>Nasr</w:t>
      </w:r>
      <w:proofErr w:type="gramEnd"/>
      <w:r w:rsidRPr="00E14F93">
        <w:rPr>
          <w:rFonts w:ascii="Book Antiqua" w:hAnsi="Book Antiqua"/>
          <w:sz w:val="24"/>
          <w:szCs w:val="24"/>
          <w:lang w:val="en-GB"/>
        </w:rPr>
        <w:t xml:space="preserve"> A, Ahmed I.</w:t>
      </w:r>
      <w:r w:rsidRPr="00E14F93">
        <w:rPr>
          <w:rFonts w:ascii="Book Antiqua" w:hAnsi="Book Antiqua"/>
          <w:bCs/>
          <w:sz w:val="24"/>
          <w:szCs w:val="24"/>
          <w:lang w:val="en-GB"/>
        </w:rPr>
        <w:t xml:space="preserve"> Monitoring osteoporosis therapy: Can FRAX help assessing success or failure in achieving treatment goals?</w:t>
      </w:r>
      <w:r w:rsidRPr="00E14F93">
        <w:rPr>
          <w:rFonts w:ascii="Book Antiqua" w:hAnsi="Book Antiqua"/>
          <w:bCs/>
          <w:sz w:val="24"/>
          <w:szCs w:val="24"/>
          <w:lang w:val="en-GB" w:eastAsia="zh-CN"/>
        </w:rPr>
        <w:t xml:space="preserve"> </w:t>
      </w:r>
      <w:r w:rsidRPr="00E14F93">
        <w:rPr>
          <w:rFonts w:ascii="Book Antiqua" w:hAnsi="Book Antiqua"/>
          <w:i/>
          <w:iCs/>
          <w:sz w:val="24"/>
          <w:szCs w:val="24"/>
        </w:rPr>
        <w:t xml:space="preserve">World J </w:t>
      </w:r>
      <w:proofErr w:type="spellStart"/>
      <w:r w:rsidRPr="00E14F93">
        <w:rPr>
          <w:rFonts w:ascii="Book Antiqua" w:hAnsi="Book Antiqua"/>
          <w:i/>
          <w:iCs/>
          <w:sz w:val="24"/>
          <w:szCs w:val="24"/>
        </w:rPr>
        <w:t>Rheumatol</w:t>
      </w:r>
      <w:proofErr w:type="spellEnd"/>
      <w:r w:rsidRPr="00E14F93">
        <w:rPr>
          <w:rFonts w:ascii="Book Antiqua" w:hAnsi="Book Antiqua"/>
          <w:i/>
          <w:iCs/>
          <w:sz w:val="24"/>
          <w:szCs w:val="24"/>
          <w:lang w:eastAsia="zh-CN"/>
        </w:rPr>
        <w:t xml:space="preserve"> </w:t>
      </w:r>
      <w:r w:rsidRPr="00E14F93">
        <w:rPr>
          <w:rFonts w:ascii="Book Antiqua" w:hAnsi="Book Antiqua"/>
          <w:iCs/>
          <w:sz w:val="24"/>
          <w:szCs w:val="24"/>
          <w:lang w:eastAsia="zh-CN"/>
        </w:rPr>
        <w:t xml:space="preserve">2014; </w:t>
      </w:r>
      <w:proofErr w:type="gramStart"/>
      <w:r w:rsidRPr="00E14F93">
        <w:rPr>
          <w:rFonts w:ascii="Book Antiqua" w:hAnsi="Book Antiqua"/>
          <w:iCs/>
          <w:sz w:val="24"/>
          <w:szCs w:val="24"/>
          <w:lang w:eastAsia="zh-CN"/>
        </w:rPr>
        <w:t>In</w:t>
      </w:r>
      <w:proofErr w:type="gramEnd"/>
      <w:r w:rsidRPr="00E14F93">
        <w:rPr>
          <w:rFonts w:ascii="Book Antiqua" w:hAnsi="Book Antiqua"/>
          <w:iCs/>
          <w:sz w:val="24"/>
          <w:szCs w:val="24"/>
          <w:lang w:eastAsia="zh-CN"/>
        </w:rPr>
        <w:t xml:space="preserve"> press</w:t>
      </w:r>
    </w:p>
    <w:p w:rsidR="00E656D2" w:rsidRPr="00E14F93" w:rsidRDefault="00E656D2" w:rsidP="007967A4">
      <w:pPr>
        <w:spacing w:line="360" w:lineRule="auto"/>
        <w:jc w:val="both"/>
        <w:rPr>
          <w:rFonts w:ascii="Book Antiqua" w:hAnsi="Book Antiqua"/>
          <w:sz w:val="24"/>
          <w:szCs w:val="24"/>
          <w:lang w:val="en-GB" w:eastAsia="zh-CN"/>
        </w:rPr>
      </w:pPr>
    </w:p>
    <w:p w:rsidR="00807A02" w:rsidRPr="00E14F93" w:rsidRDefault="00E656D2" w:rsidP="007967A4">
      <w:pPr>
        <w:spacing w:line="360" w:lineRule="auto"/>
        <w:jc w:val="both"/>
        <w:rPr>
          <w:rFonts w:ascii="Book Antiqua" w:hAnsi="Book Antiqua"/>
          <w:b/>
          <w:bCs/>
          <w:sz w:val="24"/>
          <w:szCs w:val="24"/>
          <w:lang w:val="en-GB" w:eastAsia="zh-CN"/>
        </w:rPr>
      </w:pPr>
      <w:r w:rsidRPr="00E14F93">
        <w:rPr>
          <w:rFonts w:ascii="Book Antiqua" w:hAnsi="Book Antiqua"/>
          <w:b/>
          <w:bCs/>
          <w:sz w:val="24"/>
          <w:szCs w:val="24"/>
          <w:lang w:val="en-GB"/>
        </w:rPr>
        <w:lastRenderedPageBreak/>
        <w:t>INTRODUCTION</w:t>
      </w:r>
    </w:p>
    <w:p w:rsidR="00807A02" w:rsidRPr="00E14F93" w:rsidRDefault="00807A02" w:rsidP="007967A4">
      <w:pPr>
        <w:spacing w:line="360" w:lineRule="auto"/>
        <w:jc w:val="both"/>
        <w:rPr>
          <w:rFonts w:ascii="Book Antiqua" w:hAnsi="Book Antiqua"/>
          <w:sz w:val="24"/>
          <w:szCs w:val="24"/>
          <w:lang w:val="en-GB"/>
        </w:rPr>
      </w:pPr>
      <w:r w:rsidRPr="00E14F93">
        <w:rPr>
          <w:rFonts w:ascii="Book Antiqua" w:hAnsi="Book Antiqua"/>
          <w:sz w:val="24"/>
          <w:szCs w:val="24"/>
          <w:lang w:val="en-GB"/>
        </w:rPr>
        <w:t xml:space="preserve">Osteoporosis is a prevalent condition that may exist in a silent form, in which increased fracture risk can be detected by measurement of bone mineral density (BMD), or as a symptomatic condition after </w:t>
      </w:r>
      <w:r w:rsidR="007967A4" w:rsidRPr="00E14F93">
        <w:rPr>
          <w:rFonts w:ascii="Book Antiqua" w:hAnsi="Book Antiqua"/>
          <w:sz w:val="24"/>
          <w:szCs w:val="24"/>
          <w:lang w:val="en-GB"/>
        </w:rPr>
        <w:t xml:space="preserve">fragility fracture has </w:t>
      </w:r>
      <w:proofErr w:type="gramStart"/>
      <w:r w:rsidR="007967A4" w:rsidRPr="00E14F93">
        <w:rPr>
          <w:rFonts w:ascii="Book Antiqua" w:hAnsi="Book Antiqua"/>
          <w:sz w:val="24"/>
          <w:szCs w:val="24"/>
          <w:lang w:val="en-GB"/>
        </w:rPr>
        <w:t>occurred</w:t>
      </w:r>
      <w:r w:rsidRPr="00E14F93">
        <w:rPr>
          <w:rFonts w:ascii="Book Antiqua" w:hAnsi="Book Antiqua"/>
          <w:sz w:val="24"/>
          <w:szCs w:val="24"/>
          <w:vertAlign w:val="superscript"/>
          <w:lang w:val="en-GB"/>
        </w:rPr>
        <w:t>[</w:t>
      </w:r>
      <w:proofErr w:type="gramEnd"/>
      <w:r w:rsidRPr="00E14F93">
        <w:rPr>
          <w:rFonts w:ascii="Book Antiqua" w:hAnsi="Book Antiqua"/>
          <w:sz w:val="24"/>
          <w:szCs w:val="24"/>
          <w:vertAlign w:val="superscript"/>
          <w:lang w:val="en-GB"/>
        </w:rPr>
        <w:t>1]</w:t>
      </w:r>
      <w:r w:rsidRPr="00E14F93">
        <w:rPr>
          <w:rFonts w:ascii="Book Antiqua" w:hAnsi="Book Antiqua"/>
          <w:sz w:val="24"/>
          <w:szCs w:val="24"/>
          <w:lang w:val="en-GB"/>
        </w:rPr>
        <w:t xml:space="preserve">. In standard clinical practice, bone mineral density measured by </w:t>
      </w:r>
      <w:r w:rsidR="007967A4" w:rsidRPr="00E14F93">
        <w:rPr>
          <w:rFonts w:ascii="Book Antiqua" w:hAnsi="Book Antiqua"/>
          <w:sz w:val="24"/>
          <w:szCs w:val="24"/>
          <w:lang w:val="en-GB"/>
        </w:rPr>
        <w:t>d</w:t>
      </w:r>
      <w:r w:rsidRPr="00E14F93">
        <w:rPr>
          <w:rFonts w:ascii="Book Antiqua" w:hAnsi="Book Antiqua"/>
          <w:sz w:val="24"/>
          <w:szCs w:val="24"/>
          <w:lang w:val="en-GB"/>
        </w:rPr>
        <w:t xml:space="preserve">ual-energy X-ray </w:t>
      </w:r>
      <w:r w:rsidR="007967A4" w:rsidRPr="00E14F93">
        <w:rPr>
          <w:rFonts w:ascii="Book Antiqua" w:hAnsi="Book Antiqua"/>
          <w:sz w:val="24"/>
          <w:szCs w:val="24"/>
          <w:lang w:val="en-GB"/>
        </w:rPr>
        <w:t>a</w:t>
      </w:r>
      <w:r w:rsidRPr="00E14F93">
        <w:rPr>
          <w:rFonts w:ascii="Book Antiqua" w:hAnsi="Book Antiqua"/>
          <w:sz w:val="24"/>
          <w:szCs w:val="24"/>
          <w:lang w:val="en-GB"/>
        </w:rPr>
        <w:t>bsorptiometry (DXA) is used to diagnose osteoporosis, assess fracture risk, and provide input for the World Health Organization (WHO) fract</w:t>
      </w:r>
      <w:r w:rsidR="007967A4" w:rsidRPr="00E14F93">
        <w:rPr>
          <w:rFonts w:ascii="Book Antiqua" w:hAnsi="Book Antiqua"/>
          <w:sz w:val="24"/>
          <w:szCs w:val="24"/>
          <w:lang w:val="en-GB"/>
        </w:rPr>
        <w:t>ure risk assessment tool (FRAX</w:t>
      </w:r>
      <w:proofErr w:type="gramStart"/>
      <w:r w:rsidR="007967A4" w:rsidRPr="00E14F93">
        <w:rPr>
          <w:rFonts w:ascii="Book Antiqua" w:hAnsi="Book Antiqua"/>
          <w:sz w:val="24"/>
          <w:szCs w:val="24"/>
          <w:lang w:val="en-GB"/>
        </w:rPr>
        <w:t>)</w:t>
      </w:r>
      <w:r w:rsidRPr="00E14F93">
        <w:rPr>
          <w:rFonts w:ascii="Book Antiqua" w:hAnsi="Book Antiqua"/>
          <w:sz w:val="24"/>
          <w:szCs w:val="24"/>
          <w:vertAlign w:val="superscript"/>
          <w:lang w:val="en-GB"/>
        </w:rPr>
        <w:t>[</w:t>
      </w:r>
      <w:proofErr w:type="gramEnd"/>
      <w:r w:rsidRPr="00E14F93">
        <w:rPr>
          <w:rFonts w:ascii="Book Antiqua" w:hAnsi="Book Antiqua"/>
          <w:sz w:val="24"/>
          <w:szCs w:val="24"/>
          <w:vertAlign w:val="superscript"/>
          <w:lang w:val="en-GB"/>
        </w:rPr>
        <w:t>2]</w:t>
      </w:r>
      <w:r w:rsidRPr="00E14F93">
        <w:rPr>
          <w:rFonts w:ascii="Book Antiqua" w:hAnsi="Book Antiqua"/>
          <w:sz w:val="24"/>
          <w:szCs w:val="24"/>
          <w:lang w:val="en-GB"/>
        </w:rPr>
        <w:t>. The conventional wisdom is that patients should be screened for risk factors and those who are at high risk for fracture should be identified by means of BMD testing. Consequently, those who are at sufficiently high risk of fracture should receive pharmacological therapy to reduce the risk of fractures. This has been reported to be the most cost-effective strategy to reduce the huge personal and econom</w:t>
      </w:r>
      <w:r w:rsidR="007967A4" w:rsidRPr="00E14F93">
        <w:rPr>
          <w:rFonts w:ascii="Book Antiqua" w:hAnsi="Book Antiqua"/>
          <w:sz w:val="24"/>
          <w:szCs w:val="24"/>
          <w:lang w:val="en-GB"/>
        </w:rPr>
        <w:t xml:space="preserve">ic burden of </w:t>
      </w:r>
      <w:proofErr w:type="gramStart"/>
      <w:r w:rsidR="007967A4" w:rsidRPr="00E14F93">
        <w:rPr>
          <w:rFonts w:ascii="Book Antiqua" w:hAnsi="Book Antiqua"/>
          <w:sz w:val="24"/>
          <w:szCs w:val="24"/>
          <w:lang w:val="en-GB"/>
        </w:rPr>
        <w:t>osteoporosis</w:t>
      </w:r>
      <w:r w:rsidRPr="00E14F93">
        <w:rPr>
          <w:rFonts w:ascii="Book Antiqua" w:hAnsi="Book Antiqua"/>
          <w:sz w:val="24"/>
          <w:szCs w:val="24"/>
          <w:vertAlign w:val="superscript"/>
          <w:lang w:val="en-GB"/>
        </w:rPr>
        <w:t>[</w:t>
      </w:r>
      <w:proofErr w:type="gramEnd"/>
      <w:r w:rsidRPr="00E14F93">
        <w:rPr>
          <w:rFonts w:ascii="Book Antiqua" w:hAnsi="Book Antiqua"/>
          <w:sz w:val="24"/>
          <w:szCs w:val="24"/>
          <w:vertAlign w:val="superscript"/>
          <w:lang w:val="en-GB"/>
        </w:rPr>
        <w:t>3]</w:t>
      </w:r>
      <w:r w:rsidRPr="00E14F93">
        <w:rPr>
          <w:rFonts w:ascii="Book Antiqua" w:hAnsi="Book Antiqua"/>
          <w:sz w:val="24"/>
          <w:szCs w:val="24"/>
          <w:lang w:val="en-GB"/>
        </w:rPr>
        <w:t>. Treatment of osteoporosis should assure that the patient benefits from the treatment without experiencing undue harm. Monitoring of patients treated for osteoporosis has been also recommended and so far DXA has been recognized as the tool to monitor osteoporosis therapy by several clinical practice guidelines. Recently, the duration of osteoporosis therapy became a research question with the possibility of having a drug holiday. However, more research is still needed to adequately assess when to stop the osteoporosis therapy and what is the optimal duration of the drug holiday.</w:t>
      </w:r>
    </w:p>
    <w:p w:rsidR="00807A02" w:rsidRPr="00E14F93" w:rsidRDefault="00807A02" w:rsidP="007967A4">
      <w:pPr>
        <w:spacing w:line="360" w:lineRule="auto"/>
        <w:ind w:firstLineChars="100" w:firstLine="240"/>
        <w:jc w:val="both"/>
        <w:rPr>
          <w:rFonts w:ascii="Book Antiqua" w:hAnsi="Book Antiqua"/>
          <w:sz w:val="24"/>
          <w:szCs w:val="24"/>
          <w:lang w:val="en-GB"/>
        </w:rPr>
      </w:pPr>
      <w:r w:rsidRPr="00E14F93">
        <w:rPr>
          <w:rFonts w:ascii="Book Antiqua" w:hAnsi="Book Antiqua"/>
          <w:sz w:val="24"/>
          <w:szCs w:val="24"/>
          <w:lang w:val="en-GB"/>
        </w:rPr>
        <w:t xml:space="preserve">The fracture risk assessment system (FRAX), </w:t>
      </w:r>
      <w:r w:rsidR="00AA71DB" w:rsidRPr="00E14F93">
        <w:rPr>
          <w:rFonts w:ascii="Book Antiqua" w:hAnsi="Book Antiqua"/>
          <w:sz w:val="24"/>
          <w:szCs w:val="24"/>
          <w:lang w:val="en-GB"/>
        </w:rPr>
        <w:t xml:space="preserve">a diagnostic tool used to evaluate the 10-year probability of bone fracture risk based on the individual’s risk factor profile, was </w:t>
      </w:r>
      <w:r w:rsidRPr="00E14F93">
        <w:rPr>
          <w:rFonts w:ascii="Book Antiqua" w:hAnsi="Book Antiqua"/>
          <w:sz w:val="24"/>
          <w:szCs w:val="24"/>
          <w:lang w:val="en-GB"/>
        </w:rPr>
        <w:t xml:space="preserve">developed by the WHO Collaborating Centre for Metabolic Bone </w:t>
      </w:r>
      <w:proofErr w:type="gramStart"/>
      <w:r w:rsidRPr="00E14F93">
        <w:rPr>
          <w:rFonts w:ascii="Book Antiqua" w:hAnsi="Book Antiqua"/>
          <w:sz w:val="24"/>
          <w:szCs w:val="24"/>
          <w:lang w:val="en-GB"/>
        </w:rPr>
        <w:t>Diseases</w:t>
      </w:r>
      <w:r w:rsidR="00AA71DB" w:rsidRPr="002A342B">
        <w:rPr>
          <w:rFonts w:ascii="Book Antiqua" w:hAnsi="Book Antiqua"/>
          <w:sz w:val="24"/>
          <w:szCs w:val="24"/>
          <w:vertAlign w:val="superscript"/>
          <w:lang w:val="en-GB"/>
        </w:rPr>
        <w:t>[</w:t>
      </w:r>
      <w:proofErr w:type="gramEnd"/>
      <w:r w:rsidRPr="002A342B">
        <w:rPr>
          <w:rFonts w:ascii="Book Antiqua" w:hAnsi="Book Antiqua"/>
          <w:sz w:val="24"/>
          <w:szCs w:val="24"/>
          <w:vertAlign w:val="superscript"/>
          <w:lang w:val="en-GB"/>
        </w:rPr>
        <w:t>4]</w:t>
      </w:r>
      <w:r w:rsidRPr="00E14F93">
        <w:rPr>
          <w:rFonts w:ascii="Book Antiqua" w:hAnsi="Book Antiqua"/>
          <w:sz w:val="24"/>
          <w:szCs w:val="24"/>
          <w:lang w:val="en-GB"/>
        </w:rPr>
        <w:t xml:space="preserve">. FRAX proved to be of great benefit, not only in patients whose DXA revealed osteoporosis, but also in the </w:t>
      </w:r>
      <w:proofErr w:type="spellStart"/>
      <w:r w:rsidRPr="00E14F93">
        <w:rPr>
          <w:rFonts w:ascii="Book Antiqua" w:hAnsi="Book Antiqua"/>
          <w:sz w:val="24"/>
          <w:szCs w:val="24"/>
          <w:lang w:val="en-GB"/>
        </w:rPr>
        <w:t>osteopenic</w:t>
      </w:r>
      <w:proofErr w:type="spellEnd"/>
      <w:r w:rsidRPr="00E14F93">
        <w:rPr>
          <w:rFonts w:ascii="Book Antiqua" w:hAnsi="Book Antiqua"/>
          <w:sz w:val="24"/>
          <w:szCs w:val="24"/>
          <w:lang w:val="en-GB"/>
        </w:rPr>
        <w:t xml:space="preserve"> patients. The </w:t>
      </w:r>
      <w:r w:rsidR="00AA71DB" w:rsidRPr="00E14F93">
        <w:rPr>
          <w:rFonts w:ascii="Book Antiqua" w:hAnsi="Book Antiqua"/>
          <w:sz w:val="24"/>
          <w:szCs w:val="24"/>
          <w:lang w:val="en-GB"/>
        </w:rPr>
        <w:t>implementation</w:t>
      </w:r>
      <w:r w:rsidRPr="00E14F93">
        <w:rPr>
          <w:rFonts w:ascii="Book Antiqua" w:hAnsi="Book Antiqua"/>
          <w:sz w:val="24"/>
          <w:szCs w:val="24"/>
          <w:lang w:val="en-GB"/>
        </w:rPr>
        <w:t xml:space="preserve"> of 10-year fracture risk probability assessment in </w:t>
      </w:r>
      <w:r w:rsidR="00AA71DB" w:rsidRPr="00E14F93">
        <w:rPr>
          <w:rFonts w:ascii="Book Antiqua" w:hAnsi="Book Antiqua"/>
          <w:sz w:val="24"/>
          <w:szCs w:val="24"/>
          <w:lang w:val="en-GB"/>
        </w:rPr>
        <w:t xml:space="preserve">day to day </w:t>
      </w:r>
      <w:r w:rsidRPr="00E14F93">
        <w:rPr>
          <w:rFonts w:ascii="Book Antiqua" w:hAnsi="Book Antiqua"/>
          <w:sz w:val="24"/>
          <w:szCs w:val="24"/>
          <w:lang w:val="en-GB"/>
        </w:rPr>
        <w:t xml:space="preserve">clinical practice </w:t>
      </w:r>
      <w:r w:rsidR="00833F80" w:rsidRPr="00E14F93">
        <w:rPr>
          <w:rFonts w:ascii="Book Antiqua" w:hAnsi="Book Antiqua"/>
          <w:sz w:val="24"/>
          <w:szCs w:val="24"/>
          <w:lang w:val="en-GB"/>
        </w:rPr>
        <w:t xml:space="preserve">impacted </w:t>
      </w:r>
      <w:r w:rsidRPr="00E14F93">
        <w:rPr>
          <w:rFonts w:ascii="Book Antiqua" w:hAnsi="Book Antiqua"/>
          <w:sz w:val="24"/>
          <w:szCs w:val="24"/>
          <w:lang w:val="en-GB"/>
        </w:rPr>
        <w:t>positive</w:t>
      </w:r>
      <w:r w:rsidR="00833F80" w:rsidRPr="00E14F93">
        <w:rPr>
          <w:rFonts w:ascii="Book Antiqua" w:hAnsi="Book Antiqua"/>
          <w:sz w:val="24"/>
          <w:szCs w:val="24"/>
          <w:lang w:val="en-GB"/>
        </w:rPr>
        <w:t>ly</w:t>
      </w:r>
      <w:r w:rsidRPr="00E14F93">
        <w:rPr>
          <w:rFonts w:ascii="Book Antiqua" w:hAnsi="Book Antiqua"/>
          <w:sz w:val="24"/>
          <w:szCs w:val="24"/>
          <w:lang w:val="en-GB"/>
        </w:rPr>
        <w:t xml:space="preserve"> on the physicians’ prescribing </w:t>
      </w:r>
      <w:proofErr w:type="gramStart"/>
      <w:r w:rsidRPr="00E14F93">
        <w:rPr>
          <w:rFonts w:ascii="Book Antiqua" w:hAnsi="Book Antiqua"/>
          <w:sz w:val="24"/>
          <w:szCs w:val="24"/>
          <w:lang w:val="en-GB"/>
        </w:rPr>
        <w:t>p</w:t>
      </w:r>
      <w:r w:rsidR="00833F80" w:rsidRPr="00E14F93">
        <w:rPr>
          <w:rFonts w:ascii="Book Antiqua" w:hAnsi="Book Antiqua"/>
          <w:sz w:val="24"/>
          <w:szCs w:val="24"/>
          <w:lang w:val="en-GB"/>
        </w:rPr>
        <w:t>attern</w:t>
      </w:r>
      <w:r w:rsidRPr="00E14F93">
        <w:rPr>
          <w:rFonts w:ascii="Book Antiqua" w:hAnsi="Book Antiqua"/>
          <w:sz w:val="24"/>
          <w:szCs w:val="24"/>
          <w:vertAlign w:val="superscript"/>
          <w:lang w:val="en-GB"/>
        </w:rPr>
        <w:t>[</w:t>
      </w:r>
      <w:proofErr w:type="gramEnd"/>
      <w:r w:rsidRPr="00E14F93">
        <w:rPr>
          <w:rFonts w:ascii="Book Antiqua" w:hAnsi="Book Antiqua"/>
          <w:sz w:val="24"/>
          <w:szCs w:val="24"/>
          <w:vertAlign w:val="superscript"/>
          <w:lang w:val="en-GB"/>
        </w:rPr>
        <w:t>5]</w:t>
      </w:r>
      <w:r w:rsidRPr="00E14F93">
        <w:rPr>
          <w:rFonts w:ascii="Book Antiqua" w:hAnsi="Book Antiqua"/>
          <w:sz w:val="24"/>
          <w:szCs w:val="24"/>
          <w:lang w:val="en-GB"/>
        </w:rPr>
        <w:t xml:space="preserve">. However, when first implemented, it has been </w:t>
      </w:r>
      <w:r w:rsidR="00AA71DB" w:rsidRPr="00E14F93">
        <w:rPr>
          <w:rFonts w:ascii="Book Antiqua" w:hAnsi="Book Antiqua"/>
          <w:sz w:val="24"/>
          <w:szCs w:val="24"/>
          <w:lang w:val="en-GB"/>
        </w:rPr>
        <w:t>recommended</w:t>
      </w:r>
      <w:r w:rsidRPr="00E14F93">
        <w:rPr>
          <w:rFonts w:ascii="Book Antiqua" w:hAnsi="Book Antiqua"/>
          <w:sz w:val="24"/>
          <w:szCs w:val="24"/>
          <w:lang w:val="en-GB"/>
        </w:rPr>
        <w:t xml:space="preserve"> that FRAX should </w:t>
      </w:r>
      <w:r w:rsidR="00833F80" w:rsidRPr="00E14F93">
        <w:rPr>
          <w:rFonts w:ascii="Book Antiqua" w:hAnsi="Book Antiqua"/>
          <w:sz w:val="24"/>
          <w:szCs w:val="24"/>
          <w:lang w:val="en-GB"/>
        </w:rPr>
        <w:t xml:space="preserve">be used only for osteoporosis therapy naïve patients and </w:t>
      </w:r>
      <w:r w:rsidRPr="00E14F93">
        <w:rPr>
          <w:rFonts w:ascii="Book Antiqua" w:hAnsi="Book Antiqua"/>
          <w:sz w:val="24"/>
          <w:szCs w:val="24"/>
          <w:lang w:val="en-GB"/>
        </w:rPr>
        <w:t xml:space="preserve">not </w:t>
      </w:r>
      <w:r w:rsidR="00833F80" w:rsidRPr="00E14F93">
        <w:rPr>
          <w:rFonts w:ascii="Book Antiqua" w:hAnsi="Book Antiqua"/>
          <w:sz w:val="24"/>
          <w:szCs w:val="24"/>
          <w:lang w:val="en-GB"/>
        </w:rPr>
        <w:t xml:space="preserve">to </w:t>
      </w:r>
      <w:r w:rsidRPr="00E14F93">
        <w:rPr>
          <w:rFonts w:ascii="Book Antiqua" w:hAnsi="Book Antiqua"/>
          <w:sz w:val="24"/>
          <w:szCs w:val="24"/>
          <w:lang w:val="en-GB"/>
        </w:rPr>
        <w:t xml:space="preserve">be </w:t>
      </w:r>
      <w:r w:rsidR="00DF1E85" w:rsidRPr="00E14F93">
        <w:rPr>
          <w:rFonts w:ascii="Book Antiqua" w:hAnsi="Book Antiqua"/>
          <w:sz w:val="24"/>
          <w:szCs w:val="24"/>
          <w:lang w:val="en-GB"/>
        </w:rPr>
        <w:t xml:space="preserve">applied </w:t>
      </w:r>
      <w:r w:rsidR="00833F80" w:rsidRPr="00E14F93">
        <w:rPr>
          <w:rFonts w:ascii="Book Antiqua" w:hAnsi="Book Antiqua"/>
          <w:sz w:val="24"/>
          <w:szCs w:val="24"/>
          <w:lang w:val="en-GB"/>
        </w:rPr>
        <w:t>for the assessment of</w:t>
      </w:r>
      <w:r w:rsidRPr="00E14F93">
        <w:rPr>
          <w:rFonts w:ascii="Book Antiqua" w:hAnsi="Book Antiqua"/>
          <w:sz w:val="24"/>
          <w:szCs w:val="24"/>
          <w:lang w:val="en-GB"/>
        </w:rPr>
        <w:t xml:space="preserve"> the </w:t>
      </w:r>
      <w:r w:rsidR="00AA71DB" w:rsidRPr="00E14F93">
        <w:rPr>
          <w:rFonts w:ascii="Book Antiqua" w:hAnsi="Book Antiqua"/>
          <w:sz w:val="24"/>
          <w:szCs w:val="24"/>
          <w:lang w:val="en-GB"/>
        </w:rPr>
        <w:t>change</w:t>
      </w:r>
      <w:r w:rsidRPr="00E14F93">
        <w:rPr>
          <w:rFonts w:ascii="Book Antiqua" w:hAnsi="Book Antiqua"/>
          <w:sz w:val="24"/>
          <w:szCs w:val="24"/>
          <w:lang w:val="en-GB"/>
        </w:rPr>
        <w:t xml:space="preserve"> in fracture risk in individuals </w:t>
      </w:r>
      <w:r w:rsidR="00AA71DB" w:rsidRPr="00E14F93">
        <w:rPr>
          <w:rFonts w:ascii="Book Antiqua" w:hAnsi="Book Antiqua"/>
          <w:sz w:val="24"/>
          <w:szCs w:val="24"/>
          <w:lang w:val="en-GB"/>
        </w:rPr>
        <w:t>who received osteoporosis</w:t>
      </w:r>
      <w:r w:rsidRPr="00E14F93">
        <w:rPr>
          <w:rFonts w:ascii="Book Antiqua" w:hAnsi="Book Antiqua"/>
          <w:sz w:val="24"/>
          <w:szCs w:val="24"/>
          <w:lang w:val="en-GB"/>
        </w:rPr>
        <w:t xml:space="preserve"> treatment. This was attributed to the earlier clinical trials’ </w:t>
      </w:r>
      <w:r w:rsidRPr="00E14F93">
        <w:rPr>
          <w:rFonts w:ascii="Book Antiqua" w:hAnsi="Book Antiqua"/>
          <w:sz w:val="24"/>
          <w:szCs w:val="24"/>
          <w:lang w:val="en-GB"/>
        </w:rPr>
        <w:lastRenderedPageBreak/>
        <w:t xml:space="preserve">findings suggesting that </w:t>
      </w:r>
      <w:r w:rsidR="00833F80" w:rsidRPr="00E14F93">
        <w:rPr>
          <w:rFonts w:ascii="Book Antiqua" w:hAnsi="Book Antiqua"/>
          <w:sz w:val="24"/>
          <w:szCs w:val="24"/>
          <w:lang w:val="en-GB"/>
        </w:rPr>
        <w:t xml:space="preserve">the positive </w:t>
      </w:r>
      <w:r w:rsidRPr="00E14F93">
        <w:rPr>
          <w:rFonts w:ascii="Book Antiqua" w:hAnsi="Book Antiqua"/>
          <w:sz w:val="24"/>
          <w:szCs w:val="24"/>
          <w:lang w:val="en-GB"/>
        </w:rPr>
        <w:t xml:space="preserve">anti-fracture </w:t>
      </w:r>
      <w:r w:rsidR="00833F80" w:rsidRPr="00E14F93">
        <w:rPr>
          <w:rFonts w:ascii="Book Antiqua" w:hAnsi="Book Antiqua"/>
          <w:sz w:val="24"/>
          <w:szCs w:val="24"/>
          <w:lang w:val="en-GB"/>
        </w:rPr>
        <w:t>effect</w:t>
      </w:r>
      <w:r w:rsidRPr="00E14F93">
        <w:rPr>
          <w:rFonts w:ascii="Book Antiqua" w:hAnsi="Book Antiqua"/>
          <w:sz w:val="24"/>
          <w:szCs w:val="24"/>
          <w:lang w:val="en-GB"/>
        </w:rPr>
        <w:t xml:space="preserve"> from osteoporosis therapy is </w:t>
      </w:r>
      <w:r w:rsidR="00DF1E85" w:rsidRPr="00E14F93">
        <w:rPr>
          <w:rFonts w:ascii="Book Antiqua" w:hAnsi="Book Antiqua"/>
          <w:sz w:val="24"/>
          <w:szCs w:val="24"/>
          <w:lang w:val="en-GB"/>
        </w:rPr>
        <w:t>constantly</w:t>
      </w:r>
      <w:r w:rsidRPr="00E14F93">
        <w:rPr>
          <w:rFonts w:ascii="Book Antiqua" w:hAnsi="Book Antiqua"/>
          <w:sz w:val="24"/>
          <w:szCs w:val="24"/>
          <w:lang w:val="en-GB"/>
        </w:rPr>
        <w:t xml:space="preserve"> greater than what can be </w:t>
      </w:r>
      <w:r w:rsidR="00DF1E85" w:rsidRPr="00E14F93">
        <w:rPr>
          <w:rFonts w:ascii="Book Antiqua" w:hAnsi="Book Antiqua"/>
          <w:sz w:val="24"/>
          <w:szCs w:val="24"/>
          <w:lang w:val="en-GB"/>
        </w:rPr>
        <w:t>elucidated</w:t>
      </w:r>
      <w:r w:rsidRPr="00E14F93">
        <w:rPr>
          <w:rFonts w:ascii="Book Antiqua" w:hAnsi="Book Antiqua"/>
          <w:sz w:val="24"/>
          <w:szCs w:val="24"/>
          <w:lang w:val="en-GB"/>
        </w:rPr>
        <w:t xml:space="preserve"> from the increase in BMD </w:t>
      </w:r>
      <w:r w:rsidR="00DF1E85" w:rsidRPr="00E14F93">
        <w:rPr>
          <w:rFonts w:ascii="Book Antiqua" w:hAnsi="Book Antiqua"/>
          <w:sz w:val="24"/>
          <w:szCs w:val="24"/>
          <w:lang w:val="en-GB"/>
        </w:rPr>
        <w:t>only (which</w:t>
      </w:r>
      <w:r w:rsidRPr="00E14F93">
        <w:rPr>
          <w:rFonts w:ascii="Book Antiqua" w:hAnsi="Book Antiqua"/>
          <w:sz w:val="24"/>
          <w:szCs w:val="24"/>
          <w:lang w:val="en-GB"/>
        </w:rPr>
        <w:t xml:space="preserve"> accounts for only a fraction of the anti-fracture </w:t>
      </w:r>
      <w:r w:rsidR="00DF1E85" w:rsidRPr="00E14F93">
        <w:rPr>
          <w:rFonts w:ascii="Book Antiqua" w:hAnsi="Book Antiqua"/>
          <w:sz w:val="24"/>
          <w:szCs w:val="24"/>
          <w:lang w:val="en-GB"/>
        </w:rPr>
        <w:t>effect)</w:t>
      </w:r>
      <w:r w:rsidRPr="00E14F93">
        <w:rPr>
          <w:rFonts w:ascii="Book Antiqua" w:hAnsi="Book Antiqua"/>
          <w:sz w:val="24"/>
          <w:szCs w:val="24"/>
          <w:vertAlign w:val="superscript"/>
          <w:lang w:val="en-GB"/>
        </w:rPr>
        <w:t>[6-8]</w:t>
      </w:r>
      <w:r w:rsidRPr="00E14F93">
        <w:rPr>
          <w:rFonts w:ascii="Book Antiqua" w:hAnsi="Book Antiqua"/>
          <w:sz w:val="24"/>
          <w:szCs w:val="24"/>
          <w:lang w:val="en-GB"/>
        </w:rPr>
        <w:t xml:space="preserve">. On the other </w:t>
      </w:r>
      <w:r w:rsidR="00B8463E" w:rsidRPr="00E14F93">
        <w:rPr>
          <w:rFonts w:ascii="Book Antiqua" w:hAnsi="Book Antiqua"/>
          <w:sz w:val="24"/>
          <w:szCs w:val="24"/>
          <w:lang w:val="en-GB"/>
        </w:rPr>
        <w:t xml:space="preserve">hand, in most of the patients, bone mineral density </w:t>
      </w:r>
      <w:r w:rsidRPr="00E14F93">
        <w:rPr>
          <w:rFonts w:ascii="Book Antiqua" w:hAnsi="Book Antiqua"/>
          <w:sz w:val="24"/>
          <w:szCs w:val="24"/>
          <w:lang w:val="en-GB"/>
        </w:rPr>
        <w:t>is the only risk factor</w:t>
      </w:r>
      <w:r w:rsidR="00B8463E" w:rsidRPr="00E14F93">
        <w:rPr>
          <w:rFonts w:ascii="Book Antiqua" w:hAnsi="Book Antiqua"/>
          <w:sz w:val="24"/>
          <w:szCs w:val="24"/>
          <w:lang w:val="en-GB"/>
        </w:rPr>
        <w:t xml:space="preserve"> amongst those</w:t>
      </w:r>
      <w:r w:rsidRPr="00E14F93">
        <w:rPr>
          <w:rFonts w:ascii="Book Antiqua" w:hAnsi="Book Antiqua"/>
          <w:sz w:val="24"/>
          <w:szCs w:val="24"/>
          <w:lang w:val="en-GB"/>
        </w:rPr>
        <w:t xml:space="preserve"> </w:t>
      </w:r>
      <w:r w:rsidR="00B8463E" w:rsidRPr="00E14F93">
        <w:rPr>
          <w:rFonts w:ascii="Book Antiqua" w:hAnsi="Book Antiqua"/>
          <w:sz w:val="24"/>
          <w:szCs w:val="24"/>
          <w:lang w:val="en-GB"/>
        </w:rPr>
        <w:t>encompassed</w:t>
      </w:r>
      <w:r w:rsidRPr="00E14F93">
        <w:rPr>
          <w:rFonts w:ascii="Book Antiqua" w:hAnsi="Book Antiqua"/>
          <w:sz w:val="24"/>
          <w:szCs w:val="24"/>
          <w:lang w:val="en-GB"/>
        </w:rPr>
        <w:t xml:space="preserve"> in the FRAX model </w:t>
      </w:r>
      <w:r w:rsidR="00B8463E" w:rsidRPr="00E14F93">
        <w:rPr>
          <w:rFonts w:ascii="Book Antiqua" w:hAnsi="Book Antiqua"/>
          <w:sz w:val="24"/>
          <w:szCs w:val="24"/>
          <w:lang w:val="en-GB"/>
        </w:rPr>
        <w:t>expected to</w:t>
      </w:r>
      <w:r w:rsidRPr="00E14F93">
        <w:rPr>
          <w:rFonts w:ascii="Book Antiqua" w:hAnsi="Book Antiqua"/>
          <w:sz w:val="24"/>
          <w:szCs w:val="24"/>
          <w:lang w:val="en-GB"/>
        </w:rPr>
        <w:t xml:space="preserve"> </w:t>
      </w:r>
      <w:r w:rsidR="00B8463E" w:rsidRPr="00E14F93">
        <w:rPr>
          <w:rFonts w:ascii="Book Antiqua" w:hAnsi="Book Antiqua"/>
          <w:sz w:val="24"/>
          <w:szCs w:val="24"/>
          <w:lang w:val="en-GB"/>
        </w:rPr>
        <w:t xml:space="preserve">show a </w:t>
      </w:r>
      <w:r w:rsidRPr="00E14F93">
        <w:rPr>
          <w:rFonts w:ascii="Book Antiqua" w:hAnsi="Book Antiqua"/>
          <w:sz w:val="24"/>
          <w:szCs w:val="24"/>
          <w:lang w:val="en-GB"/>
        </w:rPr>
        <w:t>respon</w:t>
      </w:r>
      <w:r w:rsidR="00B8463E" w:rsidRPr="00E14F93">
        <w:rPr>
          <w:rFonts w:ascii="Book Antiqua" w:hAnsi="Book Antiqua"/>
          <w:sz w:val="24"/>
          <w:szCs w:val="24"/>
          <w:lang w:val="en-GB"/>
        </w:rPr>
        <w:t xml:space="preserve">se to treatment. </w:t>
      </w:r>
      <w:r w:rsidRPr="00E14F93">
        <w:rPr>
          <w:rFonts w:ascii="Book Antiqua" w:hAnsi="Book Antiqua"/>
          <w:sz w:val="24"/>
          <w:szCs w:val="24"/>
          <w:lang w:val="en-GB"/>
        </w:rPr>
        <w:t xml:space="preserve">Therefore, the notion of using FRAX as a tool to assess the impact of osteoporosis therapy on fracture prediction might sound logic. </w:t>
      </w:r>
    </w:p>
    <w:p w:rsidR="00807A02" w:rsidRPr="00E14F93" w:rsidRDefault="00807A02" w:rsidP="007967A4">
      <w:pPr>
        <w:spacing w:line="360" w:lineRule="auto"/>
        <w:ind w:firstLineChars="100" w:firstLine="240"/>
        <w:jc w:val="both"/>
        <w:rPr>
          <w:rFonts w:ascii="Book Antiqua" w:hAnsi="Book Antiqua"/>
          <w:sz w:val="24"/>
          <w:szCs w:val="24"/>
          <w:lang w:val="en-GB"/>
        </w:rPr>
      </w:pPr>
      <w:r w:rsidRPr="00E14F93">
        <w:rPr>
          <w:rFonts w:ascii="Book Antiqua" w:hAnsi="Book Antiqua"/>
          <w:sz w:val="24"/>
          <w:szCs w:val="24"/>
          <w:lang w:val="en-GB"/>
        </w:rPr>
        <w:t>This work was carried out aiming at determining whether FRAX can be used for monitoring patients receiving osteoporosis therapy and to evaluate its ability to predict new low trauma fractures.</w:t>
      </w:r>
    </w:p>
    <w:p w:rsidR="00807A02" w:rsidRPr="00E14F93" w:rsidRDefault="00807A02" w:rsidP="007967A4">
      <w:pPr>
        <w:spacing w:line="360" w:lineRule="auto"/>
        <w:jc w:val="both"/>
        <w:rPr>
          <w:rFonts w:ascii="Book Antiqua" w:hAnsi="Book Antiqua"/>
          <w:sz w:val="24"/>
          <w:szCs w:val="24"/>
          <w:lang w:val="en-GB"/>
        </w:rPr>
      </w:pPr>
    </w:p>
    <w:p w:rsidR="007967A4" w:rsidRPr="00E14F93" w:rsidRDefault="007967A4" w:rsidP="007967A4">
      <w:pPr>
        <w:spacing w:line="360" w:lineRule="auto"/>
        <w:rPr>
          <w:rFonts w:ascii="Book Antiqua" w:hAnsi="Book Antiqua"/>
          <w:b/>
          <w:sz w:val="24"/>
          <w:szCs w:val="24"/>
        </w:rPr>
      </w:pPr>
      <w:r w:rsidRPr="00E14F93">
        <w:rPr>
          <w:rFonts w:ascii="Book Antiqua" w:hAnsi="Book Antiqua"/>
          <w:b/>
          <w:sz w:val="24"/>
          <w:szCs w:val="24"/>
        </w:rPr>
        <w:t>MATERIALS AND METHODS</w:t>
      </w:r>
    </w:p>
    <w:p w:rsidR="00807A02" w:rsidRPr="00E14F93" w:rsidRDefault="007967A4" w:rsidP="007967A4">
      <w:pPr>
        <w:spacing w:line="360" w:lineRule="auto"/>
        <w:jc w:val="both"/>
        <w:rPr>
          <w:rFonts w:ascii="Book Antiqua" w:hAnsi="Book Antiqua"/>
          <w:i/>
          <w:sz w:val="24"/>
          <w:szCs w:val="24"/>
          <w:lang w:val="en-GB" w:eastAsia="zh-CN"/>
        </w:rPr>
      </w:pPr>
      <w:r w:rsidRPr="00E14F93">
        <w:rPr>
          <w:rFonts w:ascii="Book Antiqua" w:hAnsi="Book Antiqua"/>
          <w:b/>
          <w:bCs/>
          <w:i/>
          <w:sz w:val="24"/>
          <w:szCs w:val="24"/>
          <w:lang w:val="en-GB"/>
        </w:rPr>
        <w:t>Study</w:t>
      </w:r>
    </w:p>
    <w:p w:rsidR="00807A02" w:rsidRPr="00E14F93" w:rsidRDefault="00807A02" w:rsidP="007967A4">
      <w:pPr>
        <w:spacing w:line="360" w:lineRule="auto"/>
        <w:jc w:val="both"/>
        <w:rPr>
          <w:rFonts w:ascii="Book Antiqua" w:hAnsi="Book Antiqua"/>
          <w:sz w:val="24"/>
          <w:szCs w:val="24"/>
          <w:lang w:val="en-GB" w:eastAsia="zh-CN"/>
        </w:rPr>
      </w:pPr>
      <w:r w:rsidRPr="00E14F93">
        <w:rPr>
          <w:rFonts w:ascii="Book Antiqua" w:hAnsi="Book Antiqua"/>
          <w:sz w:val="24"/>
          <w:szCs w:val="24"/>
          <w:lang w:val="en-GB"/>
        </w:rPr>
        <w:t>This was a retrospective 5-year follow up study of a patients</w:t>
      </w:r>
      <w:r w:rsidR="0062227A" w:rsidRPr="00E14F93">
        <w:rPr>
          <w:rFonts w:ascii="Book Antiqua" w:hAnsi="Book Antiqua"/>
          <w:sz w:val="24"/>
          <w:szCs w:val="24"/>
          <w:lang w:val="en-GB"/>
        </w:rPr>
        <w:t xml:space="preserve"> cohort</w:t>
      </w:r>
      <w:r w:rsidRPr="00E14F93">
        <w:rPr>
          <w:rFonts w:ascii="Book Antiqua" w:hAnsi="Book Antiqua"/>
          <w:sz w:val="24"/>
          <w:szCs w:val="24"/>
          <w:lang w:val="en-GB"/>
        </w:rPr>
        <w:t xml:space="preserve"> diagnosed to have osteoporosis based on DXA scan measurement of their BMD and having a T-score of </w:t>
      </w:r>
      <w:r w:rsidRPr="00E14F93">
        <w:rPr>
          <w:rFonts w:ascii="Book Antiqua" w:hAnsi="Book Antiqua" w:cs="Arial"/>
          <w:sz w:val="24"/>
          <w:szCs w:val="24"/>
          <w:lang w:val="en-GB"/>
        </w:rPr>
        <w:t>≤</w:t>
      </w:r>
      <w:r w:rsidRPr="00E14F93">
        <w:rPr>
          <w:rFonts w:ascii="Book Antiqua" w:hAnsi="Book Antiqua"/>
          <w:sz w:val="24"/>
          <w:szCs w:val="24"/>
          <w:lang w:val="en-GB"/>
        </w:rPr>
        <w:t xml:space="preserve"> 2.5 at either neck of the femur or spine. </w:t>
      </w:r>
    </w:p>
    <w:p w:rsidR="007967A4" w:rsidRPr="00E14F93" w:rsidRDefault="007967A4" w:rsidP="007967A4">
      <w:pPr>
        <w:spacing w:line="360" w:lineRule="auto"/>
        <w:jc w:val="both"/>
        <w:rPr>
          <w:rFonts w:ascii="Book Antiqua" w:hAnsi="Book Antiqua"/>
          <w:sz w:val="24"/>
          <w:szCs w:val="24"/>
          <w:lang w:val="en-GB" w:eastAsia="zh-CN"/>
        </w:rPr>
      </w:pPr>
    </w:p>
    <w:p w:rsidR="007967A4" w:rsidRPr="00E14F93" w:rsidRDefault="00555AE0" w:rsidP="007967A4">
      <w:pPr>
        <w:spacing w:line="360" w:lineRule="auto"/>
        <w:jc w:val="both"/>
        <w:rPr>
          <w:rFonts w:ascii="Book Antiqua" w:hAnsi="Book Antiqua"/>
          <w:b/>
          <w:i/>
          <w:sz w:val="24"/>
          <w:szCs w:val="24"/>
          <w:lang w:val="en-GB" w:eastAsia="zh-CN"/>
        </w:rPr>
      </w:pPr>
      <w:r w:rsidRPr="00E14F93">
        <w:rPr>
          <w:rFonts w:ascii="Book Antiqua" w:hAnsi="Book Antiqua"/>
          <w:b/>
          <w:i/>
          <w:sz w:val="24"/>
          <w:szCs w:val="24"/>
          <w:lang w:val="en-GB"/>
        </w:rPr>
        <w:t>Ethics</w:t>
      </w:r>
    </w:p>
    <w:p w:rsidR="00807A02" w:rsidRPr="00E14F93" w:rsidRDefault="00807A02" w:rsidP="007967A4">
      <w:pPr>
        <w:spacing w:line="360" w:lineRule="auto"/>
        <w:jc w:val="both"/>
        <w:rPr>
          <w:rFonts w:ascii="Book Antiqua" w:hAnsi="Book Antiqua"/>
          <w:sz w:val="24"/>
          <w:szCs w:val="24"/>
          <w:lang w:val="en-GB" w:eastAsia="zh-CN"/>
        </w:rPr>
      </w:pPr>
      <w:r w:rsidRPr="00E14F93">
        <w:rPr>
          <w:rFonts w:ascii="Book Antiqua" w:hAnsi="Book Antiqua"/>
          <w:sz w:val="24"/>
          <w:szCs w:val="24"/>
          <w:lang w:val="en-GB"/>
        </w:rPr>
        <w:t>Local ethical and methodological protocols for approval of the study were followed. The study was approved by Ain Shams University research ethics committee. All patients who shared in the study signed an informed consent in keeping with the World Medical Association</w:t>
      </w:r>
      <w:r w:rsidR="007967A4" w:rsidRPr="00E14F93">
        <w:rPr>
          <w:rFonts w:ascii="Book Antiqua" w:hAnsi="Book Antiqua"/>
          <w:sz w:val="24"/>
          <w:szCs w:val="24"/>
          <w:lang w:val="en-GB" w:eastAsia="zh-CN"/>
        </w:rPr>
        <w:t>’</w:t>
      </w:r>
      <w:r w:rsidRPr="00E14F93">
        <w:rPr>
          <w:rFonts w:ascii="Book Antiqua" w:hAnsi="Book Antiqua"/>
          <w:sz w:val="24"/>
          <w:szCs w:val="24"/>
          <w:lang w:val="en-GB"/>
        </w:rPr>
        <w:t>s declaration of Helsinki.</w:t>
      </w:r>
    </w:p>
    <w:p w:rsidR="007967A4" w:rsidRPr="00E14F93" w:rsidRDefault="007967A4" w:rsidP="007967A4">
      <w:pPr>
        <w:spacing w:line="360" w:lineRule="auto"/>
        <w:jc w:val="both"/>
        <w:rPr>
          <w:rFonts w:ascii="Book Antiqua" w:hAnsi="Book Antiqua"/>
          <w:sz w:val="24"/>
          <w:szCs w:val="24"/>
          <w:lang w:val="en-GB" w:eastAsia="zh-CN"/>
        </w:rPr>
      </w:pPr>
    </w:p>
    <w:p w:rsidR="00807A02" w:rsidRPr="00E14F93" w:rsidRDefault="007967A4" w:rsidP="007967A4">
      <w:pPr>
        <w:spacing w:line="360" w:lineRule="auto"/>
        <w:jc w:val="both"/>
        <w:rPr>
          <w:rFonts w:ascii="Book Antiqua" w:hAnsi="Book Antiqua"/>
          <w:i/>
          <w:sz w:val="24"/>
          <w:szCs w:val="24"/>
          <w:lang w:val="en-GB" w:eastAsia="zh-CN"/>
        </w:rPr>
      </w:pPr>
      <w:r w:rsidRPr="00E14F93">
        <w:rPr>
          <w:rFonts w:ascii="Book Antiqua" w:hAnsi="Book Antiqua"/>
          <w:b/>
          <w:bCs/>
          <w:i/>
          <w:sz w:val="24"/>
          <w:szCs w:val="24"/>
          <w:lang w:val="en-GB"/>
        </w:rPr>
        <w:t>Patients</w:t>
      </w:r>
    </w:p>
    <w:p w:rsidR="00807A02" w:rsidRPr="00E14F93" w:rsidRDefault="00807A02" w:rsidP="007967A4">
      <w:pPr>
        <w:spacing w:line="360" w:lineRule="auto"/>
        <w:jc w:val="both"/>
        <w:rPr>
          <w:rFonts w:ascii="Book Antiqua" w:hAnsi="Book Antiqua"/>
          <w:sz w:val="24"/>
          <w:szCs w:val="24"/>
          <w:lang w:val="en-GB"/>
        </w:rPr>
      </w:pPr>
      <w:r w:rsidRPr="00E14F93">
        <w:rPr>
          <w:rFonts w:ascii="Book Antiqua" w:hAnsi="Book Antiqua"/>
          <w:sz w:val="24"/>
          <w:szCs w:val="24"/>
          <w:lang w:val="en-GB"/>
        </w:rPr>
        <w:t xml:space="preserve">Data from consecutive female patients referred for osteoporosis assessment and management were recorded. Inclusion criteria included: time since menopause at least 6 months and lumbar spine and/or neck of the femur BMD equal to or more than 2.5 SD below the mean for a normal population. Exclusion criteria were: (1) All women younger than 50 years as </w:t>
      </w:r>
      <w:r w:rsidR="00F671F7" w:rsidRPr="00E14F93">
        <w:rPr>
          <w:rFonts w:ascii="Book Antiqua" w:hAnsi="Book Antiqua"/>
          <w:sz w:val="24"/>
          <w:szCs w:val="24"/>
          <w:lang w:val="en-GB"/>
        </w:rPr>
        <w:t xml:space="preserve">individuals referred for BMD testing are less representative of </w:t>
      </w:r>
      <w:r w:rsidR="00F671F7" w:rsidRPr="00E14F93">
        <w:rPr>
          <w:rFonts w:ascii="Book Antiqua" w:hAnsi="Book Antiqua"/>
          <w:sz w:val="24"/>
          <w:szCs w:val="24"/>
          <w:lang w:val="en-GB"/>
        </w:rPr>
        <w:lastRenderedPageBreak/>
        <w:t xml:space="preserve">the general population; lack of agreed </w:t>
      </w:r>
      <w:r w:rsidR="00B8463E" w:rsidRPr="00E14F93">
        <w:rPr>
          <w:rFonts w:ascii="Book Antiqua" w:hAnsi="Book Antiqua"/>
          <w:sz w:val="24"/>
          <w:szCs w:val="24"/>
          <w:lang w:val="en-GB"/>
        </w:rPr>
        <w:t xml:space="preserve">treatment </w:t>
      </w:r>
      <w:r w:rsidR="00F671F7" w:rsidRPr="00E14F93">
        <w:rPr>
          <w:rFonts w:ascii="Book Antiqua" w:hAnsi="Book Antiqua"/>
          <w:sz w:val="24"/>
          <w:szCs w:val="24"/>
          <w:lang w:val="en-GB"/>
        </w:rPr>
        <w:t xml:space="preserve">protocols, and </w:t>
      </w:r>
      <w:r w:rsidRPr="00E14F93">
        <w:rPr>
          <w:rFonts w:ascii="Book Antiqua" w:hAnsi="Book Antiqua"/>
          <w:sz w:val="24"/>
          <w:szCs w:val="24"/>
          <w:lang w:val="en-GB"/>
        </w:rPr>
        <w:t xml:space="preserve">treatment rates are </w:t>
      </w:r>
      <w:r w:rsidR="00F671F7" w:rsidRPr="00E14F93">
        <w:rPr>
          <w:rFonts w:ascii="Book Antiqua" w:hAnsi="Book Antiqua"/>
          <w:sz w:val="24"/>
          <w:szCs w:val="24"/>
          <w:lang w:val="en-GB"/>
        </w:rPr>
        <w:t>usually</w:t>
      </w:r>
      <w:r w:rsidRPr="00E14F93">
        <w:rPr>
          <w:rFonts w:ascii="Book Antiqua" w:hAnsi="Book Antiqua"/>
          <w:sz w:val="24"/>
          <w:szCs w:val="24"/>
          <w:lang w:val="en-GB"/>
        </w:rPr>
        <w:t xml:space="preserve"> low</w:t>
      </w:r>
      <w:r w:rsidR="007967A4" w:rsidRPr="00E14F93">
        <w:rPr>
          <w:rFonts w:ascii="Book Antiqua" w:hAnsi="Book Antiqua"/>
          <w:sz w:val="24"/>
          <w:szCs w:val="24"/>
          <w:lang w:val="en-GB" w:eastAsia="zh-CN"/>
        </w:rPr>
        <w:t>;</w:t>
      </w:r>
      <w:r w:rsidRPr="00E14F93">
        <w:rPr>
          <w:rFonts w:ascii="Book Antiqua" w:hAnsi="Book Antiqua"/>
          <w:sz w:val="24"/>
          <w:szCs w:val="24"/>
          <w:lang w:val="en-GB"/>
        </w:rPr>
        <w:t xml:space="preserve"> (2) Any patient suffering from diseases, other than primary osteoporosis known to affect bone metabolism; (3) History of hormone replacement therapy, or bisphosphonate therapy within the 6 months prior to the start of the study</w:t>
      </w:r>
      <w:r w:rsidR="007967A4" w:rsidRPr="00E14F93">
        <w:rPr>
          <w:rFonts w:ascii="Book Antiqua" w:hAnsi="Book Antiqua"/>
          <w:sz w:val="24"/>
          <w:szCs w:val="24"/>
          <w:lang w:val="en-GB" w:eastAsia="zh-CN"/>
        </w:rPr>
        <w:t>;</w:t>
      </w:r>
      <w:r w:rsidRPr="00E14F93">
        <w:rPr>
          <w:rFonts w:ascii="Book Antiqua" w:hAnsi="Book Antiqua"/>
          <w:sz w:val="24"/>
          <w:szCs w:val="24"/>
          <w:lang w:val="en-GB"/>
        </w:rPr>
        <w:t xml:space="preserve"> </w:t>
      </w:r>
      <w:r w:rsidR="007967A4" w:rsidRPr="00E14F93">
        <w:rPr>
          <w:rFonts w:ascii="Book Antiqua" w:hAnsi="Book Antiqua"/>
          <w:sz w:val="24"/>
          <w:szCs w:val="24"/>
          <w:lang w:val="en-GB" w:eastAsia="zh-CN"/>
        </w:rPr>
        <w:t xml:space="preserve">and </w:t>
      </w:r>
      <w:r w:rsidRPr="00E14F93">
        <w:rPr>
          <w:rFonts w:ascii="Book Antiqua" w:hAnsi="Book Antiqua"/>
          <w:sz w:val="24"/>
          <w:szCs w:val="24"/>
          <w:lang w:val="en-GB"/>
        </w:rPr>
        <w:t xml:space="preserve">(4) Low or non-adherent patients to osteoporosis therapy. </w:t>
      </w:r>
    </w:p>
    <w:p w:rsidR="00807A02" w:rsidRPr="00E14F93" w:rsidRDefault="00807A02" w:rsidP="007967A4">
      <w:pPr>
        <w:spacing w:line="360" w:lineRule="auto"/>
        <w:jc w:val="both"/>
        <w:rPr>
          <w:rFonts w:ascii="Book Antiqua" w:hAnsi="Book Antiqua"/>
          <w:i/>
          <w:sz w:val="24"/>
          <w:szCs w:val="24"/>
          <w:lang w:val="en-GB"/>
        </w:rPr>
      </w:pPr>
    </w:p>
    <w:p w:rsidR="00807A02" w:rsidRPr="00E14F93" w:rsidRDefault="007967A4" w:rsidP="007967A4">
      <w:pPr>
        <w:spacing w:line="360" w:lineRule="auto"/>
        <w:jc w:val="both"/>
        <w:rPr>
          <w:rFonts w:ascii="Book Antiqua" w:hAnsi="Book Antiqua"/>
          <w:b/>
          <w:bCs/>
          <w:i/>
          <w:sz w:val="24"/>
          <w:szCs w:val="24"/>
          <w:lang w:val="en-GB" w:eastAsia="zh-CN"/>
        </w:rPr>
      </w:pPr>
      <w:r w:rsidRPr="00E14F93">
        <w:rPr>
          <w:rFonts w:ascii="Book Antiqua" w:hAnsi="Book Antiqua"/>
          <w:b/>
          <w:bCs/>
          <w:i/>
          <w:sz w:val="24"/>
          <w:szCs w:val="24"/>
          <w:lang w:val="en-GB"/>
        </w:rPr>
        <w:t>Study design</w:t>
      </w:r>
    </w:p>
    <w:p w:rsidR="00807A02" w:rsidRPr="00E14F93" w:rsidRDefault="00807A02" w:rsidP="007967A4">
      <w:pPr>
        <w:spacing w:line="360" w:lineRule="auto"/>
        <w:jc w:val="both"/>
        <w:rPr>
          <w:rFonts w:ascii="Book Antiqua" w:hAnsi="Book Antiqua"/>
          <w:sz w:val="24"/>
          <w:szCs w:val="24"/>
          <w:lang w:val="en-GB" w:eastAsia="zh-CN"/>
        </w:rPr>
      </w:pPr>
      <w:r w:rsidRPr="00E14F93">
        <w:rPr>
          <w:rFonts w:ascii="Book Antiqua" w:hAnsi="Book Antiqua"/>
          <w:sz w:val="24"/>
          <w:szCs w:val="24"/>
          <w:lang w:val="en-GB"/>
        </w:rPr>
        <w:t xml:space="preserve">The study cohort available for analysis at the time of baseline assessment was 1026 women. All the patients, aged ≥ 50 years </w:t>
      </w:r>
      <w:r w:rsidR="0062227A" w:rsidRPr="00E14F93">
        <w:rPr>
          <w:rFonts w:ascii="Book Antiqua" w:hAnsi="Book Antiqua"/>
          <w:sz w:val="24"/>
          <w:szCs w:val="24"/>
          <w:lang w:val="en-GB"/>
        </w:rPr>
        <w:t>were assesses for</w:t>
      </w:r>
      <w:r w:rsidRPr="00E14F93">
        <w:rPr>
          <w:rFonts w:ascii="Book Antiqua" w:hAnsi="Book Antiqua"/>
          <w:sz w:val="24"/>
          <w:szCs w:val="24"/>
          <w:lang w:val="en-GB"/>
        </w:rPr>
        <w:t xml:space="preserve"> baseline risk factors </w:t>
      </w:r>
      <w:r w:rsidR="0062227A" w:rsidRPr="00E14F93">
        <w:rPr>
          <w:rFonts w:ascii="Book Antiqua" w:hAnsi="Book Antiqua"/>
          <w:sz w:val="24"/>
          <w:szCs w:val="24"/>
          <w:lang w:val="en-GB"/>
        </w:rPr>
        <w:t>as well as</w:t>
      </w:r>
      <w:r w:rsidRPr="00E14F93">
        <w:rPr>
          <w:rFonts w:ascii="Book Antiqua" w:hAnsi="Book Antiqua"/>
          <w:sz w:val="24"/>
          <w:szCs w:val="24"/>
          <w:lang w:val="en-GB"/>
        </w:rPr>
        <w:t xml:space="preserve"> BMD </w:t>
      </w:r>
      <w:r w:rsidR="0062227A" w:rsidRPr="00E14F93">
        <w:rPr>
          <w:rFonts w:ascii="Book Antiqua" w:hAnsi="Book Antiqua"/>
          <w:sz w:val="24"/>
          <w:szCs w:val="24"/>
          <w:lang w:val="en-GB"/>
        </w:rPr>
        <w:t>measurement</w:t>
      </w:r>
      <w:r w:rsidRPr="00E14F93">
        <w:rPr>
          <w:rFonts w:ascii="Book Antiqua" w:hAnsi="Book Antiqua"/>
          <w:sz w:val="24"/>
          <w:szCs w:val="24"/>
          <w:lang w:val="en-GB"/>
        </w:rPr>
        <w:t xml:space="preserve"> and were considered fo</w:t>
      </w:r>
      <w:r w:rsidR="0062227A" w:rsidRPr="00E14F93">
        <w:rPr>
          <w:rFonts w:ascii="Book Antiqua" w:hAnsi="Book Antiqua"/>
          <w:sz w:val="24"/>
          <w:szCs w:val="24"/>
          <w:lang w:val="en-GB"/>
        </w:rPr>
        <w:t xml:space="preserve">r inclusion in this study. All </w:t>
      </w:r>
      <w:r w:rsidRPr="00E14F93">
        <w:rPr>
          <w:rFonts w:ascii="Book Antiqua" w:hAnsi="Book Antiqua"/>
          <w:sz w:val="24"/>
          <w:szCs w:val="24"/>
          <w:lang w:val="en-GB"/>
        </w:rPr>
        <w:t xml:space="preserve">patients </w:t>
      </w:r>
      <w:r w:rsidR="0062227A" w:rsidRPr="00E14F93">
        <w:rPr>
          <w:rFonts w:ascii="Book Antiqua" w:hAnsi="Book Antiqua"/>
          <w:sz w:val="24"/>
          <w:szCs w:val="24"/>
          <w:lang w:val="en-GB"/>
        </w:rPr>
        <w:t xml:space="preserve">included in this work </w:t>
      </w:r>
      <w:r w:rsidRPr="00E14F93">
        <w:rPr>
          <w:rFonts w:ascii="Book Antiqua" w:hAnsi="Book Antiqua"/>
          <w:sz w:val="24"/>
          <w:szCs w:val="24"/>
          <w:lang w:val="en-GB"/>
        </w:rPr>
        <w:t xml:space="preserve">were treated </w:t>
      </w:r>
      <w:r w:rsidR="0062227A" w:rsidRPr="00E14F93">
        <w:rPr>
          <w:rFonts w:ascii="Book Antiqua" w:hAnsi="Book Antiqua"/>
          <w:sz w:val="24"/>
          <w:szCs w:val="24"/>
          <w:lang w:val="en-GB"/>
        </w:rPr>
        <w:t>following</w:t>
      </w:r>
      <w:r w:rsidRPr="00E14F93">
        <w:rPr>
          <w:rFonts w:ascii="Book Antiqua" w:hAnsi="Book Antiqua"/>
          <w:sz w:val="24"/>
          <w:szCs w:val="24"/>
          <w:lang w:val="en-GB"/>
        </w:rPr>
        <w:t xml:space="preserve"> </w:t>
      </w:r>
      <w:r w:rsidR="0062227A" w:rsidRPr="00E14F93">
        <w:rPr>
          <w:rFonts w:ascii="Book Antiqua" w:hAnsi="Book Antiqua"/>
          <w:sz w:val="24"/>
          <w:szCs w:val="24"/>
          <w:lang w:val="en-GB"/>
        </w:rPr>
        <w:t xml:space="preserve">the </w:t>
      </w:r>
      <w:r w:rsidRPr="00E14F93">
        <w:rPr>
          <w:rFonts w:ascii="Book Antiqua" w:hAnsi="Book Antiqua"/>
          <w:sz w:val="24"/>
          <w:szCs w:val="24"/>
          <w:lang w:val="en-GB"/>
        </w:rPr>
        <w:t xml:space="preserve">National Osteoporosis Foundation </w:t>
      </w:r>
      <w:proofErr w:type="gramStart"/>
      <w:r w:rsidR="0062227A" w:rsidRPr="00E14F93">
        <w:rPr>
          <w:rFonts w:ascii="Book Antiqua" w:hAnsi="Book Antiqua"/>
          <w:sz w:val="24"/>
          <w:szCs w:val="24"/>
          <w:lang w:val="en-GB"/>
        </w:rPr>
        <w:t>recommendations</w:t>
      </w:r>
      <w:r w:rsidRPr="00E14F93">
        <w:rPr>
          <w:rFonts w:ascii="Book Antiqua" w:hAnsi="Book Antiqua"/>
          <w:sz w:val="24"/>
          <w:szCs w:val="24"/>
          <w:vertAlign w:val="superscript"/>
          <w:lang w:val="en-GB"/>
        </w:rPr>
        <w:t>[</w:t>
      </w:r>
      <w:proofErr w:type="gramEnd"/>
      <w:r w:rsidRPr="00E14F93">
        <w:rPr>
          <w:rFonts w:ascii="Book Antiqua" w:hAnsi="Book Antiqua"/>
          <w:sz w:val="24"/>
          <w:szCs w:val="24"/>
          <w:vertAlign w:val="superscript"/>
          <w:lang w:val="en-GB"/>
        </w:rPr>
        <w:t>9]</w:t>
      </w:r>
      <w:r w:rsidRPr="00E14F93">
        <w:rPr>
          <w:rFonts w:ascii="Book Antiqua" w:hAnsi="Book Antiqua"/>
          <w:sz w:val="24"/>
          <w:szCs w:val="24"/>
        </w:rPr>
        <w:t xml:space="preserve"> </w:t>
      </w:r>
      <w:r w:rsidRPr="00E14F93">
        <w:rPr>
          <w:rFonts w:ascii="Book Antiqua" w:hAnsi="Book Antiqua"/>
          <w:sz w:val="24"/>
          <w:szCs w:val="24"/>
          <w:lang w:val="en-GB"/>
        </w:rPr>
        <w:t>and screened for adherence to therapy 1-year after commencing their medication. Only the patients who adhere</w:t>
      </w:r>
      <w:r w:rsidR="0062227A" w:rsidRPr="00E14F93">
        <w:rPr>
          <w:rFonts w:ascii="Book Antiqua" w:hAnsi="Book Antiqua"/>
          <w:sz w:val="24"/>
          <w:szCs w:val="24"/>
          <w:lang w:val="en-GB"/>
        </w:rPr>
        <w:t>d</w:t>
      </w:r>
      <w:r w:rsidRPr="00E14F93">
        <w:rPr>
          <w:rFonts w:ascii="Book Antiqua" w:hAnsi="Book Antiqua"/>
          <w:sz w:val="24"/>
          <w:szCs w:val="24"/>
          <w:lang w:val="en-GB"/>
        </w:rPr>
        <w:t xml:space="preserve"> to the prescribed osteoporosis t</w:t>
      </w:r>
      <w:r w:rsidR="0062227A" w:rsidRPr="00E14F93">
        <w:rPr>
          <w:rFonts w:ascii="Book Antiqua" w:hAnsi="Book Antiqua"/>
          <w:sz w:val="24"/>
          <w:szCs w:val="24"/>
          <w:lang w:val="en-GB"/>
        </w:rPr>
        <w:t>reatment</w:t>
      </w:r>
      <w:r w:rsidRPr="00E14F93">
        <w:rPr>
          <w:rFonts w:ascii="Book Antiqua" w:hAnsi="Book Antiqua"/>
          <w:sz w:val="24"/>
          <w:szCs w:val="24"/>
          <w:lang w:val="en-GB"/>
        </w:rPr>
        <w:t xml:space="preserve">, had </w:t>
      </w:r>
      <w:r w:rsidR="0062227A" w:rsidRPr="00E14F93">
        <w:rPr>
          <w:rFonts w:ascii="Book Antiqua" w:hAnsi="Book Antiqua"/>
          <w:sz w:val="24"/>
          <w:szCs w:val="24"/>
          <w:lang w:val="en-GB"/>
        </w:rPr>
        <w:t xml:space="preserve">10-year fracture </w:t>
      </w:r>
      <w:r w:rsidRPr="00E14F93">
        <w:rPr>
          <w:rFonts w:ascii="Book Antiqua" w:hAnsi="Book Antiqua"/>
          <w:sz w:val="24"/>
          <w:szCs w:val="24"/>
          <w:lang w:val="en-GB"/>
        </w:rPr>
        <w:t>probabilit</w:t>
      </w:r>
      <w:r w:rsidR="0062227A" w:rsidRPr="00E14F93">
        <w:rPr>
          <w:rFonts w:ascii="Book Antiqua" w:hAnsi="Book Antiqua"/>
          <w:sz w:val="24"/>
          <w:szCs w:val="24"/>
          <w:lang w:val="en-GB"/>
        </w:rPr>
        <w:t>y</w:t>
      </w:r>
      <w:r w:rsidRPr="00E14F93">
        <w:rPr>
          <w:rFonts w:ascii="Book Antiqua" w:hAnsi="Book Antiqua"/>
          <w:sz w:val="24"/>
          <w:szCs w:val="24"/>
          <w:lang w:val="en-GB"/>
        </w:rPr>
        <w:t xml:space="preserve"> calculated </w:t>
      </w:r>
      <w:r w:rsidR="0062227A" w:rsidRPr="00E14F93">
        <w:rPr>
          <w:rFonts w:ascii="Book Antiqua" w:hAnsi="Book Antiqua"/>
          <w:sz w:val="24"/>
          <w:szCs w:val="24"/>
          <w:lang w:val="en-GB"/>
        </w:rPr>
        <w:t xml:space="preserve">and their data </w:t>
      </w:r>
      <w:r w:rsidRPr="00E14F93">
        <w:rPr>
          <w:rFonts w:ascii="Book Antiqua" w:hAnsi="Book Antiqua"/>
          <w:sz w:val="24"/>
          <w:szCs w:val="24"/>
          <w:lang w:val="en-GB"/>
        </w:rPr>
        <w:t xml:space="preserve">recorded for the purpose of this work. </w:t>
      </w:r>
      <w:r w:rsidR="0062227A" w:rsidRPr="00E14F93">
        <w:rPr>
          <w:rFonts w:ascii="Book Antiqua" w:hAnsi="Book Antiqua"/>
          <w:sz w:val="24"/>
          <w:szCs w:val="24"/>
          <w:lang w:val="en-GB"/>
        </w:rPr>
        <w:t>At 2 and 5-years of osteoporosis therapy, a</w:t>
      </w:r>
      <w:r w:rsidRPr="00E14F93">
        <w:rPr>
          <w:rFonts w:ascii="Book Antiqua" w:hAnsi="Book Antiqua"/>
          <w:sz w:val="24"/>
          <w:szCs w:val="24"/>
          <w:lang w:val="en-GB"/>
        </w:rPr>
        <w:t xml:space="preserve"> follow-up DXA scan was carried out for every patient. </w:t>
      </w:r>
      <w:r w:rsidR="0062227A" w:rsidRPr="00E14F93">
        <w:rPr>
          <w:rFonts w:ascii="Book Antiqua" w:hAnsi="Book Antiqua"/>
          <w:sz w:val="24"/>
          <w:szCs w:val="24"/>
          <w:lang w:val="en-GB"/>
        </w:rPr>
        <w:t>On</w:t>
      </w:r>
      <w:r w:rsidRPr="00E14F93">
        <w:rPr>
          <w:rFonts w:ascii="Book Antiqua" w:hAnsi="Book Antiqua"/>
          <w:sz w:val="24"/>
          <w:szCs w:val="24"/>
          <w:lang w:val="en-GB"/>
        </w:rPr>
        <w:t xml:space="preserve"> both </w:t>
      </w:r>
      <w:r w:rsidR="0062227A" w:rsidRPr="00E14F93">
        <w:rPr>
          <w:rFonts w:ascii="Book Antiqua" w:hAnsi="Book Antiqua"/>
          <w:sz w:val="24"/>
          <w:szCs w:val="24"/>
          <w:lang w:val="en-GB"/>
        </w:rPr>
        <w:t>occasions</w:t>
      </w:r>
      <w:r w:rsidRPr="00E14F93">
        <w:rPr>
          <w:rFonts w:ascii="Book Antiqua" w:hAnsi="Book Antiqua"/>
          <w:sz w:val="24"/>
          <w:szCs w:val="24"/>
          <w:lang w:val="en-GB"/>
        </w:rPr>
        <w:t xml:space="preserve">, risk factors </w:t>
      </w:r>
      <w:r w:rsidR="00EB6E92" w:rsidRPr="00E14F93">
        <w:rPr>
          <w:rFonts w:ascii="Book Antiqua" w:hAnsi="Book Antiqua"/>
          <w:sz w:val="24"/>
          <w:szCs w:val="24"/>
          <w:lang w:val="en-GB"/>
        </w:rPr>
        <w:t xml:space="preserve">were reassessed </w:t>
      </w:r>
      <w:r w:rsidRPr="00E14F93">
        <w:rPr>
          <w:rFonts w:ascii="Book Antiqua" w:hAnsi="Book Antiqua"/>
          <w:sz w:val="24"/>
          <w:szCs w:val="24"/>
          <w:lang w:val="en-GB"/>
        </w:rPr>
        <w:t>and 10-year fracture probabilities were calculated</w:t>
      </w:r>
      <w:r w:rsidR="00EB6E92" w:rsidRPr="00E14F93">
        <w:rPr>
          <w:rFonts w:ascii="Book Antiqua" w:hAnsi="Book Antiqua"/>
          <w:sz w:val="24"/>
          <w:szCs w:val="24"/>
          <w:lang w:val="en-GB"/>
        </w:rPr>
        <w:t xml:space="preserve"> using FRAX</w:t>
      </w:r>
      <w:r w:rsidRPr="00E14F93">
        <w:rPr>
          <w:rFonts w:ascii="Book Antiqua" w:hAnsi="Book Antiqua"/>
          <w:sz w:val="24"/>
          <w:szCs w:val="24"/>
          <w:lang w:val="en-GB"/>
        </w:rPr>
        <w:t xml:space="preserve">. </w:t>
      </w:r>
      <w:r w:rsidR="00EB6E92" w:rsidRPr="00E14F93">
        <w:rPr>
          <w:rFonts w:ascii="Book Antiqua" w:hAnsi="Book Antiqua"/>
          <w:sz w:val="24"/>
          <w:szCs w:val="24"/>
          <w:lang w:val="en-GB"/>
        </w:rPr>
        <w:t>Those</w:t>
      </w:r>
      <w:r w:rsidRPr="00E14F93">
        <w:rPr>
          <w:rFonts w:ascii="Book Antiqua" w:hAnsi="Book Antiqua"/>
          <w:sz w:val="24"/>
          <w:szCs w:val="24"/>
          <w:lang w:val="en-GB"/>
        </w:rPr>
        <w:t xml:space="preserve"> patients who did not achieve an</w:t>
      </w:r>
      <w:r w:rsidR="00EB6E92" w:rsidRPr="00E14F93">
        <w:rPr>
          <w:rFonts w:ascii="Book Antiqua" w:hAnsi="Book Antiqua"/>
          <w:sz w:val="24"/>
          <w:szCs w:val="24"/>
          <w:lang w:val="en-GB"/>
        </w:rPr>
        <w:t>y</w:t>
      </w:r>
      <w:r w:rsidRPr="00E14F93">
        <w:rPr>
          <w:rFonts w:ascii="Book Antiqua" w:hAnsi="Book Antiqua"/>
          <w:sz w:val="24"/>
          <w:szCs w:val="24"/>
          <w:lang w:val="en-GB"/>
        </w:rPr>
        <w:t xml:space="preserve"> improvement in neck of the femur BMD</w:t>
      </w:r>
      <w:r w:rsidR="00EB6E92" w:rsidRPr="00E14F93">
        <w:rPr>
          <w:rFonts w:ascii="Book Antiqua" w:hAnsi="Book Antiqua"/>
          <w:sz w:val="24"/>
          <w:szCs w:val="24"/>
          <w:lang w:val="en-GB"/>
        </w:rPr>
        <w:t xml:space="preserve"> measurement </w:t>
      </w:r>
      <w:proofErr w:type="gramStart"/>
      <w:r w:rsidR="00EB6E92" w:rsidRPr="00E14F93">
        <w:rPr>
          <w:rFonts w:ascii="Book Antiqua" w:hAnsi="Book Antiqua"/>
          <w:sz w:val="24"/>
          <w:szCs w:val="24"/>
          <w:lang w:val="en-GB"/>
        </w:rPr>
        <w:t>or</w:t>
      </w:r>
      <w:proofErr w:type="gramEnd"/>
      <w:r w:rsidR="00EB6E92" w:rsidRPr="00E14F93">
        <w:rPr>
          <w:rFonts w:ascii="Book Antiqua" w:hAnsi="Book Antiqua"/>
          <w:sz w:val="24"/>
          <w:szCs w:val="24"/>
          <w:lang w:val="en-GB"/>
        </w:rPr>
        <w:t xml:space="preserve"> had</w:t>
      </w:r>
      <w:r w:rsidRPr="00E14F93">
        <w:rPr>
          <w:rFonts w:ascii="Book Antiqua" w:hAnsi="Book Antiqua"/>
          <w:sz w:val="24"/>
          <w:szCs w:val="24"/>
          <w:lang w:val="en-GB"/>
        </w:rPr>
        <w:t xml:space="preserve"> a new low trauma fracture </w:t>
      </w:r>
      <w:r w:rsidR="00EB6E92" w:rsidRPr="00E14F93">
        <w:rPr>
          <w:rFonts w:ascii="Book Antiqua" w:hAnsi="Book Antiqua"/>
          <w:sz w:val="24"/>
          <w:szCs w:val="24"/>
          <w:lang w:val="en-GB"/>
        </w:rPr>
        <w:t>with</w:t>
      </w:r>
      <w:r w:rsidRPr="00E14F93">
        <w:rPr>
          <w:rFonts w:ascii="Book Antiqua" w:hAnsi="Book Antiqua"/>
          <w:sz w:val="24"/>
          <w:szCs w:val="24"/>
          <w:lang w:val="en-GB"/>
        </w:rPr>
        <w:t xml:space="preserve">in the first 2-years of </w:t>
      </w:r>
      <w:r w:rsidR="00EB6E92" w:rsidRPr="00E14F93">
        <w:rPr>
          <w:rFonts w:ascii="Book Antiqua" w:hAnsi="Book Antiqua"/>
          <w:sz w:val="24"/>
          <w:szCs w:val="24"/>
          <w:lang w:val="en-GB"/>
        </w:rPr>
        <w:t>manageme</w:t>
      </w:r>
      <w:r w:rsidRPr="00E14F93">
        <w:rPr>
          <w:rFonts w:ascii="Book Antiqua" w:hAnsi="Book Antiqua"/>
          <w:sz w:val="24"/>
          <w:szCs w:val="24"/>
          <w:lang w:val="en-GB"/>
        </w:rPr>
        <w:t xml:space="preserve">nt, </w:t>
      </w:r>
      <w:r w:rsidR="00EB6E92" w:rsidRPr="00E14F93">
        <w:rPr>
          <w:rFonts w:ascii="Book Antiqua" w:hAnsi="Book Antiqua"/>
          <w:sz w:val="24"/>
          <w:szCs w:val="24"/>
          <w:lang w:val="en-GB"/>
        </w:rPr>
        <w:t xml:space="preserve">changed </w:t>
      </w:r>
      <w:r w:rsidRPr="00E14F93">
        <w:rPr>
          <w:rFonts w:ascii="Book Antiqua" w:hAnsi="Book Antiqua"/>
          <w:sz w:val="24"/>
          <w:szCs w:val="24"/>
          <w:lang w:val="en-GB"/>
        </w:rPr>
        <w:t>had their osteoporosis t</w:t>
      </w:r>
      <w:r w:rsidR="00EB6E92" w:rsidRPr="00E14F93">
        <w:rPr>
          <w:rFonts w:ascii="Book Antiqua" w:hAnsi="Book Antiqua"/>
          <w:sz w:val="24"/>
          <w:szCs w:val="24"/>
          <w:lang w:val="en-GB"/>
        </w:rPr>
        <w:t>reatment</w:t>
      </w:r>
      <w:r w:rsidRPr="00E14F93">
        <w:rPr>
          <w:rFonts w:ascii="Book Antiqua" w:hAnsi="Book Antiqua"/>
          <w:sz w:val="24"/>
          <w:szCs w:val="24"/>
          <w:lang w:val="en-GB"/>
        </w:rPr>
        <w:t xml:space="preserve">. BMD and FRAX </w:t>
      </w:r>
      <w:r w:rsidR="00EB6E92" w:rsidRPr="00E14F93">
        <w:rPr>
          <w:rFonts w:ascii="Book Antiqua" w:hAnsi="Book Antiqua"/>
          <w:sz w:val="24"/>
          <w:szCs w:val="24"/>
          <w:lang w:val="en-GB"/>
        </w:rPr>
        <w:t xml:space="preserve">measurements </w:t>
      </w:r>
      <w:r w:rsidRPr="00E14F93">
        <w:rPr>
          <w:rFonts w:ascii="Book Antiqua" w:hAnsi="Book Antiqua"/>
          <w:sz w:val="24"/>
          <w:szCs w:val="24"/>
          <w:lang w:val="en-GB"/>
        </w:rPr>
        <w:t xml:space="preserve">were carried out </w:t>
      </w:r>
      <w:r w:rsidR="00EB6E92" w:rsidRPr="00E14F93">
        <w:rPr>
          <w:rFonts w:ascii="Book Antiqua" w:hAnsi="Book Antiqua"/>
          <w:sz w:val="24"/>
          <w:szCs w:val="24"/>
          <w:lang w:val="en-GB"/>
        </w:rPr>
        <w:t xml:space="preserve">after </w:t>
      </w:r>
      <w:r w:rsidRPr="00E14F93">
        <w:rPr>
          <w:rFonts w:ascii="Book Antiqua" w:hAnsi="Book Antiqua"/>
          <w:sz w:val="24"/>
          <w:szCs w:val="24"/>
          <w:lang w:val="en-GB"/>
        </w:rPr>
        <w:t xml:space="preserve">3-years </w:t>
      </w:r>
      <w:r w:rsidR="00EB6E92" w:rsidRPr="00E14F93">
        <w:rPr>
          <w:rFonts w:ascii="Book Antiqua" w:hAnsi="Book Antiqua"/>
          <w:sz w:val="24"/>
          <w:szCs w:val="24"/>
          <w:lang w:val="en-GB"/>
        </w:rPr>
        <w:t>of commencing</w:t>
      </w:r>
      <w:r w:rsidRPr="00E14F93">
        <w:rPr>
          <w:rFonts w:ascii="Book Antiqua" w:hAnsi="Book Antiqua"/>
          <w:sz w:val="24"/>
          <w:szCs w:val="24"/>
          <w:lang w:val="en-GB"/>
        </w:rPr>
        <w:t xml:space="preserve"> new osteoporosis therapy. The patient </w:t>
      </w:r>
      <w:proofErr w:type="gramStart"/>
      <w:r w:rsidR="00EB6E92" w:rsidRPr="00E14F93">
        <w:rPr>
          <w:rFonts w:ascii="Book Antiqua" w:hAnsi="Book Antiqua"/>
          <w:sz w:val="24"/>
          <w:szCs w:val="24"/>
          <w:lang w:val="en-GB"/>
        </w:rPr>
        <w:t>cohort</w:t>
      </w:r>
      <w:proofErr w:type="gramEnd"/>
      <w:r w:rsidRPr="00E14F93">
        <w:rPr>
          <w:rFonts w:ascii="Book Antiqua" w:hAnsi="Book Antiqua"/>
          <w:sz w:val="24"/>
          <w:szCs w:val="24"/>
          <w:lang w:val="en-GB"/>
        </w:rPr>
        <w:t xml:space="preserve"> who </w:t>
      </w:r>
      <w:r w:rsidR="00EB6E92" w:rsidRPr="00E14F93">
        <w:rPr>
          <w:rFonts w:ascii="Book Antiqua" w:hAnsi="Book Antiqua"/>
          <w:sz w:val="24"/>
          <w:szCs w:val="24"/>
          <w:lang w:val="en-GB"/>
        </w:rPr>
        <w:t xml:space="preserve">showed good </w:t>
      </w:r>
      <w:r w:rsidRPr="00E14F93">
        <w:rPr>
          <w:rFonts w:ascii="Book Antiqua" w:hAnsi="Book Antiqua"/>
          <w:sz w:val="24"/>
          <w:szCs w:val="24"/>
          <w:lang w:val="en-GB"/>
        </w:rPr>
        <w:t>respon</w:t>
      </w:r>
      <w:r w:rsidR="00EB6E92" w:rsidRPr="00E14F93">
        <w:rPr>
          <w:rFonts w:ascii="Book Antiqua" w:hAnsi="Book Antiqua"/>
          <w:sz w:val="24"/>
          <w:szCs w:val="24"/>
          <w:lang w:val="en-GB"/>
        </w:rPr>
        <w:t>se</w:t>
      </w:r>
      <w:r w:rsidRPr="00E14F93">
        <w:rPr>
          <w:rFonts w:ascii="Book Antiqua" w:hAnsi="Book Antiqua"/>
          <w:sz w:val="24"/>
          <w:szCs w:val="24"/>
          <w:lang w:val="en-GB"/>
        </w:rPr>
        <w:t xml:space="preserve"> well to t</w:t>
      </w:r>
      <w:r w:rsidR="00EB6E92" w:rsidRPr="00E14F93">
        <w:rPr>
          <w:rFonts w:ascii="Book Antiqua" w:hAnsi="Book Antiqua"/>
          <w:sz w:val="24"/>
          <w:szCs w:val="24"/>
          <w:lang w:val="en-GB"/>
        </w:rPr>
        <w:t>reatment</w:t>
      </w:r>
      <w:r w:rsidRPr="00E14F93">
        <w:rPr>
          <w:rFonts w:ascii="Book Antiqua" w:hAnsi="Book Antiqua"/>
          <w:sz w:val="24"/>
          <w:szCs w:val="24"/>
          <w:lang w:val="en-GB"/>
        </w:rPr>
        <w:t xml:space="preserve"> and </w:t>
      </w:r>
      <w:r w:rsidR="00EB6E92" w:rsidRPr="00E14F93">
        <w:rPr>
          <w:rFonts w:ascii="Book Antiqua" w:hAnsi="Book Antiqua"/>
          <w:sz w:val="24"/>
          <w:szCs w:val="24"/>
          <w:lang w:val="en-GB"/>
        </w:rPr>
        <w:t>had</w:t>
      </w:r>
      <w:r w:rsidRPr="00E14F93">
        <w:rPr>
          <w:rFonts w:ascii="Book Antiqua" w:hAnsi="Book Antiqua"/>
          <w:sz w:val="24"/>
          <w:szCs w:val="24"/>
          <w:lang w:val="en-GB"/>
        </w:rPr>
        <w:t xml:space="preserve"> not sustain</w:t>
      </w:r>
      <w:r w:rsidR="00EB6E92" w:rsidRPr="00E14F93">
        <w:rPr>
          <w:rFonts w:ascii="Book Antiqua" w:hAnsi="Book Antiqua"/>
          <w:sz w:val="24"/>
          <w:szCs w:val="24"/>
          <w:lang w:val="en-GB"/>
        </w:rPr>
        <w:t xml:space="preserve">ed any </w:t>
      </w:r>
      <w:r w:rsidRPr="00E14F93">
        <w:rPr>
          <w:rFonts w:ascii="Book Antiqua" w:hAnsi="Book Antiqua"/>
          <w:sz w:val="24"/>
          <w:szCs w:val="24"/>
          <w:lang w:val="en-GB"/>
        </w:rPr>
        <w:t xml:space="preserve">new low trauma fracture </w:t>
      </w:r>
      <w:r w:rsidR="00EB6E92" w:rsidRPr="00E14F93">
        <w:rPr>
          <w:rFonts w:ascii="Book Antiqua" w:hAnsi="Book Antiqua"/>
          <w:sz w:val="24"/>
          <w:szCs w:val="24"/>
          <w:lang w:val="en-GB"/>
        </w:rPr>
        <w:t>with</w:t>
      </w:r>
      <w:r w:rsidRPr="00E14F93">
        <w:rPr>
          <w:rFonts w:ascii="Book Antiqua" w:hAnsi="Book Antiqua"/>
          <w:sz w:val="24"/>
          <w:szCs w:val="24"/>
          <w:lang w:val="en-GB"/>
        </w:rPr>
        <w:t xml:space="preserve">in the first 2 years, </w:t>
      </w:r>
      <w:r w:rsidR="00EB6E92" w:rsidRPr="00E14F93">
        <w:rPr>
          <w:rFonts w:ascii="Book Antiqua" w:hAnsi="Book Antiqua"/>
          <w:sz w:val="24"/>
          <w:szCs w:val="24"/>
          <w:lang w:val="en-GB"/>
        </w:rPr>
        <w:t xml:space="preserve">had </w:t>
      </w:r>
      <w:r w:rsidRPr="00E14F93">
        <w:rPr>
          <w:rFonts w:ascii="Book Antiqua" w:hAnsi="Book Antiqua"/>
          <w:sz w:val="24"/>
          <w:szCs w:val="24"/>
          <w:lang w:val="en-GB"/>
        </w:rPr>
        <w:t>their t</w:t>
      </w:r>
      <w:r w:rsidR="00EB6E92" w:rsidRPr="00E14F93">
        <w:rPr>
          <w:rFonts w:ascii="Book Antiqua" w:hAnsi="Book Antiqua"/>
          <w:sz w:val="24"/>
          <w:szCs w:val="24"/>
          <w:lang w:val="en-GB"/>
        </w:rPr>
        <w:t>reatment</w:t>
      </w:r>
      <w:r w:rsidRPr="00E14F93">
        <w:rPr>
          <w:rFonts w:ascii="Book Antiqua" w:hAnsi="Book Antiqua"/>
          <w:sz w:val="24"/>
          <w:szCs w:val="24"/>
          <w:lang w:val="en-GB"/>
        </w:rPr>
        <w:t xml:space="preserve"> </w:t>
      </w:r>
      <w:r w:rsidR="00EB6E92" w:rsidRPr="00E14F93">
        <w:rPr>
          <w:rFonts w:ascii="Book Antiqua" w:hAnsi="Book Antiqua"/>
          <w:sz w:val="24"/>
          <w:szCs w:val="24"/>
          <w:lang w:val="en-GB"/>
        </w:rPr>
        <w:t xml:space="preserve">continued with a further </w:t>
      </w:r>
      <w:r w:rsidRPr="00E14F93">
        <w:rPr>
          <w:rFonts w:ascii="Book Antiqua" w:hAnsi="Book Antiqua"/>
          <w:sz w:val="24"/>
          <w:szCs w:val="24"/>
          <w:lang w:val="en-GB"/>
        </w:rPr>
        <w:t>assessment at 3-years.</w:t>
      </w:r>
    </w:p>
    <w:p w:rsidR="007967A4" w:rsidRPr="00E14F93" w:rsidRDefault="007967A4" w:rsidP="007967A4">
      <w:pPr>
        <w:spacing w:line="360" w:lineRule="auto"/>
        <w:jc w:val="both"/>
        <w:rPr>
          <w:rFonts w:ascii="Book Antiqua" w:hAnsi="Book Antiqua"/>
          <w:sz w:val="24"/>
          <w:szCs w:val="24"/>
          <w:lang w:val="en-GB" w:eastAsia="zh-CN"/>
        </w:rPr>
      </w:pPr>
    </w:p>
    <w:p w:rsidR="00807A02" w:rsidRPr="00E14F93" w:rsidRDefault="007967A4" w:rsidP="007967A4">
      <w:pPr>
        <w:spacing w:line="360" w:lineRule="auto"/>
        <w:jc w:val="both"/>
        <w:rPr>
          <w:rFonts w:ascii="Book Antiqua" w:hAnsi="Book Antiqua"/>
          <w:b/>
          <w:bCs/>
          <w:i/>
          <w:sz w:val="24"/>
          <w:szCs w:val="24"/>
          <w:lang w:val="en-GB"/>
        </w:rPr>
      </w:pPr>
      <w:r w:rsidRPr="00E14F93">
        <w:rPr>
          <w:rFonts w:ascii="Book Antiqua" w:hAnsi="Book Antiqua"/>
          <w:b/>
          <w:bCs/>
          <w:i/>
          <w:sz w:val="24"/>
          <w:szCs w:val="24"/>
          <w:lang w:val="en-GB"/>
        </w:rPr>
        <w:t>Risk factors assessment</w:t>
      </w:r>
      <w:r w:rsidR="00807A02" w:rsidRPr="00E14F93">
        <w:rPr>
          <w:rFonts w:ascii="Book Antiqua" w:hAnsi="Book Antiqua"/>
          <w:b/>
          <w:bCs/>
          <w:i/>
          <w:sz w:val="24"/>
          <w:szCs w:val="24"/>
          <w:lang w:val="en-GB"/>
        </w:rPr>
        <w:t xml:space="preserve"> </w:t>
      </w:r>
    </w:p>
    <w:p w:rsidR="00807A02" w:rsidRPr="00E14F93" w:rsidRDefault="00F671F7" w:rsidP="007967A4">
      <w:pPr>
        <w:spacing w:line="360" w:lineRule="auto"/>
        <w:jc w:val="both"/>
        <w:rPr>
          <w:rFonts w:ascii="Book Antiqua" w:hAnsi="Book Antiqua"/>
          <w:sz w:val="24"/>
          <w:szCs w:val="24"/>
          <w:lang w:val="en-GB"/>
        </w:rPr>
      </w:pPr>
      <w:r w:rsidRPr="00E14F93">
        <w:rPr>
          <w:rFonts w:ascii="Book Antiqua" w:hAnsi="Book Antiqua"/>
          <w:sz w:val="24"/>
          <w:szCs w:val="24"/>
          <w:lang w:val="en-GB"/>
        </w:rPr>
        <w:t>History of previous low trauma fractures as well as other osteoporosis r</w:t>
      </w:r>
      <w:r w:rsidR="00807A02" w:rsidRPr="00E14F93">
        <w:rPr>
          <w:rFonts w:ascii="Book Antiqua" w:hAnsi="Book Antiqua"/>
          <w:sz w:val="24"/>
          <w:szCs w:val="24"/>
          <w:lang w:val="en-GB"/>
        </w:rPr>
        <w:t>isk factors</w:t>
      </w:r>
      <w:r w:rsidRPr="00E14F93">
        <w:rPr>
          <w:rFonts w:ascii="Book Antiqua" w:hAnsi="Book Antiqua"/>
          <w:sz w:val="24"/>
          <w:szCs w:val="24"/>
          <w:lang w:val="en-GB"/>
        </w:rPr>
        <w:t>,</w:t>
      </w:r>
      <w:r w:rsidR="00807A02" w:rsidRPr="00E14F93">
        <w:rPr>
          <w:rFonts w:ascii="Book Antiqua" w:hAnsi="Book Antiqua"/>
          <w:sz w:val="24"/>
          <w:szCs w:val="24"/>
          <w:lang w:val="en-GB"/>
        </w:rPr>
        <w:t xml:space="preserve"> </w:t>
      </w:r>
      <w:r w:rsidRPr="00E14F93">
        <w:rPr>
          <w:rFonts w:ascii="Book Antiqua" w:hAnsi="Book Antiqua"/>
          <w:sz w:val="24"/>
          <w:szCs w:val="24"/>
          <w:lang w:val="en-GB"/>
        </w:rPr>
        <w:t>necessary</w:t>
      </w:r>
      <w:r w:rsidR="00807A02" w:rsidRPr="00E14F93">
        <w:rPr>
          <w:rFonts w:ascii="Book Antiqua" w:hAnsi="Book Antiqua"/>
          <w:sz w:val="24"/>
          <w:szCs w:val="24"/>
          <w:lang w:val="en-GB"/>
        </w:rPr>
        <w:t xml:space="preserve"> for calculating fracture probability with FRAX</w:t>
      </w:r>
      <w:r w:rsidRPr="00E14F93">
        <w:rPr>
          <w:rFonts w:ascii="Book Antiqua" w:hAnsi="Book Antiqua"/>
          <w:sz w:val="24"/>
          <w:szCs w:val="24"/>
          <w:lang w:val="en-GB"/>
        </w:rPr>
        <w:t>,</w:t>
      </w:r>
      <w:r w:rsidR="00807A02" w:rsidRPr="00E14F93">
        <w:rPr>
          <w:rFonts w:ascii="Book Antiqua" w:hAnsi="Book Antiqua"/>
          <w:sz w:val="24"/>
          <w:szCs w:val="24"/>
          <w:lang w:val="en-GB"/>
        </w:rPr>
        <w:t xml:space="preserve"> were assessed </w:t>
      </w:r>
      <w:r w:rsidRPr="00E14F93">
        <w:rPr>
          <w:rFonts w:ascii="Book Antiqua" w:hAnsi="Book Antiqua"/>
          <w:sz w:val="24"/>
          <w:szCs w:val="24"/>
          <w:lang w:val="en-GB"/>
        </w:rPr>
        <w:t>using</w:t>
      </w:r>
      <w:r w:rsidR="00807A02" w:rsidRPr="00E14F93">
        <w:rPr>
          <w:rFonts w:ascii="Book Antiqua" w:hAnsi="Book Antiqua"/>
          <w:sz w:val="24"/>
          <w:szCs w:val="24"/>
          <w:lang w:val="en-GB"/>
        </w:rPr>
        <w:t xml:space="preserve"> a new DXA scan refe</w:t>
      </w:r>
      <w:r w:rsidR="007967A4" w:rsidRPr="00E14F93">
        <w:rPr>
          <w:rFonts w:ascii="Book Antiqua" w:hAnsi="Book Antiqua"/>
          <w:sz w:val="24"/>
          <w:szCs w:val="24"/>
          <w:lang w:val="en-GB"/>
        </w:rPr>
        <w:t xml:space="preserve">rral </w:t>
      </w:r>
      <w:proofErr w:type="gramStart"/>
      <w:r w:rsidR="007967A4" w:rsidRPr="00E14F93">
        <w:rPr>
          <w:rFonts w:ascii="Book Antiqua" w:hAnsi="Book Antiqua"/>
          <w:sz w:val="24"/>
          <w:szCs w:val="24"/>
          <w:lang w:val="en-GB"/>
        </w:rPr>
        <w:t>form</w:t>
      </w:r>
      <w:r w:rsidR="00807A02" w:rsidRPr="00E14F93">
        <w:rPr>
          <w:rFonts w:ascii="Book Antiqua" w:hAnsi="Book Antiqua"/>
          <w:sz w:val="24"/>
          <w:szCs w:val="24"/>
          <w:vertAlign w:val="superscript"/>
          <w:lang w:val="en-GB"/>
        </w:rPr>
        <w:t>[</w:t>
      </w:r>
      <w:proofErr w:type="gramEnd"/>
      <w:r w:rsidR="00807A02" w:rsidRPr="00E14F93">
        <w:rPr>
          <w:rFonts w:ascii="Book Antiqua" w:hAnsi="Book Antiqua"/>
          <w:sz w:val="24"/>
          <w:szCs w:val="24"/>
          <w:vertAlign w:val="superscript"/>
          <w:lang w:val="en-GB"/>
        </w:rPr>
        <w:t>10]</w:t>
      </w:r>
      <w:r w:rsidR="00807A02" w:rsidRPr="00E14F93">
        <w:rPr>
          <w:rFonts w:ascii="Book Antiqua" w:hAnsi="Book Antiqua"/>
          <w:sz w:val="24"/>
          <w:szCs w:val="24"/>
          <w:lang w:val="en-GB"/>
        </w:rPr>
        <w:t xml:space="preserve"> completed for every patient before every bone mineral density assessment. The form also included assessment for falls risk using the “Falls </w:t>
      </w:r>
      <w:r w:rsidR="00807A02" w:rsidRPr="00E14F93">
        <w:rPr>
          <w:rFonts w:ascii="Book Antiqua" w:hAnsi="Book Antiqua"/>
          <w:sz w:val="24"/>
          <w:szCs w:val="24"/>
          <w:lang w:val="en-GB"/>
        </w:rPr>
        <w:lastRenderedPageBreak/>
        <w:t>Risk</w:t>
      </w:r>
      <w:r w:rsidR="007967A4" w:rsidRPr="00E14F93">
        <w:rPr>
          <w:rFonts w:ascii="Book Antiqua" w:hAnsi="Book Antiqua"/>
          <w:sz w:val="24"/>
          <w:szCs w:val="24"/>
          <w:lang w:val="en-GB"/>
        </w:rPr>
        <w:t xml:space="preserve"> Assessment Score (FRAS)” </w:t>
      </w:r>
      <w:proofErr w:type="gramStart"/>
      <w:r w:rsidR="007967A4" w:rsidRPr="00E14F93">
        <w:rPr>
          <w:rFonts w:ascii="Book Antiqua" w:hAnsi="Book Antiqua"/>
          <w:sz w:val="24"/>
          <w:szCs w:val="24"/>
          <w:lang w:val="en-GB"/>
        </w:rPr>
        <w:t>score</w:t>
      </w:r>
      <w:r w:rsidR="00807A02" w:rsidRPr="00E14F93">
        <w:rPr>
          <w:rFonts w:ascii="Book Antiqua" w:hAnsi="Book Antiqua"/>
          <w:sz w:val="24"/>
          <w:szCs w:val="24"/>
          <w:vertAlign w:val="superscript"/>
          <w:lang w:val="en-GB"/>
        </w:rPr>
        <w:t>[</w:t>
      </w:r>
      <w:proofErr w:type="gramEnd"/>
      <w:r w:rsidR="00807A02" w:rsidRPr="00E14F93">
        <w:rPr>
          <w:rFonts w:ascii="Book Antiqua" w:hAnsi="Book Antiqua"/>
          <w:sz w:val="24"/>
          <w:szCs w:val="24"/>
          <w:vertAlign w:val="superscript"/>
          <w:lang w:val="en-GB"/>
        </w:rPr>
        <w:t>11]</w:t>
      </w:r>
      <w:r w:rsidR="00807A02" w:rsidRPr="00E14F93">
        <w:rPr>
          <w:rFonts w:ascii="Book Antiqua" w:hAnsi="Book Antiqua"/>
          <w:sz w:val="24"/>
          <w:szCs w:val="24"/>
          <w:lang w:val="en-GB"/>
        </w:rPr>
        <w:t>, recent history of low trauma fractures or change in medications. Patients with high falls risk were referred to the local falls clinic. In addition, history of past osteoporosis therapy as well as current medications was included in the referral form. For purposes of the FRAX calculation, prior fragility fracture was considered if it was one of the major osteoporotic fractures (vertebral,</w:t>
      </w:r>
      <w:r w:rsidRPr="00E14F93">
        <w:rPr>
          <w:rFonts w:ascii="Book Antiqua" w:hAnsi="Book Antiqua"/>
          <w:sz w:val="24"/>
          <w:szCs w:val="24"/>
          <w:lang w:val="en-GB"/>
        </w:rPr>
        <w:t xml:space="preserve"> hip</w:t>
      </w:r>
      <w:r w:rsidR="00807A02" w:rsidRPr="00E14F93">
        <w:rPr>
          <w:rFonts w:ascii="Book Antiqua" w:hAnsi="Book Antiqua"/>
          <w:sz w:val="24"/>
          <w:szCs w:val="24"/>
          <w:lang w:val="en-GB"/>
        </w:rPr>
        <w:t xml:space="preserve"> forearm, </w:t>
      </w:r>
      <w:r w:rsidRPr="00E14F93">
        <w:rPr>
          <w:rFonts w:ascii="Book Antiqua" w:hAnsi="Book Antiqua"/>
          <w:sz w:val="24"/>
          <w:szCs w:val="24"/>
          <w:lang w:val="en-GB"/>
        </w:rPr>
        <w:t>or</w:t>
      </w:r>
      <w:r w:rsidR="00807A02" w:rsidRPr="00E14F93">
        <w:rPr>
          <w:rFonts w:ascii="Book Antiqua" w:hAnsi="Book Antiqua"/>
          <w:sz w:val="24"/>
          <w:szCs w:val="24"/>
          <w:lang w:val="en-GB"/>
        </w:rPr>
        <w:t xml:space="preserve"> </w:t>
      </w:r>
      <w:proofErr w:type="spellStart"/>
      <w:r w:rsidR="00807A02" w:rsidRPr="00E14F93">
        <w:rPr>
          <w:rFonts w:ascii="Book Antiqua" w:hAnsi="Book Antiqua"/>
          <w:sz w:val="24"/>
          <w:szCs w:val="24"/>
          <w:lang w:val="en-GB"/>
        </w:rPr>
        <w:t>humerus</w:t>
      </w:r>
      <w:proofErr w:type="spellEnd"/>
      <w:r w:rsidR="00807A02" w:rsidRPr="00E14F93">
        <w:rPr>
          <w:rFonts w:ascii="Book Antiqua" w:hAnsi="Book Antiqua"/>
          <w:sz w:val="24"/>
          <w:szCs w:val="24"/>
          <w:lang w:val="en-GB"/>
        </w:rPr>
        <w:t xml:space="preserve"> fracture) and was not associated with severe trauma. The patients’ records and radiology investigations were checked to confirm the history of any of these major osteoporotic fractures as well as history of site specific fracture reduction to enhance the diagnostic and temporal specificity of the fracture event. The diagnosis of rheumatoid arthritis and/or smoking </w:t>
      </w:r>
      <w:r w:rsidR="00336A16" w:rsidRPr="00E14F93">
        <w:rPr>
          <w:rFonts w:ascii="Book Antiqua" w:hAnsi="Book Antiqua"/>
          <w:sz w:val="24"/>
          <w:szCs w:val="24"/>
          <w:lang w:val="en-GB"/>
        </w:rPr>
        <w:t>over the past</w:t>
      </w:r>
      <w:r w:rsidR="00807A02" w:rsidRPr="00E14F93">
        <w:rPr>
          <w:rFonts w:ascii="Book Antiqua" w:hAnsi="Book Antiqua"/>
          <w:sz w:val="24"/>
          <w:szCs w:val="24"/>
          <w:lang w:val="en-GB"/>
        </w:rPr>
        <w:t xml:space="preserve"> 3-years period before </w:t>
      </w:r>
      <w:r w:rsidR="00336A16" w:rsidRPr="00E14F93">
        <w:rPr>
          <w:rFonts w:ascii="Book Antiqua" w:hAnsi="Book Antiqua"/>
          <w:sz w:val="24"/>
          <w:szCs w:val="24"/>
          <w:lang w:val="en-GB"/>
        </w:rPr>
        <w:t xml:space="preserve">DXA scanning </w:t>
      </w:r>
      <w:r w:rsidR="00807A02" w:rsidRPr="00E14F93">
        <w:rPr>
          <w:rFonts w:ascii="Book Antiqua" w:hAnsi="Book Antiqua"/>
          <w:sz w:val="24"/>
          <w:szCs w:val="24"/>
          <w:lang w:val="en-GB"/>
        </w:rPr>
        <w:t xml:space="preserve">as well as prolonged steroid use (regardless of the dose) </w:t>
      </w:r>
      <w:r w:rsidR="00336A16" w:rsidRPr="00E14F93">
        <w:rPr>
          <w:rFonts w:ascii="Book Antiqua" w:hAnsi="Book Antiqua"/>
          <w:sz w:val="24"/>
          <w:szCs w:val="24"/>
          <w:lang w:val="en-GB"/>
        </w:rPr>
        <w:t>for more than 3-months period</w:t>
      </w:r>
      <w:r w:rsidR="00807A02" w:rsidRPr="00E14F93">
        <w:rPr>
          <w:rFonts w:ascii="Book Antiqua" w:hAnsi="Book Antiqua"/>
          <w:sz w:val="24"/>
          <w:szCs w:val="24"/>
          <w:lang w:val="en-GB"/>
        </w:rPr>
        <w:t xml:space="preserve"> in the year before </w:t>
      </w:r>
      <w:r w:rsidR="00336A16" w:rsidRPr="00E14F93">
        <w:rPr>
          <w:rFonts w:ascii="Book Antiqua" w:hAnsi="Book Antiqua"/>
          <w:sz w:val="24"/>
          <w:szCs w:val="24"/>
          <w:lang w:val="en-GB"/>
        </w:rPr>
        <w:t>the BMD</w:t>
      </w:r>
      <w:r w:rsidR="00807A02" w:rsidRPr="00E14F93">
        <w:rPr>
          <w:rFonts w:ascii="Book Antiqua" w:hAnsi="Book Antiqua"/>
          <w:sz w:val="24"/>
          <w:szCs w:val="24"/>
          <w:lang w:val="en-GB"/>
        </w:rPr>
        <w:t xml:space="preserve"> measurement were crosschecked with the patients’ notes. </w:t>
      </w:r>
    </w:p>
    <w:p w:rsidR="00807A02" w:rsidRPr="00E14F93" w:rsidRDefault="00807A02" w:rsidP="007967A4">
      <w:pPr>
        <w:spacing w:line="360" w:lineRule="auto"/>
        <w:jc w:val="both"/>
        <w:rPr>
          <w:rFonts w:ascii="Book Antiqua" w:hAnsi="Book Antiqua"/>
          <w:sz w:val="24"/>
          <w:szCs w:val="24"/>
          <w:lang w:val="en-GB"/>
        </w:rPr>
      </w:pPr>
    </w:p>
    <w:p w:rsidR="00807A02" w:rsidRPr="00E14F93" w:rsidRDefault="007967A4" w:rsidP="007967A4">
      <w:pPr>
        <w:spacing w:line="360" w:lineRule="auto"/>
        <w:jc w:val="both"/>
        <w:rPr>
          <w:rFonts w:ascii="Book Antiqua" w:hAnsi="Book Antiqua"/>
          <w:b/>
          <w:bCs/>
          <w:i/>
          <w:sz w:val="24"/>
          <w:szCs w:val="24"/>
          <w:lang w:val="en-GB" w:eastAsia="zh-CN"/>
        </w:rPr>
      </w:pPr>
      <w:r w:rsidRPr="00E14F93">
        <w:rPr>
          <w:rFonts w:ascii="Book Antiqua" w:hAnsi="Book Antiqua"/>
          <w:b/>
          <w:bCs/>
          <w:i/>
          <w:sz w:val="24"/>
          <w:szCs w:val="24"/>
          <w:lang w:val="en-GB"/>
        </w:rPr>
        <w:t>Measurements</w:t>
      </w:r>
    </w:p>
    <w:p w:rsidR="00807A02" w:rsidRPr="00E14F93" w:rsidRDefault="00807A02" w:rsidP="007967A4">
      <w:pPr>
        <w:spacing w:line="360" w:lineRule="auto"/>
        <w:jc w:val="both"/>
        <w:rPr>
          <w:rFonts w:ascii="Book Antiqua" w:hAnsi="Book Antiqua"/>
          <w:sz w:val="24"/>
          <w:szCs w:val="24"/>
          <w:lang w:val="en-GB" w:eastAsia="zh-CN"/>
        </w:rPr>
      </w:pPr>
      <w:r w:rsidRPr="00E14F93">
        <w:rPr>
          <w:rFonts w:ascii="Book Antiqua" w:hAnsi="Book Antiqua"/>
          <w:sz w:val="24"/>
          <w:szCs w:val="24"/>
          <w:lang w:val="en-GB"/>
        </w:rPr>
        <w:t xml:space="preserve">BMD was measured using a </w:t>
      </w:r>
      <w:proofErr w:type="spellStart"/>
      <w:r w:rsidRPr="00E14F93">
        <w:rPr>
          <w:rFonts w:ascii="Book Antiqua" w:hAnsi="Book Antiqua"/>
          <w:sz w:val="24"/>
          <w:szCs w:val="24"/>
          <w:lang w:val="en-GB"/>
        </w:rPr>
        <w:t>Hologic</w:t>
      </w:r>
      <w:proofErr w:type="spellEnd"/>
      <w:r w:rsidRPr="00E14F93">
        <w:rPr>
          <w:rFonts w:ascii="Book Antiqua" w:hAnsi="Book Antiqua"/>
          <w:sz w:val="24"/>
          <w:szCs w:val="24"/>
          <w:lang w:val="en-GB"/>
        </w:rPr>
        <w:t xml:space="preserve"> dual-energy X-ray absorptiometry (DXA) machine (</w:t>
      </w:r>
      <w:proofErr w:type="spellStart"/>
      <w:r w:rsidRPr="00E14F93">
        <w:rPr>
          <w:rFonts w:ascii="Book Antiqua" w:hAnsi="Book Antiqua"/>
          <w:sz w:val="24"/>
          <w:szCs w:val="24"/>
          <w:lang w:val="en-GB"/>
        </w:rPr>
        <w:t>Hologic</w:t>
      </w:r>
      <w:proofErr w:type="spellEnd"/>
      <w:r w:rsidRPr="00E14F93">
        <w:rPr>
          <w:rFonts w:ascii="Book Antiqua" w:hAnsi="Book Antiqua"/>
          <w:sz w:val="24"/>
          <w:szCs w:val="24"/>
          <w:lang w:val="en-GB"/>
        </w:rPr>
        <w:t xml:space="preserve"> Inc., MA, U</w:t>
      </w:r>
      <w:r w:rsidR="007967A4" w:rsidRPr="00E14F93">
        <w:rPr>
          <w:rFonts w:ascii="Book Antiqua" w:hAnsi="Book Antiqua"/>
          <w:sz w:val="24"/>
          <w:szCs w:val="24"/>
          <w:lang w:val="en-GB" w:eastAsia="zh-CN"/>
        </w:rPr>
        <w:t xml:space="preserve">nited </w:t>
      </w:r>
      <w:r w:rsidRPr="00E14F93">
        <w:rPr>
          <w:rFonts w:ascii="Book Antiqua" w:hAnsi="Book Antiqua"/>
          <w:sz w:val="24"/>
          <w:szCs w:val="24"/>
          <w:lang w:val="en-GB"/>
        </w:rPr>
        <w:t>S</w:t>
      </w:r>
      <w:r w:rsidR="007967A4" w:rsidRPr="00E14F93">
        <w:rPr>
          <w:rFonts w:ascii="Book Antiqua" w:hAnsi="Book Antiqua"/>
          <w:sz w:val="24"/>
          <w:szCs w:val="24"/>
          <w:lang w:val="en-GB" w:eastAsia="zh-CN"/>
        </w:rPr>
        <w:t>tates</w:t>
      </w:r>
      <w:r w:rsidRPr="00E14F93">
        <w:rPr>
          <w:rFonts w:ascii="Book Antiqua" w:hAnsi="Book Antiqua"/>
          <w:sz w:val="24"/>
          <w:szCs w:val="24"/>
          <w:lang w:val="en-GB"/>
        </w:rPr>
        <w:t>). Every patient had a baseline BMD assessment as well as repeat DXA scan at 2 and 5 years post treatment. All the scans were analysed and the femoral neck, total proximal femur and spine BMD. The T scores were calculated using the equation:</w:t>
      </w:r>
      <w:r w:rsidR="00E14F93" w:rsidRPr="00E14F93">
        <w:rPr>
          <w:rFonts w:ascii="Book Antiqua" w:hAnsi="Book Antiqua"/>
          <w:sz w:val="24"/>
          <w:szCs w:val="24"/>
          <w:lang w:val="en-GB" w:eastAsia="zh-CN"/>
        </w:rPr>
        <w:t xml:space="preserve"> </w:t>
      </w:r>
      <w:r w:rsidRPr="00E14F93">
        <w:rPr>
          <w:rFonts w:ascii="Book Antiqua" w:hAnsi="Book Antiqua"/>
          <w:sz w:val="24"/>
          <w:szCs w:val="24"/>
          <w:lang w:val="en-GB"/>
        </w:rPr>
        <w:t>T score = (BMD value of osteoporotic patient− BMD of healthy premenopausal population)/SD of the premenopausal healthy population. According to WHO classification: Osteoporosis was diagnosed at T-score</w:t>
      </w:r>
      <w:r w:rsidR="00E14F93" w:rsidRPr="00E14F93">
        <w:rPr>
          <w:rFonts w:ascii="Book Antiqua" w:hAnsi="Book Antiqua"/>
          <w:sz w:val="24"/>
          <w:szCs w:val="24"/>
          <w:lang w:val="en-GB" w:eastAsia="zh-CN"/>
        </w:rPr>
        <w:t xml:space="preserve"> </w:t>
      </w:r>
      <w:r w:rsidRPr="00E14F93">
        <w:rPr>
          <w:rFonts w:ascii="Book Antiqua" w:hAnsi="Book Antiqua" w:cs="Arial"/>
          <w:sz w:val="24"/>
          <w:szCs w:val="24"/>
          <w:lang w:val="en-GB"/>
        </w:rPr>
        <w:t>≤</w:t>
      </w:r>
      <w:r w:rsidRPr="00E14F93">
        <w:rPr>
          <w:rFonts w:ascii="Book Antiqua" w:hAnsi="Book Antiqua"/>
          <w:sz w:val="24"/>
          <w:szCs w:val="24"/>
          <w:lang w:val="en-GB"/>
        </w:rPr>
        <w:t xml:space="preserve"> 2.5, osteopenia at T-score &lt;1 - &lt;2.5, whereas normal BMD was considered at T-score</w:t>
      </w:r>
      <w:r w:rsidR="00E14F93" w:rsidRPr="00E14F93">
        <w:rPr>
          <w:rFonts w:ascii="Book Antiqua" w:hAnsi="Book Antiqua"/>
          <w:sz w:val="24"/>
          <w:szCs w:val="24"/>
          <w:lang w:val="en-GB" w:eastAsia="zh-CN"/>
        </w:rPr>
        <w:t xml:space="preserve"> </w:t>
      </w:r>
      <w:r w:rsidRPr="00E14F93">
        <w:rPr>
          <w:rFonts w:ascii="Book Antiqua" w:hAnsi="Book Antiqua" w:cs="Arial"/>
          <w:sz w:val="24"/>
          <w:szCs w:val="24"/>
          <w:lang w:val="en-GB"/>
        </w:rPr>
        <w:t>≥</w:t>
      </w:r>
      <w:r w:rsidRPr="00E14F93">
        <w:rPr>
          <w:rFonts w:ascii="Book Antiqua" w:hAnsi="Book Antiqua"/>
          <w:sz w:val="24"/>
          <w:szCs w:val="24"/>
          <w:lang w:val="en-GB"/>
        </w:rPr>
        <w:t xml:space="preserve"> -1. A quality control program including daily quality controls was</w:t>
      </w:r>
      <w:r w:rsidR="00E14F93" w:rsidRPr="00E14F93">
        <w:rPr>
          <w:rFonts w:ascii="Book Antiqua" w:hAnsi="Book Antiqua"/>
          <w:sz w:val="24"/>
          <w:szCs w:val="24"/>
          <w:lang w:val="en-GB"/>
        </w:rPr>
        <w:t xml:space="preserve"> conducted throughout the </w:t>
      </w:r>
      <w:proofErr w:type="gramStart"/>
      <w:r w:rsidR="00E14F93" w:rsidRPr="00E14F93">
        <w:rPr>
          <w:rFonts w:ascii="Book Antiqua" w:hAnsi="Book Antiqua"/>
          <w:sz w:val="24"/>
          <w:szCs w:val="24"/>
          <w:lang w:val="en-GB"/>
        </w:rPr>
        <w:t>study</w:t>
      </w:r>
      <w:r w:rsidRPr="00E14F93">
        <w:rPr>
          <w:rFonts w:ascii="Book Antiqua" w:hAnsi="Book Antiqua"/>
          <w:sz w:val="24"/>
          <w:szCs w:val="24"/>
          <w:vertAlign w:val="superscript"/>
          <w:lang w:val="en-GB"/>
        </w:rPr>
        <w:t>[</w:t>
      </w:r>
      <w:proofErr w:type="gramEnd"/>
      <w:r w:rsidRPr="00E14F93">
        <w:rPr>
          <w:rFonts w:ascii="Book Antiqua" w:hAnsi="Book Antiqua"/>
          <w:sz w:val="24"/>
          <w:szCs w:val="24"/>
          <w:vertAlign w:val="superscript"/>
          <w:lang w:val="en-GB"/>
        </w:rPr>
        <w:t>12]</w:t>
      </w:r>
      <w:r w:rsidRPr="00E14F93">
        <w:rPr>
          <w:rFonts w:ascii="Book Antiqua" w:hAnsi="Book Antiqua"/>
          <w:sz w:val="24"/>
          <w:szCs w:val="24"/>
          <w:lang w:val="en-GB"/>
        </w:rPr>
        <w:t>. The Densitometer showed stable long-term performance [coefficient of variation (CV) &lt;</w:t>
      </w:r>
      <w:r w:rsidR="00E14F93" w:rsidRPr="00E14F93">
        <w:rPr>
          <w:rFonts w:ascii="Book Antiqua" w:hAnsi="Book Antiqua"/>
          <w:sz w:val="24"/>
          <w:szCs w:val="24"/>
          <w:lang w:val="en-GB" w:eastAsia="zh-CN"/>
        </w:rPr>
        <w:t xml:space="preserve"> </w:t>
      </w:r>
      <w:r w:rsidRPr="00E14F93">
        <w:rPr>
          <w:rFonts w:ascii="Book Antiqua" w:hAnsi="Book Antiqua"/>
          <w:sz w:val="24"/>
          <w:szCs w:val="24"/>
          <w:lang w:val="en-GB"/>
        </w:rPr>
        <w:t xml:space="preserve">0.5%] and satisfactory in vivo precision. </w:t>
      </w:r>
      <w:r w:rsidR="00336A16" w:rsidRPr="00E14F93">
        <w:rPr>
          <w:rFonts w:ascii="Book Antiqua" w:hAnsi="Book Antiqua"/>
          <w:sz w:val="24"/>
          <w:szCs w:val="24"/>
          <w:lang w:val="en-GB"/>
        </w:rPr>
        <w:t>For each subject, the 10</w:t>
      </w:r>
      <w:r w:rsidRPr="00E14F93">
        <w:rPr>
          <w:rFonts w:ascii="Book Antiqua" w:hAnsi="Book Antiqua"/>
          <w:sz w:val="24"/>
          <w:szCs w:val="24"/>
          <w:lang w:val="en-GB"/>
        </w:rPr>
        <w:t xml:space="preserve">-year </w:t>
      </w:r>
      <w:r w:rsidR="00336A16" w:rsidRPr="00E14F93">
        <w:rPr>
          <w:rFonts w:ascii="Book Antiqua" w:hAnsi="Book Antiqua"/>
          <w:sz w:val="24"/>
          <w:szCs w:val="24"/>
          <w:lang w:val="en-GB"/>
        </w:rPr>
        <w:t xml:space="preserve">major osteoporosis as well as the hip fracture </w:t>
      </w:r>
      <w:r w:rsidRPr="00E14F93">
        <w:rPr>
          <w:rFonts w:ascii="Book Antiqua" w:hAnsi="Book Antiqua"/>
          <w:sz w:val="24"/>
          <w:szCs w:val="24"/>
          <w:lang w:val="en-GB"/>
        </w:rPr>
        <w:t>probability was calculated for each subject by the WHO Collaborating Centre (</w:t>
      </w:r>
      <w:bookmarkStart w:id="52" w:name="_GoBack"/>
      <w:r w:rsidR="00EF4D33" w:rsidRPr="009F4E6F">
        <w:fldChar w:fldCharType="begin"/>
      </w:r>
      <w:r w:rsidR="00EF4D33" w:rsidRPr="009F4E6F">
        <w:instrText xml:space="preserve"> HYPERLINK "http://www.shef.ac.uk/FRAX/tool.aspx?country=21" </w:instrText>
      </w:r>
      <w:r w:rsidR="00EF4D33" w:rsidRPr="009F4E6F">
        <w:fldChar w:fldCharType="separate"/>
      </w:r>
      <w:r w:rsidRPr="009F4E6F">
        <w:rPr>
          <w:rStyle w:val="a4"/>
          <w:rFonts w:ascii="Book Antiqua" w:hAnsi="Book Antiqua"/>
          <w:color w:val="auto"/>
          <w:sz w:val="24"/>
          <w:szCs w:val="24"/>
          <w:u w:val="none"/>
          <w:lang w:val="en-GB"/>
        </w:rPr>
        <w:t>http://www.shef.ac.uk/FRAX/tool.aspx?country=21</w:t>
      </w:r>
      <w:r w:rsidR="00EF4D33" w:rsidRPr="009F4E6F">
        <w:rPr>
          <w:rStyle w:val="a4"/>
          <w:rFonts w:ascii="Book Antiqua" w:hAnsi="Book Antiqua"/>
          <w:color w:val="auto"/>
          <w:sz w:val="24"/>
          <w:szCs w:val="24"/>
          <w:u w:val="none"/>
          <w:lang w:val="en-GB"/>
        </w:rPr>
        <w:fldChar w:fldCharType="end"/>
      </w:r>
      <w:bookmarkEnd w:id="52"/>
      <w:r w:rsidRPr="00E14F93">
        <w:rPr>
          <w:rFonts w:ascii="Book Antiqua" w:hAnsi="Book Antiqua"/>
          <w:sz w:val="24"/>
          <w:szCs w:val="24"/>
          <w:lang w:val="en-GB"/>
        </w:rPr>
        <w:t xml:space="preserve">) using the previously defined variables without knowledge of the fracture outcomes. Prior to every DXA assessment every patient had a blood check for bone profile </w:t>
      </w:r>
      <w:r w:rsidR="00E14F93" w:rsidRPr="00E14F93">
        <w:rPr>
          <w:rFonts w:ascii="Book Antiqua" w:hAnsi="Book Antiqua"/>
          <w:sz w:val="24"/>
          <w:szCs w:val="24"/>
          <w:lang w:val="en-GB" w:eastAsia="zh-CN"/>
        </w:rPr>
        <w:t>[</w:t>
      </w:r>
      <w:r w:rsidRPr="00E14F93">
        <w:rPr>
          <w:rFonts w:ascii="Book Antiqua" w:hAnsi="Book Antiqua"/>
          <w:sz w:val="24"/>
          <w:szCs w:val="24"/>
          <w:lang w:val="en-GB"/>
        </w:rPr>
        <w:t xml:space="preserve">serum calcium, </w:t>
      </w:r>
      <w:r w:rsidRPr="00E14F93">
        <w:rPr>
          <w:rFonts w:ascii="Book Antiqua" w:hAnsi="Book Antiqua"/>
          <w:sz w:val="24"/>
          <w:szCs w:val="24"/>
          <w:lang w:val="en-GB"/>
        </w:rPr>
        <w:lastRenderedPageBreak/>
        <w:t xml:space="preserve">phosphorus, alkaline </w:t>
      </w:r>
      <w:proofErr w:type="spellStart"/>
      <w:r w:rsidRPr="00E14F93">
        <w:rPr>
          <w:rFonts w:ascii="Book Antiqua" w:hAnsi="Book Antiqua"/>
          <w:sz w:val="24"/>
          <w:szCs w:val="24"/>
          <w:lang w:val="en-GB"/>
        </w:rPr>
        <w:t>phosphatatse</w:t>
      </w:r>
      <w:proofErr w:type="spellEnd"/>
      <w:r w:rsidRPr="00E14F93">
        <w:rPr>
          <w:rFonts w:ascii="Book Antiqua" w:hAnsi="Book Antiqua"/>
          <w:sz w:val="24"/>
          <w:szCs w:val="24"/>
          <w:lang w:val="en-GB"/>
        </w:rPr>
        <w:t xml:space="preserve"> and 25 (OH) vitamin D</w:t>
      </w:r>
      <w:r w:rsidR="00E14F93" w:rsidRPr="00E14F93">
        <w:rPr>
          <w:rFonts w:ascii="Book Antiqua" w:hAnsi="Book Antiqua"/>
          <w:sz w:val="24"/>
          <w:szCs w:val="24"/>
          <w:lang w:val="en-GB" w:eastAsia="zh-CN"/>
        </w:rPr>
        <w:t>]</w:t>
      </w:r>
      <w:r w:rsidRPr="00E14F93">
        <w:rPr>
          <w:rFonts w:ascii="Book Antiqua" w:hAnsi="Book Antiqua"/>
          <w:sz w:val="24"/>
          <w:szCs w:val="24"/>
          <w:lang w:val="en-GB"/>
        </w:rPr>
        <w:t xml:space="preserve"> as well as liver and kidney function tests. Patients who had vitamin D deficiency were treated with high vitamin D therapy. FRAX estimated fracture risk probability was categorized </w:t>
      </w:r>
      <w:r w:rsidR="00336A16" w:rsidRPr="00E14F93">
        <w:rPr>
          <w:rFonts w:ascii="Book Antiqua" w:hAnsi="Book Antiqua"/>
          <w:sz w:val="24"/>
          <w:szCs w:val="24"/>
          <w:lang w:val="en-GB"/>
        </w:rPr>
        <w:t xml:space="preserve">based on fixed cut off points. For </w:t>
      </w:r>
      <w:r w:rsidRPr="00E14F93">
        <w:rPr>
          <w:rFonts w:ascii="Book Antiqua" w:hAnsi="Book Antiqua"/>
          <w:sz w:val="24"/>
          <w:szCs w:val="24"/>
          <w:lang w:val="en-GB"/>
        </w:rPr>
        <w:t>major osteoporotic fracture probability cut-off</w:t>
      </w:r>
      <w:r w:rsidR="00336A16" w:rsidRPr="00E14F93">
        <w:rPr>
          <w:rFonts w:ascii="Book Antiqua" w:hAnsi="Book Antiqua"/>
          <w:sz w:val="24"/>
          <w:szCs w:val="24"/>
          <w:lang w:val="en-GB"/>
        </w:rPr>
        <w:t xml:space="preserve"> point was </w:t>
      </w:r>
      <w:proofErr w:type="spellStart"/>
      <w:r w:rsidR="00336A16" w:rsidRPr="00E14F93">
        <w:rPr>
          <w:rFonts w:ascii="Book Antiqua" w:hAnsi="Book Antiqua"/>
          <w:sz w:val="24"/>
          <w:szCs w:val="24"/>
          <w:lang w:val="en-GB"/>
        </w:rPr>
        <w:t>was</w:t>
      </w:r>
      <w:proofErr w:type="spellEnd"/>
      <w:r w:rsidR="00336A16" w:rsidRPr="00E14F93">
        <w:rPr>
          <w:rFonts w:ascii="Book Antiqua" w:hAnsi="Book Antiqua"/>
          <w:sz w:val="24"/>
          <w:szCs w:val="24"/>
          <w:lang w:val="en-GB"/>
        </w:rPr>
        <w:t xml:space="preserve"> &gt;</w:t>
      </w:r>
      <w:r w:rsidRPr="00E14F93">
        <w:rPr>
          <w:rFonts w:ascii="Book Antiqua" w:hAnsi="Book Antiqua"/>
          <w:sz w:val="24"/>
          <w:szCs w:val="24"/>
          <w:lang w:val="en-GB"/>
        </w:rPr>
        <w:t>20%</w:t>
      </w:r>
      <w:r w:rsidR="00336A16" w:rsidRPr="00E14F93">
        <w:rPr>
          <w:rFonts w:ascii="Book Antiqua" w:hAnsi="Book Antiqua"/>
          <w:sz w:val="24"/>
          <w:szCs w:val="24"/>
          <w:lang w:val="en-GB"/>
        </w:rPr>
        <w:t xml:space="preserve"> whereas for hip fracture it was </w:t>
      </w:r>
      <w:r w:rsidRPr="00E14F93">
        <w:rPr>
          <w:rFonts w:ascii="Book Antiqua" w:hAnsi="Book Antiqua"/>
          <w:sz w:val="24"/>
          <w:szCs w:val="24"/>
          <w:lang w:val="en-GB"/>
        </w:rPr>
        <w:t>&gt;</w:t>
      </w:r>
      <w:r w:rsidR="00E14F93" w:rsidRPr="00E14F93">
        <w:rPr>
          <w:rFonts w:ascii="Book Antiqua" w:hAnsi="Book Antiqua"/>
          <w:sz w:val="24"/>
          <w:szCs w:val="24"/>
          <w:lang w:val="en-GB" w:eastAsia="zh-CN"/>
        </w:rPr>
        <w:t xml:space="preserve"> </w:t>
      </w:r>
      <w:r w:rsidRPr="00E14F93">
        <w:rPr>
          <w:rFonts w:ascii="Book Antiqua" w:hAnsi="Book Antiqua"/>
          <w:sz w:val="24"/>
          <w:szCs w:val="24"/>
          <w:lang w:val="en-GB"/>
        </w:rPr>
        <w:t xml:space="preserve">3%. The patients whose falls risk score was </w:t>
      </w:r>
      <w:r w:rsidR="00E14F93" w:rsidRPr="00E14F93">
        <w:rPr>
          <w:rFonts w:ascii="Book Antiqua" w:hAnsi="Book Antiqua" w:cs="Arial"/>
          <w:sz w:val="24"/>
          <w:szCs w:val="24"/>
          <w:lang w:val="en-GB"/>
        </w:rPr>
        <w:t>≥</w:t>
      </w:r>
      <w:r w:rsidRPr="00E14F93">
        <w:rPr>
          <w:rFonts w:ascii="Book Antiqua" w:hAnsi="Book Antiqua"/>
          <w:sz w:val="24"/>
          <w:szCs w:val="24"/>
          <w:lang w:val="en-GB"/>
        </w:rPr>
        <w:t xml:space="preserve"> 3.5 on the FRAS score, were considered at high risk of falls and were referred to specialized falls clinic for further assessment and management.</w:t>
      </w:r>
    </w:p>
    <w:p w:rsidR="00E14F93" w:rsidRPr="00E14F93" w:rsidRDefault="00E14F93" w:rsidP="007967A4">
      <w:pPr>
        <w:spacing w:line="360" w:lineRule="auto"/>
        <w:jc w:val="both"/>
        <w:rPr>
          <w:rFonts w:ascii="Book Antiqua" w:hAnsi="Book Antiqua"/>
          <w:sz w:val="24"/>
          <w:szCs w:val="24"/>
          <w:lang w:val="en-GB" w:eastAsia="zh-CN"/>
        </w:rPr>
      </w:pPr>
    </w:p>
    <w:p w:rsidR="00807A02" w:rsidRPr="00E14F93" w:rsidRDefault="00E14F93" w:rsidP="007967A4">
      <w:pPr>
        <w:spacing w:line="360" w:lineRule="auto"/>
        <w:jc w:val="both"/>
        <w:rPr>
          <w:rFonts w:ascii="Book Antiqua" w:hAnsi="Book Antiqua"/>
          <w:b/>
          <w:bCs/>
          <w:i/>
          <w:sz w:val="24"/>
          <w:szCs w:val="24"/>
          <w:lang w:val="en-GB" w:eastAsia="zh-CN"/>
        </w:rPr>
      </w:pPr>
      <w:r w:rsidRPr="00E14F93">
        <w:rPr>
          <w:rFonts w:ascii="Book Antiqua" w:hAnsi="Book Antiqua"/>
          <w:b/>
          <w:bCs/>
          <w:i/>
          <w:sz w:val="24"/>
          <w:szCs w:val="24"/>
          <w:lang w:val="en-GB"/>
        </w:rPr>
        <w:t>Osteoporosis medication use</w:t>
      </w:r>
    </w:p>
    <w:p w:rsidR="00807A02" w:rsidRPr="00E14F93" w:rsidRDefault="00807A02" w:rsidP="007967A4">
      <w:pPr>
        <w:spacing w:line="360" w:lineRule="auto"/>
        <w:jc w:val="both"/>
        <w:rPr>
          <w:rFonts w:ascii="Book Antiqua" w:hAnsi="Book Antiqua"/>
          <w:sz w:val="24"/>
          <w:szCs w:val="24"/>
          <w:lang w:val="en-GB" w:eastAsia="zh-CN"/>
        </w:rPr>
      </w:pPr>
      <w:r w:rsidRPr="00E14F93">
        <w:rPr>
          <w:rFonts w:ascii="Book Antiqua" w:hAnsi="Book Antiqua"/>
          <w:sz w:val="24"/>
          <w:szCs w:val="24"/>
          <w:lang w:val="en-GB"/>
        </w:rPr>
        <w:t xml:space="preserve">Osteoporosis therapy was selected from bisphosphonate (oral alendronate/ </w:t>
      </w:r>
      <w:proofErr w:type="spellStart"/>
      <w:r w:rsidRPr="00E14F93">
        <w:rPr>
          <w:rFonts w:ascii="Book Antiqua" w:hAnsi="Book Antiqua"/>
          <w:sz w:val="24"/>
          <w:szCs w:val="24"/>
          <w:lang w:val="en-GB"/>
        </w:rPr>
        <w:t>risedronate</w:t>
      </w:r>
      <w:proofErr w:type="spellEnd"/>
      <w:r w:rsidRPr="00E14F93">
        <w:rPr>
          <w:rFonts w:ascii="Book Antiqua" w:hAnsi="Book Antiqua"/>
          <w:sz w:val="24"/>
          <w:szCs w:val="24"/>
          <w:lang w:val="en-GB"/>
        </w:rPr>
        <w:t xml:space="preserve">; intravenous </w:t>
      </w:r>
      <w:proofErr w:type="spellStart"/>
      <w:r w:rsidRPr="00E14F93">
        <w:rPr>
          <w:rFonts w:ascii="Book Antiqua" w:hAnsi="Book Antiqua"/>
          <w:sz w:val="24"/>
          <w:szCs w:val="24"/>
          <w:lang w:val="en-GB"/>
        </w:rPr>
        <w:t>zoledronate</w:t>
      </w:r>
      <w:proofErr w:type="spellEnd"/>
      <w:r w:rsidRPr="00E14F93">
        <w:rPr>
          <w:rFonts w:ascii="Book Antiqua" w:hAnsi="Book Antiqua"/>
          <w:sz w:val="24"/>
          <w:szCs w:val="24"/>
          <w:lang w:val="en-GB"/>
        </w:rPr>
        <w:t xml:space="preserve">), </w:t>
      </w:r>
      <w:proofErr w:type="spellStart"/>
      <w:r w:rsidRPr="00E14F93">
        <w:rPr>
          <w:rFonts w:ascii="Book Antiqua" w:hAnsi="Book Antiqua"/>
          <w:sz w:val="24"/>
          <w:szCs w:val="24"/>
          <w:lang w:val="en-GB"/>
        </w:rPr>
        <w:t>raloxifene</w:t>
      </w:r>
      <w:proofErr w:type="spellEnd"/>
      <w:r w:rsidRPr="00E14F93">
        <w:rPr>
          <w:rFonts w:ascii="Book Antiqua" w:hAnsi="Book Antiqua"/>
          <w:sz w:val="24"/>
          <w:szCs w:val="24"/>
          <w:lang w:val="en-GB"/>
        </w:rPr>
        <w:t>, or salmon calcitonin. None of the patients was taking systemic hormone replacement therapy (HRT) following the Women’</w:t>
      </w:r>
      <w:r w:rsidR="00E14F93" w:rsidRPr="00E14F93">
        <w:rPr>
          <w:rFonts w:ascii="Book Antiqua" w:hAnsi="Book Antiqua"/>
          <w:sz w:val="24"/>
          <w:szCs w:val="24"/>
          <w:lang w:val="en-GB"/>
        </w:rPr>
        <w:t xml:space="preserve">s Health Initiative (WHI) </w:t>
      </w:r>
      <w:proofErr w:type="gramStart"/>
      <w:r w:rsidR="00E14F93" w:rsidRPr="00E14F93">
        <w:rPr>
          <w:rFonts w:ascii="Book Antiqua" w:hAnsi="Book Antiqua"/>
          <w:sz w:val="24"/>
          <w:szCs w:val="24"/>
          <w:lang w:val="en-GB"/>
        </w:rPr>
        <w:t>Study</w:t>
      </w:r>
      <w:r w:rsidRPr="00E14F93">
        <w:rPr>
          <w:rFonts w:ascii="Book Antiqua" w:hAnsi="Book Antiqua"/>
          <w:sz w:val="24"/>
          <w:szCs w:val="24"/>
          <w:vertAlign w:val="superscript"/>
          <w:lang w:val="en-GB"/>
        </w:rPr>
        <w:t>[</w:t>
      </w:r>
      <w:proofErr w:type="gramEnd"/>
      <w:r w:rsidRPr="00E14F93">
        <w:rPr>
          <w:rFonts w:ascii="Book Antiqua" w:hAnsi="Book Antiqua"/>
          <w:sz w:val="24"/>
          <w:szCs w:val="24"/>
          <w:vertAlign w:val="superscript"/>
          <w:lang w:val="en-GB"/>
        </w:rPr>
        <w:t>8]</w:t>
      </w:r>
      <w:r w:rsidRPr="00E14F93">
        <w:rPr>
          <w:rFonts w:ascii="Book Antiqua" w:hAnsi="Book Antiqua"/>
          <w:sz w:val="24"/>
          <w:szCs w:val="24"/>
          <w:lang w:val="en-GB"/>
        </w:rPr>
        <w:t xml:space="preserve">. </w:t>
      </w:r>
      <w:proofErr w:type="spellStart"/>
      <w:r w:rsidRPr="00E14F93">
        <w:rPr>
          <w:rFonts w:ascii="Book Antiqua" w:hAnsi="Book Antiqua"/>
          <w:sz w:val="24"/>
          <w:szCs w:val="24"/>
          <w:lang w:val="en-GB"/>
        </w:rPr>
        <w:t>Stronitum</w:t>
      </w:r>
      <w:proofErr w:type="spellEnd"/>
      <w:r w:rsidRPr="00E14F93">
        <w:rPr>
          <w:rFonts w:ascii="Book Antiqua" w:hAnsi="Book Antiqua"/>
          <w:sz w:val="24"/>
          <w:szCs w:val="24"/>
          <w:lang w:val="en-GB"/>
        </w:rPr>
        <w:t xml:space="preserve">, </w:t>
      </w:r>
      <w:proofErr w:type="spellStart"/>
      <w:r w:rsidRPr="00E14F93">
        <w:rPr>
          <w:rFonts w:ascii="Book Antiqua" w:hAnsi="Book Antiqua"/>
          <w:sz w:val="24"/>
          <w:szCs w:val="24"/>
          <w:lang w:val="en-GB"/>
        </w:rPr>
        <w:t>Denosumab</w:t>
      </w:r>
      <w:proofErr w:type="spellEnd"/>
      <w:r w:rsidRPr="00E14F93">
        <w:rPr>
          <w:rFonts w:ascii="Book Antiqua" w:hAnsi="Book Antiqua"/>
          <w:sz w:val="24"/>
          <w:szCs w:val="24"/>
          <w:lang w:val="en-GB"/>
        </w:rPr>
        <w:t xml:space="preserve"> as well as anabolic therapies were not available at the start of the study, and their use was limited to the patients who did not respond or were intolerant to bisphosphonate therapy. Adhere</w:t>
      </w:r>
      <w:r w:rsidR="00E14F93" w:rsidRPr="00E14F93">
        <w:rPr>
          <w:rFonts w:ascii="Book Antiqua" w:hAnsi="Book Antiqua"/>
          <w:sz w:val="24"/>
          <w:szCs w:val="24"/>
          <w:lang w:val="en-GB"/>
        </w:rPr>
        <w:t xml:space="preserve">nce, as defined by Cramer </w:t>
      </w:r>
      <w:r w:rsidR="00E14F93" w:rsidRPr="00E14F93">
        <w:rPr>
          <w:rFonts w:ascii="Book Antiqua" w:hAnsi="Book Antiqua"/>
          <w:i/>
          <w:sz w:val="24"/>
          <w:szCs w:val="24"/>
          <w:lang w:val="en-GB"/>
        </w:rPr>
        <w:t xml:space="preserve">et </w:t>
      </w:r>
      <w:proofErr w:type="gramStart"/>
      <w:r w:rsidR="00E14F93" w:rsidRPr="00E14F93">
        <w:rPr>
          <w:rFonts w:ascii="Book Antiqua" w:hAnsi="Book Antiqua"/>
          <w:i/>
          <w:sz w:val="24"/>
          <w:szCs w:val="24"/>
          <w:lang w:val="en-GB"/>
        </w:rPr>
        <w:t>al</w:t>
      </w:r>
      <w:r w:rsidRPr="00E14F93">
        <w:rPr>
          <w:rFonts w:ascii="Book Antiqua" w:hAnsi="Book Antiqua"/>
          <w:sz w:val="24"/>
          <w:szCs w:val="24"/>
          <w:vertAlign w:val="superscript"/>
          <w:lang w:val="en-GB"/>
        </w:rPr>
        <w:t>[</w:t>
      </w:r>
      <w:proofErr w:type="gramEnd"/>
      <w:r w:rsidRPr="00E14F93">
        <w:rPr>
          <w:rFonts w:ascii="Book Antiqua" w:hAnsi="Book Antiqua"/>
          <w:sz w:val="24"/>
          <w:szCs w:val="24"/>
          <w:vertAlign w:val="superscript"/>
          <w:lang w:val="en-GB"/>
        </w:rPr>
        <w:t>13]</w:t>
      </w:r>
      <w:r w:rsidRPr="00E14F93">
        <w:rPr>
          <w:rFonts w:ascii="Book Antiqua" w:hAnsi="Book Antiqua"/>
          <w:sz w:val="24"/>
          <w:szCs w:val="24"/>
          <w:lang w:val="en-GB"/>
        </w:rPr>
        <w:t xml:space="preserve">, was evaluated using the parameters of compliance and persistence. Compliance was estimated by the medication possession ratio (MPR) and persistence by the time from treatment initiation to discontinuation with no medication refill gap for a period of 30 d or more during the period of interest. MPR was defined as the ratio of actually available doses against the expected doses that the patient should possess over a fixed period of time. Study patients were rated as having good compliance if the annual MPR ≥ 80%. The </w:t>
      </w:r>
      <w:r w:rsidR="00E14F93" w:rsidRPr="00E14F93">
        <w:rPr>
          <w:rFonts w:ascii="Book Antiqua" w:hAnsi="Book Antiqua"/>
          <w:sz w:val="24"/>
          <w:szCs w:val="24"/>
          <w:lang w:val="en-GB"/>
        </w:rPr>
        <w:t>medication possession r</w:t>
      </w:r>
      <w:r w:rsidRPr="00E14F93">
        <w:rPr>
          <w:rFonts w:ascii="Book Antiqua" w:hAnsi="Book Antiqua"/>
          <w:sz w:val="24"/>
          <w:szCs w:val="24"/>
          <w:lang w:val="en-GB"/>
        </w:rPr>
        <w:t xml:space="preserve">atio (MPR) was calculated </w:t>
      </w:r>
      <w:r w:rsidR="007E7043" w:rsidRPr="00E14F93">
        <w:rPr>
          <w:rFonts w:ascii="Book Antiqua" w:hAnsi="Book Antiqua"/>
          <w:sz w:val="24"/>
          <w:szCs w:val="24"/>
          <w:lang w:val="en-GB"/>
        </w:rPr>
        <w:t>in</w:t>
      </w:r>
      <w:r w:rsidRPr="00E14F93">
        <w:rPr>
          <w:rFonts w:ascii="Book Antiqua" w:hAnsi="Book Antiqua"/>
          <w:sz w:val="24"/>
          <w:szCs w:val="24"/>
          <w:lang w:val="en-GB"/>
        </w:rPr>
        <w:t xml:space="preserve"> the first year after BMD testing, and medication </w:t>
      </w:r>
      <w:r w:rsidR="007E7043" w:rsidRPr="00E14F93">
        <w:rPr>
          <w:rFonts w:ascii="Book Antiqua" w:hAnsi="Book Antiqua"/>
          <w:sz w:val="24"/>
          <w:szCs w:val="24"/>
          <w:lang w:val="en-GB"/>
        </w:rPr>
        <w:t>swapping</w:t>
      </w:r>
      <w:r w:rsidRPr="00E14F93">
        <w:rPr>
          <w:rFonts w:ascii="Book Antiqua" w:hAnsi="Book Antiqua"/>
          <w:sz w:val="24"/>
          <w:szCs w:val="24"/>
          <w:lang w:val="en-GB"/>
        </w:rPr>
        <w:t xml:space="preserve"> was considered. Medication use was categorized as: -Untreated: no use in the year before or after BMD testing, and </w:t>
      </w:r>
      <w:r w:rsidR="007E7043" w:rsidRPr="00E14F93">
        <w:rPr>
          <w:rFonts w:ascii="Book Antiqua" w:hAnsi="Book Antiqua"/>
          <w:sz w:val="24"/>
          <w:szCs w:val="24"/>
          <w:lang w:val="en-GB"/>
        </w:rPr>
        <w:t xml:space="preserve">&lt; </w:t>
      </w:r>
      <w:r w:rsidRPr="00E14F93">
        <w:rPr>
          <w:rFonts w:ascii="Book Antiqua" w:hAnsi="Book Antiqua"/>
          <w:sz w:val="24"/>
          <w:szCs w:val="24"/>
          <w:lang w:val="en-GB"/>
        </w:rPr>
        <w:t>6</w:t>
      </w:r>
      <w:r w:rsidR="007E7043" w:rsidRPr="00E14F93">
        <w:rPr>
          <w:rFonts w:ascii="Book Antiqua" w:hAnsi="Book Antiqua"/>
          <w:sz w:val="24"/>
          <w:szCs w:val="24"/>
          <w:lang w:val="en-GB"/>
        </w:rPr>
        <w:t>-</w:t>
      </w:r>
      <w:r w:rsidRPr="00E14F93">
        <w:rPr>
          <w:rFonts w:ascii="Book Antiqua" w:hAnsi="Book Antiqua"/>
          <w:sz w:val="24"/>
          <w:szCs w:val="24"/>
          <w:lang w:val="en-GB"/>
        </w:rPr>
        <w:t xml:space="preserve">mo lifetime use </w:t>
      </w:r>
      <w:r w:rsidR="007E7043" w:rsidRPr="00E14F93">
        <w:rPr>
          <w:rFonts w:ascii="Book Antiqua" w:hAnsi="Book Antiqua"/>
          <w:sz w:val="24"/>
          <w:szCs w:val="24"/>
          <w:lang w:val="en-GB"/>
        </w:rPr>
        <w:t>in</w:t>
      </w:r>
      <w:r w:rsidRPr="00E14F93">
        <w:rPr>
          <w:rFonts w:ascii="Book Antiqua" w:hAnsi="Book Antiqua"/>
          <w:sz w:val="24"/>
          <w:szCs w:val="24"/>
          <w:lang w:val="en-GB"/>
        </w:rPr>
        <w:t xml:space="preserve"> earlier years; </w:t>
      </w:r>
      <w:r w:rsidR="007E7043" w:rsidRPr="00E14F93">
        <w:rPr>
          <w:rFonts w:ascii="Book Antiqua" w:hAnsi="Book Antiqua"/>
          <w:sz w:val="24"/>
          <w:szCs w:val="24"/>
          <w:lang w:val="en-GB"/>
        </w:rPr>
        <w:t>-Low adherence (current user): MPR &lt;</w:t>
      </w:r>
      <w:r w:rsidR="00E14F93" w:rsidRPr="00E14F93">
        <w:rPr>
          <w:rFonts w:ascii="Book Antiqua" w:hAnsi="Book Antiqua"/>
          <w:sz w:val="24"/>
          <w:szCs w:val="24"/>
          <w:lang w:val="en-GB" w:eastAsia="zh-CN"/>
        </w:rPr>
        <w:t xml:space="preserve"> </w:t>
      </w:r>
      <w:r w:rsidR="007E7043" w:rsidRPr="00E14F93">
        <w:rPr>
          <w:rFonts w:ascii="Book Antiqua" w:hAnsi="Book Antiqua"/>
          <w:sz w:val="24"/>
          <w:szCs w:val="24"/>
          <w:lang w:val="en-GB"/>
        </w:rPr>
        <w:t xml:space="preserve">80% in the year following BMD testing; </w:t>
      </w:r>
      <w:r w:rsidRPr="00E14F93">
        <w:rPr>
          <w:rFonts w:ascii="Book Antiqua" w:hAnsi="Book Antiqua"/>
          <w:sz w:val="24"/>
          <w:szCs w:val="24"/>
          <w:lang w:val="en-GB"/>
        </w:rPr>
        <w:t xml:space="preserve">- High adherence </w:t>
      </w:r>
      <w:r w:rsidR="007E7043" w:rsidRPr="00E14F93">
        <w:rPr>
          <w:rFonts w:ascii="Book Antiqua" w:hAnsi="Book Antiqua"/>
          <w:sz w:val="24"/>
          <w:szCs w:val="24"/>
          <w:lang w:val="en-GB"/>
        </w:rPr>
        <w:t>(</w:t>
      </w:r>
      <w:r w:rsidRPr="00E14F93">
        <w:rPr>
          <w:rFonts w:ascii="Book Antiqua" w:hAnsi="Book Antiqua"/>
          <w:sz w:val="24"/>
          <w:szCs w:val="24"/>
          <w:lang w:val="en-GB"/>
        </w:rPr>
        <w:t>current user</w:t>
      </w:r>
      <w:r w:rsidR="007E7043" w:rsidRPr="00E14F93">
        <w:rPr>
          <w:rFonts w:ascii="Book Antiqua" w:hAnsi="Book Antiqua"/>
          <w:sz w:val="24"/>
          <w:szCs w:val="24"/>
          <w:lang w:val="en-GB"/>
        </w:rPr>
        <w:t>)</w:t>
      </w:r>
      <w:r w:rsidRPr="00E14F93">
        <w:rPr>
          <w:rFonts w:ascii="Book Antiqua" w:hAnsi="Book Antiqua"/>
          <w:sz w:val="24"/>
          <w:szCs w:val="24"/>
          <w:lang w:val="en-GB"/>
        </w:rPr>
        <w:t xml:space="preserve">: MPR </w:t>
      </w:r>
      <w:r w:rsidRPr="00E14F93">
        <w:rPr>
          <w:rFonts w:ascii="Book Antiqua" w:hAnsi="Book Antiqua" w:cs="Arial"/>
          <w:sz w:val="24"/>
          <w:szCs w:val="24"/>
          <w:lang w:val="en-GB"/>
        </w:rPr>
        <w:t>≥</w:t>
      </w:r>
      <w:r w:rsidRPr="00E14F93">
        <w:rPr>
          <w:rFonts w:ascii="Book Antiqua" w:hAnsi="Book Antiqua"/>
          <w:sz w:val="24"/>
          <w:szCs w:val="24"/>
          <w:lang w:val="en-GB"/>
        </w:rPr>
        <w:t xml:space="preserve"> 80% in th</w:t>
      </w:r>
      <w:r w:rsidR="00E14F93" w:rsidRPr="00E14F93">
        <w:rPr>
          <w:rFonts w:ascii="Book Antiqua" w:hAnsi="Book Antiqua"/>
          <w:sz w:val="24"/>
          <w:szCs w:val="24"/>
          <w:lang w:val="en-GB"/>
        </w:rPr>
        <w:t xml:space="preserve">e year following BMD testing; </w:t>
      </w:r>
      <w:r w:rsidRPr="00E14F93">
        <w:rPr>
          <w:rFonts w:ascii="Book Antiqua" w:hAnsi="Book Antiqua"/>
          <w:sz w:val="24"/>
          <w:szCs w:val="24"/>
          <w:lang w:val="en-GB"/>
        </w:rPr>
        <w:t xml:space="preserve">- Past user: any use in the year preceding BMD testing or at least 6 </w:t>
      </w:r>
      <w:proofErr w:type="spellStart"/>
      <w:r w:rsidRPr="00E14F93">
        <w:rPr>
          <w:rFonts w:ascii="Book Antiqua" w:hAnsi="Book Antiqua"/>
          <w:sz w:val="24"/>
          <w:szCs w:val="24"/>
          <w:lang w:val="en-GB"/>
        </w:rPr>
        <w:t>mo</w:t>
      </w:r>
      <w:proofErr w:type="spellEnd"/>
      <w:r w:rsidRPr="00E14F93">
        <w:rPr>
          <w:rFonts w:ascii="Book Antiqua" w:hAnsi="Book Antiqua"/>
          <w:sz w:val="24"/>
          <w:szCs w:val="24"/>
          <w:lang w:val="en-GB"/>
        </w:rPr>
        <w:t xml:space="preserve"> lifetime use </w:t>
      </w:r>
      <w:r w:rsidR="007E7043" w:rsidRPr="00E14F93">
        <w:rPr>
          <w:rFonts w:ascii="Book Antiqua" w:hAnsi="Book Antiqua"/>
          <w:sz w:val="24"/>
          <w:szCs w:val="24"/>
          <w:lang w:val="en-GB"/>
        </w:rPr>
        <w:t>in</w:t>
      </w:r>
      <w:r w:rsidRPr="00E14F93">
        <w:rPr>
          <w:rFonts w:ascii="Book Antiqua" w:hAnsi="Book Antiqua"/>
          <w:sz w:val="24"/>
          <w:szCs w:val="24"/>
          <w:lang w:val="en-GB"/>
        </w:rPr>
        <w:t xml:space="preserve"> earlier years, with no use in the year following BMD testing.</w:t>
      </w:r>
    </w:p>
    <w:p w:rsidR="00E14F93" w:rsidRPr="00E14F93" w:rsidRDefault="00E14F93" w:rsidP="007967A4">
      <w:pPr>
        <w:spacing w:line="360" w:lineRule="auto"/>
        <w:jc w:val="both"/>
        <w:rPr>
          <w:rFonts w:ascii="Book Antiqua" w:hAnsi="Book Antiqua"/>
          <w:sz w:val="24"/>
          <w:szCs w:val="24"/>
          <w:lang w:val="en-GB" w:eastAsia="zh-CN"/>
        </w:rPr>
      </w:pPr>
    </w:p>
    <w:p w:rsidR="00807A02" w:rsidRPr="00E14F93" w:rsidRDefault="00E14F93" w:rsidP="007967A4">
      <w:pPr>
        <w:spacing w:line="360" w:lineRule="auto"/>
        <w:jc w:val="both"/>
        <w:rPr>
          <w:rFonts w:ascii="Book Antiqua" w:hAnsi="Book Antiqua"/>
          <w:b/>
          <w:bCs/>
          <w:i/>
          <w:sz w:val="24"/>
          <w:szCs w:val="24"/>
          <w:lang w:val="en-GB" w:eastAsia="zh-CN"/>
        </w:rPr>
      </w:pPr>
      <w:r w:rsidRPr="00E14F93">
        <w:rPr>
          <w:rFonts w:ascii="Book Antiqua" w:hAnsi="Book Antiqua"/>
          <w:b/>
          <w:bCs/>
          <w:i/>
          <w:sz w:val="24"/>
          <w:szCs w:val="24"/>
          <w:lang w:val="en-GB"/>
        </w:rPr>
        <w:lastRenderedPageBreak/>
        <w:t>Statistical analysis</w:t>
      </w:r>
    </w:p>
    <w:p w:rsidR="00807A02" w:rsidRPr="00E14F93" w:rsidRDefault="00807A02" w:rsidP="007967A4">
      <w:pPr>
        <w:spacing w:line="360" w:lineRule="auto"/>
        <w:jc w:val="both"/>
        <w:rPr>
          <w:rFonts w:ascii="Book Antiqua" w:hAnsi="Book Antiqua"/>
          <w:sz w:val="24"/>
          <w:szCs w:val="24"/>
          <w:lang w:val="en-GB" w:eastAsia="zh-CN"/>
        </w:rPr>
      </w:pPr>
      <w:r w:rsidRPr="00E14F93">
        <w:rPr>
          <w:rFonts w:ascii="Book Antiqua" w:hAnsi="Book Antiqua"/>
          <w:sz w:val="24"/>
          <w:szCs w:val="24"/>
          <w:lang w:val="en-GB"/>
        </w:rPr>
        <w:t>Descriptive analysis was performed using frequency distribution in categorical variables and mean and standard deviation in case of normally distributed continuous variables. Spearman Rank order correlation was used for non-parametric data. Paired student-t test was used for comparing dependent parametric data. For inferential statistics “</w:t>
      </w:r>
      <w:r w:rsidRPr="00E14F93">
        <w:rPr>
          <w:rFonts w:ascii="Book Antiqua" w:hAnsi="Book Antiqua"/>
          <w:i/>
          <w:sz w:val="24"/>
          <w:szCs w:val="24"/>
          <w:lang w:val="en-GB"/>
        </w:rPr>
        <w:t>P</w:t>
      </w:r>
      <w:r w:rsidRPr="00E14F93">
        <w:rPr>
          <w:rFonts w:ascii="Book Antiqua" w:hAnsi="Book Antiqua"/>
          <w:sz w:val="24"/>
          <w:szCs w:val="24"/>
          <w:lang w:val="en-GB"/>
        </w:rPr>
        <w:t xml:space="preserve">” value was always set at 0.05.  </w:t>
      </w:r>
    </w:p>
    <w:p w:rsidR="00E14F93" w:rsidRPr="00E14F93" w:rsidRDefault="00E14F93" w:rsidP="007967A4">
      <w:pPr>
        <w:spacing w:line="360" w:lineRule="auto"/>
        <w:jc w:val="both"/>
        <w:rPr>
          <w:rFonts w:ascii="Book Antiqua" w:hAnsi="Book Antiqua"/>
          <w:sz w:val="24"/>
          <w:szCs w:val="24"/>
          <w:lang w:val="en-GB" w:eastAsia="zh-CN"/>
        </w:rPr>
      </w:pPr>
    </w:p>
    <w:p w:rsidR="00807A02" w:rsidRPr="00E14F93" w:rsidRDefault="00E14F93" w:rsidP="007967A4">
      <w:pPr>
        <w:spacing w:line="360" w:lineRule="auto"/>
        <w:jc w:val="both"/>
        <w:rPr>
          <w:rFonts w:ascii="Book Antiqua" w:hAnsi="Book Antiqua"/>
          <w:b/>
          <w:bCs/>
          <w:sz w:val="24"/>
          <w:szCs w:val="24"/>
          <w:lang w:val="en-GB" w:eastAsia="zh-CN"/>
        </w:rPr>
      </w:pPr>
      <w:r w:rsidRPr="00E14F93">
        <w:rPr>
          <w:rFonts w:ascii="Book Antiqua" w:hAnsi="Book Antiqua"/>
          <w:b/>
          <w:bCs/>
          <w:sz w:val="24"/>
          <w:szCs w:val="24"/>
          <w:lang w:val="en-GB"/>
        </w:rPr>
        <w:t>RESULTS</w:t>
      </w:r>
    </w:p>
    <w:p w:rsidR="00807A02" w:rsidRPr="00E14F93" w:rsidRDefault="00807A02" w:rsidP="007967A4">
      <w:pPr>
        <w:spacing w:line="360" w:lineRule="auto"/>
        <w:jc w:val="both"/>
        <w:rPr>
          <w:rFonts w:ascii="Book Antiqua" w:hAnsi="Book Antiqua"/>
          <w:sz w:val="24"/>
          <w:szCs w:val="24"/>
          <w:lang w:val="en-GB"/>
        </w:rPr>
      </w:pPr>
      <w:r w:rsidRPr="00E14F93">
        <w:rPr>
          <w:rFonts w:ascii="Book Antiqua" w:hAnsi="Book Antiqua"/>
          <w:sz w:val="24"/>
          <w:szCs w:val="24"/>
          <w:lang w:val="en-GB"/>
        </w:rPr>
        <w:t xml:space="preserve">The patients’ age range was from 50 to 79 years (mean 64.3 + 9.4 years). During mean 5.3 years of observation, there were 44/1026 (4.3 %) deaths and 28/1026 (2.7%) changed their address. 376/1026 (36.6%) were excluded </w:t>
      </w:r>
      <w:r w:rsidR="00EB6E92" w:rsidRPr="00E14F93">
        <w:rPr>
          <w:rFonts w:ascii="Book Antiqua" w:hAnsi="Book Antiqua"/>
          <w:sz w:val="24"/>
          <w:szCs w:val="24"/>
          <w:lang w:val="en-GB"/>
        </w:rPr>
        <w:t>as they did not adhere</w:t>
      </w:r>
      <w:r w:rsidRPr="00E14F93">
        <w:rPr>
          <w:rFonts w:ascii="Book Antiqua" w:hAnsi="Book Antiqua"/>
          <w:sz w:val="24"/>
          <w:szCs w:val="24"/>
          <w:lang w:val="en-GB"/>
        </w:rPr>
        <w:t xml:space="preserve"> to therapy, therefore, </w:t>
      </w:r>
      <w:r w:rsidR="00EB6E92" w:rsidRPr="00E14F93">
        <w:rPr>
          <w:rFonts w:ascii="Book Antiqua" w:hAnsi="Book Antiqua"/>
          <w:sz w:val="24"/>
          <w:szCs w:val="24"/>
          <w:lang w:val="en-GB"/>
        </w:rPr>
        <w:t>in</w:t>
      </w:r>
      <w:r w:rsidRPr="00E14F93">
        <w:rPr>
          <w:rFonts w:ascii="Book Antiqua" w:hAnsi="Book Antiqua"/>
          <w:sz w:val="24"/>
          <w:szCs w:val="24"/>
          <w:lang w:val="en-GB"/>
        </w:rPr>
        <w:t xml:space="preserve"> total 579 women out of 1026 (56.4%) were included in this cohort. Table 1 </w:t>
      </w:r>
      <w:proofErr w:type="gramStart"/>
      <w:r w:rsidRPr="00E14F93">
        <w:rPr>
          <w:rFonts w:ascii="Book Antiqua" w:hAnsi="Book Antiqua"/>
          <w:sz w:val="24"/>
          <w:szCs w:val="24"/>
          <w:lang w:val="en-GB"/>
        </w:rPr>
        <w:t>shows</w:t>
      </w:r>
      <w:proofErr w:type="gramEnd"/>
      <w:r w:rsidRPr="00E14F93">
        <w:rPr>
          <w:rFonts w:ascii="Book Antiqua" w:hAnsi="Book Antiqua"/>
          <w:sz w:val="24"/>
          <w:szCs w:val="24"/>
          <w:lang w:val="en-GB"/>
        </w:rPr>
        <w:t xml:space="preserve"> the mean (</w:t>
      </w:r>
      <w:r w:rsidR="00E14F93" w:rsidRPr="00E14F93">
        <w:rPr>
          <w:rFonts w:ascii="Book Antiqua" w:hAnsi="Book Antiqua" w:cs="Arial"/>
          <w:color w:val="000000"/>
          <w:sz w:val="24"/>
          <w:szCs w:val="24"/>
        </w:rPr>
        <w:t>±</w:t>
      </w:r>
      <w:r w:rsidRPr="00E14F93">
        <w:rPr>
          <w:rFonts w:ascii="Book Antiqua" w:hAnsi="Book Antiqua"/>
          <w:sz w:val="24"/>
          <w:szCs w:val="24"/>
          <w:lang w:val="en-GB"/>
        </w:rPr>
        <w:t xml:space="preserve"> standard deviation) proximal femur BMD as well as the mean predicted 10-year major osteoporotic fracture and hip fracture probability estimated for all patients at baseline, 2-years and 5-years of observation. At baseline 49.6% of the patients had documented history of low trauma fracture. </w:t>
      </w:r>
      <w:r w:rsidR="00B26D04" w:rsidRPr="00E14F93">
        <w:rPr>
          <w:rFonts w:ascii="Book Antiqua" w:hAnsi="Book Antiqua"/>
          <w:sz w:val="24"/>
          <w:szCs w:val="24"/>
          <w:lang w:val="en-GB"/>
        </w:rPr>
        <w:t>In</w:t>
      </w:r>
      <w:r w:rsidRPr="00E14F93">
        <w:rPr>
          <w:rFonts w:ascii="Book Antiqua" w:hAnsi="Book Antiqua"/>
          <w:sz w:val="24"/>
          <w:szCs w:val="24"/>
          <w:lang w:val="en-GB"/>
        </w:rPr>
        <w:t xml:space="preserve"> the </w:t>
      </w:r>
      <w:r w:rsidR="00B26D04" w:rsidRPr="00E14F93">
        <w:rPr>
          <w:rFonts w:ascii="Book Antiqua" w:hAnsi="Book Antiqua"/>
          <w:sz w:val="24"/>
          <w:szCs w:val="24"/>
          <w:lang w:val="en-GB"/>
        </w:rPr>
        <w:t>initial</w:t>
      </w:r>
      <w:r w:rsidRPr="00E14F93">
        <w:rPr>
          <w:rFonts w:ascii="Book Antiqua" w:hAnsi="Book Antiqua"/>
          <w:sz w:val="24"/>
          <w:szCs w:val="24"/>
          <w:lang w:val="en-GB"/>
        </w:rPr>
        <w:t xml:space="preserve"> 2-years of the observation period 16.9% individuals </w:t>
      </w:r>
      <w:r w:rsidR="00B26D04" w:rsidRPr="00E14F93">
        <w:rPr>
          <w:rFonts w:ascii="Book Antiqua" w:hAnsi="Book Antiqua"/>
          <w:sz w:val="24"/>
          <w:szCs w:val="24"/>
          <w:lang w:val="en-GB"/>
        </w:rPr>
        <w:t>ha</w:t>
      </w:r>
      <w:r w:rsidRPr="00E14F93">
        <w:rPr>
          <w:rFonts w:ascii="Book Antiqua" w:hAnsi="Book Antiqua"/>
          <w:sz w:val="24"/>
          <w:szCs w:val="24"/>
          <w:lang w:val="en-GB"/>
        </w:rPr>
        <w:t xml:space="preserve">d </w:t>
      </w:r>
      <w:r w:rsidR="00B26D04" w:rsidRPr="00E14F93">
        <w:rPr>
          <w:rFonts w:ascii="Book Antiqua" w:hAnsi="Book Antiqua"/>
          <w:sz w:val="24"/>
          <w:szCs w:val="24"/>
          <w:lang w:val="en-GB"/>
        </w:rPr>
        <w:t xml:space="preserve">a </w:t>
      </w:r>
      <w:r w:rsidRPr="00E14F93">
        <w:rPr>
          <w:rFonts w:ascii="Book Antiqua" w:hAnsi="Book Antiqua"/>
          <w:sz w:val="24"/>
          <w:szCs w:val="24"/>
          <w:lang w:val="en-GB"/>
        </w:rPr>
        <w:t>new major osteoporotic fracture whereas in the following 3 years of observation period, 4.7% of the patients sustained a new low trauma fracture (</w:t>
      </w:r>
      <w:r w:rsidR="004359F6" w:rsidRPr="00E14F93">
        <w:rPr>
          <w:rFonts w:ascii="Book Antiqua" w:hAnsi="Book Antiqua"/>
          <w:sz w:val="24"/>
          <w:szCs w:val="24"/>
          <w:lang w:val="en-GB"/>
        </w:rPr>
        <w:t>T</w:t>
      </w:r>
      <w:r w:rsidRPr="00E14F93">
        <w:rPr>
          <w:rFonts w:ascii="Book Antiqua" w:hAnsi="Book Antiqua"/>
          <w:sz w:val="24"/>
          <w:szCs w:val="24"/>
          <w:lang w:val="en-GB"/>
        </w:rPr>
        <w:t xml:space="preserve">able 2). Hip fractures represented 48% of the total low trauma fractures occurring over the 5.3 years study period whereas the remaining 52% had one of the major osteoporosis fractures (spine, forearm or shoulder). </w:t>
      </w:r>
    </w:p>
    <w:p w:rsidR="00807A02" w:rsidRPr="00E14F93" w:rsidRDefault="00807A02" w:rsidP="00E14F93">
      <w:pPr>
        <w:spacing w:line="360" w:lineRule="auto"/>
        <w:ind w:firstLineChars="100" w:firstLine="240"/>
        <w:jc w:val="both"/>
        <w:rPr>
          <w:rFonts w:ascii="Book Antiqua" w:hAnsi="Book Antiqua"/>
          <w:sz w:val="24"/>
          <w:szCs w:val="24"/>
          <w:lang w:val="en-GB"/>
        </w:rPr>
      </w:pPr>
      <w:r w:rsidRPr="00E14F93">
        <w:rPr>
          <w:rFonts w:ascii="Book Antiqua" w:hAnsi="Book Antiqua"/>
          <w:sz w:val="24"/>
          <w:szCs w:val="24"/>
          <w:lang w:val="en-GB"/>
        </w:rPr>
        <w:t xml:space="preserve">The FRAX stratified major osteoporotic and hip fracture 10-year probability </w:t>
      </w:r>
      <w:r w:rsidR="00B26D04" w:rsidRPr="00E14F93">
        <w:rPr>
          <w:rFonts w:ascii="Book Antiqua" w:hAnsi="Book Antiqua"/>
          <w:sz w:val="24"/>
          <w:szCs w:val="24"/>
          <w:lang w:val="en-GB"/>
        </w:rPr>
        <w:t>had</w:t>
      </w:r>
      <w:r w:rsidRPr="00E14F93">
        <w:rPr>
          <w:rFonts w:ascii="Book Antiqua" w:hAnsi="Book Antiqua"/>
          <w:sz w:val="24"/>
          <w:szCs w:val="24"/>
          <w:lang w:val="en-GB"/>
        </w:rPr>
        <w:t xml:space="preserve"> significant negative correlation with total proximal femur BMD </w:t>
      </w:r>
      <w:r w:rsidR="00B26D04" w:rsidRPr="00E14F93">
        <w:rPr>
          <w:rFonts w:ascii="Book Antiqua" w:hAnsi="Book Antiqua"/>
          <w:sz w:val="24"/>
          <w:szCs w:val="24"/>
          <w:lang w:val="en-GB"/>
        </w:rPr>
        <w:t xml:space="preserve">measurement </w:t>
      </w:r>
      <w:r w:rsidRPr="00E14F93">
        <w:rPr>
          <w:rFonts w:ascii="Book Antiqua" w:hAnsi="Book Antiqua"/>
          <w:sz w:val="24"/>
          <w:szCs w:val="24"/>
          <w:lang w:val="en-GB"/>
        </w:rPr>
        <w:t>at 2-years as well as at 5-years of therapy (Table 3). A</w:t>
      </w:r>
      <w:r w:rsidR="00B26D04" w:rsidRPr="00E14F93">
        <w:rPr>
          <w:rFonts w:ascii="Book Antiqua" w:hAnsi="Book Antiqua"/>
          <w:sz w:val="24"/>
          <w:szCs w:val="24"/>
          <w:lang w:val="en-GB"/>
        </w:rPr>
        <w:t>f</w:t>
      </w:r>
      <w:r w:rsidRPr="00E14F93">
        <w:rPr>
          <w:rFonts w:ascii="Book Antiqua" w:hAnsi="Book Antiqua"/>
          <w:sz w:val="24"/>
          <w:szCs w:val="24"/>
          <w:lang w:val="en-GB"/>
        </w:rPr>
        <w:t>t</w:t>
      </w:r>
      <w:r w:rsidR="00B26D04" w:rsidRPr="00E14F93">
        <w:rPr>
          <w:rFonts w:ascii="Book Antiqua" w:hAnsi="Book Antiqua"/>
          <w:sz w:val="24"/>
          <w:szCs w:val="24"/>
          <w:lang w:val="en-GB"/>
        </w:rPr>
        <w:t>er</w:t>
      </w:r>
      <w:r w:rsidRPr="00E14F93">
        <w:rPr>
          <w:rFonts w:ascii="Book Antiqua" w:hAnsi="Book Antiqua"/>
          <w:sz w:val="24"/>
          <w:szCs w:val="24"/>
          <w:lang w:val="en-GB"/>
        </w:rPr>
        <w:t xml:space="preserve"> 2 years and 5 years of t</w:t>
      </w:r>
      <w:r w:rsidR="00B26D04" w:rsidRPr="00E14F93">
        <w:rPr>
          <w:rFonts w:ascii="Book Antiqua" w:hAnsi="Book Antiqua"/>
          <w:sz w:val="24"/>
          <w:szCs w:val="24"/>
          <w:lang w:val="en-GB"/>
        </w:rPr>
        <w:t>reatment</w:t>
      </w:r>
      <w:r w:rsidRPr="00E14F93">
        <w:rPr>
          <w:rFonts w:ascii="Book Antiqua" w:hAnsi="Book Antiqua"/>
          <w:sz w:val="24"/>
          <w:szCs w:val="24"/>
          <w:lang w:val="en-GB"/>
        </w:rPr>
        <w:t xml:space="preserve"> (</w:t>
      </w:r>
      <w:r w:rsidR="00E14F93" w:rsidRPr="00E14F93">
        <w:rPr>
          <w:rFonts w:ascii="Book Antiqua" w:hAnsi="Book Antiqua"/>
          <w:sz w:val="24"/>
          <w:szCs w:val="24"/>
          <w:lang w:val="en-GB"/>
        </w:rPr>
        <w:t>F</w:t>
      </w:r>
      <w:r w:rsidRPr="00E14F93">
        <w:rPr>
          <w:rFonts w:ascii="Book Antiqua" w:hAnsi="Book Antiqua"/>
          <w:sz w:val="24"/>
          <w:szCs w:val="24"/>
          <w:lang w:val="en-GB"/>
        </w:rPr>
        <w:t xml:space="preserve">igure 1), there was </w:t>
      </w:r>
      <w:r w:rsidR="00B26D04" w:rsidRPr="00E14F93">
        <w:rPr>
          <w:rFonts w:ascii="Book Antiqua" w:hAnsi="Book Antiqua"/>
          <w:sz w:val="24"/>
          <w:szCs w:val="24"/>
          <w:lang w:val="en-GB"/>
        </w:rPr>
        <w:t xml:space="preserve">a </w:t>
      </w:r>
      <w:r w:rsidRPr="00E14F93">
        <w:rPr>
          <w:rFonts w:ascii="Book Antiqua" w:hAnsi="Book Antiqua"/>
          <w:sz w:val="24"/>
          <w:szCs w:val="24"/>
          <w:lang w:val="en-GB"/>
        </w:rPr>
        <w:t>significant relation between estimated 10-year predicted fracture probability for major osteoporosis fracture with both femur BMD as well as the fracture (</w:t>
      </w:r>
      <w:r w:rsidRPr="00E14F93">
        <w:rPr>
          <w:rFonts w:ascii="Book Antiqua" w:hAnsi="Book Antiqua"/>
          <w:i/>
          <w:sz w:val="24"/>
          <w:szCs w:val="24"/>
          <w:lang w:val="en-GB"/>
        </w:rPr>
        <w:t>P</w:t>
      </w:r>
      <w:r w:rsidR="00E14F93">
        <w:rPr>
          <w:rFonts w:ascii="Book Antiqua" w:hAnsi="Book Antiqua" w:hint="eastAsia"/>
          <w:sz w:val="24"/>
          <w:szCs w:val="24"/>
          <w:lang w:val="en-GB" w:eastAsia="zh-CN"/>
        </w:rPr>
        <w:t xml:space="preserve"> </w:t>
      </w:r>
      <w:r w:rsidRPr="00E14F93">
        <w:rPr>
          <w:rFonts w:ascii="Book Antiqua" w:hAnsi="Book Antiqua"/>
          <w:sz w:val="24"/>
          <w:szCs w:val="24"/>
          <w:lang w:val="en-GB"/>
        </w:rPr>
        <w:t>&lt;</w:t>
      </w:r>
      <w:r w:rsidR="00E14F93">
        <w:rPr>
          <w:rFonts w:ascii="Book Antiqua" w:hAnsi="Book Antiqua" w:hint="eastAsia"/>
          <w:sz w:val="24"/>
          <w:szCs w:val="24"/>
          <w:lang w:val="en-GB" w:eastAsia="zh-CN"/>
        </w:rPr>
        <w:t xml:space="preserve"> </w:t>
      </w:r>
      <w:r w:rsidRPr="00E14F93">
        <w:rPr>
          <w:rFonts w:ascii="Book Antiqua" w:hAnsi="Book Antiqua"/>
          <w:sz w:val="24"/>
          <w:szCs w:val="24"/>
          <w:lang w:val="en-GB"/>
        </w:rPr>
        <w:t xml:space="preserve">0.01) regardless of the medication used. Similarly, there was </w:t>
      </w:r>
      <w:r w:rsidR="00B26D04" w:rsidRPr="00E14F93">
        <w:rPr>
          <w:rFonts w:ascii="Book Antiqua" w:hAnsi="Book Antiqua"/>
          <w:sz w:val="24"/>
          <w:szCs w:val="24"/>
          <w:lang w:val="en-GB"/>
        </w:rPr>
        <w:t xml:space="preserve">a </w:t>
      </w:r>
      <w:r w:rsidRPr="00E14F93">
        <w:rPr>
          <w:rFonts w:ascii="Book Antiqua" w:hAnsi="Book Antiqua"/>
          <w:sz w:val="24"/>
          <w:szCs w:val="24"/>
          <w:lang w:val="en-GB"/>
        </w:rPr>
        <w:t xml:space="preserve">significant relation between </w:t>
      </w:r>
      <w:r w:rsidR="00B26D04" w:rsidRPr="00E14F93">
        <w:rPr>
          <w:rFonts w:ascii="Book Antiqua" w:hAnsi="Book Antiqua"/>
          <w:sz w:val="24"/>
          <w:szCs w:val="24"/>
          <w:lang w:val="en-GB"/>
        </w:rPr>
        <w:t xml:space="preserve">the fracture incidence and </w:t>
      </w:r>
      <w:r w:rsidRPr="00E14F93">
        <w:rPr>
          <w:rFonts w:ascii="Book Antiqua" w:hAnsi="Book Antiqua"/>
          <w:sz w:val="24"/>
          <w:szCs w:val="24"/>
          <w:lang w:val="en-GB"/>
        </w:rPr>
        <w:t>10-year predicted fracture probability for hip fracture (</w:t>
      </w:r>
      <w:r w:rsidR="00E14F93" w:rsidRPr="00E14F93">
        <w:rPr>
          <w:rFonts w:ascii="Book Antiqua" w:hAnsi="Book Antiqua"/>
          <w:i/>
          <w:sz w:val="24"/>
          <w:szCs w:val="24"/>
          <w:lang w:val="en-GB"/>
        </w:rPr>
        <w:t>P</w:t>
      </w:r>
      <w:r w:rsidR="00E14F93" w:rsidRPr="00E14F93">
        <w:rPr>
          <w:rFonts w:ascii="Book Antiqua" w:hAnsi="Book Antiqua"/>
          <w:sz w:val="24"/>
          <w:szCs w:val="24"/>
          <w:lang w:val="en-GB"/>
        </w:rPr>
        <w:t xml:space="preserve"> </w:t>
      </w:r>
      <w:r w:rsidRPr="00E14F93">
        <w:rPr>
          <w:rFonts w:ascii="Book Antiqua" w:hAnsi="Book Antiqua"/>
          <w:sz w:val="24"/>
          <w:szCs w:val="24"/>
          <w:lang w:val="en-GB"/>
        </w:rPr>
        <w:t>&lt; 0.01) (</w:t>
      </w:r>
      <w:r w:rsidR="00E14F93" w:rsidRPr="00E14F93">
        <w:rPr>
          <w:rFonts w:ascii="Book Antiqua" w:hAnsi="Book Antiqua"/>
          <w:sz w:val="24"/>
          <w:szCs w:val="24"/>
          <w:lang w:val="en-GB"/>
        </w:rPr>
        <w:t>F</w:t>
      </w:r>
      <w:r w:rsidRPr="00E14F93">
        <w:rPr>
          <w:rFonts w:ascii="Book Antiqua" w:hAnsi="Book Antiqua"/>
          <w:sz w:val="24"/>
          <w:szCs w:val="24"/>
          <w:lang w:val="en-GB"/>
        </w:rPr>
        <w:t>igure</w:t>
      </w:r>
      <w:r w:rsidR="004359F6">
        <w:rPr>
          <w:rFonts w:ascii="Book Antiqua" w:hAnsi="Book Antiqua" w:hint="eastAsia"/>
          <w:sz w:val="24"/>
          <w:szCs w:val="24"/>
          <w:lang w:val="en-GB" w:eastAsia="zh-CN"/>
        </w:rPr>
        <w:t xml:space="preserve"> </w:t>
      </w:r>
      <w:r w:rsidRPr="00E14F93">
        <w:rPr>
          <w:rFonts w:ascii="Book Antiqua" w:hAnsi="Book Antiqua"/>
          <w:sz w:val="24"/>
          <w:szCs w:val="24"/>
          <w:lang w:val="en-GB"/>
        </w:rPr>
        <w:t xml:space="preserve">2). </w:t>
      </w:r>
      <w:r w:rsidR="00B26D04" w:rsidRPr="00E14F93">
        <w:rPr>
          <w:rFonts w:ascii="Book Antiqua" w:hAnsi="Book Antiqua"/>
          <w:sz w:val="24"/>
          <w:szCs w:val="24"/>
          <w:lang w:val="en-GB"/>
        </w:rPr>
        <w:t>On assessment of</w:t>
      </w:r>
      <w:r w:rsidRPr="00E14F93">
        <w:rPr>
          <w:rFonts w:ascii="Book Antiqua" w:hAnsi="Book Antiqua"/>
          <w:sz w:val="24"/>
          <w:szCs w:val="24"/>
          <w:lang w:val="en-GB"/>
        </w:rPr>
        <w:t xml:space="preserve"> major fracture probability using BMD, </w:t>
      </w:r>
      <w:r w:rsidRPr="00E14F93">
        <w:rPr>
          <w:rFonts w:ascii="Book Antiqua" w:hAnsi="Book Antiqua"/>
          <w:sz w:val="24"/>
          <w:szCs w:val="24"/>
          <w:lang w:val="en-GB"/>
        </w:rPr>
        <w:lastRenderedPageBreak/>
        <w:t>there was a significant (</w:t>
      </w:r>
      <w:r w:rsidR="00E14F93" w:rsidRPr="00E14F93">
        <w:rPr>
          <w:rFonts w:ascii="Book Antiqua" w:hAnsi="Book Antiqua"/>
          <w:i/>
          <w:sz w:val="24"/>
          <w:szCs w:val="24"/>
          <w:lang w:val="en-GB"/>
        </w:rPr>
        <w:t>P</w:t>
      </w:r>
      <w:r w:rsidR="00E14F93" w:rsidRPr="00E14F93">
        <w:rPr>
          <w:rFonts w:ascii="Book Antiqua" w:hAnsi="Book Antiqua"/>
          <w:sz w:val="24"/>
          <w:szCs w:val="24"/>
          <w:lang w:val="en-GB"/>
        </w:rPr>
        <w:t xml:space="preserve"> </w:t>
      </w:r>
      <w:r w:rsidRPr="00E14F93">
        <w:rPr>
          <w:rFonts w:ascii="Book Antiqua" w:hAnsi="Book Antiqua"/>
          <w:sz w:val="24"/>
          <w:szCs w:val="24"/>
          <w:lang w:val="en-GB"/>
        </w:rPr>
        <w:t>&lt;</w:t>
      </w:r>
      <w:r w:rsidR="00E14F93">
        <w:rPr>
          <w:rFonts w:ascii="Book Antiqua" w:hAnsi="Book Antiqua" w:hint="eastAsia"/>
          <w:sz w:val="24"/>
          <w:szCs w:val="24"/>
          <w:lang w:val="en-GB" w:eastAsia="zh-CN"/>
        </w:rPr>
        <w:t xml:space="preserve"> </w:t>
      </w:r>
      <w:r w:rsidRPr="00E14F93">
        <w:rPr>
          <w:rFonts w:ascii="Book Antiqua" w:hAnsi="Book Antiqua"/>
          <w:sz w:val="24"/>
          <w:szCs w:val="24"/>
          <w:lang w:val="en-GB"/>
        </w:rPr>
        <w:t xml:space="preserve">0.05) less fracture probability among responders </w:t>
      </w:r>
      <w:r w:rsidR="00B26D04" w:rsidRPr="00E14F93">
        <w:rPr>
          <w:rFonts w:ascii="Book Antiqua" w:hAnsi="Book Antiqua"/>
          <w:sz w:val="24"/>
          <w:szCs w:val="24"/>
          <w:lang w:val="en-GB"/>
        </w:rPr>
        <w:t xml:space="preserve">in </w:t>
      </w:r>
      <w:r w:rsidRPr="00E14F93">
        <w:rPr>
          <w:rFonts w:ascii="Book Antiqua" w:hAnsi="Book Antiqua"/>
          <w:sz w:val="24"/>
          <w:szCs w:val="24"/>
          <w:lang w:val="en-GB"/>
        </w:rPr>
        <w:t>compar</w:t>
      </w:r>
      <w:r w:rsidR="00B26D04" w:rsidRPr="00E14F93">
        <w:rPr>
          <w:rFonts w:ascii="Book Antiqua" w:hAnsi="Book Antiqua"/>
          <w:sz w:val="24"/>
          <w:szCs w:val="24"/>
          <w:lang w:val="en-GB"/>
        </w:rPr>
        <w:t>ison</w:t>
      </w:r>
      <w:r w:rsidRPr="00E14F93">
        <w:rPr>
          <w:rFonts w:ascii="Book Antiqua" w:hAnsi="Book Antiqua"/>
          <w:sz w:val="24"/>
          <w:szCs w:val="24"/>
          <w:lang w:val="en-GB"/>
        </w:rPr>
        <w:t xml:space="preserve"> to n</w:t>
      </w:r>
      <w:r w:rsidR="00B26D04" w:rsidRPr="00E14F93">
        <w:rPr>
          <w:rFonts w:ascii="Book Antiqua" w:hAnsi="Book Antiqua"/>
          <w:sz w:val="24"/>
          <w:szCs w:val="24"/>
          <w:lang w:val="en-GB"/>
        </w:rPr>
        <w:t>on-responders to osteoporosis treatment</w:t>
      </w:r>
      <w:r w:rsidR="00E14F93">
        <w:rPr>
          <w:rFonts w:ascii="Book Antiqua" w:hAnsi="Book Antiqua"/>
          <w:sz w:val="24"/>
          <w:szCs w:val="24"/>
          <w:lang w:val="en-GB"/>
        </w:rPr>
        <w:t>. Figure 3</w:t>
      </w:r>
      <w:r w:rsidRPr="00E14F93">
        <w:rPr>
          <w:rFonts w:ascii="Book Antiqua" w:hAnsi="Book Antiqua"/>
          <w:sz w:val="24"/>
          <w:szCs w:val="24"/>
          <w:lang w:val="en-GB"/>
        </w:rPr>
        <w:t xml:space="preserve"> shows that</w:t>
      </w:r>
      <w:r w:rsidR="00D85197" w:rsidRPr="00E14F93">
        <w:rPr>
          <w:rFonts w:ascii="Book Antiqua" w:hAnsi="Book Antiqua"/>
          <w:sz w:val="24"/>
          <w:szCs w:val="24"/>
          <w:lang w:val="en-GB"/>
        </w:rPr>
        <w:t>,</w:t>
      </w:r>
      <w:r w:rsidRPr="00E14F93">
        <w:rPr>
          <w:rFonts w:ascii="Book Antiqua" w:hAnsi="Book Antiqua"/>
          <w:sz w:val="24"/>
          <w:szCs w:val="24"/>
          <w:lang w:val="en-GB"/>
        </w:rPr>
        <w:t xml:space="preserve"> the total proximal femur BMD was a strong predictor to </w:t>
      </w:r>
      <w:r w:rsidR="00B26D04" w:rsidRPr="00E14F93">
        <w:rPr>
          <w:rFonts w:ascii="Book Antiqua" w:hAnsi="Book Antiqua"/>
          <w:sz w:val="24"/>
          <w:szCs w:val="24"/>
          <w:lang w:val="en-GB"/>
        </w:rPr>
        <w:t xml:space="preserve">both hip as well as </w:t>
      </w:r>
      <w:r w:rsidRPr="00E14F93">
        <w:rPr>
          <w:rFonts w:ascii="Book Antiqua" w:hAnsi="Book Antiqua"/>
          <w:sz w:val="24"/>
          <w:szCs w:val="24"/>
          <w:lang w:val="en-GB"/>
        </w:rPr>
        <w:t>major osteoporotic fractures; this was not affected by medication use (</w:t>
      </w:r>
      <w:r w:rsidRPr="00E14F93">
        <w:rPr>
          <w:rFonts w:ascii="Book Antiqua" w:hAnsi="Book Antiqua"/>
          <w:i/>
          <w:sz w:val="24"/>
          <w:szCs w:val="24"/>
          <w:lang w:val="en-GB"/>
        </w:rPr>
        <w:t>P</w:t>
      </w:r>
      <w:r w:rsidR="00E14F93">
        <w:rPr>
          <w:rFonts w:ascii="Book Antiqua" w:hAnsi="Book Antiqua" w:hint="eastAsia"/>
          <w:sz w:val="24"/>
          <w:szCs w:val="24"/>
          <w:lang w:val="en-GB" w:eastAsia="zh-CN"/>
        </w:rPr>
        <w:t xml:space="preserve"> </w:t>
      </w:r>
      <w:r w:rsidRPr="00E14F93">
        <w:rPr>
          <w:rFonts w:ascii="Book Antiqua" w:hAnsi="Book Antiqua"/>
          <w:sz w:val="24"/>
          <w:szCs w:val="24"/>
          <w:lang w:val="en-GB"/>
        </w:rPr>
        <w:t>&lt;</w:t>
      </w:r>
      <w:r w:rsidR="00E14F93">
        <w:rPr>
          <w:rFonts w:ascii="Book Antiqua" w:hAnsi="Book Antiqua" w:hint="eastAsia"/>
          <w:sz w:val="24"/>
          <w:szCs w:val="24"/>
          <w:lang w:val="en-GB" w:eastAsia="zh-CN"/>
        </w:rPr>
        <w:t xml:space="preserve"> </w:t>
      </w:r>
      <w:r w:rsidRPr="00E14F93">
        <w:rPr>
          <w:rFonts w:ascii="Book Antiqua" w:hAnsi="Book Antiqua"/>
          <w:sz w:val="24"/>
          <w:szCs w:val="24"/>
          <w:lang w:val="en-GB"/>
        </w:rPr>
        <w:t>0.05).</w:t>
      </w:r>
    </w:p>
    <w:p w:rsidR="00807A02" w:rsidRPr="00E14F93" w:rsidRDefault="00807A02" w:rsidP="00E14F93">
      <w:pPr>
        <w:spacing w:line="360" w:lineRule="auto"/>
        <w:ind w:firstLineChars="100" w:firstLine="240"/>
        <w:jc w:val="both"/>
        <w:rPr>
          <w:rFonts w:ascii="Book Antiqua" w:hAnsi="Book Antiqua"/>
          <w:sz w:val="24"/>
          <w:szCs w:val="24"/>
          <w:lang w:val="en-GB"/>
        </w:rPr>
      </w:pPr>
      <w:r w:rsidRPr="00E14F93">
        <w:rPr>
          <w:rFonts w:ascii="Book Antiqua" w:hAnsi="Book Antiqua"/>
          <w:sz w:val="24"/>
          <w:szCs w:val="24"/>
          <w:lang w:val="en-GB"/>
        </w:rPr>
        <w:t>The patients who experienced an increase in femoral neck or total proximal femur BMD (expressed as a percentage difference from the baseline BMD) at 2-year treatment had a lower incidence rate of fracture (fracture in</w:t>
      </w:r>
      <w:r w:rsidR="00E14F93">
        <w:rPr>
          <w:rFonts w:ascii="Book Antiqua" w:hAnsi="Book Antiqua"/>
          <w:sz w:val="24"/>
          <w:szCs w:val="24"/>
          <w:lang w:val="en-GB"/>
        </w:rPr>
        <w:t>cidence was 2.5%)</w:t>
      </w:r>
      <w:proofErr w:type="gramStart"/>
      <w:r w:rsidR="00E14F93">
        <w:rPr>
          <w:rFonts w:ascii="Book Antiqua" w:hAnsi="Book Antiqua"/>
          <w:sz w:val="24"/>
          <w:szCs w:val="24"/>
          <w:lang w:val="en-GB"/>
        </w:rPr>
        <w:t>,</w:t>
      </w:r>
      <w:proofErr w:type="gramEnd"/>
      <w:r w:rsidR="00E14F93">
        <w:rPr>
          <w:rFonts w:ascii="Book Antiqua" w:hAnsi="Book Antiqua"/>
          <w:sz w:val="24"/>
          <w:szCs w:val="24"/>
          <w:lang w:val="en-GB"/>
        </w:rPr>
        <w:t xml:space="preserve"> compared to </w:t>
      </w:r>
      <w:r w:rsidRPr="00E14F93">
        <w:rPr>
          <w:rFonts w:ascii="Book Antiqua" w:hAnsi="Book Antiqua"/>
          <w:sz w:val="24"/>
          <w:szCs w:val="24"/>
          <w:lang w:val="en-GB"/>
        </w:rPr>
        <w:t xml:space="preserve">treated patients who experienced reduced BMD (fracture incidence was 19%). After controlling for covariates (namely age, steroids intake, smoking), patients with an improvement of at least 3% in femoral neck BMD at 2-year of therapy, were at a lower risk of new fractures development (odds ratio 0.63 [95% Confidence Interval </w:t>
      </w:r>
      <w:r w:rsidR="00E14F93">
        <w:rPr>
          <w:rFonts w:ascii="Book Antiqua" w:hAnsi="Book Antiqua" w:hint="eastAsia"/>
          <w:sz w:val="24"/>
          <w:szCs w:val="24"/>
          <w:lang w:val="en-GB" w:eastAsia="zh-CN"/>
        </w:rPr>
        <w:t xml:space="preserve">(CI): </w:t>
      </w:r>
      <w:r w:rsidRPr="00E14F93">
        <w:rPr>
          <w:rFonts w:ascii="Book Antiqua" w:hAnsi="Book Antiqua"/>
          <w:sz w:val="24"/>
          <w:szCs w:val="24"/>
          <w:lang w:val="en-GB"/>
        </w:rPr>
        <w:t xml:space="preserve">0.41– 0.82]) than patients without such improvement. The results were in the same range when considering changes in total proximal </w:t>
      </w:r>
      <w:r w:rsidR="00E14F93">
        <w:rPr>
          <w:rFonts w:ascii="Book Antiqua" w:hAnsi="Book Antiqua"/>
          <w:sz w:val="24"/>
          <w:szCs w:val="24"/>
          <w:lang w:val="en-GB"/>
        </w:rPr>
        <w:t>femur BMD (odds ratio 0.64 [95%</w:t>
      </w:r>
      <w:r w:rsidR="00E14F93">
        <w:rPr>
          <w:rFonts w:ascii="Book Antiqua" w:hAnsi="Book Antiqua" w:hint="eastAsia"/>
          <w:sz w:val="24"/>
          <w:szCs w:val="24"/>
          <w:lang w:val="en-GB" w:eastAsia="zh-CN"/>
        </w:rPr>
        <w:t>CI:</w:t>
      </w:r>
      <w:r w:rsidRPr="00E14F93">
        <w:rPr>
          <w:rFonts w:ascii="Book Antiqua" w:hAnsi="Book Antiqua"/>
          <w:sz w:val="24"/>
          <w:szCs w:val="24"/>
          <w:lang w:val="en-GB"/>
        </w:rPr>
        <w:t xml:space="preserve"> 0.48–0.88]). Changes in spine BMD were not statistically associated with the incidence of vertebral fracture (</w:t>
      </w:r>
      <w:r w:rsidR="00E14F93" w:rsidRPr="00E14F93">
        <w:rPr>
          <w:rFonts w:ascii="Book Antiqua" w:hAnsi="Book Antiqua"/>
          <w:i/>
          <w:sz w:val="24"/>
          <w:szCs w:val="24"/>
          <w:lang w:val="en-GB"/>
        </w:rPr>
        <w:t>P</w:t>
      </w:r>
      <w:r w:rsidR="00E14F93" w:rsidRPr="00E14F93">
        <w:rPr>
          <w:rFonts w:ascii="Book Antiqua" w:hAnsi="Book Antiqua"/>
          <w:sz w:val="24"/>
          <w:szCs w:val="24"/>
          <w:lang w:val="en-GB"/>
        </w:rPr>
        <w:t xml:space="preserve"> </w:t>
      </w:r>
      <w:r w:rsidRPr="00E14F93">
        <w:rPr>
          <w:rFonts w:ascii="Book Antiqua" w:hAnsi="Book Antiqua"/>
          <w:sz w:val="24"/>
          <w:szCs w:val="24"/>
          <w:lang w:val="en-GB"/>
        </w:rPr>
        <w:t>= 0.10). For each percentage point increase in femoral neck and total proximal femur BMD observed after 2-year, the risk of sustaining a new vertebral fracture after 2-years decreased by 2.7% (95%CI</w:t>
      </w:r>
      <w:r w:rsidR="00E14F93">
        <w:rPr>
          <w:rFonts w:ascii="Book Antiqua" w:hAnsi="Book Antiqua" w:hint="eastAsia"/>
          <w:sz w:val="24"/>
          <w:szCs w:val="24"/>
          <w:lang w:val="en-GB" w:eastAsia="zh-CN"/>
        </w:rPr>
        <w:t>:</w:t>
      </w:r>
      <w:r w:rsidRPr="00E14F93">
        <w:rPr>
          <w:rFonts w:ascii="Book Antiqua" w:hAnsi="Book Antiqua"/>
          <w:sz w:val="24"/>
          <w:szCs w:val="24"/>
          <w:lang w:val="en-GB"/>
        </w:rPr>
        <w:t xml:space="preserve"> 1</w:t>
      </w:r>
      <w:r w:rsidR="00E14F93">
        <w:rPr>
          <w:rFonts w:ascii="Book Antiqua" w:hAnsi="Book Antiqua" w:hint="eastAsia"/>
          <w:sz w:val="24"/>
          <w:szCs w:val="24"/>
          <w:lang w:val="en-GB" w:eastAsia="zh-CN"/>
        </w:rPr>
        <w:t>%</w:t>
      </w:r>
      <w:r w:rsidRPr="00E14F93">
        <w:rPr>
          <w:rFonts w:ascii="Book Antiqua" w:hAnsi="Book Antiqua"/>
          <w:sz w:val="24"/>
          <w:szCs w:val="24"/>
          <w:lang w:val="en-GB"/>
        </w:rPr>
        <w:t>–5%) and 1.8% (1</w:t>
      </w:r>
      <w:r w:rsidR="00E14F93">
        <w:rPr>
          <w:rFonts w:ascii="Book Antiqua" w:hAnsi="Book Antiqua" w:hint="eastAsia"/>
          <w:sz w:val="24"/>
          <w:szCs w:val="24"/>
          <w:lang w:val="en-GB" w:eastAsia="zh-CN"/>
        </w:rPr>
        <w:t>%</w:t>
      </w:r>
      <w:r w:rsidRPr="00E14F93">
        <w:rPr>
          <w:rFonts w:ascii="Book Antiqua" w:hAnsi="Book Antiqua"/>
          <w:sz w:val="24"/>
          <w:szCs w:val="24"/>
          <w:lang w:val="en-GB"/>
        </w:rPr>
        <w:t>–4%), respectively.</w:t>
      </w:r>
    </w:p>
    <w:p w:rsidR="00807A02" w:rsidRDefault="007E7043" w:rsidP="00E14F93">
      <w:pPr>
        <w:spacing w:line="360" w:lineRule="auto"/>
        <w:ind w:firstLineChars="100" w:firstLine="240"/>
        <w:jc w:val="both"/>
        <w:rPr>
          <w:rFonts w:ascii="Book Antiqua" w:hAnsi="Book Antiqua"/>
          <w:sz w:val="24"/>
          <w:szCs w:val="24"/>
          <w:lang w:val="en-GB" w:eastAsia="zh-CN"/>
        </w:rPr>
      </w:pPr>
      <w:r w:rsidRPr="00E14F93">
        <w:rPr>
          <w:rFonts w:ascii="Book Antiqua" w:hAnsi="Book Antiqua"/>
          <w:sz w:val="24"/>
          <w:szCs w:val="24"/>
          <w:lang w:val="en-GB"/>
        </w:rPr>
        <w:t>B</w:t>
      </w:r>
      <w:r w:rsidR="00807A02" w:rsidRPr="00E14F93">
        <w:rPr>
          <w:rFonts w:ascii="Book Antiqua" w:hAnsi="Book Antiqua"/>
          <w:sz w:val="24"/>
          <w:szCs w:val="24"/>
          <w:lang w:val="en-GB"/>
        </w:rPr>
        <w:t>isphosphonate</w:t>
      </w:r>
      <w:r w:rsidRPr="00E14F93">
        <w:rPr>
          <w:rFonts w:ascii="Book Antiqua" w:hAnsi="Book Antiqua"/>
          <w:sz w:val="24"/>
          <w:szCs w:val="24"/>
          <w:lang w:val="en-GB"/>
        </w:rPr>
        <w:t>s were the most common medication used</w:t>
      </w:r>
      <w:r w:rsidR="00807A02" w:rsidRPr="00E14F93">
        <w:rPr>
          <w:rFonts w:ascii="Book Antiqua" w:hAnsi="Book Antiqua"/>
          <w:sz w:val="24"/>
          <w:szCs w:val="24"/>
          <w:lang w:val="en-GB"/>
        </w:rPr>
        <w:t xml:space="preserve"> (553/579 patients, 95.5%). Treatment effects were assessed in the 579 patients </w:t>
      </w:r>
      <w:r w:rsidR="00995B84" w:rsidRPr="00E14F93">
        <w:rPr>
          <w:rFonts w:ascii="Book Antiqua" w:hAnsi="Book Antiqua"/>
          <w:sz w:val="24"/>
          <w:szCs w:val="24"/>
          <w:lang w:val="en-GB"/>
        </w:rPr>
        <w:t>who showed</w:t>
      </w:r>
      <w:r w:rsidR="00807A02" w:rsidRPr="00E14F93">
        <w:rPr>
          <w:rFonts w:ascii="Book Antiqua" w:hAnsi="Book Antiqua"/>
          <w:sz w:val="24"/>
          <w:szCs w:val="24"/>
          <w:lang w:val="en-GB"/>
        </w:rPr>
        <w:t xml:space="preserve"> high adherence </w:t>
      </w:r>
      <w:r w:rsidR="00995B84" w:rsidRPr="00E14F93">
        <w:rPr>
          <w:rFonts w:ascii="Book Antiqua" w:hAnsi="Book Antiqua"/>
          <w:sz w:val="24"/>
          <w:szCs w:val="24"/>
          <w:lang w:val="en-GB"/>
        </w:rPr>
        <w:t>to therapy (MPR 0.80) over</w:t>
      </w:r>
      <w:r w:rsidR="00807A02" w:rsidRPr="00E14F93">
        <w:rPr>
          <w:rFonts w:ascii="Book Antiqua" w:hAnsi="Book Antiqua"/>
          <w:sz w:val="24"/>
          <w:szCs w:val="24"/>
          <w:lang w:val="en-GB"/>
        </w:rPr>
        <w:t xml:space="preserve"> at least 5 years of bisphosphonate use. The subgroup </w:t>
      </w:r>
      <w:r w:rsidR="00995B84" w:rsidRPr="00E14F93">
        <w:rPr>
          <w:rFonts w:ascii="Book Antiqua" w:hAnsi="Book Antiqua"/>
          <w:sz w:val="24"/>
          <w:szCs w:val="24"/>
          <w:lang w:val="en-GB"/>
        </w:rPr>
        <w:t xml:space="preserve">of patients who did not respond to the treatment and re-measuring </w:t>
      </w:r>
      <w:r w:rsidR="00AB64AF" w:rsidRPr="00E14F93">
        <w:rPr>
          <w:rFonts w:ascii="Book Antiqua" w:hAnsi="Book Antiqua"/>
          <w:sz w:val="24"/>
          <w:szCs w:val="24"/>
          <w:lang w:val="en-GB"/>
        </w:rPr>
        <w:t xml:space="preserve">of </w:t>
      </w:r>
      <w:r w:rsidR="00995B84" w:rsidRPr="00E14F93">
        <w:rPr>
          <w:rFonts w:ascii="Book Antiqua" w:hAnsi="Book Antiqua"/>
          <w:sz w:val="24"/>
          <w:szCs w:val="24"/>
          <w:lang w:val="en-GB"/>
        </w:rPr>
        <w:t>their BMD, at 2-year time, did not reveal significant improvement, had higher incidence of</w:t>
      </w:r>
      <w:r w:rsidR="00807A02" w:rsidRPr="00E14F93">
        <w:rPr>
          <w:rFonts w:ascii="Book Antiqua" w:hAnsi="Book Antiqua"/>
          <w:sz w:val="24"/>
          <w:szCs w:val="24"/>
          <w:lang w:val="en-GB"/>
        </w:rPr>
        <w:t xml:space="preserve"> fractures </w:t>
      </w:r>
      <w:r w:rsidR="00AB64AF" w:rsidRPr="00E14F93">
        <w:rPr>
          <w:rFonts w:ascii="Book Antiqua" w:hAnsi="Book Antiqua"/>
          <w:sz w:val="24"/>
          <w:szCs w:val="24"/>
          <w:lang w:val="en-GB"/>
        </w:rPr>
        <w:t>which was</w:t>
      </w:r>
      <w:r w:rsidR="00807A02" w:rsidRPr="00E14F93">
        <w:rPr>
          <w:rFonts w:ascii="Book Antiqua" w:hAnsi="Book Antiqua"/>
          <w:sz w:val="24"/>
          <w:szCs w:val="24"/>
          <w:lang w:val="en-GB"/>
        </w:rPr>
        <w:t xml:space="preserve"> significantly higher than predicted</w:t>
      </w:r>
      <w:r w:rsidR="00995B84" w:rsidRPr="00E14F93">
        <w:rPr>
          <w:rFonts w:ascii="Book Antiqua" w:hAnsi="Book Antiqua"/>
          <w:sz w:val="24"/>
          <w:szCs w:val="24"/>
          <w:lang w:val="en-GB"/>
        </w:rPr>
        <w:t>.</w:t>
      </w:r>
      <w:r w:rsidR="00807A02" w:rsidRPr="00E14F93">
        <w:rPr>
          <w:rFonts w:ascii="Book Antiqua" w:hAnsi="Book Antiqua"/>
          <w:sz w:val="24"/>
          <w:szCs w:val="24"/>
          <w:lang w:val="en-GB"/>
        </w:rPr>
        <w:t xml:space="preserve"> Figure 4</w:t>
      </w:r>
      <w:r w:rsidR="00E14F93">
        <w:rPr>
          <w:rFonts w:ascii="Book Antiqua" w:hAnsi="Book Antiqua" w:hint="eastAsia"/>
          <w:sz w:val="24"/>
          <w:szCs w:val="24"/>
          <w:lang w:val="en-GB" w:eastAsia="zh-CN"/>
        </w:rPr>
        <w:t>A</w:t>
      </w:r>
      <w:r w:rsidR="004359F6">
        <w:rPr>
          <w:rFonts w:ascii="Book Antiqua" w:hAnsi="Book Antiqua" w:hint="eastAsia"/>
          <w:sz w:val="24"/>
          <w:szCs w:val="24"/>
          <w:lang w:val="en-GB" w:eastAsia="zh-CN"/>
        </w:rPr>
        <w:t xml:space="preserve"> and B</w:t>
      </w:r>
      <w:r w:rsidR="00807A02" w:rsidRPr="00E14F93">
        <w:rPr>
          <w:rFonts w:ascii="Book Antiqua" w:hAnsi="Book Antiqua"/>
          <w:sz w:val="24"/>
          <w:szCs w:val="24"/>
          <w:lang w:val="en-GB"/>
        </w:rPr>
        <w:t xml:space="preserve"> is the ROC curve is for FRAX major osteoporosis and hip fracture probability at 2 years, whereas </w:t>
      </w:r>
      <w:r w:rsidR="00E14F93" w:rsidRPr="00E14F93">
        <w:rPr>
          <w:rFonts w:ascii="Book Antiqua" w:hAnsi="Book Antiqua"/>
          <w:sz w:val="24"/>
          <w:szCs w:val="24"/>
          <w:lang w:val="en-GB"/>
        </w:rPr>
        <w:t>F</w:t>
      </w:r>
      <w:r w:rsidR="00807A02" w:rsidRPr="00E14F93">
        <w:rPr>
          <w:rFonts w:ascii="Book Antiqua" w:hAnsi="Book Antiqua"/>
          <w:sz w:val="24"/>
          <w:szCs w:val="24"/>
          <w:lang w:val="en-GB"/>
        </w:rPr>
        <w:t xml:space="preserve">igure </w:t>
      </w:r>
      <w:r w:rsidR="00E14F93">
        <w:rPr>
          <w:rFonts w:ascii="Book Antiqua" w:hAnsi="Book Antiqua" w:hint="eastAsia"/>
          <w:sz w:val="24"/>
          <w:szCs w:val="24"/>
          <w:lang w:val="en-GB" w:eastAsia="zh-CN"/>
        </w:rPr>
        <w:t>4</w:t>
      </w:r>
      <w:r w:rsidR="004359F6">
        <w:rPr>
          <w:rFonts w:ascii="Book Antiqua" w:hAnsi="Book Antiqua" w:hint="eastAsia"/>
          <w:sz w:val="24"/>
          <w:szCs w:val="24"/>
          <w:lang w:val="en-GB" w:eastAsia="zh-CN"/>
        </w:rPr>
        <w:t>C</w:t>
      </w:r>
      <w:r w:rsidR="00807A02" w:rsidRPr="00E14F93">
        <w:rPr>
          <w:rFonts w:ascii="Book Antiqua" w:hAnsi="Book Antiqua"/>
          <w:sz w:val="24"/>
          <w:szCs w:val="24"/>
          <w:lang w:val="en-GB"/>
        </w:rPr>
        <w:t xml:space="preserve"> is the ROC curve for the 10-year fracture probability both sides at 5-years.</w:t>
      </w:r>
    </w:p>
    <w:p w:rsidR="00E14F93" w:rsidRPr="00E14F93" w:rsidRDefault="00E14F93" w:rsidP="00E14F93">
      <w:pPr>
        <w:spacing w:line="360" w:lineRule="auto"/>
        <w:ind w:firstLineChars="100" w:firstLine="240"/>
        <w:jc w:val="both"/>
        <w:rPr>
          <w:rFonts w:ascii="Book Antiqua" w:hAnsi="Book Antiqua"/>
          <w:sz w:val="24"/>
          <w:szCs w:val="24"/>
          <w:lang w:val="en-GB" w:eastAsia="zh-CN"/>
        </w:rPr>
      </w:pPr>
    </w:p>
    <w:p w:rsidR="00807A02" w:rsidRPr="00E14F93" w:rsidRDefault="00E14F93" w:rsidP="007967A4">
      <w:pPr>
        <w:spacing w:line="360" w:lineRule="auto"/>
        <w:jc w:val="both"/>
        <w:rPr>
          <w:rFonts w:ascii="Book Antiqua" w:hAnsi="Book Antiqua"/>
          <w:b/>
          <w:bCs/>
          <w:sz w:val="24"/>
          <w:szCs w:val="24"/>
          <w:lang w:val="en-GB" w:eastAsia="zh-CN"/>
        </w:rPr>
      </w:pPr>
      <w:r>
        <w:rPr>
          <w:rFonts w:ascii="Book Antiqua" w:hAnsi="Book Antiqua"/>
          <w:b/>
          <w:bCs/>
          <w:sz w:val="24"/>
          <w:szCs w:val="24"/>
          <w:lang w:val="en-GB"/>
        </w:rPr>
        <w:t>DISCUSSION</w:t>
      </w:r>
    </w:p>
    <w:p w:rsidR="00807A02" w:rsidRPr="00E14F93" w:rsidRDefault="00807A02" w:rsidP="007967A4">
      <w:pPr>
        <w:spacing w:line="360" w:lineRule="auto"/>
        <w:jc w:val="both"/>
        <w:rPr>
          <w:rFonts w:ascii="Book Antiqua" w:hAnsi="Book Antiqua"/>
          <w:sz w:val="24"/>
          <w:szCs w:val="24"/>
          <w:lang w:val="en-GB"/>
        </w:rPr>
      </w:pPr>
      <w:r w:rsidRPr="00E14F93">
        <w:rPr>
          <w:rFonts w:ascii="Book Antiqua" w:hAnsi="Book Antiqua"/>
          <w:sz w:val="24"/>
          <w:szCs w:val="24"/>
          <w:lang w:val="en-GB"/>
        </w:rPr>
        <w:lastRenderedPageBreak/>
        <w:t xml:space="preserve">Monitoring the effects of osteoporosis therapy can inform the patient and physician that the drug is having its expected skeletal response. So far, there is no consensus about methods of re-assessment or identifying treatment failures in osteoporosis. Questions have been raised whether the 10-year fracture risk assessment system (FRAX) can be used to guide treatment decisions. Despite the scientific basis of FRAX and its strengths, the recommendation to the clinicians was not to use the tool in monitoring patients receiving osteoporosis treatment. That was based on the fact that treatment effects were not considered in the model. In turn, this would limit the value of using FRAX to a subgroup of patients whose BMD assessment revealed osteopenia in the presence of other risk factors. This work was carried out aiming at determining whether FRAX can be used </w:t>
      </w:r>
      <w:r w:rsidR="00AB64AF" w:rsidRPr="00E14F93">
        <w:rPr>
          <w:rFonts w:ascii="Book Antiqua" w:hAnsi="Book Antiqua"/>
          <w:sz w:val="24"/>
          <w:szCs w:val="24"/>
          <w:lang w:val="en-GB"/>
        </w:rPr>
        <w:t>as a tool to monitor those</w:t>
      </w:r>
      <w:r w:rsidRPr="00E14F93">
        <w:rPr>
          <w:rFonts w:ascii="Book Antiqua" w:hAnsi="Book Antiqua"/>
          <w:sz w:val="24"/>
          <w:szCs w:val="24"/>
          <w:lang w:val="en-GB"/>
        </w:rPr>
        <w:t xml:space="preserve"> patients receiving osteoporosis t</w:t>
      </w:r>
      <w:r w:rsidR="00AB64AF" w:rsidRPr="00E14F93">
        <w:rPr>
          <w:rFonts w:ascii="Book Antiqua" w:hAnsi="Book Antiqua"/>
          <w:sz w:val="24"/>
          <w:szCs w:val="24"/>
          <w:lang w:val="en-GB"/>
        </w:rPr>
        <w:t>reatment</w:t>
      </w:r>
      <w:r w:rsidRPr="00E14F93">
        <w:rPr>
          <w:rFonts w:ascii="Book Antiqua" w:hAnsi="Book Antiqua"/>
          <w:sz w:val="24"/>
          <w:szCs w:val="24"/>
          <w:lang w:val="en-GB"/>
        </w:rPr>
        <w:t xml:space="preserve"> a</w:t>
      </w:r>
      <w:r w:rsidR="00AB64AF" w:rsidRPr="00E14F93">
        <w:rPr>
          <w:rFonts w:ascii="Book Antiqua" w:hAnsi="Book Antiqua"/>
          <w:sz w:val="24"/>
          <w:szCs w:val="24"/>
          <w:lang w:val="en-GB"/>
        </w:rPr>
        <w:t>s well as</w:t>
      </w:r>
      <w:r w:rsidRPr="00E14F93">
        <w:rPr>
          <w:rFonts w:ascii="Book Antiqua" w:hAnsi="Book Antiqua"/>
          <w:sz w:val="24"/>
          <w:szCs w:val="24"/>
          <w:lang w:val="en-GB"/>
        </w:rPr>
        <w:t xml:space="preserve"> its clinical implications. </w:t>
      </w:r>
    </w:p>
    <w:p w:rsidR="00807A02" w:rsidRPr="00E14F93" w:rsidRDefault="00807A02" w:rsidP="00E14F93">
      <w:pPr>
        <w:spacing w:line="360" w:lineRule="auto"/>
        <w:ind w:firstLineChars="100" w:firstLine="240"/>
        <w:jc w:val="both"/>
        <w:rPr>
          <w:rFonts w:ascii="Book Antiqua" w:hAnsi="Book Antiqua"/>
          <w:sz w:val="24"/>
          <w:szCs w:val="24"/>
          <w:lang w:val="en-GB"/>
        </w:rPr>
      </w:pPr>
      <w:r w:rsidRPr="00E14F93">
        <w:rPr>
          <w:rFonts w:ascii="Book Antiqua" w:hAnsi="Book Antiqua"/>
          <w:sz w:val="24"/>
          <w:szCs w:val="24"/>
          <w:lang w:val="en-GB"/>
        </w:rPr>
        <w:t xml:space="preserve">Results of this study revealed that FRAX can be used </w:t>
      </w:r>
      <w:r w:rsidR="00AB64AF" w:rsidRPr="00E14F93">
        <w:rPr>
          <w:rFonts w:ascii="Book Antiqua" w:hAnsi="Book Antiqua"/>
          <w:sz w:val="24"/>
          <w:szCs w:val="24"/>
          <w:lang w:val="en-GB"/>
        </w:rPr>
        <w:t>as a</w:t>
      </w:r>
      <w:r w:rsidRPr="00E14F93">
        <w:rPr>
          <w:rFonts w:ascii="Book Antiqua" w:hAnsi="Book Antiqua"/>
          <w:sz w:val="24"/>
          <w:szCs w:val="24"/>
          <w:lang w:val="en-GB"/>
        </w:rPr>
        <w:t xml:space="preserve"> predict</w:t>
      </w:r>
      <w:r w:rsidR="00AB64AF" w:rsidRPr="00E14F93">
        <w:rPr>
          <w:rFonts w:ascii="Book Antiqua" w:hAnsi="Book Antiqua"/>
          <w:sz w:val="24"/>
          <w:szCs w:val="24"/>
          <w:lang w:val="en-GB"/>
        </w:rPr>
        <w:t>or of</w:t>
      </w:r>
      <w:r w:rsidRPr="00E14F93">
        <w:rPr>
          <w:rFonts w:ascii="Book Antiqua" w:hAnsi="Book Antiqua"/>
          <w:sz w:val="24"/>
          <w:szCs w:val="24"/>
          <w:lang w:val="en-GB"/>
        </w:rPr>
        <w:t xml:space="preserve"> new post-treatment fracture probability and assess the reduction in the fracture risk in women currently on osteoporosis therapy. FRAX probabilities showed significant correlation with the change in the neck of femur BMD in response to therapy. Besides, FRAX showed a relatively high predicting ability of the incidence of new low trauma fractures. Therefore, FRAX might have a </w:t>
      </w:r>
      <w:r w:rsidR="00AB64AF" w:rsidRPr="00E14F93">
        <w:rPr>
          <w:rFonts w:ascii="Book Antiqua" w:hAnsi="Book Antiqua"/>
          <w:sz w:val="24"/>
          <w:szCs w:val="24"/>
          <w:lang w:val="en-GB"/>
        </w:rPr>
        <w:t>role in</w:t>
      </w:r>
      <w:r w:rsidRPr="00E14F93">
        <w:rPr>
          <w:rFonts w:ascii="Book Antiqua" w:hAnsi="Book Antiqua"/>
          <w:sz w:val="24"/>
          <w:szCs w:val="24"/>
          <w:lang w:val="en-GB"/>
        </w:rPr>
        <w:t xml:space="preserve"> guiding the </w:t>
      </w:r>
      <w:r w:rsidR="00AB64AF" w:rsidRPr="00E14F93">
        <w:rPr>
          <w:rFonts w:ascii="Book Antiqua" w:hAnsi="Book Antiqua"/>
          <w:sz w:val="24"/>
          <w:szCs w:val="24"/>
          <w:lang w:val="en-GB"/>
        </w:rPr>
        <w:t xml:space="preserve">requirement of </w:t>
      </w:r>
      <w:proofErr w:type="spellStart"/>
      <w:r w:rsidR="00AB64AF" w:rsidRPr="00E14F93">
        <w:rPr>
          <w:rFonts w:ascii="Book Antiqua" w:hAnsi="Book Antiqua"/>
          <w:sz w:val="24"/>
          <w:szCs w:val="24"/>
          <w:lang w:val="en-GB"/>
        </w:rPr>
        <w:t>treament</w:t>
      </w:r>
      <w:proofErr w:type="spellEnd"/>
      <w:r w:rsidRPr="00E14F93">
        <w:rPr>
          <w:rFonts w:ascii="Book Antiqua" w:hAnsi="Book Antiqua"/>
          <w:sz w:val="24"/>
          <w:szCs w:val="24"/>
          <w:lang w:val="en-GB"/>
        </w:rPr>
        <w:t xml:space="preserve"> continu</w:t>
      </w:r>
      <w:r w:rsidR="00AB64AF" w:rsidRPr="00E14F93">
        <w:rPr>
          <w:rFonts w:ascii="Book Antiqua" w:hAnsi="Book Antiqua"/>
          <w:sz w:val="24"/>
          <w:szCs w:val="24"/>
          <w:lang w:val="en-GB"/>
        </w:rPr>
        <w:t>ation or</w:t>
      </w:r>
      <w:r w:rsidRPr="00E14F93">
        <w:rPr>
          <w:rFonts w:ascii="Book Antiqua" w:hAnsi="Book Antiqua"/>
          <w:sz w:val="24"/>
          <w:szCs w:val="24"/>
          <w:lang w:val="en-GB"/>
        </w:rPr>
        <w:t xml:space="preserve"> withdrawal. These findings are in agreement with the resul</w:t>
      </w:r>
      <w:r w:rsidR="00E14F93">
        <w:rPr>
          <w:rFonts w:ascii="Book Antiqua" w:hAnsi="Book Antiqua"/>
          <w:sz w:val="24"/>
          <w:szCs w:val="24"/>
          <w:lang w:val="en-GB"/>
        </w:rPr>
        <w:t xml:space="preserve">ts of a recently published </w:t>
      </w:r>
      <w:proofErr w:type="gramStart"/>
      <w:r w:rsidR="00E14F93">
        <w:rPr>
          <w:rFonts w:ascii="Book Antiqua" w:hAnsi="Book Antiqua"/>
          <w:sz w:val="24"/>
          <w:szCs w:val="24"/>
          <w:lang w:val="en-GB"/>
        </w:rPr>
        <w:t>work</w:t>
      </w:r>
      <w:r w:rsidRPr="00E14F93">
        <w:rPr>
          <w:rFonts w:ascii="Book Antiqua" w:hAnsi="Book Antiqua"/>
          <w:sz w:val="24"/>
          <w:szCs w:val="24"/>
          <w:vertAlign w:val="superscript"/>
          <w:lang w:val="en-GB"/>
        </w:rPr>
        <w:t>[</w:t>
      </w:r>
      <w:proofErr w:type="gramEnd"/>
      <w:r w:rsidRPr="00E14F93">
        <w:rPr>
          <w:rFonts w:ascii="Book Antiqua" w:hAnsi="Book Antiqua"/>
          <w:sz w:val="24"/>
          <w:szCs w:val="24"/>
          <w:vertAlign w:val="superscript"/>
          <w:lang w:val="en-GB"/>
        </w:rPr>
        <w:t>14]</w:t>
      </w:r>
      <w:r w:rsidRPr="00E14F93">
        <w:rPr>
          <w:rFonts w:ascii="Book Antiqua" w:hAnsi="Book Antiqua"/>
          <w:sz w:val="24"/>
          <w:szCs w:val="24"/>
          <w:lang w:val="en-GB"/>
        </w:rPr>
        <w:t xml:space="preserve"> assessing whether osteoporosis pharmacotherapy invalidates fracture predictions us</w:t>
      </w:r>
      <w:r w:rsidR="00E14F93">
        <w:rPr>
          <w:rFonts w:ascii="Book Antiqua" w:hAnsi="Book Antiqua"/>
          <w:sz w:val="24"/>
          <w:szCs w:val="24"/>
          <w:lang w:val="en-GB"/>
        </w:rPr>
        <w:t xml:space="preserve">ing FRAX. Results of that </w:t>
      </w:r>
      <w:proofErr w:type="gramStart"/>
      <w:r w:rsidR="00E14F93">
        <w:rPr>
          <w:rFonts w:ascii="Book Antiqua" w:hAnsi="Book Antiqua"/>
          <w:sz w:val="24"/>
          <w:szCs w:val="24"/>
          <w:lang w:val="en-GB"/>
        </w:rPr>
        <w:t>study</w:t>
      </w:r>
      <w:r w:rsidRPr="00E14F93">
        <w:rPr>
          <w:rFonts w:ascii="Book Antiqua" w:hAnsi="Book Antiqua"/>
          <w:sz w:val="24"/>
          <w:szCs w:val="24"/>
          <w:vertAlign w:val="superscript"/>
          <w:lang w:val="en-GB"/>
        </w:rPr>
        <w:t>[</w:t>
      </w:r>
      <w:proofErr w:type="gramEnd"/>
      <w:r w:rsidRPr="00E14F93">
        <w:rPr>
          <w:rFonts w:ascii="Book Antiqua" w:hAnsi="Book Antiqua"/>
          <w:sz w:val="24"/>
          <w:szCs w:val="24"/>
          <w:vertAlign w:val="superscript"/>
          <w:lang w:val="en-GB"/>
        </w:rPr>
        <w:t>14]</w:t>
      </w:r>
      <w:r w:rsidRPr="00E14F93">
        <w:rPr>
          <w:rFonts w:ascii="Book Antiqua" w:hAnsi="Book Antiqua"/>
          <w:sz w:val="24"/>
          <w:szCs w:val="24"/>
          <w:lang w:val="en-GB"/>
        </w:rPr>
        <w:t xml:space="preserve"> revealed that FRAX, </w:t>
      </w:r>
      <w:r w:rsidR="00995B84" w:rsidRPr="00E14F93">
        <w:rPr>
          <w:rFonts w:ascii="Book Antiqua" w:hAnsi="Book Antiqua"/>
          <w:sz w:val="24"/>
          <w:szCs w:val="24"/>
          <w:lang w:val="en-GB"/>
        </w:rPr>
        <w:t xml:space="preserve">showed similar response pattern </w:t>
      </w:r>
      <w:r w:rsidRPr="00E14F93">
        <w:rPr>
          <w:rFonts w:ascii="Book Antiqua" w:hAnsi="Book Antiqua"/>
          <w:sz w:val="24"/>
          <w:szCs w:val="24"/>
          <w:lang w:val="en-GB"/>
        </w:rPr>
        <w:t>in untreated, currently treated and previously treated</w:t>
      </w:r>
      <w:r w:rsidR="003B61A3" w:rsidRPr="00E14F93">
        <w:rPr>
          <w:rFonts w:ascii="Book Antiqua" w:hAnsi="Book Antiqua"/>
          <w:sz w:val="24"/>
          <w:szCs w:val="24"/>
          <w:lang w:val="en-GB"/>
        </w:rPr>
        <w:t xml:space="preserve"> osteoporosis</w:t>
      </w:r>
      <w:r w:rsidRPr="00E14F93">
        <w:rPr>
          <w:rFonts w:ascii="Book Antiqua" w:hAnsi="Book Antiqua"/>
          <w:sz w:val="24"/>
          <w:szCs w:val="24"/>
          <w:lang w:val="en-GB"/>
        </w:rPr>
        <w:t xml:space="preserve"> women. </w:t>
      </w:r>
      <w:r w:rsidR="003B61A3" w:rsidRPr="00E14F93">
        <w:rPr>
          <w:rFonts w:ascii="Book Antiqua" w:hAnsi="Book Antiqua"/>
          <w:sz w:val="24"/>
          <w:szCs w:val="24"/>
          <w:lang w:val="en-GB"/>
        </w:rPr>
        <w:t>In the</w:t>
      </w:r>
      <w:r w:rsidRPr="00E14F93">
        <w:rPr>
          <w:rFonts w:ascii="Book Antiqua" w:hAnsi="Book Antiqua"/>
          <w:sz w:val="24"/>
          <w:szCs w:val="24"/>
          <w:lang w:val="en-GB"/>
        </w:rPr>
        <w:t xml:space="preserve"> </w:t>
      </w:r>
      <w:r w:rsidR="003B61A3" w:rsidRPr="00E14F93">
        <w:rPr>
          <w:rFonts w:ascii="Book Antiqua" w:hAnsi="Book Antiqua"/>
          <w:sz w:val="24"/>
          <w:szCs w:val="24"/>
          <w:lang w:val="en-GB"/>
        </w:rPr>
        <w:t>cohort</w:t>
      </w:r>
      <w:r w:rsidRPr="00E14F93">
        <w:rPr>
          <w:rFonts w:ascii="Book Antiqua" w:hAnsi="Book Antiqua"/>
          <w:sz w:val="24"/>
          <w:szCs w:val="24"/>
          <w:lang w:val="en-GB"/>
        </w:rPr>
        <w:t xml:space="preserve"> of women</w:t>
      </w:r>
      <w:r w:rsidR="003B61A3" w:rsidRPr="00E14F93">
        <w:rPr>
          <w:rFonts w:ascii="Book Antiqua" w:hAnsi="Book Antiqua"/>
          <w:sz w:val="24"/>
          <w:szCs w:val="24"/>
          <w:lang w:val="en-GB"/>
        </w:rPr>
        <w:t xml:space="preserve"> who had high fracture risk with</w:t>
      </w:r>
      <w:r w:rsidRPr="00E14F93">
        <w:rPr>
          <w:rFonts w:ascii="Book Antiqua" w:hAnsi="Book Antiqua"/>
          <w:sz w:val="24"/>
          <w:szCs w:val="24"/>
          <w:lang w:val="en-GB"/>
        </w:rPr>
        <w:t xml:space="preserve"> high adherence to at least 5 years of bisphosphonates, hip fracture risk was significantly less than predicted, with a treatment effect that approximated </w:t>
      </w:r>
      <w:r w:rsidR="003B61A3" w:rsidRPr="00E14F93">
        <w:rPr>
          <w:rFonts w:ascii="Book Antiqua" w:hAnsi="Book Antiqua"/>
          <w:sz w:val="24"/>
          <w:szCs w:val="24"/>
          <w:lang w:val="en-GB"/>
        </w:rPr>
        <w:t xml:space="preserve">fracture </w:t>
      </w:r>
      <w:r w:rsidRPr="00E14F93">
        <w:rPr>
          <w:rFonts w:ascii="Book Antiqua" w:hAnsi="Book Antiqua"/>
          <w:sz w:val="24"/>
          <w:szCs w:val="24"/>
          <w:lang w:val="en-GB"/>
        </w:rPr>
        <w:t>the risk reduction reported in</w:t>
      </w:r>
      <w:r w:rsidR="003B61A3" w:rsidRPr="00E14F93">
        <w:rPr>
          <w:rFonts w:ascii="Book Antiqua" w:hAnsi="Book Antiqua"/>
          <w:sz w:val="24"/>
          <w:szCs w:val="24"/>
          <w:lang w:val="en-GB"/>
        </w:rPr>
        <w:t xml:space="preserve"> bisphosphonates</w:t>
      </w:r>
      <w:r w:rsidRPr="00E14F93">
        <w:rPr>
          <w:rFonts w:ascii="Book Antiqua" w:hAnsi="Book Antiqua"/>
          <w:sz w:val="24"/>
          <w:szCs w:val="24"/>
          <w:lang w:val="en-GB"/>
        </w:rPr>
        <w:t xml:space="preserve"> cli</w:t>
      </w:r>
      <w:r w:rsidR="00E14F93">
        <w:rPr>
          <w:rFonts w:ascii="Book Antiqua" w:hAnsi="Book Antiqua"/>
          <w:sz w:val="24"/>
          <w:szCs w:val="24"/>
          <w:lang w:val="en-GB"/>
        </w:rPr>
        <w:t xml:space="preserve">nical </w:t>
      </w:r>
      <w:proofErr w:type="gramStart"/>
      <w:r w:rsidR="00E14F93">
        <w:rPr>
          <w:rFonts w:ascii="Book Antiqua" w:hAnsi="Book Antiqua"/>
          <w:sz w:val="24"/>
          <w:szCs w:val="24"/>
          <w:lang w:val="en-GB"/>
        </w:rPr>
        <w:t>trials</w:t>
      </w:r>
      <w:r w:rsidRPr="00E14F93">
        <w:rPr>
          <w:rFonts w:ascii="Book Antiqua" w:hAnsi="Book Antiqua"/>
          <w:sz w:val="24"/>
          <w:szCs w:val="24"/>
          <w:vertAlign w:val="superscript"/>
          <w:lang w:val="en-GB"/>
        </w:rPr>
        <w:t>[</w:t>
      </w:r>
      <w:proofErr w:type="gramEnd"/>
      <w:r w:rsidRPr="00E14F93">
        <w:rPr>
          <w:rFonts w:ascii="Book Antiqua" w:hAnsi="Book Antiqua"/>
          <w:sz w:val="24"/>
          <w:szCs w:val="24"/>
          <w:vertAlign w:val="superscript"/>
          <w:lang w:val="en-GB"/>
        </w:rPr>
        <w:t>15-18]</w:t>
      </w:r>
      <w:r w:rsidRPr="00E14F93">
        <w:rPr>
          <w:rFonts w:ascii="Book Antiqua" w:hAnsi="Book Antiqua"/>
          <w:sz w:val="24"/>
          <w:szCs w:val="24"/>
          <w:lang w:val="en-GB"/>
        </w:rPr>
        <w:t xml:space="preserve">. Furthermore, in concordance with the results of this work, there was significant agreement between predicted fracture probability and observed fracture incidence indicating that osteoporosis therapy does not </w:t>
      </w:r>
      <w:r w:rsidR="003B61A3" w:rsidRPr="00E14F93">
        <w:rPr>
          <w:rFonts w:ascii="Book Antiqua" w:hAnsi="Book Antiqua"/>
          <w:sz w:val="24"/>
          <w:szCs w:val="24"/>
          <w:lang w:val="en-GB"/>
        </w:rPr>
        <w:t>annul using</w:t>
      </w:r>
      <w:r w:rsidRPr="00E14F93">
        <w:rPr>
          <w:rFonts w:ascii="Book Antiqua" w:hAnsi="Book Antiqua"/>
          <w:sz w:val="24"/>
          <w:szCs w:val="24"/>
          <w:lang w:val="en-GB"/>
        </w:rPr>
        <w:t xml:space="preserve"> FRAX for fracture prediction. This potentially expands </w:t>
      </w:r>
      <w:r w:rsidRPr="00E14F93">
        <w:rPr>
          <w:rFonts w:ascii="Book Antiqua" w:hAnsi="Book Antiqua"/>
          <w:sz w:val="24"/>
          <w:szCs w:val="24"/>
          <w:lang w:val="en-GB"/>
        </w:rPr>
        <w:lastRenderedPageBreak/>
        <w:t>the</w:t>
      </w:r>
      <w:r w:rsidR="003B61A3" w:rsidRPr="00E14F93">
        <w:rPr>
          <w:rFonts w:ascii="Book Antiqua" w:hAnsi="Book Antiqua"/>
          <w:sz w:val="24"/>
          <w:szCs w:val="24"/>
          <w:lang w:val="en-GB"/>
        </w:rPr>
        <w:t xml:space="preserve"> FRAX</w:t>
      </w:r>
      <w:r w:rsidRPr="00E14F93">
        <w:rPr>
          <w:rFonts w:ascii="Book Antiqua" w:hAnsi="Book Antiqua"/>
          <w:sz w:val="24"/>
          <w:szCs w:val="24"/>
          <w:lang w:val="en-GB"/>
        </w:rPr>
        <w:t xml:space="preserve"> clinical role as a tool for persuading patients on their </w:t>
      </w:r>
      <w:r w:rsidR="003B61A3" w:rsidRPr="00E14F93">
        <w:rPr>
          <w:rFonts w:ascii="Book Antiqua" w:hAnsi="Book Antiqua"/>
          <w:sz w:val="24"/>
          <w:szCs w:val="24"/>
          <w:lang w:val="en-GB"/>
        </w:rPr>
        <w:t>requirement</w:t>
      </w:r>
      <w:r w:rsidRPr="00E14F93">
        <w:rPr>
          <w:rFonts w:ascii="Book Antiqua" w:hAnsi="Book Antiqua"/>
          <w:sz w:val="24"/>
          <w:szCs w:val="24"/>
          <w:lang w:val="en-GB"/>
        </w:rPr>
        <w:t xml:space="preserve"> for continued treatment, and whether treatment could </w:t>
      </w:r>
      <w:r w:rsidR="003B61A3" w:rsidRPr="00E14F93">
        <w:rPr>
          <w:rFonts w:ascii="Book Antiqua" w:hAnsi="Book Antiqua"/>
          <w:sz w:val="24"/>
          <w:szCs w:val="24"/>
          <w:lang w:val="en-GB"/>
        </w:rPr>
        <w:t>possibly</w:t>
      </w:r>
      <w:r w:rsidRPr="00E14F93">
        <w:rPr>
          <w:rFonts w:ascii="Book Antiqua" w:hAnsi="Book Antiqua"/>
          <w:sz w:val="24"/>
          <w:szCs w:val="24"/>
          <w:lang w:val="en-GB"/>
        </w:rPr>
        <w:t xml:space="preserve"> be </w:t>
      </w:r>
      <w:r w:rsidR="003B61A3" w:rsidRPr="00E14F93">
        <w:rPr>
          <w:rFonts w:ascii="Book Antiqua" w:hAnsi="Book Antiqua"/>
          <w:sz w:val="24"/>
          <w:szCs w:val="24"/>
          <w:lang w:val="en-GB"/>
        </w:rPr>
        <w:t>stopped</w:t>
      </w:r>
      <w:r w:rsidRPr="00E14F93">
        <w:rPr>
          <w:rFonts w:ascii="Book Antiqua" w:hAnsi="Book Antiqua"/>
          <w:sz w:val="24"/>
          <w:szCs w:val="24"/>
          <w:lang w:val="en-GB"/>
        </w:rPr>
        <w:t>.</w:t>
      </w:r>
    </w:p>
    <w:p w:rsidR="00807A02" w:rsidRPr="00E14F93" w:rsidRDefault="00807A02" w:rsidP="00E14F93">
      <w:pPr>
        <w:spacing w:line="360" w:lineRule="auto"/>
        <w:ind w:firstLineChars="100" w:firstLine="240"/>
        <w:jc w:val="both"/>
        <w:rPr>
          <w:rFonts w:ascii="Book Antiqua" w:hAnsi="Book Antiqua"/>
          <w:sz w:val="24"/>
          <w:szCs w:val="24"/>
          <w:lang w:val="en-GB"/>
        </w:rPr>
      </w:pPr>
      <w:r w:rsidRPr="00E14F93">
        <w:rPr>
          <w:rFonts w:ascii="Book Antiqua" w:hAnsi="Book Antiqua"/>
          <w:sz w:val="24"/>
          <w:szCs w:val="24"/>
          <w:lang w:val="en-GB"/>
        </w:rPr>
        <w:t>So far, BMD measurement using DXA scanning has been a surrogate marker for bone strength and fracture risk. Earlier results showed that stability or a significant increase in BMD is an acceptable response to therapy and is associated wi</w:t>
      </w:r>
      <w:r w:rsidR="00E14F93">
        <w:rPr>
          <w:rFonts w:ascii="Book Antiqua" w:hAnsi="Book Antiqua"/>
          <w:sz w:val="24"/>
          <w:szCs w:val="24"/>
          <w:lang w:val="en-GB"/>
        </w:rPr>
        <w:t xml:space="preserve">th a reduction in fracture </w:t>
      </w:r>
      <w:proofErr w:type="gramStart"/>
      <w:r w:rsidR="00E14F93">
        <w:rPr>
          <w:rFonts w:ascii="Book Antiqua" w:hAnsi="Book Antiqua"/>
          <w:sz w:val="24"/>
          <w:szCs w:val="24"/>
          <w:lang w:val="en-GB"/>
        </w:rPr>
        <w:t>risk</w:t>
      </w:r>
      <w:r w:rsidRPr="00E14F93">
        <w:rPr>
          <w:rFonts w:ascii="Book Antiqua" w:hAnsi="Book Antiqua"/>
          <w:sz w:val="24"/>
          <w:szCs w:val="24"/>
          <w:vertAlign w:val="superscript"/>
          <w:lang w:val="en-GB"/>
        </w:rPr>
        <w:t>[</w:t>
      </w:r>
      <w:proofErr w:type="gramEnd"/>
      <w:r w:rsidR="005B47CF">
        <w:rPr>
          <w:rFonts w:ascii="Book Antiqua" w:hAnsi="Book Antiqua" w:hint="eastAsia"/>
          <w:sz w:val="24"/>
          <w:szCs w:val="24"/>
          <w:vertAlign w:val="superscript"/>
          <w:lang w:val="en-GB" w:eastAsia="zh-CN"/>
        </w:rPr>
        <w:t>3</w:t>
      </w:r>
      <w:r w:rsidRPr="00E14F93">
        <w:rPr>
          <w:rFonts w:ascii="Book Antiqua" w:hAnsi="Book Antiqua"/>
          <w:sz w:val="24"/>
          <w:szCs w:val="24"/>
          <w:vertAlign w:val="superscript"/>
          <w:lang w:val="en-GB"/>
        </w:rPr>
        <w:t>]</w:t>
      </w:r>
      <w:r w:rsidRPr="00E14F93">
        <w:rPr>
          <w:rFonts w:ascii="Book Antiqua" w:hAnsi="Book Antiqua"/>
          <w:sz w:val="24"/>
          <w:szCs w:val="24"/>
          <w:lang w:val="en-GB"/>
        </w:rPr>
        <w:t xml:space="preserve">. Similarly, a significant decrease in BMD suggests a suboptimal response to therapy and may require evaluation for factors contributing to bone loss and possibly changing the osteoporosis medication. In clinical practice, a valid quantitative comparison of BMD measurements requires that measurements be made on the same DXA machine (or different machines that have been cross-calibrated) according to well-established quality standards that include precision assessment and calculation of the least BMD statistically significant </w:t>
      </w:r>
      <w:proofErr w:type="gramStart"/>
      <w:r w:rsidRPr="00E14F93">
        <w:rPr>
          <w:rFonts w:ascii="Book Antiqua" w:hAnsi="Book Antiqua"/>
          <w:sz w:val="24"/>
          <w:szCs w:val="24"/>
          <w:lang w:val="en-GB"/>
        </w:rPr>
        <w:t>change</w:t>
      </w:r>
      <w:r w:rsidRPr="00E14F93">
        <w:rPr>
          <w:rFonts w:ascii="Book Antiqua" w:hAnsi="Book Antiqua"/>
          <w:sz w:val="24"/>
          <w:szCs w:val="24"/>
          <w:vertAlign w:val="superscript"/>
          <w:lang w:val="en-GB"/>
        </w:rPr>
        <w:t>[</w:t>
      </w:r>
      <w:proofErr w:type="gramEnd"/>
      <w:r w:rsidR="005B47CF">
        <w:rPr>
          <w:rFonts w:ascii="Book Antiqua" w:hAnsi="Book Antiqua" w:hint="eastAsia"/>
          <w:sz w:val="24"/>
          <w:szCs w:val="24"/>
          <w:vertAlign w:val="superscript"/>
          <w:lang w:val="en-GB" w:eastAsia="zh-CN"/>
        </w:rPr>
        <w:t>19</w:t>
      </w:r>
      <w:r w:rsidRPr="00E14F93">
        <w:rPr>
          <w:rFonts w:ascii="Book Antiqua" w:hAnsi="Book Antiqua"/>
          <w:sz w:val="24"/>
          <w:szCs w:val="24"/>
          <w:vertAlign w:val="superscript"/>
          <w:lang w:val="en-GB"/>
        </w:rPr>
        <w:t>]</w:t>
      </w:r>
      <w:r w:rsidRPr="00E14F93">
        <w:rPr>
          <w:rFonts w:ascii="Book Antiqua" w:hAnsi="Book Antiqua"/>
          <w:sz w:val="24"/>
          <w:szCs w:val="24"/>
          <w:lang w:val="en-GB"/>
        </w:rPr>
        <w:t>. Results of this study revealed that a statistically significant BMD loss was positively correlated with increased fracture risk probability and a significant predictor of fracture incidence. Furthermore, the timing of follow up BMD testing to monitor osteoporosis treatment has been a matter of debate. In a post-hoc analysis of two randomized, placebo-controlled clinical trials, the concept of regression to the mean was invoked to suggest that treatment should not be cha</w:t>
      </w:r>
      <w:r w:rsidR="00E14F93">
        <w:rPr>
          <w:rFonts w:ascii="Book Antiqua" w:hAnsi="Book Antiqua"/>
          <w:sz w:val="24"/>
          <w:szCs w:val="24"/>
          <w:lang w:val="en-GB"/>
        </w:rPr>
        <w:t xml:space="preserve">nged before one year of </w:t>
      </w:r>
      <w:proofErr w:type="gramStart"/>
      <w:r w:rsidR="00E14F93">
        <w:rPr>
          <w:rFonts w:ascii="Book Antiqua" w:hAnsi="Book Antiqua"/>
          <w:sz w:val="24"/>
          <w:szCs w:val="24"/>
          <w:lang w:val="en-GB"/>
        </w:rPr>
        <w:t>therapy</w:t>
      </w:r>
      <w:r w:rsidRPr="00E14F93">
        <w:rPr>
          <w:rFonts w:ascii="Book Antiqua" w:hAnsi="Book Antiqua"/>
          <w:sz w:val="24"/>
          <w:szCs w:val="24"/>
          <w:vertAlign w:val="superscript"/>
          <w:lang w:val="en-GB"/>
        </w:rPr>
        <w:t>[</w:t>
      </w:r>
      <w:proofErr w:type="gramEnd"/>
      <w:r w:rsidRPr="00E14F93">
        <w:rPr>
          <w:rFonts w:ascii="Book Antiqua" w:hAnsi="Book Antiqua"/>
          <w:sz w:val="24"/>
          <w:szCs w:val="24"/>
          <w:vertAlign w:val="superscript"/>
          <w:lang w:val="en-GB"/>
        </w:rPr>
        <w:t>2</w:t>
      </w:r>
      <w:r w:rsidR="005B47CF">
        <w:rPr>
          <w:rFonts w:ascii="Book Antiqua" w:hAnsi="Book Antiqua" w:hint="eastAsia"/>
          <w:sz w:val="24"/>
          <w:szCs w:val="24"/>
          <w:vertAlign w:val="superscript"/>
          <w:lang w:val="en-GB" w:eastAsia="zh-CN"/>
        </w:rPr>
        <w:t>0</w:t>
      </w:r>
      <w:r w:rsidRPr="00E14F93">
        <w:rPr>
          <w:rFonts w:ascii="Book Antiqua" w:hAnsi="Book Antiqua"/>
          <w:sz w:val="24"/>
          <w:szCs w:val="24"/>
          <w:vertAlign w:val="superscript"/>
          <w:lang w:val="en-GB"/>
        </w:rPr>
        <w:t>]</w:t>
      </w:r>
      <w:r w:rsidRPr="00E14F93">
        <w:rPr>
          <w:rFonts w:ascii="Book Antiqua" w:hAnsi="Book Antiqua"/>
          <w:sz w:val="24"/>
          <w:szCs w:val="24"/>
          <w:lang w:val="en-GB"/>
        </w:rPr>
        <w:t>. In another post-hoc analysis of a single randomized controlled trial, it was concluded that BMD monitoring is unnecessary in the first three years after s</w:t>
      </w:r>
      <w:r w:rsidR="00E14F93">
        <w:rPr>
          <w:rFonts w:ascii="Book Antiqua" w:hAnsi="Book Antiqua"/>
          <w:sz w:val="24"/>
          <w:szCs w:val="24"/>
          <w:lang w:val="en-GB"/>
        </w:rPr>
        <w:t xml:space="preserve">tarting a potent </w:t>
      </w:r>
      <w:proofErr w:type="gramStart"/>
      <w:r w:rsidR="00E14F93">
        <w:rPr>
          <w:rFonts w:ascii="Book Antiqua" w:hAnsi="Book Antiqua"/>
          <w:sz w:val="24"/>
          <w:szCs w:val="24"/>
          <w:lang w:val="en-GB"/>
        </w:rPr>
        <w:t>bisphosphonate</w:t>
      </w:r>
      <w:r w:rsidRPr="00E14F93">
        <w:rPr>
          <w:rFonts w:ascii="Book Antiqua" w:hAnsi="Book Antiqua"/>
          <w:sz w:val="24"/>
          <w:szCs w:val="24"/>
          <w:vertAlign w:val="superscript"/>
          <w:lang w:val="en-GB"/>
        </w:rPr>
        <w:t>[</w:t>
      </w:r>
      <w:proofErr w:type="gramEnd"/>
      <w:r w:rsidRPr="00E14F93">
        <w:rPr>
          <w:rFonts w:ascii="Book Antiqua" w:hAnsi="Book Antiqua"/>
          <w:sz w:val="24"/>
          <w:szCs w:val="24"/>
          <w:vertAlign w:val="superscript"/>
          <w:lang w:val="en-GB"/>
        </w:rPr>
        <w:t>2</w:t>
      </w:r>
      <w:r w:rsidR="005B47CF">
        <w:rPr>
          <w:rFonts w:ascii="Book Antiqua" w:hAnsi="Book Antiqua" w:hint="eastAsia"/>
          <w:sz w:val="24"/>
          <w:szCs w:val="24"/>
          <w:vertAlign w:val="superscript"/>
          <w:lang w:val="en-GB" w:eastAsia="zh-CN"/>
        </w:rPr>
        <w:t>1</w:t>
      </w:r>
      <w:r w:rsidRPr="00E14F93">
        <w:rPr>
          <w:rFonts w:ascii="Book Antiqua" w:hAnsi="Book Antiqua"/>
          <w:sz w:val="24"/>
          <w:szCs w:val="24"/>
          <w:vertAlign w:val="superscript"/>
          <w:lang w:val="en-GB"/>
        </w:rPr>
        <w:t>]</w:t>
      </w:r>
      <w:r w:rsidRPr="00E14F93">
        <w:rPr>
          <w:rFonts w:ascii="Book Antiqua" w:hAnsi="Book Antiqua"/>
          <w:sz w:val="24"/>
          <w:szCs w:val="24"/>
          <w:lang w:val="en-GB"/>
        </w:rPr>
        <w:t>. However, the conclusions of bot</w:t>
      </w:r>
      <w:r w:rsidR="00E14F93">
        <w:rPr>
          <w:rFonts w:ascii="Book Antiqua" w:hAnsi="Book Antiqua"/>
          <w:sz w:val="24"/>
          <w:szCs w:val="24"/>
          <w:lang w:val="en-GB"/>
        </w:rPr>
        <w:t xml:space="preserve">h analyses have been </w:t>
      </w:r>
      <w:proofErr w:type="gramStart"/>
      <w:r w:rsidR="00E14F93">
        <w:rPr>
          <w:rFonts w:ascii="Book Antiqua" w:hAnsi="Book Antiqua"/>
          <w:sz w:val="24"/>
          <w:szCs w:val="24"/>
          <w:lang w:val="en-GB"/>
        </w:rPr>
        <w:t>challenged</w:t>
      </w:r>
      <w:r w:rsidRPr="00E14F93">
        <w:rPr>
          <w:rFonts w:ascii="Book Antiqua" w:hAnsi="Book Antiqua"/>
          <w:sz w:val="24"/>
          <w:szCs w:val="24"/>
          <w:vertAlign w:val="superscript"/>
          <w:lang w:val="en-GB"/>
        </w:rPr>
        <w:t>[</w:t>
      </w:r>
      <w:proofErr w:type="gramEnd"/>
      <w:r w:rsidR="00E14F93" w:rsidRPr="00E14F93">
        <w:rPr>
          <w:rFonts w:ascii="Book Antiqua" w:hAnsi="Book Antiqua"/>
          <w:sz w:val="24"/>
          <w:szCs w:val="24"/>
          <w:vertAlign w:val="superscript"/>
          <w:lang w:val="en-GB"/>
        </w:rPr>
        <w:t>2</w:t>
      </w:r>
      <w:r w:rsidR="005B47CF">
        <w:rPr>
          <w:rFonts w:ascii="Book Antiqua" w:hAnsi="Book Antiqua" w:hint="eastAsia"/>
          <w:sz w:val="24"/>
          <w:szCs w:val="24"/>
          <w:vertAlign w:val="superscript"/>
          <w:lang w:val="en-GB" w:eastAsia="zh-CN"/>
        </w:rPr>
        <w:t>2</w:t>
      </w:r>
      <w:r w:rsidR="00E14F93" w:rsidRPr="00E14F93">
        <w:rPr>
          <w:rFonts w:ascii="Book Antiqua" w:hAnsi="Book Antiqua"/>
          <w:sz w:val="24"/>
          <w:szCs w:val="24"/>
          <w:vertAlign w:val="superscript"/>
          <w:lang w:val="en-GB"/>
        </w:rPr>
        <w:t>,</w:t>
      </w:r>
      <w:r w:rsidRPr="00E14F93">
        <w:rPr>
          <w:rFonts w:ascii="Book Antiqua" w:hAnsi="Book Antiqua"/>
          <w:sz w:val="24"/>
          <w:szCs w:val="24"/>
          <w:vertAlign w:val="superscript"/>
          <w:lang w:val="en-GB"/>
        </w:rPr>
        <w:t>2</w:t>
      </w:r>
      <w:r w:rsidR="005B47CF">
        <w:rPr>
          <w:rFonts w:ascii="Book Antiqua" w:hAnsi="Book Antiqua" w:hint="eastAsia"/>
          <w:sz w:val="24"/>
          <w:szCs w:val="24"/>
          <w:vertAlign w:val="superscript"/>
          <w:lang w:val="en-GB" w:eastAsia="zh-CN"/>
        </w:rPr>
        <w:t>3</w:t>
      </w:r>
      <w:r w:rsidRPr="00E14F93">
        <w:rPr>
          <w:rFonts w:ascii="Book Antiqua" w:hAnsi="Book Antiqua"/>
          <w:sz w:val="24"/>
          <w:szCs w:val="24"/>
          <w:vertAlign w:val="superscript"/>
          <w:lang w:val="en-GB"/>
        </w:rPr>
        <w:t>]</w:t>
      </w:r>
      <w:r w:rsidRPr="00E14F93">
        <w:rPr>
          <w:rFonts w:ascii="Book Antiqua" w:hAnsi="Book Antiqua"/>
          <w:sz w:val="24"/>
          <w:szCs w:val="24"/>
          <w:lang w:val="en-GB"/>
        </w:rPr>
        <w:t xml:space="preserve">. Although regression to the mean is a valid statistical concept that is helpful in understanding apparent BMD changes in groups of patients in clinical trials, it does not indicate that serial BMD testing in clinical practice </w:t>
      </w:r>
      <w:r w:rsidR="00E14F93">
        <w:rPr>
          <w:rFonts w:ascii="Book Antiqua" w:hAnsi="Book Antiqua"/>
          <w:sz w:val="24"/>
          <w:szCs w:val="24"/>
          <w:lang w:val="en-GB"/>
        </w:rPr>
        <w:t xml:space="preserve">is </w:t>
      </w:r>
      <w:proofErr w:type="gramStart"/>
      <w:r w:rsidR="00E14F93">
        <w:rPr>
          <w:rFonts w:ascii="Book Antiqua" w:hAnsi="Book Antiqua"/>
          <w:sz w:val="24"/>
          <w:szCs w:val="24"/>
          <w:lang w:val="en-GB"/>
        </w:rPr>
        <w:t>useless</w:t>
      </w:r>
      <w:r w:rsidRPr="00E14F93">
        <w:rPr>
          <w:rFonts w:ascii="Book Antiqua" w:hAnsi="Book Antiqua"/>
          <w:sz w:val="24"/>
          <w:szCs w:val="24"/>
          <w:vertAlign w:val="superscript"/>
          <w:lang w:val="en-GB"/>
        </w:rPr>
        <w:t>[</w:t>
      </w:r>
      <w:proofErr w:type="gramEnd"/>
      <w:r w:rsidRPr="00E14F93">
        <w:rPr>
          <w:rFonts w:ascii="Book Antiqua" w:hAnsi="Book Antiqua"/>
          <w:sz w:val="24"/>
          <w:szCs w:val="24"/>
          <w:vertAlign w:val="superscript"/>
          <w:lang w:val="en-GB"/>
        </w:rPr>
        <w:t>2</w:t>
      </w:r>
      <w:r w:rsidR="005B47CF">
        <w:rPr>
          <w:rFonts w:ascii="Book Antiqua" w:hAnsi="Book Antiqua" w:hint="eastAsia"/>
          <w:sz w:val="24"/>
          <w:szCs w:val="24"/>
          <w:vertAlign w:val="superscript"/>
          <w:lang w:val="en-GB" w:eastAsia="zh-CN"/>
        </w:rPr>
        <w:t>4</w:t>
      </w:r>
      <w:r w:rsidRPr="00E14F93">
        <w:rPr>
          <w:rFonts w:ascii="Book Antiqua" w:hAnsi="Book Antiqua"/>
          <w:sz w:val="24"/>
          <w:szCs w:val="24"/>
          <w:vertAlign w:val="superscript"/>
          <w:lang w:val="en-GB"/>
        </w:rPr>
        <w:t>]</w:t>
      </w:r>
      <w:r w:rsidRPr="00E14F93">
        <w:rPr>
          <w:rFonts w:ascii="Book Antiqua" w:hAnsi="Book Antiqua"/>
          <w:sz w:val="24"/>
          <w:szCs w:val="24"/>
          <w:lang w:val="en-GB"/>
        </w:rPr>
        <w:t>. Results of this study revealed that re-measuring BMD after 2-years of osteoporosis treatment initiation is a valid time interval for BMD changes monitoring.</w:t>
      </w:r>
    </w:p>
    <w:p w:rsidR="00807A02" w:rsidRPr="00E14F93" w:rsidRDefault="00807A02" w:rsidP="00E14F93">
      <w:pPr>
        <w:spacing w:line="360" w:lineRule="auto"/>
        <w:ind w:firstLineChars="100" w:firstLine="240"/>
        <w:jc w:val="both"/>
        <w:rPr>
          <w:rFonts w:ascii="Book Antiqua" w:hAnsi="Book Antiqua" w:cs="Arial"/>
          <w:sz w:val="24"/>
          <w:szCs w:val="24"/>
          <w:rtl/>
          <w:lang w:val="en-GB" w:bidi="ar-EG"/>
        </w:rPr>
      </w:pPr>
      <w:r w:rsidRPr="00E14F93">
        <w:rPr>
          <w:rFonts w:ascii="Book Antiqua" w:hAnsi="Book Antiqua"/>
          <w:sz w:val="24"/>
          <w:szCs w:val="24"/>
          <w:lang w:val="en-GB"/>
        </w:rPr>
        <w:t xml:space="preserve">There are no data providing information on how to monitor osteoporosis patients or guide decision-making about the initiation and termination of “drug holiday”. In the absence of guidance from clinical trials, empiric approaches are necessary. Results of this study highlighted the value of FRAX and BMD measurement in </w:t>
      </w:r>
      <w:r w:rsidR="00D76DF9" w:rsidRPr="00E14F93">
        <w:rPr>
          <w:rFonts w:ascii="Book Antiqua" w:hAnsi="Book Antiqua"/>
          <w:sz w:val="24"/>
          <w:szCs w:val="24"/>
          <w:lang w:val="en-GB"/>
        </w:rPr>
        <w:t xml:space="preserve">the </w:t>
      </w:r>
      <w:r w:rsidRPr="00E14F93">
        <w:rPr>
          <w:rFonts w:ascii="Book Antiqua" w:hAnsi="Book Antiqua"/>
          <w:sz w:val="24"/>
          <w:szCs w:val="24"/>
          <w:lang w:val="en-GB"/>
        </w:rPr>
        <w:t>guid</w:t>
      </w:r>
      <w:r w:rsidR="00D76DF9" w:rsidRPr="00E14F93">
        <w:rPr>
          <w:rFonts w:ascii="Book Antiqua" w:hAnsi="Book Antiqua"/>
          <w:sz w:val="24"/>
          <w:szCs w:val="24"/>
          <w:lang w:val="en-GB"/>
        </w:rPr>
        <w:t>ance for</w:t>
      </w:r>
      <w:r w:rsidRPr="00E14F93">
        <w:rPr>
          <w:rFonts w:ascii="Book Antiqua" w:hAnsi="Book Antiqua"/>
          <w:sz w:val="24"/>
          <w:szCs w:val="24"/>
          <w:lang w:val="en-GB"/>
        </w:rPr>
        <w:t xml:space="preserve"> </w:t>
      </w:r>
      <w:r w:rsidRPr="00E14F93">
        <w:rPr>
          <w:rFonts w:ascii="Book Antiqua" w:hAnsi="Book Antiqua"/>
          <w:sz w:val="24"/>
          <w:szCs w:val="24"/>
          <w:lang w:val="en-GB"/>
        </w:rPr>
        <w:lastRenderedPageBreak/>
        <w:t>the continu</w:t>
      </w:r>
      <w:r w:rsidR="00D76DF9" w:rsidRPr="00E14F93">
        <w:rPr>
          <w:rFonts w:ascii="Book Antiqua" w:hAnsi="Book Antiqua"/>
          <w:sz w:val="24"/>
          <w:szCs w:val="24"/>
          <w:lang w:val="en-GB"/>
        </w:rPr>
        <w:t>ation or</w:t>
      </w:r>
      <w:r w:rsidRPr="00E14F93">
        <w:rPr>
          <w:rFonts w:ascii="Book Antiqua" w:hAnsi="Book Antiqua"/>
          <w:sz w:val="24"/>
          <w:szCs w:val="24"/>
          <w:lang w:val="en-GB"/>
        </w:rPr>
        <w:t xml:space="preserve"> withdrawal</w:t>
      </w:r>
      <w:r w:rsidR="00D76DF9" w:rsidRPr="00E14F93">
        <w:rPr>
          <w:rFonts w:ascii="Book Antiqua" w:hAnsi="Book Antiqua"/>
          <w:sz w:val="24"/>
          <w:szCs w:val="24"/>
          <w:lang w:val="en-GB"/>
        </w:rPr>
        <w:t xml:space="preserve"> of treatment</w:t>
      </w:r>
      <w:r w:rsidRPr="00E14F93">
        <w:rPr>
          <w:rFonts w:ascii="Book Antiqua" w:hAnsi="Book Antiqua"/>
          <w:sz w:val="24"/>
          <w:szCs w:val="24"/>
          <w:lang w:val="en-GB"/>
        </w:rPr>
        <w:t xml:space="preserve">. Assessment of BMD changes and fracture risk probability 2-years after commencing osteoporosis drug therapy was helpful to identify the non-responders who warranted a change of their medication. Further assessment should be carried out after 5 years of treatment. Persistence of low BMD measures or high fracture risk probability suggests that the patient should continue the osteoporosis medication. On the other hand, drug holiday can be considered for patients whose follow-up BMD reveal normal or </w:t>
      </w:r>
      <w:proofErr w:type="spellStart"/>
      <w:r w:rsidRPr="00E14F93">
        <w:rPr>
          <w:rFonts w:ascii="Book Antiqua" w:hAnsi="Book Antiqua"/>
          <w:sz w:val="24"/>
          <w:szCs w:val="24"/>
          <w:lang w:val="en-GB"/>
        </w:rPr>
        <w:t>osteopenic</w:t>
      </w:r>
      <w:proofErr w:type="spellEnd"/>
      <w:r w:rsidRPr="00E14F93">
        <w:rPr>
          <w:rFonts w:ascii="Book Antiqua" w:hAnsi="Book Antiqua"/>
          <w:sz w:val="24"/>
          <w:szCs w:val="24"/>
          <w:lang w:val="en-GB"/>
        </w:rPr>
        <w:t xml:space="preserve"> levels with low fracture risk probability. It can also be suggested that repeat BMD measurement as well as 10-year fracture risk probability assessment be carried out 3-5 years of osteoporosis drug holiday.</w:t>
      </w:r>
    </w:p>
    <w:p w:rsidR="00807A02" w:rsidRPr="00E14F93" w:rsidRDefault="00807A02" w:rsidP="00E14F93">
      <w:pPr>
        <w:spacing w:line="360" w:lineRule="auto"/>
        <w:ind w:firstLineChars="100" w:firstLine="240"/>
        <w:jc w:val="both"/>
        <w:rPr>
          <w:rFonts w:ascii="Book Antiqua" w:hAnsi="Book Antiqua"/>
          <w:sz w:val="24"/>
          <w:szCs w:val="24"/>
          <w:lang w:val="en-GB"/>
        </w:rPr>
      </w:pPr>
      <w:r w:rsidRPr="00E14F93">
        <w:rPr>
          <w:rFonts w:ascii="Book Antiqua" w:hAnsi="Book Antiqua"/>
          <w:sz w:val="24"/>
          <w:szCs w:val="24"/>
          <w:lang w:val="en-GB"/>
        </w:rPr>
        <w:t>Long-term compliance and adherence to osteoporosis therapy has been repeatedly reported as relatively poor. Results of this study revealed that only 56.4% (579/1026) of the patients continued to take their osteoporosis therapy in the first year of management. This agrees with earlier data revealing that only about 50% of patients who begin an osteoporosis drug continu</w:t>
      </w:r>
      <w:r w:rsidR="00E14F93">
        <w:rPr>
          <w:rFonts w:ascii="Book Antiqua" w:hAnsi="Book Antiqua"/>
          <w:sz w:val="24"/>
          <w:szCs w:val="24"/>
          <w:lang w:val="en-GB"/>
        </w:rPr>
        <w:t xml:space="preserve">e therapy for at least one </w:t>
      </w:r>
      <w:proofErr w:type="gramStart"/>
      <w:r w:rsidR="00E14F93">
        <w:rPr>
          <w:rFonts w:ascii="Book Antiqua" w:hAnsi="Book Antiqua"/>
          <w:sz w:val="24"/>
          <w:szCs w:val="24"/>
          <w:lang w:val="en-GB"/>
        </w:rPr>
        <w:t>year</w:t>
      </w:r>
      <w:r w:rsidRPr="00E14F93">
        <w:rPr>
          <w:rFonts w:ascii="Book Antiqua" w:hAnsi="Book Antiqua"/>
          <w:sz w:val="24"/>
          <w:szCs w:val="24"/>
          <w:vertAlign w:val="superscript"/>
          <w:lang w:val="en-GB"/>
        </w:rPr>
        <w:t>[</w:t>
      </w:r>
      <w:proofErr w:type="gramEnd"/>
      <w:r w:rsidRPr="00E14F93">
        <w:rPr>
          <w:rFonts w:ascii="Book Antiqua" w:hAnsi="Book Antiqua"/>
          <w:sz w:val="24"/>
          <w:szCs w:val="24"/>
          <w:vertAlign w:val="superscript"/>
          <w:lang w:val="en-GB"/>
        </w:rPr>
        <w:t>2</w:t>
      </w:r>
      <w:r w:rsidR="005B47CF">
        <w:rPr>
          <w:rFonts w:ascii="Book Antiqua" w:hAnsi="Book Antiqua" w:hint="eastAsia"/>
          <w:sz w:val="24"/>
          <w:szCs w:val="24"/>
          <w:vertAlign w:val="superscript"/>
          <w:lang w:val="en-GB" w:eastAsia="zh-CN"/>
        </w:rPr>
        <w:t>5</w:t>
      </w:r>
      <w:r w:rsidRPr="00E14F93">
        <w:rPr>
          <w:rFonts w:ascii="Book Antiqua" w:hAnsi="Book Antiqua"/>
          <w:sz w:val="24"/>
          <w:szCs w:val="24"/>
          <w:vertAlign w:val="superscript"/>
          <w:lang w:val="en-GB"/>
        </w:rPr>
        <w:t>]</w:t>
      </w:r>
      <w:r w:rsidRPr="00E14F93">
        <w:rPr>
          <w:rFonts w:ascii="Book Antiqua" w:hAnsi="Book Antiqua"/>
          <w:sz w:val="24"/>
          <w:szCs w:val="24"/>
          <w:lang w:val="en-GB"/>
        </w:rPr>
        <w:t xml:space="preserve">. These data, not only highlight the importance of checking the patient’s adherence to therapy in the first year of osteoporosis management, but also stresses on the importance of patient education. Patients should be aware of the relationship between reduction in fracture risk with pharmacologic therapy and BMD increase measured by DXA, and that a combination of BMD and clinical risk factors assessment predict fracture more accurately than BMD or clinical risk factors alone. </w:t>
      </w:r>
    </w:p>
    <w:p w:rsidR="003C3F61" w:rsidRPr="00E14F93" w:rsidRDefault="003C3F61" w:rsidP="00E14F93">
      <w:pPr>
        <w:spacing w:line="360" w:lineRule="auto"/>
        <w:ind w:firstLineChars="100" w:firstLine="240"/>
        <w:jc w:val="both"/>
        <w:rPr>
          <w:rFonts w:ascii="Book Antiqua" w:hAnsi="Book Antiqua"/>
          <w:sz w:val="24"/>
          <w:szCs w:val="24"/>
          <w:lang w:val="en-GB"/>
        </w:rPr>
      </w:pPr>
      <w:r w:rsidRPr="00E14F93">
        <w:rPr>
          <w:rFonts w:ascii="Book Antiqua" w:hAnsi="Book Antiqua"/>
          <w:sz w:val="24"/>
          <w:szCs w:val="24"/>
          <w:lang w:val="en-GB"/>
        </w:rPr>
        <w:t xml:space="preserve">A limitation of this </w:t>
      </w:r>
      <w:proofErr w:type="gramStart"/>
      <w:r w:rsidRPr="00E14F93">
        <w:rPr>
          <w:rFonts w:ascii="Book Antiqua" w:hAnsi="Book Antiqua"/>
          <w:sz w:val="24"/>
          <w:szCs w:val="24"/>
          <w:lang w:val="en-GB"/>
        </w:rPr>
        <w:t>study,</w:t>
      </w:r>
      <w:proofErr w:type="gramEnd"/>
      <w:r w:rsidRPr="00E14F93">
        <w:rPr>
          <w:rFonts w:ascii="Book Antiqua" w:hAnsi="Book Antiqua"/>
          <w:sz w:val="24"/>
          <w:szCs w:val="24"/>
          <w:lang w:val="en-GB"/>
        </w:rPr>
        <w:t xml:space="preserve"> is the number of osteoporosis therapy agents included in this work. Though the majority of the patients were treated with bisphosphonates, other forms of osteoporosis treatment were also included. These different osteoporosis therapy modalities differ in terms of vertebral and non-vertebral fracture prevention a</w:t>
      </w:r>
      <w:r w:rsidR="003B61A3" w:rsidRPr="00E14F93">
        <w:rPr>
          <w:rFonts w:ascii="Book Antiqua" w:hAnsi="Book Antiqua"/>
          <w:sz w:val="24"/>
          <w:szCs w:val="24"/>
          <w:lang w:val="en-GB"/>
        </w:rPr>
        <w:t>s well as</w:t>
      </w:r>
      <w:r w:rsidR="00E14F93">
        <w:rPr>
          <w:rFonts w:ascii="Book Antiqua" w:hAnsi="Book Antiqua"/>
          <w:sz w:val="24"/>
          <w:szCs w:val="24"/>
          <w:lang w:val="en-GB"/>
        </w:rPr>
        <w:t xml:space="preserve"> FRAX probability </w:t>
      </w:r>
      <w:proofErr w:type="gramStart"/>
      <w:r w:rsidR="00E14F93">
        <w:rPr>
          <w:rFonts w:ascii="Book Antiqua" w:hAnsi="Book Antiqua"/>
          <w:sz w:val="24"/>
          <w:szCs w:val="24"/>
          <w:lang w:val="en-GB"/>
        </w:rPr>
        <w:t>dependency</w:t>
      </w:r>
      <w:r w:rsidRPr="00E14F93">
        <w:rPr>
          <w:rFonts w:ascii="Book Antiqua" w:hAnsi="Book Antiqua"/>
          <w:sz w:val="24"/>
          <w:szCs w:val="24"/>
          <w:vertAlign w:val="superscript"/>
          <w:lang w:val="en-GB"/>
        </w:rPr>
        <w:t>[</w:t>
      </w:r>
      <w:proofErr w:type="gramEnd"/>
      <w:r w:rsidR="005B47CF">
        <w:rPr>
          <w:rFonts w:ascii="Book Antiqua" w:hAnsi="Book Antiqua" w:hint="eastAsia"/>
          <w:sz w:val="24"/>
          <w:szCs w:val="24"/>
          <w:vertAlign w:val="superscript"/>
          <w:lang w:val="en-GB" w:eastAsia="zh-CN"/>
        </w:rPr>
        <w:t>15,</w:t>
      </w:r>
      <w:r w:rsidRPr="00E14F93">
        <w:rPr>
          <w:rFonts w:ascii="Book Antiqua" w:hAnsi="Book Antiqua"/>
          <w:sz w:val="24"/>
          <w:szCs w:val="24"/>
          <w:vertAlign w:val="superscript"/>
          <w:lang w:val="en-GB"/>
        </w:rPr>
        <w:t>2</w:t>
      </w:r>
      <w:r w:rsidR="005B47CF">
        <w:rPr>
          <w:rFonts w:ascii="Book Antiqua" w:hAnsi="Book Antiqua" w:hint="eastAsia"/>
          <w:sz w:val="24"/>
          <w:szCs w:val="24"/>
          <w:vertAlign w:val="superscript"/>
          <w:lang w:val="en-GB" w:eastAsia="zh-CN"/>
        </w:rPr>
        <w:t>6</w:t>
      </w:r>
      <w:r w:rsidRPr="00E14F93">
        <w:rPr>
          <w:rFonts w:ascii="Book Antiqua" w:hAnsi="Book Antiqua"/>
          <w:sz w:val="24"/>
          <w:szCs w:val="24"/>
          <w:vertAlign w:val="superscript"/>
          <w:lang w:val="en-GB"/>
        </w:rPr>
        <w:t>-</w:t>
      </w:r>
      <w:r w:rsidR="005B47CF">
        <w:rPr>
          <w:rFonts w:ascii="Book Antiqua" w:hAnsi="Book Antiqua" w:hint="eastAsia"/>
          <w:sz w:val="24"/>
          <w:szCs w:val="24"/>
          <w:vertAlign w:val="superscript"/>
          <w:lang w:val="en-GB" w:eastAsia="zh-CN"/>
        </w:rPr>
        <w:t>28</w:t>
      </w:r>
      <w:r w:rsidRPr="00E14F93">
        <w:rPr>
          <w:rFonts w:ascii="Book Antiqua" w:hAnsi="Book Antiqua"/>
          <w:sz w:val="24"/>
          <w:szCs w:val="24"/>
          <w:vertAlign w:val="superscript"/>
          <w:lang w:val="en-GB"/>
        </w:rPr>
        <w:t>]</w:t>
      </w:r>
      <w:r w:rsidRPr="00E14F93">
        <w:rPr>
          <w:rFonts w:ascii="Book Antiqua" w:hAnsi="Book Antiqua"/>
          <w:sz w:val="24"/>
          <w:szCs w:val="24"/>
          <w:lang w:val="en-GB"/>
        </w:rPr>
        <w:t xml:space="preserve">. </w:t>
      </w:r>
    </w:p>
    <w:p w:rsidR="00807A02" w:rsidRPr="00E14F93" w:rsidRDefault="00807A02" w:rsidP="00E14F93">
      <w:pPr>
        <w:spacing w:line="360" w:lineRule="auto"/>
        <w:ind w:firstLineChars="100" w:firstLine="240"/>
        <w:jc w:val="both"/>
        <w:rPr>
          <w:rFonts w:ascii="Book Antiqua" w:hAnsi="Book Antiqua"/>
          <w:sz w:val="24"/>
          <w:szCs w:val="24"/>
          <w:lang w:val="en-GB"/>
        </w:rPr>
      </w:pPr>
      <w:r w:rsidRPr="00E14F93">
        <w:rPr>
          <w:rFonts w:ascii="Book Antiqua" w:hAnsi="Book Antiqua"/>
          <w:sz w:val="24"/>
          <w:szCs w:val="24"/>
          <w:lang w:val="en-GB"/>
        </w:rPr>
        <w:t xml:space="preserve">In conclusion, </w:t>
      </w:r>
      <w:r w:rsidR="00D76DF9" w:rsidRPr="00E14F93">
        <w:rPr>
          <w:rFonts w:ascii="Book Antiqua" w:hAnsi="Book Antiqua"/>
          <w:sz w:val="24"/>
          <w:szCs w:val="24"/>
          <w:lang w:val="en-GB"/>
        </w:rPr>
        <w:t xml:space="preserve">this study highlighted the importance of </w:t>
      </w:r>
      <w:r w:rsidRPr="00E14F93">
        <w:rPr>
          <w:rFonts w:ascii="Book Antiqua" w:hAnsi="Book Antiqua"/>
          <w:sz w:val="24"/>
          <w:szCs w:val="24"/>
          <w:lang w:val="en-GB"/>
        </w:rPr>
        <w:t>monitoring osteoporosis t</w:t>
      </w:r>
      <w:r w:rsidR="00D76DF9" w:rsidRPr="00E14F93">
        <w:rPr>
          <w:rFonts w:ascii="Book Antiqua" w:hAnsi="Book Antiqua"/>
          <w:sz w:val="24"/>
          <w:szCs w:val="24"/>
          <w:lang w:val="en-GB"/>
        </w:rPr>
        <w:t>reatment</w:t>
      </w:r>
      <w:r w:rsidRPr="00E14F93">
        <w:rPr>
          <w:rFonts w:ascii="Book Antiqua" w:hAnsi="Book Antiqua"/>
          <w:sz w:val="24"/>
          <w:szCs w:val="24"/>
          <w:lang w:val="en-GB"/>
        </w:rPr>
        <w:t xml:space="preserve"> a</w:t>
      </w:r>
      <w:r w:rsidR="004E3524" w:rsidRPr="00E14F93">
        <w:rPr>
          <w:rFonts w:ascii="Book Antiqua" w:hAnsi="Book Antiqua"/>
          <w:sz w:val="24"/>
          <w:szCs w:val="24"/>
          <w:lang w:val="en-GB"/>
        </w:rPr>
        <w:t>nd its value to t</w:t>
      </w:r>
      <w:r w:rsidRPr="00E14F93">
        <w:rPr>
          <w:rFonts w:ascii="Book Antiqua" w:hAnsi="Book Antiqua"/>
          <w:sz w:val="24"/>
          <w:szCs w:val="24"/>
          <w:lang w:val="en-GB"/>
        </w:rPr>
        <w:t xml:space="preserve">he treating clinician </w:t>
      </w:r>
      <w:r w:rsidR="004E3524" w:rsidRPr="00E14F93">
        <w:rPr>
          <w:rFonts w:ascii="Book Antiqua" w:hAnsi="Book Antiqua"/>
          <w:sz w:val="24"/>
          <w:szCs w:val="24"/>
          <w:lang w:val="en-GB"/>
        </w:rPr>
        <w:t xml:space="preserve">in early </w:t>
      </w:r>
      <w:r w:rsidRPr="00E14F93">
        <w:rPr>
          <w:rFonts w:ascii="Book Antiqua" w:hAnsi="Book Antiqua"/>
          <w:sz w:val="24"/>
          <w:szCs w:val="24"/>
          <w:lang w:val="en-GB"/>
        </w:rPr>
        <w:t>identif</w:t>
      </w:r>
      <w:r w:rsidR="004E3524" w:rsidRPr="00E14F93">
        <w:rPr>
          <w:rFonts w:ascii="Book Antiqua" w:hAnsi="Book Antiqua"/>
          <w:sz w:val="24"/>
          <w:szCs w:val="24"/>
          <w:lang w:val="en-GB"/>
        </w:rPr>
        <w:t>ication</w:t>
      </w:r>
      <w:r w:rsidRPr="00E14F93">
        <w:rPr>
          <w:rFonts w:ascii="Book Antiqua" w:hAnsi="Book Antiqua"/>
          <w:sz w:val="24"/>
          <w:szCs w:val="24"/>
          <w:lang w:val="en-GB"/>
        </w:rPr>
        <w:t xml:space="preserve"> early </w:t>
      </w:r>
      <w:r w:rsidR="004E3524" w:rsidRPr="00E14F93">
        <w:rPr>
          <w:rFonts w:ascii="Book Antiqua" w:hAnsi="Book Antiqua"/>
          <w:sz w:val="24"/>
          <w:szCs w:val="24"/>
          <w:lang w:val="en-GB"/>
        </w:rPr>
        <w:t xml:space="preserve">of </w:t>
      </w:r>
      <w:r w:rsidRPr="00E14F93">
        <w:rPr>
          <w:rFonts w:ascii="Book Antiqua" w:hAnsi="Book Antiqua"/>
          <w:sz w:val="24"/>
          <w:szCs w:val="24"/>
          <w:lang w:val="en-GB"/>
        </w:rPr>
        <w:t>non-responders to t</w:t>
      </w:r>
      <w:r w:rsidR="004E3524" w:rsidRPr="00E14F93">
        <w:rPr>
          <w:rFonts w:ascii="Book Antiqua" w:hAnsi="Book Antiqua"/>
          <w:sz w:val="24"/>
          <w:szCs w:val="24"/>
          <w:lang w:val="en-GB"/>
        </w:rPr>
        <w:t>reatment</w:t>
      </w:r>
      <w:r w:rsidRPr="00E14F93">
        <w:rPr>
          <w:rFonts w:ascii="Book Antiqua" w:hAnsi="Book Antiqua"/>
          <w:sz w:val="24"/>
          <w:szCs w:val="24"/>
          <w:lang w:val="en-GB"/>
        </w:rPr>
        <w:t xml:space="preserve">. This work suggests that the FRAX can be used </w:t>
      </w:r>
      <w:r w:rsidR="004E3524" w:rsidRPr="00E14F93">
        <w:rPr>
          <w:rFonts w:ascii="Book Antiqua" w:hAnsi="Book Antiqua"/>
          <w:sz w:val="24"/>
          <w:szCs w:val="24"/>
          <w:lang w:val="en-GB"/>
        </w:rPr>
        <w:t>as a</w:t>
      </w:r>
      <w:r w:rsidRPr="00E14F93">
        <w:rPr>
          <w:rFonts w:ascii="Book Antiqua" w:hAnsi="Book Antiqua"/>
          <w:sz w:val="24"/>
          <w:szCs w:val="24"/>
          <w:lang w:val="en-GB"/>
        </w:rPr>
        <w:t xml:space="preserve"> predict</w:t>
      </w:r>
      <w:r w:rsidR="004E3524" w:rsidRPr="00E14F93">
        <w:rPr>
          <w:rFonts w:ascii="Book Antiqua" w:hAnsi="Book Antiqua"/>
          <w:sz w:val="24"/>
          <w:szCs w:val="24"/>
          <w:lang w:val="en-GB"/>
        </w:rPr>
        <w:t>or</w:t>
      </w:r>
      <w:r w:rsidRPr="00E14F93">
        <w:rPr>
          <w:rFonts w:ascii="Book Antiqua" w:hAnsi="Book Antiqua"/>
          <w:sz w:val="24"/>
          <w:szCs w:val="24"/>
          <w:lang w:val="en-GB"/>
        </w:rPr>
        <w:t xml:space="preserve"> </w:t>
      </w:r>
      <w:r w:rsidR="004E3524" w:rsidRPr="00E14F93">
        <w:rPr>
          <w:rFonts w:ascii="Book Antiqua" w:hAnsi="Book Antiqua"/>
          <w:sz w:val="24"/>
          <w:szCs w:val="24"/>
          <w:lang w:val="en-GB"/>
        </w:rPr>
        <w:t xml:space="preserve">of </w:t>
      </w:r>
      <w:r w:rsidRPr="00E14F93">
        <w:rPr>
          <w:rFonts w:ascii="Book Antiqua" w:hAnsi="Book Antiqua"/>
          <w:sz w:val="24"/>
          <w:szCs w:val="24"/>
          <w:lang w:val="en-GB"/>
        </w:rPr>
        <w:lastRenderedPageBreak/>
        <w:t xml:space="preserve">fracture probability in </w:t>
      </w:r>
      <w:r w:rsidR="004E3524" w:rsidRPr="00E14F93">
        <w:rPr>
          <w:rFonts w:ascii="Book Antiqua" w:hAnsi="Book Antiqua"/>
          <w:sz w:val="24"/>
          <w:szCs w:val="24"/>
          <w:lang w:val="en-GB"/>
        </w:rPr>
        <w:t xml:space="preserve">those </w:t>
      </w:r>
      <w:r w:rsidRPr="00E14F93">
        <w:rPr>
          <w:rFonts w:ascii="Book Antiqua" w:hAnsi="Book Antiqua"/>
          <w:sz w:val="24"/>
          <w:szCs w:val="24"/>
          <w:lang w:val="en-GB"/>
        </w:rPr>
        <w:t xml:space="preserve">women </w:t>
      </w:r>
      <w:r w:rsidR="004E3524" w:rsidRPr="00E14F93">
        <w:rPr>
          <w:rFonts w:ascii="Book Antiqua" w:hAnsi="Book Antiqua"/>
          <w:sz w:val="24"/>
          <w:szCs w:val="24"/>
          <w:lang w:val="en-GB"/>
        </w:rPr>
        <w:t>on treatment</w:t>
      </w:r>
      <w:r w:rsidRPr="00E14F93">
        <w:rPr>
          <w:rFonts w:ascii="Book Antiqua" w:hAnsi="Book Antiqua"/>
          <w:sz w:val="24"/>
          <w:szCs w:val="24"/>
          <w:lang w:val="en-GB"/>
        </w:rPr>
        <w:t xml:space="preserve"> for osteoporosis, at least on the short term, for guiding the need for continu</w:t>
      </w:r>
      <w:r w:rsidR="004E3524" w:rsidRPr="00E14F93">
        <w:rPr>
          <w:rFonts w:ascii="Book Antiqua" w:hAnsi="Book Antiqua"/>
          <w:sz w:val="24"/>
          <w:szCs w:val="24"/>
          <w:lang w:val="en-GB"/>
        </w:rPr>
        <w:t>ation</w:t>
      </w:r>
      <w:r w:rsidRPr="00E14F93">
        <w:rPr>
          <w:rFonts w:ascii="Book Antiqua" w:hAnsi="Book Antiqua"/>
          <w:sz w:val="24"/>
          <w:szCs w:val="24"/>
          <w:lang w:val="en-GB"/>
        </w:rPr>
        <w:t>, modification or withdrawal</w:t>
      </w:r>
      <w:r w:rsidR="004E3524" w:rsidRPr="00E14F93">
        <w:rPr>
          <w:rFonts w:ascii="Book Antiqua" w:hAnsi="Book Antiqua"/>
          <w:sz w:val="24"/>
          <w:szCs w:val="24"/>
          <w:lang w:val="en-GB"/>
        </w:rPr>
        <w:t xml:space="preserve"> of treatment</w:t>
      </w:r>
      <w:r w:rsidRPr="00E14F93">
        <w:rPr>
          <w:rFonts w:ascii="Book Antiqua" w:hAnsi="Book Antiqua"/>
          <w:sz w:val="24"/>
          <w:szCs w:val="24"/>
          <w:lang w:val="en-GB"/>
        </w:rPr>
        <w:t xml:space="preserve">. In general treatment decisions </w:t>
      </w:r>
      <w:r w:rsidR="004E3524" w:rsidRPr="00E14F93">
        <w:rPr>
          <w:rFonts w:ascii="Book Antiqua" w:hAnsi="Book Antiqua"/>
          <w:sz w:val="24"/>
          <w:szCs w:val="24"/>
          <w:lang w:val="en-GB"/>
        </w:rPr>
        <w:t xml:space="preserve">need to </w:t>
      </w:r>
      <w:r w:rsidRPr="00E14F93">
        <w:rPr>
          <w:rFonts w:ascii="Book Antiqua" w:hAnsi="Book Antiqua"/>
          <w:sz w:val="24"/>
          <w:szCs w:val="24"/>
          <w:lang w:val="en-GB"/>
        </w:rPr>
        <w:t>be tailored to the patient’s BMD status, fracture risk as well as predisposing risk factors.</w:t>
      </w:r>
    </w:p>
    <w:p w:rsidR="0054056F" w:rsidRPr="00E14F93" w:rsidRDefault="0054056F" w:rsidP="007967A4">
      <w:pPr>
        <w:spacing w:line="360" w:lineRule="auto"/>
        <w:jc w:val="both"/>
        <w:rPr>
          <w:rFonts w:ascii="Book Antiqua" w:hAnsi="Book Antiqua"/>
          <w:sz w:val="24"/>
          <w:szCs w:val="24"/>
          <w:lang w:val="en-GB" w:eastAsia="zh-CN"/>
        </w:rPr>
      </w:pPr>
    </w:p>
    <w:p w:rsidR="00590715" w:rsidRPr="00E14F93" w:rsidRDefault="00590715" w:rsidP="007967A4">
      <w:pPr>
        <w:spacing w:line="360" w:lineRule="auto"/>
        <w:jc w:val="both"/>
        <w:rPr>
          <w:rFonts w:ascii="Book Antiqua" w:hAnsi="Book Antiqua"/>
          <w:b/>
          <w:bCs/>
          <w:sz w:val="24"/>
          <w:szCs w:val="24"/>
          <w:lang w:eastAsia="zh-CN"/>
        </w:rPr>
      </w:pPr>
      <w:r w:rsidRPr="00E14F93">
        <w:rPr>
          <w:rFonts w:ascii="Book Antiqua" w:hAnsi="Book Antiqua"/>
          <w:b/>
          <w:bCs/>
          <w:sz w:val="24"/>
          <w:szCs w:val="24"/>
        </w:rPr>
        <w:t xml:space="preserve">ACKNOWLEDGEMENTS </w:t>
      </w:r>
    </w:p>
    <w:p w:rsidR="00590715" w:rsidRPr="00E14F93" w:rsidRDefault="00590715" w:rsidP="007967A4">
      <w:pPr>
        <w:spacing w:line="360" w:lineRule="auto"/>
        <w:jc w:val="both"/>
        <w:rPr>
          <w:rFonts w:ascii="Book Antiqua" w:hAnsi="Book Antiqua"/>
          <w:bCs/>
          <w:sz w:val="24"/>
          <w:szCs w:val="24"/>
        </w:rPr>
      </w:pPr>
      <w:r w:rsidRPr="00E14F93">
        <w:rPr>
          <w:rFonts w:ascii="Book Antiqua" w:hAnsi="Book Antiqua"/>
          <w:bCs/>
          <w:sz w:val="24"/>
          <w:szCs w:val="24"/>
        </w:rPr>
        <w:t>We express thanks to all participants, our colleagues, research assistants and nurses for their cooperation and help to bring this research to its final conclusions.</w:t>
      </w:r>
    </w:p>
    <w:p w:rsidR="0054056F" w:rsidRPr="00E14F93" w:rsidRDefault="0054056F" w:rsidP="007967A4">
      <w:pPr>
        <w:spacing w:line="360" w:lineRule="auto"/>
        <w:jc w:val="both"/>
        <w:rPr>
          <w:rFonts w:ascii="Book Antiqua" w:hAnsi="Book Antiqua"/>
          <w:sz w:val="24"/>
          <w:szCs w:val="24"/>
          <w:lang w:val="en-GB" w:eastAsia="zh-CN"/>
        </w:rPr>
      </w:pPr>
    </w:p>
    <w:p w:rsidR="00EE2738" w:rsidRPr="00E14F93" w:rsidRDefault="00E14F93" w:rsidP="007967A4">
      <w:pPr>
        <w:spacing w:line="360" w:lineRule="auto"/>
        <w:jc w:val="both"/>
        <w:rPr>
          <w:rFonts w:ascii="Book Antiqua" w:hAnsi="Book Antiqua"/>
          <w:b/>
          <w:sz w:val="24"/>
          <w:szCs w:val="24"/>
          <w:lang w:val="en-GB"/>
        </w:rPr>
      </w:pPr>
      <w:r w:rsidRPr="00E14F93">
        <w:rPr>
          <w:rFonts w:ascii="Book Antiqua" w:hAnsi="Book Antiqua"/>
          <w:b/>
          <w:sz w:val="24"/>
          <w:szCs w:val="24"/>
          <w:lang w:val="en-GB"/>
        </w:rPr>
        <w:t>COMMENTS</w:t>
      </w:r>
    </w:p>
    <w:p w:rsidR="00EE2738" w:rsidRPr="00E14F93" w:rsidRDefault="00EE2738" w:rsidP="007967A4">
      <w:pPr>
        <w:spacing w:line="360" w:lineRule="auto"/>
        <w:jc w:val="both"/>
        <w:rPr>
          <w:rFonts w:ascii="Book Antiqua" w:hAnsi="Book Antiqua"/>
          <w:b/>
          <w:i/>
          <w:sz w:val="24"/>
          <w:szCs w:val="24"/>
          <w:lang w:val="en-GB"/>
        </w:rPr>
      </w:pPr>
      <w:r w:rsidRPr="00E14F93">
        <w:rPr>
          <w:rFonts w:ascii="Book Antiqua" w:hAnsi="Book Antiqua"/>
          <w:b/>
          <w:i/>
          <w:sz w:val="24"/>
          <w:szCs w:val="24"/>
          <w:lang w:val="en-GB"/>
        </w:rPr>
        <w:t>Background</w:t>
      </w:r>
    </w:p>
    <w:p w:rsidR="00EE2738" w:rsidRPr="00E14F93" w:rsidRDefault="0054056F" w:rsidP="007967A4">
      <w:pPr>
        <w:spacing w:line="360" w:lineRule="auto"/>
        <w:jc w:val="both"/>
        <w:rPr>
          <w:rFonts w:ascii="Book Antiqua" w:hAnsi="Book Antiqua"/>
          <w:sz w:val="24"/>
          <w:szCs w:val="24"/>
          <w:lang w:val="en-GB"/>
        </w:rPr>
      </w:pPr>
      <w:r w:rsidRPr="00E14F93">
        <w:rPr>
          <w:rFonts w:ascii="Book Antiqua" w:hAnsi="Book Antiqua"/>
          <w:sz w:val="24"/>
          <w:szCs w:val="24"/>
          <w:lang w:val="en-GB"/>
        </w:rPr>
        <w:t xml:space="preserve">Ten-year fracture risk assessment using </w:t>
      </w:r>
      <w:r w:rsidR="00E14F93" w:rsidRPr="00E14F93">
        <w:rPr>
          <w:rFonts w:ascii="Book Antiqua" w:hAnsi="Book Antiqua"/>
          <w:sz w:val="24"/>
          <w:szCs w:val="24"/>
        </w:rPr>
        <w:t>the World Health Organization</w:t>
      </w:r>
      <w:r w:rsidR="00E14F93">
        <w:rPr>
          <w:rFonts w:ascii="Book Antiqua" w:hAnsi="Book Antiqua" w:hint="eastAsia"/>
          <w:sz w:val="24"/>
          <w:szCs w:val="24"/>
          <w:lang w:eastAsia="zh-CN"/>
        </w:rPr>
        <w:t xml:space="preserve"> (WHO)</w:t>
      </w:r>
      <w:r w:rsidR="00E14F93" w:rsidRPr="00E14F93">
        <w:rPr>
          <w:rFonts w:ascii="Book Antiqua" w:hAnsi="Book Antiqua"/>
          <w:sz w:val="24"/>
          <w:szCs w:val="24"/>
        </w:rPr>
        <w:t xml:space="preserve"> fracture risk assessment tool (FRAX)</w:t>
      </w:r>
      <w:r w:rsidRPr="00E14F93">
        <w:rPr>
          <w:rFonts w:ascii="Book Antiqua" w:hAnsi="Book Antiqua"/>
          <w:sz w:val="24"/>
          <w:szCs w:val="24"/>
          <w:lang w:val="en-GB"/>
        </w:rPr>
        <w:t xml:space="preserve"> is increasingly used as a guide to osteoporosis management and treatment decisions. However, </w:t>
      </w:r>
      <w:r w:rsidR="00CB7A4A" w:rsidRPr="00E14F93">
        <w:rPr>
          <w:rFonts w:ascii="Book Antiqua" w:hAnsi="Book Antiqua"/>
          <w:sz w:val="24"/>
          <w:szCs w:val="24"/>
          <w:lang w:val="en-GB"/>
        </w:rPr>
        <w:t xml:space="preserve">using FRAX for estimation of fracture probability was recommended for treatment naïve patients only as there was no data published on </w:t>
      </w:r>
      <w:r w:rsidRPr="00E14F93">
        <w:rPr>
          <w:rFonts w:ascii="Book Antiqua" w:hAnsi="Book Antiqua"/>
          <w:sz w:val="24"/>
          <w:szCs w:val="24"/>
          <w:lang w:val="en-GB"/>
        </w:rPr>
        <w:t xml:space="preserve">whether </w:t>
      </w:r>
      <w:r w:rsidR="00CB7A4A" w:rsidRPr="00E14F93">
        <w:rPr>
          <w:rFonts w:ascii="Book Antiqua" w:hAnsi="Book Antiqua"/>
          <w:sz w:val="24"/>
          <w:szCs w:val="24"/>
          <w:lang w:val="en-GB"/>
        </w:rPr>
        <w:t xml:space="preserve">osteoporosis therapy annuls </w:t>
      </w:r>
      <w:r w:rsidRPr="00E14F93">
        <w:rPr>
          <w:rFonts w:ascii="Book Antiqua" w:hAnsi="Book Antiqua"/>
          <w:sz w:val="24"/>
          <w:szCs w:val="24"/>
          <w:lang w:val="en-GB"/>
        </w:rPr>
        <w:t>fracture predictions with FRAX. Th</w:t>
      </w:r>
      <w:r w:rsidR="00CB7A4A" w:rsidRPr="00E14F93">
        <w:rPr>
          <w:rFonts w:ascii="Book Antiqua" w:hAnsi="Book Antiqua"/>
          <w:sz w:val="24"/>
          <w:szCs w:val="24"/>
          <w:lang w:val="en-GB"/>
        </w:rPr>
        <w:t>e</w:t>
      </w:r>
      <w:r w:rsidRPr="00E14F93">
        <w:rPr>
          <w:rFonts w:ascii="Book Antiqua" w:hAnsi="Book Antiqua"/>
          <w:sz w:val="24"/>
          <w:szCs w:val="24"/>
          <w:lang w:val="en-GB"/>
        </w:rPr>
        <w:t xml:space="preserve"> question of whether FRAX can be used in </w:t>
      </w:r>
      <w:r w:rsidR="00CB7A4A" w:rsidRPr="00E14F93">
        <w:rPr>
          <w:rFonts w:ascii="Book Antiqua" w:hAnsi="Book Antiqua"/>
          <w:sz w:val="24"/>
          <w:szCs w:val="24"/>
          <w:lang w:val="en-GB"/>
        </w:rPr>
        <w:t xml:space="preserve">treated osteoporosis </w:t>
      </w:r>
      <w:r w:rsidRPr="00E14F93">
        <w:rPr>
          <w:rFonts w:ascii="Book Antiqua" w:hAnsi="Book Antiqua"/>
          <w:sz w:val="24"/>
          <w:szCs w:val="24"/>
          <w:lang w:val="en-GB"/>
        </w:rPr>
        <w:t xml:space="preserve">patients </w:t>
      </w:r>
      <w:r w:rsidR="00CB7A4A" w:rsidRPr="00E14F93">
        <w:rPr>
          <w:rFonts w:ascii="Book Antiqua" w:hAnsi="Book Antiqua"/>
          <w:sz w:val="24"/>
          <w:szCs w:val="24"/>
          <w:lang w:val="en-GB"/>
        </w:rPr>
        <w:t>is addressed in this study.</w:t>
      </w:r>
    </w:p>
    <w:p w:rsidR="00CB7A4A" w:rsidRPr="00E14F93" w:rsidRDefault="00CB7A4A" w:rsidP="007967A4">
      <w:pPr>
        <w:spacing w:line="360" w:lineRule="auto"/>
        <w:jc w:val="both"/>
        <w:rPr>
          <w:rFonts w:ascii="Book Antiqua" w:hAnsi="Book Antiqua"/>
          <w:sz w:val="24"/>
          <w:szCs w:val="24"/>
          <w:lang w:val="en-GB"/>
        </w:rPr>
      </w:pPr>
    </w:p>
    <w:p w:rsidR="00EE2738" w:rsidRPr="00E14F93" w:rsidRDefault="00EE2738" w:rsidP="007967A4">
      <w:pPr>
        <w:spacing w:line="360" w:lineRule="auto"/>
        <w:jc w:val="both"/>
        <w:rPr>
          <w:rFonts w:ascii="Book Antiqua" w:hAnsi="Book Antiqua"/>
          <w:b/>
          <w:i/>
          <w:sz w:val="24"/>
          <w:szCs w:val="24"/>
          <w:lang w:val="en-GB"/>
        </w:rPr>
      </w:pPr>
      <w:r w:rsidRPr="00E14F93">
        <w:rPr>
          <w:rFonts w:ascii="Book Antiqua" w:hAnsi="Book Antiqua"/>
          <w:b/>
          <w:i/>
          <w:sz w:val="24"/>
          <w:szCs w:val="24"/>
          <w:lang w:val="en-GB"/>
        </w:rPr>
        <w:t>Research frontiers</w:t>
      </w:r>
    </w:p>
    <w:p w:rsidR="00EE2738" w:rsidRPr="00E14F93" w:rsidRDefault="00CB7A4A" w:rsidP="007967A4">
      <w:pPr>
        <w:spacing w:line="360" w:lineRule="auto"/>
        <w:jc w:val="both"/>
        <w:rPr>
          <w:rFonts w:ascii="Book Antiqua" w:hAnsi="Book Antiqua"/>
          <w:sz w:val="24"/>
          <w:szCs w:val="24"/>
          <w:lang w:val="en-GB"/>
        </w:rPr>
      </w:pPr>
      <w:r w:rsidRPr="00E14F93">
        <w:rPr>
          <w:rFonts w:ascii="Book Antiqua" w:hAnsi="Book Antiqua"/>
          <w:sz w:val="24"/>
          <w:szCs w:val="24"/>
          <w:lang w:val="en-GB"/>
        </w:rPr>
        <w:t xml:space="preserve">There are many differences between subjects in clinical trials and patients being treated in clinical practice. Defining a clinical practice patient as a “non-responder” or “suboptimal responder” to treatment remains a difficult question to answer. Therefore, a pragmatic approach has been suggested considering the evaluation of contributing risk factors and possible </w:t>
      </w:r>
      <w:r w:rsidR="004E3524" w:rsidRPr="00E14F93">
        <w:rPr>
          <w:rFonts w:ascii="Book Antiqua" w:hAnsi="Book Antiqua"/>
          <w:sz w:val="24"/>
          <w:szCs w:val="24"/>
          <w:lang w:val="en-GB"/>
        </w:rPr>
        <w:t xml:space="preserve">treatment </w:t>
      </w:r>
      <w:r w:rsidRPr="00E14F93">
        <w:rPr>
          <w:rFonts w:ascii="Book Antiqua" w:hAnsi="Book Antiqua"/>
          <w:sz w:val="24"/>
          <w:szCs w:val="24"/>
          <w:lang w:val="en-GB"/>
        </w:rPr>
        <w:t xml:space="preserve">changes in patients who have a significant decrease in BMD, or </w:t>
      </w:r>
      <w:r w:rsidR="004E3524" w:rsidRPr="00E14F93">
        <w:rPr>
          <w:rFonts w:ascii="Book Antiqua" w:hAnsi="Book Antiqua"/>
          <w:sz w:val="24"/>
          <w:szCs w:val="24"/>
          <w:lang w:val="en-GB"/>
        </w:rPr>
        <w:t>have</w:t>
      </w:r>
      <w:r w:rsidRPr="00E14F93">
        <w:rPr>
          <w:rFonts w:ascii="Book Antiqua" w:hAnsi="Book Antiqua"/>
          <w:sz w:val="24"/>
          <w:szCs w:val="24"/>
          <w:lang w:val="en-GB"/>
        </w:rPr>
        <w:t xml:space="preserve"> high fracture risk probability.</w:t>
      </w:r>
    </w:p>
    <w:p w:rsidR="00CB7A4A" w:rsidRPr="00E14F93" w:rsidRDefault="00CB7A4A" w:rsidP="007967A4">
      <w:pPr>
        <w:spacing w:line="360" w:lineRule="auto"/>
        <w:jc w:val="both"/>
        <w:rPr>
          <w:rFonts w:ascii="Book Antiqua" w:hAnsi="Book Antiqua"/>
          <w:sz w:val="24"/>
          <w:szCs w:val="24"/>
          <w:lang w:val="en-GB"/>
        </w:rPr>
      </w:pPr>
    </w:p>
    <w:p w:rsidR="00EE2738" w:rsidRPr="00E14F93" w:rsidRDefault="00EE2738" w:rsidP="007967A4">
      <w:pPr>
        <w:spacing w:line="360" w:lineRule="auto"/>
        <w:jc w:val="both"/>
        <w:rPr>
          <w:rFonts w:ascii="Book Antiqua" w:hAnsi="Book Antiqua"/>
          <w:b/>
          <w:i/>
          <w:sz w:val="24"/>
          <w:szCs w:val="24"/>
          <w:lang w:val="en-GB"/>
        </w:rPr>
      </w:pPr>
      <w:r w:rsidRPr="00E14F93">
        <w:rPr>
          <w:rFonts w:ascii="Book Antiqua" w:hAnsi="Book Antiqua"/>
          <w:b/>
          <w:i/>
          <w:sz w:val="24"/>
          <w:szCs w:val="24"/>
          <w:lang w:val="en-GB"/>
        </w:rPr>
        <w:t>Innovations and breakthroughs</w:t>
      </w:r>
    </w:p>
    <w:p w:rsidR="00EE2738" w:rsidRPr="00E14F93" w:rsidRDefault="00CB7A4A" w:rsidP="007967A4">
      <w:pPr>
        <w:spacing w:line="360" w:lineRule="auto"/>
        <w:jc w:val="both"/>
        <w:rPr>
          <w:rFonts w:ascii="Book Antiqua" w:hAnsi="Book Antiqua"/>
          <w:sz w:val="24"/>
          <w:szCs w:val="24"/>
          <w:lang w:val="en-GB"/>
        </w:rPr>
      </w:pPr>
      <w:r w:rsidRPr="00E14F93">
        <w:rPr>
          <w:rFonts w:ascii="Book Antiqua" w:hAnsi="Book Antiqua"/>
          <w:sz w:val="24"/>
          <w:szCs w:val="24"/>
          <w:lang w:val="en-GB"/>
        </w:rPr>
        <w:lastRenderedPageBreak/>
        <w:t xml:space="preserve">This work was carried out aiming at determining whether FRAX can be used </w:t>
      </w:r>
      <w:r w:rsidR="004E3524" w:rsidRPr="00E14F93">
        <w:rPr>
          <w:rFonts w:ascii="Book Antiqua" w:hAnsi="Book Antiqua"/>
          <w:sz w:val="24"/>
          <w:szCs w:val="24"/>
          <w:lang w:val="en-GB"/>
        </w:rPr>
        <w:t>as a tool to monitor osteoporotic patients on treatment</w:t>
      </w:r>
      <w:r w:rsidRPr="00E14F93">
        <w:rPr>
          <w:rFonts w:ascii="Book Antiqua" w:hAnsi="Book Antiqua"/>
          <w:sz w:val="24"/>
          <w:szCs w:val="24"/>
          <w:lang w:val="en-GB"/>
        </w:rPr>
        <w:t xml:space="preserve"> and to evaluate its ability to predict new low trauma fractures.</w:t>
      </w:r>
    </w:p>
    <w:p w:rsidR="00CB7A4A" w:rsidRPr="00E14F93" w:rsidRDefault="00CB7A4A" w:rsidP="007967A4">
      <w:pPr>
        <w:spacing w:line="360" w:lineRule="auto"/>
        <w:jc w:val="both"/>
        <w:rPr>
          <w:rFonts w:ascii="Book Antiqua" w:hAnsi="Book Antiqua"/>
          <w:sz w:val="24"/>
          <w:szCs w:val="24"/>
          <w:lang w:val="en-GB"/>
        </w:rPr>
      </w:pPr>
    </w:p>
    <w:p w:rsidR="00EE2738" w:rsidRPr="00E14F93" w:rsidRDefault="00EE2738" w:rsidP="007967A4">
      <w:pPr>
        <w:spacing w:line="360" w:lineRule="auto"/>
        <w:jc w:val="both"/>
        <w:rPr>
          <w:rFonts w:ascii="Book Antiqua" w:hAnsi="Book Antiqua"/>
          <w:b/>
          <w:i/>
          <w:sz w:val="24"/>
          <w:szCs w:val="24"/>
          <w:lang w:val="en-GB"/>
        </w:rPr>
      </w:pPr>
      <w:r w:rsidRPr="00E14F93">
        <w:rPr>
          <w:rFonts w:ascii="Book Antiqua" w:hAnsi="Book Antiqua"/>
          <w:b/>
          <w:i/>
          <w:sz w:val="24"/>
          <w:szCs w:val="24"/>
          <w:lang w:val="en-GB"/>
        </w:rPr>
        <w:t>Applications</w:t>
      </w:r>
    </w:p>
    <w:p w:rsidR="00EE2738" w:rsidRPr="00E14F93" w:rsidRDefault="00913EFF" w:rsidP="007967A4">
      <w:pPr>
        <w:spacing w:line="360" w:lineRule="auto"/>
        <w:jc w:val="both"/>
        <w:rPr>
          <w:rFonts w:ascii="Book Antiqua" w:hAnsi="Book Antiqua"/>
          <w:sz w:val="24"/>
          <w:szCs w:val="24"/>
          <w:lang w:val="en-GB"/>
        </w:rPr>
      </w:pPr>
      <w:r w:rsidRPr="00E14F93">
        <w:rPr>
          <w:rFonts w:ascii="Book Antiqua" w:hAnsi="Book Antiqua"/>
          <w:sz w:val="24"/>
          <w:szCs w:val="24"/>
          <w:lang w:val="en-GB"/>
        </w:rPr>
        <w:t xml:space="preserve">This study has positive therapeutic implications as it helps answering the question of whether FRAX works in osteoporotic patients currently on therapy. This work suggests that the FRAX can be used </w:t>
      </w:r>
      <w:r w:rsidR="004E3524" w:rsidRPr="00E14F93">
        <w:rPr>
          <w:rFonts w:ascii="Book Antiqua" w:hAnsi="Book Antiqua"/>
          <w:sz w:val="24"/>
          <w:szCs w:val="24"/>
          <w:lang w:val="en-GB"/>
        </w:rPr>
        <w:t xml:space="preserve">as a </w:t>
      </w:r>
      <w:r w:rsidRPr="00E14F93">
        <w:rPr>
          <w:rFonts w:ascii="Book Antiqua" w:hAnsi="Book Antiqua"/>
          <w:sz w:val="24"/>
          <w:szCs w:val="24"/>
          <w:lang w:val="en-GB"/>
        </w:rPr>
        <w:t>predict</w:t>
      </w:r>
      <w:r w:rsidR="004E3524" w:rsidRPr="00E14F93">
        <w:rPr>
          <w:rFonts w:ascii="Book Antiqua" w:hAnsi="Book Antiqua"/>
          <w:sz w:val="24"/>
          <w:szCs w:val="24"/>
          <w:lang w:val="en-GB"/>
        </w:rPr>
        <w:t xml:space="preserve">or of </w:t>
      </w:r>
      <w:r w:rsidRPr="00E14F93">
        <w:rPr>
          <w:rFonts w:ascii="Book Antiqua" w:hAnsi="Book Antiqua"/>
          <w:sz w:val="24"/>
          <w:szCs w:val="24"/>
          <w:lang w:val="en-GB"/>
        </w:rPr>
        <w:t xml:space="preserve">fracture probability in women currently </w:t>
      </w:r>
      <w:r w:rsidR="004E3524" w:rsidRPr="00E14F93">
        <w:rPr>
          <w:rFonts w:ascii="Book Antiqua" w:hAnsi="Book Antiqua"/>
          <w:sz w:val="24"/>
          <w:szCs w:val="24"/>
          <w:lang w:val="en-GB"/>
        </w:rPr>
        <w:t>receiving</w:t>
      </w:r>
      <w:r w:rsidRPr="00E14F93">
        <w:rPr>
          <w:rFonts w:ascii="Book Antiqua" w:hAnsi="Book Antiqua"/>
          <w:sz w:val="24"/>
          <w:szCs w:val="24"/>
          <w:lang w:val="en-GB"/>
        </w:rPr>
        <w:t xml:space="preserve"> osteoporosis</w:t>
      </w:r>
      <w:r w:rsidR="004E3524" w:rsidRPr="00E14F93">
        <w:rPr>
          <w:rFonts w:ascii="Book Antiqua" w:hAnsi="Book Antiqua"/>
          <w:sz w:val="24"/>
          <w:szCs w:val="24"/>
          <w:lang w:val="en-GB"/>
        </w:rPr>
        <w:t xml:space="preserve"> tjerapy</w:t>
      </w:r>
      <w:r w:rsidRPr="00E14F93">
        <w:rPr>
          <w:rFonts w:ascii="Book Antiqua" w:hAnsi="Book Antiqua"/>
          <w:sz w:val="24"/>
          <w:szCs w:val="24"/>
          <w:lang w:val="en-GB"/>
        </w:rPr>
        <w:t>.</w:t>
      </w:r>
    </w:p>
    <w:p w:rsidR="00913EFF" w:rsidRPr="00E14F93" w:rsidRDefault="00913EFF" w:rsidP="007967A4">
      <w:pPr>
        <w:spacing w:line="360" w:lineRule="auto"/>
        <w:jc w:val="both"/>
        <w:rPr>
          <w:rFonts w:ascii="Book Antiqua" w:hAnsi="Book Antiqua"/>
          <w:sz w:val="24"/>
          <w:szCs w:val="24"/>
          <w:lang w:val="en-GB"/>
        </w:rPr>
      </w:pPr>
    </w:p>
    <w:p w:rsidR="00EE2738" w:rsidRPr="00E14F93" w:rsidRDefault="00EE2738" w:rsidP="007967A4">
      <w:pPr>
        <w:spacing w:line="360" w:lineRule="auto"/>
        <w:jc w:val="both"/>
        <w:rPr>
          <w:rFonts w:ascii="Book Antiqua" w:hAnsi="Book Antiqua"/>
          <w:b/>
          <w:i/>
          <w:sz w:val="24"/>
          <w:szCs w:val="24"/>
          <w:lang w:val="en-GB"/>
        </w:rPr>
      </w:pPr>
      <w:r w:rsidRPr="00E14F93">
        <w:rPr>
          <w:rFonts w:ascii="Book Antiqua" w:hAnsi="Book Antiqua"/>
          <w:b/>
          <w:i/>
          <w:sz w:val="24"/>
          <w:szCs w:val="24"/>
          <w:lang w:val="en-GB"/>
        </w:rPr>
        <w:t>Terminology</w:t>
      </w:r>
    </w:p>
    <w:p w:rsidR="00EE2738" w:rsidRPr="00E14F93" w:rsidRDefault="00913EFF" w:rsidP="007967A4">
      <w:pPr>
        <w:spacing w:line="360" w:lineRule="auto"/>
        <w:jc w:val="both"/>
        <w:rPr>
          <w:rFonts w:ascii="Book Antiqua" w:hAnsi="Book Antiqua"/>
          <w:sz w:val="24"/>
          <w:szCs w:val="24"/>
          <w:lang w:val="en-GB"/>
        </w:rPr>
      </w:pPr>
      <w:r w:rsidRPr="00E14F93">
        <w:rPr>
          <w:rFonts w:ascii="Book Antiqua" w:hAnsi="Book Antiqua"/>
          <w:sz w:val="24"/>
          <w:szCs w:val="24"/>
          <w:lang w:val="en-GB"/>
        </w:rPr>
        <w:t xml:space="preserve">“The WHO Fracture Risk Assessment Tool (FRAX) calculator is one of the most thoroughly studied and widely used tools of fracture risk assessment which gained momentum in the past decade. FRAX is mainly used as a guide for clinical decision-making in the patient’s management. </w:t>
      </w:r>
    </w:p>
    <w:p w:rsidR="00913EFF" w:rsidRPr="00E14F93" w:rsidRDefault="00913EFF" w:rsidP="007967A4">
      <w:pPr>
        <w:spacing w:line="360" w:lineRule="auto"/>
        <w:jc w:val="both"/>
        <w:rPr>
          <w:rFonts w:ascii="Book Antiqua" w:hAnsi="Book Antiqua"/>
          <w:sz w:val="24"/>
          <w:szCs w:val="24"/>
          <w:lang w:val="en-GB"/>
        </w:rPr>
      </w:pPr>
    </w:p>
    <w:p w:rsidR="00EE2738" w:rsidRPr="002A342B" w:rsidRDefault="00EE2738" w:rsidP="002A342B">
      <w:pPr>
        <w:spacing w:line="360" w:lineRule="auto"/>
        <w:jc w:val="both"/>
        <w:rPr>
          <w:rFonts w:ascii="Book Antiqua" w:hAnsi="Book Antiqua"/>
          <w:b/>
          <w:i/>
          <w:sz w:val="24"/>
          <w:szCs w:val="24"/>
          <w:lang w:val="en-GB"/>
        </w:rPr>
      </w:pPr>
      <w:r w:rsidRPr="002A342B">
        <w:rPr>
          <w:rFonts w:ascii="Book Antiqua" w:hAnsi="Book Antiqua"/>
          <w:b/>
          <w:i/>
          <w:sz w:val="24"/>
          <w:szCs w:val="24"/>
          <w:lang w:val="en-GB"/>
        </w:rPr>
        <w:t>Peer review</w:t>
      </w:r>
    </w:p>
    <w:p w:rsidR="00807A02" w:rsidRPr="002A342B" w:rsidRDefault="002A342B" w:rsidP="002A342B">
      <w:pPr>
        <w:spacing w:line="360" w:lineRule="auto"/>
        <w:jc w:val="both"/>
        <w:rPr>
          <w:rFonts w:ascii="Book Antiqua" w:hAnsi="Book Antiqua"/>
          <w:sz w:val="24"/>
          <w:szCs w:val="24"/>
          <w:lang w:val="en-GB" w:eastAsia="zh-CN"/>
        </w:rPr>
      </w:pPr>
      <w:r w:rsidRPr="002A342B">
        <w:rPr>
          <w:rFonts w:ascii="Book Antiqua" w:hAnsi="Book Antiqua"/>
          <w:sz w:val="24"/>
          <w:szCs w:val="24"/>
        </w:rPr>
        <w:t>This is a retrospective clinical study to investigate the use of FRAX to monitor the patients receiving osteoporosis therapy and to study the relationship between the post-treatment FRAX and the occurrence of new low trauma fractures</w:t>
      </w:r>
      <w:r w:rsidRPr="002A342B">
        <w:rPr>
          <w:rFonts w:ascii="Book Antiqua" w:hAnsi="Book Antiqua"/>
          <w:sz w:val="24"/>
          <w:szCs w:val="24"/>
          <w:lang w:eastAsia="zh-CN"/>
        </w:rPr>
        <w:t>.</w:t>
      </w:r>
    </w:p>
    <w:p w:rsidR="00807A02" w:rsidRPr="002A342B" w:rsidRDefault="00807A02" w:rsidP="002A342B">
      <w:pPr>
        <w:spacing w:line="360" w:lineRule="auto"/>
        <w:jc w:val="both"/>
        <w:rPr>
          <w:rFonts w:ascii="Book Antiqua" w:hAnsi="Book Antiqua"/>
          <w:sz w:val="24"/>
          <w:szCs w:val="24"/>
          <w:lang w:val="en-GB" w:eastAsia="zh-CN"/>
        </w:rPr>
      </w:pPr>
    </w:p>
    <w:p w:rsidR="00807A02" w:rsidRPr="002A342B" w:rsidRDefault="002A342B" w:rsidP="002A342B">
      <w:pPr>
        <w:spacing w:line="360" w:lineRule="auto"/>
        <w:jc w:val="both"/>
        <w:rPr>
          <w:rFonts w:ascii="Book Antiqua" w:hAnsi="Book Antiqua"/>
          <w:b/>
          <w:bCs/>
          <w:sz w:val="24"/>
          <w:szCs w:val="24"/>
          <w:lang w:val="en-GB" w:eastAsia="zh-CN"/>
        </w:rPr>
      </w:pPr>
      <w:r w:rsidRPr="002A342B">
        <w:rPr>
          <w:rFonts w:ascii="Book Antiqua" w:hAnsi="Book Antiqua"/>
          <w:b/>
          <w:bCs/>
          <w:sz w:val="24"/>
          <w:szCs w:val="24"/>
          <w:lang w:val="en-GB"/>
        </w:rPr>
        <w:t>REFERENCES</w:t>
      </w:r>
    </w:p>
    <w:p w:rsidR="002A342B" w:rsidRPr="002A342B" w:rsidRDefault="002A342B" w:rsidP="002A342B">
      <w:pPr>
        <w:spacing w:line="360" w:lineRule="auto"/>
        <w:jc w:val="both"/>
        <w:rPr>
          <w:rFonts w:ascii="Book Antiqua" w:hAnsi="Book Antiqua" w:cs="宋体"/>
          <w:color w:val="000000"/>
          <w:sz w:val="24"/>
          <w:szCs w:val="24"/>
          <w:lang w:eastAsia="zh-CN"/>
        </w:rPr>
      </w:pPr>
      <w:proofErr w:type="gramStart"/>
      <w:r w:rsidRPr="002A342B">
        <w:rPr>
          <w:rFonts w:ascii="Book Antiqua" w:hAnsi="Book Antiqua" w:cs="宋体"/>
          <w:color w:val="000000"/>
          <w:sz w:val="24"/>
          <w:szCs w:val="24"/>
          <w:lang w:eastAsia="zh-CN"/>
        </w:rPr>
        <w:t>1 </w:t>
      </w:r>
      <w:proofErr w:type="spellStart"/>
      <w:r w:rsidRPr="002A342B">
        <w:rPr>
          <w:rFonts w:ascii="Book Antiqua" w:hAnsi="Book Antiqua" w:cs="宋体"/>
          <w:b/>
          <w:bCs/>
          <w:color w:val="000000"/>
          <w:sz w:val="24"/>
          <w:szCs w:val="24"/>
          <w:lang w:eastAsia="zh-CN"/>
        </w:rPr>
        <w:t>Kleerekoper</w:t>
      </w:r>
      <w:proofErr w:type="spellEnd"/>
      <w:r w:rsidRPr="002A342B">
        <w:rPr>
          <w:rFonts w:ascii="Book Antiqua" w:hAnsi="Book Antiqua" w:cs="宋体"/>
          <w:b/>
          <w:bCs/>
          <w:color w:val="000000"/>
          <w:sz w:val="24"/>
          <w:szCs w:val="24"/>
          <w:lang w:eastAsia="zh-CN"/>
        </w:rPr>
        <w:t xml:space="preserve"> M</w:t>
      </w:r>
      <w:r w:rsidRPr="002A342B">
        <w:rPr>
          <w:rFonts w:ascii="Book Antiqua" w:hAnsi="Book Antiqua" w:cs="宋体"/>
          <w:color w:val="000000"/>
          <w:sz w:val="24"/>
          <w:szCs w:val="24"/>
          <w:lang w:eastAsia="zh-CN"/>
        </w:rPr>
        <w:t>, Camacho P. Monitoring osteoporosis therapy.</w:t>
      </w:r>
      <w:proofErr w:type="gramEnd"/>
      <w:r w:rsidRPr="002A342B">
        <w:rPr>
          <w:rFonts w:ascii="Book Antiqua" w:hAnsi="Book Antiqua" w:cs="宋体"/>
          <w:color w:val="000000"/>
          <w:sz w:val="24"/>
          <w:szCs w:val="24"/>
          <w:lang w:eastAsia="zh-CN"/>
        </w:rPr>
        <w:t> </w:t>
      </w:r>
      <w:proofErr w:type="spellStart"/>
      <w:r w:rsidRPr="002A342B">
        <w:rPr>
          <w:rFonts w:ascii="Book Antiqua" w:hAnsi="Book Antiqua" w:cs="宋体"/>
          <w:i/>
          <w:iCs/>
          <w:color w:val="000000"/>
          <w:sz w:val="24"/>
          <w:szCs w:val="24"/>
          <w:lang w:eastAsia="zh-CN"/>
        </w:rPr>
        <w:t>Clin</w:t>
      </w:r>
      <w:proofErr w:type="spellEnd"/>
      <w:r w:rsidRPr="002A342B">
        <w:rPr>
          <w:rFonts w:ascii="Book Antiqua" w:hAnsi="Book Antiqua" w:cs="宋体"/>
          <w:i/>
          <w:iCs/>
          <w:color w:val="000000"/>
          <w:sz w:val="24"/>
          <w:szCs w:val="24"/>
          <w:lang w:eastAsia="zh-CN"/>
        </w:rPr>
        <w:t xml:space="preserve"> </w:t>
      </w:r>
      <w:proofErr w:type="spellStart"/>
      <w:r w:rsidRPr="002A342B">
        <w:rPr>
          <w:rFonts w:ascii="Book Antiqua" w:hAnsi="Book Antiqua" w:cs="宋体"/>
          <w:i/>
          <w:iCs/>
          <w:color w:val="000000"/>
          <w:sz w:val="24"/>
          <w:szCs w:val="24"/>
          <w:lang w:eastAsia="zh-CN"/>
        </w:rPr>
        <w:t>Chem</w:t>
      </w:r>
      <w:proofErr w:type="spellEnd"/>
      <w:r w:rsidRPr="002A342B">
        <w:rPr>
          <w:rFonts w:ascii="Book Antiqua" w:hAnsi="Book Antiqua" w:cs="宋体"/>
          <w:color w:val="000000"/>
          <w:sz w:val="24"/>
          <w:szCs w:val="24"/>
          <w:lang w:eastAsia="zh-CN"/>
        </w:rPr>
        <w:t> 2005; </w:t>
      </w:r>
      <w:r w:rsidRPr="002A342B">
        <w:rPr>
          <w:rFonts w:ascii="Book Antiqua" w:hAnsi="Book Antiqua" w:cs="宋体"/>
          <w:b/>
          <w:bCs/>
          <w:color w:val="000000"/>
          <w:sz w:val="24"/>
          <w:szCs w:val="24"/>
          <w:lang w:eastAsia="zh-CN"/>
        </w:rPr>
        <w:t>51</w:t>
      </w:r>
      <w:r w:rsidRPr="002A342B">
        <w:rPr>
          <w:rFonts w:ascii="Book Antiqua" w:hAnsi="Book Antiqua" w:cs="宋体"/>
          <w:color w:val="000000"/>
          <w:sz w:val="24"/>
          <w:szCs w:val="24"/>
          <w:lang w:eastAsia="zh-CN"/>
        </w:rPr>
        <w:t>: 2227-2228 [PMID: 16306093]</w:t>
      </w:r>
    </w:p>
    <w:p w:rsidR="002A342B" w:rsidRPr="002A342B" w:rsidRDefault="002A342B" w:rsidP="002A342B">
      <w:pPr>
        <w:spacing w:line="360" w:lineRule="auto"/>
        <w:jc w:val="both"/>
        <w:rPr>
          <w:rFonts w:ascii="Book Antiqua" w:hAnsi="Book Antiqua" w:cs="宋体"/>
          <w:color w:val="000000"/>
          <w:sz w:val="24"/>
          <w:szCs w:val="24"/>
          <w:lang w:eastAsia="zh-CN"/>
        </w:rPr>
      </w:pPr>
      <w:proofErr w:type="gramStart"/>
      <w:r>
        <w:rPr>
          <w:rFonts w:ascii="Book Antiqua" w:hAnsi="Book Antiqua" w:cs="宋体"/>
          <w:color w:val="000000"/>
          <w:sz w:val="24"/>
          <w:szCs w:val="24"/>
          <w:lang w:eastAsia="zh-CN"/>
        </w:rPr>
        <w:t xml:space="preserve">2 </w:t>
      </w:r>
      <w:r w:rsidRPr="002A342B">
        <w:rPr>
          <w:rFonts w:ascii="Book Antiqua" w:hAnsi="Book Antiqua" w:cs="宋体"/>
          <w:color w:val="000000"/>
          <w:sz w:val="24"/>
          <w:szCs w:val="24"/>
          <w:lang w:eastAsia="zh-CN"/>
        </w:rPr>
        <w:t xml:space="preserve"> </w:t>
      </w:r>
      <w:r w:rsidRPr="002A342B">
        <w:rPr>
          <w:rFonts w:ascii="Book Antiqua" w:hAnsi="Book Antiqua" w:cs="宋体"/>
          <w:b/>
          <w:color w:val="000000"/>
          <w:sz w:val="24"/>
          <w:szCs w:val="24"/>
          <w:lang w:eastAsia="zh-CN"/>
        </w:rPr>
        <w:t>FRAX</w:t>
      </w:r>
      <w:proofErr w:type="gramEnd"/>
      <w:r w:rsidRPr="002A342B">
        <w:rPr>
          <w:rFonts w:ascii="Book Antiqua" w:hAnsi="Book Antiqua" w:cs="宋体"/>
          <w:color w:val="000000"/>
          <w:sz w:val="24"/>
          <w:szCs w:val="24"/>
          <w:lang w:eastAsia="zh-CN"/>
        </w:rPr>
        <w:t xml:space="preserve">. </w:t>
      </w:r>
      <w:proofErr w:type="gramStart"/>
      <w:r w:rsidRPr="002A342B">
        <w:rPr>
          <w:rFonts w:ascii="Book Antiqua" w:hAnsi="Book Antiqua" w:cs="宋体"/>
          <w:color w:val="000000"/>
          <w:sz w:val="24"/>
          <w:szCs w:val="24"/>
          <w:lang w:eastAsia="zh-CN"/>
        </w:rPr>
        <w:t>http</w:t>
      </w:r>
      <w:proofErr w:type="gramEnd"/>
      <w:r w:rsidRPr="002A342B">
        <w:rPr>
          <w:rFonts w:ascii="Book Antiqua" w:hAnsi="Book Antiqua" w:cs="宋体"/>
          <w:color w:val="000000"/>
          <w:sz w:val="24"/>
          <w:szCs w:val="24"/>
          <w:lang w:eastAsia="zh-CN"/>
        </w:rPr>
        <w:t>: //www.sheffield.ac.uk/FRAX/</w:t>
      </w:r>
    </w:p>
    <w:p w:rsidR="002A342B" w:rsidRPr="002A342B" w:rsidRDefault="002A342B" w:rsidP="002A342B">
      <w:pPr>
        <w:spacing w:line="360" w:lineRule="auto"/>
        <w:jc w:val="both"/>
        <w:rPr>
          <w:rFonts w:ascii="Book Antiqua" w:hAnsi="Book Antiqua" w:cs="宋体"/>
          <w:color w:val="000000"/>
          <w:sz w:val="24"/>
          <w:szCs w:val="24"/>
          <w:lang w:eastAsia="zh-CN"/>
        </w:rPr>
      </w:pPr>
      <w:r w:rsidRPr="002A342B">
        <w:rPr>
          <w:rFonts w:ascii="Book Antiqua" w:hAnsi="Book Antiqua" w:cs="宋体"/>
          <w:color w:val="000000"/>
          <w:sz w:val="24"/>
          <w:szCs w:val="24"/>
          <w:lang w:eastAsia="zh-CN"/>
        </w:rPr>
        <w:t>3 </w:t>
      </w:r>
      <w:proofErr w:type="spellStart"/>
      <w:r w:rsidRPr="002A342B">
        <w:rPr>
          <w:rFonts w:ascii="Book Antiqua" w:hAnsi="Book Antiqua" w:cs="宋体"/>
          <w:b/>
          <w:bCs/>
          <w:color w:val="000000"/>
          <w:sz w:val="24"/>
          <w:szCs w:val="24"/>
          <w:lang w:eastAsia="zh-CN"/>
        </w:rPr>
        <w:t>Lewiecki</w:t>
      </w:r>
      <w:proofErr w:type="spellEnd"/>
      <w:r w:rsidRPr="002A342B">
        <w:rPr>
          <w:rFonts w:ascii="Book Antiqua" w:hAnsi="Book Antiqua" w:cs="宋体"/>
          <w:b/>
          <w:bCs/>
          <w:color w:val="000000"/>
          <w:sz w:val="24"/>
          <w:szCs w:val="24"/>
          <w:lang w:eastAsia="zh-CN"/>
        </w:rPr>
        <w:t xml:space="preserve"> EM</w:t>
      </w:r>
      <w:r w:rsidRPr="002A342B">
        <w:rPr>
          <w:rFonts w:ascii="Book Antiqua" w:hAnsi="Book Antiqua" w:cs="宋体"/>
          <w:color w:val="000000"/>
          <w:sz w:val="24"/>
          <w:szCs w:val="24"/>
          <w:lang w:eastAsia="zh-CN"/>
        </w:rPr>
        <w:t xml:space="preserve">, Watts NB. </w:t>
      </w:r>
      <w:proofErr w:type="gramStart"/>
      <w:r w:rsidRPr="002A342B">
        <w:rPr>
          <w:rFonts w:ascii="Book Antiqua" w:hAnsi="Book Antiqua" w:cs="宋体"/>
          <w:color w:val="000000"/>
          <w:sz w:val="24"/>
          <w:szCs w:val="24"/>
          <w:lang w:eastAsia="zh-CN"/>
        </w:rPr>
        <w:t>Assessing response to osteoporosis therapy.</w:t>
      </w:r>
      <w:proofErr w:type="gramEnd"/>
      <w:r w:rsidRPr="002A342B">
        <w:rPr>
          <w:rFonts w:ascii="Book Antiqua" w:hAnsi="Book Antiqua" w:cs="宋体"/>
          <w:color w:val="000000"/>
          <w:sz w:val="24"/>
          <w:szCs w:val="24"/>
          <w:lang w:eastAsia="zh-CN"/>
        </w:rPr>
        <w:t> </w:t>
      </w:r>
      <w:proofErr w:type="spellStart"/>
      <w:r w:rsidRPr="002A342B">
        <w:rPr>
          <w:rFonts w:ascii="Book Antiqua" w:hAnsi="Book Antiqua" w:cs="宋体"/>
          <w:i/>
          <w:iCs/>
          <w:color w:val="000000"/>
          <w:sz w:val="24"/>
          <w:szCs w:val="24"/>
          <w:lang w:eastAsia="zh-CN"/>
        </w:rPr>
        <w:t>Osteoporos</w:t>
      </w:r>
      <w:proofErr w:type="spellEnd"/>
      <w:r w:rsidRPr="002A342B">
        <w:rPr>
          <w:rFonts w:ascii="Book Antiqua" w:hAnsi="Book Antiqua" w:cs="宋体"/>
          <w:i/>
          <w:iCs/>
          <w:color w:val="000000"/>
          <w:sz w:val="24"/>
          <w:szCs w:val="24"/>
          <w:lang w:eastAsia="zh-CN"/>
        </w:rPr>
        <w:t xml:space="preserve"> </w:t>
      </w:r>
      <w:proofErr w:type="spellStart"/>
      <w:r w:rsidRPr="002A342B">
        <w:rPr>
          <w:rFonts w:ascii="Book Antiqua" w:hAnsi="Book Antiqua" w:cs="宋体"/>
          <w:i/>
          <w:iCs/>
          <w:color w:val="000000"/>
          <w:sz w:val="24"/>
          <w:szCs w:val="24"/>
          <w:lang w:eastAsia="zh-CN"/>
        </w:rPr>
        <w:t>Int</w:t>
      </w:r>
      <w:proofErr w:type="spellEnd"/>
      <w:r w:rsidRPr="002A342B">
        <w:rPr>
          <w:rFonts w:ascii="Book Antiqua" w:hAnsi="Book Antiqua" w:cs="宋体"/>
          <w:color w:val="000000"/>
          <w:sz w:val="24"/>
          <w:szCs w:val="24"/>
          <w:lang w:eastAsia="zh-CN"/>
        </w:rPr>
        <w:t> 2008; </w:t>
      </w:r>
      <w:r w:rsidRPr="002A342B">
        <w:rPr>
          <w:rFonts w:ascii="Book Antiqua" w:hAnsi="Book Antiqua" w:cs="宋体"/>
          <w:b/>
          <w:bCs/>
          <w:color w:val="000000"/>
          <w:sz w:val="24"/>
          <w:szCs w:val="24"/>
          <w:lang w:eastAsia="zh-CN"/>
        </w:rPr>
        <w:t>19</w:t>
      </w:r>
      <w:r w:rsidRPr="002A342B">
        <w:rPr>
          <w:rFonts w:ascii="Book Antiqua" w:hAnsi="Book Antiqua" w:cs="宋体"/>
          <w:color w:val="000000"/>
          <w:sz w:val="24"/>
          <w:szCs w:val="24"/>
          <w:lang w:eastAsia="zh-CN"/>
        </w:rPr>
        <w:t>: 1363-1368 [PMID: 18546030 DOI: 10.1007/s00198-008-0661-8]</w:t>
      </w:r>
    </w:p>
    <w:p w:rsidR="002A342B" w:rsidRPr="002A342B" w:rsidRDefault="002A342B" w:rsidP="002A342B">
      <w:pPr>
        <w:spacing w:line="360" w:lineRule="auto"/>
        <w:jc w:val="both"/>
        <w:rPr>
          <w:rFonts w:ascii="Book Antiqua" w:hAnsi="Book Antiqua" w:cs="宋体"/>
          <w:color w:val="000000"/>
          <w:sz w:val="24"/>
          <w:szCs w:val="24"/>
          <w:lang w:eastAsia="zh-CN"/>
        </w:rPr>
      </w:pPr>
      <w:r w:rsidRPr="002A342B">
        <w:rPr>
          <w:rFonts w:ascii="Book Antiqua" w:hAnsi="Book Antiqua" w:cs="宋体"/>
          <w:color w:val="000000"/>
          <w:sz w:val="24"/>
          <w:szCs w:val="24"/>
          <w:lang w:eastAsia="zh-CN"/>
        </w:rPr>
        <w:t>4 </w:t>
      </w:r>
      <w:proofErr w:type="spellStart"/>
      <w:r w:rsidRPr="002A342B">
        <w:rPr>
          <w:rFonts w:ascii="Book Antiqua" w:hAnsi="Book Antiqua" w:cs="宋体"/>
          <w:b/>
          <w:bCs/>
          <w:color w:val="000000"/>
          <w:sz w:val="24"/>
          <w:szCs w:val="24"/>
          <w:lang w:eastAsia="zh-CN"/>
        </w:rPr>
        <w:t>Kanis</w:t>
      </w:r>
      <w:proofErr w:type="spellEnd"/>
      <w:r w:rsidRPr="002A342B">
        <w:rPr>
          <w:rFonts w:ascii="Book Antiqua" w:hAnsi="Book Antiqua" w:cs="宋体"/>
          <w:b/>
          <w:bCs/>
          <w:color w:val="000000"/>
          <w:sz w:val="24"/>
          <w:szCs w:val="24"/>
          <w:lang w:eastAsia="zh-CN"/>
        </w:rPr>
        <w:t xml:space="preserve"> JA</w:t>
      </w:r>
      <w:r w:rsidRPr="002A342B">
        <w:rPr>
          <w:rFonts w:ascii="Book Antiqua" w:hAnsi="Book Antiqua" w:cs="宋体"/>
          <w:color w:val="000000"/>
          <w:sz w:val="24"/>
          <w:szCs w:val="24"/>
          <w:lang w:eastAsia="zh-CN"/>
        </w:rPr>
        <w:t xml:space="preserve">, Oden A, </w:t>
      </w:r>
      <w:proofErr w:type="spellStart"/>
      <w:r w:rsidRPr="002A342B">
        <w:rPr>
          <w:rFonts w:ascii="Book Antiqua" w:hAnsi="Book Antiqua" w:cs="宋体"/>
          <w:color w:val="000000"/>
          <w:sz w:val="24"/>
          <w:szCs w:val="24"/>
          <w:lang w:eastAsia="zh-CN"/>
        </w:rPr>
        <w:t>Johnell</w:t>
      </w:r>
      <w:proofErr w:type="spellEnd"/>
      <w:r w:rsidRPr="002A342B">
        <w:rPr>
          <w:rFonts w:ascii="Book Antiqua" w:hAnsi="Book Antiqua" w:cs="宋体"/>
          <w:color w:val="000000"/>
          <w:sz w:val="24"/>
          <w:szCs w:val="24"/>
          <w:lang w:eastAsia="zh-CN"/>
        </w:rPr>
        <w:t xml:space="preserve"> O, Johansson H, De </w:t>
      </w:r>
      <w:proofErr w:type="spellStart"/>
      <w:r w:rsidRPr="002A342B">
        <w:rPr>
          <w:rFonts w:ascii="Book Antiqua" w:hAnsi="Book Antiqua" w:cs="宋体"/>
          <w:color w:val="000000"/>
          <w:sz w:val="24"/>
          <w:szCs w:val="24"/>
          <w:lang w:eastAsia="zh-CN"/>
        </w:rPr>
        <w:t>Laet</w:t>
      </w:r>
      <w:proofErr w:type="spellEnd"/>
      <w:r w:rsidRPr="002A342B">
        <w:rPr>
          <w:rFonts w:ascii="Book Antiqua" w:hAnsi="Book Antiqua" w:cs="宋体"/>
          <w:color w:val="000000"/>
          <w:sz w:val="24"/>
          <w:szCs w:val="24"/>
          <w:lang w:eastAsia="zh-CN"/>
        </w:rPr>
        <w:t xml:space="preserve"> C, Brown J, Burckhardt P, Cooper C, Christiansen C, Cummings S, </w:t>
      </w:r>
      <w:proofErr w:type="spellStart"/>
      <w:r w:rsidRPr="002A342B">
        <w:rPr>
          <w:rFonts w:ascii="Book Antiqua" w:hAnsi="Book Antiqua" w:cs="宋体"/>
          <w:color w:val="000000"/>
          <w:sz w:val="24"/>
          <w:szCs w:val="24"/>
          <w:lang w:eastAsia="zh-CN"/>
        </w:rPr>
        <w:t>Eisman</w:t>
      </w:r>
      <w:proofErr w:type="spellEnd"/>
      <w:r w:rsidRPr="002A342B">
        <w:rPr>
          <w:rFonts w:ascii="Book Antiqua" w:hAnsi="Book Antiqua" w:cs="宋体"/>
          <w:color w:val="000000"/>
          <w:sz w:val="24"/>
          <w:szCs w:val="24"/>
          <w:lang w:eastAsia="zh-CN"/>
        </w:rPr>
        <w:t xml:space="preserve"> JA, Fujiwara S, </w:t>
      </w:r>
      <w:proofErr w:type="spellStart"/>
      <w:r w:rsidRPr="002A342B">
        <w:rPr>
          <w:rFonts w:ascii="Book Antiqua" w:hAnsi="Book Antiqua" w:cs="宋体"/>
          <w:color w:val="000000"/>
          <w:sz w:val="24"/>
          <w:szCs w:val="24"/>
          <w:lang w:eastAsia="zh-CN"/>
        </w:rPr>
        <w:t>Glüer</w:t>
      </w:r>
      <w:proofErr w:type="spellEnd"/>
      <w:r w:rsidRPr="002A342B">
        <w:rPr>
          <w:rFonts w:ascii="Book Antiqua" w:hAnsi="Book Antiqua" w:cs="宋体"/>
          <w:color w:val="000000"/>
          <w:sz w:val="24"/>
          <w:szCs w:val="24"/>
          <w:lang w:eastAsia="zh-CN"/>
        </w:rPr>
        <w:t xml:space="preserve"> C, </w:t>
      </w:r>
      <w:proofErr w:type="spellStart"/>
      <w:r w:rsidRPr="002A342B">
        <w:rPr>
          <w:rFonts w:ascii="Book Antiqua" w:hAnsi="Book Antiqua" w:cs="宋体"/>
          <w:color w:val="000000"/>
          <w:sz w:val="24"/>
          <w:szCs w:val="24"/>
          <w:lang w:eastAsia="zh-CN"/>
        </w:rPr>
        <w:t>Goltzman</w:t>
      </w:r>
      <w:proofErr w:type="spellEnd"/>
      <w:r w:rsidRPr="002A342B">
        <w:rPr>
          <w:rFonts w:ascii="Book Antiqua" w:hAnsi="Book Antiqua" w:cs="宋体"/>
          <w:color w:val="000000"/>
          <w:sz w:val="24"/>
          <w:szCs w:val="24"/>
          <w:lang w:eastAsia="zh-CN"/>
        </w:rPr>
        <w:t xml:space="preserve"> D, Hans D, </w:t>
      </w:r>
      <w:r w:rsidRPr="002A342B">
        <w:rPr>
          <w:rFonts w:ascii="Book Antiqua" w:hAnsi="Book Antiqua" w:cs="宋体"/>
          <w:color w:val="000000"/>
          <w:sz w:val="24"/>
          <w:szCs w:val="24"/>
          <w:lang w:eastAsia="zh-CN"/>
        </w:rPr>
        <w:lastRenderedPageBreak/>
        <w:t xml:space="preserve">Krieg MA, La Croix A, McCloskey E, </w:t>
      </w:r>
      <w:proofErr w:type="spellStart"/>
      <w:r w:rsidRPr="002A342B">
        <w:rPr>
          <w:rFonts w:ascii="Book Antiqua" w:hAnsi="Book Antiqua" w:cs="宋体"/>
          <w:color w:val="000000"/>
          <w:sz w:val="24"/>
          <w:szCs w:val="24"/>
          <w:lang w:eastAsia="zh-CN"/>
        </w:rPr>
        <w:t>Mellstrom</w:t>
      </w:r>
      <w:proofErr w:type="spellEnd"/>
      <w:r w:rsidRPr="002A342B">
        <w:rPr>
          <w:rFonts w:ascii="Book Antiqua" w:hAnsi="Book Antiqua" w:cs="宋体"/>
          <w:color w:val="000000"/>
          <w:sz w:val="24"/>
          <w:szCs w:val="24"/>
          <w:lang w:eastAsia="zh-CN"/>
        </w:rPr>
        <w:t xml:space="preserve"> D, Melton LJ, Pols H, Reeve J, Sanders K, Schott AM, </w:t>
      </w:r>
      <w:proofErr w:type="spellStart"/>
      <w:r w:rsidRPr="002A342B">
        <w:rPr>
          <w:rFonts w:ascii="Book Antiqua" w:hAnsi="Book Antiqua" w:cs="宋体"/>
          <w:color w:val="000000"/>
          <w:sz w:val="24"/>
          <w:szCs w:val="24"/>
          <w:lang w:eastAsia="zh-CN"/>
        </w:rPr>
        <w:t>Silman</w:t>
      </w:r>
      <w:proofErr w:type="spellEnd"/>
      <w:r w:rsidRPr="002A342B">
        <w:rPr>
          <w:rFonts w:ascii="Book Antiqua" w:hAnsi="Book Antiqua" w:cs="宋体"/>
          <w:color w:val="000000"/>
          <w:sz w:val="24"/>
          <w:szCs w:val="24"/>
          <w:lang w:eastAsia="zh-CN"/>
        </w:rPr>
        <w:t xml:space="preserve"> A, </w:t>
      </w:r>
      <w:proofErr w:type="spellStart"/>
      <w:r w:rsidRPr="002A342B">
        <w:rPr>
          <w:rFonts w:ascii="Book Antiqua" w:hAnsi="Book Antiqua" w:cs="宋体"/>
          <w:color w:val="000000"/>
          <w:sz w:val="24"/>
          <w:szCs w:val="24"/>
          <w:lang w:eastAsia="zh-CN"/>
        </w:rPr>
        <w:t>Torgerson</w:t>
      </w:r>
      <w:proofErr w:type="spellEnd"/>
      <w:r w:rsidRPr="002A342B">
        <w:rPr>
          <w:rFonts w:ascii="Book Antiqua" w:hAnsi="Book Antiqua" w:cs="宋体"/>
          <w:color w:val="000000"/>
          <w:sz w:val="24"/>
          <w:szCs w:val="24"/>
          <w:lang w:eastAsia="zh-CN"/>
        </w:rPr>
        <w:t xml:space="preserve"> D, van </w:t>
      </w:r>
      <w:proofErr w:type="spellStart"/>
      <w:r w:rsidRPr="002A342B">
        <w:rPr>
          <w:rFonts w:ascii="Book Antiqua" w:hAnsi="Book Antiqua" w:cs="宋体"/>
          <w:color w:val="000000"/>
          <w:sz w:val="24"/>
          <w:szCs w:val="24"/>
          <w:lang w:eastAsia="zh-CN"/>
        </w:rPr>
        <w:t>Staa</w:t>
      </w:r>
      <w:proofErr w:type="spellEnd"/>
      <w:r w:rsidRPr="002A342B">
        <w:rPr>
          <w:rFonts w:ascii="Book Antiqua" w:hAnsi="Book Antiqua" w:cs="宋体"/>
          <w:color w:val="000000"/>
          <w:sz w:val="24"/>
          <w:szCs w:val="24"/>
          <w:lang w:eastAsia="zh-CN"/>
        </w:rPr>
        <w:t xml:space="preserve"> T, Watts NB, Yoshimura N. The use of clinical risk factors enhances the performance of BMD in the prediction of hip and osteoporotic fractures in men and women. </w:t>
      </w:r>
      <w:proofErr w:type="spellStart"/>
      <w:r w:rsidRPr="002A342B">
        <w:rPr>
          <w:rFonts w:ascii="Book Antiqua" w:hAnsi="Book Antiqua" w:cs="宋体"/>
          <w:i/>
          <w:iCs/>
          <w:color w:val="000000"/>
          <w:sz w:val="24"/>
          <w:szCs w:val="24"/>
          <w:lang w:eastAsia="zh-CN"/>
        </w:rPr>
        <w:t>Osteoporos</w:t>
      </w:r>
      <w:proofErr w:type="spellEnd"/>
      <w:r w:rsidRPr="002A342B">
        <w:rPr>
          <w:rFonts w:ascii="Book Antiqua" w:hAnsi="Book Antiqua" w:cs="宋体"/>
          <w:i/>
          <w:iCs/>
          <w:color w:val="000000"/>
          <w:sz w:val="24"/>
          <w:szCs w:val="24"/>
          <w:lang w:eastAsia="zh-CN"/>
        </w:rPr>
        <w:t xml:space="preserve"> </w:t>
      </w:r>
      <w:proofErr w:type="spellStart"/>
      <w:r w:rsidRPr="002A342B">
        <w:rPr>
          <w:rFonts w:ascii="Book Antiqua" w:hAnsi="Book Antiqua" w:cs="宋体"/>
          <w:i/>
          <w:iCs/>
          <w:color w:val="000000"/>
          <w:sz w:val="24"/>
          <w:szCs w:val="24"/>
          <w:lang w:eastAsia="zh-CN"/>
        </w:rPr>
        <w:t>Int</w:t>
      </w:r>
      <w:proofErr w:type="spellEnd"/>
      <w:r w:rsidRPr="002A342B">
        <w:rPr>
          <w:rFonts w:ascii="Book Antiqua" w:hAnsi="Book Antiqua" w:cs="宋体"/>
          <w:color w:val="000000"/>
          <w:sz w:val="24"/>
          <w:szCs w:val="24"/>
          <w:lang w:eastAsia="zh-CN"/>
        </w:rPr>
        <w:t> 2007; </w:t>
      </w:r>
      <w:r w:rsidRPr="002A342B">
        <w:rPr>
          <w:rFonts w:ascii="Book Antiqua" w:hAnsi="Book Antiqua" w:cs="宋体"/>
          <w:b/>
          <w:bCs/>
          <w:color w:val="000000"/>
          <w:sz w:val="24"/>
          <w:szCs w:val="24"/>
          <w:lang w:eastAsia="zh-CN"/>
        </w:rPr>
        <w:t>18</w:t>
      </w:r>
      <w:r w:rsidRPr="002A342B">
        <w:rPr>
          <w:rFonts w:ascii="Book Antiqua" w:hAnsi="Book Antiqua" w:cs="宋体"/>
          <w:color w:val="000000"/>
          <w:sz w:val="24"/>
          <w:szCs w:val="24"/>
          <w:lang w:eastAsia="zh-CN"/>
        </w:rPr>
        <w:t>: 1033-1046 [PMID: 17323110]</w:t>
      </w:r>
    </w:p>
    <w:p w:rsidR="002A342B" w:rsidRPr="002A342B" w:rsidRDefault="002A342B" w:rsidP="002A342B">
      <w:pPr>
        <w:spacing w:line="360" w:lineRule="auto"/>
        <w:jc w:val="both"/>
        <w:rPr>
          <w:rFonts w:ascii="Book Antiqua" w:hAnsi="Book Antiqua" w:cs="宋体"/>
          <w:color w:val="000000"/>
          <w:sz w:val="24"/>
          <w:szCs w:val="24"/>
          <w:lang w:eastAsia="zh-CN"/>
        </w:rPr>
      </w:pPr>
      <w:proofErr w:type="gramStart"/>
      <w:r w:rsidRPr="002A342B">
        <w:rPr>
          <w:rFonts w:ascii="Book Antiqua" w:hAnsi="Book Antiqua" w:cs="宋体"/>
          <w:color w:val="000000"/>
          <w:sz w:val="24"/>
          <w:szCs w:val="24"/>
          <w:lang w:eastAsia="zh-CN"/>
        </w:rPr>
        <w:t>5 </w:t>
      </w:r>
      <w:r w:rsidRPr="002A342B">
        <w:rPr>
          <w:rFonts w:ascii="Book Antiqua" w:hAnsi="Book Antiqua" w:cs="宋体"/>
          <w:b/>
          <w:bCs/>
          <w:color w:val="000000"/>
          <w:sz w:val="24"/>
          <w:szCs w:val="24"/>
          <w:lang w:eastAsia="zh-CN"/>
        </w:rPr>
        <w:t>Leslie WD</w:t>
      </w:r>
      <w:r w:rsidRPr="002A342B">
        <w:rPr>
          <w:rFonts w:ascii="Book Antiqua" w:hAnsi="Book Antiqua" w:cs="宋体"/>
          <w:color w:val="000000"/>
          <w:sz w:val="24"/>
          <w:szCs w:val="24"/>
          <w:lang w:eastAsia="zh-CN"/>
        </w:rPr>
        <w:t xml:space="preserve">, Morin S, </w:t>
      </w:r>
      <w:proofErr w:type="spellStart"/>
      <w:r w:rsidRPr="002A342B">
        <w:rPr>
          <w:rFonts w:ascii="Book Antiqua" w:hAnsi="Book Antiqua" w:cs="宋体"/>
          <w:color w:val="000000"/>
          <w:sz w:val="24"/>
          <w:szCs w:val="24"/>
          <w:lang w:eastAsia="zh-CN"/>
        </w:rPr>
        <w:t>Lix</w:t>
      </w:r>
      <w:proofErr w:type="spellEnd"/>
      <w:r w:rsidRPr="002A342B">
        <w:rPr>
          <w:rFonts w:ascii="Book Antiqua" w:hAnsi="Book Antiqua" w:cs="宋体"/>
          <w:color w:val="000000"/>
          <w:sz w:val="24"/>
          <w:szCs w:val="24"/>
          <w:lang w:eastAsia="zh-CN"/>
        </w:rPr>
        <w:t xml:space="preserve"> LM.</w:t>
      </w:r>
      <w:proofErr w:type="gramEnd"/>
      <w:r w:rsidRPr="002A342B">
        <w:rPr>
          <w:rFonts w:ascii="Book Antiqua" w:hAnsi="Book Antiqua" w:cs="宋体"/>
          <w:color w:val="000000"/>
          <w:sz w:val="24"/>
          <w:szCs w:val="24"/>
          <w:lang w:eastAsia="zh-CN"/>
        </w:rPr>
        <w:t xml:space="preserve"> </w:t>
      </w:r>
      <w:proofErr w:type="gramStart"/>
      <w:r w:rsidRPr="002A342B">
        <w:rPr>
          <w:rFonts w:ascii="Book Antiqua" w:hAnsi="Book Antiqua" w:cs="宋体"/>
          <w:color w:val="000000"/>
          <w:sz w:val="24"/>
          <w:szCs w:val="24"/>
          <w:lang w:eastAsia="zh-CN"/>
        </w:rPr>
        <w:t>A before-and-after study of fracture risk reporting and osteoporosis treatment initiation.</w:t>
      </w:r>
      <w:proofErr w:type="gramEnd"/>
      <w:r w:rsidRPr="002A342B">
        <w:rPr>
          <w:rFonts w:ascii="Book Antiqua" w:hAnsi="Book Antiqua" w:cs="宋体"/>
          <w:color w:val="000000"/>
          <w:sz w:val="24"/>
          <w:szCs w:val="24"/>
          <w:lang w:eastAsia="zh-CN"/>
        </w:rPr>
        <w:t> </w:t>
      </w:r>
      <w:r w:rsidRPr="002A342B">
        <w:rPr>
          <w:rFonts w:ascii="Book Antiqua" w:hAnsi="Book Antiqua" w:cs="宋体"/>
          <w:i/>
          <w:iCs/>
          <w:color w:val="000000"/>
          <w:sz w:val="24"/>
          <w:szCs w:val="24"/>
          <w:lang w:eastAsia="zh-CN"/>
        </w:rPr>
        <w:t>Ann Intern Med</w:t>
      </w:r>
      <w:r w:rsidRPr="002A342B">
        <w:rPr>
          <w:rFonts w:ascii="Book Antiqua" w:hAnsi="Book Antiqua" w:cs="宋体"/>
          <w:color w:val="000000"/>
          <w:sz w:val="24"/>
          <w:szCs w:val="24"/>
          <w:lang w:eastAsia="zh-CN"/>
        </w:rPr>
        <w:t> 2010; </w:t>
      </w:r>
      <w:r w:rsidRPr="002A342B">
        <w:rPr>
          <w:rFonts w:ascii="Book Antiqua" w:hAnsi="Book Antiqua" w:cs="宋体"/>
          <w:b/>
          <w:bCs/>
          <w:color w:val="000000"/>
          <w:sz w:val="24"/>
          <w:szCs w:val="24"/>
          <w:lang w:eastAsia="zh-CN"/>
        </w:rPr>
        <w:t>153</w:t>
      </w:r>
      <w:r w:rsidRPr="002A342B">
        <w:rPr>
          <w:rFonts w:ascii="Book Antiqua" w:hAnsi="Book Antiqua" w:cs="宋体"/>
          <w:color w:val="000000"/>
          <w:sz w:val="24"/>
          <w:szCs w:val="24"/>
          <w:lang w:eastAsia="zh-CN"/>
        </w:rPr>
        <w:t>: 580-586 [PMID: 21041577 DOI: 10.7326/0003-4819-153-9-201011020-00007]</w:t>
      </w:r>
    </w:p>
    <w:p w:rsidR="002A342B" w:rsidRPr="002A342B" w:rsidRDefault="002A342B" w:rsidP="002A342B">
      <w:pPr>
        <w:spacing w:line="360" w:lineRule="auto"/>
        <w:jc w:val="both"/>
        <w:rPr>
          <w:rFonts w:ascii="Book Antiqua" w:hAnsi="Book Antiqua" w:cs="宋体"/>
          <w:color w:val="000000"/>
          <w:sz w:val="24"/>
          <w:szCs w:val="24"/>
          <w:lang w:eastAsia="zh-CN"/>
        </w:rPr>
      </w:pPr>
      <w:r w:rsidRPr="002A342B">
        <w:rPr>
          <w:rFonts w:ascii="Book Antiqua" w:hAnsi="Book Antiqua" w:cs="宋体"/>
          <w:color w:val="000000"/>
          <w:sz w:val="24"/>
          <w:szCs w:val="24"/>
          <w:lang w:eastAsia="zh-CN"/>
        </w:rPr>
        <w:t>6 </w:t>
      </w:r>
      <w:r w:rsidRPr="002A342B">
        <w:rPr>
          <w:rFonts w:ascii="Book Antiqua" w:hAnsi="Book Antiqua" w:cs="宋体"/>
          <w:b/>
          <w:bCs/>
          <w:color w:val="000000"/>
          <w:sz w:val="24"/>
          <w:szCs w:val="24"/>
          <w:lang w:eastAsia="zh-CN"/>
        </w:rPr>
        <w:t>Cummings SR</w:t>
      </w:r>
      <w:r w:rsidRPr="002A342B">
        <w:rPr>
          <w:rFonts w:ascii="Book Antiqua" w:hAnsi="Book Antiqua" w:cs="宋体"/>
          <w:color w:val="000000"/>
          <w:sz w:val="24"/>
          <w:szCs w:val="24"/>
          <w:lang w:eastAsia="zh-CN"/>
        </w:rPr>
        <w:t xml:space="preserve">, </w:t>
      </w:r>
      <w:proofErr w:type="spellStart"/>
      <w:r w:rsidRPr="002A342B">
        <w:rPr>
          <w:rFonts w:ascii="Book Antiqua" w:hAnsi="Book Antiqua" w:cs="宋体"/>
          <w:color w:val="000000"/>
          <w:sz w:val="24"/>
          <w:szCs w:val="24"/>
          <w:lang w:eastAsia="zh-CN"/>
        </w:rPr>
        <w:t>Karpf</w:t>
      </w:r>
      <w:proofErr w:type="spellEnd"/>
      <w:r w:rsidRPr="002A342B">
        <w:rPr>
          <w:rFonts w:ascii="Book Antiqua" w:hAnsi="Book Antiqua" w:cs="宋体"/>
          <w:color w:val="000000"/>
          <w:sz w:val="24"/>
          <w:szCs w:val="24"/>
          <w:lang w:eastAsia="zh-CN"/>
        </w:rPr>
        <w:t xml:space="preserve"> DB, Harris F, </w:t>
      </w:r>
      <w:proofErr w:type="spellStart"/>
      <w:r w:rsidRPr="002A342B">
        <w:rPr>
          <w:rFonts w:ascii="Book Antiqua" w:hAnsi="Book Antiqua" w:cs="宋体"/>
          <w:color w:val="000000"/>
          <w:sz w:val="24"/>
          <w:szCs w:val="24"/>
          <w:lang w:eastAsia="zh-CN"/>
        </w:rPr>
        <w:t>Genant</w:t>
      </w:r>
      <w:proofErr w:type="spellEnd"/>
      <w:r w:rsidRPr="002A342B">
        <w:rPr>
          <w:rFonts w:ascii="Book Antiqua" w:hAnsi="Book Antiqua" w:cs="宋体"/>
          <w:color w:val="000000"/>
          <w:sz w:val="24"/>
          <w:szCs w:val="24"/>
          <w:lang w:eastAsia="zh-CN"/>
        </w:rPr>
        <w:t xml:space="preserve"> HK, </w:t>
      </w:r>
      <w:proofErr w:type="spellStart"/>
      <w:r w:rsidRPr="002A342B">
        <w:rPr>
          <w:rFonts w:ascii="Book Antiqua" w:hAnsi="Book Antiqua" w:cs="宋体"/>
          <w:color w:val="000000"/>
          <w:sz w:val="24"/>
          <w:szCs w:val="24"/>
          <w:lang w:eastAsia="zh-CN"/>
        </w:rPr>
        <w:t>Ensrud</w:t>
      </w:r>
      <w:proofErr w:type="spellEnd"/>
      <w:r w:rsidRPr="002A342B">
        <w:rPr>
          <w:rFonts w:ascii="Book Antiqua" w:hAnsi="Book Antiqua" w:cs="宋体"/>
          <w:color w:val="000000"/>
          <w:sz w:val="24"/>
          <w:szCs w:val="24"/>
          <w:lang w:eastAsia="zh-CN"/>
        </w:rPr>
        <w:t xml:space="preserve"> K, </w:t>
      </w:r>
      <w:proofErr w:type="spellStart"/>
      <w:r w:rsidRPr="002A342B">
        <w:rPr>
          <w:rFonts w:ascii="Book Antiqua" w:hAnsi="Book Antiqua" w:cs="宋体"/>
          <w:color w:val="000000"/>
          <w:sz w:val="24"/>
          <w:szCs w:val="24"/>
          <w:lang w:eastAsia="zh-CN"/>
        </w:rPr>
        <w:t>LaCroix</w:t>
      </w:r>
      <w:proofErr w:type="spellEnd"/>
      <w:r w:rsidRPr="002A342B">
        <w:rPr>
          <w:rFonts w:ascii="Book Antiqua" w:hAnsi="Book Antiqua" w:cs="宋体"/>
          <w:color w:val="000000"/>
          <w:sz w:val="24"/>
          <w:szCs w:val="24"/>
          <w:lang w:eastAsia="zh-CN"/>
        </w:rPr>
        <w:t xml:space="preserve"> AZ, Black DM. Improvement in spine bone density and reduction in risk of vertebral fractures during treatment with </w:t>
      </w:r>
      <w:proofErr w:type="spellStart"/>
      <w:r w:rsidRPr="002A342B">
        <w:rPr>
          <w:rFonts w:ascii="Book Antiqua" w:hAnsi="Book Antiqua" w:cs="宋体"/>
          <w:color w:val="000000"/>
          <w:sz w:val="24"/>
          <w:szCs w:val="24"/>
          <w:lang w:eastAsia="zh-CN"/>
        </w:rPr>
        <w:t>antiresorptive</w:t>
      </w:r>
      <w:proofErr w:type="spellEnd"/>
      <w:r w:rsidRPr="002A342B">
        <w:rPr>
          <w:rFonts w:ascii="Book Antiqua" w:hAnsi="Book Antiqua" w:cs="宋体"/>
          <w:color w:val="000000"/>
          <w:sz w:val="24"/>
          <w:szCs w:val="24"/>
          <w:lang w:eastAsia="zh-CN"/>
        </w:rPr>
        <w:t xml:space="preserve"> drugs. </w:t>
      </w:r>
      <w:r w:rsidRPr="002A342B">
        <w:rPr>
          <w:rFonts w:ascii="Book Antiqua" w:hAnsi="Book Antiqua" w:cs="宋体"/>
          <w:i/>
          <w:iCs/>
          <w:color w:val="000000"/>
          <w:sz w:val="24"/>
          <w:szCs w:val="24"/>
          <w:lang w:eastAsia="zh-CN"/>
        </w:rPr>
        <w:t>Am J Med</w:t>
      </w:r>
      <w:r w:rsidRPr="002A342B">
        <w:rPr>
          <w:rFonts w:ascii="Book Antiqua" w:hAnsi="Book Antiqua" w:cs="宋体"/>
          <w:color w:val="000000"/>
          <w:sz w:val="24"/>
          <w:szCs w:val="24"/>
          <w:lang w:eastAsia="zh-CN"/>
        </w:rPr>
        <w:t> 2002; </w:t>
      </w:r>
      <w:r w:rsidRPr="002A342B">
        <w:rPr>
          <w:rFonts w:ascii="Book Antiqua" w:hAnsi="Book Antiqua" w:cs="宋体"/>
          <w:b/>
          <w:bCs/>
          <w:color w:val="000000"/>
          <w:sz w:val="24"/>
          <w:szCs w:val="24"/>
          <w:lang w:eastAsia="zh-CN"/>
        </w:rPr>
        <w:t>112</w:t>
      </w:r>
      <w:r w:rsidRPr="002A342B">
        <w:rPr>
          <w:rFonts w:ascii="Book Antiqua" w:hAnsi="Book Antiqua" w:cs="宋体"/>
          <w:color w:val="000000"/>
          <w:sz w:val="24"/>
          <w:szCs w:val="24"/>
          <w:lang w:eastAsia="zh-CN"/>
        </w:rPr>
        <w:t>: 281-289 [PMID: 11893367]</w:t>
      </w:r>
    </w:p>
    <w:p w:rsidR="002A342B" w:rsidRPr="002A342B" w:rsidRDefault="002A342B" w:rsidP="002A342B">
      <w:pPr>
        <w:spacing w:line="360" w:lineRule="auto"/>
        <w:jc w:val="both"/>
        <w:rPr>
          <w:rFonts w:ascii="Book Antiqua" w:hAnsi="Book Antiqua" w:cs="宋体"/>
          <w:color w:val="000000"/>
          <w:sz w:val="24"/>
          <w:szCs w:val="24"/>
          <w:lang w:eastAsia="zh-CN"/>
        </w:rPr>
      </w:pPr>
      <w:proofErr w:type="gramStart"/>
      <w:r w:rsidRPr="002A342B">
        <w:rPr>
          <w:rFonts w:ascii="Book Antiqua" w:hAnsi="Book Antiqua" w:cs="宋体"/>
          <w:color w:val="000000"/>
          <w:sz w:val="24"/>
          <w:szCs w:val="24"/>
          <w:lang w:eastAsia="zh-CN"/>
        </w:rPr>
        <w:t>7 </w:t>
      </w:r>
      <w:proofErr w:type="spellStart"/>
      <w:r w:rsidRPr="002A342B">
        <w:rPr>
          <w:rFonts w:ascii="Book Antiqua" w:hAnsi="Book Antiqua" w:cs="宋体"/>
          <w:b/>
          <w:bCs/>
          <w:color w:val="000000"/>
          <w:sz w:val="24"/>
          <w:szCs w:val="24"/>
          <w:lang w:eastAsia="zh-CN"/>
        </w:rPr>
        <w:t>Seeman</w:t>
      </w:r>
      <w:proofErr w:type="spellEnd"/>
      <w:r w:rsidRPr="002A342B">
        <w:rPr>
          <w:rFonts w:ascii="Book Antiqua" w:hAnsi="Book Antiqua" w:cs="宋体"/>
          <w:b/>
          <w:bCs/>
          <w:color w:val="000000"/>
          <w:sz w:val="24"/>
          <w:szCs w:val="24"/>
          <w:lang w:eastAsia="zh-CN"/>
        </w:rPr>
        <w:t xml:space="preserve"> E</w:t>
      </w:r>
      <w:r w:rsidRPr="002A342B">
        <w:rPr>
          <w:rFonts w:ascii="Book Antiqua" w:hAnsi="Book Antiqua" w:cs="宋体"/>
          <w:color w:val="000000"/>
          <w:sz w:val="24"/>
          <w:szCs w:val="24"/>
          <w:lang w:eastAsia="zh-CN"/>
        </w:rPr>
        <w:t>.</w:t>
      </w:r>
      <w:proofErr w:type="gramEnd"/>
      <w:r w:rsidRPr="002A342B">
        <w:rPr>
          <w:rFonts w:ascii="Book Antiqua" w:hAnsi="Book Antiqua" w:cs="宋体"/>
          <w:color w:val="000000"/>
          <w:sz w:val="24"/>
          <w:szCs w:val="24"/>
          <w:lang w:eastAsia="zh-CN"/>
        </w:rPr>
        <w:t xml:space="preserve"> Is a change in bone mineral density a sensitive and specific surrogate of anti-fracture efficacy? </w:t>
      </w:r>
      <w:r w:rsidRPr="002A342B">
        <w:rPr>
          <w:rFonts w:ascii="Book Antiqua" w:hAnsi="Book Antiqua" w:cs="宋体"/>
          <w:i/>
          <w:iCs/>
          <w:color w:val="000000"/>
          <w:sz w:val="24"/>
          <w:szCs w:val="24"/>
          <w:lang w:eastAsia="zh-CN"/>
        </w:rPr>
        <w:t>Bone</w:t>
      </w:r>
      <w:r w:rsidRPr="002A342B">
        <w:rPr>
          <w:rFonts w:ascii="Book Antiqua" w:hAnsi="Book Antiqua" w:cs="宋体"/>
          <w:color w:val="000000"/>
          <w:sz w:val="24"/>
          <w:szCs w:val="24"/>
          <w:lang w:eastAsia="zh-CN"/>
        </w:rPr>
        <w:t> 2007; </w:t>
      </w:r>
      <w:r w:rsidRPr="002A342B">
        <w:rPr>
          <w:rFonts w:ascii="Book Antiqua" w:hAnsi="Book Antiqua" w:cs="宋体"/>
          <w:b/>
          <w:bCs/>
          <w:color w:val="000000"/>
          <w:sz w:val="24"/>
          <w:szCs w:val="24"/>
          <w:lang w:eastAsia="zh-CN"/>
        </w:rPr>
        <w:t>41</w:t>
      </w:r>
      <w:r w:rsidRPr="002A342B">
        <w:rPr>
          <w:rFonts w:ascii="Book Antiqua" w:hAnsi="Book Antiqua" w:cs="宋体"/>
          <w:color w:val="000000"/>
          <w:sz w:val="24"/>
          <w:szCs w:val="24"/>
          <w:lang w:eastAsia="zh-CN"/>
        </w:rPr>
        <w:t>: 308-317 [PMID: 17644058]</w:t>
      </w:r>
    </w:p>
    <w:p w:rsidR="002A342B" w:rsidRPr="002A342B" w:rsidRDefault="002A342B" w:rsidP="002A342B">
      <w:pPr>
        <w:spacing w:line="360" w:lineRule="auto"/>
        <w:jc w:val="both"/>
        <w:rPr>
          <w:rFonts w:ascii="Book Antiqua" w:hAnsi="Book Antiqua" w:cs="宋体"/>
          <w:color w:val="000000"/>
          <w:sz w:val="24"/>
          <w:szCs w:val="24"/>
          <w:lang w:eastAsia="zh-CN"/>
        </w:rPr>
      </w:pPr>
      <w:r w:rsidRPr="002A342B">
        <w:rPr>
          <w:rFonts w:ascii="Book Antiqua" w:hAnsi="Book Antiqua" w:cs="宋体"/>
          <w:color w:val="000000"/>
          <w:sz w:val="24"/>
          <w:szCs w:val="24"/>
          <w:lang w:eastAsia="zh-CN"/>
        </w:rPr>
        <w:t>8 </w:t>
      </w:r>
      <w:proofErr w:type="spellStart"/>
      <w:r w:rsidRPr="002A342B">
        <w:rPr>
          <w:rFonts w:ascii="Book Antiqua" w:hAnsi="Book Antiqua" w:cs="宋体"/>
          <w:b/>
          <w:bCs/>
          <w:color w:val="000000"/>
          <w:sz w:val="24"/>
          <w:szCs w:val="24"/>
          <w:lang w:eastAsia="zh-CN"/>
        </w:rPr>
        <w:t>Rossouw</w:t>
      </w:r>
      <w:proofErr w:type="spellEnd"/>
      <w:r w:rsidRPr="002A342B">
        <w:rPr>
          <w:rFonts w:ascii="Book Antiqua" w:hAnsi="Book Antiqua" w:cs="宋体"/>
          <w:b/>
          <w:bCs/>
          <w:color w:val="000000"/>
          <w:sz w:val="24"/>
          <w:szCs w:val="24"/>
          <w:lang w:eastAsia="zh-CN"/>
        </w:rPr>
        <w:t xml:space="preserve"> JE</w:t>
      </w:r>
      <w:r w:rsidRPr="002A342B">
        <w:rPr>
          <w:rFonts w:ascii="Book Antiqua" w:hAnsi="Book Antiqua" w:cs="宋体"/>
          <w:color w:val="000000"/>
          <w:sz w:val="24"/>
          <w:szCs w:val="24"/>
          <w:lang w:eastAsia="zh-CN"/>
        </w:rPr>
        <w:t xml:space="preserve">, Anderson GL, Prentice RL, </w:t>
      </w:r>
      <w:proofErr w:type="spellStart"/>
      <w:r w:rsidRPr="002A342B">
        <w:rPr>
          <w:rFonts w:ascii="Book Antiqua" w:hAnsi="Book Antiqua" w:cs="宋体"/>
          <w:color w:val="000000"/>
          <w:sz w:val="24"/>
          <w:szCs w:val="24"/>
          <w:lang w:eastAsia="zh-CN"/>
        </w:rPr>
        <w:t>LaCroix</w:t>
      </w:r>
      <w:proofErr w:type="spellEnd"/>
      <w:r w:rsidRPr="002A342B">
        <w:rPr>
          <w:rFonts w:ascii="Book Antiqua" w:hAnsi="Book Antiqua" w:cs="宋体"/>
          <w:color w:val="000000"/>
          <w:sz w:val="24"/>
          <w:szCs w:val="24"/>
          <w:lang w:eastAsia="zh-CN"/>
        </w:rPr>
        <w:t xml:space="preserve"> AZ, </w:t>
      </w:r>
      <w:proofErr w:type="spellStart"/>
      <w:r w:rsidRPr="002A342B">
        <w:rPr>
          <w:rFonts w:ascii="Book Antiqua" w:hAnsi="Book Antiqua" w:cs="宋体"/>
          <w:color w:val="000000"/>
          <w:sz w:val="24"/>
          <w:szCs w:val="24"/>
          <w:lang w:eastAsia="zh-CN"/>
        </w:rPr>
        <w:t>Kooperberg</w:t>
      </w:r>
      <w:proofErr w:type="spellEnd"/>
      <w:r w:rsidRPr="002A342B">
        <w:rPr>
          <w:rFonts w:ascii="Book Antiqua" w:hAnsi="Book Antiqua" w:cs="宋体"/>
          <w:color w:val="000000"/>
          <w:sz w:val="24"/>
          <w:szCs w:val="24"/>
          <w:lang w:eastAsia="zh-CN"/>
        </w:rPr>
        <w:t xml:space="preserve"> C, </w:t>
      </w:r>
      <w:proofErr w:type="spellStart"/>
      <w:r w:rsidRPr="002A342B">
        <w:rPr>
          <w:rFonts w:ascii="Book Antiqua" w:hAnsi="Book Antiqua" w:cs="宋体"/>
          <w:color w:val="000000"/>
          <w:sz w:val="24"/>
          <w:szCs w:val="24"/>
          <w:lang w:eastAsia="zh-CN"/>
        </w:rPr>
        <w:t>Stefanick</w:t>
      </w:r>
      <w:proofErr w:type="spellEnd"/>
      <w:r w:rsidRPr="002A342B">
        <w:rPr>
          <w:rFonts w:ascii="Book Antiqua" w:hAnsi="Book Antiqua" w:cs="宋体"/>
          <w:color w:val="000000"/>
          <w:sz w:val="24"/>
          <w:szCs w:val="24"/>
          <w:lang w:eastAsia="zh-CN"/>
        </w:rPr>
        <w:t xml:space="preserve"> ML, Jackson RD, Beresford SA, Howard BV, Johnson KC, </w:t>
      </w:r>
      <w:proofErr w:type="spellStart"/>
      <w:r w:rsidRPr="002A342B">
        <w:rPr>
          <w:rFonts w:ascii="Book Antiqua" w:hAnsi="Book Antiqua" w:cs="宋体"/>
          <w:color w:val="000000"/>
          <w:sz w:val="24"/>
          <w:szCs w:val="24"/>
          <w:lang w:eastAsia="zh-CN"/>
        </w:rPr>
        <w:t>Kotchen</w:t>
      </w:r>
      <w:proofErr w:type="spellEnd"/>
      <w:r w:rsidRPr="002A342B">
        <w:rPr>
          <w:rFonts w:ascii="Book Antiqua" w:hAnsi="Book Antiqua" w:cs="宋体"/>
          <w:color w:val="000000"/>
          <w:sz w:val="24"/>
          <w:szCs w:val="24"/>
          <w:lang w:eastAsia="zh-CN"/>
        </w:rPr>
        <w:t xml:space="preserve"> JM, </w:t>
      </w:r>
      <w:proofErr w:type="spellStart"/>
      <w:r w:rsidRPr="002A342B">
        <w:rPr>
          <w:rFonts w:ascii="Book Antiqua" w:hAnsi="Book Antiqua" w:cs="宋体"/>
          <w:color w:val="000000"/>
          <w:sz w:val="24"/>
          <w:szCs w:val="24"/>
          <w:lang w:eastAsia="zh-CN"/>
        </w:rPr>
        <w:t>Ockene</w:t>
      </w:r>
      <w:proofErr w:type="spellEnd"/>
      <w:r w:rsidRPr="002A342B">
        <w:rPr>
          <w:rFonts w:ascii="Book Antiqua" w:hAnsi="Book Antiqua" w:cs="宋体"/>
          <w:color w:val="000000"/>
          <w:sz w:val="24"/>
          <w:szCs w:val="24"/>
          <w:lang w:eastAsia="zh-CN"/>
        </w:rPr>
        <w:t xml:space="preserve"> J. Risks and benefits of estrogen plus progestin in healthy postmenopausal women: principal results From the Women's Health Initiative randomized controlled trial. </w:t>
      </w:r>
      <w:r w:rsidRPr="002A342B">
        <w:rPr>
          <w:rFonts w:ascii="Book Antiqua" w:hAnsi="Book Antiqua" w:cs="宋体"/>
          <w:i/>
          <w:iCs/>
          <w:color w:val="000000"/>
          <w:sz w:val="24"/>
          <w:szCs w:val="24"/>
          <w:lang w:eastAsia="zh-CN"/>
        </w:rPr>
        <w:t>JAMA</w:t>
      </w:r>
      <w:r w:rsidRPr="002A342B">
        <w:rPr>
          <w:rFonts w:ascii="Book Antiqua" w:hAnsi="Book Antiqua" w:cs="宋体"/>
          <w:color w:val="000000"/>
          <w:sz w:val="24"/>
          <w:szCs w:val="24"/>
          <w:lang w:eastAsia="zh-CN"/>
        </w:rPr>
        <w:t> 2002; </w:t>
      </w:r>
      <w:r w:rsidRPr="002A342B">
        <w:rPr>
          <w:rFonts w:ascii="Book Antiqua" w:hAnsi="Book Antiqua" w:cs="宋体"/>
          <w:b/>
          <w:bCs/>
          <w:color w:val="000000"/>
          <w:sz w:val="24"/>
          <w:szCs w:val="24"/>
          <w:lang w:eastAsia="zh-CN"/>
        </w:rPr>
        <w:t>288</w:t>
      </w:r>
      <w:r w:rsidRPr="002A342B">
        <w:rPr>
          <w:rFonts w:ascii="Book Antiqua" w:hAnsi="Book Antiqua" w:cs="宋体"/>
          <w:color w:val="000000"/>
          <w:sz w:val="24"/>
          <w:szCs w:val="24"/>
          <w:lang w:eastAsia="zh-CN"/>
        </w:rPr>
        <w:t>: 321-333 [PMID: 12117397]</w:t>
      </w:r>
    </w:p>
    <w:p w:rsidR="002A342B" w:rsidRPr="002A342B" w:rsidRDefault="002A342B" w:rsidP="002A342B">
      <w:pPr>
        <w:spacing w:line="360" w:lineRule="auto"/>
        <w:jc w:val="both"/>
        <w:rPr>
          <w:rFonts w:ascii="Book Antiqua" w:hAnsi="Book Antiqua" w:cs="宋体"/>
          <w:color w:val="000000"/>
          <w:sz w:val="24"/>
          <w:szCs w:val="24"/>
          <w:lang w:eastAsia="zh-CN"/>
        </w:rPr>
      </w:pPr>
      <w:proofErr w:type="gramStart"/>
      <w:r w:rsidRPr="002A342B">
        <w:rPr>
          <w:rFonts w:ascii="Book Antiqua" w:hAnsi="Book Antiqua" w:cs="宋体"/>
          <w:color w:val="000000"/>
          <w:sz w:val="24"/>
          <w:szCs w:val="24"/>
          <w:lang w:eastAsia="zh-CN"/>
        </w:rPr>
        <w:t xml:space="preserve">9 </w:t>
      </w:r>
      <w:r w:rsidRPr="002A342B">
        <w:rPr>
          <w:rFonts w:ascii="Book Antiqua" w:hAnsi="Book Antiqua" w:cs="宋体"/>
          <w:b/>
          <w:color w:val="000000"/>
          <w:sz w:val="24"/>
          <w:szCs w:val="24"/>
          <w:lang w:eastAsia="zh-CN"/>
        </w:rPr>
        <w:t>National Osteoporosis Foundation guidelines.</w:t>
      </w:r>
      <w:proofErr w:type="gramEnd"/>
      <w:r w:rsidRPr="002A342B">
        <w:rPr>
          <w:rFonts w:ascii="Book Antiqua" w:hAnsi="Book Antiqua" w:cs="宋体"/>
          <w:b/>
          <w:color w:val="000000"/>
          <w:sz w:val="24"/>
          <w:szCs w:val="24"/>
          <w:lang w:eastAsia="zh-CN"/>
        </w:rPr>
        <w:t xml:space="preserve"> </w:t>
      </w:r>
      <w:proofErr w:type="gramStart"/>
      <w:r w:rsidRPr="002A342B">
        <w:rPr>
          <w:rFonts w:ascii="Book Antiqua" w:hAnsi="Book Antiqua" w:cs="宋体"/>
          <w:color w:val="000000"/>
          <w:sz w:val="24"/>
          <w:szCs w:val="24"/>
          <w:lang w:eastAsia="zh-CN"/>
        </w:rPr>
        <w:t>Clinician guide to prevention and treatment of osteoporosis.</w:t>
      </w:r>
      <w:proofErr w:type="gramEnd"/>
      <w:r w:rsidRPr="002A342B">
        <w:rPr>
          <w:rFonts w:ascii="Book Antiqua" w:hAnsi="Book Antiqua" w:cs="宋体"/>
          <w:color w:val="000000"/>
          <w:sz w:val="24"/>
          <w:szCs w:val="24"/>
          <w:lang w:eastAsia="zh-CN"/>
        </w:rPr>
        <w:t xml:space="preserve"> </w:t>
      </w:r>
      <w:proofErr w:type="gramStart"/>
      <w:r w:rsidRPr="002A342B">
        <w:rPr>
          <w:rFonts w:ascii="Book Antiqua" w:hAnsi="Book Antiqua" w:cs="宋体"/>
          <w:color w:val="000000"/>
          <w:sz w:val="24"/>
          <w:szCs w:val="24"/>
          <w:lang w:eastAsia="zh-CN"/>
        </w:rPr>
        <w:t>http</w:t>
      </w:r>
      <w:proofErr w:type="gramEnd"/>
      <w:r w:rsidRPr="002A342B">
        <w:rPr>
          <w:rFonts w:ascii="Book Antiqua" w:hAnsi="Book Antiqua" w:cs="宋体"/>
          <w:color w:val="000000"/>
          <w:sz w:val="24"/>
          <w:szCs w:val="24"/>
          <w:lang w:eastAsia="zh-CN"/>
        </w:rPr>
        <w:t>: //nof.org/files/</w:t>
      </w:r>
      <w:proofErr w:type="spellStart"/>
      <w:r w:rsidRPr="002A342B">
        <w:rPr>
          <w:rFonts w:ascii="Book Antiqua" w:hAnsi="Book Antiqua" w:cs="宋体"/>
          <w:color w:val="000000"/>
          <w:sz w:val="24"/>
          <w:szCs w:val="24"/>
          <w:lang w:eastAsia="zh-CN"/>
        </w:rPr>
        <w:t>nof</w:t>
      </w:r>
      <w:proofErr w:type="spellEnd"/>
      <w:r w:rsidRPr="002A342B">
        <w:rPr>
          <w:rFonts w:ascii="Book Antiqua" w:hAnsi="Book Antiqua" w:cs="宋体"/>
          <w:color w:val="000000"/>
          <w:sz w:val="24"/>
          <w:szCs w:val="24"/>
          <w:lang w:eastAsia="zh-CN"/>
        </w:rPr>
        <w:t>/public/content/file/950/upload/523.pdf</w:t>
      </w:r>
    </w:p>
    <w:p w:rsidR="002A342B" w:rsidRPr="002A342B" w:rsidRDefault="002A342B" w:rsidP="002A342B">
      <w:pPr>
        <w:spacing w:line="360" w:lineRule="auto"/>
        <w:jc w:val="both"/>
        <w:rPr>
          <w:rFonts w:ascii="Book Antiqua" w:hAnsi="Book Antiqua" w:cs="宋体"/>
          <w:color w:val="000000"/>
          <w:sz w:val="24"/>
          <w:szCs w:val="24"/>
          <w:lang w:eastAsia="zh-CN"/>
        </w:rPr>
      </w:pPr>
      <w:r w:rsidRPr="002A342B">
        <w:rPr>
          <w:rFonts w:ascii="Book Antiqua" w:hAnsi="Book Antiqua" w:cs="宋体"/>
          <w:color w:val="000000"/>
          <w:sz w:val="24"/>
          <w:szCs w:val="24"/>
          <w:lang w:eastAsia="zh-CN"/>
        </w:rPr>
        <w:t xml:space="preserve">10 </w:t>
      </w:r>
      <w:r w:rsidRPr="002A342B">
        <w:rPr>
          <w:rFonts w:ascii="Book Antiqua" w:hAnsi="Book Antiqua" w:cs="宋体"/>
          <w:b/>
          <w:color w:val="000000"/>
          <w:sz w:val="24"/>
          <w:szCs w:val="24"/>
          <w:lang w:eastAsia="zh-CN"/>
        </w:rPr>
        <w:t xml:space="preserve">El </w:t>
      </w:r>
      <w:proofErr w:type="spellStart"/>
      <w:r w:rsidRPr="002A342B">
        <w:rPr>
          <w:rFonts w:ascii="Book Antiqua" w:hAnsi="Book Antiqua" w:cs="宋体"/>
          <w:b/>
          <w:color w:val="000000"/>
          <w:sz w:val="24"/>
          <w:szCs w:val="24"/>
          <w:lang w:eastAsia="zh-CN"/>
        </w:rPr>
        <w:t>Miedany</w:t>
      </w:r>
      <w:proofErr w:type="spellEnd"/>
      <w:r w:rsidRPr="002A342B">
        <w:rPr>
          <w:rFonts w:ascii="Book Antiqua" w:hAnsi="Book Antiqua" w:cs="宋体"/>
          <w:b/>
          <w:color w:val="000000"/>
          <w:sz w:val="24"/>
          <w:szCs w:val="24"/>
          <w:lang w:eastAsia="zh-CN"/>
        </w:rPr>
        <w:t xml:space="preserve"> Y</w:t>
      </w:r>
      <w:r w:rsidRPr="002A342B">
        <w:rPr>
          <w:rFonts w:ascii="Book Antiqua" w:hAnsi="Book Antiqua" w:cs="宋体"/>
          <w:color w:val="000000"/>
          <w:sz w:val="24"/>
          <w:szCs w:val="24"/>
          <w:lang w:eastAsia="zh-CN"/>
        </w:rPr>
        <w:t xml:space="preserve">, Youssef S, El </w:t>
      </w:r>
      <w:proofErr w:type="spellStart"/>
      <w:r w:rsidRPr="002A342B">
        <w:rPr>
          <w:rFonts w:ascii="Book Antiqua" w:hAnsi="Book Antiqua" w:cs="宋体"/>
          <w:color w:val="000000"/>
          <w:sz w:val="24"/>
          <w:szCs w:val="24"/>
          <w:lang w:eastAsia="zh-CN"/>
        </w:rPr>
        <w:t>Gaafary</w:t>
      </w:r>
      <w:proofErr w:type="spellEnd"/>
      <w:r w:rsidRPr="002A342B">
        <w:rPr>
          <w:rFonts w:ascii="Book Antiqua" w:hAnsi="Book Antiqua" w:cs="宋体"/>
          <w:color w:val="000000"/>
          <w:sz w:val="24"/>
          <w:szCs w:val="24"/>
          <w:lang w:eastAsia="zh-CN"/>
        </w:rPr>
        <w:t xml:space="preserve"> M, </w:t>
      </w:r>
      <w:proofErr w:type="spellStart"/>
      <w:r w:rsidRPr="002A342B">
        <w:rPr>
          <w:rFonts w:ascii="Book Antiqua" w:hAnsi="Book Antiqua" w:cs="宋体"/>
          <w:color w:val="000000"/>
          <w:sz w:val="24"/>
          <w:szCs w:val="24"/>
          <w:lang w:eastAsia="zh-CN"/>
        </w:rPr>
        <w:t>Toth</w:t>
      </w:r>
      <w:proofErr w:type="spellEnd"/>
      <w:r w:rsidRPr="002A342B">
        <w:rPr>
          <w:rFonts w:ascii="Book Antiqua" w:hAnsi="Book Antiqua" w:cs="宋体"/>
          <w:color w:val="000000"/>
          <w:sz w:val="24"/>
          <w:szCs w:val="24"/>
          <w:lang w:eastAsia="zh-CN"/>
        </w:rPr>
        <w:t xml:space="preserve"> M. Osteoporosis, falls and fractures: 3 confounders in one equation: development and validity of a new form for assessment of patients referred for DXA scanning. </w:t>
      </w:r>
      <w:r w:rsidRPr="002A342B">
        <w:rPr>
          <w:rFonts w:ascii="Book Antiqua" w:hAnsi="Book Antiqua" w:cs="宋体"/>
          <w:i/>
          <w:color w:val="000000"/>
          <w:sz w:val="24"/>
          <w:szCs w:val="24"/>
          <w:lang w:eastAsia="zh-CN"/>
        </w:rPr>
        <w:t>Rheumatology</w:t>
      </w:r>
      <w:r>
        <w:rPr>
          <w:rFonts w:ascii="Book Antiqua" w:hAnsi="Book Antiqua" w:cs="宋体"/>
          <w:color w:val="000000"/>
          <w:sz w:val="24"/>
          <w:szCs w:val="24"/>
          <w:lang w:eastAsia="zh-CN"/>
        </w:rPr>
        <w:t xml:space="preserve"> (Oxford) 2010; </w:t>
      </w:r>
      <w:r w:rsidRPr="002A342B">
        <w:rPr>
          <w:rFonts w:ascii="Book Antiqua" w:hAnsi="Book Antiqua" w:cs="宋体"/>
          <w:b/>
          <w:color w:val="000000"/>
          <w:sz w:val="24"/>
          <w:szCs w:val="24"/>
          <w:lang w:eastAsia="zh-CN"/>
        </w:rPr>
        <w:t>49</w:t>
      </w:r>
      <w:r>
        <w:rPr>
          <w:rFonts w:ascii="Book Antiqua" w:hAnsi="Book Antiqua" w:cs="宋体"/>
          <w:color w:val="000000"/>
          <w:sz w:val="24"/>
          <w:szCs w:val="24"/>
          <w:lang w:eastAsia="zh-CN"/>
        </w:rPr>
        <w:t>(S1): 80</w:t>
      </w:r>
      <w:r w:rsidRPr="002A342B">
        <w:rPr>
          <w:rFonts w:ascii="Book Antiqua" w:hAnsi="Book Antiqua" w:cs="宋体"/>
          <w:color w:val="000000"/>
          <w:sz w:val="24"/>
          <w:szCs w:val="24"/>
          <w:lang w:eastAsia="zh-CN"/>
        </w:rPr>
        <w:t xml:space="preserve"> [DO</w:t>
      </w:r>
      <w:r>
        <w:rPr>
          <w:rFonts w:ascii="Book Antiqua" w:hAnsi="Book Antiqua" w:cs="宋体"/>
          <w:color w:val="000000"/>
          <w:sz w:val="24"/>
          <w:szCs w:val="24"/>
          <w:lang w:eastAsia="zh-CN"/>
        </w:rPr>
        <w:t>I: 10.1093/rheumatology/keq723]</w:t>
      </w:r>
    </w:p>
    <w:p w:rsidR="002A342B" w:rsidRPr="002A342B" w:rsidRDefault="002A342B" w:rsidP="002A342B">
      <w:pPr>
        <w:spacing w:line="360" w:lineRule="auto"/>
        <w:jc w:val="both"/>
        <w:rPr>
          <w:rFonts w:ascii="Book Antiqua" w:hAnsi="Book Antiqua" w:cs="宋体"/>
          <w:color w:val="000000"/>
          <w:sz w:val="24"/>
          <w:szCs w:val="24"/>
          <w:lang w:eastAsia="zh-CN"/>
        </w:rPr>
      </w:pPr>
      <w:r w:rsidRPr="002A342B">
        <w:rPr>
          <w:rFonts w:ascii="Book Antiqua" w:hAnsi="Book Antiqua" w:cs="宋体"/>
          <w:color w:val="000000"/>
          <w:sz w:val="24"/>
          <w:szCs w:val="24"/>
          <w:lang w:eastAsia="zh-CN"/>
        </w:rPr>
        <w:t xml:space="preserve">11 </w:t>
      </w:r>
      <w:r w:rsidRPr="002A342B">
        <w:rPr>
          <w:rFonts w:ascii="Book Antiqua" w:hAnsi="Book Antiqua" w:cs="宋体"/>
          <w:b/>
          <w:color w:val="000000"/>
          <w:sz w:val="24"/>
          <w:szCs w:val="24"/>
          <w:lang w:eastAsia="zh-CN"/>
        </w:rPr>
        <w:t xml:space="preserve">El </w:t>
      </w:r>
      <w:proofErr w:type="spellStart"/>
      <w:r w:rsidRPr="002A342B">
        <w:rPr>
          <w:rFonts w:ascii="Book Antiqua" w:hAnsi="Book Antiqua" w:cs="宋体"/>
          <w:b/>
          <w:color w:val="000000"/>
          <w:sz w:val="24"/>
          <w:szCs w:val="24"/>
          <w:lang w:eastAsia="zh-CN"/>
        </w:rPr>
        <w:t>Miedany</w:t>
      </w:r>
      <w:proofErr w:type="spellEnd"/>
      <w:r w:rsidRPr="002A342B">
        <w:rPr>
          <w:rFonts w:ascii="Book Antiqua" w:hAnsi="Book Antiqua" w:cs="宋体"/>
          <w:b/>
          <w:color w:val="000000"/>
          <w:sz w:val="24"/>
          <w:szCs w:val="24"/>
          <w:lang w:eastAsia="zh-CN"/>
        </w:rPr>
        <w:t xml:space="preserve"> Y</w:t>
      </w:r>
      <w:r w:rsidRPr="002A342B">
        <w:rPr>
          <w:rFonts w:ascii="Book Antiqua" w:hAnsi="Book Antiqua" w:cs="宋体"/>
          <w:color w:val="000000"/>
          <w:sz w:val="24"/>
          <w:szCs w:val="24"/>
          <w:lang w:eastAsia="zh-CN"/>
        </w:rPr>
        <w:t xml:space="preserve">, El </w:t>
      </w:r>
      <w:proofErr w:type="spellStart"/>
      <w:r w:rsidRPr="002A342B">
        <w:rPr>
          <w:rFonts w:ascii="Book Antiqua" w:hAnsi="Book Antiqua" w:cs="宋体"/>
          <w:color w:val="000000"/>
          <w:sz w:val="24"/>
          <w:szCs w:val="24"/>
          <w:lang w:eastAsia="zh-CN"/>
        </w:rPr>
        <w:t>Gaafary</w:t>
      </w:r>
      <w:proofErr w:type="spellEnd"/>
      <w:r w:rsidRPr="002A342B">
        <w:rPr>
          <w:rFonts w:ascii="Book Antiqua" w:hAnsi="Book Antiqua" w:cs="宋体"/>
          <w:color w:val="000000"/>
          <w:sz w:val="24"/>
          <w:szCs w:val="24"/>
          <w:lang w:eastAsia="zh-CN"/>
        </w:rPr>
        <w:t xml:space="preserve"> M, </w:t>
      </w:r>
      <w:proofErr w:type="spellStart"/>
      <w:r w:rsidRPr="002A342B">
        <w:rPr>
          <w:rFonts w:ascii="Book Antiqua" w:hAnsi="Book Antiqua" w:cs="宋体"/>
          <w:color w:val="000000"/>
          <w:sz w:val="24"/>
          <w:szCs w:val="24"/>
          <w:lang w:eastAsia="zh-CN"/>
        </w:rPr>
        <w:t>Toth</w:t>
      </w:r>
      <w:proofErr w:type="spellEnd"/>
      <w:r w:rsidRPr="002A342B">
        <w:rPr>
          <w:rFonts w:ascii="Book Antiqua" w:hAnsi="Book Antiqua" w:cs="宋体"/>
          <w:color w:val="000000"/>
          <w:sz w:val="24"/>
          <w:szCs w:val="24"/>
          <w:lang w:eastAsia="zh-CN"/>
        </w:rPr>
        <w:t xml:space="preserve"> M. Falls risk assessment score (FRAS): Time to rethink.</w:t>
      </w:r>
      <w:r w:rsidRPr="002A342B">
        <w:rPr>
          <w:rFonts w:ascii="Book Antiqua" w:hAnsi="Book Antiqua" w:cs="宋体"/>
          <w:i/>
          <w:color w:val="000000"/>
          <w:sz w:val="24"/>
          <w:szCs w:val="24"/>
          <w:lang w:eastAsia="zh-CN"/>
        </w:rPr>
        <w:t xml:space="preserve"> J Clinical </w:t>
      </w:r>
      <w:proofErr w:type="spellStart"/>
      <w:r w:rsidRPr="002A342B">
        <w:rPr>
          <w:rFonts w:ascii="Book Antiqua" w:hAnsi="Book Antiqua" w:cs="宋体"/>
          <w:i/>
          <w:color w:val="000000"/>
          <w:sz w:val="24"/>
          <w:szCs w:val="24"/>
          <w:lang w:eastAsia="zh-CN"/>
        </w:rPr>
        <w:t>Gerontol</w:t>
      </w:r>
      <w:proofErr w:type="spellEnd"/>
      <w:r w:rsidRPr="002A342B">
        <w:rPr>
          <w:rFonts w:ascii="Book Antiqua" w:hAnsi="Book Antiqua" w:cs="宋体"/>
          <w:i/>
          <w:color w:val="000000"/>
          <w:sz w:val="24"/>
          <w:szCs w:val="24"/>
          <w:lang w:eastAsia="zh-CN"/>
        </w:rPr>
        <w:t xml:space="preserve"> and Geriatrics </w:t>
      </w:r>
      <w:r>
        <w:rPr>
          <w:rFonts w:ascii="Book Antiqua" w:hAnsi="Book Antiqua" w:cs="宋体"/>
          <w:color w:val="000000"/>
          <w:sz w:val="24"/>
          <w:szCs w:val="24"/>
          <w:lang w:eastAsia="zh-CN"/>
        </w:rPr>
        <w:t xml:space="preserve">2011; </w:t>
      </w:r>
      <w:r w:rsidRPr="002A342B">
        <w:rPr>
          <w:rFonts w:ascii="Book Antiqua" w:hAnsi="Book Antiqua" w:cs="宋体"/>
          <w:b/>
          <w:color w:val="000000"/>
          <w:sz w:val="24"/>
          <w:szCs w:val="24"/>
          <w:lang w:eastAsia="zh-CN"/>
        </w:rPr>
        <w:t>2</w:t>
      </w:r>
      <w:r>
        <w:rPr>
          <w:rFonts w:ascii="Book Antiqua" w:hAnsi="Book Antiqua" w:cs="宋体"/>
          <w:color w:val="000000"/>
          <w:sz w:val="24"/>
          <w:szCs w:val="24"/>
          <w:lang w:eastAsia="zh-CN"/>
        </w:rPr>
        <w:t>: 21-26</w:t>
      </w:r>
      <w:r w:rsidRPr="002A342B">
        <w:rPr>
          <w:rFonts w:ascii="Book Antiqua" w:hAnsi="Book Antiqua" w:cs="宋体"/>
          <w:color w:val="000000"/>
          <w:sz w:val="24"/>
          <w:szCs w:val="24"/>
          <w:lang w:eastAsia="zh-CN"/>
        </w:rPr>
        <w:t xml:space="preserve"> [DOI</w:t>
      </w:r>
      <w:r>
        <w:rPr>
          <w:rFonts w:ascii="Book Antiqua" w:hAnsi="Book Antiqua" w:cs="宋体"/>
          <w:color w:val="000000"/>
          <w:sz w:val="24"/>
          <w:szCs w:val="24"/>
          <w:lang w:eastAsia="zh-CN"/>
        </w:rPr>
        <w:t>: 10.1016/j.jcgg.2011.01.002]</w:t>
      </w:r>
    </w:p>
    <w:p w:rsidR="002A342B" w:rsidRPr="002A342B" w:rsidRDefault="002A342B" w:rsidP="002A342B">
      <w:pPr>
        <w:spacing w:line="360" w:lineRule="auto"/>
        <w:jc w:val="both"/>
        <w:rPr>
          <w:rFonts w:ascii="Book Antiqua" w:hAnsi="Book Antiqua" w:cs="宋体"/>
          <w:color w:val="000000"/>
          <w:sz w:val="24"/>
          <w:szCs w:val="24"/>
          <w:lang w:eastAsia="zh-CN"/>
        </w:rPr>
      </w:pPr>
      <w:r w:rsidRPr="002A342B">
        <w:rPr>
          <w:rFonts w:ascii="Book Antiqua" w:hAnsi="Book Antiqua" w:cs="宋体"/>
          <w:color w:val="000000"/>
          <w:sz w:val="24"/>
          <w:szCs w:val="24"/>
          <w:lang w:eastAsia="zh-CN"/>
        </w:rPr>
        <w:t>12 </w:t>
      </w:r>
      <w:proofErr w:type="spellStart"/>
      <w:r w:rsidRPr="002A342B">
        <w:rPr>
          <w:rFonts w:ascii="Book Antiqua" w:hAnsi="Book Antiqua" w:cs="宋体"/>
          <w:b/>
          <w:bCs/>
          <w:color w:val="000000"/>
          <w:sz w:val="24"/>
          <w:szCs w:val="24"/>
          <w:lang w:eastAsia="zh-CN"/>
        </w:rPr>
        <w:t>Slosman</w:t>
      </w:r>
      <w:proofErr w:type="spellEnd"/>
      <w:r w:rsidRPr="002A342B">
        <w:rPr>
          <w:rFonts w:ascii="Book Antiqua" w:hAnsi="Book Antiqua" w:cs="宋体"/>
          <w:b/>
          <w:bCs/>
          <w:color w:val="000000"/>
          <w:sz w:val="24"/>
          <w:szCs w:val="24"/>
          <w:lang w:eastAsia="zh-CN"/>
        </w:rPr>
        <w:t xml:space="preserve"> DO</w:t>
      </w:r>
      <w:r w:rsidRPr="002A342B">
        <w:rPr>
          <w:rFonts w:ascii="Book Antiqua" w:hAnsi="Book Antiqua" w:cs="宋体"/>
          <w:color w:val="000000"/>
          <w:sz w:val="24"/>
          <w:szCs w:val="24"/>
          <w:lang w:eastAsia="zh-CN"/>
        </w:rPr>
        <w:t xml:space="preserve">, </w:t>
      </w:r>
      <w:proofErr w:type="spellStart"/>
      <w:r w:rsidRPr="002A342B">
        <w:rPr>
          <w:rFonts w:ascii="Book Antiqua" w:hAnsi="Book Antiqua" w:cs="宋体"/>
          <w:color w:val="000000"/>
          <w:sz w:val="24"/>
          <w:szCs w:val="24"/>
          <w:lang w:eastAsia="zh-CN"/>
        </w:rPr>
        <w:t>Provvedini</w:t>
      </w:r>
      <w:proofErr w:type="spellEnd"/>
      <w:r w:rsidRPr="002A342B">
        <w:rPr>
          <w:rFonts w:ascii="Book Antiqua" w:hAnsi="Book Antiqua" w:cs="宋体"/>
          <w:color w:val="000000"/>
          <w:sz w:val="24"/>
          <w:szCs w:val="24"/>
          <w:lang w:eastAsia="zh-CN"/>
        </w:rPr>
        <w:t xml:space="preserve"> DM, </w:t>
      </w:r>
      <w:proofErr w:type="spellStart"/>
      <w:r w:rsidRPr="002A342B">
        <w:rPr>
          <w:rFonts w:ascii="Book Antiqua" w:hAnsi="Book Antiqua" w:cs="宋体"/>
          <w:color w:val="000000"/>
          <w:sz w:val="24"/>
          <w:szCs w:val="24"/>
          <w:lang w:eastAsia="zh-CN"/>
        </w:rPr>
        <w:t>Meunier</w:t>
      </w:r>
      <w:proofErr w:type="spellEnd"/>
      <w:r w:rsidRPr="002A342B">
        <w:rPr>
          <w:rFonts w:ascii="Book Antiqua" w:hAnsi="Book Antiqua" w:cs="宋体"/>
          <w:color w:val="000000"/>
          <w:sz w:val="24"/>
          <w:szCs w:val="24"/>
          <w:lang w:eastAsia="zh-CN"/>
        </w:rPr>
        <w:t xml:space="preserve"> PJ, </w:t>
      </w:r>
      <w:proofErr w:type="spellStart"/>
      <w:r w:rsidRPr="002A342B">
        <w:rPr>
          <w:rFonts w:ascii="Book Antiqua" w:hAnsi="Book Antiqua" w:cs="宋体"/>
          <w:color w:val="000000"/>
          <w:sz w:val="24"/>
          <w:szCs w:val="24"/>
          <w:lang w:eastAsia="zh-CN"/>
        </w:rPr>
        <w:t>Delmas</w:t>
      </w:r>
      <w:proofErr w:type="spellEnd"/>
      <w:r w:rsidRPr="002A342B">
        <w:rPr>
          <w:rFonts w:ascii="Book Antiqua" w:hAnsi="Book Antiqua" w:cs="宋体"/>
          <w:color w:val="000000"/>
          <w:sz w:val="24"/>
          <w:szCs w:val="24"/>
          <w:lang w:eastAsia="zh-CN"/>
        </w:rPr>
        <w:t xml:space="preserve"> PD, </w:t>
      </w:r>
      <w:proofErr w:type="spellStart"/>
      <w:r w:rsidRPr="002A342B">
        <w:rPr>
          <w:rFonts w:ascii="Book Antiqua" w:hAnsi="Book Antiqua" w:cs="宋体"/>
          <w:color w:val="000000"/>
          <w:sz w:val="24"/>
          <w:szCs w:val="24"/>
          <w:lang w:eastAsia="zh-CN"/>
        </w:rPr>
        <w:t>Sebert</w:t>
      </w:r>
      <w:proofErr w:type="spellEnd"/>
      <w:r w:rsidRPr="002A342B">
        <w:rPr>
          <w:rFonts w:ascii="Book Antiqua" w:hAnsi="Book Antiqua" w:cs="宋体"/>
          <w:color w:val="000000"/>
          <w:sz w:val="24"/>
          <w:szCs w:val="24"/>
          <w:lang w:eastAsia="zh-CN"/>
        </w:rPr>
        <w:t xml:space="preserve"> JL, De </w:t>
      </w:r>
      <w:proofErr w:type="spellStart"/>
      <w:r w:rsidRPr="002A342B">
        <w:rPr>
          <w:rFonts w:ascii="Book Antiqua" w:hAnsi="Book Antiqua" w:cs="宋体"/>
          <w:color w:val="000000"/>
          <w:sz w:val="24"/>
          <w:szCs w:val="24"/>
          <w:lang w:eastAsia="zh-CN"/>
        </w:rPr>
        <w:t>Vernejoul</w:t>
      </w:r>
      <w:proofErr w:type="spellEnd"/>
      <w:r w:rsidRPr="002A342B">
        <w:rPr>
          <w:rFonts w:ascii="Book Antiqua" w:hAnsi="Book Antiqua" w:cs="宋体"/>
          <w:color w:val="000000"/>
          <w:sz w:val="24"/>
          <w:szCs w:val="24"/>
          <w:lang w:eastAsia="zh-CN"/>
        </w:rPr>
        <w:t xml:space="preserve"> MC, </w:t>
      </w:r>
      <w:proofErr w:type="spellStart"/>
      <w:r w:rsidRPr="002A342B">
        <w:rPr>
          <w:rFonts w:ascii="Book Antiqua" w:hAnsi="Book Antiqua" w:cs="宋体"/>
          <w:color w:val="000000"/>
          <w:sz w:val="24"/>
          <w:szCs w:val="24"/>
          <w:lang w:eastAsia="zh-CN"/>
        </w:rPr>
        <w:t>Tsouderos</w:t>
      </w:r>
      <w:proofErr w:type="spellEnd"/>
      <w:r w:rsidRPr="002A342B">
        <w:rPr>
          <w:rFonts w:ascii="Book Antiqua" w:hAnsi="Book Antiqua" w:cs="宋体"/>
          <w:color w:val="000000"/>
          <w:sz w:val="24"/>
          <w:szCs w:val="24"/>
          <w:lang w:eastAsia="zh-CN"/>
        </w:rPr>
        <w:t xml:space="preserve"> Y, </w:t>
      </w:r>
      <w:proofErr w:type="spellStart"/>
      <w:r w:rsidRPr="002A342B">
        <w:rPr>
          <w:rFonts w:ascii="Book Antiqua" w:hAnsi="Book Antiqua" w:cs="宋体"/>
          <w:color w:val="000000"/>
          <w:sz w:val="24"/>
          <w:szCs w:val="24"/>
          <w:lang w:eastAsia="zh-CN"/>
        </w:rPr>
        <w:t>Reginster</w:t>
      </w:r>
      <w:proofErr w:type="spellEnd"/>
      <w:r w:rsidRPr="002A342B">
        <w:rPr>
          <w:rFonts w:ascii="Book Antiqua" w:hAnsi="Book Antiqua" w:cs="宋体"/>
          <w:color w:val="000000"/>
          <w:sz w:val="24"/>
          <w:szCs w:val="24"/>
          <w:lang w:eastAsia="zh-CN"/>
        </w:rPr>
        <w:t xml:space="preserve"> JY. The use of different dual X-ray absorptiometry brands in a </w:t>
      </w:r>
      <w:r w:rsidRPr="002A342B">
        <w:rPr>
          <w:rFonts w:ascii="Book Antiqua" w:hAnsi="Book Antiqua" w:cs="宋体"/>
          <w:color w:val="000000"/>
          <w:sz w:val="24"/>
          <w:szCs w:val="24"/>
          <w:lang w:eastAsia="zh-CN"/>
        </w:rPr>
        <w:lastRenderedPageBreak/>
        <w:t>multicenter clinical trial: consequences and limits. </w:t>
      </w:r>
      <w:r w:rsidRPr="002A342B">
        <w:rPr>
          <w:rFonts w:ascii="Book Antiqua" w:hAnsi="Book Antiqua" w:cs="宋体"/>
          <w:i/>
          <w:iCs/>
          <w:color w:val="000000"/>
          <w:sz w:val="24"/>
          <w:szCs w:val="24"/>
          <w:lang w:eastAsia="zh-CN"/>
        </w:rPr>
        <w:t xml:space="preserve">J </w:t>
      </w:r>
      <w:proofErr w:type="spellStart"/>
      <w:r w:rsidRPr="002A342B">
        <w:rPr>
          <w:rFonts w:ascii="Book Antiqua" w:hAnsi="Book Antiqua" w:cs="宋体"/>
          <w:i/>
          <w:iCs/>
          <w:color w:val="000000"/>
          <w:sz w:val="24"/>
          <w:szCs w:val="24"/>
          <w:lang w:eastAsia="zh-CN"/>
        </w:rPr>
        <w:t>Clin</w:t>
      </w:r>
      <w:proofErr w:type="spellEnd"/>
      <w:r w:rsidRPr="002A342B">
        <w:rPr>
          <w:rFonts w:ascii="Book Antiqua" w:hAnsi="Book Antiqua" w:cs="宋体"/>
          <w:i/>
          <w:iCs/>
          <w:color w:val="000000"/>
          <w:sz w:val="24"/>
          <w:szCs w:val="24"/>
          <w:lang w:eastAsia="zh-CN"/>
        </w:rPr>
        <w:t xml:space="preserve"> </w:t>
      </w:r>
      <w:proofErr w:type="spellStart"/>
      <w:r w:rsidRPr="002A342B">
        <w:rPr>
          <w:rFonts w:ascii="Book Antiqua" w:hAnsi="Book Antiqua" w:cs="宋体"/>
          <w:i/>
          <w:iCs/>
          <w:color w:val="000000"/>
          <w:sz w:val="24"/>
          <w:szCs w:val="24"/>
          <w:lang w:eastAsia="zh-CN"/>
        </w:rPr>
        <w:t>Densitom</w:t>
      </w:r>
      <w:proofErr w:type="spellEnd"/>
      <w:r w:rsidRPr="002A342B">
        <w:rPr>
          <w:rFonts w:ascii="Book Antiqua" w:hAnsi="Book Antiqua" w:cs="宋体"/>
          <w:color w:val="000000"/>
          <w:sz w:val="24"/>
          <w:szCs w:val="24"/>
          <w:lang w:eastAsia="zh-CN"/>
        </w:rPr>
        <w:t> 1999; </w:t>
      </w:r>
      <w:r w:rsidRPr="002A342B">
        <w:rPr>
          <w:rFonts w:ascii="Book Antiqua" w:hAnsi="Book Antiqua" w:cs="宋体"/>
          <w:b/>
          <w:bCs/>
          <w:color w:val="000000"/>
          <w:sz w:val="24"/>
          <w:szCs w:val="24"/>
          <w:lang w:eastAsia="zh-CN"/>
        </w:rPr>
        <w:t>2</w:t>
      </w:r>
      <w:r w:rsidRPr="002A342B">
        <w:rPr>
          <w:rFonts w:ascii="Book Antiqua" w:hAnsi="Book Antiqua" w:cs="宋体"/>
          <w:color w:val="000000"/>
          <w:sz w:val="24"/>
          <w:szCs w:val="24"/>
          <w:lang w:eastAsia="zh-CN"/>
        </w:rPr>
        <w:t>: 37-44 [PMID: 23547312]</w:t>
      </w:r>
    </w:p>
    <w:p w:rsidR="002A342B" w:rsidRPr="002A342B" w:rsidRDefault="002A342B" w:rsidP="002A342B">
      <w:pPr>
        <w:spacing w:line="360" w:lineRule="auto"/>
        <w:jc w:val="both"/>
        <w:rPr>
          <w:rFonts w:ascii="Book Antiqua" w:hAnsi="Book Antiqua" w:cs="宋体"/>
          <w:color w:val="000000"/>
          <w:sz w:val="24"/>
          <w:szCs w:val="24"/>
          <w:lang w:eastAsia="zh-CN"/>
        </w:rPr>
      </w:pPr>
      <w:r w:rsidRPr="002A342B">
        <w:rPr>
          <w:rFonts w:ascii="Book Antiqua" w:hAnsi="Book Antiqua" w:cs="宋体"/>
          <w:color w:val="000000"/>
          <w:sz w:val="24"/>
          <w:szCs w:val="24"/>
          <w:lang w:eastAsia="zh-CN"/>
        </w:rPr>
        <w:t>13 </w:t>
      </w:r>
      <w:r w:rsidRPr="002A342B">
        <w:rPr>
          <w:rFonts w:ascii="Book Antiqua" w:hAnsi="Book Antiqua" w:cs="宋体"/>
          <w:b/>
          <w:bCs/>
          <w:color w:val="000000"/>
          <w:sz w:val="24"/>
          <w:szCs w:val="24"/>
          <w:lang w:eastAsia="zh-CN"/>
        </w:rPr>
        <w:t>Cramer JA</w:t>
      </w:r>
      <w:r w:rsidRPr="002A342B">
        <w:rPr>
          <w:rFonts w:ascii="Book Antiqua" w:hAnsi="Book Antiqua" w:cs="宋体"/>
          <w:color w:val="000000"/>
          <w:sz w:val="24"/>
          <w:szCs w:val="24"/>
          <w:lang w:eastAsia="zh-CN"/>
        </w:rPr>
        <w:t xml:space="preserve">, Roy A, Burrell A, Fairchild CJ, </w:t>
      </w:r>
      <w:proofErr w:type="spellStart"/>
      <w:r w:rsidRPr="002A342B">
        <w:rPr>
          <w:rFonts w:ascii="Book Antiqua" w:hAnsi="Book Antiqua" w:cs="宋体"/>
          <w:color w:val="000000"/>
          <w:sz w:val="24"/>
          <w:szCs w:val="24"/>
          <w:lang w:eastAsia="zh-CN"/>
        </w:rPr>
        <w:t>Fuldeore</w:t>
      </w:r>
      <w:proofErr w:type="spellEnd"/>
      <w:r w:rsidRPr="002A342B">
        <w:rPr>
          <w:rFonts w:ascii="Book Antiqua" w:hAnsi="Book Antiqua" w:cs="宋体"/>
          <w:color w:val="000000"/>
          <w:sz w:val="24"/>
          <w:szCs w:val="24"/>
          <w:lang w:eastAsia="zh-CN"/>
        </w:rPr>
        <w:t xml:space="preserve"> MJ, </w:t>
      </w:r>
      <w:proofErr w:type="spellStart"/>
      <w:r w:rsidRPr="002A342B">
        <w:rPr>
          <w:rFonts w:ascii="Book Antiqua" w:hAnsi="Book Antiqua" w:cs="宋体"/>
          <w:color w:val="000000"/>
          <w:sz w:val="24"/>
          <w:szCs w:val="24"/>
          <w:lang w:eastAsia="zh-CN"/>
        </w:rPr>
        <w:t>Ollendorf</w:t>
      </w:r>
      <w:proofErr w:type="spellEnd"/>
      <w:r w:rsidRPr="002A342B">
        <w:rPr>
          <w:rFonts w:ascii="Book Antiqua" w:hAnsi="Book Antiqua" w:cs="宋体"/>
          <w:color w:val="000000"/>
          <w:sz w:val="24"/>
          <w:szCs w:val="24"/>
          <w:lang w:eastAsia="zh-CN"/>
        </w:rPr>
        <w:t xml:space="preserve"> DA, Wong PK. Medication compliance and persistence: terminology and definitions. </w:t>
      </w:r>
      <w:r w:rsidRPr="002A342B">
        <w:rPr>
          <w:rFonts w:ascii="Book Antiqua" w:hAnsi="Book Antiqua" w:cs="宋体"/>
          <w:i/>
          <w:iCs/>
          <w:color w:val="000000"/>
          <w:sz w:val="24"/>
          <w:szCs w:val="24"/>
          <w:lang w:eastAsia="zh-CN"/>
        </w:rPr>
        <w:t>Value Health</w:t>
      </w:r>
      <w:r w:rsidRPr="002A342B">
        <w:rPr>
          <w:rFonts w:ascii="Book Antiqua" w:hAnsi="Book Antiqua" w:cs="宋体"/>
          <w:color w:val="000000"/>
          <w:sz w:val="24"/>
          <w:szCs w:val="24"/>
          <w:lang w:eastAsia="zh-CN"/>
        </w:rPr>
        <w:t> </w:t>
      </w:r>
      <w:r>
        <w:rPr>
          <w:rFonts w:ascii="Book Antiqua" w:hAnsi="Book Antiqua" w:cs="宋体" w:hint="eastAsia"/>
          <w:color w:val="000000"/>
          <w:sz w:val="24"/>
          <w:szCs w:val="24"/>
          <w:lang w:eastAsia="zh-CN"/>
        </w:rPr>
        <w:t>2008</w:t>
      </w:r>
      <w:r w:rsidRPr="002A342B">
        <w:rPr>
          <w:rFonts w:ascii="Book Antiqua" w:hAnsi="Book Antiqua" w:cs="宋体"/>
          <w:color w:val="000000"/>
          <w:sz w:val="24"/>
          <w:szCs w:val="24"/>
          <w:lang w:eastAsia="zh-CN"/>
        </w:rPr>
        <w:t>; </w:t>
      </w:r>
      <w:r w:rsidRPr="002A342B">
        <w:rPr>
          <w:rFonts w:ascii="Book Antiqua" w:hAnsi="Book Antiqua" w:cs="宋体"/>
          <w:b/>
          <w:bCs/>
          <w:color w:val="000000"/>
          <w:sz w:val="24"/>
          <w:szCs w:val="24"/>
          <w:lang w:eastAsia="zh-CN"/>
        </w:rPr>
        <w:t>11</w:t>
      </w:r>
      <w:r w:rsidRPr="002A342B">
        <w:rPr>
          <w:rFonts w:ascii="Book Antiqua" w:hAnsi="Book Antiqua" w:cs="宋体"/>
          <w:color w:val="000000"/>
          <w:sz w:val="24"/>
          <w:szCs w:val="24"/>
          <w:lang w:eastAsia="zh-CN"/>
        </w:rPr>
        <w:t>: 44-47 [PMID: 18237359 DOI: 10.1111/j.1524-4733.2007.00213.x]</w:t>
      </w:r>
    </w:p>
    <w:p w:rsidR="002A342B" w:rsidRPr="002A342B" w:rsidRDefault="002A342B" w:rsidP="002A342B">
      <w:pPr>
        <w:spacing w:line="360" w:lineRule="auto"/>
        <w:jc w:val="both"/>
        <w:rPr>
          <w:rFonts w:ascii="Book Antiqua" w:hAnsi="Book Antiqua" w:cs="宋体"/>
          <w:color w:val="000000"/>
          <w:sz w:val="24"/>
          <w:szCs w:val="24"/>
          <w:lang w:eastAsia="zh-CN"/>
        </w:rPr>
      </w:pPr>
      <w:r w:rsidRPr="002A342B">
        <w:rPr>
          <w:rFonts w:ascii="Book Antiqua" w:hAnsi="Book Antiqua" w:cs="宋体"/>
          <w:color w:val="000000"/>
          <w:sz w:val="24"/>
          <w:szCs w:val="24"/>
          <w:lang w:eastAsia="zh-CN"/>
        </w:rPr>
        <w:t>14 </w:t>
      </w:r>
      <w:r w:rsidRPr="002A342B">
        <w:rPr>
          <w:rFonts w:ascii="Book Antiqua" w:hAnsi="Book Antiqua" w:cs="宋体"/>
          <w:b/>
          <w:bCs/>
          <w:color w:val="000000"/>
          <w:sz w:val="24"/>
          <w:szCs w:val="24"/>
          <w:lang w:eastAsia="zh-CN"/>
        </w:rPr>
        <w:t>Leslie WD</w:t>
      </w:r>
      <w:r w:rsidRPr="002A342B">
        <w:rPr>
          <w:rFonts w:ascii="Book Antiqua" w:hAnsi="Book Antiqua" w:cs="宋体"/>
          <w:color w:val="000000"/>
          <w:sz w:val="24"/>
          <w:szCs w:val="24"/>
          <w:lang w:eastAsia="zh-CN"/>
        </w:rPr>
        <w:t xml:space="preserve">, </w:t>
      </w:r>
      <w:proofErr w:type="spellStart"/>
      <w:r w:rsidRPr="002A342B">
        <w:rPr>
          <w:rFonts w:ascii="Book Antiqua" w:hAnsi="Book Antiqua" w:cs="宋体"/>
          <w:color w:val="000000"/>
          <w:sz w:val="24"/>
          <w:szCs w:val="24"/>
          <w:lang w:eastAsia="zh-CN"/>
        </w:rPr>
        <w:t>Lix</w:t>
      </w:r>
      <w:proofErr w:type="spellEnd"/>
      <w:r w:rsidRPr="002A342B">
        <w:rPr>
          <w:rFonts w:ascii="Book Antiqua" w:hAnsi="Book Antiqua" w:cs="宋体"/>
          <w:color w:val="000000"/>
          <w:sz w:val="24"/>
          <w:szCs w:val="24"/>
          <w:lang w:eastAsia="zh-CN"/>
        </w:rPr>
        <w:t xml:space="preserve"> LM, Johansson H, Oden A, McCloskey E, </w:t>
      </w:r>
      <w:proofErr w:type="spellStart"/>
      <w:r w:rsidRPr="002A342B">
        <w:rPr>
          <w:rFonts w:ascii="Book Antiqua" w:hAnsi="Book Antiqua" w:cs="宋体"/>
          <w:color w:val="000000"/>
          <w:sz w:val="24"/>
          <w:szCs w:val="24"/>
          <w:lang w:eastAsia="zh-CN"/>
        </w:rPr>
        <w:t>Kanis</w:t>
      </w:r>
      <w:proofErr w:type="spellEnd"/>
      <w:r w:rsidRPr="002A342B">
        <w:rPr>
          <w:rFonts w:ascii="Book Antiqua" w:hAnsi="Book Antiqua" w:cs="宋体"/>
          <w:color w:val="000000"/>
          <w:sz w:val="24"/>
          <w:szCs w:val="24"/>
          <w:lang w:eastAsia="zh-CN"/>
        </w:rPr>
        <w:t xml:space="preserve"> JA. Does osteoporosis therapy invalidate FRAX for fracture prediction? </w:t>
      </w:r>
      <w:r w:rsidRPr="002A342B">
        <w:rPr>
          <w:rFonts w:ascii="Book Antiqua" w:hAnsi="Book Antiqua" w:cs="宋体"/>
          <w:i/>
          <w:iCs/>
          <w:color w:val="000000"/>
          <w:sz w:val="24"/>
          <w:szCs w:val="24"/>
          <w:lang w:eastAsia="zh-CN"/>
        </w:rPr>
        <w:t>J Bone Miner Res</w:t>
      </w:r>
      <w:r w:rsidRPr="002A342B">
        <w:rPr>
          <w:rFonts w:ascii="Book Antiqua" w:hAnsi="Book Antiqua" w:cs="宋体"/>
          <w:color w:val="000000"/>
          <w:sz w:val="24"/>
          <w:szCs w:val="24"/>
          <w:lang w:eastAsia="zh-CN"/>
        </w:rPr>
        <w:t> 2012; </w:t>
      </w:r>
      <w:r w:rsidRPr="002A342B">
        <w:rPr>
          <w:rFonts w:ascii="Book Antiqua" w:hAnsi="Book Antiqua" w:cs="宋体"/>
          <w:b/>
          <w:bCs/>
          <w:color w:val="000000"/>
          <w:sz w:val="24"/>
          <w:szCs w:val="24"/>
          <w:lang w:eastAsia="zh-CN"/>
        </w:rPr>
        <w:t>27</w:t>
      </w:r>
      <w:r w:rsidRPr="002A342B">
        <w:rPr>
          <w:rFonts w:ascii="Book Antiqua" w:hAnsi="Book Antiqua" w:cs="宋体"/>
          <w:color w:val="000000"/>
          <w:sz w:val="24"/>
          <w:szCs w:val="24"/>
          <w:lang w:eastAsia="zh-CN"/>
        </w:rPr>
        <w:t>: 1243-1251 [PMID: 22392538 DOI: 10.1002/jbmr.1582]</w:t>
      </w:r>
    </w:p>
    <w:p w:rsidR="002A342B" w:rsidRPr="002A342B" w:rsidRDefault="002A342B" w:rsidP="002A342B">
      <w:pPr>
        <w:spacing w:line="360" w:lineRule="auto"/>
        <w:jc w:val="both"/>
        <w:rPr>
          <w:rFonts w:ascii="Book Antiqua" w:hAnsi="Book Antiqua" w:cs="宋体"/>
          <w:color w:val="000000"/>
          <w:sz w:val="24"/>
          <w:szCs w:val="24"/>
          <w:lang w:eastAsia="zh-CN"/>
        </w:rPr>
      </w:pPr>
      <w:r w:rsidRPr="002A342B">
        <w:rPr>
          <w:rFonts w:ascii="Book Antiqua" w:hAnsi="Book Antiqua" w:cs="宋体"/>
          <w:color w:val="000000"/>
          <w:sz w:val="24"/>
          <w:szCs w:val="24"/>
          <w:lang w:eastAsia="zh-CN"/>
        </w:rPr>
        <w:t>15 </w:t>
      </w:r>
      <w:r w:rsidRPr="002A342B">
        <w:rPr>
          <w:rFonts w:ascii="Book Antiqua" w:hAnsi="Book Antiqua" w:cs="宋体"/>
          <w:b/>
          <w:bCs/>
          <w:color w:val="000000"/>
          <w:sz w:val="24"/>
          <w:szCs w:val="24"/>
          <w:lang w:eastAsia="zh-CN"/>
        </w:rPr>
        <w:t>MacLean C</w:t>
      </w:r>
      <w:r w:rsidRPr="002A342B">
        <w:rPr>
          <w:rFonts w:ascii="Book Antiqua" w:hAnsi="Book Antiqua" w:cs="宋体"/>
          <w:color w:val="000000"/>
          <w:sz w:val="24"/>
          <w:szCs w:val="24"/>
          <w:lang w:eastAsia="zh-CN"/>
        </w:rPr>
        <w:t xml:space="preserve">, Newberry S, </w:t>
      </w:r>
      <w:proofErr w:type="spellStart"/>
      <w:r w:rsidRPr="002A342B">
        <w:rPr>
          <w:rFonts w:ascii="Book Antiqua" w:hAnsi="Book Antiqua" w:cs="宋体"/>
          <w:color w:val="000000"/>
          <w:sz w:val="24"/>
          <w:szCs w:val="24"/>
          <w:lang w:eastAsia="zh-CN"/>
        </w:rPr>
        <w:t>Maglione</w:t>
      </w:r>
      <w:proofErr w:type="spellEnd"/>
      <w:r w:rsidRPr="002A342B">
        <w:rPr>
          <w:rFonts w:ascii="Book Antiqua" w:hAnsi="Book Antiqua" w:cs="宋体"/>
          <w:color w:val="000000"/>
          <w:sz w:val="24"/>
          <w:szCs w:val="24"/>
          <w:lang w:eastAsia="zh-CN"/>
        </w:rPr>
        <w:t xml:space="preserve"> M, McMahon M, </w:t>
      </w:r>
      <w:proofErr w:type="spellStart"/>
      <w:r w:rsidRPr="002A342B">
        <w:rPr>
          <w:rFonts w:ascii="Book Antiqua" w:hAnsi="Book Antiqua" w:cs="宋体"/>
          <w:color w:val="000000"/>
          <w:sz w:val="24"/>
          <w:szCs w:val="24"/>
          <w:lang w:eastAsia="zh-CN"/>
        </w:rPr>
        <w:t>Ranganath</w:t>
      </w:r>
      <w:proofErr w:type="spellEnd"/>
      <w:r w:rsidRPr="002A342B">
        <w:rPr>
          <w:rFonts w:ascii="Book Antiqua" w:hAnsi="Book Antiqua" w:cs="宋体"/>
          <w:color w:val="000000"/>
          <w:sz w:val="24"/>
          <w:szCs w:val="24"/>
          <w:lang w:eastAsia="zh-CN"/>
        </w:rPr>
        <w:t xml:space="preserve"> V, </w:t>
      </w:r>
      <w:proofErr w:type="spellStart"/>
      <w:r w:rsidRPr="002A342B">
        <w:rPr>
          <w:rFonts w:ascii="Book Antiqua" w:hAnsi="Book Antiqua" w:cs="宋体"/>
          <w:color w:val="000000"/>
          <w:sz w:val="24"/>
          <w:szCs w:val="24"/>
          <w:lang w:eastAsia="zh-CN"/>
        </w:rPr>
        <w:t>Suttorp</w:t>
      </w:r>
      <w:proofErr w:type="spellEnd"/>
      <w:r w:rsidRPr="002A342B">
        <w:rPr>
          <w:rFonts w:ascii="Book Antiqua" w:hAnsi="Book Antiqua" w:cs="宋体"/>
          <w:color w:val="000000"/>
          <w:sz w:val="24"/>
          <w:szCs w:val="24"/>
          <w:lang w:eastAsia="zh-CN"/>
        </w:rPr>
        <w:t xml:space="preserve"> M, Mojica W, </w:t>
      </w:r>
      <w:proofErr w:type="spellStart"/>
      <w:r w:rsidRPr="002A342B">
        <w:rPr>
          <w:rFonts w:ascii="Book Antiqua" w:hAnsi="Book Antiqua" w:cs="宋体"/>
          <w:color w:val="000000"/>
          <w:sz w:val="24"/>
          <w:szCs w:val="24"/>
          <w:lang w:eastAsia="zh-CN"/>
        </w:rPr>
        <w:t>Timmer</w:t>
      </w:r>
      <w:proofErr w:type="spellEnd"/>
      <w:r w:rsidRPr="002A342B">
        <w:rPr>
          <w:rFonts w:ascii="Book Antiqua" w:hAnsi="Book Antiqua" w:cs="宋体"/>
          <w:color w:val="000000"/>
          <w:sz w:val="24"/>
          <w:szCs w:val="24"/>
          <w:lang w:eastAsia="zh-CN"/>
        </w:rPr>
        <w:t xml:space="preserve"> M, Alexander A, McNamara M, Desai SB, Zhou A, Chen S, Carter J, </w:t>
      </w:r>
      <w:proofErr w:type="spellStart"/>
      <w:r w:rsidRPr="002A342B">
        <w:rPr>
          <w:rFonts w:ascii="Book Antiqua" w:hAnsi="Book Antiqua" w:cs="宋体"/>
          <w:color w:val="000000"/>
          <w:sz w:val="24"/>
          <w:szCs w:val="24"/>
          <w:lang w:eastAsia="zh-CN"/>
        </w:rPr>
        <w:t>Tringale</w:t>
      </w:r>
      <w:proofErr w:type="spellEnd"/>
      <w:r w:rsidRPr="002A342B">
        <w:rPr>
          <w:rFonts w:ascii="Book Antiqua" w:hAnsi="Book Antiqua" w:cs="宋体"/>
          <w:color w:val="000000"/>
          <w:sz w:val="24"/>
          <w:szCs w:val="24"/>
          <w:lang w:eastAsia="zh-CN"/>
        </w:rPr>
        <w:t xml:space="preserve"> C, Valentine D, </w:t>
      </w:r>
      <w:proofErr w:type="spellStart"/>
      <w:r w:rsidRPr="002A342B">
        <w:rPr>
          <w:rFonts w:ascii="Book Antiqua" w:hAnsi="Book Antiqua" w:cs="宋体"/>
          <w:color w:val="000000"/>
          <w:sz w:val="24"/>
          <w:szCs w:val="24"/>
          <w:lang w:eastAsia="zh-CN"/>
        </w:rPr>
        <w:t>Johnsen</w:t>
      </w:r>
      <w:proofErr w:type="spellEnd"/>
      <w:r w:rsidRPr="002A342B">
        <w:rPr>
          <w:rFonts w:ascii="Book Antiqua" w:hAnsi="Book Antiqua" w:cs="宋体"/>
          <w:color w:val="000000"/>
          <w:sz w:val="24"/>
          <w:szCs w:val="24"/>
          <w:lang w:eastAsia="zh-CN"/>
        </w:rPr>
        <w:t xml:space="preserve"> B, Grossman J. Systematic review: comparative effectiveness of treatments to prevent fractures in men and women with low bone density or osteoporosis. </w:t>
      </w:r>
      <w:r w:rsidRPr="002A342B">
        <w:rPr>
          <w:rFonts w:ascii="Book Antiqua" w:hAnsi="Book Antiqua" w:cs="宋体"/>
          <w:i/>
          <w:iCs/>
          <w:color w:val="000000"/>
          <w:sz w:val="24"/>
          <w:szCs w:val="24"/>
          <w:lang w:eastAsia="zh-CN"/>
        </w:rPr>
        <w:t>Ann Intern Med</w:t>
      </w:r>
      <w:r w:rsidRPr="002A342B">
        <w:rPr>
          <w:rFonts w:ascii="Book Antiqua" w:hAnsi="Book Antiqua" w:cs="宋体"/>
          <w:color w:val="000000"/>
          <w:sz w:val="24"/>
          <w:szCs w:val="24"/>
          <w:lang w:eastAsia="zh-CN"/>
        </w:rPr>
        <w:t> 2008; </w:t>
      </w:r>
      <w:r w:rsidRPr="002A342B">
        <w:rPr>
          <w:rFonts w:ascii="Book Antiqua" w:hAnsi="Book Antiqua" w:cs="宋体"/>
          <w:b/>
          <w:bCs/>
          <w:color w:val="000000"/>
          <w:sz w:val="24"/>
          <w:szCs w:val="24"/>
          <w:lang w:eastAsia="zh-CN"/>
        </w:rPr>
        <w:t>148</w:t>
      </w:r>
      <w:r w:rsidRPr="002A342B">
        <w:rPr>
          <w:rFonts w:ascii="Book Antiqua" w:hAnsi="Book Antiqua" w:cs="宋体"/>
          <w:color w:val="000000"/>
          <w:sz w:val="24"/>
          <w:szCs w:val="24"/>
          <w:lang w:eastAsia="zh-CN"/>
        </w:rPr>
        <w:t>: 197-213 [PMID: 18087050]</w:t>
      </w:r>
    </w:p>
    <w:p w:rsidR="002A342B" w:rsidRPr="002A342B" w:rsidRDefault="002A342B" w:rsidP="002A342B">
      <w:pPr>
        <w:spacing w:line="360" w:lineRule="auto"/>
        <w:jc w:val="both"/>
        <w:rPr>
          <w:rFonts w:ascii="Book Antiqua" w:hAnsi="Book Antiqua" w:cs="宋体"/>
          <w:color w:val="000000"/>
          <w:sz w:val="24"/>
          <w:szCs w:val="24"/>
          <w:lang w:eastAsia="zh-CN"/>
        </w:rPr>
      </w:pPr>
      <w:r w:rsidRPr="002A342B">
        <w:rPr>
          <w:rFonts w:ascii="Book Antiqua" w:hAnsi="Book Antiqua" w:cs="宋体"/>
          <w:color w:val="000000"/>
          <w:sz w:val="24"/>
          <w:szCs w:val="24"/>
          <w:lang w:eastAsia="zh-CN"/>
        </w:rPr>
        <w:t>16 </w:t>
      </w:r>
      <w:proofErr w:type="spellStart"/>
      <w:r w:rsidRPr="002A342B">
        <w:rPr>
          <w:rFonts w:ascii="Book Antiqua" w:hAnsi="Book Antiqua" w:cs="宋体"/>
          <w:b/>
          <w:bCs/>
          <w:color w:val="000000"/>
          <w:sz w:val="24"/>
          <w:szCs w:val="24"/>
          <w:lang w:eastAsia="zh-CN"/>
        </w:rPr>
        <w:t>Papaioannou</w:t>
      </w:r>
      <w:proofErr w:type="spellEnd"/>
      <w:r w:rsidRPr="002A342B">
        <w:rPr>
          <w:rFonts w:ascii="Book Antiqua" w:hAnsi="Book Antiqua" w:cs="宋体"/>
          <w:b/>
          <w:bCs/>
          <w:color w:val="000000"/>
          <w:sz w:val="24"/>
          <w:szCs w:val="24"/>
          <w:lang w:eastAsia="zh-CN"/>
        </w:rPr>
        <w:t xml:space="preserve"> A</w:t>
      </w:r>
      <w:r w:rsidRPr="002A342B">
        <w:rPr>
          <w:rFonts w:ascii="Book Antiqua" w:hAnsi="Book Antiqua" w:cs="宋体"/>
          <w:color w:val="000000"/>
          <w:sz w:val="24"/>
          <w:szCs w:val="24"/>
          <w:lang w:eastAsia="zh-CN"/>
        </w:rPr>
        <w:t xml:space="preserve">, Morin S, Cheung AM, Atkinson S, Brown JP, Feldman S, Hanley DA, </w:t>
      </w:r>
      <w:proofErr w:type="spellStart"/>
      <w:r w:rsidRPr="002A342B">
        <w:rPr>
          <w:rFonts w:ascii="Book Antiqua" w:hAnsi="Book Antiqua" w:cs="宋体"/>
          <w:color w:val="000000"/>
          <w:sz w:val="24"/>
          <w:szCs w:val="24"/>
          <w:lang w:eastAsia="zh-CN"/>
        </w:rPr>
        <w:t>Hodsman</w:t>
      </w:r>
      <w:proofErr w:type="spellEnd"/>
      <w:r w:rsidRPr="002A342B">
        <w:rPr>
          <w:rFonts w:ascii="Book Antiqua" w:hAnsi="Book Antiqua" w:cs="宋体"/>
          <w:color w:val="000000"/>
          <w:sz w:val="24"/>
          <w:szCs w:val="24"/>
          <w:lang w:eastAsia="zh-CN"/>
        </w:rPr>
        <w:t xml:space="preserve"> A, Jamal SA, Kaiser SM, </w:t>
      </w:r>
      <w:proofErr w:type="spellStart"/>
      <w:r w:rsidRPr="002A342B">
        <w:rPr>
          <w:rFonts w:ascii="Book Antiqua" w:hAnsi="Book Antiqua" w:cs="宋体"/>
          <w:color w:val="000000"/>
          <w:sz w:val="24"/>
          <w:szCs w:val="24"/>
          <w:lang w:eastAsia="zh-CN"/>
        </w:rPr>
        <w:t>Kvern</w:t>
      </w:r>
      <w:proofErr w:type="spellEnd"/>
      <w:r w:rsidRPr="002A342B">
        <w:rPr>
          <w:rFonts w:ascii="Book Antiqua" w:hAnsi="Book Antiqua" w:cs="宋体"/>
          <w:color w:val="000000"/>
          <w:sz w:val="24"/>
          <w:szCs w:val="24"/>
          <w:lang w:eastAsia="zh-CN"/>
        </w:rPr>
        <w:t xml:space="preserve"> B, </w:t>
      </w:r>
      <w:proofErr w:type="spellStart"/>
      <w:r w:rsidRPr="002A342B">
        <w:rPr>
          <w:rFonts w:ascii="Book Antiqua" w:hAnsi="Book Antiqua" w:cs="宋体"/>
          <w:color w:val="000000"/>
          <w:sz w:val="24"/>
          <w:szCs w:val="24"/>
          <w:lang w:eastAsia="zh-CN"/>
        </w:rPr>
        <w:t>Siminoski</w:t>
      </w:r>
      <w:proofErr w:type="spellEnd"/>
      <w:r w:rsidRPr="002A342B">
        <w:rPr>
          <w:rFonts w:ascii="Book Antiqua" w:hAnsi="Book Antiqua" w:cs="宋体"/>
          <w:color w:val="000000"/>
          <w:sz w:val="24"/>
          <w:szCs w:val="24"/>
          <w:lang w:eastAsia="zh-CN"/>
        </w:rPr>
        <w:t xml:space="preserve"> K, Leslie WD. 2010 clinical practice guidelines for the diagnosis and management of osteoporosis in Canada: summary. </w:t>
      </w:r>
      <w:r w:rsidRPr="002A342B">
        <w:rPr>
          <w:rFonts w:ascii="Book Antiqua" w:hAnsi="Book Antiqua" w:cs="宋体"/>
          <w:i/>
          <w:iCs/>
          <w:color w:val="000000"/>
          <w:sz w:val="24"/>
          <w:szCs w:val="24"/>
          <w:lang w:eastAsia="zh-CN"/>
        </w:rPr>
        <w:t>CMAJ</w:t>
      </w:r>
      <w:r w:rsidRPr="002A342B">
        <w:rPr>
          <w:rFonts w:ascii="Book Antiqua" w:hAnsi="Book Antiqua" w:cs="宋体"/>
          <w:color w:val="000000"/>
          <w:sz w:val="24"/>
          <w:szCs w:val="24"/>
          <w:lang w:eastAsia="zh-CN"/>
        </w:rPr>
        <w:t> 2010; </w:t>
      </w:r>
      <w:r w:rsidRPr="002A342B">
        <w:rPr>
          <w:rFonts w:ascii="Book Antiqua" w:hAnsi="Book Antiqua" w:cs="宋体"/>
          <w:b/>
          <w:bCs/>
          <w:color w:val="000000"/>
          <w:sz w:val="24"/>
          <w:szCs w:val="24"/>
          <w:lang w:eastAsia="zh-CN"/>
        </w:rPr>
        <w:t>182</w:t>
      </w:r>
      <w:r w:rsidRPr="002A342B">
        <w:rPr>
          <w:rFonts w:ascii="Book Antiqua" w:hAnsi="Book Antiqua" w:cs="宋体"/>
          <w:color w:val="000000"/>
          <w:sz w:val="24"/>
          <w:szCs w:val="24"/>
          <w:lang w:eastAsia="zh-CN"/>
        </w:rPr>
        <w:t>: 1864-1873 [PMID: 20940232 DOI: 10.1503/cmaj.100771]</w:t>
      </w:r>
    </w:p>
    <w:p w:rsidR="002A342B" w:rsidRPr="002A342B" w:rsidRDefault="002A342B" w:rsidP="002A342B">
      <w:pPr>
        <w:spacing w:line="360" w:lineRule="auto"/>
        <w:jc w:val="both"/>
        <w:rPr>
          <w:rFonts w:ascii="Book Antiqua" w:hAnsi="Book Antiqua" w:cs="宋体"/>
          <w:color w:val="000000"/>
          <w:sz w:val="24"/>
          <w:szCs w:val="24"/>
          <w:lang w:eastAsia="zh-CN"/>
        </w:rPr>
      </w:pPr>
      <w:r w:rsidRPr="002A342B">
        <w:rPr>
          <w:rFonts w:ascii="Book Antiqua" w:hAnsi="Book Antiqua" w:cs="宋体"/>
          <w:color w:val="000000"/>
          <w:sz w:val="24"/>
          <w:szCs w:val="24"/>
          <w:lang w:eastAsia="zh-CN"/>
        </w:rPr>
        <w:t>17 </w:t>
      </w:r>
      <w:r w:rsidRPr="002A342B">
        <w:rPr>
          <w:rFonts w:ascii="Book Antiqua" w:hAnsi="Book Antiqua" w:cs="宋体"/>
          <w:b/>
          <w:bCs/>
          <w:color w:val="000000"/>
          <w:sz w:val="24"/>
          <w:szCs w:val="24"/>
          <w:lang w:eastAsia="zh-CN"/>
        </w:rPr>
        <w:t>Wells GA</w:t>
      </w:r>
      <w:r w:rsidRPr="002A342B">
        <w:rPr>
          <w:rFonts w:ascii="Book Antiqua" w:hAnsi="Book Antiqua" w:cs="宋体"/>
          <w:color w:val="000000"/>
          <w:sz w:val="24"/>
          <w:szCs w:val="24"/>
          <w:lang w:eastAsia="zh-CN"/>
        </w:rPr>
        <w:t xml:space="preserve">, </w:t>
      </w:r>
      <w:proofErr w:type="spellStart"/>
      <w:r w:rsidRPr="002A342B">
        <w:rPr>
          <w:rFonts w:ascii="Book Antiqua" w:hAnsi="Book Antiqua" w:cs="宋体"/>
          <w:color w:val="000000"/>
          <w:sz w:val="24"/>
          <w:szCs w:val="24"/>
          <w:lang w:eastAsia="zh-CN"/>
        </w:rPr>
        <w:t>Cranney</w:t>
      </w:r>
      <w:proofErr w:type="spellEnd"/>
      <w:r w:rsidRPr="002A342B">
        <w:rPr>
          <w:rFonts w:ascii="Book Antiqua" w:hAnsi="Book Antiqua" w:cs="宋体"/>
          <w:color w:val="000000"/>
          <w:sz w:val="24"/>
          <w:szCs w:val="24"/>
          <w:lang w:eastAsia="zh-CN"/>
        </w:rPr>
        <w:t xml:space="preserve"> A, Peterson J, Boucher M, Shea B, Robinson V, Coyle D, </w:t>
      </w:r>
      <w:proofErr w:type="spellStart"/>
      <w:r w:rsidRPr="002A342B">
        <w:rPr>
          <w:rFonts w:ascii="Book Antiqua" w:hAnsi="Book Antiqua" w:cs="宋体"/>
          <w:color w:val="000000"/>
          <w:sz w:val="24"/>
          <w:szCs w:val="24"/>
          <w:lang w:eastAsia="zh-CN"/>
        </w:rPr>
        <w:t>Tugwell</w:t>
      </w:r>
      <w:proofErr w:type="spellEnd"/>
      <w:r w:rsidRPr="002A342B">
        <w:rPr>
          <w:rFonts w:ascii="Book Antiqua" w:hAnsi="Book Antiqua" w:cs="宋体"/>
          <w:color w:val="000000"/>
          <w:sz w:val="24"/>
          <w:szCs w:val="24"/>
          <w:lang w:eastAsia="zh-CN"/>
        </w:rPr>
        <w:t xml:space="preserve"> P. Alendronate for the primary and secondary prevention of osteoporotic fractures in postmenopausal women. </w:t>
      </w:r>
      <w:r w:rsidRPr="002A342B">
        <w:rPr>
          <w:rFonts w:ascii="Book Antiqua" w:hAnsi="Book Antiqua" w:cs="宋体"/>
          <w:i/>
          <w:iCs/>
          <w:color w:val="000000"/>
          <w:sz w:val="24"/>
          <w:szCs w:val="24"/>
          <w:lang w:eastAsia="zh-CN"/>
        </w:rPr>
        <w:t xml:space="preserve">Cochrane Database </w:t>
      </w:r>
      <w:proofErr w:type="spellStart"/>
      <w:r w:rsidRPr="002A342B">
        <w:rPr>
          <w:rFonts w:ascii="Book Antiqua" w:hAnsi="Book Antiqua" w:cs="宋体"/>
          <w:i/>
          <w:iCs/>
          <w:color w:val="000000"/>
          <w:sz w:val="24"/>
          <w:szCs w:val="24"/>
          <w:lang w:eastAsia="zh-CN"/>
        </w:rPr>
        <w:t>Syst</w:t>
      </w:r>
      <w:proofErr w:type="spellEnd"/>
      <w:r w:rsidRPr="002A342B">
        <w:rPr>
          <w:rFonts w:ascii="Book Antiqua" w:hAnsi="Book Antiqua" w:cs="宋体"/>
          <w:i/>
          <w:iCs/>
          <w:color w:val="000000"/>
          <w:sz w:val="24"/>
          <w:szCs w:val="24"/>
          <w:lang w:eastAsia="zh-CN"/>
        </w:rPr>
        <w:t xml:space="preserve"> Rev</w:t>
      </w:r>
      <w:r w:rsidRPr="002A342B">
        <w:rPr>
          <w:rFonts w:ascii="Book Antiqua" w:hAnsi="Book Antiqua" w:cs="宋体"/>
          <w:color w:val="000000"/>
          <w:sz w:val="24"/>
          <w:szCs w:val="24"/>
          <w:lang w:eastAsia="zh-CN"/>
        </w:rPr>
        <w:t> 2008; </w:t>
      </w:r>
      <w:r w:rsidRPr="002A342B">
        <w:rPr>
          <w:rFonts w:ascii="Book Antiqua" w:hAnsi="Book Antiqua" w:cs="宋体" w:hint="eastAsia"/>
          <w:b/>
          <w:color w:val="000000"/>
          <w:sz w:val="24"/>
          <w:szCs w:val="24"/>
          <w:lang w:eastAsia="zh-CN"/>
        </w:rPr>
        <w:t>23(1)</w:t>
      </w:r>
      <w:r w:rsidRPr="002A342B">
        <w:rPr>
          <w:rFonts w:ascii="Book Antiqua" w:hAnsi="Book Antiqua" w:cs="宋体"/>
          <w:b/>
          <w:color w:val="000000"/>
          <w:sz w:val="24"/>
          <w:szCs w:val="24"/>
          <w:lang w:eastAsia="zh-CN"/>
        </w:rPr>
        <w:t>:</w:t>
      </w:r>
      <w:r w:rsidRPr="002A342B">
        <w:rPr>
          <w:rFonts w:ascii="Book Antiqua" w:hAnsi="Book Antiqua" w:cs="宋体"/>
          <w:color w:val="000000"/>
          <w:sz w:val="24"/>
          <w:szCs w:val="24"/>
          <w:lang w:eastAsia="zh-CN"/>
        </w:rPr>
        <w:t xml:space="preserve"> CD001155 [PMID: 18253985 DOI: 10.1002/14651858.CD001155]</w:t>
      </w:r>
    </w:p>
    <w:p w:rsidR="002A342B" w:rsidRPr="002A342B" w:rsidRDefault="002A342B" w:rsidP="002A342B">
      <w:pPr>
        <w:spacing w:line="360" w:lineRule="auto"/>
        <w:jc w:val="both"/>
        <w:rPr>
          <w:rFonts w:ascii="Book Antiqua" w:hAnsi="Book Antiqua" w:cs="宋体"/>
          <w:color w:val="000000"/>
          <w:sz w:val="24"/>
          <w:szCs w:val="24"/>
          <w:lang w:eastAsia="zh-CN"/>
        </w:rPr>
      </w:pPr>
      <w:r w:rsidRPr="002A342B">
        <w:rPr>
          <w:rFonts w:ascii="Book Antiqua" w:hAnsi="Book Antiqua" w:cs="宋体"/>
          <w:color w:val="000000"/>
          <w:sz w:val="24"/>
          <w:szCs w:val="24"/>
          <w:lang w:eastAsia="zh-CN"/>
        </w:rPr>
        <w:t>18 </w:t>
      </w:r>
      <w:r w:rsidRPr="002A342B">
        <w:rPr>
          <w:rFonts w:ascii="Book Antiqua" w:hAnsi="Book Antiqua" w:cs="宋体"/>
          <w:b/>
          <w:bCs/>
          <w:color w:val="000000"/>
          <w:sz w:val="24"/>
          <w:szCs w:val="24"/>
          <w:lang w:eastAsia="zh-CN"/>
        </w:rPr>
        <w:t>Wells G</w:t>
      </w:r>
      <w:r w:rsidRPr="002A342B">
        <w:rPr>
          <w:rFonts w:ascii="Book Antiqua" w:hAnsi="Book Antiqua" w:cs="宋体"/>
          <w:color w:val="000000"/>
          <w:sz w:val="24"/>
          <w:szCs w:val="24"/>
          <w:lang w:eastAsia="zh-CN"/>
        </w:rPr>
        <w:t xml:space="preserve">, </w:t>
      </w:r>
      <w:proofErr w:type="spellStart"/>
      <w:r w:rsidRPr="002A342B">
        <w:rPr>
          <w:rFonts w:ascii="Book Antiqua" w:hAnsi="Book Antiqua" w:cs="宋体"/>
          <w:color w:val="000000"/>
          <w:sz w:val="24"/>
          <w:szCs w:val="24"/>
          <w:lang w:eastAsia="zh-CN"/>
        </w:rPr>
        <w:t>Cranney</w:t>
      </w:r>
      <w:proofErr w:type="spellEnd"/>
      <w:r w:rsidRPr="002A342B">
        <w:rPr>
          <w:rFonts w:ascii="Book Antiqua" w:hAnsi="Book Antiqua" w:cs="宋体"/>
          <w:color w:val="000000"/>
          <w:sz w:val="24"/>
          <w:szCs w:val="24"/>
          <w:lang w:eastAsia="zh-CN"/>
        </w:rPr>
        <w:t xml:space="preserve"> A, Peterson J, Boucher M, Shea B, Robinson V, Coyle D, </w:t>
      </w:r>
      <w:proofErr w:type="spellStart"/>
      <w:r w:rsidRPr="002A342B">
        <w:rPr>
          <w:rFonts w:ascii="Book Antiqua" w:hAnsi="Book Antiqua" w:cs="宋体"/>
          <w:color w:val="000000"/>
          <w:sz w:val="24"/>
          <w:szCs w:val="24"/>
          <w:lang w:eastAsia="zh-CN"/>
        </w:rPr>
        <w:t>Tugwell</w:t>
      </w:r>
      <w:proofErr w:type="spellEnd"/>
      <w:r w:rsidRPr="002A342B">
        <w:rPr>
          <w:rFonts w:ascii="Book Antiqua" w:hAnsi="Book Antiqua" w:cs="宋体"/>
          <w:color w:val="000000"/>
          <w:sz w:val="24"/>
          <w:szCs w:val="24"/>
          <w:lang w:eastAsia="zh-CN"/>
        </w:rPr>
        <w:t xml:space="preserve"> P. </w:t>
      </w:r>
      <w:proofErr w:type="spellStart"/>
      <w:r w:rsidRPr="002A342B">
        <w:rPr>
          <w:rFonts w:ascii="Book Antiqua" w:hAnsi="Book Antiqua" w:cs="宋体"/>
          <w:color w:val="000000"/>
          <w:sz w:val="24"/>
          <w:szCs w:val="24"/>
          <w:lang w:eastAsia="zh-CN"/>
        </w:rPr>
        <w:t>Risedronate</w:t>
      </w:r>
      <w:proofErr w:type="spellEnd"/>
      <w:r w:rsidRPr="002A342B">
        <w:rPr>
          <w:rFonts w:ascii="Book Antiqua" w:hAnsi="Book Antiqua" w:cs="宋体"/>
          <w:color w:val="000000"/>
          <w:sz w:val="24"/>
          <w:szCs w:val="24"/>
          <w:lang w:eastAsia="zh-CN"/>
        </w:rPr>
        <w:t xml:space="preserve"> for the primary and secondary prevention of osteoporotic fractures in postmenopausal women. </w:t>
      </w:r>
      <w:r w:rsidRPr="002A342B">
        <w:rPr>
          <w:rFonts w:ascii="Book Antiqua" w:hAnsi="Book Antiqua" w:cs="宋体"/>
          <w:i/>
          <w:iCs/>
          <w:color w:val="000000"/>
          <w:sz w:val="24"/>
          <w:szCs w:val="24"/>
          <w:lang w:eastAsia="zh-CN"/>
        </w:rPr>
        <w:t xml:space="preserve">Cochrane Database </w:t>
      </w:r>
      <w:proofErr w:type="spellStart"/>
      <w:r w:rsidRPr="002A342B">
        <w:rPr>
          <w:rFonts w:ascii="Book Antiqua" w:hAnsi="Book Antiqua" w:cs="宋体"/>
          <w:i/>
          <w:iCs/>
          <w:color w:val="000000"/>
          <w:sz w:val="24"/>
          <w:szCs w:val="24"/>
          <w:lang w:eastAsia="zh-CN"/>
        </w:rPr>
        <w:t>Syst</w:t>
      </w:r>
      <w:proofErr w:type="spellEnd"/>
      <w:r w:rsidRPr="002A342B">
        <w:rPr>
          <w:rFonts w:ascii="Book Antiqua" w:hAnsi="Book Antiqua" w:cs="宋体"/>
          <w:i/>
          <w:iCs/>
          <w:color w:val="000000"/>
          <w:sz w:val="24"/>
          <w:szCs w:val="24"/>
          <w:lang w:eastAsia="zh-CN"/>
        </w:rPr>
        <w:t xml:space="preserve"> Rev</w:t>
      </w:r>
      <w:r w:rsidRPr="002A342B">
        <w:rPr>
          <w:rFonts w:ascii="Book Antiqua" w:hAnsi="Book Antiqua" w:cs="宋体"/>
          <w:color w:val="000000"/>
          <w:sz w:val="24"/>
          <w:szCs w:val="24"/>
          <w:lang w:eastAsia="zh-CN"/>
        </w:rPr>
        <w:t> 2008; </w:t>
      </w:r>
      <w:r w:rsidRPr="002A342B">
        <w:rPr>
          <w:rFonts w:ascii="Book Antiqua" w:hAnsi="Book Antiqua" w:cs="宋体" w:hint="eastAsia"/>
          <w:b/>
          <w:color w:val="000000"/>
          <w:sz w:val="24"/>
          <w:szCs w:val="24"/>
          <w:lang w:eastAsia="zh-CN"/>
        </w:rPr>
        <w:t>23(1)</w:t>
      </w:r>
      <w:r w:rsidRPr="002A342B">
        <w:rPr>
          <w:rFonts w:ascii="Book Antiqua" w:hAnsi="Book Antiqua" w:cs="宋体"/>
          <w:b/>
          <w:color w:val="000000"/>
          <w:sz w:val="24"/>
          <w:szCs w:val="24"/>
          <w:lang w:eastAsia="zh-CN"/>
        </w:rPr>
        <w:t>:</w:t>
      </w:r>
      <w:r w:rsidRPr="002A342B">
        <w:rPr>
          <w:rFonts w:ascii="Book Antiqua" w:hAnsi="Book Antiqua" w:cs="宋体"/>
          <w:color w:val="000000"/>
          <w:sz w:val="24"/>
          <w:szCs w:val="24"/>
          <w:lang w:eastAsia="zh-CN"/>
        </w:rPr>
        <w:t xml:space="preserve"> CD004523 [PMID: 18254053 DOI: 10.1002/14651858.CD004523]</w:t>
      </w:r>
    </w:p>
    <w:p w:rsidR="002A342B" w:rsidRPr="002A342B" w:rsidRDefault="002A342B" w:rsidP="002A342B">
      <w:pPr>
        <w:spacing w:line="360" w:lineRule="auto"/>
        <w:jc w:val="both"/>
        <w:rPr>
          <w:rFonts w:ascii="Book Antiqua" w:hAnsi="Book Antiqua" w:cs="宋体"/>
          <w:color w:val="000000"/>
          <w:sz w:val="24"/>
          <w:szCs w:val="24"/>
          <w:lang w:eastAsia="zh-CN"/>
        </w:rPr>
      </w:pPr>
      <w:r>
        <w:rPr>
          <w:rFonts w:ascii="Book Antiqua" w:hAnsi="Book Antiqua" w:cs="宋体" w:hint="eastAsia"/>
          <w:color w:val="000000"/>
          <w:sz w:val="24"/>
          <w:szCs w:val="24"/>
          <w:lang w:eastAsia="zh-CN"/>
        </w:rPr>
        <w:t>19</w:t>
      </w:r>
      <w:r w:rsidRPr="002A342B">
        <w:rPr>
          <w:rFonts w:ascii="Book Antiqua" w:hAnsi="Book Antiqua" w:cs="宋体"/>
          <w:color w:val="000000"/>
          <w:sz w:val="24"/>
          <w:szCs w:val="24"/>
          <w:lang w:eastAsia="zh-CN"/>
        </w:rPr>
        <w:t> </w:t>
      </w:r>
      <w:proofErr w:type="spellStart"/>
      <w:r w:rsidRPr="002A342B">
        <w:rPr>
          <w:rFonts w:ascii="Book Antiqua" w:hAnsi="Book Antiqua" w:cs="宋体"/>
          <w:b/>
          <w:bCs/>
          <w:color w:val="000000"/>
          <w:sz w:val="24"/>
          <w:szCs w:val="24"/>
          <w:lang w:eastAsia="zh-CN"/>
        </w:rPr>
        <w:t>Baim</w:t>
      </w:r>
      <w:proofErr w:type="spellEnd"/>
      <w:r w:rsidRPr="002A342B">
        <w:rPr>
          <w:rFonts w:ascii="Book Antiqua" w:hAnsi="Book Antiqua" w:cs="宋体"/>
          <w:b/>
          <w:bCs/>
          <w:color w:val="000000"/>
          <w:sz w:val="24"/>
          <w:szCs w:val="24"/>
          <w:lang w:eastAsia="zh-CN"/>
        </w:rPr>
        <w:t xml:space="preserve"> S</w:t>
      </w:r>
      <w:r w:rsidRPr="002A342B">
        <w:rPr>
          <w:rFonts w:ascii="Book Antiqua" w:hAnsi="Book Antiqua" w:cs="宋体"/>
          <w:color w:val="000000"/>
          <w:sz w:val="24"/>
          <w:szCs w:val="24"/>
          <w:lang w:eastAsia="zh-CN"/>
        </w:rPr>
        <w:t xml:space="preserve">, Binkley N, </w:t>
      </w:r>
      <w:proofErr w:type="spellStart"/>
      <w:r w:rsidRPr="002A342B">
        <w:rPr>
          <w:rFonts w:ascii="Book Antiqua" w:hAnsi="Book Antiqua" w:cs="宋体"/>
          <w:color w:val="000000"/>
          <w:sz w:val="24"/>
          <w:szCs w:val="24"/>
          <w:lang w:eastAsia="zh-CN"/>
        </w:rPr>
        <w:t>Bilezikian</w:t>
      </w:r>
      <w:proofErr w:type="spellEnd"/>
      <w:r w:rsidRPr="002A342B">
        <w:rPr>
          <w:rFonts w:ascii="Book Antiqua" w:hAnsi="Book Antiqua" w:cs="宋体"/>
          <w:color w:val="000000"/>
          <w:sz w:val="24"/>
          <w:szCs w:val="24"/>
          <w:lang w:eastAsia="zh-CN"/>
        </w:rPr>
        <w:t xml:space="preserve"> JP, </w:t>
      </w:r>
      <w:proofErr w:type="spellStart"/>
      <w:r w:rsidRPr="002A342B">
        <w:rPr>
          <w:rFonts w:ascii="Book Antiqua" w:hAnsi="Book Antiqua" w:cs="宋体"/>
          <w:color w:val="000000"/>
          <w:sz w:val="24"/>
          <w:szCs w:val="24"/>
          <w:lang w:eastAsia="zh-CN"/>
        </w:rPr>
        <w:t>Kendler</w:t>
      </w:r>
      <w:proofErr w:type="spellEnd"/>
      <w:r w:rsidRPr="002A342B">
        <w:rPr>
          <w:rFonts w:ascii="Book Antiqua" w:hAnsi="Book Antiqua" w:cs="宋体"/>
          <w:color w:val="000000"/>
          <w:sz w:val="24"/>
          <w:szCs w:val="24"/>
          <w:lang w:eastAsia="zh-CN"/>
        </w:rPr>
        <w:t xml:space="preserve"> DL, Hans DB, </w:t>
      </w:r>
      <w:proofErr w:type="spellStart"/>
      <w:r w:rsidRPr="002A342B">
        <w:rPr>
          <w:rFonts w:ascii="Book Antiqua" w:hAnsi="Book Antiqua" w:cs="宋体"/>
          <w:color w:val="000000"/>
          <w:sz w:val="24"/>
          <w:szCs w:val="24"/>
          <w:lang w:eastAsia="zh-CN"/>
        </w:rPr>
        <w:t>Lewiecki</w:t>
      </w:r>
      <w:proofErr w:type="spellEnd"/>
      <w:r w:rsidRPr="002A342B">
        <w:rPr>
          <w:rFonts w:ascii="Book Antiqua" w:hAnsi="Book Antiqua" w:cs="宋体"/>
          <w:color w:val="000000"/>
          <w:sz w:val="24"/>
          <w:szCs w:val="24"/>
          <w:lang w:eastAsia="zh-CN"/>
        </w:rPr>
        <w:t xml:space="preserve"> EM, Silverman S. Official Positions of the International Society for Clinical Densitometry and executive summary of the 2007 ISCD Position Development Conference. </w:t>
      </w:r>
      <w:r w:rsidRPr="002A342B">
        <w:rPr>
          <w:rFonts w:ascii="Book Antiqua" w:hAnsi="Book Antiqua" w:cs="宋体"/>
          <w:i/>
          <w:iCs/>
          <w:color w:val="000000"/>
          <w:sz w:val="24"/>
          <w:szCs w:val="24"/>
          <w:lang w:eastAsia="zh-CN"/>
        </w:rPr>
        <w:t xml:space="preserve">J </w:t>
      </w:r>
      <w:proofErr w:type="spellStart"/>
      <w:r w:rsidRPr="002A342B">
        <w:rPr>
          <w:rFonts w:ascii="Book Antiqua" w:hAnsi="Book Antiqua" w:cs="宋体"/>
          <w:i/>
          <w:iCs/>
          <w:color w:val="000000"/>
          <w:sz w:val="24"/>
          <w:szCs w:val="24"/>
          <w:lang w:eastAsia="zh-CN"/>
        </w:rPr>
        <w:t>Clin</w:t>
      </w:r>
      <w:proofErr w:type="spellEnd"/>
      <w:r w:rsidRPr="002A342B">
        <w:rPr>
          <w:rFonts w:ascii="Book Antiqua" w:hAnsi="Book Antiqua" w:cs="宋体"/>
          <w:i/>
          <w:iCs/>
          <w:color w:val="000000"/>
          <w:sz w:val="24"/>
          <w:szCs w:val="24"/>
          <w:lang w:eastAsia="zh-CN"/>
        </w:rPr>
        <w:t xml:space="preserve"> </w:t>
      </w:r>
      <w:proofErr w:type="spellStart"/>
      <w:r w:rsidRPr="002A342B">
        <w:rPr>
          <w:rFonts w:ascii="Book Antiqua" w:hAnsi="Book Antiqua" w:cs="宋体"/>
          <w:i/>
          <w:iCs/>
          <w:color w:val="000000"/>
          <w:sz w:val="24"/>
          <w:szCs w:val="24"/>
          <w:lang w:eastAsia="zh-CN"/>
        </w:rPr>
        <w:t>Densitom</w:t>
      </w:r>
      <w:proofErr w:type="spellEnd"/>
      <w:r w:rsidRPr="002A342B">
        <w:rPr>
          <w:rFonts w:ascii="Book Antiqua" w:hAnsi="Book Antiqua" w:cs="宋体"/>
          <w:color w:val="000000"/>
          <w:sz w:val="24"/>
          <w:szCs w:val="24"/>
          <w:lang w:eastAsia="zh-CN"/>
        </w:rPr>
        <w:t> </w:t>
      </w:r>
      <w:r>
        <w:rPr>
          <w:rFonts w:ascii="Book Antiqua" w:hAnsi="Book Antiqua" w:cs="宋体" w:hint="eastAsia"/>
          <w:color w:val="000000"/>
          <w:sz w:val="24"/>
          <w:szCs w:val="24"/>
          <w:lang w:eastAsia="zh-CN"/>
        </w:rPr>
        <w:t>2008</w:t>
      </w:r>
      <w:r w:rsidRPr="002A342B">
        <w:rPr>
          <w:rFonts w:ascii="Book Antiqua" w:hAnsi="Book Antiqua" w:cs="宋体"/>
          <w:color w:val="000000"/>
          <w:sz w:val="24"/>
          <w:szCs w:val="24"/>
          <w:lang w:eastAsia="zh-CN"/>
        </w:rPr>
        <w:t>; </w:t>
      </w:r>
      <w:r w:rsidRPr="002A342B">
        <w:rPr>
          <w:rFonts w:ascii="Book Antiqua" w:hAnsi="Book Antiqua" w:cs="宋体"/>
          <w:b/>
          <w:bCs/>
          <w:color w:val="000000"/>
          <w:sz w:val="24"/>
          <w:szCs w:val="24"/>
          <w:lang w:eastAsia="zh-CN"/>
        </w:rPr>
        <w:t>11</w:t>
      </w:r>
      <w:r w:rsidRPr="002A342B">
        <w:rPr>
          <w:rFonts w:ascii="Book Antiqua" w:hAnsi="Book Antiqua" w:cs="宋体"/>
          <w:color w:val="000000"/>
          <w:sz w:val="24"/>
          <w:szCs w:val="24"/>
          <w:lang w:eastAsia="zh-CN"/>
        </w:rPr>
        <w:t>: 75-91 [PMID: 18442754 DOI: 10.1016/j.jocd.2007.12.007]</w:t>
      </w:r>
    </w:p>
    <w:p w:rsidR="002A342B" w:rsidRPr="002A342B" w:rsidRDefault="002A342B" w:rsidP="002A342B">
      <w:pPr>
        <w:spacing w:line="360" w:lineRule="auto"/>
        <w:jc w:val="both"/>
        <w:rPr>
          <w:rFonts w:ascii="Book Antiqua" w:hAnsi="Book Antiqua" w:cs="宋体"/>
          <w:color w:val="000000"/>
          <w:sz w:val="24"/>
          <w:szCs w:val="24"/>
          <w:lang w:eastAsia="zh-CN"/>
        </w:rPr>
      </w:pPr>
      <w:r w:rsidRPr="002A342B">
        <w:rPr>
          <w:rFonts w:ascii="Book Antiqua" w:hAnsi="Book Antiqua" w:cs="宋体"/>
          <w:color w:val="000000"/>
          <w:sz w:val="24"/>
          <w:szCs w:val="24"/>
          <w:lang w:eastAsia="zh-CN"/>
        </w:rPr>
        <w:lastRenderedPageBreak/>
        <w:t>2</w:t>
      </w:r>
      <w:r>
        <w:rPr>
          <w:rFonts w:ascii="Book Antiqua" w:hAnsi="Book Antiqua" w:cs="宋体" w:hint="eastAsia"/>
          <w:color w:val="000000"/>
          <w:sz w:val="24"/>
          <w:szCs w:val="24"/>
          <w:lang w:eastAsia="zh-CN"/>
        </w:rPr>
        <w:t>0</w:t>
      </w:r>
      <w:r w:rsidRPr="002A342B">
        <w:rPr>
          <w:rFonts w:ascii="Book Antiqua" w:hAnsi="Book Antiqua" w:cs="宋体"/>
          <w:color w:val="000000"/>
          <w:sz w:val="24"/>
          <w:szCs w:val="24"/>
          <w:lang w:eastAsia="zh-CN"/>
        </w:rPr>
        <w:t> </w:t>
      </w:r>
      <w:r w:rsidRPr="002A342B">
        <w:rPr>
          <w:rFonts w:ascii="Book Antiqua" w:hAnsi="Book Antiqua" w:cs="宋体"/>
          <w:b/>
          <w:bCs/>
          <w:color w:val="000000"/>
          <w:sz w:val="24"/>
          <w:szCs w:val="24"/>
          <w:lang w:eastAsia="zh-CN"/>
        </w:rPr>
        <w:t>Cummings SR</w:t>
      </w:r>
      <w:r w:rsidRPr="002A342B">
        <w:rPr>
          <w:rFonts w:ascii="Book Antiqua" w:hAnsi="Book Antiqua" w:cs="宋体"/>
          <w:color w:val="000000"/>
          <w:sz w:val="24"/>
          <w:szCs w:val="24"/>
          <w:lang w:eastAsia="zh-CN"/>
        </w:rPr>
        <w:t>, Palermo L, Browner W, Marcus R, Wallace R, Pearson J, Blackwell T, Eckert S, Black D. Monitoring osteoporosis therapy with bone densitometry: misleading changes and regression to the mean. Fracture Intervention Trial Research Group. </w:t>
      </w:r>
      <w:r w:rsidRPr="002A342B">
        <w:rPr>
          <w:rFonts w:ascii="Book Antiqua" w:hAnsi="Book Antiqua" w:cs="宋体"/>
          <w:i/>
          <w:iCs/>
          <w:color w:val="000000"/>
          <w:sz w:val="24"/>
          <w:szCs w:val="24"/>
          <w:lang w:eastAsia="zh-CN"/>
        </w:rPr>
        <w:t>JAMA</w:t>
      </w:r>
      <w:r w:rsidRPr="002A342B">
        <w:rPr>
          <w:rFonts w:ascii="Book Antiqua" w:hAnsi="Book Antiqua" w:cs="宋体"/>
          <w:color w:val="000000"/>
          <w:sz w:val="24"/>
          <w:szCs w:val="24"/>
          <w:lang w:eastAsia="zh-CN"/>
        </w:rPr>
        <w:t> 2000; </w:t>
      </w:r>
      <w:r w:rsidRPr="002A342B">
        <w:rPr>
          <w:rFonts w:ascii="Book Antiqua" w:hAnsi="Book Antiqua" w:cs="宋体"/>
          <w:b/>
          <w:bCs/>
          <w:color w:val="000000"/>
          <w:sz w:val="24"/>
          <w:szCs w:val="24"/>
          <w:lang w:eastAsia="zh-CN"/>
        </w:rPr>
        <w:t>283</w:t>
      </w:r>
      <w:r w:rsidRPr="002A342B">
        <w:rPr>
          <w:rFonts w:ascii="Book Antiqua" w:hAnsi="Book Antiqua" w:cs="宋体"/>
          <w:color w:val="000000"/>
          <w:sz w:val="24"/>
          <w:szCs w:val="24"/>
          <w:lang w:eastAsia="zh-CN"/>
        </w:rPr>
        <w:t>: 1318-1321 [PMID: 10714731]</w:t>
      </w:r>
    </w:p>
    <w:p w:rsidR="002A342B" w:rsidRPr="002A342B" w:rsidRDefault="002A342B" w:rsidP="002A342B">
      <w:pPr>
        <w:spacing w:line="360" w:lineRule="auto"/>
        <w:jc w:val="both"/>
        <w:rPr>
          <w:rFonts w:ascii="Book Antiqua" w:hAnsi="Book Antiqua" w:cs="宋体"/>
          <w:color w:val="000000"/>
          <w:sz w:val="24"/>
          <w:szCs w:val="24"/>
          <w:lang w:eastAsia="zh-CN"/>
        </w:rPr>
      </w:pPr>
      <w:r w:rsidRPr="002A342B">
        <w:rPr>
          <w:rFonts w:ascii="Book Antiqua" w:hAnsi="Book Antiqua" w:cs="宋体"/>
          <w:color w:val="000000"/>
          <w:sz w:val="24"/>
          <w:szCs w:val="24"/>
          <w:lang w:eastAsia="zh-CN"/>
        </w:rPr>
        <w:t>2</w:t>
      </w:r>
      <w:r>
        <w:rPr>
          <w:rFonts w:ascii="Book Antiqua" w:hAnsi="Book Antiqua" w:cs="宋体" w:hint="eastAsia"/>
          <w:color w:val="000000"/>
          <w:sz w:val="24"/>
          <w:szCs w:val="24"/>
          <w:lang w:eastAsia="zh-CN"/>
        </w:rPr>
        <w:t>1</w:t>
      </w:r>
      <w:r w:rsidRPr="002A342B">
        <w:rPr>
          <w:rFonts w:ascii="Book Antiqua" w:hAnsi="Book Antiqua" w:cs="宋体"/>
          <w:color w:val="000000"/>
          <w:sz w:val="24"/>
          <w:szCs w:val="24"/>
          <w:lang w:eastAsia="zh-CN"/>
        </w:rPr>
        <w:t> </w:t>
      </w:r>
      <w:r w:rsidRPr="002A342B">
        <w:rPr>
          <w:rFonts w:ascii="Book Antiqua" w:hAnsi="Book Antiqua" w:cs="宋体"/>
          <w:b/>
          <w:bCs/>
          <w:color w:val="000000"/>
          <w:sz w:val="24"/>
          <w:szCs w:val="24"/>
          <w:lang w:eastAsia="zh-CN"/>
        </w:rPr>
        <w:t>Bell KJ</w:t>
      </w:r>
      <w:r w:rsidRPr="002A342B">
        <w:rPr>
          <w:rFonts w:ascii="Book Antiqua" w:hAnsi="Book Antiqua" w:cs="宋体"/>
          <w:color w:val="000000"/>
          <w:sz w:val="24"/>
          <w:szCs w:val="24"/>
          <w:lang w:eastAsia="zh-CN"/>
        </w:rPr>
        <w:t xml:space="preserve">, </w:t>
      </w:r>
      <w:proofErr w:type="spellStart"/>
      <w:r w:rsidRPr="002A342B">
        <w:rPr>
          <w:rFonts w:ascii="Book Antiqua" w:hAnsi="Book Antiqua" w:cs="宋体"/>
          <w:color w:val="000000"/>
          <w:sz w:val="24"/>
          <w:szCs w:val="24"/>
          <w:lang w:eastAsia="zh-CN"/>
        </w:rPr>
        <w:t>Hayen</w:t>
      </w:r>
      <w:proofErr w:type="spellEnd"/>
      <w:r w:rsidRPr="002A342B">
        <w:rPr>
          <w:rFonts w:ascii="Book Antiqua" w:hAnsi="Book Antiqua" w:cs="宋体"/>
          <w:color w:val="000000"/>
          <w:sz w:val="24"/>
          <w:szCs w:val="24"/>
          <w:lang w:eastAsia="zh-CN"/>
        </w:rPr>
        <w:t xml:space="preserve"> A, </w:t>
      </w:r>
      <w:proofErr w:type="spellStart"/>
      <w:r w:rsidRPr="002A342B">
        <w:rPr>
          <w:rFonts w:ascii="Book Antiqua" w:hAnsi="Book Antiqua" w:cs="宋体"/>
          <w:color w:val="000000"/>
          <w:sz w:val="24"/>
          <w:szCs w:val="24"/>
          <w:lang w:eastAsia="zh-CN"/>
        </w:rPr>
        <w:t>Macaskill</w:t>
      </w:r>
      <w:proofErr w:type="spellEnd"/>
      <w:r w:rsidRPr="002A342B">
        <w:rPr>
          <w:rFonts w:ascii="Book Antiqua" w:hAnsi="Book Antiqua" w:cs="宋体"/>
          <w:color w:val="000000"/>
          <w:sz w:val="24"/>
          <w:szCs w:val="24"/>
          <w:lang w:eastAsia="zh-CN"/>
        </w:rPr>
        <w:t xml:space="preserve"> P, </w:t>
      </w:r>
      <w:proofErr w:type="spellStart"/>
      <w:r w:rsidRPr="002A342B">
        <w:rPr>
          <w:rFonts w:ascii="Book Antiqua" w:hAnsi="Book Antiqua" w:cs="宋体"/>
          <w:color w:val="000000"/>
          <w:sz w:val="24"/>
          <w:szCs w:val="24"/>
          <w:lang w:eastAsia="zh-CN"/>
        </w:rPr>
        <w:t>Irwig</w:t>
      </w:r>
      <w:proofErr w:type="spellEnd"/>
      <w:r w:rsidRPr="002A342B">
        <w:rPr>
          <w:rFonts w:ascii="Book Antiqua" w:hAnsi="Book Antiqua" w:cs="宋体"/>
          <w:color w:val="000000"/>
          <w:sz w:val="24"/>
          <w:szCs w:val="24"/>
          <w:lang w:eastAsia="zh-CN"/>
        </w:rPr>
        <w:t xml:space="preserve"> L, Craig JC, </w:t>
      </w:r>
      <w:proofErr w:type="spellStart"/>
      <w:r w:rsidRPr="002A342B">
        <w:rPr>
          <w:rFonts w:ascii="Book Antiqua" w:hAnsi="Book Antiqua" w:cs="宋体"/>
          <w:color w:val="000000"/>
          <w:sz w:val="24"/>
          <w:szCs w:val="24"/>
          <w:lang w:eastAsia="zh-CN"/>
        </w:rPr>
        <w:t>Ensrud</w:t>
      </w:r>
      <w:proofErr w:type="spellEnd"/>
      <w:r w:rsidRPr="002A342B">
        <w:rPr>
          <w:rFonts w:ascii="Book Antiqua" w:hAnsi="Book Antiqua" w:cs="宋体"/>
          <w:color w:val="000000"/>
          <w:sz w:val="24"/>
          <w:szCs w:val="24"/>
          <w:lang w:eastAsia="zh-CN"/>
        </w:rPr>
        <w:t xml:space="preserve"> K, Bauer DC. Value of routine monitoring of bone mineral density after starting bisphosphonate treatment: secondary analysis of trial data. </w:t>
      </w:r>
      <w:r w:rsidRPr="002A342B">
        <w:rPr>
          <w:rFonts w:ascii="Book Antiqua" w:hAnsi="Book Antiqua" w:cs="宋体"/>
          <w:i/>
          <w:iCs/>
          <w:color w:val="000000"/>
          <w:sz w:val="24"/>
          <w:szCs w:val="24"/>
          <w:lang w:eastAsia="zh-CN"/>
        </w:rPr>
        <w:t>BMJ</w:t>
      </w:r>
      <w:r w:rsidRPr="002A342B">
        <w:rPr>
          <w:rFonts w:ascii="Book Antiqua" w:hAnsi="Book Antiqua" w:cs="宋体"/>
          <w:color w:val="000000"/>
          <w:sz w:val="24"/>
          <w:szCs w:val="24"/>
          <w:lang w:eastAsia="zh-CN"/>
        </w:rPr>
        <w:t> 2009; </w:t>
      </w:r>
      <w:r w:rsidRPr="002A342B">
        <w:rPr>
          <w:rFonts w:ascii="Book Antiqua" w:hAnsi="Book Antiqua" w:cs="宋体"/>
          <w:b/>
          <w:bCs/>
          <w:color w:val="000000"/>
          <w:sz w:val="24"/>
          <w:szCs w:val="24"/>
          <w:lang w:eastAsia="zh-CN"/>
        </w:rPr>
        <w:t>338</w:t>
      </w:r>
      <w:r w:rsidRPr="002A342B">
        <w:rPr>
          <w:rFonts w:ascii="Book Antiqua" w:hAnsi="Book Antiqua" w:cs="宋体"/>
          <w:color w:val="000000"/>
          <w:sz w:val="24"/>
          <w:szCs w:val="24"/>
          <w:lang w:eastAsia="zh-CN"/>
        </w:rPr>
        <w:t>: b2266 [PMID: 19549996 DOI: 10.1136/bmj.b2266]</w:t>
      </w:r>
    </w:p>
    <w:p w:rsidR="002A342B" w:rsidRDefault="002A342B" w:rsidP="002A342B">
      <w:pPr>
        <w:spacing w:line="360" w:lineRule="auto"/>
        <w:jc w:val="both"/>
        <w:rPr>
          <w:rFonts w:ascii="Book Antiqua" w:hAnsi="Book Antiqua" w:cs="宋体"/>
          <w:color w:val="000000"/>
          <w:sz w:val="24"/>
          <w:szCs w:val="24"/>
          <w:lang w:eastAsia="zh-CN"/>
        </w:rPr>
      </w:pPr>
      <w:r w:rsidRPr="002A342B">
        <w:rPr>
          <w:rFonts w:ascii="Book Antiqua" w:hAnsi="Book Antiqua" w:cs="宋体"/>
          <w:color w:val="000000"/>
          <w:sz w:val="24"/>
          <w:szCs w:val="24"/>
          <w:lang w:eastAsia="zh-CN"/>
        </w:rPr>
        <w:t>2</w:t>
      </w:r>
      <w:r>
        <w:rPr>
          <w:rFonts w:ascii="Book Antiqua" w:hAnsi="Book Antiqua" w:cs="宋体" w:hint="eastAsia"/>
          <w:color w:val="000000"/>
          <w:sz w:val="24"/>
          <w:szCs w:val="24"/>
          <w:lang w:eastAsia="zh-CN"/>
        </w:rPr>
        <w:t>2</w:t>
      </w:r>
      <w:r w:rsidRPr="002A342B">
        <w:rPr>
          <w:rFonts w:ascii="Book Antiqua" w:hAnsi="Book Antiqua" w:cs="宋体"/>
          <w:color w:val="000000"/>
          <w:sz w:val="24"/>
          <w:szCs w:val="24"/>
          <w:lang w:eastAsia="zh-CN"/>
        </w:rPr>
        <w:t> </w:t>
      </w:r>
      <w:proofErr w:type="spellStart"/>
      <w:r w:rsidRPr="002A342B">
        <w:rPr>
          <w:rFonts w:ascii="Book Antiqua" w:hAnsi="Book Antiqua" w:cs="宋体"/>
          <w:b/>
          <w:bCs/>
          <w:color w:val="000000"/>
          <w:sz w:val="24"/>
          <w:szCs w:val="24"/>
          <w:lang w:eastAsia="zh-CN"/>
        </w:rPr>
        <w:t>Bonnick</w:t>
      </w:r>
      <w:proofErr w:type="spellEnd"/>
      <w:r w:rsidRPr="002A342B">
        <w:rPr>
          <w:rFonts w:ascii="Book Antiqua" w:hAnsi="Book Antiqua" w:cs="宋体"/>
          <w:b/>
          <w:bCs/>
          <w:color w:val="000000"/>
          <w:sz w:val="24"/>
          <w:szCs w:val="24"/>
          <w:lang w:eastAsia="zh-CN"/>
        </w:rPr>
        <w:t xml:space="preserve"> SL</w:t>
      </w:r>
      <w:r w:rsidRPr="002A342B">
        <w:rPr>
          <w:rFonts w:ascii="Book Antiqua" w:hAnsi="Book Antiqua" w:cs="宋体"/>
          <w:color w:val="000000"/>
          <w:sz w:val="24"/>
          <w:szCs w:val="24"/>
          <w:lang w:eastAsia="zh-CN"/>
        </w:rPr>
        <w:t xml:space="preserve">. Monitoring osteoporosis </w:t>
      </w:r>
      <w:proofErr w:type="gramStart"/>
      <w:r w:rsidRPr="002A342B">
        <w:rPr>
          <w:rFonts w:ascii="Book Antiqua" w:hAnsi="Book Antiqua" w:cs="宋体"/>
          <w:color w:val="000000"/>
          <w:sz w:val="24"/>
          <w:szCs w:val="24"/>
          <w:lang w:eastAsia="zh-CN"/>
        </w:rPr>
        <w:t>therapy</w:t>
      </w:r>
      <w:proofErr w:type="gramEnd"/>
      <w:r w:rsidRPr="002A342B">
        <w:rPr>
          <w:rFonts w:ascii="Book Antiqua" w:hAnsi="Book Antiqua" w:cs="宋体"/>
          <w:color w:val="000000"/>
          <w:sz w:val="24"/>
          <w:szCs w:val="24"/>
          <w:lang w:eastAsia="zh-CN"/>
        </w:rPr>
        <w:t xml:space="preserve"> with bone densitometry: a vital tool or regression toward mediocrity? </w:t>
      </w:r>
      <w:r w:rsidRPr="002A342B">
        <w:rPr>
          <w:rFonts w:ascii="Book Antiqua" w:hAnsi="Book Antiqua" w:cs="宋体"/>
          <w:i/>
          <w:iCs/>
          <w:color w:val="000000"/>
          <w:sz w:val="24"/>
          <w:szCs w:val="24"/>
          <w:lang w:eastAsia="zh-CN"/>
        </w:rPr>
        <w:t xml:space="preserve">J </w:t>
      </w:r>
      <w:proofErr w:type="spellStart"/>
      <w:r w:rsidRPr="002A342B">
        <w:rPr>
          <w:rFonts w:ascii="Book Antiqua" w:hAnsi="Book Antiqua" w:cs="宋体"/>
          <w:i/>
          <w:iCs/>
          <w:color w:val="000000"/>
          <w:sz w:val="24"/>
          <w:szCs w:val="24"/>
          <w:lang w:eastAsia="zh-CN"/>
        </w:rPr>
        <w:t>Clin</w:t>
      </w:r>
      <w:proofErr w:type="spellEnd"/>
      <w:r w:rsidRPr="002A342B">
        <w:rPr>
          <w:rFonts w:ascii="Book Antiqua" w:hAnsi="Book Antiqua" w:cs="宋体"/>
          <w:i/>
          <w:iCs/>
          <w:color w:val="000000"/>
          <w:sz w:val="24"/>
          <w:szCs w:val="24"/>
          <w:lang w:eastAsia="zh-CN"/>
        </w:rPr>
        <w:t xml:space="preserve"> </w:t>
      </w:r>
      <w:proofErr w:type="spellStart"/>
      <w:r w:rsidRPr="002A342B">
        <w:rPr>
          <w:rFonts w:ascii="Book Antiqua" w:hAnsi="Book Antiqua" w:cs="宋体"/>
          <w:i/>
          <w:iCs/>
          <w:color w:val="000000"/>
          <w:sz w:val="24"/>
          <w:szCs w:val="24"/>
          <w:lang w:eastAsia="zh-CN"/>
        </w:rPr>
        <w:t>Endocrinol</w:t>
      </w:r>
      <w:proofErr w:type="spellEnd"/>
      <w:r w:rsidRPr="002A342B">
        <w:rPr>
          <w:rFonts w:ascii="Book Antiqua" w:hAnsi="Book Antiqua" w:cs="宋体"/>
          <w:i/>
          <w:iCs/>
          <w:color w:val="000000"/>
          <w:sz w:val="24"/>
          <w:szCs w:val="24"/>
          <w:lang w:eastAsia="zh-CN"/>
        </w:rPr>
        <w:t xml:space="preserve"> </w:t>
      </w:r>
      <w:proofErr w:type="spellStart"/>
      <w:r w:rsidRPr="002A342B">
        <w:rPr>
          <w:rFonts w:ascii="Book Antiqua" w:hAnsi="Book Antiqua" w:cs="宋体"/>
          <w:i/>
          <w:iCs/>
          <w:color w:val="000000"/>
          <w:sz w:val="24"/>
          <w:szCs w:val="24"/>
          <w:lang w:eastAsia="zh-CN"/>
        </w:rPr>
        <w:t>Metab</w:t>
      </w:r>
      <w:proofErr w:type="spellEnd"/>
      <w:r w:rsidRPr="002A342B">
        <w:rPr>
          <w:rFonts w:ascii="Book Antiqua" w:hAnsi="Book Antiqua" w:cs="宋体"/>
          <w:color w:val="000000"/>
          <w:sz w:val="24"/>
          <w:szCs w:val="24"/>
          <w:lang w:eastAsia="zh-CN"/>
        </w:rPr>
        <w:t> 2000; </w:t>
      </w:r>
      <w:r w:rsidRPr="002A342B">
        <w:rPr>
          <w:rFonts w:ascii="Book Antiqua" w:hAnsi="Book Antiqua" w:cs="宋体"/>
          <w:b/>
          <w:bCs/>
          <w:color w:val="000000"/>
          <w:sz w:val="24"/>
          <w:szCs w:val="24"/>
          <w:lang w:eastAsia="zh-CN"/>
        </w:rPr>
        <w:t>85</w:t>
      </w:r>
      <w:r w:rsidRPr="002A342B">
        <w:rPr>
          <w:rFonts w:ascii="Book Antiqua" w:hAnsi="Book Antiqua" w:cs="宋体"/>
          <w:color w:val="000000"/>
          <w:sz w:val="24"/>
          <w:szCs w:val="24"/>
          <w:lang w:eastAsia="zh-CN"/>
        </w:rPr>
        <w:t>: 3493-3495 [PMID: 11061488]</w:t>
      </w:r>
    </w:p>
    <w:p w:rsidR="002A342B" w:rsidRPr="002A342B" w:rsidRDefault="002A342B" w:rsidP="002A342B">
      <w:pPr>
        <w:spacing w:line="360" w:lineRule="auto"/>
        <w:jc w:val="both"/>
        <w:rPr>
          <w:rFonts w:ascii="Book Antiqua" w:hAnsi="Book Antiqua" w:cs="宋体"/>
          <w:color w:val="000000"/>
          <w:sz w:val="24"/>
          <w:szCs w:val="24"/>
          <w:lang w:eastAsia="zh-CN"/>
        </w:rPr>
      </w:pPr>
      <w:r w:rsidRPr="002A342B">
        <w:rPr>
          <w:rFonts w:ascii="Book Antiqua" w:hAnsi="Book Antiqua" w:cs="宋体"/>
          <w:color w:val="000000"/>
          <w:sz w:val="24"/>
          <w:szCs w:val="24"/>
          <w:lang w:eastAsia="zh-CN"/>
        </w:rPr>
        <w:t>2</w:t>
      </w:r>
      <w:r>
        <w:rPr>
          <w:rFonts w:ascii="Book Antiqua" w:hAnsi="Book Antiqua" w:cs="宋体" w:hint="eastAsia"/>
          <w:color w:val="000000"/>
          <w:sz w:val="24"/>
          <w:szCs w:val="24"/>
          <w:lang w:eastAsia="zh-CN"/>
        </w:rPr>
        <w:t>3</w:t>
      </w:r>
      <w:r w:rsidRPr="002A342B">
        <w:rPr>
          <w:rFonts w:ascii="Book Antiqua" w:hAnsi="Book Antiqua" w:cs="宋体"/>
          <w:color w:val="000000"/>
          <w:sz w:val="24"/>
          <w:szCs w:val="24"/>
          <w:lang w:eastAsia="zh-CN"/>
        </w:rPr>
        <w:t xml:space="preserve"> </w:t>
      </w:r>
      <w:hyperlink r:id="rId8" w:history="1">
        <w:r w:rsidR="000B2019" w:rsidRPr="000B2019">
          <w:rPr>
            <w:rFonts w:ascii="Book Antiqua" w:hAnsi="Book Antiqua" w:cs="宋体"/>
            <w:b/>
            <w:color w:val="000000"/>
            <w:sz w:val="24"/>
            <w:szCs w:val="24"/>
            <w:lang w:eastAsia="zh-CN"/>
          </w:rPr>
          <w:t>Watts NB</w:t>
        </w:r>
      </w:hyperlink>
      <w:r w:rsidR="000B2019" w:rsidRPr="000B2019">
        <w:rPr>
          <w:rFonts w:ascii="Book Antiqua" w:hAnsi="Book Antiqua" w:cs="宋体"/>
          <w:b/>
          <w:color w:val="000000"/>
          <w:sz w:val="24"/>
          <w:szCs w:val="24"/>
          <w:lang w:eastAsia="zh-CN"/>
        </w:rPr>
        <w:t>,</w:t>
      </w:r>
      <w:r w:rsidR="000B2019" w:rsidRPr="000B2019">
        <w:rPr>
          <w:rFonts w:ascii="Book Antiqua" w:hAnsi="Book Antiqua" w:cs="宋体"/>
          <w:sz w:val="24"/>
          <w:szCs w:val="24"/>
          <w:lang w:eastAsia="zh-CN"/>
        </w:rPr>
        <w:t> </w:t>
      </w:r>
      <w:proofErr w:type="spellStart"/>
      <w:r w:rsidR="000B2019" w:rsidRPr="000B2019">
        <w:rPr>
          <w:rFonts w:ascii="Book Antiqua" w:hAnsi="Book Antiqua" w:cs="宋体"/>
          <w:color w:val="000000"/>
          <w:sz w:val="24"/>
          <w:szCs w:val="24"/>
          <w:lang w:eastAsia="zh-CN"/>
        </w:rPr>
        <w:fldChar w:fldCharType="begin"/>
      </w:r>
      <w:r w:rsidR="000B2019" w:rsidRPr="000B2019">
        <w:rPr>
          <w:rFonts w:ascii="Book Antiqua" w:hAnsi="Book Antiqua" w:cs="宋体"/>
          <w:color w:val="000000"/>
          <w:sz w:val="24"/>
          <w:szCs w:val="24"/>
          <w:lang w:eastAsia="zh-CN"/>
        </w:rPr>
        <w:instrText xml:space="preserve"> HYPERLINK "http://www.ncbi.nlm.nih.gov/pubmed?term=Lewiecki%20EM%5BAuthor%5D&amp;cauthor=true&amp;cauthor_uid=19712042" </w:instrText>
      </w:r>
      <w:r w:rsidR="000B2019" w:rsidRPr="000B2019">
        <w:rPr>
          <w:rFonts w:ascii="Book Antiqua" w:hAnsi="Book Antiqua" w:cs="宋体"/>
          <w:color w:val="000000"/>
          <w:sz w:val="24"/>
          <w:szCs w:val="24"/>
          <w:lang w:eastAsia="zh-CN"/>
        </w:rPr>
        <w:fldChar w:fldCharType="separate"/>
      </w:r>
      <w:r w:rsidR="000B2019" w:rsidRPr="000B2019">
        <w:rPr>
          <w:rFonts w:ascii="Book Antiqua" w:hAnsi="Book Antiqua" w:cs="宋体"/>
          <w:color w:val="000000"/>
          <w:sz w:val="24"/>
          <w:szCs w:val="24"/>
          <w:lang w:eastAsia="zh-CN"/>
        </w:rPr>
        <w:t>Lewiecki</w:t>
      </w:r>
      <w:proofErr w:type="spellEnd"/>
      <w:r w:rsidR="000B2019" w:rsidRPr="000B2019">
        <w:rPr>
          <w:rFonts w:ascii="Book Antiqua" w:hAnsi="Book Antiqua" w:cs="宋体"/>
          <w:color w:val="000000"/>
          <w:sz w:val="24"/>
          <w:szCs w:val="24"/>
          <w:lang w:eastAsia="zh-CN"/>
        </w:rPr>
        <w:t xml:space="preserve"> EM</w:t>
      </w:r>
      <w:r w:rsidR="000B2019" w:rsidRPr="000B2019">
        <w:rPr>
          <w:rFonts w:ascii="Book Antiqua" w:hAnsi="Book Antiqua" w:cs="宋体"/>
          <w:color w:val="000000"/>
          <w:sz w:val="24"/>
          <w:szCs w:val="24"/>
          <w:lang w:eastAsia="zh-CN"/>
        </w:rPr>
        <w:fldChar w:fldCharType="end"/>
      </w:r>
      <w:r w:rsidR="000B2019" w:rsidRPr="000B2019">
        <w:rPr>
          <w:rFonts w:ascii="Book Antiqua" w:hAnsi="Book Antiqua" w:cs="宋体"/>
          <w:color w:val="000000"/>
          <w:sz w:val="24"/>
          <w:szCs w:val="24"/>
          <w:lang w:eastAsia="zh-CN"/>
        </w:rPr>
        <w:t>,</w:t>
      </w:r>
      <w:r w:rsidR="000B2019" w:rsidRPr="000B2019">
        <w:rPr>
          <w:rFonts w:ascii="Book Antiqua" w:hAnsi="Book Antiqua" w:cs="宋体"/>
          <w:sz w:val="24"/>
          <w:szCs w:val="24"/>
          <w:lang w:eastAsia="zh-CN"/>
        </w:rPr>
        <w:t> </w:t>
      </w:r>
      <w:proofErr w:type="spellStart"/>
      <w:r w:rsidR="000B2019" w:rsidRPr="000B2019">
        <w:rPr>
          <w:rFonts w:ascii="Book Antiqua" w:hAnsi="Book Antiqua" w:cs="宋体"/>
          <w:color w:val="000000"/>
          <w:sz w:val="24"/>
          <w:szCs w:val="24"/>
          <w:lang w:eastAsia="zh-CN"/>
        </w:rPr>
        <w:fldChar w:fldCharType="begin"/>
      </w:r>
      <w:r w:rsidR="000B2019" w:rsidRPr="000B2019">
        <w:rPr>
          <w:rFonts w:ascii="Book Antiqua" w:hAnsi="Book Antiqua" w:cs="宋体"/>
          <w:color w:val="000000"/>
          <w:sz w:val="24"/>
          <w:szCs w:val="24"/>
          <w:lang w:eastAsia="zh-CN"/>
        </w:rPr>
        <w:instrText xml:space="preserve"> HYPERLINK "http://www.ncbi.nlm.nih.gov/pubmed?term=Bonnick%20SL%5BAuthor%5D&amp;cauthor=true&amp;cauthor_uid=19712042" </w:instrText>
      </w:r>
      <w:r w:rsidR="000B2019" w:rsidRPr="000B2019">
        <w:rPr>
          <w:rFonts w:ascii="Book Antiqua" w:hAnsi="Book Antiqua" w:cs="宋体"/>
          <w:color w:val="000000"/>
          <w:sz w:val="24"/>
          <w:szCs w:val="24"/>
          <w:lang w:eastAsia="zh-CN"/>
        </w:rPr>
        <w:fldChar w:fldCharType="separate"/>
      </w:r>
      <w:r w:rsidR="000B2019" w:rsidRPr="000B2019">
        <w:rPr>
          <w:rFonts w:ascii="Book Antiqua" w:hAnsi="Book Antiqua" w:cs="宋体"/>
          <w:color w:val="000000"/>
          <w:sz w:val="24"/>
          <w:szCs w:val="24"/>
          <w:lang w:eastAsia="zh-CN"/>
        </w:rPr>
        <w:t>Bonnick</w:t>
      </w:r>
      <w:proofErr w:type="spellEnd"/>
      <w:r w:rsidR="000B2019" w:rsidRPr="000B2019">
        <w:rPr>
          <w:rFonts w:ascii="Book Antiqua" w:hAnsi="Book Antiqua" w:cs="宋体"/>
          <w:color w:val="000000"/>
          <w:sz w:val="24"/>
          <w:szCs w:val="24"/>
          <w:lang w:eastAsia="zh-CN"/>
        </w:rPr>
        <w:t xml:space="preserve"> SL</w:t>
      </w:r>
      <w:r w:rsidR="000B2019" w:rsidRPr="000B2019">
        <w:rPr>
          <w:rFonts w:ascii="Book Antiqua" w:hAnsi="Book Antiqua" w:cs="宋体"/>
          <w:color w:val="000000"/>
          <w:sz w:val="24"/>
          <w:szCs w:val="24"/>
          <w:lang w:eastAsia="zh-CN"/>
        </w:rPr>
        <w:fldChar w:fldCharType="end"/>
      </w:r>
      <w:r w:rsidR="000B2019" w:rsidRPr="000B2019">
        <w:rPr>
          <w:rFonts w:ascii="Book Antiqua" w:hAnsi="Book Antiqua" w:cs="宋体"/>
          <w:color w:val="000000"/>
          <w:sz w:val="24"/>
          <w:szCs w:val="24"/>
          <w:lang w:eastAsia="zh-CN"/>
        </w:rPr>
        <w:t>,</w:t>
      </w:r>
      <w:r w:rsidR="000B2019" w:rsidRPr="000B2019">
        <w:rPr>
          <w:rFonts w:ascii="Book Antiqua" w:hAnsi="Book Antiqua" w:cs="宋体"/>
          <w:sz w:val="24"/>
          <w:szCs w:val="24"/>
          <w:lang w:eastAsia="zh-CN"/>
        </w:rPr>
        <w:t> </w:t>
      </w:r>
      <w:proofErr w:type="spellStart"/>
      <w:r w:rsidR="000B2019" w:rsidRPr="000B2019">
        <w:rPr>
          <w:rFonts w:ascii="Book Antiqua" w:hAnsi="Book Antiqua" w:cs="宋体"/>
          <w:color w:val="000000"/>
          <w:sz w:val="24"/>
          <w:szCs w:val="24"/>
          <w:lang w:eastAsia="zh-CN"/>
        </w:rPr>
        <w:fldChar w:fldCharType="begin"/>
      </w:r>
      <w:r w:rsidR="000B2019" w:rsidRPr="000B2019">
        <w:rPr>
          <w:rFonts w:ascii="Book Antiqua" w:hAnsi="Book Antiqua" w:cs="宋体"/>
          <w:color w:val="000000"/>
          <w:sz w:val="24"/>
          <w:szCs w:val="24"/>
          <w:lang w:eastAsia="zh-CN"/>
        </w:rPr>
        <w:instrText xml:space="preserve"> HYPERLINK "http://www.ncbi.nlm.nih.gov/pubmed?term=Laster%20AJ%5BAuthor%5D&amp;cauthor=true&amp;cauthor_uid=19712042" </w:instrText>
      </w:r>
      <w:r w:rsidR="000B2019" w:rsidRPr="000B2019">
        <w:rPr>
          <w:rFonts w:ascii="Book Antiqua" w:hAnsi="Book Antiqua" w:cs="宋体"/>
          <w:color w:val="000000"/>
          <w:sz w:val="24"/>
          <w:szCs w:val="24"/>
          <w:lang w:eastAsia="zh-CN"/>
        </w:rPr>
        <w:fldChar w:fldCharType="separate"/>
      </w:r>
      <w:r w:rsidR="000B2019" w:rsidRPr="000B2019">
        <w:rPr>
          <w:rFonts w:ascii="Book Antiqua" w:hAnsi="Book Antiqua" w:cs="宋体"/>
          <w:color w:val="000000"/>
          <w:sz w:val="24"/>
          <w:szCs w:val="24"/>
          <w:lang w:eastAsia="zh-CN"/>
        </w:rPr>
        <w:t>Laster</w:t>
      </w:r>
      <w:proofErr w:type="spellEnd"/>
      <w:r w:rsidR="000B2019" w:rsidRPr="000B2019">
        <w:rPr>
          <w:rFonts w:ascii="Book Antiqua" w:hAnsi="Book Antiqua" w:cs="宋体"/>
          <w:color w:val="000000"/>
          <w:sz w:val="24"/>
          <w:szCs w:val="24"/>
          <w:lang w:eastAsia="zh-CN"/>
        </w:rPr>
        <w:t xml:space="preserve"> AJ</w:t>
      </w:r>
      <w:r w:rsidR="000B2019" w:rsidRPr="000B2019">
        <w:rPr>
          <w:rFonts w:ascii="Book Antiqua" w:hAnsi="Book Antiqua" w:cs="宋体"/>
          <w:color w:val="000000"/>
          <w:sz w:val="24"/>
          <w:szCs w:val="24"/>
          <w:lang w:eastAsia="zh-CN"/>
        </w:rPr>
        <w:fldChar w:fldCharType="end"/>
      </w:r>
      <w:r w:rsidR="000B2019" w:rsidRPr="000B2019">
        <w:rPr>
          <w:rFonts w:ascii="Book Antiqua" w:hAnsi="Book Antiqua" w:cs="宋体"/>
          <w:color w:val="000000"/>
          <w:sz w:val="24"/>
          <w:szCs w:val="24"/>
          <w:lang w:eastAsia="zh-CN"/>
        </w:rPr>
        <w:t>,</w:t>
      </w:r>
      <w:r w:rsidR="000B2019" w:rsidRPr="000B2019">
        <w:rPr>
          <w:rFonts w:ascii="Book Antiqua" w:hAnsi="Book Antiqua" w:cs="宋体"/>
          <w:sz w:val="24"/>
          <w:szCs w:val="24"/>
          <w:lang w:eastAsia="zh-CN"/>
        </w:rPr>
        <w:t> </w:t>
      </w:r>
      <w:hyperlink r:id="rId9" w:history="1">
        <w:r w:rsidR="000B2019" w:rsidRPr="000B2019">
          <w:rPr>
            <w:rFonts w:ascii="Book Antiqua" w:hAnsi="Book Antiqua" w:cs="宋体"/>
            <w:color w:val="000000"/>
            <w:sz w:val="24"/>
            <w:szCs w:val="24"/>
            <w:lang w:eastAsia="zh-CN"/>
          </w:rPr>
          <w:t>Binkley N</w:t>
        </w:r>
      </w:hyperlink>
      <w:r w:rsidR="000B2019" w:rsidRPr="000B2019">
        <w:rPr>
          <w:rFonts w:ascii="Book Antiqua" w:hAnsi="Book Antiqua" w:cs="宋体"/>
          <w:color w:val="000000"/>
          <w:sz w:val="24"/>
          <w:szCs w:val="24"/>
          <w:lang w:eastAsia="zh-CN"/>
        </w:rPr>
        <w:t>,</w:t>
      </w:r>
      <w:r w:rsidR="000B2019" w:rsidRPr="000B2019">
        <w:rPr>
          <w:rFonts w:ascii="Book Antiqua" w:hAnsi="Book Antiqua" w:cs="宋体"/>
          <w:sz w:val="24"/>
          <w:szCs w:val="24"/>
          <w:lang w:eastAsia="zh-CN"/>
        </w:rPr>
        <w:t> </w:t>
      </w:r>
      <w:hyperlink r:id="rId10" w:history="1">
        <w:r w:rsidR="000B2019" w:rsidRPr="000B2019">
          <w:rPr>
            <w:rFonts w:ascii="Book Antiqua" w:hAnsi="Book Antiqua" w:cs="宋体"/>
            <w:color w:val="000000"/>
            <w:sz w:val="24"/>
            <w:szCs w:val="24"/>
            <w:lang w:eastAsia="zh-CN"/>
          </w:rPr>
          <w:t>Blank RD</w:t>
        </w:r>
      </w:hyperlink>
      <w:r w:rsidR="000B2019" w:rsidRPr="000B2019">
        <w:rPr>
          <w:rFonts w:ascii="Book Antiqua" w:hAnsi="Book Antiqua" w:cs="宋体"/>
          <w:color w:val="000000"/>
          <w:sz w:val="24"/>
          <w:szCs w:val="24"/>
          <w:lang w:eastAsia="zh-CN"/>
        </w:rPr>
        <w:t>,</w:t>
      </w:r>
      <w:r w:rsidR="000B2019" w:rsidRPr="000B2019">
        <w:rPr>
          <w:rFonts w:ascii="Book Antiqua" w:hAnsi="Book Antiqua" w:cs="宋体"/>
          <w:sz w:val="24"/>
          <w:szCs w:val="24"/>
          <w:lang w:eastAsia="zh-CN"/>
        </w:rPr>
        <w:t> </w:t>
      </w:r>
      <w:proofErr w:type="spellStart"/>
      <w:r w:rsidR="000B2019" w:rsidRPr="000B2019">
        <w:rPr>
          <w:rFonts w:ascii="Book Antiqua" w:hAnsi="Book Antiqua" w:cs="宋体"/>
          <w:color w:val="000000"/>
          <w:sz w:val="24"/>
          <w:szCs w:val="24"/>
          <w:lang w:eastAsia="zh-CN"/>
        </w:rPr>
        <w:fldChar w:fldCharType="begin"/>
      </w:r>
      <w:r w:rsidR="000B2019" w:rsidRPr="000B2019">
        <w:rPr>
          <w:rFonts w:ascii="Book Antiqua" w:hAnsi="Book Antiqua" w:cs="宋体"/>
          <w:color w:val="000000"/>
          <w:sz w:val="24"/>
          <w:szCs w:val="24"/>
          <w:lang w:eastAsia="zh-CN"/>
        </w:rPr>
        <w:instrText xml:space="preserve"> HYPERLINK "http://www.ncbi.nlm.nih.gov/pubmed?term=Geusens%20PP%5BAuthor%5D&amp;cauthor=true&amp;cauthor_uid=19712042" </w:instrText>
      </w:r>
      <w:r w:rsidR="000B2019" w:rsidRPr="000B2019">
        <w:rPr>
          <w:rFonts w:ascii="Book Antiqua" w:hAnsi="Book Antiqua" w:cs="宋体"/>
          <w:color w:val="000000"/>
          <w:sz w:val="24"/>
          <w:szCs w:val="24"/>
          <w:lang w:eastAsia="zh-CN"/>
        </w:rPr>
        <w:fldChar w:fldCharType="separate"/>
      </w:r>
      <w:r w:rsidR="000B2019" w:rsidRPr="000B2019">
        <w:rPr>
          <w:rFonts w:ascii="Book Antiqua" w:hAnsi="Book Antiqua" w:cs="宋体"/>
          <w:color w:val="000000"/>
          <w:sz w:val="24"/>
          <w:szCs w:val="24"/>
          <w:lang w:eastAsia="zh-CN"/>
        </w:rPr>
        <w:t>Geusens</w:t>
      </w:r>
      <w:proofErr w:type="spellEnd"/>
      <w:r w:rsidR="000B2019" w:rsidRPr="000B2019">
        <w:rPr>
          <w:rFonts w:ascii="Book Antiqua" w:hAnsi="Book Antiqua" w:cs="宋体"/>
          <w:color w:val="000000"/>
          <w:sz w:val="24"/>
          <w:szCs w:val="24"/>
          <w:lang w:eastAsia="zh-CN"/>
        </w:rPr>
        <w:t xml:space="preserve"> PP</w:t>
      </w:r>
      <w:r w:rsidR="000B2019" w:rsidRPr="000B2019">
        <w:rPr>
          <w:rFonts w:ascii="Book Antiqua" w:hAnsi="Book Antiqua" w:cs="宋体"/>
          <w:color w:val="000000"/>
          <w:sz w:val="24"/>
          <w:szCs w:val="24"/>
          <w:lang w:eastAsia="zh-CN"/>
        </w:rPr>
        <w:fldChar w:fldCharType="end"/>
      </w:r>
      <w:r w:rsidR="000B2019" w:rsidRPr="000B2019">
        <w:rPr>
          <w:rFonts w:ascii="Book Antiqua" w:hAnsi="Book Antiqua" w:cs="宋体"/>
          <w:color w:val="000000"/>
          <w:sz w:val="24"/>
          <w:szCs w:val="24"/>
          <w:lang w:eastAsia="zh-CN"/>
        </w:rPr>
        <w:t>,</w:t>
      </w:r>
      <w:r w:rsidR="000B2019" w:rsidRPr="000B2019">
        <w:rPr>
          <w:rFonts w:ascii="Book Antiqua" w:hAnsi="Book Antiqua" w:cs="宋体"/>
          <w:sz w:val="24"/>
          <w:szCs w:val="24"/>
          <w:lang w:eastAsia="zh-CN"/>
        </w:rPr>
        <w:t> </w:t>
      </w:r>
      <w:hyperlink r:id="rId11" w:history="1">
        <w:r w:rsidR="000B2019" w:rsidRPr="000B2019">
          <w:rPr>
            <w:rFonts w:ascii="Book Antiqua" w:hAnsi="Book Antiqua" w:cs="宋体"/>
            <w:color w:val="000000"/>
            <w:sz w:val="24"/>
            <w:szCs w:val="24"/>
            <w:lang w:eastAsia="zh-CN"/>
          </w:rPr>
          <w:t>Miller PD</w:t>
        </w:r>
      </w:hyperlink>
      <w:r w:rsidR="000B2019" w:rsidRPr="000B2019">
        <w:rPr>
          <w:rFonts w:ascii="Book Antiqua" w:hAnsi="Book Antiqua" w:cs="宋体"/>
          <w:color w:val="000000"/>
          <w:sz w:val="24"/>
          <w:szCs w:val="24"/>
          <w:lang w:eastAsia="zh-CN"/>
        </w:rPr>
        <w:t>,</w:t>
      </w:r>
      <w:r w:rsidR="000B2019" w:rsidRPr="000B2019">
        <w:rPr>
          <w:rFonts w:ascii="Book Antiqua" w:hAnsi="Book Antiqua" w:cs="宋体"/>
          <w:sz w:val="24"/>
          <w:szCs w:val="24"/>
          <w:lang w:eastAsia="zh-CN"/>
        </w:rPr>
        <w:t> </w:t>
      </w:r>
      <w:proofErr w:type="spellStart"/>
      <w:r w:rsidR="000B2019" w:rsidRPr="000B2019">
        <w:rPr>
          <w:rFonts w:ascii="Book Antiqua" w:hAnsi="Book Antiqua" w:cs="宋体"/>
          <w:color w:val="000000"/>
          <w:sz w:val="24"/>
          <w:szCs w:val="24"/>
          <w:lang w:eastAsia="zh-CN"/>
        </w:rPr>
        <w:fldChar w:fldCharType="begin"/>
      </w:r>
      <w:r w:rsidR="000B2019" w:rsidRPr="000B2019">
        <w:rPr>
          <w:rFonts w:ascii="Book Antiqua" w:hAnsi="Book Antiqua" w:cs="宋体"/>
          <w:color w:val="000000"/>
          <w:sz w:val="24"/>
          <w:szCs w:val="24"/>
          <w:lang w:eastAsia="zh-CN"/>
        </w:rPr>
        <w:instrText xml:space="preserve"> HYPERLINK "http://www.ncbi.nlm.nih.gov/pubmed?term=Petak%20SM%5BAuthor%5D&amp;cauthor=true&amp;cauthor_uid=19712042" </w:instrText>
      </w:r>
      <w:r w:rsidR="000B2019" w:rsidRPr="000B2019">
        <w:rPr>
          <w:rFonts w:ascii="Book Antiqua" w:hAnsi="Book Antiqua" w:cs="宋体"/>
          <w:color w:val="000000"/>
          <w:sz w:val="24"/>
          <w:szCs w:val="24"/>
          <w:lang w:eastAsia="zh-CN"/>
        </w:rPr>
        <w:fldChar w:fldCharType="separate"/>
      </w:r>
      <w:r w:rsidR="000B2019" w:rsidRPr="000B2019">
        <w:rPr>
          <w:rFonts w:ascii="Book Antiqua" w:hAnsi="Book Antiqua" w:cs="宋体"/>
          <w:color w:val="000000"/>
          <w:sz w:val="24"/>
          <w:szCs w:val="24"/>
          <w:lang w:eastAsia="zh-CN"/>
        </w:rPr>
        <w:t>Petak</w:t>
      </w:r>
      <w:proofErr w:type="spellEnd"/>
      <w:r w:rsidR="000B2019" w:rsidRPr="000B2019">
        <w:rPr>
          <w:rFonts w:ascii="Book Antiqua" w:hAnsi="Book Antiqua" w:cs="宋体"/>
          <w:color w:val="000000"/>
          <w:sz w:val="24"/>
          <w:szCs w:val="24"/>
          <w:lang w:eastAsia="zh-CN"/>
        </w:rPr>
        <w:t xml:space="preserve"> SM</w:t>
      </w:r>
      <w:r w:rsidR="000B2019" w:rsidRPr="000B2019">
        <w:rPr>
          <w:rFonts w:ascii="Book Antiqua" w:hAnsi="Book Antiqua" w:cs="宋体"/>
          <w:color w:val="000000"/>
          <w:sz w:val="24"/>
          <w:szCs w:val="24"/>
          <w:lang w:eastAsia="zh-CN"/>
        </w:rPr>
        <w:fldChar w:fldCharType="end"/>
      </w:r>
      <w:r w:rsidR="000B2019" w:rsidRPr="000B2019">
        <w:rPr>
          <w:rFonts w:ascii="Book Antiqua" w:hAnsi="Book Antiqua" w:cs="宋体"/>
          <w:color w:val="000000"/>
          <w:sz w:val="24"/>
          <w:szCs w:val="24"/>
          <w:lang w:eastAsia="zh-CN"/>
        </w:rPr>
        <w:t>,</w:t>
      </w:r>
      <w:r w:rsidR="000B2019" w:rsidRPr="000B2019">
        <w:rPr>
          <w:rFonts w:ascii="Book Antiqua" w:hAnsi="Book Antiqua" w:cs="宋体"/>
          <w:sz w:val="24"/>
          <w:szCs w:val="24"/>
          <w:lang w:eastAsia="zh-CN"/>
        </w:rPr>
        <w:t> </w:t>
      </w:r>
      <w:proofErr w:type="spellStart"/>
      <w:r w:rsidR="000B2019" w:rsidRPr="000B2019">
        <w:rPr>
          <w:rFonts w:ascii="Book Antiqua" w:hAnsi="Book Antiqua" w:cs="宋体"/>
          <w:color w:val="000000"/>
          <w:sz w:val="24"/>
          <w:szCs w:val="24"/>
          <w:lang w:eastAsia="zh-CN"/>
        </w:rPr>
        <w:fldChar w:fldCharType="begin"/>
      </w:r>
      <w:r w:rsidR="000B2019" w:rsidRPr="000B2019">
        <w:rPr>
          <w:rFonts w:ascii="Book Antiqua" w:hAnsi="Book Antiqua" w:cs="宋体"/>
          <w:color w:val="000000"/>
          <w:sz w:val="24"/>
          <w:szCs w:val="24"/>
          <w:lang w:eastAsia="zh-CN"/>
        </w:rPr>
        <w:instrText xml:space="preserve"> HYPERLINK "http://www.ncbi.nlm.nih.gov/pubmed?term=Recker%20RR%5BAuthor%5D&amp;cauthor=true&amp;cauthor_uid=19712042" </w:instrText>
      </w:r>
      <w:r w:rsidR="000B2019" w:rsidRPr="000B2019">
        <w:rPr>
          <w:rFonts w:ascii="Book Antiqua" w:hAnsi="Book Antiqua" w:cs="宋体"/>
          <w:color w:val="000000"/>
          <w:sz w:val="24"/>
          <w:szCs w:val="24"/>
          <w:lang w:eastAsia="zh-CN"/>
        </w:rPr>
        <w:fldChar w:fldCharType="separate"/>
      </w:r>
      <w:r w:rsidR="000B2019" w:rsidRPr="000B2019">
        <w:rPr>
          <w:rFonts w:ascii="Book Antiqua" w:hAnsi="Book Antiqua" w:cs="宋体"/>
          <w:color w:val="000000"/>
          <w:sz w:val="24"/>
          <w:szCs w:val="24"/>
          <w:lang w:eastAsia="zh-CN"/>
        </w:rPr>
        <w:t>Recker</w:t>
      </w:r>
      <w:proofErr w:type="spellEnd"/>
      <w:r w:rsidR="000B2019" w:rsidRPr="000B2019">
        <w:rPr>
          <w:rFonts w:ascii="Book Antiqua" w:hAnsi="Book Antiqua" w:cs="宋体"/>
          <w:color w:val="000000"/>
          <w:sz w:val="24"/>
          <w:szCs w:val="24"/>
          <w:lang w:eastAsia="zh-CN"/>
        </w:rPr>
        <w:t xml:space="preserve"> RR</w:t>
      </w:r>
      <w:r w:rsidR="000B2019" w:rsidRPr="000B2019">
        <w:rPr>
          <w:rFonts w:ascii="Book Antiqua" w:hAnsi="Book Antiqua" w:cs="宋体"/>
          <w:color w:val="000000"/>
          <w:sz w:val="24"/>
          <w:szCs w:val="24"/>
          <w:lang w:eastAsia="zh-CN"/>
        </w:rPr>
        <w:fldChar w:fldCharType="end"/>
      </w:r>
      <w:r w:rsidR="000B2019" w:rsidRPr="000B2019">
        <w:rPr>
          <w:rFonts w:ascii="Book Antiqua" w:hAnsi="Book Antiqua" w:cs="宋体"/>
          <w:color w:val="000000"/>
          <w:sz w:val="24"/>
          <w:szCs w:val="24"/>
          <w:lang w:eastAsia="zh-CN"/>
        </w:rPr>
        <w:t>,</w:t>
      </w:r>
      <w:r w:rsidR="000B2019" w:rsidRPr="000B2019">
        <w:rPr>
          <w:rFonts w:ascii="Book Antiqua" w:hAnsi="Book Antiqua" w:cs="宋体"/>
          <w:sz w:val="24"/>
          <w:szCs w:val="24"/>
          <w:lang w:eastAsia="zh-CN"/>
        </w:rPr>
        <w:t> </w:t>
      </w:r>
      <w:proofErr w:type="spellStart"/>
      <w:r w:rsidR="000B2019" w:rsidRPr="000B2019">
        <w:rPr>
          <w:rFonts w:ascii="Book Antiqua" w:hAnsi="Book Antiqua" w:cs="宋体"/>
          <w:color w:val="000000"/>
          <w:sz w:val="24"/>
          <w:szCs w:val="24"/>
          <w:lang w:eastAsia="zh-CN"/>
        </w:rPr>
        <w:fldChar w:fldCharType="begin"/>
      </w:r>
      <w:r w:rsidR="000B2019" w:rsidRPr="000B2019">
        <w:rPr>
          <w:rFonts w:ascii="Book Antiqua" w:hAnsi="Book Antiqua" w:cs="宋体"/>
          <w:color w:val="000000"/>
          <w:sz w:val="24"/>
          <w:szCs w:val="24"/>
          <w:lang w:eastAsia="zh-CN"/>
        </w:rPr>
        <w:instrText xml:space="preserve"> HYPERLINK "http://www.ncbi.nlm.nih.gov/pubmed?term=Saag%20KG%5BAuthor%5D&amp;cauthor=true&amp;cauthor_uid=19712042" </w:instrText>
      </w:r>
      <w:r w:rsidR="000B2019" w:rsidRPr="000B2019">
        <w:rPr>
          <w:rFonts w:ascii="Book Antiqua" w:hAnsi="Book Antiqua" w:cs="宋体"/>
          <w:color w:val="000000"/>
          <w:sz w:val="24"/>
          <w:szCs w:val="24"/>
          <w:lang w:eastAsia="zh-CN"/>
        </w:rPr>
        <w:fldChar w:fldCharType="separate"/>
      </w:r>
      <w:r w:rsidR="000B2019" w:rsidRPr="000B2019">
        <w:rPr>
          <w:rFonts w:ascii="Book Antiqua" w:hAnsi="Book Antiqua" w:cs="宋体"/>
          <w:color w:val="000000"/>
          <w:sz w:val="24"/>
          <w:szCs w:val="24"/>
          <w:lang w:eastAsia="zh-CN"/>
        </w:rPr>
        <w:t>Saag</w:t>
      </w:r>
      <w:proofErr w:type="spellEnd"/>
      <w:r w:rsidR="000B2019" w:rsidRPr="000B2019">
        <w:rPr>
          <w:rFonts w:ascii="Book Antiqua" w:hAnsi="Book Antiqua" w:cs="宋体"/>
          <w:color w:val="000000"/>
          <w:sz w:val="24"/>
          <w:szCs w:val="24"/>
          <w:lang w:eastAsia="zh-CN"/>
        </w:rPr>
        <w:t xml:space="preserve"> KG</w:t>
      </w:r>
      <w:r w:rsidR="000B2019" w:rsidRPr="000B2019">
        <w:rPr>
          <w:rFonts w:ascii="Book Antiqua" w:hAnsi="Book Antiqua" w:cs="宋体"/>
          <w:color w:val="000000"/>
          <w:sz w:val="24"/>
          <w:szCs w:val="24"/>
          <w:lang w:eastAsia="zh-CN"/>
        </w:rPr>
        <w:fldChar w:fldCharType="end"/>
      </w:r>
      <w:r w:rsidR="000B2019" w:rsidRPr="000B2019">
        <w:rPr>
          <w:rFonts w:ascii="Book Antiqua" w:hAnsi="Book Antiqua" w:cs="宋体"/>
          <w:color w:val="000000"/>
          <w:sz w:val="24"/>
          <w:szCs w:val="24"/>
          <w:lang w:eastAsia="zh-CN"/>
        </w:rPr>
        <w:t>,</w:t>
      </w:r>
      <w:r w:rsidR="000B2019" w:rsidRPr="000B2019">
        <w:rPr>
          <w:rFonts w:ascii="Book Antiqua" w:hAnsi="Book Antiqua" w:cs="宋体"/>
          <w:sz w:val="24"/>
          <w:szCs w:val="24"/>
          <w:lang w:eastAsia="zh-CN"/>
        </w:rPr>
        <w:t> </w:t>
      </w:r>
      <w:proofErr w:type="spellStart"/>
      <w:r w:rsidR="000B2019" w:rsidRPr="000B2019">
        <w:rPr>
          <w:rFonts w:ascii="Book Antiqua" w:hAnsi="Book Antiqua" w:cs="宋体"/>
          <w:color w:val="000000"/>
          <w:sz w:val="24"/>
          <w:szCs w:val="24"/>
          <w:lang w:eastAsia="zh-CN"/>
        </w:rPr>
        <w:fldChar w:fldCharType="begin"/>
      </w:r>
      <w:r w:rsidR="000B2019" w:rsidRPr="000B2019">
        <w:rPr>
          <w:rFonts w:ascii="Book Antiqua" w:hAnsi="Book Antiqua" w:cs="宋体"/>
          <w:color w:val="000000"/>
          <w:sz w:val="24"/>
          <w:szCs w:val="24"/>
          <w:lang w:eastAsia="zh-CN"/>
        </w:rPr>
        <w:instrText xml:space="preserve"> HYPERLINK "http://www.ncbi.nlm.nih.gov/pubmed?term=Schousboe%20J%5BAuthor%5D&amp;cauthor=true&amp;cauthor_uid=19712042" </w:instrText>
      </w:r>
      <w:r w:rsidR="000B2019" w:rsidRPr="000B2019">
        <w:rPr>
          <w:rFonts w:ascii="Book Antiqua" w:hAnsi="Book Antiqua" w:cs="宋体"/>
          <w:color w:val="000000"/>
          <w:sz w:val="24"/>
          <w:szCs w:val="24"/>
          <w:lang w:eastAsia="zh-CN"/>
        </w:rPr>
        <w:fldChar w:fldCharType="separate"/>
      </w:r>
      <w:r w:rsidR="000B2019" w:rsidRPr="000B2019">
        <w:rPr>
          <w:rFonts w:ascii="Book Antiqua" w:hAnsi="Book Antiqua" w:cs="宋体"/>
          <w:color w:val="000000"/>
          <w:sz w:val="24"/>
          <w:szCs w:val="24"/>
          <w:lang w:eastAsia="zh-CN"/>
        </w:rPr>
        <w:t>Schousboe</w:t>
      </w:r>
      <w:proofErr w:type="spellEnd"/>
      <w:r w:rsidR="000B2019" w:rsidRPr="000B2019">
        <w:rPr>
          <w:rFonts w:ascii="Book Antiqua" w:hAnsi="Book Antiqua" w:cs="宋体"/>
          <w:color w:val="000000"/>
          <w:sz w:val="24"/>
          <w:szCs w:val="24"/>
          <w:lang w:eastAsia="zh-CN"/>
        </w:rPr>
        <w:t xml:space="preserve"> J</w:t>
      </w:r>
      <w:r w:rsidR="000B2019" w:rsidRPr="000B2019">
        <w:rPr>
          <w:rFonts w:ascii="Book Antiqua" w:hAnsi="Book Antiqua" w:cs="宋体"/>
          <w:color w:val="000000"/>
          <w:sz w:val="24"/>
          <w:szCs w:val="24"/>
          <w:lang w:eastAsia="zh-CN"/>
        </w:rPr>
        <w:fldChar w:fldCharType="end"/>
      </w:r>
      <w:r w:rsidR="000B2019" w:rsidRPr="000B2019">
        <w:rPr>
          <w:rFonts w:ascii="Book Antiqua" w:hAnsi="Book Antiqua" w:cs="宋体"/>
          <w:color w:val="000000"/>
          <w:sz w:val="24"/>
          <w:szCs w:val="24"/>
          <w:lang w:eastAsia="zh-CN"/>
        </w:rPr>
        <w:t>,</w:t>
      </w:r>
      <w:r w:rsidR="000B2019" w:rsidRPr="000B2019">
        <w:rPr>
          <w:rFonts w:ascii="Book Antiqua" w:hAnsi="Book Antiqua" w:cs="宋体"/>
          <w:sz w:val="24"/>
          <w:szCs w:val="24"/>
          <w:lang w:eastAsia="zh-CN"/>
        </w:rPr>
        <w:t> </w:t>
      </w:r>
      <w:proofErr w:type="spellStart"/>
      <w:r w:rsidR="007E4C0C">
        <w:fldChar w:fldCharType="begin"/>
      </w:r>
      <w:r w:rsidR="007E4C0C">
        <w:instrText xml:space="preserve"> HYPERLINK "http://www.ncbi.nlm.nih.gov/pubmed?term=Siris%20ES%5BAuthor%5D&amp;cauthor=true&amp;cauthor_uid=19712042" </w:instrText>
      </w:r>
      <w:r w:rsidR="007E4C0C">
        <w:fldChar w:fldCharType="separate"/>
      </w:r>
      <w:r w:rsidR="000B2019" w:rsidRPr="000B2019">
        <w:rPr>
          <w:rFonts w:ascii="Book Antiqua" w:hAnsi="Book Antiqua" w:cs="宋体"/>
          <w:color w:val="000000"/>
          <w:sz w:val="24"/>
          <w:szCs w:val="24"/>
          <w:lang w:eastAsia="zh-CN"/>
        </w:rPr>
        <w:t>Siris</w:t>
      </w:r>
      <w:proofErr w:type="spellEnd"/>
      <w:r w:rsidR="000B2019" w:rsidRPr="000B2019">
        <w:rPr>
          <w:rFonts w:ascii="Book Antiqua" w:hAnsi="Book Antiqua" w:cs="宋体"/>
          <w:color w:val="000000"/>
          <w:sz w:val="24"/>
          <w:szCs w:val="24"/>
          <w:lang w:eastAsia="zh-CN"/>
        </w:rPr>
        <w:t xml:space="preserve"> ES</w:t>
      </w:r>
      <w:r w:rsidR="007E4C0C">
        <w:rPr>
          <w:rFonts w:ascii="Book Antiqua" w:hAnsi="Book Antiqua" w:cs="宋体"/>
          <w:color w:val="000000"/>
          <w:sz w:val="24"/>
          <w:szCs w:val="24"/>
          <w:lang w:eastAsia="zh-CN"/>
        </w:rPr>
        <w:fldChar w:fldCharType="end"/>
      </w:r>
      <w:r w:rsidR="000B2019" w:rsidRPr="000B2019">
        <w:rPr>
          <w:rFonts w:ascii="Book Antiqua" w:hAnsi="Book Antiqua" w:cs="宋体"/>
          <w:color w:val="000000"/>
          <w:sz w:val="24"/>
          <w:szCs w:val="24"/>
          <w:lang w:eastAsia="zh-CN"/>
        </w:rPr>
        <w:t>,</w:t>
      </w:r>
      <w:r w:rsidR="000B2019">
        <w:rPr>
          <w:rFonts w:ascii="Book Antiqua" w:hAnsi="Book Antiqua" w:cs="宋体" w:hint="eastAsia"/>
          <w:color w:val="000000"/>
          <w:sz w:val="24"/>
          <w:szCs w:val="24"/>
          <w:lang w:eastAsia="zh-CN"/>
        </w:rPr>
        <w:t xml:space="preserve"> </w:t>
      </w:r>
      <w:hyperlink r:id="rId12" w:history="1">
        <w:proofErr w:type="spellStart"/>
        <w:r w:rsidR="000B2019" w:rsidRPr="000B2019">
          <w:rPr>
            <w:rFonts w:ascii="Book Antiqua" w:hAnsi="Book Antiqua" w:cs="宋体"/>
            <w:color w:val="000000"/>
            <w:sz w:val="24"/>
            <w:szCs w:val="24"/>
            <w:lang w:eastAsia="zh-CN"/>
          </w:rPr>
          <w:t>Bilezikian</w:t>
        </w:r>
        <w:proofErr w:type="spellEnd"/>
        <w:r w:rsidR="000B2019" w:rsidRPr="000B2019">
          <w:rPr>
            <w:rFonts w:ascii="Book Antiqua" w:hAnsi="Book Antiqua" w:cs="宋体"/>
            <w:color w:val="000000"/>
            <w:sz w:val="24"/>
            <w:szCs w:val="24"/>
            <w:lang w:eastAsia="zh-CN"/>
          </w:rPr>
          <w:t xml:space="preserve"> JP</w:t>
        </w:r>
      </w:hyperlink>
      <w:r w:rsidR="000B2019" w:rsidRPr="000B2019">
        <w:rPr>
          <w:rFonts w:ascii="Book Antiqua" w:hAnsi="Book Antiqua" w:cs="宋体"/>
          <w:color w:val="000000"/>
          <w:sz w:val="24"/>
          <w:szCs w:val="24"/>
          <w:lang w:eastAsia="zh-CN"/>
        </w:rPr>
        <w:t>.</w:t>
      </w:r>
      <w:r w:rsidR="000B2019">
        <w:rPr>
          <w:rFonts w:ascii="Book Antiqua" w:hAnsi="Book Antiqua" w:cs="宋体" w:hint="eastAsia"/>
          <w:color w:val="000000"/>
          <w:sz w:val="24"/>
          <w:szCs w:val="24"/>
          <w:lang w:eastAsia="zh-CN"/>
        </w:rPr>
        <w:t xml:space="preserve"> </w:t>
      </w:r>
      <w:r w:rsidRPr="002A342B">
        <w:rPr>
          <w:rFonts w:ascii="Book Antiqua" w:hAnsi="Book Antiqua" w:cs="宋体"/>
          <w:color w:val="000000"/>
          <w:sz w:val="24"/>
          <w:szCs w:val="24"/>
          <w:lang w:eastAsia="zh-CN"/>
        </w:rPr>
        <w:t>Clinical value of monitoring BMD in patients treated with bisphosphonates for</w:t>
      </w:r>
      <w:r>
        <w:rPr>
          <w:rFonts w:ascii="Book Antiqua" w:hAnsi="Book Antiqua" w:cs="宋体"/>
          <w:color w:val="000000"/>
          <w:sz w:val="24"/>
          <w:szCs w:val="24"/>
          <w:lang w:eastAsia="zh-CN"/>
        </w:rPr>
        <w:t xml:space="preserve"> osteoporosis. </w:t>
      </w:r>
      <w:r w:rsidRPr="002A342B">
        <w:rPr>
          <w:rFonts w:ascii="Book Antiqua" w:hAnsi="Book Antiqua" w:cs="宋体"/>
          <w:i/>
          <w:color w:val="000000"/>
          <w:sz w:val="24"/>
          <w:szCs w:val="24"/>
          <w:lang w:eastAsia="zh-CN"/>
        </w:rPr>
        <w:t xml:space="preserve">J Bone Miner Res </w:t>
      </w:r>
      <w:r w:rsidRPr="002A342B">
        <w:rPr>
          <w:rFonts w:ascii="Book Antiqua" w:hAnsi="Book Antiqua" w:cs="宋体"/>
          <w:color w:val="000000"/>
          <w:sz w:val="24"/>
          <w:szCs w:val="24"/>
          <w:lang w:eastAsia="zh-CN"/>
        </w:rPr>
        <w:t xml:space="preserve">2009; </w:t>
      </w:r>
      <w:r w:rsidRPr="002A342B">
        <w:rPr>
          <w:rFonts w:ascii="Book Antiqua" w:hAnsi="Book Antiqua" w:cs="宋体"/>
          <w:b/>
          <w:color w:val="000000"/>
          <w:sz w:val="24"/>
          <w:szCs w:val="24"/>
          <w:lang w:eastAsia="zh-CN"/>
        </w:rPr>
        <w:t>24(10)</w:t>
      </w:r>
      <w:r w:rsidRPr="002A342B">
        <w:rPr>
          <w:rFonts w:ascii="Book Antiqua" w:hAnsi="Book Antiqua" w:cs="宋体"/>
          <w:color w:val="000000"/>
          <w:sz w:val="24"/>
          <w:szCs w:val="24"/>
          <w:lang w:eastAsia="zh-CN"/>
        </w:rPr>
        <w:t>: 1643-1646. [MID: 197</w:t>
      </w:r>
      <w:r>
        <w:rPr>
          <w:rFonts w:ascii="Book Antiqua" w:hAnsi="Book Antiqua" w:cs="宋体"/>
          <w:color w:val="000000"/>
          <w:sz w:val="24"/>
          <w:szCs w:val="24"/>
          <w:lang w:eastAsia="zh-CN"/>
        </w:rPr>
        <w:t xml:space="preserve">12042 </w:t>
      </w:r>
      <w:proofErr w:type="spellStart"/>
      <w:r>
        <w:rPr>
          <w:rFonts w:ascii="Book Antiqua" w:hAnsi="Book Antiqua" w:cs="宋体"/>
          <w:color w:val="000000"/>
          <w:sz w:val="24"/>
          <w:szCs w:val="24"/>
          <w:lang w:eastAsia="zh-CN"/>
        </w:rPr>
        <w:t>doi</w:t>
      </w:r>
      <w:proofErr w:type="spellEnd"/>
      <w:r>
        <w:rPr>
          <w:rFonts w:ascii="Book Antiqua" w:hAnsi="Book Antiqua" w:cs="宋体"/>
          <w:color w:val="000000"/>
          <w:sz w:val="24"/>
          <w:szCs w:val="24"/>
          <w:lang w:eastAsia="zh-CN"/>
        </w:rPr>
        <w:t>: 10.1359/jbmr.090818]</w:t>
      </w:r>
    </w:p>
    <w:p w:rsidR="002A342B" w:rsidRPr="002A342B" w:rsidRDefault="002A342B" w:rsidP="002A342B">
      <w:pPr>
        <w:spacing w:line="360" w:lineRule="auto"/>
        <w:jc w:val="both"/>
        <w:rPr>
          <w:rFonts w:ascii="Book Antiqua" w:hAnsi="Book Antiqua" w:cs="宋体"/>
          <w:color w:val="000000"/>
          <w:sz w:val="24"/>
          <w:szCs w:val="24"/>
          <w:lang w:eastAsia="zh-CN"/>
        </w:rPr>
      </w:pPr>
      <w:r w:rsidRPr="002A342B">
        <w:rPr>
          <w:rFonts w:ascii="Book Antiqua" w:hAnsi="Book Antiqua" w:cs="宋体"/>
          <w:color w:val="000000"/>
          <w:sz w:val="24"/>
          <w:szCs w:val="24"/>
          <w:lang w:eastAsia="zh-CN"/>
        </w:rPr>
        <w:t>2</w:t>
      </w:r>
      <w:r>
        <w:rPr>
          <w:rFonts w:ascii="Book Antiqua" w:hAnsi="Book Antiqua" w:cs="宋体" w:hint="eastAsia"/>
          <w:color w:val="000000"/>
          <w:sz w:val="24"/>
          <w:szCs w:val="24"/>
          <w:lang w:eastAsia="zh-CN"/>
        </w:rPr>
        <w:t xml:space="preserve">4 </w:t>
      </w:r>
      <w:proofErr w:type="spellStart"/>
      <w:r w:rsidRPr="002A342B">
        <w:rPr>
          <w:rFonts w:ascii="Book Antiqua" w:hAnsi="Book Antiqua" w:cs="宋体"/>
          <w:b/>
          <w:color w:val="000000"/>
          <w:sz w:val="24"/>
          <w:szCs w:val="24"/>
          <w:lang w:eastAsia="zh-CN"/>
        </w:rPr>
        <w:t>Lewiecki</w:t>
      </w:r>
      <w:proofErr w:type="spellEnd"/>
      <w:r w:rsidRPr="002A342B">
        <w:rPr>
          <w:rFonts w:ascii="Book Antiqua" w:hAnsi="Book Antiqua" w:cs="宋体"/>
          <w:b/>
          <w:color w:val="000000"/>
          <w:sz w:val="24"/>
          <w:szCs w:val="24"/>
          <w:lang w:eastAsia="zh-CN"/>
        </w:rPr>
        <w:t xml:space="preserve"> E.</w:t>
      </w:r>
      <w:r w:rsidRPr="002A342B">
        <w:rPr>
          <w:rFonts w:ascii="Book Antiqua" w:hAnsi="Book Antiqua" w:cs="宋体"/>
          <w:color w:val="000000"/>
          <w:sz w:val="24"/>
          <w:szCs w:val="24"/>
          <w:lang w:eastAsia="zh-CN"/>
        </w:rPr>
        <w:t xml:space="preserve"> Bone </w:t>
      </w:r>
      <w:proofErr w:type="gramStart"/>
      <w:r w:rsidRPr="002A342B">
        <w:rPr>
          <w:rFonts w:ascii="Book Antiqua" w:hAnsi="Book Antiqua" w:cs="宋体"/>
          <w:color w:val="000000"/>
          <w:sz w:val="24"/>
          <w:szCs w:val="24"/>
          <w:lang w:eastAsia="zh-CN"/>
        </w:rPr>
        <w:t>Density</w:t>
      </w:r>
      <w:proofErr w:type="gramEnd"/>
      <w:r w:rsidRPr="002A342B">
        <w:rPr>
          <w:rFonts w:ascii="Book Antiqua" w:hAnsi="Book Antiqua" w:cs="宋体"/>
          <w:color w:val="000000"/>
          <w:sz w:val="24"/>
          <w:szCs w:val="24"/>
          <w:lang w:eastAsia="zh-CN"/>
        </w:rPr>
        <w:t xml:space="preserve"> Testing to Monitor Osteoporosis Therapy in Clinical Practice (Editorial). The American Family Physician Web site at www.aafp.org/afp </w:t>
      </w:r>
      <w:r>
        <w:rPr>
          <w:rFonts w:ascii="Book Antiqua" w:hAnsi="Book Antiqua" w:cs="宋体"/>
          <w:color w:val="000000"/>
          <w:sz w:val="24"/>
          <w:szCs w:val="24"/>
          <w:lang w:eastAsia="zh-CN"/>
        </w:rPr>
        <w:t>(accessed on August 26th, 2013)</w:t>
      </w:r>
    </w:p>
    <w:p w:rsidR="002A342B" w:rsidRPr="002A342B" w:rsidRDefault="002A342B" w:rsidP="002A342B">
      <w:pPr>
        <w:spacing w:line="360" w:lineRule="auto"/>
        <w:jc w:val="both"/>
        <w:rPr>
          <w:rFonts w:ascii="Book Antiqua" w:hAnsi="Book Antiqua" w:cs="宋体"/>
          <w:color w:val="000000"/>
          <w:sz w:val="24"/>
          <w:szCs w:val="24"/>
          <w:lang w:eastAsia="zh-CN"/>
        </w:rPr>
      </w:pPr>
      <w:r w:rsidRPr="002A342B">
        <w:rPr>
          <w:rFonts w:ascii="Book Antiqua" w:hAnsi="Book Antiqua" w:cs="宋体"/>
          <w:color w:val="000000"/>
          <w:sz w:val="24"/>
          <w:szCs w:val="24"/>
          <w:lang w:eastAsia="zh-CN"/>
        </w:rPr>
        <w:t>2</w:t>
      </w:r>
      <w:r>
        <w:rPr>
          <w:rFonts w:ascii="Book Antiqua" w:hAnsi="Book Antiqua" w:cs="宋体" w:hint="eastAsia"/>
          <w:color w:val="000000"/>
          <w:sz w:val="24"/>
          <w:szCs w:val="24"/>
          <w:lang w:eastAsia="zh-CN"/>
        </w:rPr>
        <w:t>5</w:t>
      </w:r>
      <w:r w:rsidRPr="002A342B">
        <w:rPr>
          <w:rFonts w:ascii="Book Antiqua" w:hAnsi="Book Antiqua" w:cs="宋体"/>
          <w:color w:val="000000"/>
          <w:sz w:val="24"/>
          <w:szCs w:val="24"/>
          <w:lang w:eastAsia="zh-CN"/>
        </w:rPr>
        <w:t> </w:t>
      </w:r>
      <w:proofErr w:type="spellStart"/>
      <w:r w:rsidRPr="002A342B">
        <w:rPr>
          <w:rFonts w:ascii="Book Antiqua" w:hAnsi="Book Antiqua" w:cs="宋体"/>
          <w:b/>
          <w:bCs/>
          <w:color w:val="000000"/>
          <w:sz w:val="24"/>
          <w:szCs w:val="24"/>
          <w:lang w:eastAsia="zh-CN"/>
        </w:rPr>
        <w:t>Seeman</w:t>
      </w:r>
      <w:proofErr w:type="spellEnd"/>
      <w:r w:rsidRPr="002A342B">
        <w:rPr>
          <w:rFonts w:ascii="Book Antiqua" w:hAnsi="Book Antiqua" w:cs="宋体"/>
          <w:b/>
          <w:bCs/>
          <w:color w:val="000000"/>
          <w:sz w:val="24"/>
          <w:szCs w:val="24"/>
          <w:lang w:eastAsia="zh-CN"/>
        </w:rPr>
        <w:t xml:space="preserve"> E</w:t>
      </w:r>
      <w:r w:rsidRPr="002A342B">
        <w:rPr>
          <w:rFonts w:ascii="Book Antiqua" w:hAnsi="Book Antiqua" w:cs="宋体"/>
          <w:color w:val="000000"/>
          <w:sz w:val="24"/>
          <w:szCs w:val="24"/>
          <w:lang w:eastAsia="zh-CN"/>
        </w:rPr>
        <w:t xml:space="preserve">, </w:t>
      </w:r>
      <w:proofErr w:type="spellStart"/>
      <w:r w:rsidRPr="002A342B">
        <w:rPr>
          <w:rFonts w:ascii="Book Antiqua" w:hAnsi="Book Antiqua" w:cs="宋体"/>
          <w:color w:val="000000"/>
          <w:sz w:val="24"/>
          <w:szCs w:val="24"/>
          <w:lang w:eastAsia="zh-CN"/>
        </w:rPr>
        <w:t>Compston</w:t>
      </w:r>
      <w:proofErr w:type="spellEnd"/>
      <w:r w:rsidRPr="002A342B">
        <w:rPr>
          <w:rFonts w:ascii="Book Antiqua" w:hAnsi="Book Antiqua" w:cs="宋体"/>
          <w:color w:val="000000"/>
          <w:sz w:val="24"/>
          <w:szCs w:val="24"/>
          <w:lang w:eastAsia="zh-CN"/>
        </w:rPr>
        <w:t xml:space="preserve"> J, Adachi J, Brandi ML, Cooper C, Dawson-Hughes B, </w:t>
      </w:r>
      <w:proofErr w:type="spellStart"/>
      <w:r w:rsidRPr="002A342B">
        <w:rPr>
          <w:rFonts w:ascii="Book Antiqua" w:hAnsi="Book Antiqua" w:cs="宋体"/>
          <w:color w:val="000000"/>
          <w:sz w:val="24"/>
          <w:szCs w:val="24"/>
          <w:lang w:eastAsia="zh-CN"/>
        </w:rPr>
        <w:t>Jönsson</w:t>
      </w:r>
      <w:proofErr w:type="spellEnd"/>
      <w:r w:rsidRPr="002A342B">
        <w:rPr>
          <w:rFonts w:ascii="Book Antiqua" w:hAnsi="Book Antiqua" w:cs="宋体"/>
          <w:color w:val="000000"/>
          <w:sz w:val="24"/>
          <w:szCs w:val="24"/>
          <w:lang w:eastAsia="zh-CN"/>
        </w:rPr>
        <w:t xml:space="preserve"> B, Pols H, Cramer JA. Non-compliance: the Achilles' heel of anti-fracture efficacy. </w:t>
      </w:r>
      <w:proofErr w:type="spellStart"/>
      <w:r w:rsidRPr="002A342B">
        <w:rPr>
          <w:rFonts w:ascii="Book Antiqua" w:hAnsi="Book Antiqua" w:cs="宋体"/>
          <w:i/>
          <w:iCs/>
          <w:color w:val="000000"/>
          <w:sz w:val="24"/>
          <w:szCs w:val="24"/>
          <w:lang w:eastAsia="zh-CN"/>
        </w:rPr>
        <w:t>Osteoporos</w:t>
      </w:r>
      <w:proofErr w:type="spellEnd"/>
      <w:r w:rsidRPr="002A342B">
        <w:rPr>
          <w:rFonts w:ascii="Book Antiqua" w:hAnsi="Book Antiqua" w:cs="宋体"/>
          <w:i/>
          <w:iCs/>
          <w:color w:val="000000"/>
          <w:sz w:val="24"/>
          <w:szCs w:val="24"/>
          <w:lang w:eastAsia="zh-CN"/>
        </w:rPr>
        <w:t xml:space="preserve"> </w:t>
      </w:r>
      <w:proofErr w:type="spellStart"/>
      <w:r w:rsidRPr="002A342B">
        <w:rPr>
          <w:rFonts w:ascii="Book Antiqua" w:hAnsi="Book Antiqua" w:cs="宋体"/>
          <w:i/>
          <w:iCs/>
          <w:color w:val="000000"/>
          <w:sz w:val="24"/>
          <w:szCs w:val="24"/>
          <w:lang w:eastAsia="zh-CN"/>
        </w:rPr>
        <w:t>Int</w:t>
      </w:r>
      <w:proofErr w:type="spellEnd"/>
      <w:r w:rsidRPr="002A342B">
        <w:rPr>
          <w:rFonts w:ascii="Book Antiqua" w:hAnsi="Book Antiqua" w:cs="宋体"/>
          <w:color w:val="000000"/>
          <w:sz w:val="24"/>
          <w:szCs w:val="24"/>
          <w:lang w:eastAsia="zh-CN"/>
        </w:rPr>
        <w:t> 2007; </w:t>
      </w:r>
      <w:r w:rsidRPr="002A342B">
        <w:rPr>
          <w:rFonts w:ascii="Book Antiqua" w:hAnsi="Book Antiqua" w:cs="宋体"/>
          <w:b/>
          <w:bCs/>
          <w:color w:val="000000"/>
          <w:sz w:val="24"/>
          <w:szCs w:val="24"/>
          <w:lang w:eastAsia="zh-CN"/>
        </w:rPr>
        <w:t>18</w:t>
      </w:r>
      <w:r w:rsidRPr="002A342B">
        <w:rPr>
          <w:rFonts w:ascii="Book Antiqua" w:hAnsi="Book Antiqua" w:cs="宋体"/>
          <w:color w:val="000000"/>
          <w:sz w:val="24"/>
          <w:szCs w:val="24"/>
          <w:lang w:eastAsia="zh-CN"/>
        </w:rPr>
        <w:t>: 711-719 [PMID: 17245547]</w:t>
      </w:r>
    </w:p>
    <w:p w:rsidR="002A342B" w:rsidRPr="002A342B" w:rsidRDefault="002A342B" w:rsidP="002A342B">
      <w:pPr>
        <w:spacing w:line="360" w:lineRule="auto"/>
        <w:jc w:val="both"/>
        <w:rPr>
          <w:rFonts w:ascii="Book Antiqua" w:hAnsi="Book Antiqua" w:cs="宋体"/>
          <w:color w:val="000000"/>
          <w:sz w:val="24"/>
          <w:szCs w:val="24"/>
          <w:lang w:eastAsia="zh-CN"/>
        </w:rPr>
      </w:pPr>
      <w:r w:rsidRPr="002A342B">
        <w:rPr>
          <w:rFonts w:ascii="Book Antiqua" w:hAnsi="Book Antiqua" w:cs="宋体"/>
          <w:color w:val="000000"/>
          <w:sz w:val="24"/>
          <w:szCs w:val="24"/>
          <w:lang w:eastAsia="zh-CN"/>
        </w:rPr>
        <w:t>2</w:t>
      </w:r>
      <w:r>
        <w:rPr>
          <w:rFonts w:ascii="Book Antiqua" w:hAnsi="Book Antiqua" w:cs="宋体" w:hint="eastAsia"/>
          <w:color w:val="000000"/>
          <w:sz w:val="24"/>
          <w:szCs w:val="24"/>
          <w:lang w:eastAsia="zh-CN"/>
        </w:rPr>
        <w:t>6</w:t>
      </w:r>
      <w:r w:rsidRPr="002A342B">
        <w:rPr>
          <w:rFonts w:ascii="Book Antiqua" w:hAnsi="Book Antiqua" w:cs="宋体"/>
          <w:color w:val="000000"/>
          <w:sz w:val="24"/>
          <w:szCs w:val="24"/>
          <w:lang w:eastAsia="zh-CN"/>
        </w:rPr>
        <w:t> </w:t>
      </w:r>
      <w:proofErr w:type="spellStart"/>
      <w:r w:rsidRPr="002A342B">
        <w:rPr>
          <w:rFonts w:ascii="Book Antiqua" w:hAnsi="Book Antiqua" w:cs="宋体"/>
          <w:b/>
          <w:bCs/>
          <w:color w:val="000000"/>
          <w:sz w:val="24"/>
          <w:szCs w:val="24"/>
          <w:lang w:eastAsia="zh-CN"/>
        </w:rPr>
        <w:t>Kanis</w:t>
      </w:r>
      <w:proofErr w:type="spellEnd"/>
      <w:r w:rsidRPr="002A342B">
        <w:rPr>
          <w:rFonts w:ascii="Book Antiqua" w:hAnsi="Book Antiqua" w:cs="宋体"/>
          <w:b/>
          <w:bCs/>
          <w:color w:val="000000"/>
          <w:sz w:val="24"/>
          <w:szCs w:val="24"/>
          <w:lang w:eastAsia="zh-CN"/>
        </w:rPr>
        <w:t xml:space="preserve"> JA</w:t>
      </w:r>
      <w:r w:rsidRPr="002A342B">
        <w:rPr>
          <w:rFonts w:ascii="Book Antiqua" w:hAnsi="Book Antiqua" w:cs="宋体"/>
          <w:color w:val="000000"/>
          <w:sz w:val="24"/>
          <w:szCs w:val="24"/>
          <w:lang w:eastAsia="zh-CN"/>
        </w:rPr>
        <w:t xml:space="preserve">, Johansson H, Oden A, McCloskey EV. </w:t>
      </w:r>
      <w:proofErr w:type="gramStart"/>
      <w:r w:rsidRPr="002A342B">
        <w:rPr>
          <w:rFonts w:ascii="Book Antiqua" w:hAnsi="Book Antiqua" w:cs="宋体"/>
          <w:color w:val="000000"/>
          <w:sz w:val="24"/>
          <w:szCs w:val="24"/>
          <w:lang w:eastAsia="zh-CN"/>
        </w:rPr>
        <w:t xml:space="preserve">A meta-analysis of the efficacy of </w:t>
      </w:r>
      <w:proofErr w:type="spellStart"/>
      <w:r w:rsidRPr="002A342B">
        <w:rPr>
          <w:rFonts w:ascii="Book Antiqua" w:hAnsi="Book Antiqua" w:cs="宋体"/>
          <w:color w:val="000000"/>
          <w:sz w:val="24"/>
          <w:szCs w:val="24"/>
          <w:lang w:eastAsia="zh-CN"/>
        </w:rPr>
        <w:t>raloxifene</w:t>
      </w:r>
      <w:proofErr w:type="spellEnd"/>
      <w:r w:rsidRPr="002A342B">
        <w:rPr>
          <w:rFonts w:ascii="Book Antiqua" w:hAnsi="Book Antiqua" w:cs="宋体"/>
          <w:color w:val="000000"/>
          <w:sz w:val="24"/>
          <w:szCs w:val="24"/>
          <w:lang w:eastAsia="zh-CN"/>
        </w:rPr>
        <w:t xml:space="preserve"> on all clinical and vertebral fractures and its dependency on FRAX.</w:t>
      </w:r>
      <w:proofErr w:type="gramEnd"/>
      <w:r w:rsidRPr="002A342B">
        <w:rPr>
          <w:rFonts w:ascii="Book Antiqua" w:hAnsi="Book Antiqua" w:cs="宋体"/>
          <w:color w:val="000000"/>
          <w:sz w:val="24"/>
          <w:szCs w:val="24"/>
          <w:lang w:eastAsia="zh-CN"/>
        </w:rPr>
        <w:t> </w:t>
      </w:r>
      <w:r w:rsidRPr="002A342B">
        <w:rPr>
          <w:rFonts w:ascii="Book Antiqua" w:hAnsi="Book Antiqua" w:cs="宋体"/>
          <w:i/>
          <w:iCs/>
          <w:color w:val="000000"/>
          <w:sz w:val="24"/>
          <w:szCs w:val="24"/>
          <w:lang w:eastAsia="zh-CN"/>
        </w:rPr>
        <w:t>Bone</w:t>
      </w:r>
      <w:r w:rsidRPr="002A342B">
        <w:rPr>
          <w:rFonts w:ascii="Book Antiqua" w:hAnsi="Book Antiqua" w:cs="宋体"/>
          <w:color w:val="000000"/>
          <w:sz w:val="24"/>
          <w:szCs w:val="24"/>
          <w:lang w:eastAsia="zh-CN"/>
        </w:rPr>
        <w:t> 2010; </w:t>
      </w:r>
      <w:r w:rsidRPr="002A342B">
        <w:rPr>
          <w:rFonts w:ascii="Book Antiqua" w:hAnsi="Book Antiqua" w:cs="宋体"/>
          <w:b/>
          <w:bCs/>
          <w:color w:val="000000"/>
          <w:sz w:val="24"/>
          <w:szCs w:val="24"/>
          <w:lang w:eastAsia="zh-CN"/>
        </w:rPr>
        <w:t>47</w:t>
      </w:r>
      <w:r w:rsidRPr="002A342B">
        <w:rPr>
          <w:rFonts w:ascii="Book Antiqua" w:hAnsi="Book Antiqua" w:cs="宋体"/>
          <w:color w:val="000000"/>
          <w:sz w:val="24"/>
          <w:szCs w:val="24"/>
          <w:lang w:eastAsia="zh-CN"/>
        </w:rPr>
        <w:t>: 729-735 [PMID: 20601292 DOI: 10.1016/j.bone.2010.06.009]</w:t>
      </w:r>
    </w:p>
    <w:p w:rsidR="002A342B" w:rsidRPr="002A342B" w:rsidRDefault="002A342B" w:rsidP="002A342B">
      <w:pPr>
        <w:spacing w:line="360" w:lineRule="auto"/>
        <w:jc w:val="both"/>
        <w:rPr>
          <w:rFonts w:ascii="Book Antiqua" w:hAnsi="Book Antiqua" w:cs="宋体"/>
          <w:color w:val="000000"/>
          <w:sz w:val="24"/>
          <w:szCs w:val="24"/>
          <w:lang w:eastAsia="zh-CN"/>
        </w:rPr>
      </w:pPr>
      <w:r w:rsidRPr="002A342B">
        <w:rPr>
          <w:rFonts w:ascii="Book Antiqua" w:hAnsi="Book Antiqua" w:cs="宋体"/>
          <w:color w:val="000000"/>
          <w:sz w:val="24"/>
          <w:szCs w:val="24"/>
          <w:lang w:eastAsia="zh-CN"/>
        </w:rPr>
        <w:t>2</w:t>
      </w:r>
      <w:r>
        <w:rPr>
          <w:rFonts w:ascii="Book Antiqua" w:hAnsi="Book Antiqua" w:cs="宋体" w:hint="eastAsia"/>
          <w:color w:val="000000"/>
          <w:sz w:val="24"/>
          <w:szCs w:val="24"/>
          <w:lang w:eastAsia="zh-CN"/>
        </w:rPr>
        <w:t>7</w:t>
      </w:r>
      <w:r w:rsidRPr="002A342B">
        <w:rPr>
          <w:rFonts w:ascii="Book Antiqua" w:hAnsi="Book Antiqua" w:cs="宋体"/>
          <w:color w:val="000000"/>
          <w:sz w:val="24"/>
          <w:szCs w:val="24"/>
          <w:lang w:eastAsia="zh-CN"/>
        </w:rPr>
        <w:t> </w:t>
      </w:r>
      <w:proofErr w:type="spellStart"/>
      <w:r w:rsidRPr="002A342B">
        <w:rPr>
          <w:rFonts w:ascii="Book Antiqua" w:hAnsi="Book Antiqua" w:cs="宋体"/>
          <w:b/>
          <w:bCs/>
          <w:color w:val="000000"/>
          <w:sz w:val="24"/>
          <w:szCs w:val="24"/>
          <w:lang w:eastAsia="zh-CN"/>
        </w:rPr>
        <w:t>Kanis</w:t>
      </w:r>
      <w:proofErr w:type="spellEnd"/>
      <w:r w:rsidRPr="002A342B">
        <w:rPr>
          <w:rFonts w:ascii="Book Antiqua" w:hAnsi="Book Antiqua" w:cs="宋体"/>
          <w:b/>
          <w:bCs/>
          <w:color w:val="000000"/>
          <w:sz w:val="24"/>
          <w:szCs w:val="24"/>
          <w:lang w:eastAsia="zh-CN"/>
        </w:rPr>
        <w:t xml:space="preserve"> JA</w:t>
      </w:r>
      <w:r w:rsidRPr="002A342B">
        <w:rPr>
          <w:rFonts w:ascii="Book Antiqua" w:hAnsi="Book Antiqua" w:cs="宋体"/>
          <w:color w:val="000000"/>
          <w:sz w:val="24"/>
          <w:szCs w:val="24"/>
          <w:lang w:eastAsia="zh-CN"/>
        </w:rPr>
        <w:t xml:space="preserve">, Johansson H, Oden A, McCloskey EV. A meta-analysis of the effect of strontium </w:t>
      </w:r>
      <w:proofErr w:type="spellStart"/>
      <w:r w:rsidRPr="002A342B">
        <w:rPr>
          <w:rFonts w:ascii="Book Antiqua" w:hAnsi="Book Antiqua" w:cs="宋体"/>
          <w:color w:val="000000"/>
          <w:sz w:val="24"/>
          <w:szCs w:val="24"/>
          <w:lang w:eastAsia="zh-CN"/>
        </w:rPr>
        <w:t>ranelate</w:t>
      </w:r>
      <w:proofErr w:type="spellEnd"/>
      <w:r w:rsidRPr="002A342B">
        <w:rPr>
          <w:rFonts w:ascii="Book Antiqua" w:hAnsi="Book Antiqua" w:cs="宋体"/>
          <w:color w:val="000000"/>
          <w:sz w:val="24"/>
          <w:szCs w:val="24"/>
          <w:lang w:eastAsia="zh-CN"/>
        </w:rPr>
        <w:t xml:space="preserve"> on the risk of vertebral and non-vertebral fracture in postmenopausal osteoporosis and the interaction with </w:t>
      </w:r>
      <w:proofErr w:type="gramStart"/>
      <w:r w:rsidRPr="002A342B">
        <w:rPr>
          <w:rFonts w:ascii="Book Antiqua" w:hAnsi="Book Antiqua" w:cs="宋体"/>
          <w:color w:val="000000"/>
          <w:sz w:val="24"/>
          <w:szCs w:val="24"/>
          <w:lang w:eastAsia="zh-CN"/>
        </w:rPr>
        <w:t>FRAX(</w:t>
      </w:r>
      <w:proofErr w:type="gramEnd"/>
      <w:r w:rsidRPr="002A342B">
        <w:rPr>
          <w:rFonts w:ascii="Book Antiqua" w:hAnsi="Book Antiqua" w:cs="宋体"/>
          <w:color w:val="000000"/>
          <w:sz w:val="24"/>
          <w:szCs w:val="24"/>
          <w:lang w:eastAsia="zh-CN"/>
        </w:rPr>
        <w:t>®). </w:t>
      </w:r>
      <w:proofErr w:type="spellStart"/>
      <w:r w:rsidRPr="002A342B">
        <w:rPr>
          <w:rFonts w:ascii="Book Antiqua" w:hAnsi="Book Antiqua" w:cs="宋体"/>
          <w:i/>
          <w:iCs/>
          <w:color w:val="000000"/>
          <w:sz w:val="24"/>
          <w:szCs w:val="24"/>
          <w:lang w:eastAsia="zh-CN"/>
        </w:rPr>
        <w:t>Osteoporos</w:t>
      </w:r>
      <w:proofErr w:type="spellEnd"/>
      <w:r w:rsidRPr="002A342B">
        <w:rPr>
          <w:rFonts w:ascii="Book Antiqua" w:hAnsi="Book Antiqua" w:cs="宋体"/>
          <w:i/>
          <w:iCs/>
          <w:color w:val="000000"/>
          <w:sz w:val="24"/>
          <w:szCs w:val="24"/>
          <w:lang w:eastAsia="zh-CN"/>
        </w:rPr>
        <w:t xml:space="preserve"> </w:t>
      </w:r>
      <w:proofErr w:type="spellStart"/>
      <w:r w:rsidRPr="002A342B">
        <w:rPr>
          <w:rFonts w:ascii="Book Antiqua" w:hAnsi="Book Antiqua" w:cs="宋体"/>
          <w:i/>
          <w:iCs/>
          <w:color w:val="000000"/>
          <w:sz w:val="24"/>
          <w:szCs w:val="24"/>
          <w:lang w:eastAsia="zh-CN"/>
        </w:rPr>
        <w:t>Int</w:t>
      </w:r>
      <w:proofErr w:type="spellEnd"/>
      <w:r w:rsidRPr="002A342B">
        <w:rPr>
          <w:rFonts w:ascii="Book Antiqua" w:hAnsi="Book Antiqua" w:cs="宋体"/>
          <w:color w:val="000000"/>
          <w:sz w:val="24"/>
          <w:szCs w:val="24"/>
          <w:lang w:eastAsia="zh-CN"/>
        </w:rPr>
        <w:t> 2011; </w:t>
      </w:r>
      <w:r w:rsidRPr="002A342B">
        <w:rPr>
          <w:rFonts w:ascii="Book Antiqua" w:hAnsi="Book Antiqua" w:cs="宋体"/>
          <w:b/>
          <w:bCs/>
          <w:color w:val="000000"/>
          <w:sz w:val="24"/>
          <w:szCs w:val="24"/>
          <w:lang w:eastAsia="zh-CN"/>
        </w:rPr>
        <w:t>22</w:t>
      </w:r>
      <w:r w:rsidRPr="002A342B">
        <w:rPr>
          <w:rFonts w:ascii="Book Antiqua" w:hAnsi="Book Antiqua" w:cs="宋体"/>
          <w:color w:val="000000"/>
          <w:sz w:val="24"/>
          <w:szCs w:val="24"/>
          <w:lang w:eastAsia="zh-CN"/>
        </w:rPr>
        <w:t>: 2347-2355 [PMID: 21287148 DOI: 10.1007/s00198-010-1474-0]</w:t>
      </w:r>
    </w:p>
    <w:p w:rsidR="002A342B" w:rsidRPr="002A342B" w:rsidRDefault="002A342B" w:rsidP="002A342B">
      <w:pPr>
        <w:spacing w:line="360" w:lineRule="auto"/>
        <w:jc w:val="both"/>
        <w:rPr>
          <w:rFonts w:ascii="Book Antiqua" w:hAnsi="Book Antiqua" w:cs="宋体"/>
          <w:color w:val="000000"/>
          <w:sz w:val="24"/>
          <w:szCs w:val="24"/>
          <w:lang w:eastAsia="zh-CN"/>
        </w:rPr>
      </w:pPr>
      <w:r>
        <w:rPr>
          <w:rFonts w:ascii="Book Antiqua" w:hAnsi="Book Antiqua" w:cs="宋体" w:hint="eastAsia"/>
          <w:color w:val="000000"/>
          <w:sz w:val="24"/>
          <w:szCs w:val="24"/>
          <w:lang w:eastAsia="zh-CN"/>
        </w:rPr>
        <w:lastRenderedPageBreak/>
        <w:t>28</w:t>
      </w:r>
      <w:r w:rsidRPr="002A342B">
        <w:rPr>
          <w:rFonts w:ascii="Book Antiqua" w:hAnsi="Book Antiqua" w:cs="宋体"/>
          <w:color w:val="000000"/>
          <w:sz w:val="24"/>
          <w:szCs w:val="24"/>
          <w:lang w:eastAsia="zh-CN"/>
        </w:rPr>
        <w:t> </w:t>
      </w:r>
      <w:r w:rsidRPr="002A342B">
        <w:rPr>
          <w:rFonts w:ascii="Book Antiqua" w:hAnsi="Book Antiqua" w:cs="宋体"/>
          <w:b/>
          <w:bCs/>
          <w:color w:val="000000"/>
          <w:sz w:val="24"/>
          <w:szCs w:val="24"/>
          <w:lang w:eastAsia="zh-CN"/>
        </w:rPr>
        <w:t>McCloskey EV</w:t>
      </w:r>
      <w:r w:rsidRPr="002A342B">
        <w:rPr>
          <w:rFonts w:ascii="Book Antiqua" w:hAnsi="Book Antiqua" w:cs="宋体"/>
          <w:color w:val="000000"/>
          <w:sz w:val="24"/>
          <w:szCs w:val="24"/>
          <w:lang w:eastAsia="zh-CN"/>
        </w:rPr>
        <w:t xml:space="preserve">, Johansson H, Oden A, Austin M, </w:t>
      </w:r>
      <w:proofErr w:type="spellStart"/>
      <w:r w:rsidRPr="002A342B">
        <w:rPr>
          <w:rFonts w:ascii="Book Antiqua" w:hAnsi="Book Antiqua" w:cs="宋体"/>
          <w:color w:val="000000"/>
          <w:sz w:val="24"/>
          <w:szCs w:val="24"/>
          <w:lang w:eastAsia="zh-CN"/>
        </w:rPr>
        <w:t>Siris</w:t>
      </w:r>
      <w:proofErr w:type="spellEnd"/>
      <w:r w:rsidRPr="002A342B">
        <w:rPr>
          <w:rFonts w:ascii="Book Antiqua" w:hAnsi="Book Antiqua" w:cs="宋体"/>
          <w:color w:val="000000"/>
          <w:sz w:val="24"/>
          <w:szCs w:val="24"/>
          <w:lang w:eastAsia="zh-CN"/>
        </w:rPr>
        <w:t xml:space="preserve"> E, Wang A, </w:t>
      </w:r>
      <w:proofErr w:type="spellStart"/>
      <w:r w:rsidRPr="002A342B">
        <w:rPr>
          <w:rFonts w:ascii="Book Antiqua" w:hAnsi="Book Antiqua" w:cs="宋体"/>
          <w:color w:val="000000"/>
          <w:sz w:val="24"/>
          <w:szCs w:val="24"/>
          <w:lang w:eastAsia="zh-CN"/>
        </w:rPr>
        <w:t>Lewiecki</w:t>
      </w:r>
      <w:proofErr w:type="spellEnd"/>
      <w:r w:rsidRPr="002A342B">
        <w:rPr>
          <w:rFonts w:ascii="Book Antiqua" w:hAnsi="Book Antiqua" w:cs="宋体"/>
          <w:color w:val="000000"/>
          <w:sz w:val="24"/>
          <w:szCs w:val="24"/>
          <w:lang w:eastAsia="zh-CN"/>
        </w:rPr>
        <w:t xml:space="preserve"> EM, </w:t>
      </w:r>
      <w:proofErr w:type="spellStart"/>
      <w:r w:rsidRPr="002A342B">
        <w:rPr>
          <w:rFonts w:ascii="Book Antiqua" w:hAnsi="Book Antiqua" w:cs="宋体"/>
          <w:color w:val="000000"/>
          <w:sz w:val="24"/>
          <w:szCs w:val="24"/>
          <w:lang w:eastAsia="zh-CN"/>
        </w:rPr>
        <w:t>Lorenc</w:t>
      </w:r>
      <w:proofErr w:type="spellEnd"/>
      <w:r w:rsidRPr="002A342B">
        <w:rPr>
          <w:rFonts w:ascii="Book Antiqua" w:hAnsi="Book Antiqua" w:cs="宋体"/>
          <w:color w:val="000000"/>
          <w:sz w:val="24"/>
          <w:szCs w:val="24"/>
          <w:lang w:eastAsia="zh-CN"/>
        </w:rPr>
        <w:t xml:space="preserve"> R, </w:t>
      </w:r>
      <w:proofErr w:type="spellStart"/>
      <w:r w:rsidRPr="002A342B">
        <w:rPr>
          <w:rFonts w:ascii="Book Antiqua" w:hAnsi="Book Antiqua" w:cs="宋体"/>
          <w:color w:val="000000"/>
          <w:sz w:val="24"/>
          <w:szCs w:val="24"/>
          <w:lang w:eastAsia="zh-CN"/>
        </w:rPr>
        <w:t>Libanati</w:t>
      </w:r>
      <w:proofErr w:type="spellEnd"/>
      <w:r w:rsidRPr="002A342B">
        <w:rPr>
          <w:rFonts w:ascii="Book Antiqua" w:hAnsi="Book Antiqua" w:cs="宋体"/>
          <w:color w:val="000000"/>
          <w:sz w:val="24"/>
          <w:szCs w:val="24"/>
          <w:lang w:eastAsia="zh-CN"/>
        </w:rPr>
        <w:t xml:space="preserve"> C, </w:t>
      </w:r>
      <w:proofErr w:type="spellStart"/>
      <w:r w:rsidRPr="002A342B">
        <w:rPr>
          <w:rFonts w:ascii="Book Antiqua" w:hAnsi="Book Antiqua" w:cs="宋体"/>
          <w:color w:val="000000"/>
          <w:sz w:val="24"/>
          <w:szCs w:val="24"/>
          <w:lang w:eastAsia="zh-CN"/>
        </w:rPr>
        <w:t>Kanis</w:t>
      </w:r>
      <w:proofErr w:type="spellEnd"/>
      <w:r w:rsidRPr="002A342B">
        <w:rPr>
          <w:rFonts w:ascii="Book Antiqua" w:hAnsi="Book Antiqua" w:cs="宋体"/>
          <w:color w:val="000000"/>
          <w:sz w:val="24"/>
          <w:szCs w:val="24"/>
          <w:lang w:eastAsia="zh-CN"/>
        </w:rPr>
        <w:t xml:space="preserve"> JA. </w:t>
      </w:r>
      <w:proofErr w:type="spellStart"/>
      <w:r w:rsidRPr="002A342B">
        <w:rPr>
          <w:rFonts w:ascii="Book Antiqua" w:hAnsi="Book Antiqua" w:cs="宋体"/>
          <w:color w:val="000000"/>
          <w:sz w:val="24"/>
          <w:szCs w:val="24"/>
          <w:lang w:eastAsia="zh-CN"/>
        </w:rPr>
        <w:t>Denosumab</w:t>
      </w:r>
      <w:proofErr w:type="spellEnd"/>
      <w:r w:rsidRPr="002A342B">
        <w:rPr>
          <w:rFonts w:ascii="Book Antiqua" w:hAnsi="Book Antiqua" w:cs="宋体"/>
          <w:color w:val="000000"/>
          <w:sz w:val="24"/>
          <w:szCs w:val="24"/>
          <w:lang w:eastAsia="zh-CN"/>
        </w:rPr>
        <w:t xml:space="preserve"> reduces the risk of osteoporotic fractures in postmenopausal women, particularly in those with moderate to high fracture risk as assessed with FRAX. </w:t>
      </w:r>
      <w:r w:rsidRPr="002A342B">
        <w:rPr>
          <w:rFonts w:ascii="Book Antiqua" w:hAnsi="Book Antiqua" w:cs="宋体"/>
          <w:i/>
          <w:iCs/>
          <w:color w:val="000000"/>
          <w:sz w:val="24"/>
          <w:szCs w:val="24"/>
          <w:lang w:eastAsia="zh-CN"/>
        </w:rPr>
        <w:t>J Bone Miner Res</w:t>
      </w:r>
      <w:r w:rsidRPr="002A342B">
        <w:rPr>
          <w:rFonts w:ascii="Book Antiqua" w:hAnsi="Book Antiqua" w:cs="宋体"/>
          <w:color w:val="000000"/>
          <w:sz w:val="24"/>
          <w:szCs w:val="24"/>
          <w:lang w:eastAsia="zh-CN"/>
        </w:rPr>
        <w:t> 2012; </w:t>
      </w:r>
      <w:r w:rsidRPr="002A342B">
        <w:rPr>
          <w:rFonts w:ascii="Book Antiqua" w:hAnsi="Book Antiqua" w:cs="宋体"/>
          <w:b/>
          <w:bCs/>
          <w:color w:val="000000"/>
          <w:sz w:val="24"/>
          <w:szCs w:val="24"/>
          <w:lang w:eastAsia="zh-CN"/>
        </w:rPr>
        <w:t>27</w:t>
      </w:r>
      <w:r w:rsidRPr="002A342B">
        <w:rPr>
          <w:rFonts w:ascii="Book Antiqua" w:hAnsi="Book Antiqua" w:cs="宋体"/>
          <w:color w:val="000000"/>
          <w:sz w:val="24"/>
          <w:szCs w:val="24"/>
          <w:lang w:eastAsia="zh-CN"/>
        </w:rPr>
        <w:t>: 1480-1486 [PMID: 22431426 DOI: 10.1002/jbmr.1606]</w:t>
      </w:r>
    </w:p>
    <w:p w:rsidR="002A342B" w:rsidRDefault="002A342B" w:rsidP="007967A4">
      <w:pPr>
        <w:spacing w:line="360" w:lineRule="auto"/>
        <w:jc w:val="both"/>
        <w:rPr>
          <w:rFonts w:ascii="Book Antiqua" w:hAnsi="Book Antiqua"/>
          <w:b/>
          <w:bCs/>
          <w:sz w:val="24"/>
          <w:szCs w:val="24"/>
          <w:lang w:val="en-GB" w:eastAsia="zh-CN"/>
        </w:rPr>
      </w:pPr>
    </w:p>
    <w:p w:rsidR="002A342B" w:rsidRPr="002A342B" w:rsidRDefault="007E4C0C" w:rsidP="002A342B">
      <w:pPr>
        <w:pStyle w:val="ac"/>
        <w:jc w:val="right"/>
        <w:rPr>
          <w:rFonts w:ascii="Book Antiqua" w:hAnsi="Book Antiqua"/>
          <w:b/>
          <w:sz w:val="24"/>
          <w:szCs w:val="24"/>
        </w:rPr>
      </w:pPr>
      <w:r>
        <w:rPr>
          <w:rFonts w:ascii="Book Antiqua" w:hAnsi="Book Antiqua"/>
          <w:b/>
          <w:sz w:val="24"/>
          <w:szCs w:val="24"/>
        </w:rPr>
        <w:t>P-Reviewer</w:t>
      </w:r>
      <w:r w:rsidR="002A342B" w:rsidRPr="002A342B">
        <w:rPr>
          <w:rFonts w:ascii="Book Antiqua" w:hAnsi="Book Antiqua"/>
          <w:b/>
          <w:sz w:val="24"/>
          <w:szCs w:val="24"/>
        </w:rPr>
        <w:t xml:space="preserve">: </w:t>
      </w:r>
      <w:r w:rsidR="002A342B" w:rsidRPr="002A342B">
        <w:rPr>
          <w:rFonts w:ascii="Book Antiqua" w:hAnsi="Book Antiqua"/>
          <w:color w:val="000000"/>
          <w:sz w:val="24"/>
          <w:szCs w:val="24"/>
        </w:rPr>
        <w:t xml:space="preserve">Cheung WH, </w:t>
      </w:r>
      <w:proofErr w:type="spellStart"/>
      <w:r w:rsidR="002A342B" w:rsidRPr="002A342B">
        <w:rPr>
          <w:rFonts w:ascii="Book Antiqua" w:hAnsi="Book Antiqua"/>
          <w:color w:val="000000"/>
          <w:sz w:val="24"/>
          <w:szCs w:val="24"/>
        </w:rPr>
        <w:t>Gorgey</w:t>
      </w:r>
      <w:proofErr w:type="spellEnd"/>
      <w:r w:rsidR="002A342B" w:rsidRPr="002A342B">
        <w:rPr>
          <w:rFonts w:ascii="Book Antiqua" w:hAnsi="Book Antiqua"/>
          <w:color w:val="000000"/>
          <w:sz w:val="24"/>
          <w:szCs w:val="24"/>
        </w:rPr>
        <w:t xml:space="preserve"> AS, Li JX </w:t>
      </w:r>
      <w:r w:rsidR="002A342B" w:rsidRPr="002A342B">
        <w:rPr>
          <w:rFonts w:ascii="Book Antiqua" w:hAnsi="Book Antiqua"/>
          <w:b/>
          <w:sz w:val="24"/>
          <w:szCs w:val="24"/>
        </w:rPr>
        <w:t xml:space="preserve">S-Editor: </w:t>
      </w:r>
      <w:proofErr w:type="spellStart"/>
      <w:r w:rsidR="002A342B" w:rsidRPr="002A342B">
        <w:rPr>
          <w:rFonts w:ascii="Book Antiqua" w:hAnsi="Book Antiqua"/>
          <w:sz w:val="24"/>
          <w:szCs w:val="24"/>
        </w:rPr>
        <w:t>Ji</w:t>
      </w:r>
      <w:proofErr w:type="spellEnd"/>
      <w:r w:rsidR="002A342B" w:rsidRPr="002A342B">
        <w:rPr>
          <w:rFonts w:ascii="Book Antiqua" w:hAnsi="Book Antiqua"/>
          <w:sz w:val="24"/>
          <w:szCs w:val="24"/>
        </w:rPr>
        <w:t xml:space="preserve"> FF</w:t>
      </w:r>
      <w:r w:rsidR="002A342B" w:rsidRPr="002A342B">
        <w:rPr>
          <w:rFonts w:ascii="Book Antiqua" w:hAnsi="Book Antiqua"/>
          <w:b/>
          <w:sz w:val="24"/>
          <w:szCs w:val="24"/>
        </w:rPr>
        <w:t xml:space="preserve"> L-Editor:  E-Editor:</w:t>
      </w:r>
    </w:p>
    <w:p w:rsidR="00807A02" w:rsidRPr="00E14F93" w:rsidRDefault="00807A02" w:rsidP="007967A4">
      <w:pPr>
        <w:spacing w:line="360" w:lineRule="auto"/>
        <w:jc w:val="both"/>
        <w:rPr>
          <w:rFonts w:ascii="Book Antiqua" w:hAnsi="Book Antiqua"/>
          <w:sz w:val="24"/>
          <w:szCs w:val="24"/>
          <w:lang w:val="en-GB"/>
        </w:rPr>
      </w:pPr>
    </w:p>
    <w:p w:rsidR="00807A02" w:rsidRPr="00E14F93" w:rsidRDefault="00807A02" w:rsidP="007967A4">
      <w:pPr>
        <w:spacing w:line="360" w:lineRule="auto"/>
        <w:jc w:val="both"/>
        <w:rPr>
          <w:rFonts w:ascii="Book Antiqua" w:hAnsi="Book Antiqua"/>
          <w:b/>
          <w:bCs/>
          <w:sz w:val="24"/>
          <w:szCs w:val="24"/>
          <w:lang w:val="en-GB"/>
        </w:rPr>
      </w:pPr>
    </w:p>
    <w:p w:rsidR="005B47CF" w:rsidRPr="0074779E" w:rsidRDefault="005B47CF" w:rsidP="007967A4">
      <w:pPr>
        <w:spacing w:line="360" w:lineRule="auto"/>
        <w:jc w:val="both"/>
        <w:rPr>
          <w:rFonts w:ascii="Book Antiqua" w:hAnsi="Book Antiqua"/>
          <w:b/>
          <w:sz w:val="24"/>
          <w:szCs w:val="24"/>
          <w:lang w:val="en-GB" w:eastAsia="zh-CN"/>
        </w:rPr>
      </w:pPr>
      <w:r w:rsidRPr="0074779E">
        <w:rPr>
          <w:rFonts w:ascii="Book Antiqua" w:hAnsi="Book Antiqua"/>
          <w:b/>
          <w:bCs/>
          <w:sz w:val="24"/>
          <w:szCs w:val="24"/>
          <w:lang w:val="en-GB"/>
        </w:rPr>
        <w:t>Table 1</w:t>
      </w:r>
      <w:r w:rsidR="00807A02" w:rsidRPr="0074779E">
        <w:rPr>
          <w:rFonts w:ascii="Book Antiqua" w:hAnsi="Book Antiqua"/>
          <w:b/>
          <w:sz w:val="24"/>
          <w:szCs w:val="24"/>
        </w:rPr>
        <w:t xml:space="preserve"> M</w:t>
      </w:r>
      <w:proofErr w:type="spellStart"/>
      <w:r w:rsidR="00807A02" w:rsidRPr="0074779E">
        <w:rPr>
          <w:rFonts w:ascii="Book Antiqua" w:hAnsi="Book Antiqua"/>
          <w:b/>
          <w:sz w:val="24"/>
          <w:szCs w:val="24"/>
          <w:lang w:val="en-GB"/>
        </w:rPr>
        <w:t>ean</w:t>
      </w:r>
      <w:proofErr w:type="spellEnd"/>
      <w:r w:rsidR="00807A02" w:rsidRPr="0074779E">
        <w:rPr>
          <w:rFonts w:ascii="Book Antiqua" w:hAnsi="Book Antiqua"/>
          <w:b/>
          <w:sz w:val="24"/>
          <w:szCs w:val="24"/>
          <w:lang w:val="en-GB"/>
        </w:rPr>
        <w:t xml:space="preserve"> of the proximal femur </w:t>
      </w:r>
      <w:r w:rsidRPr="0074779E">
        <w:rPr>
          <w:rFonts w:ascii="Book Antiqua" w:hAnsi="Book Antiqua"/>
          <w:b/>
          <w:sz w:val="24"/>
          <w:szCs w:val="24"/>
          <w:lang w:val="en-GB"/>
        </w:rPr>
        <w:t>bone mineral density, predicted 10-y</w:t>
      </w:r>
      <w:r w:rsidR="0074779E" w:rsidRPr="0074779E">
        <w:rPr>
          <w:rFonts w:ascii="Book Antiqua" w:hAnsi="Book Antiqua" w:hint="eastAsia"/>
          <w:b/>
          <w:sz w:val="24"/>
          <w:szCs w:val="24"/>
          <w:lang w:val="en-GB" w:eastAsia="zh-CN"/>
        </w:rPr>
        <w:t>ea</w:t>
      </w:r>
      <w:r w:rsidR="00807A02" w:rsidRPr="0074779E">
        <w:rPr>
          <w:rFonts w:ascii="Book Antiqua" w:hAnsi="Book Antiqua"/>
          <w:b/>
          <w:sz w:val="24"/>
          <w:szCs w:val="24"/>
          <w:lang w:val="en-GB"/>
        </w:rPr>
        <w:t>r major osteoporotic fracture and hip fracture probability estimated for all patient</w:t>
      </w:r>
      <w:r w:rsidRPr="0074779E">
        <w:rPr>
          <w:rFonts w:ascii="Book Antiqua" w:hAnsi="Book Antiqua"/>
          <w:b/>
          <w:sz w:val="24"/>
          <w:szCs w:val="24"/>
          <w:lang w:val="en-GB"/>
        </w:rPr>
        <w:t>s at baseline, 2-y</w:t>
      </w:r>
      <w:r w:rsidR="0074779E" w:rsidRPr="0074779E">
        <w:rPr>
          <w:rFonts w:ascii="Book Antiqua" w:hAnsi="Book Antiqua" w:hint="eastAsia"/>
          <w:b/>
          <w:sz w:val="24"/>
          <w:szCs w:val="24"/>
          <w:lang w:val="en-GB" w:eastAsia="zh-CN"/>
        </w:rPr>
        <w:t>ea</w:t>
      </w:r>
      <w:r w:rsidRPr="0074779E">
        <w:rPr>
          <w:rFonts w:ascii="Book Antiqua" w:hAnsi="Book Antiqua"/>
          <w:b/>
          <w:sz w:val="24"/>
          <w:szCs w:val="24"/>
          <w:lang w:val="en-GB"/>
        </w:rPr>
        <w:t>r and 5-y</w:t>
      </w:r>
      <w:r w:rsidR="0074779E" w:rsidRPr="0074779E">
        <w:rPr>
          <w:rFonts w:ascii="Book Antiqua" w:hAnsi="Book Antiqua" w:hint="eastAsia"/>
          <w:b/>
          <w:sz w:val="24"/>
          <w:szCs w:val="24"/>
          <w:lang w:val="en-GB" w:eastAsia="zh-CN"/>
        </w:rPr>
        <w:t>ea</w:t>
      </w:r>
      <w:r w:rsidR="00807A02" w:rsidRPr="0074779E">
        <w:rPr>
          <w:rFonts w:ascii="Book Antiqua" w:hAnsi="Book Antiqua"/>
          <w:b/>
          <w:sz w:val="24"/>
          <w:szCs w:val="24"/>
          <w:lang w:val="en-GB"/>
        </w:rPr>
        <w:t>r</w:t>
      </w:r>
    </w:p>
    <w:tbl>
      <w:tblPr>
        <w:tblW w:w="0" w:type="auto"/>
        <w:tblInd w:w="2" w:type="dxa"/>
        <w:tblBorders>
          <w:top w:val="single" w:sz="4" w:space="0" w:color="auto"/>
          <w:bottom w:val="single" w:sz="4" w:space="0" w:color="auto"/>
        </w:tblBorders>
        <w:tblLook w:val="00A0" w:firstRow="1" w:lastRow="0" w:firstColumn="1" w:lastColumn="0" w:noHBand="0" w:noVBand="0"/>
      </w:tblPr>
      <w:tblGrid>
        <w:gridCol w:w="3436"/>
        <w:gridCol w:w="1800"/>
        <w:gridCol w:w="2250"/>
        <w:gridCol w:w="2088"/>
      </w:tblGrid>
      <w:tr w:rsidR="00356DC9" w:rsidRPr="00E14F93" w:rsidTr="005B47CF">
        <w:tc>
          <w:tcPr>
            <w:tcW w:w="3438" w:type="dxa"/>
            <w:tcBorders>
              <w:top w:val="single" w:sz="4" w:space="0" w:color="auto"/>
              <w:bottom w:val="single" w:sz="4" w:space="0" w:color="auto"/>
            </w:tcBorders>
            <w:shd w:val="clear" w:color="auto" w:fill="auto"/>
          </w:tcPr>
          <w:p w:rsidR="00807A02" w:rsidRPr="005B47CF" w:rsidRDefault="00807A02" w:rsidP="007967A4">
            <w:pPr>
              <w:spacing w:line="360" w:lineRule="auto"/>
              <w:jc w:val="both"/>
              <w:rPr>
                <w:rFonts w:ascii="Book Antiqua" w:hAnsi="Book Antiqua"/>
                <w:sz w:val="24"/>
                <w:szCs w:val="24"/>
                <w:lang w:val="en-GB"/>
              </w:rPr>
            </w:pPr>
          </w:p>
        </w:tc>
        <w:tc>
          <w:tcPr>
            <w:tcW w:w="1800" w:type="dxa"/>
            <w:tcBorders>
              <w:top w:val="single" w:sz="4" w:space="0" w:color="auto"/>
              <w:bottom w:val="single" w:sz="4" w:space="0" w:color="auto"/>
            </w:tcBorders>
            <w:shd w:val="clear" w:color="auto" w:fill="auto"/>
          </w:tcPr>
          <w:p w:rsidR="00807A02" w:rsidRPr="005B47CF" w:rsidRDefault="00807A02" w:rsidP="007967A4">
            <w:pPr>
              <w:spacing w:line="360" w:lineRule="auto"/>
              <w:jc w:val="both"/>
              <w:rPr>
                <w:rFonts w:ascii="Book Antiqua" w:hAnsi="Book Antiqua"/>
                <w:sz w:val="24"/>
                <w:szCs w:val="24"/>
                <w:lang w:val="en-GB"/>
              </w:rPr>
            </w:pPr>
            <w:r w:rsidRPr="005B47CF">
              <w:rPr>
                <w:rFonts w:ascii="Book Antiqua" w:hAnsi="Book Antiqua"/>
                <w:sz w:val="24"/>
                <w:szCs w:val="24"/>
                <w:lang w:val="en-GB"/>
              </w:rPr>
              <w:t xml:space="preserve">At </w:t>
            </w:r>
            <w:r w:rsidR="005B47CF" w:rsidRPr="005B47CF">
              <w:rPr>
                <w:rFonts w:ascii="Book Antiqua" w:hAnsi="Book Antiqua"/>
                <w:sz w:val="24"/>
                <w:szCs w:val="24"/>
                <w:lang w:val="en-GB"/>
              </w:rPr>
              <w:t>b</w:t>
            </w:r>
            <w:r w:rsidRPr="005B47CF">
              <w:rPr>
                <w:rFonts w:ascii="Book Antiqua" w:hAnsi="Book Antiqua"/>
                <w:sz w:val="24"/>
                <w:szCs w:val="24"/>
                <w:lang w:val="en-GB"/>
              </w:rPr>
              <w:t>aseline</w:t>
            </w:r>
          </w:p>
          <w:p w:rsidR="00807A02" w:rsidRPr="005B47CF" w:rsidRDefault="005B47CF" w:rsidP="007967A4">
            <w:pPr>
              <w:spacing w:line="360" w:lineRule="auto"/>
              <w:jc w:val="both"/>
              <w:rPr>
                <w:rFonts w:ascii="Book Antiqua" w:hAnsi="Book Antiqua"/>
                <w:sz w:val="24"/>
                <w:szCs w:val="24"/>
                <w:lang w:val="en-GB" w:eastAsia="zh-CN"/>
              </w:rPr>
            </w:pPr>
            <w:r w:rsidRPr="005B47CF">
              <w:rPr>
                <w:rFonts w:ascii="Book Antiqua" w:hAnsi="Book Antiqua"/>
                <w:sz w:val="24"/>
                <w:szCs w:val="24"/>
                <w:lang w:val="en-GB"/>
              </w:rPr>
              <w:t xml:space="preserve">mean </w:t>
            </w:r>
            <w:r w:rsidRPr="005B47CF">
              <w:rPr>
                <w:rFonts w:ascii="Book Antiqua" w:hAnsi="Book Antiqua" w:cs="Arial"/>
                <w:color w:val="000000"/>
                <w:sz w:val="24"/>
                <w:szCs w:val="24"/>
              </w:rPr>
              <w:t>±</w:t>
            </w:r>
            <w:r w:rsidRPr="005B47CF">
              <w:rPr>
                <w:rFonts w:ascii="Book Antiqua" w:hAnsi="Book Antiqua" w:cs="Arial" w:hint="eastAsia"/>
                <w:color w:val="000000"/>
                <w:sz w:val="24"/>
                <w:szCs w:val="24"/>
                <w:lang w:eastAsia="zh-CN"/>
              </w:rPr>
              <w:t xml:space="preserve"> </w:t>
            </w:r>
            <w:r w:rsidRPr="005B47CF">
              <w:rPr>
                <w:rFonts w:ascii="Book Antiqua" w:hAnsi="Book Antiqua"/>
                <w:sz w:val="24"/>
                <w:szCs w:val="24"/>
                <w:lang w:val="en-GB"/>
              </w:rPr>
              <w:t>SD</w:t>
            </w:r>
          </w:p>
        </w:tc>
        <w:tc>
          <w:tcPr>
            <w:tcW w:w="2250" w:type="dxa"/>
            <w:tcBorders>
              <w:top w:val="single" w:sz="4" w:space="0" w:color="auto"/>
              <w:bottom w:val="single" w:sz="4" w:space="0" w:color="auto"/>
            </w:tcBorders>
            <w:shd w:val="clear" w:color="auto" w:fill="auto"/>
          </w:tcPr>
          <w:p w:rsidR="00807A02" w:rsidRPr="005B47CF" w:rsidRDefault="005B47CF" w:rsidP="007967A4">
            <w:pPr>
              <w:spacing w:line="360" w:lineRule="auto"/>
              <w:jc w:val="both"/>
              <w:rPr>
                <w:rFonts w:ascii="Book Antiqua" w:hAnsi="Book Antiqua"/>
                <w:sz w:val="24"/>
                <w:szCs w:val="24"/>
                <w:lang w:val="en-GB"/>
              </w:rPr>
            </w:pPr>
            <w:r w:rsidRPr="005B47CF">
              <w:rPr>
                <w:rFonts w:ascii="Book Antiqua" w:hAnsi="Book Antiqua"/>
                <w:sz w:val="24"/>
                <w:szCs w:val="24"/>
                <w:lang w:val="en-GB"/>
              </w:rPr>
              <w:t>2-y</w:t>
            </w:r>
            <w:r w:rsidR="00807A02" w:rsidRPr="005B47CF">
              <w:rPr>
                <w:rFonts w:ascii="Book Antiqua" w:hAnsi="Book Antiqua"/>
                <w:sz w:val="24"/>
                <w:szCs w:val="24"/>
                <w:lang w:val="en-GB"/>
              </w:rPr>
              <w:t xml:space="preserve">r of </w:t>
            </w:r>
            <w:r w:rsidRPr="005B47CF">
              <w:rPr>
                <w:rFonts w:ascii="Book Antiqua" w:hAnsi="Book Antiqua"/>
                <w:sz w:val="24"/>
                <w:szCs w:val="24"/>
                <w:lang w:val="en-GB"/>
              </w:rPr>
              <w:t>t</w:t>
            </w:r>
            <w:r w:rsidR="00807A02" w:rsidRPr="005B47CF">
              <w:rPr>
                <w:rFonts w:ascii="Book Antiqua" w:hAnsi="Book Antiqua"/>
                <w:sz w:val="24"/>
                <w:szCs w:val="24"/>
                <w:lang w:val="en-GB"/>
              </w:rPr>
              <w:t>reatment</w:t>
            </w:r>
          </w:p>
          <w:p w:rsidR="00807A02" w:rsidRPr="005B47CF" w:rsidRDefault="005B47CF" w:rsidP="007967A4">
            <w:pPr>
              <w:spacing w:line="360" w:lineRule="auto"/>
              <w:jc w:val="both"/>
              <w:rPr>
                <w:rFonts w:ascii="Book Antiqua" w:hAnsi="Book Antiqua"/>
                <w:sz w:val="24"/>
                <w:szCs w:val="24"/>
                <w:lang w:val="en-GB" w:eastAsia="zh-CN"/>
              </w:rPr>
            </w:pPr>
            <w:r w:rsidRPr="005B47CF">
              <w:rPr>
                <w:rFonts w:ascii="Book Antiqua" w:hAnsi="Book Antiqua"/>
                <w:sz w:val="24"/>
                <w:szCs w:val="24"/>
                <w:lang w:val="en-GB"/>
              </w:rPr>
              <w:t xml:space="preserve">mean </w:t>
            </w:r>
            <w:r w:rsidRPr="005B47CF">
              <w:rPr>
                <w:rFonts w:ascii="Book Antiqua" w:hAnsi="Book Antiqua" w:cs="Arial"/>
                <w:color w:val="000000"/>
                <w:sz w:val="24"/>
                <w:szCs w:val="24"/>
              </w:rPr>
              <w:t>±</w:t>
            </w:r>
            <w:r w:rsidRPr="005B47CF">
              <w:rPr>
                <w:rFonts w:ascii="Book Antiqua" w:hAnsi="Book Antiqua" w:cs="Arial" w:hint="eastAsia"/>
                <w:color w:val="000000"/>
                <w:sz w:val="24"/>
                <w:szCs w:val="24"/>
                <w:lang w:eastAsia="zh-CN"/>
              </w:rPr>
              <w:t xml:space="preserve"> </w:t>
            </w:r>
            <w:r w:rsidRPr="005B47CF">
              <w:rPr>
                <w:rFonts w:ascii="Book Antiqua" w:hAnsi="Book Antiqua"/>
                <w:sz w:val="24"/>
                <w:szCs w:val="24"/>
                <w:lang w:val="en-GB"/>
              </w:rPr>
              <w:t>SD</w:t>
            </w:r>
          </w:p>
        </w:tc>
        <w:tc>
          <w:tcPr>
            <w:tcW w:w="2088" w:type="dxa"/>
            <w:tcBorders>
              <w:top w:val="single" w:sz="4" w:space="0" w:color="auto"/>
              <w:bottom w:val="single" w:sz="4" w:space="0" w:color="auto"/>
            </w:tcBorders>
            <w:shd w:val="clear" w:color="auto" w:fill="auto"/>
          </w:tcPr>
          <w:p w:rsidR="00807A02" w:rsidRPr="005B47CF" w:rsidRDefault="005B47CF" w:rsidP="007967A4">
            <w:pPr>
              <w:spacing w:line="360" w:lineRule="auto"/>
              <w:jc w:val="both"/>
              <w:rPr>
                <w:rFonts w:ascii="Book Antiqua" w:hAnsi="Book Antiqua"/>
                <w:sz w:val="24"/>
                <w:szCs w:val="24"/>
                <w:lang w:val="en-GB"/>
              </w:rPr>
            </w:pPr>
            <w:r w:rsidRPr="005B47CF">
              <w:rPr>
                <w:rFonts w:ascii="Book Antiqua" w:hAnsi="Book Antiqua"/>
                <w:sz w:val="24"/>
                <w:szCs w:val="24"/>
                <w:lang w:val="en-GB"/>
              </w:rPr>
              <w:t>5-y</w:t>
            </w:r>
            <w:r w:rsidR="00807A02" w:rsidRPr="005B47CF">
              <w:rPr>
                <w:rFonts w:ascii="Book Antiqua" w:hAnsi="Book Antiqua"/>
                <w:sz w:val="24"/>
                <w:szCs w:val="24"/>
                <w:lang w:val="en-GB"/>
              </w:rPr>
              <w:t>r of treatment</w:t>
            </w:r>
          </w:p>
          <w:p w:rsidR="00807A02" w:rsidRPr="005B47CF" w:rsidRDefault="005B47CF" w:rsidP="007967A4">
            <w:pPr>
              <w:spacing w:line="360" w:lineRule="auto"/>
              <w:jc w:val="both"/>
              <w:rPr>
                <w:rFonts w:ascii="Book Antiqua" w:hAnsi="Book Antiqua"/>
                <w:sz w:val="24"/>
                <w:szCs w:val="24"/>
                <w:lang w:val="en-GB" w:eastAsia="zh-CN"/>
              </w:rPr>
            </w:pPr>
            <w:r w:rsidRPr="005B47CF">
              <w:rPr>
                <w:rFonts w:ascii="Book Antiqua" w:hAnsi="Book Antiqua"/>
                <w:sz w:val="24"/>
                <w:szCs w:val="24"/>
                <w:lang w:val="en-GB"/>
              </w:rPr>
              <w:t xml:space="preserve">mean </w:t>
            </w:r>
            <w:r w:rsidRPr="005B47CF">
              <w:rPr>
                <w:rFonts w:ascii="Book Antiqua" w:hAnsi="Book Antiqua" w:cs="Arial"/>
                <w:color w:val="000000"/>
                <w:sz w:val="24"/>
                <w:szCs w:val="24"/>
              </w:rPr>
              <w:t>±</w:t>
            </w:r>
            <w:r w:rsidRPr="005B47CF">
              <w:rPr>
                <w:rFonts w:ascii="Book Antiqua" w:hAnsi="Book Antiqua" w:cs="Arial" w:hint="eastAsia"/>
                <w:color w:val="000000"/>
                <w:sz w:val="24"/>
                <w:szCs w:val="24"/>
                <w:lang w:eastAsia="zh-CN"/>
              </w:rPr>
              <w:t xml:space="preserve"> </w:t>
            </w:r>
            <w:r w:rsidRPr="005B47CF">
              <w:rPr>
                <w:rFonts w:ascii="Book Antiqua" w:hAnsi="Book Antiqua"/>
                <w:sz w:val="24"/>
                <w:szCs w:val="24"/>
                <w:lang w:val="en-GB"/>
              </w:rPr>
              <w:t>SD</w:t>
            </w:r>
          </w:p>
        </w:tc>
      </w:tr>
      <w:tr w:rsidR="00356DC9" w:rsidRPr="00E14F93" w:rsidTr="005B47CF">
        <w:tc>
          <w:tcPr>
            <w:tcW w:w="3438" w:type="dxa"/>
            <w:tcBorders>
              <w:top w:val="single" w:sz="4" w:space="0" w:color="auto"/>
            </w:tcBorders>
            <w:shd w:val="clear" w:color="auto" w:fill="auto"/>
          </w:tcPr>
          <w:p w:rsidR="00807A02" w:rsidRPr="005B47CF" w:rsidRDefault="00807A02" w:rsidP="007967A4">
            <w:pPr>
              <w:spacing w:line="360" w:lineRule="auto"/>
              <w:jc w:val="both"/>
              <w:rPr>
                <w:rFonts w:ascii="Book Antiqua" w:hAnsi="Book Antiqua"/>
                <w:sz w:val="24"/>
                <w:szCs w:val="24"/>
                <w:lang w:val="en-GB"/>
              </w:rPr>
            </w:pPr>
            <w:r w:rsidRPr="005B47CF">
              <w:rPr>
                <w:rFonts w:ascii="Book Antiqua" w:hAnsi="Book Antiqua"/>
                <w:sz w:val="24"/>
                <w:szCs w:val="24"/>
                <w:lang w:val="en-GB"/>
              </w:rPr>
              <w:t xml:space="preserve">Total </w:t>
            </w:r>
            <w:r w:rsidR="005B47CF" w:rsidRPr="005B47CF">
              <w:rPr>
                <w:rFonts w:ascii="Book Antiqua" w:hAnsi="Book Antiqua"/>
                <w:sz w:val="24"/>
                <w:szCs w:val="24"/>
                <w:lang w:val="en-GB"/>
              </w:rPr>
              <w:t>p</w:t>
            </w:r>
            <w:r w:rsidRPr="005B47CF">
              <w:rPr>
                <w:rFonts w:ascii="Book Antiqua" w:hAnsi="Book Antiqua"/>
                <w:sz w:val="24"/>
                <w:szCs w:val="24"/>
                <w:lang w:val="en-GB"/>
              </w:rPr>
              <w:t>roximal femur BMD</w:t>
            </w:r>
          </w:p>
        </w:tc>
        <w:tc>
          <w:tcPr>
            <w:tcW w:w="1800" w:type="dxa"/>
            <w:tcBorders>
              <w:top w:val="single" w:sz="4" w:space="0" w:color="auto"/>
            </w:tcBorders>
            <w:shd w:val="clear" w:color="auto" w:fill="auto"/>
          </w:tcPr>
          <w:p w:rsidR="00807A02" w:rsidRPr="005B47CF" w:rsidRDefault="00807A02" w:rsidP="007967A4">
            <w:pPr>
              <w:spacing w:line="360" w:lineRule="auto"/>
              <w:jc w:val="both"/>
              <w:rPr>
                <w:rFonts w:ascii="Book Antiqua" w:hAnsi="Book Antiqua"/>
                <w:sz w:val="24"/>
                <w:szCs w:val="24"/>
                <w:lang w:val="en-GB"/>
              </w:rPr>
            </w:pPr>
            <w:r w:rsidRPr="005B47CF">
              <w:rPr>
                <w:rFonts w:ascii="Book Antiqua" w:hAnsi="Book Antiqua"/>
                <w:sz w:val="24"/>
                <w:szCs w:val="24"/>
                <w:lang w:val="en-GB"/>
              </w:rPr>
              <w:t>0.553 (</w:t>
            </w:r>
            <w:r w:rsidR="005B47CF" w:rsidRPr="005B47CF">
              <w:rPr>
                <w:rFonts w:ascii="Book Antiqua" w:hAnsi="Book Antiqua" w:cs="Arial"/>
                <w:color w:val="000000"/>
                <w:sz w:val="24"/>
                <w:szCs w:val="24"/>
              </w:rPr>
              <w:t>±</w:t>
            </w:r>
            <w:r w:rsidR="005B47CF" w:rsidRPr="005B47CF">
              <w:rPr>
                <w:rFonts w:ascii="Book Antiqua" w:hAnsi="Book Antiqua" w:cs="Arial" w:hint="eastAsia"/>
                <w:color w:val="000000"/>
                <w:sz w:val="24"/>
                <w:szCs w:val="24"/>
                <w:lang w:eastAsia="zh-CN"/>
              </w:rPr>
              <w:t xml:space="preserve"> </w:t>
            </w:r>
            <w:r w:rsidRPr="005B47CF">
              <w:rPr>
                <w:rFonts w:ascii="Book Antiqua" w:hAnsi="Book Antiqua"/>
                <w:sz w:val="24"/>
                <w:szCs w:val="24"/>
                <w:lang w:val="en-GB"/>
              </w:rPr>
              <w:t>0.69)</w:t>
            </w:r>
          </w:p>
        </w:tc>
        <w:tc>
          <w:tcPr>
            <w:tcW w:w="2250" w:type="dxa"/>
            <w:tcBorders>
              <w:top w:val="single" w:sz="4" w:space="0" w:color="auto"/>
            </w:tcBorders>
            <w:shd w:val="clear" w:color="auto" w:fill="auto"/>
          </w:tcPr>
          <w:p w:rsidR="00807A02" w:rsidRPr="005B47CF" w:rsidRDefault="00807A02" w:rsidP="007967A4">
            <w:pPr>
              <w:spacing w:line="360" w:lineRule="auto"/>
              <w:jc w:val="both"/>
              <w:rPr>
                <w:rFonts w:ascii="Book Antiqua" w:hAnsi="Book Antiqua"/>
                <w:sz w:val="24"/>
                <w:szCs w:val="24"/>
                <w:lang w:val="en-GB"/>
              </w:rPr>
            </w:pPr>
            <w:r w:rsidRPr="005B47CF">
              <w:rPr>
                <w:rFonts w:ascii="Book Antiqua" w:hAnsi="Book Antiqua"/>
                <w:sz w:val="24"/>
                <w:szCs w:val="24"/>
                <w:lang w:val="en-GB"/>
              </w:rPr>
              <w:t>0.574 (</w:t>
            </w:r>
            <w:r w:rsidR="005B47CF" w:rsidRPr="005B47CF">
              <w:rPr>
                <w:rFonts w:ascii="Book Antiqua" w:hAnsi="Book Antiqua" w:cs="Arial"/>
                <w:color w:val="000000"/>
                <w:sz w:val="24"/>
                <w:szCs w:val="24"/>
              </w:rPr>
              <w:t>±</w:t>
            </w:r>
            <w:r w:rsidR="005B47CF" w:rsidRPr="005B47CF">
              <w:rPr>
                <w:rFonts w:ascii="Book Antiqua" w:hAnsi="Book Antiqua" w:cs="Arial" w:hint="eastAsia"/>
                <w:color w:val="000000"/>
                <w:sz w:val="24"/>
                <w:szCs w:val="24"/>
                <w:lang w:eastAsia="zh-CN"/>
              </w:rPr>
              <w:t xml:space="preserve"> </w:t>
            </w:r>
            <w:r w:rsidRPr="005B47CF">
              <w:rPr>
                <w:rFonts w:ascii="Book Antiqua" w:hAnsi="Book Antiqua"/>
                <w:sz w:val="24"/>
                <w:szCs w:val="24"/>
                <w:lang w:val="en-GB"/>
              </w:rPr>
              <w:t>0.06)</w:t>
            </w:r>
          </w:p>
        </w:tc>
        <w:tc>
          <w:tcPr>
            <w:tcW w:w="2088" w:type="dxa"/>
            <w:tcBorders>
              <w:top w:val="single" w:sz="4" w:space="0" w:color="auto"/>
            </w:tcBorders>
            <w:shd w:val="clear" w:color="auto" w:fill="auto"/>
          </w:tcPr>
          <w:p w:rsidR="00807A02" w:rsidRPr="005B47CF" w:rsidRDefault="00807A02" w:rsidP="007967A4">
            <w:pPr>
              <w:spacing w:line="360" w:lineRule="auto"/>
              <w:jc w:val="both"/>
              <w:rPr>
                <w:rFonts w:ascii="Book Antiqua" w:hAnsi="Book Antiqua"/>
                <w:sz w:val="24"/>
                <w:szCs w:val="24"/>
                <w:lang w:val="en-GB"/>
              </w:rPr>
            </w:pPr>
            <w:r w:rsidRPr="005B47CF">
              <w:rPr>
                <w:rFonts w:ascii="Book Antiqua" w:hAnsi="Book Antiqua"/>
                <w:sz w:val="24"/>
                <w:szCs w:val="24"/>
                <w:lang w:val="en-GB"/>
              </w:rPr>
              <w:t>0.579 (</w:t>
            </w:r>
            <w:r w:rsidR="005B47CF" w:rsidRPr="005B47CF">
              <w:rPr>
                <w:rFonts w:ascii="Book Antiqua" w:hAnsi="Book Antiqua" w:cs="Arial"/>
                <w:color w:val="000000"/>
                <w:sz w:val="24"/>
                <w:szCs w:val="24"/>
              </w:rPr>
              <w:t>±</w:t>
            </w:r>
            <w:r w:rsidR="005B47CF" w:rsidRPr="005B47CF">
              <w:rPr>
                <w:rFonts w:ascii="Book Antiqua" w:hAnsi="Book Antiqua" w:cs="Arial" w:hint="eastAsia"/>
                <w:color w:val="000000"/>
                <w:sz w:val="24"/>
                <w:szCs w:val="24"/>
                <w:lang w:eastAsia="zh-CN"/>
              </w:rPr>
              <w:t xml:space="preserve"> </w:t>
            </w:r>
            <w:r w:rsidRPr="005B47CF">
              <w:rPr>
                <w:rFonts w:ascii="Book Antiqua" w:hAnsi="Book Antiqua"/>
                <w:sz w:val="24"/>
                <w:szCs w:val="24"/>
                <w:lang w:val="en-GB"/>
              </w:rPr>
              <w:t>0.04)</w:t>
            </w:r>
          </w:p>
        </w:tc>
      </w:tr>
      <w:tr w:rsidR="00356DC9" w:rsidRPr="00E14F93" w:rsidTr="005B47CF">
        <w:tc>
          <w:tcPr>
            <w:tcW w:w="3438" w:type="dxa"/>
            <w:shd w:val="clear" w:color="auto" w:fill="auto"/>
          </w:tcPr>
          <w:p w:rsidR="00807A02" w:rsidRPr="005B47CF" w:rsidRDefault="00807A02" w:rsidP="007967A4">
            <w:pPr>
              <w:spacing w:line="360" w:lineRule="auto"/>
              <w:jc w:val="both"/>
              <w:rPr>
                <w:rFonts w:ascii="Book Antiqua" w:hAnsi="Book Antiqua"/>
                <w:sz w:val="24"/>
                <w:szCs w:val="24"/>
                <w:lang w:val="en-GB"/>
              </w:rPr>
            </w:pPr>
            <w:r w:rsidRPr="005B47CF">
              <w:rPr>
                <w:rFonts w:ascii="Book Antiqua" w:hAnsi="Book Antiqua"/>
                <w:sz w:val="24"/>
                <w:szCs w:val="24"/>
                <w:lang w:val="en-GB"/>
              </w:rPr>
              <w:t>T-score</w:t>
            </w:r>
          </w:p>
        </w:tc>
        <w:tc>
          <w:tcPr>
            <w:tcW w:w="1800" w:type="dxa"/>
            <w:shd w:val="clear" w:color="auto" w:fill="auto"/>
          </w:tcPr>
          <w:p w:rsidR="00807A02" w:rsidRPr="005B47CF" w:rsidRDefault="00807A02" w:rsidP="007967A4">
            <w:pPr>
              <w:spacing w:line="360" w:lineRule="auto"/>
              <w:jc w:val="both"/>
              <w:rPr>
                <w:rFonts w:ascii="Book Antiqua" w:hAnsi="Book Antiqua"/>
                <w:sz w:val="24"/>
                <w:szCs w:val="24"/>
                <w:lang w:val="en-GB"/>
              </w:rPr>
            </w:pPr>
            <w:r w:rsidRPr="005B47CF">
              <w:rPr>
                <w:rFonts w:ascii="Book Antiqua" w:hAnsi="Book Antiqua"/>
                <w:sz w:val="24"/>
                <w:szCs w:val="24"/>
                <w:lang w:val="en-GB"/>
              </w:rPr>
              <w:t>-2.75 (</w:t>
            </w:r>
            <w:r w:rsidR="005B47CF" w:rsidRPr="005B47CF">
              <w:rPr>
                <w:rFonts w:ascii="Book Antiqua" w:hAnsi="Book Antiqua" w:cs="Arial"/>
                <w:color w:val="000000"/>
                <w:sz w:val="24"/>
                <w:szCs w:val="24"/>
              </w:rPr>
              <w:t>±</w:t>
            </w:r>
            <w:r w:rsidR="005B47CF" w:rsidRPr="005B47CF">
              <w:rPr>
                <w:rFonts w:ascii="Book Antiqua" w:hAnsi="Book Antiqua" w:cs="Arial" w:hint="eastAsia"/>
                <w:color w:val="000000"/>
                <w:sz w:val="24"/>
                <w:szCs w:val="24"/>
                <w:lang w:eastAsia="zh-CN"/>
              </w:rPr>
              <w:t xml:space="preserve"> </w:t>
            </w:r>
            <w:r w:rsidRPr="005B47CF">
              <w:rPr>
                <w:rFonts w:ascii="Book Antiqua" w:hAnsi="Book Antiqua"/>
                <w:sz w:val="24"/>
                <w:szCs w:val="24"/>
                <w:lang w:val="en-GB"/>
              </w:rPr>
              <w:t>0.61)</w:t>
            </w:r>
          </w:p>
        </w:tc>
        <w:tc>
          <w:tcPr>
            <w:tcW w:w="2250" w:type="dxa"/>
            <w:shd w:val="clear" w:color="auto" w:fill="auto"/>
          </w:tcPr>
          <w:p w:rsidR="00807A02" w:rsidRPr="005B47CF" w:rsidRDefault="00807A02" w:rsidP="007967A4">
            <w:pPr>
              <w:spacing w:line="360" w:lineRule="auto"/>
              <w:jc w:val="both"/>
              <w:rPr>
                <w:rFonts w:ascii="Book Antiqua" w:hAnsi="Book Antiqua"/>
                <w:sz w:val="24"/>
                <w:szCs w:val="24"/>
                <w:lang w:val="en-GB"/>
              </w:rPr>
            </w:pPr>
            <w:r w:rsidRPr="005B47CF">
              <w:rPr>
                <w:rFonts w:ascii="Book Antiqua" w:hAnsi="Book Antiqua"/>
                <w:sz w:val="24"/>
                <w:szCs w:val="24"/>
                <w:lang w:val="en-GB"/>
              </w:rPr>
              <w:t>-2.32 (</w:t>
            </w:r>
            <w:r w:rsidR="005B47CF" w:rsidRPr="005B47CF">
              <w:rPr>
                <w:rFonts w:ascii="Book Antiqua" w:hAnsi="Book Antiqua" w:cs="Arial"/>
                <w:color w:val="000000"/>
                <w:sz w:val="24"/>
                <w:szCs w:val="24"/>
              </w:rPr>
              <w:t>±</w:t>
            </w:r>
            <w:r w:rsidR="005B47CF" w:rsidRPr="005B47CF">
              <w:rPr>
                <w:rFonts w:ascii="Book Antiqua" w:hAnsi="Book Antiqua" w:cs="Arial" w:hint="eastAsia"/>
                <w:color w:val="000000"/>
                <w:sz w:val="24"/>
                <w:szCs w:val="24"/>
                <w:lang w:eastAsia="zh-CN"/>
              </w:rPr>
              <w:t xml:space="preserve"> </w:t>
            </w:r>
            <w:r w:rsidRPr="005B47CF">
              <w:rPr>
                <w:rFonts w:ascii="Book Antiqua" w:hAnsi="Book Antiqua"/>
                <w:sz w:val="24"/>
                <w:szCs w:val="24"/>
                <w:lang w:val="en-GB"/>
              </w:rPr>
              <w:t>0.45)</w:t>
            </w:r>
          </w:p>
        </w:tc>
        <w:tc>
          <w:tcPr>
            <w:tcW w:w="2088" w:type="dxa"/>
            <w:shd w:val="clear" w:color="auto" w:fill="auto"/>
          </w:tcPr>
          <w:p w:rsidR="00807A02" w:rsidRPr="005B47CF" w:rsidRDefault="00807A02" w:rsidP="007967A4">
            <w:pPr>
              <w:spacing w:line="360" w:lineRule="auto"/>
              <w:jc w:val="both"/>
              <w:rPr>
                <w:rFonts w:ascii="Book Antiqua" w:hAnsi="Book Antiqua"/>
                <w:sz w:val="24"/>
                <w:szCs w:val="24"/>
                <w:lang w:val="en-GB"/>
              </w:rPr>
            </w:pPr>
            <w:r w:rsidRPr="005B47CF">
              <w:rPr>
                <w:rFonts w:ascii="Book Antiqua" w:hAnsi="Book Antiqua"/>
                <w:sz w:val="24"/>
                <w:szCs w:val="24"/>
                <w:lang w:val="en-GB"/>
              </w:rPr>
              <w:t>-1.46 (</w:t>
            </w:r>
            <w:r w:rsidR="005B47CF" w:rsidRPr="005B47CF">
              <w:rPr>
                <w:rFonts w:ascii="Book Antiqua" w:hAnsi="Book Antiqua" w:cs="Arial"/>
                <w:color w:val="000000"/>
                <w:sz w:val="24"/>
                <w:szCs w:val="24"/>
              </w:rPr>
              <w:t>±</w:t>
            </w:r>
            <w:r w:rsidR="005B47CF" w:rsidRPr="005B47CF">
              <w:rPr>
                <w:rFonts w:ascii="Book Antiqua" w:hAnsi="Book Antiqua" w:cs="Arial" w:hint="eastAsia"/>
                <w:color w:val="000000"/>
                <w:sz w:val="24"/>
                <w:szCs w:val="24"/>
                <w:lang w:eastAsia="zh-CN"/>
              </w:rPr>
              <w:t xml:space="preserve"> </w:t>
            </w:r>
            <w:r w:rsidRPr="005B47CF">
              <w:rPr>
                <w:rFonts w:ascii="Book Antiqua" w:hAnsi="Book Antiqua"/>
                <w:sz w:val="24"/>
                <w:szCs w:val="24"/>
                <w:lang w:val="en-GB"/>
              </w:rPr>
              <w:t>0.35)</w:t>
            </w:r>
          </w:p>
        </w:tc>
      </w:tr>
      <w:tr w:rsidR="00356DC9" w:rsidRPr="00E14F93" w:rsidTr="005B47CF">
        <w:tc>
          <w:tcPr>
            <w:tcW w:w="3438" w:type="dxa"/>
            <w:shd w:val="clear" w:color="auto" w:fill="auto"/>
          </w:tcPr>
          <w:p w:rsidR="00807A02" w:rsidRPr="005B47CF" w:rsidRDefault="00807A02" w:rsidP="007967A4">
            <w:pPr>
              <w:spacing w:line="360" w:lineRule="auto"/>
              <w:jc w:val="both"/>
              <w:rPr>
                <w:rFonts w:ascii="Book Antiqua" w:hAnsi="Book Antiqua"/>
                <w:sz w:val="24"/>
                <w:szCs w:val="24"/>
                <w:lang w:val="en-GB"/>
              </w:rPr>
            </w:pPr>
            <w:r w:rsidRPr="005B47CF">
              <w:rPr>
                <w:rFonts w:ascii="Book Antiqua" w:hAnsi="Book Antiqua"/>
                <w:sz w:val="24"/>
                <w:szCs w:val="24"/>
                <w:lang w:val="en-GB"/>
              </w:rPr>
              <w:t xml:space="preserve">FRAX 10-yr </w:t>
            </w:r>
            <w:r w:rsidR="005B47CF" w:rsidRPr="005B47CF">
              <w:rPr>
                <w:rFonts w:ascii="Book Antiqua" w:hAnsi="Book Antiqua"/>
                <w:sz w:val="24"/>
                <w:szCs w:val="24"/>
                <w:lang w:val="en-GB"/>
              </w:rPr>
              <w:t>m</w:t>
            </w:r>
            <w:r w:rsidRPr="005B47CF">
              <w:rPr>
                <w:rFonts w:ascii="Book Antiqua" w:hAnsi="Book Antiqua"/>
                <w:sz w:val="24"/>
                <w:szCs w:val="24"/>
                <w:lang w:val="en-GB"/>
              </w:rPr>
              <w:t xml:space="preserve">ajor </w:t>
            </w:r>
            <w:r w:rsidR="005B47CF" w:rsidRPr="005B47CF">
              <w:rPr>
                <w:rFonts w:ascii="Book Antiqua" w:hAnsi="Book Antiqua"/>
                <w:sz w:val="24"/>
                <w:szCs w:val="24"/>
                <w:lang w:val="en-GB"/>
              </w:rPr>
              <w:t>o</w:t>
            </w:r>
            <w:r w:rsidRPr="005B47CF">
              <w:rPr>
                <w:rFonts w:ascii="Book Antiqua" w:hAnsi="Book Antiqua"/>
                <w:sz w:val="24"/>
                <w:szCs w:val="24"/>
                <w:lang w:val="en-GB"/>
              </w:rPr>
              <w:t>steoporosis fracture risk</w:t>
            </w:r>
          </w:p>
        </w:tc>
        <w:tc>
          <w:tcPr>
            <w:tcW w:w="1800" w:type="dxa"/>
            <w:shd w:val="clear" w:color="auto" w:fill="auto"/>
          </w:tcPr>
          <w:p w:rsidR="00807A02" w:rsidRPr="005B47CF" w:rsidRDefault="00807A02" w:rsidP="007967A4">
            <w:pPr>
              <w:spacing w:line="360" w:lineRule="auto"/>
              <w:jc w:val="both"/>
              <w:rPr>
                <w:rFonts w:ascii="Book Antiqua" w:hAnsi="Book Antiqua"/>
                <w:sz w:val="24"/>
                <w:szCs w:val="24"/>
                <w:lang w:val="en-GB"/>
              </w:rPr>
            </w:pPr>
            <w:r w:rsidRPr="005B47CF">
              <w:rPr>
                <w:rFonts w:ascii="Book Antiqua" w:hAnsi="Book Antiqua"/>
                <w:sz w:val="24"/>
                <w:szCs w:val="24"/>
                <w:lang w:val="en-GB"/>
              </w:rPr>
              <w:t>21.43 (</w:t>
            </w:r>
            <w:r w:rsidR="005B47CF" w:rsidRPr="005B47CF">
              <w:rPr>
                <w:rFonts w:ascii="Book Antiqua" w:hAnsi="Book Antiqua" w:cs="Arial"/>
                <w:color w:val="000000"/>
                <w:sz w:val="24"/>
                <w:szCs w:val="24"/>
              </w:rPr>
              <w:t>±</w:t>
            </w:r>
            <w:r w:rsidR="005B47CF" w:rsidRPr="005B47CF">
              <w:rPr>
                <w:rFonts w:ascii="Book Antiqua" w:hAnsi="Book Antiqua" w:cs="Arial" w:hint="eastAsia"/>
                <w:color w:val="000000"/>
                <w:sz w:val="24"/>
                <w:szCs w:val="24"/>
                <w:lang w:eastAsia="zh-CN"/>
              </w:rPr>
              <w:t xml:space="preserve"> </w:t>
            </w:r>
            <w:r w:rsidRPr="005B47CF">
              <w:rPr>
                <w:rFonts w:ascii="Book Antiqua" w:hAnsi="Book Antiqua"/>
                <w:sz w:val="24"/>
                <w:szCs w:val="24"/>
                <w:lang w:val="en-GB"/>
              </w:rPr>
              <w:t>7.56)</w:t>
            </w:r>
          </w:p>
        </w:tc>
        <w:tc>
          <w:tcPr>
            <w:tcW w:w="2250" w:type="dxa"/>
            <w:shd w:val="clear" w:color="auto" w:fill="auto"/>
          </w:tcPr>
          <w:p w:rsidR="00807A02" w:rsidRPr="005B47CF" w:rsidRDefault="00807A02" w:rsidP="007967A4">
            <w:pPr>
              <w:spacing w:line="360" w:lineRule="auto"/>
              <w:jc w:val="both"/>
              <w:rPr>
                <w:rFonts w:ascii="Book Antiqua" w:hAnsi="Book Antiqua"/>
                <w:sz w:val="24"/>
                <w:szCs w:val="24"/>
                <w:lang w:val="en-GB"/>
              </w:rPr>
            </w:pPr>
            <w:r w:rsidRPr="005B47CF">
              <w:rPr>
                <w:rFonts w:ascii="Book Antiqua" w:hAnsi="Book Antiqua"/>
                <w:sz w:val="24"/>
                <w:szCs w:val="24"/>
                <w:lang w:val="en-GB"/>
              </w:rPr>
              <w:t>14.81 (</w:t>
            </w:r>
            <w:r w:rsidR="005B47CF" w:rsidRPr="005B47CF">
              <w:rPr>
                <w:rFonts w:ascii="Book Antiqua" w:hAnsi="Book Antiqua" w:cs="Arial"/>
                <w:color w:val="000000"/>
                <w:sz w:val="24"/>
                <w:szCs w:val="24"/>
              </w:rPr>
              <w:t>±</w:t>
            </w:r>
            <w:r w:rsidR="005B47CF" w:rsidRPr="005B47CF">
              <w:rPr>
                <w:rFonts w:ascii="Book Antiqua" w:hAnsi="Book Antiqua" w:cs="Arial" w:hint="eastAsia"/>
                <w:color w:val="000000"/>
                <w:sz w:val="24"/>
                <w:szCs w:val="24"/>
                <w:lang w:eastAsia="zh-CN"/>
              </w:rPr>
              <w:t xml:space="preserve"> </w:t>
            </w:r>
            <w:r w:rsidRPr="005B47CF">
              <w:rPr>
                <w:rFonts w:ascii="Book Antiqua" w:hAnsi="Book Antiqua"/>
                <w:sz w:val="24"/>
                <w:szCs w:val="24"/>
                <w:lang w:val="en-GB"/>
              </w:rPr>
              <w:t>4.79)</w:t>
            </w:r>
          </w:p>
        </w:tc>
        <w:tc>
          <w:tcPr>
            <w:tcW w:w="2088" w:type="dxa"/>
            <w:shd w:val="clear" w:color="auto" w:fill="auto"/>
          </w:tcPr>
          <w:p w:rsidR="00807A02" w:rsidRPr="005B47CF" w:rsidRDefault="00807A02" w:rsidP="007967A4">
            <w:pPr>
              <w:spacing w:line="360" w:lineRule="auto"/>
              <w:jc w:val="both"/>
              <w:rPr>
                <w:rFonts w:ascii="Book Antiqua" w:hAnsi="Book Antiqua"/>
                <w:sz w:val="24"/>
                <w:szCs w:val="24"/>
                <w:lang w:val="en-GB"/>
              </w:rPr>
            </w:pPr>
            <w:r w:rsidRPr="005B47CF">
              <w:rPr>
                <w:rFonts w:ascii="Book Antiqua" w:hAnsi="Book Antiqua"/>
                <w:sz w:val="24"/>
                <w:szCs w:val="24"/>
                <w:lang w:val="en-GB"/>
              </w:rPr>
              <w:t>9.67 (</w:t>
            </w:r>
            <w:r w:rsidR="005B47CF" w:rsidRPr="005B47CF">
              <w:rPr>
                <w:rFonts w:ascii="Book Antiqua" w:hAnsi="Book Antiqua" w:cs="Arial"/>
                <w:color w:val="000000"/>
                <w:sz w:val="24"/>
                <w:szCs w:val="24"/>
              </w:rPr>
              <w:t>±</w:t>
            </w:r>
            <w:r w:rsidR="005B47CF" w:rsidRPr="005B47CF">
              <w:rPr>
                <w:rFonts w:ascii="Book Antiqua" w:hAnsi="Book Antiqua" w:cs="Arial" w:hint="eastAsia"/>
                <w:color w:val="000000"/>
                <w:sz w:val="24"/>
                <w:szCs w:val="24"/>
                <w:lang w:eastAsia="zh-CN"/>
              </w:rPr>
              <w:t xml:space="preserve"> </w:t>
            </w:r>
            <w:r w:rsidRPr="005B47CF">
              <w:rPr>
                <w:rFonts w:ascii="Book Antiqua" w:hAnsi="Book Antiqua"/>
                <w:sz w:val="24"/>
                <w:szCs w:val="24"/>
                <w:lang w:val="en-GB"/>
              </w:rPr>
              <w:t>2.92)</w:t>
            </w:r>
          </w:p>
        </w:tc>
      </w:tr>
      <w:tr w:rsidR="00356DC9" w:rsidRPr="00E14F93" w:rsidTr="005B47CF">
        <w:tc>
          <w:tcPr>
            <w:tcW w:w="3438" w:type="dxa"/>
            <w:shd w:val="clear" w:color="auto" w:fill="auto"/>
          </w:tcPr>
          <w:p w:rsidR="00807A02" w:rsidRPr="005B47CF" w:rsidRDefault="005B47CF" w:rsidP="007967A4">
            <w:pPr>
              <w:spacing w:line="360" w:lineRule="auto"/>
              <w:jc w:val="both"/>
              <w:rPr>
                <w:rFonts w:ascii="Book Antiqua" w:hAnsi="Book Antiqua"/>
                <w:sz w:val="24"/>
                <w:szCs w:val="24"/>
                <w:lang w:val="en-GB"/>
              </w:rPr>
            </w:pPr>
            <w:r w:rsidRPr="005B47CF">
              <w:rPr>
                <w:rFonts w:ascii="Book Antiqua" w:hAnsi="Book Antiqua"/>
                <w:sz w:val="24"/>
                <w:szCs w:val="24"/>
                <w:lang w:val="en-GB"/>
              </w:rPr>
              <w:t>FRAX 10-y</w:t>
            </w:r>
            <w:r w:rsidR="00807A02" w:rsidRPr="005B47CF">
              <w:rPr>
                <w:rFonts w:ascii="Book Antiqua" w:hAnsi="Book Antiqua"/>
                <w:sz w:val="24"/>
                <w:szCs w:val="24"/>
                <w:lang w:val="en-GB"/>
              </w:rPr>
              <w:t xml:space="preserve">r </w:t>
            </w:r>
            <w:r w:rsidRPr="005B47CF">
              <w:rPr>
                <w:rFonts w:ascii="Book Antiqua" w:hAnsi="Book Antiqua"/>
                <w:sz w:val="24"/>
                <w:szCs w:val="24"/>
                <w:lang w:val="en-GB"/>
              </w:rPr>
              <w:t>h</w:t>
            </w:r>
            <w:r w:rsidR="00807A02" w:rsidRPr="005B47CF">
              <w:rPr>
                <w:rFonts w:ascii="Book Antiqua" w:hAnsi="Book Antiqua"/>
                <w:sz w:val="24"/>
                <w:szCs w:val="24"/>
                <w:lang w:val="en-GB"/>
              </w:rPr>
              <w:t>ip fracture risk</w:t>
            </w:r>
          </w:p>
        </w:tc>
        <w:tc>
          <w:tcPr>
            <w:tcW w:w="1800" w:type="dxa"/>
            <w:shd w:val="clear" w:color="auto" w:fill="auto"/>
          </w:tcPr>
          <w:p w:rsidR="00807A02" w:rsidRPr="005B47CF" w:rsidRDefault="00807A02" w:rsidP="007967A4">
            <w:pPr>
              <w:spacing w:line="360" w:lineRule="auto"/>
              <w:jc w:val="both"/>
              <w:rPr>
                <w:rFonts w:ascii="Book Antiqua" w:hAnsi="Book Antiqua"/>
                <w:sz w:val="24"/>
                <w:szCs w:val="24"/>
                <w:lang w:val="en-GB"/>
              </w:rPr>
            </w:pPr>
            <w:r w:rsidRPr="005B47CF">
              <w:rPr>
                <w:rFonts w:ascii="Book Antiqua" w:hAnsi="Book Antiqua"/>
                <w:sz w:val="24"/>
                <w:szCs w:val="24"/>
                <w:lang w:val="en-GB"/>
              </w:rPr>
              <w:t>7.11 (</w:t>
            </w:r>
            <w:r w:rsidR="005B47CF" w:rsidRPr="005B47CF">
              <w:rPr>
                <w:rFonts w:ascii="Book Antiqua" w:hAnsi="Book Antiqua" w:cs="Arial"/>
                <w:color w:val="000000"/>
                <w:sz w:val="24"/>
                <w:szCs w:val="24"/>
              </w:rPr>
              <w:t>±</w:t>
            </w:r>
            <w:r w:rsidR="005B47CF" w:rsidRPr="005B47CF">
              <w:rPr>
                <w:rFonts w:ascii="Book Antiqua" w:hAnsi="Book Antiqua" w:cs="Arial" w:hint="eastAsia"/>
                <w:color w:val="000000"/>
                <w:sz w:val="24"/>
                <w:szCs w:val="24"/>
                <w:lang w:eastAsia="zh-CN"/>
              </w:rPr>
              <w:t xml:space="preserve"> </w:t>
            </w:r>
            <w:r w:rsidRPr="005B47CF">
              <w:rPr>
                <w:rFonts w:ascii="Book Antiqua" w:hAnsi="Book Antiqua"/>
                <w:sz w:val="24"/>
                <w:szCs w:val="24"/>
                <w:lang w:val="en-GB"/>
              </w:rPr>
              <w:t>4.55)</w:t>
            </w:r>
          </w:p>
        </w:tc>
        <w:tc>
          <w:tcPr>
            <w:tcW w:w="2250" w:type="dxa"/>
            <w:shd w:val="clear" w:color="auto" w:fill="auto"/>
          </w:tcPr>
          <w:p w:rsidR="00807A02" w:rsidRPr="005B47CF" w:rsidRDefault="00807A02" w:rsidP="007967A4">
            <w:pPr>
              <w:spacing w:line="360" w:lineRule="auto"/>
              <w:jc w:val="both"/>
              <w:rPr>
                <w:rFonts w:ascii="Book Antiqua" w:hAnsi="Book Antiqua"/>
                <w:sz w:val="24"/>
                <w:szCs w:val="24"/>
                <w:lang w:val="en-GB"/>
              </w:rPr>
            </w:pPr>
            <w:r w:rsidRPr="005B47CF">
              <w:rPr>
                <w:rFonts w:ascii="Book Antiqua" w:hAnsi="Book Antiqua"/>
                <w:sz w:val="24"/>
                <w:szCs w:val="24"/>
                <w:lang w:val="en-GB"/>
              </w:rPr>
              <w:t>4.4 (</w:t>
            </w:r>
            <w:r w:rsidR="005B47CF" w:rsidRPr="005B47CF">
              <w:rPr>
                <w:rFonts w:ascii="Book Antiqua" w:hAnsi="Book Antiqua" w:cs="Arial"/>
                <w:color w:val="000000"/>
                <w:sz w:val="24"/>
                <w:szCs w:val="24"/>
              </w:rPr>
              <w:t>±</w:t>
            </w:r>
            <w:r w:rsidR="005B47CF" w:rsidRPr="005B47CF">
              <w:rPr>
                <w:rFonts w:ascii="Book Antiqua" w:hAnsi="Book Antiqua" w:cs="Arial" w:hint="eastAsia"/>
                <w:color w:val="000000"/>
                <w:sz w:val="24"/>
                <w:szCs w:val="24"/>
                <w:lang w:eastAsia="zh-CN"/>
              </w:rPr>
              <w:t xml:space="preserve"> </w:t>
            </w:r>
            <w:r w:rsidRPr="005B47CF">
              <w:rPr>
                <w:rFonts w:ascii="Book Antiqua" w:hAnsi="Book Antiqua"/>
                <w:sz w:val="24"/>
                <w:szCs w:val="24"/>
                <w:lang w:val="en-GB"/>
              </w:rPr>
              <w:t>2.62)</w:t>
            </w:r>
          </w:p>
        </w:tc>
        <w:tc>
          <w:tcPr>
            <w:tcW w:w="2088" w:type="dxa"/>
            <w:shd w:val="clear" w:color="auto" w:fill="auto"/>
          </w:tcPr>
          <w:p w:rsidR="00807A02" w:rsidRPr="005B47CF" w:rsidRDefault="00807A02" w:rsidP="007967A4">
            <w:pPr>
              <w:spacing w:line="360" w:lineRule="auto"/>
              <w:jc w:val="both"/>
              <w:rPr>
                <w:rFonts w:ascii="Book Antiqua" w:hAnsi="Book Antiqua"/>
                <w:sz w:val="24"/>
                <w:szCs w:val="24"/>
                <w:lang w:val="en-GB"/>
              </w:rPr>
            </w:pPr>
            <w:r w:rsidRPr="005B47CF">
              <w:rPr>
                <w:rFonts w:ascii="Book Antiqua" w:hAnsi="Book Antiqua"/>
                <w:sz w:val="24"/>
                <w:szCs w:val="24"/>
                <w:lang w:val="en-GB"/>
              </w:rPr>
              <w:t>4.11 (+</w:t>
            </w:r>
            <w:r w:rsidR="005B47CF" w:rsidRPr="005B47CF">
              <w:rPr>
                <w:rFonts w:ascii="Book Antiqua" w:hAnsi="Book Antiqua" w:hint="eastAsia"/>
                <w:sz w:val="24"/>
                <w:szCs w:val="24"/>
                <w:lang w:val="en-GB" w:eastAsia="zh-CN"/>
              </w:rPr>
              <w:t xml:space="preserve"> </w:t>
            </w:r>
            <w:r w:rsidRPr="005B47CF">
              <w:rPr>
                <w:rFonts w:ascii="Book Antiqua" w:hAnsi="Book Antiqua"/>
                <w:sz w:val="24"/>
                <w:szCs w:val="24"/>
                <w:lang w:val="en-GB"/>
              </w:rPr>
              <w:t>4.55)</w:t>
            </w:r>
          </w:p>
        </w:tc>
      </w:tr>
    </w:tbl>
    <w:p w:rsidR="005B47CF" w:rsidRDefault="005B47CF" w:rsidP="007967A4">
      <w:pPr>
        <w:spacing w:line="360" w:lineRule="auto"/>
        <w:jc w:val="both"/>
        <w:rPr>
          <w:rFonts w:ascii="Book Antiqua" w:hAnsi="Book Antiqua"/>
          <w:sz w:val="24"/>
          <w:szCs w:val="24"/>
          <w:lang w:val="en-GB" w:eastAsia="zh-CN"/>
        </w:rPr>
      </w:pPr>
    </w:p>
    <w:p w:rsidR="00807A02" w:rsidRPr="00E14F93" w:rsidRDefault="00807A02" w:rsidP="007967A4">
      <w:pPr>
        <w:spacing w:line="360" w:lineRule="auto"/>
        <w:jc w:val="both"/>
        <w:rPr>
          <w:rFonts w:ascii="Book Antiqua" w:hAnsi="Book Antiqua"/>
          <w:sz w:val="24"/>
          <w:szCs w:val="24"/>
          <w:lang w:val="en-GB" w:eastAsia="zh-CN"/>
        </w:rPr>
      </w:pPr>
      <w:r w:rsidRPr="00E14F93">
        <w:rPr>
          <w:rFonts w:ascii="Book Antiqua" w:hAnsi="Book Antiqua"/>
          <w:sz w:val="24"/>
          <w:szCs w:val="24"/>
          <w:lang w:val="en-GB"/>
        </w:rPr>
        <w:t xml:space="preserve">BMD: </w:t>
      </w:r>
      <w:r w:rsidR="005B47CF" w:rsidRPr="00E14F93">
        <w:rPr>
          <w:rFonts w:ascii="Book Antiqua" w:hAnsi="Book Antiqua"/>
          <w:sz w:val="24"/>
          <w:szCs w:val="24"/>
          <w:lang w:val="en-GB"/>
        </w:rPr>
        <w:t>B</w:t>
      </w:r>
      <w:r w:rsidRPr="00E14F93">
        <w:rPr>
          <w:rFonts w:ascii="Book Antiqua" w:hAnsi="Book Antiqua"/>
          <w:sz w:val="24"/>
          <w:szCs w:val="24"/>
          <w:lang w:val="en-GB"/>
        </w:rPr>
        <w:t>one mineral density</w:t>
      </w:r>
      <w:r w:rsidR="005B47CF">
        <w:rPr>
          <w:rFonts w:ascii="Book Antiqua" w:hAnsi="Book Antiqua" w:hint="eastAsia"/>
          <w:sz w:val="24"/>
          <w:szCs w:val="24"/>
          <w:lang w:val="en-GB" w:eastAsia="zh-CN"/>
        </w:rPr>
        <w:t xml:space="preserve">; </w:t>
      </w:r>
      <w:r w:rsidR="005B47CF" w:rsidRPr="005B47CF">
        <w:rPr>
          <w:rFonts w:ascii="Book Antiqua" w:hAnsi="Book Antiqua"/>
          <w:sz w:val="24"/>
          <w:szCs w:val="24"/>
          <w:lang w:val="en-GB"/>
        </w:rPr>
        <w:t>FRAX</w:t>
      </w:r>
      <w:r w:rsidR="005B47CF">
        <w:rPr>
          <w:rFonts w:ascii="Book Antiqua" w:hAnsi="Book Antiqua" w:hint="eastAsia"/>
          <w:sz w:val="24"/>
          <w:szCs w:val="24"/>
          <w:lang w:val="en-GB" w:eastAsia="zh-CN"/>
        </w:rPr>
        <w:t>:</w:t>
      </w:r>
      <w:r w:rsidR="005B47CF" w:rsidRPr="005B47CF">
        <w:rPr>
          <w:rFonts w:ascii="Book Antiqua" w:hAnsi="Book Antiqua"/>
          <w:sz w:val="24"/>
          <w:szCs w:val="24"/>
        </w:rPr>
        <w:t xml:space="preserve"> </w:t>
      </w:r>
      <w:r w:rsidR="005B47CF">
        <w:rPr>
          <w:rFonts w:ascii="Book Antiqua" w:hAnsi="Book Antiqua" w:hint="eastAsia"/>
          <w:sz w:val="24"/>
          <w:szCs w:val="24"/>
          <w:lang w:eastAsia="zh-CN"/>
        </w:rPr>
        <w:t>T</w:t>
      </w:r>
      <w:r w:rsidR="005B47CF" w:rsidRPr="00E14F93">
        <w:rPr>
          <w:rFonts w:ascii="Book Antiqua" w:hAnsi="Book Antiqua"/>
          <w:sz w:val="24"/>
          <w:szCs w:val="24"/>
        </w:rPr>
        <w:t>he World Health Organization fracture risk assessment tool</w:t>
      </w:r>
      <w:r w:rsidR="005B47CF">
        <w:rPr>
          <w:rFonts w:ascii="Book Antiqua" w:hAnsi="Book Antiqua" w:hint="eastAsia"/>
          <w:sz w:val="24"/>
          <w:szCs w:val="24"/>
          <w:lang w:eastAsia="zh-CN"/>
        </w:rPr>
        <w:t>.</w:t>
      </w:r>
    </w:p>
    <w:p w:rsidR="00807A02" w:rsidRPr="00E14F93" w:rsidRDefault="00807A02" w:rsidP="007967A4">
      <w:pPr>
        <w:spacing w:line="360" w:lineRule="auto"/>
        <w:jc w:val="both"/>
        <w:rPr>
          <w:rFonts w:ascii="Book Antiqua" w:hAnsi="Book Antiqua"/>
          <w:b/>
          <w:bCs/>
          <w:sz w:val="24"/>
          <w:szCs w:val="24"/>
          <w:lang w:val="en-GB"/>
        </w:rPr>
      </w:pPr>
    </w:p>
    <w:p w:rsidR="00807A02" w:rsidRPr="005B47CF" w:rsidRDefault="005B47CF" w:rsidP="007967A4">
      <w:pPr>
        <w:spacing w:line="360" w:lineRule="auto"/>
        <w:jc w:val="both"/>
        <w:rPr>
          <w:rFonts w:ascii="Book Antiqua" w:hAnsi="Book Antiqua"/>
          <w:b/>
          <w:sz w:val="24"/>
          <w:szCs w:val="24"/>
          <w:lang w:val="en-GB" w:eastAsia="zh-CN"/>
        </w:rPr>
      </w:pPr>
      <w:r w:rsidRPr="005B47CF">
        <w:rPr>
          <w:rFonts w:ascii="Book Antiqua" w:hAnsi="Book Antiqua"/>
          <w:b/>
          <w:bCs/>
          <w:sz w:val="24"/>
          <w:szCs w:val="24"/>
          <w:lang w:val="en-GB"/>
        </w:rPr>
        <w:t>Table 2</w:t>
      </w:r>
      <w:r w:rsidR="00807A02" w:rsidRPr="005B47CF">
        <w:rPr>
          <w:rFonts w:ascii="Book Antiqua" w:hAnsi="Book Antiqua"/>
          <w:b/>
          <w:sz w:val="24"/>
          <w:szCs w:val="24"/>
          <w:lang w:val="en-GB"/>
        </w:rPr>
        <w:t xml:space="preserve"> Prevalence of low trauma fractures at baseline in comparison to its incidence at 2-</w:t>
      </w:r>
      <w:r w:rsidRPr="005B47CF">
        <w:rPr>
          <w:rFonts w:ascii="Book Antiqua" w:hAnsi="Book Antiqua"/>
          <w:b/>
          <w:sz w:val="24"/>
          <w:szCs w:val="24"/>
          <w:lang w:val="en-GB"/>
        </w:rPr>
        <w:t>y</w:t>
      </w:r>
      <w:r w:rsidR="0074779E">
        <w:rPr>
          <w:rFonts w:ascii="Book Antiqua" w:hAnsi="Book Antiqua" w:hint="eastAsia"/>
          <w:b/>
          <w:sz w:val="24"/>
          <w:szCs w:val="24"/>
          <w:lang w:val="en-GB" w:eastAsia="zh-CN"/>
        </w:rPr>
        <w:t>ea</w:t>
      </w:r>
      <w:r w:rsidRPr="005B47CF">
        <w:rPr>
          <w:rFonts w:ascii="Book Antiqua" w:hAnsi="Book Antiqua"/>
          <w:b/>
          <w:sz w:val="24"/>
          <w:szCs w:val="24"/>
          <w:lang w:val="en-GB"/>
        </w:rPr>
        <w:t>r and 5-y</w:t>
      </w:r>
      <w:r w:rsidR="0074779E">
        <w:rPr>
          <w:rFonts w:ascii="Book Antiqua" w:hAnsi="Book Antiqua" w:hint="eastAsia"/>
          <w:b/>
          <w:sz w:val="24"/>
          <w:szCs w:val="24"/>
          <w:lang w:val="en-GB" w:eastAsia="zh-CN"/>
        </w:rPr>
        <w:t>ea</w:t>
      </w:r>
      <w:r w:rsidRPr="005B47CF">
        <w:rPr>
          <w:rFonts w:ascii="Book Antiqua" w:hAnsi="Book Antiqua"/>
          <w:b/>
          <w:sz w:val="24"/>
          <w:szCs w:val="24"/>
          <w:lang w:val="en-GB"/>
        </w:rPr>
        <w:t>r of observation</w:t>
      </w:r>
    </w:p>
    <w:tbl>
      <w:tblPr>
        <w:tblW w:w="0" w:type="auto"/>
        <w:tblInd w:w="2" w:type="dxa"/>
        <w:tblBorders>
          <w:top w:val="single" w:sz="4" w:space="0" w:color="auto"/>
          <w:bottom w:val="single" w:sz="4" w:space="0" w:color="auto"/>
        </w:tblBorders>
        <w:tblLook w:val="00A0" w:firstRow="1" w:lastRow="0" w:firstColumn="1" w:lastColumn="0" w:noHBand="0" w:noVBand="0"/>
      </w:tblPr>
      <w:tblGrid>
        <w:gridCol w:w="1342"/>
        <w:gridCol w:w="1365"/>
        <w:gridCol w:w="1379"/>
        <w:gridCol w:w="1365"/>
        <w:gridCol w:w="1379"/>
        <w:gridCol w:w="1365"/>
        <w:gridCol w:w="1379"/>
      </w:tblGrid>
      <w:tr w:rsidR="00356DC9" w:rsidRPr="00E14F93" w:rsidTr="005B47CF">
        <w:tc>
          <w:tcPr>
            <w:tcW w:w="1368" w:type="dxa"/>
            <w:tcBorders>
              <w:top w:val="single" w:sz="4" w:space="0" w:color="auto"/>
              <w:bottom w:val="single" w:sz="4" w:space="0" w:color="auto"/>
            </w:tcBorders>
            <w:shd w:val="clear" w:color="auto" w:fill="auto"/>
          </w:tcPr>
          <w:p w:rsidR="00807A02" w:rsidRPr="00E14F93" w:rsidRDefault="00807A02" w:rsidP="007967A4">
            <w:pPr>
              <w:spacing w:line="360" w:lineRule="auto"/>
              <w:jc w:val="both"/>
              <w:rPr>
                <w:rFonts w:ascii="Book Antiqua" w:hAnsi="Book Antiqua"/>
                <w:sz w:val="24"/>
                <w:szCs w:val="24"/>
                <w:lang w:val="en-GB"/>
              </w:rPr>
            </w:pPr>
          </w:p>
        </w:tc>
        <w:tc>
          <w:tcPr>
            <w:tcW w:w="2736" w:type="dxa"/>
            <w:gridSpan w:val="2"/>
            <w:tcBorders>
              <w:top w:val="single" w:sz="4" w:space="0" w:color="auto"/>
              <w:bottom w:val="single" w:sz="4" w:space="0" w:color="auto"/>
            </w:tcBorders>
            <w:shd w:val="clear" w:color="auto" w:fill="auto"/>
          </w:tcPr>
          <w:p w:rsidR="00807A02" w:rsidRPr="00E14F93" w:rsidRDefault="00807A02" w:rsidP="007967A4">
            <w:pPr>
              <w:spacing w:line="360" w:lineRule="auto"/>
              <w:jc w:val="both"/>
              <w:rPr>
                <w:rFonts w:ascii="Book Antiqua" w:hAnsi="Book Antiqua"/>
                <w:sz w:val="24"/>
                <w:szCs w:val="24"/>
                <w:lang w:val="en-GB"/>
              </w:rPr>
            </w:pPr>
            <w:r w:rsidRPr="00E14F93">
              <w:rPr>
                <w:rFonts w:ascii="Book Antiqua" w:hAnsi="Book Antiqua"/>
                <w:sz w:val="24"/>
                <w:szCs w:val="24"/>
                <w:lang w:val="en-GB"/>
              </w:rPr>
              <w:t xml:space="preserve">At </w:t>
            </w:r>
            <w:r w:rsidR="005B47CF" w:rsidRPr="00E14F93">
              <w:rPr>
                <w:rFonts w:ascii="Book Antiqua" w:hAnsi="Book Antiqua"/>
                <w:sz w:val="24"/>
                <w:szCs w:val="24"/>
                <w:lang w:val="en-GB"/>
              </w:rPr>
              <w:t>b</w:t>
            </w:r>
            <w:r w:rsidRPr="00E14F93">
              <w:rPr>
                <w:rFonts w:ascii="Book Antiqua" w:hAnsi="Book Antiqua"/>
                <w:sz w:val="24"/>
                <w:szCs w:val="24"/>
                <w:lang w:val="en-GB"/>
              </w:rPr>
              <w:t>aseline</w:t>
            </w:r>
          </w:p>
        </w:tc>
        <w:tc>
          <w:tcPr>
            <w:tcW w:w="2736" w:type="dxa"/>
            <w:gridSpan w:val="2"/>
            <w:tcBorders>
              <w:top w:val="single" w:sz="4" w:space="0" w:color="auto"/>
              <w:bottom w:val="single" w:sz="4" w:space="0" w:color="auto"/>
            </w:tcBorders>
            <w:shd w:val="clear" w:color="auto" w:fill="auto"/>
          </w:tcPr>
          <w:p w:rsidR="00807A02" w:rsidRPr="00E14F93" w:rsidRDefault="005B47CF" w:rsidP="007967A4">
            <w:pPr>
              <w:spacing w:line="360" w:lineRule="auto"/>
              <w:jc w:val="both"/>
              <w:rPr>
                <w:rFonts w:ascii="Book Antiqua" w:hAnsi="Book Antiqua"/>
                <w:sz w:val="24"/>
                <w:szCs w:val="24"/>
                <w:lang w:val="en-GB" w:eastAsia="zh-CN"/>
              </w:rPr>
            </w:pPr>
            <w:r>
              <w:rPr>
                <w:rFonts w:ascii="Book Antiqua" w:hAnsi="Book Antiqua"/>
                <w:sz w:val="24"/>
                <w:szCs w:val="24"/>
                <w:lang w:val="en-GB"/>
              </w:rPr>
              <w:t>At 2-yr</w:t>
            </w:r>
          </w:p>
        </w:tc>
        <w:tc>
          <w:tcPr>
            <w:tcW w:w="2736" w:type="dxa"/>
            <w:gridSpan w:val="2"/>
            <w:tcBorders>
              <w:top w:val="single" w:sz="4" w:space="0" w:color="auto"/>
              <w:bottom w:val="single" w:sz="4" w:space="0" w:color="auto"/>
            </w:tcBorders>
            <w:shd w:val="clear" w:color="auto" w:fill="auto"/>
          </w:tcPr>
          <w:p w:rsidR="00807A02" w:rsidRPr="00E14F93" w:rsidRDefault="005B47CF" w:rsidP="007967A4">
            <w:pPr>
              <w:spacing w:line="360" w:lineRule="auto"/>
              <w:jc w:val="both"/>
              <w:rPr>
                <w:rFonts w:ascii="Book Antiqua" w:hAnsi="Book Antiqua"/>
                <w:sz w:val="24"/>
                <w:szCs w:val="24"/>
                <w:lang w:val="en-GB" w:eastAsia="zh-CN"/>
              </w:rPr>
            </w:pPr>
            <w:r>
              <w:rPr>
                <w:rFonts w:ascii="Book Antiqua" w:hAnsi="Book Antiqua"/>
                <w:sz w:val="24"/>
                <w:szCs w:val="24"/>
                <w:lang w:val="en-GB"/>
              </w:rPr>
              <w:t xml:space="preserve">At 5 </w:t>
            </w:r>
            <w:proofErr w:type="spellStart"/>
            <w:r>
              <w:rPr>
                <w:rFonts w:ascii="Book Antiqua" w:hAnsi="Book Antiqua"/>
                <w:sz w:val="24"/>
                <w:szCs w:val="24"/>
                <w:lang w:val="en-GB"/>
              </w:rPr>
              <w:t>yr</w:t>
            </w:r>
            <w:proofErr w:type="spellEnd"/>
          </w:p>
        </w:tc>
      </w:tr>
      <w:tr w:rsidR="00356DC9" w:rsidRPr="00E14F93" w:rsidTr="005B47CF">
        <w:tc>
          <w:tcPr>
            <w:tcW w:w="1368" w:type="dxa"/>
            <w:tcBorders>
              <w:top w:val="single" w:sz="4" w:space="0" w:color="auto"/>
            </w:tcBorders>
            <w:shd w:val="clear" w:color="auto" w:fill="auto"/>
          </w:tcPr>
          <w:p w:rsidR="00807A02" w:rsidRPr="00E14F93" w:rsidRDefault="00807A02" w:rsidP="007967A4">
            <w:pPr>
              <w:spacing w:line="360" w:lineRule="auto"/>
              <w:jc w:val="both"/>
              <w:rPr>
                <w:rFonts w:ascii="Book Antiqua" w:hAnsi="Book Antiqua"/>
                <w:sz w:val="24"/>
                <w:szCs w:val="24"/>
                <w:lang w:val="en-GB"/>
              </w:rPr>
            </w:pPr>
          </w:p>
        </w:tc>
        <w:tc>
          <w:tcPr>
            <w:tcW w:w="1368" w:type="dxa"/>
            <w:tcBorders>
              <w:top w:val="single" w:sz="4" w:space="0" w:color="auto"/>
            </w:tcBorders>
            <w:shd w:val="clear" w:color="auto" w:fill="auto"/>
          </w:tcPr>
          <w:p w:rsidR="00807A02" w:rsidRPr="00E14F93" w:rsidRDefault="00807A02" w:rsidP="007967A4">
            <w:pPr>
              <w:spacing w:line="360" w:lineRule="auto"/>
              <w:jc w:val="both"/>
              <w:rPr>
                <w:rFonts w:ascii="Book Antiqua" w:hAnsi="Book Antiqua"/>
                <w:sz w:val="24"/>
                <w:szCs w:val="24"/>
                <w:lang w:val="en-GB"/>
              </w:rPr>
            </w:pPr>
            <w:r w:rsidRPr="00E14F93">
              <w:rPr>
                <w:rFonts w:ascii="Book Antiqua" w:hAnsi="Book Antiqua"/>
                <w:sz w:val="24"/>
                <w:szCs w:val="24"/>
                <w:lang w:val="en-GB"/>
              </w:rPr>
              <w:t>Frequency</w:t>
            </w:r>
          </w:p>
        </w:tc>
        <w:tc>
          <w:tcPr>
            <w:tcW w:w="1368" w:type="dxa"/>
            <w:tcBorders>
              <w:top w:val="single" w:sz="4" w:space="0" w:color="auto"/>
            </w:tcBorders>
            <w:shd w:val="clear" w:color="auto" w:fill="auto"/>
          </w:tcPr>
          <w:p w:rsidR="00807A02" w:rsidRPr="00E14F93" w:rsidRDefault="00807A02" w:rsidP="007967A4">
            <w:pPr>
              <w:spacing w:line="360" w:lineRule="auto"/>
              <w:jc w:val="both"/>
              <w:rPr>
                <w:rFonts w:ascii="Book Antiqua" w:hAnsi="Book Antiqua"/>
                <w:sz w:val="24"/>
                <w:szCs w:val="24"/>
                <w:lang w:val="en-GB"/>
              </w:rPr>
            </w:pPr>
            <w:r w:rsidRPr="00E14F93">
              <w:rPr>
                <w:rFonts w:ascii="Book Antiqua" w:hAnsi="Book Antiqua"/>
                <w:sz w:val="24"/>
                <w:szCs w:val="24"/>
                <w:lang w:val="en-GB"/>
              </w:rPr>
              <w:t>Percentage</w:t>
            </w:r>
          </w:p>
        </w:tc>
        <w:tc>
          <w:tcPr>
            <w:tcW w:w="1368" w:type="dxa"/>
            <w:tcBorders>
              <w:top w:val="single" w:sz="4" w:space="0" w:color="auto"/>
            </w:tcBorders>
            <w:shd w:val="clear" w:color="auto" w:fill="auto"/>
          </w:tcPr>
          <w:p w:rsidR="00807A02" w:rsidRPr="00E14F93" w:rsidRDefault="00807A02" w:rsidP="007967A4">
            <w:pPr>
              <w:spacing w:line="360" w:lineRule="auto"/>
              <w:jc w:val="both"/>
              <w:rPr>
                <w:rFonts w:ascii="Book Antiqua" w:hAnsi="Book Antiqua"/>
                <w:sz w:val="24"/>
                <w:szCs w:val="24"/>
                <w:lang w:val="en-GB"/>
              </w:rPr>
            </w:pPr>
            <w:r w:rsidRPr="00E14F93">
              <w:rPr>
                <w:rFonts w:ascii="Book Antiqua" w:hAnsi="Book Antiqua"/>
                <w:sz w:val="24"/>
                <w:szCs w:val="24"/>
                <w:lang w:val="en-GB"/>
              </w:rPr>
              <w:t>Frequency</w:t>
            </w:r>
          </w:p>
        </w:tc>
        <w:tc>
          <w:tcPr>
            <w:tcW w:w="1368" w:type="dxa"/>
            <w:tcBorders>
              <w:top w:val="single" w:sz="4" w:space="0" w:color="auto"/>
            </w:tcBorders>
            <w:shd w:val="clear" w:color="auto" w:fill="auto"/>
          </w:tcPr>
          <w:p w:rsidR="00807A02" w:rsidRPr="00E14F93" w:rsidRDefault="00807A02" w:rsidP="007967A4">
            <w:pPr>
              <w:spacing w:line="360" w:lineRule="auto"/>
              <w:jc w:val="both"/>
              <w:rPr>
                <w:rFonts w:ascii="Book Antiqua" w:hAnsi="Book Antiqua"/>
                <w:sz w:val="24"/>
                <w:szCs w:val="24"/>
                <w:lang w:val="en-GB"/>
              </w:rPr>
            </w:pPr>
            <w:r w:rsidRPr="00E14F93">
              <w:rPr>
                <w:rFonts w:ascii="Book Antiqua" w:hAnsi="Book Antiqua"/>
                <w:sz w:val="24"/>
                <w:szCs w:val="24"/>
                <w:lang w:val="en-GB"/>
              </w:rPr>
              <w:t>Percentage</w:t>
            </w:r>
          </w:p>
        </w:tc>
        <w:tc>
          <w:tcPr>
            <w:tcW w:w="1368" w:type="dxa"/>
            <w:tcBorders>
              <w:top w:val="single" w:sz="4" w:space="0" w:color="auto"/>
            </w:tcBorders>
            <w:shd w:val="clear" w:color="auto" w:fill="auto"/>
          </w:tcPr>
          <w:p w:rsidR="00807A02" w:rsidRPr="00E14F93" w:rsidRDefault="00807A02" w:rsidP="007967A4">
            <w:pPr>
              <w:spacing w:line="360" w:lineRule="auto"/>
              <w:jc w:val="both"/>
              <w:rPr>
                <w:rFonts w:ascii="Book Antiqua" w:hAnsi="Book Antiqua"/>
                <w:sz w:val="24"/>
                <w:szCs w:val="24"/>
                <w:lang w:val="en-GB"/>
              </w:rPr>
            </w:pPr>
            <w:r w:rsidRPr="00E14F93">
              <w:rPr>
                <w:rFonts w:ascii="Book Antiqua" w:hAnsi="Book Antiqua"/>
                <w:sz w:val="24"/>
                <w:szCs w:val="24"/>
                <w:lang w:val="en-GB"/>
              </w:rPr>
              <w:t>Frequency</w:t>
            </w:r>
          </w:p>
        </w:tc>
        <w:tc>
          <w:tcPr>
            <w:tcW w:w="1368" w:type="dxa"/>
            <w:tcBorders>
              <w:top w:val="single" w:sz="4" w:space="0" w:color="auto"/>
            </w:tcBorders>
            <w:shd w:val="clear" w:color="auto" w:fill="auto"/>
          </w:tcPr>
          <w:p w:rsidR="00807A02" w:rsidRPr="00E14F93" w:rsidRDefault="00807A02" w:rsidP="007967A4">
            <w:pPr>
              <w:spacing w:line="360" w:lineRule="auto"/>
              <w:jc w:val="both"/>
              <w:rPr>
                <w:rFonts w:ascii="Book Antiqua" w:hAnsi="Book Antiqua"/>
                <w:sz w:val="24"/>
                <w:szCs w:val="24"/>
                <w:lang w:val="en-GB"/>
              </w:rPr>
            </w:pPr>
            <w:r w:rsidRPr="00E14F93">
              <w:rPr>
                <w:rFonts w:ascii="Book Antiqua" w:hAnsi="Book Antiqua"/>
                <w:sz w:val="24"/>
                <w:szCs w:val="24"/>
                <w:lang w:val="en-GB"/>
              </w:rPr>
              <w:t>Percentage</w:t>
            </w:r>
          </w:p>
        </w:tc>
      </w:tr>
      <w:tr w:rsidR="00356DC9" w:rsidRPr="00E14F93" w:rsidTr="005B47CF">
        <w:tc>
          <w:tcPr>
            <w:tcW w:w="1368" w:type="dxa"/>
            <w:shd w:val="clear" w:color="auto" w:fill="auto"/>
          </w:tcPr>
          <w:p w:rsidR="00807A02" w:rsidRPr="00E14F93" w:rsidRDefault="00807A02" w:rsidP="007967A4">
            <w:pPr>
              <w:spacing w:line="360" w:lineRule="auto"/>
              <w:jc w:val="both"/>
              <w:rPr>
                <w:rFonts w:ascii="Book Antiqua" w:hAnsi="Book Antiqua"/>
                <w:sz w:val="24"/>
                <w:szCs w:val="24"/>
                <w:lang w:val="en-GB"/>
              </w:rPr>
            </w:pPr>
            <w:r w:rsidRPr="00E14F93">
              <w:rPr>
                <w:rFonts w:ascii="Book Antiqua" w:hAnsi="Book Antiqua"/>
                <w:sz w:val="24"/>
                <w:szCs w:val="24"/>
                <w:lang w:val="en-GB"/>
              </w:rPr>
              <w:t xml:space="preserve">No </w:t>
            </w:r>
            <w:r w:rsidR="005B47CF" w:rsidRPr="00E14F93">
              <w:rPr>
                <w:rFonts w:ascii="Book Antiqua" w:hAnsi="Book Antiqua"/>
                <w:sz w:val="24"/>
                <w:szCs w:val="24"/>
                <w:lang w:val="en-GB"/>
              </w:rPr>
              <w:t>f</w:t>
            </w:r>
            <w:r w:rsidRPr="00E14F93">
              <w:rPr>
                <w:rFonts w:ascii="Book Antiqua" w:hAnsi="Book Antiqua"/>
                <w:sz w:val="24"/>
                <w:szCs w:val="24"/>
                <w:lang w:val="en-GB"/>
              </w:rPr>
              <w:t>racture</w:t>
            </w:r>
          </w:p>
        </w:tc>
        <w:tc>
          <w:tcPr>
            <w:tcW w:w="1368" w:type="dxa"/>
            <w:shd w:val="clear" w:color="auto" w:fill="auto"/>
          </w:tcPr>
          <w:p w:rsidR="00807A02" w:rsidRPr="00E14F93" w:rsidRDefault="00807A02" w:rsidP="007967A4">
            <w:pPr>
              <w:spacing w:line="360" w:lineRule="auto"/>
              <w:jc w:val="both"/>
              <w:rPr>
                <w:rFonts w:ascii="Book Antiqua" w:hAnsi="Book Antiqua"/>
                <w:sz w:val="24"/>
                <w:szCs w:val="24"/>
                <w:lang w:val="en-GB"/>
              </w:rPr>
            </w:pPr>
            <w:r w:rsidRPr="00E14F93">
              <w:rPr>
                <w:rFonts w:ascii="Book Antiqua" w:hAnsi="Book Antiqua"/>
                <w:sz w:val="24"/>
                <w:szCs w:val="24"/>
                <w:lang w:val="en-GB"/>
              </w:rPr>
              <w:t>292</w:t>
            </w:r>
          </w:p>
        </w:tc>
        <w:tc>
          <w:tcPr>
            <w:tcW w:w="1368" w:type="dxa"/>
            <w:shd w:val="clear" w:color="auto" w:fill="auto"/>
          </w:tcPr>
          <w:p w:rsidR="00807A02" w:rsidRPr="00E14F93" w:rsidRDefault="00807A02" w:rsidP="007967A4">
            <w:pPr>
              <w:spacing w:line="360" w:lineRule="auto"/>
              <w:jc w:val="both"/>
              <w:rPr>
                <w:rFonts w:ascii="Book Antiqua" w:hAnsi="Book Antiqua"/>
                <w:sz w:val="24"/>
                <w:szCs w:val="24"/>
                <w:lang w:val="en-GB"/>
              </w:rPr>
            </w:pPr>
            <w:r w:rsidRPr="00E14F93">
              <w:rPr>
                <w:rFonts w:ascii="Book Antiqua" w:hAnsi="Book Antiqua"/>
                <w:sz w:val="24"/>
                <w:szCs w:val="24"/>
                <w:lang w:val="en-GB"/>
              </w:rPr>
              <w:t>50.4</w:t>
            </w:r>
          </w:p>
        </w:tc>
        <w:tc>
          <w:tcPr>
            <w:tcW w:w="1368" w:type="dxa"/>
            <w:shd w:val="clear" w:color="auto" w:fill="auto"/>
          </w:tcPr>
          <w:p w:rsidR="00807A02" w:rsidRPr="00E14F93" w:rsidRDefault="00807A02" w:rsidP="007967A4">
            <w:pPr>
              <w:spacing w:line="360" w:lineRule="auto"/>
              <w:jc w:val="both"/>
              <w:rPr>
                <w:rFonts w:ascii="Book Antiqua" w:hAnsi="Book Antiqua"/>
                <w:sz w:val="24"/>
                <w:szCs w:val="24"/>
                <w:lang w:val="en-GB"/>
              </w:rPr>
            </w:pPr>
            <w:r w:rsidRPr="00E14F93">
              <w:rPr>
                <w:rFonts w:ascii="Book Antiqua" w:hAnsi="Book Antiqua"/>
                <w:sz w:val="24"/>
                <w:szCs w:val="24"/>
                <w:lang w:val="en-GB"/>
              </w:rPr>
              <w:t>481</w:t>
            </w:r>
          </w:p>
        </w:tc>
        <w:tc>
          <w:tcPr>
            <w:tcW w:w="1368" w:type="dxa"/>
            <w:shd w:val="clear" w:color="auto" w:fill="auto"/>
          </w:tcPr>
          <w:p w:rsidR="00807A02" w:rsidRPr="00E14F93" w:rsidRDefault="00807A02" w:rsidP="007967A4">
            <w:pPr>
              <w:spacing w:line="360" w:lineRule="auto"/>
              <w:jc w:val="both"/>
              <w:rPr>
                <w:rFonts w:ascii="Book Antiqua" w:hAnsi="Book Antiqua"/>
                <w:sz w:val="24"/>
                <w:szCs w:val="24"/>
                <w:lang w:val="en-GB"/>
              </w:rPr>
            </w:pPr>
            <w:r w:rsidRPr="00E14F93">
              <w:rPr>
                <w:rFonts w:ascii="Book Antiqua" w:hAnsi="Book Antiqua"/>
                <w:sz w:val="24"/>
                <w:szCs w:val="24"/>
                <w:lang w:val="en-GB"/>
              </w:rPr>
              <w:t>83.1</w:t>
            </w:r>
          </w:p>
        </w:tc>
        <w:tc>
          <w:tcPr>
            <w:tcW w:w="1368" w:type="dxa"/>
            <w:shd w:val="clear" w:color="auto" w:fill="auto"/>
          </w:tcPr>
          <w:p w:rsidR="00807A02" w:rsidRPr="00E14F93" w:rsidRDefault="00807A02" w:rsidP="007967A4">
            <w:pPr>
              <w:spacing w:line="360" w:lineRule="auto"/>
              <w:jc w:val="both"/>
              <w:rPr>
                <w:rFonts w:ascii="Book Antiqua" w:hAnsi="Book Antiqua"/>
                <w:sz w:val="24"/>
                <w:szCs w:val="24"/>
                <w:lang w:val="en-GB"/>
              </w:rPr>
            </w:pPr>
            <w:r w:rsidRPr="00E14F93">
              <w:rPr>
                <w:rFonts w:ascii="Book Antiqua" w:hAnsi="Book Antiqua"/>
                <w:sz w:val="24"/>
                <w:szCs w:val="24"/>
                <w:lang w:val="en-GB"/>
              </w:rPr>
              <w:t>552</w:t>
            </w:r>
          </w:p>
        </w:tc>
        <w:tc>
          <w:tcPr>
            <w:tcW w:w="1368" w:type="dxa"/>
            <w:shd w:val="clear" w:color="auto" w:fill="auto"/>
          </w:tcPr>
          <w:p w:rsidR="00807A02" w:rsidRPr="00E14F93" w:rsidRDefault="00807A02" w:rsidP="007967A4">
            <w:pPr>
              <w:spacing w:line="360" w:lineRule="auto"/>
              <w:jc w:val="both"/>
              <w:rPr>
                <w:rFonts w:ascii="Book Antiqua" w:hAnsi="Book Antiqua"/>
                <w:sz w:val="24"/>
                <w:szCs w:val="24"/>
                <w:lang w:val="en-GB"/>
              </w:rPr>
            </w:pPr>
            <w:r w:rsidRPr="00E14F93">
              <w:rPr>
                <w:rFonts w:ascii="Book Antiqua" w:hAnsi="Book Antiqua"/>
                <w:sz w:val="24"/>
                <w:szCs w:val="24"/>
                <w:lang w:val="en-GB"/>
              </w:rPr>
              <w:t>95.3</w:t>
            </w:r>
          </w:p>
        </w:tc>
      </w:tr>
      <w:tr w:rsidR="00356DC9" w:rsidRPr="00E14F93" w:rsidTr="005B47CF">
        <w:tc>
          <w:tcPr>
            <w:tcW w:w="1368" w:type="dxa"/>
            <w:shd w:val="clear" w:color="auto" w:fill="auto"/>
          </w:tcPr>
          <w:p w:rsidR="00807A02" w:rsidRPr="00E14F93" w:rsidRDefault="00807A02" w:rsidP="007967A4">
            <w:pPr>
              <w:spacing w:line="360" w:lineRule="auto"/>
              <w:jc w:val="both"/>
              <w:rPr>
                <w:rFonts w:ascii="Book Antiqua" w:hAnsi="Book Antiqua"/>
                <w:sz w:val="24"/>
                <w:szCs w:val="24"/>
                <w:lang w:val="en-GB"/>
              </w:rPr>
            </w:pPr>
            <w:r w:rsidRPr="00E14F93">
              <w:rPr>
                <w:rFonts w:ascii="Book Antiqua" w:hAnsi="Book Antiqua"/>
                <w:sz w:val="24"/>
                <w:szCs w:val="24"/>
                <w:lang w:val="en-GB"/>
              </w:rPr>
              <w:lastRenderedPageBreak/>
              <w:t xml:space="preserve">Low </w:t>
            </w:r>
            <w:r w:rsidR="005B47CF" w:rsidRPr="00E14F93">
              <w:rPr>
                <w:rFonts w:ascii="Book Antiqua" w:hAnsi="Book Antiqua"/>
                <w:sz w:val="24"/>
                <w:szCs w:val="24"/>
                <w:lang w:val="en-GB"/>
              </w:rPr>
              <w:t>t</w:t>
            </w:r>
            <w:r w:rsidRPr="00E14F93">
              <w:rPr>
                <w:rFonts w:ascii="Book Antiqua" w:hAnsi="Book Antiqua"/>
                <w:sz w:val="24"/>
                <w:szCs w:val="24"/>
                <w:lang w:val="en-GB"/>
              </w:rPr>
              <w:t xml:space="preserve">rauma </w:t>
            </w:r>
            <w:r w:rsidR="005B47CF" w:rsidRPr="00E14F93">
              <w:rPr>
                <w:rFonts w:ascii="Book Antiqua" w:hAnsi="Book Antiqua"/>
                <w:sz w:val="24"/>
                <w:szCs w:val="24"/>
                <w:lang w:val="en-GB"/>
              </w:rPr>
              <w:t>f</w:t>
            </w:r>
            <w:r w:rsidRPr="00E14F93">
              <w:rPr>
                <w:rFonts w:ascii="Book Antiqua" w:hAnsi="Book Antiqua"/>
                <w:sz w:val="24"/>
                <w:szCs w:val="24"/>
                <w:lang w:val="en-GB"/>
              </w:rPr>
              <w:t>racture</w:t>
            </w:r>
          </w:p>
        </w:tc>
        <w:tc>
          <w:tcPr>
            <w:tcW w:w="1368" w:type="dxa"/>
            <w:shd w:val="clear" w:color="auto" w:fill="auto"/>
          </w:tcPr>
          <w:p w:rsidR="00807A02" w:rsidRPr="00E14F93" w:rsidRDefault="00807A02" w:rsidP="007967A4">
            <w:pPr>
              <w:spacing w:line="360" w:lineRule="auto"/>
              <w:jc w:val="both"/>
              <w:rPr>
                <w:rFonts w:ascii="Book Antiqua" w:hAnsi="Book Antiqua"/>
                <w:sz w:val="24"/>
                <w:szCs w:val="24"/>
                <w:lang w:val="en-GB"/>
              </w:rPr>
            </w:pPr>
            <w:r w:rsidRPr="00E14F93">
              <w:rPr>
                <w:rFonts w:ascii="Book Antiqua" w:hAnsi="Book Antiqua"/>
                <w:sz w:val="24"/>
                <w:szCs w:val="24"/>
                <w:lang w:val="en-GB"/>
              </w:rPr>
              <w:t>287</w:t>
            </w:r>
          </w:p>
        </w:tc>
        <w:tc>
          <w:tcPr>
            <w:tcW w:w="1368" w:type="dxa"/>
            <w:shd w:val="clear" w:color="auto" w:fill="auto"/>
          </w:tcPr>
          <w:p w:rsidR="00807A02" w:rsidRPr="00E14F93" w:rsidRDefault="00807A02" w:rsidP="007967A4">
            <w:pPr>
              <w:spacing w:line="360" w:lineRule="auto"/>
              <w:jc w:val="both"/>
              <w:rPr>
                <w:rFonts w:ascii="Book Antiqua" w:hAnsi="Book Antiqua" w:cs="Arial"/>
                <w:sz w:val="24"/>
                <w:szCs w:val="24"/>
                <w:lang w:val="en-GB"/>
              </w:rPr>
            </w:pPr>
            <w:r w:rsidRPr="00E14F93">
              <w:rPr>
                <w:rFonts w:ascii="Book Antiqua" w:hAnsi="Book Antiqua"/>
                <w:sz w:val="24"/>
                <w:szCs w:val="24"/>
                <w:lang w:val="en-GB"/>
              </w:rPr>
              <w:t>49.36</w:t>
            </w:r>
          </w:p>
          <w:p w:rsidR="00807A02" w:rsidRPr="00E14F93" w:rsidRDefault="00807A02" w:rsidP="007967A4">
            <w:pPr>
              <w:spacing w:line="360" w:lineRule="auto"/>
              <w:jc w:val="both"/>
              <w:rPr>
                <w:rFonts w:ascii="Book Antiqua" w:hAnsi="Book Antiqua"/>
                <w:sz w:val="24"/>
                <w:szCs w:val="24"/>
              </w:rPr>
            </w:pPr>
          </w:p>
        </w:tc>
        <w:tc>
          <w:tcPr>
            <w:tcW w:w="1368" w:type="dxa"/>
            <w:shd w:val="clear" w:color="auto" w:fill="auto"/>
          </w:tcPr>
          <w:p w:rsidR="00807A02" w:rsidRPr="00E14F93" w:rsidRDefault="00807A02" w:rsidP="007967A4">
            <w:pPr>
              <w:spacing w:line="360" w:lineRule="auto"/>
              <w:jc w:val="both"/>
              <w:rPr>
                <w:rFonts w:ascii="Book Antiqua" w:hAnsi="Book Antiqua"/>
                <w:sz w:val="24"/>
                <w:szCs w:val="24"/>
                <w:lang w:val="en-GB"/>
              </w:rPr>
            </w:pPr>
            <w:r w:rsidRPr="00E14F93">
              <w:rPr>
                <w:rFonts w:ascii="Book Antiqua" w:hAnsi="Book Antiqua"/>
                <w:sz w:val="24"/>
                <w:szCs w:val="24"/>
                <w:lang w:val="en-GB"/>
              </w:rPr>
              <w:t>98</w:t>
            </w:r>
          </w:p>
        </w:tc>
        <w:tc>
          <w:tcPr>
            <w:tcW w:w="1368" w:type="dxa"/>
            <w:shd w:val="clear" w:color="auto" w:fill="auto"/>
          </w:tcPr>
          <w:p w:rsidR="00807A02" w:rsidRPr="00E14F93" w:rsidRDefault="00807A02" w:rsidP="007967A4">
            <w:pPr>
              <w:spacing w:line="360" w:lineRule="auto"/>
              <w:jc w:val="both"/>
              <w:rPr>
                <w:rFonts w:ascii="Book Antiqua" w:hAnsi="Book Antiqua"/>
                <w:sz w:val="24"/>
                <w:szCs w:val="24"/>
                <w:lang w:val="en-GB"/>
              </w:rPr>
            </w:pPr>
            <w:r w:rsidRPr="00E14F93">
              <w:rPr>
                <w:rFonts w:ascii="Book Antiqua" w:hAnsi="Book Antiqua"/>
                <w:sz w:val="24"/>
                <w:szCs w:val="24"/>
                <w:lang w:val="en-GB"/>
              </w:rPr>
              <w:t>16.9</w:t>
            </w:r>
          </w:p>
        </w:tc>
        <w:tc>
          <w:tcPr>
            <w:tcW w:w="1368" w:type="dxa"/>
            <w:shd w:val="clear" w:color="auto" w:fill="auto"/>
          </w:tcPr>
          <w:p w:rsidR="00807A02" w:rsidRPr="00E14F93" w:rsidRDefault="00807A02" w:rsidP="007967A4">
            <w:pPr>
              <w:spacing w:line="360" w:lineRule="auto"/>
              <w:jc w:val="both"/>
              <w:rPr>
                <w:rFonts w:ascii="Book Antiqua" w:hAnsi="Book Antiqua"/>
                <w:sz w:val="24"/>
                <w:szCs w:val="24"/>
                <w:lang w:val="en-GB"/>
              </w:rPr>
            </w:pPr>
            <w:r w:rsidRPr="00E14F93">
              <w:rPr>
                <w:rFonts w:ascii="Book Antiqua" w:hAnsi="Book Antiqua"/>
                <w:sz w:val="24"/>
                <w:szCs w:val="24"/>
                <w:lang w:val="en-GB"/>
              </w:rPr>
              <w:t>27</w:t>
            </w:r>
          </w:p>
        </w:tc>
        <w:tc>
          <w:tcPr>
            <w:tcW w:w="1368" w:type="dxa"/>
            <w:shd w:val="clear" w:color="auto" w:fill="auto"/>
          </w:tcPr>
          <w:p w:rsidR="00807A02" w:rsidRPr="00E14F93" w:rsidRDefault="00807A02" w:rsidP="007967A4">
            <w:pPr>
              <w:spacing w:line="360" w:lineRule="auto"/>
              <w:jc w:val="both"/>
              <w:rPr>
                <w:rFonts w:ascii="Book Antiqua" w:hAnsi="Book Antiqua"/>
                <w:sz w:val="24"/>
                <w:szCs w:val="24"/>
                <w:lang w:val="en-GB"/>
              </w:rPr>
            </w:pPr>
            <w:r w:rsidRPr="00E14F93">
              <w:rPr>
                <w:rFonts w:ascii="Book Antiqua" w:hAnsi="Book Antiqua"/>
                <w:sz w:val="24"/>
                <w:szCs w:val="24"/>
                <w:lang w:val="en-GB"/>
              </w:rPr>
              <w:t>4.7</w:t>
            </w:r>
          </w:p>
        </w:tc>
      </w:tr>
    </w:tbl>
    <w:p w:rsidR="00807A02" w:rsidRPr="00E14F93" w:rsidRDefault="00807A02" w:rsidP="007967A4">
      <w:pPr>
        <w:spacing w:line="360" w:lineRule="auto"/>
        <w:jc w:val="both"/>
        <w:rPr>
          <w:rFonts w:ascii="Book Antiqua" w:hAnsi="Book Antiqua"/>
          <w:sz w:val="24"/>
          <w:szCs w:val="24"/>
          <w:lang w:val="en-GB" w:eastAsia="zh-CN"/>
        </w:rPr>
      </w:pPr>
    </w:p>
    <w:p w:rsidR="00807A02" w:rsidRPr="005B47CF" w:rsidRDefault="005B47CF" w:rsidP="007967A4">
      <w:pPr>
        <w:spacing w:line="360" w:lineRule="auto"/>
        <w:jc w:val="both"/>
        <w:rPr>
          <w:rFonts w:ascii="Book Antiqua" w:hAnsi="Book Antiqua"/>
          <w:b/>
          <w:sz w:val="24"/>
          <w:szCs w:val="24"/>
          <w:lang w:val="en-GB" w:eastAsia="zh-CN"/>
        </w:rPr>
      </w:pPr>
      <w:r w:rsidRPr="005B47CF">
        <w:rPr>
          <w:rFonts w:ascii="Book Antiqua" w:hAnsi="Book Antiqua"/>
          <w:b/>
          <w:bCs/>
          <w:sz w:val="24"/>
          <w:szCs w:val="24"/>
          <w:lang w:val="en-GB"/>
        </w:rPr>
        <w:t>Table 3</w:t>
      </w:r>
      <w:r w:rsidRPr="005B47CF">
        <w:rPr>
          <w:rFonts w:ascii="Book Antiqua" w:hAnsi="Book Antiqua"/>
          <w:b/>
          <w:sz w:val="24"/>
          <w:szCs w:val="24"/>
          <w:lang w:val="en-GB"/>
        </w:rPr>
        <w:t xml:space="preserve"> Correlation of the</w:t>
      </w:r>
      <w:r w:rsidRPr="005B47CF">
        <w:rPr>
          <w:rFonts w:ascii="Book Antiqua" w:hAnsi="Book Antiqua" w:hint="eastAsia"/>
          <w:b/>
          <w:sz w:val="24"/>
          <w:szCs w:val="24"/>
          <w:lang w:val="en-GB" w:eastAsia="zh-CN"/>
        </w:rPr>
        <w:t xml:space="preserve"> </w:t>
      </w:r>
      <w:r w:rsidRPr="005B47CF">
        <w:rPr>
          <w:rFonts w:ascii="Book Antiqua" w:hAnsi="Book Antiqua"/>
          <w:b/>
          <w:sz w:val="24"/>
          <w:szCs w:val="24"/>
        </w:rPr>
        <w:t>World Health Organization fracture risk assessment tool</w:t>
      </w:r>
      <w:r w:rsidR="00807A02" w:rsidRPr="005B47CF">
        <w:rPr>
          <w:rFonts w:ascii="Book Antiqua" w:hAnsi="Book Antiqua"/>
          <w:b/>
          <w:sz w:val="24"/>
          <w:szCs w:val="24"/>
          <w:lang w:val="en-GB"/>
        </w:rPr>
        <w:t xml:space="preserve"> stratified major osteoporotic and hip fract</w:t>
      </w:r>
      <w:r w:rsidRPr="005B47CF">
        <w:rPr>
          <w:rFonts w:ascii="Book Antiqua" w:hAnsi="Book Antiqua"/>
          <w:b/>
          <w:sz w:val="24"/>
          <w:szCs w:val="24"/>
          <w:lang w:val="en-GB"/>
        </w:rPr>
        <w:t>ure 10-y</w:t>
      </w:r>
      <w:r w:rsidR="0074779E">
        <w:rPr>
          <w:rFonts w:ascii="Book Antiqua" w:hAnsi="Book Antiqua" w:hint="eastAsia"/>
          <w:b/>
          <w:sz w:val="24"/>
          <w:szCs w:val="24"/>
          <w:lang w:val="en-GB" w:eastAsia="zh-CN"/>
        </w:rPr>
        <w:t>ea</w:t>
      </w:r>
      <w:r w:rsidR="00807A02" w:rsidRPr="005B47CF">
        <w:rPr>
          <w:rFonts w:ascii="Book Antiqua" w:hAnsi="Book Antiqua"/>
          <w:b/>
          <w:sz w:val="24"/>
          <w:szCs w:val="24"/>
          <w:lang w:val="en-GB"/>
        </w:rPr>
        <w:t xml:space="preserve">r probability with the total proximal femur </w:t>
      </w:r>
      <w:r w:rsidRPr="005B47CF">
        <w:rPr>
          <w:rFonts w:ascii="Book Antiqua" w:hAnsi="Book Antiqua"/>
          <w:b/>
          <w:sz w:val="24"/>
          <w:szCs w:val="24"/>
          <w:lang w:val="en-GB"/>
        </w:rPr>
        <w:t>bone mineral density measurement</w:t>
      </w:r>
    </w:p>
    <w:tbl>
      <w:tblPr>
        <w:tblW w:w="0" w:type="auto"/>
        <w:tblInd w:w="2" w:type="dxa"/>
        <w:tblBorders>
          <w:top w:val="single" w:sz="4" w:space="0" w:color="auto"/>
          <w:bottom w:val="single" w:sz="4" w:space="0" w:color="auto"/>
        </w:tblBorders>
        <w:tblLook w:val="00A0" w:firstRow="1" w:lastRow="0" w:firstColumn="1" w:lastColumn="0" w:noHBand="0" w:noVBand="0"/>
      </w:tblPr>
      <w:tblGrid>
        <w:gridCol w:w="2395"/>
        <w:gridCol w:w="2393"/>
        <w:gridCol w:w="2393"/>
        <w:gridCol w:w="2393"/>
      </w:tblGrid>
      <w:tr w:rsidR="00356DC9" w:rsidRPr="00E14F93" w:rsidTr="005B47CF">
        <w:tc>
          <w:tcPr>
            <w:tcW w:w="2394" w:type="dxa"/>
            <w:tcBorders>
              <w:top w:val="single" w:sz="4" w:space="0" w:color="auto"/>
              <w:bottom w:val="single" w:sz="4" w:space="0" w:color="auto"/>
            </w:tcBorders>
            <w:shd w:val="clear" w:color="auto" w:fill="auto"/>
          </w:tcPr>
          <w:p w:rsidR="00807A02" w:rsidRPr="00E14F93" w:rsidRDefault="00807A02" w:rsidP="007967A4">
            <w:pPr>
              <w:spacing w:line="360" w:lineRule="auto"/>
              <w:jc w:val="both"/>
              <w:rPr>
                <w:rFonts w:ascii="Book Antiqua" w:hAnsi="Book Antiqua"/>
                <w:sz w:val="24"/>
                <w:szCs w:val="24"/>
                <w:lang w:val="en-GB"/>
              </w:rPr>
            </w:pPr>
          </w:p>
        </w:tc>
        <w:tc>
          <w:tcPr>
            <w:tcW w:w="2394" w:type="dxa"/>
            <w:tcBorders>
              <w:top w:val="single" w:sz="4" w:space="0" w:color="auto"/>
              <w:bottom w:val="single" w:sz="4" w:space="0" w:color="auto"/>
            </w:tcBorders>
            <w:shd w:val="clear" w:color="auto" w:fill="auto"/>
          </w:tcPr>
          <w:p w:rsidR="00807A02" w:rsidRPr="00E14F93" w:rsidRDefault="00807A02" w:rsidP="007967A4">
            <w:pPr>
              <w:spacing w:line="360" w:lineRule="auto"/>
              <w:jc w:val="both"/>
              <w:rPr>
                <w:rFonts w:ascii="Book Antiqua" w:hAnsi="Book Antiqua"/>
                <w:sz w:val="24"/>
                <w:szCs w:val="24"/>
                <w:lang w:val="en-GB"/>
              </w:rPr>
            </w:pPr>
            <w:r w:rsidRPr="00E14F93">
              <w:rPr>
                <w:rFonts w:ascii="Book Antiqua" w:hAnsi="Book Antiqua"/>
                <w:sz w:val="24"/>
                <w:szCs w:val="24"/>
                <w:lang w:val="en-GB"/>
              </w:rPr>
              <w:t xml:space="preserve">BMD </w:t>
            </w:r>
            <w:r w:rsidR="005B47CF" w:rsidRPr="00E14F93">
              <w:rPr>
                <w:rFonts w:ascii="Book Antiqua" w:hAnsi="Book Antiqua"/>
                <w:sz w:val="24"/>
                <w:szCs w:val="24"/>
                <w:lang w:val="en-GB"/>
              </w:rPr>
              <w:t>total p</w:t>
            </w:r>
            <w:r w:rsidRPr="00E14F93">
              <w:rPr>
                <w:rFonts w:ascii="Book Antiqua" w:hAnsi="Book Antiqua"/>
                <w:sz w:val="24"/>
                <w:szCs w:val="24"/>
                <w:lang w:val="en-GB"/>
              </w:rPr>
              <w:t xml:space="preserve">roximal femur at </w:t>
            </w:r>
            <w:r w:rsidR="005B47CF" w:rsidRPr="00E14F93">
              <w:rPr>
                <w:rFonts w:ascii="Book Antiqua" w:hAnsi="Book Antiqua"/>
                <w:sz w:val="24"/>
                <w:szCs w:val="24"/>
                <w:lang w:val="en-GB"/>
              </w:rPr>
              <w:t>b</w:t>
            </w:r>
            <w:r w:rsidRPr="00E14F93">
              <w:rPr>
                <w:rFonts w:ascii="Book Antiqua" w:hAnsi="Book Antiqua"/>
                <w:sz w:val="24"/>
                <w:szCs w:val="24"/>
                <w:lang w:val="en-GB"/>
              </w:rPr>
              <w:t>aseline</w:t>
            </w:r>
          </w:p>
        </w:tc>
        <w:tc>
          <w:tcPr>
            <w:tcW w:w="2394" w:type="dxa"/>
            <w:tcBorders>
              <w:top w:val="single" w:sz="4" w:space="0" w:color="auto"/>
              <w:bottom w:val="single" w:sz="4" w:space="0" w:color="auto"/>
            </w:tcBorders>
            <w:shd w:val="clear" w:color="auto" w:fill="auto"/>
          </w:tcPr>
          <w:p w:rsidR="00807A02" w:rsidRPr="00E14F93" w:rsidRDefault="00807A02" w:rsidP="007967A4">
            <w:pPr>
              <w:spacing w:line="360" w:lineRule="auto"/>
              <w:jc w:val="both"/>
              <w:rPr>
                <w:rFonts w:ascii="Book Antiqua" w:hAnsi="Book Antiqua"/>
                <w:sz w:val="24"/>
                <w:szCs w:val="24"/>
                <w:lang w:val="en-GB" w:eastAsia="zh-CN"/>
              </w:rPr>
            </w:pPr>
            <w:r w:rsidRPr="00E14F93">
              <w:rPr>
                <w:rFonts w:ascii="Book Antiqua" w:hAnsi="Book Antiqua"/>
                <w:sz w:val="24"/>
                <w:szCs w:val="24"/>
                <w:lang w:val="en-GB"/>
              </w:rPr>
              <w:t>BMD</w:t>
            </w:r>
            <w:r w:rsidR="005B47CF">
              <w:rPr>
                <w:rFonts w:ascii="Book Antiqua" w:hAnsi="Book Antiqua"/>
                <w:sz w:val="24"/>
                <w:szCs w:val="24"/>
                <w:lang w:val="en-GB"/>
              </w:rPr>
              <w:t xml:space="preserve"> total proximal femur at 2-yr</w:t>
            </w:r>
          </w:p>
        </w:tc>
        <w:tc>
          <w:tcPr>
            <w:tcW w:w="2394" w:type="dxa"/>
            <w:tcBorders>
              <w:top w:val="single" w:sz="4" w:space="0" w:color="auto"/>
              <w:bottom w:val="single" w:sz="4" w:space="0" w:color="auto"/>
            </w:tcBorders>
            <w:shd w:val="clear" w:color="auto" w:fill="auto"/>
          </w:tcPr>
          <w:p w:rsidR="00807A02" w:rsidRPr="00E14F93" w:rsidRDefault="00807A02" w:rsidP="007967A4">
            <w:pPr>
              <w:spacing w:line="360" w:lineRule="auto"/>
              <w:jc w:val="both"/>
              <w:rPr>
                <w:rFonts w:ascii="Book Antiqua" w:hAnsi="Book Antiqua"/>
                <w:sz w:val="24"/>
                <w:szCs w:val="24"/>
                <w:lang w:val="en-GB" w:eastAsia="zh-CN"/>
              </w:rPr>
            </w:pPr>
            <w:r w:rsidRPr="00E14F93">
              <w:rPr>
                <w:rFonts w:ascii="Book Antiqua" w:hAnsi="Book Antiqua"/>
                <w:sz w:val="24"/>
                <w:szCs w:val="24"/>
                <w:lang w:val="en-GB"/>
              </w:rPr>
              <w:t>BMD</w:t>
            </w:r>
            <w:r w:rsidR="005B47CF">
              <w:rPr>
                <w:rFonts w:ascii="Book Antiqua" w:hAnsi="Book Antiqua"/>
                <w:sz w:val="24"/>
                <w:szCs w:val="24"/>
                <w:lang w:val="en-GB"/>
              </w:rPr>
              <w:t xml:space="preserve"> total proximal femur at 5-yr</w:t>
            </w:r>
          </w:p>
        </w:tc>
      </w:tr>
      <w:tr w:rsidR="00356DC9" w:rsidRPr="00E14F93" w:rsidTr="005B47CF">
        <w:tc>
          <w:tcPr>
            <w:tcW w:w="2394" w:type="dxa"/>
            <w:tcBorders>
              <w:top w:val="single" w:sz="4" w:space="0" w:color="auto"/>
            </w:tcBorders>
            <w:shd w:val="clear" w:color="auto" w:fill="auto"/>
          </w:tcPr>
          <w:p w:rsidR="00807A02" w:rsidRPr="00E14F93" w:rsidRDefault="00807A02" w:rsidP="007967A4">
            <w:pPr>
              <w:spacing w:line="360" w:lineRule="auto"/>
              <w:jc w:val="both"/>
              <w:rPr>
                <w:rFonts w:ascii="Book Antiqua" w:hAnsi="Book Antiqua"/>
                <w:sz w:val="24"/>
                <w:szCs w:val="24"/>
                <w:lang w:val="en-GB"/>
              </w:rPr>
            </w:pPr>
            <w:r w:rsidRPr="00E14F93">
              <w:rPr>
                <w:rFonts w:ascii="Book Antiqua" w:hAnsi="Book Antiqua"/>
                <w:sz w:val="24"/>
                <w:szCs w:val="24"/>
                <w:lang w:val="en-GB"/>
              </w:rPr>
              <w:t xml:space="preserve">FRAX 10-yr Major </w:t>
            </w:r>
            <w:r w:rsidR="005B47CF" w:rsidRPr="00E14F93">
              <w:rPr>
                <w:rFonts w:ascii="Book Antiqua" w:hAnsi="Book Antiqua"/>
                <w:sz w:val="24"/>
                <w:szCs w:val="24"/>
                <w:lang w:val="en-GB"/>
              </w:rPr>
              <w:t>o</w:t>
            </w:r>
            <w:r w:rsidRPr="00E14F93">
              <w:rPr>
                <w:rFonts w:ascii="Book Antiqua" w:hAnsi="Book Antiqua"/>
                <w:sz w:val="24"/>
                <w:szCs w:val="24"/>
                <w:lang w:val="en-GB"/>
              </w:rPr>
              <w:t>steoporosis fracture risk Probability</w:t>
            </w:r>
          </w:p>
        </w:tc>
        <w:tc>
          <w:tcPr>
            <w:tcW w:w="2394" w:type="dxa"/>
            <w:tcBorders>
              <w:top w:val="single" w:sz="4" w:space="0" w:color="auto"/>
            </w:tcBorders>
            <w:shd w:val="clear" w:color="auto" w:fill="auto"/>
          </w:tcPr>
          <w:p w:rsidR="00807A02" w:rsidRPr="00E14F93" w:rsidRDefault="00807A02" w:rsidP="007967A4">
            <w:pPr>
              <w:spacing w:line="360" w:lineRule="auto"/>
              <w:jc w:val="both"/>
              <w:rPr>
                <w:rFonts w:ascii="Book Antiqua" w:hAnsi="Book Antiqua"/>
                <w:sz w:val="24"/>
                <w:szCs w:val="24"/>
                <w:lang w:val="en-GB"/>
              </w:rPr>
            </w:pPr>
            <w:r w:rsidRPr="00E14F93">
              <w:rPr>
                <w:rFonts w:ascii="Book Antiqua" w:hAnsi="Book Antiqua"/>
                <w:sz w:val="24"/>
                <w:szCs w:val="24"/>
                <w:lang w:val="en-GB"/>
              </w:rPr>
              <w:t>-0.551</w:t>
            </w:r>
            <w:r w:rsidR="004E3A11" w:rsidRPr="004E3A11">
              <w:rPr>
                <w:rFonts w:ascii="Book Antiqua" w:hAnsi="Book Antiqua" w:hint="eastAsia"/>
                <w:sz w:val="24"/>
                <w:szCs w:val="24"/>
                <w:vertAlign w:val="superscript"/>
                <w:lang w:val="en-GB" w:eastAsia="zh-CN"/>
              </w:rPr>
              <w:t>b</w:t>
            </w:r>
          </w:p>
        </w:tc>
        <w:tc>
          <w:tcPr>
            <w:tcW w:w="2394" w:type="dxa"/>
            <w:tcBorders>
              <w:top w:val="single" w:sz="4" w:space="0" w:color="auto"/>
            </w:tcBorders>
            <w:shd w:val="clear" w:color="auto" w:fill="auto"/>
          </w:tcPr>
          <w:p w:rsidR="00807A02" w:rsidRPr="00E14F93" w:rsidRDefault="00807A02" w:rsidP="007967A4">
            <w:pPr>
              <w:spacing w:line="360" w:lineRule="auto"/>
              <w:jc w:val="both"/>
              <w:rPr>
                <w:rFonts w:ascii="Book Antiqua" w:hAnsi="Book Antiqua"/>
                <w:sz w:val="24"/>
                <w:szCs w:val="24"/>
                <w:lang w:val="en-GB"/>
              </w:rPr>
            </w:pPr>
            <w:r w:rsidRPr="00E14F93">
              <w:rPr>
                <w:rFonts w:ascii="Book Antiqua" w:hAnsi="Book Antiqua"/>
                <w:sz w:val="24"/>
                <w:szCs w:val="24"/>
                <w:lang w:val="en-GB"/>
              </w:rPr>
              <w:t>-0.449</w:t>
            </w:r>
            <w:r w:rsidR="004E3A11" w:rsidRPr="004E3A11">
              <w:rPr>
                <w:rFonts w:ascii="Book Antiqua" w:hAnsi="Book Antiqua" w:hint="eastAsia"/>
                <w:sz w:val="24"/>
                <w:szCs w:val="24"/>
                <w:vertAlign w:val="superscript"/>
                <w:lang w:val="en-GB" w:eastAsia="zh-CN"/>
              </w:rPr>
              <w:t>b</w:t>
            </w:r>
          </w:p>
        </w:tc>
        <w:tc>
          <w:tcPr>
            <w:tcW w:w="2394" w:type="dxa"/>
            <w:tcBorders>
              <w:top w:val="single" w:sz="4" w:space="0" w:color="auto"/>
            </w:tcBorders>
            <w:shd w:val="clear" w:color="auto" w:fill="auto"/>
          </w:tcPr>
          <w:p w:rsidR="00807A02" w:rsidRPr="00E14F93" w:rsidRDefault="00807A02" w:rsidP="007967A4">
            <w:pPr>
              <w:spacing w:line="360" w:lineRule="auto"/>
              <w:jc w:val="both"/>
              <w:rPr>
                <w:rFonts w:ascii="Book Antiqua" w:hAnsi="Book Antiqua"/>
                <w:sz w:val="24"/>
                <w:szCs w:val="24"/>
                <w:lang w:val="en-GB"/>
              </w:rPr>
            </w:pPr>
            <w:r w:rsidRPr="00E14F93">
              <w:rPr>
                <w:rFonts w:ascii="Book Antiqua" w:hAnsi="Book Antiqua"/>
                <w:sz w:val="24"/>
                <w:szCs w:val="24"/>
                <w:lang w:val="en-GB"/>
              </w:rPr>
              <w:t>-0.479</w:t>
            </w:r>
            <w:r w:rsidR="004E3A11" w:rsidRPr="004E3A11">
              <w:rPr>
                <w:rFonts w:ascii="Book Antiqua" w:hAnsi="Book Antiqua" w:hint="eastAsia"/>
                <w:sz w:val="24"/>
                <w:szCs w:val="24"/>
                <w:vertAlign w:val="superscript"/>
                <w:lang w:val="en-GB" w:eastAsia="zh-CN"/>
              </w:rPr>
              <w:t>b</w:t>
            </w:r>
          </w:p>
        </w:tc>
      </w:tr>
      <w:tr w:rsidR="00356DC9" w:rsidRPr="00E14F93" w:rsidTr="005B47CF">
        <w:tc>
          <w:tcPr>
            <w:tcW w:w="2394" w:type="dxa"/>
            <w:shd w:val="clear" w:color="auto" w:fill="auto"/>
          </w:tcPr>
          <w:p w:rsidR="00807A02" w:rsidRPr="00E14F93" w:rsidRDefault="005B47CF" w:rsidP="007967A4">
            <w:pPr>
              <w:spacing w:line="360" w:lineRule="auto"/>
              <w:jc w:val="both"/>
              <w:rPr>
                <w:rFonts w:ascii="Book Antiqua" w:hAnsi="Book Antiqua"/>
                <w:sz w:val="24"/>
                <w:szCs w:val="24"/>
                <w:lang w:val="en-GB"/>
              </w:rPr>
            </w:pPr>
            <w:r>
              <w:rPr>
                <w:rFonts w:ascii="Book Antiqua" w:hAnsi="Book Antiqua"/>
                <w:sz w:val="24"/>
                <w:szCs w:val="24"/>
                <w:lang w:val="en-GB"/>
              </w:rPr>
              <w:t>FRAX 10-y</w:t>
            </w:r>
            <w:r w:rsidR="00807A02" w:rsidRPr="00E14F93">
              <w:rPr>
                <w:rFonts w:ascii="Book Antiqua" w:hAnsi="Book Antiqua"/>
                <w:sz w:val="24"/>
                <w:szCs w:val="24"/>
                <w:lang w:val="en-GB"/>
              </w:rPr>
              <w:t>r Hip fracture risk probability</w:t>
            </w:r>
          </w:p>
        </w:tc>
        <w:tc>
          <w:tcPr>
            <w:tcW w:w="2394" w:type="dxa"/>
            <w:shd w:val="clear" w:color="auto" w:fill="auto"/>
          </w:tcPr>
          <w:p w:rsidR="00807A02" w:rsidRPr="00E14F93" w:rsidRDefault="00807A02" w:rsidP="007967A4">
            <w:pPr>
              <w:spacing w:line="360" w:lineRule="auto"/>
              <w:jc w:val="both"/>
              <w:rPr>
                <w:rFonts w:ascii="Book Antiqua" w:hAnsi="Book Antiqua"/>
                <w:sz w:val="24"/>
                <w:szCs w:val="24"/>
                <w:lang w:val="en-GB"/>
              </w:rPr>
            </w:pPr>
            <w:r w:rsidRPr="00E14F93">
              <w:rPr>
                <w:rFonts w:ascii="Book Antiqua" w:hAnsi="Book Antiqua"/>
                <w:sz w:val="24"/>
                <w:szCs w:val="24"/>
                <w:lang w:val="en-GB"/>
              </w:rPr>
              <w:t>-0.741</w:t>
            </w:r>
            <w:r w:rsidR="004E3A11" w:rsidRPr="004E3A11">
              <w:rPr>
                <w:rFonts w:ascii="Book Antiqua" w:hAnsi="Book Antiqua" w:hint="eastAsia"/>
                <w:sz w:val="24"/>
                <w:szCs w:val="24"/>
                <w:vertAlign w:val="superscript"/>
                <w:lang w:val="en-GB" w:eastAsia="zh-CN"/>
              </w:rPr>
              <w:t>b</w:t>
            </w:r>
          </w:p>
        </w:tc>
        <w:tc>
          <w:tcPr>
            <w:tcW w:w="2394" w:type="dxa"/>
            <w:shd w:val="clear" w:color="auto" w:fill="auto"/>
          </w:tcPr>
          <w:p w:rsidR="00807A02" w:rsidRPr="00E14F93" w:rsidRDefault="00807A02" w:rsidP="007967A4">
            <w:pPr>
              <w:spacing w:line="360" w:lineRule="auto"/>
              <w:jc w:val="both"/>
              <w:rPr>
                <w:rFonts w:ascii="Book Antiqua" w:hAnsi="Book Antiqua"/>
                <w:sz w:val="24"/>
                <w:szCs w:val="24"/>
                <w:lang w:val="en-GB"/>
              </w:rPr>
            </w:pPr>
            <w:r w:rsidRPr="00E14F93">
              <w:rPr>
                <w:rFonts w:ascii="Book Antiqua" w:hAnsi="Book Antiqua"/>
                <w:sz w:val="24"/>
                <w:szCs w:val="24"/>
                <w:lang w:val="en-GB"/>
              </w:rPr>
              <w:t>-0.547</w:t>
            </w:r>
            <w:r w:rsidR="004E3A11" w:rsidRPr="004E3A11">
              <w:rPr>
                <w:rFonts w:ascii="Book Antiqua" w:hAnsi="Book Antiqua" w:hint="eastAsia"/>
                <w:sz w:val="24"/>
                <w:szCs w:val="24"/>
                <w:vertAlign w:val="superscript"/>
                <w:lang w:val="en-GB" w:eastAsia="zh-CN"/>
              </w:rPr>
              <w:t>b</w:t>
            </w:r>
          </w:p>
        </w:tc>
        <w:tc>
          <w:tcPr>
            <w:tcW w:w="2394" w:type="dxa"/>
            <w:shd w:val="clear" w:color="auto" w:fill="auto"/>
          </w:tcPr>
          <w:p w:rsidR="00807A02" w:rsidRPr="00E14F93" w:rsidRDefault="00807A02" w:rsidP="007967A4">
            <w:pPr>
              <w:spacing w:line="360" w:lineRule="auto"/>
              <w:jc w:val="both"/>
              <w:rPr>
                <w:rFonts w:ascii="Book Antiqua" w:hAnsi="Book Antiqua"/>
                <w:sz w:val="24"/>
                <w:szCs w:val="24"/>
                <w:lang w:val="en-GB"/>
              </w:rPr>
            </w:pPr>
            <w:r w:rsidRPr="00E14F93">
              <w:rPr>
                <w:rFonts w:ascii="Book Antiqua" w:hAnsi="Book Antiqua"/>
                <w:sz w:val="24"/>
                <w:szCs w:val="24"/>
                <w:lang w:val="en-GB"/>
              </w:rPr>
              <w:t>-0.584</w:t>
            </w:r>
            <w:r w:rsidR="004E3A11" w:rsidRPr="004E3A11">
              <w:rPr>
                <w:rFonts w:ascii="Book Antiqua" w:hAnsi="Book Antiqua" w:hint="eastAsia"/>
                <w:sz w:val="24"/>
                <w:szCs w:val="24"/>
                <w:vertAlign w:val="superscript"/>
                <w:lang w:val="en-GB" w:eastAsia="zh-CN"/>
              </w:rPr>
              <w:t>b</w:t>
            </w:r>
          </w:p>
        </w:tc>
      </w:tr>
      <w:tr w:rsidR="00356DC9" w:rsidRPr="00E14F93" w:rsidTr="005B47CF">
        <w:tc>
          <w:tcPr>
            <w:tcW w:w="2394" w:type="dxa"/>
            <w:shd w:val="clear" w:color="auto" w:fill="auto"/>
          </w:tcPr>
          <w:p w:rsidR="00807A02" w:rsidRPr="00E14F93" w:rsidRDefault="00807A02" w:rsidP="007967A4">
            <w:pPr>
              <w:spacing w:line="360" w:lineRule="auto"/>
              <w:jc w:val="both"/>
              <w:rPr>
                <w:rFonts w:ascii="Book Antiqua" w:hAnsi="Book Antiqua"/>
                <w:sz w:val="24"/>
                <w:szCs w:val="24"/>
                <w:lang w:val="en-GB" w:eastAsia="zh-CN"/>
              </w:rPr>
            </w:pPr>
            <w:r w:rsidRPr="00E14F93">
              <w:rPr>
                <w:rFonts w:ascii="Book Antiqua" w:hAnsi="Book Antiqua"/>
                <w:sz w:val="24"/>
                <w:szCs w:val="24"/>
                <w:lang w:val="en-GB"/>
              </w:rPr>
              <w:t xml:space="preserve">Change in FRAX 10-yr </w:t>
            </w:r>
            <w:r w:rsidR="005B47CF" w:rsidRPr="00E14F93">
              <w:rPr>
                <w:rFonts w:ascii="Book Antiqua" w:hAnsi="Book Antiqua"/>
                <w:sz w:val="24"/>
                <w:szCs w:val="24"/>
                <w:lang w:val="en-GB"/>
              </w:rPr>
              <w:t>m</w:t>
            </w:r>
            <w:r w:rsidRPr="00E14F93">
              <w:rPr>
                <w:rFonts w:ascii="Book Antiqua" w:hAnsi="Book Antiqua"/>
                <w:sz w:val="24"/>
                <w:szCs w:val="24"/>
                <w:lang w:val="en-GB"/>
              </w:rPr>
              <w:t xml:space="preserve">ajor </w:t>
            </w:r>
            <w:r w:rsidR="005B47CF" w:rsidRPr="00E14F93">
              <w:rPr>
                <w:rFonts w:ascii="Book Antiqua" w:hAnsi="Book Antiqua"/>
                <w:sz w:val="24"/>
                <w:szCs w:val="24"/>
                <w:lang w:val="en-GB"/>
              </w:rPr>
              <w:t>o</w:t>
            </w:r>
            <w:r w:rsidRPr="00E14F93">
              <w:rPr>
                <w:rFonts w:ascii="Book Antiqua" w:hAnsi="Book Antiqua"/>
                <w:sz w:val="24"/>
                <w:szCs w:val="24"/>
                <w:lang w:val="en-GB"/>
              </w:rPr>
              <w:t xml:space="preserve">steoporosis fracture </w:t>
            </w:r>
            <w:r w:rsidR="005B47CF" w:rsidRPr="00E14F93">
              <w:rPr>
                <w:rFonts w:ascii="Book Antiqua" w:hAnsi="Book Antiqua"/>
                <w:sz w:val="24"/>
                <w:szCs w:val="24"/>
                <w:lang w:val="en-GB"/>
              </w:rPr>
              <w:t>p</w:t>
            </w:r>
            <w:r w:rsidR="005B47CF">
              <w:rPr>
                <w:rFonts w:ascii="Book Antiqua" w:hAnsi="Book Antiqua"/>
                <w:sz w:val="24"/>
                <w:szCs w:val="24"/>
                <w:lang w:val="en-GB"/>
              </w:rPr>
              <w:t>robability at 2-yr</w:t>
            </w:r>
          </w:p>
        </w:tc>
        <w:tc>
          <w:tcPr>
            <w:tcW w:w="2394" w:type="dxa"/>
            <w:shd w:val="clear" w:color="auto" w:fill="auto"/>
          </w:tcPr>
          <w:p w:rsidR="00807A02" w:rsidRPr="00E14F93" w:rsidRDefault="00807A02" w:rsidP="007967A4">
            <w:pPr>
              <w:spacing w:line="360" w:lineRule="auto"/>
              <w:jc w:val="both"/>
              <w:rPr>
                <w:rFonts w:ascii="Book Antiqua" w:hAnsi="Book Antiqua"/>
                <w:sz w:val="24"/>
                <w:szCs w:val="24"/>
                <w:lang w:val="en-GB"/>
              </w:rPr>
            </w:pPr>
          </w:p>
        </w:tc>
        <w:tc>
          <w:tcPr>
            <w:tcW w:w="2394" w:type="dxa"/>
            <w:shd w:val="clear" w:color="auto" w:fill="auto"/>
          </w:tcPr>
          <w:p w:rsidR="00807A02" w:rsidRPr="00E14F93" w:rsidRDefault="00807A02" w:rsidP="007967A4">
            <w:pPr>
              <w:spacing w:line="360" w:lineRule="auto"/>
              <w:jc w:val="both"/>
              <w:rPr>
                <w:rFonts w:ascii="Book Antiqua" w:hAnsi="Book Antiqua"/>
                <w:sz w:val="24"/>
                <w:szCs w:val="24"/>
                <w:lang w:val="en-GB"/>
              </w:rPr>
            </w:pPr>
            <w:r w:rsidRPr="00E14F93">
              <w:rPr>
                <w:rFonts w:ascii="Book Antiqua" w:hAnsi="Book Antiqua"/>
                <w:sz w:val="24"/>
                <w:szCs w:val="24"/>
                <w:lang w:val="en-GB"/>
              </w:rPr>
              <w:t>-0.459</w:t>
            </w:r>
            <w:r w:rsidR="004E3A11" w:rsidRPr="004E3A11">
              <w:rPr>
                <w:rFonts w:ascii="Book Antiqua" w:hAnsi="Book Antiqua" w:hint="eastAsia"/>
                <w:sz w:val="24"/>
                <w:szCs w:val="24"/>
                <w:vertAlign w:val="superscript"/>
                <w:lang w:val="en-GB" w:eastAsia="zh-CN"/>
              </w:rPr>
              <w:t>b</w:t>
            </w:r>
          </w:p>
        </w:tc>
        <w:tc>
          <w:tcPr>
            <w:tcW w:w="2394" w:type="dxa"/>
            <w:shd w:val="clear" w:color="auto" w:fill="auto"/>
          </w:tcPr>
          <w:p w:rsidR="00807A02" w:rsidRPr="00E14F93" w:rsidRDefault="00807A02" w:rsidP="007967A4">
            <w:pPr>
              <w:spacing w:line="360" w:lineRule="auto"/>
              <w:jc w:val="both"/>
              <w:rPr>
                <w:rFonts w:ascii="Book Antiqua" w:hAnsi="Book Antiqua"/>
                <w:sz w:val="24"/>
                <w:szCs w:val="24"/>
                <w:lang w:val="en-GB"/>
              </w:rPr>
            </w:pPr>
          </w:p>
        </w:tc>
      </w:tr>
      <w:tr w:rsidR="00356DC9" w:rsidRPr="00E14F93" w:rsidTr="005B47CF">
        <w:tc>
          <w:tcPr>
            <w:tcW w:w="2394" w:type="dxa"/>
            <w:shd w:val="clear" w:color="auto" w:fill="auto"/>
          </w:tcPr>
          <w:p w:rsidR="00807A02" w:rsidRPr="00E14F93" w:rsidRDefault="00807A02" w:rsidP="007967A4">
            <w:pPr>
              <w:spacing w:line="360" w:lineRule="auto"/>
              <w:jc w:val="both"/>
              <w:rPr>
                <w:rFonts w:ascii="Book Antiqua" w:hAnsi="Book Antiqua"/>
                <w:sz w:val="24"/>
                <w:szCs w:val="24"/>
                <w:lang w:val="en-GB" w:eastAsia="zh-CN"/>
              </w:rPr>
            </w:pPr>
            <w:r w:rsidRPr="00E14F93">
              <w:rPr>
                <w:rFonts w:ascii="Book Antiqua" w:hAnsi="Book Antiqua"/>
                <w:sz w:val="24"/>
                <w:szCs w:val="24"/>
                <w:lang w:val="en-GB"/>
              </w:rPr>
              <w:t xml:space="preserve">Change in FRAX 10-year </w:t>
            </w:r>
            <w:r w:rsidR="005B47CF" w:rsidRPr="00E14F93">
              <w:rPr>
                <w:rFonts w:ascii="Book Antiqua" w:hAnsi="Book Antiqua"/>
                <w:sz w:val="24"/>
                <w:szCs w:val="24"/>
                <w:lang w:val="en-GB"/>
              </w:rPr>
              <w:t>h</w:t>
            </w:r>
            <w:r w:rsidRPr="00E14F93">
              <w:rPr>
                <w:rFonts w:ascii="Book Antiqua" w:hAnsi="Book Antiqua"/>
                <w:sz w:val="24"/>
                <w:szCs w:val="24"/>
                <w:lang w:val="en-GB"/>
              </w:rPr>
              <w:t xml:space="preserve">ip </w:t>
            </w:r>
            <w:r w:rsidR="005B47CF">
              <w:rPr>
                <w:rFonts w:ascii="Book Antiqua" w:hAnsi="Book Antiqua"/>
                <w:sz w:val="24"/>
                <w:szCs w:val="24"/>
                <w:lang w:val="en-GB"/>
              </w:rPr>
              <w:t>fracture  probability at 2-yr</w:t>
            </w:r>
          </w:p>
        </w:tc>
        <w:tc>
          <w:tcPr>
            <w:tcW w:w="2394" w:type="dxa"/>
            <w:shd w:val="clear" w:color="auto" w:fill="auto"/>
          </w:tcPr>
          <w:p w:rsidR="00807A02" w:rsidRPr="00E14F93" w:rsidRDefault="00807A02" w:rsidP="007967A4">
            <w:pPr>
              <w:spacing w:line="360" w:lineRule="auto"/>
              <w:jc w:val="both"/>
              <w:rPr>
                <w:rFonts w:ascii="Book Antiqua" w:hAnsi="Book Antiqua"/>
                <w:sz w:val="24"/>
                <w:szCs w:val="24"/>
                <w:lang w:val="en-GB"/>
              </w:rPr>
            </w:pPr>
          </w:p>
        </w:tc>
        <w:tc>
          <w:tcPr>
            <w:tcW w:w="2394" w:type="dxa"/>
            <w:shd w:val="clear" w:color="auto" w:fill="auto"/>
          </w:tcPr>
          <w:p w:rsidR="00807A02" w:rsidRPr="00E14F93" w:rsidRDefault="00807A02" w:rsidP="007967A4">
            <w:pPr>
              <w:spacing w:line="360" w:lineRule="auto"/>
              <w:jc w:val="both"/>
              <w:rPr>
                <w:rFonts w:ascii="Book Antiqua" w:hAnsi="Book Antiqua"/>
                <w:sz w:val="24"/>
                <w:szCs w:val="24"/>
                <w:lang w:val="en-GB"/>
              </w:rPr>
            </w:pPr>
            <w:r w:rsidRPr="00E14F93">
              <w:rPr>
                <w:rFonts w:ascii="Book Antiqua" w:hAnsi="Book Antiqua"/>
                <w:sz w:val="24"/>
                <w:szCs w:val="24"/>
                <w:lang w:val="en-GB"/>
              </w:rPr>
              <w:t>-0.557</w:t>
            </w:r>
            <w:r w:rsidR="004E3A11" w:rsidRPr="004E3A11">
              <w:rPr>
                <w:rFonts w:ascii="Book Antiqua" w:hAnsi="Book Antiqua" w:hint="eastAsia"/>
                <w:sz w:val="24"/>
                <w:szCs w:val="24"/>
                <w:vertAlign w:val="superscript"/>
                <w:lang w:val="en-GB" w:eastAsia="zh-CN"/>
              </w:rPr>
              <w:t>b</w:t>
            </w:r>
          </w:p>
        </w:tc>
        <w:tc>
          <w:tcPr>
            <w:tcW w:w="2394" w:type="dxa"/>
            <w:shd w:val="clear" w:color="auto" w:fill="auto"/>
          </w:tcPr>
          <w:p w:rsidR="00807A02" w:rsidRPr="00E14F93" w:rsidRDefault="00807A02" w:rsidP="007967A4">
            <w:pPr>
              <w:spacing w:line="360" w:lineRule="auto"/>
              <w:jc w:val="both"/>
              <w:rPr>
                <w:rFonts w:ascii="Book Antiqua" w:hAnsi="Book Antiqua"/>
                <w:sz w:val="24"/>
                <w:szCs w:val="24"/>
                <w:lang w:val="en-GB"/>
              </w:rPr>
            </w:pPr>
          </w:p>
        </w:tc>
      </w:tr>
      <w:tr w:rsidR="00356DC9" w:rsidRPr="00E14F93" w:rsidTr="005B47CF">
        <w:tc>
          <w:tcPr>
            <w:tcW w:w="2394" w:type="dxa"/>
            <w:shd w:val="clear" w:color="auto" w:fill="auto"/>
          </w:tcPr>
          <w:p w:rsidR="00807A02" w:rsidRPr="00E14F93" w:rsidRDefault="00807A02" w:rsidP="007967A4">
            <w:pPr>
              <w:spacing w:line="360" w:lineRule="auto"/>
              <w:jc w:val="both"/>
              <w:rPr>
                <w:rFonts w:ascii="Book Antiqua" w:hAnsi="Book Antiqua"/>
                <w:sz w:val="24"/>
                <w:szCs w:val="24"/>
                <w:lang w:val="en-GB" w:eastAsia="zh-CN"/>
              </w:rPr>
            </w:pPr>
            <w:r w:rsidRPr="00E14F93">
              <w:rPr>
                <w:rFonts w:ascii="Book Antiqua" w:hAnsi="Book Antiqua"/>
                <w:sz w:val="24"/>
                <w:szCs w:val="24"/>
                <w:lang w:val="en-GB"/>
              </w:rPr>
              <w:t xml:space="preserve">Major Osteoporosis </w:t>
            </w:r>
            <w:r w:rsidR="005B47CF">
              <w:rPr>
                <w:rFonts w:ascii="Book Antiqua" w:hAnsi="Book Antiqua"/>
                <w:sz w:val="24"/>
                <w:szCs w:val="24"/>
                <w:lang w:val="en-GB"/>
              </w:rPr>
              <w:t>fracture Probability at 5-yr</w:t>
            </w:r>
          </w:p>
        </w:tc>
        <w:tc>
          <w:tcPr>
            <w:tcW w:w="2394" w:type="dxa"/>
            <w:shd w:val="clear" w:color="auto" w:fill="auto"/>
          </w:tcPr>
          <w:p w:rsidR="00807A02" w:rsidRPr="00E14F93" w:rsidRDefault="00807A02" w:rsidP="007967A4">
            <w:pPr>
              <w:spacing w:line="360" w:lineRule="auto"/>
              <w:jc w:val="both"/>
              <w:rPr>
                <w:rFonts w:ascii="Book Antiqua" w:hAnsi="Book Antiqua"/>
                <w:sz w:val="24"/>
                <w:szCs w:val="24"/>
                <w:lang w:val="en-GB"/>
              </w:rPr>
            </w:pPr>
          </w:p>
        </w:tc>
        <w:tc>
          <w:tcPr>
            <w:tcW w:w="2394" w:type="dxa"/>
            <w:shd w:val="clear" w:color="auto" w:fill="auto"/>
          </w:tcPr>
          <w:p w:rsidR="00807A02" w:rsidRPr="00E14F93" w:rsidRDefault="00807A02" w:rsidP="007967A4">
            <w:pPr>
              <w:spacing w:line="360" w:lineRule="auto"/>
              <w:jc w:val="both"/>
              <w:rPr>
                <w:rFonts w:ascii="Book Antiqua" w:hAnsi="Book Antiqua"/>
                <w:sz w:val="24"/>
                <w:szCs w:val="24"/>
                <w:lang w:val="en-GB"/>
              </w:rPr>
            </w:pPr>
          </w:p>
        </w:tc>
        <w:tc>
          <w:tcPr>
            <w:tcW w:w="2394" w:type="dxa"/>
            <w:shd w:val="clear" w:color="auto" w:fill="auto"/>
          </w:tcPr>
          <w:p w:rsidR="00807A02" w:rsidRPr="00E14F93" w:rsidRDefault="00807A02" w:rsidP="007967A4">
            <w:pPr>
              <w:spacing w:line="360" w:lineRule="auto"/>
              <w:jc w:val="both"/>
              <w:rPr>
                <w:rFonts w:ascii="Book Antiqua" w:hAnsi="Book Antiqua"/>
                <w:sz w:val="24"/>
                <w:szCs w:val="24"/>
                <w:lang w:val="en-GB"/>
              </w:rPr>
            </w:pPr>
            <w:r w:rsidRPr="00E14F93">
              <w:rPr>
                <w:rFonts w:ascii="Book Antiqua" w:hAnsi="Book Antiqua"/>
                <w:sz w:val="24"/>
                <w:szCs w:val="24"/>
                <w:lang w:val="en-GB"/>
              </w:rPr>
              <w:t>-0.489</w:t>
            </w:r>
            <w:r w:rsidR="004E3A11" w:rsidRPr="004E3A11">
              <w:rPr>
                <w:rFonts w:ascii="Book Antiqua" w:hAnsi="Book Antiqua" w:hint="eastAsia"/>
                <w:sz w:val="24"/>
                <w:szCs w:val="24"/>
                <w:vertAlign w:val="superscript"/>
                <w:lang w:val="en-GB" w:eastAsia="zh-CN"/>
              </w:rPr>
              <w:t>b</w:t>
            </w:r>
          </w:p>
        </w:tc>
      </w:tr>
      <w:tr w:rsidR="00356DC9" w:rsidRPr="00E14F93" w:rsidTr="005B47CF">
        <w:tc>
          <w:tcPr>
            <w:tcW w:w="2394" w:type="dxa"/>
            <w:shd w:val="clear" w:color="auto" w:fill="auto"/>
          </w:tcPr>
          <w:p w:rsidR="00807A02" w:rsidRPr="00E14F93" w:rsidRDefault="00807A02" w:rsidP="007967A4">
            <w:pPr>
              <w:spacing w:line="360" w:lineRule="auto"/>
              <w:jc w:val="both"/>
              <w:rPr>
                <w:rFonts w:ascii="Book Antiqua" w:hAnsi="Book Antiqua"/>
                <w:sz w:val="24"/>
                <w:szCs w:val="24"/>
                <w:lang w:val="en-GB" w:eastAsia="zh-CN"/>
              </w:rPr>
            </w:pPr>
            <w:r w:rsidRPr="00E14F93">
              <w:rPr>
                <w:rFonts w:ascii="Book Antiqua" w:hAnsi="Book Antiqua"/>
                <w:sz w:val="24"/>
                <w:szCs w:val="24"/>
                <w:lang w:val="en-GB"/>
              </w:rPr>
              <w:t>Change in FRAX</w:t>
            </w:r>
            <w:r w:rsidR="005B47CF">
              <w:rPr>
                <w:rFonts w:ascii="Book Antiqua" w:hAnsi="Book Antiqua"/>
                <w:sz w:val="24"/>
                <w:szCs w:val="24"/>
                <w:lang w:val="en-GB"/>
              </w:rPr>
              <w:t xml:space="preserve"> 10-</w:t>
            </w:r>
            <w:r w:rsidR="005B47CF">
              <w:rPr>
                <w:rFonts w:ascii="Book Antiqua" w:hAnsi="Book Antiqua"/>
                <w:sz w:val="24"/>
                <w:szCs w:val="24"/>
                <w:lang w:val="en-GB"/>
              </w:rPr>
              <w:lastRenderedPageBreak/>
              <w:t>y</w:t>
            </w:r>
            <w:r w:rsidRPr="00E14F93">
              <w:rPr>
                <w:rFonts w:ascii="Book Antiqua" w:hAnsi="Book Antiqua"/>
                <w:sz w:val="24"/>
                <w:szCs w:val="24"/>
                <w:lang w:val="en-GB"/>
              </w:rPr>
              <w:t xml:space="preserve">r Hip </w:t>
            </w:r>
            <w:r w:rsidR="005B47CF">
              <w:rPr>
                <w:rFonts w:ascii="Book Antiqua" w:hAnsi="Book Antiqua"/>
                <w:sz w:val="24"/>
                <w:szCs w:val="24"/>
                <w:lang w:val="en-GB"/>
              </w:rPr>
              <w:t>fracture  probability at 5-yr</w:t>
            </w:r>
          </w:p>
        </w:tc>
        <w:tc>
          <w:tcPr>
            <w:tcW w:w="2394" w:type="dxa"/>
            <w:shd w:val="clear" w:color="auto" w:fill="auto"/>
          </w:tcPr>
          <w:p w:rsidR="00807A02" w:rsidRPr="00E14F93" w:rsidRDefault="00807A02" w:rsidP="007967A4">
            <w:pPr>
              <w:spacing w:line="360" w:lineRule="auto"/>
              <w:jc w:val="both"/>
              <w:rPr>
                <w:rFonts w:ascii="Book Antiqua" w:hAnsi="Book Antiqua"/>
                <w:sz w:val="24"/>
                <w:szCs w:val="24"/>
                <w:lang w:val="en-GB"/>
              </w:rPr>
            </w:pPr>
          </w:p>
        </w:tc>
        <w:tc>
          <w:tcPr>
            <w:tcW w:w="2394" w:type="dxa"/>
            <w:shd w:val="clear" w:color="auto" w:fill="auto"/>
          </w:tcPr>
          <w:p w:rsidR="00807A02" w:rsidRPr="00E14F93" w:rsidRDefault="00807A02" w:rsidP="007967A4">
            <w:pPr>
              <w:spacing w:line="360" w:lineRule="auto"/>
              <w:jc w:val="both"/>
              <w:rPr>
                <w:rFonts w:ascii="Book Antiqua" w:hAnsi="Book Antiqua"/>
                <w:sz w:val="24"/>
                <w:szCs w:val="24"/>
                <w:lang w:val="en-GB"/>
              </w:rPr>
            </w:pPr>
          </w:p>
        </w:tc>
        <w:tc>
          <w:tcPr>
            <w:tcW w:w="2394" w:type="dxa"/>
            <w:shd w:val="clear" w:color="auto" w:fill="auto"/>
          </w:tcPr>
          <w:p w:rsidR="00807A02" w:rsidRPr="00E14F93" w:rsidRDefault="00807A02" w:rsidP="007967A4">
            <w:pPr>
              <w:spacing w:line="360" w:lineRule="auto"/>
              <w:jc w:val="both"/>
              <w:rPr>
                <w:rFonts w:ascii="Book Antiqua" w:hAnsi="Book Antiqua"/>
                <w:sz w:val="24"/>
                <w:szCs w:val="24"/>
                <w:lang w:val="en-GB"/>
              </w:rPr>
            </w:pPr>
            <w:r w:rsidRPr="00E14F93">
              <w:rPr>
                <w:rFonts w:ascii="Book Antiqua" w:hAnsi="Book Antiqua"/>
                <w:sz w:val="24"/>
                <w:szCs w:val="24"/>
                <w:lang w:val="en-GB"/>
              </w:rPr>
              <w:t>-0.594</w:t>
            </w:r>
            <w:r w:rsidR="004E3A11" w:rsidRPr="004E3A11">
              <w:rPr>
                <w:rFonts w:ascii="Book Antiqua" w:hAnsi="Book Antiqua" w:hint="eastAsia"/>
                <w:sz w:val="24"/>
                <w:szCs w:val="24"/>
                <w:vertAlign w:val="superscript"/>
                <w:lang w:val="en-GB" w:eastAsia="zh-CN"/>
              </w:rPr>
              <w:t>b</w:t>
            </w:r>
          </w:p>
        </w:tc>
      </w:tr>
    </w:tbl>
    <w:p w:rsidR="005B47CF" w:rsidRDefault="005B47CF" w:rsidP="007967A4">
      <w:pPr>
        <w:spacing w:line="360" w:lineRule="auto"/>
        <w:jc w:val="both"/>
        <w:rPr>
          <w:rFonts w:ascii="Book Antiqua" w:hAnsi="Book Antiqua"/>
          <w:sz w:val="24"/>
          <w:szCs w:val="24"/>
          <w:lang w:val="en-GB" w:eastAsia="zh-CN"/>
        </w:rPr>
      </w:pPr>
    </w:p>
    <w:p w:rsidR="00807A02" w:rsidRPr="00E14F93" w:rsidRDefault="004E3A11" w:rsidP="007967A4">
      <w:pPr>
        <w:spacing w:line="360" w:lineRule="auto"/>
        <w:jc w:val="both"/>
        <w:rPr>
          <w:rFonts w:ascii="Book Antiqua" w:hAnsi="Book Antiqua"/>
          <w:sz w:val="24"/>
          <w:szCs w:val="24"/>
          <w:lang w:val="en-GB" w:eastAsia="zh-CN"/>
        </w:rPr>
      </w:pPr>
      <w:proofErr w:type="spellStart"/>
      <w:proofErr w:type="gramStart"/>
      <w:r w:rsidRPr="004E3A11">
        <w:rPr>
          <w:rFonts w:ascii="Book Antiqua" w:hAnsi="Book Antiqua" w:hint="eastAsia"/>
          <w:sz w:val="24"/>
          <w:szCs w:val="24"/>
          <w:vertAlign w:val="superscript"/>
          <w:lang w:val="en-GB" w:eastAsia="zh-CN"/>
        </w:rPr>
        <w:t>b</w:t>
      </w:r>
      <w:r w:rsidRPr="004E3A11">
        <w:rPr>
          <w:rFonts w:ascii="Book Antiqua" w:hAnsi="Book Antiqua" w:hint="eastAsia"/>
          <w:i/>
          <w:sz w:val="24"/>
          <w:szCs w:val="24"/>
          <w:lang w:val="en-GB" w:eastAsia="zh-CN"/>
        </w:rPr>
        <w:t>P</w:t>
      </w:r>
      <w:proofErr w:type="spellEnd"/>
      <w:proofErr w:type="gramEnd"/>
      <w:r>
        <w:rPr>
          <w:rFonts w:ascii="Book Antiqua" w:hAnsi="Book Antiqua" w:hint="eastAsia"/>
          <w:sz w:val="24"/>
          <w:szCs w:val="24"/>
          <w:lang w:val="en-GB" w:eastAsia="zh-CN"/>
        </w:rPr>
        <w:t xml:space="preserve"> </w:t>
      </w:r>
      <w:r w:rsidRPr="00797CB2">
        <w:rPr>
          <w:rFonts w:ascii="Book Antiqua" w:hAnsi="Book Antiqua" w:cs="Arial"/>
          <w:color w:val="000000"/>
          <w:sz w:val="18"/>
          <w:szCs w:val="18"/>
        </w:rPr>
        <w:t>&lt;</w:t>
      </w:r>
      <w:r>
        <w:rPr>
          <w:rFonts w:ascii="Book Antiqua" w:hAnsi="Book Antiqua" w:hint="eastAsia"/>
          <w:sz w:val="24"/>
          <w:szCs w:val="24"/>
          <w:lang w:val="en-GB" w:eastAsia="zh-CN"/>
        </w:rPr>
        <w:t xml:space="preserve"> 0.01, </w:t>
      </w:r>
      <w:r w:rsidRPr="00E14F93">
        <w:rPr>
          <w:rFonts w:ascii="Book Antiqua" w:hAnsi="Book Antiqua"/>
          <w:sz w:val="24"/>
          <w:szCs w:val="24"/>
          <w:lang w:val="en-GB"/>
        </w:rPr>
        <w:t>BMD</w:t>
      </w:r>
      <w:r>
        <w:rPr>
          <w:rFonts w:ascii="Book Antiqua" w:hAnsi="Book Antiqua"/>
          <w:sz w:val="24"/>
          <w:szCs w:val="24"/>
          <w:lang w:val="en-GB"/>
        </w:rPr>
        <w:t xml:space="preserve"> total proximal femur at 2-yr</w:t>
      </w:r>
      <w:r w:rsidRPr="00E14F93">
        <w:rPr>
          <w:rFonts w:ascii="Book Antiqua" w:hAnsi="Book Antiqua"/>
          <w:sz w:val="24"/>
          <w:szCs w:val="24"/>
          <w:lang w:val="en-GB"/>
        </w:rPr>
        <w:t xml:space="preserve"> </w:t>
      </w:r>
      <w:r>
        <w:rPr>
          <w:rFonts w:ascii="Book Antiqua" w:hAnsi="Book Antiqua" w:hint="eastAsia"/>
          <w:sz w:val="24"/>
          <w:szCs w:val="24"/>
          <w:lang w:val="en-GB" w:eastAsia="zh-CN"/>
        </w:rPr>
        <w:t xml:space="preserve">and 5-yr </w:t>
      </w:r>
      <w:r w:rsidRPr="004E3A11">
        <w:rPr>
          <w:rFonts w:ascii="Book Antiqua" w:hAnsi="Book Antiqua" w:hint="eastAsia"/>
          <w:i/>
          <w:sz w:val="24"/>
          <w:szCs w:val="24"/>
          <w:lang w:val="en-GB" w:eastAsia="zh-CN"/>
        </w:rPr>
        <w:t>vs</w:t>
      </w:r>
      <w:r>
        <w:rPr>
          <w:rFonts w:ascii="Book Antiqua" w:hAnsi="Book Antiqua" w:hint="eastAsia"/>
          <w:sz w:val="24"/>
          <w:szCs w:val="24"/>
          <w:lang w:val="en-GB" w:eastAsia="zh-CN"/>
        </w:rPr>
        <w:t xml:space="preserve"> </w:t>
      </w:r>
      <w:r w:rsidRPr="00E14F93">
        <w:rPr>
          <w:rFonts w:ascii="Book Antiqua" w:hAnsi="Book Antiqua"/>
          <w:sz w:val="24"/>
          <w:szCs w:val="24"/>
          <w:lang w:val="en-GB"/>
        </w:rPr>
        <w:t>BMD</w:t>
      </w:r>
      <w:r>
        <w:rPr>
          <w:rFonts w:ascii="Book Antiqua" w:hAnsi="Book Antiqua"/>
          <w:sz w:val="24"/>
          <w:szCs w:val="24"/>
          <w:lang w:val="en-GB"/>
        </w:rPr>
        <w:t xml:space="preserve"> total proximal femur at </w:t>
      </w:r>
      <w:r>
        <w:rPr>
          <w:rFonts w:ascii="Book Antiqua" w:hAnsi="Book Antiqua" w:hint="eastAsia"/>
          <w:sz w:val="24"/>
          <w:szCs w:val="24"/>
          <w:lang w:val="en-GB" w:eastAsia="zh-CN"/>
        </w:rPr>
        <w:t>baseline.</w:t>
      </w:r>
      <w:r w:rsidRPr="00E14F93">
        <w:rPr>
          <w:rFonts w:ascii="Book Antiqua" w:hAnsi="Book Antiqua"/>
          <w:sz w:val="24"/>
          <w:szCs w:val="24"/>
          <w:lang w:val="en-GB"/>
        </w:rPr>
        <w:t xml:space="preserve"> </w:t>
      </w:r>
      <w:r w:rsidR="00807A02" w:rsidRPr="00E14F93">
        <w:rPr>
          <w:rFonts w:ascii="Book Antiqua" w:hAnsi="Book Antiqua"/>
          <w:sz w:val="24"/>
          <w:szCs w:val="24"/>
          <w:lang w:val="en-GB"/>
        </w:rPr>
        <w:t xml:space="preserve">BMD: </w:t>
      </w:r>
      <w:r w:rsidR="005B47CF" w:rsidRPr="00E14F93">
        <w:rPr>
          <w:rFonts w:ascii="Book Antiqua" w:hAnsi="Book Antiqua"/>
          <w:sz w:val="24"/>
          <w:szCs w:val="24"/>
          <w:lang w:val="en-GB"/>
        </w:rPr>
        <w:t>B</w:t>
      </w:r>
      <w:r w:rsidR="00807A02" w:rsidRPr="00E14F93">
        <w:rPr>
          <w:rFonts w:ascii="Book Antiqua" w:hAnsi="Book Antiqua"/>
          <w:sz w:val="24"/>
          <w:szCs w:val="24"/>
          <w:lang w:val="en-GB"/>
        </w:rPr>
        <w:t>one mineral density</w:t>
      </w:r>
      <w:r w:rsidR="005B47CF">
        <w:rPr>
          <w:rFonts w:ascii="Book Antiqua" w:hAnsi="Book Antiqua" w:hint="eastAsia"/>
          <w:sz w:val="24"/>
          <w:szCs w:val="24"/>
          <w:lang w:val="en-GB" w:eastAsia="zh-CN"/>
        </w:rPr>
        <w:t xml:space="preserve">; </w:t>
      </w:r>
      <w:r w:rsidR="005B47CF" w:rsidRPr="00E14F93">
        <w:rPr>
          <w:rFonts w:ascii="Book Antiqua" w:hAnsi="Book Antiqua"/>
          <w:sz w:val="24"/>
          <w:szCs w:val="24"/>
          <w:lang w:val="en-GB"/>
        </w:rPr>
        <w:t>FRAX</w:t>
      </w:r>
      <w:r w:rsidR="005B47CF">
        <w:rPr>
          <w:rFonts w:ascii="Book Antiqua" w:hAnsi="Book Antiqua" w:hint="eastAsia"/>
          <w:sz w:val="24"/>
          <w:szCs w:val="24"/>
          <w:lang w:val="en-GB" w:eastAsia="zh-CN"/>
        </w:rPr>
        <w:t>:</w:t>
      </w:r>
      <w:r w:rsidR="005B47CF" w:rsidRPr="00E14F93">
        <w:rPr>
          <w:rFonts w:ascii="Book Antiqua" w:hAnsi="Book Antiqua"/>
          <w:sz w:val="24"/>
          <w:szCs w:val="24"/>
        </w:rPr>
        <w:t xml:space="preserve"> </w:t>
      </w:r>
      <w:r w:rsidR="005B47CF">
        <w:rPr>
          <w:rFonts w:ascii="Book Antiqua" w:hAnsi="Book Antiqua" w:hint="eastAsia"/>
          <w:sz w:val="24"/>
          <w:szCs w:val="24"/>
          <w:lang w:eastAsia="zh-CN"/>
        </w:rPr>
        <w:t>T</w:t>
      </w:r>
      <w:r w:rsidR="005B47CF" w:rsidRPr="00E14F93">
        <w:rPr>
          <w:rFonts w:ascii="Book Antiqua" w:hAnsi="Book Antiqua"/>
          <w:sz w:val="24"/>
          <w:szCs w:val="24"/>
        </w:rPr>
        <w:t>he World Health Organization fracture risk assessment tool</w:t>
      </w:r>
      <w:r w:rsidR="005B47CF">
        <w:rPr>
          <w:rFonts w:ascii="Book Antiqua" w:hAnsi="Book Antiqua" w:hint="eastAsia"/>
          <w:sz w:val="24"/>
          <w:szCs w:val="24"/>
          <w:lang w:eastAsia="zh-CN"/>
        </w:rPr>
        <w:t>.</w:t>
      </w:r>
    </w:p>
    <w:p w:rsidR="00807A02" w:rsidRPr="00E14F93" w:rsidRDefault="00807A02" w:rsidP="007967A4">
      <w:pPr>
        <w:spacing w:line="360" w:lineRule="auto"/>
        <w:jc w:val="both"/>
        <w:rPr>
          <w:rFonts w:ascii="Book Antiqua" w:hAnsi="Book Antiqua"/>
          <w:sz w:val="24"/>
          <w:szCs w:val="24"/>
          <w:lang w:val="en-GB"/>
        </w:rPr>
      </w:pPr>
    </w:p>
    <w:p w:rsidR="00807A02" w:rsidRPr="00E14F93" w:rsidRDefault="00807A02" w:rsidP="007967A4">
      <w:pPr>
        <w:spacing w:line="360" w:lineRule="auto"/>
        <w:jc w:val="both"/>
        <w:rPr>
          <w:rFonts w:ascii="Book Antiqua" w:hAnsi="Book Antiqua"/>
          <w:sz w:val="24"/>
          <w:szCs w:val="24"/>
          <w:lang w:val="en-GB"/>
        </w:rPr>
      </w:pPr>
    </w:p>
    <w:p w:rsidR="004359F6" w:rsidRDefault="004359F6" w:rsidP="007967A4">
      <w:pPr>
        <w:spacing w:line="360" w:lineRule="auto"/>
        <w:jc w:val="both"/>
        <w:rPr>
          <w:rFonts w:ascii="Book Antiqua" w:hAnsi="Book Antiqua"/>
          <w:b/>
          <w:sz w:val="24"/>
          <w:szCs w:val="24"/>
          <w:lang w:val="en-GB" w:eastAsia="zh-CN"/>
        </w:rPr>
      </w:pPr>
    </w:p>
    <w:p w:rsidR="004359F6" w:rsidRDefault="004359F6" w:rsidP="007967A4">
      <w:pPr>
        <w:spacing w:line="360" w:lineRule="auto"/>
        <w:jc w:val="both"/>
        <w:rPr>
          <w:rFonts w:ascii="Book Antiqua" w:hAnsi="Book Antiqua"/>
          <w:b/>
          <w:sz w:val="24"/>
          <w:szCs w:val="24"/>
          <w:lang w:val="en-GB" w:eastAsia="zh-CN"/>
        </w:rPr>
      </w:pPr>
      <w:r w:rsidRPr="00E14F93">
        <w:rPr>
          <w:rFonts w:ascii="Book Antiqua" w:hAnsi="Book Antiqua"/>
          <w:noProof/>
          <w:sz w:val="24"/>
          <w:szCs w:val="24"/>
          <w:lang w:eastAsia="zh-CN"/>
        </w:rPr>
        <w:drawing>
          <wp:inline distT="0" distB="0" distL="0" distR="0" wp14:anchorId="28927F25" wp14:editId="17248057">
            <wp:extent cx="3933825" cy="26098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l="6555" t="12239" r="7220" b="11609"/>
                    <a:stretch>
                      <a:fillRect/>
                    </a:stretch>
                  </pic:blipFill>
                  <pic:spPr bwMode="auto">
                    <a:xfrm>
                      <a:off x="0" y="0"/>
                      <a:ext cx="3933825" cy="2609850"/>
                    </a:xfrm>
                    <a:prstGeom prst="rect">
                      <a:avLst/>
                    </a:prstGeom>
                    <a:noFill/>
                    <a:ln>
                      <a:noFill/>
                    </a:ln>
                  </pic:spPr>
                </pic:pic>
              </a:graphicData>
            </a:graphic>
          </wp:inline>
        </w:drawing>
      </w:r>
      <w:r w:rsidRPr="005B47CF">
        <w:rPr>
          <w:rFonts w:ascii="Book Antiqua" w:hAnsi="Book Antiqua"/>
          <w:b/>
          <w:sz w:val="24"/>
          <w:szCs w:val="24"/>
          <w:lang w:val="en-GB"/>
        </w:rPr>
        <w:t xml:space="preserve"> </w:t>
      </w:r>
    </w:p>
    <w:p w:rsidR="00807A02" w:rsidRPr="00E14F93" w:rsidRDefault="004E3A11" w:rsidP="007967A4">
      <w:pPr>
        <w:spacing w:line="360" w:lineRule="auto"/>
        <w:jc w:val="both"/>
        <w:rPr>
          <w:rFonts w:ascii="Book Antiqua" w:hAnsi="Book Antiqua"/>
          <w:sz w:val="24"/>
          <w:szCs w:val="24"/>
          <w:lang w:val="en-GB" w:eastAsia="zh-CN"/>
        </w:rPr>
      </w:pPr>
      <w:r>
        <w:rPr>
          <w:rFonts w:ascii="Book Antiqua" w:hAnsi="Book Antiqua"/>
          <w:b/>
          <w:sz w:val="24"/>
          <w:szCs w:val="24"/>
          <w:lang w:val="en-GB"/>
        </w:rPr>
        <w:t xml:space="preserve">Figure 1 </w:t>
      </w:r>
      <w:proofErr w:type="gramStart"/>
      <w:r w:rsidR="005B47CF" w:rsidRPr="005B47CF">
        <w:rPr>
          <w:rFonts w:ascii="Book Antiqua" w:hAnsi="Book Antiqua"/>
          <w:b/>
          <w:sz w:val="24"/>
          <w:szCs w:val="24"/>
          <w:lang w:val="en-GB"/>
        </w:rPr>
        <w:t>The</w:t>
      </w:r>
      <w:proofErr w:type="gramEnd"/>
      <w:r w:rsidR="005B47CF" w:rsidRPr="005B47CF">
        <w:rPr>
          <w:rFonts w:ascii="Book Antiqua" w:hAnsi="Book Antiqua"/>
          <w:b/>
          <w:sz w:val="24"/>
          <w:szCs w:val="24"/>
          <w:lang w:val="en-GB"/>
        </w:rPr>
        <w:t xml:space="preserve"> 10-y</w:t>
      </w:r>
      <w:r w:rsidR="0074779E">
        <w:rPr>
          <w:rFonts w:ascii="Book Antiqua" w:hAnsi="Book Antiqua" w:hint="eastAsia"/>
          <w:b/>
          <w:sz w:val="24"/>
          <w:szCs w:val="24"/>
          <w:lang w:val="en-GB" w:eastAsia="zh-CN"/>
        </w:rPr>
        <w:t>ea</w:t>
      </w:r>
      <w:r w:rsidR="00807A02" w:rsidRPr="005B47CF">
        <w:rPr>
          <w:rFonts w:ascii="Book Antiqua" w:hAnsi="Book Antiqua"/>
          <w:b/>
          <w:sz w:val="24"/>
          <w:szCs w:val="24"/>
          <w:lang w:val="en-GB"/>
        </w:rPr>
        <w:t>r hip fracture probability (</w:t>
      </w:r>
      <w:r>
        <w:rPr>
          <w:rFonts w:ascii="Book Antiqua" w:hAnsi="Book Antiqua" w:hint="eastAsia"/>
          <w:b/>
          <w:sz w:val="24"/>
          <w:szCs w:val="24"/>
          <w:lang w:val="en-GB" w:eastAsia="zh-CN"/>
        </w:rPr>
        <w:t>t</w:t>
      </w:r>
      <w:r w:rsidR="005B47CF" w:rsidRPr="005B47CF">
        <w:rPr>
          <w:rFonts w:ascii="Book Antiqua" w:hAnsi="Book Antiqua"/>
          <w:b/>
          <w:sz w:val="24"/>
          <w:szCs w:val="24"/>
        </w:rPr>
        <w:t>he World Health Organization fracture risk assessment tool</w:t>
      </w:r>
      <w:r w:rsidR="00807A02" w:rsidRPr="005B47CF">
        <w:rPr>
          <w:rFonts w:ascii="Book Antiqua" w:hAnsi="Book Antiqua"/>
          <w:b/>
          <w:sz w:val="24"/>
          <w:szCs w:val="24"/>
          <w:lang w:val="en-GB"/>
        </w:rPr>
        <w:t>) in relation to incident fracture groups</w:t>
      </w:r>
      <w:r w:rsidR="005B47CF" w:rsidRPr="005B47CF">
        <w:rPr>
          <w:rFonts w:ascii="Book Antiqua" w:hAnsi="Book Antiqua"/>
          <w:b/>
          <w:sz w:val="24"/>
          <w:szCs w:val="24"/>
          <w:lang w:val="en-GB"/>
        </w:rPr>
        <w:t xml:space="preserve"> at baseline, 2 and 5-y</w:t>
      </w:r>
      <w:r w:rsidR="0074779E">
        <w:rPr>
          <w:rFonts w:ascii="Book Antiqua" w:hAnsi="Book Antiqua" w:hint="eastAsia"/>
          <w:b/>
          <w:sz w:val="24"/>
          <w:szCs w:val="24"/>
          <w:lang w:val="en-GB" w:eastAsia="zh-CN"/>
        </w:rPr>
        <w:t>ea</w:t>
      </w:r>
      <w:r w:rsidR="005B47CF" w:rsidRPr="005B47CF">
        <w:rPr>
          <w:rFonts w:ascii="Book Antiqua" w:hAnsi="Book Antiqua"/>
          <w:b/>
          <w:sz w:val="24"/>
          <w:szCs w:val="24"/>
          <w:lang w:val="en-GB"/>
        </w:rPr>
        <w:t>r</w:t>
      </w:r>
      <w:r w:rsidR="00807A02" w:rsidRPr="005B47CF">
        <w:rPr>
          <w:rFonts w:ascii="Book Antiqua" w:hAnsi="Book Antiqua"/>
          <w:b/>
          <w:sz w:val="24"/>
          <w:szCs w:val="24"/>
          <w:lang w:val="en-GB"/>
        </w:rPr>
        <w:t>.</w:t>
      </w:r>
      <w:r w:rsidR="00807A02" w:rsidRPr="00E14F93">
        <w:rPr>
          <w:rFonts w:ascii="Book Antiqua" w:hAnsi="Book Antiqua"/>
          <w:sz w:val="24"/>
          <w:szCs w:val="24"/>
          <w:lang w:val="en-GB"/>
        </w:rPr>
        <w:t xml:space="preserve"> (</w:t>
      </w:r>
      <w:r w:rsidR="005B47CF" w:rsidRPr="00E14F93">
        <w:rPr>
          <w:rFonts w:ascii="Book Antiqua" w:hAnsi="Book Antiqua"/>
          <w:sz w:val="24"/>
          <w:szCs w:val="24"/>
          <w:lang w:val="en-GB"/>
        </w:rPr>
        <w:t>M</w:t>
      </w:r>
      <w:r w:rsidR="00807A02" w:rsidRPr="00E14F93">
        <w:rPr>
          <w:rFonts w:ascii="Book Antiqua" w:hAnsi="Book Antiqua"/>
          <w:sz w:val="24"/>
          <w:szCs w:val="24"/>
          <w:lang w:val="en-GB"/>
        </w:rPr>
        <w:t>ean 10-year fracture risk probability a</w:t>
      </w:r>
      <w:r w:rsidR="005B47CF">
        <w:rPr>
          <w:rFonts w:ascii="Book Antiqua" w:hAnsi="Book Antiqua"/>
          <w:sz w:val="24"/>
          <w:szCs w:val="24"/>
          <w:lang w:val="en-GB"/>
        </w:rPr>
        <w:t>re shown on top of each column)</w:t>
      </w:r>
      <w:r w:rsidR="005B47CF">
        <w:rPr>
          <w:rFonts w:ascii="Book Antiqua" w:hAnsi="Book Antiqua" w:hint="eastAsia"/>
          <w:sz w:val="24"/>
          <w:szCs w:val="24"/>
          <w:lang w:val="en-GB" w:eastAsia="zh-CN"/>
        </w:rPr>
        <w:t xml:space="preserve">. </w:t>
      </w:r>
      <w:r w:rsidR="00807A02" w:rsidRPr="00E14F93">
        <w:rPr>
          <w:rFonts w:ascii="Book Antiqua" w:hAnsi="Book Antiqua"/>
          <w:sz w:val="24"/>
          <w:szCs w:val="24"/>
          <w:lang w:val="en-GB"/>
        </w:rPr>
        <w:t>NS</w:t>
      </w:r>
      <w:r w:rsidR="005B47CF">
        <w:rPr>
          <w:rFonts w:ascii="Book Antiqua" w:hAnsi="Book Antiqua" w:hint="eastAsia"/>
          <w:sz w:val="24"/>
          <w:szCs w:val="24"/>
          <w:lang w:val="en-GB" w:eastAsia="zh-CN"/>
        </w:rPr>
        <w:t xml:space="preserve">: </w:t>
      </w:r>
      <w:r w:rsidR="00807A02" w:rsidRPr="00E14F93">
        <w:rPr>
          <w:rFonts w:ascii="Book Antiqua" w:hAnsi="Book Antiqua"/>
          <w:sz w:val="24"/>
          <w:szCs w:val="24"/>
          <w:lang w:val="en-GB"/>
        </w:rPr>
        <w:t xml:space="preserve">Not </w:t>
      </w:r>
      <w:r w:rsidR="005B47CF" w:rsidRPr="00E14F93">
        <w:rPr>
          <w:rFonts w:ascii="Book Antiqua" w:hAnsi="Book Antiqua"/>
          <w:sz w:val="24"/>
          <w:szCs w:val="24"/>
          <w:lang w:val="en-GB"/>
        </w:rPr>
        <w:t>s</w:t>
      </w:r>
      <w:r w:rsidR="00807A02" w:rsidRPr="00E14F93">
        <w:rPr>
          <w:rFonts w:ascii="Book Antiqua" w:hAnsi="Book Antiqua"/>
          <w:sz w:val="24"/>
          <w:szCs w:val="24"/>
          <w:lang w:val="en-GB"/>
        </w:rPr>
        <w:t>ignificant</w:t>
      </w:r>
      <w:r w:rsidR="005B47CF">
        <w:rPr>
          <w:rFonts w:ascii="Book Antiqua" w:hAnsi="Book Antiqua" w:hint="eastAsia"/>
          <w:sz w:val="24"/>
          <w:szCs w:val="24"/>
          <w:lang w:val="en-GB" w:eastAsia="zh-CN"/>
        </w:rPr>
        <w:t>;</w:t>
      </w:r>
      <w:r w:rsidR="00807A02" w:rsidRPr="00E14F93">
        <w:rPr>
          <w:rFonts w:ascii="Book Antiqua" w:hAnsi="Book Antiqua"/>
          <w:sz w:val="24"/>
          <w:szCs w:val="24"/>
          <w:lang w:val="en-GB"/>
        </w:rPr>
        <w:t xml:space="preserve"> S</w:t>
      </w:r>
      <w:r w:rsidR="005B47CF">
        <w:rPr>
          <w:rFonts w:ascii="Book Antiqua" w:hAnsi="Book Antiqua" w:hint="eastAsia"/>
          <w:sz w:val="24"/>
          <w:szCs w:val="24"/>
          <w:lang w:val="en-GB" w:eastAsia="zh-CN"/>
        </w:rPr>
        <w:t xml:space="preserve">: </w:t>
      </w:r>
      <w:r w:rsidR="00807A02" w:rsidRPr="00E14F93">
        <w:rPr>
          <w:rFonts w:ascii="Book Antiqua" w:hAnsi="Book Antiqua"/>
          <w:sz w:val="24"/>
          <w:szCs w:val="24"/>
          <w:lang w:val="en-GB"/>
        </w:rPr>
        <w:t xml:space="preserve">Significant </w:t>
      </w:r>
      <w:r w:rsidR="005B47CF" w:rsidRPr="005B47CF">
        <w:rPr>
          <w:rFonts w:ascii="Book Antiqua" w:hAnsi="Book Antiqua"/>
          <w:i/>
          <w:sz w:val="24"/>
          <w:szCs w:val="24"/>
          <w:lang w:val="en-GB"/>
        </w:rPr>
        <w:t>P</w:t>
      </w:r>
      <w:r w:rsidR="005B47CF">
        <w:rPr>
          <w:rFonts w:ascii="Book Antiqua" w:hAnsi="Book Antiqua" w:hint="eastAsia"/>
          <w:sz w:val="24"/>
          <w:szCs w:val="24"/>
          <w:lang w:val="en-GB" w:eastAsia="zh-CN"/>
        </w:rPr>
        <w:t xml:space="preserve"> </w:t>
      </w:r>
      <w:r w:rsidR="00807A02" w:rsidRPr="00E14F93">
        <w:rPr>
          <w:rFonts w:ascii="Book Antiqua" w:hAnsi="Book Antiqua"/>
          <w:sz w:val="24"/>
          <w:szCs w:val="24"/>
          <w:lang w:val="en-GB"/>
        </w:rPr>
        <w:t>&lt;</w:t>
      </w:r>
      <w:r w:rsidR="005B47CF">
        <w:rPr>
          <w:rFonts w:ascii="Book Antiqua" w:hAnsi="Book Antiqua" w:hint="eastAsia"/>
          <w:sz w:val="24"/>
          <w:szCs w:val="24"/>
          <w:lang w:val="en-GB" w:eastAsia="zh-CN"/>
        </w:rPr>
        <w:t xml:space="preserve"> </w:t>
      </w:r>
      <w:r w:rsidR="00807A02" w:rsidRPr="00E14F93">
        <w:rPr>
          <w:rFonts w:ascii="Book Antiqua" w:hAnsi="Book Antiqua"/>
          <w:sz w:val="24"/>
          <w:szCs w:val="24"/>
          <w:lang w:val="en-GB"/>
        </w:rPr>
        <w:t>0.05</w:t>
      </w:r>
      <w:r w:rsidR="005B47CF">
        <w:rPr>
          <w:rFonts w:ascii="Book Antiqua" w:hAnsi="Book Antiqua" w:hint="eastAsia"/>
          <w:sz w:val="24"/>
          <w:szCs w:val="24"/>
          <w:lang w:val="en-GB" w:eastAsia="zh-CN"/>
        </w:rPr>
        <w:t xml:space="preserve">; </w:t>
      </w:r>
      <w:r w:rsidR="00807A02" w:rsidRPr="00E14F93">
        <w:rPr>
          <w:rFonts w:ascii="Book Antiqua" w:hAnsi="Book Antiqua"/>
          <w:sz w:val="24"/>
          <w:szCs w:val="24"/>
          <w:lang w:val="en-GB"/>
        </w:rPr>
        <w:t>HS</w:t>
      </w:r>
      <w:r w:rsidR="005B47CF">
        <w:rPr>
          <w:rFonts w:ascii="Book Antiqua" w:hAnsi="Book Antiqua" w:hint="eastAsia"/>
          <w:sz w:val="24"/>
          <w:szCs w:val="24"/>
          <w:lang w:val="en-GB" w:eastAsia="zh-CN"/>
        </w:rPr>
        <w:t xml:space="preserve">: </w:t>
      </w:r>
      <w:r w:rsidR="00807A02" w:rsidRPr="00E14F93">
        <w:rPr>
          <w:rFonts w:ascii="Book Antiqua" w:hAnsi="Book Antiqua"/>
          <w:sz w:val="24"/>
          <w:szCs w:val="24"/>
          <w:lang w:val="en-GB"/>
        </w:rPr>
        <w:t xml:space="preserve">Highly </w:t>
      </w:r>
      <w:r w:rsidR="005B47CF" w:rsidRPr="00E14F93">
        <w:rPr>
          <w:rFonts w:ascii="Book Antiqua" w:hAnsi="Book Antiqua"/>
          <w:sz w:val="24"/>
          <w:szCs w:val="24"/>
          <w:lang w:val="en-GB"/>
        </w:rPr>
        <w:t>s</w:t>
      </w:r>
      <w:r w:rsidR="00807A02" w:rsidRPr="00E14F93">
        <w:rPr>
          <w:rFonts w:ascii="Book Antiqua" w:hAnsi="Book Antiqua"/>
          <w:sz w:val="24"/>
          <w:szCs w:val="24"/>
          <w:lang w:val="en-GB"/>
        </w:rPr>
        <w:t xml:space="preserve">ignificant </w:t>
      </w:r>
      <w:r w:rsidR="005B47CF" w:rsidRPr="005B47CF">
        <w:rPr>
          <w:rFonts w:ascii="Book Antiqua" w:hAnsi="Book Antiqua"/>
          <w:i/>
          <w:sz w:val="24"/>
          <w:szCs w:val="24"/>
          <w:lang w:val="en-GB"/>
        </w:rPr>
        <w:t>P</w:t>
      </w:r>
      <w:r w:rsidR="005B47CF">
        <w:rPr>
          <w:rFonts w:ascii="Book Antiqua" w:hAnsi="Book Antiqua" w:hint="eastAsia"/>
          <w:sz w:val="24"/>
          <w:szCs w:val="24"/>
          <w:lang w:val="en-GB" w:eastAsia="zh-CN"/>
        </w:rPr>
        <w:t xml:space="preserve"> </w:t>
      </w:r>
      <w:r w:rsidR="00807A02" w:rsidRPr="00E14F93">
        <w:rPr>
          <w:rFonts w:ascii="Book Antiqua" w:hAnsi="Book Antiqua"/>
          <w:sz w:val="24"/>
          <w:szCs w:val="24"/>
          <w:lang w:val="en-GB"/>
        </w:rPr>
        <w:t>&lt;</w:t>
      </w:r>
      <w:r w:rsidR="005B47CF">
        <w:rPr>
          <w:rFonts w:ascii="Book Antiqua" w:hAnsi="Book Antiqua" w:hint="eastAsia"/>
          <w:sz w:val="24"/>
          <w:szCs w:val="24"/>
          <w:lang w:val="en-GB" w:eastAsia="zh-CN"/>
        </w:rPr>
        <w:t xml:space="preserve"> </w:t>
      </w:r>
      <w:r w:rsidR="00807A02" w:rsidRPr="00E14F93">
        <w:rPr>
          <w:rFonts w:ascii="Book Antiqua" w:hAnsi="Book Antiqua"/>
          <w:sz w:val="24"/>
          <w:szCs w:val="24"/>
          <w:lang w:val="en-GB"/>
        </w:rPr>
        <w:t>0.01</w:t>
      </w:r>
      <w:r>
        <w:rPr>
          <w:rFonts w:ascii="Book Antiqua" w:hAnsi="Book Antiqua" w:hint="eastAsia"/>
          <w:sz w:val="24"/>
          <w:szCs w:val="24"/>
          <w:lang w:val="en-GB" w:eastAsia="zh-CN"/>
        </w:rPr>
        <w:t xml:space="preserve">, </w:t>
      </w:r>
      <w:r w:rsidRPr="004E3A11">
        <w:rPr>
          <w:rFonts w:ascii="Book Antiqua" w:hAnsi="Book Antiqua" w:hint="eastAsia"/>
          <w:i/>
          <w:sz w:val="24"/>
          <w:szCs w:val="24"/>
          <w:lang w:val="en-GB" w:eastAsia="zh-CN"/>
        </w:rPr>
        <w:t>vs</w:t>
      </w:r>
      <w:r>
        <w:rPr>
          <w:rFonts w:ascii="Book Antiqua" w:hAnsi="Book Antiqua" w:hint="eastAsia"/>
          <w:sz w:val="24"/>
          <w:szCs w:val="24"/>
          <w:lang w:val="en-GB" w:eastAsia="zh-CN"/>
        </w:rPr>
        <w:t xml:space="preserve"> baseline.</w:t>
      </w:r>
    </w:p>
    <w:p w:rsidR="00807A02" w:rsidRPr="00E14F93" w:rsidRDefault="004359F6" w:rsidP="007967A4">
      <w:pPr>
        <w:spacing w:line="360" w:lineRule="auto"/>
        <w:jc w:val="both"/>
        <w:rPr>
          <w:rFonts w:ascii="Book Antiqua" w:hAnsi="Book Antiqua"/>
          <w:sz w:val="24"/>
          <w:szCs w:val="24"/>
          <w:lang w:val="en-GB"/>
        </w:rPr>
      </w:pPr>
      <w:r w:rsidRPr="00E14F93">
        <w:rPr>
          <w:rFonts w:ascii="Book Antiqua" w:hAnsi="Book Antiqua"/>
          <w:noProof/>
          <w:sz w:val="24"/>
          <w:szCs w:val="24"/>
          <w:lang w:eastAsia="zh-CN"/>
        </w:rPr>
        <w:lastRenderedPageBreak/>
        <w:drawing>
          <wp:inline distT="0" distB="0" distL="0" distR="0" wp14:anchorId="7B21B577" wp14:editId="573B971B">
            <wp:extent cx="4572000" cy="342900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rsidR="00807A02" w:rsidRPr="00E14F93" w:rsidRDefault="005B47CF" w:rsidP="007967A4">
      <w:pPr>
        <w:spacing w:line="360" w:lineRule="auto"/>
        <w:jc w:val="both"/>
        <w:rPr>
          <w:rFonts w:ascii="Book Antiqua" w:hAnsi="Book Antiqua"/>
          <w:sz w:val="24"/>
          <w:szCs w:val="24"/>
          <w:lang w:val="en-GB" w:eastAsia="zh-CN"/>
        </w:rPr>
      </w:pPr>
      <w:r w:rsidRPr="004359F6">
        <w:rPr>
          <w:rFonts w:ascii="Book Antiqua" w:hAnsi="Book Antiqua"/>
          <w:b/>
          <w:sz w:val="24"/>
          <w:szCs w:val="24"/>
          <w:lang w:val="en-GB"/>
        </w:rPr>
        <w:t xml:space="preserve">Figure 2 </w:t>
      </w:r>
      <w:proofErr w:type="gramStart"/>
      <w:r w:rsidRPr="004359F6">
        <w:rPr>
          <w:rFonts w:ascii="Book Antiqua" w:hAnsi="Book Antiqua"/>
          <w:b/>
          <w:sz w:val="24"/>
          <w:szCs w:val="24"/>
          <w:lang w:val="en-GB"/>
        </w:rPr>
        <w:t>The</w:t>
      </w:r>
      <w:proofErr w:type="gramEnd"/>
      <w:r w:rsidRPr="004359F6">
        <w:rPr>
          <w:rFonts w:ascii="Book Antiqua" w:hAnsi="Book Antiqua"/>
          <w:b/>
          <w:sz w:val="24"/>
          <w:szCs w:val="24"/>
          <w:lang w:val="en-GB"/>
        </w:rPr>
        <w:t xml:space="preserve"> 10-y</w:t>
      </w:r>
      <w:r w:rsidR="0074779E">
        <w:rPr>
          <w:rFonts w:ascii="Book Antiqua" w:hAnsi="Book Antiqua" w:hint="eastAsia"/>
          <w:b/>
          <w:sz w:val="24"/>
          <w:szCs w:val="24"/>
          <w:lang w:val="en-GB" w:eastAsia="zh-CN"/>
        </w:rPr>
        <w:t>ea</w:t>
      </w:r>
      <w:r w:rsidR="00807A02" w:rsidRPr="004359F6">
        <w:rPr>
          <w:rFonts w:ascii="Book Antiqua" w:hAnsi="Book Antiqua"/>
          <w:b/>
          <w:sz w:val="24"/>
          <w:szCs w:val="24"/>
          <w:lang w:val="en-GB"/>
        </w:rPr>
        <w:t>r major osteoporosis fracture probability (</w:t>
      </w:r>
      <w:r w:rsidR="004E3A11">
        <w:rPr>
          <w:rFonts w:ascii="Book Antiqua" w:hAnsi="Book Antiqua" w:hint="eastAsia"/>
          <w:b/>
          <w:sz w:val="24"/>
          <w:szCs w:val="24"/>
          <w:lang w:val="en-GB" w:eastAsia="zh-CN"/>
        </w:rPr>
        <w:t>t</w:t>
      </w:r>
      <w:r w:rsidRPr="004359F6">
        <w:rPr>
          <w:rFonts w:ascii="Book Antiqua" w:hAnsi="Book Antiqua"/>
          <w:b/>
          <w:sz w:val="24"/>
          <w:szCs w:val="24"/>
        </w:rPr>
        <w:t>he World Health Organization fracture risk assessment tool</w:t>
      </w:r>
      <w:r w:rsidR="00807A02" w:rsidRPr="004359F6">
        <w:rPr>
          <w:rFonts w:ascii="Book Antiqua" w:hAnsi="Book Antiqua"/>
          <w:b/>
          <w:sz w:val="24"/>
          <w:szCs w:val="24"/>
          <w:lang w:val="en-GB"/>
        </w:rPr>
        <w:t>) in relation to incident fracture groups at basel</w:t>
      </w:r>
      <w:r w:rsidRPr="004359F6">
        <w:rPr>
          <w:rFonts w:ascii="Book Antiqua" w:hAnsi="Book Antiqua"/>
          <w:b/>
          <w:sz w:val="24"/>
          <w:szCs w:val="24"/>
          <w:lang w:val="en-GB"/>
        </w:rPr>
        <w:t>ine, 2 and 5-y</w:t>
      </w:r>
      <w:r w:rsidR="0074779E">
        <w:rPr>
          <w:rFonts w:ascii="Book Antiqua" w:hAnsi="Book Antiqua" w:hint="eastAsia"/>
          <w:b/>
          <w:sz w:val="24"/>
          <w:szCs w:val="24"/>
          <w:lang w:val="en-GB" w:eastAsia="zh-CN"/>
        </w:rPr>
        <w:t>ea</w:t>
      </w:r>
      <w:r w:rsidRPr="004359F6">
        <w:rPr>
          <w:rFonts w:ascii="Book Antiqua" w:hAnsi="Book Antiqua"/>
          <w:b/>
          <w:sz w:val="24"/>
          <w:szCs w:val="24"/>
          <w:lang w:val="en-GB"/>
        </w:rPr>
        <w:t>r.</w:t>
      </w:r>
      <w:r>
        <w:rPr>
          <w:rFonts w:ascii="Book Antiqua" w:hAnsi="Book Antiqua"/>
          <w:sz w:val="24"/>
          <w:szCs w:val="24"/>
          <w:lang w:val="en-GB"/>
        </w:rPr>
        <w:t xml:space="preserve"> (Mean 10-y</w:t>
      </w:r>
      <w:r w:rsidR="0074779E">
        <w:rPr>
          <w:rFonts w:ascii="Book Antiqua" w:hAnsi="Book Antiqua" w:hint="eastAsia"/>
          <w:sz w:val="24"/>
          <w:szCs w:val="24"/>
          <w:lang w:val="en-GB" w:eastAsia="zh-CN"/>
        </w:rPr>
        <w:t>ea</w:t>
      </w:r>
      <w:r w:rsidR="00807A02" w:rsidRPr="00E14F93">
        <w:rPr>
          <w:rFonts w:ascii="Book Antiqua" w:hAnsi="Book Antiqua"/>
          <w:sz w:val="24"/>
          <w:szCs w:val="24"/>
          <w:lang w:val="en-GB"/>
        </w:rPr>
        <w:t xml:space="preserve">r fracture risk probability </w:t>
      </w:r>
      <w:r w:rsidR="004E3A11">
        <w:rPr>
          <w:rFonts w:ascii="Book Antiqua" w:hAnsi="Book Antiqua" w:hint="eastAsia"/>
          <w:sz w:val="24"/>
          <w:szCs w:val="24"/>
          <w:lang w:val="en-GB" w:eastAsia="zh-CN"/>
        </w:rPr>
        <w:t>is</w:t>
      </w:r>
      <w:r w:rsidR="00807A02" w:rsidRPr="00E14F93">
        <w:rPr>
          <w:rFonts w:ascii="Book Antiqua" w:hAnsi="Book Antiqua"/>
          <w:sz w:val="24"/>
          <w:szCs w:val="24"/>
          <w:lang w:val="en-GB"/>
        </w:rPr>
        <w:t xml:space="preserve"> shown on top of each column)</w:t>
      </w:r>
      <w:r>
        <w:rPr>
          <w:rFonts w:ascii="Book Antiqua" w:hAnsi="Book Antiqua" w:hint="eastAsia"/>
          <w:sz w:val="24"/>
          <w:szCs w:val="24"/>
          <w:lang w:val="en-GB" w:eastAsia="zh-CN"/>
        </w:rPr>
        <w:t>.</w:t>
      </w:r>
      <w:r w:rsidR="004359F6">
        <w:rPr>
          <w:rFonts w:ascii="Book Antiqua" w:hAnsi="Book Antiqua" w:hint="eastAsia"/>
          <w:sz w:val="24"/>
          <w:szCs w:val="24"/>
          <w:lang w:val="en-GB" w:eastAsia="zh-CN"/>
        </w:rPr>
        <w:t xml:space="preserve"> </w:t>
      </w:r>
      <w:r w:rsidR="004359F6" w:rsidRPr="00E14F93">
        <w:rPr>
          <w:rFonts w:ascii="Book Antiqua" w:hAnsi="Book Antiqua"/>
          <w:sz w:val="24"/>
          <w:szCs w:val="24"/>
          <w:lang w:val="en-GB"/>
        </w:rPr>
        <w:t>NS</w:t>
      </w:r>
      <w:r w:rsidR="004359F6">
        <w:rPr>
          <w:rFonts w:ascii="Book Antiqua" w:hAnsi="Book Antiqua" w:hint="eastAsia"/>
          <w:sz w:val="24"/>
          <w:szCs w:val="24"/>
          <w:lang w:val="en-GB" w:eastAsia="zh-CN"/>
        </w:rPr>
        <w:t xml:space="preserve">: </w:t>
      </w:r>
      <w:r w:rsidR="004359F6" w:rsidRPr="00E14F93">
        <w:rPr>
          <w:rFonts w:ascii="Book Antiqua" w:hAnsi="Book Antiqua"/>
          <w:sz w:val="24"/>
          <w:szCs w:val="24"/>
          <w:lang w:val="en-GB"/>
        </w:rPr>
        <w:t>Not significant</w:t>
      </w:r>
      <w:r w:rsidR="004359F6">
        <w:rPr>
          <w:rFonts w:ascii="Book Antiqua" w:hAnsi="Book Antiqua" w:hint="eastAsia"/>
          <w:sz w:val="24"/>
          <w:szCs w:val="24"/>
          <w:lang w:val="en-GB" w:eastAsia="zh-CN"/>
        </w:rPr>
        <w:t>;</w:t>
      </w:r>
      <w:r w:rsidR="004359F6" w:rsidRPr="00E14F93">
        <w:rPr>
          <w:rFonts w:ascii="Book Antiqua" w:hAnsi="Book Antiqua"/>
          <w:sz w:val="24"/>
          <w:szCs w:val="24"/>
          <w:lang w:val="en-GB"/>
        </w:rPr>
        <w:t xml:space="preserve"> HS</w:t>
      </w:r>
      <w:r w:rsidR="004359F6">
        <w:rPr>
          <w:rFonts w:ascii="Book Antiqua" w:hAnsi="Book Antiqua" w:hint="eastAsia"/>
          <w:sz w:val="24"/>
          <w:szCs w:val="24"/>
          <w:lang w:val="en-GB" w:eastAsia="zh-CN"/>
        </w:rPr>
        <w:t xml:space="preserve">: </w:t>
      </w:r>
      <w:r w:rsidR="004359F6" w:rsidRPr="00E14F93">
        <w:rPr>
          <w:rFonts w:ascii="Book Antiqua" w:hAnsi="Book Antiqua"/>
          <w:sz w:val="24"/>
          <w:szCs w:val="24"/>
          <w:lang w:val="en-GB"/>
        </w:rPr>
        <w:t xml:space="preserve">Highly significant </w:t>
      </w:r>
      <w:r w:rsidR="004359F6" w:rsidRPr="005B47CF">
        <w:rPr>
          <w:rFonts w:ascii="Book Antiqua" w:hAnsi="Book Antiqua"/>
          <w:i/>
          <w:sz w:val="24"/>
          <w:szCs w:val="24"/>
          <w:lang w:val="en-GB"/>
        </w:rPr>
        <w:t>P</w:t>
      </w:r>
      <w:r w:rsidR="004359F6">
        <w:rPr>
          <w:rFonts w:ascii="Book Antiqua" w:hAnsi="Book Antiqua" w:hint="eastAsia"/>
          <w:sz w:val="24"/>
          <w:szCs w:val="24"/>
          <w:lang w:val="en-GB" w:eastAsia="zh-CN"/>
        </w:rPr>
        <w:t xml:space="preserve"> </w:t>
      </w:r>
      <w:r w:rsidR="004359F6" w:rsidRPr="00E14F93">
        <w:rPr>
          <w:rFonts w:ascii="Book Antiqua" w:hAnsi="Book Antiqua"/>
          <w:sz w:val="24"/>
          <w:szCs w:val="24"/>
          <w:lang w:val="en-GB"/>
        </w:rPr>
        <w:t>&lt;</w:t>
      </w:r>
      <w:r w:rsidR="004359F6">
        <w:rPr>
          <w:rFonts w:ascii="Book Antiqua" w:hAnsi="Book Antiqua" w:hint="eastAsia"/>
          <w:sz w:val="24"/>
          <w:szCs w:val="24"/>
          <w:lang w:val="en-GB" w:eastAsia="zh-CN"/>
        </w:rPr>
        <w:t xml:space="preserve"> </w:t>
      </w:r>
      <w:r w:rsidR="004359F6" w:rsidRPr="00E14F93">
        <w:rPr>
          <w:rFonts w:ascii="Book Antiqua" w:hAnsi="Book Antiqua"/>
          <w:sz w:val="24"/>
          <w:szCs w:val="24"/>
          <w:lang w:val="en-GB"/>
        </w:rPr>
        <w:t>0.01</w:t>
      </w:r>
      <w:r w:rsidR="004E3A11">
        <w:rPr>
          <w:rFonts w:ascii="Book Antiqua" w:hAnsi="Book Antiqua" w:hint="eastAsia"/>
          <w:sz w:val="24"/>
          <w:szCs w:val="24"/>
          <w:lang w:val="en-GB" w:eastAsia="zh-CN"/>
        </w:rPr>
        <w:t xml:space="preserve">, </w:t>
      </w:r>
      <w:r w:rsidR="004E3A11" w:rsidRPr="004E3A11">
        <w:rPr>
          <w:rFonts w:ascii="Book Antiqua" w:hAnsi="Book Antiqua" w:hint="eastAsia"/>
          <w:i/>
          <w:sz w:val="24"/>
          <w:szCs w:val="24"/>
          <w:lang w:val="en-GB" w:eastAsia="zh-CN"/>
        </w:rPr>
        <w:t>vs</w:t>
      </w:r>
      <w:r w:rsidR="004E3A11">
        <w:rPr>
          <w:rFonts w:ascii="Book Antiqua" w:hAnsi="Book Antiqua" w:hint="eastAsia"/>
          <w:sz w:val="24"/>
          <w:szCs w:val="24"/>
          <w:lang w:val="en-GB" w:eastAsia="zh-CN"/>
        </w:rPr>
        <w:t xml:space="preserve"> baseline.</w:t>
      </w:r>
    </w:p>
    <w:p w:rsidR="00807A02" w:rsidRPr="00E14F93" w:rsidRDefault="004359F6" w:rsidP="007967A4">
      <w:pPr>
        <w:spacing w:line="360" w:lineRule="auto"/>
        <w:jc w:val="both"/>
        <w:rPr>
          <w:rFonts w:ascii="Book Antiqua" w:hAnsi="Book Antiqua"/>
          <w:sz w:val="24"/>
          <w:szCs w:val="24"/>
          <w:lang w:val="en-GB"/>
        </w:rPr>
      </w:pPr>
      <w:r w:rsidRPr="00E14F93">
        <w:rPr>
          <w:rFonts w:ascii="Book Antiqua" w:hAnsi="Book Antiqua"/>
          <w:noProof/>
          <w:sz w:val="24"/>
          <w:szCs w:val="24"/>
          <w:lang w:eastAsia="zh-CN"/>
        </w:rPr>
        <w:drawing>
          <wp:inline distT="0" distB="0" distL="0" distR="0" wp14:anchorId="463653CA" wp14:editId="2D393D3B">
            <wp:extent cx="4572000" cy="3429000"/>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rsidR="00807A02" w:rsidRPr="004359F6" w:rsidRDefault="004359F6" w:rsidP="007967A4">
      <w:pPr>
        <w:spacing w:line="360" w:lineRule="auto"/>
        <w:jc w:val="both"/>
        <w:rPr>
          <w:rFonts w:ascii="Book Antiqua" w:hAnsi="Book Antiqua"/>
          <w:b/>
          <w:sz w:val="24"/>
          <w:szCs w:val="24"/>
          <w:lang w:val="en-GB"/>
        </w:rPr>
      </w:pPr>
      <w:r w:rsidRPr="004359F6">
        <w:rPr>
          <w:rFonts w:ascii="Book Antiqua" w:hAnsi="Book Antiqua"/>
          <w:b/>
          <w:sz w:val="24"/>
          <w:szCs w:val="24"/>
          <w:lang w:val="en-GB"/>
        </w:rPr>
        <w:lastRenderedPageBreak/>
        <w:t>Figure 3</w:t>
      </w:r>
      <w:r w:rsidR="00807A02" w:rsidRPr="004359F6">
        <w:rPr>
          <w:rFonts w:ascii="Book Antiqua" w:hAnsi="Book Antiqua"/>
          <w:b/>
          <w:sz w:val="24"/>
          <w:szCs w:val="24"/>
          <w:lang w:val="en-GB"/>
        </w:rPr>
        <w:t xml:space="preserve"> Total proximal femur bone mineral density (F.BMD) in relation to the incidence of major osteoporosis fractures (mean bone mineral content are shown on top of each column).</w:t>
      </w:r>
    </w:p>
    <w:p w:rsidR="004359F6" w:rsidRDefault="004359F6" w:rsidP="007967A4">
      <w:pPr>
        <w:spacing w:line="360" w:lineRule="auto"/>
        <w:jc w:val="both"/>
        <w:rPr>
          <w:rFonts w:ascii="Book Antiqua" w:hAnsi="Book Antiqua"/>
          <w:sz w:val="24"/>
          <w:szCs w:val="24"/>
          <w:lang w:val="en-GB" w:eastAsia="zh-CN"/>
        </w:rPr>
      </w:pPr>
    </w:p>
    <w:p w:rsidR="004359F6" w:rsidRDefault="004359F6" w:rsidP="007967A4">
      <w:pPr>
        <w:spacing w:line="360" w:lineRule="auto"/>
        <w:jc w:val="both"/>
        <w:rPr>
          <w:rFonts w:ascii="Book Antiqua" w:hAnsi="Book Antiqua"/>
          <w:sz w:val="24"/>
          <w:szCs w:val="24"/>
          <w:lang w:val="en-GB" w:eastAsia="zh-CN"/>
        </w:rPr>
      </w:pPr>
      <w:r w:rsidRPr="00E14F93">
        <w:rPr>
          <w:rFonts w:ascii="Book Antiqua" w:hAnsi="Book Antiqua"/>
          <w:noProof/>
          <w:sz w:val="24"/>
          <w:szCs w:val="24"/>
          <w:lang w:eastAsia="zh-CN"/>
        </w:rPr>
        <w:drawing>
          <wp:inline distT="0" distB="0" distL="0" distR="0" wp14:anchorId="07EED9E7" wp14:editId="712A21BF">
            <wp:extent cx="2534771" cy="2546869"/>
            <wp:effectExtent l="0" t="0" r="0" b="6350"/>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r="18251" b="1947"/>
                    <a:stretch>
                      <a:fillRect/>
                    </a:stretch>
                  </pic:blipFill>
                  <pic:spPr bwMode="auto">
                    <a:xfrm>
                      <a:off x="0" y="0"/>
                      <a:ext cx="2532993" cy="2545083"/>
                    </a:xfrm>
                    <a:prstGeom prst="rect">
                      <a:avLst/>
                    </a:prstGeom>
                    <a:noFill/>
                    <a:ln>
                      <a:noFill/>
                    </a:ln>
                  </pic:spPr>
                </pic:pic>
              </a:graphicData>
            </a:graphic>
          </wp:inline>
        </w:drawing>
      </w:r>
    </w:p>
    <w:p w:rsidR="00807A02" w:rsidRPr="00E14F93" w:rsidRDefault="004359F6" w:rsidP="007967A4">
      <w:pPr>
        <w:spacing w:line="360" w:lineRule="auto"/>
        <w:jc w:val="both"/>
        <w:rPr>
          <w:rFonts w:ascii="Book Antiqua" w:hAnsi="Book Antiqua"/>
          <w:sz w:val="24"/>
          <w:szCs w:val="24"/>
          <w:lang w:val="en-GB"/>
        </w:rPr>
      </w:pPr>
      <w:r w:rsidRPr="00E14F93">
        <w:rPr>
          <w:rFonts w:ascii="Book Antiqua" w:hAnsi="Book Antiqua" w:cs="Times New Roman"/>
          <w:noProof/>
          <w:sz w:val="24"/>
          <w:szCs w:val="24"/>
          <w:lang w:eastAsia="zh-CN"/>
        </w:rPr>
        <w:drawing>
          <wp:inline distT="0" distB="0" distL="0" distR="0" wp14:anchorId="785D8A61" wp14:editId="37929DF4">
            <wp:extent cx="2636597" cy="2111188"/>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37300" cy="2111751"/>
                    </a:xfrm>
                    <a:prstGeom prst="rect">
                      <a:avLst/>
                    </a:prstGeom>
                    <a:noFill/>
                    <a:ln>
                      <a:noFill/>
                    </a:ln>
                  </pic:spPr>
                </pic:pic>
              </a:graphicData>
            </a:graphic>
          </wp:inline>
        </w:drawing>
      </w:r>
      <w:r>
        <w:rPr>
          <w:rFonts w:ascii="Book Antiqua" w:hAnsi="Book Antiqua" w:cs="Times New Roman"/>
          <w:noProof/>
          <w:sz w:val="24"/>
          <w:szCs w:val="24"/>
          <w:lang w:eastAsia="zh-CN"/>
        </w:rPr>
        <w:drawing>
          <wp:inline distT="0" distB="0" distL="0" distR="0" wp14:anchorId="0EC27714" wp14:editId="555F0126">
            <wp:extent cx="2669241" cy="2131955"/>
            <wp:effectExtent l="0" t="0" r="0" b="190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69834" cy="2132428"/>
                    </a:xfrm>
                    <a:prstGeom prst="rect">
                      <a:avLst/>
                    </a:prstGeom>
                    <a:noFill/>
                    <a:ln>
                      <a:noFill/>
                    </a:ln>
                  </pic:spPr>
                </pic:pic>
              </a:graphicData>
            </a:graphic>
          </wp:inline>
        </w:drawing>
      </w:r>
    </w:p>
    <w:p w:rsidR="00807A02" w:rsidRPr="00E14F93" w:rsidRDefault="00807A02" w:rsidP="007967A4">
      <w:pPr>
        <w:spacing w:line="360" w:lineRule="auto"/>
        <w:jc w:val="both"/>
        <w:rPr>
          <w:rFonts w:ascii="Book Antiqua" w:hAnsi="Book Antiqua"/>
          <w:sz w:val="24"/>
          <w:szCs w:val="24"/>
          <w:lang w:val="en-GB" w:eastAsia="zh-CN"/>
        </w:rPr>
      </w:pPr>
      <w:r w:rsidRPr="004359F6">
        <w:rPr>
          <w:rFonts w:ascii="Book Antiqua" w:hAnsi="Book Antiqua"/>
          <w:b/>
          <w:sz w:val="24"/>
          <w:szCs w:val="24"/>
          <w:lang w:val="en-GB"/>
        </w:rPr>
        <w:t xml:space="preserve">Figure </w:t>
      </w:r>
      <w:r w:rsidR="004359F6" w:rsidRPr="004359F6">
        <w:rPr>
          <w:rFonts w:ascii="Book Antiqua" w:hAnsi="Book Antiqua" w:hint="eastAsia"/>
          <w:b/>
          <w:sz w:val="24"/>
          <w:szCs w:val="24"/>
          <w:lang w:val="en-GB" w:eastAsia="zh-CN"/>
        </w:rPr>
        <w:t>4</w:t>
      </w:r>
      <w:r w:rsidRPr="004359F6">
        <w:rPr>
          <w:rFonts w:ascii="Book Antiqua" w:hAnsi="Book Antiqua"/>
          <w:b/>
          <w:sz w:val="24"/>
          <w:szCs w:val="24"/>
          <w:lang w:val="en-GB"/>
        </w:rPr>
        <w:t xml:space="preserve"> ROC curve displaying discriminating ability of 10 years </w:t>
      </w:r>
      <w:r w:rsidR="004359F6" w:rsidRPr="004359F6">
        <w:rPr>
          <w:rFonts w:ascii="Book Antiqua" w:hAnsi="Book Antiqua" w:hint="eastAsia"/>
          <w:b/>
          <w:sz w:val="24"/>
          <w:szCs w:val="24"/>
          <w:lang w:val="en-GB" w:eastAsia="zh-CN"/>
        </w:rPr>
        <w:t>t</w:t>
      </w:r>
      <w:r w:rsidR="005B47CF" w:rsidRPr="004359F6">
        <w:rPr>
          <w:rFonts w:ascii="Book Antiqua" w:hAnsi="Book Antiqua"/>
          <w:b/>
          <w:sz w:val="24"/>
          <w:szCs w:val="24"/>
        </w:rPr>
        <w:t>he World Health Organization fracture risk assessment tool</w:t>
      </w:r>
      <w:r w:rsidRPr="004359F6">
        <w:rPr>
          <w:rFonts w:ascii="Book Antiqua" w:hAnsi="Book Antiqua"/>
          <w:b/>
          <w:sz w:val="24"/>
          <w:szCs w:val="24"/>
          <w:lang w:val="en-GB"/>
        </w:rPr>
        <w:t xml:space="preserve"> major osteoporosis and hip</w:t>
      </w:r>
      <w:r w:rsidR="004359F6">
        <w:rPr>
          <w:rFonts w:ascii="Book Antiqua" w:hAnsi="Book Antiqua"/>
          <w:b/>
          <w:sz w:val="24"/>
          <w:szCs w:val="24"/>
          <w:lang w:val="en-GB"/>
        </w:rPr>
        <w:t xml:space="preserve"> fracture probability at 2 </w:t>
      </w:r>
      <w:proofErr w:type="spellStart"/>
      <w:r w:rsidR="004359F6">
        <w:rPr>
          <w:rFonts w:ascii="Book Antiqua" w:hAnsi="Book Antiqua"/>
          <w:b/>
          <w:sz w:val="24"/>
          <w:szCs w:val="24"/>
          <w:lang w:val="en-GB"/>
        </w:rPr>
        <w:t>yr</w:t>
      </w:r>
      <w:proofErr w:type="spellEnd"/>
      <w:r w:rsidRPr="004359F6">
        <w:rPr>
          <w:rFonts w:ascii="Book Antiqua" w:hAnsi="Book Antiqua"/>
          <w:b/>
          <w:sz w:val="24"/>
          <w:szCs w:val="24"/>
          <w:lang w:val="en-GB"/>
        </w:rPr>
        <w:t xml:space="preserve"> in prediction of fracture</w:t>
      </w:r>
      <w:r w:rsidR="004359F6" w:rsidRPr="004359F6">
        <w:rPr>
          <w:rFonts w:ascii="Book Antiqua" w:hAnsi="Book Antiqua" w:hint="eastAsia"/>
          <w:b/>
          <w:sz w:val="24"/>
          <w:szCs w:val="24"/>
          <w:lang w:val="en-GB" w:eastAsia="zh-CN"/>
        </w:rPr>
        <w:t>.</w:t>
      </w:r>
      <w:r w:rsidRPr="004359F6">
        <w:rPr>
          <w:rFonts w:ascii="Book Antiqua" w:hAnsi="Book Antiqua"/>
          <w:b/>
          <w:sz w:val="24"/>
          <w:szCs w:val="24"/>
          <w:lang w:val="en-GB"/>
        </w:rPr>
        <w:t xml:space="preserve"> </w:t>
      </w:r>
      <w:r w:rsidR="004359F6">
        <w:rPr>
          <w:rFonts w:ascii="Book Antiqua" w:hAnsi="Book Antiqua" w:hint="eastAsia"/>
          <w:sz w:val="24"/>
          <w:szCs w:val="24"/>
          <w:lang w:val="en-GB" w:eastAsia="zh-CN"/>
        </w:rPr>
        <w:t xml:space="preserve">A and B: </w:t>
      </w:r>
      <w:r w:rsidR="004359F6" w:rsidRPr="00E14F93">
        <w:rPr>
          <w:rFonts w:ascii="Book Antiqua" w:hAnsi="Book Antiqua"/>
          <w:sz w:val="24"/>
          <w:szCs w:val="24"/>
          <w:lang w:val="en-GB"/>
        </w:rPr>
        <w:t>A</w:t>
      </w:r>
      <w:r w:rsidR="004359F6">
        <w:rPr>
          <w:rFonts w:ascii="Book Antiqua" w:hAnsi="Book Antiqua"/>
          <w:sz w:val="24"/>
          <w:szCs w:val="24"/>
          <w:lang w:val="en-GB"/>
        </w:rPr>
        <w:t>t 2 y</w:t>
      </w:r>
      <w:r w:rsidR="0074779E">
        <w:rPr>
          <w:rFonts w:ascii="Book Antiqua" w:hAnsi="Book Antiqua" w:hint="eastAsia"/>
          <w:sz w:val="24"/>
          <w:szCs w:val="24"/>
          <w:lang w:val="en-GB" w:eastAsia="zh-CN"/>
        </w:rPr>
        <w:t>ea</w:t>
      </w:r>
      <w:r w:rsidR="004359F6">
        <w:rPr>
          <w:rFonts w:ascii="Book Antiqua" w:hAnsi="Book Antiqua"/>
          <w:sz w:val="24"/>
          <w:szCs w:val="24"/>
          <w:lang w:val="en-GB"/>
        </w:rPr>
        <w:t>r</w:t>
      </w:r>
      <w:r w:rsidRPr="00E14F93">
        <w:rPr>
          <w:rFonts w:ascii="Book Antiqua" w:hAnsi="Book Antiqua"/>
          <w:sz w:val="24"/>
          <w:szCs w:val="24"/>
          <w:lang w:val="en-GB"/>
        </w:rPr>
        <w:t xml:space="preserve"> (</w:t>
      </w:r>
      <w:r w:rsidR="004359F6" w:rsidRPr="00E14F93">
        <w:rPr>
          <w:rFonts w:ascii="Book Antiqua" w:hAnsi="Book Antiqua"/>
          <w:sz w:val="24"/>
          <w:szCs w:val="24"/>
          <w:lang w:val="en-GB"/>
        </w:rPr>
        <w:t>T</w:t>
      </w:r>
      <w:r w:rsidRPr="00E14F93">
        <w:rPr>
          <w:rFonts w:ascii="Book Antiqua" w:hAnsi="Book Antiqua"/>
          <w:sz w:val="24"/>
          <w:szCs w:val="24"/>
          <w:lang w:val="en-GB"/>
        </w:rPr>
        <w:t xml:space="preserve">he AUC for </w:t>
      </w:r>
      <w:r w:rsidR="005B47CF" w:rsidRPr="00E14F93">
        <w:rPr>
          <w:rFonts w:ascii="Book Antiqua" w:hAnsi="Book Antiqua"/>
          <w:sz w:val="24"/>
          <w:szCs w:val="24"/>
        </w:rPr>
        <w:t>he World Health Organization fracture risk assessment tool</w:t>
      </w:r>
      <w:r w:rsidR="005B47CF">
        <w:rPr>
          <w:rFonts w:ascii="Book Antiqua" w:hAnsi="Book Antiqua" w:hint="eastAsia"/>
          <w:sz w:val="24"/>
          <w:szCs w:val="24"/>
          <w:lang w:eastAsia="zh-CN"/>
        </w:rPr>
        <w:t xml:space="preserve"> (</w:t>
      </w:r>
      <w:r w:rsidRPr="00E14F93">
        <w:rPr>
          <w:rFonts w:ascii="Book Antiqua" w:hAnsi="Book Antiqua"/>
          <w:sz w:val="24"/>
          <w:szCs w:val="24"/>
          <w:lang w:val="en-GB"/>
        </w:rPr>
        <w:t>FRAX</w:t>
      </w:r>
      <w:r w:rsidR="005B47CF">
        <w:rPr>
          <w:rFonts w:ascii="Book Antiqua" w:hAnsi="Book Antiqua" w:hint="eastAsia"/>
          <w:sz w:val="24"/>
          <w:szCs w:val="24"/>
          <w:lang w:val="en-GB" w:eastAsia="zh-CN"/>
        </w:rPr>
        <w:t>)</w:t>
      </w:r>
      <w:r w:rsidRPr="00E14F93">
        <w:rPr>
          <w:rFonts w:ascii="Book Antiqua" w:hAnsi="Book Antiqua"/>
          <w:sz w:val="24"/>
          <w:szCs w:val="24"/>
          <w:lang w:val="en-GB"/>
        </w:rPr>
        <w:t xml:space="preserve"> major osteoporosis fracture: 0.916 and FRAX hip fracture 0.94)</w:t>
      </w:r>
      <w:r w:rsidR="004359F6">
        <w:rPr>
          <w:rFonts w:ascii="Book Antiqua" w:hAnsi="Book Antiqua" w:hint="eastAsia"/>
          <w:sz w:val="24"/>
          <w:szCs w:val="24"/>
          <w:lang w:val="en-GB" w:eastAsia="zh-CN"/>
        </w:rPr>
        <w:t xml:space="preserve">; C: </w:t>
      </w:r>
      <w:r w:rsidR="004359F6" w:rsidRPr="00E14F93">
        <w:rPr>
          <w:rFonts w:ascii="Book Antiqua" w:hAnsi="Book Antiqua"/>
          <w:sz w:val="24"/>
          <w:szCs w:val="24"/>
          <w:lang w:val="en-GB"/>
        </w:rPr>
        <w:t>A</w:t>
      </w:r>
      <w:r w:rsidR="004359F6">
        <w:rPr>
          <w:rFonts w:ascii="Book Antiqua" w:hAnsi="Book Antiqua"/>
          <w:sz w:val="24"/>
          <w:szCs w:val="24"/>
          <w:lang w:val="en-GB"/>
        </w:rPr>
        <w:t>t 5 y</w:t>
      </w:r>
      <w:r w:rsidR="0074779E">
        <w:rPr>
          <w:rFonts w:ascii="Book Antiqua" w:hAnsi="Book Antiqua" w:hint="eastAsia"/>
          <w:sz w:val="24"/>
          <w:szCs w:val="24"/>
          <w:lang w:val="en-GB" w:eastAsia="zh-CN"/>
        </w:rPr>
        <w:t>ea</w:t>
      </w:r>
      <w:r w:rsidR="004359F6">
        <w:rPr>
          <w:rFonts w:ascii="Book Antiqua" w:hAnsi="Book Antiqua"/>
          <w:sz w:val="24"/>
          <w:szCs w:val="24"/>
          <w:lang w:val="en-GB"/>
        </w:rPr>
        <w:t>r</w:t>
      </w:r>
      <w:r w:rsidRPr="00E14F93">
        <w:rPr>
          <w:rFonts w:ascii="Book Antiqua" w:hAnsi="Book Antiqua"/>
          <w:sz w:val="24"/>
          <w:szCs w:val="24"/>
          <w:lang w:val="en-GB"/>
        </w:rPr>
        <w:t xml:space="preserve"> (The AUC for </w:t>
      </w:r>
      <w:r w:rsidR="005B47CF" w:rsidRPr="00E14F93">
        <w:rPr>
          <w:rFonts w:ascii="Book Antiqua" w:hAnsi="Book Antiqua"/>
          <w:sz w:val="24"/>
          <w:szCs w:val="24"/>
        </w:rPr>
        <w:t>he World Health Organization fracture risk assessment tool</w:t>
      </w:r>
      <w:r w:rsidR="005B47CF">
        <w:rPr>
          <w:rFonts w:ascii="Book Antiqua" w:hAnsi="Book Antiqua" w:hint="eastAsia"/>
          <w:sz w:val="24"/>
          <w:szCs w:val="24"/>
          <w:lang w:eastAsia="zh-CN"/>
        </w:rPr>
        <w:t xml:space="preserve"> (</w:t>
      </w:r>
      <w:r w:rsidRPr="00E14F93">
        <w:rPr>
          <w:rFonts w:ascii="Book Antiqua" w:hAnsi="Book Antiqua"/>
          <w:sz w:val="24"/>
          <w:szCs w:val="24"/>
          <w:lang w:val="en-GB"/>
        </w:rPr>
        <w:t>FRAX</w:t>
      </w:r>
      <w:r w:rsidR="005B47CF">
        <w:rPr>
          <w:rFonts w:ascii="Book Antiqua" w:hAnsi="Book Antiqua" w:hint="eastAsia"/>
          <w:sz w:val="24"/>
          <w:szCs w:val="24"/>
          <w:lang w:val="en-GB" w:eastAsia="zh-CN"/>
        </w:rPr>
        <w:t>)</w:t>
      </w:r>
      <w:r w:rsidRPr="00E14F93">
        <w:rPr>
          <w:rFonts w:ascii="Book Antiqua" w:hAnsi="Book Antiqua"/>
          <w:sz w:val="24"/>
          <w:szCs w:val="24"/>
          <w:lang w:val="en-GB"/>
        </w:rPr>
        <w:t xml:space="preserve"> major osteoporosis fracture: 0.748 and FRAX hip fracture 0.992).</w:t>
      </w:r>
    </w:p>
    <w:p w:rsidR="00807A02" w:rsidRPr="00E14F93" w:rsidRDefault="00807A02" w:rsidP="007967A4">
      <w:pPr>
        <w:tabs>
          <w:tab w:val="left" w:pos="1920"/>
        </w:tabs>
        <w:spacing w:line="360" w:lineRule="auto"/>
        <w:jc w:val="both"/>
        <w:rPr>
          <w:rFonts w:ascii="Book Antiqua" w:hAnsi="Book Antiqua"/>
          <w:sz w:val="24"/>
          <w:szCs w:val="24"/>
          <w:lang w:val="en-GB"/>
        </w:rPr>
      </w:pPr>
    </w:p>
    <w:p w:rsidR="00807A02" w:rsidRPr="00E14F93" w:rsidRDefault="00807A02" w:rsidP="007967A4">
      <w:pPr>
        <w:tabs>
          <w:tab w:val="left" w:pos="1920"/>
        </w:tabs>
        <w:spacing w:line="360" w:lineRule="auto"/>
        <w:jc w:val="both"/>
        <w:rPr>
          <w:rFonts w:ascii="Book Antiqua" w:hAnsi="Book Antiqua"/>
          <w:sz w:val="24"/>
          <w:szCs w:val="24"/>
          <w:lang w:val="en-GB"/>
        </w:rPr>
      </w:pPr>
    </w:p>
    <w:sectPr w:rsidR="00807A02" w:rsidRPr="00E14F93" w:rsidSect="0057292A">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D33" w:rsidRDefault="00EF4D33" w:rsidP="00F24B6D">
      <w:r>
        <w:separator/>
      </w:r>
    </w:p>
  </w:endnote>
  <w:endnote w:type="continuationSeparator" w:id="0">
    <w:p w:rsidR="00EF4D33" w:rsidRDefault="00EF4D33" w:rsidP="00F24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42B" w:rsidRDefault="002A342B">
    <w:pPr>
      <w:pStyle w:val="a8"/>
      <w:jc w:val="center"/>
    </w:pPr>
    <w:r>
      <w:fldChar w:fldCharType="begin"/>
    </w:r>
    <w:r>
      <w:instrText xml:space="preserve"> PAGE   \* MERGEFORMAT </w:instrText>
    </w:r>
    <w:r>
      <w:fldChar w:fldCharType="separate"/>
    </w:r>
    <w:r w:rsidR="009F4E6F">
      <w:rPr>
        <w:noProof/>
      </w:rPr>
      <w:t>24</w:t>
    </w:r>
    <w:r>
      <w:fldChar w:fldCharType="end"/>
    </w:r>
  </w:p>
  <w:p w:rsidR="002A342B" w:rsidRDefault="002A342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D33" w:rsidRDefault="00EF4D33" w:rsidP="00F24B6D">
      <w:r>
        <w:separator/>
      </w:r>
    </w:p>
  </w:footnote>
  <w:footnote w:type="continuationSeparator" w:id="0">
    <w:p w:rsidR="00EF4D33" w:rsidRDefault="00EF4D33" w:rsidP="00F24B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57EB"/>
    <w:multiLevelType w:val="hybridMultilevel"/>
    <w:tmpl w:val="30405A34"/>
    <w:lvl w:ilvl="0" w:tplc="36AA9D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EDD79C2"/>
    <w:multiLevelType w:val="hybridMultilevel"/>
    <w:tmpl w:val="65EC8FAC"/>
    <w:lvl w:ilvl="0" w:tplc="717E93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526996"/>
    <w:multiLevelType w:val="hybridMultilevel"/>
    <w:tmpl w:val="40E021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A92326C"/>
    <w:multiLevelType w:val="hybridMultilevel"/>
    <w:tmpl w:val="16DE8C8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5E74407E"/>
    <w:multiLevelType w:val="hybridMultilevel"/>
    <w:tmpl w:val="A2401EE6"/>
    <w:lvl w:ilvl="0" w:tplc="01AA20D2">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602D7525"/>
    <w:multiLevelType w:val="hybridMultilevel"/>
    <w:tmpl w:val="E9F2A8A6"/>
    <w:lvl w:ilvl="0" w:tplc="8AC4E54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62094F18"/>
    <w:multiLevelType w:val="hybridMultilevel"/>
    <w:tmpl w:val="60AE8916"/>
    <w:lvl w:ilvl="0" w:tplc="302C59C6">
      <w:start w:val="1"/>
      <w:numFmt w:val="decimal"/>
      <w:lvlText w:val="%1"/>
      <w:lvlJc w:val="left"/>
      <w:pPr>
        <w:ind w:left="360" w:hanging="360"/>
      </w:pPr>
      <w:rPr>
        <w:rFonts w:eastAsia="宋体" w:cs="Times New Roman"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0"/>
  </w:num>
  <w:num w:numId="4">
    <w:abstractNumId w:val="4"/>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22A"/>
    <w:rsid w:val="0000033B"/>
    <w:rsid w:val="00010C7F"/>
    <w:rsid w:val="00015A83"/>
    <w:rsid w:val="00033AFC"/>
    <w:rsid w:val="00034A4F"/>
    <w:rsid w:val="00036F8A"/>
    <w:rsid w:val="00076873"/>
    <w:rsid w:val="00091E89"/>
    <w:rsid w:val="000A2FD1"/>
    <w:rsid w:val="000B2019"/>
    <w:rsid w:val="000C482E"/>
    <w:rsid w:val="000D0341"/>
    <w:rsid w:val="000D2B0A"/>
    <w:rsid w:val="000D78D3"/>
    <w:rsid w:val="000E4EA9"/>
    <w:rsid w:val="00101E71"/>
    <w:rsid w:val="0011589B"/>
    <w:rsid w:val="00147E36"/>
    <w:rsid w:val="00176188"/>
    <w:rsid w:val="00180C7B"/>
    <w:rsid w:val="0019673C"/>
    <w:rsid w:val="001A43F9"/>
    <w:rsid w:val="001A77C9"/>
    <w:rsid w:val="001B202D"/>
    <w:rsid w:val="001B45E6"/>
    <w:rsid w:val="001B4809"/>
    <w:rsid w:val="001C08B1"/>
    <w:rsid w:val="001C2A38"/>
    <w:rsid w:val="001E42C0"/>
    <w:rsid w:val="001F399F"/>
    <w:rsid w:val="001F5B45"/>
    <w:rsid w:val="00205A38"/>
    <w:rsid w:val="0021368E"/>
    <w:rsid w:val="0021636B"/>
    <w:rsid w:val="00216D67"/>
    <w:rsid w:val="00220E7B"/>
    <w:rsid w:val="00287832"/>
    <w:rsid w:val="00290447"/>
    <w:rsid w:val="002979D8"/>
    <w:rsid w:val="002A3402"/>
    <w:rsid w:val="002A342B"/>
    <w:rsid w:val="002B2BF6"/>
    <w:rsid w:val="002B797B"/>
    <w:rsid w:val="002D189C"/>
    <w:rsid w:val="002D3028"/>
    <w:rsid w:val="002E2DB8"/>
    <w:rsid w:val="002E65A3"/>
    <w:rsid w:val="002E7174"/>
    <w:rsid w:val="002F3E61"/>
    <w:rsid w:val="002F51E5"/>
    <w:rsid w:val="003029B0"/>
    <w:rsid w:val="00313DC3"/>
    <w:rsid w:val="00325C5D"/>
    <w:rsid w:val="003324F0"/>
    <w:rsid w:val="00332AFE"/>
    <w:rsid w:val="00336A16"/>
    <w:rsid w:val="00336F60"/>
    <w:rsid w:val="00351D81"/>
    <w:rsid w:val="00356DC9"/>
    <w:rsid w:val="00362442"/>
    <w:rsid w:val="0036596F"/>
    <w:rsid w:val="00367C19"/>
    <w:rsid w:val="00382846"/>
    <w:rsid w:val="0038373B"/>
    <w:rsid w:val="003A0BC8"/>
    <w:rsid w:val="003A1D4B"/>
    <w:rsid w:val="003B61A3"/>
    <w:rsid w:val="003C3F61"/>
    <w:rsid w:val="003D2C54"/>
    <w:rsid w:val="003F6E2C"/>
    <w:rsid w:val="00400A41"/>
    <w:rsid w:val="00401DDE"/>
    <w:rsid w:val="0040238D"/>
    <w:rsid w:val="00422F7D"/>
    <w:rsid w:val="00425C7A"/>
    <w:rsid w:val="004359F6"/>
    <w:rsid w:val="0048247A"/>
    <w:rsid w:val="00484193"/>
    <w:rsid w:val="00485B72"/>
    <w:rsid w:val="00495C8A"/>
    <w:rsid w:val="004A3561"/>
    <w:rsid w:val="004A5F46"/>
    <w:rsid w:val="004A7EED"/>
    <w:rsid w:val="004B32C5"/>
    <w:rsid w:val="004C4621"/>
    <w:rsid w:val="004D5CD8"/>
    <w:rsid w:val="004E3524"/>
    <w:rsid w:val="004E3A11"/>
    <w:rsid w:val="004E42B0"/>
    <w:rsid w:val="004F002F"/>
    <w:rsid w:val="005049E1"/>
    <w:rsid w:val="00505E1D"/>
    <w:rsid w:val="0051228D"/>
    <w:rsid w:val="00522932"/>
    <w:rsid w:val="00524957"/>
    <w:rsid w:val="00525DEF"/>
    <w:rsid w:val="0054056F"/>
    <w:rsid w:val="00550394"/>
    <w:rsid w:val="00555AE0"/>
    <w:rsid w:val="00557479"/>
    <w:rsid w:val="00562A87"/>
    <w:rsid w:val="0056411F"/>
    <w:rsid w:val="005674B4"/>
    <w:rsid w:val="00572203"/>
    <w:rsid w:val="0057292A"/>
    <w:rsid w:val="00574071"/>
    <w:rsid w:val="00577B83"/>
    <w:rsid w:val="00580A62"/>
    <w:rsid w:val="005822A8"/>
    <w:rsid w:val="00590715"/>
    <w:rsid w:val="005974B2"/>
    <w:rsid w:val="005B47CF"/>
    <w:rsid w:val="005B617C"/>
    <w:rsid w:val="0062227A"/>
    <w:rsid w:val="00627EE8"/>
    <w:rsid w:val="00672114"/>
    <w:rsid w:val="00695387"/>
    <w:rsid w:val="006B2FA5"/>
    <w:rsid w:val="006D42C3"/>
    <w:rsid w:val="006D5496"/>
    <w:rsid w:val="00701945"/>
    <w:rsid w:val="0070504D"/>
    <w:rsid w:val="00710316"/>
    <w:rsid w:val="00713070"/>
    <w:rsid w:val="0074779E"/>
    <w:rsid w:val="00750161"/>
    <w:rsid w:val="00785485"/>
    <w:rsid w:val="007967A4"/>
    <w:rsid w:val="007A2ED4"/>
    <w:rsid w:val="007B5331"/>
    <w:rsid w:val="007B6FB4"/>
    <w:rsid w:val="007C4FC3"/>
    <w:rsid w:val="007D4D1D"/>
    <w:rsid w:val="007D5FBC"/>
    <w:rsid w:val="007E4C0C"/>
    <w:rsid w:val="007E7043"/>
    <w:rsid w:val="007F3B1D"/>
    <w:rsid w:val="007F67B4"/>
    <w:rsid w:val="00805854"/>
    <w:rsid w:val="00807A02"/>
    <w:rsid w:val="00813AE9"/>
    <w:rsid w:val="00821B72"/>
    <w:rsid w:val="00833F80"/>
    <w:rsid w:val="00841EDF"/>
    <w:rsid w:val="008424CB"/>
    <w:rsid w:val="0086126C"/>
    <w:rsid w:val="008621CF"/>
    <w:rsid w:val="00865245"/>
    <w:rsid w:val="00882E72"/>
    <w:rsid w:val="00887023"/>
    <w:rsid w:val="00896CF4"/>
    <w:rsid w:val="008C517C"/>
    <w:rsid w:val="008E2820"/>
    <w:rsid w:val="008E3930"/>
    <w:rsid w:val="00903596"/>
    <w:rsid w:val="009072D6"/>
    <w:rsid w:val="00913283"/>
    <w:rsid w:val="00913EFF"/>
    <w:rsid w:val="00927A2C"/>
    <w:rsid w:val="0094711B"/>
    <w:rsid w:val="00951F8D"/>
    <w:rsid w:val="00953F51"/>
    <w:rsid w:val="00956B48"/>
    <w:rsid w:val="009657D7"/>
    <w:rsid w:val="00972FA8"/>
    <w:rsid w:val="009738A9"/>
    <w:rsid w:val="00984A60"/>
    <w:rsid w:val="00992721"/>
    <w:rsid w:val="00995B84"/>
    <w:rsid w:val="009A3D2A"/>
    <w:rsid w:val="009A78BF"/>
    <w:rsid w:val="009B740D"/>
    <w:rsid w:val="009C0A84"/>
    <w:rsid w:val="009C128B"/>
    <w:rsid w:val="009C1971"/>
    <w:rsid w:val="009C43E3"/>
    <w:rsid w:val="009C5186"/>
    <w:rsid w:val="009F4E6F"/>
    <w:rsid w:val="009F53A3"/>
    <w:rsid w:val="00A02F16"/>
    <w:rsid w:val="00A221FA"/>
    <w:rsid w:val="00A2429C"/>
    <w:rsid w:val="00A332FF"/>
    <w:rsid w:val="00A56DAD"/>
    <w:rsid w:val="00A63CA6"/>
    <w:rsid w:val="00A908E2"/>
    <w:rsid w:val="00AA59CF"/>
    <w:rsid w:val="00AA71DB"/>
    <w:rsid w:val="00AB64AF"/>
    <w:rsid w:val="00AC1848"/>
    <w:rsid w:val="00AC2473"/>
    <w:rsid w:val="00AC6A4D"/>
    <w:rsid w:val="00AD3524"/>
    <w:rsid w:val="00AE3181"/>
    <w:rsid w:val="00AE512D"/>
    <w:rsid w:val="00AE54B7"/>
    <w:rsid w:val="00AE69C1"/>
    <w:rsid w:val="00B11D70"/>
    <w:rsid w:val="00B26D04"/>
    <w:rsid w:val="00B33D18"/>
    <w:rsid w:val="00B57DC0"/>
    <w:rsid w:val="00B745C4"/>
    <w:rsid w:val="00B75D26"/>
    <w:rsid w:val="00B8463E"/>
    <w:rsid w:val="00B92B67"/>
    <w:rsid w:val="00B95C3E"/>
    <w:rsid w:val="00B968E2"/>
    <w:rsid w:val="00B97914"/>
    <w:rsid w:val="00BA3961"/>
    <w:rsid w:val="00BD2FAF"/>
    <w:rsid w:val="00C03676"/>
    <w:rsid w:val="00C1723C"/>
    <w:rsid w:val="00C33180"/>
    <w:rsid w:val="00C71B17"/>
    <w:rsid w:val="00C736D0"/>
    <w:rsid w:val="00CA23FA"/>
    <w:rsid w:val="00CA3FDE"/>
    <w:rsid w:val="00CA6AD7"/>
    <w:rsid w:val="00CB3D96"/>
    <w:rsid w:val="00CB7A4A"/>
    <w:rsid w:val="00CC5464"/>
    <w:rsid w:val="00CC64E9"/>
    <w:rsid w:val="00CC7D8C"/>
    <w:rsid w:val="00CD438B"/>
    <w:rsid w:val="00CE75DB"/>
    <w:rsid w:val="00D0622A"/>
    <w:rsid w:val="00D1554F"/>
    <w:rsid w:val="00D157E0"/>
    <w:rsid w:val="00D22E6A"/>
    <w:rsid w:val="00D25D7E"/>
    <w:rsid w:val="00D27789"/>
    <w:rsid w:val="00D30858"/>
    <w:rsid w:val="00D34FB9"/>
    <w:rsid w:val="00D52226"/>
    <w:rsid w:val="00D70632"/>
    <w:rsid w:val="00D76DF9"/>
    <w:rsid w:val="00D807B7"/>
    <w:rsid w:val="00D83B66"/>
    <w:rsid w:val="00D85197"/>
    <w:rsid w:val="00DA46A6"/>
    <w:rsid w:val="00DA781F"/>
    <w:rsid w:val="00DB5A68"/>
    <w:rsid w:val="00DF1E85"/>
    <w:rsid w:val="00E14F93"/>
    <w:rsid w:val="00E226A2"/>
    <w:rsid w:val="00E34ABE"/>
    <w:rsid w:val="00E42838"/>
    <w:rsid w:val="00E54DFE"/>
    <w:rsid w:val="00E57DA3"/>
    <w:rsid w:val="00E6304B"/>
    <w:rsid w:val="00E651A2"/>
    <w:rsid w:val="00E651DC"/>
    <w:rsid w:val="00E6523B"/>
    <w:rsid w:val="00E656D2"/>
    <w:rsid w:val="00E71BA6"/>
    <w:rsid w:val="00E80358"/>
    <w:rsid w:val="00E85039"/>
    <w:rsid w:val="00E93D82"/>
    <w:rsid w:val="00E94BF8"/>
    <w:rsid w:val="00EA79E3"/>
    <w:rsid w:val="00EB2E65"/>
    <w:rsid w:val="00EB30D0"/>
    <w:rsid w:val="00EB5F2B"/>
    <w:rsid w:val="00EB6E92"/>
    <w:rsid w:val="00ED77C4"/>
    <w:rsid w:val="00EE2738"/>
    <w:rsid w:val="00EE3017"/>
    <w:rsid w:val="00EF4D33"/>
    <w:rsid w:val="00F03B03"/>
    <w:rsid w:val="00F24B6D"/>
    <w:rsid w:val="00F3032F"/>
    <w:rsid w:val="00F461E1"/>
    <w:rsid w:val="00F54BE8"/>
    <w:rsid w:val="00F555DB"/>
    <w:rsid w:val="00F671F7"/>
    <w:rsid w:val="00F763BF"/>
    <w:rsid w:val="00F972DF"/>
    <w:rsid w:val="00FA18A8"/>
    <w:rsid w:val="00FA3E79"/>
    <w:rsid w:val="00FC335B"/>
    <w:rsid w:val="00FD33DE"/>
    <w:rsid w:val="00FE0AC6"/>
    <w:rsid w:val="00FF4E7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Plain Text" w:uiPriority="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479"/>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2BF6"/>
    <w:pPr>
      <w:ind w:left="720"/>
    </w:pPr>
  </w:style>
  <w:style w:type="character" w:styleId="a4">
    <w:name w:val="Hyperlink"/>
    <w:uiPriority w:val="99"/>
    <w:rsid w:val="007F67B4"/>
    <w:rPr>
      <w:color w:val="0000FF"/>
      <w:u w:val="single"/>
    </w:rPr>
  </w:style>
  <w:style w:type="table" w:styleId="a5">
    <w:name w:val="Table Grid"/>
    <w:basedOn w:val="a1"/>
    <w:uiPriority w:val="99"/>
    <w:rsid w:val="0099272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uiPriority w:val="99"/>
    <w:semiHidden/>
    <w:rsid w:val="00785485"/>
    <w:rPr>
      <w:rFonts w:ascii="Tahoma" w:hAnsi="Tahoma" w:cs="Tahoma"/>
      <w:sz w:val="16"/>
      <w:szCs w:val="16"/>
    </w:rPr>
  </w:style>
  <w:style w:type="character" w:customStyle="1" w:styleId="Char">
    <w:name w:val="批注框文本 Char"/>
    <w:link w:val="a6"/>
    <w:uiPriority w:val="99"/>
    <w:semiHidden/>
    <w:rsid w:val="00785485"/>
    <w:rPr>
      <w:rFonts w:ascii="Tahoma" w:hAnsi="Tahoma" w:cs="Tahoma"/>
      <w:sz w:val="16"/>
      <w:szCs w:val="16"/>
    </w:rPr>
  </w:style>
  <w:style w:type="paragraph" w:styleId="a7">
    <w:name w:val="header"/>
    <w:basedOn w:val="a"/>
    <w:link w:val="Char0"/>
    <w:uiPriority w:val="99"/>
    <w:rsid w:val="00F24B6D"/>
    <w:pPr>
      <w:tabs>
        <w:tab w:val="center" w:pos="4680"/>
        <w:tab w:val="right" w:pos="9360"/>
      </w:tabs>
    </w:pPr>
  </w:style>
  <w:style w:type="character" w:customStyle="1" w:styleId="Char0">
    <w:name w:val="页眉 Char"/>
    <w:basedOn w:val="a0"/>
    <w:link w:val="a7"/>
    <w:uiPriority w:val="99"/>
    <w:rsid w:val="00F24B6D"/>
  </w:style>
  <w:style w:type="paragraph" w:styleId="a8">
    <w:name w:val="footer"/>
    <w:basedOn w:val="a"/>
    <w:link w:val="Char1"/>
    <w:uiPriority w:val="99"/>
    <w:rsid w:val="00F24B6D"/>
    <w:pPr>
      <w:tabs>
        <w:tab w:val="center" w:pos="4680"/>
        <w:tab w:val="right" w:pos="9360"/>
      </w:tabs>
    </w:pPr>
  </w:style>
  <w:style w:type="character" w:customStyle="1" w:styleId="Char1">
    <w:name w:val="页脚 Char"/>
    <w:basedOn w:val="a0"/>
    <w:link w:val="a8"/>
    <w:uiPriority w:val="99"/>
    <w:rsid w:val="00F24B6D"/>
  </w:style>
  <w:style w:type="character" w:styleId="a9">
    <w:name w:val="annotation reference"/>
    <w:uiPriority w:val="99"/>
    <w:semiHidden/>
    <w:unhideWhenUsed/>
    <w:rsid w:val="005974B2"/>
    <w:rPr>
      <w:sz w:val="21"/>
      <w:szCs w:val="21"/>
    </w:rPr>
  </w:style>
  <w:style w:type="paragraph" w:styleId="aa">
    <w:name w:val="annotation text"/>
    <w:basedOn w:val="a"/>
    <w:link w:val="Char2"/>
    <w:uiPriority w:val="99"/>
    <w:semiHidden/>
    <w:unhideWhenUsed/>
    <w:rsid w:val="005974B2"/>
  </w:style>
  <w:style w:type="character" w:customStyle="1" w:styleId="Char2">
    <w:name w:val="批注文字 Char"/>
    <w:link w:val="aa"/>
    <w:uiPriority w:val="99"/>
    <w:semiHidden/>
    <w:rsid w:val="005974B2"/>
    <w:rPr>
      <w:rFonts w:cs="Calibri"/>
      <w:sz w:val="22"/>
      <w:szCs w:val="22"/>
      <w:lang w:eastAsia="en-US"/>
    </w:rPr>
  </w:style>
  <w:style w:type="paragraph" w:styleId="ab">
    <w:name w:val="annotation subject"/>
    <w:basedOn w:val="aa"/>
    <w:next w:val="aa"/>
    <w:link w:val="Char3"/>
    <w:uiPriority w:val="99"/>
    <w:semiHidden/>
    <w:unhideWhenUsed/>
    <w:rsid w:val="005974B2"/>
    <w:rPr>
      <w:b/>
      <w:bCs/>
    </w:rPr>
  </w:style>
  <w:style w:type="character" w:customStyle="1" w:styleId="Char3">
    <w:name w:val="批注主题 Char"/>
    <w:link w:val="ab"/>
    <w:uiPriority w:val="99"/>
    <w:semiHidden/>
    <w:rsid w:val="005974B2"/>
    <w:rPr>
      <w:rFonts w:cs="Calibri"/>
      <w:b/>
      <w:bCs/>
      <w:sz w:val="22"/>
      <w:szCs w:val="22"/>
      <w:lang w:eastAsia="en-US"/>
    </w:rPr>
  </w:style>
  <w:style w:type="paragraph" w:styleId="ac">
    <w:name w:val="Plain Text"/>
    <w:basedOn w:val="a"/>
    <w:link w:val="Char4"/>
    <w:rsid w:val="002A342B"/>
    <w:pPr>
      <w:widowControl w:val="0"/>
      <w:jc w:val="both"/>
    </w:pPr>
    <w:rPr>
      <w:rFonts w:ascii="宋体" w:hAnsi="Courier New" w:cs="Courier New"/>
      <w:kern w:val="2"/>
      <w:sz w:val="21"/>
      <w:szCs w:val="21"/>
      <w:lang w:eastAsia="zh-CN"/>
    </w:rPr>
  </w:style>
  <w:style w:type="character" w:customStyle="1" w:styleId="Char4">
    <w:name w:val="纯文本 Char"/>
    <w:basedOn w:val="a0"/>
    <w:link w:val="ac"/>
    <w:rsid w:val="002A342B"/>
    <w:rPr>
      <w:rFonts w:ascii="宋体" w:hAnsi="Courier New" w:cs="Courier New"/>
      <w:kern w:val="2"/>
      <w:sz w:val="21"/>
      <w:szCs w:val="21"/>
      <w:lang w:eastAsia="zh-CN"/>
    </w:rPr>
  </w:style>
  <w:style w:type="character" w:customStyle="1" w:styleId="apple-converted-space">
    <w:name w:val="apple-converted-space"/>
    <w:basedOn w:val="a0"/>
    <w:rsid w:val="002A34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Plain Text" w:uiPriority="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479"/>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2BF6"/>
    <w:pPr>
      <w:ind w:left="720"/>
    </w:pPr>
  </w:style>
  <w:style w:type="character" w:styleId="a4">
    <w:name w:val="Hyperlink"/>
    <w:uiPriority w:val="99"/>
    <w:rsid w:val="007F67B4"/>
    <w:rPr>
      <w:color w:val="0000FF"/>
      <w:u w:val="single"/>
    </w:rPr>
  </w:style>
  <w:style w:type="table" w:styleId="a5">
    <w:name w:val="Table Grid"/>
    <w:basedOn w:val="a1"/>
    <w:uiPriority w:val="99"/>
    <w:rsid w:val="0099272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uiPriority w:val="99"/>
    <w:semiHidden/>
    <w:rsid w:val="00785485"/>
    <w:rPr>
      <w:rFonts w:ascii="Tahoma" w:hAnsi="Tahoma" w:cs="Tahoma"/>
      <w:sz w:val="16"/>
      <w:szCs w:val="16"/>
    </w:rPr>
  </w:style>
  <w:style w:type="character" w:customStyle="1" w:styleId="Char">
    <w:name w:val="批注框文本 Char"/>
    <w:link w:val="a6"/>
    <w:uiPriority w:val="99"/>
    <w:semiHidden/>
    <w:rsid w:val="00785485"/>
    <w:rPr>
      <w:rFonts w:ascii="Tahoma" w:hAnsi="Tahoma" w:cs="Tahoma"/>
      <w:sz w:val="16"/>
      <w:szCs w:val="16"/>
    </w:rPr>
  </w:style>
  <w:style w:type="paragraph" w:styleId="a7">
    <w:name w:val="header"/>
    <w:basedOn w:val="a"/>
    <w:link w:val="Char0"/>
    <w:uiPriority w:val="99"/>
    <w:rsid w:val="00F24B6D"/>
    <w:pPr>
      <w:tabs>
        <w:tab w:val="center" w:pos="4680"/>
        <w:tab w:val="right" w:pos="9360"/>
      </w:tabs>
    </w:pPr>
  </w:style>
  <w:style w:type="character" w:customStyle="1" w:styleId="Char0">
    <w:name w:val="页眉 Char"/>
    <w:basedOn w:val="a0"/>
    <w:link w:val="a7"/>
    <w:uiPriority w:val="99"/>
    <w:rsid w:val="00F24B6D"/>
  </w:style>
  <w:style w:type="paragraph" w:styleId="a8">
    <w:name w:val="footer"/>
    <w:basedOn w:val="a"/>
    <w:link w:val="Char1"/>
    <w:uiPriority w:val="99"/>
    <w:rsid w:val="00F24B6D"/>
    <w:pPr>
      <w:tabs>
        <w:tab w:val="center" w:pos="4680"/>
        <w:tab w:val="right" w:pos="9360"/>
      </w:tabs>
    </w:pPr>
  </w:style>
  <w:style w:type="character" w:customStyle="1" w:styleId="Char1">
    <w:name w:val="页脚 Char"/>
    <w:basedOn w:val="a0"/>
    <w:link w:val="a8"/>
    <w:uiPriority w:val="99"/>
    <w:rsid w:val="00F24B6D"/>
  </w:style>
  <w:style w:type="character" w:styleId="a9">
    <w:name w:val="annotation reference"/>
    <w:uiPriority w:val="99"/>
    <w:semiHidden/>
    <w:unhideWhenUsed/>
    <w:rsid w:val="005974B2"/>
    <w:rPr>
      <w:sz w:val="21"/>
      <w:szCs w:val="21"/>
    </w:rPr>
  </w:style>
  <w:style w:type="paragraph" w:styleId="aa">
    <w:name w:val="annotation text"/>
    <w:basedOn w:val="a"/>
    <w:link w:val="Char2"/>
    <w:uiPriority w:val="99"/>
    <w:semiHidden/>
    <w:unhideWhenUsed/>
    <w:rsid w:val="005974B2"/>
  </w:style>
  <w:style w:type="character" w:customStyle="1" w:styleId="Char2">
    <w:name w:val="批注文字 Char"/>
    <w:link w:val="aa"/>
    <w:uiPriority w:val="99"/>
    <w:semiHidden/>
    <w:rsid w:val="005974B2"/>
    <w:rPr>
      <w:rFonts w:cs="Calibri"/>
      <w:sz w:val="22"/>
      <w:szCs w:val="22"/>
      <w:lang w:eastAsia="en-US"/>
    </w:rPr>
  </w:style>
  <w:style w:type="paragraph" w:styleId="ab">
    <w:name w:val="annotation subject"/>
    <w:basedOn w:val="aa"/>
    <w:next w:val="aa"/>
    <w:link w:val="Char3"/>
    <w:uiPriority w:val="99"/>
    <w:semiHidden/>
    <w:unhideWhenUsed/>
    <w:rsid w:val="005974B2"/>
    <w:rPr>
      <w:b/>
      <w:bCs/>
    </w:rPr>
  </w:style>
  <w:style w:type="character" w:customStyle="1" w:styleId="Char3">
    <w:name w:val="批注主题 Char"/>
    <w:link w:val="ab"/>
    <w:uiPriority w:val="99"/>
    <w:semiHidden/>
    <w:rsid w:val="005974B2"/>
    <w:rPr>
      <w:rFonts w:cs="Calibri"/>
      <w:b/>
      <w:bCs/>
      <w:sz w:val="22"/>
      <w:szCs w:val="22"/>
      <w:lang w:eastAsia="en-US"/>
    </w:rPr>
  </w:style>
  <w:style w:type="paragraph" w:styleId="ac">
    <w:name w:val="Plain Text"/>
    <w:basedOn w:val="a"/>
    <w:link w:val="Char4"/>
    <w:rsid w:val="002A342B"/>
    <w:pPr>
      <w:widowControl w:val="0"/>
      <w:jc w:val="both"/>
    </w:pPr>
    <w:rPr>
      <w:rFonts w:ascii="宋体" w:hAnsi="Courier New" w:cs="Courier New"/>
      <w:kern w:val="2"/>
      <w:sz w:val="21"/>
      <w:szCs w:val="21"/>
      <w:lang w:eastAsia="zh-CN"/>
    </w:rPr>
  </w:style>
  <w:style w:type="character" w:customStyle="1" w:styleId="Char4">
    <w:name w:val="纯文本 Char"/>
    <w:basedOn w:val="a0"/>
    <w:link w:val="ac"/>
    <w:rsid w:val="002A342B"/>
    <w:rPr>
      <w:rFonts w:ascii="宋体" w:hAnsi="Courier New" w:cs="Courier New"/>
      <w:kern w:val="2"/>
      <w:sz w:val="21"/>
      <w:szCs w:val="21"/>
      <w:lang w:eastAsia="zh-CN"/>
    </w:rPr>
  </w:style>
  <w:style w:type="character" w:customStyle="1" w:styleId="apple-converted-space">
    <w:name w:val="apple-converted-space"/>
    <w:basedOn w:val="a0"/>
    <w:rsid w:val="002A3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34608">
      <w:marLeft w:val="0"/>
      <w:marRight w:val="0"/>
      <w:marTop w:val="0"/>
      <w:marBottom w:val="0"/>
      <w:divBdr>
        <w:top w:val="none" w:sz="0" w:space="0" w:color="auto"/>
        <w:left w:val="none" w:sz="0" w:space="0" w:color="auto"/>
        <w:bottom w:val="none" w:sz="0" w:space="0" w:color="auto"/>
        <w:right w:val="none" w:sz="0" w:space="0" w:color="auto"/>
      </w:divBdr>
    </w:div>
    <w:div w:id="719984370">
      <w:bodyDiv w:val="1"/>
      <w:marLeft w:val="0"/>
      <w:marRight w:val="0"/>
      <w:marTop w:val="0"/>
      <w:marBottom w:val="0"/>
      <w:divBdr>
        <w:top w:val="none" w:sz="0" w:space="0" w:color="auto"/>
        <w:left w:val="none" w:sz="0" w:space="0" w:color="auto"/>
        <w:bottom w:val="none" w:sz="0" w:space="0" w:color="auto"/>
        <w:right w:val="none" w:sz="0" w:space="0" w:color="auto"/>
      </w:divBdr>
      <w:divsChild>
        <w:div w:id="436565312">
          <w:marLeft w:val="0"/>
          <w:marRight w:val="0"/>
          <w:marTop w:val="0"/>
          <w:marBottom w:val="0"/>
          <w:divBdr>
            <w:top w:val="none" w:sz="0" w:space="0" w:color="auto"/>
            <w:left w:val="none" w:sz="0" w:space="0" w:color="auto"/>
            <w:bottom w:val="none" w:sz="0" w:space="0" w:color="auto"/>
            <w:right w:val="none" w:sz="0" w:space="0" w:color="auto"/>
          </w:divBdr>
        </w:div>
        <w:div w:id="1202785583">
          <w:marLeft w:val="0"/>
          <w:marRight w:val="0"/>
          <w:marTop w:val="0"/>
          <w:marBottom w:val="0"/>
          <w:divBdr>
            <w:top w:val="none" w:sz="0" w:space="0" w:color="auto"/>
            <w:left w:val="none" w:sz="0" w:space="0" w:color="auto"/>
            <w:bottom w:val="none" w:sz="0" w:space="0" w:color="auto"/>
            <w:right w:val="none" w:sz="0" w:space="0" w:color="auto"/>
          </w:divBdr>
        </w:div>
        <w:div w:id="1316101722">
          <w:marLeft w:val="0"/>
          <w:marRight w:val="0"/>
          <w:marTop w:val="0"/>
          <w:marBottom w:val="0"/>
          <w:divBdr>
            <w:top w:val="none" w:sz="0" w:space="0" w:color="auto"/>
            <w:left w:val="none" w:sz="0" w:space="0" w:color="auto"/>
            <w:bottom w:val="none" w:sz="0" w:space="0" w:color="auto"/>
            <w:right w:val="none" w:sz="0" w:space="0" w:color="auto"/>
          </w:divBdr>
        </w:div>
        <w:div w:id="1731997826">
          <w:marLeft w:val="0"/>
          <w:marRight w:val="0"/>
          <w:marTop w:val="0"/>
          <w:marBottom w:val="0"/>
          <w:divBdr>
            <w:top w:val="none" w:sz="0" w:space="0" w:color="auto"/>
            <w:left w:val="none" w:sz="0" w:space="0" w:color="auto"/>
            <w:bottom w:val="none" w:sz="0" w:space="0" w:color="auto"/>
            <w:right w:val="none" w:sz="0" w:space="0" w:color="auto"/>
          </w:divBdr>
        </w:div>
        <w:div w:id="195123687">
          <w:marLeft w:val="0"/>
          <w:marRight w:val="0"/>
          <w:marTop w:val="0"/>
          <w:marBottom w:val="0"/>
          <w:divBdr>
            <w:top w:val="none" w:sz="0" w:space="0" w:color="auto"/>
            <w:left w:val="none" w:sz="0" w:space="0" w:color="auto"/>
            <w:bottom w:val="none" w:sz="0" w:space="0" w:color="auto"/>
            <w:right w:val="none" w:sz="0" w:space="0" w:color="auto"/>
          </w:divBdr>
        </w:div>
        <w:div w:id="210725666">
          <w:marLeft w:val="0"/>
          <w:marRight w:val="0"/>
          <w:marTop w:val="0"/>
          <w:marBottom w:val="0"/>
          <w:divBdr>
            <w:top w:val="none" w:sz="0" w:space="0" w:color="auto"/>
            <w:left w:val="none" w:sz="0" w:space="0" w:color="auto"/>
            <w:bottom w:val="none" w:sz="0" w:space="0" w:color="auto"/>
            <w:right w:val="none" w:sz="0" w:space="0" w:color="auto"/>
          </w:divBdr>
        </w:div>
        <w:div w:id="660237628">
          <w:marLeft w:val="0"/>
          <w:marRight w:val="0"/>
          <w:marTop w:val="0"/>
          <w:marBottom w:val="0"/>
          <w:divBdr>
            <w:top w:val="none" w:sz="0" w:space="0" w:color="auto"/>
            <w:left w:val="none" w:sz="0" w:space="0" w:color="auto"/>
            <w:bottom w:val="none" w:sz="0" w:space="0" w:color="auto"/>
            <w:right w:val="none" w:sz="0" w:space="0" w:color="auto"/>
          </w:divBdr>
        </w:div>
        <w:div w:id="877085579">
          <w:marLeft w:val="0"/>
          <w:marRight w:val="0"/>
          <w:marTop w:val="0"/>
          <w:marBottom w:val="0"/>
          <w:divBdr>
            <w:top w:val="none" w:sz="0" w:space="0" w:color="auto"/>
            <w:left w:val="none" w:sz="0" w:space="0" w:color="auto"/>
            <w:bottom w:val="none" w:sz="0" w:space="0" w:color="auto"/>
            <w:right w:val="none" w:sz="0" w:space="0" w:color="auto"/>
          </w:divBdr>
        </w:div>
        <w:div w:id="1310742555">
          <w:marLeft w:val="0"/>
          <w:marRight w:val="0"/>
          <w:marTop w:val="0"/>
          <w:marBottom w:val="0"/>
          <w:divBdr>
            <w:top w:val="none" w:sz="0" w:space="0" w:color="auto"/>
            <w:left w:val="none" w:sz="0" w:space="0" w:color="auto"/>
            <w:bottom w:val="none" w:sz="0" w:space="0" w:color="auto"/>
            <w:right w:val="none" w:sz="0" w:space="0" w:color="auto"/>
          </w:divBdr>
        </w:div>
        <w:div w:id="725490747">
          <w:marLeft w:val="0"/>
          <w:marRight w:val="0"/>
          <w:marTop w:val="0"/>
          <w:marBottom w:val="0"/>
          <w:divBdr>
            <w:top w:val="none" w:sz="0" w:space="0" w:color="auto"/>
            <w:left w:val="none" w:sz="0" w:space="0" w:color="auto"/>
            <w:bottom w:val="none" w:sz="0" w:space="0" w:color="auto"/>
            <w:right w:val="none" w:sz="0" w:space="0" w:color="auto"/>
          </w:divBdr>
        </w:div>
        <w:div w:id="40638305">
          <w:marLeft w:val="0"/>
          <w:marRight w:val="0"/>
          <w:marTop w:val="0"/>
          <w:marBottom w:val="0"/>
          <w:divBdr>
            <w:top w:val="none" w:sz="0" w:space="0" w:color="auto"/>
            <w:left w:val="none" w:sz="0" w:space="0" w:color="auto"/>
            <w:bottom w:val="none" w:sz="0" w:space="0" w:color="auto"/>
            <w:right w:val="none" w:sz="0" w:space="0" w:color="auto"/>
          </w:divBdr>
        </w:div>
        <w:div w:id="103351922">
          <w:marLeft w:val="0"/>
          <w:marRight w:val="0"/>
          <w:marTop w:val="0"/>
          <w:marBottom w:val="0"/>
          <w:divBdr>
            <w:top w:val="none" w:sz="0" w:space="0" w:color="auto"/>
            <w:left w:val="none" w:sz="0" w:space="0" w:color="auto"/>
            <w:bottom w:val="none" w:sz="0" w:space="0" w:color="auto"/>
            <w:right w:val="none" w:sz="0" w:space="0" w:color="auto"/>
          </w:divBdr>
        </w:div>
        <w:div w:id="1069809867">
          <w:marLeft w:val="0"/>
          <w:marRight w:val="0"/>
          <w:marTop w:val="0"/>
          <w:marBottom w:val="0"/>
          <w:divBdr>
            <w:top w:val="none" w:sz="0" w:space="0" w:color="auto"/>
            <w:left w:val="none" w:sz="0" w:space="0" w:color="auto"/>
            <w:bottom w:val="none" w:sz="0" w:space="0" w:color="auto"/>
            <w:right w:val="none" w:sz="0" w:space="0" w:color="auto"/>
          </w:divBdr>
        </w:div>
        <w:div w:id="1689480915">
          <w:marLeft w:val="0"/>
          <w:marRight w:val="0"/>
          <w:marTop w:val="0"/>
          <w:marBottom w:val="0"/>
          <w:divBdr>
            <w:top w:val="none" w:sz="0" w:space="0" w:color="auto"/>
            <w:left w:val="none" w:sz="0" w:space="0" w:color="auto"/>
            <w:bottom w:val="none" w:sz="0" w:space="0" w:color="auto"/>
            <w:right w:val="none" w:sz="0" w:space="0" w:color="auto"/>
          </w:divBdr>
        </w:div>
        <w:div w:id="840704835">
          <w:marLeft w:val="0"/>
          <w:marRight w:val="0"/>
          <w:marTop w:val="0"/>
          <w:marBottom w:val="0"/>
          <w:divBdr>
            <w:top w:val="none" w:sz="0" w:space="0" w:color="auto"/>
            <w:left w:val="none" w:sz="0" w:space="0" w:color="auto"/>
            <w:bottom w:val="none" w:sz="0" w:space="0" w:color="auto"/>
            <w:right w:val="none" w:sz="0" w:space="0" w:color="auto"/>
          </w:divBdr>
        </w:div>
        <w:div w:id="1095322992">
          <w:marLeft w:val="0"/>
          <w:marRight w:val="0"/>
          <w:marTop w:val="0"/>
          <w:marBottom w:val="0"/>
          <w:divBdr>
            <w:top w:val="none" w:sz="0" w:space="0" w:color="auto"/>
            <w:left w:val="none" w:sz="0" w:space="0" w:color="auto"/>
            <w:bottom w:val="none" w:sz="0" w:space="0" w:color="auto"/>
            <w:right w:val="none" w:sz="0" w:space="0" w:color="auto"/>
          </w:divBdr>
        </w:div>
        <w:div w:id="1723628167">
          <w:marLeft w:val="0"/>
          <w:marRight w:val="0"/>
          <w:marTop w:val="0"/>
          <w:marBottom w:val="0"/>
          <w:divBdr>
            <w:top w:val="none" w:sz="0" w:space="0" w:color="auto"/>
            <w:left w:val="none" w:sz="0" w:space="0" w:color="auto"/>
            <w:bottom w:val="none" w:sz="0" w:space="0" w:color="auto"/>
            <w:right w:val="none" w:sz="0" w:space="0" w:color="auto"/>
          </w:divBdr>
        </w:div>
        <w:div w:id="989945837">
          <w:marLeft w:val="0"/>
          <w:marRight w:val="0"/>
          <w:marTop w:val="0"/>
          <w:marBottom w:val="0"/>
          <w:divBdr>
            <w:top w:val="none" w:sz="0" w:space="0" w:color="auto"/>
            <w:left w:val="none" w:sz="0" w:space="0" w:color="auto"/>
            <w:bottom w:val="none" w:sz="0" w:space="0" w:color="auto"/>
            <w:right w:val="none" w:sz="0" w:space="0" w:color="auto"/>
          </w:divBdr>
        </w:div>
        <w:div w:id="609582714">
          <w:marLeft w:val="0"/>
          <w:marRight w:val="0"/>
          <w:marTop w:val="0"/>
          <w:marBottom w:val="0"/>
          <w:divBdr>
            <w:top w:val="none" w:sz="0" w:space="0" w:color="auto"/>
            <w:left w:val="none" w:sz="0" w:space="0" w:color="auto"/>
            <w:bottom w:val="none" w:sz="0" w:space="0" w:color="auto"/>
            <w:right w:val="none" w:sz="0" w:space="0" w:color="auto"/>
          </w:divBdr>
        </w:div>
        <w:div w:id="1223059310">
          <w:marLeft w:val="0"/>
          <w:marRight w:val="0"/>
          <w:marTop w:val="0"/>
          <w:marBottom w:val="0"/>
          <w:divBdr>
            <w:top w:val="none" w:sz="0" w:space="0" w:color="auto"/>
            <w:left w:val="none" w:sz="0" w:space="0" w:color="auto"/>
            <w:bottom w:val="none" w:sz="0" w:space="0" w:color="auto"/>
            <w:right w:val="none" w:sz="0" w:space="0" w:color="auto"/>
          </w:divBdr>
        </w:div>
        <w:div w:id="492599902">
          <w:marLeft w:val="0"/>
          <w:marRight w:val="0"/>
          <w:marTop w:val="0"/>
          <w:marBottom w:val="0"/>
          <w:divBdr>
            <w:top w:val="none" w:sz="0" w:space="0" w:color="auto"/>
            <w:left w:val="none" w:sz="0" w:space="0" w:color="auto"/>
            <w:bottom w:val="none" w:sz="0" w:space="0" w:color="auto"/>
            <w:right w:val="none" w:sz="0" w:space="0" w:color="auto"/>
          </w:divBdr>
        </w:div>
        <w:div w:id="513493382">
          <w:marLeft w:val="0"/>
          <w:marRight w:val="0"/>
          <w:marTop w:val="0"/>
          <w:marBottom w:val="0"/>
          <w:divBdr>
            <w:top w:val="none" w:sz="0" w:space="0" w:color="auto"/>
            <w:left w:val="none" w:sz="0" w:space="0" w:color="auto"/>
            <w:bottom w:val="none" w:sz="0" w:space="0" w:color="auto"/>
            <w:right w:val="none" w:sz="0" w:space="0" w:color="auto"/>
          </w:divBdr>
        </w:div>
        <w:div w:id="1217594474">
          <w:marLeft w:val="0"/>
          <w:marRight w:val="0"/>
          <w:marTop w:val="0"/>
          <w:marBottom w:val="0"/>
          <w:divBdr>
            <w:top w:val="none" w:sz="0" w:space="0" w:color="auto"/>
            <w:left w:val="none" w:sz="0" w:space="0" w:color="auto"/>
            <w:bottom w:val="none" w:sz="0" w:space="0" w:color="auto"/>
            <w:right w:val="none" w:sz="0" w:space="0" w:color="auto"/>
          </w:divBdr>
        </w:div>
        <w:div w:id="1791824598">
          <w:marLeft w:val="0"/>
          <w:marRight w:val="0"/>
          <w:marTop w:val="0"/>
          <w:marBottom w:val="0"/>
          <w:divBdr>
            <w:top w:val="none" w:sz="0" w:space="0" w:color="auto"/>
            <w:left w:val="none" w:sz="0" w:space="0" w:color="auto"/>
            <w:bottom w:val="none" w:sz="0" w:space="0" w:color="auto"/>
            <w:right w:val="none" w:sz="0" w:space="0" w:color="auto"/>
          </w:divBdr>
        </w:div>
        <w:div w:id="566115020">
          <w:marLeft w:val="0"/>
          <w:marRight w:val="0"/>
          <w:marTop w:val="0"/>
          <w:marBottom w:val="0"/>
          <w:divBdr>
            <w:top w:val="none" w:sz="0" w:space="0" w:color="auto"/>
            <w:left w:val="none" w:sz="0" w:space="0" w:color="auto"/>
            <w:bottom w:val="none" w:sz="0" w:space="0" w:color="auto"/>
            <w:right w:val="none" w:sz="0" w:space="0" w:color="auto"/>
          </w:divBdr>
        </w:div>
        <w:div w:id="1300577116">
          <w:marLeft w:val="0"/>
          <w:marRight w:val="0"/>
          <w:marTop w:val="0"/>
          <w:marBottom w:val="0"/>
          <w:divBdr>
            <w:top w:val="none" w:sz="0" w:space="0" w:color="auto"/>
            <w:left w:val="none" w:sz="0" w:space="0" w:color="auto"/>
            <w:bottom w:val="none" w:sz="0" w:space="0" w:color="auto"/>
            <w:right w:val="none" w:sz="0" w:space="0" w:color="auto"/>
          </w:divBdr>
        </w:div>
        <w:div w:id="1586960932">
          <w:marLeft w:val="0"/>
          <w:marRight w:val="0"/>
          <w:marTop w:val="0"/>
          <w:marBottom w:val="0"/>
          <w:divBdr>
            <w:top w:val="none" w:sz="0" w:space="0" w:color="auto"/>
            <w:left w:val="none" w:sz="0" w:space="0" w:color="auto"/>
            <w:bottom w:val="none" w:sz="0" w:space="0" w:color="auto"/>
            <w:right w:val="none" w:sz="0" w:space="0" w:color="auto"/>
          </w:divBdr>
        </w:div>
        <w:div w:id="1689598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Watts%20NB%5BAuthor%5D&amp;cauthor=true&amp;cauthor_uid=19712042" TargetMode="External"/><Relationship Id="rId13" Type="http://schemas.openxmlformats.org/officeDocument/2006/relationships/image" Target="media/image1.png"/><Relationship Id="rId18" Type="http://schemas.openxmlformats.org/officeDocument/2006/relationships/image" Target="media/image6.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cbi.nlm.nih.gov/pubmed?term=Bilezikian%20JP%5BAuthor%5D&amp;cauthor=true&amp;cauthor_uid=19712042"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bi.nlm.nih.gov/pubmed?term=Miller%20PD%5BAuthor%5D&amp;cauthor=true&amp;cauthor_uid=19712042"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ncbi.nlm.nih.gov/pubmed?term=Blank%20RD%5BAuthor%5D&amp;cauthor=true&amp;cauthor_uid=19712042"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cbi.nlm.nih.gov/pubmed?term=Binkley%20N%5BAuthor%5D&amp;cauthor=true&amp;cauthor_uid=19712042"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6150</Words>
  <Characters>35060</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Dartford &amp; Gravesham NHS Trust</Company>
  <LinksUpToDate>false</LinksUpToDate>
  <CharactersWithSpaces>41128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007</dc:creator>
  <cp:lastModifiedBy>LS Ma</cp:lastModifiedBy>
  <cp:revision>2</cp:revision>
  <dcterms:created xsi:type="dcterms:W3CDTF">2014-07-25T02:33:00Z</dcterms:created>
  <dcterms:modified xsi:type="dcterms:W3CDTF">2014-07-25T02:33:00Z</dcterms:modified>
</cp:coreProperties>
</file>