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34" w:rsidRPr="00C75910" w:rsidRDefault="00EC7734" w:rsidP="00C75910">
      <w:pPr>
        <w:spacing w:line="360" w:lineRule="auto"/>
        <w:jc w:val="both"/>
        <w:rPr>
          <w:rFonts w:ascii="Book Antiqua" w:hAnsi="Book Antiqua"/>
        </w:rPr>
      </w:pPr>
      <w:r w:rsidRPr="00C75910">
        <w:rPr>
          <w:rFonts w:ascii="Book Antiqua" w:hAnsi="Book Antiqua"/>
        </w:rPr>
        <w:t>Name of journal:</w:t>
      </w:r>
      <w:r w:rsidRPr="00C75910">
        <w:rPr>
          <w:rFonts w:ascii="Book Antiqua" w:hAnsi="Book Antiqua"/>
          <w:i/>
        </w:rPr>
        <w:t xml:space="preserve"> World Journal of </w:t>
      </w:r>
      <w:r w:rsidRPr="00C75910">
        <w:rPr>
          <w:rFonts w:ascii="Book Antiqua" w:hAnsi="Book Antiqua"/>
          <w:i/>
          <w:color w:val="000000"/>
        </w:rPr>
        <w:t>Nephrology</w:t>
      </w:r>
    </w:p>
    <w:p w:rsidR="00EC7734" w:rsidRPr="00C75910" w:rsidRDefault="00EC7734" w:rsidP="00C75910">
      <w:pPr>
        <w:spacing w:line="360" w:lineRule="auto"/>
        <w:jc w:val="both"/>
        <w:rPr>
          <w:rFonts w:ascii="Book Antiqua" w:hAnsi="Book Antiqua"/>
          <w:lang w:eastAsia="zh-CN"/>
        </w:rPr>
      </w:pPr>
      <w:r w:rsidRPr="00C75910">
        <w:rPr>
          <w:rFonts w:ascii="Book Antiqua" w:hAnsi="Book Antiqua"/>
        </w:rPr>
        <w:t xml:space="preserve">ESPS Manuscript NO: </w:t>
      </w:r>
      <w:r w:rsidRPr="00C75910">
        <w:rPr>
          <w:rFonts w:ascii="Book Antiqua" w:hAnsi="Book Antiqua"/>
          <w:lang w:eastAsia="zh-CN"/>
        </w:rPr>
        <w:t>10667</w:t>
      </w:r>
    </w:p>
    <w:p w:rsidR="00EC7734" w:rsidRPr="00C75910" w:rsidRDefault="00EC7734" w:rsidP="00C75910">
      <w:pPr>
        <w:spacing w:line="360" w:lineRule="auto"/>
        <w:jc w:val="both"/>
        <w:rPr>
          <w:rFonts w:ascii="Book Antiqua" w:hAnsi="Book Antiqua"/>
          <w:b/>
          <w:i/>
        </w:rPr>
      </w:pPr>
      <w:r w:rsidRPr="00C75910">
        <w:rPr>
          <w:rFonts w:ascii="Book Antiqua" w:hAnsi="Book Antiqua"/>
        </w:rPr>
        <w:t>Columns:</w:t>
      </w:r>
      <w:r w:rsidRPr="00C75910">
        <w:rPr>
          <w:rFonts w:ascii="Book Antiqua" w:hAnsi="Book Antiqua"/>
          <w:b/>
          <w:i/>
        </w:rPr>
        <w:t xml:space="preserve"> </w:t>
      </w:r>
      <w:r w:rsidR="00DC6884" w:rsidRPr="00C75910">
        <w:rPr>
          <w:rFonts w:ascii="Book Antiqua" w:hAnsi="Book Antiqua"/>
        </w:rPr>
        <w:t>Observational Study</w:t>
      </w:r>
    </w:p>
    <w:p w:rsidR="00EC7734" w:rsidRPr="00C75910" w:rsidRDefault="00EC7734" w:rsidP="00C75910">
      <w:pPr>
        <w:spacing w:line="360" w:lineRule="auto"/>
        <w:jc w:val="both"/>
        <w:rPr>
          <w:rFonts w:ascii="Book Antiqua" w:hAnsi="Book Antiqua"/>
          <w:b/>
          <w:lang w:eastAsia="zh-CN"/>
        </w:rPr>
      </w:pPr>
    </w:p>
    <w:p w:rsidR="00EC7734" w:rsidRPr="00C75910" w:rsidRDefault="00EC7734" w:rsidP="00C75910">
      <w:pPr>
        <w:spacing w:line="360" w:lineRule="auto"/>
        <w:jc w:val="both"/>
        <w:rPr>
          <w:rFonts w:ascii="Book Antiqua" w:hAnsi="Book Antiqua"/>
          <w:b/>
          <w:lang w:eastAsia="zh-CN"/>
        </w:rPr>
      </w:pPr>
      <w:r w:rsidRPr="00C75910">
        <w:rPr>
          <w:rFonts w:ascii="Book Antiqua" w:hAnsi="Book Antiqua"/>
          <w:b/>
        </w:rPr>
        <w:t>Gait speed and hospitalization among ambulatory hemodialysis patients: USRDS special study data</w:t>
      </w:r>
    </w:p>
    <w:p w:rsidR="00EC7734" w:rsidRPr="00C75910" w:rsidRDefault="00EC7734" w:rsidP="00C75910">
      <w:pPr>
        <w:spacing w:line="360" w:lineRule="auto"/>
        <w:jc w:val="both"/>
        <w:rPr>
          <w:rFonts w:ascii="Book Antiqua" w:hAnsi="Book Antiqua"/>
          <w:b/>
          <w:lang w:eastAsia="zh-CN"/>
        </w:rPr>
      </w:pPr>
    </w:p>
    <w:p w:rsidR="00EC7734" w:rsidRPr="00C75910" w:rsidRDefault="00EC7734" w:rsidP="00C75910">
      <w:pPr>
        <w:spacing w:line="360" w:lineRule="auto"/>
        <w:jc w:val="both"/>
        <w:rPr>
          <w:rFonts w:ascii="Book Antiqua" w:hAnsi="Book Antiqua"/>
          <w:lang w:eastAsia="zh-CN"/>
        </w:rPr>
      </w:pPr>
      <w:proofErr w:type="spellStart"/>
      <w:r w:rsidRPr="00C75910">
        <w:rPr>
          <w:rFonts w:ascii="Book Antiqua" w:hAnsi="Book Antiqua"/>
        </w:rPr>
        <w:t>Kutner</w:t>
      </w:r>
      <w:proofErr w:type="spellEnd"/>
      <w:r w:rsidRPr="00C75910">
        <w:rPr>
          <w:rFonts w:ascii="Book Antiqua" w:hAnsi="Book Antiqua"/>
          <w:lang w:eastAsia="zh-CN"/>
        </w:rPr>
        <w:t xml:space="preserve"> NG </w:t>
      </w:r>
      <w:r w:rsidRPr="00C75910">
        <w:rPr>
          <w:rFonts w:ascii="Book Antiqua" w:hAnsi="Book Antiqua"/>
          <w:i/>
          <w:lang w:eastAsia="zh-CN"/>
        </w:rPr>
        <w:t>et al.</w:t>
      </w:r>
      <w:r w:rsidRPr="00C75910">
        <w:rPr>
          <w:rFonts w:ascii="Book Antiqua" w:hAnsi="Book Antiqua"/>
        </w:rPr>
        <w:t xml:space="preserve"> Gait speed and HD patient hospitalization</w:t>
      </w:r>
    </w:p>
    <w:p w:rsidR="00EC7734" w:rsidRPr="00C75910" w:rsidRDefault="00EC7734" w:rsidP="00C75910">
      <w:pPr>
        <w:spacing w:line="360" w:lineRule="auto"/>
        <w:jc w:val="both"/>
        <w:rPr>
          <w:rFonts w:ascii="Book Antiqua" w:hAnsi="Book Antiqua"/>
          <w:b/>
          <w:lang w:eastAsia="zh-CN"/>
        </w:rPr>
      </w:pPr>
    </w:p>
    <w:p w:rsidR="00EC7734" w:rsidRPr="00C75910" w:rsidRDefault="00EC7734" w:rsidP="00C75910">
      <w:pPr>
        <w:spacing w:line="360" w:lineRule="auto"/>
        <w:jc w:val="both"/>
        <w:rPr>
          <w:rFonts w:ascii="Book Antiqua" w:hAnsi="Book Antiqua"/>
        </w:rPr>
      </w:pPr>
      <w:r w:rsidRPr="00C75910">
        <w:rPr>
          <w:rFonts w:ascii="Book Antiqua" w:hAnsi="Book Antiqua"/>
        </w:rPr>
        <w:t xml:space="preserve">Nancy G </w:t>
      </w:r>
      <w:proofErr w:type="spellStart"/>
      <w:r w:rsidRPr="00C75910">
        <w:rPr>
          <w:rFonts w:ascii="Book Antiqua" w:hAnsi="Book Antiqua"/>
        </w:rPr>
        <w:t>Kutner</w:t>
      </w:r>
      <w:proofErr w:type="spellEnd"/>
      <w:r w:rsidRPr="00C75910">
        <w:rPr>
          <w:rFonts w:ascii="Book Antiqua" w:hAnsi="Book Antiqua"/>
        </w:rPr>
        <w:t>, Rebecca Zhang, Yi</w:t>
      </w:r>
      <w:r w:rsidRPr="00C75910">
        <w:rPr>
          <w:rFonts w:ascii="Book Antiqua" w:hAnsi="Book Antiqua"/>
          <w:lang w:eastAsia="zh-CN"/>
        </w:rPr>
        <w:t>-</w:t>
      </w:r>
      <w:r w:rsidRPr="00C75910">
        <w:rPr>
          <w:rFonts w:ascii="Book Antiqua" w:hAnsi="Book Antiqua"/>
        </w:rPr>
        <w:t xml:space="preserve">Jian Huang, </w:t>
      </w:r>
      <w:proofErr w:type="spellStart"/>
      <w:r w:rsidRPr="00C75910">
        <w:rPr>
          <w:rFonts w:ascii="Book Antiqua" w:hAnsi="Book Antiqua"/>
        </w:rPr>
        <w:t>Haimanot</w:t>
      </w:r>
      <w:proofErr w:type="spellEnd"/>
      <w:r w:rsidRPr="00C75910">
        <w:rPr>
          <w:rFonts w:ascii="Book Antiqua" w:hAnsi="Book Antiqua"/>
        </w:rPr>
        <w:t xml:space="preserve"> </w:t>
      </w:r>
      <w:proofErr w:type="spellStart"/>
      <w:r w:rsidRPr="00C75910">
        <w:rPr>
          <w:rFonts w:ascii="Book Antiqua" w:hAnsi="Book Antiqua"/>
        </w:rPr>
        <w:t>Wasse</w:t>
      </w:r>
      <w:proofErr w:type="spellEnd"/>
    </w:p>
    <w:p w:rsidR="00BF3F99" w:rsidRPr="00C75910" w:rsidRDefault="00BF3F99" w:rsidP="00C75910">
      <w:pPr>
        <w:spacing w:line="360" w:lineRule="auto"/>
        <w:jc w:val="both"/>
        <w:rPr>
          <w:rFonts w:ascii="Book Antiqua" w:hAnsi="Book Antiqua"/>
          <w:b/>
        </w:rPr>
      </w:pPr>
    </w:p>
    <w:p w:rsidR="00C75910" w:rsidRPr="00C75910" w:rsidRDefault="00C75910" w:rsidP="00C75910">
      <w:pPr>
        <w:spacing w:line="360" w:lineRule="auto"/>
        <w:jc w:val="both"/>
        <w:rPr>
          <w:rFonts w:ascii="Book Antiqua" w:hAnsi="Book Antiqua"/>
          <w:lang w:eastAsia="zh-CN"/>
        </w:rPr>
      </w:pPr>
      <w:r w:rsidRPr="00C75910">
        <w:rPr>
          <w:rFonts w:ascii="Book Antiqua" w:hAnsi="Book Antiqua"/>
          <w:b/>
        </w:rPr>
        <w:t xml:space="preserve">Nancy G </w:t>
      </w:r>
      <w:proofErr w:type="spellStart"/>
      <w:r w:rsidRPr="00C75910">
        <w:rPr>
          <w:rFonts w:ascii="Book Antiqua" w:hAnsi="Book Antiqua"/>
          <w:b/>
        </w:rPr>
        <w:t>Kutner</w:t>
      </w:r>
      <w:proofErr w:type="spellEnd"/>
      <w:r w:rsidRPr="00C75910">
        <w:rPr>
          <w:rFonts w:ascii="Book Antiqua" w:hAnsi="Book Antiqua"/>
          <w:b/>
        </w:rPr>
        <w:t>, Rebecca Zhang, Yi</w:t>
      </w:r>
      <w:r w:rsidRPr="00C75910">
        <w:rPr>
          <w:rFonts w:ascii="Book Antiqua" w:hAnsi="Book Antiqua"/>
          <w:b/>
          <w:lang w:eastAsia="zh-CN"/>
        </w:rPr>
        <w:t>-</w:t>
      </w:r>
      <w:r w:rsidRPr="00C75910">
        <w:rPr>
          <w:rFonts w:ascii="Book Antiqua" w:hAnsi="Book Antiqua"/>
          <w:b/>
        </w:rPr>
        <w:t>Jian Huang,</w:t>
      </w:r>
      <w:r w:rsidRPr="00C75910">
        <w:rPr>
          <w:rFonts w:ascii="Book Antiqua" w:hAnsi="Book Antiqua"/>
        </w:rPr>
        <w:t xml:space="preserve"> USRDS Rehabilitation/Quality of Life Special Studies Cente</w:t>
      </w:r>
      <w:r w:rsidR="00DC6884">
        <w:rPr>
          <w:rFonts w:ascii="Book Antiqua" w:hAnsi="Book Antiqua"/>
        </w:rPr>
        <w:t>r, Emory University, Atlanta, G</w:t>
      </w:r>
      <w:r w:rsidR="00DC6884">
        <w:rPr>
          <w:rFonts w:ascii="Book Antiqua" w:hAnsi="Book Antiqua" w:hint="eastAsia"/>
          <w:lang w:eastAsia="zh-CN"/>
        </w:rPr>
        <w:t>A</w:t>
      </w:r>
      <w:r w:rsidRPr="00C75910">
        <w:rPr>
          <w:rFonts w:ascii="Book Antiqua" w:hAnsi="Book Antiqua"/>
        </w:rPr>
        <w:t xml:space="preserve"> 30322, U</w:t>
      </w:r>
      <w:r w:rsidRPr="00C75910">
        <w:rPr>
          <w:rFonts w:ascii="Book Antiqua" w:hAnsi="Book Antiqua"/>
          <w:lang w:eastAsia="zh-CN"/>
        </w:rPr>
        <w:t xml:space="preserve">nited </w:t>
      </w:r>
      <w:r w:rsidRPr="00C75910">
        <w:rPr>
          <w:rFonts w:ascii="Book Antiqua" w:hAnsi="Book Antiqua"/>
        </w:rPr>
        <w:t>S</w:t>
      </w:r>
      <w:r w:rsidRPr="00C75910">
        <w:rPr>
          <w:rFonts w:ascii="Book Antiqua" w:hAnsi="Book Antiqua"/>
          <w:lang w:eastAsia="zh-CN"/>
        </w:rPr>
        <w:t>tates</w:t>
      </w:r>
    </w:p>
    <w:p w:rsidR="00C75910" w:rsidRPr="00C75910" w:rsidRDefault="00C75910" w:rsidP="00C75910">
      <w:pPr>
        <w:spacing w:line="360" w:lineRule="auto"/>
        <w:jc w:val="both"/>
        <w:rPr>
          <w:rFonts w:ascii="Book Antiqua" w:hAnsi="Book Antiqua"/>
          <w:lang w:eastAsia="zh-CN"/>
        </w:rPr>
      </w:pPr>
    </w:p>
    <w:p w:rsidR="00C75910" w:rsidRPr="00C75910" w:rsidRDefault="00C75910" w:rsidP="00C75910">
      <w:pPr>
        <w:spacing w:line="360" w:lineRule="auto"/>
        <w:jc w:val="both"/>
        <w:rPr>
          <w:rFonts w:ascii="Book Antiqua" w:hAnsi="Book Antiqua"/>
        </w:rPr>
      </w:pPr>
      <w:proofErr w:type="spellStart"/>
      <w:r w:rsidRPr="00C75910">
        <w:rPr>
          <w:rFonts w:ascii="Book Antiqua" w:hAnsi="Book Antiqua"/>
          <w:b/>
        </w:rPr>
        <w:t>Haimanot</w:t>
      </w:r>
      <w:proofErr w:type="spellEnd"/>
      <w:r w:rsidRPr="00C75910">
        <w:rPr>
          <w:rFonts w:ascii="Book Antiqua" w:hAnsi="Book Antiqua"/>
          <w:b/>
        </w:rPr>
        <w:t xml:space="preserve"> </w:t>
      </w:r>
      <w:proofErr w:type="spellStart"/>
      <w:r w:rsidRPr="00C75910">
        <w:rPr>
          <w:rFonts w:ascii="Book Antiqua" w:hAnsi="Book Antiqua"/>
          <w:b/>
        </w:rPr>
        <w:t>Wasse</w:t>
      </w:r>
      <w:proofErr w:type="spellEnd"/>
      <w:r w:rsidRPr="00C75910">
        <w:rPr>
          <w:rFonts w:ascii="Book Antiqua" w:hAnsi="Book Antiqua"/>
          <w:b/>
        </w:rPr>
        <w:t>,</w:t>
      </w:r>
      <w:r w:rsidRPr="00C75910">
        <w:rPr>
          <w:rFonts w:ascii="Book Antiqua" w:hAnsi="Book Antiqua"/>
        </w:rPr>
        <w:t xml:space="preserve"> Renal Division, Department of Medicine, and USRDS Rehabilitation/Quality of Life Special Studies Center, Emory University, Atlanta, G</w:t>
      </w:r>
      <w:r w:rsidR="00DC6884">
        <w:rPr>
          <w:rFonts w:ascii="Book Antiqua" w:hAnsi="Book Antiqua" w:hint="eastAsia"/>
          <w:lang w:eastAsia="zh-CN"/>
        </w:rPr>
        <w:t>A</w:t>
      </w:r>
      <w:r w:rsidRPr="00C75910">
        <w:rPr>
          <w:rFonts w:ascii="Book Antiqua" w:hAnsi="Book Antiqua"/>
        </w:rPr>
        <w:t>30322, U</w:t>
      </w:r>
      <w:r w:rsidRPr="00C75910">
        <w:rPr>
          <w:rFonts w:ascii="Book Antiqua" w:hAnsi="Book Antiqua"/>
          <w:lang w:eastAsia="zh-CN"/>
        </w:rPr>
        <w:t xml:space="preserve">nited </w:t>
      </w:r>
      <w:r w:rsidRPr="00C75910">
        <w:rPr>
          <w:rFonts w:ascii="Book Antiqua" w:hAnsi="Book Antiqua"/>
        </w:rPr>
        <w:t>S</w:t>
      </w:r>
      <w:r w:rsidRPr="00C75910">
        <w:rPr>
          <w:rFonts w:ascii="Book Antiqua" w:hAnsi="Book Antiqua"/>
          <w:lang w:eastAsia="zh-CN"/>
        </w:rPr>
        <w:t>tates</w:t>
      </w:r>
    </w:p>
    <w:p w:rsidR="00C75910" w:rsidRPr="00C75910" w:rsidRDefault="00C75910" w:rsidP="00C75910">
      <w:pPr>
        <w:spacing w:line="360" w:lineRule="auto"/>
        <w:jc w:val="both"/>
        <w:rPr>
          <w:rFonts w:ascii="Book Antiqua" w:hAnsi="Book Antiqua"/>
          <w:b/>
        </w:rPr>
      </w:pPr>
    </w:p>
    <w:p w:rsidR="00C75910" w:rsidRPr="00C75910" w:rsidRDefault="00C75910" w:rsidP="00C75910">
      <w:pPr>
        <w:spacing w:line="360" w:lineRule="auto"/>
        <w:jc w:val="both"/>
        <w:rPr>
          <w:rFonts w:ascii="Book Antiqua" w:hAnsi="Book Antiqua"/>
          <w:lang w:eastAsia="zh-CN"/>
        </w:rPr>
      </w:pPr>
      <w:r w:rsidRPr="00C75910">
        <w:rPr>
          <w:rFonts w:ascii="Book Antiqua" w:hAnsi="Book Antiqua"/>
          <w:b/>
        </w:rPr>
        <w:t xml:space="preserve">Author </w:t>
      </w:r>
      <w:r w:rsidR="00DC6884">
        <w:rPr>
          <w:rFonts w:ascii="Book Antiqua" w:hAnsi="Book Antiqua" w:hint="eastAsia"/>
          <w:b/>
          <w:lang w:eastAsia="zh-CN"/>
        </w:rPr>
        <w:t>c</w:t>
      </w:r>
      <w:r w:rsidRPr="00C75910">
        <w:rPr>
          <w:rFonts w:ascii="Book Antiqua" w:hAnsi="Book Antiqua"/>
          <w:b/>
        </w:rPr>
        <w:t xml:space="preserve">ontributions: </w:t>
      </w:r>
      <w:r w:rsidRPr="00C75910">
        <w:rPr>
          <w:rFonts w:ascii="Book Antiqua" w:hAnsi="Book Antiqua"/>
        </w:rPr>
        <w:t xml:space="preserve">Zhang </w:t>
      </w:r>
      <w:r w:rsidRPr="00C75910">
        <w:rPr>
          <w:rFonts w:ascii="Book Antiqua" w:hAnsi="Book Antiqua"/>
          <w:lang w:eastAsia="zh-CN"/>
        </w:rPr>
        <w:t xml:space="preserve">R </w:t>
      </w:r>
      <w:r w:rsidRPr="00C75910">
        <w:rPr>
          <w:rFonts w:ascii="Book Antiqua" w:hAnsi="Book Antiqua"/>
        </w:rPr>
        <w:t>had full access to all of the data in the study and takes responsibility for the integrity of the data and the accuracy of the data analysis</w:t>
      </w:r>
      <w:r w:rsidRPr="00C75910">
        <w:rPr>
          <w:rFonts w:ascii="Book Antiqua" w:hAnsi="Book Antiqua"/>
          <w:lang w:eastAsia="zh-CN"/>
        </w:rPr>
        <w:t>;</w:t>
      </w:r>
      <w:r w:rsidRPr="00C75910">
        <w:rPr>
          <w:rFonts w:ascii="Book Antiqua" w:hAnsi="Book Antiqua"/>
        </w:rPr>
        <w:t xml:space="preserve"> </w:t>
      </w:r>
      <w:proofErr w:type="spellStart"/>
      <w:r w:rsidRPr="00C75910">
        <w:rPr>
          <w:rFonts w:ascii="Book Antiqua" w:hAnsi="Book Antiqua"/>
        </w:rPr>
        <w:t>Kutner</w:t>
      </w:r>
      <w:proofErr w:type="spellEnd"/>
      <w:r w:rsidRPr="00C75910">
        <w:rPr>
          <w:rFonts w:ascii="Book Antiqua" w:hAnsi="Book Antiqua"/>
          <w:lang w:eastAsia="zh-CN"/>
        </w:rPr>
        <w:t xml:space="preserve"> NG</w:t>
      </w:r>
      <w:r w:rsidRPr="00C75910">
        <w:rPr>
          <w:rFonts w:ascii="Book Antiqua" w:hAnsi="Book Antiqua"/>
        </w:rPr>
        <w:t>, Zhang</w:t>
      </w:r>
      <w:r w:rsidRPr="00C75910">
        <w:rPr>
          <w:rFonts w:ascii="Book Antiqua" w:hAnsi="Book Antiqua"/>
          <w:lang w:eastAsia="zh-CN"/>
        </w:rPr>
        <w:t xml:space="preserve"> R</w:t>
      </w:r>
      <w:r w:rsidRPr="00C75910">
        <w:rPr>
          <w:rFonts w:ascii="Book Antiqua" w:hAnsi="Book Antiqua"/>
        </w:rPr>
        <w:t>, Huang</w:t>
      </w:r>
      <w:r w:rsidRPr="00C75910">
        <w:rPr>
          <w:rFonts w:ascii="Book Antiqua" w:hAnsi="Book Antiqua"/>
          <w:lang w:eastAsia="zh-CN"/>
        </w:rPr>
        <w:t xml:space="preserve"> YJ and</w:t>
      </w:r>
      <w:r w:rsidRPr="00C75910">
        <w:rPr>
          <w:rFonts w:ascii="Book Antiqua" w:hAnsi="Book Antiqua"/>
        </w:rPr>
        <w:t xml:space="preserve"> </w:t>
      </w:r>
      <w:proofErr w:type="spellStart"/>
      <w:r w:rsidRPr="00C75910">
        <w:rPr>
          <w:rFonts w:ascii="Book Antiqua" w:hAnsi="Book Antiqua"/>
        </w:rPr>
        <w:t>Wasse</w:t>
      </w:r>
      <w:proofErr w:type="spellEnd"/>
      <w:r w:rsidRPr="00C75910">
        <w:rPr>
          <w:rFonts w:ascii="Book Antiqua" w:hAnsi="Book Antiqua"/>
          <w:lang w:eastAsia="zh-CN"/>
        </w:rPr>
        <w:t xml:space="preserve"> H contributed to </w:t>
      </w:r>
      <w:r w:rsidRPr="00C75910">
        <w:rPr>
          <w:rFonts w:ascii="Book Antiqua" w:hAnsi="Book Antiqua"/>
        </w:rPr>
        <w:t>study concept and design</w:t>
      </w:r>
      <w:r w:rsidRPr="00C75910">
        <w:rPr>
          <w:rFonts w:ascii="Book Antiqua" w:hAnsi="Book Antiqua"/>
          <w:lang w:eastAsia="zh-CN"/>
        </w:rPr>
        <w:t xml:space="preserve">; </w:t>
      </w:r>
      <w:proofErr w:type="spellStart"/>
      <w:r w:rsidRPr="00C75910">
        <w:rPr>
          <w:rFonts w:ascii="Book Antiqua" w:hAnsi="Book Antiqua"/>
        </w:rPr>
        <w:t>Kutner</w:t>
      </w:r>
      <w:proofErr w:type="spellEnd"/>
      <w:r w:rsidRPr="00C75910">
        <w:rPr>
          <w:rFonts w:ascii="Book Antiqua" w:hAnsi="Book Antiqua"/>
          <w:lang w:eastAsia="zh-CN"/>
        </w:rPr>
        <w:t xml:space="preserve"> NG </w:t>
      </w:r>
      <w:proofErr w:type="spellStart"/>
      <w:r w:rsidRPr="00C75910">
        <w:rPr>
          <w:rFonts w:ascii="Book Antiqua" w:hAnsi="Book Antiqua"/>
          <w:lang w:eastAsia="zh-CN"/>
        </w:rPr>
        <w:t>acquisited</w:t>
      </w:r>
      <w:proofErr w:type="spellEnd"/>
      <w:r w:rsidRPr="00C75910">
        <w:rPr>
          <w:rFonts w:ascii="Book Antiqua" w:hAnsi="Book Antiqua"/>
          <w:lang w:eastAsia="zh-CN"/>
        </w:rPr>
        <w:t xml:space="preserve"> of data, </w:t>
      </w:r>
      <w:r w:rsidRPr="00C75910">
        <w:rPr>
          <w:rFonts w:ascii="Book Antiqua" w:hAnsi="Book Antiqua"/>
        </w:rPr>
        <w:t>critical</w:t>
      </w:r>
      <w:r w:rsidRPr="00C75910">
        <w:rPr>
          <w:rFonts w:ascii="Book Antiqua" w:hAnsi="Book Antiqua"/>
          <w:lang w:eastAsia="zh-CN"/>
        </w:rPr>
        <w:t>ly</w:t>
      </w:r>
      <w:r w:rsidRPr="00C75910">
        <w:rPr>
          <w:rFonts w:ascii="Book Antiqua" w:hAnsi="Book Antiqua"/>
        </w:rPr>
        <w:t xml:space="preserve"> revis</w:t>
      </w:r>
      <w:r w:rsidRPr="00C75910">
        <w:rPr>
          <w:rFonts w:ascii="Book Antiqua" w:hAnsi="Book Antiqua"/>
          <w:lang w:eastAsia="zh-CN"/>
        </w:rPr>
        <w:t>ed</w:t>
      </w:r>
      <w:r w:rsidRPr="00C75910">
        <w:rPr>
          <w:rFonts w:ascii="Book Antiqua" w:hAnsi="Book Antiqua"/>
        </w:rPr>
        <w:t xml:space="preserve"> of the manuscript for important intellectual content</w:t>
      </w:r>
      <w:r w:rsidRPr="00C75910">
        <w:rPr>
          <w:rFonts w:ascii="Book Antiqua" w:hAnsi="Book Antiqua"/>
          <w:lang w:eastAsia="zh-CN"/>
        </w:rPr>
        <w:t xml:space="preserve">; </w:t>
      </w:r>
      <w:proofErr w:type="spellStart"/>
      <w:r w:rsidRPr="00C75910">
        <w:rPr>
          <w:rFonts w:ascii="Book Antiqua" w:hAnsi="Book Antiqua"/>
        </w:rPr>
        <w:t>Kutner</w:t>
      </w:r>
      <w:proofErr w:type="spellEnd"/>
      <w:r w:rsidRPr="00C75910">
        <w:rPr>
          <w:rFonts w:ascii="Book Antiqua" w:hAnsi="Book Antiqua"/>
          <w:lang w:eastAsia="zh-CN"/>
        </w:rPr>
        <w:t xml:space="preserve"> NG</w:t>
      </w:r>
      <w:r w:rsidRPr="00C75910">
        <w:rPr>
          <w:rFonts w:ascii="Book Antiqua" w:hAnsi="Book Antiqua"/>
        </w:rPr>
        <w:t>, Zhang</w:t>
      </w:r>
      <w:r w:rsidRPr="00C75910">
        <w:rPr>
          <w:rFonts w:ascii="Book Antiqua" w:hAnsi="Book Antiqua"/>
          <w:lang w:eastAsia="zh-CN"/>
        </w:rPr>
        <w:t xml:space="preserve"> R</w:t>
      </w:r>
      <w:r w:rsidRPr="00C75910">
        <w:rPr>
          <w:rFonts w:ascii="Book Antiqua" w:hAnsi="Book Antiqua"/>
        </w:rPr>
        <w:t>, Huang</w:t>
      </w:r>
      <w:r w:rsidRPr="00C75910">
        <w:rPr>
          <w:rFonts w:ascii="Book Antiqua" w:hAnsi="Book Antiqua"/>
          <w:lang w:eastAsia="zh-CN"/>
        </w:rPr>
        <w:t xml:space="preserve"> YJ and</w:t>
      </w:r>
      <w:r w:rsidRPr="00C75910">
        <w:rPr>
          <w:rFonts w:ascii="Book Antiqua" w:hAnsi="Book Antiqua"/>
        </w:rPr>
        <w:t xml:space="preserve"> </w:t>
      </w:r>
      <w:proofErr w:type="spellStart"/>
      <w:r w:rsidRPr="00C75910">
        <w:rPr>
          <w:rFonts w:ascii="Book Antiqua" w:hAnsi="Book Antiqua"/>
        </w:rPr>
        <w:t>Wasse</w:t>
      </w:r>
      <w:proofErr w:type="spellEnd"/>
      <w:r w:rsidRPr="00C75910">
        <w:rPr>
          <w:rFonts w:ascii="Book Antiqua" w:hAnsi="Book Antiqua"/>
          <w:lang w:eastAsia="zh-CN"/>
        </w:rPr>
        <w:t xml:space="preserve"> H contributed to</w:t>
      </w:r>
      <w:r w:rsidRPr="00C75910">
        <w:rPr>
          <w:rFonts w:ascii="Book Antiqua" w:hAnsi="Book Antiqua"/>
        </w:rPr>
        <w:t xml:space="preserve"> analysis and interpretation of data</w:t>
      </w:r>
      <w:r w:rsidRPr="00C75910">
        <w:rPr>
          <w:rFonts w:ascii="Book Antiqua" w:hAnsi="Book Antiqua"/>
          <w:lang w:eastAsia="zh-CN"/>
        </w:rPr>
        <w:t>;</w:t>
      </w:r>
      <w:r w:rsidRPr="00C75910">
        <w:rPr>
          <w:rFonts w:ascii="Book Antiqua" w:hAnsi="Book Antiqua"/>
        </w:rPr>
        <w:t xml:space="preserve"> </w:t>
      </w:r>
      <w:proofErr w:type="spellStart"/>
      <w:r w:rsidRPr="00C75910">
        <w:rPr>
          <w:rFonts w:ascii="Book Antiqua" w:hAnsi="Book Antiqua"/>
        </w:rPr>
        <w:t>Kutner</w:t>
      </w:r>
      <w:proofErr w:type="spellEnd"/>
      <w:r w:rsidRPr="00C75910">
        <w:rPr>
          <w:rFonts w:ascii="Book Antiqua" w:hAnsi="Book Antiqua"/>
          <w:lang w:eastAsia="zh-CN"/>
        </w:rPr>
        <w:t xml:space="preserve"> NG </w:t>
      </w:r>
      <w:r w:rsidRPr="00C75910">
        <w:rPr>
          <w:rFonts w:ascii="Book Antiqua" w:hAnsi="Book Antiqua"/>
        </w:rPr>
        <w:t>draft</w:t>
      </w:r>
      <w:r w:rsidRPr="00C75910">
        <w:rPr>
          <w:rFonts w:ascii="Book Antiqua" w:hAnsi="Book Antiqua"/>
          <w:lang w:eastAsia="zh-CN"/>
        </w:rPr>
        <w:t>ed</w:t>
      </w:r>
      <w:r w:rsidRPr="00C75910">
        <w:rPr>
          <w:rFonts w:ascii="Book Antiqua" w:hAnsi="Book Antiqua"/>
        </w:rPr>
        <w:t xml:space="preserve"> of the manuscript</w:t>
      </w:r>
      <w:r w:rsidRPr="00C75910">
        <w:rPr>
          <w:rFonts w:ascii="Book Antiqua" w:hAnsi="Book Antiqua"/>
          <w:lang w:eastAsia="zh-CN"/>
        </w:rPr>
        <w:t xml:space="preserve">; </w:t>
      </w:r>
      <w:r w:rsidRPr="00C75910">
        <w:rPr>
          <w:rFonts w:ascii="Book Antiqua" w:hAnsi="Book Antiqua"/>
        </w:rPr>
        <w:t>Critical revision of the manuscript for important intellectual content</w:t>
      </w:r>
      <w:r w:rsidRPr="00C75910">
        <w:rPr>
          <w:rFonts w:ascii="Book Antiqua" w:hAnsi="Book Antiqua"/>
          <w:lang w:eastAsia="zh-CN"/>
        </w:rPr>
        <w:t xml:space="preserve">; </w:t>
      </w:r>
      <w:r w:rsidRPr="00C75910">
        <w:rPr>
          <w:rFonts w:ascii="Book Antiqua" w:hAnsi="Book Antiqua"/>
        </w:rPr>
        <w:t>Zhang</w:t>
      </w:r>
      <w:r w:rsidRPr="00C75910">
        <w:rPr>
          <w:rFonts w:ascii="Book Antiqua" w:hAnsi="Book Antiqua"/>
          <w:lang w:eastAsia="zh-CN"/>
        </w:rPr>
        <w:t xml:space="preserve"> R and</w:t>
      </w:r>
      <w:r w:rsidRPr="00C75910">
        <w:rPr>
          <w:rFonts w:ascii="Book Antiqua" w:hAnsi="Book Antiqua"/>
        </w:rPr>
        <w:t xml:space="preserve"> Huang</w:t>
      </w:r>
      <w:r w:rsidRPr="00C75910">
        <w:rPr>
          <w:rFonts w:ascii="Book Antiqua" w:hAnsi="Book Antiqua"/>
          <w:lang w:eastAsia="zh-CN"/>
        </w:rPr>
        <w:t xml:space="preserve"> YJ</w:t>
      </w:r>
      <w:r w:rsidR="00764E14">
        <w:rPr>
          <w:rFonts w:ascii="Book Antiqua" w:hAnsi="Book Antiqua"/>
          <w:lang w:eastAsia="zh-CN"/>
        </w:rPr>
        <w:t xml:space="preserve"> </w:t>
      </w:r>
      <w:r w:rsidRPr="00C75910">
        <w:rPr>
          <w:rFonts w:ascii="Book Antiqua" w:hAnsi="Book Antiqua"/>
          <w:lang w:eastAsia="zh-CN"/>
        </w:rPr>
        <w:t xml:space="preserve">contributed to </w:t>
      </w:r>
      <w:r w:rsidRPr="00C75910">
        <w:rPr>
          <w:rFonts w:ascii="Book Antiqua" w:hAnsi="Book Antiqua"/>
        </w:rPr>
        <w:t>statistical analysis</w:t>
      </w:r>
      <w:r w:rsidRPr="00C75910">
        <w:rPr>
          <w:rFonts w:ascii="Book Antiqua" w:hAnsi="Book Antiqua"/>
          <w:lang w:eastAsia="zh-CN"/>
        </w:rPr>
        <w:t>;</w:t>
      </w:r>
      <w:r w:rsidRPr="00C75910">
        <w:rPr>
          <w:rFonts w:ascii="Book Antiqua" w:hAnsi="Book Antiqua"/>
        </w:rPr>
        <w:t xml:space="preserve"> </w:t>
      </w:r>
      <w:proofErr w:type="spellStart"/>
      <w:r w:rsidRPr="00C75910">
        <w:rPr>
          <w:rFonts w:ascii="Book Antiqua" w:hAnsi="Book Antiqua"/>
        </w:rPr>
        <w:t>Kutner</w:t>
      </w:r>
      <w:proofErr w:type="spellEnd"/>
      <w:r w:rsidRPr="00C75910">
        <w:rPr>
          <w:rFonts w:ascii="Book Antiqua" w:hAnsi="Book Antiqua"/>
          <w:lang w:eastAsia="zh-CN"/>
        </w:rPr>
        <w:t xml:space="preserve"> NG </w:t>
      </w:r>
      <w:r w:rsidRPr="00C75910">
        <w:rPr>
          <w:rFonts w:ascii="Book Antiqua" w:hAnsi="Book Antiqua"/>
        </w:rPr>
        <w:t>obtained funding</w:t>
      </w:r>
      <w:r w:rsidRPr="00C75910">
        <w:rPr>
          <w:rFonts w:ascii="Book Antiqua" w:hAnsi="Book Antiqua"/>
          <w:lang w:eastAsia="zh-CN"/>
        </w:rPr>
        <w:t xml:space="preserve">, </w:t>
      </w:r>
      <w:r w:rsidRPr="00C75910">
        <w:rPr>
          <w:rFonts w:ascii="Book Antiqua" w:hAnsi="Book Antiqua"/>
        </w:rPr>
        <w:t>administrative, technical, or material support</w:t>
      </w:r>
      <w:r w:rsidRPr="00C75910">
        <w:rPr>
          <w:rFonts w:ascii="Book Antiqua" w:hAnsi="Book Antiqua"/>
          <w:lang w:eastAsia="zh-CN"/>
        </w:rPr>
        <w:t xml:space="preserve">; </w:t>
      </w:r>
      <w:proofErr w:type="spellStart"/>
      <w:r w:rsidRPr="00C75910">
        <w:rPr>
          <w:rFonts w:ascii="Book Antiqua" w:hAnsi="Book Antiqua"/>
        </w:rPr>
        <w:t>Kutner</w:t>
      </w:r>
      <w:proofErr w:type="spellEnd"/>
      <w:r w:rsidRPr="00C75910">
        <w:rPr>
          <w:rFonts w:ascii="Book Antiqua" w:hAnsi="Book Antiqua"/>
          <w:lang w:eastAsia="zh-CN"/>
        </w:rPr>
        <w:t xml:space="preserve"> NG and </w:t>
      </w:r>
      <w:proofErr w:type="spellStart"/>
      <w:r w:rsidRPr="00C75910">
        <w:rPr>
          <w:rFonts w:ascii="Book Antiqua" w:hAnsi="Book Antiqua"/>
        </w:rPr>
        <w:t>Wasse</w:t>
      </w:r>
      <w:proofErr w:type="spellEnd"/>
      <w:r w:rsidRPr="00C75910">
        <w:rPr>
          <w:rFonts w:ascii="Book Antiqua" w:hAnsi="Book Antiqua"/>
          <w:lang w:eastAsia="zh-CN"/>
        </w:rPr>
        <w:t xml:space="preserve"> H</w:t>
      </w:r>
      <w:r w:rsidRPr="00C75910">
        <w:rPr>
          <w:rFonts w:ascii="Book Antiqua" w:hAnsi="Book Antiqua"/>
        </w:rPr>
        <w:t xml:space="preserve"> </w:t>
      </w:r>
      <w:r w:rsidRPr="00C75910">
        <w:rPr>
          <w:rFonts w:ascii="Book Antiqua" w:hAnsi="Book Antiqua"/>
          <w:lang w:eastAsia="zh-CN"/>
        </w:rPr>
        <w:t xml:space="preserve">contributed to </w:t>
      </w:r>
      <w:r w:rsidRPr="00C75910">
        <w:rPr>
          <w:rFonts w:ascii="Book Antiqua" w:hAnsi="Book Antiqua"/>
        </w:rPr>
        <w:t>study supervision</w:t>
      </w:r>
      <w:r w:rsidRPr="00C75910">
        <w:rPr>
          <w:rFonts w:ascii="Book Antiqua" w:hAnsi="Book Antiqua"/>
          <w:lang w:eastAsia="zh-CN"/>
        </w:rPr>
        <w:t>.</w:t>
      </w:r>
    </w:p>
    <w:p w:rsidR="00AF081E" w:rsidRDefault="00AF081E" w:rsidP="00C75910">
      <w:pPr>
        <w:spacing w:line="360" w:lineRule="auto"/>
        <w:jc w:val="both"/>
        <w:rPr>
          <w:rFonts w:ascii="Book Antiqua" w:hAnsi="Book Antiqua"/>
          <w:lang w:eastAsia="zh-CN"/>
        </w:rPr>
      </w:pPr>
    </w:p>
    <w:p w:rsidR="00C75910" w:rsidRPr="00C75910" w:rsidRDefault="00C75910" w:rsidP="00C75910">
      <w:pPr>
        <w:spacing w:line="360" w:lineRule="auto"/>
        <w:jc w:val="both"/>
        <w:rPr>
          <w:rFonts w:ascii="Book Antiqua" w:hAnsi="Book Antiqua"/>
        </w:rPr>
      </w:pPr>
      <w:proofErr w:type="gramStart"/>
      <w:r w:rsidRPr="00C75910">
        <w:rPr>
          <w:rFonts w:ascii="Book Antiqua" w:hAnsi="Book Antiqua"/>
          <w:b/>
        </w:rPr>
        <w:t>Supported by</w:t>
      </w:r>
      <w:r w:rsidRPr="00C75910">
        <w:rPr>
          <w:rFonts w:ascii="Book Antiqua" w:hAnsi="Book Antiqua"/>
        </w:rPr>
        <w:t xml:space="preserve"> National Institutes of Health contract HHSN267200715004C, ADB No.</w:t>
      </w:r>
      <w:proofErr w:type="gramEnd"/>
      <w:r w:rsidRPr="00C75910">
        <w:rPr>
          <w:rFonts w:ascii="Book Antiqua" w:hAnsi="Book Antiqua"/>
        </w:rPr>
        <w:t xml:space="preserve"> N01-DK-7-5004</w:t>
      </w:r>
      <w:r w:rsidR="00AF081E">
        <w:rPr>
          <w:rFonts w:ascii="Book Antiqua" w:hAnsi="Book Antiqua" w:hint="eastAsia"/>
          <w:lang w:eastAsia="zh-CN"/>
        </w:rPr>
        <w:t xml:space="preserve"> </w:t>
      </w:r>
      <w:r w:rsidR="00AF081E" w:rsidRPr="00C75910">
        <w:rPr>
          <w:rFonts w:ascii="Book Antiqua" w:hAnsi="Book Antiqua"/>
        </w:rPr>
        <w:t xml:space="preserve">(Dr. </w:t>
      </w:r>
      <w:proofErr w:type="spellStart"/>
      <w:r w:rsidR="00AF081E" w:rsidRPr="00C75910">
        <w:rPr>
          <w:rFonts w:ascii="Book Antiqua" w:hAnsi="Book Antiqua"/>
        </w:rPr>
        <w:t>Kutner</w:t>
      </w:r>
      <w:proofErr w:type="spellEnd"/>
      <w:r w:rsidR="00AF081E" w:rsidRPr="00C75910">
        <w:rPr>
          <w:rFonts w:ascii="Book Antiqua" w:hAnsi="Book Antiqua"/>
        </w:rPr>
        <w:t>)</w:t>
      </w:r>
    </w:p>
    <w:p w:rsidR="00C75910" w:rsidRPr="00C75910" w:rsidRDefault="00C75910" w:rsidP="00C75910">
      <w:pPr>
        <w:spacing w:line="360" w:lineRule="auto"/>
        <w:jc w:val="both"/>
        <w:rPr>
          <w:rFonts w:ascii="Book Antiqua" w:hAnsi="Book Antiqua"/>
        </w:rPr>
      </w:pPr>
    </w:p>
    <w:p w:rsidR="00C75910" w:rsidRPr="00C75910" w:rsidRDefault="00C75910" w:rsidP="00C75910">
      <w:pPr>
        <w:spacing w:line="360" w:lineRule="auto"/>
        <w:jc w:val="both"/>
        <w:rPr>
          <w:rStyle w:val="a5"/>
          <w:rFonts w:ascii="Book Antiqua" w:hAnsi="Book Antiqua"/>
          <w:lang w:eastAsia="zh-CN"/>
        </w:rPr>
      </w:pPr>
      <w:r w:rsidRPr="00C75910">
        <w:rPr>
          <w:rFonts w:ascii="Book Antiqua" w:hAnsi="Book Antiqua"/>
          <w:b/>
        </w:rPr>
        <w:t xml:space="preserve">Correspondence to: </w:t>
      </w:r>
      <w:r w:rsidRPr="00DC6884">
        <w:rPr>
          <w:rFonts w:ascii="Book Antiqua" w:hAnsi="Book Antiqua"/>
          <w:b/>
        </w:rPr>
        <w:t xml:space="preserve">Nancy G </w:t>
      </w:r>
      <w:proofErr w:type="spellStart"/>
      <w:r w:rsidRPr="00DC6884">
        <w:rPr>
          <w:rFonts w:ascii="Book Antiqua" w:hAnsi="Book Antiqua"/>
          <w:b/>
        </w:rPr>
        <w:t>Kutner</w:t>
      </w:r>
      <w:proofErr w:type="spellEnd"/>
      <w:r w:rsidRPr="00DC6884">
        <w:rPr>
          <w:rFonts w:ascii="Book Antiqua" w:hAnsi="Book Antiqua"/>
          <w:b/>
        </w:rPr>
        <w:t xml:space="preserve">, PhD, </w:t>
      </w:r>
      <w:r w:rsidRPr="00C75910">
        <w:rPr>
          <w:rFonts w:ascii="Book Antiqua" w:hAnsi="Book Antiqua"/>
        </w:rPr>
        <w:t>Dep</w:t>
      </w:r>
      <w:r w:rsidRPr="00C75910">
        <w:rPr>
          <w:rFonts w:ascii="Book Antiqua" w:hAnsi="Book Antiqua"/>
          <w:lang w:eastAsia="zh-CN"/>
        </w:rPr>
        <w:t>ar</w:t>
      </w:r>
      <w:r w:rsidRPr="00C75910">
        <w:rPr>
          <w:rFonts w:ascii="Book Antiqua" w:hAnsi="Book Antiqua"/>
        </w:rPr>
        <w:t>t</w:t>
      </w:r>
      <w:r w:rsidRPr="00C75910">
        <w:rPr>
          <w:rFonts w:ascii="Book Antiqua" w:hAnsi="Book Antiqua"/>
          <w:lang w:eastAsia="zh-CN"/>
        </w:rPr>
        <w:t>ment</w:t>
      </w:r>
      <w:r w:rsidRPr="00C75910">
        <w:rPr>
          <w:rFonts w:ascii="Book Antiqua" w:hAnsi="Book Antiqua"/>
        </w:rPr>
        <w:t xml:space="preserve"> of Rehabilitation Medicine, Emory University, 1441 Clifton Rd NE, Atlanta, GA 30322</w:t>
      </w:r>
      <w:r w:rsidR="00DC6884">
        <w:rPr>
          <w:rFonts w:ascii="Book Antiqua" w:hAnsi="Book Antiqua" w:hint="eastAsia"/>
          <w:lang w:eastAsia="zh-CN"/>
        </w:rPr>
        <w:t>,</w:t>
      </w:r>
      <w:r w:rsidRPr="00C75910">
        <w:rPr>
          <w:rFonts w:ascii="Book Antiqua" w:hAnsi="Book Antiqua"/>
        </w:rPr>
        <w:t xml:space="preserve"> U</w:t>
      </w:r>
      <w:r w:rsidRPr="00C75910">
        <w:rPr>
          <w:rFonts w:ascii="Book Antiqua" w:hAnsi="Book Antiqua"/>
          <w:lang w:eastAsia="zh-CN"/>
        </w:rPr>
        <w:t xml:space="preserve">nited </w:t>
      </w:r>
      <w:r w:rsidRPr="00C75910">
        <w:rPr>
          <w:rFonts w:ascii="Book Antiqua" w:hAnsi="Book Antiqua"/>
        </w:rPr>
        <w:t>S</w:t>
      </w:r>
      <w:r w:rsidRPr="00C75910">
        <w:rPr>
          <w:rFonts w:ascii="Book Antiqua" w:hAnsi="Book Antiqua"/>
          <w:lang w:eastAsia="zh-CN"/>
        </w:rPr>
        <w:t>tates.</w:t>
      </w:r>
      <w:r w:rsidRPr="00C75910">
        <w:rPr>
          <w:rFonts w:ascii="Book Antiqua" w:hAnsi="Book Antiqua"/>
        </w:rPr>
        <w:t xml:space="preserve"> </w:t>
      </w:r>
      <w:hyperlink r:id="rId8" w:history="1">
        <w:r w:rsidRPr="006855BF">
          <w:rPr>
            <w:rStyle w:val="a5"/>
            <w:rFonts w:ascii="Book Antiqua" w:hAnsi="Book Antiqua"/>
            <w:u w:val="none"/>
          </w:rPr>
          <w:t>nkutner@emory.edu</w:t>
        </w:r>
      </w:hyperlink>
    </w:p>
    <w:p w:rsidR="00C75910" w:rsidRPr="00C75910" w:rsidRDefault="00C75910" w:rsidP="00C75910">
      <w:pPr>
        <w:spacing w:line="360" w:lineRule="auto"/>
        <w:jc w:val="both"/>
        <w:rPr>
          <w:rFonts w:ascii="Book Antiqua" w:hAnsi="Book Antiqua"/>
          <w:lang w:eastAsia="zh-CN"/>
        </w:rPr>
      </w:pPr>
    </w:p>
    <w:p w:rsidR="00C75910" w:rsidRPr="00C75910" w:rsidRDefault="00C75910" w:rsidP="00C75910">
      <w:pPr>
        <w:spacing w:line="360" w:lineRule="auto"/>
        <w:jc w:val="both"/>
        <w:rPr>
          <w:rFonts w:ascii="Book Antiqua" w:hAnsi="Book Antiqua"/>
          <w:lang w:eastAsia="zh-CN"/>
        </w:rPr>
      </w:pPr>
      <w:r w:rsidRPr="00C75910">
        <w:rPr>
          <w:rFonts w:ascii="Book Antiqua" w:hAnsi="Book Antiqua"/>
          <w:b/>
        </w:rPr>
        <w:t xml:space="preserve">Telephone: </w:t>
      </w:r>
      <w:r w:rsidRPr="00C75910">
        <w:rPr>
          <w:rFonts w:ascii="Book Antiqua" w:hAnsi="Book Antiqua"/>
          <w:lang w:eastAsia="zh-CN"/>
        </w:rPr>
        <w:t>+1-</w:t>
      </w:r>
      <w:r w:rsidRPr="00C75910">
        <w:rPr>
          <w:rFonts w:ascii="Book Antiqua" w:hAnsi="Book Antiqua"/>
        </w:rPr>
        <w:t xml:space="preserve">404-7125561 </w:t>
      </w:r>
      <w:r w:rsidRPr="00C75910">
        <w:rPr>
          <w:rFonts w:ascii="Book Antiqua" w:hAnsi="Book Antiqua"/>
          <w:b/>
        </w:rPr>
        <w:t>Fax:</w:t>
      </w:r>
      <w:r w:rsidRPr="00C75910">
        <w:rPr>
          <w:rFonts w:ascii="Book Antiqua" w:hAnsi="Book Antiqua"/>
        </w:rPr>
        <w:t xml:space="preserve"> </w:t>
      </w:r>
      <w:r w:rsidRPr="00C75910">
        <w:rPr>
          <w:rFonts w:ascii="Book Antiqua" w:hAnsi="Book Antiqua"/>
          <w:lang w:eastAsia="zh-CN"/>
        </w:rPr>
        <w:t>+1-</w:t>
      </w:r>
      <w:r w:rsidRPr="00C75910">
        <w:rPr>
          <w:rFonts w:ascii="Book Antiqua" w:hAnsi="Book Antiqua"/>
        </w:rPr>
        <w:t>404-7125895</w:t>
      </w:r>
    </w:p>
    <w:p w:rsidR="00FA39F2" w:rsidRPr="00C75910" w:rsidRDefault="00FA39F2" w:rsidP="00C75910">
      <w:pPr>
        <w:spacing w:line="360" w:lineRule="auto"/>
        <w:jc w:val="both"/>
        <w:rPr>
          <w:rFonts w:ascii="Book Antiqua" w:hAnsi="Book Antiqua"/>
          <w:lang w:eastAsia="zh-CN"/>
        </w:rPr>
      </w:pPr>
    </w:p>
    <w:p w:rsidR="00C75910" w:rsidRPr="00C75910" w:rsidRDefault="00C75910" w:rsidP="00C75910">
      <w:pPr>
        <w:spacing w:line="360" w:lineRule="auto"/>
        <w:jc w:val="both"/>
        <w:rPr>
          <w:rFonts w:ascii="Book Antiqua" w:hAnsi="Book Antiqua"/>
          <w:b/>
        </w:rPr>
      </w:pPr>
      <w:r w:rsidRPr="00C75910">
        <w:rPr>
          <w:rFonts w:ascii="Book Antiqua" w:hAnsi="Book Antiqua"/>
          <w:b/>
        </w:rPr>
        <w:t xml:space="preserve">Received: </w:t>
      </w:r>
      <w:r w:rsidRPr="00C75910">
        <w:rPr>
          <w:rFonts w:ascii="Book Antiqua" w:hAnsi="Book Antiqua"/>
          <w:lang w:eastAsia="zh-CN"/>
        </w:rPr>
        <w:t>April 13, 2014</w:t>
      </w:r>
      <w:r w:rsidRPr="00C75910">
        <w:rPr>
          <w:rFonts w:ascii="Book Antiqua" w:hAnsi="Book Antiqua"/>
        </w:rPr>
        <w:t xml:space="preserve"> </w:t>
      </w:r>
      <w:r w:rsidRPr="00C75910">
        <w:rPr>
          <w:rFonts w:ascii="Book Antiqua" w:hAnsi="Book Antiqua"/>
          <w:b/>
        </w:rPr>
        <w:t xml:space="preserve">Revised: </w:t>
      </w:r>
      <w:r w:rsidRPr="00C75910">
        <w:rPr>
          <w:rFonts w:ascii="Book Antiqua" w:hAnsi="Book Antiqua"/>
          <w:lang w:eastAsia="zh-CN"/>
        </w:rPr>
        <w:t>June 17, 2014</w:t>
      </w:r>
      <w:r w:rsidRPr="00C75910">
        <w:rPr>
          <w:rFonts w:ascii="Book Antiqua" w:hAnsi="Book Antiqua"/>
        </w:rPr>
        <w:t xml:space="preserve"> </w:t>
      </w:r>
    </w:p>
    <w:p w:rsidR="006855BF" w:rsidRDefault="00C75910" w:rsidP="006855BF">
      <w:pPr>
        <w:rPr>
          <w:rFonts w:ascii="Book Antiqua" w:hAnsi="Book Antiqua"/>
          <w:color w:val="000000"/>
        </w:rPr>
      </w:pPr>
      <w:r w:rsidRPr="00C75910">
        <w:rPr>
          <w:rFonts w:ascii="Book Antiqua" w:hAnsi="Book Antiqua"/>
          <w:b/>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r w:rsidR="006855BF">
        <w:rPr>
          <w:rFonts w:ascii="Book Antiqua" w:hAnsi="Book Antiqua"/>
          <w:b/>
        </w:rPr>
        <w:t xml:space="preserve"> </w:t>
      </w:r>
      <w:r w:rsidR="006855BF">
        <w:rPr>
          <w:rFonts w:ascii="Book Antiqua" w:hAnsi="Book Antiqua"/>
          <w:color w:val="000000"/>
        </w:rPr>
        <w:t>July 15,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C75910" w:rsidRPr="00C75910" w:rsidRDefault="00C75910" w:rsidP="00C75910">
      <w:pPr>
        <w:spacing w:line="360" w:lineRule="auto"/>
        <w:jc w:val="both"/>
        <w:rPr>
          <w:rFonts w:ascii="Book Antiqua" w:hAnsi="Book Antiqua"/>
          <w:b/>
        </w:rPr>
      </w:pPr>
    </w:p>
    <w:p w:rsidR="00C75910" w:rsidRPr="00C75910" w:rsidRDefault="00C75910" w:rsidP="00C75910">
      <w:pPr>
        <w:spacing w:line="360" w:lineRule="auto"/>
        <w:jc w:val="both"/>
        <w:rPr>
          <w:rFonts w:ascii="Book Antiqua" w:hAnsi="Book Antiqua" w:cs="宋体"/>
          <w:bCs/>
          <w:color w:val="000000"/>
        </w:rPr>
      </w:pPr>
      <w:r w:rsidRPr="00C75910">
        <w:rPr>
          <w:rFonts w:ascii="Book Antiqua" w:hAnsi="Book Antiqua"/>
          <w:b/>
        </w:rPr>
        <w:t>Published online:</w:t>
      </w:r>
    </w:p>
    <w:p w:rsidR="00C75910" w:rsidRPr="00C75910" w:rsidRDefault="00C75910" w:rsidP="00C75910">
      <w:pPr>
        <w:spacing w:line="360" w:lineRule="auto"/>
        <w:jc w:val="both"/>
        <w:rPr>
          <w:rFonts w:ascii="Book Antiqua" w:hAnsi="Book Antiqua"/>
          <w:lang w:eastAsia="zh-CN"/>
        </w:rPr>
      </w:pPr>
    </w:p>
    <w:p w:rsidR="00FA39F2" w:rsidRPr="00C75910" w:rsidRDefault="00FA39F2" w:rsidP="00C75910">
      <w:pPr>
        <w:spacing w:line="360" w:lineRule="auto"/>
        <w:jc w:val="both"/>
        <w:rPr>
          <w:rFonts w:ascii="Book Antiqua" w:hAnsi="Book Antiqua"/>
          <w:lang w:eastAsia="zh-CN"/>
        </w:rPr>
      </w:pPr>
      <w:r w:rsidRPr="00C75910">
        <w:rPr>
          <w:rFonts w:ascii="Book Antiqua" w:hAnsi="Book Antiqua"/>
          <w:b/>
        </w:rPr>
        <w:t>Abstract</w:t>
      </w:r>
    </w:p>
    <w:p w:rsidR="00FA39F2" w:rsidRPr="00C75910" w:rsidRDefault="00FA39F2" w:rsidP="00C75910">
      <w:pPr>
        <w:spacing w:line="360" w:lineRule="auto"/>
        <w:jc w:val="both"/>
        <w:rPr>
          <w:rFonts w:ascii="Book Antiqua" w:hAnsi="Book Antiqua"/>
        </w:rPr>
      </w:pPr>
      <w:r w:rsidRPr="00C75910">
        <w:rPr>
          <w:rFonts w:ascii="Book Antiqua" w:hAnsi="Book Antiqua"/>
          <w:b/>
        </w:rPr>
        <w:t>AIM</w:t>
      </w:r>
      <w:r w:rsidRPr="00C75910">
        <w:rPr>
          <w:rFonts w:ascii="Book Antiqua" w:hAnsi="Book Antiqua"/>
        </w:rPr>
        <w:t>:</w:t>
      </w:r>
      <w:r w:rsidR="00C926D3" w:rsidRPr="00C75910">
        <w:rPr>
          <w:rFonts w:ascii="Book Antiqua" w:hAnsi="Book Antiqua"/>
        </w:rPr>
        <w:t xml:space="preserve"> To assess the association of measured gait speed with </w:t>
      </w:r>
      <w:r w:rsidR="00B57C6D" w:rsidRPr="00C75910">
        <w:rPr>
          <w:rFonts w:ascii="Book Antiqua" w:hAnsi="Book Antiqua"/>
        </w:rPr>
        <w:t xml:space="preserve">hemodialysis (HD) patients’ </w:t>
      </w:r>
      <w:r w:rsidR="00C926D3" w:rsidRPr="00C75910">
        <w:rPr>
          <w:rFonts w:ascii="Book Antiqua" w:hAnsi="Book Antiqua"/>
        </w:rPr>
        <w:t>hospitalization</w:t>
      </w:r>
      <w:r w:rsidR="00B57C6D" w:rsidRPr="00C75910">
        <w:rPr>
          <w:rFonts w:ascii="Book Antiqua" w:hAnsi="Book Antiqua"/>
        </w:rPr>
        <w:t>,</w:t>
      </w:r>
      <w:r w:rsidR="00C926D3" w:rsidRPr="00C75910">
        <w:rPr>
          <w:rFonts w:ascii="Book Antiqua" w:hAnsi="Book Antiqua"/>
        </w:rPr>
        <w:t xml:space="preserve"> in conjunction with, and apart from, recent fall history.</w:t>
      </w:r>
    </w:p>
    <w:p w:rsidR="002853D9" w:rsidRPr="00C75910" w:rsidRDefault="002853D9" w:rsidP="00C75910">
      <w:pPr>
        <w:spacing w:line="360" w:lineRule="auto"/>
        <w:jc w:val="both"/>
        <w:rPr>
          <w:rFonts w:ascii="Book Antiqua" w:hAnsi="Book Antiqua"/>
        </w:rPr>
      </w:pPr>
    </w:p>
    <w:p w:rsidR="00BD683F" w:rsidRPr="00C75910" w:rsidRDefault="00267272" w:rsidP="00C75910">
      <w:pPr>
        <w:spacing w:line="360" w:lineRule="auto"/>
        <w:jc w:val="both"/>
        <w:rPr>
          <w:rFonts w:ascii="Book Antiqua" w:hAnsi="Book Antiqua"/>
        </w:rPr>
      </w:pPr>
      <w:r w:rsidRPr="00C75910">
        <w:rPr>
          <w:rFonts w:ascii="Book Antiqua" w:hAnsi="Book Antiqua"/>
          <w:b/>
        </w:rPr>
        <w:t>METHODS</w:t>
      </w:r>
      <w:r w:rsidRPr="00C75910">
        <w:rPr>
          <w:rFonts w:ascii="Book Antiqua" w:hAnsi="Book Antiqua"/>
        </w:rPr>
        <w:t>:</w:t>
      </w:r>
      <w:r w:rsidR="00FE365F" w:rsidRPr="00C75910">
        <w:rPr>
          <w:rFonts w:ascii="Book Antiqua" w:hAnsi="Book Antiqua"/>
        </w:rPr>
        <w:t xml:space="preserve"> </w:t>
      </w:r>
      <w:r w:rsidR="0014607C" w:rsidRPr="00C75910">
        <w:rPr>
          <w:rFonts w:ascii="Book Antiqua" w:hAnsi="Book Antiqua"/>
        </w:rPr>
        <w:t>G</w:t>
      </w:r>
      <w:r w:rsidR="00B57C6D" w:rsidRPr="00C75910">
        <w:rPr>
          <w:rFonts w:ascii="Book Antiqua" w:hAnsi="Book Antiqua"/>
        </w:rPr>
        <w:t xml:space="preserve">ait speed </w:t>
      </w:r>
      <w:r w:rsidR="0014607C" w:rsidRPr="00C75910">
        <w:rPr>
          <w:rFonts w:ascii="Book Antiqua" w:hAnsi="Book Antiqua"/>
        </w:rPr>
        <w:t xml:space="preserve">was measured </w:t>
      </w:r>
      <w:r w:rsidR="00B57C6D" w:rsidRPr="00C75910">
        <w:rPr>
          <w:rFonts w:ascii="Book Antiqua" w:hAnsi="Book Antiqua"/>
        </w:rPr>
        <w:t>by a standard protocol</w:t>
      </w:r>
      <w:r w:rsidR="00BD683F" w:rsidRPr="00C75910">
        <w:rPr>
          <w:rFonts w:ascii="Book Antiqua" w:hAnsi="Book Antiqua"/>
        </w:rPr>
        <w:t xml:space="preserve"> and f</w:t>
      </w:r>
      <w:r w:rsidR="00FE365F" w:rsidRPr="00C75910">
        <w:rPr>
          <w:rFonts w:ascii="Book Antiqua" w:hAnsi="Book Antiqua"/>
        </w:rPr>
        <w:t>alls during the</w:t>
      </w:r>
      <w:r w:rsidR="00B57C6D" w:rsidRPr="00C75910">
        <w:rPr>
          <w:rFonts w:ascii="Book Antiqua" w:hAnsi="Book Antiqua"/>
        </w:rPr>
        <w:t xml:space="preserve"> past 12 </w:t>
      </w:r>
      <w:proofErr w:type="spellStart"/>
      <w:r w:rsidR="00B57C6D" w:rsidRPr="00C75910">
        <w:rPr>
          <w:rFonts w:ascii="Book Antiqua" w:hAnsi="Book Antiqua"/>
        </w:rPr>
        <w:t>mo</w:t>
      </w:r>
      <w:proofErr w:type="spellEnd"/>
      <w:r w:rsidR="00FE365F" w:rsidRPr="00C75910">
        <w:rPr>
          <w:rFonts w:ascii="Book Antiqua" w:hAnsi="Book Antiqua"/>
        </w:rPr>
        <w:t xml:space="preserve"> </w:t>
      </w:r>
      <w:r w:rsidR="0014607C" w:rsidRPr="00C75910">
        <w:rPr>
          <w:rFonts w:ascii="Book Antiqua" w:hAnsi="Book Antiqua"/>
        </w:rPr>
        <w:t xml:space="preserve">were ascertained </w:t>
      </w:r>
      <w:r w:rsidR="00FE365F" w:rsidRPr="00C75910">
        <w:rPr>
          <w:rFonts w:ascii="Book Antiqua" w:hAnsi="Book Antiqua"/>
        </w:rPr>
        <w:t>for a prevalent multi-center HD cohort (</w:t>
      </w:r>
      <w:r w:rsidR="00FE365F" w:rsidRPr="00C75910">
        <w:rPr>
          <w:rFonts w:ascii="Book Antiqua" w:hAnsi="Book Antiqua"/>
          <w:i/>
        </w:rPr>
        <w:t>n</w:t>
      </w:r>
      <w:r w:rsidR="00C75910" w:rsidRPr="00C75910">
        <w:rPr>
          <w:rFonts w:ascii="Book Antiqua" w:hAnsi="Book Antiqua"/>
          <w:lang w:eastAsia="zh-CN"/>
        </w:rPr>
        <w:t xml:space="preserve"> </w:t>
      </w:r>
      <w:r w:rsidR="00FE365F" w:rsidRPr="00C75910">
        <w:rPr>
          <w:rFonts w:ascii="Book Antiqua" w:hAnsi="Book Antiqua"/>
        </w:rPr>
        <w:t>=</w:t>
      </w:r>
      <w:r w:rsidR="00C75910" w:rsidRPr="00C75910">
        <w:rPr>
          <w:rFonts w:ascii="Book Antiqua" w:hAnsi="Book Antiqua"/>
          <w:lang w:eastAsia="zh-CN"/>
        </w:rPr>
        <w:t xml:space="preserve"> </w:t>
      </w:r>
      <w:r w:rsidR="000C33CB" w:rsidRPr="00C75910">
        <w:rPr>
          <w:rFonts w:ascii="Book Antiqua" w:hAnsi="Book Antiqua"/>
        </w:rPr>
        <w:t>6</w:t>
      </w:r>
      <w:r w:rsidR="00FE365F" w:rsidRPr="00C75910">
        <w:rPr>
          <w:rFonts w:ascii="Book Antiqua" w:hAnsi="Book Antiqua"/>
        </w:rPr>
        <w:t>6</w:t>
      </w:r>
      <w:r w:rsidR="000C33CB" w:rsidRPr="00C75910">
        <w:rPr>
          <w:rFonts w:ascii="Book Antiqua" w:hAnsi="Book Antiqua"/>
        </w:rPr>
        <w:t>8</w:t>
      </w:r>
      <w:r w:rsidR="00FE365F" w:rsidRPr="00C75910">
        <w:rPr>
          <w:rFonts w:ascii="Book Antiqua" w:hAnsi="Book Antiqua"/>
        </w:rPr>
        <w:t>) aged 20-92</w:t>
      </w:r>
      <w:r w:rsidR="00BD683F" w:rsidRPr="00C75910">
        <w:rPr>
          <w:rFonts w:ascii="Book Antiqua" w:hAnsi="Book Antiqua"/>
        </w:rPr>
        <w:t xml:space="preserve">. Hospitalization during the past 12 </w:t>
      </w:r>
      <w:proofErr w:type="spellStart"/>
      <w:r w:rsidR="00BD683F" w:rsidRPr="00C75910">
        <w:rPr>
          <w:rFonts w:ascii="Book Antiqua" w:hAnsi="Book Antiqua"/>
        </w:rPr>
        <w:t>mo</w:t>
      </w:r>
      <w:proofErr w:type="spellEnd"/>
      <w:r w:rsidR="00BD683F" w:rsidRPr="00C75910">
        <w:rPr>
          <w:rFonts w:ascii="Book Antiqua" w:hAnsi="Book Antiqua"/>
        </w:rPr>
        <w:t xml:space="preserve"> was identified in the patient’s clinic records, and the first hospitalization after gait speed assessment (or the competing event of death) was identified in the 2013 </w:t>
      </w:r>
      <w:r w:rsidR="00C75910" w:rsidRPr="00C75910">
        <w:rPr>
          <w:rFonts w:ascii="Book Antiqua" w:hAnsi="Book Antiqua"/>
        </w:rPr>
        <w:t>United States Renal Data System</w:t>
      </w:r>
      <w:r w:rsidR="00BD683F" w:rsidRPr="00C75910">
        <w:rPr>
          <w:rFonts w:ascii="Book Antiqua" w:hAnsi="Book Antiqua"/>
        </w:rPr>
        <w:t xml:space="preserve"> Standard Analysis Files. </w:t>
      </w:r>
    </w:p>
    <w:p w:rsidR="002853D9" w:rsidRPr="00C75910" w:rsidRDefault="002853D9" w:rsidP="00C75910">
      <w:pPr>
        <w:spacing w:line="360" w:lineRule="auto"/>
        <w:jc w:val="both"/>
        <w:rPr>
          <w:rFonts w:ascii="Book Antiqua" w:hAnsi="Book Antiqua"/>
        </w:rPr>
      </w:pPr>
    </w:p>
    <w:p w:rsidR="002853D9" w:rsidRPr="00C75910" w:rsidRDefault="00FA39F2" w:rsidP="00C75910">
      <w:pPr>
        <w:spacing w:line="360" w:lineRule="auto"/>
        <w:jc w:val="both"/>
        <w:rPr>
          <w:rFonts w:ascii="Book Antiqua" w:hAnsi="Book Antiqua"/>
        </w:rPr>
      </w:pPr>
      <w:r w:rsidRPr="00C75910">
        <w:rPr>
          <w:rFonts w:ascii="Book Antiqua" w:hAnsi="Book Antiqua"/>
          <w:b/>
        </w:rPr>
        <w:t>RESULTS</w:t>
      </w:r>
      <w:r w:rsidRPr="00C75910">
        <w:rPr>
          <w:rFonts w:ascii="Book Antiqua" w:hAnsi="Book Antiqua"/>
        </w:rPr>
        <w:t>:</w:t>
      </w:r>
      <w:r w:rsidR="00837A52" w:rsidRPr="00C75910">
        <w:rPr>
          <w:rFonts w:ascii="Book Antiqua" w:hAnsi="Book Antiqua"/>
        </w:rPr>
        <w:t xml:space="preserve"> Slow gait speed, defined as &lt;</w:t>
      </w:r>
      <w:r w:rsidR="00C75910" w:rsidRPr="00C75910">
        <w:rPr>
          <w:rFonts w:ascii="Book Antiqua" w:hAnsi="Book Antiqua"/>
          <w:lang w:eastAsia="zh-CN"/>
        </w:rPr>
        <w:t xml:space="preserve"> </w:t>
      </w:r>
      <w:r w:rsidR="00837A52" w:rsidRPr="00C75910">
        <w:rPr>
          <w:rFonts w:ascii="Book Antiqua" w:hAnsi="Book Antiqua"/>
        </w:rPr>
        <w:t>0.8</w:t>
      </w:r>
      <w:r w:rsidR="00C74ACB" w:rsidRPr="00C75910">
        <w:rPr>
          <w:rFonts w:ascii="Book Antiqua" w:hAnsi="Book Antiqua"/>
        </w:rPr>
        <w:t xml:space="preserve"> </w:t>
      </w:r>
      <w:r w:rsidR="00837A52" w:rsidRPr="00C75910">
        <w:rPr>
          <w:rFonts w:ascii="Book Antiqua" w:hAnsi="Book Antiqua"/>
        </w:rPr>
        <w:t xml:space="preserve">m/s, characterized 34.7% of the </w:t>
      </w:r>
      <w:r w:rsidR="000C33CB" w:rsidRPr="00C75910">
        <w:rPr>
          <w:rFonts w:ascii="Book Antiqua" w:hAnsi="Book Antiqua"/>
        </w:rPr>
        <w:t>patients</w:t>
      </w:r>
      <w:r w:rsidR="00837A52" w:rsidRPr="00C75910">
        <w:rPr>
          <w:rFonts w:ascii="Book Antiqua" w:hAnsi="Book Antiqua"/>
        </w:rPr>
        <w:t xml:space="preserve">, and 27.1% had experienced a recent fall. </w:t>
      </w:r>
      <w:r w:rsidR="00222919" w:rsidRPr="00C75910">
        <w:rPr>
          <w:rFonts w:ascii="Book Antiqua" w:hAnsi="Book Antiqua"/>
        </w:rPr>
        <w:t xml:space="preserve">Patients with slow gait speed </w:t>
      </w:r>
      <w:r w:rsidR="00C74ACB" w:rsidRPr="00C75910">
        <w:rPr>
          <w:rFonts w:ascii="Book Antiqua" w:hAnsi="Book Antiqua"/>
        </w:rPr>
        <w:t>but without a</w:t>
      </w:r>
      <w:r w:rsidR="00222919" w:rsidRPr="00C75910">
        <w:rPr>
          <w:rFonts w:ascii="Book Antiqua" w:hAnsi="Book Antiqua"/>
        </w:rPr>
        <w:t xml:space="preserve"> history of recent falls were 1.79 times more likely to have been </w:t>
      </w:r>
      <w:r w:rsidR="00222919" w:rsidRPr="00C75910">
        <w:rPr>
          <w:rFonts w:ascii="Book Antiqua" w:hAnsi="Book Antiqua"/>
        </w:rPr>
        <w:lastRenderedPageBreak/>
        <w:t xml:space="preserve">hospitalized </w:t>
      </w:r>
      <w:r w:rsidR="00DA4D13" w:rsidRPr="00C75910">
        <w:rPr>
          <w:rFonts w:ascii="Book Antiqua" w:hAnsi="Book Antiqua"/>
        </w:rPr>
        <w:t xml:space="preserve">during the past 12 </w:t>
      </w:r>
      <w:proofErr w:type="spellStart"/>
      <w:r w:rsidR="00DA4D13" w:rsidRPr="00C75910">
        <w:rPr>
          <w:rFonts w:ascii="Book Antiqua" w:hAnsi="Book Antiqua"/>
        </w:rPr>
        <w:t>mo</w:t>
      </w:r>
      <w:proofErr w:type="spellEnd"/>
      <w:r w:rsidR="00DA4D13" w:rsidRPr="00C75910">
        <w:rPr>
          <w:rFonts w:ascii="Book Antiqua" w:hAnsi="Book Antiqua"/>
        </w:rPr>
        <w:t xml:space="preserve"> </w:t>
      </w:r>
      <w:r w:rsidR="00C75910" w:rsidRPr="00C75910">
        <w:rPr>
          <w:rFonts w:ascii="Book Antiqua" w:hAnsi="Book Antiqua"/>
          <w:lang w:eastAsia="zh-CN"/>
        </w:rPr>
        <w:t>[</w:t>
      </w:r>
      <w:r w:rsidR="00C75910" w:rsidRPr="00C75910">
        <w:rPr>
          <w:rFonts w:ascii="Book Antiqua" w:eastAsia="华文仿宋" w:hAnsi="Book Antiqua"/>
        </w:rPr>
        <w:t>odds ratio</w:t>
      </w:r>
      <w:r w:rsidR="00C75910" w:rsidRPr="00C75910">
        <w:rPr>
          <w:rFonts w:ascii="Book Antiqua" w:hAnsi="Book Antiqua"/>
        </w:rPr>
        <w:t xml:space="preserve"> </w:t>
      </w:r>
      <w:r w:rsidR="00C75910" w:rsidRPr="00C75910">
        <w:rPr>
          <w:rFonts w:ascii="Book Antiqua" w:hAnsi="Book Antiqua"/>
          <w:lang w:eastAsia="zh-CN"/>
        </w:rPr>
        <w:t>(</w:t>
      </w:r>
      <w:r w:rsidR="00222919" w:rsidRPr="00C75910">
        <w:rPr>
          <w:rFonts w:ascii="Book Antiqua" w:hAnsi="Book Antiqua"/>
        </w:rPr>
        <w:t>OR</w:t>
      </w:r>
      <w:r w:rsidR="00C75910" w:rsidRPr="00C75910">
        <w:rPr>
          <w:rFonts w:ascii="Book Antiqua" w:hAnsi="Book Antiqua"/>
          <w:lang w:eastAsia="zh-CN"/>
        </w:rPr>
        <w:t>)</w:t>
      </w:r>
      <w:r w:rsidR="00A04548" w:rsidRPr="00C75910">
        <w:rPr>
          <w:rFonts w:ascii="Book Antiqua" w:hAnsi="Book Antiqua"/>
        </w:rPr>
        <w:t xml:space="preserve"> =</w:t>
      </w:r>
      <w:r w:rsidR="00C75910" w:rsidRPr="00C75910">
        <w:rPr>
          <w:rFonts w:ascii="Book Antiqua" w:hAnsi="Book Antiqua"/>
        </w:rPr>
        <w:t xml:space="preserve"> 1.79, 95%</w:t>
      </w:r>
      <w:r w:rsidR="00C75910" w:rsidRPr="00C75910">
        <w:rPr>
          <w:rFonts w:ascii="Book Antiqua" w:eastAsia="华文仿宋" w:hAnsi="Book Antiqua"/>
        </w:rPr>
        <w:t xml:space="preserve"> confidence interval</w:t>
      </w:r>
      <w:r w:rsidR="00C75910" w:rsidRPr="00C75910">
        <w:rPr>
          <w:rFonts w:ascii="Book Antiqua" w:hAnsi="Book Antiqua"/>
        </w:rPr>
        <w:t xml:space="preserve"> </w:t>
      </w:r>
      <w:r w:rsidR="00C75910" w:rsidRPr="00C75910">
        <w:rPr>
          <w:rFonts w:ascii="Book Antiqua" w:hAnsi="Book Antiqua"/>
          <w:lang w:eastAsia="zh-CN"/>
        </w:rPr>
        <w:t>(</w:t>
      </w:r>
      <w:r w:rsidR="00222919" w:rsidRPr="00C75910">
        <w:rPr>
          <w:rFonts w:ascii="Book Antiqua" w:hAnsi="Book Antiqua"/>
        </w:rPr>
        <w:t>CI</w:t>
      </w:r>
      <w:r w:rsidR="00C75910" w:rsidRPr="00C75910">
        <w:rPr>
          <w:rFonts w:ascii="Book Antiqua" w:hAnsi="Book Antiqua"/>
          <w:lang w:eastAsia="zh-CN"/>
        </w:rPr>
        <w:t>)</w:t>
      </w:r>
      <w:r w:rsidR="00A04548" w:rsidRPr="00C75910">
        <w:rPr>
          <w:rFonts w:ascii="Book Antiqua" w:hAnsi="Book Antiqua"/>
        </w:rPr>
        <w:t xml:space="preserve"> =</w:t>
      </w:r>
      <w:r w:rsidR="00222919" w:rsidRPr="00C75910">
        <w:rPr>
          <w:rFonts w:ascii="Book Antiqua" w:hAnsi="Book Antiqua"/>
        </w:rPr>
        <w:t xml:space="preserve"> 1.11, 2.88, </w:t>
      </w:r>
      <w:r w:rsidR="00222919" w:rsidRPr="00C75910">
        <w:rPr>
          <w:rFonts w:ascii="Book Antiqua" w:hAnsi="Book Antiqua"/>
          <w:i/>
        </w:rPr>
        <w:t>P</w:t>
      </w:r>
      <w:r w:rsidR="00222919" w:rsidRPr="00C75910">
        <w:rPr>
          <w:rFonts w:ascii="Book Antiqua" w:hAnsi="Book Antiqua"/>
        </w:rPr>
        <w:t xml:space="preserve"> = 0.02</w:t>
      </w:r>
      <w:r w:rsidR="00C75910" w:rsidRPr="00C75910">
        <w:rPr>
          <w:rFonts w:ascii="Book Antiqua" w:hAnsi="Book Antiqua"/>
          <w:lang w:eastAsia="zh-CN"/>
        </w:rPr>
        <w:t>]</w:t>
      </w:r>
      <w:r w:rsidR="00222919" w:rsidRPr="00C75910">
        <w:rPr>
          <w:rFonts w:ascii="Book Antiqua" w:hAnsi="Book Antiqua"/>
        </w:rPr>
        <w:t xml:space="preserve">, and patients with slow gait speed and a history of recent falls were over two times more likely to have been hospitalized </w:t>
      </w:r>
      <w:r w:rsidR="00B57C6D" w:rsidRPr="00C75910">
        <w:rPr>
          <w:rFonts w:ascii="Book Antiqua" w:hAnsi="Book Antiqua"/>
        </w:rPr>
        <w:t>(OR</w:t>
      </w:r>
      <w:r w:rsidR="00A04548" w:rsidRPr="00C75910">
        <w:rPr>
          <w:rFonts w:ascii="Book Antiqua" w:hAnsi="Book Antiqua"/>
        </w:rPr>
        <w:t xml:space="preserve"> =</w:t>
      </w:r>
      <w:r w:rsidR="00C75910" w:rsidRPr="00C75910">
        <w:rPr>
          <w:rFonts w:ascii="Book Antiqua" w:hAnsi="Book Antiqua"/>
        </w:rPr>
        <w:t xml:space="preserve"> 2.10, 95%</w:t>
      </w:r>
      <w:r w:rsidR="00B57C6D" w:rsidRPr="00C75910">
        <w:rPr>
          <w:rFonts w:ascii="Book Antiqua" w:hAnsi="Book Antiqua"/>
        </w:rPr>
        <w:t>CI</w:t>
      </w:r>
      <w:r w:rsidR="00A04548" w:rsidRPr="00C75910">
        <w:rPr>
          <w:rFonts w:ascii="Book Antiqua" w:hAnsi="Book Antiqua"/>
        </w:rPr>
        <w:t xml:space="preserve"> =</w:t>
      </w:r>
      <w:r w:rsidR="00B57C6D" w:rsidRPr="00C75910">
        <w:rPr>
          <w:rFonts w:ascii="Book Antiqua" w:hAnsi="Book Antiqua"/>
        </w:rPr>
        <w:t xml:space="preserve"> 1.19, 3.73, </w:t>
      </w:r>
      <w:r w:rsidR="00B57C6D" w:rsidRPr="00C75910">
        <w:rPr>
          <w:rFonts w:ascii="Book Antiqua" w:hAnsi="Book Antiqua"/>
          <w:i/>
        </w:rPr>
        <w:t>P</w:t>
      </w:r>
      <w:r w:rsidR="00B57C6D" w:rsidRPr="00C75910">
        <w:rPr>
          <w:rFonts w:ascii="Book Antiqua" w:hAnsi="Book Antiqua"/>
        </w:rPr>
        <w:t xml:space="preserve"> = 0.01), </w:t>
      </w:r>
      <w:r w:rsidR="00222919" w:rsidRPr="00C75910">
        <w:rPr>
          <w:rFonts w:ascii="Book Antiqua" w:hAnsi="Book Antiqua"/>
        </w:rPr>
        <w:t>compared with patients having faster gait speed and no recent fall history</w:t>
      </w:r>
      <w:r w:rsidR="00C74ACB" w:rsidRPr="00C75910">
        <w:rPr>
          <w:rFonts w:ascii="Book Antiqua" w:hAnsi="Book Antiqua"/>
        </w:rPr>
        <w:t>.</w:t>
      </w:r>
      <w:r w:rsidR="00222919" w:rsidRPr="00C75910">
        <w:rPr>
          <w:rFonts w:ascii="Book Antiqua" w:hAnsi="Book Antiqua"/>
        </w:rPr>
        <w:t xml:space="preserve"> </w:t>
      </w:r>
      <w:r w:rsidR="00837A52" w:rsidRPr="00C75910">
        <w:rPr>
          <w:rFonts w:ascii="Book Antiqua" w:hAnsi="Book Antiqua"/>
        </w:rPr>
        <w:t>Prospective examination of gait speed/fall history status in relation to first hospitalization (or death) incurred by the end</w:t>
      </w:r>
      <w:r w:rsidR="00B57C6D" w:rsidRPr="00C75910">
        <w:rPr>
          <w:rFonts w:ascii="Book Antiqua" w:hAnsi="Book Antiqua"/>
        </w:rPr>
        <w:t xml:space="preserve"> of follow-up December 31, 2011</w:t>
      </w:r>
      <w:r w:rsidR="00837A52" w:rsidRPr="00C75910">
        <w:rPr>
          <w:rFonts w:ascii="Book Antiqua" w:hAnsi="Book Antiqua"/>
        </w:rPr>
        <w:t xml:space="preserve"> </w:t>
      </w:r>
      <w:r w:rsidR="00DA4D13" w:rsidRPr="00C75910">
        <w:rPr>
          <w:rFonts w:ascii="Book Antiqua" w:hAnsi="Book Antiqua"/>
        </w:rPr>
        <w:t xml:space="preserve">also </w:t>
      </w:r>
      <w:r w:rsidR="00837A52" w:rsidRPr="00C75910">
        <w:rPr>
          <w:rFonts w:ascii="Book Antiqua" w:hAnsi="Book Antiqua"/>
        </w:rPr>
        <w:t xml:space="preserve">showed that </w:t>
      </w:r>
      <w:r w:rsidR="00DA4D13" w:rsidRPr="00C75910">
        <w:rPr>
          <w:rFonts w:ascii="Book Antiqua" w:hAnsi="Book Antiqua"/>
        </w:rPr>
        <w:t>slow gait speed was associated with these events in conjunction with a h</w:t>
      </w:r>
      <w:r w:rsidR="00C75910" w:rsidRPr="00C75910">
        <w:rPr>
          <w:rFonts w:ascii="Book Antiqua" w:hAnsi="Book Antiqua"/>
        </w:rPr>
        <w:t>istory of falls (HR = 1.54, 95%</w:t>
      </w:r>
      <w:r w:rsidR="00DA4D13" w:rsidRPr="00C75910">
        <w:rPr>
          <w:rFonts w:ascii="Book Antiqua" w:hAnsi="Book Antiqua"/>
        </w:rPr>
        <w:t xml:space="preserve">CI = 1.04, 2.30, </w:t>
      </w:r>
      <w:r w:rsidR="00DA4D13" w:rsidRPr="00C75910">
        <w:rPr>
          <w:rFonts w:ascii="Book Antiqua" w:hAnsi="Book Antiqua"/>
          <w:i/>
        </w:rPr>
        <w:t>P</w:t>
      </w:r>
      <w:r w:rsidR="00DA4D13" w:rsidRPr="00C75910">
        <w:rPr>
          <w:rFonts w:ascii="Book Antiqua" w:hAnsi="Book Antiqua"/>
        </w:rPr>
        <w:t xml:space="preserve"> = 0.03).</w:t>
      </w:r>
    </w:p>
    <w:p w:rsidR="002853D9" w:rsidRPr="00C75910" w:rsidRDefault="002853D9" w:rsidP="00C75910">
      <w:pPr>
        <w:spacing w:line="360" w:lineRule="auto"/>
        <w:jc w:val="both"/>
        <w:rPr>
          <w:rFonts w:ascii="Book Antiqua" w:hAnsi="Book Antiqua"/>
        </w:rPr>
      </w:pPr>
    </w:p>
    <w:p w:rsidR="00B57C6D" w:rsidRPr="00C75910" w:rsidRDefault="00FA39F2" w:rsidP="00C75910">
      <w:pPr>
        <w:spacing w:line="360" w:lineRule="auto"/>
        <w:jc w:val="both"/>
        <w:rPr>
          <w:rFonts w:ascii="Book Antiqua" w:hAnsi="Book Antiqua"/>
        </w:rPr>
      </w:pPr>
      <w:r w:rsidRPr="00C75910">
        <w:rPr>
          <w:rFonts w:ascii="Book Antiqua" w:hAnsi="Book Antiqua"/>
          <w:b/>
        </w:rPr>
        <w:t>CONCLUSION</w:t>
      </w:r>
      <w:r w:rsidRPr="00C75910">
        <w:rPr>
          <w:rFonts w:ascii="Book Antiqua" w:hAnsi="Book Antiqua"/>
        </w:rPr>
        <w:t>:</w:t>
      </w:r>
      <w:r w:rsidR="0077493C" w:rsidRPr="00C75910">
        <w:rPr>
          <w:rFonts w:ascii="Book Antiqua" w:hAnsi="Book Antiqua"/>
        </w:rPr>
        <w:t xml:space="preserve"> </w:t>
      </w:r>
      <w:r w:rsidR="00672361" w:rsidRPr="00C75910">
        <w:rPr>
          <w:rFonts w:ascii="Book Antiqua" w:hAnsi="Book Antiqua"/>
        </w:rPr>
        <w:t xml:space="preserve">The International Task Force on Nutrition and Aging reported that gait speed is a powerful predictor </w:t>
      </w:r>
      <w:r w:rsidR="00B57C6D" w:rsidRPr="00C75910">
        <w:rPr>
          <w:rFonts w:ascii="Book Antiqua" w:hAnsi="Book Antiqua"/>
        </w:rPr>
        <w:t xml:space="preserve">for older adults </w:t>
      </w:r>
      <w:r w:rsidR="00672361" w:rsidRPr="00C75910">
        <w:rPr>
          <w:rFonts w:ascii="Book Antiqua" w:hAnsi="Book Antiqua"/>
        </w:rPr>
        <w:t>of adverse outcomes such as hospitalization. In our data, gait speed</w:t>
      </w:r>
      <w:r w:rsidR="002E7007" w:rsidRPr="00C75910">
        <w:rPr>
          <w:rFonts w:ascii="Book Antiqua" w:hAnsi="Book Antiqua"/>
        </w:rPr>
        <w:t>--apart from, as well as in conjunction with, recent fall history--</w:t>
      </w:r>
      <w:r w:rsidR="00672361" w:rsidRPr="00C75910">
        <w:rPr>
          <w:rFonts w:ascii="Book Antiqua" w:hAnsi="Book Antiqua"/>
        </w:rPr>
        <w:t>was associated with HD patients’ hospitalization</w:t>
      </w:r>
      <w:r w:rsidR="002E7007" w:rsidRPr="00C75910">
        <w:rPr>
          <w:rFonts w:ascii="Book Antiqua" w:hAnsi="Book Antiqua"/>
        </w:rPr>
        <w:t xml:space="preserve"> for multiple causes</w:t>
      </w:r>
      <w:r w:rsidR="00E850C1" w:rsidRPr="00C75910">
        <w:rPr>
          <w:rFonts w:ascii="Book Antiqua" w:hAnsi="Book Antiqua"/>
        </w:rPr>
        <w:t>.</w:t>
      </w:r>
      <w:r w:rsidR="002E7007" w:rsidRPr="00C75910">
        <w:rPr>
          <w:rFonts w:ascii="Book Antiqua" w:hAnsi="Book Antiqua"/>
        </w:rPr>
        <w:t xml:space="preserve"> G</w:t>
      </w:r>
      <w:r w:rsidR="00672361" w:rsidRPr="00C75910">
        <w:rPr>
          <w:rFonts w:ascii="Book Antiqua" w:hAnsi="Book Antiqua"/>
        </w:rPr>
        <w:t xml:space="preserve">ait speed </w:t>
      </w:r>
      <w:r w:rsidR="002E7007" w:rsidRPr="00C75910">
        <w:rPr>
          <w:rFonts w:ascii="Book Antiqua" w:hAnsi="Book Antiqua"/>
        </w:rPr>
        <w:t>may be</w:t>
      </w:r>
      <w:r w:rsidR="0014607C" w:rsidRPr="00C75910">
        <w:rPr>
          <w:rFonts w:ascii="Book Antiqua" w:hAnsi="Book Antiqua"/>
        </w:rPr>
        <w:t xml:space="preserve"> a sensitive health indicator amo</w:t>
      </w:r>
      <w:r w:rsidR="002E7007" w:rsidRPr="00C75910">
        <w:rPr>
          <w:rFonts w:ascii="Book Antiqua" w:hAnsi="Book Antiqua"/>
        </w:rPr>
        <w:t>ng HD patients across the age spectrum</w:t>
      </w:r>
      <w:r w:rsidR="0014607C" w:rsidRPr="00C75910">
        <w:rPr>
          <w:rFonts w:ascii="Book Antiqua" w:hAnsi="Book Antiqua"/>
        </w:rPr>
        <w:t>.</w:t>
      </w:r>
    </w:p>
    <w:p w:rsidR="00BF3F99" w:rsidRPr="00C75910" w:rsidRDefault="00BF3F99" w:rsidP="00C75910">
      <w:pPr>
        <w:spacing w:line="360" w:lineRule="auto"/>
        <w:jc w:val="both"/>
        <w:rPr>
          <w:rFonts w:ascii="Book Antiqua" w:hAnsi="Book Antiqua"/>
          <w:b/>
        </w:rPr>
      </w:pPr>
    </w:p>
    <w:p w:rsidR="00BF3F99" w:rsidRPr="00C75910" w:rsidRDefault="00C75910" w:rsidP="00C75910">
      <w:pPr>
        <w:spacing w:line="360" w:lineRule="auto"/>
        <w:jc w:val="both"/>
        <w:rPr>
          <w:rFonts w:ascii="Book Antiqua" w:hAnsi="Book Antiqua"/>
          <w:lang w:val="en-GB" w:eastAsia="zh-CN"/>
        </w:rPr>
      </w:pPr>
      <w:r w:rsidRPr="00C75910">
        <w:rPr>
          <w:rFonts w:ascii="Book Antiqua" w:hAnsi="Book Antiqua"/>
        </w:rPr>
        <w:t xml:space="preserve">© </w:t>
      </w:r>
      <w:r w:rsidRPr="00C75910">
        <w:rPr>
          <w:rFonts w:ascii="Book Antiqua" w:hAnsi="Book Antiqua"/>
          <w:lang w:val="en-GB"/>
        </w:rPr>
        <w:t xml:space="preserve">2014 </w:t>
      </w:r>
      <w:proofErr w:type="spellStart"/>
      <w:r w:rsidRPr="00C75910">
        <w:rPr>
          <w:rFonts w:ascii="Book Antiqua" w:hAnsi="Book Antiqua"/>
          <w:lang w:val="en-GB"/>
        </w:rPr>
        <w:t>Baishideng</w:t>
      </w:r>
      <w:proofErr w:type="spellEnd"/>
      <w:r w:rsidRPr="00C75910">
        <w:rPr>
          <w:rFonts w:ascii="Book Antiqua" w:hAnsi="Book Antiqua"/>
          <w:lang w:val="en-GB"/>
        </w:rPr>
        <w:t xml:space="preserve"> Publishing Group Inc. All rights reserved.</w:t>
      </w:r>
    </w:p>
    <w:p w:rsidR="00C75910" w:rsidRPr="00C75910" w:rsidRDefault="00C75910" w:rsidP="00C75910">
      <w:pPr>
        <w:spacing w:line="360" w:lineRule="auto"/>
        <w:jc w:val="both"/>
        <w:rPr>
          <w:rFonts w:ascii="Book Antiqua" w:hAnsi="Book Antiqua"/>
          <w:b/>
          <w:lang w:eastAsia="zh-CN"/>
        </w:rPr>
      </w:pPr>
    </w:p>
    <w:p w:rsidR="00A302D0" w:rsidRPr="00C75910" w:rsidRDefault="002853D9" w:rsidP="00C75910">
      <w:pPr>
        <w:spacing w:line="360" w:lineRule="auto"/>
        <w:jc w:val="both"/>
        <w:rPr>
          <w:rFonts w:ascii="Book Antiqua" w:hAnsi="Book Antiqua"/>
        </w:rPr>
      </w:pPr>
      <w:r w:rsidRPr="00C75910">
        <w:rPr>
          <w:rFonts w:ascii="Book Antiqua" w:hAnsi="Book Antiqua"/>
          <w:b/>
        </w:rPr>
        <w:t>Key words</w:t>
      </w:r>
      <w:r w:rsidRPr="00C75910">
        <w:rPr>
          <w:rFonts w:ascii="Book Antiqua" w:hAnsi="Book Antiqua"/>
        </w:rPr>
        <w:t>: Falls</w:t>
      </w:r>
      <w:r w:rsidR="00C75910" w:rsidRPr="00C75910">
        <w:rPr>
          <w:rFonts w:ascii="Book Antiqua" w:hAnsi="Book Antiqua"/>
          <w:lang w:eastAsia="zh-CN"/>
        </w:rPr>
        <w:t>;</w:t>
      </w:r>
      <w:r w:rsidRPr="00C75910">
        <w:rPr>
          <w:rFonts w:ascii="Book Antiqua" w:hAnsi="Book Antiqua"/>
        </w:rPr>
        <w:t xml:space="preserve"> Gait speed; Hemodialysis; Hospitalization; Walking disability</w:t>
      </w:r>
    </w:p>
    <w:p w:rsidR="00C75910" w:rsidRPr="00C75910" w:rsidRDefault="00C75910" w:rsidP="00C75910">
      <w:pPr>
        <w:spacing w:line="360" w:lineRule="auto"/>
        <w:jc w:val="both"/>
        <w:rPr>
          <w:rFonts w:ascii="Book Antiqua" w:hAnsi="Book Antiqua"/>
          <w:lang w:eastAsia="zh-CN"/>
        </w:rPr>
      </w:pPr>
    </w:p>
    <w:p w:rsidR="006664A2" w:rsidRPr="00C75910" w:rsidRDefault="00A302D0" w:rsidP="00C75910">
      <w:pPr>
        <w:spacing w:line="360" w:lineRule="auto"/>
        <w:jc w:val="both"/>
        <w:rPr>
          <w:rFonts w:ascii="Book Antiqua" w:hAnsi="Book Antiqua"/>
        </w:rPr>
      </w:pPr>
      <w:r w:rsidRPr="00C75910">
        <w:rPr>
          <w:rFonts w:ascii="Book Antiqua" w:hAnsi="Book Antiqua"/>
          <w:b/>
        </w:rPr>
        <w:t>Core tip:</w:t>
      </w:r>
      <w:r w:rsidRPr="00C75910">
        <w:rPr>
          <w:rFonts w:ascii="Book Antiqua" w:hAnsi="Book Antiqua"/>
        </w:rPr>
        <w:t xml:space="preserve"> </w:t>
      </w:r>
      <w:r w:rsidR="006664A2" w:rsidRPr="00C75910">
        <w:rPr>
          <w:rFonts w:ascii="Book Antiqua" w:hAnsi="Book Antiqua"/>
        </w:rPr>
        <w:t>Walking places demands on the heart, lungs, circulatory, nervous, and musculoskeletal systems. Studies of older adults support the prognostic importance of slowed gait speed for the risk of poor health and function, including hospitalization. However</w:t>
      </w:r>
      <w:r w:rsidR="00F40AB1" w:rsidRPr="00C75910">
        <w:rPr>
          <w:rFonts w:ascii="Book Antiqua" w:hAnsi="Book Antiqua"/>
        </w:rPr>
        <w:t xml:space="preserve">, little is known about the association of gait speed with </w:t>
      </w:r>
      <w:r w:rsidR="00C16D78" w:rsidRPr="00C75910">
        <w:rPr>
          <w:rFonts w:ascii="Book Antiqua" w:hAnsi="Book Antiqua"/>
        </w:rPr>
        <w:t>hemodialysis (HD) patient outcomes</w:t>
      </w:r>
      <w:r w:rsidR="00F40AB1" w:rsidRPr="00C75910">
        <w:rPr>
          <w:rFonts w:ascii="Book Antiqua" w:hAnsi="Book Antiqua"/>
        </w:rPr>
        <w:t>.</w:t>
      </w:r>
      <w:r w:rsidR="006664A2" w:rsidRPr="00C75910">
        <w:rPr>
          <w:rFonts w:ascii="Book Antiqua" w:hAnsi="Book Antiqua"/>
        </w:rPr>
        <w:t xml:space="preserve"> </w:t>
      </w:r>
      <w:r w:rsidR="00444803" w:rsidRPr="00C75910">
        <w:rPr>
          <w:rFonts w:ascii="Book Antiqua" w:hAnsi="Book Antiqua"/>
        </w:rPr>
        <w:t>The usual g</w:t>
      </w:r>
      <w:r w:rsidR="00C16D78" w:rsidRPr="00C75910">
        <w:rPr>
          <w:rFonts w:ascii="Book Antiqua" w:hAnsi="Book Antiqua"/>
        </w:rPr>
        <w:t xml:space="preserve">ait speed </w:t>
      </w:r>
      <w:r w:rsidR="00444803" w:rsidRPr="00C75910">
        <w:rPr>
          <w:rFonts w:ascii="Book Antiqua" w:hAnsi="Book Antiqua"/>
        </w:rPr>
        <w:t>of</w:t>
      </w:r>
      <w:r w:rsidR="00C16D78" w:rsidRPr="00C75910">
        <w:rPr>
          <w:rFonts w:ascii="Book Antiqua" w:hAnsi="Book Antiqua"/>
        </w:rPr>
        <w:t xml:space="preserve"> 668 HD pat</w:t>
      </w:r>
      <w:r w:rsidR="00444803" w:rsidRPr="00C75910">
        <w:rPr>
          <w:rFonts w:ascii="Book Antiqua" w:hAnsi="Book Antiqua"/>
        </w:rPr>
        <w:t>ients was measured in a United States Renal Data System special study.</w:t>
      </w:r>
      <w:r w:rsidR="00C16D78" w:rsidRPr="00C75910">
        <w:rPr>
          <w:rFonts w:ascii="Book Antiqua" w:hAnsi="Book Antiqua"/>
        </w:rPr>
        <w:t xml:space="preserve"> </w:t>
      </w:r>
      <w:r w:rsidR="006664A2" w:rsidRPr="00C75910">
        <w:rPr>
          <w:rFonts w:ascii="Book Antiqua" w:hAnsi="Book Antiqua"/>
        </w:rPr>
        <w:t>Slowed g</w:t>
      </w:r>
      <w:r w:rsidR="00C16D78" w:rsidRPr="00C75910">
        <w:rPr>
          <w:rFonts w:ascii="Book Antiqua" w:hAnsi="Book Antiqua"/>
        </w:rPr>
        <w:t>ait speed--apart from, as well as in conjunction with, recent fall history--</w:t>
      </w:r>
      <w:r w:rsidR="00C16D78" w:rsidRPr="00C75910">
        <w:rPr>
          <w:rFonts w:ascii="Book Antiqua" w:hAnsi="Book Antiqua"/>
        </w:rPr>
        <w:lastRenderedPageBreak/>
        <w:t>was associated with HD patients’ hospitalization for multiple causes.</w:t>
      </w:r>
      <w:r w:rsidR="006664A2" w:rsidRPr="00C75910">
        <w:rPr>
          <w:rFonts w:ascii="Book Antiqua" w:hAnsi="Book Antiqua"/>
        </w:rPr>
        <w:t xml:space="preserve"> Gait speed may be a useful monitoring tool in the HD clinical setting.</w:t>
      </w:r>
    </w:p>
    <w:p w:rsidR="00C75910" w:rsidRPr="00C75910" w:rsidRDefault="00C75910" w:rsidP="00C75910">
      <w:pPr>
        <w:spacing w:line="360" w:lineRule="auto"/>
        <w:jc w:val="both"/>
        <w:rPr>
          <w:rFonts w:ascii="Book Antiqua" w:hAnsi="Book Antiqua"/>
          <w:b/>
          <w:lang w:eastAsia="zh-CN"/>
        </w:rPr>
      </w:pPr>
    </w:p>
    <w:p w:rsidR="00C75910" w:rsidRPr="00C75910" w:rsidRDefault="00C75910" w:rsidP="00C75910">
      <w:pPr>
        <w:spacing w:line="360" w:lineRule="auto"/>
        <w:jc w:val="both"/>
        <w:rPr>
          <w:rFonts w:ascii="Book Antiqua" w:hAnsi="Book Antiqua"/>
          <w:lang w:eastAsia="zh-CN"/>
        </w:rPr>
      </w:pPr>
      <w:proofErr w:type="spellStart"/>
      <w:r w:rsidRPr="00C75910">
        <w:rPr>
          <w:rFonts w:ascii="Book Antiqua" w:hAnsi="Book Antiqua"/>
        </w:rPr>
        <w:t>Kutner</w:t>
      </w:r>
      <w:proofErr w:type="spellEnd"/>
      <w:r w:rsidRPr="00C75910">
        <w:rPr>
          <w:rFonts w:ascii="Book Antiqua" w:hAnsi="Book Antiqua"/>
          <w:lang w:eastAsia="zh-CN"/>
        </w:rPr>
        <w:t xml:space="preserve"> NG</w:t>
      </w:r>
      <w:r w:rsidRPr="00C75910">
        <w:rPr>
          <w:rFonts w:ascii="Book Antiqua" w:hAnsi="Book Antiqua"/>
        </w:rPr>
        <w:t>, Zhang</w:t>
      </w:r>
      <w:r w:rsidRPr="00C75910">
        <w:rPr>
          <w:rFonts w:ascii="Book Antiqua" w:hAnsi="Book Antiqua"/>
          <w:lang w:eastAsia="zh-CN"/>
        </w:rPr>
        <w:t xml:space="preserve"> R</w:t>
      </w:r>
      <w:r w:rsidRPr="00C75910">
        <w:rPr>
          <w:rFonts w:ascii="Book Antiqua" w:hAnsi="Book Antiqua"/>
        </w:rPr>
        <w:t>, Huang</w:t>
      </w:r>
      <w:r w:rsidRPr="00C75910">
        <w:rPr>
          <w:rFonts w:ascii="Book Antiqua" w:hAnsi="Book Antiqua"/>
          <w:lang w:eastAsia="zh-CN"/>
        </w:rPr>
        <w:t xml:space="preserve"> HJ</w:t>
      </w:r>
      <w:r w:rsidRPr="00C75910">
        <w:rPr>
          <w:rFonts w:ascii="Book Antiqua" w:hAnsi="Book Antiqua"/>
        </w:rPr>
        <w:t xml:space="preserve">, </w:t>
      </w:r>
      <w:proofErr w:type="spellStart"/>
      <w:r w:rsidRPr="00C75910">
        <w:rPr>
          <w:rFonts w:ascii="Book Antiqua" w:hAnsi="Book Antiqua"/>
        </w:rPr>
        <w:t>Wasse</w:t>
      </w:r>
      <w:proofErr w:type="spellEnd"/>
      <w:r w:rsidRPr="00C75910">
        <w:rPr>
          <w:rFonts w:ascii="Book Antiqua" w:hAnsi="Book Antiqua"/>
          <w:lang w:eastAsia="zh-CN"/>
        </w:rPr>
        <w:t xml:space="preserve"> H.</w:t>
      </w:r>
      <w:r w:rsidRPr="00C75910">
        <w:rPr>
          <w:rFonts w:ascii="Book Antiqua" w:hAnsi="Book Antiqua"/>
        </w:rPr>
        <w:t xml:space="preserve"> Gait speed and hospitalization among ambulatory hemodialysis patients: USRDS special study data</w:t>
      </w:r>
      <w:r w:rsidRPr="00C75910">
        <w:rPr>
          <w:rFonts w:ascii="Book Antiqua" w:hAnsi="Book Antiqua"/>
          <w:lang w:eastAsia="zh-CN"/>
        </w:rPr>
        <w:t>.</w:t>
      </w:r>
      <w:r w:rsidRPr="00C75910">
        <w:rPr>
          <w:rFonts w:ascii="Book Antiqua" w:hAnsi="Book Antiqua"/>
          <w:i/>
          <w:iCs/>
        </w:rPr>
        <w:t xml:space="preserve"> World J </w:t>
      </w:r>
      <w:proofErr w:type="spellStart"/>
      <w:r w:rsidRPr="00C75910">
        <w:rPr>
          <w:rFonts w:ascii="Book Antiqua" w:hAnsi="Book Antiqua"/>
          <w:i/>
          <w:iCs/>
        </w:rPr>
        <w:t>Nephrol</w:t>
      </w:r>
      <w:proofErr w:type="spellEnd"/>
      <w:r w:rsidRPr="00C75910">
        <w:rPr>
          <w:rFonts w:ascii="Book Antiqua" w:hAnsi="Book Antiqua"/>
          <w:i/>
          <w:iCs/>
          <w:lang w:eastAsia="zh-CN"/>
        </w:rPr>
        <w:t xml:space="preserve"> </w:t>
      </w:r>
      <w:r w:rsidRPr="00C75910">
        <w:rPr>
          <w:rFonts w:ascii="Book Antiqua" w:hAnsi="Book Antiqua"/>
          <w:iCs/>
          <w:lang w:eastAsia="zh-CN"/>
        </w:rPr>
        <w:t xml:space="preserve">2014; </w:t>
      </w:r>
      <w:proofErr w:type="gramStart"/>
      <w:r w:rsidRPr="00C75910">
        <w:rPr>
          <w:rFonts w:ascii="Book Antiqua" w:hAnsi="Book Antiqua"/>
          <w:iCs/>
          <w:lang w:eastAsia="zh-CN"/>
        </w:rPr>
        <w:t>In</w:t>
      </w:r>
      <w:proofErr w:type="gramEnd"/>
      <w:r w:rsidRPr="00C75910">
        <w:rPr>
          <w:rFonts w:ascii="Book Antiqua" w:hAnsi="Book Antiqua"/>
          <w:iCs/>
          <w:lang w:eastAsia="zh-CN"/>
        </w:rPr>
        <w:t xml:space="preserve"> press</w:t>
      </w:r>
    </w:p>
    <w:p w:rsidR="00C75910" w:rsidRPr="00C75910" w:rsidRDefault="00C75910" w:rsidP="00C75910">
      <w:pPr>
        <w:spacing w:line="360" w:lineRule="auto"/>
        <w:jc w:val="both"/>
        <w:rPr>
          <w:rFonts w:ascii="Book Antiqua" w:hAnsi="Book Antiqua"/>
          <w:lang w:eastAsia="zh-CN"/>
        </w:rPr>
      </w:pPr>
    </w:p>
    <w:p w:rsidR="002B5EA4" w:rsidRPr="00C75910" w:rsidRDefault="002B5EA4" w:rsidP="00C75910">
      <w:pPr>
        <w:spacing w:line="360" w:lineRule="auto"/>
        <w:jc w:val="both"/>
        <w:rPr>
          <w:rFonts w:ascii="Book Antiqua" w:hAnsi="Book Antiqua"/>
        </w:rPr>
      </w:pPr>
      <w:r w:rsidRPr="00C75910">
        <w:rPr>
          <w:rFonts w:ascii="Book Antiqua" w:hAnsi="Book Antiqua"/>
          <w:b/>
        </w:rPr>
        <w:t>INTRODUCTION</w:t>
      </w:r>
    </w:p>
    <w:p w:rsidR="00AA34B0" w:rsidRPr="00C75910" w:rsidRDefault="0077166D" w:rsidP="00C75910">
      <w:pPr>
        <w:spacing w:line="360" w:lineRule="auto"/>
        <w:jc w:val="both"/>
        <w:rPr>
          <w:rFonts w:ascii="Book Antiqua" w:hAnsi="Book Antiqua"/>
        </w:rPr>
      </w:pPr>
      <w:r w:rsidRPr="00C75910">
        <w:rPr>
          <w:rFonts w:ascii="Book Antiqua" w:hAnsi="Book Antiqua"/>
        </w:rPr>
        <w:t>The rate of</w:t>
      </w:r>
      <w:r w:rsidR="000D626F" w:rsidRPr="00C75910">
        <w:rPr>
          <w:rFonts w:ascii="Book Antiqua" w:hAnsi="Book Antiqua"/>
        </w:rPr>
        <w:t xml:space="preserve"> hospital admissions</w:t>
      </w:r>
      <w:r w:rsidRPr="00C75910">
        <w:rPr>
          <w:rFonts w:ascii="Book Antiqua" w:hAnsi="Book Antiqua"/>
        </w:rPr>
        <w:t xml:space="preserve"> among dialysis patients is </w:t>
      </w:r>
      <w:proofErr w:type="gramStart"/>
      <w:r w:rsidRPr="00C75910">
        <w:rPr>
          <w:rFonts w:ascii="Book Antiqua" w:hAnsi="Book Antiqua"/>
        </w:rPr>
        <w:t>high</w:t>
      </w:r>
      <w:r w:rsidR="00DF461B" w:rsidRPr="00C75910">
        <w:rPr>
          <w:rFonts w:ascii="Book Antiqua" w:hAnsi="Book Antiqua"/>
          <w:vertAlign w:val="superscript"/>
        </w:rPr>
        <w:t>[</w:t>
      </w:r>
      <w:proofErr w:type="gramEnd"/>
      <w:r w:rsidRPr="00C75910">
        <w:rPr>
          <w:rFonts w:ascii="Book Antiqua" w:hAnsi="Book Antiqua"/>
          <w:vertAlign w:val="superscript"/>
        </w:rPr>
        <w:t>1</w:t>
      </w:r>
      <w:r w:rsidR="00F37B16" w:rsidRPr="00C75910">
        <w:rPr>
          <w:rFonts w:ascii="Book Antiqua" w:hAnsi="Book Antiqua"/>
          <w:vertAlign w:val="superscript"/>
        </w:rPr>
        <w:t>]</w:t>
      </w:r>
      <w:r w:rsidR="00B90FE5" w:rsidRPr="00C75910">
        <w:rPr>
          <w:rFonts w:ascii="Book Antiqua" w:hAnsi="Book Antiqua"/>
        </w:rPr>
        <w:t>.</w:t>
      </w:r>
      <w:r w:rsidR="000D626F" w:rsidRPr="00C75910">
        <w:rPr>
          <w:rFonts w:ascii="Book Antiqua" w:hAnsi="Book Antiqua"/>
        </w:rPr>
        <w:t xml:space="preserve"> Hospi</w:t>
      </w:r>
      <w:r w:rsidRPr="00C75910">
        <w:rPr>
          <w:rFonts w:ascii="Book Antiqua" w:hAnsi="Book Antiqua"/>
        </w:rPr>
        <w:t>talization consumes a large portion of healthcare expenditures</w:t>
      </w:r>
      <w:r w:rsidR="000D626F" w:rsidRPr="00C75910">
        <w:rPr>
          <w:rFonts w:ascii="Book Antiqua" w:hAnsi="Book Antiqua"/>
        </w:rPr>
        <w:t xml:space="preserve"> and </w:t>
      </w:r>
      <w:r w:rsidRPr="00C75910">
        <w:rPr>
          <w:rFonts w:ascii="Book Antiqua" w:hAnsi="Book Antiqua"/>
        </w:rPr>
        <w:t xml:space="preserve">is associated with risk </w:t>
      </w:r>
      <w:r w:rsidR="000D626F" w:rsidRPr="00C75910">
        <w:rPr>
          <w:rFonts w:ascii="Book Antiqua" w:hAnsi="Book Antiqua"/>
        </w:rPr>
        <w:t>for the patient.</w:t>
      </w:r>
      <w:r w:rsidR="004D6E5F" w:rsidRPr="00C75910">
        <w:rPr>
          <w:rFonts w:ascii="Book Antiqua" w:hAnsi="Book Antiqua"/>
        </w:rPr>
        <w:t xml:space="preserve"> </w:t>
      </w:r>
      <w:r w:rsidR="00B0098C" w:rsidRPr="00C75910">
        <w:rPr>
          <w:rFonts w:ascii="Book Antiqua" w:hAnsi="Book Antiqua"/>
        </w:rPr>
        <w:t>Identifying and u</w:t>
      </w:r>
      <w:r w:rsidRPr="00C75910">
        <w:rPr>
          <w:rFonts w:ascii="Book Antiqua" w:hAnsi="Book Antiqua"/>
        </w:rPr>
        <w:t>nderstanding</w:t>
      </w:r>
      <w:r w:rsidR="004D6E5F" w:rsidRPr="00C75910">
        <w:rPr>
          <w:rFonts w:ascii="Book Antiqua" w:hAnsi="Book Antiqua"/>
        </w:rPr>
        <w:t xml:space="preserve"> factors that</w:t>
      </w:r>
      <w:r w:rsidR="001E2C60" w:rsidRPr="00C75910">
        <w:rPr>
          <w:rFonts w:ascii="Book Antiqua" w:hAnsi="Book Antiqua"/>
        </w:rPr>
        <w:t xml:space="preserve"> may lead up to hospitalization</w:t>
      </w:r>
      <w:r w:rsidR="006F6636" w:rsidRPr="00C75910">
        <w:rPr>
          <w:rFonts w:ascii="Book Antiqua" w:hAnsi="Book Antiqua"/>
        </w:rPr>
        <w:t xml:space="preserve"> is</w:t>
      </w:r>
      <w:r w:rsidRPr="00C75910">
        <w:rPr>
          <w:rFonts w:ascii="Book Antiqua" w:hAnsi="Book Antiqua"/>
        </w:rPr>
        <w:t xml:space="preserve"> important</w:t>
      </w:r>
      <w:r w:rsidR="006F6636" w:rsidRPr="00C75910">
        <w:rPr>
          <w:rFonts w:ascii="Book Antiqua" w:hAnsi="Book Antiqua"/>
        </w:rPr>
        <w:t xml:space="preserve"> for</w:t>
      </w:r>
      <w:r w:rsidR="004D6E5F" w:rsidRPr="00C75910">
        <w:rPr>
          <w:rFonts w:ascii="Book Antiqua" w:hAnsi="Book Antiqua"/>
        </w:rPr>
        <w:t xml:space="preserve"> </w:t>
      </w:r>
      <w:r w:rsidR="001E2C60" w:rsidRPr="00C75910">
        <w:rPr>
          <w:rFonts w:ascii="Book Antiqua" w:hAnsi="Book Antiqua"/>
        </w:rPr>
        <w:t xml:space="preserve">multiple </w:t>
      </w:r>
      <w:r w:rsidR="004D6E5F" w:rsidRPr="00C75910">
        <w:rPr>
          <w:rFonts w:ascii="Book Antiqua" w:hAnsi="Book Antiqua"/>
        </w:rPr>
        <w:t>quality improvement</w:t>
      </w:r>
      <w:r w:rsidR="001E2C60" w:rsidRPr="00C75910">
        <w:rPr>
          <w:rFonts w:ascii="Book Antiqua" w:hAnsi="Book Antiqua"/>
        </w:rPr>
        <w:t xml:space="preserve"> </w:t>
      </w:r>
      <w:proofErr w:type="gramStart"/>
      <w:r w:rsidR="001E2C60" w:rsidRPr="00C75910">
        <w:rPr>
          <w:rFonts w:ascii="Book Antiqua" w:hAnsi="Book Antiqua"/>
        </w:rPr>
        <w:t>objectives</w:t>
      </w:r>
      <w:r w:rsidR="00F37B16" w:rsidRPr="00C75910">
        <w:rPr>
          <w:rFonts w:ascii="Book Antiqua" w:hAnsi="Book Antiqua"/>
          <w:vertAlign w:val="superscript"/>
        </w:rPr>
        <w:t>[</w:t>
      </w:r>
      <w:proofErr w:type="gramEnd"/>
      <w:r w:rsidR="000D626F" w:rsidRPr="00C75910">
        <w:rPr>
          <w:rFonts w:ascii="Book Antiqua" w:hAnsi="Book Antiqua"/>
          <w:vertAlign w:val="superscript"/>
        </w:rPr>
        <w:t>2</w:t>
      </w:r>
      <w:r w:rsidR="00F37B16" w:rsidRPr="00C75910">
        <w:rPr>
          <w:rFonts w:ascii="Book Antiqua" w:hAnsi="Book Antiqua"/>
          <w:vertAlign w:val="superscript"/>
        </w:rPr>
        <w:t>]</w:t>
      </w:r>
      <w:r w:rsidR="00B90FE5" w:rsidRPr="00C75910">
        <w:rPr>
          <w:rFonts w:ascii="Book Antiqua" w:hAnsi="Book Antiqua"/>
        </w:rPr>
        <w:t>.</w:t>
      </w:r>
      <w:r w:rsidR="006F6636" w:rsidRPr="00C75910">
        <w:rPr>
          <w:rFonts w:ascii="Book Antiqua" w:hAnsi="Book Antiqua"/>
        </w:rPr>
        <w:t xml:space="preserve"> </w:t>
      </w:r>
    </w:p>
    <w:p w:rsidR="000D626F" w:rsidRPr="00C75910" w:rsidRDefault="00FC57F2" w:rsidP="00C75910">
      <w:pPr>
        <w:spacing w:line="360" w:lineRule="auto"/>
        <w:ind w:firstLineChars="100" w:firstLine="240"/>
        <w:jc w:val="both"/>
        <w:rPr>
          <w:rFonts w:ascii="Book Antiqua" w:hAnsi="Book Antiqua"/>
        </w:rPr>
      </w:pPr>
      <w:r w:rsidRPr="00C75910">
        <w:rPr>
          <w:rFonts w:ascii="Book Antiqua" w:hAnsi="Book Antiqua"/>
        </w:rPr>
        <w:t xml:space="preserve">In the geriatric population, </w:t>
      </w:r>
      <w:r w:rsidR="00D410C7" w:rsidRPr="00C75910">
        <w:rPr>
          <w:rFonts w:ascii="Book Antiqua" w:hAnsi="Book Antiqua"/>
        </w:rPr>
        <w:t xml:space="preserve">a </w:t>
      </w:r>
      <w:r w:rsidRPr="00C75910">
        <w:rPr>
          <w:rFonts w:ascii="Book Antiqua" w:hAnsi="Book Antiqua"/>
        </w:rPr>
        <w:t>d</w:t>
      </w:r>
      <w:r w:rsidR="00D410C7" w:rsidRPr="00C75910">
        <w:rPr>
          <w:rFonts w:ascii="Book Antiqua" w:hAnsi="Book Antiqua"/>
        </w:rPr>
        <w:t>eficit</w:t>
      </w:r>
      <w:r w:rsidR="006F6636" w:rsidRPr="00C75910">
        <w:rPr>
          <w:rFonts w:ascii="Book Antiqua" w:hAnsi="Book Antiqua"/>
        </w:rPr>
        <w:t xml:space="preserve"> in gait speed </w:t>
      </w:r>
      <w:r w:rsidR="00D410C7" w:rsidRPr="00C75910">
        <w:rPr>
          <w:rFonts w:ascii="Book Antiqua" w:hAnsi="Book Antiqua"/>
        </w:rPr>
        <w:t>is</w:t>
      </w:r>
      <w:r w:rsidR="006F6636" w:rsidRPr="00C75910">
        <w:rPr>
          <w:rFonts w:ascii="Book Antiqua" w:hAnsi="Book Antiqua"/>
        </w:rPr>
        <w:t xml:space="preserve"> recognized </w:t>
      </w:r>
      <w:r w:rsidR="001E2C60" w:rsidRPr="00C75910">
        <w:rPr>
          <w:rFonts w:ascii="Book Antiqua" w:hAnsi="Book Antiqua"/>
        </w:rPr>
        <w:t>as a relatively easily measured and consistent</w:t>
      </w:r>
      <w:r w:rsidR="006F6636" w:rsidRPr="00C75910">
        <w:rPr>
          <w:rFonts w:ascii="Book Antiqua" w:hAnsi="Book Antiqua"/>
        </w:rPr>
        <w:t xml:space="preserve"> prognostic indicator of </w:t>
      </w:r>
      <w:r w:rsidR="00B0098C" w:rsidRPr="00C75910">
        <w:rPr>
          <w:rFonts w:ascii="Book Antiqua" w:hAnsi="Book Antiqua"/>
        </w:rPr>
        <w:t xml:space="preserve">patient </w:t>
      </w:r>
      <w:r w:rsidR="006F6636" w:rsidRPr="00C75910">
        <w:rPr>
          <w:rFonts w:ascii="Book Antiqua" w:hAnsi="Book Antiqua"/>
        </w:rPr>
        <w:t>o</w:t>
      </w:r>
      <w:r w:rsidRPr="00C75910">
        <w:rPr>
          <w:rFonts w:ascii="Book Antiqua" w:hAnsi="Book Antiqua"/>
        </w:rPr>
        <w:t>utcomes</w:t>
      </w:r>
      <w:r w:rsidR="003E491D" w:rsidRPr="00C75910">
        <w:rPr>
          <w:rFonts w:ascii="Book Antiqua" w:hAnsi="Book Antiqua"/>
        </w:rPr>
        <w:t>,</w:t>
      </w:r>
      <w:r w:rsidR="00B90FE5" w:rsidRPr="00C75910">
        <w:rPr>
          <w:rFonts w:ascii="Book Antiqua" w:hAnsi="Book Antiqua"/>
        </w:rPr>
        <w:t xml:space="preserve"> including hospitalization </w:t>
      </w:r>
      <w:proofErr w:type="gramStart"/>
      <w:r w:rsidR="00B90FE5" w:rsidRPr="00C75910">
        <w:rPr>
          <w:rFonts w:ascii="Book Antiqua" w:hAnsi="Book Antiqua"/>
        </w:rPr>
        <w:t>risk</w:t>
      </w:r>
      <w:r w:rsidR="00F37B16" w:rsidRPr="00C75910">
        <w:rPr>
          <w:rFonts w:ascii="Book Antiqua" w:hAnsi="Book Antiqua"/>
          <w:vertAlign w:val="superscript"/>
        </w:rPr>
        <w:t>[</w:t>
      </w:r>
      <w:proofErr w:type="gramEnd"/>
      <w:r w:rsidR="00D410C7" w:rsidRPr="00C75910">
        <w:rPr>
          <w:rFonts w:ascii="Book Antiqua" w:hAnsi="Book Antiqua"/>
          <w:vertAlign w:val="superscript"/>
        </w:rPr>
        <w:t>3-5</w:t>
      </w:r>
      <w:r w:rsidR="00F37B16" w:rsidRPr="00C75910">
        <w:rPr>
          <w:rFonts w:ascii="Book Antiqua" w:hAnsi="Book Antiqua"/>
          <w:vertAlign w:val="superscript"/>
        </w:rPr>
        <w:t>]</w:t>
      </w:r>
      <w:r w:rsidR="00B90FE5" w:rsidRPr="00C75910">
        <w:rPr>
          <w:rFonts w:ascii="Book Antiqua" w:hAnsi="Book Antiqua"/>
        </w:rPr>
        <w:t>.</w:t>
      </w:r>
      <w:r w:rsidR="003E491D" w:rsidRPr="00C75910">
        <w:rPr>
          <w:rFonts w:ascii="Book Antiqua" w:hAnsi="Book Antiqua"/>
        </w:rPr>
        <w:t xml:space="preserve"> </w:t>
      </w:r>
      <w:proofErr w:type="spellStart"/>
      <w:r w:rsidR="00AA34B0" w:rsidRPr="00C75910">
        <w:rPr>
          <w:rFonts w:ascii="Book Antiqua" w:hAnsi="Book Antiqua"/>
        </w:rPr>
        <w:t>Studenski</w:t>
      </w:r>
      <w:proofErr w:type="spellEnd"/>
      <w:r w:rsidR="00AA34B0" w:rsidRPr="00C75910">
        <w:rPr>
          <w:rFonts w:ascii="Book Antiqua" w:hAnsi="Book Antiqua"/>
        </w:rPr>
        <w:t xml:space="preserve"> </w:t>
      </w:r>
      <w:r w:rsidR="00C75910">
        <w:rPr>
          <w:rFonts w:ascii="Book Antiqua" w:hAnsi="Book Antiqua" w:hint="eastAsia"/>
          <w:i/>
          <w:lang w:eastAsia="zh-CN"/>
        </w:rPr>
        <w:t xml:space="preserve">et </w:t>
      </w:r>
      <w:proofErr w:type="gramStart"/>
      <w:r w:rsidR="00C75910">
        <w:rPr>
          <w:rFonts w:ascii="Book Antiqua" w:hAnsi="Book Antiqua" w:hint="eastAsia"/>
          <w:i/>
          <w:lang w:eastAsia="zh-CN"/>
        </w:rPr>
        <w:t>al</w:t>
      </w:r>
      <w:r w:rsidR="00C75910" w:rsidRPr="00C75910">
        <w:rPr>
          <w:rFonts w:ascii="Book Antiqua" w:hAnsi="Book Antiqua"/>
          <w:vertAlign w:val="superscript"/>
        </w:rPr>
        <w:t>[</w:t>
      </w:r>
      <w:proofErr w:type="gramEnd"/>
      <w:r w:rsidR="00C75910" w:rsidRPr="00C75910">
        <w:rPr>
          <w:rFonts w:ascii="Book Antiqua" w:hAnsi="Book Antiqua"/>
          <w:vertAlign w:val="superscript"/>
        </w:rPr>
        <w:t>4]</w:t>
      </w:r>
      <w:r w:rsidR="00AA34B0" w:rsidRPr="00C75910">
        <w:rPr>
          <w:rFonts w:ascii="Book Antiqua" w:hAnsi="Book Antiqua"/>
        </w:rPr>
        <w:t xml:space="preserve"> have provided compelling evidence of</w:t>
      </w:r>
      <w:r w:rsidR="003E491D" w:rsidRPr="00C75910">
        <w:rPr>
          <w:rFonts w:ascii="Book Antiqua" w:hAnsi="Book Antiqua"/>
        </w:rPr>
        <w:t xml:space="preserve"> the prognostic importance </w:t>
      </w:r>
      <w:r w:rsidR="00AA34B0" w:rsidRPr="00C75910">
        <w:rPr>
          <w:rFonts w:ascii="Book Antiqua" w:hAnsi="Book Antiqua"/>
        </w:rPr>
        <w:t>of slow gait speed for multiple health outcomes</w:t>
      </w:r>
      <w:r w:rsidR="00D43420" w:rsidRPr="00C75910">
        <w:rPr>
          <w:rFonts w:ascii="Book Antiqua" w:hAnsi="Book Antiqua"/>
        </w:rPr>
        <w:t xml:space="preserve"> among older adults</w:t>
      </w:r>
      <w:r w:rsidR="00764E14">
        <w:rPr>
          <w:rFonts w:ascii="Book Antiqua" w:hAnsi="Book Antiqua"/>
        </w:rPr>
        <w:t xml:space="preserve"> </w:t>
      </w:r>
      <w:r w:rsidR="00AA34B0" w:rsidRPr="00C75910">
        <w:rPr>
          <w:rFonts w:ascii="Book Antiqua" w:hAnsi="Book Antiqua"/>
        </w:rPr>
        <w:t>and have identified 0.8</w:t>
      </w:r>
      <w:r w:rsidR="00221DC9" w:rsidRPr="00C75910">
        <w:rPr>
          <w:rFonts w:ascii="Book Antiqua" w:hAnsi="Book Antiqua"/>
        </w:rPr>
        <w:t xml:space="preserve"> meters/second (m/s)</w:t>
      </w:r>
      <w:r w:rsidR="00AA34B0" w:rsidRPr="00C75910">
        <w:rPr>
          <w:rFonts w:ascii="Book Antiqua" w:hAnsi="Book Antiqua"/>
        </w:rPr>
        <w:t xml:space="preserve"> as a </w:t>
      </w:r>
      <w:proofErr w:type="spellStart"/>
      <w:r w:rsidR="00AA34B0" w:rsidRPr="00C75910">
        <w:rPr>
          <w:rFonts w:ascii="Book Antiqua" w:hAnsi="Book Antiqua"/>
        </w:rPr>
        <w:t>cutpoint</w:t>
      </w:r>
      <w:proofErr w:type="spellEnd"/>
      <w:r w:rsidR="00AA34B0" w:rsidRPr="00C75910">
        <w:rPr>
          <w:rFonts w:ascii="Book Antiqua" w:hAnsi="Book Antiqua"/>
        </w:rPr>
        <w:t xml:space="preserve"> below which gait speed connotes significantly increased likelihood of poor health and fu</w:t>
      </w:r>
      <w:r w:rsidR="00B90FE5" w:rsidRPr="00C75910">
        <w:rPr>
          <w:rFonts w:ascii="Book Antiqua" w:hAnsi="Book Antiqua"/>
        </w:rPr>
        <w:t>nction and even mortality</w:t>
      </w:r>
      <w:r w:rsidR="00F37B16" w:rsidRPr="00C75910">
        <w:rPr>
          <w:rFonts w:ascii="Book Antiqua" w:hAnsi="Book Antiqua"/>
          <w:vertAlign w:val="superscript"/>
        </w:rPr>
        <w:t>[</w:t>
      </w:r>
      <w:r w:rsidR="00AA34B0" w:rsidRPr="00C75910">
        <w:rPr>
          <w:rFonts w:ascii="Book Antiqua" w:hAnsi="Book Antiqua"/>
          <w:vertAlign w:val="superscript"/>
        </w:rPr>
        <w:t>5</w:t>
      </w:r>
      <w:r w:rsidR="00F37B16" w:rsidRPr="00C75910">
        <w:rPr>
          <w:rFonts w:ascii="Book Antiqua" w:hAnsi="Book Antiqua"/>
          <w:vertAlign w:val="superscript"/>
        </w:rPr>
        <w:t>]</w:t>
      </w:r>
      <w:r w:rsidR="00B90FE5" w:rsidRPr="00C75910">
        <w:rPr>
          <w:rFonts w:ascii="Book Antiqua" w:hAnsi="Book Antiqua"/>
        </w:rPr>
        <w:t>.</w:t>
      </w:r>
      <w:r w:rsidR="007922C0" w:rsidRPr="00C75910">
        <w:rPr>
          <w:rFonts w:ascii="Book Antiqua" w:hAnsi="Book Antiqua"/>
        </w:rPr>
        <w:t xml:space="preserve"> End-stage renal disease (ESRD)</w:t>
      </w:r>
      <w:r w:rsidR="00D43420" w:rsidRPr="00C75910">
        <w:rPr>
          <w:rFonts w:ascii="Book Antiqua" w:hAnsi="Book Antiqua"/>
        </w:rPr>
        <w:t xml:space="preserve"> patients appear to represent a model of ea</w:t>
      </w:r>
      <w:r w:rsidR="00B0098C" w:rsidRPr="00C75910">
        <w:rPr>
          <w:rFonts w:ascii="Book Antiqua" w:hAnsi="Book Antiqua"/>
        </w:rPr>
        <w:t>rly aging in many ways. While it is recognized that</w:t>
      </w:r>
      <w:r w:rsidR="00014938" w:rsidRPr="00C75910">
        <w:rPr>
          <w:rFonts w:ascii="Book Antiqua" w:hAnsi="Book Antiqua"/>
        </w:rPr>
        <w:t xml:space="preserve"> </w:t>
      </w:r>
      <w:r w:rsidR="007922C0" w:rsidRPr="00C75910">
        <w:rPr>
          <w:rFonts w:ascii="Book Antiqua" w:hAnsi="Book Antiqua"/>
        </w:rPr>
        <w:t xml:space="preserve">average </w:t>
      </w:r>
      <w:r w:rsidR="00014938" w:rsidRPr="00C75910">
        <w:rPr>
          <w:rFonts w:ascii="Book Antiqua" w:hAnsi="Book Antiqua"/>
        </w:rPr>
        <w:t>gait speed is s</w:t>
      </w:r>
      <w:r w:rsidR="00BC65DB" w:rsidRPr="00C75910">
        <w:rPr>
          <w:rFonts w:ascii="Book Antiqua" w:hAnsi="Book Antiqua"/>
        </w:rPr>
        <w:t>low</w:t>
      </w:r>
      <w:r w:rsidR="007922C0" w:rsidRPr="00C75910">
        <w:rPr>
          <w:rFonts w:ascii="Book Antiqua" w:hAnsi="Book Antiqua"/>
        </w:rPr>
        <w:t>er among ESRD</w:t>
      </w:r>
      <w:r w:rsidR="00014938" w:rsidRPr="00C75910">
        <w:rPr>
          <w:rFonts w:ascii="Book Antiqua" w:hAnsi="Book Antiqua"/>
        </w:rPr>
        <w:t xml:space="preserve"> patients compared with age-adjusted </w:t>
      </w:r>
      <w:proofErr w:type="gramStart"/>
      <w:r w:rsidR="00014938" w:rsidRPr="00C75910">
        <w:rPr>
          <w:rFonts w:ascii="Book Antiqua" w:hAnsi="Book Antiqua"/>
        </w:rPr>
        <w:t>norms</w:t>
      </w:r>
      <w:r w:rsidR="00F37B16" w:rsidRPr="00C75910">
        <w:rPr>
          <w:rFonts w:ascii="Book Antiqua" w:hAnsi="Book Antiqua"/>
          <w:vertAlign w:val="superscript"/>
        </w:rPr>
        <w:t>[</w:t>
      </w:r>
      <w:proofErr w:type="gramEnd"/>
      <w:r w:rsidR="00014938" w:rsidRPr="00C75910">
        <w:rPr>
          <w:rFonts w:ascii="Book Antiqua" w:hAnsi="Book Antiqua"/>
          <w:vertAlign w:val="superscript"/>
        </w:rPr>
        <w:t>6</w:t>
      </w:r>
      <w:r w:rsidR="00401D84" w:rsidRPr="00C75910">
        <w:rPr>
          <w:rFonts w:ascii="Book Antiqua" w:hAnsi="Book Antiqua"/>
          <w:vertAlign w:val="superscript"/>
        </w:rPr>
        <w:t>,7</w:t>
      </w:r>
      <w:r w:rsidR="00F37B16" w:rsidRPr="00C75910">
        <w:rPr>
          <w:rFonts w:ascii="Book Antiqua" w:hAnsi="Book Antiqua"/>
          <w:vertAlign w:val="superscript"/>
        </w:rPr>
        <w:t>]</w:t>
      </w:r>
      <w:r w:rsidR="00B90FE5" w:rsidRPr="00C75910">
        <w:rPr>
          <w:rFonts w:ascii="Book Antiqua" w:hAnsi="Book Antiqua"/>
        </w:rPr>
        <w:t>,</w:t>
      </w:r>
      <w:r w:rsidR="00B0098C" w:rsidRPr="00C75910">
        <w:rPr>
          <w:rFonts w:ascii="Book Antiqua" w:hAnsi="Book Antiqua"/>
        </w:rPr>
        <w:t xml:space="preserve"> the association of gait speed with </w:t>
      </w:r>
      <w:r w:rsidR="007922C0" w:rsidRPr="00C75910">
        <w:rPr>
          <w:rFonts w:ascii="Book Antiqua" w:hAnsi="Book Antiqua"/>
        </w:rPr>
        <w:t>ESRD</w:t>
      </w:r>
      <w:r w:rsidR="00D65F41" w:rsidRPr="00C75910">
        <w:rPr>
          <w:rFonts w:ascii="Book Antiqua" w:hAnsi="Book Antiqua"/>
        </w:rPr>
        <w:t xml:space="preserve"> </w:t>
      </w:r>
      <w:r w:rsidR="00B0098C" w:rsidRPr="00C75910">
        <w:rPr>
          <w:rFonts w:ascii="Book Antiqua" w:hAnsi="Book Antiqua"/>
        </w:rPr>
        <w:t>patient outcomes has received limited attention.</w:t>
      </w:r>
      <w:r w:rsidR="00764E14">
        <w:rPr>
          <w:rFonts w:ascii="Book Antiqua" w:hAnsi="Book Antiqua"/>
        </w:rPr>
        <w:t xml:space="preserve"> </w:t>
      </w:r>
    </w:p>
    <w:p w:rsidR="00C156EE" w:rsidRPr="00C75910" w:rsidRDefault="00DE4D95" w:rsidP="00AB0602">
      <w:pPr>
        <w:spacing w:line="360" w:lineRule="auto"/>
        <w:ind w:firstLineChars="100" w:firstLine="240"/>
        <w:jc w:val="both"/>
        <w:rPr>
          <w:rFonts w:ascii="Book Antiqua" w:hAnsi="Book Antiqua"/>
        </w:rPr>
      </w:pPr>
      <w:r w:rsidRPr="00C75910">
        <w:rPr>
          <w:rFonts w:ascii="Book Antiqua" w:hAnsi="Book Antiqua"/>
        </w:rPr>
        <w:t xml:space="preserve">A recent study </w:t>
      </w:r>
      <w:r w:rsidR="00D43420" w:rsidRPr="00C75910">
        <w:rPr>
          <w:rFonts w:ascii="Book Antiqua" w:hAnsi="Book Antiqua"/>
        </w:rPr>
        <w:t xml:space="preserve">by </w:t>
      </w:r>
      <w:proofErr w:type="spellStart"/>
      <w:r w:rsidR="00D43420" w:rsidRPr="00C75910">
        <w:rPr>
          <w:rFonts w:ascii="Book Antiqua" w:hAnsi="Book Antiqua"/>
        </w:rPr>
        <w:t>Beaubrun</w:t>
      </w:r>
      <w:proofErr w:type="spellEnd"/>
      <w:r w:rsidR="00D43420" w:rsidRPr="00C75910">
        <w:rPr>
          <w:rFonts w:ascii="Book Antiqua" w:hAnsi="Book Antiqua"/>
        </w:rPr>
        <w:t xml:space="preserve"> </w:t>
      </w:r>
      <w:r w:rsidR="00D43420" w:rsidRPr="00C75910">
        <w:rPr>
          <w:rFonts w:ascii="Book Antiqua" w:hAnsi="Book Antiqua"/>
          <w:i/>
        </w:rPr>
        <w:t>et al</w:t>
      </w:r>
      <w:r w:rsidR="00AB0602" w:rsidRPr="00C75910">
        <w:rPr>
          <w:rFonts w:ascii="Book Antiqua" w:hAnsi="Book Antiqua"/>
          <w:vertAlign w:val="superscript"/>
        </w:rPr>
        <w:t>[8]</w:t>
      </w:r>
      <w:r w:rsidR="00D43420" w:rsidRPr="00C75910">
        <w:rPr>
          <w:rFonts w:ascii="Book Antiqua" w:hAnsi="Book Antiqua"/>
        </w:rPr>
        <w:t xml:space="preserve"> </w:t>
      </w:r>
      <w:r w:rsidRPr="00C75910">
        <w:rPr>
          <w:rFonts w:ascii="Book Antiqua" w:hAnsi="Book Antiqua"/>
        </w:rPr>
        <w:t xml:space="preserve">of </w:t>
      </w:r>
      <w:r w:rsidR="00AB0602">
        <w:rPr>
          <w:rFonts w:ascii="Book Antiqua" w:hAnsi="Book Antiqua"/>
        </w:rPr>
        <w:t>52</w:t>
      </w:r>
      <w:r w:rsidR="000E3DAF" w:rsidRPr="00C75910">
        <w:rPr>
          <w:rFonts w:ascii="Book Antiqua" w:hAnsi="Book Antiqua"/>
        </w:rPr>
        <w:t>408</w:t>
      </w:r>
      <w:r w:rsidR="00F14B5E" w:rsidRPr="00C75910">
        <w:rPr>
          <w:rFonts w:ascii="Book Antiqua" w:hAnsi="Book Antiqua"/>
        </w:rPr>
        <w:t xml:space="preserve"> </w:t>
      </w:r>
      <w:r w:rsidR="007922C0" w:rsidRPr="00C75910">
        <w:rPr>
          <w:rFonts w:ascii="Book Antiqua" w:hAnsi="Book Antiqua"/>
        </w:rPr>
        <w:t>hemo</w:t>
      </w:r>
      <w:r w:rsidRPr="00C75910">
        <w:rPr>
          <w:rFonts w:ascii="Book Antiqua" w:hAnsi="Book Antiqua"/>
        </w:rPr>
        <w:t>dialysis</w:t>
      </w:r>
      <w:r w:rsidR="007922C0" w:rsidRPr="00C75910">
        <w:rPr>
          <w:rFonts w:ascii="Book Antiqua" w:hAnsi="Book Antiqua"/>
        </w:rPr>
        <w:t xml:space="preserve"> (HD)</w:t>
      </w:r>
      <w:r w:rsidRPr="00C75910">
        <w:rPr>
          <w:rFonts w:ascii="Book Antiqua" w:hAnsi="Book Antiqua"/>
        </w:rPr>
        <w:t xml:space="preserve"> patients who were followed 2000-2009 </w:t>
      </w:r>
      <w:r w:rsidR="00ED45C7" w:rsidRPr="00C75910">
        <w:rPr>
          <w:rFonts w:ascii="Book Antiqua" w:hAnsi="Book Antiqua"/>
        </w:rPr>
        <w:t xml:space="preserve">reported that </w:t>
      </w:r>
      <w:r w:rsidR="00125014" w:rsidRPr="00C75910">
        <w:rPr>
          <w:rFonts w:ascii="Book Antiqua" w:hAnsi="Book Antiqua"/>
        </w:rPr>
        <w:t>over one-f</w:t>
      </w:r>
      <w:r w:rsidR="00C156EE" w:rsidRPr="00C75910">
        <w:rPr>
          <w:rFonts w:ascii="Book Antiqua" w:hAnsi="Book Antiqua"/>
        </w:rPr>
        <w:t>ifth of patients who incurred a non-fracture-related</w:t>
      </w:r>
      <w:r w:rsidR="00055FDC" w:rsidRPr="00C75910">
        <w:rPr>
          <w:rFonts w:ascii="Book Antiqua" w:hAnsi="Book Antiqua"/>
        </w:rPr>
        <w:t xml:space="preserve"> hospitalization</w:t>
      </w:r>
      <w:r w:rsidR="00C156EE" w:rsidRPr="00C75910">
        <w:rPr>
          <w:rFonts w:ascii="Book Antiqua" w:hAnsi="Book Antiqua"/>
        </w:rPr>
        <w:t>,</w:t>
      </w:r>
      <w:r w:rsidR="00125014" w:rsidRPr="00C75910">
        <w:rPr>
          <w:rFonts w:ascii="Book Antiqua" w:hAnsi="Book Antiqua"/>
        </w:rPr>
        <w:t xml:space="preserve"> </w:t>
      </w:r>
      <w:r w:rsidR="00761EF8" w:rsidRPr="00C75910">
        <w:rPr>
          <w:rFonts w:ascii="Book Antiqua" w:hAnsi="Book Antiqua"/>
        </w:rPr>
        <w:t xml:space="preserve">and </w:t>
      </w:r>
      <w:r w:rsidR="00D907A0" w:rsidRPr="00C75910">
        <w:rPr>
          <w:rFonts w:ascii="Book Antiqua" w:hAnsi="Book Antiqua"/>
        </w:rPr>
        <w:t>more than half of those who were</w:t>
      </w:r>
      <w:r w:rsidR="00F8153B" w:rsidRPr="00C75910">
        <w:rPr>
          <w:rFonts w:ascii="Book Antiqua" w:hAnsi="Book Antiqua"/>
        </w:rPr>
        <w:t xml:space="preserve"> </w:t>
      </w:r>
      <w:r w:rsidR="00D907A0" w:rsidRPr="00C75910">
        <w:rPr>
          <w:rFonts w:ascii="Book Antiqua" w:hAnsi="Book Antiqua"/>
        </w:rPr>
        <w:t>hospitalized</w:t>
      </w:r>
      <w:r w:rsidR="00125014" w:rsidRPr="00C75910">
        <w:rPr>
          <w:rFonts w:ascii="Book Antiqua" w:hAnsi="Book Antiqua"/>
        </w:rPr>
        <w:t xml:space="preserve"> fol</w:t>
      </w:r>
      <w:r w:rsidR="00F8153B" w:rsidRPr="00C75910">
        <w:rPr>
          <w:rFonts w:ascii="Book Antiqua" w:hAnsi="Book Antiqua"/>
        </w:rPr>
        <w:t>lowing</w:t>
      </w:r>
      <w:r w:rsidR="00055FDC" w:rsidRPr="00C75910">
        <w:rPr>
          <w:rFonts w:ascii="Book Antiqua" w:hAnsi="Book Antiqua"/>
        </w:rPr>
        <w:t xml:space="preserve"> a fracture</w:t>
      </w:r>
      <w:r w:rsidR="00C156EE" w:rsidRPr="00C75910">
        <w:rPr>
          <w:rFonts w:ascii="Book Antiqua" w:hAnsi="Book Antiqua"/>
        </w:rPr>
        <w:t>, were characterized by “walk</w:t>
      </w:r>
      <w:r w:rsidR="00B90FE5" w:rsidRPr="00C75910">
        <w:rPr>
          <w:rFonts w:ascii="Book Antiqua" w:hAnsi="Book Antiqua"/>
        </w:rPr>
        <w:t>ing disability/history of falls</w:t>
      </w:r>
      <w:r w:rsidR="00C156EE" w:rsidRPr="00C75910">
        <w:rPr>
          <w:rFonts w:ascii="Book Antiqua" w:hAnsi="Book Antiqua"/>
        </w:rPr>
        <w:t>”</w:t>
      </w:r>
      <w:r w:rsidR="00B90FE5" w:rsidRPr="00C75910">
        <w:rPr>
          <w:rFonts w:ascii="Book Antiqua" w:hAnsi="Book Antiqua"/>
        </w:rPr>
        <w:t>.</w:t>
      </w:r>
      <w:r w:rsidR="007B20D6" w:rsidRPr="00C75910">
        <w:rPr>
          <w:rFonts w:ascii="Book Antiqua" w:hAnsi="Book Antiqua"/>
        </w:rPr>
        <w:t xml:space="preserve"> </w:t>
      </w:r>
      <w:r w:rsidR="005D20CE" w:rsidRPr="00C75910">
        <w:rPr>
          <w:rFonts w:ascii="Book Antiqua" w:hAnsi="Book Antiqua"/>
        </w:rPr>
        <w:t xml:space="preserve">Medicare claims diagnoses of “difficulty walking” and “abnormal gait” define walking disability in administrative </w:t>
      </w:r>
      <w:proofErr w:type="gramStart"/>
      <w:r w:rsidR="005D20CE" w:rsidRPr="00C75910">
        <w:rPr>
          <w:rFonts w:ascii="Book Antiqua" w:hAnsi="Book Antiqua"/>
        </w:rPr>
        <w:t>data</w:t>
      </w:r>
      <w:r w:rsidR="00F37B16" w:rsidRPr="00C75910">
        <w:rPr>
          <w:rFonts w:ascii="Book Antiqua" w:hAnsi="Book Antiqua"/>
          <w:vertAlign w:val="superscript"/>
        </w:rPr>
        <w:t>[</w:t>
      </w:r>
      <w:proofErr w:type="gramEnd"/>
      <w:r w:rsidR="00401D84" w:rsidRPr="00C75910">
        <w:rPr>
          <w:rFonts w:ascii="Book Antiqua" w:hAnsi="Book Antiqua"/>
          <w:vertAlign w:val="superscript"/>
        </w:rPr>
        <w:t>9</w:t>
      </w:r>
      <w:r w:rsidR="00F37B16" w:rsidRPr="00C75910">
        <w:rPr>
          <w:rFonts w:ascii="Book Antiqua" w:hAnsi="Book Antiqua"/>
          <w:vertAlign w:val="superscript"/>
        </w:rPr>
        <w:t>]</w:t>
      </w:r>
      <w:r w:rsidR="00B90FE5" w:rsidRPr="00C75910">
        <w:rPr>
          <w:rFonts w:ascii="Book Antiqua" w:hAnsi="Book Antiqua"/>
        </w:rPr>
        <w:t>.</w:t>
      </w:r>
      <w:r w:rsidR="005D20CE" w:rsidRPr="00C75910">
        <w:rPr>
          <w:rFonts w:ascii="Book Antiqua" w:hAnsi="Book Antiqua"/>
        </w:rPr>
        <w:t xml:space="preserve"> </w:t>
      </w:r>
      <w:r w:rsidR="00544634" w:rsidRPr="00C75910">
        <w:rPr>
          <w:rFonts w:ascii="Book Antiqua" w:hAnsi="Book Antiqua"/>
        </w:rPr>
        <w:t>W</w:t>
      </w:r>
      <w:r w:rsidR="009D0CA9" w:rsidRPr="00C75910">
        <w:rPr>
          <w:rFonts w:ascii="Book Antiqua" w:hAnsi="Book Antiqua"/>
        </w:rPr>
        <w:t xml:space="preserve">alking </w:t>
      </w:r>
      <w:r w:rsidR="009D0CA9" w:rsidRPr="00C75910">
        <w:rPr>
          <w:rFonts w:ascii="Book Antiqua" w:hAnsi="Book Antiqua"/>
        </w:rPr>
        <w:lastRenderedPageBreak/>
        <w:t>disability a</w:t>
      </w:r>
      <w:r w:rsidR="007F0FC4" w:rsidRPr="00C75910">
        <w:rPr>
          <w:rFonts w:ascii="Book Antiqua" w:hAnsi="Book Antiqua"/>
        </w:rPr>
        <w:t xml:space="preserve">nd </w:t>
      </w:r>
      <w:r w:rsidR="00544634" w:rsidRPr="00C75910">
        <w:rPr>
          <w:rFonts w:ascii="Book Antiqua" w:hAnsi="Book Antiqua"/>
        </w:rPr>
        <w:t>falls</w:t>
      </w:r>
      <w:r w:rsidR="00B0098C" w:rsidRPr="00C75910">
        <w:rPr>
          <w:rFonts w:ascii="Book Antiqua" w:hAnsi="Book Antiqua"/>
        </w:rPr>
        <w:t xml:space="preserve"> are frequently</w:t>
      </w:r>
      <w:r w:rsidR="00B90FE5" w:rsidRPr="00C75910">
        <w:rPr>
          <w:rFonts w:ascii="Book Antiqua" w:hAnsi="Book Antiqua"/>
        </w:rPr>
        <w:t xml:space="preserve"> </w:t>
      </w:r>
      <w:proofErr w:type="gramStart"/>
      <w:r w:rsidR="00B90FE5" w:rsidRPr="00C75910">
        <w:rPr>
          <w:rFonts w:ascii="Book Antiqua" w:hAnsi="Book Antiqua"/>
        </w:rPr>
        <w:t>associated</w:t>
      </w:r>
      <w:r w:rsidR="00F37B16" w:rsidRPr="00C75910">
        <w:rPr>
          <w:rFonts w:ascii="Book Antiqua" w:hAnsi="Book Antiqua"/>
          <w:vertAlign w:val="superscript"/>
        </w:rPr>
        <w:t>[</w:t>
      </w:r>
      <w:proofErr w:type="gramEnd"/>
      <w:r w:rsidR="00544634" w:rsidRPr="00C75910">
        <w:rPr>
          <w:rFonts w:ascii="Book Antiqua" w:hAnsi="Book Antiqua"/>
          <w:vertAlign w:val="superscript"/>
        </w:rPr>
        <w:t>9</w:t>
      </w:r>
      <w:r w:rsidR="00F37B16" w:rsidRPr="00C75910">
        <w:rPr>
          <w:rFonts w:ascii="Book Antiqua" w:hAnsi="Book Antiqua"/>
          <w:vertAlign w:val="superscript"/>
        </w:rPr>
        <w:t>]</w:t>
      </w:r>
      <w:r w:rsidR="00B90FE5" w:rsidRPr="00C75910">
        <w:rPr>
          <w:rFonts w:ascii="Book Antiqua" w:hAnsi="Book Antiqua"/>
        </w:rPr>
        <w:t>.</w:t>
      </w:r>
      <w:r w:rsidR="004144CB" w:rsidRPr="00C75910">
        <w:rPr>
          <w:rFonts w:ascii="Book Antiqua" w:hAnsi="Book Antiqua"/>
        </w:rPr>
        <w:t xml:space="preserve"> </w:t>
      </w:r>
      <w:r w:rsidR="005D20CE" w:rsidRPr="00C75910">
        <w:rPr>
          <w:rFonts w:ascii="Book Antiqua" w:hAnsi="Book Antiqua"/>
        </w:rPr>
        <w:t xml:space="preserve">At the same time, “walking disability” does not specify a quantitative measure of gait speed, and </w:t>
      </w:r>
      <w:r w:rsidR="00E173A7" w:rsidRPr="00C75910">
        <w:rPr>
          <w:rFonts w:ascii="Book Antiqua" w:hAnsi="Book Antiqua"/>
        </w:rPr>
        <w:t>the</w:t>
      </w:r>
      <w:r w:rsidR="009D0CA9" w:rsidRPr="00C75910">
        <w:rPr>
          <w:rFonts w:ascii="Book Antiqua" w:hAnsi="Book Antiqua"/>
        </w:rPr>
        <w:t xml:space="preserve"> potential</w:t>
      </w:r>
      <w:r w:rsidR="00E173A7" w:rsidRPr="00C75910">
        <w:rPr>
          <w:rFonts w:ascii="Book Antiqua" w:hAnsi="Book Antiqua"/>
        </w:rPr>
        <w:t xml:space="preserve"> a</w:t>
      </w:r>
      <w:r w:rsidR="00AA34B0" w:rsidRPr="00C75910">
        <w:rPr>
          <w:rFonts w:ascii="Book Antiqua" w:hAnsi="Book Antiqua"/>
        </w:rPr>
        <w:t xml:space="preserve">ssociation of </w:t>
      </w:r>
      <w:r w:rsidR="000C33CB" w:rsidRPr="00C75910">
        <w:rPr>
          <w:rFonts w:ascii="Book Antiqua" w:hAnsi="Book Antiqua"/>
        </w:rPr>
        <w:t>walking disability</w:t>
      </w:r>
      <w:r w:rsidR="00E173A7" w:rsidRPr="00C75910">
        <w:rPr>
          <w:rFonts w:ascii="Book Antiqua" w:hAnsi="Book Antiqua"/>
        </w:rPr>
        <w:t xml:space="preserve"> </w:t>
      </w:r>
      <w:r w:rsidR="009D0CA9" w:rsidRPr="00C75910">
        <w:rPr>
          <w:rFonts w:ascii="Book Antiqua" w:hAnsi="Book Antiqua"/>
        </w:rPr>
        <w:t>with</w:t>
      </w:r>
      <w:r w:rsidR="00F8153B" w:rsidRPr="00C75910">
        <w:rPr>
          <w:rFonts w:ascii="Book Antiqua" w:hAnsi="Book Antiqua"/>
        </w:rPr>
        <w:t xml:space="preserve"> hospitalization</w:t>
      </w:r>
      <w:r w:rsidR="00E173A7" w:rsidRPr="00C75910">
        <w:rPr>
          <w:rFonts w:ascii="Book Antiqua" w:hAnsi="Book Antiqua"/>
        </w:rPr>
        <w:t xml:space="preserve"> </w:t>
      </w:r>
      <w:r w:rsidR="00341706" w:rsidRPr="00C75910">
        <w:rPr>
          <w:rFonts w:ascii="Book Antiqua" w:hAnsi="Book Antiqua"/>
        </w:rPr>
        <w:t xml:space="preserve">apart from falls </w:t>
      </w:r>
      <w:r w:rsidR="00544634" w:rsidRPr="00C75910">
        <w:rPr>
          <w:rFonts w:ascii="Book Antiqua" w:hAnsi="Book Antiqua"/>
        </w:rPr>
        <w:t>remains unknown when</w:t>
      </w:r>
      <w:r w:rsidR="000C33CB" w:rsidRPr="00C75910">
        <w:rPr>
          <w:rFonts w:ascii="Book Antiqua" w:hAnsi="Book Antiqua"/>
        </w:rPr>
        <w:t xml:space="preserve"> walking disability and history of falls are treated as one </w:t>
      </w:r>
      <w:r w:rsidR="00544634" w:rsidRPr="00C75910">
        <w:rPr>
          <w:rFonts w:ascii="Book Antiqua" w:hAnsi="Book Antiqua"/>
        </w:rPr>
        <w:t>combined variable.</w:t>
      </w:r>
      <w:r w:rsidR="004D2D8C" w:rsidRPr="00C75910">
        <w:rPr>
          <w:rFonts w:ascii="Book Antiqua" w:hAnsi="Book Antiqua"/>
        </w:rPr>
        <w:t xml:space="preserve"> </w:t>
      </w:r>
    </w:p>
    <w:p w:rsidR="00385760" w:rsidRPr="00C75910" w:rsidRDefault="00B9153C" w:rsidP="00764E14">
      <w:pPr>
        <w:spacing w:line="360" w:lineRule="auto"/>
        <w:ind w:firstLineChars="100" w:firstLine="240"/>
        <w:jc w:val="both"/>
        <w:rPr>
          <w:rFonts w:ascii="Book Antiqua" w:hAnsi="Book Antiqua"/>
        </w:rPr>
      </w:pPr>
      <w:r w:rsidRPr="00C75910">
        <w:rPr>
          <w:rFonts w:ascii="Book Antiqua" w:hAnsi="Book Antiqua"/>
        </w:rPr>
        <w:t xml:space="preserve">In this study of </w:t>
      </w:r>
      <w:r w:rsidR="00580219" w:rsidRPr="00C75910">
        <w:rPr>
          <w:rFonts w:ascii="Book Antiqua" w:hAnsi="Book Antiqua"/>
        </w:rPr>
        <w:t>a</w:t>
      </w:r>
      <w:r w:rsidR="000E71B6" w:rsidRPr="00C75910">
        <w:rPr>
          <w:rFonts w:ascii="Book Antiqua" w:hAnsi="Book Antiqua"/>
        </w:rPr>
        <w:t xml:space="preserve"> </w:t>
      </w:r>
      <w:r w:rsidR="0072456C" w:rsidRPr="00C75910">
        <w:rPr>
          <w:rFonts w:ascii="Book Antiqua" w:hAnsi="Book Antiqua"/>
        </w:rPr>
        <w:t xml:space="preserve">large contemporary cohort of </w:t>
      </w:r>
      <w:proofErr w:type="gramStart"/>
      <w:r w:rsidR="0072456C" w:rsidRPr="00C75910">
        <w:rPr>
          <w:rFonts w:ascii="Book Antiqua" w:hAnsi="Book Antiqua"/>
        </w:rPr>
        <w:t>patients</w:t>
      </w:r>
      <w:proofErr w:type="gramEnd"/>
      <w:r w:rsidR="0072456C" w:rsidRPr="00C75910">
        <w:rPr>
          <w:rFonts w:ascii="Book Antiqua" w:hAnsi="Book Antiqua"/>
        </w:rPr>
        <w:t xml:space="preserve"> </w:t>
      </w:r>
      <w:r w:rsidR="000E71B6" w:rsidRPr="00C75910">
        <w:rPr>
          <w:rFonts w:ascii="Book Antiqua" w:hAnsi="Book Antiqua"/>
        </w:rPr>
        <w:t>aged 20-</w:t>
      </w:r>
      <w:r w:rsidR="00A90C1E" w:rsidRPr="00C75910">
        <w:rPr>
          <w:rFonts w:ascii="Book Antiqua" w:hAnsi="Book Antiqua"/>
        </w:rPr>
        <w:t>92</w:t>
      </w:r>
      <w:r w:rsidR="000E71B6" w:rsidRPr="00C75910">
        <w:rPr>
          <w:rFonts w:ascii="Book Antiqua" w:hAnsi="Book Antiqua"/>
        </w:rPr>
        <w:t xml:space="preserve"> </w:t>
      </w:r>
      <w:r w:rsidR="005D20CE" w:rsidRPr="00C75910">
        <w:rPr>
          <w:rFonts w:ascii="Book Antiqua" w:hAnsi="Book Antiqua"/>
        </w:rPr>
        <w:t>undergoing</w:t>
      </w:r>
      <w:r w:rsidR="0072456C" w:rsidRPr="00C75910">
        <w:rPr>
          <w:rFonts w:ascii="Book Antiqua" w:hAnsi="Book Antiqua"/>
        </w:rPr>
        <w:t xml:space="preserve"> maintenance </w:t>
      </w:r>
      <w:r w:rsidRPr="00C75910">
        <w:rPr>
          <w:rFonts w:ascii="Book Antiqua" w:hAnsi="Book Antiqua"/>
        </w:rPr>
        <w:t>HD therapy, w</w:t>
      </w:r>
      <w:r w:rsidR="000E71B6" w:rsidRPr="00C75910">
        <w:rPr>
          <w:rFonts w:ascii="Book Antiqua" w:hAnsi="Book Antiqua"/>
        </w:rPr>
        <w:t>e</w:t>
      </w:r>
      <w:r w:rsidR="0072456C" w:rsidRPr="00C75910">
        <w:rPr>
          <w:rFonts w:ascii="Book Antiqua" w:hAnsi="Book Antiqua"/>
        </w:rPr>
        <w:t xml:space="preserve"> </w:t>
      </w:r>
      <w:r w:rsidR="00593F46" w:rsidRPr="00C75910">
        <w:rPr>
          <w:rFonts w:ascii="Book Antiqua" w:hAnsi="Book Antiqua"/>
        </w:rPr>
        <w:t xml:space="preserve">measured </w:t>
      </w:r>
      <w:r w:rsidR="00D65F41" w:rsidRPr="00C75910">
        <w:rPr>
          <w:rFonts w:ascii="Book Antiqua" w:hAnsi="Book Antiqua"/>
        </w:rPr>
        <w:t xml:space="preserve">patients’ </w:t>
      </w:r>
      <w:r w:rsidR="0072456C" w:rsidRPr="00C75910">
        <w:rPr>
          <w:rFonts w:ascii="Book Antiqua" w:hAnsi="Book Antiqua"/>
        </w:rPr>
        <w:t xml:space="preserve">gait speed </w:t>
      </w:r>
      <w:r w:rsidRPr="00C75910">
        <w:rPr>
          <w:rFonts w:ascii="Book Antiqua" w:hAnsi="Book Antiqua"/>
        </w:rPr>
        <w:t>and investigat</w:t>
      </w:r>
      <w:r w:rsidR="003067DF" w:rsidRPr="00C75910">
        <w:rPr>
          <w:rFonts w:ascii="Book Antiqua" w:hAnsi="Book Antiqua"/>
        </w:rPr>
        <w:t>ed its association</w:t>
      </w:r>
      <w:r w:rsidR="00D65F41" w:rsidRPr="00C75910">
        <w:rPr>
          <w:rFonts w:ascii="Book Antiqua" w:hAnsi="Book Antiqua"/>
        </w:rPr>
        <w:t xml:space="preserve"> </w:t>
      </w:r>
      <w:r w:rsidR="0072456C" w:rsidRPr="00C75910">
        <w:rPr>
          <w:rFonts w:ascii="Book Antiqua" w:hAnsi="Book Antiqua"/>
        </w:rPr>
        <w:t xml:space="preserve">with hospitalization in conjunction with, and apart from, </w:t>
      </w:r>
      <w:r w:rsidR="000E71B6" w:rsidRPr="00C75910">
        <w:rPr>
          <w:rFonts w:ascii="Book Antiqua" w:hAnsi="Book Antiqua"/>
        </w:rPr>
        <w:t xml:space="preserve">patients’ recent </w:t>
      </w:r>
      <w:r w:rsidR="0072456C" w:rsidRPr="00C75910">
        <w:rPr>
          <w:rFonts w:ascii="Book Antiqua" w:hAnsi="Book Antiqua"/>
        </w:rPr>
        <w:t>fall history.</w:t>
      </w:r>
    </w:p>
    <w:p w:rsidR="00764E14" w:rsidRDefault="00764E14" w:rsidP="00C75910">
      <w:pPr>
        <w:spacing w:line="360" w:lineRule="auto"/>
        <w:jc w:val="both"/>
        <w:rPr>
          <w:rFonts w:ascii="Book Antiqua" w:hAnsi="Book Antiqua"/>
          <w:lang w:eastAsia="zh-CN"/>
        </w:rPr>
      </w:pPr>
    </w:p>
    <w:p w:rsidR="002B5EA4" w:rsidRPr="00764E14" w:rsidRDefault="002B5EA4" w:rsidP="00C75910">
      <w:pPr>
        <w:spacing w:line="360" w:lineRule="auto"/>
        <w:jc w:val="both"/>
        <w:rPr>
          <w:rFonts w:ascii="Book Antiqua" w:hAnsi="Book Antiqua"/>
        </w:rPr>
      </w:pPr>
      <w:r w:rsidRPr="00C75910">
        <w:rPr>
          <w:rFonts w:ascii="Book Antiqua" w:hAnsi="Book Antiqua"/>
          <w:b/>
        </w:rPr>
        <w:t>MATERIALS AND METHODS</w:t>
      </w:r>
    </w:p>
    <w:p w:rsidR="00DF2F96" w:rsidRPr="00764E14" w:rsidRDefault="00DF2F96" w:rsidP="00C75910">
      <w:pPr>
        <w:spacing w:line="360" w:lineRule="auto"/>
        <w:jc w:val="both"/>
        <w:rPr>
          <w:rFonts w:ascii="Book Antiqua" w:hAnsi="Book Antiqua"/>
        </w:rPr>
      </w:pPr>
      <w:r w:rsidRPr="00764E14">
        <w:rPr>
          <w:rFonts w:ascii="Book Antiqua" w:hAnsi="Book Antiqua"/>
          <w:i/>
        </w:rPr>
        <w:t>ACTIVE/ADIPOSE</w:t>
      </w:r>
      <w:r w:rsidRPr="00764E14">
        <w:rPr>
          <w:rFonts w:ascii="Book Antiqua" w:hAnsi="Book Antiqua"/>
        </w:rPr>
        <w:t xml:space="preserve"> (A Cohort Study to Investigate the Value of Exercise in ESRD/Analyses Designed to Investigate the Paradox of Obesity and Survival in ESRD)</w:t>
      </w:r>
      <w:r w:rsidR="00593F46" w:rsidRPr="00764E14">
        <w:rPr>
          <w:rFonts w:ascii="Book Antiqua" w:hAnsi="Book Antiqua"/>
        </w:rPr>
        <w:t xml:space="preserve"> </w:t>
      </w:r>
      <w:r w:rsidRPr="00764E14">
        <w:rPr>
          <w:rFonts w:ascii="Book Antiqua" w:hAnsi="Book Antiqua"/>
        </w:rPr>
        <w:t>is a multi-center study of prevalent patients o</w:t>
      </w:r>
      <w:r w:rsidR="001367DF" w:rsidRPr="00764E14">
        <w:rPr>
          <w:rFonts w:ascii="Book Antiqua" w:hAnsi="Book Antiqua"/>
        </w:rPr>
        <w:t xml:space="preserve">n HD coordinated by the </w:t>
      </w:r>
      <w:r w:rsidR="00B90FE5" w:rsidRPr="00764E14">
        <w:rPr>
          <w:rFonts w:ascii="Book Antiqua" w:hAnsi="Book Antiqua"/>
        </w:rPr>
        <w:t>USRDS</w:t>
      </w:r>
      <w:r w:rsidR="001367DF" w:rsidRPr="00764E14">
        <w:rPr>
          <w:rFonts w:ascii="Book Antiqua" w:hAnsi="Book Antiqua"/>
        </w:rPr>
        <w:t>. An overview of the st</w:t>
      </w:r>
      <w:r w:rsidR="003067DF" w:rsidRPr="00764E14">
        <w:rPr>
          <w:rFonts w:ascii="Book Antiqua" w:hAnsi="Book Antiqua"/>
        </w:rPr>
        <w:t>udy design and measures is available</w:t>
      </w:r>
      <w:r w:rsidR="001367DF" w:rsidRPr="00764E14">
        <w:rPr>
          <w:rFonts w:ascii="Book Antiqua" w:hAnsi="Book Antiqua"/>
        </w:rPr>
        <w:t xml:space="preserve"> in the 2011 USRDS Annual Data </w:t>
      </w:r>
      <w:proofErr w:type="gramStart"/>
      <w:r w:rsidR="001367DF" w:rsidRPr="00764E14">
        <w:rPr>
          <w:rFonts w:ascii="Book Antiqua" w:hAnsi="Book Antiqua"/>
        </w:rPr>
        <w:t>Report</w:t>
      </w:r>
      <w:r w:rsidR="00F37B16" w:rsidRPr="00764E14">
        <w:rPr>
          <w:rFonts w:ascii="Book Antiqua" w:hAnsi="Book Antiqua"/>
          <w:vertAlign w:val="superscript"/>
        </w:rPr>
        <w:t>[</w:t>
      </w:r>
      <w:proofErr w:type="gramEnd"/>
      <w:r w:rsidRPr="00764E14">
        <w:rPr>
          <w:rFonts w:ascii="Book Antiqua" w:hAnsi="Book Antiqua"/>
          <w:vertAlign w:val="superscript"/>
        </w:rPr>
        <w:t>1</w:t>
      </w:r>
      <w:r w:rsidR="00544634" w:rsidRPr="00764E14">
        <w:rPr>
          <w:rFonts w:ascii="Book Antiqua" w:hAnsi="Book Antiqua"/>
          <w:vertAlign w:val="superscript"/>
        </w:rPr>
        <w:t>0</w:t>
      </w:r>
      <w:r w:rsidR="00F37B16" w:rsidRPr="00764E14">
        <w:rPr>
          <w:rFonts w:ascii="Book Antiqua" w:hAnsi="Book Antiqua"/>
          <w:vertAlign w:val="superscript"/>
        </w:rPr>
        <w:t>]</w:t>
      </w:r>
      <w:r w:rsidR="00B90FE5" w:rsidRPr="00764E14">
        <w:rPr>
          <w:rFonts w:ascii="Book Antiqua" w:hAnsi="Book Antiqua"/>
        </w:rPr>
        <w:t>.</w:t>
      </w:r>
      <w:r w:rsidRPr="00764E14">
        <w:rPr>
          <w:rFonts w:ascii="Book Antiqua" w:hAnsi="Book Antiqua"/>
        </w:rPr>
        <w:t xml:space="preserve"> Institutional review boards at Emory University and the University of California-San</w:t>
      </w:r>
      <w:r w:rsidR="004013CB" w:rsidRPr="00764E14">
        <w:rPr>
          <w:rFonts w:ascii="Book Antiqua" w:hAnsi="Book Antiqua"/>
        </w:rPr>
        <w:t xml:space="preserve"> Francisco approved the study. </w:t>
      </w:r>
      <w:r w:rsidR="00DF461B" w:rsidRPr="00764E14">
        <w:rPr>
          <w:rFonts w:ascii="Book Antiqua" w:hAnsi="Book Antiqua"/>
        </w:rPr>
        <w:t>A total</w:t>
      </w:r>
      <w:r w:rsidR="009B7795" w:rsidRPr="00764E14">
        <w:rPr>
          <w:rFonts w:ascii="Book Antiqua" w:hAnsi="Book Antiqua"/>
        </w:rPr>
        <w:t xml:space="preserve"> of </w:t>
      </w:r>
      <w:r w:rsidR="00DF461B" w:rsidRPr="00764E14">
        <w:rPr>
          <w:rFonts w:ascii="Book Antiqua" w:hAnsi="Book Antiqua"/>
        </w:rPr>
        <w:t>668 study participants had</w:t>
      </w:r>
      <w:r w:rsidR="009B7795" w:rsidRPr="00764E14">
        <w:rPr>
          <w:rFonts w:ascii="Book Antiqua" w:hAnsi="Book Antiqua"/>
        </w:rPr>
        <w:t xml:space="preserve"> gait speed and f</w:t>
      </w:r>
      <w:r w:rsidR="007922C0" w:rsidRPr="00764E14">
        <w:rPr>
          <w:rFonts w:ascii="Book Antiqua" w:hAnsi="Book Antiqua"/>
        </w:rPr>
        <w:t>al</w:t>
      </w:r>
      <w:r w:rsidR="00DF461B" w:rsidRPr="00764E14">
        <w:rPr>
          <w:rFonts w:ascii="Book Antiqua" w:hAnsi="Book Antiqua"/>
        </w:rPr>
        <w:t>l history information</w:t>
      </w:r>
      <w:r w:rsidR="009B7795" w:rsidRPr="00764E14">
        <w:rPr>
          <w:rFonts w:ascii="Book Antiqua" w:hAnsi="Book Antiqua"/>
        </w:rPr>
        <w:t xml:space="preserve"> </w:t>
      </w:r>
      <w:r w:rsidR="00DF461B" w:rsidRPr="00764E14">
        <w:rPr>
          <w:rFonts w:ascii="Book Antiqua" w:hAnsi="Book Antiqua"/>
        </w:rPr>
        <w:t xml:space="preserve">and </w:t>
      </w:r>
      <w:r w:rsidR="009B7795" w:rsidRPr="00764E14">
        <w:rPr>
          <w:rFonts w:ascii="Book Antiqua" w:hAnsi="Book Antiqua"/>
        </w:rPr>
        <w:t xml:space="preserve">are the focus of the analyses reported in this paper. </w:t>
      </w:r>
    </w:p>
    <w:p w:rsidR="00DF2F96" w:rsidRPr="00C75910" w:rsidRDefault="00DF461B" w:rsidP="00764E14">
      <w:pPr>
        <w:spacing w:line="360" w:lineRule="auto"/>
        <w:ind w:firstLineChars="100" w:firstLine="240"/>
        <w:jc w:val="both"/>
        <w:rPr>
          <w:rFonts w:ascii="Book Antiqua" w:hAnsi="Book Antiqua"/>
        </w:rPr>
      </w:pPr>
      <w:r w:rsidRPr="00C75910">
        <w:rPr>
          <w:rFonts w:ascii="Book Antiqua" w:hAnsi="Book Antiqua"/>
        </w:rPr>
        <w:t>U</w:t>
      </w:r>
      <w:r w:rsidR="00150EFF" w:rsidRPr="00C75910">
        <w:rPr>
          <w:rFonts w:ascii="Book Antiqua" w:hAnsi="Book Antiqua"/>
        </w:rPr>
        <w:t xml:space="preserve">sual </w:t>
      </w:r>
      <w:r w:rsidR="00DA7F7F" w:rsidRPr="00C75910">
        <w:rPr>
          <w:rFonts w:ascii="Book Antiqua" w:hAnsi="Book Antiqua"/>
        </w:rPr>
        <w:t>gait speed</w:t>
      </w:r>
      <w:r w:rsidR="00150EFF" w:rsidRPr="00C75910">
        <w:rPr>
          <w:rFonts w:ascii="Book Antiqua" w:hAnsi="Book Antiqua"/>
        </w:rPr>
        <w:t xml:space="preserve"> was measured t</w:t>
      </w:r>
      <w:r w:rsidR="00CB2C9A" w:rsidRPr="00C75910">
        <w:rPr>
          <w:rFonts w:ascii="Book Antiqua" w:hAnsi="Book Antiqua"/>
        </w:rPr>
        <w:t>wo times over a 15-feet walkway,</w:t>
      </w:r>
      <w:r w:rsidR="00150EFF" w:rsidRPr="00C75910">
        <w:rPr>
          <w:rFonts w:ascii="Book Antiqua" w:hAnsi="Book Antiqua"/>
        </w:rPr>
        <w:t xml:space="preserve"> </w:t>
      </w:r>
      <w:r w:rsidR="00CB2C9A" w:rsidRPr="00C75910">
        <w:rPr>
          <w:rFonts w:ascii="Book Antiqua" w:hAnsi="Book Antiqua"/>
        </w:rPr>
        <w:t xml:space="preserve">and the average speed of the two trials was determined. </w:t>
      </w:r>
      <w:r w:rsidR="00150EFF" w:rsidRPr="00C75910">
        <w:rPr>
          <w:rFonts w:ascii="Book Antiqua" w:hAnsi="Book Antiqua"/>
        </w:rPr>
        <w:t>Coordinators observed whether the participant used an assistive device</w:t>
      </w:r>
      <w:r w:rsidR="00D63A33" w:rsidRPr="00C75910">
        <w:rPr>
          <w:rFonts w:ascii="Book Antiqua" w:hAnsi="Book Antiqua"/>
        </w:rPr>
        <w:t xml:space="preserve"> for walking and whether an ass</w:t>
      </w:r>
      <w:r w:rsidR="00150EFF" w:rsidRPr="00C75910">
        <w:rPr>
          <w:rFonts w:ascii="Book Antiqua" w:hAnsi="Book Antiqua"/>
        </w:rPr>
        <w:t>i</w:t>
      </w:r>
      <w:r w:rsidR="00D63A33" w:rsidRPr="00C75910">
        <w:rPr>
          <w:rFonts w:ascii="Book Antiqua" w:hAnsi="Book Antiqua"/>
        </w:rPr>
        <w:t>s</w:t>
      </w:r>
      <w:r w:rsidR="00150EFF" w:rsidRPr="00C75910">
        <w:rPr>
          <w:rFonts w:ascii="Book Antiqua" w:hAnsi="Book Antiqua"/>
        </w:rPr>
        <w:t>tive device was used to perform the walk.</w:t>
      </w:r>
      <w:r w:rsidR="00260886" w:rsidRPr="00C75910">
        <w:rPr>
          <w:rFonts w:ascii="Book Antiqua" w:hAnsi="Book Antiqua"/>
        </w:rPr>
        <w:t xml:space="preserve"> </w:t>
      </w:r>
      <w:r w:rsidR="007922C0" w:rsidRPr="00C75910">
        <w:rPr>
          <w:rFonts w:ascii="Book Antiqua" w:hAnsi="Book Antiqua"/>
        </w:rPr>
        <w:t>For the analyses reported in this paper, s</w:t>
      </w:r>
      <w:r w:rsidR="00260886" w:rsidRPr="00C75910">
        <w:rPr>
          <w:rFonts w:ascii="Book Antiqua" w:hAnsi="Book Antiqua"/>
        </w:rPr>
        <w:t>low gait</w:t>
      </w:r>
      <w:r w:rsidR="003067DF" w:rsidRPr="00C75910">
        <w:rPr>
          <w:rFonts w:ascii="Book Antiqua" w:hAnsi="Book Antiqua"/>
        </w:rPr>
        <w:t xml:space="preserve"> speed was defined as &lt;</w:t>
      </w:r>
      <w:r w:rsidR="00764E14">
        <w:rPr>
          <w:rFonts w:ascii="Book Antiqua" w:hAnsi="Book Antiqua" w:hint="eastAsia"/>
          <w:lang w:eastAsia="zh-CN"/>
        </w:rPr>
        <w:t xml:space="preserve"> </w:t>
      </w:r>
      <w:r w:rsidR="003067DF" w:rsidRPr="00C75910">
        <w:rPr>
          <w:rFonts w:ascii="Book Antiqua" w:hAnsi="Book Antiqua"/>
        </w:rPr>
        <w:t>0.8</w:t>
      </w:r>
      <w:r w:rsidR="009E7DD2" w:rsidRPr="00C75910">
        <w:rPr>
          <w:rFonts w:ascii="Book Antiqua" w:hAnsi="Book Antiqua"/>
        </w:rPr>
        <w:t xml:space="preserve"> </w:t>
      </w:r>
      <w:r w:rsidR="003067DF" w:rsidRPr="00C75910">
        <w:rPr>
          <w:rFonts w:ascii="Book Antiqua" w:hAnsi="Book Antiqua"/>
        </w:rPr>
        <w:t>m/s</w:t>
      </w:r>
      <w:r w:rsidR="00260886" w:rsidRPr="00C75910">
        <w:rPr>
          <w:rFonts w:ascii="Book Antiqua" w:hAnsi="Book Antiqua"/>
        </w:rPr>
        <w:t>.</w:t>
      </w:r>
      <w:r w:rsidR="00DA7F7F" w:rsidRPr="00C75910">
        <w:rPr>
          <w:rFonts w:ascii="Book Antiqua" w:hAnsi="Book Antiqua"/>
        </w:rPr>
        <w:t xml:space="preserve"> </w:t>
      </w:r>
      <w:r w:rsidR="001C2C55" w:rsidRPr="00C75910">
        <w:rPr>
          <w:rFonts w:ascii="Book Antiqua" w:hAnsi="Book Antiqua"/>
        </w:rPr>
        <w:t xml:space="preserve">Hospitalization during the past 12 </w:t>
      </w:r>
      <w:proofErr w:type="spellStart"/>
      <w:r w:rsidR="001C2C55" w:rsidRPr="00C75910">
        <w:rPr>
          <w:rFonts w:ascii="Book Antiqua" w:hAnsi="Book Antiqua"/>
        </w:rPr>
        <w:t>mo</w:t>
      </w:r>
      <w:proofErr w:type="spellEnd"/>
      <w:r w:rsidR="001C2C55" w:rsidRPr="00C75910">
        <w:rPr>
          <w:rFonts w:ascii="Book Antiqua" w:hAnsi="Book Antiqua"/>
        </w:rPr>
        <w:t xml:space="preserve"> was identified in the patient’s</w:t>
      </w:r>
      <w:r w:rsidR="00D63A33" w:rsidRPr="00C75910">
        <w:rPr>
          <w:rFonts w:ascii="Book Antiqua" w:hAnsi="Book Antiqua"/>
        </w:rPr>
        <w:t xml:space="preserve"> clinic records, and the</w:t>
      </w:r>
      <w:r w:rsidR="001C2C55" w:rsidRPr="00C75910">
        <w:rPr>
          <w:rFonts w:ascii="Book Antiqua" w:hAnsi="Book Antiqua"/>
        </w:rPr>
        <w:t xml:space="preserve"> first hospitalization after gait speed assessment (or the competing event of death</w:t>
      </w:r>
      <w:r w:rsidR="00D247E4" w:rsidRPr="00C75910">
        <w:rPr>
          <w:rFonts w:ascii="Book Antiqua" w:hAnsi="Book Antiqua"/>
        </w:rPr>
        <w:t xml:space="preserve">) </w:t>
      </w:r>
      <w:r w:rsidR="001C2C55" w:rsidRPr="00C75910">
        <w:rPr>
          <w:rFonts w:ascii="Book Antiqua" w:hAnsi="Book Antiqua"/>
        </w:rPr>
        <w:t>w</w:t>
      </w:r>
      <w:r w:rsidR="00D247E4" w:rsidRPr="00C75910">
        <w:rPr>
          <w:rFonts w:ascii="Book Antiqua" w:hAnsi="Book Antiqua"/>
        </w:rPr>
        <w:t xml:space="preserve">as </w:t>
      </w:r>
      <w:r w:rsidR="001C2C55" w:rsidRPr="00C75910">
        <w:rPr>
          <w:rFonts w:ascii="Book Antiqua" w:hAnsi="Book Antiqua"/>
        </w:rPr>
        <w:t xml:space="preserve">identified in the 2013 </w:t>
      </w:r>
      <w:r w:rsidR="00764E14">
        <w:t>United States Renal Data System (USRDS)</w:t>
      </w:r>
      <w:r w:rsidR="001C2C55" w:rsidRPr="00C75910">
        <w:rPr>
          <w:rFonts w:ascii="Book Antiqua" w:hAnsi="Book Antiqua"/>
        </w:rPr>
        <w:t xml:space="preserve"> Standard Analysis Files.</w:t>
      </w:r>
      <w:r w:rsidR="00DF2F96" w:rsidRPr="00C75910">
        <w:rPr>
          <w:rFonts w:ascii="Book Antiqua" w:hAnsi="Book Antiqua"/>
        </w:rPr>
        <w:t xml:space="preserve"> </w:t>
      </w:r>
    </w:p>
    <w:p w:rsidR="00DF2F96" w:rsidRPr="00C75910" w:rsidRDefault="00764E14" w:rsidP="00C75910">
      <w:pPr>
        <w:spacing w:line="360" w:lineRule="auto"/>
        <w:jc w:val="both"/>
        <w:rPr>
          <w:rFonts w:ascii="Book Antiqua" w:hAnsi="Book Antiqua"/>
        </w:rPr>
      </w:pPr>
      <w:r>
        <w:rPr>
          <w:rFonts w:ascii="Book Antiqua" w:hAnsi="Book Antiqua"/>
        </w:rPr>
        <w:t xml:space="preserve"> </w:t>
      </w:r>
      <w:r w:rsidR="00DF2F96" w:rsidRPr="00C75910">
        <w:rPr>
          <w:rFonts w:ascii="Book Antiqua" w:hAnsi="Book Antiqua"/>
        </w:rPr>
        <w:t xml:space="preserve"> </w:t>
      </w:r>
    </w:p>
    <w:p w:rsidR="00DF2F96" w:rsidRPr="00764E14" w:rsidRDefault="00275ED2" w:rsidP="00C75910">
      <w:pPr>
        <w:spacing w:line="360" w:lineRule="auto"/>
        <w:jc w:val="both"/>
        <w:rPr>
          <w:rFonts w:ascii="Book Antiqua" w:hAnsi="Book Antiqua"/>
          <w:b/>
          <w:i/>
        </w:rPr>
      </w:pPr>
      <w:r w:rsidRPr="00764E14">
        <w:rPr>
          <w:rFonts w:ascii="Book Antiqua" w:hAnsi="Book Antiqua"/>
          <w:b/>
          <w:i/>
        </w:rPr>
        <w:t>Statistical analysi</w:t>
      </w:r>
      <w:r w:rsidR="00DF2F96" w:rsidRPr="00764E14">
        <w:rPr>
          <w:rFonts w:ascii="Book Antiqua" w:hAnsi="Book Antiqua"/>
          <w:b/>
          <w:i/>
        </w:rPr>
        <w:t>s</w:t>
      </w:r>
    </w:p>
    <w:p w:rsidR="00385760" w:rsidRPr="00C75910" w:rsidRDefault="003067DF" w:rsidP="00C75910">
      <w:pPr>
        <w:spacing w:line="360" w:lineRule="auto"/>
        <w:jc w:val="both"/>
        <w:rPr>
          <w:rFonts w:ascii="Book Antiqua" w:hAnsi="Book Antiqua"/>
        </w:rPr>
      </w:pPr>
      <w:r w:rsidRPr="00C75910">
        <w:rPr>
          <w:rFonts w:ascii="Book Antiqua" w:hAnsi="Book Antiqua"/>
        </w:rPr>
        <w:lastRenderedPageBreak/>
        <w:t>P</w:t>
      </w:r>
      <w:r w:rsidR="001E2C60" w:rsidRPr="00C75910">
        <w:rPr>
          <w:rFonts w:ascii="Book Antiqua" w:hAnsi="Book Antiqua"/>
        </w:rPr>
        <w:t>articipants</w:t>
      </w:r>
      <w:r w:rsidRPr="00C75910">
        <w:rPr>
          <w:rFonts w:ascii="Book Antiqua" w:hAnsi="Book Antiqua"/>
        </w:rPr>
        <w:t xml:space="preserve">’ </w:t>
      </w:r>
      <w:proofErr w:type="spellStart"/>
      <w:r w:rsidR="00260886" w:rsidRPr="00C75910">
        <w:rPr>
          <w:rFonts w:ascii="Book Antiqua" w:hAnsi="Book Antiqua"/>
        </w:rPr>
        <w:t>sociodemographic</w:t>
      </w:r>
      <w:proofErr w:type="spellEnd"/>
      <w:r w:rsidR="00260886" w:rsidRPr="00C75910">
        <w:rPr>
          <w:rFonts w:ascii="Book Antiqua" w:hAnsi="Book Antiqua"/>
        </w:rPr>
        <w:t xml:space="preserve"> and clinical characteristics </w:t>
      </w:r>
      <w:r w:rsidR="00D63A33" w:rsidRPr="00C75910">
        <w:rPr>
          <w:rFonts w:ascii="Book Antiqua" w:hAnsi="Book Antiqua"/>
        </w:rPr>
        <w:t>were describ</w:t>
      </w:r>
      <w:r w:rsidR="009B7795" w:rsidRPr="00C75910">
        <w:rPr>
          <w:rFonts w:ascii="Book Antiqua" w:hAnsi="Book Antiqua"/>
        </w:rPr>
        <w:t>ed by percentage or mean (S.D.) and compared using chi-square or t-test.</w:t>
      </w:r>
      <w:r w:rsidR="00D63A33" w:rsidRPr="00C75910">
        <w:rPr>
          <w:rFonts w:ascii="Book Antiqua" w:hAnsi="Book Antiqua"/>
        </w:rPr>
        <w:t xml:space="preserve"> </w:t>
      </w:r>
      <w:r w:rsidR="007F0FC4" w:rsidRPr="00C75910">
        <w:rPr>
          <w:rFonts w:ascii="Book Antiqua" w:hAnsi="Book Antiqua"/>
        </w:rPr>
        <w:t xml:space="preserve">A four-level variable was used to summarize participants’ gait speed and fall history status, i.e. slow gait speed + no fall history; slow gait speed + fall history; faster gait speed + no fall history; faster gait speed + fall history. </w:t>
      </w:r>
      <w:r w:rsidR="009B7795" w:rsidRPr="00C75910">
        <w:rPr>
          <w:rFonts w:ascii="Book Antiqua" w:hAnsi="Book Antiqua"/>
        </w:rPr>
        <w:t>The</w:t>
      </w:r>
      <w:r w:rsidR="00260886" w:rsidRPr="00C75910">
        <w:rPr>
          <w:rFonts w:ascii="Book Antiqua" w:hAnsi="Book Antiqua"/>
        </w:rPr>
        <w:t xml:space="preserve"> association of</w:t>
      </w:r>
      <w:r w:rsidR="007F0FC4" w:rsidRPr="00C75910">
        <w:rPr>
          <w:rFonts w:ascii="Book Antiqua" w:hAnsi="Book Antiqua"/>
        </w:rPr>
        <w:t xml:space="preserve"> this variable</w:t>
      </w:r>
      <w:r w:rsidR="009B7795" w:rsidRPr="00C75910">
        <w:rPr>
          <w:rFonts w:ascii="Book Antiqua" w:hAnsi="Book Antiqua"/>
        </w:rPr>
        <w:t xml:space="preserve"> with hospitalization during the pa</w:t>
      </w:r>
      <w:r w:rsidR="00260886" w:rsidRPr="00C75910">
        <w:rPr>
          <w:rFonts w:ascii="Book Antiqua" w:hAnsi="Book Antiqua"/>
        </w:rPr>
        <w:t xml:space="preserve">st 12 </w:t>
      </w:r>
      <w:proofErr w:type="spellStart"/>
      <w:r w:rsidR="00260886" w:rsidRPr="00C75910">
        <w:rPr>
          <w:rFonts w:ascii="Book Antiqua" w:hAnsi="Book Antiqua"/>
        </w:rPr>
        <w:t>mo</w:t>
      </w:r>
      <w:proofErr w:type="spellEnd"/>
      <w:r w:rsidR="00260886" w:rsidRPr="00C75910">
        <w:rPr>
          <w:rFonts w:ascii="Book Antiqua" w:hAnsi="Book Antiqua"/>
        </w:rPr>
        <w:t xml:space="preserve"> was</w:t>
      </w:r>
      <w:r w:rsidR="003F13AA" w:rsidRPr="00C75910">
        <w:rPr>
          <w:rFonts w:ascii="Book Antiqua" w:hAnsi="Book Antiqua"/>
        </w:rPr>
        <w:t xml:space="preserve"> examined in a multivariable</w:t>
      </w:r>
      <w:r w:rsidR="00597517" w:rsidRPr="00C75910">
        <w:rPr>
          <w:rFonts w:ascii="Book Antiqua" w:hAnsi="Book Antiqua"/>
        </w:rPr>
        <w:t xml:space="preserve"> logistic regression model, and t</w:t>
      </w:r>
      <w:r w:rsidR="004C6B30" w:rsidRPr="00C75910">
        <w:rPr>
          <w:rFonts w:ascii="Book Antiqua" w:hAnsi="Book Antiqua"/>
        </w:rPr>
        <w:t>ime to first</w:t>
      </w:r>
      <w:r w:rsidR="00260886" w:rsidRPr="00C75910">
        <w:rPr>
          <w:rFonts w:ascii="Book Antiqua" w:hAnsi="Book Antiqua"/>
        </w:rPr>
        <w:t xml:space="preserve"> hospitalization</w:t>
      </w:r>
      <w:r w:rsidR="00597517" w:rsidRPr="00C75910">
        <w:rPr>
          <w:rFonts w:ascii="Book Antiqua" w:hAnsi="Book Antiqua"/>
        </w:rPr>
        <w:t xml:space="preserve"> (or death) </w:t>
      </w:r>
      <w:r w:rsidR="00260886" w:rsidRPr="00C75910">
        <w:rPr>
          <w:rFonts w:ascii="Book Antiqua" w:hAnsi="Book Antiqua"/>
        </w:rPr>
        <w:t>through December 31, 2011</w:t>
      </w:r>
      <w:r w:rsidRPr="00C75910">
        <w:rPr>
          <w:rFonts w:ascii="Book Antiqua" w:hAnsi="Book Antiqua"/>
        </w:rPr>
        <w:t xml:space="preserve"> </w:t>
      </w:r>
      <w:r w:rsidR="00597517" w:rsidRPr="00C75910">
        <w:rPr>
          <w:rFonts w:ascii="Book Antiqua" w:hAnsi="Book Antiqua"/>
        </w:rPr>
        <w:t xml:space="preserve">was examined in a multivariable Cox proportional hazards analysis </w:t>
      </w:r>
      <w:r w:rsidRPr="00C75910">
        <w:rPr>
          <w:rFonts w:ascii="Book Antiqua" w:hAnsi="Book Antiqua"/>
        </w:rPr>
        <w:t xml:space="preserve">using </w:t>
      </w:r>
      <w:r w:rsidR="00260886" w:rsidRPr="00C75910">
        <w:rPr>
          <w:rFonts w:ascii="Book Antiqua" w:hAnsi="Book Antiqua"/>
        </w:rPr>
        <w:t>the USRDS 2013 Hospitalization Standard Anal</w:t>
      </w:r>
      <w:r w:rsidR="00597517" w:rsidRPr="00C75910">
        <w:rPr>
          <w:rFonts w:ascii="Book Antiqua" w:hAnsi="Book Antiqua"/>
        </w:rPr>
        <w:t>ysis File;</w:t>
      </w:r>
      <w:r w:rsidR="00260886" w:rsidRPr="00C75910">
        <w:rPr>
          <w:rFonts w:ascii="Book Antiqua" w:hAnsi="Book Antiqua"/>
        </w:rPr>
        <w:t xml:space="preserve"> </w:t>
      </w:r>
      <w:r w:rsidR="00597517" w:rsidRPr="00C75910">
        <w:rPr>
          <w:rFonts w:ascii="Book Antiqua" w:hAnsi="Book Antiqua"/>
        </w:rPr>
        <w:t>p</w:t>
      </w:r>
      <w:r w:rsidR="004C6B30" w:rsidRPr="00C75910">
        <w:rPr>
          <w:rFonts w:ascii="Book Antiqua" w:hAnsi="Book Antiqua"/>
        </w:rPr>
        <w:t xml:space="preserve">atients were censored at the end of follow-up. </w:t>
      </w:r>
      <w:r w:rsidR="00DF2F96" w:rsidRPr="00C75910">
        <w:rPr>
          <w:rFonts w:ascii="Book Antiqua" w:hAnsi="Book Antiqua"/>
        </w:rPr>
        <w:t>Statistical analyses were conducted using SAS 9.3 (SAS Institute, Cary, NC, U</w:t>
      </w:r>
      <w:r w:rsidR="00764E14">
        <w:rPr>
          <w:rFonts w:ascii="Book Antiqua" w:hAnsi="Book Antiqua" w:hint="eastAsia"/>
          <w:lang w:eastAsia="zh-CN"/>
        </w:rPr>
        <w:t xml:space="preserve">nited </w:t>
      </w:r>
      <w:r w:rsidR="00DF2F96" w:rsidRPr="00C75910">
        <w:rPr>
          <w:rFonts w:ascii="Book Antiqua" w:hAnsi="Book Antiqua"/>
        </w:rPr>
        <w:t>S</w:t>
      </w:r>
      <w:r w:rsidR="00764E14">
        <w:rPr>
          <w:rFonts w:ascii="Book Antiqua" w:hAnsi="Book Antiqua" w:hint="eastAsia"/>
          <w:lang w:eastAsia="zh-CN"/>
        </w:rPr>
        <w:t>tates</w:t>
      </w:r>
      <w:r w:rsidR="00DF2F96" w:rsidRPr="00C75910">
        <w:rPr>
          <w:rFonts w:ascii="Book Antiqua" w:hAnsi="Book Antiqua"/>
        </w:rPr>
        <w:t>)</w:t>
      </w:r>
      <w:r w:rsidR="00385760" w:rsidRPr="00C75910">
        <w:rPr>
          <w:rFonts w:ascii="Book Antiqua" w:hAnsi="Book Antiqua"/>
        </w:rPr>
        <w:t>.</w:t>
      </w:r>
    </w:p>
    <w:p w:rsidR="00764E14" w:rsidRDefault="00764E14" w:rsidP="00C75910">
      <w:pPr>
        <w:spacing w:line="360" w:lineRule="auto"/>
        <w:jc w:val="both"/>
        <w:rPr>
          <w:rFonts w:ascii="Book Antiqua" w:hAnsi="Book Antiqua"/>
          <w:lang w:eastAsia="zh-CN"/>
        </w:rPr>
      </w:pPr>
    </w:p>
    <w:p w:rsidR="002B5EA4" w:rsidRPr="00764E14" w:rsidRDefault="002B5EA4" w:rsidP="00C75910">
      <w:pPr>
        <w:spacing w:line="360" w:lineRule="auto"/>
        <w:jc w:val="both"/>
        <w:rPr>
          <w:rFonts w:ascii="Book Antiqua" w:hAnsi="Book Antiqua"/>
        </w:rPr>
      </w:pPr>
      <w:r w:rsidRPr="00C75910">
        <w:rPr>
          <w:rFonts w:ascii="Book Antiqua" w:hAnsi="Book Antiqua"/>
          <w:b/>
        </w:rPr>
        <w:t>RESULTS</w:t>
      </w:r>
      <w:r w:rsidR="001F2C9F" w:rsidRPr="00C75910">
        <w:rPr>
          <w:rFonts w:ascii="Book Antiqua" w:hAnsi="Book Antiqua"/>
          <w:b/>
        </w:rPr>
        <w:t xml:space="preserve"> </w:t>
      </w:r>
    </w:p>
    <w:p w:rsidR="00CB2C9A" w:rsidRPr="00C75910" w:rsidRDefault="003067DF" w:rsidP="00C75910">
      <w:pPr>
        <w:spacing w:line="360" w:lineRule="auto"/>
        <w:jc w:val="both"/>
        <w:rPr>
          <w:rFonts w:ascii="Book Antiqua" w:hAnsi="Book Antiqua"/>
        </w:rPr>
      </w:pPr>
      <w:r w:rsidRPr="00C75910">
        <w:rPr>
          <w:rFonts w:ascii="Book Antiqua" w:hAnsi="Book Antiqua"/>
        </w:rPr>
        <w:t>O</w:t>
      </w:r>
      <w:r w:rsidR="007F1585" w:rsidRPr="00C75910">
        <w:rPr>
          <w:rFonts w:ascii="Book Antiqua" w:hAnsi="Book Antiqua"/>
        </w:rPr>
        <w:t xml:space="preserve">verall </w:t>
      </w:r>
      <w:r w:rsidR="0072456C" w:rsidRPr="00C75910">
        <w:rPr>
          <w:rFonts w:ascii="Book Antiqua" w:hAnsi="Book Antiqua"/>
        </w:rPr>
        <w:t>mean (S.D.)</w:t>
      </w:r>
      <w:r w:rsidR="008C4E56" w:rsidRPr="00C75910">
        <w:rPr>
          <w:rFonts w:ascii="Book Antiqua" w:hAnsi="Book Antiqua"/>
        </w:rPr>
        <w:t xml:space="preserve"> age </w:t>
      </w:r>
      <w:r w:rsidR="00260886" w:rsidRPr="00C75910">
        <w:rPr>
          <w:rFonts w:ascii="Book Antiqua" w:hAnsi="Book Antiqua"/>
        </w:rPr>
        <w:t>of</w:t>
      </w:r>
      <w:r w:rsidR="00CB2C9A" w:rsidRPr="00C75910">
        <w:rPr>
          <w:rFonts w:ascii="Book Antiqua" w:hAnsi="Book Antiqua"/>
        </w:rPr>
        <w:t xml:space="preserve"> </w:t>
      </w:r>
      <w:r w:rsidR="00260886" w:rsidRPr="00C75910">
        <w:rPr>
          <w:rFonts w:ascii="Book Antiqua" w:hAnsi="Book Antiqua"/>
        </w:rPr>
        <w:t>study participants</w:t>
      </w:r>
      <w:r w:rsidR="0030067E" w:rsidRPr="00C75910">
        <w:rPr>
          <w:rFonts w:ascii="Book Antiqua" w:hAnsi="Book Antiqua"/>
        </w:rPr>
        <w:t xml:space="preserve"> </w:t>
      </w:r>
      <w:r w:rsidR="008C4E56" w:rsidRPr="00C75910">
        <w:rPr>
          <w:rFonts w:ascii="Book Antiqua" w:hAnsi="Book Antiqua"/>
        </w:rPr>
        <w:t>was 57.1 (14.</w:t>
      </w:r>
      <w:r w:rsidR="00583F46" w:rsidRPr="00C75910">
        <w:rPr>
          <w:rFonts w:ascii="Book Antiqua" w:hAnsi="Book Antiqua"/>
        </w:rPr>
        <w:t>3</w:t>
      </w:r>
      <w:r w:rsidR="008C4E56" w:rsidRPr="00C75910">
        <w:rPr>
          <w:rFonts w:ascii="Book Antiqua" w:hAnsi="Book Antiqua"/>
        </w:rPr>
        <w:t>); the</w:t>
      </w:r>
      <w:r w:rsidR="0072456C" w:rsidRPr="00C75910">
        <w:rPr>
          <w:rFonts w:ascii="Book Antiqua" w:hAnsi="Book Antiqua"/>
        </w:rPr>
        <w:t xml:space="preserve"> median</w:t>
      </w:r>
      <w:r w:rsidR="008C4E56" w:rsidRPr="00C75910">
        <w:rPr>
          <w:rFonts w:ascii="Book Antiqua" w:hAnsi="Book Antiqua"/>
        </w:rPr>
        <w:t xml:space="preserve"> age was</w:t>
      </w:r>
      <w:r w:rsidR="0072456C" w:rsidRPr="00C75910">
        <w:rPr>
          <w:rFonts w:ascii="Book Antiqua" w:hAnsi="Book Antiqua"/>
        </w:rPr>
        <w:t xml:space="preserve"> 57.5. The primary ca</w:t>
      </w:r>
      <w:r w:rsidR="007922C0" w:rsidRPr="00C75910">
        <w:rPr>
          <w:rFonts w:ascii="Book Antiqua" w:hAnsi="Book Antiqua"/>
        </w:rPr>
        <w:t>use of ESRD</w:t>
      </w:r>
      <w:r w:rsidR="0072456C" w:rsidRPr="00C75910">
        <w:rPr>
          <w:rFonts w:ascii="Book Antiqua" w:hAnsi="Book Antiqua"/>
        </w:rPr>
        <w:t xml:space="preserve"> was diabetes or hypertension in 72% of the cohort, similar to the tot</w:t>
      </w:r>
      <w:r w:rsidR="00937769" w:rsidRPr="00C75910">
        <w:rPr>
          <w:rFonts w:ascii="Book Antiqua" w:hAnsi="Book Antiqua"/>
        </w:rPr>
        <w:t xml:space="preserve">al U.S. in-center HD </w:t>
      </w:r>
      <w:proofErr w:type="gramStart"/>
      <w:r w:rsidR="00937769" w:rsidRPr="00C75910">
        <w:rPr>
          <w:rFonts w:ascii="Book Antiqua" w:hAnsi="Book Antiqua"/>
        </w:rPr>
        <w:t>population</w:t>
      </w:r>
      <w:r w:rsidR="00D15328" w:rsidRPr="00C75910">
        <w:rPr>
          <w:rFonts w:ascii="Book Antiqua" w:hAnsi="Book Antiqua"/>
          <w:vertAlign w:val="superscript"/>
        </w:rPr>
        <w:t>[</w:t>
      </w:r>
      <w:proofErr w:type="gramEnd"/>
      <w:r w:rsidR="0072456C" w:rsidRPr="00C75910">
        <w:rPr>
          <w:rFonts w:ascii="Book Antiqua" w:hAnsi="Book Antiqua"/>
          <w:vertAlign w:val="superscript"/>
        </w:rPr>
        <w:t>1</w:t>
      </w:r>
      <w:r w:rsidR="00D15328" w:rsidRPr="00C75910">
        <w:rPr>
          <w:rFonts w:ascii="Book Antiqua" w:hAnsi="Book Antiqua"/>
          <w:vertAlign w:val="superscript"/>
        </w:rPr>
        <w:t>]</w:t>
      </w:r>
      <w:r w:rsidR="00937769" w:rsidRPr="00C75910">
        <w:rPr>
          <w:rFonts w:ascii="Book Antiqua" w:hAnsi="Book Antiqua"/>
        </w:rPr>
        <w:t>.</w:t>
      </w:r>
      <w:r w:rsidR="0072456C" w:rsidRPr="00C75910">
        <w:rPr>
          <w:rFonts w:ascii="Book Antiqua" w:hAnsi="Book Antiqua"/>
        </w:rPr>
        <w:t xml:space="preserve"> Forty-one percent were women, and median time since ESRD treatment start</w:t>
      </w:r>
      <w:r w:rsidR="007922C0" w:rsidRPr="00C75910">
        <w:rPr>
          <w:rFonts w:ascii="Book Antiqua" w:hAnsi="Book Antiqua"/>
        </w:rPr>
        <w:t xml:space="preserve"> (ESRD vintage)</w:t>
      </w:r>
      <w:r w:rsidR="0072456C" w:rsidRPr="00C75910">
        <w:rPr>
          <w:rFonts w:ascii="Book Antiqua" w:hAnsi="Book Antiqua"/>
        </w:rPr>
        <w:t xml:space="preserve"> was 3 years. Consistent with the study sites, African-American patients were more heavily represented than in the overall </w:t>
      </w:r>
      <w:r w:rsidR="007922C0" w:rsidRPr="00C75910">
        <w:rPr>
          <w:rFonts w:ascii="Book Antiqua" w:hAnsi="Book Antiqua"/>
        </w:rPr>
        <w:t xml:space="preserve">U.S. </w:t>
      </w:r>
      <w:r w:rsidR="0072456C" w:rsidRPr="00C75910">
        <w:rPr>
          <w:rFonts w:ascii="Book Antiqua" w:hAnsi="Book Antiqua"/>
        </w:rPr>
        <w:t>HD population, and the average age</w:t>
      </w:r>
      <w:r w:rsidR="00D5461D" w:rsidRPr="00C75910">
        <w:rPr>
          <w:rFonts w:ascii="Book Antiqua" w:hAnsi="Book Antiqua"/>
        </w:rPr>
        <w:t xml:space="preserve"> of</w:t>
      </w:r>
      <w:r w:rsidR="00397E3A" w:rsidRPr="00C75910">
        <w:rPr>
          <w:rFonts w:ascii="Book Antiqua" w:hAnsi="Book Antiqua"/>
        </w:rPr>
        <w:t xml:space="preserve"> study participants</w:t>
      </w:r>
      <w:r w:rsidR="0072456C" w:rsidRPr="00C75910">
        <w:rPr>
          <w:rFonts w:ascii="Book Antiqua" w:hAnsi="Book Antiqua"/>
        </w:rPr>
        <w:t xml:space="preserve"> was correspondingly younger.</w:t>
      </w:r>
    </w:p>
    <w:p w:rsidR="00397E3A" w:rsidRPr="00C75910" w:rsidRDefault="00397E3A" w:rsidP="00764E14">
      <w:pPr>
        <w:spacing w:line="360" w:lineRule="auto"/>
        <w:ind w:firstLineChars="100" w:firstLine="240"/>
        <w:jc w:val="both"/>
        <w:rPr>
          <w:rFonts w:ascii="Book Antiqua" w:hAnsi="Book Antiqua"/>
        </w:rPr>
      </w:pPr>
      <w:r w:rsidRPr="00C75910">
        <w:rPr>
          <w:rFonts w:ascii="Book Antiqua" w:hAnsi="Book Antiqua"/>
        </w:rPr>
        <w:t>There were 103 patients who could not be included in th</w:t>
      </w:r>
      <w:r w:rsidR="00BE1A70" w:rsidRPr="00C75910">
        <w:rPr>
          <w:rFonts w:ascii="Book Antiqua" w:hAnsi="Book Antiqua"/>
        </w:rPr>
        <w:t>e</w:t>
      </w:r>
      <w:r w:rsidRPr="00C75910">
        <w:rPr>
          <w:rFonts w:ascii="Book Antiqua" w:hAnsi="Book Antiqua"/>
        </w:rPr>
        <w:t xml:space="preserve"> analysis due to lack of gait speed </w:t>
      </w:r>
      <w:r w:rsidR="00BE1A70" w:rsidRPr="00C75910">
        <w:rPr>
          <w:rFonts w:ascii="Book Antiqua" w:hAnsi="Book Antiqua"/>
        </w:rPr>
        <w:t>assessment or fall information</w:t>
      </w:r>
      <w:r w:rsidR="007922C0" w:rsidRPr="00C75910">
        <w:rPr>
          <w:rFonts w:ascii="Book Antiqua" w:hAnsi="Book Antiqua"/>
        </w:rPr>
        <w:t xml:space="preserve">. </w:t>
      </w:r>
      <w:r w:rsidRPr="00C75910">
        <w:rPr>
          <w:rFonts w:ascii="Book Antiqua" w:hAnsi="Book Antiqua"/>
        </w:rPr>
        <w:t>Compared with patients wh</w:t>
      </w:r>
      <w:r w:rsidR="00BE1A70" w:rsidRPr="00C75910">
        <w:rPr>
          <w:rFonts w:ascii="Book Antiqua" w:hAnsi="Book Antiqua"/>
        </w:rPr>
        <w:t>o had</w:t>
      </w:r>
      <w:r w:rsidRPr="00C75910">
        <w:rPr>
          <w:rFonts w:ascii="Book Antiqua" w:hAnsi="Book Antiqua"/>
        </w:rPr>
        <w:t xml:space="preserve"> gait speed</w:t>
      </w:r>
      <w:r w:rsidR="00BE1A70" w:rsidRPr="00C75910">
        <w:rPr>
          <w:rFonts w:ascii="Book Antiqua" w:hAnsi="Book Antiqua"/>
        </w:rPr>
        <w:t xml:space="preserve"> and fall information</w:t>
      </w:r>
      <w:r w:rsidRPr="00C75910">
        <w:rPr>
          <w:rFonts w:ascii="Book Antiqua" w:hAnsi="Book Antiqua"/>
        </w:rPr>
        <w:t>, patients</w:t>
      </w:r>
      <w:r w:rsidR="007922C0" w:rsidRPr="00C75910">
        <w:rPr>
          <w:rFonts w:ascii="Book Antiqua" w:hAnsi="Book Antiqua"/>
        </w:rPr>
        <w:t xml:space="preserve"> missing this information</w:t>
      </w:r>
      <w:r w:rsidRPr="00C75910">
        <w:rPr>
          <w:rFonts w:ascii="Book Antiqua" w:hAnsi="Book Antiqua"/>
        </w:rPr>
        <w:t xml:space="preserve"> were more likely to be women, older, and white; to have diabetes, </w:t>
      </w:r>
      <w:r w:rsidR="00D5461D" w:rsidRPr="00C75910">
        <w:rPr>
          <w:rFonts w:ascii="Book Antiqua" w:hAnsi="Book Antiqua"/>
        </w:rPr>
        <w:t>congestive heart failure (</w:t>
      </w:r>
      <w:r w:rsidRPr="00C75910">
        <w:rPr>
          <w:rFonts w:ascii="Book Antiqua" w:hAnsi="Book Antiqua"/>
        </w:rPr>
        <w:t>CHF</w:t>
      </w:r>
      <w:r w:rsidR="00D5461D" w:rsidRPr="00C75910">
        <w:rPr>
          <w:rFonts w:ascii="Book Antiqua" w:hAnsi="Book Antiqua"/>
        </w:rPr>
        <w:t>)</w:t>
      </w:r>
      <w:r w:rsidRPr="00C75910">
        <w:rPr>
          <w:rFonts w:ascii="Book Antiqua" w:hAnsi="Book Antiqua"/>
        </w:rPr>
        <w:t xml:space="preserve">, </w:t>
      </w:r>
      <w:r w:rsidR="00D5461D" w:rsidRPr="00C75910">
        <w:rPr>
          <w:rFonts w:ascii="Book Antiqua" w:hAnsi="Book Antiqua"/>
        </w:rPr>
        <w:t>coronary artery disease/myocardial infarction (</w:t>
      </w:r>
      <w:r w:rsidRPr="00C75910">
        <w:rPr>
          <w:rFonts w:ascii="Book Antiqua" w:hAnsi="Book Antiqua"/>
        </w:rPr>
        <w:t>CAD/MI</w:t>
      </w:r>
      <w:r w:rsidR="00D5461D" w:rsidRPr="00C75910">
        <w:rPr>
          <w:rFonts w:ascii="Book Antiqua" w:hAnsi="Book Antiqua"/>
        </w:rPr>
        <w:t>)</w:t>
      </w:r>
      <w:r w:rsidRPr="00C75910">
        <w:rPr>
          <w:rFonts w:ascii="Book Antiqua" w:hAnsi="Book Antiqua"/>
        </w:rPr>
        <w:t>,</w:t>
      </w:r>
      <w:r w:rsidR="00D5461D" w:rsidRPr="00C75910">
        <w:rPr>
          <w:rFonts w:ascii="Book Antiqua" w:hAnsi="Book Antiqua"/>
        </w:rPr>
        <w:t xml:space="preserve"> </w:t>
      </w:r>
      <w:proofErr w:type="spellStart"/>
      <w:r w:rsidR="00D5461D" w:rsidRPr="00C75910">
        <w:rPr>
          <w:rFonts w:ascii="Book Antiqua" w:hAnsi="Book Antiqua"/>
        </w:rPr>
        <w:t>cerebrobascular</w:t>
      </w:r>
      <w:proofErr w:type="spellEnd"/>
      <w:r w:rsidR="00D5461D" w:rsidRPr="00C75910">
        <w:rPr>
          <w:rFonts w:ascii="Book Antiqua" w:hAnsi="Book Antiqua"/>
        </w:rPr>
        <w:t xml:space="preserve"> accident/transient ischemic attack (</w:t>
      </w:r>
      <w:r w:rsidRPr="00C75910">
        <w:rPr>
          <w:rFonts w:ascii="Book Antiqua" w:hAnsi="Book Antiqua"/>
        </w:rPr>
        <w:t>CVA/TIA</w:t>
      </w:r>
      <w:r w:rsidR="00D5461D" w:rsidRPr="00C75910">
        <w:rPr>
          <w:rFonts w:ascii="Book Antiqua" w:hAnsi="Book Antiqua"/>
        </w:rPr>
        <w:t>)</w:t>
      </w:r>
      <w:r w:rsidRPr="00C75910">
        <w:rPr>
          <w:rFonts w:ascii="Book Antiqua" w:hAnsi="Book Antiqua"/>
        </w:rPr>
        <w:t xml:space="preserve">, </w:t>
      </w:r>
      <w:r w:rsidR="00D5461D" w:rsidRPr="00C75910">
        <w:rPr>
          <w:rFonts w:ascii="Book Antiqua" w:hAnsi="Book Antiqua"/>
        </w:rPr>
        <w:t>peripheral vascular disease (</w:t>
      </w:r>
      <w:r w:rsidRPr="00C75910">
        <w:rPr>
          <w:rFonts w:ascii="Book Antiqua" w:hAnsi="Book Antiqua"/>
        </w:rPr>
        <w:t>PVD</w:t>
      </w:r>
      <w:r w:rsidR="00D5461D" w:rsidRPr="00C75910">
        <w:rPr>
          <w:rFonts w:ascii="Book Antiqua" w:hAnsi="Book Antiqua"/>
        </w:rPr>
        <w:t>)</w:t>
      </w:r>
      <w:r w:rsidRPr="00C75910">
        <w:rPr>
          <w:rFonts w:ascii="Book Antiqua" w:hAnsi="Book Antiqua"/>
        </w:rPr>
        <w:t xml:space="preserve"> and other cardiac diseases; to use an assistive device for walking; and to report having fallen in the past 12 mo. Patients who lacked gait speed</w:t>
      </w:r>
      <w:r w:rsidR="00BE1A70" w:rsidRPr="00C75910">
        <w:rPr>
          <w:rFonts w:ascii="Book Antiqua" w:hAnsi="Book Antiqua"/>
        </w:rPr>
        <w:t xml:space="preserve"> or fall information</w:t>
      </w:r>
      <w:r w:rsidRPr="00C75910">
        <w:rPr>
          <w:rFonts w:ascii="Book Antiqua" w:hAnsi="Book Antiqua"/>
        </w:rPr>
        <w:t xml:space="preserve"> and could not be included in the analyses reported in </w:t>
      </w:r>
      <w:r w:rsidRPr="00C75910">
        <w:rPr>
          <w:rFonts w:ascii="Book Antiqua" w:hAnsi="Book Antiqua"/>
        </w:rPr>
        <w:lastRenderedPageBreak/>
        <w:t xml:space="preserve">this paper did not differ from the included patients with respect to ESRD vintage, </w:t>
      </w:r>
      <w:r w:rsidR="00D5461D" w:rsidRPr="00C75910">
        <w:rPr>
          <w:rFonts w:ascii="Book Antiqua" w:hAnsi="Book Antiqua"/>
        </w:rPr>
        <w:t>chronic obstructive pulmonary disease (</w:t>
      </w:r>
      <w:r w:rsidRPr="00C75910">
        <w:rPr>
          <w:rFonts w:ascii="Book Antiqua" w:hAnsi="Book Antiqua"/>
        </w:rPr>
        <w:t>COPD</w:t>
      </w:r>
      <w:r w:rsidR="00D5461D" w:rsidRPr="00C75910">
        <w:rPr>
          <w:rFonts w:ascii="Book Antiqua" w:hAnsi="Book Antiqua"/>
        </w:rPr>
        <w:t>)</w:t>
      </w:r>
      <w:r w:rsidRPr="00C75910">
        <w:rPr>
          <w:rFonts w:ascii="Book Antiqua" w:hAnsi="Book Antiqua"/>
        </w:rPr>
        <w:t xml:space="preserve">, cancer, </w:t>
      </w:r>
      <w:r w:rsidR="00D5461D" w:rsidRPr="00C75910">
        <w:rPr>
          <w:rFonts w:ascii="Book Antiqua" w:hAnsi="Book Antiqua"/>
        </w:rPr>
        <w:t>Kidney Disease Quality of Life-Cognitive Function (</w:t>
      </w:r>
      <w:r w:rsidRPr="00C75910">
        <w:rPr>
          <w:rFonts w:ascii="Book Antiqua" w:hAnsi="Book Antiqua"/>
        </w:rPr>
        <w:t>KDQOL-CF</w:t>
      </w:r>
      <w:r w:rsidR="00D5461D" w:rsidRPr="00C75910">
        <w:rPr>
          <w:rFonts w:ascii="Book Antiqua" w:hAnsi="Book Antiqua"/>
        </w:rPr>
        <w:t>)</w:t>
      </w:r>
      <w:r w:rsidRPr="00C75910">
        <w:rPr>
          <w:rFonts w:ascii="Book Antiqua" w:hAnsi="Book Antiqua"/>
        </w:rPr>
        <w:t xml:space="preserve"> score, or hemoglobin level (Table 1).</w:t>
      </w:r>
    </w:p>
    <w:p w:rsidR="001C3BE5" w:rsidRPr="00C75910" w:rsidRDefault="00CB2C9A" w:rsidP="00764E14">
      <w:pPr>
        <w:spacing w:line="360" w:lineRule="auto"/>
        <w:ind w:firstLineChars="100" w:firstLine="240"/>
        <w:jc w:val="both"/>
        <w:rPr>
          <w:rFonts w:ascii="Book Antiqua" w:hAnsi="Book Antiqua"/>
        </w:rPr>
      </w:pPr>
      <w:r w:rsidRPr="00C75910">
        <w:rPr>
          <w:rFonts w:ascii="Book Antiqua" w:hAnsi="Book Antiqua"/>
        </w:rPr>
        <w:t>Characteristics of the 668 study participants who had gait spe</w:t>
      </w:r>
      <w:r w:rsidR="00397E3A" w:rsidRPr="00C75910">
        <w:rPr>
          <w:rFonts w:ascii="Book Antiqua" w:hAnsi="Book Antiqua"/>
        </w:rPr>
        <w:t>ed measured are shown in Table 2</w:t>
      </w:r>
      <w:r w:rsidR="003067DF" w:rsidRPr="00C75910">
        <w:rPr>
          <w:rFonts w:ascii="Book Antiqua" w:hAnsi="Book Antiqua"/>
        </w:rPr>
        <w:t xml:space="preserve">. </w:t>
      </w:r>
      <w:r w:rsidR="001C3BE5" w:rsidRPr="00C75910">
        <w:rPr>
          <w:rFonts w:ascii="Book Antiqua" w:hAnsi="Book Antiqua"/>
        </w:rPr>
        <w:t>Corres</w:t>
      </w:r>
      <w:r w:rsidR="00260886" w:rsidRPr="00C75910">
        <w:rPr>
          <w:rFonts w:ascii="Book Antiqua" w:hAnsi="Book Antiqua"/>
        </w:rPr>
        <w:t>p</w:t>
      </w:r>
      <w:r w:rsidR="001C3BE5" w:rsidRPr="00C75910">
        <w:rPr>
          <w:rFonts w:ascii="Book Antiqua" w:hAnsi="Book Antiqua"/>
        </w:rPr>
        <w:t>onding mean (S.D.)</w:t>
      </w:r>
      <w:r w:rsidR="00260886" w:rsidRPr="00C75910">
        <w:rPr>
          <w:rFonts w:ascii="Book Antiqua" w:hAnsi="Book Antiqua"/>
        </w:rPr>
        <w:t xml:space="preserve"> gait speed values </w:t>
      </w:r>
      <w:r w:rsidR="001C3BE5" w:rsidRPr="00C75910">
        <w:rPr>
          <w:rFonts w:ascii="Book Antiqua" w:hAnsi="Book Antiqua"/>
        </w:rPr>
        <w:t>were 0.61 (0.</w:t>
      </w:r>
      <w:r w:rsidR="009311FF" w:rsidRPr="00C75910">
        <w:rPr>
          <w:rFonts w:ascii="Book Antiqua" w:hAnsi="Book Antiqua"/>
        </w:rPr>
        <w:t>15) m/s</w:t>
      </w:r>
      <w:r w:rsidR="00260886" w:rsidRPr="00C75910">
        <w:rPr>
          <w:rFonts w:ascii="Book Antiqua" w:hAnsi="Book Antiqua"/>
        </w:rPr>
        <w:t xml:space="preserve"> for those with slow gait speed</w:t>
      </w:r>
      <w:r w:rsidR="009311FF" w:rsidRPr="00C75910">
        <w:rPr>
          <w:rFonts w:ascii="Book Antiqua" w:hAnsi="Book Antiqua"/>
        </w:rPr>
        <w:t xml:space="preserve"> </w:t>
      </w:r>
      <w:r w:rsidR="009311FF" w:rsidRPr="00C75910">
        <w:rPr>
          <w:rFonts w:ascii="Book Antiqua" w:hAnsi="Book Antiqua"/>
          <w:i/>
        </w:rPr>
        <w:t>v</w:t>
      </w:r>
      <w:r w:rsidR="00BE1A70" w:rsidRPr="00C75910">
        <w:rPr>
          <w:rFonts w:ascii="Book Antiqua" w:hAnsi="Book Antiqua"/>
          <w:i/>
        </w:rPr>
        <w:t>ersus</w:t>
      </w:r>
      <w:r w:rsidR="009311FF" w:rsidRPr="00C75910">
        <w:rPr>
          <w:rFonts w:ascii="Book Antiqua" w:hAnsi="Book Antiqua"/>
        </w:rPr>
        <w:t xml:space="preserve"> 1.04 (0.18) m/s</w:t>
      </w:r>
      <w:r w:rsidR="00260886" w:rsidRPr="00C75910">
        <w:rPr>
          <w:rFonts w:ascii="Book Antiqua" w:hAnsi="Book Antiqua"/>
        </w:rPr>
        <w:t xml:space="preserve"> for those with faster gait speed</w:t>
      </w:r>
      <w:r w:rsidR="009311FF" w:rsidRPr="00C75910">
        <w:rPr>
          <w:rFonts w:ascii="Book Antiqua" w:hAnsi="Book Antiqua"/>
        </w:rPr>
        <w:t xml:space="preserve">; </w:t>
      </w:r>
      <w:r w:rsidR="009311FF" w:rsidRPr="00C75910">
        <w:rPr>
          <w:rFonts w:ascii="Book Antiqua" w:hAnsi="Book Antiqua"/>
          <w:i/>
        </w:rPr>
        <w:t>P</w:t>
      </w:r>
      <w:r w:rsidR="00764E14">
        <w:rPr>
          <w:rFonts w:ascii="Book Antiqua" w:hAnsi="Book Antiqua" w:hint="eastAsia"/>
          <w:i/>
          <w:lang w:eastAsia="zh-CN"/>
        </w:rPr>
        <w:t xml:space="preserve"> </w:t>
      </w:r>
      <w:r w:rsidR="009311FF" w:rsidRPr="00C75910">
        <w:rPr>
          <w:rFonts w:ascii="Book Antiqua" w:hAnsi="Book Antiqua"/>
        </w:rPr>
        <w:t>&lt;</w:t>
      </w:r>
      <w:r w:rsidR="001C3BE5" w:rsidRPr="00C75910">
        <w:rPr>
          <w:rFonts w:ascii="Book Antiqua" w:hAnsi="Book Antiqua"/>
        </w:rPr>
        <w:t xml:space="preserve"> 0.001. </w:t>
      </w:r>
      <w:r w:rsidRPr="00C75910">
        <w:rPr>
          <w:rFonts w:ascii="Book Antiqua" w:hAnsi="Book Antiqua"/>
        </w:rPr>
        <w:t xml:space="preserve">Participants with slow gait speed were more likely </w:t>
      </w:r>
      <w:r w:rsidR="00953265" w:rsidRPr="00C75910">
        <w:rPr>
          <w:rFonts w:ascii="Book Antiqua" w:hAnsi="Book Antiqua"/>
        </w:rPr>
        <w:t>to be women, older, and black</w:t>
      </w:r>
      <w:r w:rsidR="00397E3A" w:rsidRPr="00C75910">
        <w:rPr>
          <w:rFonts w:ascii="Book Antiqua" w:hAnsi="Book Antiqua"/>
        </w:rPr>
        <w:t xml:space="preserve">. </w:t>
      </w:r>
      <w:r w:rsidRPr="00C75910">
        <w:rPr>
          <w:rFonts w:ascii="Book Antiqua" w:hAnsi="Book Antiqua"/>
        </w:rPr>
        <w:t>They were mor</w:t>
      </w:r>
      <w:r w:rsidR="001C3BE5" w:rsidRPr="00C75910">
        <w:rPr>
          <w:rFonts w:ascii="Book Antiqua" w:hAnsi="Book Antiqua"/>
        </w:rPr>
        <w:t>e likely to have diabetes, COPD,</w:t>
      </w:r>
      <w:r w:rsidRPr="00C75910">
        <w:rPr>
          <w:rFonts w:ascii="Book Antiqua" w:hAnsi="Book Antiqua"/>
        </w:rPr>
        <w:t xml:space="preserve"> CAD/MI, CVA/TIA, PVD, and other cardiac diseases. Their average score on the KDQOL-CF scale was lower, they were more likely to use an assistive device for walking and to have used such a device to perform the walk speed test, and they were more likely to report having fallen during the past 12 mo. </w:t>
      </w:r>
      <w:r w:rsidR="007922C0" w:rsidRPr="00C75910">
        <w:rPr>
          <w:rFonts w:ascii="Book Antiqua" w:hAnsi="Book Antiqua"/>
        </w:rPr>
        <w:t>P</w:t>
      </w:r>
      <w:r w:rsidR="0019485C" w:rsidRPr="00C75910">
        <w:rPr>
          <w:rFonts w:ascii="Book Antiqua" w:hAnsi="Book Antiqua"/>
        </w:rPr>
        <w:t>articipants with</w:t>
      </w:r>
      <w:r w:rsidRPr="00C75910">
        <w:rPr>
          <w:rFonts w:ascii="Book Antiqua" w:hAnsi="Book Antiqua"/>
        </w:rPr>
        <w:t xml:space="preserve"> slow </w:t>
      </w:r>
      <w:r w:rsidR="0019485C" w:rsidRPr="00C75910">
        <w:rPr>
          <w:rFonts w:ascii="Book Antiqua" w:hAnsi="Book Antiqua"/>
        </w:rPr>
        <w:t xml:space="preserve">gait speed </w:t>
      </w:r>
      <w:r w:rsidRPr="00C75910">
        <w:rPr>
          <w:rFonts w:ascii="Book Antiqua" w:hAnsi="Book Antiqua"/>
        </w:rPr>
        <w:t>and those with faster gait speed</w:t>
      </w:r>
      <w:r w:rsidR="007922C0" w:rsidRPr="00C75910">
        <w:rPr>
          <w:rFonts w:ascii="Book Antiqua" w:hAnsi="Book Antiqua"/>
        </w:rPr>
        <w:t xml:space="preserve"> did not differ with respect to</w:t>
      </w:r>
      <w:r w:rsidRPr="00C75910">
        <w:rPr>
          <w:rFonts w:ascii="Book Antiqua" w:hAnsi="Book Antiqua"/>
        </w:rPr>
        <w:t xml:space="preserve"> </w:t>
      </w:r>
      <w:r w:rsidR="00F03369" w:rsidRPr="00C75910">
        <w:rPr>
          <w:rFonts w:ascii="Book Antiqua" w:hAnsi="Book Antiqua"/>
        </w:rPr>
        <w:t>ESRD vintage, cancer, CHF, and average hemoglobin level.</w:t>
      </w:r>
    </w:p>
    <w:p w:rsidR="002F0532" w:rsidRPr="00C75910" w:rsidRDefault="007A75D4" w:rsidP="00764E14">
      <w:pPr>
        <w:spacing w:line="360" w:lineRule="auto"/>
        <w:ind w:firstLineChars="100" w:firstLine="240"/>
        <w:jc w:val="both"/>
        <w:rPr>
          <w:rFonts w:ascii="Book Antiqua" w:hAnsi="Book Antiqua"/>
        </w:rPr>
      </w:pPr>
      <w:r w:rsidRPr="00C75910">
        <w:rPr>
          <w:rFonts w:ascii="Book Antiqua" w:hAnsi="Book Antiqua"/>
        </w:rPr>
        <w:t>G</w:t>
      </w:r>
      <w:r w:rsidR="00F03369" w:rsidRPr="00C75910">
        <w:rPr>
          <w:rFonts w:ascii="Book Antiqua" w:hAnsi="Book Antiqua"/>
        </w:rPr>
        <w:t>ait speed</w:t>
      </w:r>
      <w:r w:rsidR="00CF2E32" w:rsidRPr="00C75910">
        <w:rPr>
          <w:rFonts w:ascii="Book Antiqua" w:hAnsi="Book Antiqua"/>
        </w:rPr>
        <w:t xml:space="preserve"> </w:t>
      </w:r>
      <w:r w:rsidR="00F03369" w:rsidRPr="00C75910">
        <w:rPr>
          <w:rFonts w:ascii="Book Antiqua" w:hAnsi="Book Antiqua"/>
        </w:rPr>
        <w:t>&lt;</w:t>
      </w:r>
      <w:r w:rsidR="00764E14">
        <w:rPr>
          <w:rFonts w:ascii="Book Antiqua" w:hAnsi="Book Antiqua" w:hint="eastAsia"/>
          <w:lang w:eastAsia="zh-CN"/>
        </w:rPr>
        <w:t xml:space="preserve"> </w:t>
      </w:r>
      <w:r w:rsidR="00F03369" w:rsidRPr="00C75910">
        <w:rPr>
          <w:rFonts w:ascii="Book Antiqua" w:hAnsi="Book Antiqua"/>
        </w:rPr>
        <w:t>0.8</w:t>
      </w:r>
      <w:r w:rsidRPr="00C75910">
        <w:rPr>
          <w:rFonts w:ascii="Book Antiqua" w:hAnsi="Book Antiqua"/>
        </w:rPr>
        <w:t xml:space="preserve"> m/s</w:t>
      </w:r>
      <w:r w:rsidR="00CF2E32" w:rsidRPr="00C75910">
        <w:rPr>
          <w:rFonts w:ascii="Book Antiqua" w:hAnsi="Book Antiqua"/>
        </w:rPr>
        <w:t xml:space="preserve"> characteriz</w:t>
      </w:r>
      <w:r w:rsidR="0019485C" w:rsidRPr="00C75910">
        <w:rPr>
          <w:rFonts w:ascii="Book Antiqua" w:hAnsi="Book Antiqua"/>
        </w:rPr>
        <w:t>ed 34.7</w:t>
      </w:r>
      <w:r w:rsidR="00CF2E32" w:rsidRPr="00C75910">
        <w:rPr>
          <w:rFonts w:ascii="Book Antiqua" w:hAnsi="Book Antiqua"/>
        </w:rPr>
        <w:t>% of patients, and f</w:t>
      </w:r>
      <w:r w:rsidR="0030067E" w:rsidRPr="00C75910">
        <w:rPr>
          <w:rFonts w:ascii="Book Antiqua" w:hAnsi="Book Antiqua"/>
        </w:rPr>
        <w:t>alling during the p</w:t>
      </w:r>
      <w:r w:rsidR="00575A76" w:rsidRPr="00C75910">
        <w:rPr>
          <w:rFonts w:ascii="Book Antiqua" w:hAnsi="Book Antiqua"/>
        </w:rPr>
        <w:t xml:space="preserve">ast 12 </w:t>
      </w:r>
      <w:proofErr w:type="spellStart"/>
      <w:r w:rsidR="00575A76" w:rsidRPr="00C75910">
        <w:rPr>
          <w:rFonts w:ascii="Book Antiqua" w:hAnsi="Book Antiqua"/>
        </w:rPr>
        <w:t>mo</w:t>
      </w:r>
      <w:proofErr w:type="spellEnd"/>
      <w:r w:rsidR="00575A76" w:rsidRPr="00C75910">
        <w:rPr>
          <w:rFonts w:ascii="Book Antiqua" w:hAnsi="Book Antiqua"/>
        </w:rPr>
        <w:t xml:space="preserve"> was reported by 27.1% of patients</w:t>
      </w:r>
      <w:r w:rsidR="0030067E" w:rsidRPr="00C75910">
        <w:rPr>
          <w:rFonts w:ascii="Book Antiqua" w:hAnsi="Book Antiqua"/>
        </w:rPr>
        <w:t xml:space="preserve">. </w:t>
      </w:r>
      <w:r w:rsidR="00CF2E32" w:rsidRPr="00C75910">
        <w:rPr>
          <w:rFonts w:ascii="Book Antiqua" w:hAnsi="Book Antiqua"/>
        </w:rPr>
        <w:t>Slow gait speed was more likely to characterize patients with a history of falls than patients wit</w:t>
      </w:r>
      <w:r w:rsidR="005249C3" w:rsidRPr="00C75910">
        <w:rPr>
          <w:rFonts w:ascii="Book Antiqua" w:hAnsi="Book Antiqua"/>
        </w:rPr>
        <w:t xml:space="preserve">hout a history of falls (46% </w:t>
      </w:r>
      <w:r w:rsidR="00764E14">
        <w:rPr>
          <w:rFonts w:ascii="Book Antiqua" w:hAnsi="Book Antiqua"/>
          <w:i/>
        </w:rPr>
        <w:t>v</w:t>
      </w:r>
      <w:r w:rsidR="005249C3" w:rsidRPr="00C75910">
        <w:rPr>
          <w:rFonts w:ascii="Book Antiqua" w:hAnsi="Book Antiqua"/>
          <w:i/>
        </w:rPr>
        <w:t>s</w:t>
      </w:r>
      <w:r w:rsidR="00CF2E32" w:rsidRPr="00C75910">
        <w:rPr>
          <w:rFonts w:ascii="Book Antiqua" w:hAnsi="Book Antiqua"/>
        </w:rPr>
        <w:t xml:space="preserve"> 30%; </w:t>
      </w:r>
      <w:r w:rsidR="00CF2E32" w:rsidRPr="00C75910">
        <w:rPr>
          <w:rFonts w:ascii="Book Antiqua" w:hAnsi="Book Antiqua"/>
          <w:i/>
        </w:rPr>
        <w:t>P</w:t>
      </w:r>
      <w:r w:rsidR="00CF2E32" w:rsidRPr="00C75910">
        <w:rPr>
          <w:rFonts w:ascii="Book Antiqua" w:hAnsi="Book Antiqua"/>
        </w:rPr>
        <w:t xml:space="preserve"> &lt;</w:t>
      </w:r>
      <w:r w:rsidR="00764E14">
        <w:rPr>
          <w:rFonts w:ascii="Book Antiqua" w:hAnsi="Book Antiqua" w:hint="eastAsia"/>
          <w:lang w:eastAsia="zh-CN"/>
        </w:rPr>
        <w:t xml:space="preserve"> </w:t>
      </w:r>
      <w:r w:rsidR="00CF2E32" w:rsidRPr="00C75910">
        <w:rPr>
          <w:rFonts w:ascii="Book Antiqua" w:hAnsi="Book Antiqua"/>
        </w:rPr>
        <w:t>0.001).</w:t>
      </w:r>
      <w:r w:rsidR="00E4511F" w:rsidRPr="00C75910">
        <w:rPr>
          <w:rFonts w:ascii="Book Antiqua" w:hAnsi="Book Antiqua"/>
        </w:rPr>
        <w:t xml:space="preserve"> </w:t>
      </w:r>
    </w:p>
    <w:p w:rsidR="001178F5" w:rsidRPr="00C75910" w:rsidRDefault="00203B79" w:rsidP="00764E14">
      <w:pPr>
        <w:spacing w:line="360" w:lineRule="auto"/>
        <w:ind w:firstLineChars="100" w:firstLine="240"/>
        <w:jc w:val="both"/>
        <w:rPr>
          <w:rFonts w:ascii="Book Antiqua" w:hAnsi="Book Antiqua"/>
        </w:rPr>
      </w:pPr>
      <w:r w:rsidRPr="00C75910">
        <w:rPr>
          <w:rFonts w:ascii="Book Antiqua" w:hAnsi="Book Antiqua"/>
        </w:rPr>
        <w:t>Almost half of the study cohort</w:t>
      </w:r>
      <w:r w:rsidR="00826A92" w:rsidRPr="00C75910">
        <w:rPr>
          <w:rFonts w:ascii="Book Antiqua" w:hAnsi="Book Antiqua"/>
        </w:rPr>
        <w:t xml:space="preserve"> had been</w:t>
      </w:r>
      <w:r w:rsidR="007A2C66" w:rsidRPr="00C75910">
        <w:rPr>
          <w:rFonts w:ascii="Book Antiqua" w:hAnsi="Book Antiqua"/>
        </w:rPr>
        <w:t xml:space="preserve"> hos</w:t>
      </w:r>
      <w:r w:rsidR="004D23BC" w:rsidRPr="00C75910">
        <w:rPr>
          <w:rFonts w:ascii="Book Antiqua" w:hAnsi="Book Antiqua"/>
        </w:rPr>
        <w:t xml:space="preserve">pitalized in the past 12 </w:t>
      </w:r>
      <w:proofErr w:type="spellStart"/>
      <w:r w:rsidR="004D23BC" w:rsidRPr="00C75910">
        <w:rPr>
          <w:rFonts w:ascii="Book Antiqua" w:hAnsi="Book Antiqua"/>
        </w:rPr>
        <w:t>mo</w:t>
      </w:r>
      <w:proofErr w:type="spellEnd"/>
      <w:r w:rsidR="004D23BC" w:rsidRPr="00C75910">
        <w:rPr>
          <w:rFonts w:ascii="Book Antiqua" w:hAnsi="Book Antiqua"/>
        </w:rPr>
        <w:t>, and 41% of those hospitalized had slow gait speed, compa</w:t>
      </w:r>
      <w:r w:rsidR="00397E3A" w:rsidRPr="00C75910">
        <w:rPr>
          <w:rFonts w:ascii="Book Antiqua" w:hAnsi="Book Antiqua"/>
        </w:rPr>
        <w:t>red with 29.3% of those who had</w:t>
      </w:r>
      <w:r w:rsidR="004D23BC" w:rsidRPr="00C75910">
        <w:rPr>
          <w:rFonts w:ascii="Book Antiqua" w:hAnsi="Book Antiqua"/>
        </w:rPr>
        <w:t xml:space="preserve"> not</w:t>
      </w:r>
      <w:r w:rsidR="00397E3A" w:rsidRPr="00C75910">
        <w:rPr>
          <w:rFonts w:ascii="Book Antiqua" w:hAnsi="Book Antiqua"/>
        </w:rPr>
        <w:t xml:space="preserve"> been</w:t>
      </w:r>
      <w:r w:rsidR="004D23BC" w:rsidRPr="00C75910">
        <w:rPr>
          <w:rFonts w:ascii="Book Antiqua" w:hAnsi="Book Antiqua"/>
        </w:rPr>
        <w:t xml:space="preserve"> hospitalized (</w:t>
      </w:r>
      <w:r w:rsidR="004D23BC" w:rsidRPr="00C75910">
        <w:rPr>
          <w:rFonts w:ascii="Book Antiqua" w:hAnsi="Book Antiqua"/>
          <w:i/>
        </w:rPr>
        <w:t>P</w:t>
      </w:r>
      <w:r w:rsidR="004D23BC" w:rsidRPr="00C75910">
        <w:rPr>
          <w:rFonts w:ascii="Book Antiqua" w:hAnsi="Book Antiqua"/>
        </w:rPr>
        <w:t xml:space="preserve"> = 0.001).</w:t>
      </w:r>
      <w:r w:rsidR="007A2C66" w:rsidRPr="00C75910">
        <w:rPr>
          <w:rFonts w:ascii="Book Antiqua" w:hAnsi="Book Antiqua"/>
        </w:rPr>
        <w:t xml:space="preserve"> </w:t>
      </w:r>
      <w:r w:rsidR="003067DF" w:rsidRPr="00C75910">
        <w:rPr>
          <w:rFonts w:ascii="Book Antiqua" w:hAnsi="Book Antiqua"/>
        </w:rPr>
        <w:t>P</w:t>
      </w:r>
      <w:r w:rsidR="002F0532" w:rsidRPr="00C75910">
        <w:rPr>
          <w:rFonts w:ascii="Book Antiqua" w:hAnsi="Book Antiqua"/>
        </w:rPr>
        <w:t xml:space="preserve">atients with slow gait speed </w:t>
      </w:r>
      <w:r w:rsidR="006C380B" w:rsidRPr="00C75910">
        <w:rPr>
          <w:rFonts w:ascii="Book Antiqua" w:hAnsi="Book Antiqua"/>
        </w:rPr>
        <w:t>but no</w:t>
      </w:r>
      <w:r w:rsidR="00E4511F" w:rsidRPr="00C75910">
        <w:rPr>
          <w:rFonts w:ascii="Book Antiqua" w:hAnsi="Book Antiqua"/>
        </w:rPr>
        <w:t xml:space="preserve"> history of recent falls</w:t>
      </w:r>
      <w:r w:rsidR="00C62A06" w:rsidRPr="00C75910">
        <w:rPr>
          <w:rFonts w:ascii="Book Antiqua" w:hAnsi="Book Antiqua"/>
        </w:rPr>
        <w:t xml:space="preserve"> (</w:t>
      </w:r>
      <w:r w:rsidR="00C62A06" w:rsidRPr="00764E14">
        <w:rPr>
          <w:rFonts w:ascii="Book Antiqua" w:hAnsi="Book Antiqua"/>
          <w:i/>
        </w:rPr>
        <w:t>n</w:t>
      </w:r>
      <w:r w:rsidR="00764E14">
        <w:rPr>
          <w:rFonts w:ascii="Book Antiqua" w:hAnsi="Book Antiqua" w:hint="eastAsia"/>
          <w:lang w:eastAsia="zh-CN"/>
        </w:rPr>
        <w:t xml:space="preserve"> </w:t>
      </w:r>
      <w:r w:rsidR="00C62A06" w:rsidRPr="00C75910">
        <w:rPr>
          <w:rFonts w:ascii="Book Antiqua" w:hAnsi="Book Antiqua"/>
        </w:rPr>
        <w:t>=</w:t>
      </w:r>
      <w:r w:rsidR="00764E14">
        <w:rPr>
          <w:rFonts w:ascii="Book Antiqua" w:hAnsi="Book Antiqua" w:hint="eastAsia"/>
          <w:lang w:eastAsia="zh-CN"/>
        </w:rPr>
        <w:t xml:space="preserve"> </w:t>
      </w:r>
      <w:r w:rsidR="00C62A06" w:rsidRPr="00C75910">
        <w:rPr>
          <w:rFonts w:ascii="Book Antiqua" w:hAnsi="Book Antiqua"/>
        </w:rPr>
        <w:t>148)</w:t>
      </w:r>
      <w:r w:rsidR="00E4511F" w:rsidRPr="00C75910">
        <w:rPr>
          <w:rFonts w:ascii="Book Antiqua" w:hAnsi="Book Antiqua"/>
        </w:rPr>
        <w:t xml:space="preserve"> were 1.79</w:t>
      </w:r>
      <w:r w:rsidR="002F0532" w:rsidRPr="00C75910">
        <w:rPr>
          <w:rFonts w:ascii="Book Antiqua" w:hAnsi="Book Antiqua"/>
        </w:rPr>
        <w:t xml:space="preserve"> times more likely to have been hospitalized compared with patients with faster gait speed</w:t>
      </w:r>
      <w:r w:rsidR="00E4511F" w:rsidRPr="00C75910">
        <w:rPr>
          <w:rFonts w:ascii="Book Antiqua" w:hAnsi="Book Antiqua"/>
        </w:rPr>
        <w:t xml:space="preserve"> and no recent falls</w:t>
      </w:r>
      <w:r w:rsidR="00C62A06" w:rsidRPr="00C75910">
        <w:rPr>
          <w:rFonts w:ascii="Book Antiqua" w:hAnsi="Book Antiqua"/>
        </w:rPr>
        <w:t xml:space="preserve"> (</w:t>
      </w:r>
      <w:r w:rsidR="00C62A06" w:rsidRPr="00764E14">
        <w:rPr>
          <w:rFonts w:ascii="Book Antiqua" w:hAnsi="Book Antiqua"/>
          <w:i/>
        </w:rPr>
        <w:t>n</w:t>
      </w:r>
      <w:r w:rsidR="00764E14">
        <w:rPr>
          <w:rFonts w:ascii="Book Antiqua" w:hAnsi="Book Antiqua" w:hint="eastAsia"/>
          <w:lang w:eastAsia="zh-CN"/>
        </w:rPr>
        <w:t xml:space="preserve"> </w:t>
      </w:r>
      <w:r w:rsidR="00C62A06" w:rsidRPr="00C75910">
        <w:rPr>
          <w:rFonts w:ascii="Book Antiqua" w:hAnsi="Book Antiqua"/>
        </w:rPr>
        <w:t>=</w:t>
      </w:r>
      <w:r w:rsidR="00764E14">
        <w:rPr>
          <w:rFonts w:ascii="Book Antiqua" w:hAnsi="Book Antiqua" w:hint="eastAsia"/>
          <w:lang w:eastAsia="zh-CN"/>
        </w:rPr>
        <w:t xml:space="preserve"> </w:t>
      </w:r>
      <w:r w:rsidR="00C62A06" w:rsidRPr="00C75910">
        <w:rPr>
          <w:rFonts w:ascii="Book Antiqua" w:hAnsi="Book Antiqua"/>
        </w:rPr>
        <w:t>339)</w:t>
      </w:r>
      <w:r w:rsidR="006C380B" w:rsidRPr="00C75910">
        <w:rPr>
          <w:rFonts w:ascii="Book Antiqua" w:hAnsi="Book Antiqua"/>
        </w:rPr>
        <w:t xml:space="preserve"> </w:t>
      </w:r>
      <w:r w:rsidR="00C62A06" w:rsidRPr="00C75910">
        <w:rPr>
          <w:rFonts w:ascii="Book Antiqua" w:hAnsi="Book Antiqua"/>
        </w:rPr>
        <w:t>[</w:t>
      </w:r>
      <w:r w:rsidR="00397E3A" w:rsidRPr="00C75910">
        <w:rPr>
          <w:rFonts w:ascii="Book Antiqua" w:hAnsi="Book Antiqua"/>
        </w:rPr>
        <w:t>OR</w:t>
      </w:r>
      <w:r w:rsidR="00221DC9" w:rsidRPr="00C75910">
        <w:rPr>
          <w:rFonts w:ascii="Book Antiqua" w:hAnsi="Book Antiqua"/>
        </w:rPr>
        <w:t xml:space="preserve"> =</w:t>
      </w:r>
      <w:r w:rsidR="00764E14">
        <w:rPr>
          <w:rFonts w:ascii="Book Antiqua" w:hAnsi="Book Antiqua"/>
        </w:rPr>
        <w:t xml:space="preserve"> 1.79, 95%</w:t>
      </w:r>
      <w:r w:rsidR="00397E3A" w:rsidRPr="00C75910">
        <w:rPr>
          <w:rFonts w:ascii="Book Antiqua" w:hAnsi="Book Antiqua"/>
        </w:rPr>
        <w:t>CI</w:t>
      </w:r>
      <w:r w:rsidR="00221DC9" w:rsidRPr="00C75910">
        <w:rPr>
          <w:rFonts w:ascii="Book Antiqua" w:hAnsi="Book Antiqua"/>
        </w:rPr>
        <w:t xml:space="preserve"> =</w:t>
      </w:r>
      <w:r w:rsidR="00397E3A" w:rsidRPr="00C75910">
        <w:rPr>
          <w:rFonts w:ascii="Book Antiqua" w:hAnsi="Book Antiqua"/>
        </w:rPr>
        <w:t xml:space="preserve"> 1.11, 2.88, </w:t>
      </w:r>
      <w:r w:rsidR="00397E3A" w:rsidRPr="00C75910">
        <w:rPr>
          <w:rFonts w:ascii="Book Antiqua" w:hAnsi="Book Antiqua"/>
          <w:i/>
        </w:rPr>
        <w:t>P</w:t>
      </w:r>
      <w:r w:rsidR="00397E3A" w:rsidRPr="00C75910">
        <w:rPr>
          <w:rFonts w:ascii="Book Antiqua" w:hAnsi="Book Antiqua"/>
        </w:rPr>
        <w:t xml:space="preserve"> = 0.02</w:t>
      </w:r>
      <w:r w:rsidR="00C62A06" w:rsidRPr="00C75910">
        <w:rPr>
          <w:rFonts w:ascii="Book Antiqua" w:hAnsi="Book Antiqua"/>
        </w:rPr>
        <w:t>]</w:t>
      </w:r>
      <w:r w:rsidR="006C380B" w:rsidRPr="00C75910">
        <w:rPr>
          <w:rFonts w:ascii="Book Antiqua" w:hAnsi="Book Antiqua"/>
        </w:rPr>
        <w:t>. P</w:t>
      </w:r>
      <w:r w:rsidR="002F0532" w:rsidRPr="00C75910">
        <w:rPr>
          <w:rFonts w:ascii="Book Antiqua" w:hAnsi="Book Antiqua"/>
        </w:rPr>
        <w:t xml:space="preserve">atients with </w:t>
      </w:r>
      <w:r w:rsidR="006C380B" w:rsidRPr="00C75910">
        <w:rPr>
          <w:rFonts w:ascii="Book Antiqua" w:hAnsi="Book Antiqua"/>
        </w:rPr>
        <w:t>slow gait speed and a history of recent falls</w:t>
      </w:r>
      <w:r w:rsidR="00397E3A" w:rsidRPr="00C75910">
        <w:rPr>
          <w:rFonts w:ascii="Book Antiqua" w:hAnsi="Book Antiqua"/>
        </w:rPr>
        <w:t xml:space="preserve"> </w:t>
      </w:r>
      <w:r w:rsidR="00C62A06" w:rsidRPr="00C75910">
        <w:rPr>
          <w:rFonts w:ascii="Book Antiqua" w:hAnsi="Book Antiqua"/>
        </w:rPr>
        <w:t>(</w:t>
      </w:r>
      <w:r w:rsidR="00C62A06" w:rsidRPr="00764E14">
        <w:rPr>
          <w:rFonts w:ascii="Book Antiqua" w:hAnsi="Book Antiqua"/>
          <w:i/>
        </w:rPr>
        <w:t>n</w:t>
      </w:r>
      <w:r w:rsidR="00764E14">
        <w:rPr>
          <w:rFonts w:ascii="Book Antiqua" w:hAnsi="Book Antiqua" w:hint="eastAsia"/>
          <w:lang w:eastAsia="zh-CN"/>
        </w:rPr>
        <w:t xml:space="preserve"> </w:t>
      </w:r>
      <w:r w:rsidR="00C62A06" w:rsidRPr="00C75910">
        <w:rPr>
          <w:rFonts w:ascii="Book Antiqua" w:hAnsi="Book Antiqua"/>
        </w:rPr>
        <w:t>=</w:t>
      </w:r>
      <w:r w:rsidR="00764E14">
        <w:rPr>
          <w:rFonts w:ascii="Book Antiqua" w:hAnsi="Book Antiqua" w:hint="eastAsia"/>
          <w:lang w:eastAsia="zh-CN"/>
        </w:rPr>
        <w:t xml:space="preserve"> </w:t>
      </w:r>
      <w:r w:rsidR="00C62A06" w:rsidRPr="00C75910">
        <w:rPr>
          <w:rFonts w:ascii="Book Antiqua" w:hAnsi="Book Antiqua"/>
        </w:rPr>
        <w:t xml:space="preserve">84) </w:t>
      </w:r>
      <w:r w:rsidR="00397E3A" w:rsidRPr="00C75910">
        <w:rPr>
          <w:rFonts w:ascii="Book Antiqua" w:hAnsi="Book Antiqua"/>
        </w:rPr>
        <w:t>were over</w:t>
      </w:r>
      <w:r w:rsidR="002F0532" w:rsidRPr="00C75910">
        <w:rPr>
          <w:rFonts w:ascii="Book Antiqua" w:hAnsi="Book Antiqua"/>
        </w:rPr>
        <w:t xml:space="preserve"> two times more likely to have been hospital</w:t>
      </w:r>
      <w:r w:rsidR="003F13AA" w:rsidRPr="00C75910">
        <w:rPr>
          <w:rFonts w:ascii="Book Antiqua" w:hAnsi="Book Antiqua"/>
        </w:rPr>
        <w:t>ized compared with patients having faster gait speed and no recent fall history (</w:t>
      </w:r>
      <w:r w:rsidR="00397E3A" w:rsidRPr="00C75910">
        <w:rPr>
          <w:rFonts w:ascii="Book Antiqua" w:hAnsi="Book Antiqua"/>
        </w:rPr>
        <w:t>OR</w:t>
      </w:r>
      <w:r w:rsidR="00221DC9" w:rsidRPr="00C75910">
        <w:rPr>
          <w:rFonts w:ascii="Book Antiqua" w:hAnsi="Book Antiqua"/>
        </w:rPr>
        <w:t xml:space="preserve"> =</w:t>
      </w:r>
      <w:r w:rsidR="00F05A62">
        <w:rPr>
          <w:rFonts w:ascii="Book Antiqua" w:hAnsi="Book Antiqua"/>
        </w:rPr>
        <w:t xml:space="preserve"> 2.10, 95%</w:t>
      </w:r>
      <w:r w:rsidR="00397E3A" w:rsidRPr="00C75910">
        <w:rPr>
          <w:rFonts w:ascii="Book Antiqua" w:hAnsi="Book Antiqua"/>
        </w:rPr>
        <w:t xml:space="preserve">CI </w:t>
      </w:r>
      <w:r w:rsidR="00221DC9" w:rsidRPr="00C75910">
        <w:rPr>
          <w:rFonts w:ascii="Book Antiqua" w:hAnsi="Book Antiqua"/>
        </w:rPr>
        <w:t>=</w:t>
      </w:r>
      <w:r w:rsidR="00397E3A" w:rsidRPr="00C75910">
        <w:rPr>
          <w:rFonts w:ascii="Book Antiqua" w:hAnsi="Book Antiqua"/>
        </w:rPr>
        <w:t xml:space="preserve">1.19, 3.73, </w:t>
      </w:r>
      <w:r w:rsidR="00397E3A" w:rsidRPr="00C75910">
        <w:rPr>
          <w:rFonts w:ascii="Book Antiqua" w:hAnsi="Book Antiqua"/>
          <w:i/>
        </w:rPr>
        <w:t>P</w:t>
      </w:r>
      <w:r w:rsidR="00397E3A" w:rsidRPr="00C75910">
        <w:rPr>
          <w:rFonts w:ascii="Book Antiqua" w:hAnsi="Book Antiqua"/>
        </w:rPr>
        <w:t xml:space="preserve"> = 0.01).</w:t>
      </w:r>
      <w:r w:rsidR="002F0532" w:rsidRPr="00C75910">
        <w:rPr>
          <w:rFonts w:ascii="Book Antiqua" w:hAnsi="Book Antiqua"/>
        </w:rPr>
        <w:t xml:space="preserve"> The risk of hospitalization </w:t>
      </w:r>
      <w:r w:rsidR="006C380B" w:rsidRPr="00C75910">
        <w:rPr>
          <w:rFonts w:ascii="Book Antiqua" w:hAnsi="Book Antiqua"/>
        </w:rPr>
        <w:t>among patients with faster gait speed and recent fall history</w:t>
      </w:r>
      <w:r w:rsidR="00C62A06" w:rsidRPr="00C75910">
        <w:rPr>
          <w:rFonts w:ascii="Book Antiqua" w:hAnsi="Book Antiqua"/>
        </w:rPr>
        <w:t xml:space="preserve"> (</w:t>
      </w:r>
      <w:r w:rsidR="00C62A06" w:rsidRPr="00F05A62">
        <w:rPr>
          <w:rFonts w:ascii="Book Antiqua" w:hAnsi="Book Antiqua"/>
          <w:i/>
        </w:rPr>
        <w:t>n</w:t>
      </w:r>
      <w:r w:rsidR="00F05A62">
        <w:rPr>
          <w:rFonts w:ascii="Book Antiqua" w:hAnsi="Book Antiqua" w:hint="eastAsia"/>
          <w:lang w:eastAsia="zh-CN"/>
        </w:rPr>
        <w:t xml:space="preserve"> </w:t>
      </w:r>
      <w:r w:rsidR="00C62A06" w:rsidRPr="00C75910">
        <w:rPr>
          <w:rFonts w:ascii="Book Antiqua" w:hAnsi="Book Antiqua"/>
        </w:rPr>
        <w:t>=</w:t>
      </w:r>
      <w:r w:rsidR="00F05A62">
        <w:rPr>
          <w:rFonts w:ascii="Book Antiqua" w:hAnsi="Book Antiqua" w:hint="eastAsia"/>
          <w:lang w:eastAsia="zh-CN"/>
        </w:rPr>
        <w:t xml:space="preserve"> </w:t>
      </w:r>
      <w:r w:rsidR="00C62A06" w:rsidRPr="00C75910">
        <w:rPr>
          <w:rFonts w:ascii="Book Antiqua" w:hAnsi="Book Antiqua"/>
        </w:rPr>
        <w:t>97)</w:t>
      </w:r>
      <w:r w:rsidR="006C380B" w:rsidRPr="00C75910">
        <w:rPr>
          <w:rFonts w:ascii="Book Antiqua" w:hAnsi="Book Antiqua"/>
        </w:rPr>
        <w:t xml:space="preserve"> was not</w:t>
      </w:r>
      <w:r w:rsidR="002F0532" w:rsidRPr="00C75910">
        <w:rPr>
          <w:rFonts w:ascii="Book Antiqua" w:hAnsi="Book Antiqua"/>
        </w:rPr>
        <w:t xml:space="preserve"> </w:t>
      </w:r>
      <w:r w:rsidR="002F0532" w:rsidRPr="00C75910">
        <w:rPr>
          <w:rFonts w:ascii="Book Antiqua" w:hAnsi="Book Antiqua"/>
        </w:rPr>
        <w:lastRenderedPageBreak/>
        <w:t>significantly</w:t>
      </w:r>
      <w:r w:rsidR="006C380B" w:rsidRPr="00C75910">
        <w:rPr>
          <w:rFonts w:ascii="Book Antiqua" w:hAnsi="Book Antiqua"/>
        </w:rPr>
        <w:t xml:space="preserve"> higher than</w:t>
      </w:r>
      <w:r w:rsidR="002F0532" w:rsidRPr="00C75910">
        <w:rPr>
          <w:rFonts w:ascii="Book Antiqua" w:hAnsi="Book Antiqua"/>
        </w:rPr>
        <w:t xml:space="preserve"> the </w:t>
      </w:r>
      <w:r w:rsidR="006C380B" w:rsidRPr="00C75910">
        <w:rPr>
          <w:rFonts w:ascii="Book Antiqua" w:hAnsi="Book Antiqua"/>
        </w:rPr>
        <w:t xml:space="preserve">hospitalization </w:t>
      </w:r>
      <w:r w:rsidR="002F0532" w:rsidRPr="00C75910">
        <w:rPr>
          <w:rFonts w:ascii="Book Antiqua" w:hAnsi="Book Antiqua"/>
        </w:rPr>
        <w:t xml:space="preserve">risk </w:t>
      </w:r>
      <w:r w:rsidR="006C380B" w:rsidRPr="00C75910">
        <w:rPr>
          <w:rFonts w:ascii="Book Antiqua" w:hAnsi="Book Antiqua"/>
        </w:rPr>
        <w:t>among patients with faster walk and</w:t>
      </w:r>
      <w:r w:rsidR="002F0532" w:rsidRPr="00C75910">
        <w:rPr>
          <w:rFonts w:ascii="Book Antiqua" w:hAnsi="Book Antiqua"/>
        </w:rPr>
        <w:t xml:space="preserve"> no recent fa</w:t>
      </w:r>
      <w:r w:rsidR="006C380B" w:rsidRPr="00C75910">
        <w:rPr>
          <w:rFonts w:ascii="Book Antiqua" w:hAnsi="Book Antiqua"/>
        </w:rPr>
        <w:t>ll</w:t>
      </w:r>
      <w:r w:rsidR="0062255F" w:rsidRPr="00C75910">
        <w:rPr>
          <w:rFonts w:ascii="Book Antiqua" w:hAnsi="Book Antiqua"/>
        </w:rPr>
        <w:t xml:space="preserve"> history. Female sex, one-year increment in age, and one-year increment in ESRD vintage were associated with a lower risk for hospitalization (Table 3).</w:t>
      </w:r>
    </w:p>
    <w:p w:rsidR="00385760" w:rsidRPr="00C75910" w:rsidRDefault="00204633" w:rsidP="00F05A62">
      <w:pPr>
        <w:spacing w:line="360" w:lineRule="auto"/>
        <w:ind w:firstLineChars="100" w:firstLine="240"/>
        <w:jc w:val="both"/>
        <w:rPr>
          <w:rFonts w:ascii="Book Antiqua" w:hAnsi="Book Antiqua"/>
        </w:rPr>
      </w:pPr>
      <w:r w:rsidRPr="00C75910">
        <w:rPr>
          <w:rFonts w:ascii="Book Antiqua" w:hAnsi="Book Antiqua"/>
        </w:rPr>
        <w:t xml:space="preserve">Patients with slower gait speed and a history of falls were more likely to incur </w:t>
      </w:r>
      <w:r w:rsidR="008F3E50" w:rsidRPr="00C75910">
        <w:rPr>
          <w:rFonts w:ascii="Book Antiqua" w:hAnsi="Book Antiqua"/>
        </w:rPr>
        <w:t xml:space="preserve">subsequent </w:t>
      </w:r>
      <w:r w:rsidRPr="00C75910">
        <w:rPr>
          <w:rFonts w:ascii="Book Antiqua" w:hAnsi="Book Antiqua"/>
        </w:rPr>
        <w:t xml:space="preserve">hospitalization (or death) compared with the reference group of </w:t>
      </w:r>
      <w:r w:rsidR="008F3E50" w:rsidRPr="00C75910">
        <w:rPr>
          <w:rFonts w:ascii="Book Antiqua" w:hAnsi="Book Antiqua"/>
        </w:rPr>
        <w:t xml:space="preserve">patients who had </w:t>
      </w:r>
      <w:r w:rsidRPr="00C75910">
        <w:rPr>
          <w:rFonts w:ascii="Book Antiqua" w:hAnsi="Book Antiqua"/>
        </w:rPr>
        <w:t>faster walk/</w:t>
      </w:r>
      <w:r w:rsidR="00F05A62">
        <w:rPr>
          <w:rFonts w:ascii="Book Antiqua" w:hAnsi="Book Antiqua"/>
        </w:rPr>
        <w:t>no fall history (HR = 1.54, 95%</w:t>
      </w:r>
      <w:r w:rsidRPr="00C75910">
        <w:rPr>
          <w:rFonts w:ascii="Book Antiqua" w:hAnsi="Book Antiqua"/>
        </w:rPr>
        <w:t xml:space="preserve">CI = 1.04, 2.30, </w:t>
      </w:r>
      <w:r w:rsidRPr="00C75910">
        <w:rPr>
          <w:rFonts w:ascii="Book Antiqua" w:hAnsi="Book Antiqua"/>
          <w:i/>
        </w:rPr>
        <w:t xml:space="preserve">P </w:t>
      </w:r>
      <w:r w:rsidRPr="00C75910">
        <w:rPr>
          <w:rFonts w:ascii="Book Antiqua" w:hAnsi="Book Antiqua"/>
        </w:rPr>
        <w:t>= 0.03). In the Cox analysis, increased risk of these events was also evident for patients with faster walk and fall history, those wi</w:t>
      </w:r>
      <w:r w:rsidR="008F3E50" w:rsidRPr="00C75910">
        <w:rPr>
          <w:rFonts w:ascii="Book Antiqua" w:hAnsi="Book Antiqua"/>
        </w:rPr>
        <w:t>th a history of CAD, and blacks,</w:t>
      </w:r>
      <w:r w:rsidRPr="00C75910">
        <w:rPr>
          <w:rFonts w:ascii="Book Antiqua" w:hAnsi="Book Antiqua"/>
        </w:rPr>
        <w:t xml:space="preserve"> and a one-year</w:t>
      </w:r>
      <w:r w:rsidR="008F3E50" w:rsidRPr="00C75910">
        <w:rPr>
          <w:rFonts w:ascii="Book Antiqua" w:hAnsi="Book Antiqua"/>
        </w:rPr>
        <w:t xml:space="preserve"> increment in ESRD vintage was </w:t>
      </w:r>
      <w:r w:rsidRPr="00C75910">
        <w:rPr>
          <w:rFonts w:ascii="Book Antiqua" w:hAnsi="Book Antiqua"/>
        </w:rPr>
        <w:t>associated with increased likelihood of hospitalization/death</w:t>
      </w:r>
      <w:r w:rsidR="00F37B16" w:rsidRPr="00C75910">
        <w:rPr>
          <w:rFonts w:ascii="Book Antiqua" w:hAnsi="Book Antiqua"/>
        </w:rPr>
        <w:t xml:space="preserve"> (Table 4)</w:t>
      </w:r>
      <w:r w:rsidRPr="00C75910">
        <w:rPr>
          <w:rFonts w:ascii="Book Antiqua" w:hAnsi="Book Antiqua"/>
        </w:rPr>
        <w:t>.</w:t>
      </w:r>
    </w:p>
    <w:p w:rsidR="00F05A62" w:rsidRDefault="00F05A62" w:rsidP="00C75910">
      <w:pPr>
        <w:spacing w:line="360" w:lineRule="auto"/>
        <w:jc w:val="both"/>
        <w:rPr>
          <w:rFonts w:ascii="Book Antiqua" w:hAnsi="Book Antiqua"/>
          <w:lang w:eastAsia="zh-CN"/>
        </w:rPr>
      </w:pPr>
    </w:p>
    <w:p w:rsidR="002B5EA4" w:rsidRPr="00F05A62" w:rsidRDefault="002B5EA4" w:rsidP="00C75910">
      <w:pPr>
        <w:spacing w:line="360" w:lineRule="auto"/>
        <w:jc w:val="both"/>
        <w:rPr>
          <w:rFonts w:ascii="Book Antiqua" w:hAnsi="Book Antiqua"/>
        </w:rPr>
      </w:pPr>
      <w:r w:rsidRPr="00C75910">
        <w:rPr>
          <w:rFonts w:ascii="Book Antiqua" w:hAnsi="Book Antiqua"/>
          <w:b/>
        </w:rPr>
        <w:t>DISCUSSION</w:t>
      </w:r>
    </w:p>
    <w:p w:rsidR="003F13AA" w:rsidRPr="00C75910" w:rsidRDefault="008904FE" w:rsidP="00C75910">
      <w:pPr>
        <w:spacing w:line="360" w:lineRule="auto"/>
        <w:jc w:val="both"/>
        <w:rPr>
          <w:rFonts w:ascii="Book Antiqua" w:hAnsi="Book Antiqua"/>
        </w:rPr>
      </w:pPr>
      <w:r w:rsidRPr="00C75910">
        <w:rPr>
          <w:rFonts w:ascii="Book Antiqua" w:hAnsi="Book Antiqua"/>
        </w:rPr>
        <w:t>S</w:t>
      </w:r>
      <w:r w:rsidR="006D5740" w:rsidRPr="00C75910">
        <w:rPr>
          <w:rFonts w:ascii="Book Antiqua" w:hAnsi="Book Antiqua"/>
        </w:rPr>
        <w:t>low gait speed</w:t>
      </w:r>
      <w:r w:rsidR="00EC3263" w:rsidRPr="00C75910">
        <w:rPr>
          <w:rFonts w:ascii="Book Antiqua" w:hAnsi="Book Antiqua"/>
        </w:rPr>
        <w:t xml:space="preserve">, defined </w:t>
      </w:r>
      <w:r w:rsidR="007640C9" w:rsidRPr="00C75910">
        <w:rPr>
          <w:rFonts w:ascii="Book Antiqua" w:hAnsi="Book Antiqua"/>
        </w:rPr>
        <w:t xml:space="preserve">in this analysis </w:t>
      </w:r>
      <w:r w:rsidR="00EC3263" w:rsidRPr="00C75910">
        <w:rPr>
          <w:rFonts w:ascii="Book Antiqua" w:hAnsi="Book Antiqua"/>
        </w:rPr>
        <w:t>as &lt;</w:t>
      </w:r>
      <w:r w:rsidR="00F05A62">
        <w:rPr>
          <w:rFonts w:ascii="Book Antiqua" w:hAnsi="Book Antiqua" w:hint="eastAsia"/>
          <w:lang w:eastAsia="zh-CN"/>
        </w:rPr>
        <w:t xml:space="preserve"> </w:t>
      </w:r>
      <w:r w:rsidR="000C483C" w:rsidRPr="00C75910">
        <w:rPr>
          <w:rFonts w:ascii="Book Antiqua" w:hAnsi="Book Antiqua"/>
        </w:rPr>
        <w:t>0.8</w:t>
      </w:r>
      <w:r w:rsidR="007640C9" w:rsidRPr="00C75910">
        <w:rPr>
          <w:rFonts w:ascii="Book Antiqua" w:hAnsi="Book Antiqua"/>
        </w:rPr>
        <w:t xml:space="preserve"> </w:t>
      </w:r>
      <w:r w:rsidR="000C483C" w:rsidRPr="00C75910">
        <w:rPr>
          <w:rFonts w:ascii="Book Antiqua" w:hAnsi="Book Antiqua"/>
        </w:rPr>
        <w:t>m/s</w:t>
      </w:r>
      <w:r w:rsidR="006D5740" w:rsidRPr="00C75910">
        <w:rPr>
          <w:rFonts w:ascii="Book Antiqua" w:hAnsi="Book Antiqua"/>
        </w:rPr>
        <w:t>,</w:t>
      </w:r>
      <w:r w:rsidR="00EC3263" w:rsidRPr="00C75910">
        <w:rPr>
          <w:rFonts w:ascii="Book Antiqua" w:hAnsi="Book Antiqua"/>
        </w:rPr>
        <w:t xml:space="preserve"> characterized </w:t>
      </w:r>
      <w:r w:rsidR="006D5740" w:rsidRPr="00C75910">
        <w:rPr>
          <w:rFonts w:ascii="Book Antiqua" w:hAnsi="Book Antiqua"/>
        </w:rPr>
        <w:t>one-third of t</w:t>
      </w:r>
      <w:r w:rsidR="0083138C" w:rsidRPr="00C75910">
        <w:rPr>
          <w:rFonts w:ascii="Book Antiqua" w:hAnsi="Book Antiqua"/>
        </w:rPr>
        <w:t>he ambulatory</w:t>
      </w:r>
      <w:r w:rsidR="000C483C" w:rsidRPr="00C75910">
        <w:rPr>
          <w:rFonts w:ascii="Book Antiqua" w:hAnsi="Book Antiqua"/>
        </w:rPr>
        <w:t xml:space="preserve"> HD</w:t>
      </w:r>
      <w:r w:rsidR="00680517" w:rsidRPr="00C75910">
        <w:rPr>
          <w:rFonts w:ascii="Book Antiqua" w:hAnsi="Book Antiqua"/>
        </w:rPr>
        <w:t xml:space="preserve"> patien</w:t>
      </w:r>
      <w:r w:rsidR="000C483C" w:rsidRPr="00C75910">
        <w:rPr>
          <w:rFonts w:ascii="Book Antiqua" w:hAnsi="Book Antiqua"/>
        </w:rPr>
        <w:t>ts whom we studied</w:t>
      </w:r>
      <w:r w:rsidR="006D5740" w:rsidRPr="00C75910">
        <w:rPr>
          <w:rFonts w:ascii="Book Antiqua" w:hAnsi="Book Antiqua"/>
        </w:rPr>
        <w:t>.</w:t>
      </w:r>
      <w:r w:rsidR="00931695" w:rsidRPr="00C75910">
        <w:rPr>
          <w:rFonts w:ascii="Book Antiqua" w:hAnsi="Book Antiqua"/>
        </w:rPr>
        <w:t xml:space="preserve"> Patients wi</w:t>
      </w:r>
      <w:r w:rsidR="00170274" w:rsidRPr="00C75910">
        <w:rPr>
          <w:rFonts w:ascii="Book Antiqua" w:hAnsi="Book Antiqua"/>
        </w:rPr>
        <w:t>th</w:t>
      </w:r>
      <w:r w:rsidR="00931695" w:rsidRPr="00C75910">
        <w:rPr>
          <w:rFonts w:ascii="Book Antiqua" w:hAnsi="Book Antiqua"/>
        </w:rPr>
        <w:t xml:space="preserve"> gait speed</w:t>
      </w:r>
      <w:r w:rsidR="00170274" w:rsidRPr="00C75910">
        <w:rPr>
          <w:rFonts w:ascii="Book Antiqua" w:hAnsi="Book Antiqua"/>
        </w:rPr>
        <w:t xml:space="preserve"> &lt;0.8</w:t>
      </w:r>
      <w:r w:rsidR="007640C9" w:rsidRPr="00C75910">
        <w:rPr>
          <w:rFonts w:ascii="Book Antiqua" w:hAnsi="Book Antiqua"/>
        </w:rPr>
        <w:t xml:space="preserve"> </w:t>
      </w:r>
      <w:r w:rsidR="00170274" w:rsidRPr="00C75910">
        <w:rPr>
          <w:rFonts w:ascii="Book Antiqua" w:hAnsi="Book Antiqua"/>
        </w:rPr>
        <w:t>m/s</w:t>
      </w:r>
      <w:r w:rsidR="00931695" w:rsidRPr="00C75910">
        <w:rPr>
          <w:rFonts w:ascii="Book Antiqua" w:hAnsi="Book Antiqua"/>
        </w:rPr>
        <w:t xml:space="preserve"> were more likely</w:t>
      </w:r>
      <w:r w:rsidR="00170274" w:rsidRPr="00C75910">
        <w:rPr>
          <w:rFonts w:ascii="Book Antiqua" w:hAnsi="Book Antiqua"/>
        </w:rPr>
        <w:t xml:space="preserve"> than those with gait speed </w:t>
      </w:r>
      <w:r w:rsidR="00F05A62" w:rsidRPr="00F05A62">
        <w:rPr>
          <w:rFonts w:ascii="Book Antiqua" w:hAnsi="Book Antiqua"/>
        </w:rPr>
        <w:t>≥</w:t>
      </w:r>
      <w:r w:rsidR="00F05A62">
        <w:rPr>
          <w:rFonts w:ascii="Book Antiqua" w:hAnsi="Book Antiqua" w:hint="eastAsia"/>
        </w:rPr>
        <w:t xml:space="preserve"> </w:t>
      </w:r>
      <w:r w:rsidR="00170274" w:rsidRPr="00C75910">
        <w:rPr>
          <w:rFonts w:ascii="Book Antiqua" w:hAnsi="Book Antiqua"/>
        </w:rPr>
        <w:t>0.8</w:t>
      </w:r>
      <w:r w:rsidR="007640C9" w:rsidRPr="00C75910">
        <w:rPr>
          <w:rFonts w:ascii="Book Antiqua" w:hAnsi="Book Antiqua"/>
        </w:rPr>
        <w:t xml:space="preserve"> </w:t>
      </w:r>
      <w:r w:rsidR="00170274" w:rsidRPr="00C75910">
        <w:rPr>
          <w:rFonts w:ascii="Book Antiqua" w:hAnsi="Book Antiqua"/>
        </w:rPr>
        <w:t>m/s</w:t>
      </w:r>
      <w:r w:rsidR="00931695" w:rsidRPr="00C75910">
        <w:rPr>
          <w:rFonts w:ascii="Book Antiqua" w:hAnsi="Book Antiqua"/>
        </w:rPr>
        <w:t xml:space="preserve"> to</w:t>
      </w:r>
      <w:r w:rsidR="00170274" w:rsidRPr="00C75910">
        <w:rPr>
          <w:rFonts w:ascii="Book Antiqua" w:hAnsi="Book Antiqua"/>
        </w:rPr>
        <w:t xml:space="preserve"> have been hospitalized during the past 12 </w:t>
      </w:r>
      <w:proofErr w:type="spellStart"/>
      <w:r w:rsidR="00170274" w:rsidRPr="00C75910">
        <w:rPr>
          <w:rFonts w:ascii="Book Antiqua" w:hAnsi="Book Antiqua"/>
        </w:rPr>
        <w:t>mo</w:t>
      </w:r>
      <w:proofErr w:type="spellEnd"/>
      <w:r w:rsidR="00170274" w:rsidRPr="00C75910">
        <w:rPr>
          <w:rFonts w:ascii="Book Antiqua" w:hAnsi="Book Antiqua"/>
        </w:rPr>
        <w:t xml:space="preserve">, even in the absence of a history of recent falls. </w:t>
      </w:r>
      <w:r w:rsidR="00994337" w:rsidRPr="00C75910">
        <w:rPr>
          <w:rFonts w:ascii="Book Antiqua" w:hAnsi="Book Antiqua"/>
        </w:rPr>
        <w:t>When we</w:t>
      </w:r>
      <w:r w:rsidR="00EC3263" w:rsidRPr="00C75910">
        <w:rPr>
          <w:rFonts w:ascii="Book Antiqua" w:hAnsi="Book Antiqua"/>
        </w:rPr>
        <w:t xml:space="preserve"> prospective</w:t>
      </w:r>
      <w:r w:rsidR="00994337" w:rsidRPr="00C75910">
        <w:rPr>
          <w:rFonts w:ascii="Book Antiqua" w:hAnsi="Book Antiqua"/>
        </w:rPr>
        <w:t>ly examined</w:t>
      </w:r>
      <w:r w:rsidR="00EC3263" w:rsidRPr="00C75910">
        <w:rPr>
          <w:rFonts w:ascii="Book Antiqua" w:hAnsi="Book Antiqua"/>
        </w:rPr>
        <w:t xml:space="preserve"> ga</w:t>
      </w:r>
      <w:r w:rsidR="00705E4B" w:rsidRPr="00C75910">
        <w:rPr>
          <w:rFonts w:ascii="Book Antiqua" w:hAnsi="Book Antiqua"/>
        </w:rPr>
        <w:t xml:space="preserve">it speed/fall history status in relation to first hospitalization (or </w:t>
      </w:r>
      <w:r w:rsidR="00994337" w:rsidRPr="00C75910">
        <w:rPr>
          <w:rFonts w:ascii="Book Antiqua" w:hAnsi="Book Antiqua"/>
        </w:rPr>
        <w:t>death)</w:t>
      </w:r>
      <w:r w:rsidR="00705E4B" w:rsidRPr="00C75910">
        <w:rPr>
          <w:rFonts w:ascii="Book Antiqua" w:hAnsi="Book Antiqua"/>
        </w:rPr>
        <w:t xml:space="preserve">, </w:t>
      </w:r>
      <w:r w:rsidR="00AD38C2" w:rsidRPr="00C75910">
        <w:rPr>
          <w:rFonts w:ascii="Book Antiqua" w:hAnsi="Book Antiqua"/>
        </w:rPr>
        <w:t>patients with gait speed &lt;</w:t>
      </w:r>
      <w:r w:rsidR="00F05A62">
        <w:rPr>
          <w:rFonts w:ascii="Book Antiqua" w:hAnsi="Book Antiqua" w:hint="eastAsia"/>
          <w:lang w:eastAsia="zh-CN"/>
        </w:rPr>
        <w:t xml:space="preserve"> </w:t>
      </w:r>
      <w:r w:rsidR="00AD38C2" w:rsidRPr="00C75910">
        <w:rPr>
          <w:rFonts w:ascii="Book Antiqua" w:hAnsi="Book Antiqua"/>
        </w:rPr>
        <w:t>0.8</w:t>
      </w:r>
      <w:r w:rsidR="007640C9" w:rsidRPr="00C75910">
        <w:rPr>
          <w:rFonts w:ascii="Book Antiqua" w:hAnsi="Book Antiqua"/>
        </w:rPr>
        <w:t xml:space="preserve"> </w:t>
      </w:r>
      <w:r w:rsidR="00AD38C2" w:rsidRPr="00C75910">
        <w:rPr>
          <w:rFonts w:ascii="Book Antiqua" w:hAnsi="Book Antiqua"/>
        </w:rPr>
        <w:t>m/s and a history of falls were more likely to incur hospitalization/death than those with faster gait speed and no history of falls.</w:t>
      </w:r>
    </w:p>
    <w:p w:rsidR="00A71557" w:rsidRPr="00C75910" w:rsidRDefault="00B45613" w:rsidP="00AF081E">
      <w:pPr>
        <w:spacing w:line="360" w:lineRule="auto"/>
        <w:ind w:firstLineChars="100" w:firstLine="240"/>
        <w:jc w:val="both"/>
        <w:rPr>
          <w:rFonts w:ascii="Book Antiqua" w:hAnsi="Book Antiqua"/>
        </w:rPr>
      </w:pPr>
      <w:r w:rsidRPr="00C75910">
        <w:rPr>
          <w:rFonts w:ascii="Book Antiqua" w:hAnsi="Book Antiqua"/>
        </w:rPr>
        <w:t>The causes of hospitalization among patients with slow gait speed varied widely</w:t>
      </w:r>
      <w:r w:rsidR="003C403E" w:rsidRPr="00C75910">
        <w:rPr>
          <w:rFonts w:ascii="Book Antiqua" w:hAnsi="Book Antiqua"/>
        </w:rPr>
        <w:t xml:space="preserve">, </w:t>
      </w:r>
      <w:r w:rsidR="003C403E" w:rsidRPr="00AF081E">
        <w:rPr>
          <w:rFonts w:ascii="Book Antiqua" w:hAnsi="Book Antiqua"/>
          <w:i/>
        </w:rPr>
        <w:t>e.g.</w:t>
      </w:r>
      <w:r w:rsidR="00AF081E">
        <w:rPr>
          <w:rFonts w:ascii="Book Antiqua" w:hAnsi="Book Antiqua" w:hint="eastAsia"/>
          <w:lang w:eastAsia="zh-CN"/>
        </w:rPr>
        <w:t>,</w:t>
      </w:r>
      <w:r w:rsidR="003C403E" w:rsidRPr="00C75910">
        <w:rPr>
          <w:rFonts w:ascii="Book Antiqua" w:hAnsi="Book Antiqua"/>
        </w:rPr>
        <w:t xml:space="preserve"> cardiac issues, respiratory distress, mini-stroke, neuropathy, leg pain. </w:t>
      </w:r>
      <w:proofErr w:type="spellStart"/>
      <w:r w:rsidRPr="00C75910">
        <w:rPr>
          <w:rFonts w:ascii="Book Antiqua" w:hAnsi="Book Antiqua"/>
        </w:rPr>
        <w:t>Studenski</w:t>
      </w:r>
      <w:proofErr w:type="spellEnd"/>
      <w:r w:rsidRPr="00C75910">
        <w:rPr>
          <w:rFonts w:ascii="Book Antiqua" w:hAnsi="Book Antiqua"/>
        </w:rPr>
        <w:t xml:space="preserve"> </w:t>
      </w:r>
      <w:r w:rsidRPr="00C75910">
        <w:rPr>
          <w:rFonts w:ascii="Book Antiqua" w:hAnsi="Book Antiqua"/>
          <w:i/>
        </w:rPr>
        <w:t xml:space="preserve">et </w:t>
      </w:r>
      <w:proofErr w:type="gramStart"/>
      <w:r w:rsidRPr="00C75910">
        <w:rPr>
          <w:rFonts w:ascii="Book Antiqua" w:hAnsi="Book Antiqua"/>
          <w:i/>
        </w:rPr>
        <w:t>al</w:t>
      </w:r>
      <w:r w:rsidR="00AF081E">
        <w:rPr>
          <w:rFonts w:ascii="Book Antiqua" w:hAnsi="Book Antiqua" w:hint="eastAsia"/>
          <w:vertAlign w:val="superscript"/>
          <w:lang w:eastAsia="zh-CN"/>
        </w:rPr>
        <w:t>[</w:t>
      </w:r>
      <w:proofErr w:type="gramEnd"/>
      <w:r w:rsidR="00AF081E">
        <w:rPr>
          <w:rFonts w:ascii="Book Antiqua" w:hAnsi="Book Antiqua" w:hint="eastAsia"/>
          <w:vertAlign w:val="superscript"/>
          <w:lang w:eastAsia="zh-CN"/>
        </w:rPr>
        <w:t>5]</w:t>
      </w:r>
      <w:r w:rsidRPr="00C75910">
        <w:rPr>
          <w:rFonts w:ascii="Book Antiqua" w:hAnsi="Book Antiqua"/>
        </w:rPr>
        <w:t xml:space="preserve"> have emphasized that g</w:t>
      </w:r>
      <w:r w:rsidR="00A71557" w:rsidRPr="00C75910">
        <w:rPr>
          <w:rFonts w:ascii="Book Antiqua" w:hAnsi="Book Antiqua"/>
        </w:rPr>
        <w:t xml:space="preserve">ait speed is a sensitive marker </w:t>
      </w:r>
      <w:r w:rsidR="00D75014" w:rsidRPr="00C75910">
        <w:rPr>
          <w:rFonts w:ascii="Book Antiqua" w:hAnsi="Book Antiqua"/>
        </w:rPr>
        <w:t xml:space="preserve">of health </w:t>
      </w:r>
      <w:r w:rsidR="00A71557" w:rsidRPr="00C75910">
        <w:rPr>
          <w:rFonts w:ascii="Book Antiqua" w:hAnsi="Book Antiqua"/>
        </w:rPr>
        <w:t>because it may reflect known and unrecognized disturbances</w:t>
      </w:r>
      <w:r w:rsidRPr="00C75910">
        <w:rPr>
          <w:rFonts w:ascii="Book Antiqua" w:hAnsi="Book Antiqua"/>
        </w:rPr>
        <w:t xml:space="preserve"> in multiple organ systems. </w:t>
      </w:r>
      <w:r w:rsidR="00D75014" w:rsidRPr="00C75910">
        <w:rPr>
          <w:rFonts w:ascii="Book Antiqua" w:hAnsi="Book Antiqua"/>
        </w:rPr>
        <w:t>Walking places demands on the heart, lungs, circulatory, nervous, and musculoskeletal systems, and slowed gait may reflect damaged systems as well a</w:t>
      </w:r>
      <w:r w:rsidR="00647191" w:rsidRPr="00C75910">
        <w:rPr>
          <w:rFonts w:ascii="Book Antiqua" w:hAnsi="Book Antiqua"/>
        </w:rPr>
        <w:t xml:space="preserve">s a high-energy cost of </w:t>
      </w:r>
      <w:proofErr w:type="gramStart"/>
      <w:r w:rsidR="00647191" w:rsidRPr="00C75910">
        <w:rPr>
          <w:rFonts w:ascii="Book Antiqua" w:hAnsi="Book Antiqua"/>
        </w:rPr>
        <w:t>walking</w:t>
      </w:r>
      <w:r w:rsidR="009E7DD2" w:rsidRPr="00C75910">
        <w:rPr>
          <w:rFonts w:ascii="Book Antiqua" w:hAnsi="Book Antiqua"/>
          <w:vertAlign w:val="superscript"/>
        </w:rPr>
        <w:t>[</w:t>
      </w:r>
      <w:proofErr w:type="gramEnd"/>
      <w:r w:rsidR="009E7DD2" w:rsidRPr="00C75910">
        <w:rPr>
          <w:rFonts w:ascii="Book Antiqua" w:hAnsi="Book Antiqua"/>
          <w:vertAlign w:val="superscript"/>
        </w:rPr>
        <w:t>5]</w:t>
      </w:r>
      <w:r w:rsidR="00647191" w:rsidRPr="00C75910">
        <w:rPr>
          <w:rFonts w:ascii="Book Antiqua" w:hAnsi="Book Antiqua"/>
        </w:rPr>
        <w:t>.</w:t>
      </w:r>
      <w:r w:rsidR="008E0E82" w:rsidRPr="00C75910">
        <w:rPr>
          <w:rFonts w:ascii="Book Antiqua" w:hAnsi="Book Antiqua"/>
        </w:rPr>
        <w:t xml:space="preserve"> </w:t>
      </w:r>
      <w:r w:rsidR="00135CB1" w:rsidRPr="00C75910">
        <w:rPr>
          <w:rFonts w:ascii="Book Antiqua" w:hAnsi="Book Antiqua"/>
        </w:rPr>
        <w:t xml:space="preserve">Mobility limitations can be early indicators of muscle weakness, pain or discomfort, and shortness of breath, </w:t>
      </w:r>
      <w:r w:rsidR="00135CB1" w:rsidRPr="00C75910">
        <w:rPr>
          <w:rFonts w:ascii="Book Antiqua" w:hAnsi="Book Antiqua"/>
        </w:rPr>
        <w:lastRenderedPageBreak/>
        <w:t xml:space="preserve">as well as potential </w:t>
      </w:r>
      <w:proofErr w:type="gramStart"/>
      <w:r w:rsidR="00135CB1" w:rsidRPr="00C75910">
        <w:rPr>
          <w:rFonts w:ascii="Book Antiqua" w:hAnsi="Book Antiqua"/>
        </w:rPr>
        <w:t>falls</w:t>
      </w:r>
      <w:r w:rsidR="00135CB1" w:rsidRPr="00C75910">
        <w:rPr>
          <w:rFonts w:ascii="Book Antiqua" w:hAnsi="Book Antiqua"/>
          <w:vertAlign w:val="superscript"/>
        </w:rPr>
        <w:t>[</w:t>
      </w:r>
      <w:proofErr w:type="gramEnd"/>
      <w:r w:rsidR="00135CB1" w:rsidRPr="00C75910">
        <w:rPr>
          <w:rFonts w:ascii="Book Antiqua" w:hAnsi="Book Antiqua"/>
          <w:vertAlign w:val="superscript"/>
        </w:rPr>
        <w:t>7]</w:t>
      </w:r>
      <w:r w:rsidR="00135CB1" w:rsidRPr="00C75910">
        <w:rPr>
          <w:rFonts w:ascii="Book Antiqua" w:hAnsi="Book Antiqua"/>
        </w:rPr>
        <w:t xml:space="preserve">. </w:t>
      </w:r>
      <w:r w:rsidRPr="00C75910">
        <w:rPr>
          <w:rFonts w:ascii="Book Antiqua" w:hAnsi="Book Antiqua"/>
        </w:rPr>
        <w:t xml:space="preserve">In addition, decreasing mobility may induce a cycle of reduced physical activity and </w:t>
      </w:r>
      <w:proofErr w:type="gramStart"/>
      <w:r w:rsidRPr="00C75910">
        <w:rPr>
          <w:rFonts w:ascii="Book Antiqua" w:hAnsi="Book Antiqua"/>
        </w:rPr>
        <w:t>decond</w:t>
      </w:r>
      <w:r w:rsidR="007640C9" w:rsidRPr="00C75910">
        <w:rPr>
          <w:rFonts w:ascii="Book Antiqua" w:hAnsi="Book Antiqua"/>
        </w:rPr>
        <w:t>itioning</w:t>
      </w:r>
      <w:r w:rsidR="002F41E8" w:rsidRPr="00C75910">
        <w:rPr>
          <w:rFonts w:ascii="Book Antiqua" w:hAnsi="Book Antiqua"/>
          <w:vertAlign w:val="superscript"/>
        </w:rPr>
        <w:t>[</w:t>
      </w:r>
      <w:proofErr w:type="gramEnd"/>
      <w:r w:rsidR="00C458E6" w:rsidRPr="00C75910">
        <w:rPr>
          <w:rFonts w:ascii="Book Antiqua" w:hAnsi="Book Antiqua"/>
          <w:vertAlign w:val="superscript"/>
        </w:rPr>
        <w:t>5</w:t>
      </w:r>
      <w:r w:rsidR="002F41E8" w:rsidRPr="00C75910">
        <w:rPr>
          <w:rFonts w:ascii="Book Antiqua" w:hAnsi="Book Antiqua"/>
          <w:vertAlign w:val="superscript"/>
        </w:rPr>
        <w:t>]</w:t>
      </w:r>
      <w:r w:rsidR="007640C9" w:rsidRPr="00C75910">
        <w:rPr>
          <w:rFonts w:ascii="Book Antiqua" w:hAnsi="Book Antiqua"/>
        </w:rPr>
        <w:t>.</w:t>
      </w:r>
      <w:r w:rsidR="00C458E6" w:rsidRPr="00C75910">
        <w:rPr>
          <w:rFonts w:ascii="Book Antiqua" w:hAnsi="Book Antiqua"/>
        </w:rPr>
        <w:t xml:space="preserve"> </w:t>
      </w:r>
    </w:p>
    <w:p w:rsidR="00950EC0" w:rsidRPr="00C75910" w:rsidRDefault="00135CB1" w:rsidP="00AF081E">
      <w:pPr>
        <w:spacing w:line="360" w:lineRule="auto"/>
        <w:ind w:firstLineChars="100" w:firstLine="240"/>
        <w:jc w:val="both"/>
        <w:rPr>
          <w:rFonts w:ascii="Book Antiqua" w:hAnsi="Book Antiqua"/>
        </w:rPr>
      </w:pPr>
      <w:r w:rsidRPr="00C75910">
        <w:rPr>
          <w:rFonts w:ascii="Book Antiqua" w:hAnsi="Book Antiqua"/>
        </w:rPr>
        <w:t>Slow gait speed may have contributed to</w:t>
      </w:r>
      <w:r w:rsidR="007E0BD8" w:rsidRPr="00C75910">
        <w:rPr>
          <w:rFonts w:ascii="Book Antiqua" w:hAnsi="Book Antiqua"/>
        </w:rPr>
        <w:t xml:space="preserve"> </w:t>
      </w:r>
      <w:r w:rsidR="003362F9" w:rsidRPr="00C75910">
        <w:rPr>
          <w:rFonts w:ascii="Book Antiqua" w:hAnsi="Book Antiqua"/>
        </w:rPr>
        <w:t>“</w:t>
      </w:r>
      <w:r w:rsidR="007E0BD8" w:rsidRPr="00C75910">
        <w:rPr>
          <w:rFonts w:ascii="Book Antiqua" w:hAnsi="Book Antiqua"/>
        </w:rPr>
        <w:t xml:space="preserve">walking disability” </w:t>
      </w:r>
      <w:r w:rsidR="003362F9" w:rsidRPr="00C75910">
        <w:rPr>
          <w:rFonts w:ascii="Book Antiqua" w:hAnsi="Book Antiqua"/>
        </w:rPr>
        <w:t>in</w:t>
      </w:r>
      <w:r w:rsidR="007E0BD8" w:rsidRPr="00C75910">
        <w:rPr>
          <w:rFonts w:ascii="Book Antiqua" w:hAnsi="Book Antiqua"/>
        </w:rPr>
        <w:t xml:space="preserve"> </w:t>
      </w:r>
      <w:r w:rsidR="003362F9" w:rsidRPr="00C75910">
        <w:rPr>
          <w:rFonts w:ascii="Book Antiqua" w:hAnsi="Book Antiqua"/>
        </w:rPr>
        <w:t>the</w:t>
      </w:r>
      <w:r w:rsidR="007E0BD8" w:rsidRPr="00C75910">
        <w:rPr>
          <w:rFonts w:ascii="Book Antiqua" w:hAnsi="Book Antiqua"/>
        </w:rPr>
        <w:t xml:space="preserve"> </w:t>
      </w:r>
      <w:proofErr w:type="spellStart"/>
      <w:r w:rsidR="007E0BD8" w:rsidRPr="00C75910">
        <w:rPr>
          <w:rFonts w:ascii="Book Antiqua" w:hAnsi="Book Antiqua"/>
        </w:rPr>
        <w:t>Beaubrun</w:t>
      </w:r>
      <w:proofErr w:type="spellEnd"/>
      <w:r w:rsidR="007E0BD8" w:rsidRPr="00C75910">
        <w:rPr>
          <w:rFonts w:ascii="Book Antiqua" w:hAnsi="Book Antiqua"/>
        </w:rPr>
        <w:t xml:space="preserve"> </w:t>
      </w:r>
      <w:r w:rsidR="007E0BD8" w:rsidRPr="00C75910">
        <w:rPr>
          <w:rFonts w:ascii="Book Antiqua" w:hAnsi="Book Antiqua"/>
          <w:i/>
        </w:rPr>
        <w:t xml:space="preserve">et </w:t>
      </w:r>
      <w:proofErr w:type="gramStart"/>
      <w:r w:rsidR="007E0BD8" w:rsidRPr="00C75910">
        <w:rPr>
          <w:rFonts w:ascii="Book Antiqua" w:hAnsi="Book Antiqua"/>
          <w:i/>
        </w:rPr>
        <w:t>al</w:t>
      </w:r>
      <w:r w:rsidR="00AF081E" w:rsidRPr="00C75910">
        <w:rPr>
          <w:rFonts w:ascii="Book Antiqua" w:hAnsi="Book Antiqua"/>
          <w:vertAlign w:val="superscript"/>
        </w:rPr>
        <w:t>[</w:t>
      </w:r>
      <w:proofErr w:type="gramEnd"/>
      <w:r w:rsidR="00AF081E" w:rsidRPr="00C75910">
        <w:rPr>
          <w:rFonts w:ascii="Book Antiqua" w:hAnsi="Book Antiqua"/>
          <w:vertAlign w:val="superscript"/>
        </w:rPr>
        <w:t>8]</w:t>
      </w:r>
      <w:r w:rsidR="00CF1B05" w:rsidRPr="00C75910">
        <w:rPr>
          <w:rFonts w:ascii="Book Antiqua" w:hAnsi="Book Antiqua"/>
        </w:rPr>
        <w:t xml:space="preserve"> </w:t>
      </w:r>
      <w:r w:rsidR="001547C4" w:rsidRPr="00C75910">
        <w:rPr>
          <w:rFonts w:ascii="Book Antiqua" w:hAnsi="Book Antiqua"/>
        </w:rPr>
        <w:t xml:space="preserve">2013 </w:t>
      </w:r>
      <w:r w:rsidR="003362F9" w:rsidRPr="00C75910">
        <w:rPr>
          <w:rFonts w:ascii="Book Antiqua" w:hAnsi="Book Antiqua"/>
        </w:rPr>
        <w:t>analysis</w:t>
      </w:r>
      <w:r w:rsidR="00647191" w:rsidRPr="00C75910">
        <w:rPr>
          <w:rFonts w:ascii="Book Antiqua" w:hAnsi="Book Antiqua"/>
        </w:rPr>
        <w:t xml:space="preserve"> of HD patients who were hospitalized following fracture</w:t>
      </w:r>
      <w:r w:rsidR="003362F9" w:rsidRPr="00C75910">
        <w:rPr>
          <w:rFonts w:ascii="Book Antiqua" w:hAnsi="Book Antiqua"/>
        </w:rPr>
        <w:t>. In their study,</w:t>
      </w:r>
      <w:r w:rsidR="00CF1B05" w:rsidRPr="00C75910">
        <w:rPr>
          <w:rFonts w:ascii="Book Antiqua" w:hAnsi="Book Antiqua"/>
        </w:rPr>
        <w:t xml:space="preserve"> walking disability/history of falls characterized 55.6% of </w:t>
      </w:r>
      <w:r w:rsidR="00647191" w:rsidRPr="00C75910">
        <w:rPr>
          <w:rFonts w:ascii="Book Antiqua" w:hAnsi="Book Antiqua"/>
        </w:rPr>
        <w:t xml:space="preserve">the study </w:t>
      </w:r>
      <w:proofErr w:type="gramStart"/>
      <w:r w:rsidR="00647191" w:rsidRPr="00C75910">
        <w:rPr>
          <w:rFonts w:ascii="Book Antiqua" w:hAnsi="Book Antiqua"/>
        </w:rPr>
        <w:t>population</w:t>
      </w:r>
      <w:r w:rsidR="007410C5" w:rsidRPr="00C75910">
        <w:rPr>
          <w:rFonts w:ascii="Book Antiqua" w:hAnsi="Book Antiqua"/>
          <w:vertAlign w:val="superscript"/>
        </w:rPr>
        <w:t>[</w:t>
      </w:r>
      <w:proofErr w:type="gramEnd"/>
      <w:r w:rsidR="007410C5" w:rsidRPr="00C75910">
        <w:rPr>
          <w:rFonts w:ascii="Book Antiqua" w:hAnsi="Book Antiqua"/>
          <w:vertAlign w:val="superscript"/>
        </w:rPr>
        <w:t>8]</w:t>
      </w:r>
      <w:r w:rsidR="00647191" w:rsidRPr="00C75910">
        <w:rPr>
          <w:rFonts w:ascii="Book Antiqua" w:hAnsi="Book Antiqua"/>
        </w:rPr>
        <w:t xml:space="preserve">. </w:t>
      </w:r>
      <w:r w:rsidR="00CF1B05" w:rsidRPr="00C75910">
        <w:rPr>
          <w:rFonts w:ascii="Book Antiqua" w:hAnsi="Book Antiqua"/>
        </w:rPr>
        <w:t>The number of patients in our study cohort who were hospitalized following fracture was small (</w:t>
      </w:r>
      <w:r w:rsidR="00CF1B05" w:rsidRPr="00AF081E">
        <w:rPr>
          <w:rFonts w:ascii="Book Antiqua" w:hAnsi="Book Antiqua"/>
          <w:i/>
        </w:rPr>
        <w:t>n</w:t>
      </w:r>
      <w:r w:rsidR="00AF081E">
        <w:rPr>
          <w:rFonts w:ascii="Book Antiqua" w:hAnsi="Book Antiqua" w:hint="eastAsia"/>
          <w:lang w:eastAsia="zh-CN"/>
        </w:rPr>
        <w:t xml:space="preserve"> </w:t>
      </w:r>
      <w:r w:rsidR="00CF1B05" w:rsidRPr="00C75910">
        <w:rPr>
          <w:rFonts w:ascii="Book Antiqua" w:hAnsi="Book Antiqua"/>
        </w:rPr>
        <w:t>=</w:t>
      </w:r>
      <w:r w:rsidR="00AF081E">
        <w:rPr>
          <w:rFonts w:ascii="Book Antiqua" w:hAnsi="Book Antiqua" w:hint="eastAsia"/>
          <w:lang w:eastAsia="zh-CN"/>
        </w:rPr>
        <w:t xml:space="preserve"> </w:t>
      </w:r>
      <w:r w:rsidR="00CF1B05" w:rsidRPr="00C75910">
        <w:rPr>
          <w:rFonts w:ascii="Book Antiqua" w:hAnsi="Book Antiqua"/>
        </w:rPr>
        <w:t xml:space="preserve">24), but </w:t>
      </w:r>
      <w:r w:rsidR="00647191" w:rsidRPr="00C75910">
        <w:rPr>
          <w:rFonts w:ascii="Book Antiqua" w:hAnsi="Book Antiqua"/>
        </w:rPr>
        <w:t>slow gait speed and fall history were prominent; 45.5% of</w:t>
      </w:r>
      <w:r w:rsidR="00CF1B05" w:rsidRPr="00C75910">
        <w:rPr>
          <w:rFonts w:ascii="Book Antiqua" w:hAnsi="Book Antiqua"/>
        </w:rPr>
        <w:t xml:space="preserve"> </w:t>
      </w:r>
      <w:r w:rsidR="003362F9" w:rsidRPr="00C75910">
        <w:rPr>
          <w:rFonts w:ascii="Book Antiqua" w:hAnsi="Book Antiqua"/>
        </w:rPr>
        <w:t xml:space="preserve">patients hospitalized post-fracture </w:t>
      </w:r>
      <w:r w:rsidR="00CF1B05" w:rsidRPr="00C75910">
        <w:rPr>
          <w:rFonts w:ascii="Book Antiqua" w:hAnsi="Book Antiqua"/>
        </w:rPr>
        <w:t>had slow gait speed and 70.8% had</w:t>
      </w:r>
      <w:r w:rsidR="003362F9" w:rsidRPr="00C75910">
        <w:rPr>
          <w:rFonts w:ascii="Book Antiqua" w:hAnsi="Book Antiqua"/>
        </w:rPr>
        <w:t xml:space="preserve"> recently</w:t>
      </w:r>
      <w:r w:rsidR="00CF1B05" w:rsidRPr="00C75910">
        <w:rPr>
          <w:rFonts w:ascii="Book Antiqua" w:hAnsi="Book Antiqua"/>
        </w:rPr>
        <w:t xml:space="preserve"> fallen</w:t>
      </w:r>
      <w:r w:rsidR="005D0E4A" w:rsidRPr="00C75910">
        <w:rPr>
          <w:rFonts w:ascii="Book Antiqua" w:hAnsi="Book Antiqua"/>
        </w:rPr>
        <w:t>.</w:t>
      </w:r>
    </w:p>
    <w:p w:rsidR="00680517" w:rsidRPr="00C75910" w:rsidRDefault="00C458E6" w:rsidP="00AF081E">
      <w:pPr>
        <w:spacing w:line="360" w:lineRule="auto"/>
        <w:ind w:firstLineChars="100" w:firstLine="240"/>
        <w:jc w:val="both"/>
        <w:rPr>
          <w:rFonts w:ascii="Book Antiqua" w:hAnsi="Book Antiqua"/>
        </w:rPr>
      </w:pPr>
      <w:r w:rsidRPr="00C75910">
        <w:rPr>
          <w:rFonts w:ascii="Book Antiqua" w:hAnsi="Book Antiqua"/>
        </w:rPr>
        <w:t xml:space="preserve">The International Task Force on Nutrition and Aging </w:t>
      </w:r>
      <w:r w:rsidR="003067DF" w:rsidRPr="00C75910">
        <w:rPr>
          <w:rFonts w:ascii="Book Antiqua" w:hAnsi="Book Antiqua"/>
        </w:rPr>
        <w:t>concluded that gait speed is strongly associated with</w:t>
      </w:r>
      <w:r w:rsidR="004027FC" w:rsidRPr="00C75910">
        <w:rPr>
          <w:rFonts w:ascii="Book Antiqua" w:hAnsi="Book Antiqua"/>
        </w:rPr>
        <w:t xml:space="preserve"> adverse outcomes, including falls</w:t>
      </w:r>
      <w:r w:rsidRPr="00C75910">
        <w:rPr>
          <w:rFonts w:ascii="Book Antiqua" w:hAnsi="Book Antiqua"/>
        </w:rPr>
        <w:t xml:space="preserve"> an</w:t>
      </w:r>
      <w:r w:rsidR="00647191" w:rsidRPr="00C75910">
        <w:rPr>
          <w:rFonts w:ascii="Book Antiqua" w:hAnsi="Book Antiqua"/>
        </w:rPr>
        <w:t xml:space="preserve">d </w:t>
      </w:r>
      <w:proofErr w:type="gramStart"/>
      <w:r w:rsidR="00647191" w:rsidRPr="00C75910">
        <w:rPr>
          <w:rFonts w:ascii="Book Antiqua" w:hAnsi="Book Antiqua"/>
        </w:rPr>
        <w:t>hospitalization</w:t>
      </w:r>
      <w:r w:rsidR="002F41E8" w:rsidRPr="00C75910">
        <w:rPr>
          <w:rFonts w:ascii="Book Antiqua" w:hAnsi="Book Antiqua"/>
          <w:vertAlign w:val="superscript"/>
        </w:rPr>
        <w:t>[</w:t>
      </w:r>
      <w:proofErr w:type="gramEnd"/>
      <w:r w:rsidR="007410C5" w:rsidRPr="00C75910">
        <w:rPr>
          <w:rFonts w:ascii="Book Antiqua" w:hAnsi="Book Antiqua"/>
          <w:vertAlign w:val="superscript"/>
        </w:rPr>
        <w:t>11</w:t>
      </w:r>
      <w:r w:rsidR="002F41E8" w:rsidRPr="00C75910">
        <w:rPr>
          <w:rFonts w:ascii="Book Antiqua" w:hAnsi="Book Antiqua"/>
          <w:vertAlign w:val="superscript"/>
        </w:rPr>
        <w:t>]</w:t>
      </w:r>
      <w:r w:rsidR="001547C4" w:rsidRPr="00C75910">
        <w:rPr>
          <w:rFonts w:ascii="Book Antiqua" w:hAnsi="Book Antiqua"/>
        </w:rPr>
        <w:t>.</w:t>
      </w:r>
      <w:r w:rsidRPr="00C75910">
        <w:rPr>
          <w:rFonts w:ascii="Book Antiqua" w:hAnsi="Book Antiqua"/>
        </w:rPr>
        <w:t xml:space="preserve"> However, </w:t>
      </w:r>
      <w:r w:rsidR="00647191" w:rsidRPr="00C75910">
        <w:rPr>
          <w:rFonts w:ascii="Book Antiqua" w:hAnsi="Book Antiqua"/>
        </w:rPr>
        <w:t>there has been little</w:t>
      </w:r>
      <w:r w:rsidR="004027FC" w:rsidRPr="00C75910">
        <w:rPr>
          <w:rFonts w:ascii="Book Antiqua" w:hAnsi="Book Antiqua"/>
        </w:rPr>
        <w:t xml:space="preserve"> investigation of the association of gait speed with hospitalization in the dialysis population. As we have noted, </w:t>
      </w:r>
      <w:r w:rsidR="00534F5F" w:rsidRPr="00C75910">
        <w:rPr>
          <w:rFonts w:ascii="Book Antiqua" w:hAnsi="Book Antiqua"/>
        </w:rPr>
        <w:t xml:space="preserve">the </w:t>
      </w:r>
      <w:r w:rsidRPr="00C75910">
        <w:rPr>
          <w:rFonts w:ascii="Book Antiqua" w:hAnsi="Book Antiqua"/>
        </w:rPr>
        <w:t xml:space="preserve">recent </w:t>
      </w:r>
      <w:r w:rsidR="00534F5F" w:rsidRPr="00C75910">
        <w:rPr>
          <w:rFonts w:ascii="Book Antiqua" w:hAnsi="Book Antiqua"/>
        </w:rPr>
        <w:t xml:space="preserve">study by </w:t>
      </w:r>
      <w:proofErr w:type="spellStart"/>
      <w:r w:rsidR="00534F5F" w:rsidRPr="00C75910">
        <w:rPr>
          <w:rFonts w:ascii="Book Antiqua" w:hAnsi="Book Antiqua"/>
        </w:rPr>
        <w:t>Beaub</w:t>
      </w:r>
      <w:r w:rsidR="004027FC" w:rsidRPr="00C75910">
        <w:rPr>
          <w:rFonts w:ascii="Book Antiqua" w:hAnsi="Book Antiqua"/>
        </w:rPr>
        <w:t>run</w:t>
      </w:r>
      <w:proofErr w:type="spellEnd"/>
      <w:r w:rsidR="004027FC" w:rsidRPr="00C75910">
        <w:rPr>
          <w:rFonts w:ascii="Book Antiqua" w:hAnsi="Book Antiqua"/>
        </w:rPr>
        <w:t xml:space="preserve"> </w:t>
      </w:r>
      <w:r w:rsidR="004027FC" w:rsidRPr="00C75910">
        <w:rPr>
          <w:rFonts w:ascii="Book Antiqua" w:hAnsi="Book Antiqua"/>
          <w:i/>
        </w:rPr>
        <w:t xml:space="preserve">et </w:t>
      </w:r>
      <w:proofErr w:type="gramStart"/>
      <w:r w:rsidR="004027FC" w:rsidRPr="00C75910">
        <w:rPr>
          <w:rFonts w:ascii="Book Antiqua" w:hAnsi="Book Antiqua"/>
          <w:i/>
        </w:rPr>
        <w:t>al</w:t>
      </w:r>
      <w:r w:rsidR="00AF081E">
        <w:rPr>
          <w:rFonts w:ascii="Book Antiqua" w:hAnsi="Book Antiqua" w:hint="eastAsia"/>
          <w:vertAlign w:val="superscript"/>
          <w:lang w:eastAsia="zh-CN"/>
        </w:rPr>
        <w:t>[</w:t>
      </w:r>
      <w:proofErr w:type="gramEnd"/>
      <w:r w:rsidR="00AF081E">
        <w:rPr>
          <w:rFonts w:ascii="Book Antiqua" w:hAnsi="Book Antiqua" w:hint="eastAsia"/>
          <w:vertAlign w:val="superscript"/>
          <w:lang w:eastAsia="zh-CN"/>
        </w:rPr>
        <w:t>8]</w:t>
      </w:r>
      <w:r w:rsidR="00534F5F" w:rsidRPr="00C75910">
        <w:rPr>
          <w:rFonts w:ascii="Book Antiqua" w:hAnsi="Book Antiqua"/>
          <w:i/>
        </w:rPr>
        <w:t xml:space="preserve"> </w:t>
      </w:r>
      <w:r w:rsidR="00534F5F" w:rsidRPr="00C75910">
        <w:rPr>
          <w:rFonts w:ascii="Book Antiqua" w:hAnsi="Book Antiqua"/>
        </w:rPr>
        <w:t>l</w:t>
      </w:r>
      <w:r w:rsidR="004027FC" w:rsidRPr="00C75910">
        <w:rPr>
          <w:rFonts w:ascii="Book Antiqua" w:hAnsi="Book Antiqua"/>
        </w:rPr>
        <w:t xml:space="preserve">inks walking disability/history </w:t>
      </w:r>
      <w:r w:rsidR="00534F5F" w:rsidRPr="00C75910">
        <w:rPr>
          <w:rFonts w:ascii="Book Antiqua" w:hAnsi="Book Antiqua"/>
        </w:rPr>
        <w:t xml:space="preserve">of </w:t>
      </w:r>
      <w:r w:rsidR="004027FC" w:rsidRPr="00C75910">
        <w:rPr>
          <w:rFonts w:ascii="Book Antiqua" w:hAnsi="Book Antiqua"/>
        </w:rPr>
        <w:t>falls with hospitalization risk</w:t>
      </w:r>
      <w:r w:rsidR="00647191" w:rsidRPr="00C75910">
        <w:rPr>
          <w:rFonts w:ascii="Book Antiqua" w:hAnsi="Book Antiqua"/>
        </w:rPr>
        <w:t>,</w:t>
      </w:r>
      <w:r w:rsidR="004027FC" w:rsidRPr="00C75910">
        <w:rPr>
          <w:rFonts w:ascii="Book Antiqua" w:hAnsi="Book Antiqua"/>
        </w:rPr>
        <w:t xml:space="preserve"> but </w:t>
      </w:r>
      <w:r w:rsidR="003067DF" w:rsidRPr="00C75910">
        <w:rPr>
          <w:rFonts w:ascii="Book Antiqua" w:hAnsi="Book Antiqua"/>
        </w:rPr>
        <w:t>that study did not have</w:t>
      </w:r>
      <w:r w:rsidR="00647191" w:rsidRPr="00C75910">
        <w:rPr>
          <w:rFonts w:ascii="Book Antiqua" w:hAnsi="Book Antiqua"/>
        </w:rPr>
        <w:t xml:space="preserve"> information about</w:t>
      </w:r>
      <w:r w:rsidR="004027FC" w:rsidRPr="00C75910">
        <w:rPr>
          <w:rFonts w:ascii="Book Antiqua" w:hAnsi="Book Antiqua"/>
        </w:rPr>
        <w:t xml:space="preserve"> gait speed</w:t>
      </w:r>
      <w:r w:rsidR="00647191" w:rsidRPr="00C75910">
        <w:rPr>
          <w:rFonts w:ascii="Book Antiqua" w:hAnsi="Book Antiqua"/>
        </w:rPr>
        <w:t>.</w:t>
      </w:r>
      <w:r w:rsidR="00764E14">
        <w:rPr>
          <w:rFonts w:ascii="Book Antiqua" w:hAnsi="Book Antiqua"/>
        </w:rPr>
        <w:t xml:space="preserve"> </w:t>
      </w:r>
    </w:p>
    <w:p w:rsidR="00950EC0" w:rsidRPr="00C75910" w:rsidRDefault="003067DF" w:rsidP="00AF081E">
      <w:pPr>
        <w:spacing w:line="360" w:lineRule="auto"/>
        <w:ind w:firstLineChars="100" w:firstLine="240"/>
        <w:jc w:val="both"/>
        <w:rPr>
          <w:rFonts w:ascii="Book Antiqua" w:hAnsi="Book Antiqua"/>
        </w:rPr>
      </w:pPr>
      <w:r w:rsidRPr="00C75910">
        <w:rPr>
          <w:rFonts w:ascii="Book Antiqua" w:hAnsi="Book Antiqua"/>
        </w:rPr>
        <w:t>T</w:t>
      </w:r>
      <w:r w:rsidR="00534F5F" w:rsidRPr="00C75910">
        <w:rPr>
          <w:rFonts w:ascii="Book Antiqua" w:hAnsi="Book Antiqua"/>
        </w:rPr>
        <w:t xml:space="preserve">he frailty </w:t>
      </w:r>
      <w:r w:rsidR="00887A63" w:rsidRPr="00C75910">
        <w:rPr>
          <w:rFonts w:ascii="Book Antiqua" w:hAnsi="Book Antiqua"/>
        </w:rPr>
        <w:t xml:space="preserve">index developed by Fried </w:t>
      </w:r>
      <w:r w:rsidR="00887A63" w:rsidRPr="00C75910">
        <w:rPr>
          <w:rFonts w:ascii="Book Antiqua" w:hAnsi="Book Antiqua"/>
          <w:i/>
        </w:rPr>
        <w:t xml:space="preserve">et </w:t>
      </w:r>
      <w:proofErr w:type="gramStart"/>
      <w:r w:rsidR="00887A63" w:rsidRPr="00C75910">
        <w:rPr>
          <w:rFonts w:ascii="Book Antiqua" w:hAnsi="Book Antiqua"/>
          <w:i/>
        </w:rPr>
        <w:t>al</w:t>
      </w:r>
      <w:r w:rsidR="002F41E8" w:rsidRPr="00C75910">
        <w:rPr>
          <w:rFonts w:ascii="Book Antiqua" w:hAnsi="Book Antiqua"/>
          <w:vertAlign w:val="superscript"/>
        </w:rPr>
        <w:t>[</w:t>
      </w:r>
      <w:proofErr w:type="gramEnd"/>
      <w:r w:rsidR="00647191" w:rsidRPr="00C75910">
        <w:rPr>
          <w:rFonts w:ascii="Book Antiqua" w:hAnsi="Book Antiqua"/>
          <w:vertAlign w:val="superscript"/>
        </w:rPr>
        <w:t>1</w:t>
      </w:r>
      <w:r w:rsidR="007410C5" w:rsidRPr="00C75910">
        <w:rPr>
          <w:rFonts w:ascii="Book Antiqua" w:hAnsi="Book Antiqua"/>
          <w:vertAlign w:val="superscript"/>
        </w:rPr>
        <w:t>2</w:t>
      </w:r>
      <w:r w:rsidR="002F41E8" w:rsidRPr="00C75910">
        <w:rPr>
          <w:rFonts w:ascii="Book Antiqua" w:hAnsi="Book Antiqua"/>
          <w:vertAlign w:val="superscript"/>
        </w:rPr>
        <w:t>]</w:t>
      </w:r>
      <w:r w:rsidRPr="00C75910">
        <w:rPr>
          <w:rFonts w:ascii="Book Antiqua" w:hAnsi="Book Antiqua"/>
        </w:rPr>
        <w:t xml:space="preserve"> includes slow walk as one component.</w:t>
      </w:r>
      <w:r w:rsidR="00887A63" w:rsidRPr="00C75910">
        <w:rPr>
          <w:rFonts w:ascii="Book Antiqua" w:hAnsi="Book Antiqua"/>
        </w:rPr>
        <w:t xml:space="preserve"> S</w:t>
      </w:r>
      <w:r w:rsidR="00534F5F" w:rsidRPr="00C75910">
        <w:rPr>
          <w:rFonts w:ascii="Book Antiqua" w:hAnsi="Book Antiqua"/>
        </w:rPr>
        <w:t xml:space="preserve">everal studies of </w:t>
      </w:r>
      <w:r w:rsidR="00D40033" w:rsidRPr="00C75910">
        <w:rPr>
          <w:rFonts w:ascii="Book Antiqua" w:hAnsi="Book Antiqua"/>
        </w:rPr>
        <w:t>chronic kidney disease</w:t>
      </w:r>
      <w:r w:rsidR="00680517" w:rsidRPr="00C75910">
        <w:rPr>
          <w:rFonts w:ascii="Book Antiqua" w:hAnsi="Book Antiqua"/>
        </w:rPr>
        <w:t xml:space="preserve"> patient</w:t>
      </w:r>
      <w:r w:rsidR="00887A63" w:rsidRPr="00C75910">
        <w:rPr>
          <w:rFonts w:ascii="Book Antiqua" w:hAnsi="Book Antiqua"/>
        </w:rPr>
        <w:t>s</w:t>
      </w:r>
      <w:r w:rsidR="009918BB" w:rsidRPr="00C75910">
        <w:rPr>
          <w:rFonts w:ascii="Book Antiqua" w:hAnsi="Book Antiqua"/>
        </w:rPr>
        <w:t>, both dialysis-dependent and non-dialysis-dependent,</w:t>
      </w:r>
      <w:r w:rsidR="00887A63" w:rsidRPr="00C75910">
        <w:rPr>
          <w:rFonts w:ascii="Book Antiqua" w:hAnsi="Book Antiqua"/>
        </w:rPr>
        <w:t xml:space="preserve"> have measured gait speed and </w:t>
      </w:r>
      <w:r w:rsidR="000C483C" w:rsidRPr="00C75910">
        <w:rPr>
          <w:rFonts w:ascii="Book Antiqua" w:hAnsi="Book Antiqua"/>
        </w:rPr>
        <w:t>used the Fried</w:t>
      </w:r>
      <w:r w:rsidR="00534F5F" w:rsidRPr="00C75910">
        <w:rPr>
          <w:rFonts w:ascii="Book Antiqua" w:hAnsi="Book Antiqua"/>
        </w:rPr>
        <w:t xml:space="preserve"> index</w:t>
      </w:r>
      <w:r w:rsidR="000C483C" w:rsidRPr="00C75910">
        <w:rPr>
          <w:rFonts w:ascii="Book Antiqua" w:hAnsi="Book Antiqua"/>
        </w:rPr>
        <w:t xml:space="preserve"> to classify patients as </w:t>
      </w:r>
      <w:proofErr w:type="gramStart"/>
      <w:r w:rsidR="000C483C" w:rsidRPr="00C75910">
        <w:rPr>
          <w:rFonts w:ascii="Book Antiqua" w:hAnsi="Book Antiqua"/>
        </w:rPr>
        <w:t>frail</w:t>
      </w:r>
      <w:r w:rsidR="002F41E8" w:rsidRPr="00C75910">
        <w:rPr>
          <w:rFonts w:ascii="Book Antiqua" w:hAnsi="Book Antiqua"/>
          <w:vertAlign w:val="superscript"/>
        </w:rPr>
        <w:t>[</w:t>
      </w:r>
      <w:proofErr w:type="gramEnd"/>
      <w:r w:rsidR="007410C5" w:rsidRPr="00C75910">
        <w:rPr>
          <w:rFonts w:ascii="Book Antiqua" w:hAnsi="Book Antiqua"/>
          <w:vertAlign w:val="superscript"/>
        </w:rPr>
        <w:t>13</w:t>
      </w:r>
      <w:r w:rsidR="00054538" w:rsidRPr="00C75910">
        <w:rPr>
          <w:rFonts w:ascii="Book Antiqua" w:hAnsi="Book Antiqua"/>
          <w:vertAlign w:val="superscript"/>
        </w:rPr>
        <w:t>-</w:t>
      </w:r>
      <w:r w:rsidR="007410C5" w:rsidRPr="00C75910">
        <w:rPr>
          <w:rFonts w:ascii="Book Antiqua" w:hAnsi="Book Antiqua"/>
          <w:vertAlign w:val="superscript"/>
        </w:rPr>
        <w:t>18</w:t>
      </w:r>
      <w:r w:rsidR="002F41E8" w:rsidRPr="00C75910">
        <w:rPr>
          <w:rFonts w:ascii="Book Antiqua" w:hAnsi="Book Antiqua"/>
          <w:vertAlign w:val="superscript"/>
        </w:rPr>
        <w:t>]</w:t>
      </w:r>
      <w:r w:rsidR="001547C4" w:rsidRPr="00C75910">
        <w:rPr>
          <w:rFonts w:ascii="Book Antiqua" w:hAnsi="Book Antiqua"/>
        </w:rPr>
        <w:t>.</w:t>
      </w:r>
      <w:r w:rsidR="005249C3" w:rsidRPr="00C75910">
        <w:rPr>
          <w:rFonts w:ascii="Book Antiqua" w:hAnsi="Book Antiqua"/>
        </w:rPr>
        <w:t xml:space="preserve"> One of these studies</w:t>
      </w:r>
      <w:r w:rsidR="000C483C" w:rsidRPr="00C75910">
        <w:rPr>
          <w:rFonts w:ascii="Book Antiqua" w:hAnsi="Book Antiqua"/>
        </w:rPr>
        <w:t xml:space="preserve"> investigated</w:t>
      </w:r>
      <w:r w:rsidR="00447985" w:rsidRPr="00C75910">
        <w:rPr>
          <w:rFonts w:ascii="Book Antiqua" w:hAnsi="Book Antiqua"/>
        </w:rPr>
        <w:t xml:space="preserve"> HD</w:t>
      </w:r>
      <w:r w:rsidR="00114274" w:rsidRPr="00C75910">
        <w:rPr>
          <w:rFonts w:ascii="Book Antiqua" w:hAnsi="Book Antiqua"/>
        </w:rPr>
        <w:t xml:space="preserve"> patients’ </w:t>
      </w:r>
      <w:r w:rsidR="00887A63" w:rsidRPr="00C75910">
        <w:rPr>
          <w:rFonts w:ascii="Book Antiqua" w:hAnsi="Book Antiqua"/>
        </w:rPr>
        <w:t>hospitalization in asso</w:t>
      </w:r>
      <w:r w:rsidR="00114274" w:rsidRPr="00C75910">
        <w:rPr>
          <w:rFonts w:ascii="Book Antiqua" w:hAnsi="Book Antiqua"/>
        </w:rPr>
        <w:t>ciation with frailty</w:t>
      </w:r>
      <w:r w:rsidR="00447985" w:rsidRPr="00C75910">
        <w:rPr>
          <w:rFonts w:ascii="Book Antiqua" w:hAnsi="Book Antiqua"/>
        </w:rPr>
        <w:t xml:space="preserve">. </w:t>
      </w:r>
      <w:r w:rsidR="0061066A" w:rsidRPr="00C75910">
        <w:rPr>
          <w:rFonts w:ascii="Book Antiqua" w:hAnsi="Book Antiqua"/>
        </w:rPr>
        <w:t>McAdams-</w:t>
      </w:r>
      <w:r w:rsidR="004027FC" w:rsidRPr="00C75910">
        <w:rPr>
          <w:rFonts w:ascii="Book Antiqua" w:hAnsi="Book Antiqua"/>
        </w:rPr>
        <w:t xml:space="preserve">DeMarco </w:t>
      </w:r>
      <w:r w:rsidR="004027FC" w:rsidRPr="00C75910">
        <w:rPr>
          <w:rFonts w:ascii="Book Antiqua" w:hAnsi="Book Antiqua"/>
          <w:i/>
        </w:rPr>
        <w:t xml:space="preserve">et </w:t>
      </w:r>
      <w:proofErr w:type="gramStart"/>
      <w:r w:rsidR="004027FC" w:rsidRPr="00C75910">
        <w:rPr>
          <w:rFonts w:ascii="Book Antiqua" w:hAnsi="Book Antiqua"/>
          <w:i/>
        </w:rPr>
        <w:t>al</w:t>
      </w:r>
      <w:r w:rsidR="00B04308">
        <w:rPr>
          <w:rFonts w:ascii="Book Antiqua" w:hAnsi="Book Antiqua" w:hint="eastAsia"/>
          <w:vertAlign w:val="superscript"/>
          <w:lang w:eastAsia="zh-CN"/>
        </w:rPr>
        <w:t>[</w:t>
      </w:r>
      <w:proofErr w:type="gramEnd"/>
      <w:r w:rsidR="00B04308">
        <w:rPr>
          <w:rFonts w:ascii="Book Antiqua" w:hAnsi="Book Antiqua" w:hint="eastAsia"/>
          <w:vertAlign w:val="superscript"/>
          <w:lang w:eastAsia="zh-CN"/>
        </w:rPr>
        <w:t>17]</w:t>
      </w:r>
      <w:r w:rsidR="005249C3" w:rsidRPr="00C75910">
        <w:rPr>
          <w:rFonts w:ascii="Book Antiqua" w:hAnsi="Book Antiqua"/>
          <w:i/>
        </w:rPr>
        <w:t>,</w:t>
      </w:r>
      <w:r w:rsidR="005249C3" w:rsidRPr="00C75910">
        <w:rPr>
          <w:rFonts w:ascii="Book Antiqua" w:hAnsi="Book Antiqua"/>
        </w:rPr>
        <w:t xml:space="preserve"> in a</w:t>
      </w:r>
      <w:r w:rsidR="00447985" w:rsidRPr="00C75910">
        <w:rPr>
          <w:rFonts w:ascii="Book Antiqua" w:hAnsi="Book Antiqua"/>
        </w:rPr>
        <w:t xml:space="preserve"> study of 146 HD patients in one dialysis center, found that 42.6% of frail participants, compared with 28.2% of </w:t>
      </w:r>
      <w:proofErr w:type="spellStart"/>
      <w:r w:rsidR="00447985" w:rsidRPr="00C75910">
        <w:rPr>
          <w:rFonts w:ascii="Book Antiqua" w:hAnsi="Book Antiqua"/>
        </w:rPr>
        <w:t>nonfrail</w:t>
      </w:r>
      <w:proofErr w:type="spellEnd"/>
      <w:r w:rsidR="00447985" w:rsidRPr="00C75910">
        <w:rPr>
          <w:rFonts w:ascii="Book Antiqua" w:hAnsi="Book Antiqua"/>
        </w:rPr>
        <w:t xml:space="preserve"> participants, had</w:t>
      </w:r>
      <w:r w:rsidR="004027FC" w:rsidRPr="00C75910">
        <w:rPr>
          <w:rFonts w:ascii="Book Antiqua" w:hAnsi="Book Antiqua"/>
        </w:rPr>
        <w:t xml:space="preserve"> two or more hospitalizations</w:t>
      </w:r>
      <w:r w:rsidR="00114274" w:rsidRPr="00C75910">
        <w:rPr>
          <w:rFonts w:ascii="Book Antiqua" w:hAnsi="Book Antiqua"/>
        </w:rPr>
        <w:t xml:space="preserve"> in the year following study enrollment</w:t>
      </w:r>
      <w:r w:rsidR="00447985" w:rsidRPr="00C75910">
        <w:rPr>
          <w:rFonts w:ascii="Book Antiqua" w:hAnsi="Book Antiqua"/>
        </w:rPr>
        <w:t xml:space="preserve">, </w:t>
      </w:r>
      <w:r w:rsidR="004027FC" w:rsidRPr="00C75910">
        <w:rPr>
          <w:rFonts w:ascii="Book Antiqua" w:hAnsi="Book Antiqua"/>
        </w:rPr>
        <w:t>and frailty was associate</w:t>
      </w:r>
      <w:r w:rsidR="00AF081E">
        <w:rPr>
          <w:rFonts w:ascii="Book Antiqua" w:hAnsi="Book Antiqua"/>
        </w:rPr>
        <w:t>d with 1.4 times (95%</w:t>
      </w:r>
      <w:r w:rsidR="005249C3" w:rsidRPr="00C75910">
        <w:rPr>
          <w:rFonts w:ascii="Book Antiqua" w:hAnsi="Book Antiqua"/>
        </w:rPr>
        <w:t xml:space="preserve">CI = 1.00, </w:t>
      </w:r>
      <w:r w:rsidR="004027FC" w:rsidRPr="00C75910">
        <w:rPr>
          <w:rFonts w:ascii="Book Antiqua" w:hAnsi="Book Antiqua"/>
        </w:rPr>
        <w:t xml:space="preserve">2.03, </w:t>
      </w:r>
      <w:r w:rsidR="004027FC" w:rsidRPr="00C75910">
        <w:rPr>
          <w:rStyle w:val="a9"/>
          <w:rFonts w:ascii="Book Antiqua" w:hAnsi="Book Antiqua"/>
        </w:rPr>
        <w:t xml:space="preserve">P </w:t>
      </w:r>
      <w:r w:rsidR="004027FC" w:rsidRPr="00C75910">
        <w:rPr>
          <w:rFonts w:ascii="Book Antiqua" w:hAnsi="Book Antiqua"/>
        </w:rPr>
        <w:t>=</w:t>
      </w:r>
      <w:r w:rsidR="004027FC" w:rsidRPr="00C75910">
        <w:rPr>
          <w:rStyle w:val="a9"/>
          <w:rFonts w:ascii="Book Antiqua" w:hAnsi="Book Antiqua"/>
        </w:rPr>
        <w:t xml:space="preserve"> </w:t>
      </w:r>
      <w:r w:rsidR="004027FC" w:rsidRPr="00C75910">
        <w:rPr>
          <w:rFonts w:ascii="Book Antiqua" w:hAnsi="Book Antiqua"/>
        </w:rPr>
        <w:t>.049) more hospitalizations independent of age, sex, comorbidity, and disabilit</w:t>
      </w:r>
      <w:r w:rsidR="001547C4" w:rsidRPr="00C75910">
        <w:rPr>
          <w:rFonts w:ascii="Book Antiqua" w:hAnsi="Book Antiqua"/>
        </w:rPr>
        <w:t>y</w:t>
      </w:r>
      <w:r w:rsidR="002F41E8" w:rsidRPr="00C75910">
        <w:rPr>
          <w:rFonts w:ascii="Book Antiqua" w:hAnsi="Book Antiqua"/>
          <w:vertAlign w:val="superscript"/>
        </w:rPr>
        <w:t>[</w:t>
      </w:r>
      <w:r w:rsidR="007410C5" w:rsidRPr="00C75910">
        <w:rPr>
          <w:rFonts w:ascii="Book Antiqua" w:hAnsi="Book Antiqua"/>
          <w:vertAlign w:val="superscript"/>
        </w:rPr>
        <w:t>17</w:t>
      </w:r>
      <w:r w:rsidR="002F41E8" w:rsidRPr="00C75910">
        <w:rPr>
          <w:rFonts w:ascii="Book Antiqua" w:hAnsi="Book Antiqua"/>
          <w:vertAlign w:val="superscript"/>
        </w:rPr>
        <w:t>]</w:t>
      </w:r>
      <w:r w:rsidR="001547C4" w:rsidRPr="00C75910">
        <w:rPr>
          <w:rFonts w:ascii="Book Antiqua" w:hAnsi="Book Antiqua"/>
        </w:rPr>
        <w:t>.</w:t>
      </w:r>
      <w:r w:rsidR="004027FC" w:rsidRPr="00C75910">
        <w:rPr>
          <w:rFonts w:ascii="Book Antiqua" w:hAnsi="Book Antiqua"/>
        </w:rPr>
        <w:t xml:space="preserve"> </w:t>
      </w:r>
      <w:r w:rsidR="005249C3" w:rsidRPr="00C75910">
        <w:rPr>
          <w:rFonts w:ascii="Book Antiqua" w:hAnsi="Book Antiqua"/>
        </w:rPr>
        <w:t>T</w:t>
      </w:r>
      <w:r w:rsidR="004027FC" w:rsidRPr="00C75910">
        <w:rPr>
          <w:rFonts w:ascii="Book Antiqua" w:hAnsi="Book Antiqua"/>
        </w:rPr>
        <w:t xml:space="preserve">he </w:t>
      </w:r>
      <w:r w:rsidR="00722AC6" w:rsidRPr="00C75910">
        <w:rPr>
          <w:rFonts w:ascii="Book Antiqua" w:hAnsi="Book Antiqua"/>
        </w:rPr>
        <w:t>Fried index</w:t>
      </w:r>
      <w:r w:rsidR="004027FC" w:rsidRPr="00C75910">
        <w:rPr>
          <w:rFonts w:ascii="Book Antiqua" w:hAnsi="Book Antiqua"/>
        </w:rPr>
        <w:t xml:space="preserve"> classifies individuals as frail who have three or more of the five criteria that comprise the index</w:t>
      </w:r>
      <w:r w:rsidR="00722AC6" w:rsidRPr="00C75910">
        <w:rPr>
          <w:rFonts w:ascii="Book Antiqua" w:hAnsi="Book Antiqua"/>
        </w:rPr>
        <w:t xml:space="preserve"> (recent weight loss, reported exhaustion, weak grip strength, slow walk, and low physical activity</w:t>
      </w:r>
      <w:r w:rsidR="000D68AC" w:rsidRPr="00C75910">
        <w:rPr>
          <w:rFonts w:ascii="Book Antiqua" w:hAnsi="Book Antiqua"/>
        </w:rPr>
        <w:t>)</w:t>
      </w:r>
      <w:r w:rsidR="002F41E8" w:rsidRPr="00C75910">
        <w:rPr>
          <w:rFonts w:ascii="Book Antiqua" w:hAnsi="Book Antiqua"/>
          <w:vertAlign w:val="superscript"/>
        </w:rPr>
        <w:t>[</w:t>
      </w:r>
      <w:r w:rsidR="00054538" w:rsidRPr="00C75910">
        <w:rPr>
          <w:rFonts w:ascii="Book Antiqua" w:hAnsi="Book Antiqua"/>
          <w:vertAlign w:val="superscript"/>
        </w:rPr>
        <w:t>1</w:t>
      </w:r>
      <w:r w:rsidR="007410C5" w:rsidRPr="00C75910">
        <w:rPr>
          <w:rFonts w:ascii="Book Antiqua" w:hAnsi="Book Antiqua"/>
          <w:vertAlign w:val="superscript"/>
        </w:rPr>
        <w:t>2</w:t>
      </w:r>
      <w:r w:rsidR="002F41E8" w:rsidRPr="00C75910">
        <w:rPr>
          <w:rFonts w:ascii="Book Antiqua" w:hAnsi="Book Antiqua"/>
          <w:vertAlign w:val="superscript"/>
        </w:rPr>
        <w:t>]</w:t>
      </w:r>
      <w:r w:rsidRPr="00C75910">
        <w:rPr>
          <w:rFonts w:ascii="Book Antiqua" w:hAnsi="Book Antiqua"/>
        </w:rPr>
        <w:t>, which</w:t>
      </w:r>
      <w:r w:rsidR="00154539" w:rsidRPr="00C75910">
        <w:rPr>
          <w:rFonts w:ascii="Book Antiqua" w:hAnsi="Book Antiqua"/>
        </w:rPr>
        <w:t xml:space="preserve"> </w:t>
      </w:r>
      <w:r w:rsidR="004027FC" w:rsidRPr="00C75910">
        <w:rPr>
          <w:rFonts w:ascii="Book Antiqua" w:hAnsi="Book Antiqua"/>
        </w:rPr>
        <w:t xml:space="preserve">does not necessarily include </w:t>
      </w:r>
      <w:r w:rsidR="00722AC6" w:rsidRPr="00C75910">
        <w:rPr>
          <w:rFonts w:ascii="Book Antiqua" w:hAnsi="Book Antiqua"/>
        </w:rPr>
        <w:t>having slow walk.</w:t>
      </w:r>
      <w:r w:rsidR="00764E14">
        <w:rPr>
          <w:rFonts w:ascii="Book Antiqua" w:hAnsi="Book Antiqua"/>
        </w:rPr>
        <w:t xml:space="preserve">  </w:t>
      </w:r>
    </w:p>
    <w:p w:rsidR="00A71557" w:rsidRPr="00C75910" w:rsidRDefault="00D413F8" w:rsidP="00AF081E">
      <w:pPr>
        <w:spacing w:line="360" w:lineRule="auto"/>
        <w:ind w:firstLineChars="100" w:firstLine="240"/>
        <w:jc w:val="both"/>
        <w:rPr>
          <w:rFonts w:ascii="Book Antiqua" w:hAnsi="Book Antiqua"/>
        </w:rPr>
      </w:pPr>
      <w:r w:rsidRPr="00C75910">
        <w:rPr>
          <w:rFonts w:ascii="Book Antiqua" w:hAnsi="Book Antiqua"/>
        </w:rPr>
        <w:lastRenderedPageBreak/>
        <w:t xml:space="preserve">Our study has several strengths. Data were supplied by a large multi-center study cohort. </w:t>
      </w:r>
      <w:r w:rsidR="00941972" w:rsidRPr="00C75910">
        <w:rPr>
          <w:rFonts w:ascii="Book Antiqua" w:hAnsi="Book Antiqua"/>
        </w:rPr>
        <w:t>Performance-based gait speed was carefully assessed, along with a</w:t>
      </w:r>
      <w:r w:rsidRPr="00C75910">
        <w:rPr>
          <w:rFonts w:ascii="Book Antiqua" w:hAnsi="Book Antiqua"/>
        </w:rPr>
        <w:t xml:space="preserve"> large number of patient characteristics and treatment-rel</w:t>
      </w:r>
      <w:r w:rsidR="00941972" w:rsidRPr="00C75910">
        <w:rPr>
          <w:rFonts w:ascii="Book Antiqua" w:hAnsi="Book Antiqua"/>
        </w:rPr>
        <w:t>ated factors</w:t>
      </w:r>
      <w:r w:rsidRPr="00C75910">
        <w:rPr>
          <w:rFonts w:ascii="Book Antiqua" w:hAnsi="Book Antiqua"/>
        </w:rPr>
        <w:t>. The fall prevalence that we obse</w:t>
      </w:r>
      <w:r w:rsidR="00447985" w:rsidRPr="00C75910">
        <w:rPr>
          <w:rFonts w:ascii="Book Antiqua" w:hAnsi="Book Antiqua"/>
        </w:rPr>
        <w:t>rved was very similar to</w:t>
      </w:r>
      <w:r w:rsidRPr="00C75910">
        <w:rPr>
          <w:rFonts w:ascii="Book Antiqua" w:hAnsi="Book Antiqua"/>
        </w:rPr>
        <w:t xml:space="preserve"> 12-mo </w:t>
      </w:r>
      <w:r w:rsidR="004039F9" w:rsidRPr="00C75910">
        <w:rPr>
          <w:rFonts w:ascii="Book Antiqua" w:hAnsi="Book Antiqua"/>
        </w:rPr>
        <w:t xml:space="preserve">fall </w:t>
      </w:r>
      <w:r w:rsidRPr="00C75910">
        <w:rPr>
          <w:rFonts w:ascii="Book Antiqua" w:hAnsi="Book Antiqua"/>
        </w:rPr>
        <w:t>prevalence e</w:t>
      </w:r>
      <w:r w:rsidR="001547C4" w:rsidRPr="00C75910">
        <w:rPr>
          <w:rFonts w:ascii="Book Antiqua" w:hAnsi="Book Antiqua"/>
        </w:rPr>
        <w:t xml:space="preserve">stimates from other </w:t>
      </w:r>
      <w:proofErr w:type="gramStart"/>
      <w:r w:rsidR="001547C4" w:rsidRPr="00C75910">
        <w:rPr>
          <w:rFonts w:ascii="Book Antiqua" w:hAnsi="Book Antiqua"/>
        </w:rPr>
        <w:t>studies</w:t>
      </w:r>
      <w:r w:rsidR="002F41E8" w:rsidRPr="00C75910">
        <w:rPr>
          <w:rFonts w:ascii="Book Antiqua" w:hAnsi="Book Antiqua"/>
          <w:vertAlign w:val="superscript"/>
        </w:rPr>
        <w:t>[</w:t>
      </w:r>
      <w:proofErr w:type="gramEnd"/>
      <w:r w:rsidR="00BC038A" w:rsidRPr="00C75910">
        <w:rPr>
          <w:rFonts w:ascii="Book Antiqua" w:hAnsi="Book Antiqua"/>
          <w:vertAlign w:val="superscript"/>
        </w:rPr>
        <w:t>1</w:t>
      </w:r>
      <w:r w:rsidR="007410C5" w:rsidRPr="00C75910">
        <w:rPr>
          <w:rFonts w:ascii="Book Antiqua" w:hAnsi="Book Antiqua"/>
          <w:vertAlign w:val="superscript"/>
        </w:rPr>
        <w:t>9</w:t>
      </w:r>
      <w:r w:rsidR="002F41E8" w:rsidRPr="00C75910">
        <w:rPr>
          <w:rFonts w:ascii="Book Antiqua" w:hAnsi="Book Antiqua"/>
          <w:vertAlign w:val="superscript"/>
        </w:rPr>
        <w:t>]</w:t>
      </w:r>
      <w:r w:rsidR="001547C4" w:rsidRPr="00C75910">
        <w:rPr>
          <w:rFonts w:ascii="Book Antiqua" w:hAnsi="Book Antiqua"/>
        </w:rPr>
        <w:t>.</w:t>
      </w:r>
      <w:r w:rsidR="004039F9" w:rsidRPr="00C75910">
        <w:rPr>
          <w:rFonts w:ascii="Book Antiqua" w:hAnsi="Book Antiqua"/>
        </w:rPr>
        <w:t xml:space="preserve"> We acknowledge, h</w:t>
      </w:r>
      <w:r w:rsidRPr="00C75910">
        <w:rPr>
          <w:rFonts w:ascii="Book Antiqua" w:hAnsi="Book Antiqua"/>
        </w:rPr>
        <w:t xml:space="preserve">owever, </w:t>
      </w:r>
      <w:r w:rsidR="004039F9" w:rsidRPr="00C75910">
        <w:rPr>
          <w:rFonts w:ascii="Book Antiqua" w:hAnsi="Book Antiqua"/>
        </w:rPr>
        <w:t xml:space="preserve">that </w:t>
      </w:r>
      <w:r w:rsidRPr="00C75910">
        <w:rPr>
          <w:rFonts w:ascii="Book Antiqua" w:hAnsi="Book Antiqua"/>
        </w:rPr>
        <w:t xml:space="preserve">although the ACTIVE-ADIPOSE cohort shares many similarities with the general ESRD population, the </w:t>
      </w:r>
      <w:r w:rsidR="009978A3" w:rsidRPr="00C75910">
        <w:rPr>
          <w:rFonts w:ascii="Book Antiqua" w:hAnsi="Book Antiqua"/>
        </w:rPr>
        <w:t>rate of f</w:t>
      </w:r>
      <w:r w:rsidR="008A2942" w:rsidRPr="00C75910">
        <w:rPr>
          <w:rFonts w:ascii="Book Antiqua" w:hAnsi="Book Antiqua"/>
        </w:rPr>
        <w:t>racture-related hospitalization</w:t>
      </w:r>
      <w:r w:rsidR="002D3DE2" w:rsidRPr="00C75910">
        <w:rPr>
          <w:rFonts w:ascii="Book Antiqua" w:hAnsi="Book Antiqua"/>
        </w:rPr>
        <w:t xml:space="preserve"> </w:t>
      </w:r>
      <w:r w:rsidR="00EB635C" w:rsidRPr="00C75910">
        <w:rPr>
          <w:rFonts w:ascii="Book Antiqua" w:hAnsi="Book Antiqua"/>
        </w:rPr>
        <w:t>would be expected</w:t>
      </w:r>
      <w:r w:rsidR="009978A3" w:rsidRPr="00C75910">
        <w:rPr>
          <w:rFonts w:ascii="Book Antiqua" w:hAnsi="Book Antiqua"/>
        </w:rPr>
        <w:t xml:space="preserve"> to be higher</w:t>
      </w:r>
      <w:r w:rsidR="00EB635C" w:rsidRPr="00C75910">
        <w:rPr>
          <w:rFonts w:ascii="Book Antiqua" w:hAnsi="Book Antiqua"/>
        </w:rPr>
        <w:t xml:space="preserve"> in a cohort with higher representati</w:t>
      </w:r>
      <w:r w:rsidR="001547C4" w:rsidRPr="00C75910">
        <w:rPr>
          <w:rFonts w:ascii="Book Antiqua" w:hAnsi="Book Antiqua"/>
        </w:rPr>
        <w:t xml:space="preserve">on of whites and older </w:t>
      </w:r>
      <w:proofErr w:type="gramStart"/>
      <w:r w:rsidR="001547C4" w:rsidRPr="00C75910">
        <w:rPr>
          <w:rFonts w:ascii="Book Antiqua" w:hAnsi="Book Antiqua"/>
        </w:rPr>
        <w:t>patients</w:t>
      </w:r>
      <w:r w:rsidR="002F41E8" w:rsidRPr="00C75910">
        <w:rPr>
          <w:rFonts w:ascii="Book Antiqua" w:hAnsi="Book Antiqua"/>
          <w:vertAlign w:val="superscript"/>
        </w:rPr>
        <w:t>[</w:t>
      </w:r>
      <w:proofErr w:type="gramEnd"/>
      <w:r w:rsidR="00054538" w:rsidRPr="00C75910">
        <w:rPr>
          <w:rFonts w:ascii="Book Antiqua" w:hAnsi="Book Antiqua"/>
          <w:vertAlign w:val="superscript"/>
        </w:rPr>
        <w:t>8</w:t>
      </w:r>
      <w:r w:rsidR="002F41E8" w:rsidRPr="00C75910">
        <w:rPr>
          <w:rFonts w:ascii="Book Antiqua" w:hAnsi="Book Antiqua"/>
          <w:vertAlign w:val="superscript"/>
        </w:rPr>
        <w:t>]</w:t>
      </w:r>
      <w:r w:rsidR="001547C4" w:rsidRPr="00C75910">
        <w:rPr>
          <w:rFonts w:ascii="Book Antiqua" w:hAnsi="Book Antiqua"/>
        </w:rPr>
        <w:t>.</w:t>
      </w:r>
      <w:r w:rsidR="00941972" w:rsidRPr="00C75910">
        <w:rPr>
          <w:rFonts w:ascii="Book Antiqua" w:hAnsi="Book Antiqua"/>
          <w:vertAlign w:val="superscript"/>
        </w:rPr>
        <w:t xml:space="preserve"> </w:t>
      </w:r>
      <w:r w:rsidR="00881AEF" w:rsidRPr="00C75910">
        <w:rPr>
          <w:rFonts w:ascii="Book Antiqua" w:hAnsi="Book Antiqua"/>
        </w:rPr>
        <w:t xml:space="preserve">In addition, </w:t>
      </w:r>
      <w:r w:rsidR="00941972" w:rsidRPr="00C75910">
        <w:rPr>
          <w:rFonts w:ascii="Book Antiqua" w:hAnsi="Book Antiqua"/>
        </w:rPr>
        <w:t xml:space="preserve">having been hospitalized over the past 12 </w:t>
      </w:r>
      <w:proofErr w:type="spellStart"/>
      <w:r w:rsidR="00941972" w:rsidRPr="00C75910">
        <w:rPr>
          <w:rFonts w:ascii="Book Antiqua" w:hAnsi="Book Antiqua"/>
        </w:rPr>
        <w:t>mo</w:t>
      </w:r>
      <w:proofErr w:type="spellEnd"/>
      <w:r w:rsidR="00941972" w:rsidRPr="00C75910">
        <w:rPr>
          <w:rFonts w:ascii="Book Antiqua" w:hAnsi="Book Antiqua"/>
        </w:rPr>
        <w:t xml:space="preserve"> could </w:t>
      </w:r>
      <w:r w:rsidR="00BD07CA" w:rsidRPr="00C75910">
        <w:rPr>
          <w:rFonts w:ascii="Book Antiqua" w:hAnsi="Book Antiqua"/>
        </w:rPr>
        <w:t xml:space="preserve">have </w:t>
      </w:r>
      <w:r w:rsidR="00941972" w:rsidRPr="00C75910">
        <w:rPr>
          <w:rFonts w:ascii="Book Antiqua" w:hAnsi="Book Antiqua"/>
        </w:rPr>
        <w:t>influence</w:t>
      </w:r>
      <w:r w:rsidR="00BD07CA" w:rsidRPr="00C75910">
        <w:rPr>
          <w:rFonts w:ascii="Book Antiqua" w:hAnsi="Book Antiqua"/>
        </w:rPr>
        <w:t>d</w:t>
      </w:r>
      <w:r w:rsidR="00941972" w:rsidRPr="00C75910">
        <w:rPr>
          <w:rFonts w:ascii="Book Antiqua" w:hAnsi="Book Antiqua"/>
        </w:rPr>
        <w:t xml:space="preserve"> </w:t>
      </w:r>
      <w:r w:rsidR="00BD07CA" w:rsidRPr="00C75910">
        <w:rPr>
          <w:rFonts w:ascii="Book Antiqua" w:hAnsi="Book Antiqua"/>
        </w:rPr>
        <w:t xml:space="preserve">participants’ </w:t>
      </w:r>
      <w:r w:rsidR="00941972" w:rsidRPr="00C75910">
        <w:rPr>
          <w:rFonts w:ascii="Book Antiqua" w:hAnsi="Book Antiqua"/>
        </w:rPr>
        <w:t>gait speed</w:t>
      </w:r>
      <w:r w:rsidR="00881AEF" w:rsidRPr="00C75910">
        <w:rPr>
          <w:rFonts w:ascii="Book Antiqua" w:hAnsi="Book Antiqua"/>
        </w:rPr>
        <w:t xml:space="preserve">, and </w:t>
      </w:r>
      <w:r w:rsidR="00BD07CA" w:rsidRPr="00C75910">
        <w:rPr>
          <w:rFonts w:ascii="Book Antiqua" w:hAnsi="Book Antiqua"/>
        </w:rPr>
        <w:t>prospective examination of hospitalization events was truncated for study participants whose baseline gait speed assessments were obtained near the end of the study enrollment period in 2011.</w:t>
      </w:r>
      <w:r w:rsidR="00881AEF" w:rsidRPr="00C75910">
        <w:rPr>
          <w:rFonts w:ascii="Book Antiqua" w:hAnsi="Book Antiqua"/>
        </w:rPr>
        <w:t xml:space="preserve"> These also represent potential study limitations.</w:t>
      </w:r>
    </w:p>
    <w:p w:rsidR="00705E4B" w:rsidRPr="00C75910" w:rsidRDefault="008D577E" w:rsidP="00AF081E">
      <w:pPr>
        <w:spacing w:line="360" w:lineRule="auto"/>
        <w:ind w:firstLineChars="100" w:firstLine="240"/>
        <w:jc w:val="both"/>
        <w:rPr>
          <w:rFonts w:ascii="Book Antiqua" w:hAnsi="Book Antiqua"/>
        </w:rPr>
      </w:pPr>
      <w:r w:rsidRPr="00C75910">
        <w:rPr>
          <w:rFonts w:ascii="Book Antiqua" w:hAnsi="Book Antiqua"/>
        </w:rPr>
        <w:t>We used the cutoff of &lt;</w:t>
      </w:r>
      <w:r w:rsidR="00AF081E">
        <w:rPr>
          <w:rFonts w:ascii="Book Antiqua" w:hAnsi="Book Antiqua" w:hint="eastAsia"/>
          <w:lang w:eastAsia="zh-CN"/>
        </w:rPr>
        <w:t xml:space="preserve"> </w:t>
      </w:r>
      <w:r w:rsidRPr="00C75910">
        <w:rPr>
          <w:rFonts w:ascii="Book Antiqua" w:hAnsi="Book Antiqua"/>
        </w:rPr>
        <w:t>0.8</w:t>
      </w:r>
      <w:r w:rsidR="001547C4" w:rsidRPr="00C75910">
        <w:rPr>
          <w:rFonts w:ascii="Book Antiqua" w:hAnsi="Book Antiqua"/>
        </w:rPr>
        <w:t xml:space="preserve"> </w:t>
      </w:r>
      <w:r w:rsidR="00AF081E">
        <w:rPr>
          <w:rFonts w:ascii="Book Antiqua" w:hAnsi="Book Antiqua"/>
        </w:rPr>
        <w:t>m/s</w:t>
      </w:r>
      <w:r w:rsidRPr="00C75910">
        <w:rPr>
          <w:rFonts w:ascii="Book Antiqua" w:hAnsi="Book Antiqua"/>
        </w:rPr>
        <w:t xml:space="preserve"> </w:t>
      </w:r>
      <w:r w:rsidR="00054538" w:rsidRPr="00C75910">
        <w:rPr>
          <w:rFonts w:ascii="Book Antiqua" w:hAnsi="Book Antiqua"/>
        </w:rPr>
        <w:t>to define slow gait speed, the cutoff that has been most often observed to predict</w:t>
      </w:r>
      <w:r w:rsidRPr="00C75910">
        <w:rPr>
          <w:rFonts w:ascii="Book Antiqua" w:hAnsi="Book Antiqua"/>
        </w:rPr>
        <w:t xml:space="preserve"> a</w:t>
      </w:r>
      <w:r w:rsidR="00054538" w:rsidRPr="00C75910">
        <w:rPr>
          <w:rFonts w:ascii="Book Antiqua" w:hAnsi="Book Antiqua"/>
        </w:rPr>
        <w:t>dverse health outcomes</w:t>
      </w:r>
      <w:r w:rsidR="003548C3" w:rsidRPr="00C75910">
        <w:rPr>
          <w:rFonts w:ascii="Book Antiqua" w:hAnsi="Book Antiqua"/>
        </w:rPr>
        <w:t xml:space="preserve"> among older </w:t>
      </w:r>
      <w:proofErr w:type="gramStart"/>
      <w:r w:rsidR="003548C3" w:rsidRPr="00C75910">
        <w:rPr>
          <w:rFonts w:ascii="Book Antiqua" w:hAnsi="Book Antiqua"/>
        </w:rPr>
        <w:t>adults</w:t>
      </w:r>
      <w:r w:rsidR="002F41E8" w:rsidRPr="00C75910">
        <w:rPr>
          <w:rFonts w:ascii="Book Antiqua" w:hAnsi="Book Antiqua"/>
          <w:vertAlign w:val="superscript"/>
        </w:rPr>
        <w:t>[</w:t>
      </w:r>
      <w:proofErr w:type="gramEnd"/>
      <w:r w:rsidR="00054538" w:rsidRPr="00C75910">
        <w:rPr>
          <w:rFonts w:ascii="Book Antiqua" w:hAnsi="Book Antiqua"/>
          <w:vertAlign w:val="superscript"/>
        </w:rPr>
        <w:t>1</w:t>
      </w:r>
      <w:r w:rsidR="007410C5" w:rsidRPr="00C75910">
        <w:rPr>
          <w:rFonts w:ascii="Book Antiqua" w:hAnsi="Book Antiqua"/>
          <w:vertAlign w:val="superscript"/>
        </w:rPr>
        <w:t>1</w:t>
      </w:r>
      <w:r w:rsidR="002F41E8" w:rsidRPr="00C75910">
        <w:rPr>
          <w:rFonts w:ascii="Book Antiqua" w:hAnsi="Book Antiqua"/>
          <w:vertAlign w:val="superscript"/>
        </w:rPr>
        <w:t>]</w:t>
      </w:r>
      <w:r w:rsidR="001547C4" w:rsidRPr="00C75910">
        <w:rPr>
          <w:rFonts w:ascii="Book Antiqua" w:hAnsi="Book Antiqua"/>
        </w:rPr>
        <w:t>.</w:t>
      </w:r>
      <w:r w:rsidRPr="00C75910">
        <w:rPr>
          <w:rFonts w:ascii="Book Antiqua" w:hAnsi="Book Antiqua"/>
        </w:rPr>
        <w:t xml:space="preserve"> However, 0.6</w:t>
      </w:r>
      <w:r w:rsidR="001547C4" w:rsidRPr="00C75910">
        <w:rPr>
          <w:rFonts w:ascii="Book Antiqua" w:hAnsi="Book Antiqua"/>
        </w:rPr>
        <w:t xml:space="preserve"> </w:t>
      </w:r>
      <w:r w:rsidR="00AF081E">
        <w:rPr>
          <w:rFonts w:ascii="Book Antiqua" w:hAnsi="Book Antiqua"/>
        </w:rPr>
        <w:t>m/s</w:t>
      </w:r>
      <w:r w:rsidR="003067DF" w:rsidRPr="00C75910">
        <w:rPr>
          <w:rFonts w:ascii="Book Antiqua" w:hAnsi="Book Antiqua"/>
        </w:rPr>
        <w:t xml:space="preserve"> and</w:t>
      </w:r>
      <w:r w:rsidR="00AF081E">
        <w:rPr>
          <w:rFonts w:ascii="Book Antiqua" w:hAnsi="Book Antiqua"/>
        </w:rPr>
        <w:t xml:space="preserve"> 1.0 m/s</w:t>
      </w:r>
      <w:r w:rsidRPr="00C75910">
        <w:rPr>
          <w:rFonts w:ascii="Book Antiqua" w:hAnsi="Book Antiqua"/>
        </w:rPr>
        <w:t xml:space="preserve"> have been used as cutoffs in </w:t>
      </w:r>
      <w:r w:rsidR="00054538" w:rsidRPr="00C75910">
        <w:rPr>
          <w:rFonts w:ascii="Book Antiqua" w:hAnsi="Book Antiqua"/>
        </w:rPr>
        <w:t xml:space="preserve">other </w:t>
      </w:r>
      <w:proofErr w:type="gramStart"/>
      <w:r w:rsidR="00054538" w:rsidRPr="00C75910">
        <w:rPr>
          <w:rFonts w:ascii="Book Antiqua" w:hAnsi="Book Antiqua"/>
        </w:rPr>
        <w:t>studies</w:t>
      </w:r>
      <w:r w:rsidR="002F41E8" w:rsidRPr="00C75910">
        <w:rPr>
          <w:rFonts w:ascii="Book Antiqua" w:hAnsi="Book Antiqua"/>
          <w:vertAlign w:val="superscript"/>
        </w:rPr>
        <w:t>[</w:t>
      </w:r>
      <w:proofErr w:type="gramEnd"/>
      <w:r w:rsidR="0071783E" w:rsidRPr="00C75910">
        <w:rPr>
          <w:rFonts w:ascii="Book Antiqua" w:hAnsi="Book Antiqua"/>
          <w:vertAlign w:val="superscript"/>
        </w:rPr>
        <w:t>5,7</w:t>
      </w:r>
      <w:r w:rsidR="002F41E8" w:rsidRPr="00C75910">
        <w:rPr>
          <w:rFonts w:ascii="Book Antiqua" w:hAnsi="Book Antiqua"/>
          <w:vertAlign w:val="superscript"/>
        </w:rPr>
        <w:t>]</w:t>
      </w:r>
      <w:r w:rsidR="001547C4" w:rsidRPr="00C75910">
        <w:rPr>
          <w:rFonts w:ascii="Book Antiqua" w:hAnsi="Book Antiqua"/>
        </w:rPr>
        <w:t>.</w:t>
      </w:r>
      <w:r w:rsidRPr="00C75910">
        <w:rPr>
          <w:rFonts w:ascii="Book Antiqua" w:hAnsi="Book Antiqua"/>
        </w:rPr>
        <w:t xml:space="preserve"> </w:t>
      </w:r>
      <w:r w:rsidR="00293A0B" w:rsidRPr="00C75910">
        <w:rPr>
          <w:rFonts w:ascii="Book Antiqua" w:hAnsi="Book Antiqua"/>
        </w:rPr>
        <w:t>Most of the existing evidence</w:t>
      </w:r>
      <w:r w:rsidR="0071783E" w:rsidRPr="00C75910">
        <w:rPr>
          <w:rFonts w:ascii="Book Antiqua" w:hAnsi="Book Antiqua"/>
        </w:rPr>
        <w:t xml:space="preserve"> about gait speed and outcomes</w:t>
      </w:r>
      <w:r w:rsidR="00293A0B" w:rsidRPr="00C75910">
        <w:rPr>
          <w:rFonts w:ascii="Book Antiqua" w:hAnsi="Book Antiqua"/>
        </w:rPr>
        <w:t xml:space="preserve"> is derived from studies of older, community-dwelling populations. </w:t>
      </w:r>
      <w:r w:rsidR="0012187D" w:rsidRPr="00C75910">
        <w:rPr>
          <w:rFonts w:ascii="Book Antiqua" w:hAnsi="Book Antiqua"/>
        </w:rPr>
        <w:t>I</w:t>
      </w:r>
      <w:r w:rsidR="009978A3" w:rsidRPr="00C75910">
        <w:rPr>
          <w:rFonts w:ascii="Book Antiqua" w:hAnsi="Book Antiqua"/>
        </w:rPr>
        <w:t xml:space="preserve">nvestigation of other </w:t>
      </w:r>
      <w:r w:rsidR="00447985" w:rsidRPr="00C75910">
        <w:rPr>
          <w:rFonts w:ascii="Book Antiqua" w:hAnsi="Book Antiqua"/>
        </w:rPr>
        <w:t xml:space="preserve">gait speed </w:t>
      </w:r>
      <w:r w:rsidR="009978A3" w:rsidRPr="00C75910">
        <w:rPr>
          <w:rFonts w:ascii="Book Antiqua" w:hAnsi="Book Antiqua"/>
        </w:rPr>
        <w:t>c</w:t>
      </w:r>
      <w:r w:rsidR="004E5E8A" w:rsidRPr="00C75910">
        <w:rPr>
          <w:rFonts w:ascii="Book Antiqua" w:hAnsi="Book Antiqua"/>
        </w:rPr>
        <w:t>ut</w:t>
      </w:r>
      <w:r w:rsidR="006F7E14" w:rsidRPr="00C75910">
        <w:rPr>
          <w:rFonts w:ascii="Book Antiqua" w:hAnsi="Book Antiqua"/>
        </w:rPr>
        <w:t xml:space="preserve"> </w:t>
      </w:r>
      <w:r w:rsidR="0012187D" w:rsidRPr="00C75910">
        <w:rPr>
          <w:rFonts w:ascii="Book Antiqua" w:hAnsi="Book Antiqua"/>
        </w:rPr>
        <w:t xml:space="preserve">points may be useful in </w:t>
      </w:r>
      <w:r w:rsidR="009978A3" w:rsidRPr="00C75910">
        <w:rPr>
          <w:rFonts w:ascii="Book Antiqua" w:hAnsi="Book Antiqua"/>
        </w:rPr>
        <w:t>dialysis cohorts</w:t>
      </w:r>
      <w:r w:rsidR="0012187D" w:rsidRPr="00C75910">
        <w:rPr>
          <w:rFonts w:ascii="Book Antiqua" w:hAnsi="Book Antiqua"/>
        </w:rPr>
        <w:t xml:space="preserve"> that have a different </w:t>
      </w:r>
      <w:proofErr w:type="spellStart"/>
      <w:r w:rsidR="0012187D" w:rsidRPr="00C75910">
        <w:rPr>
          <w:rFonts w:ascii="Book Antiqua" w:hAnsi="Book Antiqua"/>
        </w:rPr>
        <w:t>sociodemographic</w:t>
      </w:r>
      <w:proofErr w:type="spellEnd"/>
      <w:r w:rsidR="0012187D" w:rsidRPr="00C75910">
        <w:rPr>
          <w:rFonts w:ascii="Book Antiqua" w:hAnsi="Book Antiqua"/>
        </w:rPr>
        <w:t xml:space="preserve"> and/or clinical profile</w:t>
      </w:r>
      <w:r w:rsidRPr="00C75910">
        <w:rPr>
          <w:rFonts w:ascii="Book Antiqua" w:hAnsi="Book Antiqua"/>
        </w:rPr>
        <w:t xml:space="preserve"> compared </w:t>
      </w:r>
      <w:r w:rsidR="00135CB1" w:rsidRPr="00C75910">
        <w:rPr>
          <w:rFonts w:ascii="Book Antiqua" w:hAnsi="Book Antiqua"/>
        </w:rPr>
        <w:t>with the cohort we studied</w:t>
      </w:r>
      <w:r w:rsidRPr="00C75910">
        <w:rPr>
          <w:rFonts w:ascii="Book Antiqua" w:hAnsi="Book Antiqua"/>
        </w:rPr>
        <w:t xml:space="preserve">. </w:t>
      </w:r>
      <w:proofErr w:type="spellStart"/>
      <w:r w:rsidRPr="00C75910">
        <w:rPr>
          <w:rFonts w:ascii="Book Antiqua" w:hAnsi="Book Antiqua"/>
        </w:rPr>
        <w:t>Studenski</w:t>
      </w:r>
      <w:proofErr w:type="spellEnd"/>
      <w:r w:rsidRPr="00C75910">
        <w:rPr>
          <w:rFonts w:ascii="Book Antiqua" w:hAnsi="Book Antiqua"/>
        </w:rPr>
        <w:t xml:space="preserve"> </w:t>
      </w:r>
      <w:r w:rsidRPr="00C75910">
        <w:rPr>
          <w:rFonts w:ascii="Book Antiqua" w:hAnsi="Book Antiqua"/>
          <w:i/>
        </w:rPr>
        <w:t xml:space="preserve">et </w:t>
      </w:r>
      <w:proofErr w:type="gramStart"/>
      <w:r w:rsidRPr="00C75910">
        <w:rPr>
          <w:rFonts w:ascii="Book Antiqua" w:hAnsi="Book Antiqua"/>
          <w:i/>
        </w:rPr>
        <w:t>al</w:t>
      </w:r>
      <w:r w:rsidR="00AF081E" w:rsidRPr="00C75910">
        <w:rPr>
          <w:rFonts w:ascii="Book Antiqua" w:hAnsi="Book Antiqua"/>
          <w:vertAlign w:val="superscript"/>
        </w:rPr>
        <w:t>[</w:t>
      </w:r>
      <w:proofErr w:type="gramEnd"/>
      <w:r w:rsidR="00AF081E" w:rsidRPr="00C75910">
        <w:rPr>
          <w:rFonts w:ascii="Book Antiqua" w:hAnsi="Book Antiqua"/>
          <w:vertAlign w:val="superscript"/>
        </w:rPr>
        <w:t>5]</w:t>
      </w:r>
      <w:r w:rsidRPr="00C75910">
        <w:rPr>
          <w:rFonts w:ascii="Book Antiqua" w:hAnsi="Book Antiqua"/>
        </w:rPr>
        <w:t xml:space="preserve"> note</w:t>
      </w:r>
      <w:r w:rsidR="00CE0889" w:rsidRPr="00C75910">
        <w:rPr>
          <w:rFonts w:ascii="Book Antiqua" w:hAnsi="Book Antiqua"/>
        </w:rPr>
        <w:t>d</w:t>
      </w:r>
      <w:r w:rsidRPr="00C75910">
        <w:rPr>
          <w:rFonts w:ascii="Book Antiqua" w:hAnsi="Book Antiqua"/>
        </w:rPr>
        <w:t xml:space="preserve"> that</w:t>
      </w:r>
      <w:r w:rsidR="0012187D" w:rsidRPr="00C75910">
        <w:rPr>
          <w:rFonts w:ascii="Book Antiqua" w:hAnsi="Book Antiqua"/>
        </w:rPr>
        <w:t xml:space="preserve"> further work is needed to examine associations of gait speed with outcomes such as disability and health care use, especially in populations </w:t>
      </w:r>
      <w:r w:rsidR="001547C4" w:rsidRPr="00C75910">
        <w:rPr>
          <w:rFonts w:ascii="Book Antiqua" w:hAnsi="Book Antiqua"/>
        </w:rPr>
        <w:t>based in clinical practice.</w:t>
      </w:r>
    </w:p>
    <w:p w:rsidR="00267272" w:rsidRPr="00C75910" w:rsidRDefault="004965AE" w:rsidP="00AF081E">
      <w:pPr>
        <w:spacing w:line="360" w:lineRule="auto"/>
        <w:ind w:firstLineChars="100" w:firstLine="240"/>
        <w:jc w:val="both"/>
        <w:rPr>
          <w:rFonts w:ascii="Book Antiqua" w:hAnsi="Book Antiqua"/>
        </w:rPr>
      </w:pPr>
      <w:r w:rsidRPr="00C75910">
        <w:rPr>
          <w:rFonts w:ascii="Book Antiqua" w:hAnsi="Book Antiqua"/>
        </w:rPr>
        <w:t>Gait speed provides a s</w:t>
      </w:r>
      <w:r w:rsidR="00EA344C" w:rsidRPr="00C75910">
        <w:rPr>
          <w:rFonts w:ascii="Book Antiqua" w:hAnsi="Book Antiqua"/>
        </w:rPr>
        <w:t>traightforward</w:t>
      </w:r>
      <w:r w:rsidR="00D75014" w:rsidRPr="00C75910">
        <w:rPr>
          <w:rFonts w:ascii="Book Antiqua" w:hAnsi="Book Antiqua"/>
        </w:rPr>
        <w:t xml:space="preserve"> and informative</w:t>
      </w:r>
      <w:r w:rsidRPr="00C75910">
        <w:rPr>
          <w:rFonts w:ascii="Book Antiqua" w:hAnsi="Book Antiqua"/>
        </w:rPr>
        <w:t xml:space="preserve"> indicator</w:t>
      </w:r>
      <w:r w:rsidR="003548C3" w:rsidRPr="00C75910">
        <w:rPr>
          <w:rFonts w:ascii="Book Antiqua" w:hAnsi="Book Antiqua"/>
        </w:rPr>
        <w:t xml:space="preserve"> of health status</w:t>
      </w:r>
      <w:r w:rsidR="00D75014" w:rsidRPr="00C75910">
        <w:rPr>
          <w:rFonts w:ascii="Book Antiqua" w:hAnsi="Book Antiqua"/>
        </w:rPr>
        <w:t xml:space="preserve">. </w:t>
      </w:r>
      <w:r w:rsidR="00135CB1" w:rsidRPr="00C75910">
        <w:rPr>
          <w:rFonts w:ascii="Book Antiqua" w:hAnsi="Book Antiqua"/>
        </w:rPr>
        <w:t>It</w:t>
      </w:r>
      <w:r w:rsidR="008A2942" w:rsidRPr="00C75910">
        <w:rPr>
          <w:rFonts w:ascii="Book Antiqua" w:hAnsi="Book Antiqua"/>
        </w:rPr>
        <w:t xml:space="preserve"> may offer the clinician a tool for assessing expected outcomes and tailorin</w:t>
      </w:r>
      <w:r w:rsidR="00135CB1" w:rsidRPr="00C75910">
        <w:rPr>
          <w:rFonts w:ascii="Book Antiqua" w:hAnsi="Book Antiqua"/>
        </w:rPr>
        <w:t xml:space="preserve">g goals of </w:t>
      </w:r>
      <w:proofErr w:type="gramStart"/>
      <w:r w:rsidR="00135CB1" w:rsidRPr="00C75910">
        <w:rPr>
          <w:rFonts w:ascii="Book Antiqua" w:hAnsi="Book Antiqua"/>
        </w:rPr>
        <w:t>care</w:t>
      </w:r>
      <w:r w:rsidR="002F41E8" w:rsidRPr="00C75910">
        <w:rPr>
          <w:rFonts w:ascii="Book Antiqua" w:hAnsi="Book Antiqua"/>
          <w:vertAlign w:val="superscript"/>
        </w:rPr>
        <w:t>[</w:t>
      </w:r>
      <w:proofErr w:type="gramEnd"/>
      <w:r w:rsidR="008A2942" w:rsidRPr="00C75910">
        <w:rPr>
          <w:rFonts w:ascii="Book Antiqua" w:hAnsi="Book Antiqua"/>
          <w:vertAlign w:val="superscript"/>
        </w:rPr>
        <w:t>5</w:t>
      </w:r>
      <w:r w:rsidR="002F41E8" w:rsidRPr="00C75910">
        <w:rPr>
          <w:rFonts w:ascii="Book Antiqua" w:hAnsi="Book Antiqua"/>
          <w:vertAlign w:val="superscript"/>
        </w:rPr>
        <w:t>]</w:t>
      </w:r>
      <w:r w:rsidR="00135CB1" w:rsidRPr="00C75910">
        <w:rPr>
          <w:rFonts w:ascii="Book Antiqua" w:hAnsi="Book Antiqua"/>
        </w:rPr>
        <w:t>.</w:t>
      </w:r>
      <w:r w:rsidR="008B5443" w:rsidRPr="00C75910">
        <w:rPr>
          <w:rFonts w:ascii="Book Antiqua" w:hAnsi="Book Antiqua"/>
        </w:rPr>
        <w:t xml:space="preserve"> </w:t>
      </w:r>
      <w:r w:rsidR="008D577E" w:rsidRPr="00C75910">
        <w:rPr>
          <w:rFonts w:ascii="Book Antiqua" w:hAnsi="Book Antiqua"/>
        </w:rPr>
        <w:t xml:space="preserve">Compared with patient-reported </w:t>
      </w:r>
      <w:r w:rsidR="0071783E" w:rsidRPr="00C75910">
        <w:rPr>
          <w:rFonts w:ascii="Book Antiqua" w:hAnsi="Book Antiqua"/>
        </w:rPr>
        <w:t xml:space="preserve">mobility </w:t>
      </w:r>
      <w:r w:rsidR="008D577E" w:rsidRPr="00C75910">
        <w:rPr>
          <w:rFonts w:ascii="Book Antiqua" w:hAnsi="Book Antiqua"/>
        </w:rPr>
        <w:t>difficulty, a gait speed test</w:t>
      </w:r>
      <w:r w:rsidR="0071783E" w:rsidRPr="00C75910">
        <w:rPr>
          <w:rFonts w:ascii="Book Antiqua" w:hAnsi="Book Antiqua"/>
        </w:rPr>
        <w:t xml:space="preserve"> </w:t>
      </w:r>
      <w:r w:rsidR="00C42D12" w:rsidRPr="00C75910">
        <w:rPr>
          <w:rFonts w:ascii="Book Antiqua" w:hAnsi="Book Antiqua"/>
        </w:rPr>
        <w:t>provide</w:t>
      </w:r>
      <w:r w:rsidR="009918BB" w:rsidRPr="00C75910">
        <w:rPr>
          <w:rFonts w:ascii="Book Antiqua" w:hAnsi="Book Antiqua"/>
        </w:rPr>
        <w:t xml:space="preserve">s a quantitative marker that facilitates tracking </w:t>
      </w:r>
      <w:r w:rsidR="00C42D12" w:rsidRPr="00C75910">
        <w:rPr>
          <w:rFonts w:ascii="Book Antiqua" w:hAnsi="Book Antiqua"/>
        </w:rPr>
        <w:t>mobility</w:t>
      </w:r>
      <w:r w:rsidR="009918BB" w:rsidRPr="00C75910">
        <w:rPr>
          <w:rFonts w:ascii="Book Antiqua" w:hAnsi="Book Antiqua"/>
        </w:rPr>
        <w:t xml:space="preserve"> </w:t>
      </w:r>
      <w:proofErr w:type="gramStart"/>
      <w:r w:rsidR="009918BB" w:rsidRPr="00C75910">
        <w:rPr>
          <w:rFonts w:ascii="Book Antiqua" w:hAnsi="Book Antiqua"/>
        </w:rPr>
        <w:t>changes</w:t>
      </w:r>
      <w:r w:rsidR="002F41E8" w:rsidRPr="00C75910">
        <w:rPr>
          <w:rFonts w:ascii="Book Antiqua" w:hAnsi="Book Antiqua"/>
          <w:vertAlign w:val="superscript"/>
        </w:rPr>
        <w:t>[</w:t>
      </w:r>
      <w:proofErr w:type="gramEnd"/>
      <w:r w:rsidR="0071783E" w:rsidRPr="00C75910">
        <w:rPr>
          <w:rFonts w:ascii="Book Antiqua" w:hAnsi="Book Antiqua"/>
          <w:vertAlign w:val="superscript"/>
        </w:rPr>
        <w:t>7</w:t>
      </w:r>
      <w:r w:rsidR="002F41E8" w:rsidRPr="00C75910">
        <w:rPr>
          <w:rFonts w:ascii="Book Antiqua" w:hAnsi="Book Antiqua"/>
          <w:vertAlign w:val="superscript"/>
        </w:rPr>
        <w:t>]</w:t>
      </w:r>
      <w:r w:rsidR="001547C4" w:rsidRPr="00C75910">
        <w:rPr>
          <w:rFonts w:ascii="Book Antiqua" w:hAnsi="Book Antiqua"/>
        </w:rPr>
        <w:t>.</w:t>
      </w:r>
      <w:r w:rsidR="00C42D12" w:rsidRPr="00C75910">
        <w:rPr>
          <w:rFonts w:ascii="Book Antiqua" w:hAnsi="Book Antiqua"/>
        </w:rPr>
        <w:t xml:space="preserve"> Referral to a specialist (physical therapist, clinical exercise specialist, cardiac rehabilitation) for further evaluation and inte</w:t>
      </w:r>
      <w:r w:rsidR="0014460B" w:rsidRPr="00C75910">
        <w:rPr>
          <w:rFonts w:ascii="Book Antiqua" w:hAnsi="Book Antiqua"/>
        </w:rPr>
        <w:t>rvention may</w:t>
      </w:r>
      <w:r w:rsidR="0071783E" w:rsidRPr="00C75910">
        <w:rPr>
          <w:rFonts w:ascii="Book Antiqua" w:hAnsi="Book Antiqua"/>
        </w:rPr>
        <w:t xml:space="preserve"> be indicated</w:t>
      </w:r>
      <w:r w:rsidR="0014460B" w:rsidRPr="00C75910">
        <w:rPr>
          <w:rFonts w:ascii="Book Antiqua" w:hAnsi="Book Antiqua"/>
        </w:rPr>
        <w:t xml:space="preserve">. </w:t>
      </w:r>
      <w:r w:rsidR="008B5443" w:rsidRPr="00C75910">
        <w:rPr>
          <w:rFonts w:ascii="Book Antiqua" w:hAnsi="Book Antiqua"/>
        </w:rPr>
        <w:lastRenderedPageBreak/>
        <w:t>Gait speed performance can be assessed relatively easily and quickly</w:t>
      </w:r>
      <w:r w:rsidR="0071783E" w:rsidRPr="00C75910">
        <w:rPr>
          <w:rFonts w:ascii="Book Antiqua" w:hAnsi="Book Antiqua"/>
        </w:rPr>
        <w:t xml:space="preserve"> (less than two minutes)</w:t>
      </w:r>
      <w:r w:rsidR="008B5443" w:rsidRPr="00C75910">
        <w:rPr>
          <w:rFonts w:ascii="Book Antiqua" w:hAnsi="Book Antiqua"/>
        </w:rPr>
        <w:t xml:space="preserve"> in the clinical setting, and poor performance may indicate that there are underlying health problems placing the patient at increased risk for </w:t>
      </w:r>
      <w:r w:rsidR="0071783E" w:rsidRPr="00C75910">
        <w:rPr>
          <w:rFonts w:ascii="Book Antiqua" w:hAnsi="Book Antiqua"/>
        </w:rPr>
        <w:t>hospitalization</w:t>
      </w:r>
      <w:r w:rsidR="003548C3" w:rsidRPr="00C75910">
        <w:rPr>
          <w:rFonts w:ascii="Book Antiqua" w:hAnsi="Book Antiqua"/>
        </w:rPr>
        <w:t>,</w:t>
      </w:r>
      <w:r w:rsidR="0071783E" w:rsidRPr="00C75910">
        <w:rPr>
          <w:rFonts w:ascii="Book Antiqua" w:hAnsi="Book Antiqua"/>
        </w:rPr>
        <w:t xml:space="preserve"> as well as</w:t>
      </w:r>
      <w:r w:rsidR="008D577E" w:rsidRPr="00C75910">
        <w:rPr>
          <w:rFonts w:ascii="Book Antiqua" w:hAnsi="Book Antiqua"/>
        </w:rPr>
        <w:t xml:space="preserve"> </w:t>
      </w:r>
      <w:r w:rsidR="003548C3" w:rsidRPr="00C75910">
        <w:rPr>
          <w:rFonts w:ascii="Book Antiqua" w:hAnsi="Book Antiqua"/>
        </w:rPr>
        <w:t xml:space="preserve">for </w:t>
      </w:r>
      <w:r w:rsidR="008D577E" w:rsidRPr="00C75910">
        <w:rPr>
          <w:rFonts w:ascii="Book Antiqua" w:hAnsi="Book Antiqua"/>
        </w:rPr>
        <w:t xml:space="preserve">other </w:t>
      </w:r>
      <w:r w:rsidR="0071783E" w:rsidRPr="00C75910">
        <w:rPr>
          <w:rFonts w:ascii="Book Antiqua" w:hAnsi="Book Antiqua"/>
        </w:rPr>
        <w:t xml:space="preserve">potential </w:t>
      </w:r>
      <w:r w:rsidR="008B5443" w:rsidRPr="00C75910">
        <w:rPr>
          <w:rFonts w:ascii="Book Antiqua" w:hAnsi="Book Antiqua"/>
        </w:rPr>
        <w:t>adverse outcomes</w:t>
      </w:r>
      <w:r w:rsidR="00517B45" w:rsidRPr="00C75910">
        <w:rPr>
          <w:rFonts w:ascii="Book Antiqua" w:hAnsi="Book Antiqua"/>
        </w:rPr>
        <w:t>.</w:t>
      </w:r>
    </w:p>
    <w:p w:rsidR="00AF081E" w:rsidRDefault="00AF081E" w:rsidP="00C75910">
      <w:pPr>
        <w:spacing w:line="360" w:lineRule="auto"/>
        <w:jc w:val="both"/>
        <w:rPr>
          <w:rFonts w:ascii="Book Antiqua" w:hAnsi="Book Antiqua"/>
          <w:lang w:eastAsia="zh-CN"/>
        </w:rPr>
      </w:pPr>
    </w:p>
    <w:p w:rsidR="002B5EA4" w:rsidRPr="00AF081E" w:rsidRDefault="002B5EA4" w:rsidP="00C75910">
      <w:pPr>
        <w:spacing w:line="360" w:lineRule="auto"/>
        <w:jc w:val="both"/>
        <w:rPr>
          <w:rFonts w:ascii="Book Antiqua" w:hAnsi="Book Antiqua"/>
          <w:lang w:eastAsia="zh-CN"/>
        </w:rPr>
      </w:pPr>
      <w:r w:rsidRPr="00C75910">
        <w:rPr>
          <w:rFonts w:ascii="Book Antiqua" w:hAnsi="Book Antiqua"/>
          <w:b/>
        </w:rPr>
        <w:t>ACKNOWLEDGEMENT</w:t>
      </w:r>
      <w:r w:rsidR="00AF081E">
        <w:rPr>
          <w:rFonts w:ascii="Book Antiqua" w:hAnsi="Book Antiqua" w:hint="eastAsia"/>
          <w:b/>
          <w:lang w:eastAsia="zh-CN"/>
        </w:rPr>
        <w:t>S</w:t>
      </w:r>
    </w:p>
    <w:p w:rsidR="00C647E7" w:rsidRPr="00C75910" w:rsidRDefault="00C647E7" w:rsidP="00C75910">
      <w:pPr>
        <w:spacing w:line="360" w:lineRule="auto"/>
        <w:jc w:val="both"/>
        <w:rPr>
          <w:rFonts w:ascii="Book Antiqua" w:hAnsi="Book Antiqua"/>
        </w:rPr>
      </w:pPr>
      <w:r w:rsidRPr="00C75910">
        <w:rPr>
          <w:rFonts w:ascii="Book Antiqua" w:hAnsi="Book Antiqua"/>
        </w:rPr>
        <w:t>The interpretation and reporting of the data presented here are the responsibility of the authors and in no way should be seen as an official policy or interpretation of the U</w:t>
      </w:r>
      <w:r w:rsidR="00AF081E">
        <w:rPr>
          <w:rFonts w:ascii="Book Antiqua" w:hAnsi="Book Antiqua" w:hint="eastAsia"/>
          <w:lang w:eastAsia="zh-CN"/>
        </w:rPr>
        <w:t xml:space="preserve">nited </w:t>
      </w:r>
      <w:r w:rsidRPr="00C75910">
        <w:rPr>
          <w:rFonts w:ascii="Book Antiqua" w:hAnsi="Book Antiqua"/>
        </w:rPr>
        <w:t>S</w:t>
      </w:r>
      <w:r w:rsidR="00AF081E">
        <w:rPr>
          <w:rFonts w:ascii="Book Antiqua" w:hAnsi="Book Antiqua" w:hint="eastAsia"/>
          <w:lang w:eastAsia="zh-CN"/>
        </w:rPr>
        <w:t>tates</w:t>
      </w:r>
      <w:r w:rsidRPr="00C75910">
        <w:rPr>
          <w:rFonts w:ascii="Book Antiqua" w:hAnsi="Book Antiqua"/>
        </w:rPr>
        <w:t xml:space="preserve"> government.</w:t>
      </w:r>
      <w:r w:rsidR="00AF081E">
        <w:rPr>
          <w:rFonts w:ascii="Book Antiqua" w:hAnsi="Book Antiqua" w:hint="eastAsia"/>
          <w:lang w:eastAsia="zh-CN"/>
        </w:rPr>
        <w:t xml:space="preserve"> </w:t>
      </w:r>
      <w:r w:rsidRPr="00C75910">
        <w:rPr>
          <w:rFonts w:ascii="Book Antiqua" w:hAnsi="Book Antiqua"/>
        </w:rPr>
        <w:t>The results presented in this paper have not been published previously in whole or part, except in abstract format.</w:t>
      </w:r>
    </w:p>
    <w:p w:rsidR="003A26F5" w:rsidRPr="00C75910" w:rsidRDefault="003A26F5" w:rsidP="00C75910">
      <w:pPr>
        <w:spacing w:line="360" w:lineRule="auto"/>
        <w:jc w:val="both"/>
        <w:rPr>
          <w:rFonts w:ascii="Book Antiqua" w:hAnsi="Book Antiqua"/>
        </w:rPr>
      </w:pPr>
    </w:p>
    <w:p w:rsidR="003A26F5" w:rsidRPr="00C75910" w:rsidRDefault="003A26F5" w:rsidP="00C75910">
      <w:pPr>
        <w:spacing w:line="360" w:lineRule="auto"/>
        <w:jc w:val="both"/>
        <w:rPr>
          <w:rFonts w:ascii="Book Antiqua" w:hAnsi="Book Antiqua"/>
          <w:b/>
        </w:rPr>
      </w:pPr>
      <w:r w:rsidRPr="00C75910">
        <w:rPr>
          <w:rFonts w:ascii="Book Antiqua" w:hAnsi="Book Antiqua"/>
          <w:b/>
        </w:rPr>
        <w:t>COMMENTS</w:t>
      </w:r>
    </w:p>
    <w:p w:rsidR="003A26F5" w:rsidRPr="00C75910" w:rsidRDefault="003A26F5" w:rsidP="00C75910">
      <w:pPr>
        <w:spacing w:line="360" w:lineRule="auto"/>
        <w:jc w:val="both"/>
        <w:rPr>
          <w:rFonts w:ascii="Book Antiqua" w:hAnsi="Book Antiqua"/>
          <w:b/>
          <w:i/>
        </w:rPr>
      </w:pPr>
      <w:r w:rsidRPr="00C75910">
        <w:rPr>
          <w:rFonts w:ascii="Book Antiqua" w:hAnsi="Book Antiqua"/>
          <w:b/>
          <w:i/>
        </w:rPr>
        <w:t>Background</w:t>
      </w:r>
    </w:p>
    <w:p w:rsidR="003A26F5" w:rsidRDefault="003A26F5" w:rsidP="00C75910">
      <w:pPr>
        <w:spacing w:line="360" w:lineRule="auto"/>
        <w:jc w:val="both"/>
        <w:rPr>
          <w:rFonts w:ascii="Book Antiqua" w:hAnsi="Book Antiqua"/>
          <w:lang w:eastAsia="zh-CN"/>
        </w:rPr>
      </w:pPr>
      <w:r w:rsidRPr="00C75910">
        <w:rPr>
          <w:rFonts w:ascii="Book Antiqua" w:hAnsi="Book Antiqua"/>
        </w:rPr>
        <w:t xml:space="preserve">Usual gait speed has been shown to be a powerful predictor of outcomes, including hospitalization, among older persons, and </w:t>
      </w:r>
      <w:r w:rsidR="00AF081E" w:rsidRPr="00AF081E">
        <w:rPr>
          <w:rFonts w:ascii="Book Antiqua" w:hAnsi="Book Antiqua"/>
        </w:rPr>
        <w:t xml:space="preserve">hemodialysis </w:t>
      </w:r>
      <w:r w:rsidR="00AF081E" w:rsidRPr="00AF081E">
        <w:rPr>
          <w:rFonts w:ascii="Book Antiqua" w:hAnsi="Book Antiqua" w:hint="eastAsia"/>
        </w:rPr>
        <w:t>(</w:t>
      </w:r>
      <w:r w:rsidRPr="00C75910">
        <w:rPr>
          <w:rFonts w:ascii="Book Antiqua" w:hAnsi="Book Antiqua"/>
        </w:rPr>
        <w:t>HD</w:t>
      </w:r>
      <w:r w:rsidR="00AF081E">
        <w:rPr>
          <w:rFonts w:ascii="Book Antiqua" w:hAnsi="Book Antiqua" w:hint="eastAsia"/>
        </w:rPr>
        <w:t>)</w:t>
      </w:r>
      <w:r w:rsidRPr="00C75910">
        <w:rPr>
          <w:rFonts w:ascii="Book Antiqua" w:hAnsi="Book Antiqua"/>
        </w:rPr>
        <w:t xml:space="preserve"> patients represent a model of early aging. Frailty, which may include slow g</w:t>
      </w:r>
      <w:r w:rsidR="004543AC" w:rsidRPr="00C75910">
        <w:rPr>
          <w:rFonts w:ascii="Book Antiqua" w:hAnsi="Book Antiqua"/>
        </w:rPr>
        <w:t>ait speed, has been shown to be</w:t>
      </w:r>
      <w:r w:rsidRPr="00C75910">
        <w:rPr>
          <w:rFonts w:ascii="Book Antiqua" w:hAnsi="Book Antiqua"/>
        </w:rPr>
        <w:t xml:space="preserve"> associated with HD patients’ hospitalization risk, as has the syndrome of “walking disability/history of falls,” but the utility of gait speed alone as a predictor of HD patients’ hospitalization has not been studied.</w:t>
      </w:r>
    </w:p>
    <w:p w:rsidR="00AF081E" w:rsidRPr="00C75910" w:rsidRDefault="00AF081E" w:rsidP="00C75910">
      <w:pPr>
        <w:spacing w:line="360" w:lineRule="auto"/>
        <w:jc w:val="both"/>
        <w:rPr>
          <w:rFonts w:ascii="Book Antiqua" w:hAnsi="Book Antiqua"/>
          <w:lang w:eastAsia="zh-CN"/>
        </w:rPr>
      </w:pPr>
    </w:p>
    <w:p w:rsidR="003A26F5" w:rsidRPr="00C75910" w:rsidRDefault="003A26F5" w:rsidP="00C75910">
      <w:pPr>
        <w:spacing w:line="360" w:lineRule="auto"/>
        <w:jc w:val="both"/>
        <w:rPr>
          <w:rFonts w:ascii="Book Antiqua" w:hAnsi="Book Antiqua"/>
          <w:b/>
          <w:i/>
        </w:rPr>
      </w:pPr>
      <w:r w:rsidRPr="00C75910">
        <w:rPr>
          <w:rFonts w:ascii="Book Antiqua" w:hAnsi="Book Antiqua"/>
          <w:b/>
          <w:i/>
        </w:rPr>
        <w:t>Research frontiers</w:t>
      </w:r>
    </w:p>
    <w:p w:rsidR="003A26F5" w:rsidRDefault="003A26F5" w:rsidP="00C75910">
      <w:pPr>
        <w:spacing w:line="360" w:lineRule="auto"/>
        <w:jc w:val="both"/>
        <w:rPr>
          <w:rFonts w:ascii="Book Antiqua" w:hAnsi="Book Antiqua"/>
          <w:lang w:eastAsia="zh-CN"/>
        </w:rPr>
      </w:pPr>
      <w:r w:rsidRPr="00C75910">
        <w:rPr>
          <w:rFonts w:ascii="Book Antiqua" w:hAnsi="Book Antiqua"/>
        </w:rPr>
        <w:t>There is growing recognition of the significance of physical performance deficits among chronic kidney disease (CKD) patients, including increased mortality risk. Measures of lower extremity function may capture a complex set of skeletal muscle and neurologic impairments that develop in individuals with CKD and may subs</w:t>
      </w:r>
      <w:r w:rsidR="004543AC" w:rsidRPr="00C75910">
        <w:rPr>
          <w:rFonts w:ascii="Book Antiqua" w:hAnsi="Book Antiqua"/>
        </w:rPr>
        <w:t>tantially affect their survival</w:t>
      </w:r>
      <w:r w:rsidRPr="00C75910">
        <w:rPr>
          <w:rFonts w:ascii="Book Antiqua" w:hAnsi="Book Antiqua"/>
        </w:rPr>
        <w:t xml:space="preserve"> as well as their independent physical functioning. Research frontiers include identifying mechanisms that underlie decreased physical performance and evaluating whether interventions that </w:t>
      </w:r>
      <w:r w:rsidRPr="00C75910">
        <w:rPr>
          <w:rFonts w:ascii="Book Antiqua" w:hAnsi="Book Antiqua"/>
        </w:rPr>
        <w:lastRenderedPageBreak/>
        <w:t>improve physical performance may also positively influence comorbidity and clinical outco</w:t>
      </w:r>
      <w:r w:rsidR="004543AC" w:rsidRPr="00C75910">
        <w:rPr>
          <w:rFonts w:ascii="Book Antiqua" w:hAnsi="Book Antiqua"/>
        </w:rPr>
        <w:t>mes in CKD.</w:t>
      </w:r>
    </w:p>
    <w:p w:rsidR="00AF081E" w:rsidRPr="00C75910" w:rsidRDefault="00AF081E" w:rsidP="00C75910">
      <w:pPr>
        <w:spacing w:line="360" w:lineRule="auto"/>
        <w:jc w:val="both"/>
        <w:rPr>
          <w:rFonts w:ascii="Book Antiqua" w:hAnsi="Book Antiqua"/>
          <w:lang w:eastAsia="zh-CN"/>
        </w:rPr>
      </w:pPr>
    </w:p>
    <w:p w:rsidR="003A26F5" w:rsidRPr="00C75910" w:rsidRDefault="003A26F5" w:rsidP="00C75910">
      <w:pPr>
        <w:spacing w:line="360" w:lineRule="auto"/>
        <w:jc w:val="both"/>
        <w:rPr>
          <w:rFonts w:ascii="Book Antiqua" w:hAnsi="Book Antiqua"/>
          <w:b/>
          <w:i/>
        </w:rPr>
      </w:pPr>
      <w:r w:rsidRPr="00C75910">
        <w:rPr>
          <w:rFonts w:ascii="Book Antiqua" w:hAnsi="Book Antiqua"/>
          <w:b/>
          <w:i/>
        </w:rPr>
        <w:t>Applications</w:t>
      </w:r>
    </w:p>
    <w:p w:rsidR="003A26F5" w:rsidRPr="000902B9" w:rsidRDefault="003A26F5" w:rsidP="000902B9">
      <w:pPr>
        <w:spacing w:line="360" w:lineRule="auto"/>
        <w:jc w:val="both"/>
        <w:rPr>
          <w:rFonts w:ascii="Book Antiqua" w:hAnsi="Book Antiqua"/>
        </w:rPr>
      </w:pPr>
      <w:r w:rsidRPr="000902B9">
        <w:rPr>
          <w:rFonts w:ascii="Book Antiqua" w:hAnsi="Book Antiqua"/>
        </w:rPr>
        <w:t>Gait speed can be considered a vital sign, and measuring gait speed is simple, quick, reproducible, inexpensive, and feasible in clinical settings.</w:t>
      </w:r>
    </w:p>
    <w:p w:rsidR="0052717E" w:rsidRPr="000902B9" w:rsidRDefault="0052717E" w:rsidP="000902B9">
      <w:pPr>
        <w:spacing w:line="360" w:lineRule="auto"/>
        <w:jc w:val="both"/>
        <w:rPr>
          <w:rFonts w:ascii="Book Antiqua" w:hAnsi="Book Antiqua"/>
          <w:b/>
          <w:i/>
          <w:highlight w:val="yellow"/>
          <w:lang w:eastAsia="zh-CN"/>
        </w:rPr>
      </w:pPr>
    </w:p>
    <w:p w:rsidR="003A26F5" w:rsidRPr="000902B9" w:rsidRDefault="003A26F5" w:rsidP="000902B9">
      <w:pPr>
        <w:spacing w:line="360" w:lineRule="auto"/>
        <w:jc w:val="both"/>
        <w:rPr>
          <w:rFonts w:ascii="Book Antiqua" w:hAnsi="Book Antiqua"/>
          <w:b/>
          <w:i/>
        </w:rPr>
      </w:pPr>
      <w:r w:rsidRPr="000902B9">
        <w:rPr>
          <w:rFonts w:ascii="Book Antiqua" w:hAnsi="Book Antiqua"/>
          <w:b/>
          <w:i/>
        </w:rPr>
        <w:t>Terminology</w:t>
      </w:r>
    </w:p>
    <w:p w:rsidR="003A26F5" w:rsidRPr="000902B9" w:rsidRDefault="003A26F5" w:rsidP="000902B9">
      <w:pPr>
        <w:spacing w:line="360" w:lineRule="auto"/>
        <w:jc w:val="both"/>
        <w:rPr>
          <w:rFonts w:ascii="Book Antiqua" w:hAnsi="Book Antiqua"/>
        </w:rPr>
      </w:pPr>
      <w:r w:rsidRPr="000902B9">
        <w:rPr>
          <w:rFonts w:ascii="Book Antiqua" w:hAnsi="Book Antiqua"/>
        </w:rPr>
        <w:t>Gait speed is typically measured as the time it takes an individual to walk at a usual pace over a measured distance (usually 4 to 6 meters). The time for that distance is then convert</w:t>
      </w:r>
      <w:r w:rsidR="008B38F0" w:rsidRPr="000902B9">
        <w:rPr>
          <w:rFonts w:ascii="Book Antiqua" w:hAnsi="Book Antiqua"/>
        </w:rPr>
        <w:t>ed into a speed in m/s</w:t>
      </w:r>
      <w:r w:rsidRPr="000902B9">
        <w:rPr>
          <w:rFonts w:ascii="Book Antiqua" w:hAnsi="Book Antiqua"/>
        </w:rPr>
        <w:t>.</w:t>
      </w:r>
    </w:p>
    <w:p w:rsidR="00AF081E" w:rsidRPr="000902B9" w:rsidRDefault="00AF081E" w:rsidP="000902B9">
      <w:pPr>
        <w:spacing w:line="360" w:lineRule="auto"/>
        <w:jc w:val="both"/>
        <w:rPr>
          <w:rFonts w:ascii="Book Antiqua" w:hAnsi="Book Antiqua"/>
          <w:b/>
          <w:i/>
          <w:lang w:eastAsia="zh-CN"/>
        </w:rPr>
      </w:pPr>
    </w:p>
    <w:p w:rsidR="003A26F5" w:rsidRPr="000902B9" w:rsidRDefault="003A26F5" w:rsidP="000902B9">
      <w:pPr>
        <w:spacing w:line="360" w:lineRule="auto"/>
        <w:jc w:val="both"/>
        <w:rPr>
          <w:rFonts w:ascii="Book Antiqua" w:hAnsi="Book Antiqua"/>
          <w:b/>
          <w:i/>
        </w:rPr>
      </w:pPr>
      <w:r w:rsidRPr="000902B9">
        <w:rPr>
          <w:rFonts w:ascii="Book Antiqua" w:hAnsi="Book Antiqua"/>
          <w:b/>
          <w:i/>
        </w:rPr>
        <w:t>Peer review</w:t>
      </w:r>
      <w:r w:rsidR="00764E14" w:rsidRPr="000902B9">
        <w:rPr>
          <w:rFonts w:ascii="Book Antiqua" w:hAnsi="Book Antiqua"/>
          <w:b/>
          <w:i/>
        </w:rPr>
        <w:t xml:space="preserve"> </w:t>
      </w:r>
      <w:r w:rsidRPr="000902B9">
        <w:rPr>
          <w:rFonts w:ascii="Book Antiqua" w:hAnsi="Book Antiqua"/>
          <w:b/>
          <w:i/>
        </w:rPr>
        <w:t xml:space="preserve"> </w:t>
      </w:r>
    </w:p>
    <w:p w:rsidR="000902B9" w:rsidRPr="000902B9" w:rsidRDefault="000902B9" w:rsidP="000902B9">
      <w:pPr>
        <w:spacing w:line="360" w:lineRule="auto"/>
        <w:jc w:val="both"/>
        <w:rPr>
          <w:rFonts w:ascii="Book Antiqua" w:hAnsi="Book Antiqua"/>
          <w:lang w:eastAsia="zh-CN"/>
        </w:rPr>
      </w:pPr>
      <w:r w:rsidRPr="000902B9">
        <w:rPr>
          <w:rFonts w:ascii="Book Antiqua" w:hAnsi="Book Antiqua"/>
        </w:rPr>
        <w:t xml:space="preserve">Clearly stated study indicating that slow measured walking speed in dialysis patients can be used as a predictor of subsequent fracture and hospitalization for all causes. </w:t>
      </w:r>
    </w:p>
    <w:p w:rsidR="000902B9" w:rsidRPr="000902B9" w:rsidRDefault="000902B9" w:rsidP="000902B9">
      <w:pPr>
        <w:spacing w:line="360" w:lineRule="auto"/>
        <w:jc w:val="both"/>
        <w:rPr>
          <w:rFonts w:ascii="Book Antiqua" w:hAnsi="Book Antiqua"/>
          <w:lang w:eastAsia="zh-CN"/>
        </w:rPr>
      </w:pPr>
    </w:p>
    <w:p w:rsidR="002B5EA4" w:rsidRPr="000902B9" w:rsidRDefault="002B5EA4" w:rsidP="000902B9">
      <w:pPr>
        <w:spacing w:line="360" w:lineRule="auto"/>
        <w:jc w:val="both"/>
        <w:rPr>
          <w:rFonts w:ascii="Book Antiqua" w:hAnsi="Book Antiqua"/>
          <w:b/>
          <w:lang w:eastAsia="zh-CN"/>
        </w:rPr>
      </w:pPr>
      <w:r w:rsidRPr="000902B9">
        <w:rPr>
          <w:rFonts w:ascii="Book Antiqua" w:hAnsi="Book Antiqua"/>
          <w:b/>
        </w:rPr>
        <w:t>REFERENCES</w:t>
      </w:r>
    </w:p>
    <w:p w:rsidR="000902B9" w:rsidRPr="000902B9" w:rsidRDefault="000902B9" w:rsidP="000902B9">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 </w:t>
      </w:r>
      <w:r w:rsidRPr="000902B9">
        <w:rPr>
          <w:rFonts w:ascii="Book Antiqua" w:eastAsia="宋体" w:hAnsi="Book Antiqua" w:cs="宋体"/>
          <w:b/>
          <w:color w:val="000000"/>
          <w:lang w:eastAsia="zh-CN"/>
        </w:rPr>
        <w:t>US Renal Data System</w:t>
      </w:r>
      <w:r w:rsidRPr="000902B9">
        <w:rPr>
          <w:rFonts w:ascii="Book Antiqua" w:eastAsia="宋体" w:hAnsi="Book Antiqua" w:cs="宋体"/>
          <w:color w:val="000000"/>
          <w:lang w:eastAsia="zh-CN"/>
        </w:rPr>
        <w:t>. USRDS 2013 Annual Data Report: Atlas of Chronic Kidney Disease and End-Stage Renal Disease in the US. Bethesda, MD: National Institutes of Health, National Institute of Diabetes and Digestive and Kidney Diseases, 2013: 237-248</w:t>
      </w:r>
    </w:p>
    <w:p w:rsidR="000902B9" w:rsidRPr="000902B9" w:rsidRDefault="000902B9" w:rsidP="000902B9">
      <w:pPr>
        <w:spacing w:line="360" w:lineRule="auto"/>
        <w:jc w:val="both"/>
        <w:rPr>
          <w:rFonts w:ascii="Book Antiqua" w:eastAsia="宋体" w:hAnsi="Book Antiqua" w:cs="宋体"/>
          <w:color w:val="000000"/>
          <w:lang w:eastAsia="zh-CN"/>
        </w:rPr>
      </w:pPr>
      <w:r w:rsidRPr="000902B9">
        <w:rPr>
          <w:rFonts w:ascii="Book Antiqua" w:eastAsia="宋体" w:hAnsi="Book Antiqua" w:cs="宋体"/>
          <w:color w:val="000000"/>
          <w:lang w:eastAsia="zh-CN"/>
        </w:rPr>
        <w:t>2 </w:t>
      </w:r>
      <w:proofErr w:type="spellStart"/>
      <w:r w:rsidRPr="000902B9">
        <w:rPr>
          <w:rFonts w:ascii="Book Antiqua" w:eastAsia="宋体" w:hAnsi="Book Antiqua" w:cs="宋体"/>
          <w:b/>
          <w:bCs/>
          <w:color w:val="000000"/>
          <w:lang w:eastAsia="zh-CN"/>
        </w:rPr>
        <w:t>Fotheringham</w:t>
      </w:r>
      <w:proofErr w:type="spellEnd"/>
      <w:r w:rsidRPr="000902B9">
        <w:rPr>
          <w:rFonts w:ascii="Book Antiqua" w:eastAsia="宋体" w:hAnsi="Book Antiqua" w:cs="宋体"/>
          <w:b/>
          <w:bCs/>
          <w:color w:val="000000"/>
          <w:lang w:eastAsia="zh-CN"/>
        </w:rPr>
        <w:t xml:space="preserve"> J</w:t>
      </w:r>
      <w:r w:rsidRPr="000902B9">
        <w:rPr>
          <w:rFonts w:ascii="Book Antiqua" w:eastAsia="宋体" w:hAnsi="Book Antiqua" w:cs="宋体"/>
          <w:color w:val="000000"/>
          <w:lang w:eastAsia="zh-CN"/>
        </w:rPr>
        <w:t xml:space="preserve">, </w:t>
      </w:r>
      <w:proofErr w:type="spellStart"/>
      <w:r w:rsidRPr="000902B9">
        <w:rPr>
          <w:rFonts w:ascii="Book Antiqua" w:eastAsia="宋体" w:hAnsi="Book Antiqua" w:cs="宋体"/>
          <w:color w:val="000000"/>
          <w:lang w:eastAsia="zh-CN"/>
        </w:rPr>
        <w:t>Caskey</w:t>
      </w:r>
      <w:proofErr w:type="spellEnd"/>
      <w:r w:rsidRPr="000902B9">
        <w:rPr>
          <w:rFonts w:ascii="Book Antiqua" w:eastAsia="宋体" w:hAnsi="Book Antiqua" w:cs="宋体"/>
          <w:color w:val="000000"/>
          <w:lang w:eastAsia="zh-CN"/>
        </w:rPr>
        <w:t xml:space="preserve"> F. Predicting hospital admissions by looking backwards: an alternative perspective. </w:t>
      </w:r>
      <w:proofErr w:type="spellStart"/>
      <w:r w:rsidRPr="000902B9">
        <w:rPr>
          <w:rFonts w:ascii="Book Antiqua" w:eastAsia="宋体" w:hAnsi="Book Antiqua" w:cs="宋体"/>
          <w:i/>
          <w:iCs/>
          <w:color w:val="000000"/>
          <w:lang w:eastAsia="zh-CN"/>
        </w:rPr>
        <w:t>Nephrol</w:t>
      </w:r>
      <w:proofErr w:type="spellEnd"/>
      <w:r w:rsidRPr="000902B9">
        <w:rPr>
          <w:rFonts w:ascii="Book Antiqua" w:eastAsia="宋体" w:hAnsi="Book Antiqua" w:cs="宋体"/>
          <w:i/>
          <w:iCs/>
          <w:color w:val="000000"/>
          <w:lang w:eastAsia="zh-CN"/>
        </w:rPr>
        <w:t xml:space="preserve"> Dial Transplant</w:t>
      </w:r>
      <w:r w:rsidRPr="000902B9">
        <w:rPr>
          <w:rFonts w:ascii="Book Antiqua" w:eastAsia="宋体" w:hAnsi="Book Antiqua" w:cs="宋体"/>
          <w:color w:val="000000"/>
          <w:lang w:eastAsia="zh-CN"/>
        </w:rPr>
        <w:t> 2014; </w:t>
      </w:r>
      <w:r w:rsidRPr="000902B9">
        <w:rPr>
          <w:rFonts w:ascii="Book Antiqua" w:eastAsia="宋体" w:hAnsi="Book Antiqua" w:cs="宋体"/>
          <w:b/>
          <w:bCs/>
          <w:color w:val="000000"/>
          <w:lang w:eastAsia="zh-CN"/>
        </w:rPr>
        <w:t>29</w:t>
      </w:r>
      <w:r w:rsidRPr="000902B9">
        <w:rPr>
          <w:rFonts w:ascii="Book Antiqua" w:eastAsia="宋体" w:hAnsi="Book Antiqua" w:cs="宋体"/>
          <w:color w:val="000000"/>
          <w:lang w:eastAsia="zh-CN"/>
        </w:rPr>
        <w:t>: 225-227 [PMID: 24186899 DOI: 10.1093/</w:t>
      </w:r>
      <w:proofErr w:type="spellStart"/>
      <w:r w:rsidRPr="000902B9">
        <w:rPr>
          <w:rFonts w:ascii="Book Antiqua" w:eastAsia="宋体" w:hAnsi="Book Antiqua" w:cs="宋体"/>
          <w:color w:val="000000"/>
          <w:lang w:eastAsia="zh-CN"/>
        </w:rPr>
        <w:t>ndt</w:t>
      </w:r>
      <w:proofErr w:type="spellEnd"/>
      <w:r w:rsidRPr="000902B9">
        <w:rPr>
          <w:rFonts w:ascii="Book Antiqua" w:eastAsia="宋体" w:hAnsi="Book Antiqua" w:cs="宋体"/>
          <w:color w:val="000000"/>
          <w:lang w:eastAsia="zh-CN"/>
        </w:rPr>
        <w:t>/gft440]</w:t>
      </w:r>
    </w:p>
    <w:p w:rsidR="000902B9" w:rsidRPr="000902B9" w:rsidRDefault="000902B9" w:rsidP="000902B9">
      <w:pPr>
        <w:spacing w:line="360" w:lineRule="auto"/>
        <w:jc w:val="both"/>
        <w:rPr>
          <w:rFonts w:ascii="Book Antiqua" w:eastAsia="宋体" w:hAnsi="Book Antiqua" w:cs="宋体"/>
          <w:color w:val="000000"/>
          <w:lang w:eastAsia="zh-CN"/>
        </w:rPr>
      </w:pPr>
      <w:r w:rsidRPr="000902B9">
        <w:rPr>
          <w:rFonts w:ascii="Book Antiqua" w:eastAsia="宋体" w:hAnsi="Book Antiqua" w:cs="宋体"/>
          <w:color w:val="000000"/>
          <w:lang w:eastAsia="zh-CN"/>
        </w:rPr>
        <w:t>3 </w:t>
      </w:r>
      <w:r w:rsidRPr="000902B9">
        <w:rPr>
          <w:rFonts w:ascii="Book Antiqua" w:eastAsia="宋体" w:hAnsi="Book Antiqua" w:cs="宋体"/>
          <w:b/>
          <w:bCs/>
          <w:color w:val="000000"/>
          <w:lang w:eastAsia="zh-CN"/>
        </w:rPr>
        <w:t>Montero-</w:t>
      </w:r>
      <w:proofErr w:type="spellStart"/>
      <w:r w:rsidRPr="000902B9">
        <w:rPr>
          <w:rFonts w:ascii="Book Antiqua" w:eastAsia="宋体" w:hAnsi="Book Antiqua" w:cs="宋体"/>
          <w:b/>
          <w:bCs/>
          <w:color w:val="000000"/>
          <w:lang w:eastAsia="zh-CN"/>
        </w:rPr>
        <w:t>Odasso</w:t>
      </w:r>
      <w:proofErr w:type="spellEnd"/>
      <w:r w:rsidRPr="000902B9">
        <w:rPr>
          <w:rFonts w:ascii="Book Antiqua" w:eastAsia="宋体" w:hAnsi="Book Antiqua" w:cs="宋体"/>
          <w:b/>
          <w:bCs/>
          <w:color w:val="000000"/>
          <w:lang w:eastAsia="zh-CN"/>
        </w:rPr>
        <w:t xml:space="preserve"> M</w:t>
      </w:r>
      <w:r w:rsidRPr="000902B9">
        <w:rPr>
          <w:rFonts w:ascii="Book Antiqua" w:eastAsia="宋体" w:hAnsi="Book Antiqua" w:cs="宋体"/>
          <w:color w:val="000000"/>
          <w:lang w:eastAsia="zh-CN"/>
        </w:rPr>
        <w:t xml:space="preserve">, </w:t>
      </w:r>
      <w:proofErr w:type="spellStart"/>
      <w:r w:rsidRPr="000902B9">
        <w:rPr>
          <w:rFonts w:ascii="Book Antiqua" w:eastAsia="宋体" w:hAnsi="Book Antiqua" w:cs="宋体"/>
          <w:color w:val="000000"/>
          <w:lang w:eastAsia="zh-CN"/>
        </w:rPr>
        <w:t>Schapira</w:t>
      </w:r>
      <w:proofErr w:type="spellEnd"/>
      <w:r w:rsidRPr="000902B9">
        <w:rPr>
          <w:rFonts w:ascii="Book Antiqua" w:eastAsia="宋体" w:hAnsi="Book Antiqua" w:cs="宋体"/>
          <w:color w:val="000000"/>
          <w:lang w:eastAsia="zh-CN"/>
        </w:rPr>
        <w:t xml:space="preserve"> M, Soriano ER, Varela M, Kaplan R, Camera LA, </w:t>
      </w:r>
      <w:proofErr w:type="spellStart"/>
      <w:r w:rsidRPr="000902B9">
        <w:rPr>
          <w:rFonts w:ascii="Book Antiqua" w:eastAsia="宋体" w:hAnsi="Book Antiqua" w:cs="宋体"/>
          <w:color w:val="000000"/>
          <w:lang w:eastAsia="zh-CN"/>
        </w:rPr>
        <w:t>Mayorga</w:t>
      </w:r>
      <w:proofErr w:type="spellEnd"/>
      <w:r w:rsidRPr="000902B9">
        <w:rPr>
          <w:rFonts w:ascii="Book Antiqua" w:eastAsia="宋体" w:hAnsi="Book Antiqua" w:cs="宋体"/>
          <w:color w:val="000000"/>
          <w:lang w:eastAsia="zh-CN"/>
        </w:rPr>
        <w:t xml:space="preserve"> LM. </w:t>
      </w:r>
      <w:proofErr w:type="gramStart"/>
      <w:r w:rsidRPr="000902B9">
        <w:rPr>
          <w:rFonts w:ascii="Book Antiqua" w:eastAsia="宋体" w:hAnsi="Book Antiqua" w:cs="宋体"/>
          <w:color w:val="000000"/>
          <w:lang w:eastAsia="zh-CN"/>
        </w:rPr>
        <w:t>Gait velocity as a single predictor of adverse events in healthy seniors aged 75 years and older.</w:t>
      </w:r>
      <w:proofErr w:type="gramEnd"/>
      <w:r w:rsidRPr="000902B9">
        <w:rPr>
          <w:rFonts w:ascii="Book Antiqua" w:eastAsia="宋体" w:hAnsi="Book Antiqua" w:cs="宋体"/>
          <w:color w:val="000000"/>
          <w:lang w:eastAsia="zh-CN"/>
        </w:rPr>
        <w:t> </w:t>
      </w:r>
      <w:r w:rsidRPr="000902B9">
        <w:rPr>
          <w:rFonts w:ascii="Book Antiqua" w:eastAsia="宋体" w:hAnsi="Book Antiqua" w:cs="宋体"/>
          <w:i/>
          <w:iCs/>
          <w:color w:val="000000"/>
          <w:lang w:eastAsia="zh-CN"/>
        </w:rPr>
        <w:t xml:space="preserve">J </w:t>
      </w:r>
      <w:proofErr w:type="spellStart"/>
      <w:r w:rsidRPr="000902B9">
        <w:rPr>
          <w:rFonts w:ascii="Book Antiqua" w:eastAsia="宋体" w:hAnsi="Book Antiqua" w:cs="宋体"/>
          <w:i/>
          <w:iCs/>
          <w:color w:val="000000"/>
          <w:lang w:eastAsia="zh-CN"/>
        </w:rPr>
        <w:t>Gerontol</w:t>
      </w:r>
      <w:proofErr w:type="spellEnd"/>
      <w:r w:rsidRPr="000902B9">
        <w:rPr>
          <w:rFonts w:ascii="Book Antiqua" w:eastAsia="宋体" w:hAnsi="Book Antiqua" w:cs="宋体"/>
          <w:i/>
          <w:iCs/>
          <w:color w:val="000000"/>
          <w:lang w:eastAsia="zh-CN"/>
        </w:rPr>
        <w:t xml:space="preserve"> A </w:t>
      </w:r>
      <w:proofErr w:type="spellStart"/>
      <w:r w:rsidRPr="000902B9">
        <w:rPr>
          <w:rFonts w:ascii="Book Antiqua" w:eastAsia="宋体" w:hAnsi="Book Antiqua" w:cs="宋体"/>
          <w:i/>
          <w:iCs/>
          <w:color w:val="000000"/>
          <w:lang w:eastAsia="zh-CN"/>
        </w:rPr>
        <w:t>Biol</w:t>
      </w:r>
      <w:proofErr w:type="spellEnd"/>
      <w:r w:rsidRPr="000902B9">
        <w:rPr>
          <w:rFonts w:ascii="Book Antiqua" w:eastAsia="宋体" w:hAnsi="Book Antiqua" w:cs="宋体"/>
          <w:i/>
          <w:iCs/>
          <w:color w:val="000000"/>
          <w:lang w:eastAsia="zh-CN"/>
        </w:rPr>
        <w:t xml:space="preserve"> </w:t>
      </w:r>
      <w:proofErr w:type="spellStart"/>
      <w:r w:rsidRPr="000902B9">
        <w:rPr>
          <w:rFonts w:ascii="Book Antiqua" w:eastAsia="宋体" w:hAnsi="Book Antiqua" w:cs="宋体"/>
          <w:i/>
          <w:iCs/>
          <w:color w:val="000000"/>
          <w:lang w:eastAsia="zh-CN"/>
        </w:rPr>
        <w:t>Sci</w:t>
      </w:r>
      <w:proofErr w:type="spellEnd"/>
      <w:r w:rsidRPr="000902B9">
        <w:rPr>
          <w:rFonts w:ascii="Book Antiqua" w:eastAsia="宋体" w:hAnsi="Book Antiqua" w:cs="宋体"/>
          <w:i/>
          <w:iCs/>
          <w:color w:val="000000"/>
          <w:lang w:eastAsia="zh-CN"/>
        </w:rPr>
        <w:t xml:space="preserve"> Med </w:t>
      </w:r>
      <w:proofErr w:type="spellStart"/>
      <w:r w:rsidRPr="000902B9">
        <w:rPr>
          <w:rFonts w:ascii="Book Antiqua" w:eastAsia="宋体" w:hAnsi="Book Antiqua" w:cs="宋体"/>
          <w:i/>
          <w:iCs/>
          <w:color w:val="000000"/>
          <w:lang w:eastAsia="zh-CN"/>
        </w:rPr>
        <w:t>Sci</w:t>
      </w:r>
      <w:proofErr w:type="spellEnd"/>
      <w:r w:rsidRPr="000902B9">
        <w:rPr>
          <w:rFonts w:ascii="Book Antiqua" w:eastAsia="宋体" w:hAnsi="Book Antiqua" w:cs="宋体"/>
          <w:color w:val="000000"/>
          <w:lang w:eastAsia="zh-CN"/>
        </w:rPr>
        <w:t> 2005; </w:t>
      </w:r>
      <w:r w:rsidRPr="000902B9">
        <w:rPr>
          <w:rFonts w:ascii="Book Antiqua" w:eastAsia="宋体" w:hAnsi="Book Antiqua" w:cs="宋体"/>
          <w:b/>
          <w:bCs/>
          <w:color w:val="000000"/>
          <w:lang w:eastAsia="zh-CN"/>
        </w:rPr>
        <w:t>60</w:t>
      </w:r>
      <w:r w:rsidRPr="000902B9">
        <w:rPr>
          <w:rFonts w:ascii="Book Antiqua" w:eastAsia="宋体" w:hAnsi="Book Antiqua" w:cs="宋体"/>
          <w:color w:val="000000"/>
          <w:lang w:eastAsia="zh-CN"/>
        </w:rPr>
        <w:t>: 1304-1309 [PMID: 16282564 DOI: 10.1093/</w:t>
      </w:r>
      <w:proofErr w:type="spellStart"/>
      <w:r w:rsidRPr="000902B9">
        <w:rPr>
          <w:rFonts w:ascii="Book Antiqua" w:eastAsia="宋体" w:hAnsi="Book Antiqua" w:cs="宋体"/>
          <w:color w:val="000000"/>
          <w:lang w:eastAsia="zh-CN"/>
        </w:rPr>
        <w:t>gerona</w:t>
      </w:r>
      <w:proofErr w:type="spellEnd"/>
      <w:r w:rsidRPr="000902B9">
        <w:rPr>
          <w:rFonts w:ascii="Book Antiqua" w:eastAsia="宋体" w:hAnsi="Book Antiqua" w:cs="宋体"/>
          <w:color w:val="000000"/>
          <w:lang w:eastAsia="zh-CN"/>
        </w:rPr>
        <w:t>/60.10.1304]</w:t>
      </w:r>
    </w:p>
    <w:p w:rsidR="000902B9" w:rsidRPr="000902B9" w:rsidRDefault="000902B9" w:rsidP="000902B9">
      <w:pPr>
        <w:spacing w:line="360" w:lineRule="auto"/>
        <w:jc w:val="both"/>
        <w:rPr>
          <w:rFonts w:ascii="Book Antiqua" w:eastAsia="宋体" w:hAnsi="Book Antiqua" w:cs="宋体"/>
          <w:color w:val="000000"/>
          <w:lang w:eastAsia="zh-CN"/>
        </w:rPr>
      </w:pPr>
      <w:r w:rsidRPr="000902B9">
        <w:rPr>
          <w:rFonts w:ascii="Book Antiqua" w:eastAsia="宋体" w:hAnsi="Book Antiqua" w:cs="宋体"/>
          <w:color w:val="000000"/>
          <w:lang w:eastAsia="zh-CN"/>
        </w:rPr>
        <w:lastRenderedPageBreak/>
        <w:t>4 </w:t>
      </w:r>
      <w:proofErr w:type="spellStart"/>
      <w:r w:rsidRPr="000902B9">
        <w:rPr>
          <w:rFonts w:ascii="Book Antiqua" w:eastAsia="宋体" w:hAnsi="Book Antiqua" w:cs="宋体"/>
          <w:b/>
          <w:bCs/>
          <w:color w:val="000000"/>
          <w:lang w:eastAsia="zh-CN"/>
        </w:rPr>
        <w:t>Viccaro</w:t>
      </w:r>
      <w:proofErr w:type="spellEnd"/>
      <w:r w:rsidRPr="000902B9">
        <w:rPr>
          <w:rFonts w:ascii="Book Antiqua" w:eastAsia="宋体" w:hAnsi="Book Antiqua" w:cs="宋体"/>
          <w:b/>
          <w:bCs/>
          <w:color w:val="000000"/>
          <w:lang w:eastAsia="zh-CN"/>
        </w:rPr>
        <w:t xml:space="preserve"> LJ</w:t>
      </w:r>
      <w:r w:rsidRPr="000902B9">
        <w:rPr>
          <w:rFonts w:ascii="Book Antiqua" w:eastAsia="宋体" w:hAnsi="Book Antiqua" w:cs="宋体"/>
          <w:color w:val="000000"/>
          <w:lang w:eastAsia="zh-CN"/>
        </w:rPr>
        <w:t xml:space="preserve">, </w:t>
      </w:r>
      <w:proofErr w:type="spellStart"/>
      <w:r w:rsidRPr="000902B9">
        <w:rPr>
          <w:rFonts w:ascii="Book Antiqua" w:eastAsia="宋体" w:hAnsi="Book Antiqua" w:cs="宋体"/>
          <w:color w:val="000000"/>
          <w:lang w:eastAsia="zh-CN"/>
        </w:rPr>
        <w:t>Perera</w:t>
      </w:r>
      <w:proofErr w:type="spellEnd"/>
      <w:r w:rsidRPr="000902B9">
        <w:rPr>
          <w:rFonts w:ascii="Book Antiqua" w:eastAsia="宋体" w:hAnsi="Book Antiqua" w:cs="宋体"/>
          <w:color w:val="000000"/>
          <w:lang w:eastAsia="zh-CN"/>
        </w:rPr>
        <w:t xml:space="preserve"> S, </w:t>
      </w:r>
      <w:proofErr w:type="spellStart"/>
      <w:r w:rsidRPr="000902B9">
        <w:rPr>
          <w:rFonts w:ascii="Book Antiqua" w:eastAsia="宋体" w:hAnsi="Book Antiqua" w:cs="宋体"/>
          <w:color w:val="000000"/>
          <w:lang w:eastAsia="zh-CN"/>
        </w:rPr>
        <w:t>Studenski</w:t>
      </w:r>
      <w:proofErr w:type="spellEnd"/>
      <w:r w:rsidRPr="000902B9">
        <w:rPr>
          <w:rFonts w:ascii="Book Antiqua" w:eastAsia="宋体" w:hAnsi="Book Antiqua" w:cs="宋体"/>
          <w:color w:val="000000"/>
          <w:lang w:eastAsia="zh-CN"/>
        </w:rPr>
        <w:t xml:space="preserve"> SA. Is timed up and go better than gait speed in predicting health, function, and falls in older adults? </w:t>
      </w:r>
      <w:r w:rsidRPr="000902B9">
        <w:rPr>
          <w:rFonts w:ascii="Book Antiqua" w:eastAsia="宋体" w:hAnsi="Book Antiqua" w:cs="宋体"/>
          <w:i/>
          <w:iCs/>
          <w:color w:val="000000"/>
          <w:lang w:eastAsia="zh-CN"/>
        </w:rPr>
        <w:t xml:space="preserve">J Am </w:t>
      </w:r>
      <w:proofErr w:type="spellStart"/>
      <w:r w:rsidRPr="000902B9">
        <w:rPr>
          <w:rFonts w:ascii="Book Antiqua" w:eastAsia="宋体" w:hAnsi="Book Antiqua" w:cs="宋体"/>
          <w:i/>
          <w:iCs/>
          <w:color w:val="000000"/>
          <w:lang w:eastAsia="zh-CN"/>
        </w:rPr>
        <w:t>Geriatr</w:t>
      </w:r>
      <w:proofErr w:type="spellEnd"/>
      <w:r w:rsidRPr="000902B9">
        <w:rPr>
          <w:rFonts w:ascii="Book Antiqua" w:eastAsia="宋体" w:hAnsi="Book Antiqua" w:cs="宋体"/>
          <w:i/>
          <w:iCs/>
          <w:color w:val="000000"/>
          <w:lang w:eastAsia="zh-CN"/>
        </w:rPr>
        <w:t xml:space="preserve"> </w:t>
      </w:r>
      <w:proofErr w:type="spellStart"/>
      <w:r w:rsidRPr="000902B9">
        <w:rPr>
          <w:rFonts w:ascii="Book Antiqua" w:eastAsia="宋体" w:hAnsi="Book Antiqua" w:cs="宋体"/>
          <w:i/>
          <w:iCs/>
          <w:color w:val="000000"/>
          <w:lang w:eastAsia="zh-CN"/>
        </w:rPr>
        <w:t>Soc</w:t>
      </w:r>
      <w:proofErr w:type="spellEnd"/>
      <w:r w:rsidRPr="000902B9">
        <w:rPr>
          <w:rFonts w:ascii="Book Antiqua" w:eastAsia="宋体" w:hAnsi="Book Antiqua" w:cs="宋体"/>
          <w:color w:val="000000"/>
          <w:lang w:eastAsia="zh-CN"/>
        </w:rPr>
        <w:t> 2011; </w:t>
      </w:r>
      <w:r w:rsidRPr="000902B9">
        <w:rPr>
          <w:rFonts w:ascii="Book Antiqua" w:eastAsia="宋体" w:hAnsi="Book Antiqua" w:cs="宋体"/>
          <w:b/>
          <w:bCs/>
          <w:color w:val="000000"/>
          <w:lang w:eastAsia="zh-CN"/>
        </w:rPr>
        <w:t>59</w:t>
      </w:r>
      <w:r w:rsidRPr="000902B9">
        <w:rPr>
          <w:rFonts w:ascii="Book Antiqua" w:eastAsia="宋体" w:hAnsi="Book Antiqua" w:cs="宋体"/>
          <w:color w:val="000000"/>
          <w:lang w:eastAsia="zh-CN"/>
        </w:rPr>
        <w:t>: 887-892 [PMID: 21410448 DOI: 10.1111/j.1532-5415.2011.03336.x]</w:t>
      </w:r>
    </w:p>
    <w:p w:rsidR="000902B9" w:rsidRPr="000902B9" w:rsidRDefault="000902B9" w:rsidP="000902B9">
      <w:pPr>
        <w:spacing w:line="360" w:lineRule="auto"/>
        <w:jc w:val="both"/>
        <w:rPr>
          <w:rFonts w:ascii="Book Antiqua" w:eastAsia="宋体" w:hAnsi="Book Antiqua" w:cs="宋体"/>
          <w:color w:val="000000"/>
          <w:lang w:eastAsia="zh-CN"/>
        </w:rPr>
      </w:pPr>
      <w:r w:rsidRPr="000902B9">
        <w:rPr>
          <w:rFonts w:ascii="Book Antiqua" w:eastAsia="宋体" w:hAnsi="Book Antiqua" w:cs="宋体"/>
          <w:color w:val="000000"/>
          <w:lang w:eastAsia="zh-CN"/>
        </w:rPr>
        <w:t>5 </w:t>
      </w:r>
      <w:proofErr w:type="spellStart"/>
      <w:r w:rsidRPr="000902B9">
        <w:rPr>
          <w:rFonts w:ascii="Book Antiqua" w:eastAsia="宋体" w:hAnsi="Book Antiqua" w:cs="宋体"/>
          <w:b/>
          <w:bCs/>
          <w:color w:val="000000"/>
          <w:lang w:eastAsia="zh-CN"/>
        </w:rPr>
        <w:t>Studenski</w:t>
      </w:r>
      <w:proofErr w:type="spellEnd"/>
      <w:r w:rsidRPr="000902B9">
        <w:rPr>
          <w:rFonts w:ascii="Book Antiqua" w:eastAsia="宋体" w:hAnsi="Book Antiqua" w:cs="宋体"/>
          <w:b/>
          <w:bCs/>
          <w:color w:val="000000"/>
          <w:lang w:eastAsia="zh-CN"/>
        </w:rPr>
        <w:t xml:space="preserve"> S</w:t>
      </w:r>
      <w:r w:rsidRPr="000902B9">
        <w:rPr>
          <w:rFonts w:ascii="Book Antiqua" w:eastAsia="宋体" w:hAnsi="Book Antiqua" w:cs="宋体"/>
          <w:color w:val="000000"/>
          <w:lang w:eastAsia="zh-CN"/>
        </w:rPr>
        <w:t xml:space="preserve">, </w:t>
      </w:r>
      <w:proofErr w:type="spellStart"/>
      <w:r w:rsidRPr="000902B9">
        <w:rPr>
          <w:rFonts w:ascii="Book Antiqua" w:eastAsia="宋体" w:hAnsi="Book Antiqua" w:cs="宋体"/>
          <w:color w:val="000000"/>
          <w:lang w:eastAsia="zh-CN"/>
        </w:rPr>
        <w:t>Perera</w:t>
      </w:r>
      <w:proofErr w:type="spellEnd"/>
      <w:r w:rsidRPr="000902B9">
        <w:rPr>
          <w:rFonts w:ascii="Book Antiqua" w:eastAsia="宋体" w:hAnsi="Book Antiqua" w:cs="宋体"/>
          <w:color w:val="000000"/>
          <w:lang w:eastAsia="zh-CN"/>
        </w:rPr>
        <w:t xml:space="preserve"> S, Patel K, </w:t>
      </w:r>
      <w:proofErr w:type="spellStart"/>
      <w:r w:rsidRPr="000902B9">
        <w:rPr>
          <w:rFonts w:ascii="Book Antiqua" w:eastAsia="宋体" w:hAnsi="Book Antiqua" w:cs="宋体"/>
          <w:color w:val="000000"/>
          <w:lang w:eastAsia="zh-CN"/>
        </w:rPr>
        <w:t>Rosano</w:t>
      </w:r>
      <w:proofErr w:type="spellEnd"/>
      <w:r w:rsidRPr="000902B9">
        <w:rPr>
          <w:rFonts w:ascii="Book Antiqua" w:eastAsia="宋体" w:hAnsi="Book Antiqua" w:cs="宋体"/>
          <w:color w:val="000000"/>
          <w:lang w:eastAsia="zh-CN"/>
        </w:rPr>
        <w:t xml:space="preserve"> C, Faulkner K, </w:t>
      </w:r>
      <w:proofErr w:type="spellStart"/>
      <w:r w:rsidRPr="000902B9">
        <w:rPr>
          <w:rFonts w:ascii="Book Antiqua" w:eastAsia="宋体" w:hAnsi="Book Antiqua" w:cs="宋体"/>
          <w:color w:val="000000"/>
          <w:lang w:eastAsia="zh-CN"/>
        </w:rPr>
        <w:t>Inzitari</w:t>
      </w:r>
      <w:proofErr w:type="spellEnd"/>
      <w:r w:rsidRPr="000902B9">
        <w:rPr>
          <w:rFonts w:ascii="Book Antiqua" w:eastAsia="宋体" w:hAnsi="Book Antiqua" w:cs="宋体"/>
          <w:color w:val="000000"/>
          <w:lang w:eastAsia="zh-CN"/>
        </w:rPr>
        <w:t xml:space="preserve"> M, Brach J, Chandler J, </w:t>
      </w:r>
      <w:proofErr w:type="spellStart"/>
      <w:r w:rsidRPr="000902B9">
        <w:rPr>
          <w:rFonts w:ascii="Book Antiqua" w:eastAsia="宋体" w:hAnsi="Book Antiqua" w:cs="宋体"/>
          <w:color w:val="000000"/>
          <w:lang w:eastAsia="zh-CN"/>
        </w:rPr>
        <w:t>Cawthon</w:t>
      </w:r>
      <w:proofErr w:type="spellEnd"/>
      <w:r w:rsidRPr="000902B9">
        <w:rPr>
          <w:rFonts w:ascii="Book Antiqua" w:eastAsia="宋体" w:hAnsi="Book Antiqua" w:cs="宋体"/>
          <w:color w:val="000000"/>
          <w:lang w:eastAsia="zh-CN"/>
        </w:rPr>
        <w:t xml:space="preserve"> P, Connor EB, </w:t>
      </w:r>
      <w:proofErr w:type="spellStart"/>
      <w:r w:rsidRPr="000902B9">
        <w:rPr>
          <w:rFonts w:ascii="Book Antiqua" w:eastAsia="宋体" w:hAnsi="Book Antiqua" w:cs="宋体"/>
          <w:color w:val="000000"/>
          <w:lang w:eastAsia="zh-CN"/>
        </w:rPr>
        <w:t>Nevitt</w:t>
      </w:r>
      <w:proofErr w:type="spellEnd"/>
      <w:r w:rsidRPr="000902B9">
        <w:rPr>
          <w:rFonts w:ascii="Book Antiqua" w:eastAsia="宋体" w:hAnsi="Book Antiqua" w:cs="宋体"/>
          <w:color w:val="000000"/>
          <w:lang w:eastAsia="zh-CN"/>
        </w:rPr>
        <w:t xml:space="preserve"> M, </w:t>
      </w:r>
      <w:proofErr w:type="spellStart"/>
      <w:r w:rsidRPr="000902B9">
        <w:rPr>
          <w:rFonts w:ascii="Book Antiqua" w:eastAsia="宋体" w:hAnsi="Book Antiqua" w:cs="宋体"/>
          <w:color w:val="000000"/>
          <w:lang w:eastAsia="zh-CN"/>
        </w:rPr>
        <w:t>Visser</w:t>
      </w:r>
      <w:proofErr w:type="spellEnd"/>
      <w:r w:rsidRPr="000902B9">
        <w:rPr>
          <w:rFonts w:ascii="Book Antiqua" w:eastAsia="宋体" w:hAnsi="Book Antiqua" w:cs="宋体"/>
          <w:color w:val="000000"/>
          <w:lang w:eastAsia="zh-CN"/>
        </w:rPr>
        <w:t xml:space="preserve"> M, </w:t>
      </w:r>
      <w:proofErr w:type="spellStart"/>
      <w:r w:rsidRPr="000902B9">
        <w:rPr>
          <w:rFonts w:ascii="Book Antiqua" w:eastAsia="宋体" w:hAnsi="Book Antiqua" w:cs="宋体"/>
          <w:color w:val="000000"/>
          <w:lang w:eastAsia="zh-CN"/>
        </w:rPr>
        <w:t>Kritchevsky</w:t>
      </w:r>
      <w:proofErr w:type="spellEnd"/>
      <w:r w:rsidRPr="000902B9">
        <w:rPr>
          <w:rFonts w:ascii="Book Antiqua" w:eastAsia="宋体" w:hAnsi="Book Antiqua" w:cs="宋体"/>
          <w:color w:val="000000"/>
          <w:lang w:eastAsia="zh-CN"/>
        </w:rPr>
        <w:t xml:space="preserve"> S, </w:t>
      </w:r>
      <w:proofErr w:type="spellStart"/>
      <w:r w:rsidRPr="000902B9">
        <w:rPr>
          <w:rFonts w:ascii="Book Antiqua" w:eastAsia="宋体" w:hAnsi="Book Antiqua" w:cs="宋体"/>
          <w:color w:val="000000"/>
          <w:lang w:eastAsia="zh-CN"/>
        </w:rPr>
        <w:t>Badinelli</w:t>
      </w:r>
      <w:proofErr w:type="spellEnd"/>
      <w:r w:rsidRPr="000902B9">
        <w:rPr>
          <w:rFonts w:ascii="Book Antiqua" w:eastAsia="宋体" w:hAnsi="Book Antiqua" w:cs="宋体"/>
          <w:color w:val="000000"/>
          <w:lang w:eastAsia="zh-CN"/>
        </w:rPr>
        <w:t xml:space="preserve"> S, Harris T, Newman AB, </w:t>
      </w:r>
      <w:proofErr w:type="spellStart"/>
      <w:r w:rsidRPr="000902B9">
        <w:rPr>
          <w:rFonts w:ascii="Book Antiqua" w:eastAsia="宋体" w:hAnsi="Book Antiqua" w:cs="宋体"/>
          <w:color w:val="000000"/>
          <w:lang w:eastAsia="zh-CN"/>
        </w:rPr>
        <w:t>Cauley</w:t>
      </w:r>
      <w:proofErr w:type="spellEnd"/>
      <w:r w:rsidRPr="000902B9">
        <w:rPr>
          <w:rFonts w:ascii="Book Antiqua" w:eastAsia="宋体" w:hAnsi="Book Antiqua" w:cs="宋体"/>
          <w:color w:val="000000"/>
          <w:lang w:eastAsia="zh-CN"/>
        </w:rPr>
        <w:t xml:space="preserve"> J, </w:t>
      </w:r>
      <w:proofErr w:type="spellStart"/>
      <w:r w:rsidRPr="000902B9">
        <w:rPr>
          <w:rFonts w:ascii="Book Antiqua" w:eastAsia="宋体" w:hAnsi="Book Antiqua" w:cs="宋体"/>
          <w:color w:val="000000"/>
          <w:lang w:eastAsia="zh-CN"/>
        </w:rPr>
        <w:t>Ferrucci</w:t>
      </w:r>
      <w:proofErr w:type="spellEnd"/>
      <w:r w:rsidRPr="000902B9">
        <w:rPr>
          <w:rFonts w:ascii="Book Antiqua" w:eastAsia="宋体" w:hAnsi="Book Antiqua" w:cs="宋体"/>
          <w:color w:val="000000"/>
          <w:lang w:eastAsia="zh-CN"/>
        </w:rPr>
        <w:t xml:space="preserve"> L, </w:t>
      </w:r>
      <w:proofErr w:type="spellStart"/>
      <w:r w:rsidRPr="000902B9">
        <w:rPr>
          <w:rFonts w:ascii="Book Antiqua" w:eastAsia="宋体" w:hAnsi="Book Antiqua" w:cs="宋体"/>
          <w:color w:val="000000"/>
          <w:lang w:eastAsia="zh-CN"/>
        </w:rPr>
        <w:t>Guralnik</w:t>
      </w:r>
      <w:proofErr w:type="spellEnd"/>
      <w:r w:rsidRPr="000902B9">
        <w:rPr>
          <w:rFonts w:ascii="Book Antiqua" w:eastAsia="宋体" w:hAnsi="Book Antiqua" w:cs="宋体"/>
          <w:color w:val="000000"/>
          <w:lang w:eastAsia="zh-CN"/>
        </w:rPr>
        <w:t xml:space="preserve"> J. Gait speed and survival in older adults. </w:t>
      </w:r>
      <w:r w:rsidRPr="000902B9">
        <w:rPr>
          <w:rFonts w:ascii="Book Antiqua" w:eastAsia="宋体" w:hAnsi="Book Antiqua" w:cs="宋体"/>
          <w:i/>
          <w:iCs/>
          <w:color w:val="000000"/>
          <w:lang w:eastAsia="zh-CN"/>
        </w:rPr>
        <w:t>JAMA</w:t>
      </w:r>
      <w:r w:rsidRPr="000902B9">
        <w:rPr>
          <w:rFonts w:ascii="Book Antiqua" w:eastAsia="宋体" w:hAnsi="Book Antiqua" w:cs="宋体"/>
          <w:color w:val="000000"/>
          <w:lang w:eastAsia="zh-CN"/>
        </w:rPr>
        <w:t> 2011; </w:t>
      </w:r>
      <w:r w:rsidRPr="000902B9">
        <w:rPr>
          <w:rFonts w:ascii="Book Antiqua" w:eastAsia="宋体" w:hAnsi="Book Antiqua" w:cs="宋体"/>
          <w:b/>
          <w:bCs/>
          <w:color w:val="000000"/>
          <w:lang w:eastAsia="zh-CN"/>
        </w:rPr>
        <w:t>305</w:t>
      </w:r>
      <w:r w:rsidRPr="000902B9">
        <w:rPr>
          <w:rFonts w:ascii="Book Antiqua" w:eastAsia="宋体" w:hAnsi="Book Antiqua" w:cs="宋体"/>
          <w:color w:val="000000"/>
          <w:lang w:eastAsia="zh-CN"/>
        </w:rPr>
        <w:t>: 50-58 [PMID: 21205966 DOI: 10.1001/jama.2010.1923]</w:t>
      </w:r>
    </w:p>
    <w:p w:rsidR="000902B9" w:rsidRPr="000902B9" w:rsidRDefault="000902B9" w:rsidP="000902B9">
      <w:pPr>
        <w:spacing w:line="360" w:lineRule="auto"/>
        <w:jc w:val="both"/>
        <w:rPr>
          <w:rFonts w:ascii="Book Antiqua" w:eastAsia="宋体" w:hAnsi="Book Antiqua" w:cs="宋体"/>
          <w:color w:val="000000"/>
          <w:lang w:eastAsia="zh-CN"/>
        </w:rPr>
      </w:pPr>
      <w:r w:rsidRPr="000902B9">
        <w:rPr>
          <w:rFonts w:ascii="Book Antiqua" w:eastAsia="宋体" w:hAnsi="Book Antiqua" w:cs="宋体"/>
          <w:color w:val="000000"/>
          <w:lang w:eastAsia="zh-CN"/>
        </w:rPr>
        <w:t>6 </w:t>
      </w:r>
      <w:r w:rsidRPr="000902B9">
        <w:rPr>
          <w:rFonts w:ascii="Book Antiqua" w:eastAsia="宋体" w:hAnsi="Book Antiqua" w:cs="宋体"/>
          <w:b/>
          <w:bCs/>
          <w:color w:val="000000"/>
          <w:lang w:eastAsia="zh-CN"/>
        </w:rPr>
        <w:t>Johansen KL</w:t>
      </w:r>
      <w:r w:rsidRPr="000902B9">
        <w:rPr>
          <w:rFonts w:ascii="Book Antiqua" w:eastAsia="宋体" w:hAnsi="Book Antiqua" w:cs="宋体"/>
          <w:color w:val="000000"/>
          <w:lang w:eastAsia="zh-CN"/>
        </w:rPr>
        <w:t xml:space="preserve">, </w:t>
      </w:r>
      <w:proofErr w:type="spellStart"/>
      <w:r w:rsidRPr="000902B9">
        <w:rPr>
          <w:rFonts w:ascii="Book Antiqua" w:eastAsia="宋体" w:hAnsi="Book Antiqua" w:cs="宋体"/>
          <w:color w:val="000000"/>
          <w:lang w:eastAsia="zh-CN"/>
        </w:rPr>
        <w:t>Chertow</w:t>
      </w:r>
      <w:proofErr w:type="spellEnd"/>
      <w:r w:rsidRPr="000902B9">
        <w:rPr>
          <w:rFonts w:ascii="Book Antiqua" w:eastAsia="宋体" w:hAnsi="Book Antiqua" w:cs="宋体"/>
          <w:color w:val="000000"/>
          <w:lang w:eastAsia="zh-CN"/>
        </w:rPr>
        <w:t xml:space="preserve"> GM, da Silva M, Carey S, Painter P. Determinants of physical performance in ambulatory patients on hemodialysis. </w:t>
      </w:r>
      <w:r w:rsidRPr="000902B9">
        <w:rPr>
          <w:rFonts w:ascii="Book Antiqua" w:eastAsia="宋体" w:hAnsi="Book Antiqua" w:cs="宋体"/>
          <w:i/>
          <w:iCs/>
          <w:color w:val="000000"/>
          <w:lang w:eastAsia="zh-CN"/>
        </w:rPr>
        <w:t xml:space="preserve">Kidney </w:t>
      </w:r>
      <w:proofErr w:type="spellStart"/>
      <w:r w:rsidRPr="000902B9">
        <w:rPr>
          <w:rFonts w:ascii="Book Antiqua" w:eastAsia="宋体" w:hAnsi="Book Antiqua" w:cs="宋体"/>
          <w:i/>
          <w:iCs/>
          <w:color w:val="000000"/>
          <w:lang w:eastAsia="zh-CN"/>
        </w:rPr>
        <w:t>Int</w:t>
      </w:r>
      <w:proofErr w:type="spellEnd"/>
      <w:r w:rsidRPr="000902B9">
        <w:rPr>
          <w:rFonts w:ascii="Book Antiqua" w:eastAsia="宋体" w:hAnsi="Book Antiqua" w:cs="宋体"/>
          <w:color w:val="000000"/>
          <w:lang w:eastAsia="zh-CN"/>
        </w:rPr>
        <w:t> 2001; </w:t>
      </w:r>
      <w:r w:rsidRPr="000902B9">
        <w:rPr>
          <w:rFonts w:ascii="Book Antiqua" w:eastAsia="宋体" w:hAnsi="Book Antiqua" w:cs="宋体"/>
          <w:b/>
          <w:bCs/>
          <w:color w:val="000000"/>
          <w:lang w:eastAsia="zh-CN"/>
        </w:rPr>
        <w:t>60</w:t>
      </w:r>
      <w:r w:rsidRPr="000902B9">
        <w:rPr>
          <w:rFonts w:ascii="Book Antiqua" w:eastAsia="宋体" w:hAnsi="Book Antiqua" w:cs="宋体"/>
          <w:color w:val="000000"/>
          <w:lang w:eastAsia="zh-CN"/>
        </w:rPr>
        <w:t>: 1586-1591 [PMID: 11576377 DOI: 10.1046/j.1523-1755.2001.00972.x]</w:t>
      </w:r>
    </w:p>
    <w:p w:rsidR="000902B9" w:rsidRPr="000902B9" w:rsidRDefault="000902B9" w:rsidP="000902B9">
      <w:pPr>
        <w:spacing w:line="360" w:lineRule="auto"/>
        <w:jc w:val="both"/>
        <w:rPr>
          <w:rFonts w:ascii="Book Antiqua" w:eastAsia="宋体" w:hAnsi="Book Antiqua" w:cs="宋体"/>
          <w:color w:val="000000"/>
          <w:lang w:eastAsia="zh-CN"/>
        </w:rPr>
      </w:pPr>
      <w:r w:rsidRPr="000902B9">
        <w:rPr>
          <w:rFonts w:ascii="Book Antiqua" w:eastAsia="宋体" w:hAnsi="Book Antiqua" w:cs="宋体"/>
          <w:color w:val="000000"/>
          <w:lang w:eastAsia="zh-CN"/>
        </w:rPr>
        <w:t>7 </w:t>
      </w:r>
      <w:r w:rsidRPr="000902B9">
        <w:rPr>
          <w:rFonts w:ascii="Book Antiqua" w:eastAsia="宋体" w:hAnsi="Book Antiqua" w:cs="宋体"/>
          <w:b/>
          <w:bCs/>
          <w:color w:val="000000"/>
          <w:lang w:eastAsia="zh-CN"/>
        </w:rPr>
        <w:t>Painter P</w:t>
      </w:r>
      <w:r w:rsidRPr="000902B9">
        <w:rPr>
          <w:rFonts w:ascii="Book Antiqua" w:eastAsia="宋体" w:hAnsi="Book Antiqua" w:cs="宋体"/>
          <w:color w:val="000000"/>
          <w:lang w:eastAsia="zh-CN"/>
        </w:rPr>
        <w:t>, Marcus R. Physical function and gait speed in patients with chronic kidney disease. </w:t>
      </w:r>
      <w:proofErr w:type="spellStart"/>
      <w:r w:rsidRPr="000902B9">
        <w:rPr>
          <w:rFonts w:ascii="Book Antiqua" w:eastAsia="宋体" w:hAnsi="Book Antiqua" w:cs="宋体"/>
          <w:i/>
          <w:iCs/>
          <w:color w:val="000000"/>
          <w:lang w:eastAsia="zh-CN"/>
        </w:rPr>
        <w:t>Nephrol</w:t>
      </w:r>
      <w:proofErr w:type="spellEnd"/>
      <w:r w:rsidRPr="000902B9">
        <w:rPr>
          <w:rFonts w:ascii="Book Antiqua" w:eastAsia="宋体" w:hAnsi="Book Antiqua" w:cs="宋体"/>
          <w:i/>
          <w:iCs/>
          <w:color w:val="000000"/>
          <w:lang w:eastAsia="zh-CN"/>
        </w:rPr>
        <w:t xml:space="preserve"> </w:t>
      </w:r>
      <w:proofErr w:type="spellStart"/>
      <w:r w:rsidRPr="000902B9">
        <w:rPr>
          <w:rFonts w:ascii="Book Antiqua" w:eastAsia="宋体" w:hAnsi="Book Antiqua" w:cs="宋体"/>
          <w:i/>
          <w:iCs/>
          <w:color w:val="000000"/>
          <w:lang w:eastAsia="zh-CN"/>
        </w:rPr>
        <w:t>Nurs</w:t>
      </w:r>
      <w:proofErr w:type="spellEnd"/>
      <w:r w:rsidRPr="000902B9">
        <w:rPr>
          <w:rFonts w:ascii="Book Antiqua" w:eastAsia="宋体" w:hAnsi="Book Antiqua" w:cs="宋体"/>
          <w:i/>
          <w:iCs/>
          <w:color w:val="000000"/>
          <w:lang w:eastAsia="zh-CN"/>
        </w:rPr>
        <w:t xml:space="preserve"> </w:t>
      </w:r>
      <w:proofErr w:type="gramStart"/>
      <w:r w:rsidRPr="000902B9">
        <w:rPr>
          <w:rFonts w:ascii="Book Antiqua" w:eastAsia="宋体" w:hAnsi="Book Antiqua" w:cs="宋体"/>
          <w:i/>
          <w:iCs/>
          <w:color w:val="000000"/>
          <w:lang w:eastAsia="zh-CN"/>
        </w:rPr>
        <w:t>J</w:t>
      </w:r>
      <w:r w:rsidRPr="000902B9">
        <w:rPr>
          <w:rFonts w:ascii="Book Antiqua" w:eastAsia="宋体" w:hAnsi="Book Antiqua" w:cs="宋体"/>
          <w:color w:val="000000"/>
          <w:lang w:eastAsia="zh-CN"/>
        </w:rPr>
        <w:t> ;</w:t>
      </w:r>
      <w:proofErr w:type="gramEnd"/>
      <w:r w:rsidRPr="000902B9">
        <w:rPr>
          <w:rFonts w:ascii="Book Antiqua" w:eastAsia="宋体" w:hAnsi="Book Antiqua" w:cs="宋体"/>
          <w:color w:val="000000"/>
          <w:lang w:eastAsia="zh-CN"/>
        </w:rPr>
        <w:t> </w:t>
      </w:r>
      <w:r w:rsidRPr="000902B9">
        <w:rPr>
          <w:rFonts w:ascii="Book Antiqua" w:eastAsia="宋体" w:hAnsi="Book Antiqua" w:cs="宋体"/>
          <w:b/>
          <w:bCs/>
          <w:color w:val="000000"/>
          <w:lang w:eastAsia="zh-CN"/>
        </w:rPr>
        <w:t>40</w:t>
      </w:r>
      <w:r w:rsidRPr="000902B9">
        <w:rPr>
          <w:rFonts w:ascii="Book Antiqua" w:eastAsia="宋体" w:hAnsi="Book Antiqua" w:cs="宋体"/>
          <w:color w:val="000000"/>
          <w:lang w:eastAsia="zh-CN"/>
        </w:rPr>
        <w:t>: 529-38; quiz 539 [PMID: 24579399]</w:t>
      </w:r>
    </w:p>
    <w:p w:rsidR="000902B9" w:rsidRPr="000902B9" w:rsidRDefault="000902B9" w:rsidP="000902B9">
      <w:pPr>
        <w:spacing w:line="360" w:lineRule="auto"/>
        <w:jc w:val="both"/>
        <w:rPr>
          <w:rFonts w:ascii="Book Antiqua" w:eastAsia="宋体" w:hAnsi="Book Antiqua" w:cs="宋体"/>
          <w:color w:val="000000"/>
          <w:lang w:eastAsia="zh-CN"/>
        </w:rPr>
      </w:pPr>
      <w:r w:rsidRPr="000902B9">
        <w:rPr>
          <w:rFonts w:ascii="Book Antiqua" w:eastAsia="宋体" w:hAnsi="Book Antiqua" w:cs="宋体"/>
          <w:color w:val="000000"/>
          <w:lang w:eastAsia="zh-CN"/>
        </w:rPr>
        <w:t>8 </w:t>
      </w:r>
      <w:proofErr w:type="spellStart"/>
      <w:r w:rsidRPr="000902B9">
        <w:rPr>
          <w:rFonts w:ascii="Book Antiqua" w:eastAsia="宋体" w:hAnsi="Book Antiqua" w:cs="宋体"/>
          <w:b/>
          <w:bCs/>
          <w:color w:val="000000"/>
          <w:lang w:eastAsia="zh-CN"/>
        </w:rPr>
        <w:t>Beaubrun</w:t>
      </w:r>
      <w:proofErr w:type="spellEnd"/>
      <w:r w:rsidRPr="000902B9">
        <w:rPr>
          <w:rFonts w:ascii="Book Antiqua" w:eastAsia="宋体" w:hAnsi="Book Antiqua" w:cs="宋体"/>
          <w:b/>
          <w:bCs/>
          <w:color w:val="000000"/>
          <w:lang w:eastAsia="zh-CN"/>
        </w:rPr>
        <w:t xml:space="preserve"> AC</w:t>
      </w:r>
      <w:r w:rsidRPr="000902B9">
        <w:rPr>
          <w:rFonts w:ascii="Book Antiqua" w:eastAsia="宋体" w:hAnsi="Book Antiqua" w:cs="宋体"/>
          <w:color w:val="000000"/>
          <w:lang w:eastAsia="zh-CN"/>
        </w:rPr>
        <w:t xml:space="preserve">, Kilpatrick RD, </w:t>
      </w:r>
      <w:proofErr w:type="spellStart"/>
      <w:r w:rsidRPr="000902B9">
        <w:rPr>
          <w:rFonts w:ascii="Book Antiqua" w:eastAsia="宋体" w:hAnsi="Book Antiqua" w:cs="宋体"/>
          <w:color w:val="000000"/>
          <w:lang w:eastAsia="zh-CN"/>
        </w:rPr>
        <w:t>Freburger</w:t>
      </w:r>
      <w:proofErr w:type="spellEnd"/>
      <w:r w:rsidRPr="000902B9">
        <w:rPr>
          <w:rFonts w:ascii="Book Antiqua" w:eastAsia="宋体" w:hAnsi="Book Antiqua" w:cs="宋体"/>
          <w:color w:val="000000"/>
          <w:lang w:eastAsia="zh-CN"/>
        </w:rPr>
        <w:t xml:space="preserve"> JK, Bradbury BD, Wang L, </w:t>
      </w:r>
      <w:proofErr w:type="spellStart"/>
      <w:r w:rsidRPr="000902B9">
        <w:rPr>
          <w:rFonts w:ascii="Book Antiqua" w:eastAsia="宋体" w:hAnsi="Book Antiqua" w:cs="宋体"/>
          <w:color w:val="000000"/>
          <w:lang w:eastAsia="zh-CN"/>
        </w:rPr>
        <w:t>Brookhart</w:t>
      </w:r>
      <w:proofErr w:type="spellEnd"/>
      <w:r w:rsidRPr="000902B9">
        <w:rPr>
          <w:rFonts w:ascii="Book Antiqua" w:eastAsia="宋体" w:hAnsi="Book Antiqua" w:cs="宋体"/>
          <w:color w:val="000000"/>
          <w:lang w:eastAsia="zh-CN"/>
        </w:rPr>
        <w:t xml:space="preserve"> MA. Temporal trends in fracture rates and </w:t>
      </w:r>
      <w:proofErr w:type="spellStart"/>
      <w:r w:rsidRPr="000902B9">
        <w:rPr>
          <w:rFonts w:ascii="Book Antiqua" w:eastAsia="宋体" w:hAnsi="Book Antiqua" w:cs="宋体"/>
          <w:color w:val="000000"/>
          <w:lang w:eastAsia="zh-CN"/>
        </w:rPr>
        <w:t>postdischarge</w:t>
      </w:r>
      <w:proofErr w:type="spellEnd"/>
      <w:r w:rsidRPr="000902B9">
        <w:rPr>
          <w:rFonts w:ascii="Book Antiqua" w:eastAsia="宋体" w:hAnsi="Book Antiqua" w:cs="宋体"/>
          <w:color w:val="000000"/>
          <w:lang w:eastAsia="zh-CN"/>
        </w:rPr>
        <w:t xml:space="preserve"> outcomes among hemodialysis patients. </w:t>
      </w:r>
      <w:r w:rsidRPr="000902B9">
        <w:rPr>
          <w:rFonts w:ascii="Book Antiqua" w:eastAsia="宋体" w:hAnsi="Book Antiqua" w:cs="宋体"/>
          <w:i/>
          <w:iCs/>
          <w:color w:val="000000"/>
          <w:lang w:eastAsia="zh-CN"/>
        </w:rPr>
        <w:t xml:space="preserve">J Am </w:t>
      </w:r>
      <w:proofErr w:type="spellStart"/>
      <w:r w:rsidRPr="000902B9">
        <w:rPr>
          <w:rFonts w:ascii="Book Antiqua" w:eastAsia="宋体" w:hAnsi="Book Antiqua" w:cs="宋体"/>
          <w:i/>
          <w:iCs/>
          <w:color w:val="000000"/>
          <w:lang w:eastAsia="zh-CN"/>
        </w:rPr>
        <w:t>Soc</w:t>
      </w:r>
      <w:proofErr w:type="spellEnd"/>
      <w:r w:rsidRPr="000902B9">
        <w:rPr>
          <w:rFonts w:ascii="Book Antiqua" w:eastAsia="宋体" w:hAnsi="Book Antiqua" w:cs="宋体"/>
          <w:i/>
          <w:iCs/>
          <w:color w:val="000000"/>
          <w:lang w:eastAsia="zh-CN"/>
        </w:rPr>
        <w:t xml:space="preserve"> </w:t>
      </w:r>
      <w:proofErr w:type="spellStart"/>
      <w:r w:rsidRPr="000902B9">
        <w:rPr>
          <w:rFonts w:ascii="Book Antiqua" w:eastAsia="宋体" w:hAnsi="Book Antiqua" w:cs="宋体"/>
          <w:i/>
          <w:iCs/>
          <w:color w:val="000000"/>
          <w:lang w:eastAsia="zh-CN"/>
        </w:rPr>
        <w:t>Nephrol</w:t>
      </w:r>
      <w:proofErr w:type="spellEnd"/>
      <w:r w:rsidRPr="000902B9">
        <w:rPr>
          <w:rFonts w:ascii="Book Antiqua" w:eastAsia="宋体" w:hAnsi="Book Antiqua" w:cs="宋体"/>
          <w:color w:val="000000"/>
          <w:lang w:eastAsia="zh-CN"/>
        </w:rPr>
        <w:t> 2013; </w:t>
      </w:r>
      <w:r w:rsidRPr="000902B9">
        <w:rPr>
          <w:rFonts w:ascii="Book Antiqua" w:eastAsia="宋体" w:hAnsi="Book Antiqua" w:cs="宋体"/>
          <w:b/>
          <w:bCs/>
          <w:color w:val="000000"/>
          <w:lang w:eastAsia="zh-CN"/>
        </w:rPr>
        <w:t>24</w:t>
      </w:r>
      <w:r w:rsidRPr="000902B9">
        <w:rPr>
          <w:rFonts w:ascii="Book Antiqua" w:eastAsia="宋体" w:hAnsi="Book Antiqua" w:cs="宋体"/>
          <w:color w:val="000000"/>
          <w:lang w:eastAsia="zh-CN"/>
        </w:rPr>
        <w:t>: 1461-1469 [PMID: 23744885 DOI: 10.1681/ASN2012090916]</w:t>
      </w:r>
    </w:p>
    <w:p w:rsidR="000902B9" w:rsidRPr="000902B9" w:rsidRDefault="000902B9" w:rsidP="000902B9">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9 </w:t>
      </w:r>
      <w:r w:rsidRPr="000902B9">
        <w:rPr>
          <w:rFonts w:ascii="Book Antiqua" w:eastAsia="宋体" w:hAnsi="Book Antiqua" w:cs="宋体"/>
          <w:b/>
          <w:color w:val="000000"/>
          <w:lang w:eastAsia="zh-CN"/>
        </w:rPr>
        <w:t>US Renal Data System</w:t>
      </w:r>
      <w:r w:rsidRPr="000902B9">
        <w:rPr>
          <w:rFonts w:ascii="Book Antiqua" w:eastAsia="宋体" w:hAnsi="Book Antiqua" w:cs="宋体"/>
          <w:color w:val="000000"/>
          <w:lang w:eastAsia="zh-CN"/>
        </w:rPr>
        <w:t>. USRDS 2008 Annual Data Report: Atlas of Chronic Kidney Disease and End-Stage Renal Disease in the US. Bethesda, MD: National Institutes of Health, National Institute of Diabetes and Digestive and Kidney Diseases, 2008: 112-115</w:t>
      </w:r>
    </w:p>
    <w:p w:rsidR="000902B9" w:rsidRPr="000902B9" w:rsidRDefault="000902B9" w:rsidP="000902B9">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10 </w:t>
      </w:r>
      <w:r w:rsidRPr="000902B9">
        <w:rPr>
          <w:rFonts w:ascii="Book Antiqua" w:eastAsia="宋体" w:hAnsi="Book Antiqua" w:cs="宋体"/>
          <w:b/>
          <w:color w:val="000000"/>
          <w:lang w:eastAsia="zh-CN"/>
        </w:rPr>
        <w:t xml:space="preserve">US Renal Data System. </w:t>
      </w:r>
      <w:r w:rsidRPr="000902B9">
        <w:rPr>
          <w:rFonts w:ascii="Book Antiqua" w:eastAsia="宋体" w:hAnsi="Book Antiqua" w:cs="宋体"/>
          <w:color w:val="000000"/>
          <w:lang w:eastAsia="zh-CN"/>
        </w:rPr>
        <w:t>USRDS 2011 Annual Data Report: Atlas of Chronic Kidney Disease and End-Stage Renal Disease in the US. Bethesda, MD: National Institutes of Health, National Institute of Diabetes and Digestive and Kidney Diseases, 2011: Chapter 9</w:t>
      </w:r>
    </w:p>
    <w:p w:rsidR="000902B9" w:rsidRPr="000902B9" w:rsidRDefault="000902B9" w:rsidP="000902B9">
      <w:pPr>
        <w:spacing w:line="360" w:lineRule="auto"/>
        <w:jc w:val="both"/>
        <w:rPr>
          <w:rFonts w:ascii="Book Antiqua" w:eastAsia="宋体" w:hAnsi="Book Antiqua" w:cs="宋体"/>
          <w:color w:val="000000"/>
          <w:lang w:eastAsia="zh-CN"/>
        </w:rPr>
      </w:pPr>
      <w:r w:rsidRPr="000902B9">
        <w:rPr>
          <w:rFonts w:ascii="Book Antiqua" w:eastAsia="宋体" w:hAnsi="Book Antiqua" w:cs="宋体"/>
          <w:color w:val="000000"/>
          <w:lang w:eastAsia="zh-CN"/>
        </w:rPr>
        <w:t>11 </w:t>
      </w:r>
      <w:proofErr w:type="spellStart"/>
      <w:r w:rsidRPr="000902B9">
        <w:rPr>
          <w:rFonts w:ascii="Book Antiqua" w:eastAsia="宋体" w:hAnsi="Book Antiqua" w:cs="宋体"/>
          <w:b/>
          <w:bCs/>
          <w:color w:val="000000"/>
          <w:lang w:eastAsia="zh-CN"/>
        </w:rPr>
        <w:t>Abellan</w:t>
      </w:r>
      <w:proofErr w:type="spellEnd"/>
      <w:r w:rsidRPr="000902B9">
        <w:rPr>
          <w:rFonts w:ascii="Book Antiqua" w:eastAsia="宋体" w:hAnsi="Book Antiqua" w:cs="宋体"/>
          <w:b/>
          <w:bCs/>
          <w:color w:val="000000"/>
          <w:lang w:eastAsia="zh-CN"/>
        </w:rPr>
        <w:t xml:space="preserve"> van </w:t>
      </w:r>
      <w:proofErr w:type="spellStart"/>
      <w:r w:rsidRPr="000902B9">
        <w:rPr>
          <w:rFonts w:ascii="Book Antiqua" w:eastAsia="宋体" w:hAnsi="Book Antiqua" w:cs="宋体"/>
          <w:b/>
          <w:bCs/>
          <w:color w:val="000000"/>
          <w:lang w:eastAsia="zh-CN"/>
        </w:rPr>
        <w:t>Kan</w:t>
      </w:r>
      <w:proofErr w:type="spellEnd"/>
      <w:r w:rsidRPr="000902B9">
        <w:rPr>
          <w:rFonts w:ascii="Book Antiqua" w:eastAsia="宋体" w:hAnsi="Book Antiqua" w:cs="宋体"/>
          <w:b/>
          <w:bCs/>
          <w:color w:val="000000"/>
          <w:lang w:eastAsia="zh-CN"/>
        </w:rPr>
        <w:t xml:space="preserve"> G</w:t>
      </w:r>
      <w:r w:rsidRPr="000902B9">
        <w:rPr>
          <w:rFonts w:ascii="Book Antiqua" w:eastAsia="宋体" w:hAnsi="Book Antiqua" w:cs="宋体"/>
          <w:color w:val="000000"/>
          <w:lang w:eastAsia="zh-CN"/>
        </w:rPr>
        <w:t xml:space="preserve">, Rolland Y, </w:t>
      </w:r>
      <w:proofErr w:type="spellStart"/>
      <w:r w:rsidRPr="000902B9">
        <w:rPr>
          <w:rFonts w:ascii="Book Antiqua" w:eastAsia="宋体" w:hAnsi="Book Antiqua" w:cs="宋体"/>
          <w:color w:val="000000"/>
          <w:lang w:eastAsia="zh-CN"/>
        </w:rPr>
        <w:t>Andrieu</w:t>
      </w:r>
      <w:proofErr w:type="spellEnd"/>
      <w:r w:rsidRPr="000902B9">
        <w:rPr>
          <w:rFonts w:ascii="Book Antiqua" w:eastAsia="宋体" w:hAnsi="Book Antiqua" w:cs="宋体"/>
          <w:color w:val="000000"/>
          <w:lang w:eastAsia="zh-CN"/>
        </w:rPr>
        <w:t xml:space="preserve"> S, Bauer J, </w:t>
      </w:r>
      <w:proofErr w:type="spellStart"/>
      <w:r w:rsidRPr="000902B9">
        <w:rPr>
          <w:rFonts w:ascii="Book Antiqua" w:eastAsia="宋体" w:hAnsi="Book Antiqua" w:cs="宋体"/>
          <w:color w:val="000000"/>
          <w:lang w:eastAsia="zh-CN"/>
        </w:rPr>
        <w:t>Beauchet</w:t>
      </w:r>
      <w:proofErr w:type="spellEnd"/>
      <w:r w:rsidRPr="000902B9">
        <w:rPr>
          <w:rFonts w:ascii="Book Antiqua" w:eastAsia="宋体" w:hAnsi="Book Antiqua" w:cs="宋体"/>
          <w:color w:val="000000"/>
          <w:lang w:eastAsia="zh-CN"/>
        </w:rPr>
        <w:t xml:space="preserve"> O, </w:t>
      </w:r>
      <w:proofErr w:type="spellStart"/>
      <w:r w:rsidRPr="000902B9">
        <w:rPr>
          <w:rFonts w:ascii="Book Antiqua" w:eastAsia="宋体" w:hAnsi="Book Antiqua" w:cs="宋体"/>
          <w:color w:val="000000"/>
          <w:lang w:eastAsia="zh-CN"/>
        </w:rPr>
        <w:t>Bonnefoy</w:t>
      </w:r>
      <w:proofErr w:type="spellEnd"/>
      <w:r w:rsidRPr="000902B9">
        <w:rPr>
          <w:rFonts w:ascii="Book Antiqua" w:eastAsia="宋体" w:hAnsi="Book Antiqua" w:cs="宋体"/>
          <w:color w:val="000000"/>
          <w:lang w:eastAsia="zh-CN"/>
        </w:rPr>
        <w:t xml:space="preserve"> M, </w:t>
      </w:r>
      <w:proofErr w:type="spellStart"/>
      <w:r w:rsidRPr="000902B9">
        <w:rPr>
          <w:rFonts w:ascii="Book Antiqua" w:eastAsia="宋体" w:hAnsi="Book Antiqua" w:cs="宋体"/>
          <w:color w:val="000000"/>
          <w:lang w:eastAsia="zh-CN"/>
        </w:rPr>
        <w:t>Cesari</w:t>
      </w:r>
      <w:proofErr w:type="spellEnd"/>
      <w:r w:rsidRPr="000902B9">
        <w:rPr>
          <w:rFonts w:ascii="Book Antiqua" w:eastAsia="宋体" w:hAnsi="Book Antiqua" w:cs="宋体"/>
          <w:color w:val="000000"/>
          <w:lang w:eastAsia="zh-CN"/>
        </w:rPr>
        <w:t xml:space="preserve"> M, </w:t>
      </w:r>
      <w:proofErr w:type="spellStart"/>
      <w:r w:rsidRPr="000902B9">
        <w:rPr>
          <w:rFonts w:ascii="Book Antiqua" w:eastAsia="宋体" w:hAnsi="Book Antiqua" w:cs="宋体"/>
          <w:color w:val="000000"/>
          <w:lang w:eastAsia="zh-CN"/>
        </w:rPr>
        <w:t>Donini</w:t>
      </w:r>
      <w:proofErr w:type="spellEnd"/>
      <w:r w:rsidRPr="000902B9">
        <w:rPr>
          <w:rFonts w:ascii="Book Antiqua" w:eastAsia="宋体" w:hAnsi="Book Antiqua" w:cs="宋体"/>
          <w:color w:val="000000"/>
          <w:lang w:eastAsia="zh-CN"/>
        </w:rPr>
        <w:t xml:space="preserve"> LM, Gillette </w:t>
      </w:r>
      <w:proofErr w:type="spellStart"/>
      <w:r w:rsidRPr="000902B9">
        <w:rPr>
          <w:rFonts w:ascii="Book Antiqua" w:eastAsia="宋体" w:hAnsi="Book Antiqua" w:cs="宋体"/>
          <w:color w:val="000000"/>
          <w:lang w:eastAsia="zh-CN"/>
        </w:rPr>
        <w:t>Guyonnet</w:t>
      </w:r>
      <w:proofErr w:type="spellEnd"/>
      <w:r w:rsidRPr="000902B9">
        <w:rPr>
          <w:rFonts w:ascii="Book Antiqua" w:eastAsia="宋体" w:hAnsi="Book Antiqua" w:cs="宋体"/>
          <w:color w:val="000000"/>
          <w:lang w:eastAsia="zh-CN"/>
        </w:rPr>
        <w:t xml:space="preserve"> S, </w:t>
      </w:r>
      <w:proofErr w:type="spellStart"/>
      <w:r w:rsidRPr="000902B9">
        <w:rPr>
          <w:rFonts w:ascii="Book Antiqua" w:eastAsia="宋体" w:hAnsi="Book Antiqua" w:cs="宋体"/>
          <w:color w:val="000000"/>
          <w:lang w:eastAsia="zh-CN"/>
        </w:rPr>
        <w:t>Inzitari</w:t>
      </w:r>
      <w:proofErr w:type="spellEnd"/>
      <w:r w:rsidRPr="000902B9">
        <w:rPr>
          <w:rFonts w:ascii="Book Antiqua" w:eastAsia="宋体" w:hAnsi="Book Antiqua" w:cs="宋体"/>
          <w:color w:val="000000"/>
          <w:lang w:eastAsia="zh-CN"/>
        </w:rPr>
        <w:t xml:space="preserve"> M, </w:t>
      </w:r>
      <w:proofErr w:type="spellStart"/>
      <w:r w:rsidRPr="000902B9">
        <w:rPr>
          <w:rFonts w:ascii="Book Antiqua" w:eastAsia="宋体" w:hAnsi="Book Antiqua" w:cs="宋体"/>
          <w:color w:val="000000"/>
          <w:lang w:eastAsia="zh-CN"/>
        </w:rPr>
        <w:t>Nourhashemi</w:t>
      </w:r>
      <w:proofErr w:type="spellEnd"/>
      <w:r w:rsidRPr="000902B9">
        <w:rPr>
          <w:rFonts w:ascii="Book Antiqua" w:eastAsia="宋体" w:hAnsi="Book Antiqua" w:cs="宋体"/>
          <w:color w:val="000000"/>
          <w:lang w:eastAsia="zh-CN"/>
        </w:rPr>
        <w:t xml:space="preserve"> F, </w:t>
      </w:r>
      <w:proofErr w:type="spellStart"/>
      <w:r w:rsidRPr="000902B9">
        <w:rPr>
          <w:rFonts w:ascii="Book Antiqua" w:eastAsia="宋体" w:hAnsi="Book Antiqua" w:cs="宋体"/>
          <w:color w:val="000000"/>
          <w:lang w:eastAsia="zh-CN"/>
        </w:rPr>
        <w:t>Onder</w:t>
      </w:r>
      <w:proofErr w:type="spellEnd"/>
      <w:r w:rsidRPr="000902B9">
        <w:rPr>
          <w:rFonts w:ascii="Book Antiqua" w:eastAsia="宋体" w:hAnsi="Book Antiqua" w:cs="宋体"/>
          <w:color w:val="000000"/>
          <w:lang w:eastAsia="zh-CN"/>
        </w:rPr>
        <w:t xml:space="preserve"> G, Ritz P, </w:t>
      </w:r>
      <w:proofErr w:type="spellStart"/>
      <w:r w:rsidRPr="000902B9">
        <w:rPr>
          <w:rFonts w:ascii="Book Antiqua" w:eastAsia="宋体" w:hAnsi="Book Antiqua" w:cs="宋体"/>
          <w:color w:val="000000"/>
          <w:lang w:eastAsia="zh-CN"/>
        </w:rPr>
        <w:t>Salva</w:t>
      </w:r>
      <w:proofErr w:type="spellEnd"/>
      <w:r w:rsidRPr="000902B9">
        <w:rPr>
          <w:rFonts w:ascii="Book Antiqua" w:eastAsia="宋体" w:hAnsi="Book Antiqua" w:cs="宋体"/>
          <w:color w:val="000000"/>
          <w:lang w:eastAsia="zh-CN"/>
        </w:rPr>
        <w:t xml:space="preserve"> A, </w:t>
      </w:r>
      <w:proofErr w:type="spellStart"/>
      <w:r w:rsidRPr="000902B9">
        <w:rPr>
          <w:rFonts w:ascii="Book Antiqua" w:eastAsia="宋体" w:hAnsi="Book Antiqua" w:cs="宋体"/>
          <w:color w:val="000000"/>
          <w:lang w:eastAsia="zh-CN"/>
        </w:rPr>
        <w:t>Visser</w:t>
      </w:r>
      <w:proofErr w:type="spellEnd"/>
      <w:r w:rsidRPr="000902B9">
        <w:rPr>
          <w:rFonts w:ascii="Book Antiqua" w:eastAsia="宋体" w:hAnsi="Book Antiqua" w:cs="宋体"/>
          <w:color w:val="000000"/>
          <w:lang w:eastAsia="zh-CN"/>
        </w:rPr>
        <w:t xml:space="preserve"> M, </w:t>
      </w:r>
      <w:proofErr w:type="spellStart"/>
      <w:r w:rsidRPr="000902B9">
        <w:rPr>
          <w:rFonts w:ascii="Book Antiqua" w:eastAsia="宋体" w:hAnsi="Book Antiqua" w:cs="宋体"/>
          <w:color w:val="000000"/>
          <w:lang w:eastAsia="zh-CN"/>
        </w:rPr>
        <w:t>Vellas</w:t>
      </w:r>
      <w:proofErr w:type="spellEnd"/>
      <w:r w:rsidRPr="000902B9">
        <w:rPr>
          <w:rFonts w:ascii="Book Antiqua" w:eastAsia="宋体" w:hAnsi="Book Antiqua" w:cs="宋体"/>
          <w:color w:val="000000"/>
          <w:lang w:eastAsia="zh-CN"/>
        </w:rPr>
        <w:t xml:space="preserve"> B. Gait speed at usual pace as a predictor of adverse outcomes in community-dwelling older people an International </w:t>
      </w:r>
      <w:r w:rsidRPr="000902B9">
        <w:rPr>
          <w:rFonts w:ascii="Book Antiqua" w:eastAsia="宋体" w:hAnsi="Book Antiqua" w:cs="宋体"/>
          <w:color w:val="000000"/>
          <w:lang w:eastAsia="zh-CN"/>
        </w:rPr>
        <w:lastRenderedPageBreak/>
        <w:t>Academy on Nutrition and Aging (IANA) Task Force. </w:t>
      </w:r>
      <w:r w:rsidRPr="000902B9">
        <w:rPr>
          <w:rFonts w:ascii="Book Antiqua" w:eastAsia="宋体" w:hAnsi="Book Antiqua" w:cs="宋体"/>
          <w:i/>
          <w:iCs/>
          <w:color w:val="000000"/>
          <w:lang w:eastAsia="zh-CN"/>
        </w:rPr>
        <w:t xml:space="preserve">J </w:t>
      </w:r>
      <w:proofErr w:type="spellStart"/>
      <w:r w:rsidRPr="000902B9">
        <w:rPr>
          <w:rFonts w:ascii="Book Antiqua" w:eastAsia="宋体" w:hAnsi="Book Antiqua" w:cs="宋体"/>
          <w:i/>
          <w:iCs/>
          <w:color w:val="000000"/>
          <w:lang w:eastAsia="zh-CN"/>
        </w:rPr>
        <w:t>Nutr</w:t>
      </w:r>
      <w:proofErr w:type="spellEnd"/>
      <w:r w:rsidRPr="000902B9">
        <w:rPr>
          <w:rFonts w:ascii="Book Antiqua" w:eastAsia="宋体" w:hAnsi="Book Antiqua" w:cs="宋体"/>
          <w:i/>
          <w:iCs/>
          <w:color w:val="000000"/>
          <w:lang w:eastAsia="zh-CN"/>
        </w:rPr>
        <w:t xml:space="preserve"> Health Aging</w:t>
      </w:r>
      <w:r w:rsidRPr="000902B9">
        <w:rPr>
          <w:rFonts w:ascii="Book Antiqua" w:eastAsia="宋体" w:hAnsi="Book Antiqua" w:cs="宋体"/>
          <w:color w:val="000000"/>
          <w:lang w:eastAsia="zh-CN"/>
        </w:rPr>
        <w:t> 2009; </w:t>
      </w:r>
      <w:r w:rsidRPr="000902B9">
        <w:rPr>
          <w:rFonts w:ascii="Book Antiqua" w:eastAsia="宋体" w:hAnsi="Book Antiqua" w:cs="宋体"/>
          <w:b/>
          <w:bCs/>
          <w:color w:val="000000"/>
          <w:lang w:eastAsia="zh-CN"/>
        </w:rPr>
        <w:t>13</w:t>
      </w:r>
      <w:r w:rsidRPr="000902B9">
        <w:rPr>
          <w:rFonts w:ascii="Book Antiqua" w:eastAsia="宋体" w:hAnsi="Book Antiqua" w:cs="宋体"/>
          <w:color w:val="000000"/>
          <w:lang w:eastAsia="zh-CN"/>
        </w:rPr>
        <w:t>: 881-889 [PMID: 19924348 DOI: 10.1007/s12603-009-0246-z]</w:t>
      </w:r>
    </w:p>
    <w:p w:rsidR="000902B9" w:rsidRPr="000902B9" w:rsidRDefault="000902B9" w:rsidP="000902B9">
      <w:pPr>
        <w:spacing w:line="360" w:lineRule="auto"/>
        <w:jc w:val="both"/>
        <w:rPr>
          <w:rFonts w:ascii="Book Antiqua" w:eastAsia="宋体" w:hAnsi="Book Antiqua" w:cs="宋体"/>
          <w:color w:val="000000"/>
          <w:lang w:eastAsia="zh-CN"/>
        </w:rPr>
      </w:pPr>
      <w:r w:rsidRPr="000902B9">
        <w:rPr>
          <w:rFonts w:ascii="Book Antiqua" w:eastAsia="宋体" w:hAnsi="Book Antiqua" w:cs="宋体"/>
          <w:color w:val="000000"/>
          <w:lang w:eastAsia="zh-CN"/>
        </w:rPr>
        <w:t>12 </w:t>
      </w:r>
      <w:r w:rsidRPr="000902B9">
        <w:rPr>
          <w:rFonts w:ascii="Book Antiqua" w:eastAsia="宋体" w:hAnsi="Book Antiqua" w:cs="宋体"/>
          <w:b/>
          <w:bCs/>
          <w:color w:val="000000"/>
          <w:lang w:eastAsia="zh-CN"/>
        </w:rPr>
        <w:t>Fried LP</w:t>
      </w:r>
      <w:r w:rsidRPr="000902B9">
        <w:rPr>
          <w:rFonts w:ascii="Book Antiqua" w:eastAsia="宋体" w:hAnsi="Book Antiqua" w:cs="宋体"/>
          <w:color w:val="000000"/>
          <w:lang w:eastAsia="zh-CN"/>
        </w:rPr>
        <w:t xml:space="preserve">, </w:t>
      </w:r>
      <w:proofErr w:type="spellStart"/>
      <w:r w:rsidRPr="000902B9">
        <w:rPr>
          <w:rFonts w:ascii="Book Antiqua" w:eastAsia="宋体" w:hAnsi="Book Antiqua" w:cs="宋体"/>
          <w:color w:val="000000"/>
          <w:lang w:eastAsia="zh-CN"/>
        </w:rPr>
        <w:t>Tangen</w:t>
      </w:r>
      <w:proofErr w:type="spellEnd"/>
      <w:r w:rsidRPr="000902B9">
        <w:rPr>
          <w:rFonts w:ascii="Book Antiqua" w:eastAsia="宋体" w:hAnsi="Book Antiqua" w:cs="宋体"/>
          <w:color w:val="000000"/>
          <w:lang w:eastAsia="zh-CN"/>
        </w:rPr>
        <w:t xml:space="preserve"> CM, </w:t>
      </w:r>
      <w:proofErr w:type="spellStart"/>
      <w:r w:rsidRPr="000902B9">
        <w:rPr>
          <w:rFonts w:ascii="Book Antiqua" w:eastAsia="宋体" w:hAnsi="Book Antiqua" w:cs="宋体"/>
          <w:color w:val="000000"/>
          <w:lang w:eastAsia="zh-CN"/>
        </w:rPr>
        <w:t>Walston</w:t>
      </w:r>
      <w:proofErr w:type="spellEnd"/>
      <w:r w:rsidRPr="000902B9">
        <w:rPr>
          <w:rFonts w:ascii="Book Antiqua" w:eastAsia="宋体" w:hAnsi="Book Antiqua" w:cs="宋体"/>
          <w:color w:val="000000"/>
          <w:lang w:eastAsia="zh-CN"/>
        </w:rPr>
        <w:t xml:space="preserve"> J, Newman AB, Hirsch C, </w:t>
      </w:r>
      <w:proofErr w:type="spellStart"/>
      <w:r w:rsidRPr="000902B9">
        <w:rPr>
          <w:rFonts w:ascii="Book Antiqua" w:eastAsia="宋体" w:hAnsi="Book Antiqua" w:cs="宋体"/>
          <w:color w:val="000000"/>
          <w:lang w:eastAsia="zh-CN"/>
        </w:rPr>
        <w:t>Gottdiener</w:t>
      </w:r>
      <w:proofErr w:type="spellEnd"/>
      <w:r w:rsidRPr="000902B9">
        <w:rPr>
          <w:rFonts w:ascii="Book Antiqua" w:eastAsia="宋体" w:hAnsi="Book Antiqua" w:cs="宋体"/>
          <w:color w:val="000000"/>
          <w:lang w:eastAsia="zh-CN"/>
        </w:rPr>
        <w:t xml:space="preserve"> J, </w:t>
      </w:r>
      <w:proofErr w:type="spellStart"/>
      <w:r w:rsidRPr="000902B9">
        <w:rPr>
          <w:rFonts w:ascii="Book Antiqua" w:eastAsia="宋体" w:hAnsi="Book Antiqua" w:cs="宋体"/>
          <w:color w:val="000000"/>
          <w:lang w:eastAsia="zh-CN"/>
        </w:rPr>
        <w:t>Seeman</w:t>
      </w:r>
      <w:proofErr w:type="spellEnd"/>
      <w:r w:rsidRPr="000902B9">
        <w:rPr>
          <w:rFonts w:ascii="Book Antiqua" w:eastAsia="宋体" w:hAnsi="Book Antiqua" w:cs="宋体"/>
          <w:color w:val="000000"/>
          <w:lang w:eastAsia="zh-CN"/>
        </w:rPr>
        <w:t xml:space="preserve"> T, Tracy R, Kop WJ, Burke G, </w:t>
      </w:r>
      <w:proofErr w:type="spellStart"/>
      <w:r w:rsidRPr="000902B9">
        <w:rPr>
          <w:rFonts w:ascii="Book Antiqua" w:eastAsia="宋体" w:hAnsi="Book Antiqua" w:cs="宋体"/>
          <w:color w:val="000000"/>
          <w:lang w:eastAsia="zh-CN"/>
        </w:rPr>
        <w:t>McBurnie</w:t>
      </w:r>
      <w:proofErr w:type="spellEnd"/>
      <w:r w:rsidRPr="000902B9">
        <w:rPr>
          <w:rFonts w:ascii="Book Antiqua" w:eastAsia="宋体" w:hAnsi="Book Antiqua" w:cs="宋体"/>
          <w:color w:val="000000"/>
          <w:lang w:eastAsia="zh-CN"/>
        </w:rPr>
        <w:t xml:space="preserve"> MA. Frailty in older adults: evidence for a phenotype. </w:t>
      </w:r>
      <w:r w:rsidRPr="000902B9">
        <w:rPr>
          <w:rFonts w:ascii="Book Antiqua" w:eastAsia="宋体" w:hAnsi="Book Antiqua" w:cs="宋体"/>
          <w:i/>
          <w:iCs/>
          <w:color w:val="000000"/>
          <w:lang w:eastAsia="zh-CN"/>
        </w:rPr>
        <w:t xml:space="preserve">J </w:t>
      </w:r>
      <w:proofErr w:type="spellStart"/>
      <w:r w:rsidRPr="000902B9">
        <w:rPr>
          <w:rFonts w:ascii="Book Antiqua" w:eastAsia="宋体" w:hAnsi="Book Antiqua" w:cs="宋体"/>
          <w:i/>
          <w:iCs/>
          <w:color w:val="000000"/>
          <w:lang w:eastAsia="zh-CN"/>
        </w:rPr>
        <w:t>Gerontol</w:t>
      </w:r>
      <w:proofErr w:type="spellEnd"/>
      <w:r w:rsidRPr="000902B9">
        <w:rPr>
          <w:rFonts w:ascii="Book Antiqua" w:eastAsia="宋体" w:hAnsi="Book Antiqua" w:cs="宋体"/>
          <w:i/>
          <w:iCs/>
          <w:color w:val="000000"/>
          <w:lang w:eastAsia="zh-CN"/>
        </w:rPr>
        <w:t xml:space="preserve"> A </w:t>
      </w:r>
      <w:proofErr w:type="spellStart"/>
      <w:r w:rsidRPr="000902B9">
        <w:rPr>
          <w:rFonts w:ascii="Book Antiqua" w:eastAsia="宋体" w:hAnsi="Book Antiqua" w:cs="宋体"/>
          <w:i/>
          <w:iCs/>
          <w:color w:val="000000"/>
          <w:lang w:eastAsia="zh-CN"/>
        </w:rPr>
        <w:t>Biol</w:t>
      </w:r>
      <w:proofErr w:type="spellEnd"/>
      <w:r w:rsidRPr="000902B9">
        <w:rPr>
          <w:rFonts w:ascii="Book Antiqua" w:eastAsia="宋体" w:hAnsi="Book Antiqua" w:cs="宋体"/>
          <w:i/>
          <w:iCs/>
          <w:color w:val="000000"/>
          <w:lang w:eastAsia="zh-CN"/>
        </w:rPr>
        <w:t xml:space="preserve"> </w:t>
      </w:r>
      <w:proofErr w:type="spellStart"/>
      <w:r w:rsidRPr="000902B9">
        <w:rPr>
          <w:rFonts w:ascii="Book Antiqua" w:eastAsia="宋体" w:hAnsi="Book Antiqua" w:cs="宋体"/>
          <w:i/>
          <w:iCs/>
          <w:color w:val="000000"/>
          <w:lang w:eastAsia="zh-CN"/>
        </w:rPr>
        <w:t>Sci</w:t>
      </w:r>
      <w:proofErr w:type="spellEnd"/>
      <w:r w:rsidRPr="000902B9">
        <w:rPr>
          <w:rFonts w:ascii="Book Antiqua" w:eastAsia="宋体" w:hAnsi="Book Antiqua" w:cs="宋体"/>
          <w:i/>
          <w:iCs/>
          <w:color w:val="000000"/>
          <w:lang w:eastAsia="zh-CN"/>
        </w:rPr>
        <w:t xml:space="preserve"> Med </w:t>
      </w:r>
      <w:proofErr w:type="spellStart"/>
      <w:r w:rsidRPr="000902B9">
        <w:rPr>
          <w:rFonts w:ascii="Book Antiqua" w:eastAsia="宋体" w:hAnsi="Book Antiqua" w:cs="宋体"/>
          <w:i/>
          <w:iCs/>
          <w:color w:val="000000"/>
          <w:lang w:eastAsia="zh-CN"/>
        </w:rPr>
        <w:t>Sci</w:t>
      </w:r>
      <w:proofErr w:type="spellEnd"/>
      <w:r w:rsidRPr="000902B9">
        <w:rPr>
          <w:rFonts w:ascii="Book Antiqua" w:eastAsia="宋体" w:hAnsi="Book Antiqua" w:cs="宋体"/>
          <w:color w:val="000000"/>
          <w:lang w:eastAsia="zh-CN"/>
        </w:rPr>
        <w:t> 2001; </w:t>
      </w:r>
      <w:r w:rsidRPr="000902B9">
        <w:rPr>
          <w:rFonts w:ascii="Book Antiqua" w:eastAsia="宋体" w:hAnsi="Book Antiqua" w:cs="宋体"/>
          <w:b/>
          <w:bCs/>
          <w:color w:val="000000"/>
          <w:lang w:eastAsia="zh-CN"/>
        </w:rPr>
        <w:t>56</w:t>
      </w:r>
      <w:r w:rsidRPr="000902B9">
        <w:rPr>
          <w:rFonts w:ascii="Book Antiqua" w:eastAsia="宋体" w:hAnsi="Book Antiqua" w:cs="宋体"/>
          <w:color w:val="000000"/>
          <w:lang w:eastAsia="zh-CN"/>
        </w:rPr>
        <w:t>: M146-M156 [PMID: 11253156 DOI: 10.1093/</w:t>
      </w:r>
      <w:proofErr w:type="spellStart"/>
      <w:r w:rsidRPr="000902B9">
        <w:rPr>
          <w:rFonts w:ascii="Book Antiqua" w:eastAsia="宋体" w:hAnsi="Book Antiqua" w:cs="宋体"/>
          <w:color w:val="000000"/>
          <w:lang w:eastAsia="zh-CN"/>
        </w:rPr>
        <w:t>gerona</w:t>
      </w:r>
      <w:proofErr w:type="spellEnd"/>
      <w:r w:rsidRPr="000902B9">
        <w:rPr>
          <w:rFonts w:ascii="Book Antiqua" w:eastAsia="宋体" w:hAnsi="Book Antiqua" w:cs="宋体"/>
          <w:color w:val="000000"/>
          <w:lang w:eastAsia="zh-CN"/>
        </w:rPr>
        <w:t>/56.3.M146]</w:t>
      </w:r>
    </w:p>
    <w:p w:rsidR="000902B9" w:rsidRPr="000902B9" w:rsidRDefault="000902B9" w:rsidP="000902B9">
      <w:pPr>
        <w:spacing w:line="360" w:lineRule="auto"/>
        <w:jc w:val="both"/>
        <w:rPr>
          <w:rFonts w:ascii="Book Antiqua" w:eastAsia="宋体" w:hAnsi="Book Antiqua" w:cs="宋体"/>
          <w:color w:val="000000"/>
          <w:lang w:eastAsia="zh-CN"/>
        </w:rPr>
      </w:pPr>
      <w:r w:rsidRPr="000902B9">
        <w:rPr>
          <w:rFonts w:ascii="Book Antiqua" w:eastAsia="宋体" w:hAnsi="Book Antiqua" w:cs="宋体"/>
          <w:color w:val="000000"/>
          <w:lang w:eastAsia="zh-CN"/>
        </w:rPr>
        <w:t>13 </w:t>
      </w:r>
      <w:proofErr w:type="spellStart"/>
      <w:r w:rsidRPr="000902B9">
        <w:rPr>
          <w:rFonts w:ascii="Book Antiqua" w:eastAsia="宋体" w:hAnsi="Book Antiqua" w:cs="宋体"/>
          <w:b/>
          <w:bCs/>
          <w:color w:val="000000"/>
          <w:lang w:eastAsia="zh-CN"/>
        </w:rPr>
        <w:t>Shlipak</w:t>
      </w:r>
      <w:proofErr w:type="spellEnd"/>
      <w:r w:rsidRPr="000902B9">
        <w:rPr>
          <w:rFonts w:ascii="Book Antiqua" w:eastAsia="宋体" w:hAnsi="Book Antiqua" w:cs="宋体"/>
          <w:b/>
          <w:bCs/>
          <w:color w:val="000000"/>
          <w:lang w:eastAsia="zh-CN"/>
        </w:rPr>
        <w:t xml:space="preserve"> MG</w:t>
      </w:r>
      <w:r w:rsidRPr="000902B9">
        <w:rPr>
          <w:rFonts w:ascii="Book Antiqua" w:eastAsia="宋体" w:hAnsi="Book Antiqua" w:cs="宋体"/>
          <w:color w:val="000000"/>
          <w:lang w:eastAsia="zh-CN"/>
        </w:rPr>
        <w:t xml:space="preserve">, </w:t>
      </w:r>
      <w:proofErr w:type="spellStart"/>
      <w:r w:rsidRPr="000902B9">
        <w:rPr>
          <w:rFonts w:ascii="Book Antiqua" w:eastAsia="宋体" w:hAnsi="Book Antiqua" w:cs="宋体"/>
          <w:color w:val="000000"/>
          <w:lang w:eastAsia="zh-CN"/>
        </w:rPr>
        <w:t>Stehman</w:t>
      </w:r>
      <w:proofErr w:type="spellEnd"/>
      <w:r w:rsidRPr="000902B9">
        <w:rPr>
          <w:rFonts w:ascii="Book Antiqua" w:eastAsia="宋体" w:hAnsi="Book Antiqua" w:cs="宋体"/>
          <w:color w:val="000000"/>
          <w:lang w:eastAsia="zh-CN"/>
        </w:rPr>
        <w:t xml:space="preserve">-Breen C, Fried LF, Song X, </w:t>
      </w:r>
      <w:proofErr w:type="spellStart"/>
      <w:r w:rsidRPr="000902B9">
        <w:rPr>
          <w:rFonts w:ascii="Book Antiqua" w:eastAsia="宋体" w:hAnsi="Book Antiqua" w:cs="宋体"/>
          <w:color w:val="000000"/>
          <w:lang w:eastAsia="zh-CN"/>
        </w:rPr>
        <w:t>Siscovick</w:t>
      </w:r>
      <w:proofErr w:type="spellEnd"/>
      <w:r w:rsidRPr="000902B9">
        <w:rPr>
          <w:rFonts w:ascii="Book Antiqua" w:eastAsia="宋体" w:hAnsi="Book Antiqua" w:cs="宋体"/>
          <w:color w:val="000000"/>
          <w:lang w:eastAsia="zh-CN"/>
        </w:rPr>
        <w:t xml:space="preserve"> D, Fried LP, </w:t>
      </w:r>
      <w:proofErr w:type="spellStart"/>
      <w:r w:rsidRPr="000902B9">
        <w:rPr>
          <w:rFonts w:ascii="Book Antiqua" w:eastAsia="宋体" w:hAnsi="Book Antiqua" w:cs="宋体"/>
          <w:color w:val="000000"/>
          <w:lang w:eastAsia="zh-CN"/>
        </w:rPr>
        <w:t>Psaty</w:t>
      </w:r>
      <w:proofErr w:type="spellEnd"/>
      <w:r w:rsidRPr="000902B9">
        <w:rPr>
          <w:rFonts w:ascii="Book Antiqua" w:eastAsia="宋体" w:hAnsi="Book Antiqua" w:cs="宋体"/>
          <w:color w:val="000000"/>
          <w:lang w:eastAsia="zh-CN"/>
        </w:rPr>
        <w:t xml:space="preserve"> BM, Newman AB. </w:t>
      </w:r>
      <w:proofErr w:type="gramStart"/>
      <w:r w:rsidRPr="000902B9">
        <w:rPr>
          <w:rFonts w:ascii="Book Antiqua" w:eastAsia="宋体" w:hAnsi="Book Antiqua" w:cs="宋体"/>
          <w:color w:val="000000"/>
          <w:lang w:eastAsia="zh-CN"/>
        </w:rPr>
        <w:t>The presence of frailty in elderly persons with chronic renal insufficiency.</w:t>
      </w:r>
      <w:proofErr w:type="gramEnd"/>
      <w:r w:rsidRPr="000902B9">
        <w:rPr>
          <w:rFonts w:ascii="Book Antiqua" w:eastAsia="宋体" w:hAnsi="Book Antiqua" w:cs="宋体"/>
          <w:color w:val="000000"/>
          <w:lang w:eastAsia="zh-CN"/>
        </w:rPr>
        <w:t> </w:t>
      </w:r>
      <w:r w:rsidRPr="000902B9">
        <w:rPr>
          <w:rFonts w:ascii="Book Antiqua" w:eastAsia="宋体" w:hAnsi="Book Antiqua" w:cs="宋体"/>
          <w:i/>
          <w:iCs/>
          <w:color w:val="000000"/>
          <w:lang w:eastAsia="zh-CN"/>
        </w:rPr>
        <w:t>Am J Kidney Dis</w:t>
      </w:r>
      <w:r w:rsidRPr="000902B9">
        <w:rPr>
          <w:rFonts w:ascii="Book Antiqua" w:eastAsia="宋体" w:hAnsi="Book Antiqua" w:cs="宋体"/>
          <w:color w:val="000000"/>
          <w:lang w:eastAsia="zh-CN"/>
        </w:rPr>
        <w:t> 2004; </w:t>
      </w:r>
      <w:r w:rsidRPr="000902B9">
        <w:rPr>
          <w:rFonts w:ascii="Book Antiqua" w:eastAsia="宋体" w:hAnsi="Book Antiqua" w:cs="宋体"/>
          <w:b/>
          <w:bCs/>
          <w:color w:val="000000"/>
          <w:lang w:eastAsia="zh-CN"/>
        </w:rPr>
        <w:t>43</w:t>
      </w:r>
      <w:r w:rsidRPr="000902B9">
        <w:rPr>
          <w:rFonts w:ascii="Book Antiqua" w:eastAsia="宋体" w:hAnsi="Book Antiqua" w:cs="宋体"/>
          <w:color w:val="000000"/>
          <w:lang w:eastAsia="zh-CN"/>
        </w:rPr>
        <w:t>: 861-867 [PMID: 15112177 DOI: 10.1053/j.ajkd.2003.12.049]</w:t>
      </w:r>
    </w:p>
    <w:p w:rsidR="000902B9" w:rsidRPr="000902B9" w:rsidRDefault="000902B9" w:rsidP="000902B9">
      <w:pPr>
        <w:spacing w:line="360" w:lineRule="auto"/>
        <w:jc w:val="both"/>
        <w:rPr>
          <w:rFonts w:ascii="Book Antiqua" w:eastAsia="宋体" w:hAnsi="Book Antiqua" w:cs="宋体"/>
          <w:color w:val="000000"/>
          <w:lang w:eastAsia="zh-CN"/>
        </w:rPr>
      </w:pPr>
      <w:r w:rsidRPr="000902B9">
        <w:rPr>
          <w:rFonts w:ascii="Book Antiqua" w:eastAsia="宋体" w:hAnsi="Book Antiqua" w:cs="宋体"/>
          <w:color w:val="000000"/>
          <w:lang w:eastAsia="zh-CN"/>
        </w:rPr>
        <w:t>14 </w:t>
      </w:r>
      <w:r w:rsidRPr="000902B9">
        <w:rPr>
          <w:rFonts w:ascii="Book Antiqua" w:eastAsia="宋体" w:hAnsi="Book Antiqua" w:cs="宋体"/>
          <w:b/>
          <w:bCs/>
          <w:color w:val="000000"/>
          <w:lang w:eastAsia="zh-CN"/>
        </w:rPr>
        <w:t>Wilhelm-</w:t>
      </w:r>
      <w:proofErr w:type="spellStart"/>
      <w:r w:rsidRPr="000902B9">
        <w:rPr>
          <w:rFonts w:ascii="Book Antiqua" w:eastAsia="宋体" w:hAnsi="Book Antiqua" w:cs="宋体"/>
          <w:b/>
          <w:bCs/>
          <w:color w:val="000000"/>
          <w:lang w:eastAsia="zh-CN"/>
        </w:rPr>
        <w:t>Leen</w:t>
      </w:r>
      <w:proofErr w:type="spellEnd"/>
      <w:r w:rsidRPr="000902B9">
        <w:rPr>
          <w:rFonts w:ascii="Book Antiqua" w:eastAsia="宋体" w:hAnsi="Book Antiqua" w:cs="宋体"/>
          <w:b/>
          <w:bCs/>
          <w:color w:val="000000"/>
          <w:lang w:eastAsia="zh-CN"/>
        </w:rPr>
        <w:t xml:space="preserve"> ER</w:t>
      </w:r>
      <w:r w:rsidRPr="000902B9">
        <w:rPr>
          <w:rFonts w:ascii="Book Antiqua" w:eastAsia="宋体" w:hAnsi="Book Antiqua" w:cs="宋体"/>
          <w:color w:val="000000"/>
          <w:lang w:eastAsia="zh-CN"/>
        </w:rPr>
        <w:t xml:space="preserve">, Hall YN, K Tamura M, </w:t>
      </w:r>
      <w:proofErr w:type="spellStart"/>
      <w:r w:rsidRPr="000902B9">
        <w:rPr>
          <w:rFonts w:ascii="Book Antiqua" w:eastAsia="宋体" w:hAnsi="Book Antiqua" w:cs="宋体"/>
          <w:color w:val="000000"/>
          <w:lang w:eastAsia="zh-CN"/>
        </w:rPr>
        <w:t>Chertow</w:t>
      </w:r>
      <w:proofErr w:type="spellEnd"/>
      <w:r w:rsidRPr="000902B9">
        <w:rPr>
          <w:rFonts w:ascii="Book Antiqua" w:eastAsia="宋体" w:hAnsi="Book Antiqua" w:cs="宋体"/>
          <w:color w:val="000000"/>
          <w:lang w:eastAsia="zh-CN"/>
        </w:rPr>
        <w:t xml:space="preserve"> GM. Frailty and chronic kidney disease: the Third National Health and Nutrition Evaluation Survey. </w:t>
      </w:r>
      <w:r w:rsidRPr="000902B9">
        <w:rPr>
          <w:rFonts w:ascii="Book Antiqua" w:eastAsia="宋体" w:hAnsi="Book Antiqua" w:cs="宋体"/>
          <w:i/>
          <w:iCs/>
          <w:color w:val="000000"/>
          <w:lang w:eastAsia="zh-CN"/>
        </w:rPr>
        <w:t>Am J Med</w:t>
      </w:r>
      <w:r w:rsidRPr="000902B9">
        <w:rPr>
          <w:rFonts w:ascii="Book Antiqua" w:eastAsia="宋体" w:hAnsi="Book Antiqua" w:cs="宋体"/>
          <w:color w:val="000000"/>
          <w:lang w:eastAsia="zh-CN"/>
        </w:rPr>
        <w:t> 2009; </w:t>
      </w:r>
      <w:r w:rsidRPr="000902B9">
        <w:rPr>
          <w:rFonts w:ascii="Book Antiqua" w:eastAsia="宋体" w:hAnsi="Book Antiqua" w:cs="宋体"/>
          <w:b/>
          <w:bCs/>
          <w:color w:val="000000"/>
          <w:lang w:eastAsia="zh-CN"/>
        </w:rPr>
        <w:t>122</w:t>
      </w:r>
      <w:r w:rsidRPr="000902B9">
        <w:rPr>
          <w:rFonts w:ascii="Book Antiqua" w:eastAsia="宋体" w:hAnsi="Book Antiqua" w:cs="宋体"/>
          <w:color w:val="000000"/>
          <w:lang w:eastAsia="zh-CN"/>
        </w:rPr>
        <w:t>: 664-71.e2 [PMID: 19559169 DOI: 10.1016/amjmed.2009.01.026]</w:t>
      </w:r>
    </w:p>
    <w:p w:rsidR="000902B9" w:rsidRPr="000902B9" w:rsidRDefault="000902B9" w:rsidP="000902B9">
      <w:pPr>
        <w:spacing w:line="360" w:lineRule="auto"/>
        <w:jc w:val="both"/>
        <w:rPr>
          <w:rFonts w:ascii="Book Antiqua" w:eastAsia="宋体" w:hAnsi="Book Antiqua" w:cs="宋体"/>
          <w:color w:val="000000"/>
          <w:lang w:eastAsia="zh-CN"/>
        </w:rPr>
      </w:pPr>
      <w:r w:rsidRPr="000902B9">
        <w:rPr>
          <w:rFonts w:ascii="Book Antiqua" w:eastAsia="宋体" w:hAnsi="Book Antiqua" w:cs="宋体"/>
          <w:color w:val="000000"/>
          <w:lang w:eastAsia="zh-CN"/>
        </w:rPr>
        <w:t>15 </w:t>
      </w:r>
      <w:proofErr w:type="spellStart"/>
      <w:r w:rsidRPr="000902B9">
        <w:rPr>
          <w:rFonts w:ascii="Book Antiqua" w:eastAsia="宋体" w:hAnsi="Book Antiqua" w:cs="宋体"/>
          <w:b/>
          <w:bCs/>
          <w:color w:val="000000"/>
          <w:lang w:eastAsia="zh-CN"/>
        </w:rPr>
        <w:t>Roshanravan</w:t>
      </w:r>
      <w:proofErr w:type="spellEnd"/>
      <w:r w:rsidRPr="000902B9">
        <w:rPr>
          <w:rFonts w:ascii="Book Antiqua" w:eastAsia="宋体" w:hAnsi="Book Antiqua" w:cs="宋体"/>
          <w:b/>
          <w:bCs/>
          <w:color w:val="000000"/>
          <w:lang w:eastAsia="zh-CN"/>
        </w:rPr>
        <w:t xml:space="preserve"> B</w:t>
      </w:r>
      <w:r w:rsidRPr="000902B9">
        <w:rPr>
          <w:rFonts w:ascii="Book Antiqua" w:eastAsia="宋体" w:hAnsi="Book Antiqua" w:cs="宋体"/>
          <w:color w:val="000000"/>
          <w:lang w:eastAsia="zh-CN"/>
        </w:rPr>
        <w:t xml:space="preserve">, Khatri M, Robinson-Cohen C, Levin G, Patel KV, de Boer IH, </w:t>
      </w:r>
      <w:proofErr w:type="spellStart"/>
      <w:r w:rsidRPr="000902B9">
        <w:rPr>
          <w:rFonts w:ascii="Book Antiqua" w:eastAsia="宋体" w:hAnsi="Book Antiqua" w:cs="宋体"/>
          <w:color w:val="000000"/>
          <w:lang w:eastAsia="zh-CN"/>
        </w:rPr>
        <w:t>Seliger</w:t>
      </w:r>
      <w:proofErr w:type="spellEnd"/>
      <w:r w:rsidRPr="000902B9">
        <w:rPr>
          <w:rFonts w:ascii="Book Antiqua" w:eastAsia="宋体" w:hAnsi="Book Antiqua" w:cs="宋体"/>
          <w:color w:val="000000"/>
          <w:lang w:eastAsia="zh-CN"/>
        </w:rPr>
        <w:t xml:space="preserve"> S, </w:t>
      </w:r>
      <w:proofErr w:type="spellStart"/>
      <w:r w:rsidRPr="000902B9">
        <w:rPr>
          <w:rFonts w:ascii="Book Antiqua" w:eastAsia="宋体" w:hAnsi="Book Antiqua" w:cs="宋体"/>
          <w:color w:val="000000"/>
          <w:lang w:eastAsia="zh-CN"/>
        </w:rPr>
        <w:t>Ruzinski</w:t>
      </w:r>
      <w:proofErr w:type="spellEnd"/>
      <w:r w:rsidRPr="000902B9">
        <w:rPr>
          <w:rFonts w:ascii="Book Antiqua" w:eastAsia="宋体" w:hAnsi="Book Antiqua" w:cs="宋体"/>
          <w:color w:val="000000"/>
          <w:lang w:eastAsia="zh-CN"/>
        </w:rPr>
        <w:t xml:space="preserve"> J, </w:t>
      </w:r>
      <w:proofErr w:type="spellStart"/>
      <w:r w:rsidRPr="000902B9">
        <w:rPr>
          <w:rFonts w:ascii="Book Antiqua" w:eastAsia="宋体" w:hAnsi="Book Antiqua" w:cs="宋体"/>
          <w:color w:val="000000"/>
          <w:lang w:eastAsia="zh-CN"/>
        </w:rPr>
        <w:t>Himmelfarb</w:t>
      </w:r>
      <w:proofErr w:type="spellEnd"/>
      <w:r w:rsidRPr="000902B9">
        <w:rPr>
          <w:rFonts w:ascii="Book Antiqua" w:eastAsia="宋体" w:hAnsi="Book Antiqua" w:cs="宋体"/>
          <w:color w:val="000000"/>
          <w:lang w:eastAsia="zh-CN"/>
        </w:rPr>
        <w:t xml:space="preserve"> J, </w:t>
      </w:r>
      <w:proofErr w:type="spellStart"/>
      <w:r w:rsidRPr="000902B9">
        <w:rPr>
          <w:rFonts w:ascii="Book Antiqua" w:eastAsia="宋体" w:hAnsi="Book Antiqua" w:cs="宋体"/>
          <w:color w:val="000000"/>
          <w:lang w:eastAsia="zh-CN"/>
        </w:rPr>
        <w:t>Kestenbaum</w:t>
      </w:r>
      <w:proofErr w:type="spellEnd"/>
      <w:r w:rsidRPr="000902B9">
        <w:rPr>
          <w:rFonts w:ascii="Book Antiqua" w:eastAsia="宋体" w:hAnsi="Book Antiqua" w:cs="宋体"/>
          <w:color w:val="000000"/>
          <w:lang w:eastAsia="zh-CN"/>
        </w:rPr>
        <w:t xml:space="preserve"> B. </w:t>
      </w:r>
      <w:proofErr w:type="gramStart"/>
      <w:r w:rsidRPr="000902B9">
        <w:rPr>
          <w:rFonts w:ascii="Book Antiqua" w:eastAsia="宋体" w:hAnsi="Book Antiqua" w:cs="宋体"/>
          <w:color w:val="000000"/>
          <w:lang w:eastAsia="zh-CN"/>
        </w:rPr>
        <w:t>A prospective study of frailty in nephrology-referred patients with CKD.</w:t>
      </w:r>
      <w:proofErr w:type="gramEnd"/>
      <w:r w:rsidRPr="000902B9">
        <w:rPr>
          <w:rFonts w:ascii="Book Antiqua" w:eastAsia="宋体" w:hAnsi="Book Antiqua" w:cs="宋体"/>
          <w:color w:val="000000"/>
          <w:lang w:eastAsia="zh-CN"/>
        </w:rPr>
        <w:t> </w:t>
      </w:r>
      <w:r w:rsidRPr="000902B9">
        <w:rPr>
          <w:rFonts w:ascii="Book Antiqua" w:eastAsia="宋体" w:hAnsi="Book Antiqua" w:cs="宋体"/>
          <w:i/>
          <w:iCs/>
          <w:color w:val="000000"/>
          <w:lang w:eastAsia="zh-CN"/>
        </w:rPr>
        <w:t>Am J Kidney Dis</w:t>
      </w:r>
      <w:r w:rsidRPr="000902B9">
        <w:rPr>
          <w:rFonts w:ascii="Book Antiqua" w:eastAsia="宋体" w:hAnsi="Book Antiqua" w:cs="宋体"/>
          <w:color w:val="000000"/>
          <w:lang w:eastAsia="zh-CN"/>
        </w:rPr>
        <w:t> 2012; </w:t>
      </w:r>
      <w:r w:rsidRPr="000902B9">
        <w:rPr>
          <w:rFonts w:ascii="Book Antiqua" w:eastAsia="宋体" w:hAnsi="Book Antiqua" w:cs="宋体"/>
          <w:b/>
          <w:bCs/>
          <w:color w:val="000000"/>
          <w:lang w:eastAsia="zh-CN"/>
        </w:rPr>
        <w:t>60</w:t>
      </w:r>
      <w:r w:rsidRPr="000902B9">
        <w:rPr>
          <w:rFonts w:ascii="Book Antiqua" w:eastAsia="宋体" w:hAnsi="Book Antiqua" w:cs="宋体"/>
          <w:color w:val="000000"/>
          <w:lang w:eastAsia="zh-CN"/>
        </w:rPr>
        <w:t>: 912-921 [PMID: 22770927 DOI: 10.1053/j.ajkd.2012.05.017]</w:t>
      </w:r>
    </w:p>
    <w:p w:rsidR="000902B9" w:rsidRPr="000902B9" w:rsidRDefault="000902B9" w:rsidP="000902B9">
      <w:pPr>
        <w:spacing w:line="360" w:lineRule="auto"/>
        <w:jc w:val="both"/>
        <w:rPr>
          <w:rFonts w:ascii="Book Antiqua" w:eastAsia="宋体" w:hAnsi="Book Antiqua" w:cs="宋体"/>
          <w:color w:val="000000"/>
          <w:lang w:eastAsia="zh-CN"/>
        </w:rPr>
      </w:pPr>
      <w:r w:rsidRPr="000902B9">
        <w:rPr>
          <w:rFonts w:ascii="Book Antiqua" w:eastAsia="宋体" w:hAnsi="Book Antiqua" w:cs="宋体"/>
          <w:color w:val="000000"/>
          <w:lang w:eastAsia="zh-CN"/>
        </w:rPr>
        <w:t>16 </w:t>
      </w:r>
      <w:proofErr w:type="gramStart"/>
      <w:r w:rsidRPr="000902B9">
        <w:rPr>
          <w:rFonts w:ascii="Book Antiqua" w:eastAsia="宋体" w:hAnsi="Book Antiqua" w:cs="宋体"/>
          <w:b/>
          <w:bCs/>
          <w:color w:val="000000"/>
          <w:lang w:eastAsia="zh-CN"/>
        </w:rPr>
        <w:t>Painter</w:t>
      </w:r>
      <w:proofErr w:type="gramEnd"/>
      <w:r w:rsidRPr="000902B9">
        <w:rPr>
          <w:rFonts w:ascii="Book Antiqua" w:eastAsia="宋体" w:hAnsi="Book Antiqua" w:cs="宋体"/>
          <w:b/>
          <w:bCs/>
          <w:color w:val="000000"/>
          <w:lang w:eastAsia="zh-CN"/>
        </w:rPr>
        <w:t xml:space="preserve"> P</w:t>
      </w:r>
      <w:r w:rsidRPr="000902B9">
        <w:rPr>
          <w:rFonts w:ascii="Book Antiqua" w:eastAsia="宋体" w:hAnsi="Book Antiqua" w:cs="宋体"/>
          <w:color w:val="000000"/>
          <w:lang w:eastAsia="zh-CN"/>
        </w:rPr>
        <w:t xml:space="preserve">, </w:t>
      </w:r>
      <w:proofErr w:type="spellStart"/>
      <w:r w:rsidRPr="000902B9">
        <w:rPr>
          <w:rFonts w:ascii="Book Antiqua" w:eastAsia="宋体" w:hAnsi="Book Antiqua" w:cs="宋体"/>
          <w:color w:val="000000"/>
          <w:lang w:eastAsia="zh-CN"/>
        </w:rPr>
        <w:t>Kuskowski</w:t>
      </w:r>
      <w:proofErr w:type="spellEnd"/>
      <w:r w:rsidRPr="000902B9">
        <w:rPr>
          <w:rFonts w:ascii="Book Antiqua" w:eastAsia="宋体" w:hAnsi="Book Antiqua" w:cs="宋体"/>
          <w:color w:val="000000"/>
          <w:lang w:eastAsia="zh-CN"/>
        </w:rPr>
        <w:t xml:space="preserve"> M. A closer look at frailty in ESRD: getting the measure right. </w:t>
      </w:r>
      <w:proofErr w:type="spellStart"/>
      <w:r w:rsidRPr="000902B9">
        <w:rPr>
          <w:rFonts w:ascii="Book Antiqua" w:eastAsia="宋体" w:hAnsi="Book Antiqua" w:cs="宋体"/>
          <w:i/>
          <w:iCs/>
          <w:color w:val="000000"/>
          <w:lang w:eastAsia="zh-CN"/>
        </w:rPr>
        <w:t>Hemodial</w:t>
      </w:r>
      <w:proofErr w:type="spellEnd"/>
      <w:r w:rsidRPr="000902B9">
        <w:rPr>
          <w:rFonts w:ascii="Book Antiqua" w:eastAsia="宋体" w:hAnsi="Book Antiqua" w:cs="宋体"/>
          <w:i/>
          <w:iCs/>
          <w:color w:val="000000"/>
          <w:lang w:eastAsia="zh-CN"/>
        </w:rPr>
        <w:t xml:space="preserve"> </w:t>
      </w:r>
      <w:proofErr w:type="spellStart"/>
      <w:r w:rsidRPr="000902B9">
        <w:rPr>
          <w:rFonts w:ascii="Book Antiqua" w:eastAsia="宋体" w:hAnsi="Book Antiqua" w:cs="宋体"/>
          <w:i/>
          <w:iCs/>
          <w:color w:val="000000"/>
          <w:lang w:eastAsia="zh-CN"/>
        </w:rPr>
        <w:t>Int</w:t>
      </w:r>
      <w:proofErr w:type="spellEnd"/>
      <w:r w:rsidRPr="000902B9">
        <w:rPr>
          <w:rFonts w:ascii="Book Antiqua" w:eastAsia="宋体" w:hAnsi="Book Antiqua" w:cs="宋体"/>
          <w:color w:val="000000"/>
          <w:lang w:eastAsia="zh-CN"/>
        </w:rPr>
        <w:t> 2013; </w:t>
      </w:r>
      <w:r w:rsidRPr="000902B9">
        <w:rPr>
          <w:rFonts w:ascii="Book Antiqua" w:eastAsia="宋体" w:hAnsi="Book Antiqua" w:cs="宋体"/>
          <w:b/>
          <w:bCs/>
          <w:color w:val="000000"/>
          <w:lang w:eastAsia="zh-CN"/>
        </w:rPr>
        <w:t>17</w:t>
      </w:r>
      <w:r w:rsidRPr="000902B9">
        <w:rPr>
          <w:rFonts w:ascii="Book Antiqua" w:eastAsia="宋体" w:hAnsi="Book Antiqua" w:cs="宋体"/>
          <w:color w:val="000000"/>
          <w:lang w:eastAsia="zh-CN"/>
        </w:rPr>
        <w:t>: 41-49 [PMID: 22716227 DOI: 10.1111/j.1542-4758.2012.00719.x]</w:t>
      </w:r>
    </w:p>
    <w:p w:rsidR="000902B9" w:rsidRPr="000902B9" w:rsidRDefault="000902B9" w:rsidP="000902B9">
      <w:pPr>
        <w:spacing w:line="360" w:lineRule="auto"/>
        <w:jc w:val="both"/>
        <w:rPr>
          <w:rFonts w:ascii="Book Antiqua" w:eastAsia="宋体" w:hAnsi="Book Antiqua" w:cs="宋体"/>
          <w:color w:val="000000"/>
          <w:lang w:eastAsia="zh-CN"/>
        </w:rPr>
      </w:pPr>
      <w:proofErr w:type="gramStart"/>
      <w:r w:rsidRPr="000902B9">
        <w:rPr>
          <w:rFonts w:ascii="Book Antiqua" w:eastAsia="宋体" w:hAnsi="Book Antiqua" w:cs="宋体"/>
          <w:color w:val="000000"/>
          <w:lang w:eastAsia="zh-CN"/>
        </w:rPr>
        <w:t>17 </w:t>
      </w:r>
      <w:r w:rsidRPr="000902B9">
        <w:rPr>
          <w:rFonts w:ascii="Book Antiqua" w:eastAsia="宋体" w:hAnsi="Book Antiqua" w:cs="宋体"/>
          <w:b/>
          <w:bCs/>
          <w:color w:val="000000"/>
          <w:lang w:eastAsia="zh-CN"/>
        </w:rPr>
        <w:t>McAdams-DeMarco MA</w:t>
      </w:r>
      <w:r w:rsidRPr="000902B9">
        <w:rPr>
          <w:rFonts w:ascii="Book Antiqua" w:eastAsia="宋体" w:hAnsi="Book Antiqua" w:cs="宋体"/>
          <w:color w:val="000000"/>
          <w:lang w:eastAsia="zh-CN"/>
        </w:rPr>
        <w:t>,</w:t>
      </w:r>
      <w:proofErr w:type="gramEnd"/>
      <w:r w:rsidRPr="000902B9">
        <w:rPr>
          <w:rFonts w:ascii="Book Antiqua" w:eastAsia="宋体" w:hAnsi="Book Antiqua" w:cs="宋体"/>
          <w:color w:val="000000"/>
          <w:lang w:eastAsia="zh-CN"/>
        </w:rPr>
        <w:t xml:space="preserve"> Law A, Salter ML, </w:t>
      </w:r>
      <w:proofErr w:type="spellStart"/>
      <w:r w:rsidRPr="000902B9">
        <w:rPr>
          <w:rFonts w:ascii="Book Antiqua" w:eastAsia="宋体" w:hAnsi="Book Antiqua" w:cs="宋体"/>
          <w:color w:val="000000"/>
          <w:lang w:eastAsia="zh-CN"/>
        </w:rPr>
        <w:t>Boyarsky</w:t>
      </w:r>
      <w:proofErr w:type="spellEnd"/>
      <w:r w:rsidRPr="000902B9">
        <w:rPr>
          <w:rFonts w:ascii="Book Antiqua" w:eastAsia="宋体" w:hAnsi="Book Antiqua" w:cs="宋体"/>
          <w:color w:val="000000"/>
          <w:lang w:eastAsia="zh-CN"/>
        </w:rPr>
        <w:t xml:space="preserve"> B, </w:t>
      </w:r>
      <w:proofErr w:type="spellStart"/>
      <w:r w:rsidRPr="000902B9">
        <w:rPr>
          <w:rFonts w:ascii="Book Antiqua" w:eastAsia="宋体" w:hAnsi="Book Antiqua" w:cs="宋体"/>
          <w:color w:val="000000"/>
          <w:lang w:eastAsia="zh-CN"/>
        </w:rPr>
        <w:t>Gimenez</w:t>
      </w:r>
      <w:proofErr w:type="spellEnd"/>
      <w:r w:rsidRPr="000902B9">
        <w:rPr>
          <w:rFonts w:ascii="Book Antiqua" w:eastAsia="宋体" w:hAnsi="Book Antiqua" w:cs="宋体"/>
          <w:color w:val="000000"/>
          <w:lang w:eastAsia="zh-CN"/>
        </w:rPr>
        <w:t xml:space="preserve"> L, </w:t>
      </w:r>
      <w:proofErr w:type="spellStart"/>
      <w:r w:rsidRPr="000902B9">
        <w:rPr>
          <w:rFonts w:ascii="Book Antiqua" w:eastAsia="宋体" w:hAnsi="Book Antiqua" w:cs="宋体"/>
          <w:color w:val="000000"/>
          <w:lang w:eastAsia="zh-CN"/>
        </w:rPr>
        <w:t>Jaar</w:t>
      </w:r>
      <w:proofErr w:type="spellEnd"/>
      <w:r w:rsidRPr="000902B9">
        <w:rPr>
          <w:rFonts w:ascii="Book Antiqua" w:eastAsia="宋体" w:hAnsi="Book Antiqua" w:cs="宋体"/>
          <w:color w:val="000000"/>
          <w:lang w:eastAsia="zh-CN"/>
        </w:rPr>
        <w:t xml:space="preserve"> BG, </w:t>
      </w:r>
      <w:proofErr w:type="spellStart"/>
      <w:r w:rsidRPr="000902B9">
        <w:rPr>
          <w:rFonts w:ascii="Book Antiqua" w:eastAsia="宋体" w:hAnsi="Book Antiqua" w:cs="宋体"/>
          <w:color w:val="000000"/>
          <w:lang w:eastAsia="zh-CN"/>
        </w:rPr>
        <w:t>Walston</w:t>
      </w:r>
      <w:proofErr w:type="spellEnd"/>
      <w:r w:rsidRPr="000902B9">
        <w:rPr>
          <w:rFonts w:ascii="Book Antiqua" w:eastAsia="宋体" w:hAnsi="Book Antiqua" w:cs="宋体"/>
          <w:color w:val="000000"/>
          <w:lang w:eastAsia="zh-CN"/>
        </w:rPr>
        <w:t xml:space="preserve"> JD, </w:t>
      </w:r>
      <w:proofErr w:type="spellStart"/>
      <w:r w:rsidRPr="000902B9">
        <w:rPr>
          <w:rFonts w:ascii="Book Antiqua" w:eastAsia="宋体" w:hAnsi="Book Antiqua" w:cs="宋体"/>
          <w:color w:val="000000"/>
          <w:lang w:eastAsia="zh-CN"/>
        </w:rPr>
        <w:t>Segev</w:t>
      </w:r>
      <w:proofErr w:type="spellEnd"/>
      <w:r w:rsidRPr="000902B9">
        <w:rPr>
          <w:rFonts w:ascii="Book Antiqua" w:eastAsia="宋体" w:hAnsi="Book Antiqua" w:cs="宋体"/>
          <w:color w:val="000000"/>
          <w:lang w:eastAsia="zh-CN"/>
        </w:rPr>
        <w:t xml:space="preserve"> DL. </w:t>
      </w:r>
      <w:proofErr w:type="gramStart"/>
      <w:r w:rsidRPr="000902B9">
        <w:rPr>
          <w:rFonts w:ascii="Book Antiqua" w:eastAsia="宋体" w:hAnsi="Book Antiqua" w:cs="宋体"/>
          <w:color w:val="000000"/>
          <w:lang w:eastAsia="zh-CN"/>
        </w:rPr>
        <w:t>Frailty as a novel predictor of mortality and hospitalization in individuals of all ages undergoing hemodialysis.</w:t>
      </w:r>
      <w:proofErr w:type="gramEnd"/>
      <w:r w:rsidRPr="000902B9">
        <w:rPr>
          <w:rFonts w:ascii="Book Antiqua" w:eastAsia="宋体" w:hAnsi="Book Antiqua" w:cs="宋体"/>
          <w:color w:val="000000"/>
          <w:lang w:eastAsia="zh-CN"/>
        </w:rPr>
        <w:t> </w:t>
      </w:r>
      <w:r w:rsidRPr="000902B9">
        <w:rPr>
          <w:rFonts w:ascii="Book Antiqua" w:eastAsia="宋体" w:hAnsi="Book Antiqua" w:cs="宋体"/>
          <w:i/>
          <w:iCs/>
          <w:color w:val="000000"/>
          <w:lang w:eastAsia="zh-CN"/>
        </w:rPr>
        <w:t xml:space="preserve">J Am </w:t>
      </w:r>
      <w:proofErr w:type="spellStart"/>
      <w:r w:rsidRPr="000902B9">
        <w:rPr>
          <w:rFonts w:ascii="Book Antiqua" w:eastAsia="宋体" w:hAnsi="Book Antiqua" w:cs="宋体"/>
          <w:i/>
          <w:iCs/>
          <w:color w:val="000000"/>
          <w:lang w:eastAsia="zh-CN"/>
        </w:rPr>
        <w:t>Geriatr</w:t>
      </w:r>
      <w:proofErr w:type="spellEnd"/>
      <w:r w:rsidRPr="000902B9">
        <w:rPr>
          <w:rFonts w:ascii="Book Antiqua" w:eastAsia="宋体" w:hAnsi="Book Antiqua" w:cs="宋体"/>
          <w:i/>
          <w:iCs/>
          <w:color w:val="000000"/>
          <w:lang w:eastAsia="zh-CN"/>
        </w:rPr>
        <w:t xml:space="preserve"> </w:t>
      </w:r>
      <w:proofErr w:type="spellStart"/>
      <w:r w:rsidRPr="000902B9">
        <w:rPr>
          <w:rFonts w:ascii="Book Antiqua" w:eastAsia="宋体" w:hAnsi="Book Antiqua" w:cs="宋体"/>
          <w:i/>
          <w:iCs/>
          <w:color w:val="000000"/>
          <w:lang w:eastAsia="zh-CN"/>
        </w:rPr>
        <w:t>Soc</w:t>
      </w:r>
      <w:proofErr w:type="spellEnd"/>
      <w:r w:rsidRPr="000902B9">
        <w:rPr>
          <w:rFonts w:ascii="Book Antiqua" w:eastAsia="宋体" w:hAnsi="Book Antiqua" w:cs="宋体"/>
          <w:color w:val="000000"/>
          <w:lang w:eastAsia="zh-CN"/>
        </w:rPr>
        <w:t> 2013; </w:t>
      </w:r>
      <w:r w:rsidRPr="000902B9">
        <w:rPr>
          <w:rFonts w:ascii="Book Antiqua" w:eastAsia="宋体" w:hAnsi="Book Antiqua" w:cs="宋体"/>
          <w:b/>
          <w:bCs/>
          <w:color w:val="000000"/>
          <w:lang w:eastAsia="zh-CN"/>
        </w:rPr>
        <w:t>61</w:t>
      </w:r>
      <w:r w:rsidRPr="000902B9">
        <w:rPr>
          <w:rFonts w:ascii="Book Antiqua" w:eastAsia="宋体" w:hAnsi="Book Antiqua" w:cs="宋体"/>
          <w:color w:val="000000"/>
          <w:lang w:eastAsia="zh-CN"/>
        </w:rPr>
        <w:t>: 896-901 [PMID: 23711111 DOI: 10.1111/jgs.12266]</w:t>
      </w:r>
    </w:p>
    <w:p w:rsidR="000902B9" w:rsidRPr="000902B9" w:rsidRDefault="000902B9" w:rsidP="000902B9">
      <w:pPr>
        <w:spacing w:line="360" w:lineRule="auto"/>
        <w:jc w:val="both"/>
        <w:rPr>
          <w:rFonts w:ascii="Book Antiqua" w:eastAsia="宋体" w:hAnsi="Book Antiqua" w:cs="宋体"/>
          <w:color w:val="000000"/>
          <w:lang w:eastAsia="zh-CN"/>
        </w:rPr>
      </w:pPr>
      <w:r w:rsidRPr="000902B9">
        <w:rPr>
          <w:rFonts w:ascii="Book Antiqua" w:eastAsia="宋体" w:hAnsi="Book Antiqua" w:cs="宋体"/>
          <w:color w:val="000000"/>
          <w:lang w:eastAsia="zh-CN"/>
        </w:rPr>
        <w:t>18 </w:t>
      </w:r>
      <w:r w:rsidRPr="000902B9">
        <w:rPr>
          <w:rFonts w:ascii="Book Antiqua" w:eastAsia="宋体" w:hAnsi="Book Antiqua" w:cs="宋体"/>
          <w:b/>
          <w:bCs/>
          <w:color w:val="000000"/>
          <w:lang w:eastAsia="zh-CN"/>
        </w:rPr>
        <w:t>Reese PP</w:t>
      </w:r>
      <w:r w:rsidRPr="000902B9">
        <w:rPr>
          <w:rFonts w:ascii="Book Antiqua" w:eastAsia="宋体" w:hAnsi="Book Antiqua" w:cs="宋体"/>
          <w:color w:val="000000"/>
          <w:lang w:eastAsia="zh-CN"/>
        </w:rPr>
        <w:t xml:space="preserve">, </w:t>
      </w:r>
      <w:proofErr w:type="spellStart"/>
      <w:r w:rsidRPr="000902B9">
        <w:rPr>
          <w:rFonts w:ascii="Book Antiqua" w:eastAsia="宋体" w:hAnsi="Book Antiqua" w:cs="宋体"/>
          <w:color w:val="000000"/>
          <w:lang w:eastAsia="zh-CN"/>
        </w:rPr>
        <w:t>Cappola</w:t>
      </w:r>
      <w:proofErr w:type="spellEnd"/>
      <w:r w:rsidRPr="000902B9">
        <w:rPr>
          <w:rFonts w:ascii="Book Antiqua" w:eastAsia="宋体" w:hAnsi="Book Antiqua" w:cs="宋体"/>
          <w:color w:val="000000"/>
          <w:lang w:eastAsia="zh-CN"/>
        </w:rPr>
        <w:t xml:space="preserve"> AR, </w:t>
      </w:r>
      <w:proofErr w:type="spellStart"/>
      <w:r w:rsidRPr="000902B9">
        <w:rPr>
          <w:rFonts w:ascii="Book Antiqua" w:eastAsia="宋体" w:hAnsi="Book Antiqua" w:cs="宋体"/>
          <w:color w:val="000000"/>
          <w:lang w:eastAsia="zh-CN"/>
        </w:rPr>
        <w:t>Shults</w:t>
      </w:r>
      <w:proofErr w:type="spellEnd"/>
      <w:r w:rsidRPr="000902B9">
        <w:rPr>
          <w:rFonts w:ascii="Book Antiqua" w:eastAsia="宋体" w:hAnsi="Book Antiqua" w:cs="宋体"/>
          <w:color w:val="000000"/>
          <w:lang w:eastAsia="zh-CN"/>
        </w:rPr>
        <w:t xml:space="preserve"> J, Townsend RR, </w:t>
      </w:r>
      <w:proofErr w:type="spellStart"/>
      <w:r w:rsidRPr="000902B9">
        <w:rPr>
          <w:rFonts w:ascii="Book Antiqua" w:eastAsia="宋体" w:hAnsi="Book Antiqua" w:cs="宋体"/>
          <w:color w:val="000000"/>
          <w:lang w:eastAsia="zh-CN"/>
        </w:rPr>
        <w:t>Gadegbeku</w:t>
      </w:r>
      <w:proofErr w:type="spellEnd"/>
      <w:r w:rsidRPr="000902B9">
        <w:rPr>
          <w:rFonts w:ascii="Book Antiqua" w:eastAsia="宋体" w:hAnsi="Book Antiqua" w:cs="宋体"/>
          <w:color w:val="000000"/>
          <w:lang w:eastAsia="zh-CN"/>
        </w:rPr>
        <w:t xml:space="preserve"> CA, Anderson C, Baker JF, </w:t>
      </w:r>
      <w:proofErr w:type="spellStart"/>
      <w:r w:rsidRPr="000902B9">
        <w:rPr>
          <w:rFonts w:ascii="Book Antiqua" w:eastAsia="宋体" w:hAnsi="Book Antiqua" w:cs="宋体"/>
          <w:color w:val="000000"/>
          <w:lang w:eastAsia="zh-CN"/>
        </w:rPr>
        <w:t>Carlow</w:t>
      </w:r>
      <w:proofErr w:type="spellEnd"/>
      <w:r w:rsidRPr="000902B9">
        <w:rPr>
          <w:rFonts w:ascii="Book Antiqua" w:eastAsia="宋体" w:hAnsi="Book Antiqua" w:cs="宋体"/>
          <w:color w:val="000000"/>
          <w:lang w:eastAsia="zh-CN"/>
        </w:rPr>
        <w:t xml:space="preserve"> D, </w:t>
      </w:r>
      <w:proofErr w:type="spellStart"/>
      <w:r w:rsidRPr="000902B9">
        <w:rPr>
          <w:rFonts w:ascii="Book Antiqua" w:eastAsia="宋体" w:hAnsi="Book Antiqua" w:cs="宋体"/>
          <w:color w:val="000000"/>
          <w:lang w:eastAsia="zh-CN"/>
        </w:rPr>
        <w:t>Sulik</w:t>
      </w:r>
      <w:proofErr w:type="spellEnd"/>
      <w:r w:rsidRPr="000902B9">
        <w:rPr>
          <w:rFonts w:ascii="Book Antiqua" w:eastAsia="宋体" w:hAnsi="Book Antiqua" w:cs="宋体"/>
          <w:color w:val="000000"/>
          <w:lang w:eastAsia="zh-CN"/>
        </w:rPr>
        <w:t xml:space="preserve"> MJ, Lo JC, Go AS, </w:t>
      </w:r>
      <w:proofErr w:type="spellStart"/>
      <w:r w:rsidRPr="000902B9">
        <w:rPr>
          <w:rFonts w:ascii="Book Antiqua" w:eastAsia="宋体" w:hAnsi="Book Antiqua" w:cs="宋体"/>
          <w:color w:val="000000"/>
          <w:lang w:eastAsia="zh-CN"/>
        </w:rPr>
        <w:t>Ky</w:t>
      </w:r>
      <w:proofErr w:type="spellEnd"/>
      <w:r w:rsidRPr="000902B9">
        <w:rPr>
          <w:rFonts w:ascii="Book Antiqua" w:eastAsia="宋体" w:hAnsi="Book Antiqua" w:cs="宋体"/>
          <w:color w:val="000000"/>
          <w:lang w:eastAsia="zh-CN"/>
        </w:rPr>
        <w:t xml:space="preserve"> B, </w:t>
      </w:r>
      <w:proofErr w:type="spellStart"/>
      <w:r w:rsidRPr="000902B9">
        <w:rPr>
          <w:rFonts w:ascii="Book Antiqua" w:eastAsia="宋体" w:hAnsi="Book Antiqua" w:cs="宋体"/>
          <w:color w:val="000000"/>
          <w:lang w:eastAsia="zh-CN"/>
        </w:rPr>
        <w:t>Mariani</w:t>
      </w:r>
      <w:proofErr w:type="spellEnd"/>
      <w:r w:rsidRPr="000902B9">
        <w:rPr>
          <w:rFonts w:ascii="Book Antiqua" w:eastAsia="宋体" w:hAnsi="Book Antiqua" w:cs="宋体"/>
          <w:color w:val="000000"/>
          <w:lang w:eastAsia="zh-CN"/>
        </w:rPr>
        <w:t xml:space="preserve"> L, Feldman HI, Leonard MB. </w:t>
      </w:r>
      <w:proofErr w:type="gramStart"/>
      <w:r w:rsidRPr="000902B9">
        <w:rPr>
          <w:rFonts w:ascii="Book Antiqua" w:eastAsia="宋体" w:hAnsi="Book Antiqua" w:cs="宋体"/>
          <w:color w:val="000000"/>
          <w:lang w:eastAsia="zh-CN"/>
        </w:rPr>
        <w:t>Physical performance and frailty in chronic kidney disease.</w:t>
      </w:r>
      <w:proofErr w:type="gramEnd"/>
      <w:r w:rsidRPr="000902B9">
        <w:rPr>
          <w:rFonts w:ascii="Book Antiqua" w:eastAsia="宋体" w:hAnsi="Book Antiqua" w:cs="宋体"/>
          <w:color w:val="000000"/>
          <w:lang w:eastAsia="zh-CN"/>
        </w:rPr>
        <w:t> </w:t>
      </w:r>
      <w:r w:rsidRPr="000902B9">
        <w:rPr>
          <w:rFonts w:ascii="Book Antiqua" w:eastAsia="宋体" w:hAnsi="Book Antiqua" w:cs="宋体"/>
          <w:i/>
          <w:iCs/>
          <w:color w:val="000000"/>
          <w:lang w:eastAsia="zh-CN"/>
        </w:rPr>
        <w:t xml:space="preserve">Am J </w:t>
      </w:r>
      <w:proofErr w:type="spellStart"/>
      <w:r w:rsidRPr="000902B9">
        <w:rPr>
          <w:rFonts w:ascii="Book Antiqua" w:eastAsia="宋体" w:hAnsi="Book Antiqua" w:cs="宋体"/>
          <w:i/>
          <w:iCs/>
          <w:color w:val="000000"/>
          <w:lang w:eastAsia="zh-CN"/>
        </w:rPr>
        <w:t>Nephrol</w:t>
      </w:r>
      <w:proofErr w:type="spellEnd"/>
      <w:r w:rsidRPr="000902B9">
        <w:rPr>
          <w:rFonts w:ascii="Book Antiqua" w:eastAsia="宋体" w:hAnsi="Book Antiqua" w:cs="宋体"/>
          <w:color w:val="000000"/>
          <w:lang w:eastAsia="zh-CN"/>
        </w:rPr>
        <w:t> 2013; </w:t>
      </w:r>
      <w:r w:rsidRPr="000902B9">
        <w:rPr>
          <w:rFonts w:ascii="Book Antiqua" w:eastAsia="宋体" w:hAnsi="Book Antiqua" w:cs="宋体"/>
          <w:b/>
          <w:bCs/>
          <w:color w:val="000000"/>
          <w:lang w:eastAsia="zh-CN"/>
        </w:rPr>
        <w:t>38</w:t>
      </w:r>
      <w:r w:rsidRPr="000902B9">
        <w:rPr>
          <w:rFonts w:ascii="Book Antiqua" w:eastAsia="宋体" w:hAnsi="Book Antiqua" w:cs="宋体"/>
          <w:color w:val="000000"/>
          <w:lang w:eastAsia="zh-CN"/>
        </w:rPr>
        <w:t>: 307-315 [PMID: 24107579 DOI: 10.1159/000355568]</w:t>
      </w:r>
    </w:p>
    <w:p w:rsidR="000902B9" w:rsidRPr="000902B9" w:rsidRDefault="000902B9" w:rsidP="000902B9">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 xml:space="preserve">19 </w:t>
      </w:r>
      <w:proofErr w:type="spellStart"/>
      <w:r w:rsidRPr="000902B9">
        <w:rPr>
          <w:rFonts w:ascii="Book Antiqua" w:eastAsia="宋体" w:hAnsi="Book Antiqua" w:cs="宋体"/>
          <w:color w:val="000000"/>
          <w:lang w:eastAsia="zh-CN"/>
        </w:rPr>
        <w:t>K</w:t>
      </w:r>
      <w:r w:rsidRPr="000902B9">
        <w:rPr>
          <w:rFonts w:ascii="Book Antiqua" w:eastAsia="宋体" w:hAnsi="Book Antiqua" w:cs="宋体"/>
          <w:b/>
          <w:color w:val="000000"/>
          <w:lang w:eastAsia="zh-CN"/>
        </w:rPr>
        <w:t>utner</w:t>
      </w:r>
      <w:proofErr w:type="spellEnd"/>
      <w:r w:rsidRPr="000902B9">
        <w:rPr>
          <w:rFonts w:ascii="Book Antiqua" w:eastAsia="宋体" w:hAnsi="Book Antiqua" w:cs="宋体"/>
          <w:b/>
          <w:color w:val="000000"/>
          <w:lang w:eastAsia="zh-CN"/>
        </w:rPr>
        <w:t xml:space="preserve"> NG</w:t>
      </w:r>
      <w:r w:rsidRPr="000902B9">
        <w:rPr>
          <w:rFonts w:ascii="Book Antiqua" w:eastAsia="宋体" w:hAnsi="Book Antiqua" w:cs="宋体"/>
          <w:color w:val="000000"/>
          <w:lang w:eastAsia="zh-CN"/>
        </w:rPr>
        <w:t xml:space="preserve">, Zhang R, Huang Y, </w:t>
      </w:r>
      <w:proofErr w:type="spellStart"/>
      <w:r w:rsidRPr="000902B9">
        <w:rPr>
          <w:rFonts w:ascii="Book Antiqua" w:eastAsia="宋体" w:hAnsi="Book Antiqua" w:cs="宋体"/>
          <w:color w:val="000000"/>
          <w:lang w:eastAsia="zh-CN"/>
        </w:rPr>
        <w:t>Wasse</w:t>
      </w:r>
      <w:proofErr w:type="spellEnd"/>
      <w:r w:rsidRPr="000902B9">
        <w:rPr>
          <w:rFonts w:ascii="Book Antiqua" w:eastAsia="宋体" w:hAnsi="Book Antiqua" w:cs="宋体"/>
          <w:color w:val="000000"/>
          <w:lang w:eastAsia="zh-CN"/>
        </w:rPr>
        <w:t xml:space="preserve"> H. Falls among hemodialysis patients: potential opportunities for prevention? </w:t>
      </w:r>
      <w:proofErr w:type="spellStart"/>
      <w:r w:rsidRPr="000902B9">
        <w:rPr>
          <w:rFonts w:ascii="Book Antiqua" w:eastAsia="宋体" w:hAnsi="Book Antiqua" w:cs="宋体"/>
          <w:i/>
          <w:color w:val="000000"/>
          <w:lang w:eastAsia="zh-CN"/>
        </w:rPr>
        <w:t>Clin</w:t>
      </w:r>
      <w:proofErr w:type="spellEnd"/>
      <w:r w:rsidRPr="000902B9">
        <w:rPr>
          <w:rFonts w:ascii="Book Antiqua" w:eastAsia="宋体" w:hAnsi="Book Antiqua" w:cs="宋体"/>
          <w:i/>
          <w:color w:val="000000"/>
          <w:lang w:eastAsia="zh-CN"/>
        </w:rPr>
        <w:t xml:space="preserve"> Kidney J </w:t>
      </w:r>
      <w:r w:rsidRPr="000902B9">
        <w:rPr>
          <w:rFonts w:ascii="Book Antiqua" w:eastAsia="宋体" w:hAnsi="Book Antiqua" w:cs="宋体"/>
          <w:color w:val="000000"/>
          <w:lang w:eastAsia="zh-CN"/>
        </w:rPr>
        <w:t>2014</w:t>
      </w:r>
      <w:r>
        <w:rPr>
          <w:rFonts w:ascii="Book Antiqua" w:eastAsia="宋体" w:hAnsi="Book Antiqua" w:cs="宋体" w:hint="eastAsia"/>
          <w:color w:val="000000"/>
          <w:lang w:eastAsia="zh-CN"/>
        </w:rPr>
        <w:t>;</w:t>
      </w:r>
      <w:r w:rsidRPr="000902B9">
        <w:rPr>
          <w:rFonts w:ascii="Book Antiqua" w:eastAsia="宋体" w:hAnsi="Book Antiqua" w:cs="宋体"/>
          <w:color w:val="000000"/>
          <w:lang w:eastAsia="zh-CN"/>
        </w:rPr>
        <w:t xml:space="preserve"> </w:t>
      </w:r>
      <w:proofErr w:type="spellStart"/>
      <w:r w:rsidRPr="000902B9">
        <w:rPr>
          <w:rFonts w:ascii="Book Antiqua" w:eastAsia="宋体" w:hAnsi="Book Antiqua" w:cs="宋体"/>
          <w:color w:val="000000"/>
          <w:lang w:eastAsia="zh-CN"/>
        </w:rPr>
        <w:t>Epub</w:t>
      </w:r>
      <w:proofErr w:type="spellEnd"/>
      <w:r w:rsidRPr="000902B9">
        <w:rPr>
          <w:rFonts w:ascii="Book Antiqua" w:eastAsia="宋体" w:hAnsi="Book Antiqua" w:cs="宋体"/>
          <w:color w:val="000000"/>
          <w:lang w:eastAsia="zh-CN"/>
        </w:rPr>
        <w:t xml:space="preserve"> April 15 [DOI: 10.1093/</w:t>
      </w:r>
      <w:proofErr w:type="spellStart"/>
      <w:r w:rsidRPr="000902B9">
        <w:rPr>
          <w:rFonts w:ascii="Book Antiqua" w:eastAsia="宋体" w:hAnsi="Book Antiqua" w:cs="宋体"/>
          <w:color w:val="000000"/>
          <w:lang w:eastAsia="zh-CN"/>
        </w:rPr>
        <w:t>ckj</w:t>
      </w:r>
      <w:proofErr w:type="spellEnd"/>
      <w:r w:rsidRPr="000902B9">
        <w:rPr>
          <w:rFonts w:ascii="Book Antiqua" w:eastAsia="宋体" w:hAnsi="Book Antiqua" w:cs="宋体"/>
          <w:color w:val="000000"/>
          <w:lang w:eastAsia="zh-CN"/>
        </w:rPr>
        <w:t>/sfu034]</w:t>
      </w:r>
    </w:p>
    <w:p w:rsidR="000902B9" w:rsidRDefault="000902B9" w:rsidP="00C75910">
      <w:pPr>
        <w:spacing w:line="360" w:lineRule="auto"/>
        <w:jc w:val="both"/>
        <w:rPr>
          <w:rFonts w:ascii="Book Antiqua" w:hAnsi="Book Antiqua"/>
          <w:b/>
          <w:lang w:eastAsia="zh-CN"/>
        </w:rPr>
      </w:pPr>
    </w:p>
    <w:p w:rsidR="000902B9" w:rsidRPr="000902B9" w:rsidRDefault="00DC6884" w:rsidP="000902B9">
      <w:pPr>
        <w:pStyle w:val="ae"/>
        <w:jc w:val="right"/>
        <w:rPr>
          <w:rFonts w:ascii="Book Antiqua" w:hAnsi="Book Antiqua"/>
          <w:b/>
          <w:sz w:val="24"/>
          <w:szCs w:val="24"/>
        </w:rPr>
      </w:pPr>
      <w:r>
        <w:rPr>
          <w:rFonts w:ascii="Book Antiqua" w:hAnsi="Book Antiqua"/>
          <w:b/>
          <w:sz w:val="24"/>
          <w:szCs w:val="24"/>
        </w:rPr>
        <w:t>P-Reviewer</w:t>
      </w:r>
      <w:r w:rsidR="000902B9" w:rsidRPr="000902B9">
        <w:rPr>
          <w:rFonts w:ascii="Book Antiqua" w:hAnsi="Book Antiqua"/>
          <w:b/>
          <w:sz w:val="24"/>
          <w:szCs w:val="24"/>
        </w:rPr>
        <w:t xml:space="preserve">: </w:t>
      </w:r>
      <w:r w:rsidR="000902B9" w:rsidRPr="000902B9">
        <w:rPr>
          <w:rFonts w:ascii="Book Antiqua" w:hAnsi="Book Antiqua"/>
          <w:color w:val="000000"/>
          <w:sz w:val="24"/>
          <w:szCs w:val="24"/>
        </w:rPr>
        <w:t xml:space="preserve">Friedman EA </w:t>
      </w:r>
      <w:r w:rsidR="000902B9" w:rsidRPr="000902B9">
        <w:rPr>
          <w:rFonts w:ascii="Book Antiqua" w:hAnsi="Book Antiqua"/>
          <w:b/>
          <w:sz w:val="24"/>
          <w:szCs w:val="24"/>
        </w:rPr>
        <w:t xml:space="preserve">S-Editor: </w:t>
      </w:r>
      <w:proofErr w:type="spellStart"/>
      <w:r w:rsidR="000902B9" w:rsidRPr="000902B9">
        <w:rPr>
          <w:rFonts w:ascii="Book Antiqua" w:hAnsi="Book Antiqua"/>
          <w:sz w:val="24"/>
          <w:szCs w:val="24"/>
        </w:rPr>
        <w:t>Ji</w:t>
      </w:r>
      <w:proofErr w:type="spellEnd"/>
      <w:r w:rsidR="000902B9" w:rsidRPr="000902B9">
        <w:rPr>
          <w:rFonts w:ascii="Book Antiqua" w:hAnsi="Book Antiqua"/>
          <w:sz w:val="24"/>
          <w:szCs w:val="24"/>
        </w:rPr>
        <w:t xml:space="preserve"> FF</w:t>
      </w:r>
      <w:r w:rsidR="000902B9" w:rsidRPr="000902B9">
        <w:rPr>
          <w:rFonts w:ascii="Book Antiqua" w:hAnsi="Book Antiqua"/>
          <w:b/>
          <w:sz w:val="24"/>
          <w:szCs w:val="24"/>
        </w:rPr>
        <w:t xml:space="preserve"> L-Editor:  E-Editor:</w:t>
      </w:r>
    </w:p>
    <w:p w:rsidR="000902B9" w:rsidRDefault="000902B9" w:rsidP="00C75910">
      <w:pPr>
        <w:spacing w:line="360" w:lineRule="auto"/>
        <w:jc w:val="both"/>
        <w:rPr>
          <w:rFonts w:ascii="Book Antiqua" w:hAnsi="Book Antiqua"/>
          <w:b/>
          <w:lang w:eastAsia="zh-CN"/>
        </w:rPr>
      </w:pPr>
    </w:p>
    <w:p w:rsidR="008E4FE3" w:rsidRPr="00DC6884" w:rsidRDefault="00EC668F" w:rsidP="00C75910">
      <w:pPr>
        <w:spacing w:line="360" w:lineRule="auto"/>
        <w:jc w:val="both"/>
        <w:rPr>
          <w:rFonts w:ascii="Book Antiqua" w:hAnsi="Book Antiqua"/>
          <w:b/>
          <w:lang w:eastAsia="zh-CN"/>
        </w:rPr>
      </w:pPr>
      <w:r w:rsidRPr="00C75910">
        <w:rPr>
          <w:rFonts w:ascii="Book Antiqua" w:hAnsi="Book Antiqua"/>
          <w:b/>
        </w:rPr>
        <w:t>Table 1</w:t>
      </w:r>
      <w:r w:rsidRPr="00C75910">
        <w:rPr>
          <w:rFonts w:ascii="Book Antiqua" w:hAnsi="Book Antiqua"/>
        </w:rPr>
        <w:t xml:space="preserve"> </w:t>
      </w:r>
      <w:r w:rsidR="00774B81" w:rsidRPr="00C75910">
        <w:rPr>
          <w:rFonts w:ascii="Book Antiqua" w:hAnsi="Book Antiqua"/>
          <w:b/>
        </w:rPr>
        <w:t>C</w:t>
      </w:r>
      <w:r w:rsidRPr="00C75910">
        <w:rPr>
          <w:rFonts w:ascii="Book Antiqua" w:hAnsi="Book Antiqua"/>
          <w:b/>
        </w:rPr>
        <w:t>haract</w:t>
      </w:r>
      <w:r w:rsidR="002F0C8A" w:rsidRPr="00C75910">
        <w:rPr>
          <w:rFonts w:ascii="Book Antiqua" w:hAnsi="Book Antiqua"/>
          <w:b/>
        </w:rPr>
        <w:t xml:space="preserve">eristics of </w:t>
      </w:r>
      <w:r w:rsidR="00774B81" w:rsidRPr="00C75910">
        <w:rPr>
          <w:rFonts w:ascii="Book Antiqua" w:hAnsi="Book Antiqua"/>
          <w:b/>
        </w:rPr>
        <w:t>patients</w:t>
      </w:r>
      <w:r w:rsidRPr="00C75910">
        <w:rPr>
          <w:rFonts w:ascii="Book Antiqua" w:hAnsi="Book Antiqua"/>
          <w:b/>
        </w:rPr>
        <w:t xml:space="preserve"> </w:t>
      </w:r>
      <w:r w:rsidR="008E4FE3" w:rsidRPr="00C75910">
        <w:rPr>
          <w:rFonts w:ascii="Book Antiqua" w:hAnsi="Book Antiqua"/>
          <w:b/>
        </w:rPr>
        <w:t xml:space="preserve">included </w:t>
      </w:r>
      <w:r w:rsidR="004C0E35" w:rsidRPr="00C75910">
        <w:rPr>
          <w:rFonts w:ascii="Book Antiqua" w:hAnsi="Book Antiqua"/>
          <w:b/>
        </w:rPr>
        <w:t>(</w:t>
      </w:r>
      <w:r w:rsidR="004C0E35" w:rsidRPr="000902B9">
        <w:rPr>
          <w:rFonts w:ascii="Book Antiqua" w:hAnsi="Book Antiqua"/>
          <w:b/>
          <w:i/>
        </w:rPr>
        <w:t>n</w:t>
      </w:r>
      <w:r w:rsidR="000902B9">
        <w:rPr>
          <w:rFonts w:ascii="Book Antiqua" w:hAnsi="Book Antiqua" w:hint="eastAsia"/>
          <w:b/>
          <w:lang w:eastAsia="zh-CN"/>
        </w:rPr>
        <w:t xml:space="preserve"> </w:t>
      </w:r>
      <w:r w:rsidR="004C0E35" w:rsidRPr="00C75910">
        <w:rPr>
          <w:rFonts w:ascii="Book Antiqua" w:hAnsi="Book Antiqua"/>
          <w:b/>
        </w:rPr>
        <w:t>=</w:t>
      </w:r>
      <w:r w:rsidR="000902B9">
        <w:rPr>
          <w:rFonts w:ascii="Book Antiqua" w:hAnsi="Book Antiqua" w:hint="eastAsia"/>
          <w:b/>
          <w:lang w:eastAsia="zh-CN"/>
        </w:rPr>
        <w:t xml:space="preserve"> </w:t>
      </w:r>
      <w:r w:rsidR="004C0E35" w:rsidRPr="00C75910">
        <w:rPr>
          <w:rFonts w:ascii="Book Antiqua" w:hAnsi="Book Antiqua"/>
          <w:b/>
        </w:rPr>
        <w:t xml:space="preserve">668) </w:t>
      </w:r>
      <w:r w:rsidR="008E4FE3" w:rsidRPr="00C75910">
        <w:rPr>
          <w:rFonts w:ascii="Book Antiqua" w:hAnsi="Book Antiqua"/>
          <w:b/>
        </w:rPr>
        <w:t xml:space="preserve">and not included </w:t>
      </w:r>
      <w:r w:rsidR="004C0E35" w:rsidRPr="00C75910">
        <w:rPr>
          <w:rFonts w:ascii="Book Antiqua" w:hAnsi="Book Antiqua"/>
          <w:b/>
        </w:rPr>
        <w:t>(</w:t>
      </w:r>
      <w:r w:rsidR="004C0E35" w:rsidRPr="000902B9">
        <w:rPr>
          <w:rFonts w:ascii="Book Antiqua" w:hAnsi="Book Antiqua"/>
          <w:b/>
          <w:i/>
        </w:rPr>
        <w:t>n</w:t>
      </w:r>
      <w:r w:rsidR="000902B9">
        <w:rPr>
          <w:rFonts w:ascii="Book Antiqua" w:hAnsi="Book Antiqua" w:hint="eastAsia"/>
          <w:b/>
          <w:lang w:eastAsia="zh-CN"/>
        </w:rPr>
        <w:t xml:space="preserve"> </w:t>
      </w:r>
      <w:r w:rsidR="004C0E35" w:rsidRPr="00C75910">
        <w:rPr>
          <w:rFonts w:ascii="Book Antiqua" w:hAnsi="Book Antiqua"/>
          <w:b/>
        </w:rPr>
        <w:t>=</w:t>
      </w:r>
      <w:r w:rsidR="000902B9">
        <w:rPr>
          <w:rFonts w:ascii="Book Antiqua" w:hAnsi="Book Antiqua" w:hint="eastAsia"/>
          <w:b/>
          <w:lang w:eastAsia="zh-CN"/>
        </w:rPr>
        <w:t xml:space="preserve"> </w:t>
      </w:r>
      <w:r w:rsidR="004C0E35" w:rsidRPr="00C75910">
        <w:rPr>
          <w:rFonts w:ascii="Book Antiqua" w:hAnsi="Book Antiqua"/>
          <w:b/>
        </w:rPr>
        <w:t xml:space="preserve">103) </w:t>
      </w:r>
      <w:r w:rsidR="008E4FE3" w:rsidRPr="00C75910">
        <w:rPr>
          <w:rFonts w:ascii="Book Antiqua" w:hAnsi="Book Antiqua"/>
          <w:b/>
        </w:rPr>
        <w:t>in</w:t>
      </w:r>
      <w:r w:rsidR="00E75629" w:rsidRPr="00C75910">
        <w:rPr>
          <w:rFonts w:ascii="Book Antiqua" w:hAnsi="Book Antiqua"/>
          <w:b/>
        </w:rPr>
        <w:t xml:space="preserve"> the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70"/>
        <w:gridCol w:w="2160"/>
        <w:gridCol w:w="1098"/>
      </w:tblGrid>
      <w:tr w:rsidR="00E449A7" w:rsidRPr="00C75910" w:rsidTr="008E4FE3">
        <w:tc>
          <w:tcPr>
            <w:tcW w:w="3528" w:type="dxa"/>
          </w:tcPr>
          <w:p w:rsidR="00EC668F" w:rsidRPr="00C75910" w:rsidRDefault="00EC668F" w:rsidP="00C75910">
            <w:pPr>
              <w:spacing w:line="360" w:lineRule="auto"/>
              <w:jc w:val="both"/>
              <w:rPr>
                <w:rFonts w:ascii="Book Antiqua" w:hAnsi="Book Antiqua"/>
              </w:rPr>
            </w:pPr>
          </w:p>
        </w:tc>
        <w:tc>
          <w:tcPr>
            <w:tcW w:w="2070" w:type="dxa"/>
          </w:tcPr>
          <w:p w:rsidR="00EC668F" w:rsidRPr="00C75910" w:rsidRDefault="00774B81" w:rsidP="00C75910">
            <w:pPr>
              <w:spacing w:line="360" w:lineRule="auto"/>
              <w:jc w:val="both"/>
              <w:rPr>
                <w:rFonts w:ascii="Book Antiqua" w:hAnsi="Book Antiqua"/>
                <w:b/>
              </w:rPr>
            </w:pPr>
            <w:r w:rsidRPr="00C75910">
              <w:rPr>
                <w:rFonts w:ascii="Book Antiqua" w:hAnsi="Book Antiqua"/>
                <w:b/>
              </w:rPr>
              <w:t>Measured walk</w:t>
            </w:r>
            <w:r w:rsidR="00E75629" w:rsidRPr="00C75910">
              <w:rPr>
                <w:rFonts w:ascii="Book Antiqua" w:hAnsi="Book Antiqua"/>
                <w:b/>
              </w:rPr>
              <w:t xml:space="preserve"> and fall information</w:t>
            </w:r>
          </w:p>
          <w:p w:rsidR="00EC668F" w:rsidRPr="00C75910" w:rsidRDefault="005D0AEF" w:rsidP="00C75910">
            <w:pPr>
              <w:spacing w:line="360" w:lineRule="auto"/>
              <w:jc w:val="both"/>
              <w:rPr>
                <w:rFonts w:ascii="Book Antiqua" w:hAnsi="Book Antiqua"/>
              </w:rPr>
            </w:pPr>
            <w:r w:rsidRPr="00C75910">
              <w:rPr>
                <w:rFonts w:ascii="Book Antiqua" w:hAnsi="Book Antiqua"/>
                <w:b/>
              </w:rPr>
              <w:t>(</w:t>
            </w:r>
            <w:r w:rsidRPr="000902B9">
              <w:rPr>
                <w:rFonts w:ascii="Book Antiqua" w:hAnsi="Book Antiqua"/>
                <w:b/>
                <w:i/>
              </w:rPr>
              <w:t>n</w:t>
            </w:r>
            <w:r>
              <w:rPr>
                <w:rFonts w:ascii="Book Antiqua" w:hAnsi="Book Antiqua" w:hint="eastAsia"/>
                <w:b/>
                <w:lang w:eastAsia="zh-CN"/>
              </w:rPr>
              <w:t xml:space="preserve"> </w:t>
            </w:r>
            <w:r w:rsidRPr="00C75910">
              <w:rPr>
                <w:rFonts w:ascii="Book Antiqua" w:hAnsi="Book Antiqua"/>
                <w:b/>
              </w:rPr>
              <w:t>=</w:t>
            </w:r>
            <w:r>
              <w:rPr>
                <w:rFonts w:ascii="Book Antiqua" w:hAnsi="Book Antiqua" w:hint="eastAsia"/>
                <w:b/>
                <w:lang w:eastAsia="zh-CN"/>
              </w:rPr>
              <w:t xml:space="preserve"> </w:t>
            </w:r>
            <w:r w:rsidRPr="00C75910">
              <w:rPr>
                <w:rFonts w:ascii="Book Antiqua" w:hAnsi="Book Antiqua"/>
                <w:b/>
              </w:rPr>
              <w:t>668)</w:t>
            </w:r>
          </w:p>
        </w:tc>
        <w:tc>
          <w:tcPr>
            <w:tcW w:w="2160" w:type="dxa"/>
          </w:tcPr>
          <w:p w:rsidR="00EC668F" w:rsidRPr="00C75910" w:rsidRDefault="00E75629" w:rsidP="00C75910">
            <w:pPr>
              <w:spacing w:line="360" w:lineRule="auto"/>
              <w:jc w:val="both"/>
              <w:rPr>
                <w:rFonts w:ascii="Book Antiqua" w:hAnsi="Book Antiqua"/>
                <w:b/>
              </w:rPr>
            </w:pPr>
            <w:r w:rsidRPr="00C75910">
              <w:rPr>
                <w:rFonts w:ascii="Book Antiqua" w:hAnsi="Book Antiqua"/>
                <w:b/>
              </w:rPr>
              <w:t>Missing</w:t>
            </w:r>
            <w:r w:rsidR="00774B81" w:rsidRPr="00C75910">
              <w:rPr>
                <w:rFonts w:ascii="Book Antiqua" w:hAnsi="Book Antiqua"/>
                <w:b/>
              </w:rPr>
              <w:t xml:space="preserve"> measured walk</w:t>
            </w:r>
            <w:r w:rsidRPr="00C75910">
              <w:rPr>
                <w:rFonts w:ascii="Book Antiqua" w:hAnsi="Book Antiqua"/>
                <w:b/>
              </w:rPr>
              <w:t xml:space="preserve"> or fall information</w:t>
            </w:r>
          </w:p>
          <w:p w:rsidR="00EC668F" w:rsidRPr="00C75910" w:rsidRDefault="00774B81" w:rsidP="00C75910">
            <w:pPr>
              <w:spacing w:line="360" w:lineRule="auto"/>
              <w:jc w:val="both"/>
              <w:rPr>
                <w:rFonts w:ascii="Book Antiqua" w:hAnsi="Book Antiqua"/>
                <w:vertAlign w:val="superscript"/>
              </w:rPr>
            </w:pPr>
            <w:r w:rsidRPr="00C75910">
              <w:rPr>
                <w:rFonts w:ascii="Book Antiqua" w:hAnsi="Book Antiqua"/>
                <w:b/>
              </w:rPr>
              <w:t>(</w:t>
            </w:r>
            <w:r w:rsidRPr="005D0AEF">
              <w:rPr>
                <w:rFonts w:ascii="Book Antiqua" w:hAnsi="Book Antiqua"/>
                <w:b/>
                <w:i/>
              </w:rPr>
              <w:t>n</w:t>
            </w:r>
            <w:r w:rsidR="005D0AEF">
              <w:rPr>
                <w:rFonts w:ascii="Book Antiqua" w:hAnsi="Book Antiqua" w:hint="eastAsia"/>
                <w:b/>
                <w:lang w:eastAsia="zh-CN"/>
              </w:rPr>
              <w:t xml:space="preserve"> </w:t>
            </w:r>
            <w:r w:rsidRPr="00C75910">
              <w:rPr>
                <w:rFonts w:ascii="Book Antiqua" w:hAnsi="Book Antiqua"/>
                <w:b/>
              </w:rPr>
              <w:t>=</w:t>
            </w:r>
            <w:r w:rsidR="005D0AEF">
              <w:rPr>
                <w:rFonts w:ascii="Book Antiqua" w:hAnsi="Book Antiqua" w:hint="eastAsia"/>
                <w:b/>
                <w:lang w:eastAsia="zh-CN"/>
              </w:rPr>
              <w:t xml:space="preserve"> </w:t>
            </w:r>
            <w:r w:rsidRPr="00C75910">
              <w:rPr>
                <w:rFonts w:ascii="Book Antiqua" w:hAnsi="Book Antiqua"/>
                <w:b/>
              </w:rPr>
              <w:t>103</w:t>
            </w:r>
            <w:r w:rsidR="00EC668F" w:rsidRPr="00C75910">
              <w:rPr>
                <w:rFonts w:ascii="Book Antiqua" w:hAnsi="Book Antiqua"/>
                <w:b/>
              </w:rPr>
              <w:t>)</w:t>
            </w:r>
            <w:r w:rsidR="00E75629" w:rsidRPr="00C75910">
              <w:rPr>
                <w:rFonts w:ascii="Book Antiqua" w:hAnsi="Book Antiqua"/>
                <w:b/>
                <w:vertAlign w:val="superscript"/>
              </w:rPr>
              <w:t>1</w:t>
            </w:r>
          </w:p>
        </w:tc>
        <w:tc>
          <w:tcPr>
            <w:tcW w:w="1098" w:type="dxa"/>
          </w:tcPr>
          <w:p w:rsidR="00EC668F" w:rsidRPr="00C75910" w:rsidRDefault="00EC668F" w:rsidP="00C75910">
            <w:pPr>
              <w:spacing w:line="360" w:lineRule="auto"/>
              <w:jc w:val="both"/>
              <w:rPr>
                <w:rFonts w:ascii="Book Antiqua" w:hAnsi="Book Antiqua"/>
                <w:b/>
              </w:rPr>
            </w:pPr>
            <w:r w:rsidRPr="00C75910">
              <w:rPr>
                <w:rFonts w:ascii="Book Antiqua" w:hAnsi="Book Antiqua"/>
                <w:b/>
                <w:i/>
              </w:rPr>
              <w:t>P</w:t>
            </w:r>
            <w:r w:rsidRPr="00C75910">
              <w:rPr>
                <w:rFonts w:ascii="Book Antiqua" w:hAnsi="Book Antiqua"/>
                <w:b/>
              </w:rPr>
              <w:t xml:space="preserve"> value</w:t>
            </w:r>
          </w:p>
        </w:tc>
      </w:tr>
      <w:tr w:rsidR="00E449A7" w:rsidRPr="00C75910" w:rsidTr="008E4FE3">
        <w:tc>
          <w:tcPr>
            <w:tcW w:w="3528" w:type="dxa"/>
          </w:tcPr>
          <w:p w:rsidR="00EC668F" w:rsidRPr="00C75910" w:rsidRDefault="00910AF0" w:rsidP="00C75910">
            <w:pPr>
              <w:spacing w:line="360" w:lineRule="auto"/>
              <w:jc w:val="both"/>
              <w:rPr>
                <w:rFonts w:ascii="Book Antiqua" w:hAnsi="Book Antiqua"/>
                <w:lang w:eastAsia="zh-CN"/>
              </w:rPr>
            </w:pPr>
            <w:r>
              <w:rPr>
                <w:rFonts w:ascii="Book Antiqua" w:hAnsi="Book Antiqua"/>
              </w:rPr>
              <w:t>Male</w:t>
            </w:r>
            <w:r w:rsidR="00EC668F" w:rsidRPr="00C75910">
              <w:rPr>
                <w:rFonts w:ascii="Book Antiqua" w:hAnsi="Book Antiqua"/>
              </w:rPr>
              <w:t xml:space="preserve"> </w:t>
            </w:r>
            <w:r>
              <w:rPr>
                <w:rFonts w:ascii="Book Antiqua" w:hAnsi="Book Antiqua" w:hint="eastAsia"/>
                <w:lang w:eastAsia="zh-CN"/>
              </w:rPr>
              <w:t>(</w:t>
            </w:r>
            <w:r w:rsidR="00EC668F" w:rsidRPr="00C75910">
              <w:rPr>
                <w:rFonts w:ascii="Book Antiqua" w:hAnsi="Book Antiqua"/>
              </w:rPr>
              <w:t>%</w:t>
            </w:r>
            <w:r>
              <w:rPr>
                <w:rFonts w:ascii="Book Antiqua" w:hAnsi="Book Antiqua" w:hint="eastAsia"/>
                <w:lang w:eastAsia="zh-CN"/>
              </w:rPr>
              <w:t>)</w:t>
            </w:r>
          </w:p>
        </w:tc>
        <w:tc>
          <w:tcPr>
            <w:tcW w:w="2070" w:type="dxa"/>
          </w:tcPr>
          <w:p w:rsidR="00EC668F" w:rsidRPr="00C75910" w:rsidRDefault="00030EB8" w:rsidP="00C75910">
            <w:pPr>
              <w:spacing w:line="360" w:lineRule="auto"/>
              <w:jc w:val="both"/>
              <w:rPr>
                <w:rFonts w:ascii="Book Antiqua" w:hAnsi="Book Antiqua"/>
              </w:rPr>
            </w:pPr>
            <w:r w:rsidRPr="00C75910">
              <w:rPr>
                <w:rFonts w:ascii="Book Antiqua" w:hAnsi="Book Antiqua"/>
              </w:rPr>
              <w:t>61.2</w:t>
            </w:r>
          </w:p>
        </w:tc>
        <w:tc>
          <w:tcPr>
            <w:tcW w:w="2160" w:type="dxa"/>
          </w:tcPr>
          <w:p w:rsidR="00EC668F" w:rsidRPr="00C75910" w:rsidRDefault="00774B81" w:rsidP="00C75910">
            <w:pPr>
              <w:spacing w:line="360" w:lineRule="auto"/>
              <w:jc w:val="both"/>
              <w:rPr>
                <w:rFonts w:ascii="Book Antiqua" w:hAnsi="Book Antiqua"/>
              </w:rPr>
            </w:pPr>
            <w:r w:rsidRPr="00C75910">
              <w:rPr>
                <w:rFonts w:ascii="Book Antiqua" w:hAnsi="Book Antiqua"/>
              </w:rPr>
              <w:t>45</w:t>
            </w:r>
            <w:r w:rsidR="00EC668F" w:rsidRPr="00C75910">
              <w:rPr>
                <w:rFonts w:ascii="Book Antiqua" w:hAnsi="Book Antiqua"/>
              </w:rPr>
              <w:t>.</w:t>
            </w:r>
            <w:r w:rsidRPr="00C75910">
              <w:rPr>
                <w:rFonts w:ascii="Book Antiqua" w:hAnsi="Book Antiqua"/>
              </w:rPr>
              <w:t>6</w:t>
            </w:r>
          </w:p>
        </w:tc>
        <w:tc>
          <w:tcPr>
            <w:tcW w:w="1098" w:type="dxa"/>
          </w:tcPr>
          <w:p w:rsidR="00EC668F" w:rsidRPr="00C75910" w:rsidRDefault="001044A8" w:rsidP="00C75910">
            <w:pPr>
              <w:spacing w:line="360" w:lineRule="auto"/>
              <w:jc w:val="both"/>
              <w:rPr>
                <w:rFonts w:ascii="Book Antiqua" w:hAnsi="Book Antiqua"/>
              </w:rPr>
            </w:pPr>
            <w:r w:rsidRPr="00C75910">
              <w:rPr>
                <w:rFonts w:ascii="Book Antiqua" w:hAnsi="Book Antiqua"/>
              </w:rPr>
              <w:t xml:space="preserve"> </w:t>
            </w:r>
            <w:r w:rsidR="00EC668F" w:rsidRPr="00C75910">
              <w:rPr>
                <w:rFonts w:ascii="Book Antiqua" w:hAnsi="Book Antiqua"/>
              </w:rPr>
              <w:t>0</w:t>
            </w:r>
            <w:r w:rsidR="00AA0AA2" w:rsidRPr="00C75910">
              <w:rPr>
                <w:rFonts w:ascii="Book Antiqua" w:hAnsi="Book Antiqua"/>
              </w:rPr>
              <w:t>.00</w:t>
            </w:r>
            <w:r w:rsidR="00774B81" w:rsidRPr="00C75910">
              <w:rPr>
                <w:rFonts w:ascii="Book Antiqua" w:hAnsi="Book Antiqua"/>
              </w:rPr>
              <w:t>3</w:t>
            </w:r>
          </w:p>
        </w:tc>
      </w:tr>
      <w:tr w:rsidR="00E449A7" w:rsidRPr="00C75910" w:rsidTr="008E4FE3">
        <w:tc>
          <w:tcPr>
            <w:tcW w:w="3528" w:type="dxa"/>
          </w:tcPr>
          <w:p w:rsidR="00EC668F" w:rsidRPr="00C75910" w:rsidRDefault="00EC668F" w:rsidP="00C75910">
            <w:pPr>
              <w:spacing w:line="360" w:lineRule="auto"/>
              <w:jc w:val="both"/>
              <w:rPr>
                <w:rFonts w:ascii="Book Antiqua" w:hAnsi="Book Antiqua"/>
              </w:rPr>
            </w:pPr>
            <w:r w:rsidRPr="00C75910">
              <w:rPr>
                <w:rFonts w:ascii="Book Antiqua" w:hAnsi="Book Antiqua"/>
              </w:rPr>
              <w:t xml:space="preserve">Age, years, </w:t>
            </w:r>
            <w:r w:rsidR="005D0AEF" w:rsidRPr="005D0AEF">
              <w:rPr>
                <w:rFonts w:ascii="Book Antiqua" w:hAnsi="Book Antiqua"/>
              </w:rPr>
              <w:t>mean ± SD</w:t>
            </w:r>
          </w:p>
        </w:tc>
        <w:tc>
          <w:tcPr>
            <w:tcW w:w="2070" w:type="dxa"/>
          </w:tcPr>
          <w:p w:rsidR="00EC668F" w:rsidRPr="00C75910" w:rsidRDefault="00774B81" w:rsidP="00C75910">
            <w:pPr>
              <w:spacing w:line="360" w:lineRule="auto"/>
              <w:jc w:val="both"/>
              <w:rPr>
                <w:rFonts w:ascii="Book Antiqua" w:hAnsi="Book Antiqua"/>
              </w:rPr>
            </w:pPr>
            <w:r w:rsidRPr="00C75910">
              <w:rPr>
                <w:rFonts w:ascii="Book Antiqua" w:hAnsi="Book Antiqua"/>
              </w:rPr>
              <w:t>56.3.(14.1</w:t>
            </w:r>
            <w:r w:rsidR="00EC668F" w:rsidRPr="00C75910">
              <w:rPr>
                <w:rFonts w:ascii="Book Antiqua" w:hAnsi="Book Antiqua"/>
              </w:rPr>
              <w:t>)</w:t>
            </w:r>
          </w:p>
        </w:tc>
        <w:tc>
          <w:tcPr>
            <w:tcW w:w="2160" w:type="dxa"/>
          </w:tcPr>
          <w:p w:rsidR="00EC668F" w:rsidRPr="00C75910" w:rsidRDefault="00774B81" w:rsidP="00C75910">
            <w:pPr>
              <w:spacing w:line="360" w:lineRule="auto"/>
              <w:jc w:val="both"/>
              <w:rPr>
                <w:rFonts w:ascii="Book Antiqua" w:hAnsi="Book Antiqua"/>
              </w:rPr>
            </w:pPr>
            <w:r w:rsidRPr="00C75910">
              <w:rPr>
                <w:rFonts w:ascii="Book Antiqua" w:hAnsi="Book Antiqua"/>
              </w:rPr>
              <w:t>62.</w:t>
            </w:r>
            <w:r w:rsidR="00030EB8" w:rsidRPr="00C75910">
              <w:rPr>
                <w:rFonts w:ascii="Book Antiqua" w:hAnsi="Book Antiqua"/>
              </w:rPr>
              <w:t>2</w:t>
            </w:r>
            <w:r w:rsidRPr="00C75910">
              <w:rPr>
                <w:rFonts w:ascii="Book Antiqua" w:hAnsi="Book Antiqua"/>
              </w:rPr>
              <w:t xml:space="preserve"> (14.1</w:t>
            </w:r>
            <w:r w:rsidR="00EC668F" w:rsidRPr="00C75910">
              <w:rPr>
                <w:rFonts w:ascii="Book Antiqua" w:hAnsi="Book Antiqua"/>
              </w:rPr>
              <w:t>)</w:t>
            </w:r>
          </w:p>
        </w:tc>
        <w:tc>
          <w:tcPr>
            <w:tcW w:w="1098" w:type="dxa"/>
          </w:tcPr>
          <w:p w:rsidR="00EC668F" w:rsidRPr="00C75910" w:rsidRDefault="00EC668F" w:rsidP="00C75910">
            <w:pPr>
              <w:spacing w:line="360" w:lineRule="auto"/>
              <w:jc w:val="both"/>
              <w:rPr>
                <w:rFonts w:ascii="Book Antiqua" w:hAnsi="Book Antiqua"/>
              </w:rPr>
            </w:pPr>
            <w:r w:rsidRPr="00C75910">
              <w:rPr>
                <w:rFonts w:ascii="Book Antiqua" w:hAnsi="Book Antiqua"/>
              </w:rPr>
              <w:t>&lt;</w:t>
            </w:r>
            <w:r w:rsidR="005D0AEF">
              <w:rPr>
                <w:rFonts w:ascii="Book Antiqua" w:hAnsi="Book Antiqua" w:hint="eastAsia"/>
                <w:lang w:eastAsia="zh-CN"/>
              </w:rPr>
              <w:t xml:space="preserve"> </w:t>
            </w:r>
            <w:r w:rsidRPr="00C75910">
              <w:rPr>
                <w:rFonts w:ascii="Book Antiqua" w:hAnsi="Book Antiqua"/>
              </w:rPr>
              <w:t>0</w:t>
            </w:r>
            <w:r w:rsidR="00AA0AA2" w:rsidRPr="00C75910">
              <w:rPr>
                <w:rFonts w:ascii="Book Antiqua" w:hAnsi="Book Antiqua"/>
              </w:rPr>
              <w:t>.00</w:t>
            </w:r>
            <w:r w:rsidRPr="00C75910">
              <w:rPr>
                <w:rFonts w:ascii="Book Antiqua" w:hAnsi="Book Antiqua"/>
              </w:rPr>
              <w:t>1</w:t>
            </w:r>
          </w:p>
        </w:tc>
      </w:tr>
      <w:tr w:rsidR="00E449A7" w:rsidRPr="00C75910" w:rsidTr="008E4FE3">
        <w:tc>
          <w:tcPr>
            <w:tcW w:w="3528" w:type="dxa"/>
          </w:tcPr>
          <w:p w:rsidR="00EC668F" w:rsidRPr="00C75910" w:rsidRDefault="00EC668F" w:rsidP="00C75910">
            <w:pPr>
              <w:spacing w:line="360" w:lineRule="auto"/>
              <w:jc w:val="both"/>
              <w:rPr>
                <w:rFonts w:ascii="Book Antiqua" w:hAnsi="Book Antiqua"/>
              </w:rPr>
            </w:pPr>
            <w:r w:rsidRPr="00C75910">
              <w:rPr>
                <w:rFonts w:ascii="Book Antiqua" w:hAnsi="Book Antiqua"/>
              </w:rPr>
              <w:t>Race</w:t>
            </w:r>
            <w:r w:rsidR="00910AF0">
              <w:rPr>
                <w:rFonts w:ascii="Book Antiqua" w:hAnsi="Book Antiqua" w:hint="eastAsia"/>
                <w:lang w:eastAsia="zh-CN"/>
              </w:rPr>
              <w:t xml:space="preserve"> (</w:t>
            </w:r>
            <w:r w:rsidR="00910AF0" w:rsidRPr="00C75910">
              <w:rPr>
                <w:rFonts w:ascii="Book Antiqua" w:hAnsi="Book Antiqua"/>
              </w:rPr>
              <w:t>%</w:t>
            </w:r>
            <w:r w:rsidR="00910AF0">
              <w:rPr>
                <w:rFonts w:ascii="Book Antiqua" w:hAnsi="Book Antiqua" w:hint="eastAsia"/>
                <w:lang w:eastAsia="zh-CN"/>
              </w:rPr>
              <w:t>)</w:t>
            </w:r>
          </w:p>
        </w:tc>
        <w:tc>
          <w:tcPr>
            <w:tcW w:w="2070" w:type="dxa"/>
          </w:tcPr>
          <w:p w:rsidR="00EC668F" w:rsidRPr="00C75910" w:rsidRDefault="00EC668F" w:rsidP="00C75910">
            <w:pPr>
              <w:spacing w:line="360" w:lineRule="auto"/>
              <w:jc w:val="both"/>
              <w:rPr>
                <w:rFonts w:ascii="Book Antiqua" w:hAnsi="Book Antiqua"/>
              </w:rPr>
            </w:pPr>
          </w:p>
        </w:tc>
        <w:tc>
          <w:tcPr>
            <w:tcW w:w="2160" w:type="dxa"/>
          </w:tcPr>
          <w:p w:rsidR="00EC668F" w:rsidRPr="00C75910" w:rsidRDefault="00EC668F" w:rsidP="00C75910">
            <w:pPr>
              <w:spacing w:line="360" w:lineRule="auto"/>
              <w:jc w:val="both"/>
              <w:rPr>
                <w:rFonts w:ascii="Book Antiqua" w:hAnsi="Book Antiqua"/>
              </w:rPr>
            </w:pPr>
          </w:p>
        </w:tc>
        <w:tc>
          <w:tcPr>
            <w:tcW w:w="1098" w:type="dxa"/>
          </w:tcPr>
          <w:p w:rsidR="00EC668F" w:rsidRPr="00C75910" w:rsidRDefault="00AA0AA2" w:rsidP="00C75910">
            <w:pPr>
              <w:spacing w:line="360" w:lineRule="auto"/>
              <w:jc w:val="both"/>
              <w:rPr>
                <w:rFonts w:ascii="Book Antiqua" w:hAnsi="Book Antiqua"/>
              </w:rPr>
            </w:pPr>
            <w:r w:rsidRPr="00C75910">
              <w:rPr>
                <w:rFonts w:ascii="Book Antiqua" w:hAnsi="Book Antiqua"/>
              </w:rPr>
              <w:t>&lt;</w:t>
            </w:r>
            <w:r w:rsidR="005D0AEF">
              <w:rPr>
                <w:rFonts w:ascii="Book Antiqua" w:hAnsi="Book Antiqua" w:hint="eastAsia"/>
                <w:lang w:eastAsia="zh-CN"/>
              </w:rPr>
              <w:t xml:space="preserve"> </w:t>
            </w:r>
            <w:r w:rsidR="00EC668F" w:rsidRPr="00C75910">
              <w:rPr>
                <w:rFonts w:ascii="Book Antiqua" w:hAnsi="Book Antiqua"/>
              </w:rPr>
              <w:t>0.00</w:t>
            </w:r>
            <w:r w:rsidRPr="00C75910">
              <w:rPr>
                <w:rFonts w:ascii="Book Antiqua" w:hAnsi="Book Antiqua"/>
              </w:rPr>
              <w:t>1</w:t>
            </w:r>
          </w:p>
        </w:tc>
      </w:tr>
      <w:tr w:rsidR="00E449A7" w:rsidRPr="00C75910" w:rsidTr="008E4FE3">
        <w:tc>
          <w:tcPr>
            <w:tcW w:w="3528" w:type="dxa"/>
          </w:tcPr>
          <w:p w:rsidR="00EC668F" w:rsidRPr="00C75910" w:rsidRDefault="00764E14" w:rsidP="00C75910">
            <w:pPr>
              <w:tabs>
                <w:tab w:val="center" w:pos="2134"/>
              </w:tabs>
              <w:spacing w:line="360" w:lineRule="auto"/>
              <w:jc w:val="both"/>
              <w:rPr>
                <w:rFonts w:ascii="Book Antiqua" w:hAnsi="Book Antiqua"/>
              </w:rPr>
            </w:pPr>
            <w:r>
              <w:rPr>
                <w:rFonts w:ascii="Book Antiqua" w:hAnsi="Book Antiqua"/>
              </w:rPr>
              <w:t xml:space="preserve"> </w:t>
            </w:r>
            <w:r w:rsidR="00EC668F" w:rsidRPr="00C75910">
              <w:rPr>
                <w:rFonts w:ascii="Book Antiqua" w:hAnsi="Book Antiqua"/>
              </w:rPr>
              <w:t xml:space="preserve">White </w:t>
            </w:r>
            <w:r w:rsidR="00EC668F" w:rsidRPr="00C75910">
              <w:rPr>
                <w:rFonts w:ascii="Book Antiqua" w:hAnsi="Book Antiqua"/>
              </w:rPr>
              <w:tab/>
            </w:r>
          </w:p>
        </w:tc>
        <w:tc>
          <w:tcPr>
            <w:tcW w:w="2070" w:type="dxa"/>
          </w:tcPr>
          <w:p w:rsidR="00EC668F" w:rsidRPr="00C75910" w:rsidRDefault="00816322" w:rsidP="00C75910">
            <w:pPr>
              <w:spacing w:line="360" w:lineRule="auto"/>
              <w:jc w:val="both"/>
              <w:rPr>
                <w:rFonts w:ascii="Book Antiqua" w:hAnsi="Book Antiqua"/>
              </w:rPr>
            </w:pPr>
            <w:r w:rsidRPr="00C75910">
              <w:rPr>
                <w:rFonts w:ascii="Book Antiqua" w:hAnsi="Book Antiqua"/>
              </w:rPr>
              <w:t>22</w:t>
            </w:r>
            <w:r w:rsidR="00EC668F" w:rsidRPr="00C75910">
              <w:rPr>
                <w:rFonts w:ascii="Book Antiqua" w:hAnsi="Book Antiqua"/>
              </w:rPr>
              <w:t>.</w:t>
            </w:r>
            <w:r w:rsidRPr="00C75910">
              <w:rPr>
                <w:rFonts w:ascii="Book Antiqua" w:hAnsi="Book Antiqua"/>
              </w:rPr>
              <w:t>2</w:t>
            </w:r>
          </w:p>
        </w:tc>
        <w:tc>
          <w:tcPr>
            <w:tcW w:w="2160" w:type="dxa"/>
          </w:tcPr>
          <w:p w:rsidR="00EC668F" w:rsidRPr="00C75910" w:rsidRDefault="00816322" w:rsidP="00C75910">
            <w:pPr>
              <w:spacing w:line="360" w:lineRule="auto"/>
              <w:jc w:val="both"/>
              <w:rPr>
                <w:rFonts w:ascii="Book Antiqua" w:hAnsi="Book Antiqua"/>
              </w:rPr>
            </w:pPr>
            <w:r w:rsidRPr="00C75910">
              <w:rPr>
                <w:rFonts w:ascii="Book Antiqua" w:hAnsi="Book Antiqua"/>
              </w:rPr>
              <w:t>31</w:t>
            </w:r>
            <w:r w:rsidR="00EC668F" w:rsidRPr="00C75910">
              <w:rPr>
                <w:rFonts w:ascii="Book Antiqua" w:hAnsi="Book Antiqua"/>
              </w:rPr>
              <w:t>.</w:t>
            </w:r>
            <w:r w:rsidRPr="00C75910">
              <w:rPr>
                <w:rFonts w:ascii="Book Antiqua" w:hAnsi="Book Antiqua"/>
              </w:rPr>
              <w:t>1</w:t>
            </w:r>
          </w:p>
        </w:tc>
        <w:tc>
          <w:tcPr>
            <w:tcW w:w="1098" w:type="dxa"/>
          </w:tcPr>
          <w:p w:rsidR="00EC668F" w:rsidRPr="00C75910" w:rsidRDefault="00EC668F" w:rsidP="00C75910">
            <w:pPr>
              <w:spacing w:line="360" w:lineRule="auto"/>
              <w:jc w:val="both"/>
              <w:rPr>
                <w:rFonts w:ascii="Book Antiqua" w:hAnsi="Book Antiqua"/>
              </w:rPr>
            </w:pPr>
          </w:p>
        </w:tc>
      </w:tr>
      <w:tr w:rsidR="00E449A7" w:rsidRPr="00C75910" w:rsidTr="008E4FE3">
        <w:tc>
          <w:tcPr>
            <w:tcW w:w="3528" w:type="dxa"/>
          </w:tcPr>
          <w:p w:rsidR="00EC668F" w:rsidRPr="00C75910" w:rsidRDefault="00764E14" w:rsidP="00C75910">
            <w:pPr>
              <w:spacing w:line="360" w:lineRule="auto"/>
              <w:jc w:val="both"/>
              <w:rPr>
                <w:rFonts w:ascii="Book Antiqua" w:hAnsi="Book Antiqua"/>
              </w:rPr>
            </w:pPr>
            <w:r>
              <w:rPr>
                <w:rFonts w:ascii="Book Antiqua" w:hAnsi="Book Antiqua"/>
              </w:rPr>
              <w:t xml:space="preserve"> </w:t>
            </w:r>
            <w:r w:rsidR="00EC668F" w:rsidRPr="00C75910">
              <w:rPr>
                <w:rFonts w:ascii="Book Antiqua" w:hAnsi="Book Antiqua"/>
              </w:rPr>
              <w:t xml:space="preserve">Black </w:t>
            </w:r>
          </w:p>
        </w:tc>
        <w:tc>
          <w:tcPr>
            <w:tcW w:w="2070" w:type="dxa"/>
          </w:tcPr>
          <w:p w:rsidR="00EC668F" w:rsidRPr="00C75910" w:rsidRDefault="00816322" w:rsidP="00C75910">
            <w:pPr>
              <w:spacing w:line="360" w:lineRule="auto"/>
              <w:jc w:val="both"/>
              <w:rPr>
                <w:rFonts w:ascii="Book Antiqua" w:hAnsi="Book Antiqua"/>
              </w:rPr>
            </w:pPr>
            <w:r w:rsidRPr="00C75910">
              <w:rPr>
                <w:rFonts w:ascii="Book Antiqua" w:hAnsi="Book Antiqua"/>
              </w:rPr>
              <w:t>6</w:t>
            </w:r>
            <w:r w:rsidR="00030EB8" w:rsidRPr="00C75910">
              <w:rPr>
                <w:rFonts w:ascii="Book Antiqua" w:hAnsi="Book Antiqua"/>
              </w:rPr>
              <w:t>3</w:t>
            </w:r>
            <w:r w:rsidR="00EC668F" w:rsidRPr="00C75910">
              <w:rPr>
                <w:rFonts w:ascii="Book Antiqua" w:hAnsi="Book Antiqua"/>
              </w:rPr>
              <w:t>.</w:t>
            </w:r>
            <w:r w:rsidRPr="00C75910">
              <w:rPr>
                <w:rFonts w:ascii="Book Antiqua" w:hAnsi="Book Antiqua"/>
              </w:rPr>
              <w:t>6</w:t>
            </w:r>
          </w:p>
        </w:tc>
        <w:tc>
          <w:tcPr>
            <w:tcW w:w="2160" w:type="dxa"/>
          </w:tcPr>
          <w:p w:rsidR="00EC668F" w:rsidRPr="00C75910" w:rsidRDefault="00816322" w:rsidP="00C75910">
            <w:pPr>
              <w:spacing w:line="360" w:lineRule="auto"/>
              <w:jc w:val="both"/>
              <w:rPr>
                <w:rFonts w:ascii="Book Antiqua" w:hAnsi="Book Antiqua"/>
              </w:rPr>
            </w:pPr>
            <w:r w:rsidRPr="00C75910">
              <w:rPr>
                <w:rFonts w:ascii="Book Antiqua" w:hAnsi="Book Antiqua"/>
              </w:rPr>
              <w:t>45</w:t>
            </w:r>
            <w:r w:rsidR="00EC668F" w:rsidRPr="00C75910">
              <w:rPr>
                <w:rFonts w:ascii="Book Antiqua" w:hAnsi="Book Antiqua"/>
              </w:rPr>
              <w:t>.6</w:t>
            </w:r>
          </w:p>
        </w:tc>
        <w:tc>
          <w:tcPr>
            <w:tcW w:w="1098" w:type="dxa"/>
          </w:tcPr>
          <w:p w:rsidR="00EC668F" w:rsidRPr="00C75910" w:rsidRDefault="00EC668F" w:rsidP="00C75910">
            <w:pPr>
              <w:spacing w:line="360" w:lineRule="auto"/>
              <w:jc w:val="both"/>
              <w:rPr>
                <w:rFonts w:ascii="Book Antiqua" w:hAnsi="Book Antiqua"/>
              </w:rPr>
            </w:pPr>
          </w:p>
        </w:tc>
      </w:tr>
      <w:tr w:rsidR="00E449A7" w:rsidRPr="00C75910" w:rsidTr="008E4FE3">
        <w:tc>
          <w:tcPr>
            <w:tcW w:w="3528" w:type="dxa"/>
          </w:tcPr>
          <w:p w:rsidR="00EC668F" w:rsidRPr="00C75910" w:rsidRDefault="00764E14" w:rsidP="00C75910">
            <w:pPr>
              <w:spacing w:line="360" w:lineRule="auto"/>
              <w:jc w:val="both"/>
              <w:rPr>
                <w:rFonts w:ascii="Book Antiqua" w:hAnsi="Book Antiqua"/>
              </w:rPr>
            </w:pPr>
            <w:r>
              <w:rPr>
                <w:rFonts w:ascii="Book Antiqua" w:hAnsi="Book Antiqua"/>
              </w:rPr>
              <w:t xml:space="preserve"> </w:t>
            </w:r>
            <w:r w:rsidR="00EC668F" w:rsidRPr="00C75910">
              <w:rPr>
                <w:rFonts w:ascii="Book Antiqua" w:hAnsi="Book Antiqua"/>
              </w:rPr>
              <w:t>Native American</w:t>
            </w:r>
          </w:p>
        </w:tc>
        <w:tc>
          <w:tcPr>
            <w:tcW w:w="2070" w:type="dxa"/>
          </w:tcPr>
          <w:p w:rsidR="00EC668F" w:rsidRPr="00C75910" w:rsidRDefault="00EC668F" w:rsidP="00C75910">
            <w:pPr>
              <w:spacing w:line="360" w:lineRule="auto"/>
              <w:jc w:val="both"/>
              <w:rPr>
                <w:rFonts w:ascii="Book Antiqua" w:hAnsi="Book Antiqua"/>
              </w:rPr>
            </w:pPr>
            <w:r w:rsidRPr="00C75910">
              <w:rPr>
                <w:rFonts w:ascii="Book Antiqua" w:hAnsi="Book Antiqua"/>
              </w:rPr>
              <w:t>0.</w:t>
            </w:r>
            <w:r w:rsidR="00816322" w:rsidRPr="00C75910">
              <w:rPr>
                <w:rFonts w:ascii="Book Antiqua" w:hAnsi="Book Antiqua"/>
              </w:rPr>
              <w:t>5</w:t>
            </w:r>
          </w:p>
        </w:tc>
        <w:tc>
          <w:tcPr>
            <w:tcW w:w="2160" w:type="dxa"/>
          </w:tcPr>
          <w:p w:rsidR="00EC668F" w:rsidRPr="00C75910" w:rsidRDefault="00816322" w:rsidP="00C75910">
            <w:pPr>
              <w:spacing w:line="360" w:lineRule="auto"/>
              <w:jc w:val="both"/>
              <w:rPr>
                <w:rFonts w:ascii="Book Antiqua" w:hAnsi="Book Antiqua"/>
              </w:rPr>
            </w:pPr>
            <w:r w:rsidRPr="00C75910">
              <w:rPr>
                <w:rFonts w:ascii="Book Antiqua" w:hAnsi="Book Antiqua"/>
              </w:rPr>
              <w:t>1</w:t>
            </w:r>
            <w:r w:rsidR="00EC668F" w:rsidRPr="00C75910">
              <w:rPr>
                <w:rFonts w:ascii="Book Antiqua" w:hAnsi="Book Antiqua"/>
              </w:rPr>
              <w:t>.</w:t>
            </w:r>
            <w:r w:rsidRPr="00C75910">
              <w:rPr>
                <w:rFonts w:ascii="Book Antiqua" w:hAnsi="Book Antiqua"/>
              </w:rPr>
              <w:t>0</w:t>
            </w:r>
          </w:p>
        </w:tc>
        <w:tc>
          <w:tcPr>
            <w:tcW w:w="1098" w:type="dxa"/>
          </w:tcPr>
          <w:p w:rsidR="00EC668F" w:rsidRPr="00C75910" w:rsidRDefault="00EC668F" w:rsidP="00C75910">
            <w:pPr>
              <w:spacing w:line="360" w:lineRule="auto"/>
              <w:jc w:val="both"/>
              <w:rPr>
                <w:rFonts w:ascii="Book Antiqua" w:hAnsi="Book Antiqua"/>
              </w:rPr>
            </w:pPr>
          </w:p>
        </w:tc>
      </w:tr>
      <w:tr w:rsidR="00E449A7" w:rsidRPr="00C75910" w:rsidTr="008E4FE3">
        <w:tc>
          <w:tcPr>
            <w:tcW w:w="3528" w:type="dxa"/>
          </w:tcPr>
          <w:p w:rsidR="00EC668F" w:rsidRPr="00C75910" w:rsidRDefault="00764E14" w:rsidP="00C75910">
            <w:pPr>
              <w:spacing w:line="360" w:lineRule="auto"/>
              <w:jc w:val="both"/>
              <w:rPr>
                <w:rFonts w:ascii="Book Antiqua" w:hAnsi="Book Antiqua"/>
              </w:rPr>
            </w:pPr>
            <w:r>
              <w:rPr>
                <w:rFonts w:ascii="Book Antiqua" w:hAnsi="Book Antiqua"/>
              </w:rPr>
              <w:t xml:space="preserve"> </w:t>
            </w:r>
            <w:r w:rsidR="00EC668F" w:rsidRPr="00C75910">
              <w:rPr>
                <w:rFonts w:ascii="Book Antiqua" w:hAnsi="Book Antiqua"/>
              </w:rPr>
              <w:t>Asian</w:t>
            </w:r>
          </w:p>
        </w:tc>
        <w:tc>
          <w:tcPr>
            <w:tcW w:w="2070" w:type="dxa"/>
          </w:tcPr>
          <w:p w:rsidR="00EC668F" w:rsidRPr="00C75910" w:rsidRDefault="00816322" w:rsidP="00C75910">
            <w:pPr>
              <w:spacing w:line="360" w:lineRule="auto"/>
              <w:jc w:val="both"/>
              <w:rPr>
                <w:rFonts w:ascii="Book Antiqua" w:hAnsi="Book Antiqua"/>
              </w:rPr>
            </w:pPr>
            <w:r w:rsidRPr="00C75910">
              <w:rPr>
                <w:rFonts w:ascii="Book Antiqua" w:hAnsi="Book Antiqua"/>
              </w:rPr>
              <w:t>10</w:t>
            </w:r>
            <w:r w:rsidR="00EC668F" w:rsidRPr="00C75910">
              <w:rPr>
                <w:rFonts w:ascii="Book Antiqua" w:hAnsi="Book Antiqua"/>
              </w:rPr>
              <w:t>.</w:t>
            </w:r>
            <w:r w:rsidRPr="00C75910">
              <w:rPr>
                <w:rFonts w:ascii="Book Antiqua" w:hAnsi="Book Antiqua"/>
              </w:rPr>
              <w:t>9</w:t>
            </w:r>
          </w:p>
        </w:tc>
        <w:tc>
          <w:tcPr>
            <w:tcW w:w="2160" w:type="dxa"/>
          </w:tcPr>
          <w:p w:rsidR="00EC668F" w:rsidRPr="00C75910" w:rsidRDefault="00EC668F" w:rsidP="00C75910">
            <w:pPr>
              <w:spacing w:line="360" w:lineRule="auto"/>
              <w:jc w:val="both"/>
              <w:rPr>
                <w:rFonts w:ascii="Book Antiqua" w:hAnsi="Book Antiqua"/>
              </w:rPr>
            </w:pPr>
            <w:r w:rsidRPr="00C75910">
              <w:rPr>
                <w:rFonts w:ascii="Book Antiqua" w:hAnsi="Book Antiqua"/>
              </w:rPr>
              <w:t>12.</w:t>
            </w:r>
            <w:r w:rsidR="00816322" w:rsidRPr="00C75910">
              <w:rPr>
                <w:rFonts w:ascii="Book Antiqua" w:hAnsi="Book Antiqua"/>
              </w:rPr>
              <w:t>6</w:t>
            </w:r>
          </w:p>
        </w:tc>
        <w:tc>
          <w:tcPr>
            <w:tcW w:w="1098" w:type="dxa"/>
          </w:tcPr>
          <w:p w:rsidR="00EC668F" w:rsidRPr="00C75910" w:rsidRDefault="00EC668F" w:rsidP="00C75910">
            <w:pPr>
              <w:spacing w:line="360" w:lineRule="auto"/>
              <w:jc w:val="both"/>
              <w:rPr>
                <w:rFonts w:ascii="Book Antiqua" w:hAnsi="Book Antiqua"/>
              </w:rPr>
            </w:pPr>
          </w:p>
        </w:tc>
      </w:tr>
      <w:tr w:rsidR="00E449A7" w:rsidRPr="00C75910" w:rsidTr="008E4FE3">
        <w:tc>
          <w:tcPr>
            <w:tcW w:w="3528" w:type="dxa"/>
          </w:tcPr>
          <w:p w:rsidR="00EC668F" w:rsidRPr="00C75910" w:rsidRDefault="00764E14" w:rsidP="00C75910">
            <w:pPr>
              <w:spacing w:line="360" w:lineRule="auto"/>
              <w:jc w:val="both"/>
              <w:rPr>
                <w:rFonts w:ascii="Book Antiqua" w:hAnsi="Book Antiqua"/>
              </w:rPr>
            </w:pPr>
            <w:r>
              <w:rPr>
                <w:rFonts w:ascii="Book Antiqua" w:hAnsi="Book Antiqua"/>
              </w:rPr>
              <w:t xml:space="preserve"> </w:t>
            </w:r>
            <w:r w:rsidR="00EC668F" w:rsidRPr="00C75910">
              <w:rPr>
                <w:rFonts w:ascii="Book Antiqua" w:hAnsi="Book Antiqua"/>
              </w:rPr>
              <w:t>Other (Native Hawaiian, other</w:t>
            </w:r>
            <w:r w:rsidR="005D0AEF">
              <w:rPr>
                <w:rFonts w:ascii="Book Antiqua" w:hAnsi="Book Antiqua" w:hint="eastAsia"/>
                <w:lang w:eastAsia="zh-CN"/>
              </w:rPr>
              <w:t xml:space="preserve"> </w:t>
            </w:r>
            <w:r w:rsidR="00EC668F" w:rsidRPr="00C75910">
              <w:rPr>
                <w:rFonts w:ascii="Book Antiqua" w:hAnsi="Book Antiqua"/>
              </w:rPr>
              <w:t>Pacific</w:t>
            </w:r>
            <w:r w:rsidR="002D6CCB" w:rsidRPr="00C75910">
              <w:rPr>
                <w:rFonts w:ascii="Book Antiqua" w:hAnsi="Book Antiqua"/>
              </w:rPr>
              <w:t xml:space="preserve"> </w:t>
            </w:r>
            <w:r w:rsidR="00EC668F" w:rsidRPr="00C75910">
              <w:rPr>
                <w:rFonts w:ascii="Book Antiqua" w:hAnsi="Book Antiqua"/>
              </w:rPr>
              <w:t>Islander, other)</w:t>
            </w:r>
          </w:p>
        </w:tc>
        <w:tc>
          <w:tcPr>
            <w:tcW w:w="2070" w:type="dxa"/>
          </w:tcPr>
          <w:p w:rsidR="00EC668F" w:rsidRPr="00C75910" w:rsidRDefault="00EC668F" w:rsidP="00C75910">
            <w:pPr>
              <w:spacing w:line="360" w:lineRule="auto"/>
              <w:jc w:val="both"/>
              <w:rPr>
                <w:rFonts w:ascii="Book Antiqua" w:hAnsi="Book Antiqua"/>
              </w:rPr>
            </w:pPr>
            <w:r w:rsidRPr="00C75910">
              <w:rPr>
                <w:rFonts w:ascii="Book Antiqua" w:hAnsi="Book Antiqua"/>
              </w:rPr>
              <w:t>2.</w:t>
            </w:r>
            <w:r w:rsidR="00816322" w:rsidRPr="00C75910">
              <w:rPr>
                <w:rFonts w:ascii="Book Antiqua" w:hAnsi="Book Antiqua"/>
              </w:rPr>
              <w:t>8</w:t>
            </w:r>
          </w:p>
        </w:tc>
        <w:tc>
          <w:tcPr>
            <w:tcW w:w="2160" w:type="dxa"/>
          </w:tcPr>
          <w:p w:rsidR="00EC668F" w:rsidRPr="00C75910" w:rsidRDefault="00816322" w:rsidP="00C75910">
            <w:pPr>
              <w:spacing w:line="360" w:lineRule="auto"/>
              <w:jc w:val="both"/>
              <w:rPr>
                <w:rFonts w:ascii="Book Antiqua" w:hAnsi="Book Antiqua"/>
              </w:rPr>
            </w:pPr>
            <w:r w:rsidRPr="00C75910">
              <w:rPr>
                <w:rFonts w:ascii="Book Antiqua" w:hAnsi="Book Antiqua"/>
              </w:rPr>
              <w:t>9</w:t>
            </w:r>
            <w:r w:rsidR="00EC668F" w:rsidRPr="00C75910">
              <w:rPr>
                <w:rFonts w:ascii="Book Antiqua" w:hAnsi="Book Antiqua"/>
              </w:rPr>
              <w:t>.</w:t>
            </w:r>
            <w:r w:rsidRPr="00C75910">
              <w:rPr>
                <w:rFonts w:ascii="Book Antiqua" w:hAnsi="Book Antiqua"/>
              </w:rPr>
              <w:t>7</w:t>
            </w:r>
          </w:p>
        </w:tc>
        <w:tc>
          <w:tcPr>
            <w:tcW w:w="1098" w:type="dxa"/>
          </w:tcPr>
          <w:p w:rsidR="00EC668F" w:rsidRPr="00C75910" w:rsidRDefault="00EC668F" w:rsidP="00C75910">
            <w:pPr>
              <w:spacing w:line="360" w:lineRule="auto"/>
              <w:jc w:val="both"/>
              <w:rPr>
                <w:rFonts w:ascii="Book Antiqua" w:hAnsi="Book Antiqua"/>
              </w:rPr>
            </w:pPr>
          </w:p>
        </w:tc>
      </w:tr>
      <w:tr w:rsidR="00E449A7" w:rsidRPr="00C75910" w:rsidTr="008E4FE3">
        <w:tc>
          <w:tcPr>
            <w:tcW w:w="3528" w:type="dxa"/>
          </w:tcPr>
          <w:p w:rsidR="00EC668F" w:rsidRPr="00C75910" w:rsidRDefault="008E4FE3" w:rsidP="00C75910">
            <w:pPr>
              <w:tabs>
                <w:tab w:val="right" w:pos="1801"/>
              </w:tabs>
              <w:spacing w:line="360" w:lineRule="auto"/>
              <w:jc w:val="both"/>
              <w:rPr>
                <w:rFonts w:ascii="Book Antiqua" w:hAnsi="Book Antiqua"/>
              </w:rPr>
            </w:pPr>
            <w:r w:rsidRPr="00C75910">
              <w:rPr>
                <w:rFonts w:ascii="Book Antiqua" w:hAnsi="Book Antiqua"/>
              </w:rPr>
              <w:t>ESRD v</w:t>
            </w:r>
            <w:r w:rsidR="005D0AEF">
              <w:rPr>
                <w:rFonts w:ascii="Book Antiqua" w:hAnsi="Book Antiqua"/>
              </w:rPr>
              <w:t xml:space="preserve">intage, years, </w:t>
            </w:r>
            <w:r w:rsidR="005D0AEF" w:rsidRPr="005D0AEF">
              <w:rPr>
                <w:rFonts w:ascii="Book Antiqua" w:hAnsi="Book Antiqua"/>
              </w:rPr>
              <w:t>mean ± SD</w:t>
            </w:r>
          </w:p>
        </w:tc>
        <w:tc>
          <w:tcPr>
            <w:tcW w:w="2070" w:type="dxa"/>
          </w:tcPr>
          <w:p w:rsidR="00EC668F" w:rsidRPr="00C75910" w:rsidRDefault="00816322" w:rsidP="00C75910">
            <w:pPr>
              <w:tabs>
                <w:tab w:val="center" w:pos="1422"/>
                <w:tab w:val="left" w:pos="2145"/>
              </w:tabs>
              <w:spacing w:line="360" w:lineRule="auto"/>
              <w:jc w:val="both"/>
              <w:rPr>
                <w:rFonts w:ascii="Book Antiqua" w:hAnsi="Book Antiqua"/>
              </w:rPr>
            </w:pPr>
            <w:r w:rsidRPr="00C75910">
              <w:rPr>
                <w:rFonts w:ascii="Book Antiqua" w:hAnsi="Book Antiqua"/>
              </w:rPr>
              <w:t>5.0 (5.2</w:t>
            </w:r>
            <w:r w:rsidR="00EC668F" w:rsidRPr="00C75910">
              <w:rPr>
                <w:rFonts w:ascii="Book Antiqua" w:hAnsi="Book Antiqua"/>
              </w:rPr>
              <w:t>)</w:t>
            </w:r>
          </w:p>
        </w:tc>
        <w:tc>
          <w:tcPr>
            <w:tcW w:w="2160" w:type="dxa"/>
          </w:tcPr>
          <w:p w:rsidR="00EC668F" w:rsidRPr="00C75910" w:rsidRDefault="00816322" w:rsidP="00C75910">
            <w:pPr>
              <w:tabs>
                <w:tab w:val="center" w:pos="1422"/>
                <w:tab w:val="left" w:pos="2145"/>
              </w:tabs>
              <w:spacing w:line="360" w:lineRule="auto"/>
              <w:jc w:val="both"/>
              <w:rPr>
                <w:rFonts w:ascii="Book Antiqua" w:hAnsi="Book Antiqua"/>
              </w:rPr>
            </w:pPr>
            <w:r w:rsidRPr="00C75910">
              <w:rPr>
                <w:rFonts w:ascii="Book Antiqua" w:hAnsi="Book Antiqua"/>
              </w:rPr>
              <w:t>4.4 (4.1</w:t>
            </w:r>
            <w:r w:rsidR="00EC668F" w:rsidRPr="00C75910">
              <w:rPr>
                <w:rFonts w:ascii="Book Antiqua" w:hAnsi="Book Antiqua"/>
              </w:rPr>
              <w:t>)</w:t>
            </w:r>
          </w:p>
        </w:tc>
        <w:tc>
          <w:tcPr>
            <w:tcW w:w="1098" w:type="dxa"/>
          </w:tcPr>
          <w:p w:rsidR="00EC668F" w:rsidRPr="00C75910" w:rsidRDefault="00EC668F" w:rsidP="00C75910">
            <w:pPr>
              <w:tabs>
                <w:tab w:val="center" w:pos="1422"/>
                <w:tab w:val="left" w:pos="2145"/>
              </w:tabs>
              <w:spacing w:line="360" w:lineRule="auto"/>
              <w:jc w:val="both"/>
              <w:rPr>
                <w:rFonts w:ascii="Book Antiqua" w:hAnsi="Book Antiqua"/>
              </w:rPr>
            </w:pPr>
            <w:r w:rsidRPr="00C75910">
              <w:rPr>
                <w:rFonts w:ascii="Book Antiqua" w:hAnsi="Book Antiqua"/>
              </w:rPr>
              <w:t>0.</w:t>
            </w:r>
            <w:r w:rsidR="00816322" w:rsidRPr="00C75910">
              <w:rPr>
                <w:rFonts w:ascii="Book Antiqua" w:hAnsi="Book Antiqua"/>
              </w:rPr>
              <w:t>24</w:t>
            </w:r>
          </w:p>
        </w:tc>
      </w:tr>
      <w:tr w:rsidR="00E449A7" w:rsidRPr="00C75910" w:rsidTr="008E4FE3">
        <w:tc>
          <w:tcPr>
            <w:tcW w:w="3528" w:type="dxa"/>
          </w:tcPr>
          <w:p w:rsidR="00EC668F" w:rsidRPr="00C75910" w:rsidRDefault="00EC668F" w:rsidP="00C75910">
            <w:pPr>
              <w:tabs>
                <w:tab w:val="right" w:pos="1801"/>
              </w:tabs>
              <w:spacing w:line="360" w:lineRule="auto"/>
              <w:jc w:val="both"/>
              <w:rPr>
                <w:rFonts w:ascii="Book Antiqua" w:hAnsi="Book Antiqua"/>
              </w:rPr>
            </w:pPr>
            <w:r w:rsidRPr="00C75910">
              <w:rPr>
                <w:rFonts w:ascii="Book Antiqua" w:hAnsi="Book Antiqua"/>
              </w:rPr>
              <w:t>Diabetes</w:t>
            </w:r>
            <w:r w:rsidR="00910AF0">
              <w:rPr>
                <w:rFonts w:ascii="Book Antiqua" w:hAnsi="Book Antiqua" w:hint="eastAsia"/>
                <w:lang w:eastAsia="zh-CN"/>
              </w:rPr>
              <w:t xml:space="preserve"> (</w:t>
            </w:r>
            <w:r w:rsidR="00910AF0" w:rsidRPr="00C75910">
              <w:rPr>
                <w:rFonts w:ascii="Book Antiqua" w:hAnsi="Book Antiqua"/>
              </w:rPr>
              <w:t>%</w:t>
            </w:r>
            <w:r w:rsidR="00910AF0">
              <w:rPr>
                <w:rFonts w:ascii="Book Antiqua" w:hAnsi="Book Antiqua" w:hint="eastAsia"/>
                <w:lang w:eastAsia="zh-CN"/>
              </w:rPr>
              <w:t>)</w:t>
            </w:r>
            <w:r w:rsidRPr="00C75910">
              <w:rPr>
                <w:rFonts w:ascii="Book Antiqua" w:hAnsi="Book Antiqua"/>
              </w:rPr>
              <w:tab/>
            </w:r>
          </w:p>
        </w:tc>
        <w:tc>
          <w:tcPr>
            <w:tcW w:w="2070" w:type="dxa"/>
          </w:tcPr>
          <w:p w:rsidR="00EC668F" w:rsidRPr="00C75910" w:rsidRDefault="00816322" w:rsidP="00C75910">
            <w:pPr>
              <w:tabs>
                <w:tab w:val="center" w:pos="1422"/>
                <w:tab w:val="left" w:pos="2145"/>
              </w:tabs>
              <w:spacing w:line="360" w:lineRule="auto"/>
              <w:jc w:val="both"/>
              <w:rPr>
                <w:rFonts w:ascii="Book Antiqua" w:hAnsi="Book Antiqua"/>
              </w:rPr>
            </w:pPr>
            <w:r w:rsidRPr="00C75910">
              <w:rPr>
                <w:rFonts w:ascii="Book Antiqua" w:hAnsi="Book Antiqua"/>
              </w:rPr>
              <w:t>48</w:t>
            </w:r>
            <w:r w:rsidR="00EC668F" w:rsidRPr="00C75910">
              <w:rPr>
                <w:rFonts w:ascii="Book Antiqua" w:hAnsi="Book Antiqua"/>
              </w:rPr>
              <w:t>.</w:t>
            </w:r>
            <w:r w:rsidRPr="00C75910">
              <w:rPr>
                <w:rFonts w:ascii="Book Antiqua" w:hAnsi="Book Antiqua"/>
              </w:rPr>
              <w:t>1</w:t>
            </w:r>
          </w:p>
        </w:tc>
        <w:tc>
          <w:tcPr>
            <w:tcW w:w="2160" w:type="dxa"/>
          </w:tcPr>
          <w:p w:rsidR="00EC668F" w:rsidRPr="00C75910" w:rsidRDefault="00816322" w:rsidP="00C75910">
            <w:pPr>
              <w:tabs>
                <w:tab w:val="center" w:pos="1422"/>
                <w:tab w:val="left" w:pos="2145"/>
              </w:tabs>
              <w:spacing w:line="360" w:lineRule="auto"/>
              <w:jc w:val="both"/>
              <w:rPr>
                <w:rFonts w:ascii="Book Antiqua" w:hAnsi="Book Antiqua"/>
              </w:rPr>
            </w:pPr>
            <w:r w:rsidRPr="00C75910">
              <w:rPr>
                <w:rFonts w:ascii="Book Antiqua" w:hAnsi="Book Antiqua"/>
              </w:rPr>
              <w:t>73</w:t>
            </w:r>
            <w:r w:rsidR="00EC668F" w:rsidRPr="00C75910">
              <w:rPr>
                <w:rFonts w:ascii="Book Antiqua" w:hAnsi="Book Antiqua"/>
              </w:rPr>
              <w:t>.</w:t>
            </w:r>
            <w:r w:rsidRPr="00C75910">
              <w:rPr>
                <w:rFonts w:ascii="Book Antiqua" w:hAnsi="Book Antiqua"/>
              </w:rPr>
              <w:t>5</w:t>
            </w:r>
          </w:p>
        </w:tc>
        <w:tc>
          <w:tcPr>
            <w:tcW w:w="1098" w:type="dxa"/>
          </w:tcPr>
          <w:p w:rsidR="00EC668F" w:rsidRPr="00C75910" w:rsidRDefault="00EC668F" w:rsidP="00C75910">
            <w:pPr>
              <w:tabs>
                <w:tab w:val="center" w:pos="1422"/>
                <w:tab w:val="left" w:pos="2145"/>
              </w:tabs>
              <w:spacing w:line="360" w:lineRule="auto"/>
              <w:jc w:val="both"/>
              <w:rPr>
                <w:rFonts w:ascii="Book Antiqua" w:hAnsi="Book Antiqua"/>
              </w:rPr>
            </w:pPr>
            <w:r w:rsidRPr="00C75910">
              <w:rPr>
                <w:rFonts w:ascii="Book Antiqua" w:hAnsi="Book Antiqua"/>
              </w:rPr>
              <w:t>&lt;</w:t>
            </w:r>
            <w:r w:rsidR="00910AF0">
              <w:rPr>
                <w:rFonts w:ascii="Book Antiqua" w:hAnsi="Book Antiqua" w:hint="eastAsia"/>
                <w:lang w:eastAsia="zh-CN"/>
              </w:rPr>
              <w:t xml:space="preserve"> </w:t>
            </w:r>
            <w:r w:rsidRPr="00C75910">
              <w:rPr>
                <w:rFonts w:ascii="Book Antiqua" w:hAnsi="Book Antiqua"/>
              </w:rPr>
              <w:t>0</w:t>
            </w:r>
            <w:r w:rsidR="00AA0AA2" w:rsidRPr="00C75910">
              <w:rPr>
                <w:rFonts w:ascii="Book Antiqua" w:hAnsi="Book Antiqua"/>
              </w:rPr>
              <w:t>.00</w:t>
            </w:r>
            <w:r w:rsidRPr="00C75910">
              <w:rPr>
                <w:rFonts w:ascii="Book Antiqua" w:hAnsi="Book Antiqua"/>
              </w:rPr>
              <w:t>1</w:t>
            </w:r>
          </w:p>
        </w:tc>
      </w:tr>
      <w:tr w:rsidR="00E449A7" w:rsidRPr="00C75910" w:rsidTr="008E4FE3">
        <w:tc>
          <w:tcPr>
            <w:tcW w:w="3528" w:type="dxa"/>
          </w:tcPr>
          <w:p w:rsidR="00EC668F" w:rsidRPr="00C75910" w:rsidRDefault="00EC668F" w:rsidP="00C75910">
            <w:pPr>
              <w:tabs>
                <w:tab w:val="right" w:pos="1801"/>
              </w:tabs>
              <w:spacing w:line="360" w:lineRule="auto"/>
              <w:jc w:val="both"/>
              <w:rPr>
                <w:rFonts w:ascii="Book Antiqua" w:hAnsi="Book Antiqua"/>
              </w:rPr>
            </w:pPr>
            <w:r w:rsidRPr="00C75910">
              <w:rPr>
                <w:rFonts w:ascii="Book Antiqua" w:hAnsi="Book Antiqua"/>
              </w:rPr>
              <w:t>COPD</w:t>
            </w:r>
            <w:r w:rsidR="00910AF0">
              <w:rPr>
                <w:rFonts w:ascii="Book Antiqua" w:hAnsi="Book Antiqua" w:hint="eastAsia"/>
                <w:lang w:eastAsia="zh-CN"/>
              </w:rPr>
              <w:t xml:space="preserve"> (</w:t>
            </w:r>
            <w:r w:rsidR="00910AF0" w:rsidRPr="00C75910">
              <w:rPr>
                <w:rFonts w:ascii="Book Antiqua" w:hAnsi="Book Antiqua"/>
              </w:rPr>
              <w:t>%</w:t>
            </w:r>
            <w:r w:rsidR="00910AF0">
              <w:rPr>
                <w:rFonts w:ascii="Book Antiqua" w:hAnsi="Book Antiqua" w:hint="eastAsia"/>
                <w:lang w:eastAsia="zh-CN"/>
              </w:rPr>
              <w:t>)</w:t>
            </w:r>
          </w:p>
        </w:tc>
        <w:tc>
          <w:tcPr>
            <w:tcW w:w="2070" w:type="dxa"/>
          </w:tcPr>
          <w:p w:rsidR="00EC668F" w:rsidRPr="00C75910" w:rsidRDefault="00816322" w:rsidP="00C75910">
            <w:pPr>
              <w:spacing w:line="360" w:lineRule="auto"/>
              <w:jc w:val="both"/>
              <w:rPr>
                <w:rFonts w:ascii="Book Antiqua" w:hAnsi="Book Antiqua"/>
              </w:rPr>
            </w:pPr>
            <w:r w:rsidRPr="00C75910">
              <w:rPr>
                <w:rFonts w:ascii="Book Antiqua" w:hAnsi="Book Antiqua"/>
              </w:rPr>
              <w:t>7</w:t>
            </w:r>
            <w:r w:rsidR="00EC668F" w:rsidRPr="00C75910">
              <w:rPr>
                <w:rFonts w:ascii="Book Antiqua" w:hAnsi="Book Antiqua"/>
              </w:rPr>
              <w:t>.</w:t>
            </w:r>
            <w:r w:rsidRPr="00C75910">
              <w:rPr>
                <w:rFonts w:ascii="Book Antiqua" w:hAnsi="Book Antiqua"/>
              </w:rPr>
              <w:t>5</w:t>
            </w:r>
          </w:p>
        </w:tc>
        <w:tc>
          <w:tcPr>
            <w:tcW w:w="2160" w:type="dxa"/>
          </w:tcPr>
          <w:p w:rsidR="00EC668F" w:rsidRPr="00C75910" w:rsidRDefault="00816322" w:rsidP="00C75910">
            <w:pPr>
              <w:spacing w:line="360" w:lineRule="auto"/>
              <w:jc w:val="both"/>
              <w:rPr>
                <w:rFonts w:ascii="Book Antiqua" w:hAnsi="Book Antiqua"/>
              </w:rPr>
            </w:pPr>
            <w:r w:rsidRPr="00C75910">
              <w:rPr>
                <w:rFonts w:ascii="Book Antiqua" w:hAnsi="Book Antiqua"/>
              </w:rPr>
              <w:t>11</w:t>
            </w:r>
            <w:r w:rsidR="00EC668F" w:rsidRPr="00C75910">
              <w:rPr>
                <w:rFonts w:ascii="Book Antiqua" w:hAnsi="Book Antiqua"/>
              </w:rPr>
              <w:t>.</w:t>
            </w:r>
            <w:r w:rsidRPr="00C75910">
              <w:rPr>
                <w:rFonts w:ascii="Book Antiqua" w:hAnsi="Book Antiqua"/>
              </w:rPr>
              <w:t>8</w:t>
            </w:r>
          </w:p>
        </w:tc>
        <w:tc>
          <w:tcPr>
            <w:tcW w:w="1098" w:type="dxa"/>
          </w:tcPr>
          <w:p w:rsidR="00EC668F" w:rsidRPr="00C75910" w:rsidRDefault="00816322" w:rsidP="00C75910">
            <w:pPr>
              <w:spacing w:line="360" w:lineRule="auto"/>
              <w:jc w:val="both"/>
              <w:rPr>
                <w:rFonts w:ascii="Book Antiqua" w:hAnsi="Book Antiqua"/>
              </w:rPr>
            </w:pPr>
            <w:r w:rsidRPr="00C75910">
              <w:rPr>
                <w:rFonts w:ascii="Book Antiqua" w:hAnsi="Book Antiqua"/>
              </w:rPr>
              <w:t>0.</w:t>
            </w:r>
            <w:r w:rsidR="00EC668F" w:rsidRPr="00C75910">
              <w:rPr>
                <w:rFonts w:ascii="Book Antiqua" w:hAnsi="Book Antiqua"/>
              </w:rPr>
              <w:t>1</w:t>
            </w:r>
            <w:r w:rsidRPr="00C75910">
              <w:rPr>
                <w:rFonts w:ascii="Book Antiqua" w:hAnsi="Book Antiqua"/>
              </w:rPr>
              <w:t>4</w:t>
            </w:r>
          </w:p>
        </w:tc>
      </w:tr>
      <w:tr w:rsidR="00E449A7" w:rsidRPr="00C75910" w:rsidTr="008E4FE3">
        <w:tc>
          <w:tcPr>
            <w:tcW w:w="3528" w:type="dxa"/>
          </w:tcPr>
          <w:p w:rsidR="00EC668F" w:rsidRPr="00C75910" w:rsidRDefault="00EC668F" w:rsidP="00910AF0">
            <w:pPr>
              <w:tabs>
                <w:tab w:val="right" w:pos="1801"/>
              </w:tabs>
              <w:spacing w:line="360" w:lineRule="auto"/>
              <w:jc w:val="both"/>
              <w:rPr>
                <w:rFonts w:ascii="Book Antiqua" w:hAnsi="Book Antiqua"/>
                <w:lang w:eastAsia="zh-CN"/>
              </w:rPr>
            </w:pPr>
            <w:r w:rsidRPr="00C75910">
              <w:rPr>
                <w:rFonts w:ascii="Book Antiqua" w:hAnsi="Book Antiqua"/>
              </w:rPr>
              <w:t>Cancer</w:t>
            </w:r>
            <w:r w:rsidR="00910AF0">
              <w:rPr>
                <w:rFonts w:ascii="Book Antiqua" w:hAnsi="Book Antiqua" w:hint="eastAsia"/>
                <w:lang w:eastAsia="zh-CN"/>
              </w:rPr>
              <w:t xml:space="preserve"> (</w:t>
            </w:r>
            <w:r w:rsidR="00910AF0" w:rsidRPr="00C75910">
              <w:rPr>
                <w:rFonts w:ascii="Book Antiqua" w:hAnsi="Book Antiqua"/>
              </w:rPr>
              <w:t>%</w:t>
            </w:r>
            <w:r w:rsidR="00910AF0">
              <w:rPr>
                <w:rFonts w:ascii="Book Antiqua" w:hAnsi="Book Antiqua" w:hint="eastAsia"/>
                <w:lang w:eastAsia="zh-CN"/>
              </w:rPr>
              <w:t>)</w:t>
            </w:r>
          </w:p>
        </w:tc>
        <w:tc>
          <w:tcPr>
            <w:tcW w:w="2070" w:type="dxa"/>
          </w:tcPr>
          <w:p w:rsidR="00EC668F" w:rsidRPr="00C75910" w:rsidRDefault="00816322" w:rsidP="00C75910">
            <w:pPr>
              <w:spacing w:line="360" w:lineRule="auto"/>
              <w:jc w:val="both"/>
              <w:rPr>
                <w:rFonts w:ascii="Book Antiqua" w:hAnsi="Book Antiqua"/>
              </w:rPr>
            </w:pPr>
            <w:r w:rsidRPr="00C75910">
              <w:rPr>
                <w:rFonts w:ascii="Book Antiqua" w:hAnsi="Book Antiqua"/>
              </w:rPr>
              <w:t>7</w:t>
            </w:r>
            <w:r w:rsidR="00EC668F" w:rsidRPr="00C75910">
              <w:rPr>
                <w:rFonts w:ascii="Book Antiqua" w:hAnsi="Book Antiqua"/>
              </w:rPr>
              <w:t>.</w:t>
            </w:r>
            <w:r w:rsidRPr="00C75910">
              <w:rPr>
                <w:rFonts w:ascii="Book Antiqua" w:hAnsi="Book Antiqua"/>
              </w:rPr>
              <w:t>7</w:t>
            </w:r>
          </w:p>
        </w:tc>
        <w:tc>
          <w:tcPr>
            <w:tcW w:w="2160" w:type="dxa"/>
          </w:tcPr>
          <w:p w:rsidR="00EC668F" w:rsidRPr="00C75910" w:rsidRDefault="00816322" w:rsidP="00C75910">
            <w:pPr>
              <w:spacing w:line="360" w:lineRule="auto"/>
              <w:jc w:val="both"/>
              <w:rPr>
                <w:rFonts w:ascii="Book Antiqua" w:hAnsi="Book Antiqua"/>
              </w:rPr>
            </w:pPr>
            <w:r w:rsidRPr="00C75910">
              <w:rPr>
                <w:rFonts w:ascii="Book Antiqua" w:hAnsi="Book Antiqua"/>
              </w:rPr>
              <w:t>9</w:t>
            </w:r>
            <w:r w:rsidR="00EC668F" w:rsidRPr="00C75910">
              <w:rPr>
                <w:rFonts w:ascii="Book Antiqua" w:hAnsi="Book Antiqua"/>
              </w:rPr>
              <w:t>.</w:t>
            </w:r>
            <w:r w:rsidRPr="00C75910">
              <w:rPr>
                <w:rFonts w:ascii="Book Antiqua" w:hAnsi="Book Antiqua"/>
              </w:rPr>
              <w:t>8</w:t>
            </w:r>
          </w:p>
        </w:tc>
        <w:tc>
          <w:tcPr>
            <w:tcW w:w="1098" w:type="dxa"/>
          </w:tcPr>
          <w:p w:rsidR="00EC668F" w:rsidRPr="00C75910" w:rsidRDefault="00EC668F" w:rsidP="00C75910">
            <w:pPr>
              <w:spacing w:line="360" w:lineRule="auto"/>
              <w:jc w:val="both"/>
              <w:rPr>
                <w:rFonts w:ascii="Book Antiqua" w:hAnsi="Book Antiqua"/>
              </w:rPr>
            </w:pPr>
            <w:r w:rsidRPr="00C75910">
              <w:rPr>
                <w:rFonts w:ascii="Book Antiqua" w:hAnsi="Book Antiqua"/>
              </w:rPr>
              <w:t>0.</w:t>
            </w:r>
            <w:r w:rsidR="00816322" w:rsidRPr="00C75910">
              <w:rPr>
                <w:rFonts w:ascii="Book Antiqua" w:hAnsi="Book Antiqua"/>
              </w:rPr>
              <w:t>46</w:t>
            </w:r>
          </w:p>
        </w:tc>
      </w:tr>
      <w:tr w:rsidR="00E449A7" w:rsidRPr="00C75910" w:rsidTr="008E4FE3">
        <w:tc>
          <w:tcPr>
            <w:tcW w:w="3528" w:type="dxa"/>
          </w:tcPr>
          <w:p w:rsidR="00EC668F" w:rsidRPr="00C75910" w:rsidRDefault="00EC668F" w:rsidP="00910AF0">
            <w:pPr>
              <w:tabs>
                <w:tab w:val="right" w:pos="1801"/>
              </w:tabs>
              <w:spacing w:line="360" w:lineRule="auto"/>
              <w:jc w:val="both"/>
              <w:rPr>
                <w:rFonts w:ascii="Book Antiqua" w:hAnsi="Book Antiqua"/>
                <w:lang w:eastAsia="zh-CN"/>
              </w:rPr>
            </w:pPr>
            <w:r w:rsidRPr="00C75910">
              <w:rPr>
                <w:rFonts w:ascii="Book Antiqua" w:hAnsi="Book Antiqua"/>
              </w:rPr>
              <w:t>CHF</w:t>
            </w:r>
            <w:r w:rsidR="00910AF0">
              <w:rPr>
                <w:rFonts w:ascii="Book Antiqua" w:hAnsi="Book Antiqua" w:hint="eastAsia"/>
                <w:lang w:eastAsia="zh-CN"/>
              </w:rPr>
              <w:t xml:space="preserve"> (</w:t>
            </w:r>
            <w:r w:rsidR="00910AF0" w:rsidRPr="00C75910">
              <w:rPr>
                <w:rFonts w:ascii="Book Antiqua" w:hAnsi="Book Antiqua"/>
              </w:rPr>
              <w:t>%</w:t>
            </w:r>
            <w:r w:rsidR="00910AF0">
              <w:rPr>
                <w:rFonts w:ascii="Book Antiqua" w:hAnsi="Book Antiqua" w:hint="eastAsia"/>
                <w:lang w:eastAsia="zh-CN"/>
              </w:rPr>
              <w:t>)</w:t>
            </w:r>
          </w:p>
        </w:tc>
        <w:tc>
          <w:tcPr>
            <w:tcW w:w="2070" w:type="dxa"/>
          </w:tcPr>
          <w:p w:rsidR="00EC668F" w:rsidRPr="00C75910" w:rsidRDefault="00816322" w:rsidP="00C75910">
            <w:pPr>
              <w:spacing w:line="360" w:lineRule="auto"/>
              <w:jc w:val="both"/>
              <w:rPr>
                <w:rFonts w:ascii="Book Antiqua" w:hAnsi="Book Antiqua"/>
              </w:rPr>
            </w:pPr>
            <w:r w:rsidRPr="00C75910">
              <w:rPr>
                <w:rFonts w:ascii="Book Antiqua" w:hAnsi="Book Antiqua"/>
              </w:rPr>
              <w:t>27</w:t>
            </w:r>
            <w:r w:rsidR="00EC668F" w:rsidRPr="00C75910">
              <w:rPr>
                <w:rFonts w:ascii="Book Antiqua" w:hAnsi="Book Antiqua"/>
              </w:rPr>
              <w:t>.</w:t>
            </w:r>
            <w:r w:rsidRPr="00C75910">
              <w:rPr>
                <w:rFonts w:ascii="Book Antiqua" w:hAnsi="Book Antiqua"/>
              </w:rPr>
              <w:t>3</w:t>
            </w:r>
          </w:p>
        </w:tc>
        <w:tc>
          <w:tcPr>
            <w:tcW w:w="2160" w:type="dxa"/>
          </w:tcPr>
          <w:p w:rsidR="00EC668F" w:rsidRPr="00C75910" w:rsidRDefault="00816322" w:rsidP="00C75910">
            <w:pPr>
              <w:spacing w:line="360" w:lineRule="auto"/>
              <w:jc w:val="both"/>
              <w:rPr>
                <w:rFonts w:ascii="Book Antiqua" w:hAnsi="Book Antiqua"/>
              </w:rPr>
            </w:pPr>
            <w:r w:rsidRPr="00C75910">
              <w:rPr>
                <w:rFonts w:ascii="Book Antiqua" w:hAnsi="Book Antiqua"/>
              </w:rPr>
              <w:t>42</w:t>
            </w:r>
            <w:r w:rsidR="00EC668F" w:rsidRPr="00C75910">
              <w:rPr>
                <w:rFonts w:ascii="Book Antiqua" w:hAnsi="Book Antiqua"/>
              </w:rPr>
              <w:t>.</w:t>
            </w:r>
            <w:r w:rsidRPr="00C75910">
              <w:rPr>
                <w:rFonts w:ascii="Book Antiqua" w:hAnsi="Book Antiqua"/>
              </w:rPr>
              <w:t>2</w:t>
            </w:r>
          </w:p>
        </w:tc>
        <w:tc>
          <w:tcPr>
            <w:tcW w:w="1098" w:type="dxa"/>
          </w:tcPr>
          <w:p w:rsidR="00EC668F" w:rsidRPr="00C75910" w:rsidRDefault="00EC668F" w:rsidP="00C75910">
            <w:pPr>
              <w:spacing w:line="360" w:lineRule="auto"/>
              <w:jc w:val="both"/>
              <w:rPr>
                <w:rFonts w:ascii="Book Antiqua" w:hAnsi="Book Antiqua"/>
              </w:rPr>
            </w:pPr>
            <w:r w:rsidRPr="00C75910">
              <w:rPr>
                <w:rFonts w:ascii="Book Antiqua" w:hAnsi="Book Antiqua"/>
              </w:rPr>
              <w:t>0.0</w:t>
            </w:r>
            <w:r w:rsidR="00816322" w:rsidRPr="00C75910">
              <w:rPr>
                <w:rFonts w:ascii="Book Antiqua" w:hAnsi="Book Antiqua"/>
              </w:rPr>
              <w:t>02</w:t>
            </w:r>
          </w:p>
        </w:tc>
      </w:tr>
      <w:tr w:rsidR="00E449A7" w:rsidRPr="00C75910" w:rsidTr="008E4FE3">
        <w:tc>
          <w:tcPr>
            <w:tcW w:w="3528" w:type="dxa"/>
          </w:tcPr>
          <w:p w:rsidR="00EC668F" w:rsidRPr="00C75910" w:rsidRDefault="00EC668F" w:rsidP="00910AF0">
            <w:pPr>
              <w:tabs>
                <w:tab w:val="right" w:pos="1801"/>
              </w:tabs>
              <w:spacing w:line="360" w:lineRule="auto"/>
              <w:jc w:val="both"/>
              <w:rPr>
                <w:rFonts w:ascii="Book Antiqua" w:hAnsi="Book Antiqua"/>
                <w:lang w:eastAsia="zh-CN"/>
              </w:rPr>
            </w:pPr>
            <w:r w:rsidRPr="00C75910">
              <w:rPr>
                <w:rFonts w:ascii="Book Antiqua" w:hAnsi="Book Antiqua"/>
              </w:rPr>
              <w:t>CAD/MI</w:t>
            </w:r>
            <w:r w:rsidR="00910AF0">
              <w:rPr>
                <w:rFonts w:ascii="Book Antiqua" w:hAnsi="Book Antiqua" w:hint="eastAsia"/>
                <w:lang w:eastAsia="zh-CN"/>
              </w:rPr>
              <w:t xml:space="preserve"> (</w:t>
            </w:r>
            <w:r w:rsidR="00910AF0" w:rsidRPr="00C75910">
              <w:rPr>
                <w:rFonts w:ascii="Book Antiqua" w:hAnsi="Book Antiqua"/>
              </w:rPr>
              <w:t>%</w:t>
            </w:r>
            <w:r w:rsidR="00910AF0">
              <w:rPr>
                <w:rFonts w:ascii="Book Antiqua" w:hAnsi="Book Antiqua" w:hint="eastAsia"/>
                <w:lang w:eastAsia="zh-CN"/>
              </w:rPr>
              <w:t>)</w:t>
            </w:r>
          </w:p>
        </w:tc>
        <w:tc>
          <w:tcPr>
            <w:tcW w:w="2070" w:type="dxa"/>
          </w:tcPr>
          <w:p w:rsidR="00EC668F" w:rsidRPr="00C75910" w:rsidRDefault="00816322" w:rsidP="00C75910">
            <w:pPr>
              <w:spacing w:line="360" w:lineRule="auto"/>
              <w:jc w:val="both"/>
              <w:rPr>
                <w:rFonts w:ascii="Book Antiqua" w:hAnsi="Book Antiqua"/>
              </w:rPr>
            </w:pPr>
            <w:r w:rsidRPr="00C75910">
              <w:rPr>
                <w:rFonts w:ascii="Book Antiqua" w:hAnsi="Book Antiqua"/>
              </w:rPr>
              <w:t>26</w:t>
            </w:r>
            <w:r w:rsidR="00EC668F" w:rsidRPr="00C75910">
              <w:rPr>
                <w:rFonts w:ascii="Book Antiqua" w:hAnsi="Book Antiqua"/>
              </w:rPr>
              <w:t>.</w:t>
            </w:r>
            <w:r w:rsidRPr="00C75910">
              <w:rPr>
                <w:rFonts w:ascii="Book Antiqua" w:hAnsi="Book Antiqua"/>
              </w:rPr>
              <w:t>0</w:t>
            </w:r>
          </w:p>
        </w:tc>
        <w:tc>
          <w:tcPr>
            <w:tcW w:w="2160" w:type="dxa"/>
          </w:tcPr>
          <w:p w:rsidR="00EC668F" w:rsidRPr="00C75910" w:rsidRDefault="00816322" w:rsidP="00C75910">
            <w:pPr>
              <w:spacing w:line="360" w:lineRule="auto"/>
              <w:jc w:val="both"/>
              <w:rPr>
                <w:rFonts w:ascii="Book Antiqua" w:hAnsi="Book Antiqua"/>
              </w:rPr>
            </w:pPr>
            <w:r w:rsidRPr="00C75910">
              <w:rPr>
                <w:rFonts w:ascii="Book Antiqua" w:hAnsi="Book Antiqua"/>
              </w:rPr>
              <w:t>39</w:t>
            </w:r>
            <w:r w:rsidR="00EC668F" w:rsidRPr="00C75910">
              <w:rPr>
                <w:rFonts w:ascii="Book Antiqua" w:hAnsi="Book Antiqua"/>
              </w:rPr>
              <w:t>.</w:t>
            </w:r>
            <w:r w:rsidRPr="00C75910">
              <w:rPr>
                <w:rFonts w:ascii="Book Antiqua" w:hAnsi="Book Antiqua"/>
              </w:rPr>
              <w:t>2</w:t>
            </w:r>
          </w:p>
        </w:tc>
        <w:tc>
          <w:tcPr>
            <w:tcW w:w="1098" w:type="dxa"/>
          </w:tcPr>
          <w:p w:rsidR="00EC668F" w:rsidRPr="00C75910" w:rsidRDefault="00EC668F" w:rsidP="00C75910">
            <w:pPr>
              <w:spacing w:line="360" w:lineRule="auto"/>
              <w:jc w:val="both"/>
              <w:rPr>
                <w:rFonts w:ascii="Book Antiqua" w:hAnsi="Book Antiqua"/>
              </w:rPr>
            </w:pPr>
            <w:r w:rsidRPr="00C75910">
              <w:rPr>
                <w:rFonts w:ascii="Book Antiqua" w:hAnsi="Book Antiqua"/>
              </w:rPr>
              <w:t>0.00</w:t>
            </w:r>
            <w:r w:rsidR="00816322" w:rsidRPr="00C75910">
              <w:rPr>
                <w:rFonts w:ascii="Book Antiqua" w:hAnsi="Book Antiqua"/>
              </w:rPr>
              <w:t>5</w:t>
            </w:r>
          </w:p>
        </w:tc>
      </w:tr>
      <w:tr w:rsidR="00E449A7" w:rsidRPr="00C75910" w:rsidTr="008E4FE3">
        <w:tc>
          <w:tcPr>
            <w:tcW w:w="3528" w:type="dxa"/>
          </w:tcPr>
          <w:p w:rsidR="00EC668F" w:rsidRPr="00C75910" w:rsidRDefault="00EC668F" w:rsidP="00910AF0">
            <w:pPr>
              <w:tabs>
                <w:tab w:val="right" w:pos="1801"/>
              </w:tabs>
              <w:spacing w:line="360" w:lineRule="auto"/>
              <w:jc w:val="both"/>
              <w:rPr>
                <w:rFonts w:ascii="Book Antiqua" w:hAnsi="Book Antiqua"/>
                <w:lang w:eastAsia="zh-CN"/>
              </w:rPr>
            </w:pPr>
            <w:r w:rsidRPr="00C75910">
              <w:rPr>
                <w:rFonts w:ascii="Book Antiqua" w:hAnsi="Book Antiqua"/>
              </w:rPr>
              <w:lastRenderedPageBreak/>
              <w:t>CVA/TIA</w:t>
            </w:r>
            <w:r w:rsidR="00910AF0">
              <w:rPr>
                <w:rFonts w:ascii="Book Antiqua" w:hAnsi="Book Antiqua" w:hint="eastAsia"/>
                <w:lang w:eastAsia="zh-CN"/>
              </w:rPr>
              <w:t xml:space="preserve"> (</w:t>
            </w:r>
            <w:r w:rsidR="00910AF0" w:rsidRPr="00C75910">
              <w:rPr>
                <w:rFonts w:ascii="Book Antiqua" w:hAnsi="Book Antiqua"/>
              </w:rPr>
              <w:t>%</w:t>
            </w:r>
            <w:r w:rsidR="00910AF0">
              <w:rPr>
                <w:rFonts w:ascii="Book Antiqua" w:hAnsi="Book Antiqua" w:hint="eastAsia"/>
                <w:lang w:eastAsia="zh-CN"/>
              </w:rPr>
              <w:t>)</w:t>
            </w:r>
          </w:p>
        </w:tc>
        <w:tc>
          <w:tcPr>
            <w:tcW w:w="2070" w:type="dxa"/>
          </w:tcPr>
          <w:p w:rsidR="00EC668F" w:rsidRPr="00C75910" w:rsidRDefault="00816322" w:rsidP="00C75910">
            <w:pPr>
              <w:spacing w:line="360" w:lineRule="auto"/>
              <w:jc w:val="both"/>
              <w:rPr>
                <w:rFonts w:ascii="Book Antiqua" w:hAnsi="Book Antiqua"/>
              </w:rPr>
            </w:pPr>
            <w:r w:rsidRPr="00C75910">
              <w:rPr>
                <w:rFonts w:ascii="Book Antiqua" w:hAnsi="Book Antiqua"/>
              </w:rPr>
              <w:t>9</w:t>
            </w:r>
            <w:r w:rsidR="00EC668F" w:rsidRPr="00C75910">
              <w:rPr>
                <w:rFonts w:ascii="Book Antiqua" w:hAnsi="Book Antiqua"/>
              </w:rPr>
              <w:t>.</w:t>
            </w:r>
            <w:r w:rsidRPr="00C75910">
              <w:rPr>
                <w:rFonts w:ascii="Book Antiqua" w:hAnsi="Book Antiqua"/>
              </w:rPr>
              <w:t>3</w:t>
            </w:r>
          </w:p>
        </w:tc>
        <w:tc>
          <w:tcPr>
            <w:tcW w:w="2160" w:type="dxa"/>
          </w:tcPr>
          <w:p w:rsidR="00EC668F" w:rsidRPr="00C75910" w:rsidRDefault="00816322" w:rsidP="00C75910">
            <w:pPr>
              <w:spacing w:line="360" w:lineRule="auto"/>
              <w:jc w:val="both"/>
              <w:rPr>
                <w:rFonts w:ascii="Book Antiqua" w:hAnsi="Book Antiqua"/>
              </w:rPr>
            </w:pPr>
            <w:r w:rsidRPr="00C75910">
              <w:rPr>
                <w:rFonts w:ascii="Book Antiqua" w:hAnsi="Book Antiqua"/>
              </w:rPr>
              <w:t>15</w:t>
            </w:r>
            <w:r w:rsidR="00EC668F" w:rsidRPr="00C75910">
              <w:rPr>
                <w:rFonts w:ascii="Book Antiqua" w:hAnsi="Book Antiqua"/>
              </w:rPr>
              <w:t>.</w:t>
            </w:r>
            <w:r w:rsidRPr="00C75910">
              <w:rPr>
                <w:rFonts w:ascii="Book Antiqua" w:hAnsi="Book Antiqua"/>
              </w:rPr>
              <w:t>7</w:t>
            </w:r>
          </w:p>
        </w:tc>
        <w:tc>
          <w:tcPr>
            <w:tcW w:w="1098" w:type="dxa"/>
          </w:tcPr>
          <w:p w:rsidR="00EC668F" w:rsidRPr="00C75910" w:rsidRDefault="00EC668F" w:rsidP="00C75910">
            <w:pPr>
              <w:spacing w:line="360" w:lineRule="auto"/>
              <w:jc w:val="both"/>
              <w:rPr>
                <w:rFonts w:ascii="Book Antiqua" w:hAnsi="Book Antiqua"/>
              </w:rPr>
            </w:pPr>
            <w:r w:rsidRPr="00C75910">
              <w:rPr>
                <w:rFonts w:ascii="Book Antiqua" w:hAnsi="Book Antiqua"/>
              </w:rPr>
              <w:t>0.04</w:t>
            </w:r>
            <w:r w:rsidR="00816322" w:rsidRPr="00C75910">
              <w:rPr>
                <w:rFonts w:ascii="Book Antiqua" w:hAnsi="Book Antiqua"/>
              </w:rPr>
              <w:t>7</w:t>
            </w:r>
          </w:p>
        </w:tc>
      </w:tr>
      <w:tr w:rsidR="00E449A7" w:rsidRPr="00C75910" w:rsidTr="008E4FE3">
        <w:tc>
          <w:tcPr>
            <w:tcW w:w="3528" w:type="dxa"/>
          </w:tcPr>
          <w:p w:rsidR="00EC668F" w:rsidRPr="00C75910" w:rsidRDefault="00EC668F" w:rsidP="00910AF0">
            <w:pPr>
              <w:tabs>
                <w:tab w:val="right" w:pos="1801"/>
              </w:tabs>
              <w:spacing w:line="360" w:lineRule="auto"/>
              <w:jc w:val="both"/>
              <w:rPr>
                <w:rFonts w:ascii="Book Antiqua" w:hAnsi="Book Antiqua"/>
                <w:lang w:eastAsia="zh-CN"/>
              </w:rPr>
            </w:pPr>
            <w:r w:rsidRPr="00C75910">
              <w:rPr>
                <w:rFonts w:ascii="Book Antiqua" w:hAnsi="Book Antiqua"/>
              </w:rPr>
              <w:t>PVD</w:t>
            </w:r>
            <w:r w:rsidR="00910AF0">
              <w:rPr>
                <w:rFonts w:ascii="Book Antiqua" w:hAnsi="Book Antiqua" w:hint="eastAsia"/>
                <w:lang w:eastAsia="zh-CN"/>
              </w:rPr>
              <w:t xml:space="preserve"> (</w:t>
            </w:r>
            <w:r w:rsidR="00910AF0" w:rsidRPr="00C75910">
              <w:rPr>
                <w:rFonts w:ascii="Book Antiqua" w:hAnsi="Book Antiqua"/>
              </w:rPr>
              <w:t>%</w:t>
            </w:r>
            <w:r w:rsidR="00910AF0">
              <w:rPr>
                <w:rFonts w:ascii="Book Antiqua" w:hAnsi="Book Antiqua" w:hint="eastAsia"/>
                <w:lang w:eastAsia="zh-CN"/>
              </w:rPr>
              <w:t>)</w:t>
            </w:r>
          </w:p>
        </w:tc>
        <w:tc>
          <w:tcPr>
            <w:tcW w:w="2070" w:type="dxa"/>
          </w:tcPr>
          <w:p w:rsidR="00EC668F" w:rsidRPr="00C75910" w:rsidRDefault="00816322" w:rsidP="00C75910">
            <w:pPr>
              <w:spacing w:line="360" w:lineRule="auto"/>
              <w:jc w:val="both"/>
              <w:rPr>
                <w:rFonts w:ascii="Book Antiqua" w:hAnsi="Book Antiqua"/>
              </w:rPr>
            </w:pPr>
            <w:r w:rsidRPr="00C75910">
              <w:rPr>
                <w:rFonts w:ascii="Book Antiqua" w:hAnsi="Book Antiqua"/>
              </w:rPr>
              <w:t>6</w:t>
            </w:r>
            <w:r w:rsidR="00EC668F" w:rsidRPr="00C75910">
              <w:rPr>
                <w:rFonts w:ascii="Book Antiqua" w:hAnsi="Book Antiqua"/>
              </w:rPr>
              <w:t>.5</w:t>
            </w:r>
          </w:p>
        </w:tc>
        <w:tc>
          <w:tcPr>
            <w:tcW w:w="2160" w:type="dxa"/>
          </w:tcPr>
          <w:p w:rsidR="00EC668F" w:rsidRPr="00C75910" w:rsidRDefault="00816322" w:rsidP="00C75910">
            <w:pPr>
              <w:spacing w:line="360" w:lineRule="auto"/>
              <w:jc w:val="both"/>
              <w:rPr>
                <w:rFonts w:ascii="Book Antiqua" w:hAnsi="Book Antiqua"/>
              </w:rPr>
            </w:pPr>
            <w:r w:rsidRPr="00C75910">
              <w:rPr>
                <w:rFonts w:ascii="Book Antiqua" w:hAnsi="Book Antiqua"/>
              </w:rPr>
              <w:t>31</w:t>
            </w:r>
            <w:r w:rsidR="00EC668F" w:rsidRPr="00C75910">
              <w:rPr>
                <w:rFonts w:ascii="Book Antiqua" w:hAnsi="Book Antiqua"/>
              </w:rPr>
              <w:t>.</w:t>
            </w:r>
            <w:r w:rsidRPr="00C75910">
              <w:rPr>
                <w:rFonts w:ascii="Book Antiqua" w:hAnsi="Book Antiqua"/>
              </w:rPr>
              <w:t>4</w:t>
            </w:r>
          </w:p>
        </w:tc>
        <w:tc>
          <w:tcPr>
            <w:tcW w:w="1098" w:type="dxa"/>
          </w:tcPr>
          <w:p w:rsidR="00EC668F" w:rsidRPr="00C75910" w:rsidRDefault="00816322" w:rsidP="00C75910">
            <w:pPr>
              <w:spacing w:line="360" w:lineRule="auto"/>
              <w:jc w:val="both"/>
              <w:rPr>
                <w:rFonts w:ascii="Book Antiqua" w:hAnsi="Book Antiqua"/>
              </w:rPr>
            </w:pPr>
            <w:r w:rsidRPr="00C75910">
              <w:rPr>
                <w:rFonts w:ascii="Book Antiqua" w:hAnsi="Book Antiqua"/>
              </w:rPr>
              <w:t>&lt;</w:t>
            </w:r>
            <w:r w:rsidR="00910AF0">
              <w:rPr>
                <w:rFonts w:ascii="Book Antiqua" w:hAnsi="Book Antiqua" w:hint="eastAsia"/>
                <w:lang w:eastAsia="zh-CN"/>
              </w:rPr>
              <w:t xml:space="preserve"> </w:t>
            </w:r>
            <w:r w:rsidR="00EC668F" w:rsidRPr="00C75910">
              <w:rPr>
                <w:rFonts w:ascii="Book Antiqua" w:hAnsi="Book Antiqua"/>
              </w:rPr>
              <w:t>0.0</w:t>
            </w:r>
            <w:r w:rsidRPr="00C75910">
              <w:rPr>
                <w:rFonts w:ascii="Book Antiqua" w:hAnsi="Book Antiqua"/>
              </w:rPr>
              <w:t>01</w:t>
            </w:r>
          </w:p>
        </w:tc>
      </w:tr>
      <w:tr w:rsidR="00E449A7" w:rsidRPr="00C75910" w:rsidTr="008E4FE3">
        <w:tc>
          <w:tcPr>
            <w:tcW w:w="3528" w:type="dxa"/>
          </w:tcPr>
          <w:p w:rsidR="00EC668F" w:rsidRPr="00C75910" w:rsidRDefault="00EC668F" w:rsidP="00910AF0">
            <w:pPr>
              <w:spacing w:line="360" w:lineRule="auto"/>
              <w:jc w:val="both"/>
              <w:rPr>
                <w:rFonts w:ascii="Book Antiqua" w:hAnsi="Book Antiqua"/>
                <w:lang w:eastAsia="zh-CN"/>
              </w:rPr>
            </w:pPr>
            <w:r w:rsidRPr="00C75910">
              <w:rPr>
                <w:rFonts w:ascii="Book Antiqua" w:hAnsi="Book Antiqua"/>
              </w:rPr>
              <w:t>Other cardiac diseases</w:t>
            </w:r>
            <w:r w:rsidR="00910AF0">
              <w:rPr>
                <w:rFonts w:ascii="Book Antiqua" w:hAnsi="Book Antiqua" w:hint="eastAsia"/>
                <w:lang w:eastAsia="zh-CN"/>
              </w:rPr>
              <w:t xml:space="preserve"> (</w:t>
            </w:r>
            <w:r w:rsidR="00910AF0" w:rsidRPr="00C75910">
              <w:rPr>
                <w:rFonts w:ascii="Book Antiqua" w:hAnsi="Book Antiqua"/>
              </w:rPr>
              <w:t>%</w:t>
            </w:r>
            <w:r w:rsidR="00910AF0">
              <w:rPr>
                <w:rFonts w:ascii="Book Antiqua" w:hAnsi="Book Antiqua" w:hint="eastAsia"/>
                <w:lang w:eastAsia="zh-CN"/>
              </w:rPr>
              <w:t>)</w:t>
            </w:r>
          </w:p>
        </w:tc>
        <w:tc>
          <w:tcPr>
            <w:tcW w:w="2070" w:type="dxa"/>
          </w:tcPr>
          <w:p w:rsidR="00EC668F" w:rsidRPr="00C75910" w:rsidRDefault="00816322" w:rsidP="00C75910">
            <w:pPr>
              <w:spacing w:line="360" w:lineRule="auto"/>
              <w:jc w:val="both"/>
              <w:rPr>
                <w:rFonts w:ascii="Book Antiqua" w:hAnsi="Book Antiqua"/>
              </w:rPr>
            </w:pPr>
            <w:r w:rsidRPr="00C75910">
              <w:rPr>
                <w:rFonts w:ascii="Book Antiqua" w:hAnsi="Book Antiqua"/>
              </w:rPr>
              <w:t>23</w:t>
            </w:r>
            <w:r w:rsidR="00EC668F" w:rsidRPr="00C75910">
              <w:rPr>
                <w:rFonts w:ascii="Book Antiqua" w:hAnsi="Book Antiqua"/>
              </w:rPr>
              <w:t>.</w:t>
            </w:r>
            <w:r w:rsidRPr="00C75910">
              <w:rPr>
                <w:rFonts w:ascii="Book Antiqua" w:hAnsi="Book Antiqua"/>
              </w:rPr>
              <w:t>9</w:t>
            </w:r>
          </w:p>
        </w:tc>
        <w:tc>
          <w:tcPr>
            <w:tcW w:w="2160" w:type="dxa"/>
          </w:tcPr>
          <w:p w:rsidR="00EC668F" w:rsidRPr="00C75910" w:rsidRDefault="00816322" w:rsidP="00C75910">
            <w:pPr>
              <w:spacing w:line="360" w:lineRule="auto"/>
              <w:jc w:val="both"/>
              <w:rPr>
                <w:rFonts w:ascii="Book Antiqua" w:hAnsi="Book Antiqua"/>
              </w:rPr>
            </w:pPr>
            <w:r w:rsidRPr="00C75910">
              <w:rPr>
                <w:rFonts w:ascii="Book Antiqua" w:hAnsi="Book Antiqua"/>
              </w:rPr>
              <w:t>43</w:t>
            </w:r>
            <w:r w:rsidR="00EC668F" w:rsidRPr="00C75910">
              <w:rPr>
                <w:rFonts w:ascii="Book Antiqua" w:hAnsi="Book Antiqua"/>
              </w:rPr>
              <w:t>.</w:t>
            </w:r>
            <w:r w:rsidRPr="00C75910">
              <w:rPr>
                <w:rFonts w:ascii="Book Antiqua" w:hAnsi="Book Antiqua"/>
              </w:rPr>
              <w:t>1</w:t>
            </w:r>
          </w:p>
        </w:tc>
        <w:tc>
          <w:tcPr>
            <w:tcW w:w="1098" w:type="dxa"/>
          </w:tcPr>
          <w:p w:rsidR="00EC668F" w:rsidRPr="00C75910" w:rsidRDefault="00816322" w:rsidP="00C75910">
            <w:pPr>
              <w:spacing w:line="360" w:lineRule="auto"/>
              <w:jc w:val="both"/>
              <w:rPr>
                <w:rFonts w:ascii="Book Antiqua" w:hAnsi="Book Antiqua"/>
              </w:rPr>
            </w:pPr>
            <w:r w:rsidRPr="00C75910">
              <w:rPr>
                <w:rFonts w:ascii="Book Antiqua" w:hAnsi="Book Antiqua"/>
              </w:rPr>
              <w:t>&lt;</w:t>
            </w:r>
            <w:r w:rsidR="00910AF0">
              <w:rPr>
                <w:rFonts w:ascii="Book Antiqua" w:hAnsi="Book Antiqua" w:hint="eastAsia"/>
                <w:lang w:eastAsia="zh-CN"/>
              </w:rPr>
              <w:t xml:space="preserve"> </w:t>
            </w:r>
            <w:r w:rsidR="00EC668F" w:rsidRPr="00C75910">
              <w:rPr>
                <w:rFonts w:ascii="Book Antiqua" w:hAnsi="Book Antiqua"/>
              </w:rPr>
              <w:t>0.0</w:t>
            </w:r>
            <w:r w:rsidRPr="00C75910">
              <w:rPr>
                <w:rFonts w:ascii="Book Antiqua" w:hAnsi="Book Antiqua"/>
              </w:rPr>
              <w:t>01</w:t>
            </w:r>
          </w:p>
        </w:tc>
      </w:tr>
      <w:tr w:rsidR="00E449A7" w:rsidRPr="00C75910" w:rsidTr="008E4FE3">
        <w:tc>
          <w:tcPr>
            <w:tcW w:w="3528" w:type="dxa"/>
          </w:tcPr>
          <w:p w:rsidR="00EC668F" w:rsidRPr="00C75910" w:rsidRDefault="00EC668F" w:rsidP="00C75910">
            <w:pPr>
              <w:spacing w:line="360" w:lineRule="auto"/>
              <w:jc w:val="both"/>
              <w:rPr>
                <w:rFonts w:ascii="Book Antiqua" w:hAnsi="Book Antiqua"/>
              </w:rPr>
            </w:pPr>
            <w:r w:rsidRPr="00C75910">
              <w:rPr>
                <w:rFonts w:ascii="Book Antiqua" w:hAnsi="Book Antiqua"/>
              </w:rPr>
              <w:t xml:space="preserve">KDQOL-CF score, </w:t>
            </w:r>
            <w:r w:rsidR="005D0AEF" w:rsidRPr="005D0AEF">
              <w:rPr>
                <w:rFonts w:ascii="Book Antiqua" w:hAnsi="Book Antiqua"/>
              </w:rPr>
              <w:t>mean ± SD</w:t>
            </w:r>
          </w:p>
        </w:tc>
        <w:tc>
          <w:tcPr>
            <w:tcW w:w="2070" w:type="dxa"/>
          </w:tcPr>
          <w:p w:rsidR="00EC668F" w:rsidRPr="00C75910" w:rsidRDefault="00816322" w:rsidP="00C75910">
            <w:pPr>
              <w:spacing w:line="360" w:lineRule="auto"/>
              <w:jc w:val="both"/>
              <w:rPr>
                <w:rFonts w:ascii="Book Antiqua" w:hAnsi="Book Antiqua"/>
              </w:rPr>
            </w:pPr>
            <w:r w:rsidRPr="00C75910">
              <w:rPr>
                <w:rFonts w:ascii="Book Antiqua" w:hAnsi="Book Antiqua"/>
              </w:rPr>
              <w:t>88.0 (16.3</w:t>
            </w:r>
            <w:r w:rsidR="00EC668F" w:rsidRPr="00C75910">
              <w:rPr>
                <w:rFonts w:ascii="Book Antiqua" w:hAnsi="Book Antiqua"/>
              </w:rPr>
              <w:t>)</w:t>
            </w:r>
          </w:p>
        </w:tc>
        <w:tc>
          <w:tcPr>
            <w:tcW w:w="2160" w:type="dxa"/>
          </w:tcPr>
          <w:p w:rsidR="00EC668F" w:rsidRPr="00C75910" w:rsidRDefault="00816322" w:rsidP="00C75910">
            <w:pPr>
              <w:spacing w:line="360" w:lineRule="auto"/>
              <w:jc w:val="both"/>
              <w:rPr>
                <w:rFonts w:ascii="Book Antiqua" w:hAnsi="Book Antiqua"/>
              </w:rPr>
            </w:pPr>
            <w:r w:rsidRPr="00C75910">
              <w:rPr>
                <w:rFonts w:ascii="Book Antiqua" w:hAnsi="Book Antiqua"/>
              </w:rPr>
              <w:t>86.3 (18.2</w:t>
            </w:r>
            <w:r w:rsidR="00EC668F" w:rsidRPr="00C75910">
              <w:rPr>
                <w:rFonts w:ascii="Book Antiqua" w:hAnsi="Book Antiqua"/>
              </w:rPr>
              <w:t>)</w:t>
            </w:r>
          </w:p>
        </w:tc>
        <w:tc>
          <w:tcPr>
            <w:tcW w:w="1098" w:type="dxa"/>
          </w:tcPr>
          <w:p w:rsidR="00EC668F" w:rsidRPr="00C75910" w:rsidRDefault="00EC668F" w:rsidP="00C75910">
            <w:pPr>
              <w:spacing w:line="360" w:lineRule="auto"/>
              <w:jc w:val="both"/>
              <w:rPr>
                <w:rFonts w:ascii="Book Antiqua" w:hAnsi="Book Antiqua"/>
              </w:rPr>
            </w:pPr>
            <w:r w:rsidRPr="00C75910">
              <w:rPr>
                <w:rFonts w:ascii="Book Antiqua" w:hAnsi="Book Antiqua"/>
              </w:rPr>
              <w:t>0</w:t>
            </w:r>
            <w:r w:rsidR="00AA0AA2" w:rsidRPr="00C75910">
              <w:rPr>
                <w:rFonts w:ascii="Book Antiqua" w:hAnsi="Book Antiqua"/>
              </w:rPr>
              <w:t>.</w:t>
            </w:r>
            <w:r w:rsidR="00816322" w:rsidRPr="00C75910">
              <w:rPr>
                <w:rFonts w:ascii="Book Antiqua" w:hAnsi="Book Antiqua"/>
              </w:rPr>
              <w:t>35</w:t>
            </w:r>
          </w:p>
        </w:tc>
      </w:tr>
      <w:tr w:rsidR="00E449A7" w:rsidRPr="00C75910" w:rsidTr="008E4FE3">
        <w:tc>
          <w:tcPr>
            <w:tcW w:w="3528" w:type="dxa"/>
          </w:tcPr>
          <w:p w:rsidR="00EC668F" w:rsidRPr="00C75910" w:rsidRDefault="00EC668F" w:rsidP="00C75910">
            <w:pPr>
              <w:spacing w:line="360" w:lineRule="auto"/>
              <w:jc w:val="both"/>
              <w:rPr>
                <w:rFonts w:ascii="Book Antiqua" w:hAnsi="Book Antiqua"/>
              </w:rPr>
            </w:pPr>
            <w:r w:rsidRPr="00C75910">
              <w:rPr>
                <w:rFonts w:ascii="Book Antiqua" w:hAnsi="Book Antiqua"/>
              </w:rPr>
              <w:t>Hemoglobin, g/</w:t>
            </w:r>
            <w:proofErr w:type="spellStart"/>
            <w:r w:rsidRPr="00C75910">
              <w:rPr>
                <w:rFonts w:ascii="Book Antiqua" w:hAnsi="Book Antiqua"/>
              </w:rPr>
              <w:t>dL</w:t>
            </w:r>
            <w:proofErr w:type="spellEnd"/>
            <w:r w:rsidRPr="00C75910">
              <w:rPr>
                <w:rFonts w:ascii="Book Antiqua" w:hAnsi="Book Antiqua"/>
              </w:rPr>
              <w:t xml:space="preserve">, </w:t>
            </w:r>
            <w:r w:rsidR="005D0AEF" w:rsidRPr="005D0AEF">
              <w:rPr>
                <w:rFonts w:ascii="Book Antiqua" w:hAnsi="Book Antiqua"/>
              </w:rPr>
              <w:t>mean ± SD</w:t>
            </w:r>
          </w:p>
        </w:tc>
        <w:tc>
          <w:tcPr>
            <w:tcW w:w="2070" w:type="dxa"/>
          </w:tcPr>
          <w:p w:rsidR="00EC668F" w:rsidRPr="00C75910" w:rsidRDefault="00816322" w:rsidP="00C75910">
            <w:pPr>
              <w:spacing w:line="360" w:lineRule="auto"/>
              <w:jc w:val="both"/>
              <w:rPr>
                <w:rFonts w:ascii="Book Antiqua" w:hAnsi="Book Antiqua"/>
              </w:rPr>
            </w:pPr>
            <w:r w:rsidRPr="00C75910">
              <w:rPr>
                <w:rFonts w:ascii="Book Antiqua" w:hAnsi="Book Antiqua"/>
              </w:rPr>
              <w:t>11.6</w:t>
            </w:r>
            <w:r w:rsidR="00EC668F" w:rsidRPr="00C75910">
              <w:rPr>
                <w:rFonts w:ascii="Book Antiqua" w:hAnsi="Book Antiqua"/>
              </w:rPr>
              <w:t xml:space="preserve"> (1.3)</w:t>
            </w:r>
          </w:p>
        </w:tc>
        <w:tc>
          <w:tcPr>
            <w:tcW w:w="2160" w:type="dxa"/>
          </w:tcPr>
          <w:p w:rsidR="00EC668F" w:rsidRPr="00C75910" w:rsidRDefault="00816322" w:rsidP="00C75910">
            <w:pPr>
              <w:spacing w:line="360" w:lineRule="auto"/>
              <w:jc w:val="both"/>
              <w:rPr>
                <w:rFonts w:ascii="Book Antiqua" w:hAnsi="Book Antiqua"/>
              </w:rPr>
            </w:pPr>
            <w:r w:rsidRPr="00C75910">
              <w:rPr>
                <w:rFonts w:ascii="Book Antiqua" w:hAnsi="Book Antiqua"/>
              </w:rPr>
              <w:t>11.3</w:t>
            </w:r>
            <w:r w:rsidR="00EC668F" w:rsidRPr="00C75910">
              <w:rPr>
                <w:rFonts w:ascii="Book Antiqua" w:hAnsi="Book Antiqua"/>
              </w:rPr>
              <w:t xml:space="preserve"> (1.3)</w:t>
            </w:r>
          </w:p>
        </w:tc>
        <w:tc>
          <w:tcPr>
            <w:tcW w:w="1098" w:type="dxa"/>
          </w:tcPr>
          <w:p w:rsidR="00EC668F" w:rsidRPr="00C75910" w:rsidRDefault="00EC668F" w:rsidP="00C75910">
            <w:pPr>
              <w:spacing w:line="360" w:lineRule="auto"/>
              <w:jc w:val="both"/>
              <w:rPr>
                <w:rFonts w:ascii="Book Antiqua" w:hAnsi="Book Antiqua"/>
              </w:rPr>
            </w:pPr>
            <w:r w:rsidRPr="00C75910">
              <w:rPr>
                <w:rFonts w:ascii="Book Antiqua" w:hAnsi="Book Antiqua"/>
              </w:rPr>
              <w:t>0.</w:t>
            </w:r>
            <w:r w:rsidR="00816322" w:rsidRPr="00C75910">
              <w:rPr>
                <w:rFonts w:ascii="Book Antiqua" w:hAnsi="Book Antiqua"/>
              </w:rPr>
              <w:t>10</w:t>
            </w:r>
          </w:p>
        </w:tc>
      </w:tr>
      <w:tr w:rsidR="00E449A7" w:rsidRPr="00C75910" w:rsidTr="008E4FE3">
        <w:tc>
          <w:tcPr>
            <w:tcW w:w="3528" w:type="dxa"/>
          </w:tcPr>
          <w:p w:rsidR="00EC668F" w:rsidRPr="00C75910" w:rsidRDefault="008E4FF0" w:rsidP="00910AF0">
            <w:pPr>
              <w:spacing w:line="360" w:lineRule="auto"/>
              <w:jc w:val="both"/>
              <w:rPr>
                <w:rFonts w:ascii="Book Antiqua" w:hAnsi="Book Antiqua"/>
                <w:lang w:eastAsia="zh-CN"/>
              </w:rPr>
            </w:pPr>
            <w:r w:rsidRPr="00C75910">
              <w:rPr>
                <w:rFonts w:ascii="Book Antiqua" w:hAnsi="Book Antiqua"/>
              </w:rPr>
              <w:t xml:space="preserve">Assistive </w:t>
            </w:r>
            <w:r w:rsidR="001D428D" w:rsidRPr="00C75910">
              <w:rPr>
                <w:rFonts w:ascii="Book Antiqua" w:hAnsi="Book Antiqua"/>
              </w:rPr>
              <w:t>walking device</w:t>
            </w:r>
            <w:r w:rsidR="00910AF0">
              <w:rPr>
                <w:rFonts w:ascii="Book Antiqua" w:hAnsi="Book Antiqua" w:hint="eastAsia"/>
                <w:lang w:eastAsia="zh-CN"/>
              </w:rPr>
              <w:t xml:space="preserve"> (</w:t>
            </w:r>
            <w:r w:rsidR="00910AF0" w:rsidRPr="00C75910">
              <w:rPr>
                <w:rFonts w:ascii="Book Antiqua" w:hAnsi="Book Antiqua"/>
              </w:rPr>
              <w:t>%</w:t>
            </w:r>
            <w:r w:rsidR="00910AF0">
              <w:rPr>
                <w:rFonts w:ascii="Book Antiqua" w:hAnsi="Book Antiqua" w:hint="eastAsia"/>
                <w:lang w:eastAsia="zh-CN"/>
              </w:rPr>
              <w:t>)</w:t>
            </w:r>
          </w:p>
        </w:tc>
        <w:tc>
          <w:tcPr>
            <w:tcW w:w="2070" w:type="dxa"/>
          </w:tcPr>
          <w:p w:rsidR="00EC668F" w:rsidRPr="00C75910" w:rsidRDefault="001044A8" w:rsidP="00C75910">
            <w:pPr>
              <w:spacing w:line="360" w:lineRule="auto"/>
              <w:jc w:val="both"/>
              <w:rPr>
                <w:rFonts w:ascii="Book Antiqua" w:hAnsi="Book Antiqua"/>
              </w:rPr>
            </w:pPr>
            <w:r w:rsidRPr="00C75910">
              <w:rPr>
                <w:rFonts w:ascii="Book Antiqua" w:hAnsi="Book Antiqua"/>
              </w:rPr>
              <w:t>19</w:t>
            </w:r>
            <w:r w:rsidR="00EC668F" w:rsidRPr="00C75910">
              <w:rPr>
                <w:rFonts w:ascii="Book Antiqua" w:hAnsi="Book Antiqua"/>
              </w:rPr>
              <w:t>.</w:t>
            </w:r>
            <w:r w:rsidRPr="00C75910">
              <w:rPr>
                <w:rFonts w:ascii="Book Antiqua" w:hAnsi="Book Antiqua"/>
              </w:rPr>
              <w:t>5</w:t>
            </w:r>
          </w:p>
        </w:tc>
        <w:tc>
          <w:tcPr>
            <w:tcW w:w="2160" w:type="dxa"/>
          </w:tcPr>
          <w:p w:rsidR="00EC668F" w:rsidRPr="00C75910" w:rsidRDefault="001044A8" w:rsidP="00C75910">
            <w:pPr>
              <w:spacing w:line="360" w:lineRule="auto"/>
              <w:jc w:val="both"/>
              <w:rPr>
                <w:rFonts w:ascii="Book Antiqua" w:hAnsi="Book Antiqua"/>
              </w:rPr>
            </w:pPr>
            <w:r w:rsidRPr="00C75910">
              <w:rPr>
                <w:rFonts w:ascii="Book Antiqua" w:hAnsi="Book Antiqua"/>
              </w:rPr>
              <w:t>91</w:t>
            </w:r>
            <w:r w:rsidR="00EC668F" w:rsidRPr="00C75910">
              <w:rPr>
                <w:rFonts w:ascii="Book Antiqua" w:hAnsi="Book Antiqua"/>
              </w:rPr>
              <w:t>.</w:t>
            </w:r>
            <w:r w:rsidRPr="00C75910">
              <w:rPr>
                <w:rFonts w:ascii="Book Antiqua" w:hAnsi="Book Antiqua"/>
              </w:rPr>
              <w:t>7</w:t>
            </w:r>
          </w:p>
        </w:tc>
        <w:tc>
          <w:tcPr>
            <w:tcW w:w="1098" w:type="dxa"/>
          </w:tcPr>
          <w:p w:rsidR="00EC668F" w:rsidRPr="00C75910" w:rsidRDefault="00EC668F" w:rsidP="00C75910">
            <w:pPr>
              <w:spacing w:line="360" w:lineRule="auto"/>
              <w:jc w:val="both"/>
              <w:rPr>
                <w:rFonts w:ascii="Book Antiqua" w:hAnsi="Book Antiqua"/>
              </w:rPr>
            </w:pPr>
            <w:r w:rsidRPr="00C75910">
              <w:rPr>
                <w:rFonts w:ascii="Book Antiqua" w:hAnsi="Book Antiqua"/>
              </w:rPr>
              <w:t>&lt;</w:t>
            </w:r>
            <w:r w:rsidR="00910AF0">
              <w:rPr>
                <w:rFonts w:ascii="Book Antiqua" w:hAnsi="Book Antiqua" w:hint="eastAsia"/>
                <w:lang w:eastAsia="zh-CN"/>
              </w:rPr>
              <w:t xml:space="preserve"> </w:t>
            </w:r>
            <w:r w:rsidRPr="00C75910">
              <w:rPr>
                <w:rFonts w:ascii="Book Antiqua" w:hAnsi="Book Antiqua"/>
              </w:rPr>
              <w:t>0</w:t>
            </w:r>
            <w:r w:rsidR="00AA0AA2" w:rsidRPr="00C75910">
              <w:rPr>
                <w:rFonts w:ascii="Book Antiqua" w:hAnsi="Book Antiqua"/>
              </w:rPr>
              <w:t>.00</w:t>
            </w:r>
            <w:r w:rsidRPr="00C75910">
              <w:rPr>
                <w:rFonts w:ascii="Book Antiqua" w:hAnsi="Book Antiqua"/>
              </w:rPr>
              <w:t>1</w:t>
            </w:r>
          </w:p>
        </w:tc>
      </w:tr>
      <w:tr w:rsidR="00E449A7" w:rsidRPr="00C75910" w:rsidTr="008E4FE3">
        <w:tc>
          <w:tcPr>
            <w:tcW w:w="3528" w:type="dxa"/>
          </w:tcPr>
          <w:p w:rsidR="00EC668F" w:rsidRPr="00C75910" w:rsidRDefault="008E4FF0" w:rsidP="00910AF0">
            <w:pPr>
              <w:spacing w:line="360" w:lineRule="auto"/>
              <w:jc w:val="both"/>
              <w:rPr>
                <w:rFonts w:ascii="Book Antiqua" w:hAnsi="Book Antiqua"/>
                <w:lang w:eastAsia="zh-CN"/>
              </w:rPr>
            </w:pPr>
            <w:r w:rsidRPr="00C75910">
              <w:rPr>
                <w:rFonts w:ascii="Book Antiqua" w:hAnsi="Book Antiqua"/>
              </w:rPr>
              <w:t>History of recent fall(s)</w:t>
            </w:r>
            <w:r w:rsidR="00910AF0">
              <w:rPr>
                <w:rFonts w:ascii="Book Antiqua" w:hAnsi="Book Antiqua" w:hint="eastAsia"/>
                <w:lang w:eastAsia="zh-CN"/>
              </w:rPr>
              <w:t xml:space="preserve"> (</w:t>
            </w:r>
            <w:r w:rsidR="00910AF0" w:rsidRPr="00C75910">
              <w:rPr>
                <w:rFonts w:ascii="Book Antiqua" w:hAnsi="Book Antiqua"/>
              </w:rPr>
              <w:t>%</w:t>
            </w:r>
            <w:r w:rsidR="00910AF0">
              <w:rPr>
                <w:rFonts w:ascii="Book Antiqua" w:hAnsi="Book Antiqua" w:hint="eastAsia"/>
                <w:lang w:eastAsia="zh-CN"/>
              </w:rPr>
              <w:t>)</w:t>
            </w:r>
          </w:p>
        </w:tc>
        <w:tc>
          <w:tcPr>
            <w:tcW w:w="2070" w:type="dxa"/>
          </w:tcPr>
          <w:p w:rsidR="00EC668F" w:rsidRPr="00C75910" w:rsidRDefault="001044A8" w:rsidP="00C75910">
            <w:pPr>
              <w:spacing w:line="360" w:lineRule="auto"/>
              <w:jc w:val="both"/>
              <w:rPr>
                <w:rFonts w:ascii="Book Antiqua" w:hAnsi="Book Antiqua"/>
              </w:rPr>
            </w:pPr>
            <w:r w:rsidRPr="00C75910">
              <w:rPr>
                <w:rFonts w:ascii="Book Antiqua" w:hAnsi="Book Antiqua"/>
              </w:rPr>
              <w:t>27</w:t>
            </w:r>
            <w:r w:rsidR="00EC668F" w:rsidRPr="00C75910">
              <w:rPr>
                <w:rFonts w:ascii="Book Antiqua" w:hAnsi="Book Antiqua"/>
              </w:rPr>
              <w:t>.</w:t>
            </w:r>
            <w:r w:rsidRPr="00C75910">
              <w:rPr>
                <w:rFonts w:ascii="Book Antiqua" w:hAnsi="Book Antiqua"/>
              </w:rPr>
              <w:t>1</w:t>
            </w:r>
          </w:p>
        </w:tc>
        <w:tc>
          <w:tcPr>
            <w:tcW w:w="2160" w:type="dxa"/>
          </w:tcPr>
          <w:p w:rsidR="00EC668F" w:rsidRPr="00C75910" w:rsidRDefault="001044A8" w:rsidP="00C75910">
            <w:pPr>
              <w:spacing w:line="360" w:lineRule="auto"/>
              <w:jc w:val="both"/>
              <w:rPr>
                <w:rFonts w:ascii="Book Antiqua" w:hAnsi="Book Antiqua"/>
              </w:rPr>
            </w:pPr>
            <w:r w:rsidRPr="00C75910">
              <w:rPr>
                <w:rFonts w:ascii="Book Antiqua" w:hAnsi="Book Antiqua"/>
              </w:rPr>
              <w:t>37</w:t>
            </w:r>
            <w:r w:rsidR="00EC668F" w:rsidRPr="00C75910">
              <w:rPr>
                <w:rFonts w:ascii="Book Antiqua" w:hAnsi="Book Antiqua"/>
              </w:rPr>
              <w:t>.</w:t>
            </w:r>
            <w:r w:rsidRPr="00C75910">
              <w:rPr>
                <w:rFonts w:ascii="Book Antiqua" w:hAnsi="Book Antiqua"/>
              </w:rPr>
              <w:t>2</w:t>
            </w:r>
          </w:p>
        </w:tc>
        <w:tc>
          <w:tcPr>
            <w:tcW w:w="1098" w:type="dxa"/>
          </w:tcPr>
          <w:p w:rsidR="00EC668F" w:rsidRPr="00C75910" w:rsidRDefault="00AA0AA2" w:rsidP="00C75910">
            <w:pPr>
              <w:spacing w:line="360" w:lineRule="auto"/>
              <w:jc w:val="both"/>
              <w:rPr>
                <w:rFonts w:ascii="Book Antiqua" w:hAnsi="Book Antiqua"/>
              </w:rPr>
            </w:pPr>
            <w:r w:rsidRPr="00C75910">
              <w:rPr>
                <w:rFonts w:ascii="Book Antiqua" w:hAnsi="Book Antiqua"/>
              </w:rPr>
              <w:t>0.0</w:t>
            </w:r>
            <w:r w:rsidR="001044A8" w:rsidRPr="00C75910">
              <w:rPr>
                <w:rFonts w:ascii="Book Antiqua" w:hAnsi="Book Antiqua"/>
              </w:rPr>
              <w:t>4</w:t>
            </w:r>
          </w:p>
        </w:tc>
      </w:tr>
    </w:tbl>
    <w:p w:rsidR="001C3F78" w:rsidRPr="00C75910" w:rsidRDefault="00E75629" w:rsidP="00C75910">
      <w:pPr>
        <w:spacing w:line="360" w:lineRule="auto"/>
        <w:jc w:val="both"/>
        <w:rPr>
          <w:rFonts w:ascii="Book Antiqua" w:hAnsi="Book Antiqua"/>
        </w:rPr>
      </w:pPr>
      <w:r w:rsidRPr="00C75910">
        <w:rPr>
          <w:rFonts w:ascii="Book Antiqua" w:hAnsi="Book Antiqua"/>
          <w:vertAlign w:val="superscript"/>
        </w:rPr>
        <w:t>1</w:t>
      </w:r>
      <w:r w:rsidRPr="00C75910">
        <w:rPr>
          <w:rFonts w:ascii="Book Antiqua" w:hAnsi="Book Antiqua"/>
        </w:rPr>
        <w:t>One patient lacked fall history information only</w:t>
      </w:r>
      <w:r w:rsidR="00910AF0">
        <w:rPr>
          <w:rFonts w:ascii="Book Antiqua" w:hAnsi="Book Antiqua" w:hint="eastAsia"/>
          <w:lang w:eastAsia="zh-CN"/>
        </w:rPr>
        <w:t>;</w:t>
      </w:r>
      <w:r w:rsidRPr="00C75910">
        <w:rPr>
          <w:rFonts w:ascii="Book Antiqua" w:hAnsi="Book Antiqua"/>
        </w:rPr>
        <w:t xml:space="preserve"> no physical performance information was obtained for 19 patients; and study coordinators reported that 83 patients were not able to walk 15 feet</w:t>
      </w:r>
      <w:r w:rsidR="00690F31" w:rsidRPr="00C75910">
        <w:rPr>
          <w:rFonts w:ascii="Book Antiqua" w:hAnsi="Book Antiqua"/>
        </w:rPr>
        <w:t xml:space="preserve"> to perform the walk test</w:t>
      </w:r>
      <w:r w:rsidRPr="00C75910">
        <w:rPr>
          <w:rFonts w:ascii="Book Antiqua" w:hAnsi="Book Antiqua"/>
        </w:rPr>
        <w:t>.</w:t>
      </w:r>
      <w:r w:rsidR="00910AF0">
        <w:rPr>
          <w:rFonts w:ascii="Book Antiqua" w:hAnsi="Book Antiqua" w:hint="eastAsia"/>
          <w:lang w:eastAsia="zh-CN"/>
        </w:rPr>
        <w:t xml:space="preserve"> </w:t>
      </w:r>
      <w:r w:rsidR="002031B6" w:rsidRPr="00C75910">
        <w:rPr>
          <w:rFonts w:ascii="Book Antiqua" w:hAnsi="Book Antiqua"/>
        </w:rPr>
        <w:t>CAD:</w:t>
      </w:r>
      <w:r w:rsidR="00910AF0" w:rsidRPr="00C75910">
        <w:rPr>
          <w:rFonts w:ascii="Book Antiqua" w:hAnsi="Book Antiqua"/>
        </w:rPr>
        <w:t xml:space="preserve"> C</w:t>
      </w:r>
      <w:r w:rsidR="00FB2159" w:rsidRPr="00C75910">
        <w:rPr>
          <w:rFonts w:ascii="Book Antiqua" w:hAnsi="Book Antiqua"/>
        </w:rPr>
        <w:t>oronary artery disease; CHF:</w:t>
      </w:r>
      <w:r w:rsidR="00EC668F" w:rsidRPr="00C75910">
        <w:rPr>
          <w:rFonts w:ascii="Book Antiqua" w:hAnsi="Book Antiqua"/>
        </w:rPr>
        <w:t xml:space="preserve"> </w:t>
      </w:r>
      <w:r w:rsidR="00910AF0" w:rsidRPr="00C75910">
        <w:rPr>
          <w:rFonts w:ascii="Book Antiqua" w:hAnsi="Book Antiqua"/>
        </w:rPr>
        <w:t>C</w:t>
      </w:r>
      <w:r w:rsidR="00FB2159" w:rsidRPr="00C75910">
        <w:rPr>
          <w:rFonts w:ascii="Book Antiqua" w:hAnsi="Book Antiqua"/>
        </w:rPr>
        <w:t xml:space="preserve">ongestive heart failure; COPD: </w:t>
      </w:r>
      <w:r w:rsidR="00910AF0" w:rsidRPr="00C75910">
        <w:rPr>
          <w:rFonts w:ascii="Book Antiqua" w:hAnsi="Book Antiqua"/>
        </w:rPr>
        <w:t>C</w:t>
      </w:r>
      <w:r w:rsidR="00EC668F" w:rsidRPr="00C75910">
        <w:rPr>
          <w:rFonts w:ascii="Book Antiqua" w:hAnsi="Book Antiqua"/>
        </w:rPr>
        <w:t>hronic obs</w:t>
      </w:r>
      <w:r w:rsidR="00FB2159" w:rsidRPr="00C75910">
        <w:rPr>
          <w:rFonts w:ascii="Book Antiqua" w:hAnsi="Book Antiqua"/>
        </w:rPr>
        <w:t>tructive pulmonary disease; CVA:</w:t>
      </w:r>
      <w:r w:rsidR="00EC668F" w:rsidRPr="00C75910">
        <w:rPr>
          <w:rFonts w:ascii="Book Antiqua" w:hAnsi="Book Antiqua"/>
        </w:rPr>
        <w:t xml:space="preserve"> </w:t>
      </w:r>
      <w:r w:rsidR="00910AF0" w:rsidRPr="00C75910">
        <w:rPr>
          <w:rFonts w:ascii="Book Antiqua" w:hAnsi="Book Antiqua"/>
        </w:rPr>
        <w:t>C</w:t>
      </w:r>
      <w:r w:rsidR="00EC668F" w:rsidRPr="00C75910">
        <w:rPr>
          <w:rFonts w:ascii="Book Antiqua" w:hAnsi="Book Antiqua"/>
        </w:rPr>
        <w:t xml:space="preserve">erebrovascular accident; </w:t>
      </w:r>
      <w:r w:rsidR="002031B6" w:rsidRPr="00C75910">
        <w:rPr>
          <w:rFonts w:ascii="Book Antiqua" w:hAnsi="Book Antiqua"/>
        </w:rPr>
        <w:t xml:space="preserve">ESRD: </w:t>
      </w:r>
      <w:r w:rsidR="00910AF0" w:rsidRPr="00C75910">
        <w:rPr>
          <w:rFonts w:ascii="Book Antiqua" w:hAnsi="Book Antiqua"/>
        </w:rPr>
        <w:t>E</w:t>
      </w:r>
      <w:r w:rsidR="002031B6" w:rsidRPr="00C75910">
        <w:rPr>
          <w:rFonts w:ascii="Book Antiqua" w:hAnsi="Book Antiqua"/>
        </w:rPr>
        <w:t xml:space="preserve">nd-stage renal disease; </w:t>
      </w:r>
      <w:r w:rsidR="00FB2159" w:rsidRPr="00C75910">
        <w:rPr>
          <w:rFonts w:ascii="Book Antiqua" w:hAnsi="Book Antiqua"/>
        </w:rPr>
        <w:t xml:space="preserve">HD: </w:t>
      </w:r>
      <w:r w:rsidR="00910AF0" w:rsidRPr="00C75910">
        <w:rPr>
          <w:rFonts w:ascii="Book Antiqua" w:hAnsi="Book Antiqua"/>
        </w:rPr>
        <w:t>H</w:t>
      </w:r>
      <w:r w:rsidR="00FB2159" w:rsidRPr="00C75910">
        <w:rPr>
          <w:rFonts w:ascii="Book Antiqua" w:hAnsi="Book Antiqua"/>
        </w:rPr>
        <w:t>emodialysis; KDQOL-CF:</w:t>
      </w:r>
      <w:r w:rsidR="008E4FF0" w:rsidRPr="00C75910">
        <w:rPr>
          <w:rFonts w:ascii="Book Antiqua" w:hAnsi="Book Antiqua"/>
        </w:rPr>
        <w:t xml:space="preserve"> Kidney Disease Quality of Life-Cognitive Function; </w:t>
      </w:r>
      <w:r w:rsidR="00FB2159" w:rsidRPr="00C75910">
        <w:rPr>
          <w:rFonts w:ascii="Book Antiqua" w:hAnsi="Book Antiqua"/>
        </w:rPr>
        <w:t>MI:</w:t>
      </w:r>
      <w:r w:rsidR="00EC668F" w:rsidRPr="00C75910">
        <w:rPr>
          <w:rFonts w:ascii="Book Antiqua" w:hAnsi="Book Antiqua"/>
        </w:rPr>
        <w:t xml:space="preserve"> </w:t>
      </w:r>
      <w:r w:rsidR="00910AF0" w:rsidRPr="00C75910">
        <w:rPr>
          <w:rFonts w:ascii="Book Antiqua" w:hAnsi="Book Antiqua"/>
        </w:rPr>
        <w:t>M</w:t>
      </w:r>
      <w:r w:rsidR="00EC668F" w:rsidRPr="00C75910">
        <w:rPr>
          <w:rFonts w:ascii="Book Antiqua" w:hAnsi="Book Antiqua"/>
        </w:rPr>
        <w:t xml:space="preserve">yocardial infarction; </w:t>
      </w:r>
      <w:r w:rsidR="00FB2159" w:rsidRPr="00C75910">
        <w:rPr>
          <w:rFonts w:ascii="Book Antiqua" w:hAnsi="Book Antiqua"/>
        </w:rPr>
        <w:t>m/s:</w:t>
      </w:r>
      <w:r w:rsidR="008E4FF0" w:rsidRPr="00C75910">
        <w:rPr>
          <w:rFonts w:ascii="Book Antiqua" w:hAnsi="Book Antiqua"/>
        </w:rPr>
        <w:t xml:space="preserve"> </w:t>
      </w:r>
      <w:r w:rsidR="00910AF0" w:rsidRPr="00C75910">
        <w:rPr>
          <w:rFonts w:ascii="Book Antiqua" w:hAnsi="Book Antiqua"/>
        </w:rPr>
        <w:t>M</w:t>
      </w:r>
      <w:r w:rsidR="008E4FF0" w:rsidRPr="00C75910">
        <w:rPr>
          <w:rFonts w:ascii="Book Antiqua" w:hAnsi="Book Antiqua"/>
        </w:rPr>
        <w:t xml:space="preserve">eters per second; </w:t>
      </w:r>
      <w:r w:rsidR="00910AF0" w:rsidRPr="00C75910">
        <w:rPr>
          <w:rFonts w:ascii="Book Antiqua" w:hAnsi="Book Antiqua"/>
        </w:rPr>
        <w:t>O</w:t>
      </w:r>
      <w:r w:rsidR="00FB2159" w:rsidRPr="00C75910">
        <w:rPr>
          <w:rFonts w:ascii="Book Antiqua" w:hAnsi="Book Antiqua"/>
        </w:rPr>
        <w:t>ther cardiac disease:</w:t>
      </w:r>
      <w:r w:rsidR="00EC668F" w:rsidRPr="00C75910">
        <w:rPr>
          <w:rFonts w:ascii="Book Antiqua" w:hAnsi="Book Antiqua"/>
        </w:rPr>
        <w:t xml:space="preserve"> </w:t>
      </w:r>
      <w:r w:rsidR="00910AF0" w:rsidRPr="00C75910">
        <w:rPr>
          <w:rFonts w:ascii="Book Antiqua" w:hAnsi="Book Antiqua"/>
        </w:rPr>
        <w:t>C</w:t>
      </w:r>
      <w:r w:rsidR="00EC668F" w:rsidRPr="00C75910">
        <w:rPr>
          <w:rFonts w:ascii="Book Antiqua" w:hAnsi="Book Antiqua"/>
        </w:rPr>
        <w:t>ardiac dysrhythmia, atrial fibrillation, tachycardia, pe</w:t>
      </w:r>
      <w:r w:rsidR="00FB2159" w:rsidRPr="00C75910">
        <w:rPr>
          <w:rFonts w:ascii="Book Antiqua" w:hAnsi="Book Antiqua"/>
        </w:rPr>
        <w:t>ricarditis, cardiac arrest; PVD:</w:t>
      </w:r>
      <w:r w:rsidR="00EC668F" w:rsidRPr="00C75910">
        <w:rPr>
          <w:rFonts w:ascii="Book Antiqua" w:hAnsi="Book Antiqua"/>
        </w:rPr>
        <w:t xml:space="preserve"> </w:t>
      </w:r>
      <w:r w:rsidR="00910AF0" w:rsidRPr="00C75910">
        <w:rPr>
          <w:rFonts w:ascii="Book Antiqua" w:hAnsi="Book Antiqua"/>
        </w:rPr>
        <w:t>P</w:t>
      </w:r>
      <w:r w:rsidR="00EC668F" w:rsidRPr="00C75910">
        <w:rPr>
          <w:rFonts w:ascii="Book Antiqua" w:hAnsi="Book Antiqua"/>
        </w:rPr>
        <w:t xml:space="preserve">eripheral vascular disease; </w:t>
      </w:r>
      <w:r w:rsidR="00FB2159" w:rsidRPr="00C75910">
        <w:rPr>
          <w:rFonts w:ascii="Book Antiqua" w:hAnsi="Book Antiqua"/>
        </w:rPr>
        <w:t>TIA:</w:t>
      </w:r>
      <w:r w:rsidR="008E4FF0" w:rsidRPr="00C75910">
        <w:rPr>
          <w:rFonts w:ascii="Book Antiqua" w:hAnsi="Book Antiqua"/>
        </w:rPr>
        <w:t xml:space="preserve"> </w:t>
      </w:r>
      <w:r w:rsidR="00910AF0" w:rsidRPr="00C75910">
        <w:rPr>
          <w:rFonts w:ascii="Book Antiqua" w:hAnsi="Book Antiqua"/>
        </w:rPr>
        <w:t>T</w:t>
      </w:r>
      <w:r w:rsidR="008E4FF0" w:rsidRPr="00C75910">
        <w:rPr>
          <w:rFonts w:ascii="Book Antiqua" w:hAnsi="Book Antiqua"/>
        </w:rPr>
        <w:t>ransient ischemic attack.</w:t>
      </w:r>
    </w:p>
    <w:p w:rsidR="001C3F78" w:rsidRPr="00C75910" w:rsidRDefault="001C3F78" w:rsidP="00C75910">
      <w:pPr>
        <w:spacing w:line="360" w:lineRule="auto"/>
        <w:jc w:val="both"/>
        <w:rPr>
          <w:rFonts w:ascii="Book Antiqua" w:hAnsi="Book Antiqua"/>
        </w:rPr>
      </w:pPr>
      <w:r w:rsidRPr="00C75910">
        <w:rPr>
          <w:rFonts w:ascii="Book Antiqua" w:hAnsi="Book Antiqua"/>
        </w:rPr>
        <w:br w:type="page"/>
      </w:r>
    </w:p>
    <w:p w:rsidR="00C174AF" w:rsidRPr="00DC6884" w:rsidRDefault="00447715" w:rsidP="00C75910">
      <w:pPr>
        <w:spacing w:line="360" w:lineRule="auto"/>
        <w:jc w:val="both"/>
        <w:rPr>
          <w:rFonts w:ascii="Book Antiqua" w:hAnsi="Book Antiqua"/>
          <w:b/>
          <w:lang w:eastAsia="zh-CN"/>
        </w:rPr>
      </w:pPr>
      <w:r w:rsidRPr="00C75910">
        <w:rPr>
          <w:rFonts w:ascii="Book Antiqua" w:hAnsi="Book Antiqua"/>
          <w:b/>
        </w:rPr>
        <w:lastRenderedPageBreak/>
        <w:t xml:space="preserve">Table </w:t>
      </w:r>
      <w:r w:rsidR="00774B81" w:rsidRPr="00C75910">
        <w:rPr>
          <w:rFonts w:ascii="Book Antiqua" w:hAnsi="Book Antiqua"/>
          <w:b/>
        </w:rPr>
        <w:t>2</w:t>
      </w:r>
      <w:r w:rsidRPr="00C75910">
        <w:rPr>
          <w:rFonts w:ascii="Book Antiqua" w:hAnsi="Book Antiqua"/>
        </w:rPr>
        <w:t xml:space="preserve"> </w:t>
      </w:r>
      <w:r w:rsidR="001044A8" w:rsidRPr="00C75910">
        <w:rPr>
          <w:rFonts w:ascii="Book Antiqua" w:hAnsi="Book Antiqua"/>
          <w:b/>
        </w:rPr>
        <w:t>C</w:t>
      </w:r>
      <w:r w:rsidRPr="00C75910">
        <w:rPr>
          <w:rFonts w:ascii="Book Antiqua" w:hAnsi="Book Antiqua"/>
          <w:b/>
        </w:rPr>
        <w:t xml:space="preserve">haracteristics of </w:t>
      </w:r>
      <w:r w:rsidR="001044A8" w:rsidRPr="00C75910">
        <w:rPr>
          <w:rFonts w:ascii="Book Antiqua" w:hAnsi="Book Antiqua"/>
          <w:b/>
        </w:rPr>
        <w:t>patients w</w:t>
      </w:r>
      <w:r w:rsidR="009451C4" w:rsidRPr="00C75910">
        <w:rPr>
          <w:rFonts w:ascii="Book Antiqua" w:hAnsi="Book Antiqua"/>
          <w:b/>
        </w:rPr>
        <w:t xml:space="preserve">ith </w:t>
      </w:r>
      <w:r w:rsidR="001044A8" w:rsidRPr="00C75910">
        <w:rPr>
          <w:rFonts w:ascii="Book Antiqua" w:hAnsi="Book Antiqua"/>
          <w:b/>
        </w:rPr>
        <w:t>measured walk</w:t>
      </w:r>
      <w:r w:rsidR="009451C4" w:rsidRPr="00C75910">
        <w:rPr>
          <w:rFonts w:ascii="Book Antiqua" w:hAnsi="Book Antiqua"/>
          <w:b/>
        </w:rPr>
        <w:t xml:space="preserve"> and fall information</w:t>
      </w:r>
      <w:r w:rsidRPr="00C75910">
        <w:rPr>
          <w:rFonts w:ascii="Book Antiqua" w:hAnsi="Book Antiqua"/>
          <w:b/>
        </w:rPr>
        <w:t xml:space="preserve">, by </w:t>
      </w:r>
      <w:r w:rsidR="009451C4" w:rsidRPr="00C75910">
        <w:rPr>
          <w:rFonts w:ascii="Book Antiqua" w:hAnsi="Book Antiqua"/>
          <w:b/>
        </w:rPr>
        <w:t xml:space="preserve">slow </w:t>
      </w:r>
      <w:r w:rsidRPr="00C75910">
        <w:rPr>
          <w:rFonts w:ascii="Book Antiqua" w:hAnsi="Book Antiqua"/>
          <w:b/>
        </w:rPr>
        <w:t>gait speed</w:t>
      </w:r>
      <w:r w:rsidR="009451C4" w:rsidRPr="00C75910">
        <w:rPr>
          <w:rFonts w:ascii="Book Antiqua" w:hAnsi="Book Antiqua"/>
          <w:b/>
        </w:rPr>
        <w:t xml:space="preserve"> (&lt;</w:t>
      </w:r>
      <w:r w:rsidR="00910AF0">
        <w:rPr>
          <w:rFonts w:ascii="Book Antiqua" w:hAnsi="Book Antiqua" w:hint="eastAsia"/>
          <w:b/>
          <w:lang w:eastAsia="zh-CN"/>
        </w:rPr>
        <w:t xml:space="preserve"> </w:t>
      </w:r>
      <w:r w:rsidR="009451C4" w:rsidRPr="00C75910">
        <w:rPr>
          <w:rFonts w:ascii="Book Antiqua" w:hAnsi="Book Antiqua"/>
          <w:b/>
        </w:rPr>
        <w:t>0.8</w:t>
      </w:r>
      <w:r w:rsidR="000B35D6" w:rsidRPr="00C75910">
        <w:rPr>
          <w:rFonts w:ascii="Book Antiqua" w:hAnsi="Book Antiqua"/>
          <w:b/>
        </w:rPr>
        <w:t xml:space="preserve"> </w:t>
      </w:r>
      <w:r w:rsidR="009451C4" w:rsidRPr="00C75910">
        <w:rPr>
          <w:rFonts w:ascii="Book Antiqua" w:hAnsi="Book Antiqua"/>
          <w:b/>
        </w:rPr>
        <w:t>m/s) and faster gait speed (</w:t>
      </w:r>
      <w:r w:rsidR="00910AF0" w:rsidRPr="00910AF0">
        <w:rPr>
          <w:rFonts w:ascii="Book Antiqua" w:eastAsia="宋体" w:hAnsi="Book Antiqua"/>
          <w:b/>
        </w:rPr>
        <w:t>≥</w:t>
      </w:r>
      <w:r w:rsidR="00910AF0" w:rsidRPr="00910AF0">
        <w:rPr>
          <w:rFonts w:ascii="Book Antiqua" w:hAnsi="Book Antiqua" w:hint="eastAsia"/>
          <w:b/>
          <w:lang w:eastAsia="zh-CN"/>
        </w:rPr>
        <w:t xml:space="preserve"> </w:t>
      </w:r>
      <w:r w:rsidR="009451C4" w:rsidRPr="00C75910">
        <w:rPr>
          <w:rFonts w:ascii="Book Antiqua" w:hAnsi="Book Antiqua"/>
          <w:b/>
        </w:rPr>
        <w:t>0.8</w:t>
      </w:r>
      <w:r w:rsidR="000B35D6" w:rsidRPr="00C75910">
        <w:rPr>
          <w:rFonts w:ascii="Book Antiqua" w:hAnsi="Book Antiqua"/>
          <w:b/>
        </w:rPr>
        <w:t xml:space="preserve"> </w:t>
      </w:r>
      <w:r w:rsidR="009451C4" w:rsidRPr="00C75910">
        <w:rPr>
          <w:rFonts w:ascii="Book Antiqua" w:hAnsi="Book Antiqua"/>
          <w:b/>
        </w:rPr>
        <w:t>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250"/>
        <w:gridCol w:w="2340"/>
        <w:gridCol w:w="1008"/>
      </w:tblGrid>
      <w:tr w:rsidR="00E449A7" w:rsidRPr="00C75910" w:rsidTr="000B35D6">
        <w:tc>
          <w:tcPr>
            <w:tcW w:w="3258" w:type="dxa"/>
          </w:tcPr>
          <w:p w:rsidR="00447715" w:rsidRPr="00C75910" w:rsidRDefault="00447715" w:rsidP="00C75910">
            <w:pPr>
              <w:spacing w:line="360" w:lineRule="auto"/>
              <w:jc w:val="both"/>
              <w:rPr>
                <w:rFonts w:ascii="Book Antiqua" w:hAnsi="Book Antiqua"/>
              </w:rPr>
            </w:pPr>
          </w:p>
        </w:tc>
        <w:tc>
          <w:tcPr>
            <w:tcW w:w="2250" w:type="dxa"/>
          </w:tcPr>
          <w:p w:rsidR="00447715" w:rsidRPr="00C75910" w:rsidRDefault="00447715" w:rsidP="00C75910">
            <w:pPr>
              <w:spacing w:line="360" w:lineRule="auto"/>
              <w:jc w:val="both"/>
              <w:rPr>
                <w:rFonts w:ascii="Book Antiqua" w:hAnsi="Book Antiqua"/>
                <w:b/>
              </w:rPr>
            </w:pPr>
            <w:r w:rsidRPr="00C75910">
              <w:rPr>
                <w:rFonts w:ascii="Book Antiqua" w:hAnsi="Book Antiqua"/>
                <w:b/>
              </w:rPr>
              <w:t>Gait speed &lt;</w:t>
            </w:r>
            <w:r w:rsidR="00910AF0">
              <w:rPr>
                <w:rFonts w:ascii="Book Antiqua" w:hAnsi="Book Antiqua" w:hint="eastAsia"/>
                <w:b/>
                <w:lang w:eastAsia="zh-CN"/>
              </w:rPr>
              <w:t xml:space="preserve"> </w:t>
            </w:r>
            <w:r w:rsidRPr="00C75910">
              <w:rPr>
                <w:rFonts w:ascii="Book Antiqua" w:hAnsi="Book Antiqua"/>
                <w:b/>
              </w:rPr>
              <w:t>0.8</w:t>
            </w:r>
            <w:r w:rsidR="000B35D6" w:rsidRPr="00C75910">
              <w:rPr>
                <w:rFonts w:ascii="Book Antiqua" w:hAnsi="Book Antiqua"/>
                <w:b/>
              </w:rPr>
              <w:t xml:space="preserve"> </w:t>
            </w:r>
            <w:r w:rsidRPr="00C75910">
              <w:rPr>
                <w:rFonts w:ascii="Book Antiqua" w:hAnsi="Book Antiqua"/>
                <w:b/>
              </w:rPr>
              <w:t>m/s</w:t>
            </w:r>
          </w:p>
          <w:p w:rsidR="00447715" w:rsidRPr="00C75910" w:rsidRDefault="00447715" w:rsidP="00C75910">
            <w:pPr>
              <w:spacing w:line="360" w:lineRule="auto"/>
              <w:jc w:val="both"/>
              <w:rPr>
                <w:rFonts w:ascii="Book Antiqua" w:hAnsi="Book Antiqua"/>
              </w:rPr>
            </w:pPr>
            <w:r w:rsidRPr="00C75910">
              <w:rPr>
                <w:rFonts w:ascii="Book Antiqua" w:hAnsi="Book Antiqua"/>
                <w:b/>
              </w:rPr>
              <w:t>(</w:t>
            </w:r>
            <w:r w:rsidRPr="00910AF0">
              <w:rPr>
                <w:rFonts w:ascii="Book Antiqua" w:hAnsi="Book Antiqua"/>
                <w:b/>
                <w:i/>
              </w:rPr>
              <w:t>n</w:t>
            </w:r>
            <w:r w:rsidR="00910AF0">
              <w:rPr>
                <w:rFonts w:ascii="Book Antiqua" w:hAnsi="Book Antiqua" w:hint="eastAsia"/>
                <w:b/>
                <w:lang w:eastAsia="zh-CN"/>
              </w:rPr>
              <w:t xml:space="preserve"> </w:t>
            </w:r>
            <w:r w:rsidRPr="00C75910">
              <w:rPr>
                <w:rFonts w:ascii="Book Antiqua" w:hAnsi="Book Antiqua"/>
                <w:b/>
              </w:rPr>
              <w:t>=</w:t>
            </w:r>
            <w:r w:rsidR="00910AF0">
              <w:rPr>
                <w:rFonts w:ascii="Book Antiqua" w:hAnsi="Book Antiqua" w:hint="eastAsia"/>
                <w:b/>
                <w:lang w:eastAsia="zh-CN"/>
              </w:rPr>
              <w:t xml:space="preserve"> </w:t>
            </w:r>
            <w:r w:rsidRPr="00C75910">
              <w:rPr>
                <w:rFonts w:ascii="Book Antiqua" w:hAnsi="Book Antiqua"/>
                <w:b/>
              </w:rPr>
              <w:t>232)</w:t>
            </w:r>
          </w:p>
        </w:tc>
        <w:tc>
          <w:tcPr>
            <w:tcW w:w="2340" w:type="dxa"/>
          </w:tcPr>
          <w:p w:rsidR="00447715" w:rsidRPr="00C75910" w:rsidRDefault="00447715" w:rsidP="00C75910">
            <w:pPr>
              <w:spacing w:line="360" w:lineRule="auto"/>
              <w:jc w:val="both"/>
              <w:rPr>
                <w:rFonts w:ascii="Book Antiqua" w:hAnsi="Book Antiqua"/>
                <w:b/>
              </w:rPr>
            </w:pPr>
            <w:r w:rsidRPr="00C75910">
              <w:rPr>
                <w:rFonts w:ascii="Book Antiqua" w:hAnsi="Book Antiqua"/>
                <w:b/>
              </w:rPr>
              <w:t>Gait speed ≥</w:t>
            </w:r>
            <w:r w:rsidR="00910AF0">
              <w:rPr>
                <w:rFonts w:ascii="Book Antiqua" w:hAnsi="Book Antiqua" w:hint="eastAsia"/>
                <w:b/>
                <w:lang w:eastAsia="zh-CN"/>
              </w:rPr>
              <w:t xml:space="preserve"> </w:t>
            </w:r>
            <w:r w:rsidRPr="00C75910">
              <w:rPr>
                <w:rFonts w:ascii="Book Antiqua" w:hAnsi="Book Antiqua"/>
                <w:b/>
              </w:rPr>
              <w:t>0.8</w:t>
            </w:r>
            <w:r w:rsidR="000B35D6" w:rsidRPr="00C75910">
              <w:rPr>
                <w:rFonts w:ascii="Book Antiqua" w:hAnsi="Book Antiqua"/>
                <w:b/>
              </w:rPr>
              <w:t xml:space="preserve"> </w:t>
            </w:r>
            <w:r w:rsidRPr="00C75910">
              <w:rPr>
                <w:rFonts w:ascii="Book Antiqua" w:hAnsi="Book Antiqua"/>
                <w:b/>
              </w:rPr>
              <w:t>m/s</w:t>
            </w:r>
          </w:p>
          <w:p w:rsidR="00447715" w:rsidRPr="00C75910" w:rsidRDefault="00447715" w:rsidP="00C75910">
            <w:pPr>
              <w:spacing w:line="360" w:lineRule="auto"/>
              <w:jc w:val="both"/>
              <w:rPr>
                <w:rFonts w:ascii="Book Antiqua" w:hAnsi="Book Antiqua"/>
              </w:rPr>
            </w:pPr>
            <w:r w:rsidRPr="00C75910">
              <w:rPr>
                <w:rFonts w:ascii="Book Antiqua" w:hAnsi="Book Antiqua"/>
                <w:b/>
              </w:rPr>
              <w:t>(</w:t>
            </w:r>
            <w:r w:rsidRPr="00910AF0">
              <w:rPr>
                <w:rFonts w:ascii="Book Antiqua" w:hAnsi="Book Antiqua"/>
                <w:b/>
                <w:i/>
              </w:rPr>
              <w:t>n</w:t>
            </w:r>
            <w:r w:rsidR="00910AF0">
              <w:rPr>
                <w:rFonts w:ascii="Book Antiqua" w:hAnsi="Book Antiqua" w:hint="eastAsia"/>
                <w:b/>
                <w:lang w:eastAsia="zh-CN"/>
              </w:rPr>
              <w:t xml:space="preserve"> </w:t>
            </w:r>
            <w:r w:rsidRPr="00C75910">
              <w:rPr>
                <w:rFonts w:ascii="Book Antiqua" w:hAnsi="Book Antiqua"/>
                <w:b/>
              </w:rPr>
              <w:t>=</w:t>
            </w:r>
            <w:r w:rsidR="00910AF0">
              <w:rPr>
                <w:rFonts w:ascii="Book Antiqua" w:hAnsi="Book Antiqua" w:hint="eastAsia"/>
                <w:b/>
                <w:lang w:eastAsia="zh-CN"/>
              </w:rPr>
              <w:t xml:space="preserve"> </w:t>
            </w:r>
            <w:r w:rsidRPr="00C75910">
              <w:rPr>
                <w:rFonts w:ascii="Book Antiqua" w:hAnsi="Book Antiqua"/>
                <w:b/>
              </w:rPr>
              <w:t>436)</w:t>
            </w:r>
          </w:p>
        </w:tc>
        <w:tc>
          <w:tcPr>
            <w:tcW w:w="1008" w:type="dxa"/>
          </w:tcPr>
          <w:p w:rsidR="00447715" w:rsidRPr="00C75910" w:rsidRDefault="00447715" w:rsidP="00C75910">
            <w:pPr>
              <w:spacing w:line="360" w:lineRule="auto"/>
              <w:jc w:val="both"/>
              <w:rPr>
                <w:rFonts w:ascii="Book Antiqua" w:hAnsi="Book Antiqua"/>
                <w:b/>
              </w:rPr>
            </w:pPr>
            <w:r w:rsidRPr="00C75910">
              <w:rPr>
                <w:rFonts w:ascii="Book Antiqua" w:hAnsi="Book Antiqua"/>
                <w:b/>
                <w:i/>
              </w:rPr>
              <w:t>P</w:t>
            </w:r>
            <w:r w:rsidRPr="00C75910">
              <w:rPr>
                <w:rFonts w:ascii="Book Antiqua" w:hAnsi="Book Antiqua"/>
                <w:b/>
              </w:rPr>
              <w:t xml:space="preserve"> value</w:t>
            </w:r>
          </w:p>
        </w:tc>
      </w:tr>
      <w:tr w:rsidR="00E449A7" w:rsidRPr="00C75910" w:rsidTr="000B35D6">
        <w:tc>
          <w:tcPr>
            <w:tcW w:w="3258" w:type="dxa"/>
          </w:tcPr>
          <w:p w:rsidR="00447715" w:rsidRPr="00C75910" w:rsidRDefault="00447715" w:rsidP="00C75910">
            <w:pPr>
              <w:spacing w:line="360" w:lineRule="auto"/>
              <w:jc w:val="both"/>
              <w:rPr>
                <w:rFonts w:ascii="Book Antiqua" w:hAnsi="Book Antiqua"/>
              </w:rPr>
            </w:pPr>
            <w:r w:rsidRPr="00C75910">
              <w:rPr>
                <w:rFonts w:ascii="Book Antiqua" w:hAnsi="Book Antiqua"/>
              </w:rPr>
              <w:t>Male, %</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47.0</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68.8</w:t>
            </w:r>
          </w:p>
        </w:tc>
        <w:tc>
          <w:tcPr>
            <w:tcW w:w="1008" w:type="dxa"/>
          </w:tcPr>
          <w:p w:rsidR="00447715" w:rsidRPr="00C75910" w:rsidRDefault="00447715" w:rsidP="00C75910">
            <w:pPr>
              <w:spacing w:line="360" w:lineRule="auto"/>
              <w:jc w:val="both"/>
              <w:rPr>
                <w:rFonts w:ascii="Book Antiqua" w:hAnsi="Book Antiqua"/>
              </w:rPr>
            </w:pPr>
            <w:r w:rsidRPr="00C75910">
              <w:rPr>
                <w:rFonts w:ascii="Book Antiqua" w:hAnsi="Book Antiqua"/>
              </w:rPr>
              <w:t>&lt;</w:t>
            </w:r>
            <w:r w:rsidR="00910AF0">
              <w:rPr>
                <w:rFonts w:ascii="Book Antiqua" w:hAnsi="Book Antiqua" w:hint="eastAsia"/>
                <w:lang w:eastAsia="zh-CN"/>
              </w:rPr>
              <w:t xml:space="preserve"> </w:t>
            </w:r>
            <w:r w:rsidRPr="00C75910">
              <w:rPr>
                <w:rFonts w:ascii="Book Antiqua" w:hAnsi="Book Antiqua"/>
              </w:rPr>
              <w:t>0.001</w:t>
            </w:r>
          </w:p>
        </w:tc>
      </w:tr>
      <w:tr w:rsidR="00E449A7" w:rsidRPr="00C75910" w:rsidTr="000B35D6">
        <w:tc>
          <w:tcPr>
            <w:tcW w:w="3258" w:type="dxa"/>
          </w:tcPr>
          <w:p w:rsidR="00447715" w:rsidRPr="00C75910" w:rsidRDefault="00447715" w:rsidP="00C75910">
            <w:pPr>
              <w:spacing w:line="360" w:lineRule="auto"/>
              <w:jc w:val="both"/>
              <w:rPr>
                <w:rFonts w:ascii="Book Antiqua" w:hAnsi="Book Antiqua"/>
              </w:rPr>
            </w:pPr>
            <w:r w:rsidRPr="00C75910">
              <w:rPr>
                <w:rFonts w:ascii="Book Antiqua" w:hAnsi="Book Antiqua"/>
              </w:rPr>
              <w:t xml:space="preserve">Age, years, </w:t>
            </w:r>
            <w:r w:rsidR="00910AF0" w:rsidRPr="005D0AEF">
              <w:rPr>
                <w:rFonts w:ascii="Book Antiqua" w:hAnsi="Book Antiqua"/>
              </w:rPr>
              <w:t>mean ± SD</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62.1(13.4)</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53.2 (13.5)</w:t>
            </w:r>
          </w:p>
        </w:tc>
        <w:tc>
          <w:tcPr>
            <w:tcW w:w="1008" w:type="dxa"/>
          </w:tcPr>
          <w:p w:rsidR="00447715" w:rsidRPr="00C75910" w:rsidRDefault="00447715" w:rsidP="00C75910">
            <w:pPr>
              <w:spacing w:line="360" w:lineRule="auto"/>
              <w:jc w:val="both"/>
              <w:rPr>
                <w:rFonts w:ascii="Book Antiqua" w:hAnsi="Book Antiqua"/>
              </w:rPr>
            </w:pPr>
            <w:r w:rsidRPr="00C75910">
              <w:rPr>
                <w:rFonts w:ascii="Book Antiqua" w:hAnsi="Book Antiqua"/>
              </w:rPr>
              <w:t>&lt;</w:t>
            </w:r>
            <w:r w:rsidR="00910AF0">
              <w:rPr>
                <w:rFonts w:ascii="Book Antiqua" w:hAnsi="Book Antiqua" w:hint="eastAsia"/>
                <w:lang w:eastAsia="zh-CN"/>
              </w:rPr>
              <w:t xml:space="preserve"> </w:t>
            </w:r>
            <w:r w:rsidRPr="00C75910">
              <w:rPr>
                <w:rFonts w:ascii="Book Antiqua" w:hAnsi="Book Antiqua"/>
              </w:rPr>
              <w:t>0.001</w:t>
            </w:r>
          </w:p>
        </w:tc>
      </w:tr>
      <w:tr w:rsidR="00E449A7" w:rsidRPr="00C75910" w:rsidTr="000B35D6">
        <w:tc>
          <w:tcPr>
            <w:tcW w:w="3258" w:type="dxa"/>
          </w:tcPr>
          <w:p w:rsidR="00447715" w:rsidRPr="00C75910" w:rsidRDefault="00447715" w:rsidP="00C75910">
            <w:pPr>
              <w:spacing w:line="360" w:lineRule="auto"/>
              <w:jc w:val="both"/>
              <w:rPr>
                <w:rFonts w:ascii="Book Antiqua" w:hAnsi="Book Antiqua"/>
              </w:rPr>
            </w:pPr>
            <w:r w:rsidRPr="00C75910">
              <w:rPr>
                <w:rFonts w:ascii="Book Antiqua" w:hAnsi="Book Antiqua"/>
              </w:rPr>
              <w:t>Race, %</w:t>
            </w:r>
          </w:p>
        </w:tc>
        <w:tc>
          <w:tcPr>
            <w:tcW w:w="2250" w:type="dxa"/>
          </w:tcPr>
          <w:p w:rsidR="00447715" w:rsidRPr="00C75910" w:rsidRDefault="00447715" w:rsidP="00C75910">
            <w:pPr>
              <w:spacing w:line="360" w:lineRule="auto"/>
              <w:jc w:val="both"/>
              <w:rPr>
                <w:rFonts w:ascii="Book Antiqua" w:hAnsi="Book Antiqua"/>
              </w:rPr>
            </w:pPr>
          </w:p>
        </w:tc>
        <w:tc>
          <w:tcPr>
            <w:tcW w:w="2340" w:type="dxa"/>
          </w:tcPr>
          <w:p w:rsidR="00447715" w:rsidRPr="00C75910" w:rsidRDefault="00447715" w:rsidP="00C75910">
            <w:pPr>
              <w:spacing w:line="360" w:lineRule="auto"/>
              <w:jc w:val="both"/>
              <w:rPr>
                <w:rFonts w:ascii="Book Antiqua" w:hAnsi="Book Antiqua"/>
              </w:rPr>
            </w:pPr>
          </w:p>
        </w:tc>
        <w:tc>
          <w:tcPr>
            <w:tcW w:w="1008" w:type="dxa"/>
          </w:tcPr>
          <w:p w:rsidR="00447715" w:rsidRPr="00C75910" w:rsidRDefault="00447715" w:rsidP="00C75910">
            <w:pPr>
              <w:spacing w:line="360" w:lineRule="auto"/>
              <w:jc w:val="both"/>
              <w:rPr>
                <w:rFonts w:ascii="Book Antiqua" w:hAnsi="Book Antiqua"/>
              </w:rPr>
            </w:pPr>
            <w:r w:rsidRPr="00C75910">
              <w:rPr>
                <w:rFonts w:ascii="Book Antiqua" w:hAnsi="Book Antiqua"/>
              </w:rPr>
              <w:t>&lt;</w:t>
            </w:r>
            <w:r w:rsidR="00910AF0">
              <w:rPr>
                <w:rFonts w:ascii="Book Antiqua" w:hAnsi="Book Antiqua" w:hint="eastAsia"/>
                <w:lang w:eastAsia="zh-CN"/>
              </w:rPr>
              <w:t xml:space="preserve"> </w:t>
            </w:r>
            <w:r w:rsidRPr="00C75910">
              <w:rPr>
                <w:rFonts w:ascii="Book Antiqua" w:hAnsi="Book Antiqua"/>
              </w:rPr>
              <w:t>0.001</w:t>
            </w:r>
          </w:p>
        </w:tc>
      </w:tr>
      <w:tr w:rsidR="00E449A7" w:rsidRPr="00C75910" w:rsidTr="000B35D6">
        <w:tc>
          <w:tcPr>
            <w:tcW w:w="3258" w:type="dxa"/>
          </w:tcPr>
          <w:p w:rsidR="00447715" w:rsidRPr="00C75910" w:rsidRDefault="00764E14" w:rsidP="00C75910">
            <w:pPr>
              <w:tabs>
                <w:tab w:val="center" w:pos="2134"/>
              </w:tabs>
              <w:spacing w:line="360" w:lineRule="auto"/>
              <w:jc w:val="both"/>
              <w:rPr>
                <w:rFonts w:ascii="Book Antiqua" w:hAnsi="Book Antiqua"/>
              </w:rPr>
            </w:pPr>
            <w:r>
              <w:rPr>
                <w:rFonts w:ascii="Book Antiqua" w:hAnsi="Book Antiqua"/>
              </w:rPr>
              <w:t xml:space="preserve"> </w:t>
            </w:r>
            <w:r w:rsidR="00447715" w:rsidRPr="00C75910">
              <w:rPr>
                <w:rFonts w:ascii="Book Antiqua" w:hAnsi="Book Antiqua"/>
              </w:rPr>
              <w:t xml:space="preserve">White </w:t>
            </w:r>
            <w:r w:rsidR="00447715" w:rsidRPr="00C75910">
              <w:rPr>
                <w:rFonts w:ascii="Book Antiqua" w:hAnsi="Book Antiqua"/>
              </w:rPr>
              <w:tab/>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13.8</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26.6</w:t>
            </w:r>
          </w:p>
        </w:tc>
        <w:tc>
          <w:tcPr>
            <w:tcW w:w="1008" w:type="dxa"/>
          </w:tcPr>
          <w:p w:rsidR="00447715" w:rsidRPr="00C75910" w:rsidRDefault="00447715" w:rsidP="00C75910">
            <w:pPr>
              <w:spacing w:line="360" w:lineRule="auto"/>
              <w:jc w:val="both"/>
              <w:rPr>
                <w:rFonts w:ascii="Book Antiqua" w:hAnsi="Book Antiqua"/>
              </w:rPr>
            </w:pPr>
          </w:p>
        </w:tc>
      </w:tr>
      <w:tr w:rsidR="00E449A7" w:rsidRPr="00C75910" w:rsidTr="000B35D6">
        <w:tc>
          <w:tcPr>
            <w:tcW w:w="3258" w:type="dxa"/>
          </w:tcPr>
          <w:p w:rsidR="00447715" w:rsidRPr="00C75910" w:rsidRDefault="00764E14" w:rsidP="00C75910">
            <w:pPr>
              <w:spacing w:line="360" w:lineRule="auto"/>
              <w:jc w:val="both"/>
              <w:rPr>
                <w:rFonts w:ascii="Book Antiqua" w:hAnsi="Book Antiqua"/>
              </w:rPr>
            </w:pPr>
            <w:r>
              <w:rPr>
                <w:rFonts w:ascii="Book Antiqua" w:hAnsi="Book Antiqua"/>
              </w:rPr>
              <w:t xml:space="preserve"> </w:t>
            </w:r>
            <w:r w:rsidR="00447715" w:rsidRPr="00C75910">
              <w:rPr>
                <w:rFonts w:ascii="Book Antiqua" w:hAnsi="Book Antiqua"/>
              </w:rPr>
              <w:t xml:space="preserve">Black </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75.0</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57.6</w:t>
            </w:r>
          </w:p>
        </w:tc>
        <w:tc>
          <w:tcPr>
            <w:tcW w:w="1008" w:type="dxa"/>
          </w:tcPr>
          <w:p w:rsidR="00447715" w:rsidRPr="00C75910" w:rsidRDefault="00447715" w:rsidP="00C75910">
            <w:pPr>
              <w:spacing w:line="360" w:lineRule="auto"/>
              <w:jc w:val="both"/>
              <w:rPr>
                <w:rFonts w:ascii="Book Antiqua" w:hAnsi="Book Antiqua"/>
              </w:rPr>
            </w:pPr>
          </w:p>
        </w:tc>
      </w:tr>
      <w:tr w:rsidR="00E449A7" w:rsidRPr="00C75910" w:rsidTr="000B35D6">
        <w:tc>
          <w:tcPr>
            <w:tcW w:w="3258" w:type="dxa"/>
          </w:tcPr>
          <w:p w:rsidR="00447715" w:rsidRPr="00C75910" w:rsidRDefault="00764E14" w:rsidP="00C75910">
            <w:pPr>
              <w:spacing w:line="360" w:lineRule="auto"/>
              <w:jc w:val="both"/>
              <w:rPr>
                <w:rFonts w:ascii="Book Antiqua" w:hAnsi="Book Antiqua"/>
              </w:rPr>
            </w:pPr>
            <w:r>
              <w:rPr>
                <w:rFonts w:ascii="Book Antiqua" w:hAnsi="Book Antiqua"/>
              </w:rPr>
              <w:t xml:space="preserve"> </w:t>
            </w:r>
            <w:r w:rsidR="00447715" w:rsidRPr="00C75910">
              <w:rPr>
                <w:rFonts w:ascii="Book Antiqua" w:hAnsi="Book Antiqua"/>
              </w:rPr>
              <w:t>Native American</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0.4</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0.5</w:t>
            </w:r>
          </w:p>
        </w:tc>
        <w:tc>
          <w:tcPr>
            <w:tcW w:w="1008" w:type="dxa"/>
          </w:tcPr>
          <w:p w:rsidR="00447715" w:rsidRPr="00C75910" w:rsidRDefault="00447715" w:rsidP="00C75910">
            <w:pPr>
              <w:spacing w:line="360" w:lineRule="auto"/>
              <w:jc w:val="both"/>
              <w:rPr>
                <w:rFonts w:ascii="Book Antiqua" w:hAnsi="Book Antiqua"/>
              </w:rPr>
            </w:pPr>
          </w:p>
        </w:tc>
      </w:tr>
      <w:tr w:rsidR="00E449A7" w:rsidRPr="00C75910" w:rsidTr="000B35D6">
        <w:tc>
          <w:tcPr>
            <w:tcW w:w="3258" w:type="dxa"/>
          </w:tcPr>
          <w:p w:rsidR="00447715" w:rsidRPr="00C75910" w:rsidRDefault="00764E14" w:rsidP="00C75910">
            <w:pPr>
              <w:spacing w:line="360" w:lineRule="auto"/>
              <w:jc w:val="both"/>
              <w:rPr>
                <w:rFonts w:ascii="Book Antiqua" w:hAnsi="Book Antiqua"/>
              </w:rPr>
            </w:pPr>
            <w:r>
              <w:rPr>
                <w:rFonts w:ascii="Book Antiqua" w:hAnsi="Book Antiqua"/>
              </w:rPr>
              <w:t xml:space="preserve"> </w:t>
            </w:r>
            <w:r w:rsidR="00447715" w:rsidRPr="00C75910">
              <w:rPr>
                <w:rFonts w:ascii="Book Antiqua" w:hAnsi="Book Antiqua"/>
              </w:rPr>
              <w:t>Asian</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8.2</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12.4</w:t>
            </w:r>
          </w:p>
        </w:tc>
        <w:tc>
          <w:tcPr>
            <w:tcW w:w="1008" w:type="dxa"/>
          </w:tcPr>
          <w:p w:rsidR="00447715" w:rsidRPr="00C75910" w:rsidRDefault="00447715" w:rsidP="00C75910">
            <w:pPr>
              <w:spacing w:line="360" w:lineRule="auto"/>
              <w:jc w:val="both"/>
              <w:rPr>
                <w:rFonts w:ascii="Book Antiqua" w:hAnsi="Book Antiqua"/>
              </w:rPr>
            </w:pPr>
          </w:p>
        </w:tc>
      </w:tr>
      <w:tr w:rsidR="00E449A7" w:rsidRPr="00C75910" w:rsidTr="000B35D6">
        <w:tc>
          <w:tcPr>
            <w:tcW w:w="3258" w:type="dxa"/>
          </w:tcPr>
          <w:p w:rsidR="00447715" w:rsidRPr="00C75910" w:rsidRDefault="00764E14" w:rsidP="00C75910">
            <w:pPr>
              <w:spacing w:line="360" w:lineRule="auto"/>
              <w:jc w:val="both"/>
              <w:rPr>
                <w:rFonts w:ascii="Book Antiqua" w:hAnsi="Book Antiqua"/>
              </w:rPr>
            </w:pPr>
            <w:r>
              <w:rPr>
                <w:rFonts w:ascii="Book Antiqua" w:hAnsi="Book Antiqua"/>
              </w:rPr>
              <w:t xml:space="preserve"> </w:t>
            </w:r>
            <w:r w:rsidR="00447715" w:rsidRPr="00C75910">
              <w:rPr>
                <w:rFonts w:ascii="Book Antiqua" w:hAnsi="Book Antiqua"/>
              </w:rPr>
              <w:t>Other (Native Hawaiian, other Pacific Islander, other)</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2.6</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3.0</w:t>
            </w:r>
          </w:p>
        </w:tc>
        <w:tc>
          <w:tcPr>
            <w:tcW w:w="1008" w:type="dxa"/>
          </w:tcPr>
          <w:p w:rsidR="00447715" w:rsidRPr="00C75910" w:rsidRDefault="00447715" w:rsidP="00C75910">
            <w:pPr>
              <w:spacing w:line="360" w:lineRule="auto"/>
              <w:jc w:val="both"/>
              <w:rPr>
                <w:rFonts w:ascii="Book Antiqua" w:hAnsi="Book Antiqua"/>
              </w:rPr>
            </w:pPr>
          </w:p>
        </w:tc>
      </w:tr>
      <w:tr w:rsidR="00E449A7" w:rsidRPr="00C75910" w:rsidTr="000B35D6">
        <w:tc>
          <w:tcPr>
            <w:tcW w:w="3258" w:type="dxa"/>
          </w:tcPr>
          <w:p w:rsidR="00447715" w:rsidRPr="00C75910" w:rsidRDefault="00C174AF" w:rsidP="00C75910">
            <w:pPr>
              <w:tabs>
                <w:tab w:val="right" w:pos="1801"/>
              </w:tabs>
              <w:spacing w:line="360" w:lineRule="auto"/>
              <w:jc w:val="both"/>
              <w:rPr>
                <w:rFonts w:ascii="Book Antiqua" w:hAnsi="Book Antiqua"/>
              </w:rPr>
            </w:pPr>
            <w:r w:rsidRPr="00C75910">
              <w:rPr>
                <w:rFonts w:ascii="Book Antiqua" w:hAnsi="Book Antiqua"/>
              </w:rPr>
              <w:t>ESRD v</w:t>
            </w:r>
            <w:r w:rsidR="000B35D6" w:rsidRPr="00C75910">
              <w:rPr>
                <w:rFonts w:ascii="Book Antiqua" w:hAnsi="Book Antiqua"/>
              </w:rPr>
              <w:t>intage, y</w:t>
            </w:r>
            <w:r w:rsidR="00910AF0">
              <w:rPr>
                <w:rFonts w:ascii="Book Antiqua" w:hAnsi="Book Antiqua" w:hint="eastAsia"/>
                <w:lang w:eastAsia="zh-CN"/>
              </w:rPr>
              <w:t>ea</w:t>
            </w:r>
            <w:r w:rsidR="00447715" w:rsidRPr="00C75910">
              <w:rPr>
                <w:rFonts w:ascii="Book Antiqua" w:hAnsi="Book Antiqua"/>
              </w:rPr>
              <w:t xml:space="preserve">rs, </w:t>
            </w:r>
            <w:r w:rsidR="00910AF0" w:rsidRPr="005D0AEF">
              <w:rPr>
                <w:rFonts w:ascii="Book Antiqua" w:hAnsi="Book Antiqua"/>
              </w:rPr>
              <w:t>mean ± SD</w:t>
            </w:r>
          </w:p>
        </w:tc>
        <w:tc>
          <w:tcPr>
            <w:tcW w:w="2250" w:type="dxa"/>
          </w:tcPr>
          <w:p w:rsidR="00447715" w:rsidRPr="00C75910" w:rsidRDefault="00447715" w:rsidP="00C75910">
            <w:pPr>
              <w:tabs>
                <w:tab w:val="center" w:pos="1422"/>
                <w:tab w:val="left" w:pos="2145"/>
              </w:tabs>
              <w:spacing w:line="360" w:lineRule="auto"/>
              <w:jc w:val="both"/>
              <w:rPr>
                <w:rFonts w:ascii="Book Antiqua" w:hAnsi="Book Antiqua"/>
              </w:rPr>
            </w:pPr>
            <w:r w:rsidRPr="00C75910">
              <w:rPr>
                <w:rFonts w:ascii="Book Antiqua" w:hAnsi="Book Antiqua"/>
              </w:rPr>
              <w:t>4.5 (4.9)</w:t>
            </w:r>
          </w:p>
        </w:tc>
        <w:tc>
          <w:tcPr>
            <w:tcW w:w="2340" w:type="dxa"/>
          </w:tcPr>
          <w:p w:rsidR="00447715" w:rsidRPr="00C75910" w:rsidRDefault="00447715" w:rsidP="00C75910">
            <w:pPr>
              <w:tabs>
                <w:tab w:val="center" w:pos="1422"/>
                <w:tab w:val="left" w:pos="2145"/>
              </w:tabs>
              <w:spacing w:line="360" w:lineRule="auto"/>
              <w:jc w:val="both"/>
              <w:rPr>
                <w:rFonts w:ascii="Book Antiqua" w:hAnsi="Book Antiqua"/>
              </w:rPr>
            </w:pPr>
            <w:r w:rsidRPr="00C75910">
              <w:rPr>
                <w:rFonts w:ascii="Book Antiqua" w:hAnsi="Book Antiqua"/>
              </w:rPr>
              <w:t>5.2 (5.3)</w:t>
            </w:r>
          </w:p>
        </w:tc>
        <w:tc>
          <w:tcPr>
            <w:tcW w:w="1008" w:type="dxa"/>
          </w:tcPr>
          <w:p w:rsidR="00447715" w:rsidRPr="00C75910" w:rsidRDefault="00447715" w:rsidP="00C75910">
            <w:pPr>
              <w:tabs>
                <w:tab w:val="center" w:pos="1422"/>
                <w:tab w:val="left" w:pos="2145"/>
              </w:tabs>
              <w:spacing w:line="360" w:lineRule="auto"/>
              <w:jc w:val="both"/>
              <w:rPr>
                <w:rFonts w:ascii="Book Antiqua" w:hAnsi="Book Antiqua"/>
              </w:rPr>
            </w:pPr>
            <w:r w:rsidRPr="00C75910">
              <w:rPr>
                <w:rFonts w:ascii="Book Antiqua" w:hAnsi="Book Antiqua"/>
              </w:rPr>
              <w:t>0.10</w:t>
            </w:r>
          </w:p>
        </w:tc>
      </w:tr>
      <w:tr w:rsidR="00E449A7" w:rsidRPr="00C75910" w:rsidTr="000B35D6">
        <w:tc>
          <w:tcPr>
            <w:tcW w:w="3258" w:type="dxa"/>
          </w:tcPr>
          <w:p w:rsidR="00447715" w:rsidRPr="00C75910" w:rsidRDefault="00447715" w:rsidP="00C75910">
            <w:pPr>
              <w:tabs>
                <w:tab w:val="right" w:pos="1801"/>
              </w:tabs>
              <w:spacing w:line="360" w:lineRule="auto"/>
              <w:jc w:val="both"/>
              <w:rPr>
                <w:rFonts w:ascii="Book Antiqua" w:hAnsi="Book Antiqua"/>
              </w:rPr>
            </w:pPr>
            <w:r w:rsidRPr="00C75910">
              <w:rPr>
                <w:rFonts w:ascii="Book Antiqua" w:hAnsi="Book Antiqua"/>
              </w:rPr>
              <w:t>Diabetes, %</w:t>
            </w:r>
            <w:r w:rsidRPr="00C75910">
              <w:rPr>
                <w:rFonts w:ascii="Book Antiqua" w:hAnsi="Book Antiqua"/>
              </w:rPr>
              <w:tab/>
            </w:r>
          </w:p>
        </w:tc>
        <w:tc>
          <w:tcPr>
            <w:tcW w:w="2250" w:type="dxa"/>
          </w:tcPr>
          <w:p w:rsidR="00447715" w:rsidRPr="00C75910" w:rsidRDefault="00447715" w:rsidP="00C75910">
            <w:pPr>
              <w:tabs>
                <w:tab w:val="center" w:pos="1422"/>
                <w:tab w:val="left" w:pos="2145"/>
              </w:tabs>
              <w:spacing w:line="360" w:lineRule="auto"/>
              <w:jc w:val="both"/>
              <w:rPr>
                <w:rFonts w:ascii="Book Antiqua" w:hAnsi="Book Antiqua"/>
              </w:rPr>
            </w:pPr>
            <w:r w:rsidRPr="00C75910">
              <w:rPr>
                <w:rFonts w:ascii="Book Antiqua" w:hAnsi="Book Antiqua"/>
              </w:rPr>
              <w:t>59.9</w:t>
            </w:r>
          </w:p>
        </w:tc>
        <w:tc>
          <w:tcPr>
            <w:tcW w:w="2340" w:type="dxa"/>
          </w:tcPr>
          <w:p w:rsidR="00447715" w:rsidRPr="00C75910" w:rsidRDefault="00447715" w:rsidP="00C75910">
            <w:pPr>
              <w:tabs>
                <w:tab w:val="center" w:pos="1422"/>
                <w:tab w:val="left" w:pos="2145"/>
              </w:tabs>
              <w:spacing w:line="360" w:lineRule="auto"/>
              <w:jc w:val="both"/>
              <w:rPr>
                <w:rFonts w:ascii="Book Antiqua" w:hAnsi="Book Antiqua"/>
              </w:rPr>
            </w:pPr>
            <w:r w:rsidRPr="00C75910">
              <w:rPr>
                <w:rFonts w:ascii="Book Antiqua" w:hAnsi="Book Antiqua"/>
              </w:rPr>
              <w:t>41.7</w:t>
            </w:r>
          </w:p>
        </w:tc>
        <w:tc>
          <w:tcPr>
            <w:tcW w:w="1008" w:type="dxa"/>
          </w:tcPr>
          <w:p w:rsidR="00447715" w:rsidRPr="00C75910" w:rsidRDefault="00447715" w:rsidP="00C75910">
            <w:pPr>
              <w:tabs>
                <w:tab w:val="center" w:pos="1422"/>
                <w:tab w:val="left" w:pos="2145"/>
              </w:tabs>
              <w:spacing w:line="360" w:lineRule="auto"/>
              <w:jc w:val="both"/>
              <w:rPr>
                <w:rFonts w:ascii="Book Antiqua" w:hAnsi="Book Antiqua"/>
              </w:rPr>
            </w:pPr>
            <w:r w:rsidRPr="00C75910">
              <w:rPr>
                <w:rFonts w:ascii="Book Antiqua" w:hAnsi="Book Antiqua"/>
              </w:rPr>
              <w:t>&lt;</w:t>
            </w:r>
            <w:r w:rsidR="00910AF0">
              <w:rPr>
                <w:rFonts w:ascii="Book Antiqua" w:hAnsi="Book Antiqua" w:hint="eastAsia"/>
                <w:lang w:eastAsia="zh-CN"/>
              </w:rPr>
              <w:t xml:space="preserve"> </w:t>
            </w:r>
            <w:r w:rsidRPr="00C75910">
              <w:rPr>
                <w:rFonts w:ascii="Book Antiqua" w:hAnsi="Book Antiqua"/>
              </w:rPr>
              <w:t>0.001</w:t>
            </w:r>
          </w:p>
        </w:tc>
      </w:tr>
      <w:tr w:rsidR="00E449A7" w:rsidRPr="00C75910" w:rsidTr="000B35D6">
        <w:tc>
          <w:tcPr>
            <w:tcW w:w="3258" w:type="dxa"/>
          </w:tcPr>
          <w:p w:rsidR="00447715" w:rsidRPr="00C75910" w:rsidRDefault="00447715" w:rsidP="00C75910">
            <w:pPr>
              <w:tabs>
                <w:tab w:val="right" w:pos="1801"/>
              </w:tabs>
              <w:spacing w:line="360" w:lineRule="auto"/>
              <w:jc w:val="both"/>
              <w:rPr>
                <w:rFonts w:ascii="Book Antiqua" w:hAnsi="Book Antiqua"/>
              </w:rPr>
            </w:pPr>
            <w:r w:rsidRPr="00C75910">
              <w:rPr>
                <w:rFonts w:ascii="Book Antiqua" w:hAnsi="Book Antiqua"/>
              </w:rPr>
              <w:t>COPD, %</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12.1</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5.1</w:t>
            </w:r>
          </w:p>
        </w:tc>
        <w:tc>
          <w:tcPr>
            <w:tcW w:w="1008" w:type="dxa"/>
          </w:tcPr>
          <w:p w:rsidR="00447715" w:rsidRPr="00C75910" w:rsidRDefault="00764E14" w:rsidP="00C75910">
            <w:pPr>
              <w:spacing w:line="360" w:lineRule="auto"/>
              <w:jc w:val="both"/>
              <w:rPr>
                <w:rFonts w:ascii="Book Antiqua" w:hAnsi="Book Antiqua"/>
              </w:rPr>
            </w:pPr>
            <w:r>
              <w:rPr>
                <w:rFonts w:ascii="Book Antiqua" w:hAnsi="Book Antiqua"/>
              </w:rPr>
              <w:t xml:space="preserve"> </w:t>
            </w:r>
            <w:r w:rsidR="00447715" w:rsidRPr="00C75910">
              <w:rPr>
                <w:rFonts w:ascii="Book Antiqua" w:hAnsi="Book Antiqua"/>
              </w:rPr>
              <w:t>0.001</w:t>
            </w:r>
          </w:p>
        </w:tc>
      </w:tr>
      <w:tr w:rsidR="00E449A7" w:rsidRPr="00C75910" w:rsidTr="000B35D6">
        <w:tc>
          <w:tcPr>
            <w:tcW w:w="3258" w:type="dxa"/>
          </w:tcPr>
          <w:p w:rsidR="00447715" w:rsidRPr="00C75910" w:rsidRDefault="00447715" w:rsidP="00C75910">
            <w:pPr>
              <w:tabs>
                <w:tab w:val="right" w:pos="1801"/>
              </w:tabs>
              <w:spacing w:line="360" w:lineRule="auto"/>
              <w:jc w:val="both"/>
              <w:rPr>
                <w:rFonts w:ascii="Book Antiqua" w:hAnsi="Book Antiqua"/>
              </w:rPr>
            </w:pPr>
            <w:r w:rsidRPr="00C75910">
              <w:rPr>
                <w:rFonts w:ascii="Book Antiqua" w:hAnsi="Book Antiqua"/>
              </w:rPr>
              <w:t>Cancer, %</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8.2</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7.4</w:t>
            </w:r>
          </w:p>
        </w:tc>
        <w:tc>
          <w:tcPr>
            <w:tcW w:w="1008" w:type="dxa"/>
          </w:tcPr>
          <w:p w:rsidR="00447715" w:rsidRPr="00C75910" w:rsidRDefault="00447715" w:rsidP="00C75910">
            <w:pPr>
              <w:spacing w:line="360" w:lineRule="auto"/>
              <w:jc w:val="both"/>
              <w:rPr>
                <w:rFonts w:ascii="Book Antiqua" w:hAnsi="Book Antiqua"/>
              </w:rPr>
            </w:pPr>
            <w:r w:rsidRPr="00C75910">
              <w:rPr>
                <w:rFonts w:ascii="Book Antiqua" w:hAnsi="Book Antiqua"/>
              </w:rPr>
              <w:t>0.71</w:t>
            </w:r>
          </w:p>
        </w:tc>
      </w:tr>
      <w:tr w:rsidR="00E449A7" w:rsidRPr="00C75910" w:rsidTr="000B35D6">
        <w:tc>
          <w:tcPr>
            <w:tcW w:w="3258" w:type="dxa"/>
          </w:tcPr>
          <w:p w:rsidR="00447715" w:rsidRPr="00C75910" w:rsidRDefault="00447715" w:rsidP="00C75910">
            <w:pPr>
              <w:tabs>
                <w:tab w:val="right" w:pos="1801"/>
              </w:tabs>
              <w:spacing w:line="360" w:lineRule="auto"/>
              <w:jc w:val="both"/>
              <w:rPr>
                <w:rFonts w:ascii="Book Antiqua" w:hAnsi="Book Antiqua"/>
              </w:rPr>
            </w:pPr>
            <w:r w:rsidRPr="00C75910">
              <w:rPr>
                <w:rFonts w:ascii="Book Antiqua" w:hAnsi="Book Antiqua"/>
              </w:rPr>
              <w:t>CHF, %</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31.5</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25.1</w:t>
            </w:r>
          </w:p>
        </w:tc>
        <w:tc>
          <w:tcPr>
            <w:tcW w:w="1008" w:type="dxa"/>
          </w:tcPr>
          <w:p w:rsidR="00447715" w:rsidRPr="00C75910" w:rsidRDefault="00447715" w:rsidP="00C75910">
            <w:pPr>
              <w:spacing w:line="360" w:lineRule="auto"/>
              <w:jc w:val="both"/>
              <w:rPr>
                <w:rFonts w:ascii="Book Antiqua" w:hAnsi="Book Antiqua"/>
              </w:rPr>
            </w:pPr>
            <w:r w:rsidRPr="00C75910">
              <w:rPr>
                <w:rFonts w:ascii="Book Antiqua" w:hAnsi="Book Antiqua"/>
              </w:rPr>
              <w:t>0.08</w:t>
            </w:r>
          </w:p>
        </w:tc>
      </w:tr>
      <w:tr w:rsidR="00E449A7" w:rsidRPr="00C75910" w:rsidTr="000B35D6">
        <w:tc>
          <w:tcPr>
            <w:tcW w:w="3258" w:type="dxa"/>
          </w:tcPr>
          <w:p w:rsidR="00447715" w:rsidRPr="00C75910" w:rsidRDefault="00447715" w:rsidP="00C75910">
            <w:pPr>
              <w:tabs>
                <w:tab w:val="right" w:pos="1801"/>
              </w:tabs>
              <w:spacing w:line="360" w:lineRule="auto"/>
              <w:jc w:val="both"/>
              <w:rPr>
                <w:rFonts w:ascii="Book Antiqua" w:hAnsi="Book Antiqua"/>
              </w:rPr>
            </w:pPr>
            <w:r w:rsidRPr="00C75910">
              <w:rPr>
                <w:rFonts w:ascii="Book Antiqua" w:hAnsi="Book Antiqua"/>
              </w:rPr>
              <w:t>CAD/MI, %</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33.2</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22.1</w:t>
            </w:r>
          </w:p>
        </w:tc>
        <w:tc>
          <w:tcPr>
            <w:tcW w:w="1008" w:type="dxa"/>
          </w:tcPr>
          <w:p w:rsidR="00447715" w:rsidRPr="00C75910" w:rsidRDefault="001905D4" w:rsidP="00C75910">
            <w:pPr>
              <w:spacing w:line="360" w:lineRule="auto"/>
              <w:jc w:val="both"/>
              <w:rPr>
                <w:rFonts w:ascii="Book Antiqua" w:hAnsi="Book Antiqua"/>
              </w:rPr>
            </w:pPr>
            <w:r w:rsidRPr="00C75910">
              <w:rPr>
                <w:rFonts w:ascii="Book Antiqua" w:hAnsi="Book Antiqua"/>
              </w:rPr>
              <w:t xml:space="preserve"> </w:t>
            </w:r>
            <w:r w:rsidR="00447715" w:rsidRPr="00C75910">
              <w:rPr>
                <w:rFonts w:ascii="Book Antiqua" w:hAnsi="Book Antiqua"/>
              </w:rPr>
              <w:t>0.002</w:t>
            </w:r>
          </w:p>
        </w:tc>
      </w:tr>
      <w:tr w:rsidR="00E449A7" w:rsidRPr="00C75910" w:rsidTr="000B35D6">
        <w:tc>
          <w:tcPr>
            <w:tcW w:w="3258" w:type="dxa"/>
          </w:tcPr>
          <w:p w:rsidR="00447715" w:rsidRPr="00C75910" w:rsidRDefault="00447715" w:rsidP="00C75910">
            <w:pPr>
              <w:tabs>
                <w:tab w:val="right" w:pos="1801"/>
              </w:tabs>
              <w:spacing w:line="360" w:lineRule="auto"/>
              <w:jc w:val="both"/>
              <w:rPr>
                <w:rFonts w:ascii="Book Antiqua" w:hAnsi="Book Antiqua"/>
              </w:rPr>
            </w:pPr>
            <w:r w:rsidRPr="00C75910">
              <w:rPr>
                <w:rFonts w:ascii="Book Antiqua" w:hAnsi="Book Antiqua"/>
              </w:rPr>
              <w:t>CVA/TIA, %</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12.5</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7.6</w:t>
            </w:r>
          </w:p>
        </w:tc>
        <w:tc>
          <w:tcPr>
            <w:tcW w:w="1008" w:type="dxa"/>
          </w:tcPr>
          <w:p w:rsidR="00447715" w:rsidRPr="00C75910" w:rsidRDefault="00447715" w:rsidP="00C75910">
            <w:pPr>
              <w:spacing w:line="360" w:lineRule="auto"/>
              <w:jc w:val="both"/>
              <w:rPr>
                <w:rFonts w:ascii="Book Antiqua" w:hAnsi="Book Antiqua"/>
              </w:rPr>
            </w:pPr>
            <w:r w:rsidRPr="00C75910">
              <w:rPr>
                <w:rFonts w:ascii="Book Antiqua" w:hAnsi="Book Antiqua"/>
              </w:rPr>
              <w:t>0.04</w:t>
            </w:r>
          </w:p>
        </w:tc>
      </w:tr>
      <w:tr w:rsidR="00E449A7" w:rsidRPr="00C75910" w:rsidTr="000B35D6">
        <w:tc>
          <w:tcPr>
            <w:tcW w:w="3258" w:type="dxa"/>
          </w:tcPr>
          <w:p w:rsidR="00447715" w:rsidRPr="00C75910" w:rsidRDefault="00447715" w:rsidP="00C75910">
            <w:pPr>
              <w:tabs>
                <w:tab w:val="right" w:pos="1801"/>
              </w:tabs>
              <w:spacing w:line="360" w:lineRule="auto"/>
              <w:jc w:val="both"/>
              <w:rPr>
                <w:rFonts w:ascii="Book Antiqua" w:hAnsi="Book Antiqua"/>
              </w:rPr>
            </w:pPr>
            <w:r w:rsidRPr="00C75910">
              <w:rPr>
                <w:rFonts w:ascii="Book Antiqua" w:hAnsi="Book Antiqua"/>
              </w:rPr>
              <w:t>PVD, %</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9.5</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4.8</w:t>
            </w:r>
          </w:p>
        </w:tc>
        <w:tc>
          <w:tcPr>
            <w:tcW w:w="1008" w:type="dxa"/>
          </w:tcPr>
          <w:p w:rsidR="00447715" w:rsidRPr="00C75910" w:rsidRDefault="00447715" w:rsidP="00C75910">
            <w:pPr>
              <w:spacing w:line="360" w:lineRule="auto"/>
              <w:jc w:val="both"/>
              <w:rPr>
                <w:rFonts w:ascii="Book Antiqua" w:hAnsi="Book Antiqua"/>
              </w:rPr>
            </w:pPr>
            <w:r w:rsidRPr="00C75910">
              <w:rPr>
                <w:rFonts w:ascii="Book Antiqua" w:hAnsi="Book Antiqua"/>
              </w:rPr>
              <w:t>0.02</w:t>
            </w:r>
          </w:p>
        </w:tc>
      </w:tr>
      <w:tr w:rsidR="00E449A7" w:rsidRPr="00C75910" w:rsidTr="000B35D6">
        <w:tc>
          <w:tcPr>
            <w:tcW w:w="3258" w:type="dxa"/>
          </w:tcPr>
          <w:p w:rsidR="00447715" w:rsidRPr="00C75910" w:rsidRDefault="00447715" w:rsidP="00C75910">
            <w:pPr>
              <w:spacing w:line="360" w:lineRule="auto"/>
              <w:jc w:val="both"/>
              <w:rPr>
                <w:rFonts w:ascii="Book Antiqua" w:hAnsi="Book Antiqua"/>
              </w:rPr>
            </w:pPr>
            <w:r w:rsidRPr="00C75910">
              <w:rPr>
                <w:rFonts w:ascii="Book Antiqua" w:hAnsi="Book Antiqua"/>
              </w:rPr>
              <w:t xml:space="preserve">Other cardiac diseases, % </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29.3</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21.0</w:t>
            </w:r>
          </w:p>
        </w:tc>
        <w:tc>
          <w:tcPr>
            <w:tcW w:w="1008" w:type="dxa"/>
          </w:tcPr>
          <w:p w:rsidR="00447715" w:rsidRPr="00C75910" w:rsidRDefault="00447715" w:rsidP="00C75910">
            <w:pPr>
              <w:spacing w:line="360" w:lineRule="auto"/>
              <w:jc w:val="both"/>
              <w:rPr>
                <w:rFonts w:ascii="Book Antiqua" w:hAnsi="Book Antiqua"/>
              </w:rPr>
            </w:pPr>
            <w:r w:rsidRPr="00C75910">
              <w:rPr>
                <w:rFonts w:ascii="Book Antiqua" w:hAnsi="Book Antiqua"/>
              </w:rPr>
              <w:t>0.02</w:t>
            </w:r>
          </w:p>
        </w:tc>
      </w:tr>
      <w:tr w:rsidR="00E449A7" w:rsidRPr="00C75910" w:rsidTr="000B35D6">
        <w:tc>
          <w:tcPr>
            <w:tcW w:w="3258" w:type="dxa"/>
          </w:tcPr>
          <w:p w:rsidR="00447715" w:rsidRPr="00C75910" w:rsidRDefault="00447715" w:rsidP="00C75910">
            <w:pPr>
              <w:spacing w:line="360" w:lineRule="auto"/>
              <w:jc w:val="both"/>
              <w:rPr>
                <w:rFonts w:ascii="Book Antiqua" w:hAnsi="Book Antiqua"/>
              </w:rPr>
            </w:pPr>
            <w:r w:rsidRPr="00C75910">
              <w:rPr>
                <w:rFonts w:ascii="Book Antiqua" w:hAnsi="Book Antiqua"/>
              </w:rPr>
              <w:t xml:space="preserve">KDQOL-CF score, </w:t>
            </w:r>
            <w:r w:rsidR="00910AF0" w:rsidRPr="005D0AEF">
              <w:rPr>
                <w:rFonts w:ascii="Book Antiqua" w:hAnsi="Book Antiqua"/>
              </w:rPr>
              <w:t>mean ± SD</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84.3 (18.0)</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90.0 (14.9)</w:t>
            </w:r>
          </w:p>
        </w:tc>
        <w:tc>
          <w:tcPr>
            <w:tcW w:w="1008" w:type="dxa"/>
          </w:tcPr>
          <w:p w:rsidR="00447715" w:rsidRPr="00C75910" w:rsidRDefault="00447715" w:rsidP="00C75910">
            <w:pPr>
              <w:spacing w:line="360" w:lineRule="auto"/>
              <w:jc w:val="both"/>
              <w:rPr>
                <w:rFonts w:ascii="Book Antiqua" w:hAnsi="Book Antiqua"/>
              </w:rPr>
            </w:pPr>
            <w:r w:rsidRPr="00C75910">
              <w:rPr>
                <w:rFonts w:ascii="Book Antiqua" w:hAnsi="Book Antiqua"/>
              </w:rPr>
              <w:t>&lt;</w:t>
            </w:r>
            <w:r w:rsidR="00910AF0">
              <w:rPr>
                <w:rFonts w:ascii="Book Antiqua" w:hAnsi="Book Antiqua" w:hint="eastAsia"/>
                <w:lang w:eastAsia="zh-CN"/>
              </w:rPr>
              <w:t xml:space="preserve"> </w:t>
            </w:r>
            <w:r w:rsidRPr="00C75910">
              <w:rPr>
                <w:rFonts w:ascii="Book Antiqua" w:hAnsi="Book Antiqua"/>
              </w:rPr>
              <w:t>0.001</w:t>
            </w:r>
          </w:p>
        </w:tc>
      </w:tr>
      <w:tr w:rsidR="00E449A7" w:rsidRPr="00C75910" w:rsidTr="000B35D6">
        <w:tc>
          <w:tcPr>
            <w:tcW w:w="3258" w:type="dxa"/>
          </w:tcPr>
          <w:p w:rsidR="00447715" w:rsidRPr="00C75910" w:rsidRDefault="00447715" w:rsidP="00C75910">
            <w:pPr>
              <w:spacing w:line="360" w:lineRule="auto"/>
              <w:jc w:val="both"/>
              <w:rPr>
                <w:rFonts w:ascii="Book Antiqua" w:hAnsi="Book Antiqua"/>
              </w:rPr>
            </w:pPr>
            <w:r w:rsidRPr="00C75910">
              <w:rPr>
                <w:rFonts w:ascii="Book Antiqua" w:hAnsi="Book Antiqua"/>
              </w:rPr>
              <w:t>Hemoglobin, g/</w:t>
            </w:r>
            <w:proofErr w:type="spellStart"/>
            <w:r w:rsidRPr="00C75910">
              <w:rPr>
                <w:rFonts w:ascii="Book Antiqua" w:hAnsi="Book Antiqua"/>
              </w:rPr>
              <w:t>dL</w:t>
            </w:r>
            <w:proofErr w:type="spellEnd"/>
            <w:r w:rsidRPr="00C75910">
              <w:rPr>
                <w:rFonts w:ascii="Book Antiqua" w:hAnsi="Book Antiqua"/>
              </w:rPr>
              <w:t xml:space="preserve">, </w:t>
            </w:r>
            <w:r w:rsidR="00910AF0" w:rsidRPr="005D0AEF">
              <w:rPr>
                <w:rFonts w:ascii="Book Antiqua" w:hAnsi="Book Antiqua"/>
              </w:rPr>
              <w:t>mean ± SD</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11.5 (1.3)</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11.6 (1.3)</w:t>
            </w:r>
          </w:p>
        </w:tc>
        <w:tc>
          <w:tcPr>
            <w:tcW w:w="1008" w:type="dxa"/>
          </w:tcPr>
          <w:p w:rsidR="00447715" w:rsidRPr="00C75910" w:rsidRDefault="00447715" w:rsidP="00C75910">
            <w:pPr>
              <w:spacing w:line="360" w:lineRule="auto"/>
              <w:jc w:val="both"/>
              <w:rPr>
                <w:rFonts w:ascii="Book Antiqua" w:hAnsi="Book Antiqua"/>
              </w:rPr>
            </w:pPr>
            <w:r w:rsidRPr="00C75910">
              <w:rPr>
                <w:rFonts w:ascii="Book Antiqua" w:hAnsi="Book Antiqua"/>
              </w:rPr>
              <w:t>0.67</w:t>
            </w:r>
          </w:p>
        </w:tc>
      </w:tr>
      <w:tr w:rsidR="00E449A7" w:rsidRPr="00C75910" w:rsidTr="000B35D6">
        <w:tc>
          <w:tcPr>
            <w:tcW w:w="3258" w:type="dxa"/>
          </w:tcPr>
          <w:p w:rsidR="00447715" w:rsidRPr="00C75910" w:rsidRDefault="00447715" w:rsidP="00C75910">
            <w:pPr>
              <w:spacing w:line="360" w:lineRule="auto"/>
              <w:jc w:val="both"/>
              <w:rPr>
                <w:rFonts w:ascii="Book Antiqua" w:hAnsi="Book Antiqua"/>
              </w:rPr>
            </w:pPr>
            <w:r w:rsidRPr="00C75910">
              <w:rPr>
                <w:rFonts w:ascii="Book Antiqua" w:hAnsi="Book Antiqua"/>
              </w:rPr>
              <w:lastRenderedPageBreak/>
              <w:t>Assistive walking device, %</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45.0</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6.0</w:t>
            </w:r>
          </w:p>
        </w:tc>
        <w:tc>
          <w:tcPr>
            <w:tcW w:w="1008" w:type="dxa"/>
          </w:tcPr>
          <w:p w:rsidR="00447715" w:rsidRPr="00C75910" w:rsidRDefault="00447715" w:rsidP="00C75910">
            <w:pPr>
              <w:spacing w:line="360" w:lineRule="auto"/>
              <w:jc w:val="both"/>
              <w:rPr>
                <w:rFonts w:ascii="Book Antiqua" w:hAnsi="Book Antiqua"/>
              </w:rPr>
            </w:pPr>
            <w:r w:rsidRPr="00C75910">
              <w:rPr>
                <w:rFonts w:ascii="Book Antiqua" w:hAnsi="Book Antiqua"/>
              </w:rPr>
              <w:t>&lt;</w:t>
            </w:r>
            <w:r w:rsidR="00910AF0">
              <w:rPr>
                <w:rFonts w:ascii="Book Antiqua" w:hAnsi="Book Antiqua" w:hint="eastAsia"/>
                <w:lang w:eastAsia="zh-CN"/>
              </w:rPr>
              <w:t xml:space="preserve"> </w:t>
            </w:r>
            <w:r w:rsidRPr="00C75910">
              <w:rPr>
                <w:rFonts w:ascii="Book Antiqua" w:hAnsi="Book Antiqua"/>
              </w:rPr>
              <w:t>0.001</w:t>
            </w:r>
          </w:p>
        </w:tc>
      </w:tr>
      <w:tr w:rsidR="00E449A7" w:rsidRPr="00C75910" w:rsidTr="000B35D6">
        <w:tc>
          <w:tcPr>
            <w:tcW w:w="3258" w:type="dxa"/>
          </w:tcPr>
          <w:p w:rsidR="00447715" w:rsidRPr="00C75910" w:rsidRDefault="00447715" w:rsidP="00C75910">
            <w:pPr>
              <w:spacing w:line="360" w:lineRule="auto"/>
              <w:jc w:val="both"/>
              <w:rPr>
                <w:rFonts w:ascii="Book Antiqua" w:hAnsi="Book Antiqua"/>
              </w:rPr>
            </w:pPr>
            <w:r w:rsidRPr="00C75910">
              <w:rPr>
                <w:rFonts w:ascii="Book Antiqua" w:hAnsi="Book Antiqua"/>
              </w:rPr>
              <w:t>Assistive walking device used when gait speed measured, %</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26.8</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2.3</w:t>
            </w:r>
          </w:p>
        </w:tc>
        <w:tc>
          <w:tcPr>
            <w:tcW w:w="1008" w:type="dxa"/>
          </w:tcPr>
          <w:p w:rsidR="00447715" w:rsidRPr="00C75910" w:rsidRDefault="00447715" w:rsidP="00C75910">
            <w:pPr>
              <w:spacing w:line="360" w:lineRule="auto"/>
              <w:jc w:val="both"/>
              <w:rPr>
                <w:rFonts w:ascii="Book Antiqua" w:hAnsi="Book Antiqua"/>
              </w:rPr>
            </w:pPr>
            <w:r w:rsidRPr="00C75910">
              <w:rPr>
                <w:rFonts w:ascii="Book Antiqua" w:hAnsi="Book Antiqua"/>
              </w:rPr>
              <w:t>&lt;</w:t>
            </w:r>
            <w:r w:rsidR="00910AF0">
              <w:rPr>
                <w:rFonts w:ascii="Book Antiqua" w:hAnsi="Book Antiqua" w:hint="eastAsia"/>
                <w:lang w:eastAsia="zh-CN"/>
              </w:rPr>
              <w:t xml:space="preserve"> </w:t>
            </w:r>
            <w:r w:rsidRPr="00C75910">
              <w:rPr>
                <w:rFonts w:ascii="Book Antiqua" w:hAnsi="Book Antiqua"/>
              </w:rPr>
              <w:t>0.001</w:t>
            </w:r>
          </w:p>
        </w:tc>
      </w:tr>
      <w:tr w:rsidR="00E449A7" w:rsidRPr="00C75910" w:rsidTr="000B35D6">
        <w:tc>
          <w:tcPr>
            <w:tcW w:w="3258" w:type="dxa"/>
          </w:tcPr>
          <w:p w:rsidR="00447715" w:rsidRPr="00C75910" w:rsidRDefault="00447715" w:rsidP="00C75910">
            <w:pPr>
              <w:spacing w:line="360" w:lineRule="auto"/>
              <w:jc w:val="both"/>
              <w:rPr>
                <w:rFonts w:ascii="Book Antiqua" w:hAnsi="Book Antiqua"/>
              </w:rPr>
            </w:pPr>
            <w:r w:rsidRPr="00C75910">
              <w:rPr>
                <w:rFonts w:ascii="Book Antiqua" w:hAnsi="Book Antiqua"/>
              </w:rPr>
              <w:t>History of recent fall(s), %</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36.2</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22.3</w:t>
            </w:r>
          </w:p>
        </w:tc>
        <w:tc>
          <w:tcPr>
            <w:tcW w:w="1008" w:type="dxa"/>
          </w:tcPr>
          <w:p w:rsidR="00447715" w:rsidRPr="00C75910" w:rsidRDefault="00447715" w:rsidP="00C75910">
            <w:pPr>
              <w:spacing w:line="360" w:lineRule="auto"/>
              <w:jc w:val="both"/>
              <w:rPr>
                <w:rFonts w:ascii="Book Antiqua" w:hAnsi="Book Antiqua"/>
              </w:rPr>
            </w:pPr>
            <w:r w:rsidRPr="00C75910">
              <w:rPr>
                <w:rFonts w:ascii="Book Antiqua" w:hAnsi="Book Antiqua"/>
              </w:rPr>
              <w:t>&lt;</w:t>
            </w:r>
            <w:r w:rsidR="00910AF0">
              <w:rPr>
                <w:rFonts w:ascii="Book Antiqua" w:hAnsi="Book Antiqua" w:hint="eastAsia"/>
                <w:lang w:eastAsia="zh-CN"/>
              </w:rPr>
              <w:t xml:space="preserve"> </w:t>
            </w:r>
            <w:r w:rsidRPr="00C75910">
              <w:rPr>
                <w:rFonts w:ascii="Book Antiqua" w:hAnsi="Book Antiqua"/>
              </w:rPr>
              <w:t>0.001</w:t>
            </w:r>
          </w:p>
        </w:tc>
      </w:tr>
      <w:tr w:rsidR="00E449A7" w:rsidRPr="00C75910" w:rsidTr="000B35D6">
        <w:tc>
          <w:tcPr>
            <w:tcW w:w="3258" w:type="dxa"/>
          </w:tcPr>
          <w:p w:rsidR="00447715" w:rsidRPr="00C75910" w:rsidRDefault="00C174AF" w:rsidP="00C75910">
            <w:pPr>
              <w:spacing w:line="360" w:lineRule="auto"/>
              <w:jc w:val="both"/>
              <w:rPr>
                <w:rFonts w:ascii="Book Antiqua" w:hAnsi="Book Antiqua"/>
              </w:rPr>
            </w:pPr>
            <w:r w:rsidRPr="00C75910">
              <w:rPr>
                <w:rFonts w:ascii="Book Antiqua" w:hAnsi="Book Antiqua"/>
              </w:rPr>
              <w:t>Gait speed, m/s</w:t>
            </w:r>
            <w:r w:rsidR="00447715" w:rsidRPr="00C75910">
              <w:rPr>
                <w:rFonts w:ascii="Book Antiqua" w:hAnsi="Book Antiqua"/>
              </w:rPr>
              <w:t xml:space="preserve">, </w:t>
            </w:r>
            <w:r w:rsidR="00910AF0" w:rsidRPr="005D0AEF">
              <w:rPr>
                <w:rFonts w:ascii="Book Antiqua" w:hAnsi="Book Antiqua"/>
              </w:rPr>
              <w:t>mean ± SD</w:t>
            </w:r>
          </w:p>
        </w:tc>
        <w:tc>
          <w:tcPr>
            <w:tcW w:w="2250" w:type="dxa"/>
          </w:tcPr>
          <w:p w:rsidR="00447715" w:rsidRPr="00C75910" w:rsidRDefault="00447715" w:rsidP="00C75910">
            <w:pPr>
              <w:spacing w:line="360" w:lineRule="auto"/>
              <w:jc w:val="both"/>
              <w:rPr>
                <w:rFonts w:ascii="Book Antiqua" w:hAnsi="Book Antiqua"/>
              </w:rPr>
            </w:pPr>
            <w:r w:rsidRPr="00C75910">
              <w:rPr>
                <w:rFonts w:ascii="Book Antiqua" w:hAnsi="Book Antiqua"/>
              </w:rPr>
              <w:t>0.61 (0.15)</w:t>
            </w:r>
          </w:p>
        </w:tc>
        <w:tc>
          <w:tcPr>
            <w:tcW w:w="2340" w:type="dxa"/>
          </w:tcPr>
          <w:p w:rsidR="00447715" w:rsidRPr="00C75910" w:rsidRDefault="00447715" w:rsidP="00C75910">
            <w:pPr>
              <w:spacing w:line="360" w:lineRule="auto"/>
              <w:jc w:val="both"/>
              <w:rPr>
                <w:rFonts w:ascii="Book Antiqua" w:hAnsi="Book Antiqua"/>
              </w:rPr>
            </w:pPr>
            <w:r w:rsidRPr="00C75910">
              <w:rPr>
                <w:rFonts w:ascii="Book Antiqua" w:hAnsi="Book Antiqua"/>
              </w:rPr>
              <w:t>1.04 (0.18)</w:t>
            </w:r>
          </w:p>
        </w:tc>
        <w:tc>
          <w:tcPr>
            <w:tcW w:w="1008" w:type="dxa"/>
          </w:tcPr>
          <w:p w:rsidR="00447715" w:rsidRPr="00C75910" w:rsidRDefault="00447715" w:rsidP="00C75910">
            <w:pPr>
              <w:spacing w:line="360" w:lineRule="auto"/>
              <w:jc w:val="both"/>
              <w:rPr>
                <w:rFonts w:ascii="Book Antiqua" w:hAnsi="Book Antiqua"/>
              </w:rPr>
            </w:pPr>
            <w:r w:rsidRPr="00C75910">
              <w:rPr>
                <w:rFonts w:ascii="Book Antiqua" w:hAnsi="Book Antiqua"/>
              </w:rPr>
              <w:t>&lt;</w:t>
            </w:r>
            <w:r w:rsidR="00910AF0">
              <w:rPr>
                <w:rFonts w:ascii="Book Antiqua" w:hAnsi="Book Antiqua" w:hint="eastAsia"/>
                <w:lang w:eastAsia="zh-CN"/>
              </w:rPr>
              <w:t xml:space="preserve"> </w:t>
            </w:r>
            <w:r w:rsidRPr="00C75910">
              <w:rPr>
                <w:rFonts w:ascii="Book Antiqua" w:hAnsi="Book Antiqua"/>
              </w:rPr>
              <w:t>0.001</w:t>
            </w:r>
          </w:p>
        </w:tc>
      </w:tr>
    </w:tbl>
    <w:p w:rsidR="001C3F78" w:rsidRPr="00C75910" w:rsidRDefault="00033B78" w:rsidP="00C75910">
      <w:pPr>
        <w:spacing w:line="360" w:lineRule="auto"/>
        <w:jc w:val="both"/>
        <w:rPr>
          <w:rFonts w:ascii="Book Antiqua" w:hAnsi="Book Antiqua"/>
        </w:rPr>
      </w:pPr>
      <w:r w:rsidRPr="00C75910">
        <w:rPr>
          <w:rFonts w:ascii="Book Antiqua" w:hAnsi="Book Antiqua"/>
        </w:rPr>
        <w:t>CAD</w:t>
      </w:r>
      <w:r w:rsidR="00C174AF" w:rsidRPr="00C75910">
        <w:rPr>
          <w:rFonts w:ascii="Book Antiqua" w:hAnsi="Book Antiqua"/>
        </w:rPr>
        <w:t>:</w:t>
      </w:r>
      <w:r w:rsidR="00910AF0">
        <w:rPr>
          <w:rFonts w:ascii="Book Antiqua" w:hAnsi="Book Antiqua" w:hint="eastAsia"/>
          <w:lang w:eastAsia="zh-CN"/>
        </w:rPr>
        <w:t xml:space="preserve"> </w:t>
      </w:r>
      <w:r w:rsidR="00910AF0" w:rsidRPr="00C75910">
        <w:rPr>
          <w:rFonts w:ascii="Book Antiqua" w:hAnsi="Book Antiqua"/>
        </w:rPr>
        <w:t>C</w:t>
      </w:r>
      <w:r w:rsidR="00C174AF" w:rsidRPr="00C75910">
        <w:rPr>
          <w:rFonts w:ascii="Book Antiqua" w:hAnsi="Book Antiqua"/>
        </w:rPr>
        <w:t xml:space="preserve">oronary artery disease; CHF: </w:t>
      </w:r>
      <w:r w:rsidR="00910AF0" w:rsidRPr="00C75910">
        <w:rPr>
          <w:rFonts w:ascii="Book Antiqua" w:hAnsi="Book Antiqua"/>
        </w:rPr>
        <w:t>C</w:t>
      </w:r>
      <w:r w:rsidR="00C174AF" w:rsidRPr="00C75910">
        <w:rPr>
          <w:rFonts w:ascii="Book Antiqua" w:hAnsi="Book Antiqua"/>
        </w:rPr>
        <w:t>ongestive heart failure; COPD:</w:t>
      </w:r>
      <w:r w:rsidR="00447715" w:rsidRPr="00C75910">
        <w:rPr>
          <w:rFonts w:ascii="Book Antiqua" w:hAnsi="Book Antiqua"/>
        </w:rPr>
        <w:t xml:space="preserve"> </w:t>
      </w:r>
      <w:r w:rsidR="00910AF0" w:rsidRPr="00C75910">
        <w:rPr>
          <w:rFonts w:ascii="Book Antiqua" w:hAnsi="Book Antiqua"/>
        </w:rPr>
        <w:t>C</w:t>
      </w:r>
      <w:r w:rsidR="00447715" w:rsidRPr="00C75910">
        <w:rPr>
          <w:rFonts w:ascii="Book Antiqua" w:hAnsi="Book Antiqua"/>
        </w:rPr>
        <w:t>hronic obs</w:t>
      </w:r>
      <w:r w:rsidR="00C174AF" w:rsidRPr="00C75910">
        <w:rPr>
          <w:rFonts w:ascii="Book Antiqua" w:hAnsi="Book Antiqua"/>
        </w:rPr>
        <w:t>tructive pulmonary disease; CVA:</w:t>
      </w:r>
      <w:r w:rsidR="00447715" w:rsidRPr="00C75910">
        <w:rPr>
          <w:rFonts w:ascii="Book Antiqua" w:hAnsi="Book Antiqua"/>
        </w:rPr>
        <w:t xml:space="preserve"> </w:t>
      </w:r>
      <w:r w:rsidR="00910AF0" w:rsidRPr="00C75910">
        <w:rPr>
          <w:rFonts w:ascii="Book Antiqua" w:hAnsi="Book Antiqua"/>
        </w:rPr>
        <w:t>C</w:t>
      </w:r>
      <w:r w:rsidR="00447715" w:rsidRPr="00C75910">
        <w:rPr>
          <w:rFonts w:ascii="Book Antiqua" w:hAnsi="Book Antiqua"/>
        </w:rPr>
        <w:t xml:space="preserve">erebrovascular accident; </w:t>
      </w:r>
      <w:r w:rsidR="00C174AF" w:rsidRPr="00C75910">
        <w:rPr>
          <w:rFonts w:ascii="Book Antiqua" w:hAnsi="Book Antiqua"/>
        </w:rPr>
        <w:t xml:space="preserve">ESRD: </w:t>
      </w:r>
      <w:r w:rsidR="00910AF0" w:rsidRPr="00C75910">
        <w:rPr>
          <w:rFonts w:ascii="Book Antiqua" w:hAnsi="Book Antiqua"/>
        </w:rPr>
        <w:t>E</w:t>
      </w:r>
      <w:r w:rsidR="00C174AF" w:rsidRPr="00C75910">
        <w:rPr>
          <w:rFonts w:ascii="Book Antiqua" w:hAnsi="Book Antiqua"/>
        </w:rPr>
        <w:t xml:space="preserve">nd-stage renal disease; HD: </w:t>
      </w:r>
      <w:r w:rsidR="00910AF0" w:rsidRPr="00C75910">
        <w:rPr>
          <w:rFonts w:ascii="Book Antiqua" w:hAnsi="Book Antiqua"/>
        </w:rPr>
        <w:t>H</w:t>
      </w:r>
      <w:r w:rsidR="00C174AF" w:rsidRPr="00C75910">
        <w:rPr>
          <w:rFonts w:ascii="Book Antiqua" w:hAnsi="Book Antiqua"/>
        </w:rPr>
        <w:t>emodialysis; KDQOL-CF:</w:t>
      </w:r>
      <w:r w:rsidR="00447715" w:rsidRPr="00C75910">
        <w:rPr>
          <w:rFonts w:ascii="Book Antiqua" w:hAnsi="Book Antiqua"/>
        </w:rPr>
        <w:t xml:space="preserve"> Kidney Disease Quality</w:t>
      </w:r>
      <w:r w:rsidR="00C174AF" w:rsidRPr="00C75910">
        <w:rPr>
          <w:rFonts w:ascii="Book Antiqua" w:hAnsi="Book Antiqua"/>
        </w:rPr>
        <w:t xml:space="preserve"> of Life-Cognitive Function; MI: </w:t>
      </w:r>
      <w:r w:rsidR="00910AF0" w:rsidRPr="00C75910">
        <w:rPr>
          <w:rFonts w:ascii="Book Antiqua" w:hAnsi="Book Antiqua"/>
        </w:rPr>
        <w:t>M</w:t>
      </w:r>
      <w:r w:rsidR="00C174AF" w:rsidRPr="00C75910">
        <w:rPr>
          <w:rFonts w:ascii="Book Antiqua" w:hAnsi="Book Antiqua"/>
        </w:rPr>
        <w:t>yocardial infarction; m/s:</w:t>
      </w:r>
      <w:r w:rsidR="00447715" w:rsidRPr="00C75910">
        <w:rPr>
          <w:rFonts w:ascii="Book Antiqua" w:hAnsi="Book Antiqua"/>
        </w:rPr>
        <w:t xml:space="preserve"> </w:t>
      </w:r>
      <w:r w:rsidR="00910AF0" w:rsidRPr="00C75910">
        <w:rPr>
          <w:rFonts w:ascii="Book Antiqua" w:hAnsi="Book Antiqua"/>
        </w:rPr>
        <w:t>M</w:t>
      </w:r>
      <w:r w:rsidR="00447715" w:rsidRPr="00C75910">
        <w:rPr>
          <w:rFonts w:ascii="Book Antiqua" w:hAnsi="Book Antiqua"/>
        </w:rPr>
        <w:t>eters pe</w:t>
      </w:r>
      <w:r w:rsidR="00C174AF" w:rsidRPr="00C75910">
        <w:rPr>
          <w:rFonts w:ascii="Book Antiqua" w:hAnsi="Book Antiqua"/>
        </w:rPr>
        <w:t xml:space="preserve">r second; </w:t>
      </w:r>
      <w:r w:rsidR="00910AF0" w:rsidRPr="00C75910">
        <w:rPr>
          <w:rFonts w:ascii="Book Antiqua" w:hAnsi="Book Antiqua"/>
        </w:rPr>
        <w:t>O</w:t>
      </w:r>
      <w:r w:rsidR="00C174AF" w:rsidRPr="00C75910">
        <w:rPr>
          <w:rFonts w:ascii="Book Antiqua" w:hAnsi="Book Antiqua"/>
        </w:rPr>
        <w:t>ther cardiac disease:</w:t>
      </w:r>
      <w:r w:rsidR="00447715" w:rsidRPr="00C75910">
        <w:rPr>
          <w:rFonts w:ascii="Book Antiqua" w:hAnsi="Book Antiqua"/>
        </w:rPr>
        <w:t xml:space="preserve"> </w:t>
      </w:r>
      <w:r w:rsidR="00910AF0" w:rsidRPr="00C75910">
        <w:rPr>
          <w:rFonts w:ascii="Book Antiqua" w:hAnsi="Book Antiqua"/>
        </w:rPr>
        <w:t>C</w:t>
      </w:r>
      <w:r w:rsidR="00447715" w:rsidRPr="00C75910">
        <w:rPr>
          <w:rFonts w:ascii="Book Antiqua" w:hAnsi="Book Antiqua"/>
        </w:rPr>
        <w:t>ardiac dysrhythmia, atrial fibrillation, tachycardia, pe</w:t>
      </w:r>
      <w:r w:rsidR="00C174AF" w:rsidRPr="00C75910">
        <w:rPr>
          <w:rFonts w:ascii="Book Antiqua" w:hAnsi="Book Antiqua"/>
        </w:rPr>
        <w:t>ricarditis, cardiac arrest; PVD:</w:t>
      </w:r>
      <w:r w:rsidR="00447715" w:rsidRPr="00C75910">
        <w:rPr>
          <w:rFonts w:ascii="Book Antiqua" w:hAnsi="Book Antiqua"/>
        </w:rPr>
        <w:t xml:space="preserve"> </w:t>
      </w:r>
      <w:r w:rsidR="00910AF0" w:rsidRPr="00C75910">
        <w:rPr>
          <w:rFonts w:ascii="Book Antiqua" w:hAnsi="Book Antiqua"/>
        </w:rPr>
        <w:t>P</w:t>
      </w:r>
      <w:r w:rsidR="00C174AF" w:rsidRPr="00C75910">
        <w:rPr>
          <w:rFonts w:ascii="Book Antiqua" w:hAnsi="Book Antiqua"/>
        </w:rPr>
        <w:t>eripheral vascular disease; TIA:</w:t>
      </w:r>
      <w:r w:rsidR="00447715" w:rsidRPr="00C75910">
        <w:rPr>
          <w:rFonts w:ascii="Book Antiqua" w:hAnsi="Book Antiqua"/>
        </w:rPr>
        <w:t xml:space="preserve"> </w:t>
      </w:r>
      <w:r w:rsidR="00910AF0" w:rsidRPr="00C75910">
        <w:rPr>
          <w:rFonts w:ascii="Book Antiqua" w:hAnsi="Book Antiqua"/>
        </w:rPr>
        <w:t>T</w:t>
      </w:r>
      <w:r w:rsidR="00447715" w:rsidRPr="00C75910">
        <w:rPr>
          <w:rFonts w:ascii="Book Antiqua" w:hAnsi="Book Antiqua"/>
        </w:rPr>
        <w:t>ransient ischemic attack.</w:t>
      </w:r>
    </w:p>
    <w:p w:rsidR="001C3F78" w:rsidRPr="00C75910" w:rsidRDefault="001C3F78" w:rsidP="00C75910">
      <w:pPr>
        <w:spacing w:line="360" w:lineRule="auto"/>
        <w:jc w:val="both"/>
        <w:rPr>
          <w:rFonts w:ascii="Book Antiqua" w:hAnsi="Book Antiqua"/>
        </w:rPr>
      </w:pPr>
      <w:r w:rsidRPr="00C75910">
        <w:rPr>
          <w:rFonts w:ascii="Book Antiqua" w:hAnsi="Book Antiqua"/>
        </w:rPr>
        <w:br w:type="page"/>
      </w:r>
    </w:p>
    <w:p w:rsidR="00D85461" w:rsidRPr="00DC6884" w:rsidRDefault="002F0C8A" w:rsidP="00C75910">
      <w:pPr>
        <w:spacing w:line="360" w:lineRule="auto"/>
        <w:jc w:val="both"/>
        <w:rPr>
          <w:rFonts w:ascii="Book Antiqua" w:hAnsi="Book Antiqua"/>
          <w:b/>
          <w:lang w:eastAsia="zh-CN"/>
        </w:rPr>
      </w:pPr>
      <w:r w:rsidRPr="00C75910">
        <w:rPr>
          <w:rFonts w:ascii="Book Antiqua" w:hAnsi="Book Antiqua"/>
          <w:b/>
        </w:rPr>
        <w:lastRenderedPageBreak/>
        <w:t>Table 3</w:t>
      </w:r>
      <w:r w:rsidR="00764E14">
        <w:rPr>
          <w:rFonts w:ascii="Book Antiqua" w:hAnsi="Book Antiqua"/>
          <w:b/>
        </w:rPr>
        <w:t xml:space="preserve"> </w:t>
      </w:r>
      <w:r w:rsidR="00D85461" w:rsidRPr="00C75910">
        <w:rPr>
          <w:rFonts w:ascii="Book Antiqua" w:hAnsi="Book Antiqua"/>
          <w:b/>
        </w:rPr>
        <w:t xml:space="preserve">Characteristics associated with hospitalization in past 12 </w:t>
      </w:r>
      <w:proofErr w:type="spellStart"/>
      <w:proofErr w:type="gramStart"/>
      <w:r w:rsidR="00D85461" w:rsidRPr="00C75910">
        <w:rPr>
          <w:rFonts w:ascii="Book Antiqua" w:hAnsi="Book Antiqua"/>
          <w:b/>
        </w:rPr>
        <w:t>mo</w:t>
      </w:r>
      <w:proofErr w:type="spellEnd"/>
      <w:proofErr w:type="gramEnd"/>
      <w:r w:rsidR="00910AF0">
        <w:rPr>
          <w:rFonts w:ascii="Book Antiqua" w:hAnsi="Book Antiqua" w:hint="eastAsia"/>
          <w:b/>
          <w:lang w:eastAsia="zh-CN"/>
        </w:rPr>
        <w:t xml:space="preserve"> </w:t>
      </w:r>
      <w:r w:rsidR="00D85461" w:rsidRPr="00C75910">
        <w:rPr>
          <w:rFonts w:ascii="Book Antiqua" w:hAnsi="Book Antiqua"/>
          <w:b/>
        </w:rPr>
        <w:t>from multivariable logistic regression analysis</w:t>
      </w:r>
    </w:p>
    <w:tbl>
      <w:tblPr>
        <w:tblStyle w:val="a4"/>
        <w:tblW w:w="0" w:type="auto"/>
        <w:tblLook w:val="01E0" w:firstRow="1" w:lastRow="1" w:firstColumn="1" w:lastColumn="1" w:noHBand="0" w:noVBand="0"/>
      </w:tblPr>
      <w:tblGrid>
        <w:gridCol w:w="3708"/>
        <w:gridCol w:w="3420"/>
        <w:gridCol w:w="1440"/>
      </w:tblGrid>
      <w:tr w:rsidR="00E449A7" w:rsidRPr="00C75910" w:rsidTr="00910AF0">
        <w:tc>
          <w:tcPr>
            <w:tcW w:w="3708" w:type="dxa"/>
            <w:tcBorders>
              <w:top w:val="single" w:sz="4" w:space="0" w:color="auto"/>
              <w:left w:val="nil"/>
              <w:bottom w:val="single" w:sz="4" w:space="0" w:color="auto"/>
              <w:right w:val="nil"/>
            </w:tcBorders>
          </w:tcPr>
          <w:p w:rsidR="00D85461" w:rsidRPr="00C75910" w:rsidRDefault="00D85461" w:rsidP="00C75910">
            <w:pPr>
              <w:spacing w:line="360" w:lineRule="auto"/>
              <w:jc w:val="both"/>
              <w:rPr>
                <w:rFonts w:ascii="Book Antiqua" w:hAnsi="Book Antiqua" w:cs="Arial"/>
              </w:rPr>
            </w:pPr>
          </w:p>
        </w:tc>
        <w:tc>
          <w:tcPr>
            <w:tcW w:w="3420" w:type="dxa"/>
            <w:tcBorders>
              <w:top w:val="single" w:sz="4" w:space="0" w:color="auto"/>
              <w:left w:val="nil"/>
              <w:bottom w:val="single" w:sz="4" w:space="0" w:color="auto"/>
              <w:right w:val="nil"/>
            </w:tcBorders>
          </w:tcPr>
          <w:p w:rsidR="00D85461" w:rsidRPr="00910AF0" w:rsidRDefault="00D85461" w:rsidP="00C75910">
            <w:pPr>
              <w:spacing w:line="360" w:lineRule="auto"/>
              <w:jc w:val="both"/>
              <w:rPr>
                <w:rFonts w:ascii="Book Antiqua" w:hAnsi="Book Antiqua" w:cs="Arial"/>
                <w:b/>
                <w:lang w:eastAsia="zh-CN"/>
              </w:rPr>
            </w:pPr>
            <w:r w:rsidRPr="00C75910">
              <w:rPr>
                <w:rFonts w:ascii="Book Antiqua" w:hAnsi="Book Antiqua" w:cs="Arial"/>
                <w:b/>
                <w:vertAlign w:val="superscript"/>
              </w:rPr>
              <w:t>1</w:t>
            </w:r>
            <w:r w:rsidRPr="00C75910">
              <w:rPr>
                <w:rFonts w:ascii="Book Antiqua" w:hAnsi="Book Antiqua" w:cs="Arial"/>
                <w:b/>
              </w:rPr>
              <w:t>Adjusted O</w:t>
            </w:r>
            <w:r w:rsidR="00910AF0">
              <w:rPr>
                <w:rFonts w:ascii="Book Antiqua" w:hAnsi="Book Antiqua" w:cs="Arial"/>
                <w:b/>
              </w:rPr>
              <w:t>dds Ratios (95%</w:t>
            </w:r>
            <w:r w:rsidRPr="00C75910">
              <w:rPr>
                <w:rFonts w:ascii="Book Antiqua" w:hAnsi="Book Antiqua" w:cs="Arial"/>
                <w:b/>
              </w:rPr>
              <w:t>CI)</w:t>
            </w:r>
            <w:r w:rsidR="00910AF0">
              <w:rPr>
                <w:rFonts w:ascii="Book Antiqua" w:hAnsi="Book Antiqua" w:cs="Arial" w:hint="eastAsia"/>
                <w:b/>
                <w:lang w:eastAsia="zh-CN"/>
              </w:rPr>
              <w:t xml:space="preserve"> </w:t>
            </w:r>
            <w:r w:rsidRPr="00C75910">
              <w:rPr>
                <w:rFonts w:ascii="Book Antiqua" w:hAnsi="Book Antiqua" w:cs="Arial"/>
                <w:b/>
              </w:rPr>
              <w:t>for Hospitalization</w:t>
            </w:r>
          </w:p>
        </w:tc>
        <w:tc>
          <w:tcPr>
            <w:tcW w:w="1440" w:type="dxa"/>
            <w:tcBorders>
              <w:top w:val="single" w:sz="4" w:space="0" w:color="auto"/>
              <w:left w:val="nil"/>
              <w:bottom w:val="single" w:sz="4" w:space="0" w:color="auto"/>
              <w:right w:val="nil"/>
            </w:tcBorders>
          </w:tcPr>
          <w:p w:rsidR="00D85461" w:rsidRPr="00C75910" w:rsidRDefault="00D85461" w:rsidP="00C75910">
            <w:pPr>
              <w:spacing w:line="360" w:lineRule="auto"/>
              <w:jc w:val="both"/>
              <w:rPr>
                <w:rFonts w:ascii="Book Antiqua" w:hAnsi="Book Antiqua" w:cs="Arial"/>
              </w:rPr>
            </w:pPr>
          </w:p>
          <w:p w:rsidR="00D85461" w:rsidRPr="00C75910" w:rsidRDefault="00D85461" w:rsidP="00C75910">
            <w:pPr>
              <w:spacing w:line="360" w:lineRule="auto"/>
              <w:jc w:val="both"/>
              <w:rPr>
                <w:rFonts w:ascii="Book Antiqua" w:hAnsi="Book Antiqua" w:cs="Arial"/>
                <w:b/>
              </w:rPr>
            </w:pPr>
            <w:r w:rsidRPr="00C75910">
              <w:rPr>
                <w:rFonts w:ascii="Book Antiqua" w:hAnsi="Book Antiqua" w:cs="Arial"/>
                <w:b/>
                <w:i/>
              </w:rPr>
              <w:t>P</w:t>
            </w:r>
            <w:r w:rsidRPr="00C75910">
              <w:rPr>
                <w:rFonts w:ascii="Book Antiqua" w:hAnsi="Book Antiqua" w:cs="Arial"/>
                <w:b/>
              </w:rPr>
              <w:t xml:space="preserve"> value</w:t>
            </w:r>
          </w:p>
        </w:tc>
      </w:tr>
      <w:tr w:rsidR="00E449A7" w:rsidRPr="00C75910" w:rsidTr="00910AF0">
        <w:tc>
          <w:tcPr>
            <w:tcW w:w="3708" w:type="dxa"/>
            <w:tcBorders>
              <w:top w:val="single" w:sz="4" w:space="0" w:color="auto"/>
              <w:left w:val="nil"/>
              <w:bottom w:val="nil"/>
              <w:right w:val="nil"/>
            </w:tcBorders>
          </w:tcPr>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Gait speed/fall history</w:t>
            </w:r>
          </w:p>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 xml:space="preserve"> </w:t>
            </w:r>
            <w:r w:rsidRPr="00C75910">
              <w:rPr>
                <w:rFonts w:ascii="Book Antiqua" w:hAnsi="Book Antiqua" w:cs="Arial"/>
                <w:vertAlign w:val="superscript"/>
              </w:rPr>
              <w:t>2</w:t>
            </w:r>
            <w:r w:rsidRPr="00C75910">
              <w:rPr>
                <w:rFonts w:ascii="Book Antiqua" w:hAnsi="Book Antiqua" w:cs="Arial"/>
              </w:rPr>
              <w:t>Faster walk/no fall history (reference)</w:t>
            </w:r>
          </w:p>
          <w:p w:rsidR="00D85461" w:rsidRPr="00C75910" w:rsidRDefault="00D85461" w:rsidP="00C75910">
            <w:pPr>
              <w:spacing w:line="360" w:lineRule="auto"/>
              <w:jc w:val="both"/>
              <w:rPr>
                <w:rFonts w:ascii="Book Antiqua" w:hAnsi="Book Antiqua" w:cs="Arial"/>
                <w:lang w:eastAsia="zh-CN"/>
              </w:rPr>
            </w:pPr>
          </w:p>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 xml:space="preserve"> </w:t>
            </w:r>
            <w:r w:rsidRPr="00C75910">
              <w:rPr>
                <w:rFonts w:ascii="Book Antiqua" w:hAnsi="Book Antiqua" w:cs="Arial"/>
                <w:vertAlign w:val="superscript"/>
              </w:rPr>
              <w:t>3</w:t>
            </w:r>
            <w:r w:rsidRPr="00C75910">
              <w:rPr>
                <w:rFonts w:ascii="Book Antiqua" w:hAnsi="Book Antiqua" w:cs="Arial"/>
              </w:rPr>
              <w:t>Slower walk/no fall history</w:t>
            </w:r>
          </w:p>
          <w:p w:rsidR="00D85461" w:rsidRPr="00C75910" w:rsidRDefault="00764E14" w:rsidP="00C75910">
            <w:pPr>
              <w:spacing w:line="360" w:lineRule="auto"/>
              <w:jc w:val="both"/>
              <w:rPr>
                <w:rFonts w:ascii="Book Antiqua" w:hAnsi="Book Antiqua" w:cs="Arial"/>
              </w:rPr>
            </w:pPr>
            <w:r>
              <w:rPr>
                <w:rFonts w:ascii="Book Antiqua" w:hAnsi="Book Antiqua" w:cs="Arial"/>
              </w:rPr>
              <w:t xml:space="preserve"> </w:t>
            </w:r>
            <w:r w:rsidR="00D85461" w:rsidRPr="00C75910">
              <w:rPr>
                <w:rFonts w:ascii="Book Antiqua" w:hAnsi="Book Antiqua" w:cs="Arial"/>
              </w:rPr>
              <w:t>Slower walk/fall history</w:t>
            </w:r>
          </w:p>
          <w:p w:rsidR="00D85461" w:rsidRPr="00C75910" w:rsidRDefault="00764E14" w:rsidP="00C75910">
            <w:pPr>
              <w:spacing w:line="360" w:lineRule="auto"/>
              <w:jc w:val="both"/>
              <w:rPr>
                <w:rFonts w:ascii="Book Antiqua" w:hAnsi="Book Antiqua" w:cs="Arial"/>
              </w:rPr>
            </w:pPr>
            <w:r>
              <w:rPr>
                <w:rFonts w:ascii="Book Antiqua" w:hAnsi="Book Antiqua" w:cs="Arial"/>
              </w:rPr>
              <w:t xml:space="preserve"> </w:t>
            </w:r>
            <w:r w:rsidR="00D85461" w:rsidRPr="00C75910">
              <w:rPr>
                <w:rFonts w:ascii="Book Antiqua" w:hAnsi="Book Antiqua" w:cs="Arial"/>
              </w:rPr>
              <w:t>Faster walk/fall history</w:t>
            </w:r>
          </w:p>
        </w:tc>
        <w:tc>
          <w:tcPr>
            <w:tcW w:w="3420" w:type="dxa"/>
            <w:tcBorders>
              <w:top w:val="single" w:sz="4" w:space="0" w:color="auto"/>
              <w:left w:val="nil"/>
              <w:bottom w:val="nil"/>
              <w:right w:val="nil"/>
            </w:tcBorders>
          </w:tcPr>
          <w:p w:rsidR="00D85461" w:rsidRPr="00C75910" w:rsidRDefault="00D85461" w:rsidP="00C75910">
            <w:pPr>
              <w:spacing w:line="360" w:lineRule="auto"/>
              <w:jc w:val="both"/>
              <w:rPr>
                <w:rFonts w:ascii="Book Antiqua" w:hAnsi="Book Antiqua" w:cs="Arial"/>
              </w:rPr>
            </w:pPr>
          </w:p>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1.00</w:t>
            </w:r>
          </w:p>
          <w:p w:rsidR="00D85461" w:rsidRDefault="00D85461" w:rsidP="00C75910">
            <w:pPr>
              <w:spacing w:line="360" w:lineRule="auto"/>
              <w:jc w:val="both"/>
              <w:rPr>
                <w:rFonts w:ascii="Book Antiqua" w:hAnsi="Book Antiqua" w:cs="Arial"/>
                <w:lang w:eastAsia="zh-CN"/>
              </w:rPr>
            </w:pPr>
          </w:p>
          <w:p w:rsidR="00910AF0" w:rsidRPr="00C75910" w:rsidRDefault="00910AF0" w:rsidP="00C75910">
            <w:pPr>
              <w:spacing w:line="360" w:lineRule="auto"/>
              <w:jc w:val="both"/>
              <w:rPr>
                <w:rFonts w:ascii="Book Antiqua" w:hAnsi="Book Antiqua" w:cs="Arial"/>
                <w:lang w:eastAsia="zh-CN"/>
              </w:rPr>
            </w:pPr>
          </w:p>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1.79 (1.11, 2.88)</w:t>
            </w:r>
          </w:p>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2.10 (1.19, 3.73)</w:t>
            </w:r>
          </w:p>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1.46 (0.90, 2.39)</w:t>
            </w:r>
          </w:p>
          <w:p w:rsidR="00D85461" w:rsidRPr="00C75910" w:rsidRDefault="00D85461" w:rsidP="00C75910">
            <w:pPr>
              <w:spacing w:line="360" w:lineRule="auto"/>
              <w:jc w:val="both"/>
              <w:rPr>
                <w:rFonts w:ascii="Book Antiqua" w:hAnsi="Book Antiqua" w:cs="Arial"/>
              </w:rPr>
            </w:pPr>
          </w:p>
          <w:p w:rsidR="00D85461" w:rsidRPr="00C75910" w:rsidRDefault="00D85461" w:rsidP="00C75910">
            <w:pPr>
              <w:spacing w:line="360" w:lineRule="auto"/>
              <w:jc w:val="both"/>
              <w:rPr>
                <w:rFonts w:ascii="Book Antiqua" w:hAnsi="Book Antiqua" w:cs="Arial"/>
              </w:rPr>
            </w:pPr>
          </w:p>
        </w:tc>
        <w:tc>
          <w:tcPr>
            <w:tcW w:w="1440" w:type="dxa"/>
            <w:tcBorders>
              <w:top w:val="single" w:sz="4" w:space="0" w:color="auto"/>
              <w:left w:val="nil"/>
              <w:bottom w:val="nil"/>
              <w:right w:val="nil"/>
            </w:tcBorders>
          </w:tcPr>
          <w:p w:rsidR="00D85461" w:rsidRPr="00C75910" w:rsidRDefault="00764E14" w:rsidP="00C75910">
            <w:pPr>
              <w:spacing w:line="360" w:lineRule="auto"/>
              <w:jc w:val="both"/>
              <w:rPr>
                <w:rFonts w:ascii="Book Antiqua" w:hAnsi="Book Antiqua" w:cs="Arial"/>
              </w:rPr>
            </w:pPr>
            <w:r>
              <w:rPr>
                <w:rFonts w:ascii="Book Antiqua" w:hAnsi="Book Antiqua" w:cs="Arial"/>
              </w:rPr>
              <w:t xml:space="preserve"> </w:t>
            </w:r>
          </w:p>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 xml:space="preserve"> </w:t>
            </w:r>
          </w:p>
          <w:p w:rsidR="00D85461" w:rsidRDefault="00D85461" w:rsidP="00C75910">
            <w:pPr>
              <w:spacing w:line="360" w:lineRule="auto"/>
              <w:jc w:val="both"/>
              <w:rPr>
                <w:rFonts w:ascii="Book Antiqua" w:hAnsi="Book Antiqua" w:cs="Arial"/>
                <w:lang w:eastAsia="zh-CN"/>
              </w:rPr>
            </w:pPr>
          </w:p>
          <w:p w:rsidR="00910AF0" w:rsidRPr="00C75910" w:rsidRDefault="00910AF0" w:rsidP="00C75910">
            <w:pPr>
              <w:spacing w:line="360" w:lineRule="auto"/>
              <w:jc w:val="both"/>
              <w:rPr>
                <w:rFonts w:ascii="Book Antiqua" w:hAnsi="Book Antiqua" w:cs="Arial"/>
                <w:lang w:eastAsia="zh-CN"/>
              </w:rPr>
            </w:pPr>
          </w:p>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0.02</w:t>
            </w:r>
          </w:p>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0.01</w:t>
            </w:r>
          </w:p>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0.13</w:t>
            </w:r>
          </w:p>
        </w:tc>
      </w:tr>
      <w:tr w:rsidR="00E449A7" w:rsidRPr="00C75910" w:rsidTr="00910AF0">
        <w:tc>
          <w:tcPr>
            <w:tcW w:w="3708" w:type="dxa"/>
            <w:tcBorders>
              <w:top w:val="nil"/>
              <w:left w:val="nil"/>
              <w:bottom w:val="nil"/>
              <w:right w:val="nil"/>
            </w:tcBorders>
          </w:tcPr>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Female</w:t>
            </w:r>
          </w:p>
        </w:tc>
        <w:tc>
          <w:tcPr>
            <w:tcW w:w="3420" w:type="dxa"/>
            <w:tcBorders>
              <w:top w:val="nil"/>
              <w:left w:val="nil"/>
              <w:bottom w:val="nil"/>
              <w:right w:val="nil"/>
            </w:tcBorders>
          </w:tcPr>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0.55 (0.39, 0.78)</w:t>
            </w:r>
          </w:p>
        </w:tc>
        <w:tc>
          <w:tcPr>
            <w:tcW w:w="1440" w:type="dxa"/>
            <w:tcBorders>
              <w:top w:val="nil"/>
              <w:left w:val="nil"/>
              <w:bottom w:val="nil"/>
              <w:right w:val="nil"/>
            </w:tcBorders>
          </w:tcPr>
          <w:p w:rsidR="00D85461" w:rsidRPr="00C75910" w:rsidRDefault="0071095C" w:rsidP="00C75910">
            <w:pPr>
              <w:spacing w:line="360" w:lineRule="auto"/>
              <w:jc w:val="both"/>
              <w:rPr>
                <w:rFonts w:ascii="Book Antiqua" w:hAnsi="Book Antiqua" w:cs="Arial"/>
              </w:rPr>
            </w:pPr>
            <w:r w:rsidRPr="00C75910">
              <w:rPr>
                <w:rFonts w:ascii="Book Antiqua" w:hAnsi="Book Antiqua" w:cs="Arial"/>
              </w:rPr>
              <w:t>&lt;</w:t>
            </w:r>
            <w:r w:rsidR="00910AF0">
              <w:rPr>
                <w:rFonts w:ascii="Book Antiqua" w:hAnsi="Book Antiqua" w:cs="Arial" w:hint="eastAsia"/>
                <w:lang w:eastAsia="zh-CN"/>
              </w:rPr>
              <w:t xml:space="preserve"> </w:t>
            </w:r>
            <w:r w:rsidR="00D85461" w:rsidRPr="00C75910">
              <w:rPr>
                <w:rFonts w:ascii="Book Antiqua" w:hAnsi="Book Antiqua" w:cs="Arial"/>
              </w:rPr>
              <w:t>0.00</w:t>
            </w:r>
            <w:r w:rsidRPr="00C75910">
              <w:rPr>
                <w:rFonts w:ascii="Book Antiqua" w:hAnsi="Book Antiqua" w:cs="Arial"/>
              </w:rPr>
              <w:t>1</w:t>
            </w:r>
          </w:p>
        </w:tc>
      </w:tr>
      <w:tr w:rsidR="00E449A7" w:rsidRPr="00C75910" w:rsidTr="00910AF0">
        <w:tc>
          <w:tcPr>
            <w:tcW w:w="3708" w:type="dxa"/>
            <w:tcBorders>
              <w:top w:val="nil"/>
              <w:left w:val="nil"/>
              <w:bottom w:val="nil"/>
              <w:right w:val="nil"/>
            </w:tcBorders>
          </w:tcPr>
          <w:p w:rsidR="00D85461" w:rsidRPr="00C75910" w:rsidRDefault="00D85461" w:rsidP="00C75910">
            <w:pPr>
              <w:spacing w:line="360" w:lineRule="auto"/>
              <w:jc w:val="both"/>
              <w:rPr>
                <w:rFonts w:ascii="Book Antiqua" w:hAnsi="Book Antiqua" w:cs="Arial"/>
              </w:rPr>
            </w:pPr>
          </w:p>
        </w:tc>
        <w:tc>
          <w:tcPr>
            <w:tcW w:w="3420" w:type="dxa"/>
            <w:tcBorders>
              <w:top w:val="nil"/>
              <w:left w:val="nil"/>
              <w:bottom w:val="nil"/>
              <w:right w:val="nil"/>
            </w:tcBorders>
          </w:tcPr>
          <w:p w:rsidR="00D85461" w:rsidRPr="00C75910" w:rsidRDefault="00D85461" w:rsidP="00C75910">
            <w:pPr>
              <w:spacing w:line="360" w:lineRule="auto"/>
              <w:jc w:val="both"/>
              <w:rPr>
                <w:rFonts w:ascii="Book Antiqua" w:hAnsi="Book Antiqua" w:cs="Arial"/>
              </w:rPr>
            </w:pPr>
          </w:p>
        </w:tc>
        <w:tc>
          <w:tcPr>
            <w:tcW w:w="1440" w:type="dxa"/>
            <w:tcBorders>
              <w:top w:val="nil"/>
              <w:left w:val="nil"/>
              <w:bottom w:val="nil"/>
              <w:right w:val="nil"/>
            </w:tcBorders>
          </w:tcPr>
          <w:p w:rsidR="00D85461" w:rsidRPr="00C75910" w:rsidRDefault="00D85461" w:rsidP="00C75910">
            <w:pPr>
              <w:spacing w:line="360" w:lineRule="auto"/>
              <w:jc w:val="both"/>
              <w:rPr>
                <w:rFonts w:ascii="Book Antiqua" w:hAnsi="Book Antiqua" w:cs="Arial"/>
              </w:rPr>
            </w:pPr>
          </w:p>
        </w:tc>
      </w:tr>
      <w:tr w:rsidR="00E449A7" w:rsidRPr="00C75910" w:rsidTr="00910AF0">
        <w:tc>
          <w:tcPr>
            <w:tcW w:w="3708" w:type="dxa"/>
            <w:tcBorders>
              <w:top w:val="nil"/>
              <w:left w:val="nil"/>
              <w:bottom w:val="nil"/>
              <w:right w:val="nil"/>
            </w:tcBorders>
          </w:tcPr>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Age, y</w:t>
            </w:r>
          </w:p>
        </w:tc>
        <w:tc>
          <w:tcPr>
            <w:tcW w:w="3420" w:type="dxa"/>
            <w:tcBorders>
              <w:top w:val="nil"/>
              <w:left w:val="nil"/>
              <w:bottom w:val="nil"/>
              <w:right w:val="nil"/>
            </w:tcBorders>
          </w:tcPr>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0.98 (0.97, 1.00)</w:t>
            </w:r>
          </w:p>
        </w:tc>
        <w:tc>
          <w:tcPr>
            <w:tcW w:w="1440" w:type="dxa"/>
            <w:tcBorders>
              <w:top w:val="nil"/>
              <w:left w:val="nil"/>
              <w:bottom w:val="nil"/>
              <w:right w:val="nil"/>
            </w:tcBorders>
          </w:tcPr>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0.0</w:t>
            </w:r>
            <w:r w:rsidR="003360AE" w:rsidRPr="00C75910">
              <w:rPr>
                <w:rFonts w:ascii="Book Antiqua" w:hAnsi="Book Antiqua" w:cs="Arial"/>
              </w:rPr>
              <w:t>1</w:t>
            </w:r>
          </w:p>
        </w:tc>
      </w:tr>
      <w:tr w:rsidR="00E449A7" w:rsidRPr="00C75910" w:rsidTr="00910AF0">
        <w:tc>
          <w:tcPr>
            <w:tcW w:w="3708" w:type="dxa"/>
            <w:tcBorders>
              <w:top w:val="nil"/>
              <w:left w:val="nil"/>
              <w:bottom w:val="nil"/>
              <w:right w:val="nil"/>
            </w:tcBorders>
          </w:tcPr>
          <w:p w:rsidR="00D85461" w:rsidRPr="00C75910" w:rsidRDefault="00D85461" w:rsidP="00C75910">
            <w:pPr>
              <w:spacing w:line="360" w:lineRule="auto"/>
              <w:jc w:val="both"/>
              <w:rPr>
                <w:rFonts w:ascii="Book Antiqua" w:hAnsi="Book Antiqua" w:cs="Arial"/>
              </w:rPr>
            </w:pPr>
          </w:p>
        </w:tc>
        <w:tc>
          <w:tcPr>
            <w:tcW w:w="3420" w:type="dxa"/>
            <w:tcBorders>
              <w:top w:val="nil"/>
              <w:left w:val="nil"/>
              <w:bottom w:val="nil"/>
              <w:right w:val="nil"/>
            </w:tcBorders>
          </w:tcPr>
          <w:p w:rsidR="00D85461" w:rsidRPr="00C75910" w:rsidRDefault="00D85461" w:rsidP="00C75910">
            <w:pPr>
              <w:spacing w:line="360" w:lineRule="auto"/>
              <w:jc w:val="both"/>
              <w:rPr>
                <w:rFonts w:ascii="Book Antiqua" w:hAnsi="Book Antiqua" w:cs="Arial"/>
              </w:rPr>
            </w:pPr>
          </w:p>
        </w:tc>
        <w:tc>
          <w:tcPr>
            <w:tcW w:w="1440" w:type="dxa"/>
            <w:tcBorders>
              <w:top w:val="nil"/>
              <w:left w:val="nil"/>
              <w:bottom w:val="nil"/>
              <w:right w:val="nil"/>
            </w:tcBorders>
          </w:tcPr>
          <w:p w:rsidR="00D85461" w:rsidRPr="00C75910" w:rsidRDefault="00D85461" w:rsidP="00C75910">
            <w:pPr>
              <w:spacing w:line="360" w:lineRule="auto"/>
              <w:jc w:val="both"/>
              <w:rPr>
                <w:rFonts w:ascii="Book Antiqua" w:hAnsi="Book Antiqua" w:cs="Arial"/>
              </w:rPr>
            </w:pPr>
          </w:p>
        </w:tc>
      </w:tr>
      <w:tr w:rsidR="00E449A7" w:rsidRPr="00C75910" w:rsidTr="00910AF0">
        <w:tc>
          <w:tcPr>
            <w:tcW w:w="3708" w:type="dxa"/>
            <w:tcBorders>
              <w:top w:val="nil"/>
              <w:left w:val="nil"/>
              <w:bottom w:val="single" w:sz="4" w:space="0" w:color="auto"/>
              <w:right w:val="nil"/>
            </w:tcBorders>
          </w:tcPr>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ESRD vintage, y</w:t>
            </w:r>
          </w:p>
          <w:p w:rsidR="00D85461" w:rsidRPr="00C75910" w:rsidRDefault="00D85461" w:rsidP="00C75910">
            <w:pPr>
              <w:spacing w:line="360" w:lineRule="auto"/>
              <w:jc w:val="both"/>
              <w:rPr>
                <w:rFonts w:ascii="Book Antiqua" w:hAnsi="Book Antiqua" w:cs="Arial"/>
              </w:rPr>
            </w:pPr>
          </w:p>
        </w:tc>
        <w:tc>
          <w:tcPr>
            <w:tcW w:w="3420" w:type="dxa"/>
            <w:tcBorders>
              <w:top w:val="nil"/>
              <w:left w:val="nil"/>
              <w:bottom w:val="single" w:sz="4" w:space="0" w:color="auto"/>
              <w:right w:val="nil"/>
            </w:tcBorders>
          </w:tcPr>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0.95 (0.92, 0.98)</w:t>
            </w:r>
          </w:p>
          <w:p w:rsidR="00D85461" w:rsidRPr="00C75910" w:rsidRDefault="00D85461" w:rsidP="00C75910">
            <w:pPr>
              <w:spacing w:line="360" w:lineRule="auto"/>
              <w:jc w:val="both"/>
              <w:rPr>
                <w:rFonts w:ascii="Book Antiqua" w:hAnsi="Book Antiqua" w:cs="Arial"/>
              </w:rPr>
            </w:pPr>
          </w:p>
        </w:tc>
        <w:tc>
          <w:tcPr>
            <w:tcW w:w="1440" w:type="dxa"/>
            <w:tcBorders>
              <w:top w:val="nil"/>
              <w:left w:val="nil"/>
              <w:bottom w:val="single" w:sz="4" w:space="0" w:color="auto"/>
              <w:right w:val="nil"/>
            </w:tcBorders>
          </w:tcPr>
          <w:p w:rsidR="00D85461" w:rsidRPr="00C75910" w:rsidRDefault="00D85461" w:rsidP="00C75910">
            <w:pPr>
              <w:spacing w:line="360" w:lineRule="auto"/>
              <w:jc w:val="both"/>
              <w:rPr>
                <w:rFonts w:ascii="Book Antiqua" w:hAnsi="Book Antiqua" w:cs="Arial"/>
              </w:rPr>
            </w:pPr>
            <w:r w:rsidRPr="00C75910">
              <w:rPr>
                <w:rFonts w:ascii="Book Antiqua" w:hAnsi="Book Antiqua" w:cs="Arial"/>
              </w:rPr>
              <w:t>0.003</w:t>
            </w:r>
          </w:p>
          <w:p w:rsidR="00D85461" w:rsidRPr="00C75910" w:rsidRDefault="00D85461" w:rsidP="00C75910">
            <w:pPr>
              <w:spacing w:line="360" w:lineRule="auto"/>
              <w:jc w:val="both"/>
              <w:rPr>
                <w:rFonts w:ascii="Book Antiqua" w:hAnsi="Book Antiqua" w:cs="Arial"/>
              </w:rPr>
            </w:pPr>
          </w:p>
          <w:p w:rsidR="00D85461" w:rsidRPr="00C75910" w:rsidRDefault="00D85461" w:rsidP="00C75910">
            <w:pPr>
              <w:spacing w:line="360" w:lineRule="auto"/>
              <w:jc w:val="both"/>
              <w:rPr>
                <w:rFonts w:ascii="Book Antiqua" w:hAnsi="Book Antiqua" w:cs="Arial"/>
              </w:rPr>
            </w:pPr>
          </w:p>
        </w:tc>
      </w:tr>
      <w:tr w:rsidR="00D85461" w:rsidRPr="00C75910" w:rsidTr="00910AF0">
        <w:trPr>
          <w:trHeight w:val="466"/>
        </w:trPr>
        <w:tc>
          <w:tcPr>
            <w:tcW w:w="8568" w:type="dxa"/>
            <w:gridSpan w:val="3"/>
            <w:tcBorders>
              <w:top w:val="single" w:sz="4" w:space="0" w:color="auto"/>
              <w:left w:val="nil"/>
              <w:bottom w:val="nil"/>
              <w:right w:val="nil"/>
            </w:tcBorders>
          </w:tcPr>
          <w:p w:rsidR="00D85461" w:rsidRPr="00C75910" w:rsidRDefault="00D85461" w:rsidP="00C75910">
            <w:pPr>
              <w:spacing w:line="360" w:lineRule="auto"/>
              <w:jc w:val="both"/>
              <w:rPr>
                <w:rFonts w:ascii="Book Antiqua" w:hAnsi="Book Antiqua" w:cs="Arial"/>
                <w:lang w:eastAsia="zh-CN"/>
              </w:rPr>
            </w:pPr>
            <w:r w:rsidRPr="00C75910">
              <w:rPr>
                <w:rFonts w:ascii="Book Antiqua" w:hAnsi="Book Antiqua" w:cs="Arial"/>
                <w:vertAlign w:val="superscript"/>
              </w:rPr>
              <w:t>1</w:t>
            </w:r>
            <w:r w:rsidRPr="00C75910">
              <w:rPr>
                <w:rFonts w:ascii="Book Antiqua" w:hAnsi="Book Antiqua" w:cs="Arial"/>
              </w:rPr>
              <w:t xml:space="preserve">Adjusted also for race, diabetes, CHF, CAD, CVA, PVD, other cardiac diseases, COPD, cancer, hemoglobin level, KDQOL-CF score, assistive device use (variables not significantly associated in this logistic regression model with hospitalized/not hospitalized in past 12 </w:t>
            </w:r>
            <w:proofErr w:type="spellStart"/>
            <w:r w:rsidRPr="00C75910">
              <w:rPr>
                <w:rFonts w:ascii="Book Antiqua" w:hAnsi="Book Antiqua" w:cs="Arial"/>
              </w:rPr>
              <w:t>mo</w:t>
            </w:r>
            <w:proofErr w:type="spellEnd"/>
            <w:r w:rsidRPr="00C75910">
              <w:rPr>
                <w:rFonts w:ascii="Book Antiqua" w:hAnsi="Book Antiqua" w:cs="Arial"/>
              </w:rPr>
              <w:t>)</w:t>
            </w:r>
            <w:r w:rsidR="00910AF0">
              <w:rPr>
                <w:rFonts w:ascii="Book Antiqua" w:hAnsi="Book Antiqua" w:cs="Arial" w:hint="eastAsia"/>
                <w:lang w:eastAsia="zh-CN"/>
              </w:rPr>
              <w:t>;</w:t>
            </w:r>
            <w:r w:rsidRPr="00C75910">
              <w:rPr>
                <w:rFonts w:ascii="Book Antiqua" w:hAnsi="Book Antiqua" w:cs="Arial"/>
              </w:rPr>
              <w:t xml:space="preserve"> </w:t>
            </w:r>
            <w:r w:rsidRPr="00C75910">
              <w:rPr>
                <w:rFonts w:ascii="Book Antiqua" w:hAnsi="Book Antiqua" w:cs="Arial"/>
                <w:vertAlign w:val="superscript"/>
              </w:rPr>
              <w:t>2</w:t>
            </w:r>
            <w:r w:rsidRPr="00C75910">
              <w:rPr>
                <w:rFonts w:ascii="Book Antiqua" w:hAnsi="Book Antiqua" w:cs="Arial"/>
              </w:rPr>
              <w:t>Faster walk = gai</w:t>
            </w:r>
            <w:r w:rsidRPr="00910AF0">
              <w:rPr>
                <w:rFonts w:ascii="Book Antiqua" w:hAnsi="Book Antiqua" w:cs="Arial"/>
              </w:rPr>
              <w:t xml:space="preserve">t speed </w:t>
            </w:r>
            <w:r w:rsidR="00910AF0" w:rsidRPr="00910AF0">
              <w:rPr>
                <w:rFonts w:ascii="Book Antiqua" w:eastAsia="宋体" w:hAnsi="Book Antiqua" w:cs="Arial"/>
              </w:rPr>
              <w:t>≥</w:t>
            </w:r>
            <w:r w:rsidR="00910AF0" w:rsidRPr="00910AF0">
              <w:rPr>
                <w:rFonts w:ascii="Book Antiqua" w:hAnsi="Book Antiqua" w:cs="Arial"/>
                <w:lang w:eastAsia="zh-CN"/>
              </w:rPr>
              <w:t xml:space="preserve"> 0</w:t>
            </w:r>
            <w:r w:rsidRPr="00910AF0">
              <w:rPr>
                <w:rFonts w:ascii="Book Antiqua" w:hAnsi="Book Antiqua" w:cs="Arial"/>
              </w:rPr>
              <w:t>.8</w:t>
            </w:r>
            <w:r w:rsidR="0083138C" w:rsidRPr="00C75910">
              <w:rPr>
                <w:rFonts w:ascii="Book Antiqua" w:hAnsi="Book Antiqua" w:cs="Arial"/>
              </w:rPr>
              <w:t xml:space="preserve"> </w:t>
            </w:r>
            <w:r w:rsidRPr="00C75910">
              <w:rPr>
                <w:rFonts w:ascii="Book Antiqua" w:hAnsi="Book Antiqua" w:cs="Arial"/>
              </w:rPr>
              <w:t>m/s</w:t>
            </w:r>
            <w:r w:rsidR="00910AF0">
              <w:rPr>
                <w:rFonts w:ascii="Book Antiqua" w:hAnsi="Book Antiqua" w:cs="Arial" w:hint="eastAsia"/>
                <w:lang w:eastAsia="zh-CN"/>
              </w:rPr>
              <w:t xml:space="preserve">; </w:t>
            </w:r>
            <w:r w:rsidRPr="00C75910">
              <w:rPr>
                <w:rFonts w:ascii="Book Antiqua" w:hAnsi="Book Antiqua" w:cs="Arial"/>
                <w:vertAlign w:val="superscript"/>
              </w:rPr>
              <w:t>3</w:t>
            </w:r>
            <w:r w:rsidRPr="00C75910">
              <w:rPr>
                <w:rFonts w:ascii="Book Antiqua" w:hAnsi="Book Antiqua" w:cs="Arial"/>
              </w:rPr>
              <w:t>Slower walk = gait speed &lt;</w:t>
            </w:r>
            <w:r w:rsidR="00910AF0">
              <w:rPr>
                <w:rFonts w:ascii="Book Antiqua" w:hAnsi="Book Antiqua" w:cs="Arial" w:hint="eastAsia"/>
                <w:lang w:eastAsia="zh-CN"/>
              </w:rPr>
              <w:t xml:space="preserve"> </w:t>
            </w:r>
            <w:r w:rsidRPr="00C75910">
              <w:rPr>
                <w:rFonts w:ascii="Book Antiqua" w:hAnsi="Book Antiqua" w:cs="Arial"/>
              </w:rPr>
              <w:t>0.8</w:t>
            </w:r>
            <w:r w:rsidR="0083138C" w:rsidRPr="00C75910">
              <w:rPr>
                <w:rFonts w:ascii="Book Antiqua" w:hAnsi="Book Antiqua" w:cs="Arial"/>
              </w:rPr>
              <w:t xml:space="preserve"> </w:t>
            </w:r>
            <w:r w:rsidRPr="00C75910">
              <w:rPr>
                <w:rFonts w:ascii="Book Antiqua" w:hAnsi="Book Antiqua" w:cs="Arial"/>
              </w:rPr>
              <w:t>m/s.</w:t>
            </w:r>
            <w:r w:rsidR="00910AF0">
              <w:rPr>
                <w:rFonts w:ascii="Book Antiqua" w:hAnsi="Book Antiqua" w:cs="Arial" w:hint="eastAsia"/>
                <w:lang w:eastAsia="zh-CN"/>
              </w:rPr>
              <w:t xml:space="preserve"> </w:t>
            </w:r>
            <w:r w:rsidR="006D116B" w:rsidRPr="00C75910">
              <w:rPr>
                <w:rFonts w:ascii="Book Antiqua" w:hAnsi="Book Antiqua" w:cs="Arial"/>
              </w:rPr>
              <w:t xml:space="preserve">CAD: </w:t>
            </w:r>
            <w:r w:rsidR="00910AF0" w:rsidRPr="00C75910">
              <w:rPr>
                <w:rFonts w:ascii="Book Antiqua" w:hAnsi="Book Antiqua" w:cs="Arial"/>
              </w:rPr>
              <w:t>C</w:t>
            </w:r>
            <w:r w:rsidR="006D116B" w:rsidRPr="00C75910">
              <w:rPr>
                <w:rFonts w:ascii="Book Antiqua" w:hAnsi="Book Antiqua" w:cs="Arial"/>
              </w:rPr>
              <w:t xml:space="preserve">oronary artery disease; CHF: </w:t>
            </w:r>
            <w:r w:rsidR="00F32940" w:rsidRPr="00C75910">
              <w:rPr>
                <w:rFonts w:ascii="Book Antiqua" w:hAnsi="Book Antiqua" w:cs="Arial"/>
              </w:rPr>
              <w:t>C</w:t>
            </w:r>
            <w:r w:rsidR="006D116B" w:rsidRPr="00C75910">
              <w:rPr>
                <w:rFonts w:ascii="Book Antiqua" w:hAnsi="Book Antiqua" w:cs="Arial"/>
              </w:rPr>
              <w:t xml:space="preserve">ongestive heart failure; CI: </w:t>
            </w:r>
            <w:r w:rsidR="00F32940" w:rsidRPr="00C75910">
              <w:rPr>
                <w:rFonts w:ascii="Book Antiqua" w:hAnsi="Book Antiqua" w:cs="Arial"/>
              </w:rPr>
              <w:t>C</w:t>
            </w:r>
            <w:r w:rsidR="006D116B" w:rsidRPr="00C75910">
              <w:rPr>
                <w:rFonts w:ascii="Book Antiqua" w:hAnsi="Book Antiqua" w:cs="Arial"/>
              </w:rPr>
              <w:t>onfidence interval; COPD:</w:t>
            </w:r>
            <w:r w:rsidRPr="00C75910">
              <w:rPr>
                <w:rFonts w:ascii="Book Antiqua" w:hAnsi="Book Antiqua" w:cs="Arial"/>
              </w:rPr>
              <w:t xml:space="preserve"> </w:t>
            </w:r>
            <w:r w:rsidR="00275BD0" w:rsidRPr="00C75910">
              <w:rPr>
                <w:rFonts w:ascii="Book Antiqua" w:hAnsi="Book Antiqua" w:cs="Arial"/>
              </w:rPr>
              <w:t>C</w:t>
            </w:r>
            <w:r w:rsidRPr="00C75910">
              <w:rPr>
                <w:rFonts w:ascii="Book Antiqua" w:hAnsi="Book Antiqua" w:cs="Arial"/>
              </w:rPr>
              <w:t>hronic obst</w:t>
            </w:r>
            <w:r w:rsidR="006D116B" w:rsidRPr="00C75910">
              <w:rPr>
                <w:rFonts w:ascii="Book Antiqua" w:hAnsi="Book Antiqua" w:cs="Arial"/>
              </w:rPr>
              <w:t>ructive pulmonary</w:t>
            </w:r>
            <w:r w:rsidR="00764E14">
              <w:rPr>
                <w:rFonts w:ascii="Book Antiqua" w:hAnsi="Book Antiqua" w:cs="Arial"/>
              </w:rPr>
              <w:t xml:space="preserve"> </w:t>
            </w:r>
            <w:r w:rsidR="006D116B" w:rsidRPr="00C75910">
              <w:rPr>
                <w:rFonts w:ascii="Book Antiqua" w:hAnsi="Book Antiqua" w:cs="Arial"/>
              </w:rPr>
              <w:t>disease; CVA:</w:t>
            </w:r>
            <w:r w:rsidRPr="00C75910">
              <w:rPr>
                <w:rFonts w:ascii="Book Antiqua" w:hAnsi="Book Antiqua" w:cs="Arial"/>
              </w:rPr>
              <w:t xml:space="preserve"> </w:t>
            </w:r>
            <w:r w:rsidR="00275BD0" w:rsidRPr="00C75910">
              <w:rPr>
                <w:rFonts w:ascii="Book Antiqua" w:hAnsi="Book Antiqua" w:cs="Arial"/>
              </w:rPr>
              <w:t>C</w:t>
            </w:r>
            <w:r w:rsidRPr="00C75910">
              <w:rPr>
                <w:rFonts w:ascii="Book Antiqua" w:hAnsi="Book Antiqua" w:cs="Arial"/>
              </w:rPr>
              <w:t>ardiovascular accident; ESR</w:t>
            </w:r>
            <w:r w:rsidR="006D116B" w:rsidRPr="00C75910">
              <w:rPr>
                <w:rFonts w:ascii="Book Antiqua" w:hAnsi="Book Antiqua" w:cs="Arial"/>
              </w:rPr>
              <w:t>D:</w:t>
            </w:r>
            <w:r w:rsidRPr="00C75910">
              <w:rPr>
                <w:rFonts w:ascii="Book Antiqua" w:hAnsi="Book Antiqua" w:cs="Arial"/>
              </w:rPr>
              <w:t xml:space="preserve"> </w:t>
            </w:r>
            <w:r w:rsidR="00275BD0" w:rsidRPr="00C75910">
              <w:rPr>
                <w:rFonts w:ascii="Book Antiqua" w:hAnsi="Book Antiqua" w:cs="Arial"/>
              </w:rPr>
              <w:t>E</w:t>
            </w:r>
            <w:r w:rsidRPr="00C75910">
              <w:rPr>
                <w:rFonts w:ascii="Book Antiqua" w:hAnsi="Book Antiqua" w:cs="Arial"/>
              </w:rPr>
              <w:t>n</w:t>
            </w:r>
            <w:r w:rsidR="006D116B" w:rsidRPr="00C75910">
              <w:rPr>
                <w:rFonts w:ascii="Book Antiqua" w:hAnsi="Book Antiqua" w:cs="Arial"/>
              </w:rPr>
              <w:t>d-stage renal disease; KDQOL-CF:</w:t>
            </w:r>
            <w:r w:rsidRPr="00C75910">
              <w:rPr>
                <w:rFonts w:ascii="Book Antiqua" w:hAnsi="Book Antiqua" w:cs="Arial"/>
              </w:rPr>
              <w:t xml:space="preserve"> Kidney Disease Quali</w:t>
            </w:r>
            <w:r w:rsidR="006D116B" w:rsidRPr="00C75910">
              <w:rPr>
                <w:rFonts w:ascii="Book Antiqua" w:hAnsi="Book Antiqua" w:cs="Arial"/>
              </w:rPr>
              <w:t xml:space="preserve">ty of Life-Cognitive </w:t>
            </w:r>
            <w:r w:rsidR="006D116B" w:rsidRPr="00C75910">
              <w:rPr>
                <w:rFonts w:ascii="Book Antiqua" w:hAnsi="Book Antiqua" w:cs="Arial"/>
              </w:rPr>
              <w:lastRenderedPageBreak/>
              <w:t xml:space="preserve">Function; </w:t>
            </w:r>
            <w:r w:rsidR="00275BD0" w:rsidRPr="00C75910">
              <w:rPr>
                <w:rFonts w:ascii="Book Antiqua" w:hAnsi="Book Antiqua" w:cs="Arial"/>
              </w:rPr>
              <w:t>O</w:t>
            </w:r>
            <w:r w:rsidR="006D116B" w:rsidRPr="00C75910">
              <w:rPr>
                <w:rFonts w:ascii="Book Antiqua" w:hAnsi="Book Antiqua" w:cs="Arial"/>
              </w:rPr>
              <w:t>ther cardiac diseases:</w:t>
            </w:r>
            <w:r w:rsidRPr="00C75910">
              <w:rPr>
                <w:rFonts w:ascii="Book Antiqua" w:hAnsi="Book Antiqua" w:cs="Arial"/>
              </w:rPr>
              <w:t xml:space="preserve"> </w:t>
            </w:r>
            <w:r w:rsidR="00275BD0" w:rsidRPr="00C75910">
              <w:rPr>
                <w:rFonts w:ascii="Book Antiqua" w:hAnsi="Book Antiqua" w:cs="Arial"/>
              </w:rPr>
              <w:t>C</w:t>
            </w:r>
            <w:r w:rsidRPr="00C75910">
              <w:rPr>
                <w:rFonts w:ascii="Book Antiqua" w:hAnsi="Book Antiqua" w:cs="Arial"/>
              </w:rPr>
              <w:t>ardiac dysrhythmia, atrial fibrillation, tachycardia, pe</w:t>
            </w:r>
            <w:r w:rsidR="006D116B" w:rsidRPr="00C75910">
              <w:rPr>
                <w:rFonts w:ascii="Book Antiqua" w:hAnsi="Book Antiqua" w:cs="Arial"/>
              </w:rPr>
              <w:t>ricarditis, cardiac arrest; PVD:</w:t>
            </w:r>
            <w:r w:rsidRPr="00C75910">
              <w:rPr>
                <w:rFonts w:ascii="Book Antiqua" w:hAnsi="Book Antiqua" w:cs="Arial"/>
              </w:rPr>
              <w:t xml:space="preserve"> </w:t>
            </w:r>
            <w:r w:rsidR="00275BD0" w:rsidRPr="00C75910">
              <w:rPr>
                <w:rFonts w:ascii="Book Antiqua" w:hAnsi="Book Antiqua" w:cs="Arial"/>
              </w:rPr>
              <w:t>P</w:t>
            </w:r>
            <w:r w:rsidRPr="00C75910">
              <w:rPr>
                <w:rFonts w:ascii="Book Antiqua" w:hAnsi="Book Antiqua" w:cs="Arial"/>
              </w:rPr>
              <w:t>eripheral vascular disease</w:t>
            </w:r>
            <w:r w:rsidR="002B3C15">
              <w:rPr>
                <w:rFonts w:ascii="Book Antiqua" w:hAnsi="Book Antiqua" w:cs="Arial"/>
              </w:rPr>
              <w:t>.</w:t>
            </w:r>
            <w:bookmarkStart w:id="35" w:name="_GoBack"/>
            <w:bookmarkEnd w:id="35"/>
          </w:p>
        </w:tc>
      </w:tr>
    </w:tbl>
    <w:p w:rsidR="00A553DC" w:rsidRPr="00C75910" w:rsidRDefault="00A553DC" w:rsidP="00C75910">
      <w:pPr>
        <w:spacing w:line="360" w:lineRule="auto"/>
        <w:jc w:val="both"/>
        <w:rPr>
          <w:rFonts w:ascii="Book Antiqua" w:hAnsi="Book Antiqua"/>
        </w:rPr>
      </w:pPr>
    </w:p>
    <w:p w:rsidR="00D85461" w:rsidRPr="00C75910" w:rsidRDefault="00D85461" w:rsidP="00C75910">
      <w:pPr>
        <w:spacing w:line="360" w:lineRule="auto"/>
        <w:jc w:val="both"/>
        <w:rPr>
          <w:rFonts w:ascii="Book Antiqua" w:hAnsi="Book Antiqua"/>
        </w:rPr>
      </w:pPr>
    </w:p>
    <w:p w:rsidR="00D85461" w:rsidRPr="00C75910" w:rsidRDefault="00D85461" w:rsidP="00C75910">
      <w:pPr>
        <w:spacing w:line="360" w:lineRule="auto"/>
        <w:jc w:val="both"/>
        <w:rPr>
          <w:rFonts w:ascii="Book Antiqua" w:hAnsi="Book Antiqua"/>
        </w:rPr>
      </w:pPr>
    </w:p>
    <w:p w:rsidR="001C3F78" w:rsidRPr="00C75910" w:rsidRDefault="001C3F78" w:rsidP="00C75910">
      <w:pPr>
        <w:spacing w:line="360" w:lineRule="auto"/>
        <w:jc w:val="both"/>
        <w:rPr>
          <w:rFonts w:ascii="Book Antiqua" w:hAnsi="Book Antiqua"/>
        </w:rPr>
      </w:pPr>
      <w:r w:rsidRPr="00C75910">
        <w:rPr>
          <w:rFonts w:ascii="Book Antiqua" w:hAnsi="Book Antiqua"/>
        </w:rPr>
        <w:br w:type="page"/>
      </w:r>
    </w:p>
    <w:p w:rsidR="0071095C" w:rsidRPr="00275BD0" w:rsidRDefault="0071095C" w:rsidP="00C75910">
      <w:pPr>
        <w:spacing w:line="360" w:lineRule="auto"/>
        <w:jc w:val="both"/>
        <w:rPr>
          <w:rFonts w:ascii="Book Antiqua" w:hAnsi="Book Antiqua"/>
          <w:b/>
        </w:rPr>
      </w:pPr>
      <w:r w:rsidRPr="00C75910">
        <w:rPr>
          <w:rFonts w:ascii="Book Antiqua" w:hAnsi="Book Antiqua"/>
          <w:b/>
        </w:rPr>
        <w:lastRenderedPageBreak/>
        <w:t>Table 4</w:t>
      </w:r>
      <w:r w:rsidR="00764E14">
        <w:rPr>
          <w:rFonts w:ascii="Book Antiqua" w:hAnsi="Book Antiqua"/>
          <w:b/>
        </w:rPr>
        <w:t xml:space="preserve"> </w:t>
      </w:r>
      <w:r w:rsidR="004153ED" w:rsidRPr="00C75910">
        <w:rPr>
          <w:rFonts w:ascii="Book Antiqua" w:hAnsi="Book Antiqua"/>
          <w:b/>
        </w:rPr>
        <w:t xml:space="preserve">Multivariable Cox proportional hazards </w:t>
      </w:r>
      <w:r w:rsidR="00B46A83" w:rsidRPr="00C75910">
        <w:rPr>
          <w:rFonts w:ascii="Book Antiqua" w:hAnsi="Book Antiqua"/>
          <w:b/>
        </w:rPr>
        <w:t>model predicting index</w:t>
      </w:r>
      <w:r w:rsidR="00DC6884">
        <w:rPr>
          <w:rFonts w:ascii="Book Antiqua" w:hAnsi="Book Antiqua" w:hint="eastAsia"/>
          <w:b/>
          <w:lang w:eastAsia="zh-CN"/>
        </w:rPr>
        <w:t xml:space="preserve"> </w:t>
      </w:r>
      <w:r w:rsidR="00B46A83" w:rsidRPr="00C75910">
        <w:rPr>
          <w:rFonts w:ascii="Book Antiqua" w:hAnsi="Book Antiqua"/>
          <w:b/>
        </w:rPr>
        <w:t>h</w:t>
      </w:r>
      <w:r w:rsidR="004153ED" w:rsidRPr="00C75910">
        <w:rPr>
          <w:rFonts w:ascii="Book Antiqua" w:hAnsi="Book Antiqua"/>
          <w:b/>
        </w:rPr>
        <w:t>ospitalization</w:t>
      </w:r>
      <w:r w:rsidR="00B46A83" w:rsidRPr="00C75910">
        <w:rPr>
          <w:rFonts w:ascii="Book Antiqua" w:hAnsi="Book Antiqua"/>
          <w:b/>
        </w:rPr>
        <w:t>/death</w:t>
      </w:r>
      <w:r w:rsidR="009A013B" w:rsidRPr="00C75910">
        <w:rPr>
          <w:rFonts w:ascii="Book Antiqua" w:hAnsi="Book Antiqua"/>
          <w:b/>
          <w:vertAlign w:val="superscript"/>
        </w:rPr>
        <w:t>1</w:t>
      </w:r>
      <w:r w:rsidR="00452221" w:rsidRPr="00C75910">
        <w:rPr>
          <w:rFonts w:ascii="Book Antiqua" w:hAnsi="Book Antiqua"/>
          <w:b/>
        </w:rPr>
        <w:t xml:space="preserve"> from</w:t>
      </w:r>
      <w:r w:rsidR="004153ED" w:rsidRPr="00C75910">
        <w:rPr>
          <w:rFonts w:ascii="Book Antiqua" w:hAnsi="Book Antiqua"/>
          <w:b/>
        </w:rPr>
        <w:t xml:space="preserve"> baseline gait speed assessment</w:t>
      </w:r>
      <w:r w:rsidR="00DE6E00" w:rsidRPr="00C75910">
        <w:rPr>
          <w:rFonts w:ascii="Book Antiqua" w:hAnsi="Book Antiqua"/>
          <w:b/>
        </w:rPr>
        <w:t xml:space="preserve"> through December</w:t>
      </w:r>
      <w:r w:rsidR="004153ED" w:rsidRPr="00C75910">
        <w:rPr>
          <w:rFonts w:ascii="Book Antiqua" w:hAnsi="Book Antiqua"/>
          <w:b/>
        </w:rPr>
        <w:t xml:space="preserve">, 2011 </w:t>
      </w:r>
    </w:p>
    <w:tbl>
      <w:tblPr>
        <w:tblStyle w:val="a4"/>
        <w:tblW w:w="0" w:type="auto"/>
        <w:tblLook w:val="01E0" w:firstRow="1" w:lastRow="1" w:firstColumn="1" w:lastColumn="1" w:noHBand="0" w:noVBand="0"/>
      </w:tblPr>
      <w:tblGrid>
        <w:gridCol w:w="3708"/>
        <w:gridCol w:w="3420"/>
        <w:gridCol w:w="1440"/>
      </w:tblGrid>
      <w:tr w:rsidR="00E449A7" w:rsidRPr="00C75910" w:rsidTr="00275BD0">
        <w:tc>
          <w:tcPr>
            <w:tcW w:w="3708" w:type="dxa"/>
            <w:tcBorders>
              <w:top w:val="single" w:sz="4" w:space="0" w:color="auto"/>
              <w:left w:val="nil"/>
              <w:bottom w:val="single" w:sz="4" w:space="0" w:color="auto"/>
              <w:right w:val="nil"/>
            </w:tcBorders>
          </w:tcPr>
          <w:p w:rsidR="0071095C" w:rsidRPr="00C75910" w:rsidRDefault="0071095C" w:rsidP="00C75910">
            <w:pPr>
              <w:spacing w:line="360" w:lineRule="auto"/>
              <w:jc w:val="both"/>
              <w:rPr>
                <w:rFonts w:ascii="Book Antiqua" w:hAnsi="Book Antiqua" w:cs="Arial"/>
              </w:rPr>
            </w:pPr>
          </w:p>
        </w:tc>
        <w:tc>
          <w:tcPr>
            <w:tcW w:w="3420" w:type="dxa"/>
            <w:tcBorders>
              <w:top w:val="single" w:sz="4" w:space="0" w:color="auto"/>
              <w:left w:val="nil"/>
              <w:bottom w:val="single" w:sz="4" w:space="0" w:color="auto"/>
              <w:right w:val="nil"/>
            </w:tcBorders>
          </w:tcPr>
          <w:p w:rsidR="0071095C" w:rsidRPr="00275BD0" w:rsidRDefault="00DE6E00" w:rsidP="00C75910">
            <w:pPr>
              <w:spacing w:line="360" w:lineRule="auto"/>
              <w:jc w:val="both"/>
              <w:rPr>
                <w:rFonts w:ascii="Book Antiqua" w:hAnsi="Book Antiqua" w:cs="Arial"/>
                <w:b/>
                <w:lang w:eastAsia="zh-CN"/>
              </w:rPr>
            </w:pPr>
            <w:r w:rsidRPr="00C75910">
              <w:rPr>
                <w:rFonts w:ascii="Book Antiqua" w:hAnsi="Book Antiqua" w:cs="Arial"/>
                <w:b/>
                <w:vertAlign w:val="superscript"/>
              </w:rPr>
              <w:t>2</w:t>
            </w:r>
            <w:r w:rsidR="0071095C" w:rsidRPr="00C75910">
              <w:rPr>
                <w:rFonts w:ascii="Book Antiqua" w:hAnsi="Book Antiqua" w:cs="Arial"/>
                <w:b/>
              </w:rPr>
              <w:t>Adjusted Hazard Ratios (95% CI)</w:t>
            </w:r>
          </w:p>
        </w:tc>
        <w:tc>
          <w:tcPr>
            <w:tcW w:w="1440" w:type="dxa"/>
            <w:tcBorders>
              <w:top w:val="single" w:sz="4" w:space="0" w:color="auto"/>
              <w:left w:val="nil"/>
              <w:bottom w:val="single" w:sz="4" w:space="0" w:color="auto"/>
              <w:right w:val="nil"/>
            </w:tcBorders>
          </w:tcPr>
          <w:p w:rsidR="0071095C" w:rsidRPr="00C75910" w:rsidRDefault="0071095C" w:rsidP="00C75910">
            <w:pPr>
              <w:spacing w:line="360" w:lineRule="auto"/>
              <w:jc w:val="both"/>
              <w:rPr>
                <w:rFonts w:ascii="Book Antiqua" w:hAnsi="Book Antiqua" w:cs="Arial"/>
                <w:b/>
              </w:rPr>
            </w:pPr>
            <w:r w:rsidRPr="00C75910">
              <w:rPr>
                <w:rFonts w:ascii="Book Antiqua" w:hAnsi="Book Antiqua" w:cs="Arial"/>
                <w:b/>
                <w:i/>
              </w:rPr>
              <w:t>P</w:t>
            </w:r>
            <w:r w:rsidRPr="00C75910">
              <w:rPr>
                <w:rFonts w:ascii="Book Antiqua" w:hAnsi="Book Antiqua" w:cs="Arial"/>
                <w:b/>
              </w:rPr>
              <w:t xml:space="preserve"> value</w:t>
            </w:r>
          </w:p>
        </w:tc>
      </w:tr>
      <w:tr w:rsidR="00E449A7" w:rsidRPr="00C75910" w:rsidTr="00275BD0">
        <w:tc>
          <w:tcPr>
            <w:tcW w:w="3708" w:type="dxa"/>
            <w:tcBorders>
              <w:top w:val="single" w:sz="4" w:space="0" w:color="auto"/>
              <w:left w:val="nil"/>
              <w:bottom w:val="nil"/>
              <w:right w:val="nil"/>
            </w:tcBorders>
          </w:tcPr>
          <w:p w:rsidR="0071095C" w:rsidRPr="00C75910" w:rsidRDefault="0071095C" w:rsidP="00C75910">
            <w:pPr>
              <w:spacing w:line="360" w:lineRule="auto"/>
              <w:jc w:val="both"/>
              <w:rPr>
                <w:rFonts w:ascii="Book Antiqua" w:hAnsi="Book Antiqua" w:cs="Arial"/>
              </w:rPr>
            </w:pPr>
            <w:r w:rsidRPr="00C75910">
              <w:rPr>
                <w:rFonts w:ascii="Book Antiqua" w:hAnsi="Book Antiqua" w:cs="Arial"/>
              </w:rPr>
              <w:t>Gait speed/fall history</w:t>
            </w:r>
          </w:p>
          <w:p w:rsidR="0071095C" w:rsidRPr="00C75910" w:rsidRDefault="0071095C" w:rsidP="00C75910">
            <w:pPr>
              <w:spacing w:line="360" w:lineRule="auto"/>
              <w:jc w:val="both"/>
              <w:rPr>
                <w:rFonts w:ascii="Book Antiqua" w:hAnsi="Book Antiqua" w:cs="Arial"/>
              </w:rPr>
            </w:pPr>
            <w:r w:rsidRPr="00C75910">
              <w:rPr>
                <w:rFonts w:ascii="Book Antiqua" w:hAnsi="Book Antiqua" w:cs="Arial"/>
              </w:rPr>
              <w:t xml:space="preserve"> </w:t>
            </w:r>
            <w:r w:rsidR="00DE6E00" w:rsidRPr="00C75910">
              <w:rPr>
                <w:rFonts w:ascii="Book Antiqua" w:hAnsi="Book Antiqua" w:cs="Arial"/>
                <w:vertAlign w:val="superscript"/>
              </w:rPr>
              <w:t>3</w:t>
            </w:r>
            <w:r w:rsidRPr="00C75910">
              <w:rPr>
                <w:rFonts w:ascii="Book Antiqua" w:hAnsi="Book Antiqua" w:cs="Arial"/>
              </w:rPr>
              <w:t>Faster walk/no fall history (reference)</w:t>
            </w:r>
          </w:p>
          <w:p w:rsidR="0071095C" w:rsidRPr="00C75910" w:rsidRDefault="0071095C" w:rsidP="00C75910">
            <w:pPr>
              <w:spacing w:line="360" w:lineRule="auto"/>
              <w:jc w:val="both"/>
              <w:rPr>
                <w:rFonts w:ascii="Book Antiqua" w:hAnsi="Book Antiqua" w:cs="Arial"/>
              </w:rPr>
            </w:pPr>
            <w:r w:rsidRPr="00C75910">
              <w:rPr>
                <w:rFonts w:ascii="Book Antiqua" w:hAnsi="Book Antiqua" w:cs="Arial"/>
              </w:rPr>
              <w:t xml:space="preserve"> </w:t>
            </w:r>
          </w:p>
          <w:p w:rsidR="0071095C" w:rsidRPr="00C75910" w:rsidRDefault="0071095C" w:rsidP="00C75910">
            <w:pPr>
              <w:spacing w:line="360" w:lineRule="auto"/>
              <w:jc w:val="both"/>
              <w:rPr>
                <w:rFonts w:ascii="Book Antiqua" w:hAnsi="Book Antiqua" w:cs="Arial"/>
              </w:rPr>
            </w:pPr>
            <w:r w:rsidRPr="00C75910">
              <w:rPr>
                <w:rFonts w:ascii="Book Antiqua" w:hAnsi="Book Antiqua" w:cs="Arial"/>
              </w:rPr>
              <w:t xml:space="preserve"> </w:t>
            </w:r>
            <w:r w:rsidR="00DE6E00" w:rsidRPr="00C75910">
              <w:rPr>
                <w:rFonts w:ascii="Book Antiqua" w:hAnsi="Book Antiqua" w:cs="Arial"/>
                <w:vertAlign w:val="superscript"/>
              </w:rPr>
              <w:t>4</w:t>
            </w:r>
            <w:r w:rsidRPr="00C75910">
              <w:rPr>
                <w:rFonts w:ascii="Book Antiqua" w:hAnsi="Book Antiqua" w:cs="Arial"/>
              </w:rPr>
              <w:t>Slower walk/no fall history</w:t>
            </w:r>
          </w:p>
          <w:p w:rsidR="0071095C" w:rsidRPr="00C75910" w:rsidRDefault="00764E14" w:rsidP="00C75910">
            <w:pPr>
              <w:spacing w:line="360" w:lineRule="auto"/>
              <w:jc w:val="both"/>
              <w:rPr>
                <w:rFonts w:ascii="Book Antiqua" w:hAnsi="Book Antiqua" w:cs="Arial"/>
              </w:rPr>
            </w:pPr>
            <w:r>
              <w:rPr>
                <w:rFonts w:ascii="Book Antiqua" w:hAnsi="Book Antiqua" w:cs="Arial"/>
              </w:rPr>
              <w:t xml:space="preserve"> </w:t>
            </w:r>
            <w:r w:rsidR="0071095C" w:rsidRPr="00C75910">
              <w:rPr>
                <w:rFonts w:ascii="Book Antiqua" w:hAnsi="Book Antiqua" w:cs="Arial"/>
              </w:rPr>
              <w:t>Slower walk/fall history</w:t>
            </w:r>
          </w:p>
          <w:p w:rsidR="0071095C" w:rsidRPr="00C75910" w:rsidRDefault="00764E14" w:rsidP="00C75910">
            <w:pPr>
              <w:spacing w:line="360" w:lineRule="auto"/>
              <w:jc w:val="both"/>
              <w:rPr>
                <w:rFonts w:ascii="Book Antiqua" w:hAnsi="Book Antiqua" w:cs="Arial"/>
              </w:rPr>
            </w:pPr>
            <w:r>
              <w:rPr>
                <w:rFonts w:ascii="Book Antiqua" w:hAnsi="Book Antiqua" w:cs="Arial"/>
              </w:rPr>
              <w:t xml:space="preserve"> </w:t>
            </w:r>
            <w:r w:rsidR="0071095C" w:rsidRPr="00C75910">
              <w:rPr>
                <w:rFonts w:ascii="Book Antiqua" w:hAnsi="Book Antiqua" w:cs="Arial"/>
              </w:rPr>
              <w:t>Faster walk/fall history</w:t>
            </w:r>
          </w:p>
        </w:tc>
        <w:tc>
          <w:tcPr>
            <w:tcW w:w="3420" w:type="dxa"/>
            <w:tcBorders>
              <w:top w:val="single" w:sz="4" w:space="0" w:color="auto"/>
              <w:left w:val="nil"/>
              <w:bottom w:val="nil"/>
              <w:right w:val="nil"/>
            </w:tcBorders>
          </w:tcPr>
          <w:p w:rsidR="0071095C" w:rsidRPr="00C75910" w:rsidRDefault="0071095C" w:rsidP="00C75910">
            <w:pPr>
              <w:spacing w:line="360" w:lineRule="auto"/>
              <w:jc w:val="both"/>
              <w:rPr>
                <w:rFonts w:ascii="Book Antiqua" w:hAnsi="Book Antiqua" w:cs="Arial"/>
              </w:rPr>
            </w:pPr>
          </w:p>
          <w:p w:rsidR="0071095C" w:rsidRPr="00C75910" w:rsidRDefault="0071095C" w:rsidP="00C75910">
            <w:pPr>
              <w:spacing w:line="360" w:lineRule="auto"/>
              <w:jc w:val="both"/>
              <w:rPr>
                <w:rFonts w:ascii="Book Antiqua" w:hAnsi="Book Antiqua" w:cs="Arial"/>
              </w:rPr>
            </w:pPr>
            <w:r w:rsidRPr="00C75910">
              <w:rPr>
                <w:rFonts w:ascii="Book Antiqua" w:hAnsi="Book Antiqua" w:cs="Arial"/>
              </w:rPr>
              <w:t>1.00</w:t>
            </w:r>
          </w:p>
          <w:p w:rsidR="0071095C" w:rsidRPr="00C75910" w:rsidRDefault="0071095C" w:rsidP="00C75910">
            <w:pPr>
              <w:spacing w:line="360" w:lineRule="auto"/>
              <w:jc w:val="both"/>
              <w:rPr>
                <w:rFonts w:ascii="Book Antiqua" w:hAnsi="Book Antiqua" w:cs="Arial"/>
              </w:rPr>
            </w:pPr>
          </w:p>
          <w:p w:rsidR="0071095C" w:rsidRPr="00C75910" w:rsidRDefault="00D7531C" w:rsidP="00C75910">
            <w:pPr>
              <w:spacing w:line="360" w:lineRule="auto"/>
              <w:jc w:val="both"/>
              <w:rPr>
                <w:rFonts w:ascii="Book Antiqua" w:hAnsi="Book Antiqua" w:cs="Arial"/>
              </w:rPr>
            </w:pPr>
            <w:r w:rsidRPr="00C75910">
              <w:rPr>
                <w:rFonts w:ascii="Book Antiqua" w:hAnsi="Book Antiqua" w:cs="Arial"/>
              </w:rPr>
              <w:t>1.11 (0.79, 1.56</w:t>
            </w:r>
            <w:r w:rsidR="0071095C" w:rsidRPr="00C75910">
              <w:rPr>
                <w:rFonts w:ascii="Book Antiqua" w:hAnsi="Book Antiqua" w:cs="Arial"/>
              </w:rPr>
              <w:t>)</w:t>
            </w:r>
          </w:p>
          <w:p w:rsidR="0071095C" w:rsidRPr="00C75910" w:rsidRDefault="00D7531C" w:rsidP="00C75910">
            <w:pPr>
              <w:spacing w:line="360" w:lineRule="auto"/>
              <w:jc w:val="both"/>
              <w:rPr>
                <w:rFonts w:ascii="Book Antiqua" w:hAnsi="Book Antiqua" w:cs="Arial"/>
              </w:rPr>
            </w:pPr>
            <w:r w:rsidRPr="00C75910">
              <w:rPr>
                <w:rFonts w:ascii="Book Antiqua" w:hAnsi="Book Antiqua" w:cs="Arial"/>
              </w:rPr>
              <w:t>1.54 (1.04, 2.</w:t>
            </w:r>
            <w:r w:rsidR="0071095C" w:rsidRPr="00C75910">
              <w:rPr>
                <w:rFonts w:ascii="Book Antiqua" w:hAnsi="Book Antiqua" w:cs="Arial"/>
              </w:rPr>
              <w:t>3</w:t>
            </w:r>
            <w:r w:rsidRPr="00C75910">
              <w:rPr>
                <w:rFonts w:ascii="Book Antiqua" w:hAnsi="Book Antiqua" w:cs="Arial"/>
              </w:rPr>
              <w:t>0</w:t>
            </w:r>
            <w:r w:rsidR="0071095C" w:rsidRPr="00C75910">
              <w:rPr>
                <w:rFonts w:ascii="Book Antiqua" w:hAnsi="Book Antiqua" w:cs="Arial"/>
              </w:rPr>
              <w:t>)</w:t>
            </w:r>
          </w:p>
          <w:p w:rsidR="0071095C" w:rsidRPr="00C75910" w:rsidRDefault="00D7531C" w:rsidP="00C75910">
            <w:pPr>
              <w:spacing w:line="360" w:lineRule="auto"/>
              <w:jc w:val="both"/>
              <w:rPr>
                <w:rFonts w:ascii="Book Antiqua" w:hAnsi="Book Antiqua" w:cs="Arial"/>
              </w:rPr>
            </w:pPr>
            <w:r w:rsidRPr="00C75910">
              <w:rPr>
                <w:rFonts w:ascii="Book Antiqua" w:hAnsi="Book Antiqua" w:cs="Arial"/>
              </w:rPr>
              <w:t>1.47 (1.</w:t>
            </w:r>
            <w:r w:rsidR="0071095C" w:rsidRPr="00C75910">
              <w:rPr>
                <w:rFonts w:ascii="Book Antiqua" w:hAnsi="Book Antiqua" w:cs="Arial"/>
              </w:rPr>
              <w:t>0</w:t>
            </w:r>
            <w:r w:rsidRPr="00C75910">
              <w:rPr>
                <w:rFonts w:ascii="Book Antiqua" w:hAnsi="Book Antiqua" w:cs="Arial"/>
              </w:rPr>
              <w:t>5, 2.05</w:t>
            </w:r>
            <w:r w:rsidR="0071095C" w:rsidRPr="00C75910">
              <w:rPr>
                <w:rFonts w:ascii="Book Antiqua" w:hAnsi="Book Antiqua" w:cs="Arial"/>
              </w:rPr>
              <w:t>)</w:t>
            </w:r>
          </w:p>
          <w:p w:rsidR="0071095C" w:rsidRPr="00C75910" w:rsidRDefault="0071095C" w:rsidP="00C75910">
            <w:pPr>
              <w:spacing w:line="360" w:lineRule="auto"/>
              <w:jc w:val="both"/>
              <w:rPr>
                <w:rFonts w:ascii="Book Antiqua" w:hAnsi="Book Antiqua" w:cs="Arial"/>
              </w:rPr>
            </w:pPr>
          </w:p>
          <w:p w:rsidR="0071095C" w:rsidRPr="00C75910" w:rsidRDefault="0071095C" w:rsidP="00C75910">
            <w:pPr>
              <w:spacing w:line="360" w:lineRule="auto"/>
              <w:jc w:val="both"/>
              <w:rPr>
                <w:rFonts w:ascii="Book Antiqua" w:hAnsi="Book Antiqua" w:cs="Arial"/>
              </w:rPr>
            </w:pPr>
          </w:p>
        </w:tc>
        <w:tc>
          <w:tcPr>
            <w:tcW w:w="1440" w:type="dxa"/>
            <w:tcBorders>
              <w:top w:val="single" w:sz="4" w:space="0" w:color="auto"/>
              <w:left w:val="nil"/>
              <w:bottom w:val="nil"/>
              <w:right w:val="nil"/>
            </w:tcBorders>
          </w:tcPr>
          <w:p w:rsidR="0071095C" w:rsidRPr="00C75910" w:rsidRDefault="00764E14" w:rsidP="00C75910">
            <w:pPr>
              <w:spacing w:line="360" w:lineRule="auto"/>
              <w:jc w:val="both"/>
              <w:rPr>
                <w:rFonts w:ascii="Book Antiqua" w:hAnsi="Book Antiqua" w:cs="Arial"/>
              </w:rPr>
            </w:pPr>
            <w:r>
              <w:rPr>
                <w:rFonts w:ascii="Book Antiqua" w:hAnsi="Book Antiqua" w:cs="Arial"/>
              </w:rPr>
              <w:t xml:space="preserve"> </w:t>
            </w:r>
          </w:p>
          <w:p w:rsidR="0071095C" w:rsidRPr="00C75910" w:rsidRDefault="0071095C" w:rsidP="00C75910">
            <w:pPr>
              <w:spacing w:line="360" w:lineRule="auto"/>
              <w:jc w:val="both"/>
              <w:rPr>
                <w:rFonts w:ascii="Book Antiqua" w:hAnsi="Book Antiqua" w:cs="Arial"/>
              </w:rPr>
            </w:pPr>
            <w:r w:rsidRPr="00C75910">
              <w:rPr>
                <w:rFonts w:ascii="Book Antiqua" w:hAnsi="Book Antiqua" w:cs="Arial"/>
              </w:rPr>
              <w:t xml:space="preserve"> </w:t>
            </w:r>
          </w:p>
          <w:p w:rsidR="0071095C" w:rsidRPr="00C75910" w:rsidRDefault="0071095C" w:rsidP="00C75910">
            <w:pPr>
              <w:spacing w:line="360" w:lineRule="auto"/>
              <w:jc w:val="both"/>
              <w:rPr>
                <w:rFonts w:ascii="Book Antiqua" w:hAnsi="Book Antiqua" w:cs="Arial"/>
              </w:rPr>
            </w:pPr>
          </w:p>
          <w:p w:rsidR="0071095C" w:rsidRPr="00C75910" w:rsidRDefault="00D7531C" w:rsidP="00C75910">
            <w:pPr>
              <w:spacing w:line="360" w:lineRule="auto"/>
              <w:jc w:val="both"/>
              <w:rPr>
                <w:rFonts w:ascii="Book Antiqua" w:hAnsi="Book Antiqua" w:cs="Arial"/>
              </w:rPr>
            </w:pPr>
            <w:r w:rsidRPr="00C75910">
              <w:rPr>
                <w:rFonts w:ascii="Book Antiqua" w:hAnsi="Book Antiqua" w:cs="Arial"/>
              </w:rPr>
              <w:t>0.53</w:t>
            </w:r>
          </w:p>
          <w:p w:rsidR="0071095C" w:rsidRPr="00C75910" w:rsidRDefault="00D7531C" w:rsidP="00C75910">
            <w:pPr>
              <w:spacing w:line="360" w:lineRule="auto"/>
              <w:jc w:val="both"/>
              <w:rPr>
                <w:rFonts w:ascii="Book Antiqua" w:hAnsi="Book Antiqua" w:cs="Arial"/>
              </w:rPr>
            </w:pPr>
            <w:r w:rsidRPr="00C75910">
              <w:rPr>
                <w:rFonts w:ascii="Book Antiqua" w:hAnsi="Book Antiqua" w:cs="Arial"/>
              </w:rPr>
              <w:t>0.03</w:t>
            </w:r>
          </w:p>
          <w:p w:rsidR="0071095C" w:rsidRPr="00C75910" w:rsidRDefault="0071095C" w:rsidP="00C75910">
            <w:pPr>
              <w:spacing w:line="360" w:lineRule="auto"/>
              <w:jc w:val="both"/>
              <w:rPr>
                <w:rFonts w:ascii="Book Antiqua" w:hAnsi="Book Antiqua" w:cs="Arial"/>
              </w:rPr>
            </w:pPr>
            <w:r w:rsidRPr="00C75910">
              <w:rPr>
                <w:rFonts w:ascii="Book Antiqua" w:hAnsi="Book Antiqua" w:cs="Arial"/>
              </w:rPr>
              <w:t>0.</w:t>
            </w:r>
            <w:r w:rsidR="00D7531C" w:rsidRPr="00C75910">
              <w:rPr>
                <w:rFonts w:ascii="Book Antiqua" w:hAnsi="Book Antiqua" w:cs="Arial"/>
              </w:rPr>
              <w:t>02</w:t>
            </w:r>
          </w:p>
        </w:tc>
      </w:tr>
      <w:tr w:rsidR="00E449A7" w:rsidRPr="00C75910" w:rsidTr="00275BD0">
        <w:tc>
          <w:tcPr>
            <w:tcW w:w="3708" w:type="dxa"/>
            <w:tcBorders>
              <w:top w:val="nil"/>
              <w:left w:val="nil"/>
              <w:bottom w:val="nil"/>
              <w:right w:val="nil"/>
            </w:tcBorders>
          </w:tcPr>
          <w:p w:rsidR="0071095C" w:rsidRPr="00C75910" w:rsidRDefault="0071095C" w:rsidP="00C75910">
            <w:pPr>
              <w:spacing w:line="360" w:lineRule="auto"/>
              <w:jc w:val="both"/>
              <w:rPr>
                <w:rFonts w:ascii="Book Antiqua" w:hAnsi="Book Antiqua" w:cs="Arial"/>
              </w:rPr>
            </w:pPr>
            <w:r w:rsidRPr="00C75910">
              <w:rPr>
                <w:rFonts w:ascii="Book Antiqua" w:hAnsi="Book Antiqua" w:cs="Arial"/>
              </w:rPr>
              <w:t>CAD</w:t>
            </w:r>
          </w:p>
        </w:tc>
        <w:tc>
          <w:tcPr>
            <w:tcW w:w="3420" w:type="dxa"/>
            <w:tcBorders>
              <w:top w:val="nil"/>
              <w:left w:val="nil"/>
              <w:bottom w:val="nil"/>
              <w:right w:val="nil"/>
            </w:tcBorders>
          </w:tcPr>
          <w:p w:rsidR="0071095C" w:rsidRPr="00C75910" w:rsidRDefault="0071095C" w:rsidP="00C75910">
            <w:pPr>
              <w:spacing w:line="360" w:lineRule="auto"/>
              <w:jc w:val="both"/>
              <w:rPr>
                <w:rFonts w:ascii="Book Antiqua" w:hAnsi="Book Antiqua" w:cs="Arial"/>
              </w:rPr>
            </w:pPr>
            <w:r w:rsidRPr="00C75910">
              <w:rPr>
                <w:rFonts w:ascii="Book Antiqua" w:hAnsi="Book Antiqua" w:cs="Arial"/>
              </w:rPr>
              <w:t>1.34 (1.01, 1.78)</w:t>
            </w:r>
          </w:p>
        </w:tc>
        <w:tc>
          <w:tcPr>
            <w:tcW w:w="1440" w:type="dxa"/>
            <w:tcBorders>
              <w:top w:val="nil"/>
              <w:left w:val="nil"/>
              <w:bottom w:val="nil"/>
              <w:right w:val="nil"/>
            </w:tcBorders>
          </w:tcPr>
          <w:p w:rsidR="0071095C" w:rsidRPr="00C75910" w:rsidRDefault="0071095C" w:rsidP="00C75910">
            <w:pPr>
              <w:spacing w:line="360" w:lineRule="auto"/>
              <w:jc w:val="both"/>
              <w:rPr>
                <w:rFonts w:ascii="Book Antiqua" w:hAnsi="Book Antiqua" w:cs="Arial"/>
              </w:rPr>
            </w:pPr>
            <w:r w:rsidRPr="00C75910">
              <w:rPr>
                <w:rFonts w:ascii="Book Antiqua" w:hAnsi="Book Antiqua" w:cs="Arial"/>
              </w:rPr>
              <w:t>0.04</w:t>
            </w:r>
          </w:p>
        </w:tc>
      </w:tr>
      <w:tr w:rsidR="00E449A7" w:rsidRPr="00C75910" w:rsidTr="00275BD0">
        <w:tc>
          <w:tcPr>
            <w:tcW w:w="3708" w:type="dxa"/>
            <w:tcBorders>
              <w:top w:val="nil"/>
              <w:left w:val="nil"/>
              <w:bottom w:val="nil"/>
              <w:right w:val="nil"/>
            </w:tcBorders>
          </w:tcPr>
          <w:p w:rsidR="0071095C" w:rsidRPr="00C75910" w:rsidRDefault="0071095C" w:rsidP="00C75910">
            <w:pPr>
              <w:spacing w:line="360" w:lineRule="auto"/>
              <w:jc w:val="both"/>
              <w:rPr>
                <w:rFonts w:ascii="Book Antiqua" w:hAnsi="Book Antiqua" w:cs="Arial"/>
              </w:rPr>
            </w:pPr>
          </w:p>
        </w:tc>
        <w:tc>
          <w:tcPr>
            <w:tcW w:w="3420" w:type="dxa"/>
            <w:tcBorders>
              <w:top w:val="nil"/>
              <w:left w:val="nil"/>
              <w:bottom w:val="nil"/>
              <w:right w:val="nil"/>
            </w:tcBorders>
          </w:tcPr>
          <w:p w:rsidR="0071095C" w:rsidRPr="00C75910" w:rsidRDefault="0071095C" w:rsidP="00C75910">
            <w:pPr>
              <w:spacing w:line="360" w:lineRule="auto"/>
              <w:jc w:val="both"/>
              <w:rPr>
                <w:rFonts w:ascii="Book Antiqua" w:hAnsi="Book Antiqua" w:cs="Arial"/>
              </w:rPr>
            </w:pPr>
          </w:p>
        </w:tc>
        <w:tc>
          <w:tcPr>
            <w:tcW w:w="1440" w:type="dxa"/>
            <w:tcBorders>
              <w:top w:val="nil"/>
              <w:left w:val="nil"/>
              <w:bottom w:val="nil"/>
              <w:right w:val="nil"/>
            </w:tcBorders>
          </w:tcPr>
          <w:p w:rsidR="0071095C" w:rsidRPr="00C75910" w:rsidRDefault="0071095C" w:rsidP="00C75910">
            <w:pPr>
              <w:spacing w:line="360" w:lineRule="auto"/>
              <w:jc w:val="both"/>
              <w:rPr>
                <w:rFonts w:ascii="Book Antiqua" w:hAnsi="Book Antiqua" w:cs="Arial"/>
              </w:rPr>
            </w:pPr>
          </w:p>
        </w:tc>
      </w:tr>
      <w:tr w:rsidR="00E449A7" w:rsidRPr="00C75910" w:rsidTr="00275BD0">
        <w:tc>
          <w:tcPr>
            <w:tcW w:w="3708" w:type="dxa"/>
            <w:tcBorders>
              <w:top w:val="nil"/>
              <w:left w:val="nil"/>
              <w:bottom w:val="nil"/>
              <w:right w:val="nil"/>
            </w:tcBorders>
          </w:tcPr>
          <w:p w:rsidR="0071095C" w:rsidRPr="00C75910" w:rsidRDefault="0071095C" w:rsidP="00C75910">
            <w:pPr>
              <w:spacing w:line="360" w:lineRule="auto"/>
              <w:jc w:val="both"/>
              <w:rPr>
                <w:rFonts w:ascii="Book Antiqua" w:hAnsi="Book Antiqua" w:cs="Arial"/>
              </w:rPr>
            </w:pPr>
            <w:r w:rsidRPr="00C75910">
              <w:rPr>
                <w:rFonts w:ascii="Book Antiqua" w:hAnsi="Book Antiqua" w:cs="Arial"/>
              </w:rPr>
              <w:t>Black</w:t>
            </w:r>
            <w:r w:rsidR="00DE6E00" w:rsidRPr="00C75910">
              <w:rPr>
                <w:rFonts w:ascii="Book Antiqua" w:hAnsi="Book Antiqua" w:cs="Arial"/>
              </w:rPr>
              <w:t xml:space="preserve"> race</w:t>
            </w:r>
          </w:p>
        </w:tc>
        <w:tc>
          <w:tcPr>
            <w:tcW w:w="3420" w:type="dxa"/>
            <w:tcBorders>
              <w:top w:val="nil"/>
              <w:left w:val="nil"/>
              <w:bottom w:val="nil"/>
              <w:right w:val="nil"/>
            </w:tcBorders>
          </w:tcPr>
          <w:p w:rsidR="0071095C" w:rsidRPr="00C75910" w:rsidRDefault="0071095C" w:rsidP="00C75910">
            <w:pPr>
              <w:spacing w:line="360" w:lineRule="auto"/>
              <w:jc w:val="both"/>
              <w:rPr>
                <w:rFonts w:ascii="Book Antiqua" w:hAnsi="Book Antiqua" w:cs="Arial"/>
              </w:rPr>
            </w:pPr>
            <w:r w:rsidRPr="00C75910">
              <w:rPr>
                <w:rFonts w:ascii="Book Antiqua" w:hAnsi="Book Antiqua" w:cs="Arial"/>
              </w:rPr>
              <w:t>2.09 (1.48, 2.94)</w:t>
            </w:r>
          </w:p>
        </w:tc>
        <w:tc>
          <w:tcPr>
            <w:tcW w:w="1440" w:type="dxa"/>
            <w:tcBorders>
              <w:top w:val="nil"/>
              <w:left w:val="nil"/>
              <w:bottom w:val="nil"/>
              <w:right w:val="nil"/>
            </w:tcBorders>
          </w:tcPr>
          <w:p w:rsidR="0071095C" w:rsidRPr="00C75910" w:rsidRDefault="0071095C" w:rsidP="00C75910">
            <w:pPr>
              <w:spacing w:line="360" w:lineRule="auto"/>
              <w:jc w:val="both"/>
              <w:rPr>
                <w:rFonts w:ascii="Book Antiqua" w:hAnsi="Book Antiqua" w:cs="Arial"/>
              </w:rPr>
            </w:pPr>
            <w:r w:rsidRPr="00C75910">
              <w:rPr>
                <w:rFonts w:ascii="Book Antiqua" w:hAnsi="Book Antiqua" w:cs="Arial"/>
              </w:rPr>
              <w:t>&lt;</w:t>
            </w:r>
            <w:r w:rsidR="00275BD0">
              <w:rPr>
                <w:rFonts w:ascii="Book Antiqua" w:hAnsi="Book Antiqua" w:cs="Arial" w:hint="eastAsia"/>
                <w:lang w:eastAsia="zh-CN"/>
              </w:rPr>
              <w:t xml:space="preserve"> </w:t>
            </w:r>
            <w:r w:rsidRPr="00C75910">
              <w:rPr>
                <w:rFonts w:ascii="Book Antiqua" w:hAnsi="Book Antiqua" w:cs="Arial"/>
              </w:rPr>
              <w:t>0.001</w:t>
            </w:r>
          </w:p>
        </w:tc>
      </w:tr>
      <w:tr w:rsidR="00E449A7" w:rsidRPr="00C75910" w:rsidTr="00275BD0">
        <w:tc>
          <w:tcPr>
            <w:tcW w:w="3708" w:type="dxa"/>
            <w:tcBorders>
              <w:top w:val="nil"/>
              <w:left w:val="nil"/>
              <w:bottom w:val="nil"/>
              <w:right w:val="nil"/>
            </w:tcBorders>
          </w:tcPr>
          <w:p w:rsidR="0071095C" w:rsidRPr="00C75910" w:rsidRDefault="0071095C" w:rsidP="00C75910">
            <w:pPr>
              <w:spacing w:line="360" w:lineRule="auto"/>
              <w:jc w:val="both"/>
              <w:rPr>
                <w:rFonts w:ascii="Book Antiqua" w:hAnsi="Book Antiqua" w:cs="Arial"/>
              </w:rPr>
            </w:pPr>
          </w:p>
        </w:tc>
        <w:tc>
          <w:tcPr>
            <w:tcW w:w="3420" w:type="dxa"/>
            <w:tcBorders>
              <w:top w:val="nil"/>
              <w:left w:val="nil"/>
              <w:bottom w:val="nil"/>
              <w:right w:val="nil"/>
            </w:tcBorders>
          </w:tcPr>
          <w:p w:rsidR="0071095C" w:rsidRPr="00C75910" w:rsidRDefault="0071095C" w:rsidP="00C75910">
            <w:pPr>
              <w:spacing w:line="360" w:lineRule="auto"/>
              <w:jc w:val="both"/>
              <w:rPr>
                <w:rFonts w:ascii="Book Antiqua" w:hAnsi="Book Antiqua" w:cs="Arial"/>
              </w:rPr>
            </w:pPr>
          </w:p>
        </w:tc>
        <w:tc>
          <w:tcPr>
            <w:tcW w:w="1440" w:type="dxa"/>
            <w:tcBorders>
              <w:top w:val="nil"/>
              <w:left w:val="nil"/>
              <w:bottom w:val="nil"/>
              <w:right w:val="nil"/>
            </w:tcBorders>
          </w:tcPr>
          <w:p w:rsidR="0071095C" w:rsidRPr="00C75910" w:rsidRDefault="0071095C" w:rsidP="00C75910">
            <w:pPr>
              <w:spacing w:line="360" w:lineRule="auto"/>
              <w:jc w:val="both"/>
              <w:rPr>
                <w:rFonts w:ascii="Book Antiqua" w:hAnsi="Book Antiqua" w:cs="Arial"/>
              </w:rPr>
            </w:pPr>
          </w:p>
        </w:tc>
      </w:tr>
      <w:tr w:rsidR="00E449A7" w:rsidRPr="00C75910" w:rsidTr="00275BD0">
        <w:tc>
          <w:tcPr>
            <w:tcW w:w="3708" w:type="dxa"/>
            <w:tcBorders>
              <w:top w:val="nil"/>
              <w:left w:val="nil"/>
              <w:bottom w:val="single" w:sz="4" w:space="0" w:color="auto"/>
              <w:right w:val="nil"/>
            </w:tcBorders>
          </w:tcPr>
          <w:p w:rsidR="0071095C" w:rsidRPr="00C75910" w:rsidRDefault="0071095C" w:rsidP="00C75910">
            <w:pPr>
              <w:spacing w:line="360" w:lineRule="auto"/>
              <w:jc w:val="both"/>
              <w:rPr>
                <w:rFonts w:ascii="Book Antiqua" w:hAnsi="Book Antiqua" w:cs="Arial"/>
                <w:lang w:eastAsia="zh-CN"/>
              </w:rPr>
            </w:pPr>
            <w:r w:rsidRPr="00C75910">
              <w:rPr>
                <w:rFonts w:ascii="Book Antiqua" w:hAnsi="Book Antiqua" w:cs="Arial"/>
              </w:rPr>
              <w:t>ESRD vintage, y</w:t>
            </w:r>
          </w:p>
        </w:tc>
        <w:tc>
          <w:tcPr>
            <w:tcW w:w="3420" w:type="dxa"/>
            <w:tcBorders>
              <w:top w:val="nil"/>
              <w:left w:val="nil"/>
              <w:bottom w:val="single" w:sz="4" w:space="0" w:color="auto"/>
              <w:right w:val="nil"/>
            </w:tcBorders>
          </w:tcPr>
          <w:p w:rsidR="0071095C" w:rsidRPr="00C75910" w:rsidRDefault="0071095C" w:rsidP="00C75910">
            <w:pPr>
              <w:spacing w:line="360" w:lineRule="auto"/>
              <w:jc w:val="both"/>
              <w:rPr>
                <w:rFonts w:ascii="Book Antiqua" w:hAnsi="Book Antiqua" w:cs="Arial"/>
                <w:lang w:eastAsia="zh-CN"/>
              </w:rPr>
            </w:pPr>
            <w:r w:rsidRPr="00C75910">
              <w:rPr>
                <w:rFonts w:ascii="Book Antiqua" w:hAnsi="Book Antiqua" w:cs="Arial"/>
              </w:rPr>
              <w:t>1.02 (1.00, 1.04)</w:t>
            </w:r>
          </w:p>
        </w:tc>
        <w:tc>
          <w:tcPr>
            <w:tcW w:w="1440" w:type="dxa"/>
            <w:tcBorders>
              <w:top w:val="nil"/>
              <w:left w:val="nil"/>
              <w:bottom w:val="single" w:sz="4" w:space="0" w:color="auto"/>
              <w:right w:val="nil"/>
            </w:tcBorders>
          </w:tcPr>
          <w:p w:rsidR="0071095C" w:rsidRPr="00C75910" w:rsidRDefault="0071095C" w:rsidP="00C75910">
            <w:pPr>
              <w:spacing w:line="360" w:lineRule="auto"/>
              <w:jc w:val="both"/>
              <w:rPr>
                <w:rFonts w:ascii="Book Antiqua" w:hAnsi="Book Antiqua" w:cs="Arial"/>
                <w:lang w:eastAsia="zh-CN"/>
              </w:rPr>
            </w:pPr>
            <w:r w:rsidRPr="00C75910">
              <w:rPr>
                <w:rFonts w:ascii="Book Antiqua" w:hAnsi="Book Antiqua" w:cs="Arial"/>
              </w:rPr>
              <w:t>0.03</w:t>
            </w:r>
          </w:p>
        </w:tc>
      </w:tr>
      <w:tr w:rsidR="0071095C" w:rsidRPr="00C75910" w:rsidTr="00275BD0">
        <w:trPr>
          <w:trHeight w:val="466"/>
        </w:trPr>
        <w:tc>
          <w:tcPr>
            <w:tcW w:w="8568" w:type="dxa"/>
            <w:gridSpan w:val="3"/>
            <w:tcBorders>
              <w:top w:val="single" w:sz="4" w:space="0" w:color="auto"/>
              <w:left w:val="nil"/>
              <w:bottom w:val="nil"/>
              <w:right w:val="nil"/>
            </w:tcBorders>
          </w:tcPr>
          <w:p w:rsidR="0071095C" w:rsidRPr="00C75910" w:rsidRDefault="00DE6E00" w:rsidP="00C75910">
            <w:pPr>
              <w:spacing w:line="360" w:lineRule="auto"/>
              <w:jc w:val="both"/>
              <w:rPr>
                <w:rFonts w:ascii="Book Antiqua" w:hAnsi="Book Antiqua" w:cs="Arial"/>
                <w:lang w:eastAsia="zh-CN"/>
              </w:rPr>
            </w:pPr>
            <w:r w:rsidRPr="00C75910">
              <w:rPr>
                <w:rFonts w:ascii="Book Antiqua" w:hAnsi="Book Antiqua" w:cs="Arial"/>
                <w:vertAlign w:val="superscript"/>
              </w:rPr>
              <w:t>1</w:t>
            </w:r>
            <w:r w:rsidRPr="00C75910">
              <w:rPr>
                <w:rFonts w:ascii="Book Antiqua" w:hAnsi="Book Antiqua" w:cs="Arial"/>
              </w:rPr>
              <w:t>Hospitalization events = 271; deaths = 17</w:t>
            </w:r>
            <w:r w:rsidR="00275BD0">
              <w:rPr>
                <w:rFonts w:ascii="Book Antiqua" w:hAnsi="Book Antiqua" w:cs="Arial" w:hint="eastAsia"/>
                <w:lang w:eastAsia="zh-CN"/>
              </w:rPr>
              <w:t xml:space="preserve">; </w:t>
            </w:r>
            <w:r w:rsidRPr="00C75910">
              <w:rPr>
                <w:rFonts w:ascii="Book Antiqua" w:hAnsi="Book Antiqua" w:cs="Arial"/>
                <w:vertAlign w:val="superscript"/>
              </w:rPr>
              <w:t>2</w:t>
            </w:r>
            <w:r w:rsidR="0071095C" w:rsidRPr="00C75910">
              <w:rPr>
                <w:rFonts w:ascii="Book Antiqua" w:hAnsi="Book Antiqua" w:cs="Arial"/>
              </w:rPr>
              <w:t>Adjusted also for age, diabetes, CHF, CVA, PVD, other cardiac diseases, COPD, cancer, hemoglobin level, KDQOL-CF score, assistive device use</w:t>
            </w:r>
            <w:r w:rsidR="00275BD0">
              <w:rPr>
                <w:rFonts w:ascii="Book Antiqua" w:hAnsi="Book Antiqua" w:cs="Arial" w:hint="eastAsia"/>
                <w:lang w:eastAsia="zh-CN"/>
              </w:rPr>
              <w:t>;</w:t>
            </w:r>
            <w:r w:rsidR="00764E14">
              <w:rPr>
                <w:rFonts w:ascii="Book Antiqua" w:hAnsi="Book Antiqua" w:cs="Arial"/>
              </w:rPr>
              <w:t xml:space="preserve"> </w:t>
            </w:r>
            <w:r w:rsidRPr="00C75910">
              <w:rPr>
                <w:rFonts w:ascii="Book Antiqua" w:hAnsi="Book Antiqua" w:cs="Arial"/>
                <w:vertAlign w:val="superscript"/>
              </w:rPr>
              <w:t>3</w:t>
            </w:r>
            <w:r w:rsidR="0071095C" w:rsidRPr="00C75910">
              <w:rPr>
                <w:rFonts w:ascii="Book Antiqua" w:hAnsi="Book Antiqua" w:cs="Arial"/>
              </w:rPr>
              <w:t xml:space="preserve">Faster walk = gait speed </w:t>
            </w:r>
            <w:r w:rsidR="00275BD0" w:rsidRPr="00275BD0">
              <w:rPr>
                <w:rFonts w:ascii="Book Antiqua" w:hAnsi="Book Antiqua" w:cs="Arial"/>
              </w:rPr>
              <w:t>≥</w:t>
            </w:r>
            <w:r w:rsidR="00275BD0">
              <w:rPr>
                <w:rFonts w:ascii="Book Antiqua" w:hAnsi="Book Antiqua" w:cs="Arial" w:hint="eastAsia"/>
              </w:rPr>
              <w:t xml:space="preserve"> </w:t>
            </w:r>
            <w:r w:rsidR="0071095C" w:rsidRPr="00C75910">
              <w:rPr>
                <w:rFonts w:ascii="Book Antiqua" w:hAnsi="Book Antiqua" w:cs="Arial"/>
              </w:rPr>
              <w:t>0.8</w:t>
            </w:r>
            <w:r w:rsidR="0083138C" w:rsidRPr="00C75910">
              <w:rPr>
                <w:rFonts w:ascii="Book Antiqua" w:hAnsi="Book Antiqua" w:cs="Arial"/>
              </w:rPr>
              <w:t xml:space="preserve"> </w:t>
            </w:r>
            <w:r w:rsidR="0071095C" w:rsidRPr="00C75910">
              <w:rPr>
                <w:rFonts w:ascii="Book Antiqua" w:hAnsi="Book Antiqua" w:cs="Arial"/>
              </w:rPr>
              <w:t>m/s</w:t>
            </w:r>
            <w:r w:rsidR="00275BD0">
              <w:rPr>
                <w:rFonts w:ascii="Book Antiqua" w:hAnsi="Book Antiqua" w:cs="Arial" w:hint="eastAsia"/>
                <w:lang w:eastAsia="zh-CN"/>
              </w:rPr>
              <w:t xml:space="preserve">; </w:t>
            </w:r>
            <w:r w:rsidRPr="00C75910">
              <w:rPr>
                <w:rFonts w:ascii="Book Antiqua" w:hAnsi="Book Antiqua" w:cs="Arial"/>
                <w:vertAlign w:val="superscript"/>
              </w:rPr>
              <w:t>4</w:t>
            </w:r>
            <w:r w:rsidR="0071095C" w:rsidRPr="00C75910">
              <w:rPr>
                <w:rFonts w:ascii="Book Antiqua" w:hAnsi="Book Antiqua" w:cs="Arial"/>
              </w:rPr>
              <w:t>Slower walk = gait speed &lt;</w:t>
            </w:r>
            <w:r w:rsidR="00275BD0">
              <w:rPr>
                <w:rFonts w:ascii="Book Antiqua" w:hAnsi="Book Antiqua" w:cs="Arial" w:hint="eastAsia"/>
                <w:lang w:eastAsia="zh-CN"/>
              </w:rPr>
              <w:t xml:space="preserve"> </w:t>
            </w:r>
            <w:r w:rsidR="0071095C" w:rsidRPr="00C75910">
              <w:rPr>
                <w:rFonts w:ascii="Book Antiqua" w:hAnsi="Book Antiqua" w:cs="Arial"/>
              </w:rPr>
              <w:t>0.8</w:t>
            </w:r>
            <w:r w:rsidR="0083138C" w:rsidRPr="00C75910">
              <w:rPr>
                <w:rFonts w:ascii="Book Antiqua" w:hAnsi="Book Antiqua" w:cs="Arial"/>
              </w:rPr>
              <w:t xml:space="preserve"> </w:t>
            </w:r>
            <w:r w:rsidR="0071095C" w:rsidRPr="00C75910">
              <w:rPr>
                <w:rFonts w:ascii="Book Antiqua" w:hAnsi="Book Antiqua" w:cs="Arial"/>
              </w:rPr>
              <w:t>m/s</w:t>
            </w:r>
            <w:r w:rsidR="00275BD0">
              <w:rPr>
                <w:rFonts w:ascii="Book Antiqua" w:hAnsi="Book Antiqua" w:cs="Arial" w:hint="eastAsia"/>
                <w:lang w:eastAsia="zh-CN"/>
              </w:rPr>
              <w:t xml:space="preserve">. </w:t>
            </w:r>
            <w:r w:rsidR="0071095C" w:rsidRPr="00C75910">
              <w:rPr>
                <w:rFonts w:ascii="Book Antiqua" w:hAnsi="Book Antiqua" w:cs="Arial"/>
              </w:rPr>
              <w:t xml:space="preserve">CAD: </w:t>
            </w:r>
            <w:r w:rsidR="00275BD0" w:rsidRPr="00C75910">
              <w:rPr>
                <w:rFonts w:ascii="Book Antiqua" w:hAnsi="Book Antiqua" w:cs="Arial"/>
              </w:rPr>
              <w:t>C</w:t>
            </w:r>
            <w:r w:rsidR="0071095C" w:rsidRPr="00C75910">
              <w:rPr>
                <w:rFonts w:ascii="Book Antiqua" w:hAnsi="Book Antiqua" w:cs="Arial"/>
              </w:rPr>
              <w:t xml:space="preserve">oronary artery disease; CHF: </w:t>
            </w:r>
            <w:r w:rsidR="00275BD0" w:rsidRPr="00C75910">
              <w:rPr>
                <w:rFonts w:ascii="Book Antiqua" w:hAnsi="Book Antiqua" w:cs="Arial"/>
              </w:rPr>
              <w:t>C</w:t>
            </w:r>
            <w:r w:rsidR="0071095C" w:rsidRPr="00C75910">
              <w:rPr>
                <w:rFonts w:ascii="Book Antiqua" w:hAnsi="Book Antiqua" w:cs="Arial"/>
              </w:rPr>
              <w:t xml:space="preserve">ongestive heart failure; CI: </w:t>
            </w:r>
            <w:r w:rsidR="00275BD0" w:rsidRPr="00C75910">
              <w:rPr>
                <w:rFonts w:ascii="Book Antiqua" w:hAnsi="Book Antiqua" w:cs="Arial"/>
              </w:rPr>
              <w:t>C</w:t>
            </w:r>
            <w:r w:rsidR="0071095C" w:rsidRPr="00C75910">
              <w:rPr>
                <w:rFonts w:ascii="Book Antiqua" w:hAnsi="Book Antiqua" w:cs="Arial"/>
              </w:rPr>
              <w:t xml:space="preserve">onfidence interval; COPD: </w:t>
            </w:r>
            <w:r w:rsidR="00275BD0" w:rsidRPr="00C75910">
              <w:rPr>
                <w:rFonts w:ascii="Book Antiqua" w:hAnsi="Book Antiqua" w:cs="Arial"/>
              </w:rPr>
              <w:t>C</w:t>
            </w:r>
            <w:r w:rsidR="0071095C" w:rsidRPr="00C75910">
              <w:rPr>
                <w:rFonts w:ascii="Book Antiqua" w:hAnsi="Book Antiqua" w:cs="Arial"/>
              </w:rPr>
              <w:t>hronic obstructive pulmonary</w:t>
            </w:r>
            <w:r w:rsidR="00764E14">
              <w:rPr>
                <w:rFonts w:ascii="Book Antiqua" w:hAnsi="Book Antiqua" w:cs="Arial"/>
              </w:rPr>
              <w:t xml:space="preserve"> </w:t>
            </w:r>
            <w:r w:rsidR="0071095C" w:rsidRPr="00C75910">
              <w:rPr>
                <w:rFonts w:ascii="Book Antiqua" w:hAnsi="Book Antiqua" w:cs="Arial"/>
              </w:rPr>
              <w:t xml:space="preserve">disease; CVA: </w:t>
            </w:r>
            <w:r w:rsidR="00275BD0" w:rsidRPr="00C75910">
              <w:rPr>
                <w:rFonts w:ascii="Book Antiqua" w:hAnsi="Book Antiqua" w:cs="Arial"/>
              </w:rPr>
              <w:t>C</w:t>
            </w:r>
            <w:r w:rsidR="0071095C" w:rsidRPr="00C75910">
              <w:rPr>
                <w:rFonts w:ascii="Book Antiqua" w:hAnsi="Book Antiqua" w:cs="Arial"/>
              </w:rPr>
              <w:t xml:space="preserve">ardiovascular accident; ESRD: </w:t>
            </w:r>
            <w:r w:rsidR="00275BD0" w:rsidRPr="00C75910">
              <w:rPr>
                <w:rFonts w:ascii="Book Antiqua" w:hAnsi="Book Antiqua" w:cs="Arial"/>
              </w:rPr>
              <w:t>E</w:t>
            </w:r>
            <w:r w:rsidR="0071095C" w:rsidRPr="00C75910">
              <w:rPr>
                <w:rFonts w:ascii="Book Antiqua" w:hAnsi="Book Antiqua" w:cs="Arial"/>
              </w:rPr>
              <w:t xml:space="preserve">nd-stage renal disease; KDQOL-CF: Kidney Disease Quality of Life-Cognitive Function; other cardiac diseases: </w:t>
            </w:r>
            <w:r w:rsidR="00275BD0" w:rsidRPr="00C75910">
              <w:rPr>
                <w:rFonts w:ascii="Book Antiqua" w:hAnsi="Book Antiqua" w:cs="Arial"/>
              </w:rPr>
              <w:t>C</w:t>
            </w:r>
            <w:r w:rsidR="0071095C" w:rsidRPr="00C75910">
              <w:rPr>
                <w:rFonts w:ascii="Book Antiqua" w:hAnsi="Book Antiqua" w:cs="Arial"/>
              </w:rPr>
              <w:t xml:space="preserve">ardiac dysrhythmia, atrial fibrillation, tachycardia, pericarditis, cardiac arrest; PVD: </w:t>
            </w:r>
            <w:r w:rsidR="00275BD0" w:rsidRPr="00C75910">
              <w:rPr>
                <w:rFonts w:ascii="Book Antiqua" w:hAnsi="Book Antiqua" w:cs="Arial"/>
              </w:rPr>
              <w:t>P</w:t>
            </w:r>
            <w:r w:rsidR="0071095C" w:rsidRPr="00C75910">
              <w:rPr>
                <w:rFonts w:ascii="Book Antiqua" w:hAnsi="Book Antiqua" w:cs="Arial"/>
              </w:rPr>
              <w:t>eripheral vascular disease</w:t>
            </w:r>
            <w:r w:rsidR="00275BD0">
              <w:rPr>
                <w:rFonts w:ascii="Book Antiqua" w:hAnsi="Book Antiqua" w:cs="Arial" w:hint="eastAsia"/>
                <w:lang w:eastAsia="zh-CN"/>
              </w:rPr>
              <w:t>.</w:t>
            </w:r>
          </w:p>
        </w:tc>
      </w:tr>
    </w:tbl>
    <w:p w:rsidR="00AF3129" w:rsidRPr="00C75910" w:rsidRDefault="00AF3129" w:rsidP="00C75910">
      <w:pPr>
        <w:spacing w:line="360" w:lineRule="auto"/>
        <w:jc w:val="both"/>
        <w:rPr>
          <w:rFonts w:ascii="Book Antiqua" w:hAnsi="Book Antiqua"/>
          <w:lang w:eastAsia="zh-CN"/>
        </w:rPr>
      </w:pPr>
    </w:p>
    <w:sectPr w:rsidR="00AF3129" w:rsidRPr="00C75910" w:rsidSect="006F36B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A7" w:rsidRDefault="00976BA7" w:rsidP="0097527F">
      <w:r>
        <w:separator/>
      </w:r>
    </w:p>
  </w:endnote>
  <w:endnote w:type="continuationSeparator" w:id="0">
    <w:p w:rsidR="00976BA7" w:rsidRDefault="00976BA7" w:rsidP="0097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A7" w:rsidRDefault="00976BA7" w:rsidP="0097527F">
      <w:r>
        <w:separator/>
      </w:r>
    </w:p>
  </w:footnote>
  <w:footnote w:type="continuationSeparator" w:id="0">
    <w:p w:rsidR="00976BA7" w:rsidRDefault="00976BA7" w:rsidP="00975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305530"/>
      <w:docPartObj>
        <w:docPartGallery w:val="Page Numbers (Top of Page)"/>
        <w:docPartUnique/>
      </w:docPartObj>
    </w:sdtPr>
    <w:sdtEndPr>
      <w:rPr>
        <w:noProof/>
      </w:rPr>
    </w:sdtEndPr>
    <w:sdtContent>
      <w:p w:rsidR="00F05A62" w:rsidRDefault="00F05A62">
        <w:pPr>
          <w:pStyle w:val="a6"/>
          <w:jc w:val="right"/>
        </w:pPr>
        <w:r>
          <w:fldChar w:fldCharType="begin"/>
        </w:r>
        <w:r>
          <w:instrText xml:space="preserve"> PAGE   \* MERGEFORMAT </w:instrText>
        </w:r>
        <w:r>
          <w:fldChar w:fldCharType="separate"/>
        </w:r>
        <w:r w:rsidR="002B3C15">
          <w:rPr>
            <w:noProof/>
          </w:rPr>
          <w:t>21</w:t>
        </w:r>
        <w:r>
          <w:rPr>
            <w:noProof/>
          </w:rPr>
          <w:fldChar w:fldCharType="end"/>
        </w:r>
      </w:p>
    </w:sdtContent>
  </w:sdt>
  <w:p w:rsidR="00F05A62" w:rsidRDefault="00F05A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3796F"/>
    <w:multiLevelType w:val="hybridMultilevel"/>
    <w:tmpl w:val="F6328E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FC125D"/>
    <w:multiLevelType w:val="hybridMultilevel"/>
    <w:tmpl w:val="77F8FEE0"/>
    <w:lvl w:ilvl="0" w:tplc="7C16EFE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95"/>
    <w:rsid w:val="00000A0A"/>
    <w:rsid w:val="00001116"/>
    <w:rsid w:val="000015C4"/>
    <w:rsid w:val="000016D4"/>
    <w:rsid w:val="0000199D"/>
    <w:rsid w:val="000026B3"/>
    <w:rsid w:val="00003E1A"/>
    <w:rsid w:val="00004700"/>
    <w:rsid w:val="00004892"/>
    <w:rsid w:val="000048B3"/>
    <w:rsid w:val="00004E44"/>
    <w:rsid w:val="00004F6B"/>
    <w:rsid w:val="000116F2"/>
    <w:rsid w:val="00013A89"/>
    <w:rsid w:val="00013D42"/>
    <w:rsid w:val="00014299"/>
    <w:rsid w:val="00014938"/>
    <w:rsid w:val="0001544E"/>
    <w:rsid w:val="0001583F"/>
    <w:rsid w:val="00016161"/>
    <w:rsid w:val="00016760"/>
    <w:rsid w:val="000171AE"/>
    <w:rsid w:val="00017B02"/>
    <w:rsid w:val="00017C7F"/>
    <w:rsid w:val="00017FC7"/>
    <w:rsid w:val="000203DA"/>
    <w:rsid w:val="00020E4E"/>
    <w:rsid w:val="00021C79"/>
    <w:rsid w:val="00021CF0"/>
    <w:rsid w:val="00022169"/>
    <w:rsid w:val="00022376"/>
    <w:rsid w:val="000236D7"/>
    <w:rsid w:val="00023950"/>
    <w:rsid w:val="00024D72"/>
    <w:rsid w:val="00024DBA"/>
    <w:rsid w:val="00024EEC"/>
    <w:rsid w:val="0002596F"/>
    <w:rsid w:val="00025EC5"/>
    <w:rsid w:val="00026A21"/>
    <w:rsid w:val="00030EB8"/>
    <w:rsid w:val="0003118C"/>
    <w:rsid w:val="000314C5"/>
    <w:rsid w:val="00031E76"/>
    <w:rsid w:val="00031F10"/>
    <w:rsid w:val="00032A92"/>
    <w:rsid w:val="00032C24"/>
    <w:rsid w:val="0003342D"/>
    <w:rsid w:val="0003360D"/>
    <w:rsid w:val="00033803"/>
    <w:rsid w:val="00033A20"/>
    <w:rsid w:val="00033B78"/>
    <w:rsid w:val="00034C6A"/>
    <w:rsid w:val="000350C3"/>
    <w:rsid w:val="0003692D"/>
    <w:rsid w:val="00036E32"/>
    <w:rsid w:val="00037508"/>
    <w:rsid w:val="0003799E"/>
    <w:rsid w:val="00037F19"/>
    <w:rsid w:val="00037F65"/>
    <w:rsid w:val="00040317"/>
    <w:rsid w:val="000410DC"/>
    <w:rsid w:val="000417ED"/>
    <w:rsid w:val="00041805"/>
    <w:rsid w:val="00042522"/>
    <w:rsid w:val="000425F0"/>
    <w:rsid w:val="00044BDE"/>
    <w:rsid w:val="0004542B"/>
    <w:rsid w:val="00045A3A"/>
    <w:rsid w:val="00045D73"/>
    <w:rsid w:val="00046549"/>
    <w:rsid w:val="0004690F"/>
    <w:rsid w:val="000500D4"/>
    <w:rsid w:val="00050FBE"/>
    <w:rsid w:val="00051359"/>
    <w:rsid w:val="00051469"/>
    <w:rsid w:val="0005180E"/>
    <w:rsid w:val="00051A82"/>
    <w:rsid w:val="00051D75"/>
    <w:rsid w:val="00051D9D"/>
    <w:rsid w:val="00054411"/>
    <w:rsid w:val="00054538"/>
    <w:rsid w:val="00054720"/>
    <w:rsid w:val="00055FDC"/>
    <w:rsid w:val="000566B2"/>
    <w:rsid w:val="000570AE"/>
    <w:rsid w:val="00060862"/>
    <w:rsid w:val="000609B4"/>
    <w:rsid w:val="000613FE"/>
    <w:rsid w:val="00061449"/>
    <w:rsid w:val="0006198C"/>
    <w:rsid w:val="000627C1"/>
    <w:rsid w:val="00062C32"/>
    <w:rsid w:val="00063E30"/>
    <w:rsid w:val="00064850"/>
    <w:rsid w:val="000648CC"/>
    <w:rsid w:val="00065192"/>
    <w:rsid w:val="0006529C"/>
    <w:rsid w:val="00065CFA"/>
    <w:rsid w:val="000663E6"/>
    <w:rsid w:val="0006701D"/>
    <w:rsid w:val="000677E3"/>
    <w:rsid w:val="00067B17"/>
    <w:rsid w:val="00070BDD"/>
    <w:rsid w:val="00071345"/>
    <w:rsid w:val="000717BD"/>
    <w:rsid w:val="00073967"/>
    <w:rsid w:val="00073FFF"/>
    <w:rsid w:val="00074419"/>
    <w:rsid w:val="00075FBE"/>
    <w:rsid w:val="0007641C"/>
    <w:rsid w:val="00076494"/>
    <w:rsid w:val="00076CC7"/>
    <w:rsid w:val="0008078F"/>
    <w:rsid w:val="00080F48"/>
    <w:rsid w:val="00082445"/>
    <w:rsid w:val="00082B52"/>
    <w:rsid w:val="00083FFE"/>
    <w:rsid w:val="00084BEA"/>
    <w:rsid w:val="00084F40"/>
    <w:rsid w:val="0008618A"/>
    <w:rsid w:val="00086DD1"/>
    <w:rsid w:val="0008750F"/>
    <w:rsid w:val="000877A9"/>
    <w:rsid w:val="00087AEE"/>
    <w:rsid w:val="000902B9"/>
    <w:rsid w:val="00090DC1"/>
    <w:rsid w:val="00091C0E"/>
    <w:rsid w:val="00091F79"/>
    <w:rsid w:val="00092345"/>
    <w:rsid w:val="000923EA"/>
    <w:rsid w:val="0009243B"/>
    <w:rsid w:val="00092733"/>
    <w:rsid w:val="00092E5E"/>
    <w:rsid w:val="00092ED8"/>
    <w:rsid w:val="0009342C"/>
    <w:rsid w:val="0009395D"/>
    <w:rsid w:val="0009644B"/>
    <w:rsid w:val="000966B1"/>
    <w:rsid w:val="0009695B"/>
    <w:rsid w:val="00096B1F"/>
    <w:rsid w:val="00097054"/>
    <w:rsid w:val="00097BAE"/>
    <w:rsid w:val="00097F65"/>
    <w:rsid w:val="000A1155"/>
    <w:rsid w:val="000A1758"/>
    <w:rsid w:val="000A17DF"/>
    <w:rsid w:val="000A2072"/>
    <w:rsid w:val="000A2402"/>
    <w:rsid w:val="000A29A1"/>
    <w:rsid w:val="000A2C16"/>
    <w:rsid w:val="000A35F0"/>
    <w:rsid w:val="000A40CB"/>
    <w:rsid w:val="000A54CB"/>
    <w:rsid w:val="000A57CA"/>
    <w:rsid w:val="000A7005"/>
    <w:rsid w:val="000A7B67"/>
    <w:rsid w:val="000B0971"/>
    <w:rsid w:val="000B1964"/>
    <w:rsid w:val="000B1F91"/>
    <w:rsid w:val="000B1FF3"/>
    <w:rsid w:val="000B3512"/>
    <w:rsid w:val="000B35D6"/>
    <w:rsid w:val="000B3B17"/>
    <w:rsid w:val="000B3F6E"/>
    <w:rsid w:val="000B5CD4"/>
    <w:rsid w:val="000B6285"/>
    <w:rsid w:val="000B629A"/>
    <w:rsid w:val="000B6AC4"/>
    <w:rsid w:val="000B761C"/>
    <w:rsid w:val="000B77D5"/>
    <w:rsid w:val="000B7DA0"/>
    <w:rsid w:val="000C03AF"/>
    <w:rsid w:val="000C047E"/>
    <w:rsid w:val="000C0DB2"/>
    <w:rsid w:val="000C1640"/>
    <w:rsid w:val="000C199F"/>
    <w:rsid w:val="000C1C21"/>
    <w:rsid w:val="000C1D8E"/>
    <w:rsid w:val="000C1DC4"/>
    <w:rsid w:val="000C22A4"/>
    <w:rsid w:val="000C2504"/>
    <w:rsid w:val="000C33CB"/>
    <w:rsid w:val="000C3E5F"/>
    <w:rsid w:val="000C483C"/>
    <w:rsid w:val="000C4942"/>
    <w:rsid w:val="000C5A04"/>
    <w:rsid w:val="000C610B"/>
    <w:rsid w:val="000C7413"/>
    <w:rsid w:val="000C7FE9"/>
    <w:rsid w:val="000D0144"/>
    <w:rsid w:val="000D1422"/>
    <w:rsid w:val="000D15E7"/>
    <w:rsid w:val="000D196D"/>
    <w:rsid w:val="000D2048"/>
    <w:rsid w:val="000D244C"/>
    <w:rsid w:val="000D2E3D"/>
    <w:rsid w:val="000D3CE9"/>
    <w:rsid w:val="000D409E"/>
    <w:rsid w:val="000D47B4"/>
    <w:rsid w:val="000D4D66"/>
    <w:rsid w:val="000D5F9E"/>
    <w:rsid w:val="000D626F"/>
    <w:rsid w:val="000D64F4"/>
    <w:rsid w:val="000D68AC"/>
    <w:rsid w:val="000D69A5"/>
    <w:rsid w:val="000D6D0B"/>
    <w:rsid w:val="000D6EA8"/>
    <w:rsid w:val="000D7224"/>
    <w:rsid w:val="000D7C9C"/>
    <w:rsid w:val="000E0B98"/>
    <w:rsid w:val="000E0C80"/>
    <w:rsid w:val="000E0E37"/>
    <w:rsid w:val="000E1321"/>
    <w:rsid w:val="000E21E3"/>
    <w:rsid w:val="000E2252"/>
    <w:rsid w:val="000E2683"/>
    <w:rsid w:val="000E3DAF"/>
    <w:rsid w:val="000E43D4"/>
    <w:rsid w:val="000E4889"/>
    <w:rsid w:val="000E52FC"/>
    <w:rsid w:val="000E5D85"/>
    <w:rsid w:val="000E6D56"/>
    <w:rsid w:val="000E71B6"/>
    <w:rsid w:val="000F022D"/>
    <w:rsid w:val="000F0E96"/>
    <w:rsid w:val="000F14F6"/>
    <w:rsid w:val="000F153F"/>
    <w:rsid w:val="000F1CAC"/>
    <w:rsid w:val="000F30F4"/>
    <w:rsid w:val="000F3774"/>
    <w:rsid w:val="000F46C2"/>
    <w:rsid w:val="000F4808"/>
    <w:rsid w:val="000F4CF0"/>
    <w:rsid w:val="000F536E"/>
    <w:rsid w:val="000F55D9"/>
    <w:rsid w:val="000F56C0"/>
    <w:rsid w:val="000F697F"/>
    <w:rsid w:val="000F7EE3"/>
    <w:rsid w:val="000F7EF9"/>
    <w:rsid w:val="000F7F30"/>
    <w:rsid w:val="000F7F6F"/>
    <w:rsid w:val="00101177"/>
    <w:rsid w:val="00101E0F"/>
    <w:rsid w:val="0010264E"/>
    <w:rsid w:val="0010285B"/>
    <w:rsid w:val="001044A8"/>
    <w:rsid w:val="00104931"/>
    <w:rsid w:val="00104C8C"/>
    <w:rsid w:val="00104D59"/>
    <w:rsid w:val="00104DAF"/>
    <w:rsid w:val="00105C2E"/>
    <w:rsid w:val="00110296"/>
    <w:rsid w:val="00110836"/>
    <w:rsid w:val="00110A76"/>
    <w:rsid w:val="00110B35"/>
    <w:rsid w:val="00110C6E"/>
    <w:rsid w:val="00110EFD"/>
    <w:rsid w:val="0011143F"/>
    <w:rsid w:val="00111603"/>
    <w:rsid w:val="001121A5"/>
    <w:rsid w:val="00112C55"/>
    <w:rsid w:val="00113794"/>
    <w:rsid w:val="00114274"/>
    <w:rsid w:val="00114929"/>
    <w:rsid w:val="001149D5"/>
    <w:rsid w:val="00114E4C"/>
    <w:rsid w:val="00116675"/>
    <w:rsid w:val="001178F5"/>
    <w:rsid w:val="0012030F"/>
    <w:rsid w:val="0012187D"/>
    <w:rsid w:val="00122FB2"/>
    <w:rsid w:val="00122FE1"/>
    <w:rsid w:val="00123163"/>
    <w:rsid w:val="0012376E"/>
    <w:rsid w:val="0012383B"/>
    <w:rsid w:val="0012402F"/>
    <w:rsid w:val="0012424C"/>
    <w:rsid w:val="00125014"/>
    <w:rsid w:val="001267EA"/>
    <w:rsid w:val="00126B26"/>
    <w:rsid w:val="00127258"/>
    <w:rsid w:val="0012740B"/>
    <w:rsid w:val="001277ED"/>
    <w:rsid w:val="00127A17"/>
    <w:rsid w:val="00127CFF"/>
    <w:rsid w:val="00130490"/>
    <w:rsid w:val="00131095"/>
    <w:rsid w:val="001310F1"/>
    <w:rsid w:val="00131ED4"/>
    <w:rsid w:val="0013289F"/>
    <w:rsid w:val="00135B34"/>
    <w:rsid w:val="00135CB1"/>
    <w:rsid w:val="00136222"/>
    <w:rsid w:val="001367DF"/>
    <w:rsid w:val="001401B6"/>
    <w:rsid w:val="001401FD"/>
    <w:rsid w:val="001404B9"/>
    <w:rsid w:val="00140602"/>
    <w:rsid w:val="00140FE4"/>
    <w:rsid w:val="001429CD"/>
    <w:rsid w:val="00142FBB"/>
    <w:rsid w:val="001438DC"/>
    <w:rsid w:val="0014460B"/>
    <w:rsid w:val="0014525C"/>
    <w:rsid w:val="0014607C"/>
    <w:rsid w:val="00146491"/>
    <w:rsid w:val="00147586"/>
    <w:rsid w:val="001500B2"/>
    <w:rsid w:val="00150171"/>
    <w:rsid w:val="00150456"/>
    <w:rsid w:val="00150A1B"/>
    <w:rsid w:val="00150EFF"/>
    <w:rsid w:val="00151565"/>
    <w:rsid w:val="0015158B"/>
    <w:rsid w:val="00151D1D"/>
    <w:rsid w:val="001522B7"/>
    <w:rsid w:val="001532A1"/>
    <w:rsid w:val="001539CD"/>
    <w:rsid w:val="00153FAF"/>
    <w:rsid w:val="00154539"/>
    <w:rsid w:val="001547C4"/>
    <w:rsid w:val="00154991"/>
    <w:rsid w:val="001549A5"/>
    <w:rsid w:val="00154FC7"/>
    <w:rsid w:val="001558AB"/>
    <w:rsid w:val="00155CEB"/>
    <w:rsid w:val="00155F5E"/>
    <w:rsid w:val="001568DC"/>
    <w:rsid w:val="001571D8"/>
    <w:rsid w:val="001579F7"/>
    <w:rsid w:val="00160352"/>
    <w:rsid w:val="00160B89"/>
    <w:rsid w:val="00160C34"/>
    <w:rsid w:val="001613BC"/>
    <w:rsid w:val="001618FD"/>
    <w:rsid w:val="00161E20"/>
    <w:rsid w:val="00163C01"/>
    <w:rsid w:val="00163F49"/>
    <w:rsid w:val="00164C04"/>
    <w:rsid w:val="001655AA"/>
    <w:rsid w:val="00165A7C"/>
    <w:rsid w:val="00165E67"/>
    <w:rsid w:val="00166C52"/>
    <w:rsid w:val="001673E9"/>
    <w:rsid w:val="00170274"/>
    <w:rsid w:val="001707A3"/>
    <w:rsid w:val="00171D75"/>
    <w:rsid w:val="00172191"/>
    <w:rsid w:val="001725D3"/>
    <w:rsid w:val="00173D30"/>
    <w:rsid w:val="0017504F"/>
    <w:rsid w:val="00175284"/>
    <w:rsid w:val="00175323"/>
    <w:rsid w:val="00175A81"/>
    <w:rsid w:val="0017628D"/>
    <w:rsid w:val="00177567"/>
    <w:rsid w:val="001778EF"/>
    <w:rsid w:val="00177E12"/>
    <w:rsid w:val="00180D78"/>
    <w:rsid w:val="00181A4B"/>
    <w:rsid w:val="00182FBD"/>
    <w:rsid w:val="001844DC"/>
    <w:rsid w:val="00185234"/>
    <w:rsid w:val="00185A7A"/>
    <w:rsid w:val="00185CAE"/>
    <w:rsid w:val="00186725"/>
    <w:rsid w:val="00187B94"/>
    <w:rsid w:val="00187E82"/>
    <w:rsid w:val="001905D4"/>
    <w:rsid w:val="00190C99"/>
    <w:rsid w:val="00191F20"/>
    <w:rsid w:val="00192E8A"/>
    <w:rsid w:val="0019386E"/>
    <w:rsid w:val="0019485C"/>
    <w:rsid w:val="0019502D"/>
    <w:rsid w:val="00195663"/>
    <w:rsid w:val="00196217"/>
    <w:rsid w:val="001969DE"/>
    <w:rsid w:val="001A1224"/>
    <w:rsid w:val="001A158E"/>
    <w:rsid w:val="001A184D"/>
    <w:rsid w:val="001A1934"/>
    <w:rsid w:val="001A47B9"/>
    <w:rsid w:val="001A5633"/>
    <w:rsid w:val="001A59A0"/>
    <w:rsid w:val="001A64EF"/>
    <w:rsid w:val="001A6A46"/>
    <w:rsid w:val="001A6E2E"/>
    <w:rsid w:val="001A7872"/>
    <w:rsid w:val="001A7CD1"/>
    <w:rsid w:val="001B1622"/>
    <w:rsid w:val="001B28BC"/>
    <w:rsid w:val="001B3171"/>
    <w:rsid w:val="001B3CCD"/>
    <w:rsid w:val="001B5604"/>
    <w:rsid w:val="001B6F6D"/>
    <w:rsid w:val="001C1AAE"/>
    <w:rsid w:val="001C1EE6"/>
    <w:rsid w:val="001C25EA"/>
    <w:rsid w:val="001C2AE3"/>
    <w:rsid w:val="001C2C55"/>
    <w:rsid w:val="001C3337"/>
    <w:rsid w:val="001C346D"/>
    <w:rsid w:val="001C3BB4"/>
    <w:rsid w:val="001C3BE5"/>
    <w:rsid w:val="001C3F78"/>
    <w:rsid w:val="001C44C4"/>
    <w:rsid w:val="001C4D73"/>
    <w:rsid w:val="001C5808"/>
    <w:rsid w:val="001C639C"/>
    <w:rsid w:val="001C6777"/>
    <w:rsid w:val="001C766D"/>
    <w:rsid w:val="001C774C"/>
    <w:rsid w:val="001C779D"/>
    <w:rsid w:val="001C782F"/>
    <w:rsid w:val="001C7B21"/>
    <w:rsid w:val="001D00AA"/>
    <w:rsid w:val="001D26D3"/>
    <w:rsid w:val="001D2A55"/>
    <w:rsid w:val="001D3101"/>
    <w:rsid w:val="001D3734"/>
    <w:rsid w:val="001D420B"/>
    <w:rsid w:val="001D428D"/>
    <w:rsid w:val="001D51AA"/>
    <w:rsid w:val="001D54B9"/>
    <w:rsid w:val="001E0178"/>
    <w:rsid w:val="001E0C0C"/>
    <w:rsid w:val="001E29F0"/>
    <w:rsid w:val="001E2C60"/>
    <w:rsid w:val="001E2F9D"/>
    <w:rsid w:val="001E2FCC"/>
    <w:rsid w:val="001E35F1"/>
    <w:rsid w:val="001E3FB9"/>
    <w:rsid w:val="001E40BB"/>
    <w:rsid w:val="001E552A"/>
    <w:rsid w:val="001E55BE"/>
    <w:rsid w:val="001E62C3"/>
    <w:rsid w:val="001F006D"/>
    <w:rsid w:val="001F0755"/>
    <w:rsid w:val="001F0898"/>
    <w:rsid w:val="001F0AB6"/>
    <w:rsid w:val="001F0C54"/>
    <w:rsid w:val="001F0E1A"/>
    <w:rsid w:val="001F1138"/>
    <w:rsid w:val="001F196E"/>
    <w:rsid w:val="001F19CB"/>
    <w:rsid w:val="001F1F24"/>
    <w:rsid w:val="001F2C9A"/>
    <w:rsid w:val="001F2C9F"/>
    <w:rsid w:val="001F3727"/>
    <w:rsid w:val="001F3C60"/>
    <w:rsid w:val="001F60D3"/>
    <w:rsid w:val="001F71B7"/>
    <w:rsid w:val="001F7696"/>
    <w:rsid w:val="001F7C1F"/>
    <w:rsid w:val="002013EC"/>
    <w:rsid w:val="00202903"/>
    <w:rsid w:val="002031B6"/>
    <w:rsid w:val="002038A5"/>
    <w:rsid w:val="00203B79"/>
    <w:rsid w:val="00203C80"/>
    <w:rsid w:val="002040CB"/>
    <w:rsid w:val="00204157"/>
    <w:rsid w:val="00204633"/>
    <w:rsid w:val="002046B0"/>
    <w:rsid w:val="00205558"/>
    <w:rsid w:val="002061B5"/>
    <w:rsid w:val="0020675A"/>
    <w:rsid w:val="0020720B"/>
    <w:rsid w:val="00210065"/>
    <w:rsid w:val="00210A69"/>
    <w:rsid w:val="002126C6"/>
    <w:rsid w:val="00213BB7"/>
    <w:rsid w:val="00214333"/>
    <w:rsid w:val="00214849"/>
    <w:rsid w:val="002149B7"/>
    <w:rsid w:val="00214E43"/>
    <w:rsid w:val="00215402"/>
    <w:rsid w:val="0021624E"/>
    <w:rsid w:val="00216658"/>
    <w:rsid w:val="00221169"/>
    <w:rsid w:val="002213A1"/>
    <w:rsid w:val="00221DC9"/>
    <w:rsid w:val="002221BF"/>
    <w:rsid w:val="00222483"/>
    <w:rsid w:val="00222511"/>
    <w:rsid w:val="00222760"/>
    <w:rsid w:val="00222919"/>
    <w:rsid w:val="002243D2"/>
    <w:rsid w:val="00225700"/>
    <w:rsid w:val="00225F6B"/>
    <w:rsid w:val="00225FC9"/>
    <w:rsid w:val="002261DA"/>
    <w:rsid w:val="002262D8"/>
    <w:rsid w:val="00226E1D"/>
    <w:rsid w:val="00227087"/>
    <w:rsid w:val="002308BD"/>
    <w:rsid w:val="002309CD"/>
    <w:rsid w:val="00231340"/>
    <w:rsid w:val="00232467"/>
    <w:rsid w:val="0023264F"/>
    <w:rsid w:val="002346C7"/>
    <w:rsid w:val="002366C6"/>
    <w:rsid w:val="00240B76"/>
    <w:rsid w:val="00240DFE"/>
    <w:rsid w:val="0024216F"/>
    <w:rsid w:val="00242695"/>
    <w:rsid w:val="00242A54"/>
    <w:rsid w:val="0024307C"/>
    <w:rsid w:val="00243288"/>
    <w:rsid w:val="00243B03"/>
    <w:rsid w:val="00243E4F"/>
    <w:rsid w:val="00244092"/>
    <w:rsid w:val="00244576"/>
    <w:rsid w:val="00245791"/>
    <w:rsid w:val="00247B04"/>
    <w:rsid w:val="00250B5C"/>
    <w:rsid w:val="00250C82"/>
    <w:rsid w:val="002510FE"/>
    <w:rsid w:val="00251665"/>
    <w:rsid w:val="00256B92"/>
    <w:rsid w:val="00257560"/>
    <w:rsid w:val="0026012A"/>
    <w:rsid w:val="00260886"/>
    <w:rsid w:val="002608AA"/>
    <w:rsid w:val="00260B9F"/>
    <w:rsid w:val="002629F6"/>
    <w:rsid w:val="00262F8A"/>
    <w:rsid w:val="0026324E"/>
    <w:rsid w:val="00264061"/>
    <w:rsid w:val="002641B1"/>
    <w:rsid w:val="00264CE7"/>
    <w:rsid w:val="00265457"/>
    <w:rsid w:val="002667B6"/>
    <w:rsid w:val="00266A99"/>
    <w:rsid w:val="00267272"/>
    <w:rsid w:val="00270598"/>
    <w:rsid w:val="00270E8E"/>
    <w:rsid w:val="00270FE3"/>
    <w:rsid w:val="00271B3E"/>
    <w:rsid w:val="00271F19"/>
    <w:rsid w:val="00272EEA"/>
    <w:rsid w:val="00272F7F"/>
    <w:rsid w:val="00275BD0"/>
    <w:rsid w:val="00275ED2"/>
    <w:rsid w:val="00277238"/>
    <w:rsid w:val="002802A3"/>
    <w:rsid w:val="002816F7"/>
    <w:rsid w:val="00282171"/>
    <w:rsid w:val="00283B5F"/>
    <w:rsid w:val="0028408B"/>
    <w:rsid w:val="002846DB"/>
    <w:rsid w:val="002853D9"/>
    <w:rsid w:val="002912C3"/>
    <w:rsid w:val="00291A8A"/>
    <w:rsid w:val="002928CD"/>
    <w:rsid w:val="0029327C"/>
    <w:rsid w:val="0029377A"/>
    <w:rsid w:val="00293A0B"/>
    <w:rsid w:val="0029443C"/>
    <w:rsid w:val="002949D4"/>
    <w:rsid w:val="0029686D"/>
    <w:rsid w:val="00296E28"/>
    <w:rsid w:val="00296F0A"/>
    <w:rsid w:val="0029727A"/>
    <w:rsid w:val="0029734F"/>
    <w:rsid w:val="00297E05"/>
    <w:rsid w:val="002A0147"/>
    <w:rsid w:val="002A03E1"/>
    <w:rsid w:val="002A04B5"/>
    <w:rsid w:val="002A10F8"/>
    <w:rsid w:val="002A1352"/>
    <w:rsid w:val="002A1461"/>
    <w:rsid w:val="002A1484"/>
    <w:rsid w:val="002A14AA"/>
    <w:rsid w:val="002A1780"/>
    <w:rsid w:val="002A2EB9"/>
    <w:rsid w:val="002A5AA5"/>
    <w:rsid w:val="002A784A"/>
    <w:rsid w:val="002A78C5"/>
    <w:rsid w:val="002A7941"/>
    <w:rsid w:val="002B0683"/>
    <w:rsid w:val="002B0F90"/>
    <w:rsid w:val="002B1BBC"/>
    <w:rsid w:val="002B1E5B"/>
    <w:rsid w:val="002B25E0"/>
    <w:rsid w:val="002B330A"/>
    <w:rsid w:val="002B334D"/>
    <w:rsid w:val="002B3C15"/>
    <w:rsid w:val="002B3C3E"/>
    <w:rsid w:val="002B4311"/>
    <w:rsid w:val="002B4596"/>
    <w:rsid w:val="002B4E96"/>
    <w:rsid w:val="002B5EA4"/>
    <w:rsid w:val="002B6CBE"/>
    <w:rsid w:val="002C07B1"/>
    <w:rsid w:val="002C1A0A"/>
    <w:rsid w:val="002C1B5E"/>
    <w:rsid w:val="002C4519"/>
    <w:rsid w:val="002C5364"/>
    <w:rsid w:val="002C5521"/>
    <w:rsid w:val="002C6818"/>
    <w:rsid w:val="002C77FA"/>
    <w:rsid w:val="002D0B48"/>
    <w:rsid w:val="002D1EC4"/>
    <w:rsid w:val="002D24B5"/>
    <w:rsid w:val="002D327F"/>
    <w:rsid w:val="002D3DE2"/>
    <w:rsid w:val="002D428F"/>
    <w:rsid w:val="002D6CCB"/>
    <w:rsid w:val="002D78EF"/>
    <w:rsid w:val="002E1618"/>
    <w:rsid w:val="002E1862"/>
    <w:rsid w:val="002E2A23"/>
    <w:rsid w:val="002E3026"/>
    <w:rsid w:val="002E354C"/>
    <w:rsid w:val="002E44C5"/>
    <w:rsid w:val="002E47C8"/>
    <w:rsid w:val="002E568F"/>
    <w:rsid w:val="002E63D2"/>
    <w:rsid w:val="002E6911"/>
    <w:rsid w:val="002E7007"/>
    <w:rsid w:val="002F0532"/>
    <w:rsid w:val="002F0C8A"/>
    <w:rsid w:val="002F1A44"/>
    <w:rsid w:val="002F21E7"/>
    <w:rsid w:val="002F23C0"/>
    <w:rsid w:val="002F2C9A"/>
    <w:rsid w:val="002F2EA7"/>
    <w:rsid w:val="002F2F05"/>
    <w:rsid w:val="002F34AE"/>
    <w:rsid w:val="002F41E8"/>
    <w:rsid w:val="002F42E6"/>
    <w:rsid w:val="002F46FD"/>
    <w:rsid w:val="002F56BA"/>
    <w:rsid w:val="002F672B"/>
    <w:rsid w:val="002F6A09"/>
    <w:rsid w:val="002F7709"/>
    <w:rsid w:val="00300043"/>
    <w:rsid w:val="0030067E"/>
    <w:rsid w:val="00300A0F"/>
    <w:rsid w:val="00300EFF"/>
    <w:rsid w:val="00301F9F"/>
    <w:rsid w:val="00303029"/>
    <w:rsid w:val="0030320E"/>
    <w:rsid w:val="003034F4"/>
    <w:rsid w:val="0030437B"/>
    <w:rsid w:val="003045F4"/>
    <w:rsid w:val="00304C45"/>
    <w:rsid w:val="00304CD5"/>
    <w:rsid w:val="003059AA"/>
    <w:rsid w:val="00305C4C"/>
    <w:rsid w:val="003067DF"/>
    <w:rsid w:val="0030751F"/>
    <w:rsid w:val="0030758D"/>
    <w:rsid w:val="00307F48"/>
    <w:rsid w:val="00310144"/>
    <w:rsid w:val="00310546"/>
    <w:rsid w:val="003110B0"/>
    <w:rsid w:val="00311DC0"/>
    <w:rsid w:val="00311FD4"/>
    <w:rsid w:val="003128A1"/>
    <w:rsid w:val="00313674"/>
    <w:rsid w:val="00314425"/>
    <w:rsid w:val="00314A5C"/>
    <w:rsid w:val="00314D30"/>
    <w:rsid w:val="00315E4B"/>
    <w:rsid w:val="00316272"/>
    <w:rsid w:val="00316557"/>
    <w:rsid w:val="00316655"/>
    <w:rsid w:val="0031690B"/>
    <w:rsid w:val="0031730E"/>
    <w:rsid w:val="00317621"/>
    <w:rsid w:val="003202CE"/>
    <w:rsid w:val="00320D7C"/>
    <w:rsid w:val="0032177A"/>
    <w:rsid w:val="003219A1"/>
    <w:rsid w:val="00321B25"/>
    <w:rsid w:val="00322824"/>
    <w:rsid w:val="00323365"/>
    <w:rsid w:val="003246C2"/>
    <w:rsid w:val="003251DC"/>
    <w:rsid w:val="003259DD"/>
    <w:rsid w:val="00326C8B"/>
    <w:rsid w:val="00326FF7"/>
    <w:rsid w:val="00327C7B"/>
    <w:rsid w:val="00332532"/>
    <w:rsid w:val="003332B1"/>
    <w:rsid w:val="00333B56"/>
    <w:rsid w:val="00334E24"/>
    <w:rsid w:val="003354E4"/>
    <w:rsid w:val="003360AE"/>
    <w:rsid w:val="003362F9"/>
    <w:rsid w:val="003377B1"/>
    <w:rsid w:val="00337D5E"/>
    <w:rsid w:val="00337E57"/>
    <w:rsid w:val="003400E7"/>
    <w:rsid w:val="0034082C"/>
    <w:rsid w:val="003410A8"/>
    <w:rsid w:val="0034120C"/>
    <w:rsid w:val="0034136F"/>
    <w:rsid w:val="00341706"/>
    <w:rsid w:val="00341FE5"/>
    <w:rsid w:val="003421DB"/>
    <w:rsid w:val="00342634"/>
    <w:rsid w:val="00342DD9"/>
    <w:rsid w:val="00344170"/>
    <w:rsid w:val="00345097"/>
    <w:rsid w:val="00346E40"/>
    <w:rsid w:val="00346E72"/>
    <w:rsid w:val="003503BD"/>
    <w:rsid w:val="00350543"/>
    <w:rsid w:val="00351903"/>
    <w:rsid w:val="003519FE"/>
    <w:rsid w:val="00352925"/>
    <w:rsid w:val="00353D44"/>
    <w:rsid w:val="00354445"/>
    <w:rsid w:val="003548C3"/>
    <w:rsid w:val="00354FC0"/>
    <w:rsid w:val="00355963"/>
    <w:rsid w:val="0035782B"/>
    <w:rsid w:val="0036041F"/>
    <w:rsid w:val="0036081A"/>
    <w:rsid w:val="0036158D"/>
    <w:rsid w:val="003616DA"/>
    <w:rsid w:val="003617D5"/>
    <w:rsid w:val="00361963"/>
    <w:rsid w:val="00361D89"/>
    <w:rsid w:val="0036345B"/>
    <w:rsid w:val="00363553"/>
    <w:rsid w:val="00363FA1"/>
    <w:rsid w:val="00365597"/>
    <w:rsid w:val="00367B35"/>
    <w:rsid w:val="00370381"/>
    <w:rsid w:val="003703AA"/>
    <w:rsid w:val="00371263"/>
    <w:rsid w:val="00371320"/>
    <w:rsid w:val="00371465"/>
    <w:rsid w:val="00371896"/>
    <w:rsid w:val="00371D42"/>
    <w:rsid w:val="0037395D"/>
    <w:rsid w:val="00373CDA"/>
    <w:rsid w:val="0037408A"/>
    <w:rsid w:val="00375AED"/>
    <w:rsid w:val="00375DDC"/>
    <w:rsid w:val="003812DE"/>
    <w:rsid w:val="00382735"/>
    <w:rsid w:val="003831C0"/>
    <w:rsid w:val="00383325"/>
    <w:rsid w:val="0038494F"/>
    <w:rsid w:val="003850D1"/>
    <w:rsid w:val="00385256"/>
    <w:rsid w:val="003856A9"/>
    <w:rsid w:val="00385760"/>
    <w:rsid w:val="00385919"/>
    <w:rsid w:val="003866F2"/>
    <w:rsid w:val="00387442"/>
    <w:rsid w:val="003877F1"/>
    <w:rsid w:val="0039187E"/>
    <w:rsid w:val="0039188C"/>
    <w:rsid w:val="00392078"/>
    <w:rsid w:val="003924C6"/>
    <w:rsid w:val="00393729"/>
    <w:rsid w:val="00393CE1"/>
    <w:rsid w:val="003948AB"/>
    <w:rsid w:val="00395907"/>
    <w:rsid w:val="00395B75"/>
    <w:rsid w:val="0039662C"/>
    <w:rsid w:val="00397E3A"/>
    <w:rsid w:val="003A00E7"/>
    <w:rsid w:val="003A07DC"/>
    <w:rsid w:val="003A19DD"/>
    <w:rsid w:val="003A2262"/>
    <w:rsid w:val="003A253E"/>
    <w:rsid w:val="003A26F5"/>
    <w:rsid w:val="003A327D"/>
    <w:rsid w:val="003A367A"/>
    <w:rsid w:val="003A3885"/>
    <w:rsid w:val="003A4343"/>
    <w:rsid w:val="003A4D6D"/>
    <w:rsid w:val="003A5568"/>
    <w:rsid w:val="003A5B18"/>
    <w:rsid w:val="003B1D5D"/>
    <w:rsid w:val="003B222F"/>
    <w:rsid w:val="003B2980"/>
    <w:rsid w:val="003B3228"/>
    <w:rsid w:val="003B326D"/>
    <w:rsid w:val="003B4489"/>
    <w:rsid w:val="003B4535"/>
    <w:rsid w:val="003B4980"/>
    <w:rsid w:val="003B4B18"/>
    <w:rsid w:val="003B5818"/>
    <w:rsid w:val="003B656D"/>
    <w:rsid w:val="003B69C6"/>
    <w:rsid w:val="003B6D61"/>
    <w:rsid w:val="003B747B"/>
    <w:rsid w:val="003C0239"/>
    <w:rsid w:val="003C1F35"/>
    <w:rsid w:val="003C271E"/>
    <w:rsid w:val="003C36EE"/>
    <w:rsid w:val="003C3D17"/>
    <w:rsid w:val="003C403E"/>
    <w:rsid w:val="003C538D"/>
    <w:rsid w:val="003C5FE6"/>
    <w:rsid w:val="003C6BE6"/>
    <w:rsid w:val="003C6F12"/>
    <w:rsid w:val="003C7872"/>
    <w:rsid w:val="003C7D48"/>
    <w:rsid w:val="003D0B4C"/>
    <w:rsid w:val="003D10EF"/>
    <w:rsid w:val="003D1220"/>
    <w:rsid w:val="003D17D7"/>
    <w:rsid w:val="003D1E3A"/>
    <w:rsid w:val="003D581C"/>
    <w:rsid w:val="003D5DC5"/>
    <w:rsid w:val="003E059F"/>
    <w:rsid w:val="003E0999"/>
    <w:rsid w:val="003E19A5"/>
    <w:rsid w:val="003E2EE5"/>
    <w:rsid w:val="003E361A"/>
    <w:rsid w:val="003E3EA9"/>
    <w:rsid w:val="003E42AC"/>
    <w:rsid w:val="003E4827"/>
    <w:rsid w:val="003E491D"/>
    <w:rsid w:val="003E60E4"/>
    <w:rsid w:val="003E74F2"/>
    <w:rsid w:val="003F0709"/>
    <w:rsid w:val="003F13AA"/>
    <w:rsid w:val="003F168F"/>
    <w:rsid w:val="003F2006"/>
    <w:rsid w:val="003F35CC"/>
    <w:rsid w:val="003F43D8"/>
    <w:rsid w:val="003F5C1C"/>
    <w:rsid w:val="003F6128"/>
    <w:rsid w:val="003F64B3"/>
    <w:rsid w:val="003F78EC"/>
    <w:rsid w:val="003F790B"/>
    <w:rsid w:val="004000EE"/>
    <w:rsid w:val="004004D1"/>
    <w:rsid w:val="00400EA1"/>
    <w:rsid w:val="00400FD1"/>
    <w:rsid w:val="004013CB"/>
    <w:rsid w:val="00401434"/>
    <w:rsid w:val="004019A4"/>
    <w:rsid w:val="00401D84"/>
    <w:rsid w:val="004027FC"/>
    <w:rsid w:val="00403579"/>
    <w:rsid w:val="004035FF"/>
    <w:rsid w:val="004039F9"/>
    <w:rsid w:val="00403C83"/>
    <w:rsid w:val="00404FE3"/>
    <w:rsid w:val="0040515A"/>
    <w:rsid w:val="00405B54"/>
    <w:rsid w:val="00405BB6"/>
    <w:rsid w:val="004060CD"/>
    <w:rsid w:val="00406348"/>
    <w:rsid w:val="00410221"/>
    <w:rsid w:val="00410C1A"/>
    <w:rsid w:val="00412054"/>
    <w:rsid w:val="00412543"/>
    <w:rsid w:val="00412753"/>
    <w:rsid w:val="00413120"/>
    <w:rsid w:val="00413517"/>
    <w:rsid w:val="004144CB"/>
    <w:rsid w:val="004153ED"/>
    <w:rsid w:val="00415EF6"/>
    <w:rsid w:val="00416941"/>
    <w:rsid w:val="00417B19"/>
    <w:rsid w:val="004202D9"/>
    <w:rsid w:val="004203B4"/>
    <w:rsid w:val="00420724"/>
    <w:rsid w:val="00420B55"/>
    <w:rsid w:val="00420CEA"/>
    <w:rsid w:val="00421B66"/>
    <w:rsid w:val="00421D6B"/>
    <w:rsid w:val="00422206"/>
    <w:rsid w:val="00422598"/>
    <w:rsid w:val="0042293D"/>
    <w:rsid w:val="0042299E"/>
    <w:rsid w:val="00423568"/>
    <w:rsid w:val="004243EF"/>
    <w:rsid w:val="0042444C"/>
    <w:rsid w:val="00425A62"/>
    <w:rsid w:val="004262EE"/>
    <w:rsid w:val="004277D9"/>
    <w:rsid w:val="00427F2D"/>
    <w:rsid w:val="0043093C"/>
    <w:rsid w:val="00430D4D"/>
    <w:rsid w:val="00431268"/>
    <w:rsid w:val="00433016"/>
    <w:rsid w:val="0043334B"/>
    <w:rsid w:val="0043354D"/>
    <w:rsid w:val="00433B66"/>
    <w:rsid w:val="00435125"/>
    <w:rsid w:val="00435951"/>
    <w:rsid w:val="00437156"/>
    <w:rsid w:val="00437A16"/>
    <w:rsid w:val="00437DAB"/>
    <w:rsid w:val="00440899"/>
    <w:rsid w:val="00440BCE"/>
    <w:rsid w:val="00443803"/>
    <w:rsid w:val="004438E9"/>
    <w:rsid w:val="00443AAD"/>
    <w:rsid w:val="00444803"/>
    <w:rsid w:val="00445550"/>
    <w:rsid w:val="00446B62"/>
    <w:rsid w:val="00447715"/>
    <w:rsid w:val="00447985"/>
    <w:rsid w:val="00450B22"/>
    <w:rsid w:val="00452221"/>
    <w:rsid w:val="00454361"/>
    <w:rsid w:val="004543AC"/>
    <w:rsid w:val="004545C0"/>
    <w:rsid w:val="00455237"/>
    <w:rsid w:val="004555E9"/>
    <w:rsid w:val="0045585E"/>
    <w:rsid w:val="00455D9C"/>
    <w:rsid w:val="00455F32"/>
    <w:rsid w:val="00456405"/>
    <w:rsid w:val="0045653C"/>
    <w:rsid w:val="00456BE5"/>
    <w:rsid w:val="00457E34"/>
    <w:rsid w:val="00460AD2"/>
    <w:rsid w:val="00460D42"/>
    <w:rsid w:val="00460FE6"/>
    <w:rsid w:val="00461474"/>
    <w:rsid w:val="00461B5F"/>
    <w:rsid w:val="0046204B"/>
    <w:rsid w:val="00462453"/>
    <w:rsid w:val="004630C5"/>
    <w:rsid w:val="00463EDC"/>
    <w:rsid w:val="00464C85"/>
    <w:rsid w:val="00466627"/>
    <w:rsid w:val="004667F4"/>
    <w:rsid w:val="00471293"/>
    <w:rsid w:val="00471C38"/>
    <w:rsid w:val="004736F6"/>
    <w:rsid w:val="0047414B"/>
    <w:rsid w:val="004746FF"/>
    <w:rsid w:val="00474926"/>
    <w:rsid w:val="00474AAE"/>
    <w:rsid w:val="00475558"/>
    <w:rsid w:val="004758C5"/>
    <w:rsid w:val="00475B95"/>
    <w:rsid w:val="004761CE"/>
    <w:rsid w:val="004761DF"/>
    <w:rsid w:val="0047716C"/>
    <w:rsid w:val="00477240"/>
    <w:rsid w:val="00481734"/>
    <w:rsid w:val="00482185"/>
    <w:rsid w:val="0048276E"/>
    <w:rsid w:val="00482CC4"/>
    <w:rsid w:val="00482ED4"/>
    <w:rsid w:val="004856CF"/>
    <w:rsid w:val="00485C17"/>
    <w:rsid w:val="004876B2"/>
    <w:rsid w:val="004878CB"/>
    <w:rsid w:val="0049046B"/>
    <w:rsid w:val="00490EDB"/>
    <w:rsid w:val="0049214E"/>
    <w:rsid w:val="00492630"/>
    <w:rsid w:val="004944A8"/>
    <w:rsid w:val="004951F3"/>
    <w:rsid w:val="004965AE"/>
    <w:rsid w:val="004968CB"/>
    <w:rsid w:val="004968FA"/>
    <w:rsid w:val="00496934"/>
    <w:rsid w:val="00497419"/>
    <w:rsid w:val="004A07A8"/>
    <w:rsid w:val="004A0B96"/>
    <w:rsid w:val="004A16A8"/>
    <w:rsid w:val="004A1988"/>
    <w:rsid w:val="004A1B02"/>
    <w:rsid w:val="004A1BFC"/>
    <w:rsid w:val="004A29BD"/>
    <w:rsid w:val="004A318F"/>
    <w:rsid w:val="004A38AB"/>
    <w:rsid w:val="004A3D1E"/>
    <w:rsid w:val="004A4B87"/>
    <w:rsid w:val="004A5F3F"/>
    <w:rsid w:val="004A6E2A"/>
    <w:rsid w:val="004A7110"/>
    <w:rsid w:val="004B094E"/>
    <w:rsid w:val="004B159D"/>
    <w:rsid w:val="004B1F1A"/>
    <w:rsid w:val="004B368A"/>
    <w:rsid w:val="004B3AAF"/>
    <w:rsid w:val="004B40DF"/>
    <w:rsid w:val="004B4391"/>
    <w:rsid w:val="004B4D4C"/>
    <w:rsid w:val="004B4EF5"/>
    <w:rsid w:val="004B4F54"/>
    <w:rsid w:val="004B5152"/>
    <w:rsid w:val="004B540C"/>
    <w:rsid w:val="004B5721"/>
    <w:rsid w:val="004B5A3C"/>
    <w:rsid w:val="004B6A66"/>
    <w:rsid w:val="004B7D85"/>
    <w:rsid w:val="004C0AA9"/>
    <w:rsid w:val="004C0B44"/>
    <w:rsid w:val="004C0E35"/>
    <w:rsid w:val="004C1777"/>
    <w:rsid w:val="004C5820"/>
    <w:rsid w:val="004C5A11"/>
    <w:rsid w:val="004C655E"/>
    <w:rsid w:val="004C6812"/>
    <w:rsid w:val="004C6B30"/>
    <w:rsid w:val="004C7743"/>
    <w:rsid w:val="004D033B"/>
    <w:rsid w:val="004D0DFF"/>
    <w:rsid w:val="004D1832"/>
    <w:rsid w:val="004D1CD4"/>
    <w:rsid w:val="004D1F16"/>
    <w:rsid w:val="004D238C"/>
    <w:rsid w:val="004D23BC"/>
    <w:rsid w:val="004D2D8C"/>
    <w:rsid w:val="004D2DB7"/>
    <w:rsid w:val="004D4801"/>
    <w:rsid w:val="004D485D"/>
    <w:rsid w:val="004D5CA5"/>
    <w:rsid w:val="004D6E5F"/>
    <w:rsid w:val="004D700E"/>
    <w:rsid w:val="004D74BD"/>
    <w:rsid w:val="004E05FA"/>
    <w:rsid w:val="004E17D2"/>
    <w:rsid w:val="004E1CA4"/>
    <w:rsid w:val="004E240C"/>
    <w:rsid w:val="004E264C"/>
    <w:rsid w:val="004E335B"/>
    <w:rsid w:val="004E3500"/>
    <w:rsid w:val="004E4732"/>
    <w:rsid w:val="004E4DC3"/>
    <w:rsid w:val="004E5834"/>
    <w:rsid w:val="004E5E8A"/>
    <w:rsid w:val="004E6C10"/>
    <w:rsid w:val="004E6E1B"/>
    <w:rsid w:val="004E7257"/>
    <w:rsid w:val="004E7D02"/>
    <w:rsid w:val="004F0410"/>
    <w:rsid w:val="004F0935"/>
    <w:rsid w:val="004F1337"/>
    <w:rsid w:val="004F1524"/>
    <w:rsid w:val="004F1852"/>
    <w:rsid w:val="004F2807"/>
    <w:rsid w:val="004F2EFB"/>
    <w:rsid w:val="004F3D9A"/>
    <w:rsid w:val="004F41CA"/>
    <w:rsid w:val="004F4A5A"/>
    <w:rsid w:val="004F58F9"/>
    <w:rsid w:val="004F6B06"/>
    <w:rsid w:val="004F6D98"/>
    <w:rsid w:val="004F7061"/>
    <w:rsid w:val="00500106"/>
    <w:rsid w:val="00500A17"/>
    <w:rsid w:val="00500C0D"/>
    <w:rsid w:val="005016F9"/>
    <w:rsid w:val="00502DC5"/>
    <w:rsid w:val="00503A61"/>
    <w:rsid w:val="00503C4B"/>
    <w:rsid w:val="0050473D"/>
    <w:rsid w:val="0050588D"/>
    <w:rsid w:val="00506855"/>
    <w:rsid w:val="00506989"/>
    <w:rsid w:val="00506A4C"/>
    <w:rsid w:val="0051060E"/>
    <w:rsid w:val="005107F2"/>
    <w:rsid w:val="00511B9F"/>
    <w:rsid w:val="00511CCF"/>
    <w:rsid w:val="00513FCD"/>
    <w:rsid w:val="005147FD"/>
    <w:rsid w:val="00516200"/>
    <w:rsid w:val="00516A09"/>
    <w:rsid w:val="005178DB"/>
    <w:rsid w:val="00517AA7"/>
    <w:rsid w:val="00517B45"/>
    <w:rsid w:val="00520111"/>
    <w:rsid w:val="00520C44"/>
    <w:rsid w:val="00520C8E"/>
    <w:rsid w:val="005226F7"/>
    <w:rsid w:val="00522CF8"/>
    <w:rsid w:val="00523223"/>
    <w:rsid w:val="0052349E"/>
    <w:rsid w:val="005235BF"/>
    <w:rsid w:val="00524798"/>
    <w:rsid w:val="005248E8"/>
    <w:rsid w:val="005249C3"/>
    <w:rsid w:val="00524F04"/>
    <w:rsid w:val="00525E6B"/>
    <w:rsid w:val="0052717E"/>
    <w:rsid w:val="005273F0"/>
    <w:rsid w:val="0052744B"/>
    <w:rsid w:val="00527C8C"/>
    <w:rsid w:val="00530087"/>
    <w:rsid w:val="00530627"/>
    <w:rsid w:val="00530D88"/>
    <w:rsid w:val="00531108"/>
    <w:rsid w:val="005313A0"/>
    <w:rsid w:val="00531463"/>
    <w:rsid w:val="00531997"/>
    <w:rsid w:val="0053293F"/>
    <w:rsid w:val="00532D35"/>
    <w:rsid w:val="0053341B"/>
    <w:rsid w:val="0053358F"/>
    <w:rsid w:val="005344DD"/>
    <w:rsid w:val="00534629"/>
    <w:rsid w:val="00534F5F"/>
    <w:rsid w:val="0053518E"/>
    <w:rsid w:val="00535AE4"/>
    <w:rsid w:val="00536050"/>
    <w:rsid w:val="005401EB"/>
    <w:rsid w:val="00541A99"/>
    <w:rsid w:val="00542D59"/>
    <w:rsid w:val="00543041"/>
    <w:rsid w:val="005436BD"/>
    <w:rsid w:val="005439B6"/>
    <w:rsid w:val="005439C7"/>
    <w:rsid w:val="005445D9"/>
    <w:rsid w:val="00544634"/>
    <w:rsid w:val="00546F8D"/>
    <w:rsid w:val="00547434"/>
    <w:rsid w:val="00547E1E"/>
    <w:rsid w:val="00547E79"/>
    <w:rsid w:val="005504F0"/>
    <w:rsid w:val="00551754"/>
    <w:rsid w:val="0055399E"/>
    <w:rsid w:val="005543B2"/>
    <w:rsid w:val="00554678"/>
    <w:rsid w:val="00554781"/>
    <w:rsid w:val="00554EDB"/>
    <w:rsid w:val="00555318"/>
    <w:rsid w:val="00555943"/>
    <w:rsid w:val="005562D1"/>
    <w:rsid w:val="005572CE"/>
    <w:rsid w:val="005575CA"/>
    <w:rsid w:val="00560999"/>
    <w:rsid w:val="00560FA4"/>
    <w:rsid w:val="005611F0"/>
    <w:rsid w:val="00562228"/>
    <w:rsid w:val="00562F08"/>
    <w:rsid w:val="00563038"/>
    <w:rsid w:val="005635AF"/>
    <w:rsid w:val="00563D49"/>
    <w:rsid w:val="005646C5"/>
    <w:rsid w:val="0056522A"/>
    <w:rsid w:val="00565BD5"/>
    <w:rsid w:val="00565E35"/>
    <w:rsid w:val="00565FDC"/>
    <w:rsid w:val="00566E41"/>
    <w:rsid w:val="00567F12"/>
    <w:rsid w:val="0057000C"/>
    <w:rsid w:val="005709C3"/>
    <w:rsid w:val="00570C4A"/>
    <w:rsid w:val="00570CFB"/>
    <w:rsid w:val="00573C7D"/>
    <w:rsid w:val="00573CD9"/>
    <w:rsid w:val="00574232"/>
    <w:rsid w:val="00574CBB"/>
    <w:rsid w:val="00574DC5"/>
    <w:rsid w:val="00575A1C"/>
    <w:rsid w:val="00575A76"/>
    <w:rsid w:val="00576207"/>
    <w:rsid w:val="005765A9"/>
    <w:rsid w:val="00576DBE"/>
    <w:rsid w:val="005772DE"/>
    <w:rsid w:val="00577A88"/>
    <w:rsid w:val="00580219"/>
    <w:rsid w:val="00581506"/>
    <w:rsid w:val="005819D8"/>
    <w:rsid w:val="00581ECA"/>
    <w:rsid w:val="00582880"/>
    <w:rsid w:val="00583F46"/>
    <w:rsid w:val="0058454E"/>
    <w:rsid w:val="0058527B"/>
    <w:rsid w:val="005870D8"/>
    <w:rsid w:val="00587874"/>
    <w:rsid w:val="00590C52"/>
    <w:rsid w:val="00590D05"/>
    <w:rsid w:val="0059177F"/>
    <w:rsid w:val="00592587"/>
    <w:rsid w:val="00593F46"/>
    <w:rsid w:val="00595243"/>
    <w:rsid w:val="00595661"/>
    <w:rsid w:val="00595925"/>
    <w:rsid w:val="005961FB"/>
    <w:rsid w:val="005972DC"/>
    <w:rsid w:val="00597517"/>
    <w:rsid w:val="00597557"/>
    <w:rsid w:val="005A00D6"/>
    <w:rsid w:val="005A04B1"/>
    <w:rsid w:val="005A12B3"/>
    <w:rsid w:val="005A17B0"/>
    <w:rsid w:val="005A1945"/>
    <w:rsid w:val="005A1E9F"/>
    <w:rsid w:val="005A44A0"/>
    <w:rsid w:val="005A4A0C"/>
    <w:rsid w:val="005A5098"/>
    <w:rsid w:val="005A510E"/>
    <w:rsid w:val="005A51A8"/>
    <w:rsid w:val="005A554B"/>
    <w:rsid w:val="005A5B43"/>
    <w:rsid w:val="005A5CBE"/>
    <w:rsid w:val="005A66DB"/>
    <w:rsid w:val="005A73B1"/>
    <w:rsid w:val="005B0059"/>
    <w:rsid w:val="005B0C64"/>
    <w:rsid w:val="005B2440"/>
    <w:rsid w:val="005B2509"/>
    <w:rsid w:val="005B2D4E"/>
    <w:rsid w:val="005B357A"/>
    <w:rsid w:val="005B44FD"/>
    <w:rsid w:val="005B4A2B"/>
    <w:rsid w:val="005B59F7"/>
    <w:rsid w:val="005B5F95"/>
    <w:rsid w:val="005C0810"/>
    <w:rsid w:val="005C08D0"/>
    <w:rsid w:val="005C0F22"/>
    <w:rsid w:val="005C11BD"/>
    <w:rsid w:val="005C1379"/>
    <w:rsid w:val="005C337B"/>
    <w:rsid w:val="005C3B0C"/>
    <w:rsid w:val="005C4599"/>
    <w:rsid w:val="005C56BA"/>
    <w:rsid w:val="005C7DB3"/>
    <w:rsid w:val="005D0812"/>
    <w:rsid w:val="005D0AEF"/>
    <w:rsid w:val="005D0E4A"/>
    <w:rsid w:val="005D0EE2"/>
    <w:rsid w:val="005D1381"/>
    <w:rsid w:val="005D1506"/>
    <w:rsid w:val="005D19B9"/>
    <w:rsid w:val="005D20CE"/>
    <w:rsid w:val="005D2760"/>
    <w:rsid w:val="005D3BD1"/>
    <w:rsid w:val="005D4B96"/>
    <w:rsid w:val="005D4CB8"/>
    <w:rsid w:val="005D5892"/>
    <w:rsid w:val="005D68E7"/>
    <w:rsid w:val="005D6E2D"/>
    <w:rsid w:val="005D7DCE"/>
    <w:rsid w:val="005E07E3"/>
    <w:rsid w:val="005E0B61"/>
    <w:rsid w:val="005E1351"/>
    <w:rsid w:val="005E1B21"/>
    <w:rsid w:val="005E1C51"/>
    <w:rsid w:val="005E3A1F"/>
    <w:rsid w:val="005E3DCD"/>
    <w:rsid w:val="005E44A4"/>
    <w:rsid w:val="005E4E67"/>
    <w:rsid w:val="005E5EB6"/>
    <w:rsid w:val="005E6040"/>
    <w:rsid w:val="005E62E5"/>
    <w:rsid w:val="005E6F1C"/>
    <w:rsid w:val="005E706D"/>
    <w:rsid w:val="005E7B06"/>
    <w:rsid w:val="005F0692"/>
    <w:rsid w:val="005F2213"/>
    <w:rsid w:val="005F3A32"/>
    <w:rsid w:val="005F3DA6"/>
    <w:rsid w:val="005F44F5"/>
    <w:rsid w:val="005F47BB"/>
    <w:rsid w:val="005F516F"/>
    <w:rsid w:val="005F5361"/>
    <w:rsid w:val="005F5599"/>
    <w:rsid w:val="005F5F71"/>
    <w:rsid w:val="005F6706"/>
    <w:rsid w:val="00601615"/>
    <w:rsid w:val="00601CB6"/>
    <w:rsid w:val="006022EC"/>
    <w:rsid w:val="0060271E"/>
    <w:rsid w:val="00602A6B"/>
    <w:rsid w:val="006030FC"/>
    <w:rsid w:val="0060453D"/>
    <w:rsid w:val="00605ED3"/>
    <w:rsid w:val="006066F5"/>
    <w:rsid w:val="00607160"/>
    <w:rsid w:val="00607281"/>
    <w:rsid w:val="00607510"/>
    <w:rsid w:val="00610138"/>
    <w:rsid w:val="0061066A"/>
    <w:rsid w:val="00610951"/>
    <w:rsid w:val="00611085"/>
    <w:rsid w:val="0061176B"/>
    <w:rsid w:val="0061188F"/>
    <w:rsid w:val="0061199B"/>
    <w:rsid w:val="00611A37"/>
    <w:rsid w:val="00612D1C"/>
    <w:rsid w:val="006133B6"/>
    <w:rsid w:val="006139F6"/>
    <w:rsid w:val="00616357"/>
    <w:rsid w:val="00616390"/>
    <w:rsid w:val="006165D0"/>
    <w:rsid w:val="0061664C"/>
    <w:rsid w:val="00616871"/>
    <w:rsid w:val="00620D9D"/>
    <w:rsid w:val="00621BA4"/>
    <w:rsid w:val="0062255F"/>
    <w:rsid w:val="00622938"/>
    <w:rsid w:val="00622E6F"/>
    <w:rsid w:val="006230ED"/>
    <w:rsid w:val="00623891"/>
    <w:rsid w:val="00623928"/>
    <w:rsid w:val="0062397C"/>
    <w:rsid w:val="00623C86"/>
    <w:rsid w:val="00624D0E"/>
    <w:rsid w:val="0062500C"/>
    <w:rsid w:val="00625AEC"/>
    <w:rsid w:val="00625E57"/>
    <w:rsid w:val="00626566"/>
    <w:rsid w:val="006301E7"/>
    <w:rsid w:val="0063042D"/>
    <w:rsid w:val="00630BF5"/>
    <w:rsid w:val="00630F4A"/>
    <w:rsid w:val="00631589"/>
    <w:rsid w:val="00633B94"/>
    <w:rsid w:val="00634137"/>
    <w:rsid w:val="006356DB"/>
    <w:rsid w:val="00636873"/>
    <w:rsid w:val="00637F87"/>
    <w:rsid w:val="00640B8D"/>
    <w:rsid w:val="00641105"/>
    <w:rsid w:val="00641A53"/>
    <w:rsid w:val="00641B45"/>
    <w:rsid w:val="00642706"/>
    <w:rsid w:val="00642809"/>
    <w:rsid w:val="00643322"/>
    <w:rsid w:val="00644079"/>
    <w:rsid w:val="00644AC7"/>
    <w:rsid w:val="006457AC"/>
    <w:rsid w:val="00645DDD"/>
    <w:rsid w:val="006463EF"/>
    <w:rsid w:val="006470DC"/>
    <w:rsid w:val="0064718A"/>
    <w:rsid w:val="00647191"/>
    <w:rsid w:val="00650A7F"/>
    <w:rsid w:val="00650E7E"/>
    <w:rsid w:val="006510A2"/>
    <w:rsid w:val="0065493B"/>
    <w:rsid w:val="00654B43"/>
    <w:rsid w:val="006565FE"/>
    <w:rsid w:val="00656DFD"/>
    <w:rsid w:val="00656F5F"/>
    <w:rsid w:val="0065711D"/>
    <w:rsid w:val="00661027"/>
    <w:rsid w:val="00661594"/>
    <w:rsid w:val="00661C37"/>
    <w:rsid w:val="00662F22"/>
    <w:rsid w:val="0066303B"/>
    <w:rsid w:val="00663741"/>
    <w:rsid w:val="00663A0F"/>
    <w:rsid w:val="00663A74"/>
    <w:rsid w:val="00663D72"/>
    <w:rsid w:val="00664F91"/>
    <w:rsid w:val="00665BD3"/>
    <w:rsid w:val="006664A2"/>
    <w:rsid w:val="006664F2"/>
    <w:rsid w:val="00666AC7"/>
    <w:rsid w:val="00666EFD"/>
    <w:rsid w:val="00667269"/>
    <w:rsid w:val="006672BA"/>
    <w:rsid w:val="00667373"/>
    <w:rsid w:val="006679FE"/>
    <w:rsid w:val="00667E39"/>
    <w:rsid w:val="0067002C"/>
    <w:rsid w:val="0067193E"/>
    <w:rsid w:val="00671F1B"/>
    <w:rsid w:val="00671F62"/>
    <w:rsid w:val="00672361"/>
    <w:rsid w:val="00672C18"/>
    <w:rsid w:val="00673766"/>
    <w:rsid w:val="00673E9E"/>
    <w:rsid w:val="00674D74"/>
    <w:rsid w:val="00676131"/>
    <w:rsid w:val="00676C7E"/>
    <w:rsid w:val="006773BD"/>
    <w:rsid w:val="00677B35"/>
    <w:rsid w:val="00677DBA"/>
    <w:rsid w:val="006803D9"/>
    <w:rsid w:val="00680517"/>
    <w:rsid w:val="00682E34"/>
    <w:rsid w:val="006855BF"/>
    <w:rsid w:val="00685BF2"/>
    <w:rsid w:val="0068692C"/>
    <w:rsid w:val="00686EF1"/>
    <w:rsid w:val="0068761B"/>
    <w:rsid w:val="00687E7B"/>
    <w:rsid w:val="00690F31"/>
    <w:rsid w:val="00691B3D"/>
    <w:rsid w:val="00692B32"/>
    <w:rsid w:val="00692FB3"/>
    <w:rsid w:val="0069334E"/>
    <w:rsid w:val="00693C2B"/>
    <w:rsid w:val="0069527F"/>
    <w:rsid w:val="00695CF4"/>
    <w:rsid w:val="00695F2B"/>
    <w:rsid w:val="00696C14"/>
    <w:rsid w:val="00696F8C"/>
    <w:rsid w:val="00697AB8"/>
    <w:rsid w:val="006A06B9"/>
    <w:rsid w:val="006A0B62"/>
    <w:rsid w:val="006A18BA"/>
    <w:rsid w:val="006A5E40"/>
    <w:rsid w:val="006A6ECA"/>
    <w:rsid w:val="006A7136"/>
    <w:rsid w:val="006A73C5"/>
    <w:rsid w:val="006B01A6"/>
    <w:rsid w:val="006B0709"/>
    <w:rsid w:val="006B0903"/>
    <w:rsid w:val="006B0D97"/>
    <w:rsid w:val="006B0E57"/>
    <w:rsid w:val="006B1246"/>
    <w:rsid w:val="006B1633"/>
    <w:rsid w:val="006B2CCE"/>
    <w:rsid w:val="006B3484"/>
    <w:rsid w:val="006B3FCB"/>
    <w:rsid w:val="006B4CD0"/>
    <w:rsid w:val="006B621E"/>
    <w:rsid w:val="006B6D6A"/>
    <w:rsid w:val="006C0735"/>
    <w:rsid w:val="006C07D7"/>
    <w:rsid w:val="006C1004"/>
    <w:rsid w:val="006C1452"/>
    <w:rsid w:val="006C15CD"/>
    <w:rsid w:val="006C1A0E"/>
    <w:rsid w:val="006C1DDB"/>
    <w:rsid w:val="006C252F"/>
    <w:rsid w:val="006C28A8"/>
    <w:rsid w:val="006C2997"/>
    <w:rsid w:val="006C380B"/>
    <w:rsid w:val="006C5311"/>
    <w:rsid w:val="006C5AC1"/>
    <w:rsid w:val="006C5C0F"/>
    <w:rsid w:val="006C64F7"/>
    <w:rsid w:val="006C65FF"/>
    <w:rsid w:val="006C72B9"/>
    <w:rsid w:val="006D116B"/>
    <w:rsid w:val="006D1195"/>
    <w:rsid w:val="006D13C4"/>
    <w:rsid w:val="006D214A"/>
    <w:rsid w:val="006D2A36"/>
    <w:rsid w:val="006D3959"/>
    <w:rsid w:val="006D3BE3"/>
    <w:rsid w:val="006D3C63"/>
    <w:rsid w:val="006D5740"/>
    <w:rsid w:val="006D5E5F"/>
    <w:rsid w:val="006D6640"/>
    <w:rsid w:val="006D6D21"/>
    <w:rsid w:val="006D734F"/>
    <w:rsid w:val="006D7656"/>
    <w:rsid w:val="006D7AF5"/>
    <w:rsid w:val="006D7BB9"/>
    <w:rsid w:val="006E045B"/>
    <w:rsid w:val="006E0EFC"/>
    <w:rsid w:val="006E15DB"/>
    <w:rsid w:val="006E2761"/>
    <w:rsid w:val="006E2CCE"/>
    <w:rsid w:val="006E3018"/>
    <w:rsid w:val="006E3D60"/>
    <w:rsid w:val="006E5584"/>
    <w:rsid w:val="006E5F1F"/>
    <w:rsid w:val="006E620D"/>
    <w:rsid w:val="006E6C56"/>
    <w:rsid w:val="006E6DEE"/>
    <w:rsid w:val="006F01D9"/>
    <w:rsid w:val="006F0976"/>
    <w:rsid w:val="006F17CC"/>
    <w:rsid w:val="006F1EDA"/>
    <w:rsid w:val="006F26B0"/>
    <w:rsid w:val="006F36BA"/>
    <w:rsid w:val="006F3F32"/>
    <w:rsid w:val="006F42D1"/>
    <w:rsid w:val="006F534F"/>
    <w:rsid w:val="006F6636"/>
    <w:rsid w:val="006F712C"/>
    <w:rsid w:val="006F7B36"/>
    <w:rsid w:val="006F7E14"/>
    <w:rsid w:val="006F7E79"/>
    <w:rsid w:val="0070022F"/>
    <w:rsid w:val="007006F6"/>
    <w:rsid w:val="007007E7"/>
    <w:rsid w:val="00701CD2"/>
    <w:rsid w:val="00701F67"/>
    <w:rsid w:val="00702500"/>
    <w:rsid w:val="00704207"/>
    <w:rsid w:val="007059D4"/>
    <w:rsid w:val="00705CA9"/>
    <w:rsid w:val="00705E4B"/>
    <w:rsid w:val="0070660C"/>
    <w:rsid w:val="00707EE1"/>
    <w:rsid w:val="00710095"/>
    <w:rsid w:val="007106FF"/>
    <w:rsid w:val="0071095C"/>
    <w:rsid w:val="00711AEB"/>
    <w:rsid w:val="00711BAE"/>
    <w:rsid w:val="007128FF"/>
    <w:rsid w:val="00713A87"/>
    <w:rsid w:val="007144C2"/>
    <w:rsid w:val="007146C5"/>
    <w:rsid w:val="0071580E"/>
    <w:rsid w:val="0071589B"/>
    <w:rsid w:val="00716027"/>
    <w:rsid w:val="0071683A"/>
    <w:rsid w:val="00716AB2"/>
    <w:rsid w:val="00716B11"/>
    <w:rsid w:val="0071783E"/>
    <w:rsid w:val="00717BB9"/>
    <w:rsid w:val="00720C1B"/>
    <w:rsid w:val="00722A50"/>
    <w:rsid w:val="00722AC6"/>
    <w:rsid w:val="0072456C"/>
    <w:rsid w:val="0072463B"/>
    <w:rsid w:val="00724654"/>
    <w:rsid w:val="00724797"/>
    <w:rsid w:val="007248B0"/>
    <w:rsid w:val="0072501A"/>
    <w:rsid w:val="00726205"/>
    <w:rsid w:val="00727170"/>
    <w:rsid w:val="00727D70"/>
    <w:rsid w:val="0073061C"/>
    <w:rsid w:val="0073156B"/>
    <w:rsid w:val="007316BF"/>
    <w:rsid w:val="007316FA"/>
    <w:rsid w:val="0073238F"/>
    <w:rsid w:val="00732A2F"/>
    <w:rsid w:val="00733436"/>
    <w:rsid w:val="0073369D"/>
    <w:rsid w:val="0073487F"/>
    <w:rsid w:val="0073525A"/>
    <w:rsid w:val="007356FC"/>
    <w:rsid w:val="007363EC"/>
    <w:rsid w:val="007368BD"/>
    <w:rsid w:val="00736D0B"/>
    <w:rsid w:val="00737E59"/>
    <w:rsid w:val="00737E7E"/>
    <w:rsid w:val="00737EDD"/>
    <w:rsid w:val="00740233"/>
    <w:rsid w:val="0074105D"/>
    <w:rsid w:val="007410C5"/>
    <w:rsid w:val="0074484A"/>
    <w:rsid w:val="00744DAB"/>
    <w:rsid w:val="00745EA9"/>
    <w:rsid w:val="00747A3C"/>
    <w:rsid w:val="00750DEE"/>
    <w:rsid w:val="00751478"/>
    <w:rsid w:val="007518AB"/>
    <w:rsid w:val="00752379"/>
    <w:rsid w:val="0075273C"/>
    <w:rsid w:val="007527E7"/>
    <w:rsid w:val="007539FD"/>
    <w:rsid w:val="0075437F"/>
    <w:rsid w:val="0075562D"/>
    <w:rsid w:val="007561A0"/>
    <w:rsid w:val="0075651D"/>
    <w:rsid w:val="007569A1"/>
    <w:rsid w:val="00757888"/>
    <w:rsid w:val="007603BD"/>
    <w:rsid w:val="0076176C"/>
    <w:rsid w:val="00761EF8"/>
    <w:rsid w:val="00761FFF"/>
    <w:rsid w:val="00762D61"/>
    <w:rsid w:val="00763EC7"/>
    <w:rsid w:val="007640C9"/>
    <w:rsid w:val="00764916"/>
    <w:rsid w:val="00764E14"/>
    <w:rsid w:val="007651B4"/>
    <w:rsid w:val="007666E5"/>
    <w:rsid w:val="00767B0A"/>
    <w:rsid w:val="00770C97"/>
    <w:rsid w:val="00770D63"/>
    <w:rsid w:val="00771317"/>
    <w:rsid w:val="0077166D"/>
    <w:rsid w:val="00772306"/>
    <w:rsid w:val="007732F4"/>
    <w:rsid w:val="0077411D"/>
    <w:rsid w:val="007741AB"/>
    <w:rsid w:val="0077483A"/>
    <w:rsid w:val="0077493C"/>
    <w:rsid w:val="00774B81"/>
    <w:rsid w:val="007768DB"/>
    <w:rsid w:val="00776AF2"/>
    <w:rsid w:val="00776E83"/>
    <w:rsid w:val="00777855"/>
    <w:rsid w:val="0077791B"/>
    <w:rsid w:val="00777978"/>
    <w:rsid w:val="00777A8D"/>
    <w:rsid w:val="007806AE"/>
    <w:rsid w:val="00780E5A"/>
    <w:rsid w:val="00780F03"/>
    <w:rsid w:val="0078110E"/>
    <w:rsid w:val="00781271"/>
    <w:rsid w:val="00781795"/>
    <w:rsid w:val="00781AB4"/>
    <w:rsid w:val="00783717"/>
    <w:rsid w:val="00784306"/>
    <w:rsid w:val="00784899"/>
    <w:rsid w:val="00784C84"/>
    <w:rsid w:val="00785522"/>
    <w:rsid w:val="007855E9"/>
    <w:rsid w:val="00786A55"/>
    <w:rsid w:val="00786D36"/>
    <w:rsid w:val="007912ED"/>
    <w:rsid w:val="007922C0"/>
    <w:rsid w:val="0079285B"/>
    <w:rsid w:val="00792864"/>
    <w:rsid w:val="007929E5"/>
    <w:rsid w:val="00792D47"/>
    <w:rsid w:val="00793376"/>
    <w:rsid w:val="0079404A"/>
    <w:rsid w:val="00795033"/>
    <w:rsid w:val="00795209"/>
    <w:rsid w:val="00795917"/>
    <w:rsid w:val="00797064"/>
    <w:rsid w:val="007973D8"/>
    <w:rsid w:val="007975E1"/>
    <w:rsid w:val="00797E28"/>
    <w:rsid w:val="00797FD0"/>
    <w:rsid w:val="007A07F1"/>
    <w:rsid w:val="007A231E"/>
    <w:rsid w:val="007A2AAD"/>
    <w:rsid w:val="007A2C29"/>
    <w:rsid w:val="007A2C66"/>
    <w:rsid w:val="007A35A6"/>
    <w:rsid w:val="007A3D14"/>
    <w:rsid w:val="007A5548"/>
    <w:rsid w:val="007A5563"/>
    <w:rsid w:val="007A70EF"/>
    <w:rsid w:val="007A75D4"/>
    <w:rsid w:val="007B06A5"/>
    <w:rsid w:val="007B11C6"/>
    <w:rsid w:val="007B1E44"/>
    <w:rsid w:val="007B20D6"/>
    <w:rsid w:val="007B3090"/>
    <w:rsid w:val="007B38B5"/>
    <w:rsid w:val="007B3C51"/>
    <w:rsid w:val="007B3D9F"/>
    <w:rsid w:val="007B4698"/>
    <w:rsid w:val="007B5DBB"/>
    <w:rsid w:val="007B5F2D"/>
    <w:rsid w:val="007B74EF"/>
    <w:rsid w:val="007B7E47"/>
    <w:rsid w:val="007C1246"/>
    <w:rsid w:val="007C3DE0"/>
    <w:rsid w:val="007C3E5E"/>
    <w:rsid w:val="007C4365"/>
    <w:rsid w:val="007C53CB"/>
    <w:rsid w:val="007C5407"/>
    <w:rsid w:val="007C5871"/>
    <w:rsid w:val="007C6F9C"/>
    <w:rsid w:val="007C77E1"/>
    <w:rsid w:val="007D1017"/>
    <w:rsid w:val="007D2228"/>
    <w:rsid w:val="007D29A6"/>
    <w:rsid w:val="007D4807"/>
    <w:rsid w:val="007D5890"/>
    <w:rsid w:val="007D6438"/>
    <w:rsid w:val="007D6C67"/>
    <w:rsid w:val="007D6DAD"/>
    <w:rsid w:val="007D703E"/>
    <w:rsid w:val="007D768F"/>
    <w:rsid w:val="007E0BD8"/>
    <w:rsid w:val="007E4BB6"/>
    <w:rsid w:val="007E55C2"/>
    <w:rsid w:val="007E5B61"/>
    <w:rsid w:val="007E677A"/>
    <w:rsid w:val="007E69A9"/>
    <w:rsid w:val="007E6D8C"/>
    <w:rsid w:val="007E6FF9"/>
    <w:rsid w:val="007E7EEA"/>
    <w:rsid w:val="007F0FC4"/>
    <w:rsid w:val="007F1585"/>
    <w:rsid w:val="007F1EB2"/>
    <w:rsid w:val="007F1F9E"/>
    <w:rsid w:val="007F36CC"/>
    <w:rsid w:val="007F4468"/>
    <w:rsid w:val="007F4C46"/>
    <w:rsid w:val="007F5B71"/>
    <w:rsid w:val="007F6493"/>
    <w:rsid w:val="007F6CA6"/>
    <w:rsid w:val="007F6F8A"/>
    <w:rsid w:val="007F7242"/>
    <w:rsid w:val="007F7430"/>
    <w:rsid w:val="00801175"/>
    <w:rsid w:val="00802577"/>
    <w:rsid w:val="0080320F"/>
    <w:rsid w:val="00804BE3"/>
    <w:rsid w:val="00807488"/>
    <w:rsid w:val="00807AD6"/>
    <w:rsid w:val="00810638"/>
    <w:rsid w:val="00810823"/>
    <w:rsid w:val="00810E19"/>
    <w:rsid w:val="00811671"/>
    <w:rsid w:val="008118BB"/>
    <w:rsid w:val="00812434"/>
    <w:rsid w:val="00812450"/>
    <w:rsid w:val="00812D93"/>
    <w:rsid w:val="0081310B"/>
    <w:rsid w:val="00813E9C"/>
    <w:rsid w:val="008141DE"/>
    <w:rsid w:val="00815422"/>
    <w:rsid w:val="00815880"/>
    <w:rsid w:val="008159D6"/>
    <w:rsid w:val="00815CB4"/>
    <w:rsid w:val="00815FA0"/>
    <w:rsid w:val="00816322"/>
    <w:rsid w:val="00816B21"/>
    <w:rsid w:val="00817D75"/>
    <w:rsid w:val="00817E0B"/>
    <w:rsid w:val="00820734"/>
    <w:rsid w:val="008211D0"/>
    <w:rsid w:val="00822C57"/>
    <w:rsid w:val="00823699"/>
    <w:rsid w:val="00824248"/>
    <w:rsid w:val="00824FDE"/>
    <w:rsid w:val="00826436"/>
    <w:rsid w:val="00826566"/>
    <w:rsid w:val="00826A92"/>
    <w:rsid w:val="008309D3"/>
    <w:rsid w:val="0083138C"/>
    <w:rsid w:val="008346F4"/>
    <w:rsid w:val="00834A81"/>
    <w:rsid w:val="00835EEA"/>
    <w:rsid w:val="00836505"/>
    <w:rsid w:val="008370A6"/>
    <w:rsid w:val="00837A52"/>
    <w:rsid w:val="00837EDB"/>
    <w:rsid w:val="00837FCE"/>
    <w:rsid w:val="00840650"/>
    <w:rsid w:val="00842DE8"/>
    <w:rsid w:val="008437B0"/>
    <w:rsid w:val="008457BD"/>
    <w:rsid w:val="00845D01"/>
    <w:rsid w:val="008469A7"/>
    <w:rsid w:val="0084729D"/>
    <w:rsid w:val="00847A60"/>
    <w:rsid w:val="008514F0"/>
    <w:rsid w:val="00851DFA"/>
    <w:rsid w:val="00851E6E"/>
    <w:rsid w:val="0085329F"/>
    <w:rsid w:val="008536DD"/>
    <w:rsid w:val="008540C0"/>
    <w:rsid w:val="0085437C"/>
    <w:rsid w:val="00855B09"/>
    <w:rsid w:val="008565F6"/>
    <w:rsid w:val="0085745B"/>
    <w:rsid w:val="00857A3F"/>
    <w:rsid w:val="00860F6B"/>
    <w:rsid w:val="00861447"/>
    <w:rsid w:val="008618BF"/>
    <w:rsid w:val="00862448"/>
    <w:rsid w:val="00862FF4"/>
    <w:rsid w:val="00863D2F"/>
    <w:rsid w:val="008640D9"/>
    <w:rsid w:val="0086498E"/>
    <w:rsid w:val="00864C4C"/>
    <w:rsid w:val="00865B6C"/>
    <w:rsid w:val="00865DBC"/>
    <w:rsid w:val="00867399"/>
    <w:rsid w:val="008673A5"/>
    <w:rsid w:val="008701CD"/>
    <w:rsid w:val="008702A9"/>
    <w:rsid w:val="00870719"/>
    <w:rsid w:val="008707D2"/>
    <w:rsid w:val="00871181"/>
    <w:rsid w:val="008718B3"/>
    <w:rsid w:val="008730EC"/>
    <w:rsid w:val="008733FF"/>
    <w:rsid w:val="008738E3"/>
    <w:rsid w:val="008739CC"/>
    <w:rsid w:val="00874326"/>
    <w:rsid w:val="00874DAF"/>
    <w:rsid w:val="00874FBB"/>
    <w:rsid w:val="00875180"/>
    <w:rsid w:val="00875906"/>
    <w:rsid w:val="00876556"/>
    <w:rsid w:val="008769E1"/>
    <w:rsid w:val="0087702B"/>
    <w:rsid w:val="0087794A"/>
    <w:rsid w:val="008801C1"/>
    <w:rsid w:val="00881161"/>
    <w:rsid w:val="00881AEF"/>
    <w:rsid w:val="00882EAE"/>
    <w:rsid w:val="0088310D"/>
    <w:rsid w:val="00883CEA"/>
    <w:rsid w:val="008857B6"/>
    <w:rsid w:val="00885830"/>
    <w:rsid w:val="00885A47"/>
    <w:rsid w:val="008875B6"/>
    <w:rsid w:val="00887A63"/>
    <w:rsid w:val="0089020C"/>
    <w:rsid w:val="008904FE"/>
    <w:rsid w:val="00891333"/>
    <w:rsid w:val="008921A3"/>
    <w:rsid w:val="00892AE2"/>
    <w:rsid w:val="008935A4"/>
    <w:rsid w:val="00894536"/>
    <w:rsid w:val="008945DC"/>
    <w:rsid w:val="008947B9"/>
    <w:rsid w:val="00896EF0"/>
    <w:rsid w:val="008977DA"/>
    <w:rsid w:val="00897AB3"/>
    <w:rsid w:val="00897F4F"/>
    <w:rsid w:val="008A02DC"/>
    <w:rsid w:val="008A0EF2"/>
    <w:rsid w:val="008A0F89"/>
    <w:rsid w:val="008A1A91"/>
    <w:rsid w:val="008A2474"/>
    <w:rsid w:val="008A2942"/>
    <w:rsid w:val="008A2E11"/>
    <w:rsid w:val="008A31FB"/>
    <w:rsid w:val="008A3BFF"/>
    <w:rsid w:val="008A43F2"/>
    <w:rsid w:val="008A4D6F"/>
    <w:rsid w:val="008A6DB8"/>
    <w:rsid w:val="008A71D8"/>
    <w:rsid w:val="008B0104"/>
    <w:rsid w:val="008B070E"/>
    <w:rsid w:val="008B074C"/>
    <w:rsid w:val="008B1537"/>
    <w:rsid w:val="008B2FF3"/>
    <w:rsid w:val="008B38F0"/>
    <w:rsid w:val="008B5443"/>
    <w:rsid w:val="008B5E71"/>
    <w:rsid w:val="008B5FE2"/>
    <w:rsid w:val="008B6411"/>
    <w:rsid w:val="008C0B66"/>
    <w:rsid w:val="008C0BDB"/>
    <w:rsid w:val="008C0EFF"/>
    <w:rsid w:val="008C2537"/>
    <w:rsid w:val="008C28F6"/>
    <w:rsid w:val="008C2BFC"/>
    <w:rsid w:val="008C2E84"/>
    <w:rsid w:val="008C2FFD"/>
    <w:rsid w:val="008C4E56"/>
    <w:rsid w:val="008C6509"/>
    <w:rsid w:val="008C6F33"/>
    <w:rsid w:val="008C7BBD"/>
    <w:rsid w:val="008C7CDF"/>
    <w:rsid w:val="008D19EB"/>
    <w:rsid w:val="008D2300"/>
    <w:rsid w:val="008D27FA"/>
    <w:rsid w:val="008D4A28"/>
    <w:rsid w:val="008D515C"/>
    <w:rsid w:val="008D577E"/>
    <w:rsid w:val="008D65F6"/>
    <w:rsid w:val="008D6707"/>
    <w:rsid w:val="008D67C4"/>
    <w:rsid w:val="008D6CC4"/>
    <w:rsid w:val="008D7747"/>
    <w:rsid w:val="008E047F"/>
    <w:rsid w:val="008E0DA0"/>
    <w:rsid w:val="008E0E82"/>
    <w:rsid w:val="008E1413"/>
    <w:rsid w:val="008E1C99"/>
    <w:rsid w:val="008E3316"/>
    <w:rsid w:val="008E4B74"/>
    <w:rsid w:val="008E4E6D"/>
    <w:rsid w:val="008E4FE3"/>
    <w:rsid w:val="008E4FF0"/>
    <w:rsid w:val="008E5E13"/>
    <w:rsid w:val="008E7409"/>
    <w:rsid w:val="008F0473"/>
    <w:rsid w:val="008F1011"/>
    <w:rsid w:val="008F1131"/>
    <w:rsid w:val="008F18C5"/>
    <w:rsid w:val="008F3E50"/>
    <w:rsid w:val="008F40DC"/>
    <w:rsid w:val="008F4492"/>
    <w:rsid w:val="008F56B2"/>
    <w:rsid w:val="008F5C91"/>
    <w:rsid w:val="008F630F"/>
    <w:rsid w:val="008F68EE"/>
    <w:rsid w:val="0090033E"/>
    <w:rsid w:val="00901F99"/>
    <w:rsid w:val="00902E5B"/>
    <w:rsid w:val="00903CBF"/>
    <w:rsid w:val="00903D58"/>
    <w:rsid w:val="009054C4"/>
    <w:rsid w:val="009107E7"/>
    <w:rsid w:val="00910AF0"/>
    <w:rsid w:val="00913039"/>
    <w:rsid w:val="0091325D"/>
    <w:rsid w:val="00914203"/>
    <w:rsid w:val="00914B73"/>
    <w:rsid w:val="009152A1"/>
    <w:rsid w:val="0091547C"/>
    <w:rsid w:val="009155A3"/>
    <w:rsid w:val="009158A3"/>
    <w:rsid w:val="00916430"/>
    <w:rsid w:val="009171EC"/>
    <w:rsid w:val="009209E1"/>
    <w:rsid w:val="00920DB9"/>
    <w:rsid w:val="009236FA"/>
    <w:rsid w:val="00923DF7"/>
    <w:rsid w:val="0092489C"/>
    <w:rsid w:val="00926089"/>
    <w:rsid w:val="0092620B"/>
    <w:rsid w:val="00926B0E"/>
    <w:rsid w:val="00927F17"/>
    <w:rsid w:val="0093068E"/>
    <w:rsid w:val="00930936"/>
    <w:rsid w:val="009311FF"/>
    <w:rsid w:val="00931567"/>
    <w:rsid w:val="009315C7"/>
    <w:rsid w:val="00931695"/>
    <w:rsid w:val="00932654"/>
    <w:rsid w:val="00932B33"/>
    <w:rsid w:val="0093322B"/>
    <w:rsid w:val="009333BF"/>
    <w:rsid w:val="00933AAC"/>
    <w:rsid w:val="0093674C"/>
    <w:rsid w:val="00936DA1"/>
    <w:rsid w:val="00936E41"/>
    <w:rsid w:val="00937769"/>
    <w:rsid w:val="00937803"/>
    <w:rsid w:val="00937C27"/>
    <w:rsid w:val="00940A93"/>
    <w:rsid w:val="0094144D"/>
    <w:rsid w:val="009415C5"/>
    <w:rsid w:val="00941972"/>
    <w:rsid w:val="00941FA9"/>
    <w:rsid w:val="0094384D"/>
    <w:rsid w:val="0094387A"/>
    <w:rsid w:val="00943C3D"/>
    <w:rsid w:val="009450DA"/>
    <w:rsid w:val="009451C4"/>
    <w:rsid w:val="0094525E"/>
    <w:rsid w:val="009454CF"/>
    <w:rsid w:val="009461D7"/>
    <w:rsid w:val="00946BF2"/>
    <w:rsid w:val="00946CB0"/>
    <w:rsid w:val="0094747B"/>
    <w:rsid w:val="00950215"/>
    <w:rsid w:val="00950EC0"/>
    <w:rsid w:val="00953265"/>
    <w:rsid w:val="009535D8"/>
    <w:rsid w:val="009539C9"/>
    <w:rsid w:val="0095591C"/>
    <w:rsid w:val="00955FAC"/>
    <w:rsid w:val="0095733C"/>
    <w:rsid w:val="00957458"/>
    <w:rsid w:val="0095748B"/>
    <w:rsid w:val="009577DB"/>
    <w:rsid w:val="00960474"/>
    <w:rsid w:val="00960C39"/>
    <w:rsid w:val="0096157E"/>
    <w:rsid w:val="00961944"/>
    <w:rsid w:val="00961BF0"/>
    <w:rsid w:val="00961D58"/>
    <w:rsid w:val="00962C6B"/>
    <w:rsid w:val="00964390"/>
    <w:rsid w:val="009645AA"/>
    <w:rsid w:val="00964AD3"/>
    <w:rsid w:val="00966E16"/>
    <w:rsid w:val="009670E5"/>
    <w:rsid w:val="009673FF"/>
    <w:rsid w:val="00967A5C"/>
    <w:rsid w:val="00967F78"/>
    <w:rsid w:val="009700CB"/>
    <w:rsid w:val="00970C15"/>
    <w:rsid w:val="009712FE"/>
    <w:rsid w:val="009717BA"/>
    <w:rsid w:val="00972CE5"/>
    <w:rsid w:val="00972ED8"/>
    <w:rsid w:val="009732F5"/>
    <w:rsid w:val="0097334B"/>
    <w:rsid w:val="00974325"/>
    <w:rsid w:val="0097527F"/>
    <w:rsid w:val="00976942"/>
    <w:rsid w:val="00976BA7"/>
    <w:rsid w:val="00976E02"/>
    <w:rsid w:val="00976FF5"/>
    <w:rsid w:val="0097792A"/>
    <w:rsid w:val="00980081"/>
    <w:rsid w:val="009804A1"/>
    <w:rsid w:val="0098132A"/>
    <w:rsid w:val="00981878"/>
    <w:rsid w:val="00984979"/>
    <w:rsid w:val="00985010"/>
    <w:rsid w:val="00985964"/>
    <w:rsid w:val="00986978"/>
    <w:rsid w:val="00986B1E"/>
    <w:rsid w:val="0099098B"/>
    <w:rsid w:val="00990A04"/>
    <w:rsid w:val="009918BB"/>
    <w:rsid w:val="0099198F"/>
    <w:rsid w:val="00992BA7"/>
    <w:rsid w:val="00994337"/>
    <w:rsid w:val="00995413"/>
    <w:rsid w:val="0099576B"/>
    <w:rsid w:val="009959C1"/>
    <w:rsid w:val="00995CAB"/>
    <w:rsid w:val="00996E3A"/>
    <w:rsid w:val="009978A3"/>
    <w:rsid w:val="009A013B"/>
    <w:rsid w:val="009A0248"/>
    <w:rsid w:val="009A0AC8"/>
    <w:rsid w:val="009A0B2A"/>
    <w:rsid w:val="009A154A"/>
    <w:rsid w:val="009A1B93"/>
    <w:rsid w:val="009A32B2"/>
    <w:rsid w:val="009A3975"/>
    <w:rsid w:val="009A503E"/>
    <w:rsid w:val="009A5B84"/>
    <w:rsid w:val="009A65EB"/>
    <w:rsid w:val="009A6DAE"/>
    <w:rsid w:val="009A7F7A"/>
    <w:rsid w:val="009B07EC"/>
    <w:rsid w:val="009B4424"/>
    <w:rsid w:val="009B4CE4"/>
    <w:rsid w:val="009B543F"/>
    <w:rsid w:val="009B58E3"/>
    <w:rsid w:val="009B5980"/>
    <w:rsid w:val="009B5D91"/>
    <w:rsid w:val="009B6263"/>
    <w:rsid w:val="009B6A96"/>
    <w:rsid w:val="009B7795"/>
    <w:rsid w:val="009C0218"/>
    <w:rsid w:val="009C1529"/>
    <w:rsid w:val="009C199E"/>
    <w:rsid w:val="009C215E"/>
    <w:rsid w:val="009C4437"/>
    <w:rsid w:val="009C44A6"/>
    <w:rsid w:val="009C49DB"/>
    <w:rsid w:val="009C6B95"/>
    <w:rsid w:val="009C7D6D"/>
    <w:rsid w:val="009D0CA9"/>
    <w:rsid w:val="009D1AF5"/>
    <w:rsid w:val="009D1C2D"/>
    <w:rsid w:val="009D2524"/>
    <w:rsid w:val="009D36A2"/>
    <w:rsid w:val="009D44A4"/>
    <w:rsid w:val="009D6A16"/>
    <w:rsid w:val="009D7A14"/>
    <w:rsid w:val="009E02ED"/>
    <w:rsid w:val="009E0C3C"/>
    <w:rsid w:val="009E2A1F"/>
    <w:rsid w:val="009E2AF7"/>
    <w:rsid w:val="009E2E58"/>
    <w:rsid w:val="009E2F91"/>
    <w:rsid w:val="009E3B15"/>
    <w:rsid w:val="009E3BC5"/>
    <w:rsid w:val="009E4A72"/>
    <w:rsid w:val="009E4D2F"/>
    <w:rsid w:val="009E53C7"/>
    <w:rsid w:val="009E5F80"/>
    <w:rsid w:val="009E6290"/>
    <w:rsid w:val="009E6673"/>
    <w:rsid w:val="009E6941"/>
    <w:rsid w:val="009E6FC8"/>
    <w:rsid w:val="009E7DD2"/>
    <w:rsid w:val="009F2C3B"/>
    <w:rsid w:val="009F4EC2"/>
    <w:rsid w:val="009F5001"/>
    <w:rsid w:val="009F600F"/>
    <w:rsid w:val="009F6961"/>
    <w:rsid w:val="009F6CFD"/>
    <w:rsid w:val="00A020D0"/>
    <w:rsid w:val="00A02B10"/>
    <w:rsid w:val="00A03450"/>
    <w:rsid w:val="00A03EE2"/>
    <w:rsid w:val="00A04548"/>
    <w:rsid w:val="00A04794"/>
    <w:rsid w:val="00A05A0C"/>
    <w:rsid w:val="00A060B5"/>
    <w:rsid w:val="00A0627A"/>
    <w:rsid w:val="00A06A9D"/>
    <w:rsid w:val="00A06F36"/>
    <w:rsid w:val="00A0788E"/>
    <w:rsid w:val="00A07FB5"/>
    <w:rsid w:val="00A10C96"/>
    <w:rsid w:val="00A11D5B"/>
    <w:rsid w:val="00A11EF3"/>
    <w:rsid w:val="00A1251C"/>
    <w:rsid w:val="00A12873"/>
    <w:rsid w:val="00A12B5D"/>
    <w:rsid w:val="00A12E16"/>
    <w:rsid w:val="00A13823"/>
    <w:rsid w:val="00A1419D"/>
    <w:rsid w:val="00A15E0F"/>
    <w:rsid w:val="00A168D4"/>
    <w:rsid w:val="00A17080"/>
    <w:rsid w:val="00A170A9"/>
    <w:rsid w:val="00A23F00"/>
    <w:rsid w:val="00A23F45"/>
    <w:rsid w:val="00A250F2"/>
    <w:rsid w:val="00A25127"/>
    <w:rsid w:val="00A2667D"/>
    <w:rsid w:val="00A302D0"/>
    <w:rsid w:val="00A31AED"/>
    <w:rsid w:val="00A31F27"/>
    <w:rsid w:val="00A321C8"/>
    <w:rsid w:val="00A338AE"/>
    <w:rsid w:val="00A33A05"/>
    <w:rsid w:val="00A33D78"/>
    <w:rsid w:val="00A33DD7"/>
    <w:rsid w:val="00A34529"/>
    <w:rsid w:val="00A34993"/>
    <w:rsid w:val="00A34BAA"/>
    <w:rsid w:val="00A34ECC"/>
    <w:rsid w:val="00A350DE"/>
    <w:rsid w:val="00A35366"/>
    <w:rsid w:val="00A3557B"/>
    <w:rsid w:val="00A367BF"/>
    <w:rsid w:val="00A368B2"/>
    <w:rsid w:val="00A36CE8"/>
    <w:rsid w:val="00A36F05"/>
    <w:rsid w:val="00A37C7D"/>
    <w:rsid w:val="00A40E9C"/>
    <w:rsid w:val="00A412B6"/>
    <w:rsid w:val="00A4296F"/>
    <w:rsid w:val="00A44E3C"/>
    <w:rsid w:val="00A450BD"/>
    <w:rsid w:val="00A456F3"/>
    <w:rsid w:val="00A45734"/>
    <w:rsid w:val="00A46D6F"/>
    <w:rsid w:val="00A46E90"/>
    <w:rsid w:val="00A47A6A"/>
    <w:rsid w:val="00A47D52"/>
    <w:rsid w:val="00A5047C"/>
    <w:rsid w:val="00A5060E"/>
    <w:rsid w:val="00A5077E"/>
    <w:rsid w:val="00A50E88"/>
    <w:rsid w:val="00A51E9A"/>
    <w:rsid w:val="00A533FA"/>
    <w:rsid w:val="00A53AF6"/>
    <w:rsid w:val="00A53DC7"/>
    <w:rsid w:val="00A5477B"/>
    <w:rsid w:val="00A5496C"/>
    <w:rsid w:val="00A54E5A"/>
    <w:rsid w:val="00A54F99"/>
    <w:rsid w:val="00A553DC"/>
    <w:rsid w:val="00A559AD"/>
    <w:rsid w:val="00A571FC"/>
    <w:rsid w:val="00A573E4"/>
    <w:rsid w:val="00A60370"/>
    <w:rsid w:val="00A61178"/>
    <w:rsid w:val="00A61BC6"/>
    <w:rsid w:val="00A62DA0"/>
    <w:rsid w:val="00A6322A"/>
    <w:rsid w:val="00A63BAE"/>
    <w:rsid w:val="00A64321"/>
    <w:rsid w:val="00A64570"/>
    <w:rsid w:val="00A64A14"/>
    <w:rsid w:val="00A65B44"/>
    <w:rsid w:val="00A66B58"/>
    <w:rsid w:val="00A66E3D"/>
    <w:rsid w:val="00A677F9"/>
    <w:rsid w:val="00A70892"/>
    <w:rsid w:val="00A71557"/>
    <w:rsid w:val="00A71E76"/>
    <w:rsid w:val="00A71FF6"/>
    <w:rsid w:val="00A73277"/>
    <w:rsid w:val="00A7337C"/>
    <w:rsid w:val="00A741A6"/>
    <w:rsid w:val="00A769DF"/>
    <w:rsid w:val="00A772D6"/>
    <w:rsid w:val="00A81233"/>
    <w:rsid w:val="00A81405"/>
    <w:rsid w:val="00A817EA"/>
    <w:rsid w:val="00A81842"/>
    <w:rsid w:val="00A81B48"/>
    <w:rsid w:val="00A81E03"/>
    <w:rsid w:val="00A81E77"/>
    <w:rsid w:val="00A825E5"/>
    <w:rsid w:val="00A82861"/>
    <w:rsid w:val="00A82E40"/>
    <w:rsid w:val="00A82EA2"/>
    <w:rsid w:val="00A82FB3"/>
    <w:rsid w:val="00A8364A"/>
    <w:rsid w:val="00A84234"/>
    <w:rsid w:val="00A84F43"/>
    <w:rsid w:val="00A8500D"/>
    <w:rsid w:val="00A859AA"/>
    <w:rsid w:val="00A85ABC"/>
    <w:rsid w:val="00A865CA"/>
    <w:rsid w:val="00A879BE"/>
    <w:rsid w:val="00A87FF5"/>
    <w:rsid w:val="00A90505"/>
    <w:rsid w:val="00A907E4"/>
    <w:rsid w:val="00A90C1E"/>
    <w:rsid w:val="00A90ED8"/>
    <w:rsid w:val="00A916C6"/>
    <w:rsid w:val="00A91993"/>
    <w:rsid w:val="00A92DB3"/>
    <w:rsid w:val="00A93358"/>
    <w:rsid w:val="00A936C7"/>
    <w:rsid w:val="00A94D51"/>
    <w:rsid w:val="00A9553E"/>
    <w:rsid w:val="00A956EF"/>
    <w:rsid w:val="00A95A06"/>
    <w:rsid w:val="00A95FCC"/>
    <w:rsid w:val="00A96155"/>
    <w:rsid w:val="00A966F8"/>
    <w:rsid w:val="00AA0486"/>
    <w:rsid w:val="00AA0AA2"/>
    <w:rsid w:val="00AA1054"/>
    <w:rsid w:val="00AA19B3"/>
    <w:rsid w:val="00AA1B5B"/>
    <w:rsid w:val="00AA26C9"/>
    <w:rsid w:val="00AA3395"/>
    <w:rsid w:val="00AA34B0"/>
    <w:rsid w:val="00AA3957"/>
    <w:rsid w:val="00AA4676"/>
    <w:rsid w:val="00AA6223"/>
    <w:rsid w:val="00AA71B4"/>
    <w:rsid w:val="00AA7B1E"/>
    <w:rsid w:val="00AB0602"/>
    <w:rsid w:val="00AB0C56"/>
    <w:rsid w:val="00AB12E8"/>
    <w:rsid w:val="00AB24BF"/>
    <w:rsid w:val="00AB4155"/>
    <w:rsid w:val="00AB5222"/>
    <w:rsid w:val="00AB5D97"/>
    <w:rsid w:val="00AB6156"/>
    <w:rsid w:val="00AB6840"/>
    <w:rsid w:val="00AB6A5A"/>
    <w:rsid w:val="00AB751D"/>
    <w:rsid w:val="00AB75E9"/>
    <w:rsid w:val="00AB7D5D"/>
    <w:rsid w:val="00AC0696"/>
    <w:rsid w:val="00AC0A22"/>
    <w:rsid w:val="00AC0CD8"/>
    <w:rsid w:val="00AC0EEC"/>
    <w:rsid w:val="00AC202E"/>
    <w:rsid w:val="00AC24BF"/>
    <w:rsid w:val="00AC3F02"/>
    <w:rsid w:val="00AC405D"/>
    <w:rsid w:val="00AC4616"/>
    <w:rsid w:val="00AC4AC5"/>
    <w:rsid w:val="00AC4DE3"/>
    <w:rsid w:val="00AC564F"/>
    <w:rsid w:val="00AC58D5"/>
    <w:rsid w:val="00AC5994"/>
    <w:rsid w:val="00AC5B06"/>
    <w:rsid w:val="00AC67C5"/>
    <w:rsid w:val="00AD0214"/>
    <w:rsid w:val="00AD064B"/>
    <w:rsid w:val="00AD1125"/>
    <w:rsid w:val="00AD1194"/>
    <w:rsid w:val="00AD1D59"/>
    <w:rsid w:val="00AD249D"/>
    <w:rsid w:val="00AD2811"/>
    <w:rsid w:val="00AD2F78"/>
    <w:rsid w:val="00AD38C2"/>
    <w:rsid w:val="00AD4002"/>
    <w:rsid w:val="00AD499D"/>
    <w:rsid w:val="00AD56C0"/>
    <w:rsid w:val="00AD7B0D"/>
    <w:rsid w:val="00AE011A"/>
    <w:rsid w:val="00AE029B"/>
    <w:rsid w:val="00AE037F"/>
    <w:rsid w:val="00AE0463"/>
    <w:rsid w:val="00AE10D1"/>
    <w:rsid w:val="00AE1A46"/>
    <w:rsid w:val="00AE2213"/>
    <w:rsid w:val="00AE2484"/>
    <w:rsid w:val="00AE2759"/>
    <w:rsid w:val="00AE2805"/>
    <w:rsid w:val="00AE395C"/>
    <w:rsid w:val="00AE4968"/>
    <w:rsid w:val="00AE5B48"/>
    <w:rsid w:val="00AE5D53"/>
    <w:rsid w:val="00AE625D"/>
    <w:rsid w:val="00AE7173"/>
    <w:rsid w:val="00AE7875"/>
    <w:rsid w:val="00AE7DE3"/>
    <w:rsid w:val="00AF081E"/>
    <w:rsid w:val="00AF0C72"/>
    <w:rsid w:val="00AF0CA3"/>
    <w:rsid w:val="00AF14A7"/>
    <w:rsid w:val="00AF1FA5"/>
    <w:rsid w:val="00AF2CA3"/>
    <w:rsid w:val="00AF2EC8"/>
    <w:rsid w:val="00AF3129"/>
    <w:rsid w:val="00AF3375"/>
    <w:rsid w:val="00AF367B"/>
    <w:rsid w:val="00AF4155"/>
    <w:rsid w:val="00AF4590"/>
    <w:rsid w:val="00AF66D6"/>
    <w:rsid w:val="00B003BE"/>
    <w:rsid w:val="00B0098C"/>
    <w:rsid w:val="00B011A6"/>
    <w:rsid w:val="00B016CE"/>
    <w:rsid w:val="00B02AF8"/>
    <w:rsid w:val="00B02B91"/>
    <w:rsid w:val="00B033DC"/>
    <w:rsid w:val="00B03D4C"/>
    <w:rsid w:val="00B04308"/>
    <w:rsid w:val="00B04D58"/>
    <w:rsid w:val="00B05FF7"/>
    <w:rsid w:val="00B06412"/>
    <w:rsid w:val="00B0659B"/>
    <w:rsid w:val="00B06CB9"/>
    <w:rsid w:val="00B1017B"/>
    <w:rsid w:val="00B11438"/>
    <w:rsid w:val="00B1174F"/>
    <w:rsid w:val="00B11FDE"/>
    <w:rsid w:val="00B12E4F"/>
    <w:rsid w:val="00B13764"/>
    <w:rsid w:val="00B13B5C"/>
    <w:rsid w:val="00B13C7E"/>
    <w:rsid w:val="00B13D10"/>
    <w:rsid w:val="00B13D78"/>
    <w:rsid w:val="00B151B5"/>
    <w:rsid w:val="00B152CB"/>
    <w:rsid w:val="00B161A3"/>
    <w:rsid w:val="00B17ADE"/>
    <w:rsid w:val="00B200B9"/>
    <w:rsid w:val="00B203A2"/>
    <w:rsid w:val="00B20971"/>
    <w:rsid w:val="00B21C24"/>
    <w:rsid w:val="00B240B0"/>
    <w:rsid w:val="00B246F6"/>
    <w:rsid w:val="00B24949"/>
    <w:rsid w:val="00B24ECB"/>
    <w:rsid w:val="00B278B3"/>
    <w:rsid w:val="00B302B4"/>
    <w:rsid w:val="00B30D7B"/>
    <w:rsid w:val="00B316DE"/>
    <w:rsid w:val="00B330F9"/>
    <w:rsid w:val="00B33248"/>
    <w:rsid w:val="00B33277"/>
    <w:rsid w:val="00B34793"/>
    <w:rsid w:val="00B35520"/>
    <w:rsid w:val="00B3581D"/>
    <w:rsid w:val="00B35E25"/>
    <w:rsid w:val="00B361DE"/>
    <w:rsid w:val="00B37E72"/>
    <w:rsid w:val="00B4006B"/>
    <w:rsid w:val="00B4030F"/>
    <w:rsid w:val="00B42AB7"/>
    <w:rsid w:val="00B43041"/>
    <w:rsid w:val="00B4340F"/>
    <w:rsid w:val="00B4518B"/>
    <w:rsid w:val="00B45244"/>
    <w:rsid w:val="00B45362"/>
    <w:rsid w:val="00B45613"/>
    <w:rsid w:val="00B45B42"/>
    <w:rsid w:val="00B46521"/>
    <w:rsid w:val="00B46A83"/>
    <w:rsid w:val="00B47387"/>
    <w:rsid w:val="00B504A0"/>
    <w:rsid w:val="00B50B0A"/>
    <w:rsid w:val="00B512B6"/>
    <w:rsid w:val="00B52CA3"/>
    <w:rsid w:val="00B53C81"/>
    <w:rsid w:val="00B548C7"/>
    <w:rsid w:val="00B54F88"/>
    <w:rsid w:val="00B554DA"/>
    <w:rsid w:val="00B55808"/>
    <w:rsid w:val="00B5584C"/>
    <w:rsid w:val="00B566FC"/>
    <w:rsid w:val="00B57C6D"/>
    <w:rsid w:val="00B60070"/>
    <w:rsid w:val="00B61F6C"/>
    <w:rsid w:val="00B650A9"/>
    <w:rsid w:val="00B65A92"/>
    <w:rsid w:val="00B66BA3"/>
    <w:rsid w:val="00B7007C"/>
    <w:rsid w:val="00B71DA6"/>
    <w:rsid w:val="00B71DAA"/>
    <w:rsid w:val="00B71EC9"/>
    <w:rsid w:val="00B72EF8"/>
    <w:rsid w:val="00B73075"/>
    <w:rsid w:val="00B7323E"/>
    <w:rsid w:val="00B73959"/>
    <w:rsid w:val="00B74350"/>
    <w:rsid w:val="00B757A8"/>
    <w:rsid w:val="00B7620C"/>
    <w:rsid w:val="00B779D2"/>
    <w:rsid w:val="00B805FB"/>
    <w:rsid w:val="00B80EB1"/>
    <w:rsid w:val="00B83229"/>
    <w:rsid w:val="00B8404D"/>
    <w:rsid w:val="00B840D5"/>
    <w:rsid w:val="00B85095"/>
    <w:rsid w:val="00B8540C"/>
    <w:rsid w:val="00B90A19"/>
    <w:rsid w:val="00B90F3A"/>
    <w:rsid w:val="00B90FE5"/>
    <w:rsid w:val="00B9147E"/>
    <w:rsid w:val="00B9153C"/>
    <w:rsid w:val="00B91DEA"/>
    <w:rsid w:val="00B929DD"/>
    <w:rsid w:val="00B93536"/>
    <w:rsid w:val="00B936F5"/>
    <w:rsid w:val="00B93A21"/>
    <w:rsid w:val="00B95EAD"/>
    <w:rsid w:val="00B965B9"/>
    <w:rsid w:val="00B97707"/>
    <w:rsid w:val="00B97714"/>
    <w:rsid w:val="00BA13A2"/>
    <w:rsid w:val="00BA2646"/>
    <w:rsid w:val="00BA2950"/>
    <w:rsid w:val="00BA2D05"/>
    <w:rsid w:val="00BA3621"/>
    <w:rsid w:val="00BA366A"/>
    <w:rsid w:val="00BA3AEC"/>
    <w:rsid w:val="00BA3C4A"/>
    <w:rsid w:val="00BA421A"/>
    <w:rsid w:val="00BA45D1"/>
    <w:rsid w:val="00BA4CC3"/>
    <w:rsid w:val="00BA5CDC"/>
    <w:rsid w:val="00BA5E00"/>
    <w:rsid w:val="00BA788E"/>
    <w:rsid w:val="00BA79DF"/>
    <w:rsid w:val="00BA7FF7"/>
    <w:rsid w:val="00BB0769"/>
    <w:rsid w:val="00BB0F31"/>
    <w:rsid w:val="00BB1061"/>
    <w:rsid w:val="00BB2043"/>
    <w:rsid w:val="00BB3011"/>
    <w:rsid w:val="00BB3FA3"/>
    <w:rsid w:val="00BB4713"/>
    <w:rsid w:val="00BB558A"/>
    <w:rsid w:val="00BB5772"/>
    <w:rsid w:val="00BB5B75"/>
    <w:rsid w:val="00BB5F5C"/>
    <w:rsid w:val="00BB672C"/>
    <w:rsid w:val="00BB68EF"/>
    <w:rsid w:val="00BB7AC2"/>
    <w:rsid w:val="00BC015E"/>
    <w:rsid w:val="00BC0188"/>
    <w:rsid w:val="00BC038A"/>
    <w:rsid w:val="00BC1AA8"/>
    <w:rsid w:val="00BC2946"/>
    <w:rsid w:val="00BC2FAF"/>
    <w:rsid w:val="00BC302E"/>
    <w:rsid w:val="00BC33F5"/>
    <w:rsid w:val="00BC4FD3"/>
    <w:rsid w:val="00BC65DB"/>
    <w:rsid w:val="00BC6968"/>
    <w:rsid w:val="00BC6BB3"/>
    <w:rsid w:val="00BC7F28"/>
    <w:rsid w:val="00BD01E7"/>
    <w:rsid w:val="00BD076D"/>
    <w:rsid w:val="00BD07CA"/>
    <w:rsid w:val="00BD08EF"/>
    <w:rsid w:val="00BD21C7"/>
    <w:rsid w:val="00BD26A4"/>
    <w:rsid w:val="00BD325F"/>
    <w:rsid w:val="00BD351C"/>
    <w:rsid w:val="00BD3BC5"/>
    <w:rsid w:val="00BD4DFE"/>
    <w:rsid w:val="00BD6481"/>
    <w:rsid w:val="00BD683F"/>
    <w:rsid w:val="00BD7E62"/>
    <w:rsid w:val="00BE0C45"/>
    <w:rsid w:val="00BE0CE7"/>
    <w:rsid w:val="00BE1A70"/>
    <w:rsid w:val="00BE23A1"/>
    <w:rsid w:val="00BE32EA"/>
    <w:rsid w:val="00BE378F"/>
    <w:rsid w:val="00BE4226"/>
    <w:rsid w:val="00BE6A67"/>
    <w:rsid w:val="00BE6C7C"/>
    <w:rsid w:val="00BE6F71"/>
    <w:rsid w:val="00BE7423"/>
    <w:rsid w:val="00BF1B60"/>
    <w:rsid w:val="00BF1FA1"/>
    <w:rsid w:val="00BF21D0"/>
    <w:rsid w:val="00BF27A8"/>
    <w:rsid w:val="00BF2A63"/>
    <w:rsid w:val="00BF2AB7"/>
    <w:rsid w:val="00BF374E"/>
    <w:rsid w:val="00BF3F99"/>
    <w:rsid w:val="00BF594C"/>
    <w:rsid w:val="00BF700C"/>
    <w:rsid w:val="00C00DB4"/>
    <w:rsid w:val="00C01130"/>
    <w:rsid w:val="00C01941"/>
    <w:rsid w:val="00C039AB"/>
    <w:rsid w:val="00C03FF5"/>
    <w:rsid w:val="00C053E7"/>
    <w:rsid w:val="00C05A83"/>
    <w:rsid w:val="00C071C0"/>
    <w:rsid w:val="00C11984"/>
    <w:rsid w:val="00C11A43"/>
    <w:rsid w:val="00C13683"/>
    <w:rsid w:val="00C1383E"/>
    <w:rsid w:val="00C13D94"/>
    <w:rsid w:val="00C13E93"/>
    <w:rsid w:val="00C1437E"/>
    <w:rsid w:val="00C144E6"/>
    <w:rsid w:val="00C144ED"/>
    <w:rsid w:val="00C14B35"/>
    <w:rsid w:val="00C156EE"/>
    <w:rsid w:val="00C1677C"/>
    <w:rsid w:val="00C16D78"/>
    <w:rsid w:val="00C17344"/>
    <w:rsid w:val="00C174AF"/>
    <w:rsid w:val="00C21C46"/>
    <w:rsid w:val="00C2225C"/>
    <w:rsid w:val="00C23358"/>
    <w:rsid w:val="00C23B11"/>
    <w:rsid w:val="00C24132"/>
    <w:rsid w:val="00C24893"/>
    <w:rsid w:val="00C248E9"/>
    <w:rsid w:val="00C24A5B"/>
    <w:rsid w:val="00C24FF1"/>
    <w:rsid w:val="00C27888"/>
    <w:rsid w:val="00C32127"/>
    <w:rsid w:val="00C33901"/>
    <w:rsid w:val="00C33A61"/>
    <w:rsid w:val="00C34420"/>
    <w:rsid w:val="00C344CC"/>
    <w:rsid w:val="00C358C6"/>
    <w:rsid w:val="00C35996"/>
    <w:rsid w:val="00C362A9"/>
    <w:rsid w:val="00C369E7"/>
    <w:rsid w:val="00C37E0D"/>
    <w:rsid w:val="00C4025C"/>
    <w:rsid w:val="00C4190B"/>
    <w:rsid w:val="00C42208"/>
    <w:rsid w:val="00C42A2B"/>
    <w:rsid w:val="00C42D12"/>
    <w:rsid w:val="00C441B7"/>
    <w:rsid w:val="00C44BAF"/>
    <w:rsid w:val="00C44C9F"/>
    <w:rsid w:val="00C453DC"/>
    <w:rsid w:val="00C458E6"/>
    <w:rsid w:val="00C46838"/>
    <w:rsid w:val="00C46F88"/>
    <w:rsid w:val="00C47413"/>
    <w:rsid w:val="00C477CE"/>
    <w:rsid w:val="00C50675"/>
    <w:rsid w:val="00C50D29"/>
    <w:rsid w:val="00C51F8D"/>
    <w:rsid w:val="00C529DE"/>
    <w:rsid w:val="00C5369F"/>
    <w:rsid w:val="00C54942"/>
    <w:rsid w:val="00C549EC"/>
    <w:rsid w:val="00C54F35"/>
    <w:rsid w:val="00C55021"/>
    <w:rsid w:val="00C55658"/>
    <w:rsid w:val="00C559ED"/>
    <w:rsid w:val="00C56238"/>
    <w:rsid w:val="00C56A53"/>
    <w:rsid w:val="00C57D75"/>
    <w:rsid w:val="00C57DCD"/>
    <w:rsid w:val="00C60687"/>
    <w:rsid w:val="00C60873"/>
    <w:rsid w:val="00C60EA5"/>
    <w:rsid w:val="00C60FEA"/>
    <w:rsid w:val="00C615FB"/>
    <w:rsid w:val="00C622B5"/>
    <w:rsid w:val="00C625CD"/>
    <w:rsid w:val="00C6294F"/>
    <w:rsid w:val="00C62A06"/>
    <w:rsid w:val="00C635B6"/>
    <w:rsid w:val="00C6386C"/>
    <w:rsid w:val="00C64742"/>
    <w:rsid w:val="00C647E7"/>
    <w:rsid w:val="00C64AD1"/>
    <w:rsid w:val="00C6507D"/>
    <w:rsid w:val="00C65248"/>
    <w:rsid w:val="00C67AE2"/>
    <w:rsid w:val="00C67E72"/>
    <w:rsid w:val="00C7033A"/>
    <w:rsid w:val="00C71357"/>
    <w:rsid w:val="00C7259B"/>
    <w:rsid w:val="00C72717"/>
    <w:rsid w:val="00C72807"/>
    <w:rsid w:val="00C7291F"/>
    <w:rsid w:val="00C73FAD"/>
    <w:rsid w:val="00C74047"/>
    <w:rsid w:val="00C743B2"/>
    <w:rsid w:val="00C74738"/>
    <w:rsid w:val="00C74A9B"/>
    <w:rsid w:val="00C74ACB"/>
    <w:rsid w:val="00C74F31"/>
    <w:rsid w:val="00C75910"/>
    <w:rsid w:val="00C76717"/>
    <w:rsid w:val="00C76C25"/>
    <w:rsid w:val="00C76D82"/>
    <w:rsid w:val="00C80205"/>
    <w:rsid w:val="00C8097E"/>
    <w:rsid w:val="00C80D4E"/>
    <w:rsid w:val="00C81AB3"/>
    <w:rsid w:val="00C81E60"/>
    <w:rsid w:val="00C824A1"/>
    <w:rsid w:val="00C82583"/>
    <w:rsid w:val="00C82C11"/>
    <w:rsid w:val="00C8347A"/>
    <w:rsid w:val="00C837B7"/>
    <w:rsid w:val="00C84DFD"/>
    <w:rsid w:val="00C85411"/>
    <w:rsid w:val="00C858C9"/>
    <w:rsid w:val="00C85A81"/>
    <w:rsid w:val="00C8622E"/>
    <w:rsid w:val="00C8624B"/>
    <w:rsid w:val="00C862A4"/>
    <w:rsid w:val="00C87F57"/>
    <w:rsid w:val="00C90800"/>
    <w:rsid w:val="00C92387"/>
    <w:rsid w:val="00C92585"/>
    <w:rsid w:val="00C926D3"/>
    <w:rsid w:val="00C92A55"/>
    <w:rsid w:val="00C9387B"/>
    <w:rsid w:val="00C93A1B"/>
    <w:rsid w:val="00C944A8"/>
    <w:rsid w:val="00C947B8"/>
    <w:rsid w:val="00C94F3F"/>
    <w:rsid w:val="00C95614"/>
    <w:rsid w:val="00C9562A"/>
    <w:rsid w:val="00C966B5"/>
    <w:rsid w:val="00C97060"/>
    <w:rsid w:val="00C97499"/>
    <w:rsid w:val="00C9791B"/>
    <w:rsid w:val="00C97ECA"/>
    <w:rsid w:val="00CA0306"/>
    <w:rsid w:val="00CA20C7"/>
    <w:rsid w:val="00CA2932"/>
    <w:rsid w:val="00CA3B2E"/>
    <w:rsid w:val="00CA407E"/>
    <w:rsid w:val="00CA49D2"/>
    <w:rsid w:val="00CA572F"/>
    <w:rsid w:val="00CA5CBE"/>
    <w:rsid w:val="00CA5EC0"/>
    <w:rsid w:val="00CA7994"/>
    <w:rsid w:val="00CA7FC4"/>
    <w:rsid w:val="00CB1383"/>
    <w:rsid w:val="00CB2B5B"/>
    <w:rsid w:val="00CB2C9A"/>
    <w:rsid w:val="00CB3A67"/>
    <w:rsid w:val="00CB4467"/>
    <w:rsid w:val="00CB4B5A"/>
    <w:rsid w:val="00CB5DEE"/>
    <w:rsid w:val="00CB5EDF"/>
    <w:rsid w:val="00CB62E8"/>
    <w:rsid w:val="00CB66FD"/>
    <w:rsid w:val="00CB6D97"/>
    <w:rsid w:val="00CB753D"/>
    <w:rsid w:val="00CB769D"/>
    <w:rsid w:val="00CC04D8"/>
    <w:rsid w:val="00CC0C16"/>
    <w:rsid w:val="00CC177E"/>
    <w:rsid w:val="00CC3240"/>
    <w:rsid w:val="00CC3344"/>
    <w:rsid w:val="00CC363B"/>
    <w:rsid w:val="00CC4A64"/>
    <w:rsid w:val="00CC4C46"/>
    <w:rsid w:val="00CC4DC7"/>
    <w:rsid w:val="00CC5ED1"/>
    <w:rsid w:val="00CC6E4F"/>
    <w:rsid w:val="00CC7EE8"/>
    <w:rsid w:val="00CD043E"/>
    <w:rsid w:val="00CD0B83"/>
    <w:rsid w:val="00CD19A0"/>
    <w:rsid w:val="00CD3B04"/>
    <w:rsid w:val="00CD48D2"/>
    <w:rsid w:val="00CD48E0"/>
    <w:rsid w:val="00CD4D7A"/>
    <w:rsid w:val="00CD5CD8"/>
    <w:rsid w:val="00CD699E"/>
    <w:rsid w:val="00CD6EDB"/>
    <w:rsid w:val="00CE0375"/>
    <w:rsid w:val="00CE0889"/>
    <w:rsid w:val="00CE32DB"/>
    <w:rsid w:val="00CE5A1A"/>
    <w:rsid w:val="00CE6D33"/>
    <w:rsid w:val="00CE71BD"/>
    <w:rsid w:val="00CE7BAD"/>
    <w:rsid w:val="00CF016C"/>
    <w:rsid w:val="00CF14A4"/>
    <w:rsid w:val="00CF14C1"/>
    <w:rsid w:val="00CF18AA"/>
    <w:rsid w:val="00CF1A72"/>
    <w:rsid w:val="00CF1B05"/>
    <w:rsid w:val="00CF1CF3"/>
    <w:rsid w:val="00CF1DB4"/>
    <w:rsid w:val="00CF20DC"/>
    <w:rsid w:val="00CF22AA"/>
    <w:rsid w:val="00CF2E32"/>
    <w:rsid w:val="00CF3E30"/>
    <w:rsid w:val="00CF4659"/>
    <w:rsid w:val="00CF4CA1"/>
    <w:rsid w:val="00CF4EE6"/>
    <w:rsid w:val="00CF50B4"/>
    <w:rsid w:val="00CF526C"/>
    <w:rsid w:val="00CF6476"/>
    <w:rsid w:val="00CF6F8B"/>
    <w:rsid w:val="00CF7355"/>
    <w:rsid w:val="00D00821"/>
    <w:rsid w:val="00D01368"/>
    <w:rsid w:val="00D01F81"/>
    <w:rsid w:val="00D02888"/>
    <w:rsid w:val="00D05D88"/>
    <w:rsid w:val="00D06ECC"/>
    <w:rsid w:val="00D07593"/>
    <w:rsid w:val="00D075F6"/>
    <w:rsid w:val="00D076AC"/>
    <w:rsid w:val="00D134B5"/>
    <w:rsid w:val="00D13C4C"/>
    <w:rsid w:val="00D145AC"/>
    <w:rsid w:val="00D15328"/>
    <w:rsid w:val="00D15428"/>
    <w:rsid w:val="00D15475"/>
    <w:rsid w:val="00D16A71"/>
    <w:rsid w:val="00D16BA8"/>
    <w:rsid w:val="00D17A11"/>
    <w:rsid w:val="00D20FF5"/>
    <w:rsid w:val="00D21937"/>
    <w:rsid w:val="00D22AEB"/>
    <w:rsid w:val="00D22E44"/>
    <w:rsid w:val="00D247E4"/>
    <w:rsid w:val="00D249BD"/>
    <w:rsid w:val="00D25EA8"/>
    <w:rsid w:val="00D30231"/>
    <w:rsid w:val="00D30AAC"/>
    <w:rsid w:val="00D31F6C"/>
    <w:rsid w:val="00D321BD"/>
    <w:rsid w:val="00D33FC1"/>
    <w:rsid w:val="00D35235"/>
    <w:rsid w:val="00D35295"/>
    <w:rsid w:val="00D3691C"/>
    <w:rsid w:val="00D3727D"/>
    <w:rsid w:val="00D40033"/>
    <w:rsid w:val="00D410C7"/>
    <w:rsid w:val="00D413F8"/>
    <w:rsid w:val="00D41917"/>
    <w:rsid w:val="00D41B11"/>
    <w:rsid w:val="00D426AA"/>
    <w:rsid w:val="00D43420"/>
    <w:rsid w:val="00D43902"/>
    <w:rsid w:val="00D43E59"/>
    <w:rsid w:val="00D441A2"/>
    <w:rsid w:val="00D46078"/>
    <w:rsid w:val="00D4665C"/>
    <w:rsid w:val="00D46BE5"/>
    <w:rsid w:val="00D471C5"/>
    <w:rsid w:val="00D4773C"/>
    <w:rsid w:val="00D5036A"/>
    <w:rsid w:val="00D50559"/>
    <w:rsid w:val="00D50B68"/>
    <w:rsid w:val="00D50F72"/>
    <w:rsid w:val="00D515F2"/>
    <w:rsid w:val="00D51703"/>
    <w:rsid w:val="00D52A90"/>
    <w:rsid w:val="00D52BAE"/>
    <w:rsid w:val="00D5461D"/>
    <w:rsid w:val="00D557E0"/>
    <w:rsid w:val="00D5653E"/>
    <w:rsid w:val="00D56B7E"/>
    <w:rsid w:val="00D5772B"/>
    <w:rsid w:val="00D57A5C"/>
    <w:rsid w:val="00D60FC8"/>
    <w:rsid w:val="00D61074"/>
    <w:rsid w:val="00D61E77"/>
    <w:rsid w:val="00D627C6"/>
    <w:rsid w:val="00D62BA4"/>
    <w:rsid w:val="00D62EE7"/>
    <w:rsid w:val="00D63A33"/>
    <w:rsid w:val="00D646A6"/>
    <w:rsid w:val="00D65671"/>
    <w:rsid w:val="00D65F41"/>
    <w:rsid w:val="00D70FFB"/>
    <w:rsid w:val="00D7136B"/>
    <w:rsid w:val="00D716A4"/>
    <w:rsid w:val="00D72BD0"/>
    <w:rsid w:val="00D73B12"/>
    <w:rsid w:val="00D75014"/>
    <w:rsid w:val="00D7531C"/>
    <w:rsid w:val="00D76099"/>
    <w:rsid w:val="00D76CB4"/>
    <w:rsid w:val="00D8007E"/>
    <w:rsid w:val="00D822FE"/>
    <w:rsid w:val="00D82FEC"/>
    <w:rsid w:val="00D84F05"/>
    <w:rsid w:val="00D852D3"/>
    <w:rsid w:val="00D85461"/>
    <w:rsid w:val="00D85E96"/>
    <w:rsid w:val="00D86337"/>
    <w:rsid w:val="00D86771"/>
    <w:rsid w:val="00D8706B"/>
    <w:rsid w:val="00D8717B"/>
    <w:rsid w:val="00D87350"/>
    <w:rsid w:val="00D90611"/>
    <w:rsid w:val="00D907A0"/>
    <w:rsid w:val="00D91BC7"/>
    <w:rsid w:val="00D9289C"/>
    <w:rsid w:val="00D9462E"/>
    <w:rsid w:val="00D94EB8"/>
    <w:rsid w:val="00D9577B"/>
    <w:rsid w:val="00D963BB"/>
    <w:rsid w:val="00D96F2E"/>
    <w:rsid w:val="00D9761B"/>
    <w:rsid w:val="00D979EC"/>
    <w:rsid w:val="00D97A4F"/>
    <w:rsid w:val="00D97ECB"/>
    <w:rsid w:val="00DA0102"/>
    <w:rsid w:val="00DA14A4"/>
    <w:rsid w:val="00DA2225"/>
    <w:rsid w:val="00DA2848"/>
    <w:rsid w:val="00DA3456"/>
    <w:rsid w:val="00DA38D4"/>
    <w:rsid w:val="00DA4D13"/>
    <w:rsid w:val="00DA6007"/>
    <w:rsid w:val="00DA63B3"/>
    <w:rsid w:val="00DA796D"/>
    <w:rsid w:val="00DA7F7F"/>
    <w:rsid w:val="00DB08C1"/>
    <w:rsid w:val="00DB0E6C"/>
    <w:rsid w:val="00DB15FC"/>
    <w:rsid w:val="00DB38B9"/>
    <w:rsid w:val="00DB4116"/>
    <w:rsid w:val="00DB4465"/>
    <w:rsid w:val="00DB4CAF"/>
    <w:rsid w:val="00DB5485"/>
    <w:rsid w:val="00DB5C38"/>
    <w:rsid w:val="00DB6447"/>
    <w:rsid w:val="00DB6D72"/>
    <w:rsid w:val="00DB7383"/>
    <w:rsid w:val="00DC088F"/>
    <w:rsid w:val="00DC1F04"/>
    <w:rsid w:val="00DC2178"/>
    <w:rsid w:val="00DC27DC"/>
    <w:rsid w:val="00DC2B00"/>
    <w:rsid w:val="00DC5954"/>
    <w:rsid w:val="00DC59FF"/>
    <w:rsid w:val="00DC5CCD"/>
    <w:rsid w:val="00DC66A7"/>
    <w:rsid w:val="00DC6884"/>
    <w:rsid w:val="00DC6A14"/>
    <w:rsid w:val="00DD1C2E"/>
    <w:rsid w:val="00DD1CEE"/>
    <w:rsid w:val="00DD218E"/>
    <w:rsid w:val="00DD24E0"/>
    <w:rsid w:val="00DD2857"/>
    <w:rsid w:val="00DD3078"/>
    <w:rsid w:val="00DD3B34"/>
    <w:rsid w:val="00DD3D4C"/>
    <w:rsid w:val="00DD44C5"/>
    <w:rsid w:val="00DD4509"/>
    <w:rsid w:val="00DD4520"/>
    <w:rsid w:val="00DD4755"/>
    <w:rsid w:val="00DD4CA9"/>
    <w:rsid w:val="00DD5863"/>
    <w:rsid w:val="00DD5A3E"/>
    <w:rsid w:val="00DD5B8A"/>
    <w:rsid w:val="00DD5EF5"/>
    <w:rsid w:val="00DD67DF"/>
    <w:rsid w:val="00DD688F"/>
    <w:rsid w:val="00DD6D1F"/>
    <w:rsid w:val="00DD719D"/>
    <w:rsid w:val="00DD72CE"/>
    <w:rsid w:val="00DD7C4B"/>
    <w:rsid w:val="00DD7DC5"/>
    <w:rsid w:val="00DD7F0A"/>
    <w:rsid w:val="00DE0AB6"/>
    <w:rsid w:val="00DE1108"/>
    <w:rsid w:val="00DE323B"/>
    <w:rsid w:val="00DE36B0"/>
    <w:rsid w:val="00DE4502"/>
    <w:rsid w:val="00DE49AF"/>
    <w:rsid w:val="00DE4AF4"/>
    <w:rsid w:val="00DE4C21"/>
    <w:rsid w:val="00DE4D95"/>
    <w:rsid w:val="00DE6782"/>
    <w:rsid w:val="00DE6E00"/>
    <w:rsid w:val="00DF0593"/>
    <w:rsid w:val="00DF1F39"/>
    <w:rsid w:val="00DF29AE"/>
    <w:rsid w:val="00DF2F96"/>
    <w:rsid w:val="00DF3206"/>
    <w:rsid w:val="00DF3328"/>
    <w:rsid w:val="00DF3545"/>
    <w:rsid w:val="00DF461B"/>
    <w:rsid w:val="00DF4751"/>
    <w:rsid w:val="00DF4EE8"/>
    <w:rsid w:val="00DF51AD"/>
    <w:rsid w:val="00DF5346"/>
    <w:rsid w:val="00DF5359"/>
    <w:rsid w:val="00DF5AC8"/>
    <w:rsid w:val="00DF72A1"/>
    <w:rsid w:val="00E0282F"/>
    <w:rsid w:val="00E0296F"/>
    <w:rsid w:val="00E02A04"/>
    <w:rsid w:val="00E02B84"/>
    <w:rsid w:val="00E02B97"/>
    <w:rsid w:val="00E0346C"/>
    <w:rsid w:val="00E036C8"/>
    <w:rsid w:val="00E03994"/>
    <w:rsid w:val="00E0449E"/>
    <w:rsid w:val="00E0514E"/>
    <w:rsid w:val="00E051EB"/>
    <w:rsid w:val="00E05938"/>
    <w:rsid w:val="00E05BF1"/>
    <w:rsid w:val="00E06751"/>
    <w:rsid w:val="00E070F1"/>
    <w:rsid w:val="00E10B4C"/>
    <w:rsid w:val="00E12114"/>
    <w:rsid w:val="00E13BC3"/>
    <w:rsid w:val="00E15CB9"/>
    <w:rsid w:val="00E167D7"/>
    <w:rsid w:val="00E173A7"/>
    <w:rsid w:val="00E17A3F"/>
    <w:rsid w:val="00E17C32"/>
    <w:rsid w:val="00E20181"/>
    <w:rsid w:val="00E20624"/>
    <w:rsid w:val="00E20869"/>
    <w:rsid w:val="00E21153"/>
    <w:rsid w:val="00E2123F"/>
    <w:rsid w:val="00E226A4"/>
    <w:rsid w:val="00E22FAC"/>
    <w:rsid w:val="00E2343D"/>
    <w:rsid w:val="00E24A65"/>
    <w:rsid w:val="00E26171"/>
    <w:rsid w:val="00E2643C"/>
    <w:rsid w:val="00E264C2"/>
    <w:rsid w:val="00E300FB"/>
    <w:rsid w:val="00E31D4B"/>
    <w:rsid w:val="00E341E7"/>
    <w:rsid w:val="00E3449A"/>
    <w:rsid w:val="00E346D9"/>
    <w:rsid w:val="00E3497A"/>
    <w:rsid w:val="00E34AA5"/>
    <w:rsid w:val="00E3578D"/>
    <w:rsid w:val="00E3592B"/>
    <w:rsid w:val="00E35AC1"/>
    <w:rsid w:val="00E362E9"/>
    <w:rsid w:val="00E403A1"/>
    <w:rsid w:val="00E43A14"/>
    <w:rsid w:val="00E43F21"/>
    <w:rsid w:val="00E44038"/>
    <w:rsid w:val="00E445FF"/>
    <w:rsid w:val="00E449A7"/>
    <w:rsid w:val="00E4511F"/>
    <w:rsid w:val="00E4689D"/>
    <w:rsid w:val="00E502D9"/>
    <w:rsid w:val="00E507A0"/>
    <w:rsid w:val="00E50B01"/>
    <w:rsid w:val="00E51696"/>
    <w:rsid w:val="00E51716"/>
    <w:rsid w:val="00E51E5D"/>
    <w:rsid w:val="00E521C4"/>
    <w:rsid w:val="00E522ED"/>
    <w:rsid w:val="00E53245"/>
    <w:rsid w:val="00E54360"/>
    <w:rsid w:val="00E55BD8"/>
    <w:rsid w:val="00E55CE4"/>
    <w:rsid w:val="00E560A6"/>
    <w:rsid w:val="00E560DA"/>
    <w:rsid w:val="00E565E6"/>
    <w:rsid w:val="00E569D3"/>
    <w:rsid w:val="00E57166"/>
    <w:rsid w:val="00E571A5"/>
    <w:rsid w:val="00E6027F"/>
    <w:rsid w:val="00E632E3"/>
    <w:rsid w:val="00E64371"/>
    <w:rsid w:val="00E65250"/>
    <w:rsid w:val="00E7043B"/>
    <w:rsid w:val="00E706D7"/>
    <w:rsid w:val="00E70E71"/>
    <w:rsid w:val="00E71A9F"/>
    <w:rsid w:val="00E7205C"/>
    <w:rsid w:val="00E725BD"/>
    <w:rsid w:val="00E72A07"/>
    <w:rsid w:val="00E73AFB"/>
    <w:rsid w:val="00E73D3E"/>
    <w:rsid w:val="00E73F1E"/>
    <w:rsid w:val="00E74283"/>
    <w:rsid w:val="00E75629"/>
    <w:rsid w:val="00E756EC"/>
    <w:rsid w:val="00E7742A"/>
    <w:rsid w:val="00E777B7"/>
    <w:rsid w:val="00E7797C"/>
    <w:rsid w:val="00E802EC"/>
    <w:rsid w:val="00E812BD"/>
    <w:rsid w:val="00E82B8B"/>
    <w:rsid w:val="00E8348B"/>
    <w:rsid w:val="00E84153"/>
    <w:rsid w:val="00E84A97"/>
    <w:rsid w:val="00E850C1"/>
    <w:rsid w:val="00E856D2"/>
    <w:rsid w:val="00E85C0B"/>
    <w:rsid w:val="00E866E8"/>
    <w:rsid w:val="00E870E9"/>
    <w:rsid w:val="00E92737"/>
    <w:rsid w:val="00E92D4D"/>
    <w:rsid w:val="00E94E0E"/>
    <w:rsid w:val="00E9537A"/>
    <w:rsid w:val="00E95CF1"/>
    <w:rsid w:val="00E95E9E"/>
    <w:rsid w:val="00E962F2"/>
    <w:rsid w:val="00E97638"/>
    <w:rsid w:val="00EA164F"/>
    <w:rsid w:val="00EA165B"/>
    <w:rsid w:val="00EA2404"/>
    <w:rsid w:val="00EA2518"/>
    <w:rsid w:val="00EA252B"/>
    <w:rsid w:val="00EA344C"/>
    <w:rsid w:val="00EA34DD"/>
    <w:rsid w:val="00EA34ED"/>
    <w:rsid w:val="00EA34F4"/>
    <w:rsid w:val="00EA3588"/>
    <w:rsid w:val="00EA3F3D"/>
    <w:rsid w:val="00EA4148"/>
    <w:rsid w:val="00EA4A27"/>
    <w:rsid w:val="00EA55EE"/>
    <w:rsid w:val="00EA5E06"/>
    <w:rsid w:val="00EA60BF"/>
    <w:rsid w:val="00EA78FF"/>
    <w:rsid w:val="00EB0B71"/>
    <w:rsid w:val="00EB0C65"/>
    <w:rsid w:val="00EB1286"/>
    <w:rsid w:val="00EB2126"/>
    <w:rsid w:val="00EB278D"/>
    <w:rsid w:val="00EB3154"/>
    <w:rsid w:val="00EB39B9"/>
    <w:rsid w:val="00EB635C"/>
    <w:rsid w:val="00EC2D94"/>
    <w:rsid w:val="00EC3246"/>
    <w:rsid w:val="00EC3263"/>
    <w:rsid w:val="00EC32E3"/>
    <w:rsid w:val="00EC3410"/>
    <w:rsid w:val="00EC3AFB"/>
    <w:rsid w:val="00EC56DE"/>
    <w:rsid w:val="00EC668F"/>
    <w:rsid w:val="00EC6AB1"/>
    <w:rsid w:val="00EC6E60"/>
    <w:rsid w:val="00EC7734"/>
    <w:rsid w:val="00EC7D95"/>
    <w:rsid w:val="00ED032C"/>
    <w:rsid w:val="00ED06B6"/>
    <w:rsid w:val="00ED0B31"/>
    <w:rsid w:val="00ED1647"/>
    <w:rsid w:val="00ED27B2"/>
    <w:rsid w:val="00ED2D49"/>
    <w:rsid w:val="00ED3247"/>
    <w:rsid w:val="00ED3DC8"/>
    <w:rsid w:val="00ED4068"/>
    <w:rsid w:val="00ED440F"/>
    <w:rsid w:val="00ED45C7"/>
    <w:rsid w:val="00ED487D"/>
    <w:rsid w:val="00ED4ABB"/>
    <w:rsid w:val="00ED4EBF"/>
    <w:rsid w:val="00ED53D9"/>
    <w:rsid w:val="00ED72EE"/>
    <w:rsid w:val="00EE0495"/>
    <w:rsid w:val="00EE22B7"/>
    <w:rsid w:val="00EE3F02"/>
    <w:rsid w:val="00EE506A"/>
    <w:rsid w:val="00EE557F"/>
    <w:rsid w:val="00EE76C0"/>
    <w:rsid w:val="00EF0FF6"/>
    <w:rsid w:val="00EF10BD"/>
    <w:rsid w:val="00EF16B0"/>
    <w:rsid w:val="00EF2566"/>
    <w:rsid w:val="00EF592D"/>
    <w:rsid w:val="00EF60FA"/>
    <w:rsid w:val="00F013A2"/>
    <w:rsid w:val="00F02AD0"/>
    <w:rsid w:val="00F031DE"/>
    <w:rsid w:val="00F03369"/>
    <w:rsid w:val="00F03E3A"/>
    <w:rsid w:val="00F040A9"/>
    <w:rsid w:val="00F04D06"/>
    <w:rsid w:val="00F05A62"/>
    <w:rsid w:val="00F06122"/>
    <w:rsid w:val="00F07418"/>
    <w:rsid w:val="00F105C6"/>
    <w:rsid w:val="00F10B9C"/>
    <w:rsid w:val="00F10E81"/>
    <w:rsid w:val="00F11809"/>
    <w:rsid w:val="00F11AAE"/>
    <w:rsid w:val="00F11D7D"/>
    <w:rsid w:val="00F133F5"/>
    <w:rsid w:val="00F13CC5"/>
    <w:rsid w:val="00F13E77"/>
    <w:rsid w:val="00F14158"/>
    <w:rsid w:val="00F14556"/>
    <w:rsid w:val="00F14B5E"/>
    <w:rsid w:val="00F15088"/>
    <w:rsid w:val="00F15EDF"/>
    <w:rsid w:val="00F1695F"/>
    <w:rsid w:val="00F16B12"/>
    <w:rsid w:val="00F21202"/>
    <w:rsid w:val="00F22D58"/>
    <w:rsid w:val="00F231E8"/>
    <w:rsid w:val="00F23574"/>
    <w:rsid w:val="00F23ADC"/>
    <w:rsid w:val="00F2401A"/>
    <w:rsid w:val="00F24238"/>
    <w:rsid w:val="00F2462D"/>
    <w:rsid w:val="00F25101"/>
    <w:rsid w:val="00F27F63"/>
    <w:rsid w:val="00F3005F"/>
    <w:rsid w:val="00F31047"/>
    <w:rsid w:val="00F310EE"/>
    <w:rsid w:val="00F31D41"/>
    <w:rsid w:val="00F31D9B"/>
    <w:rsid w:val="00F322A9"/>
    <w:rsid w:val="00F32940"/>
    <w:rsid w:val="00F32C31"/>
    <w:rsid w:val="00F33C8F"/>
    <w:rsid w:val="00F340E9"/>
    <w:rsid w:val="00F342F1"/>
    <w:rsid w:val="00F3463B"/>
    <w:rsid w:val="00F346D2"/>
    <w:rsid w:val="00F352A8"/>
    <w:rsid w:val="00F37A63"/>
    <w:rsid w:val="00F37B16"/>
    <w:rsid w:val="00F37DC1"/>
    <w:rsid w:val="00F37EAE"/>
    <w:rsid w:val="00F40AB1"/>
    <w:rsid w:val="00F41B4A"/>
    <w:rsid w:val="00F44067"/>
    <w:rsid w:val="00F44B97"/>
    <w:rsid w:val="00F4621B"/>
    <w:rsid w:val="00F463DD"/>
    <w:rsid w:val="00F46BB0"/>
    <w:rsid w:val="00F46F7C"/>
    <w:rsid w:val="00F47EEE"/>
    <w:rsid w:val="00F501FB"/>
    <w:rsid w:val="00F50CC2"/>
    <w:rsid w:val="00F515EB"/>
    <w:rsid w:val="00F51618"/>
    <w:rsid w:val="00F51A85"/>
    <w:rsid w:val="00F51B25"/>
    <w:rsid w:val="00F52BFF"/>
    <w:rsid w:val="00F543B5"/>
    <w:rsid w:val="00F54601"/>
    <w:rsid w:val="00F546D7"/>
    <w:rsid w:val="00F552CA"/>
    <w:rsid w:val="00F55AF7"/>
    <w:rsid w:val="00F56ABD"/>
    <w:rsid w:val="00F56F05"/>
    <w:rsid w:val="00F5789D"/>
    <w:rsid w:val="00F57A60"/>
    <w:rsid w:val="00F60054"/>
    <w:rsid w:val="00F6035F"/>
    <w:rsid w:val="00F606DB"/>
    <w:rsid w:val="00F610A7"/>
    <w:rsid w:val="00F61318"/>
    <w:rsid w:val="00F62F51"/>
    <w:rsid w:val="00F631FD"/>
    <w:rsid w:val="00F63EA1"/>
    <w:rsid w:val="00F65790"/>
    <w:rsid w:val="00F65D23"/>
    <w:rsid w:val="00F65FCE"/>
    <w:rsid w:val="00F66CA6"/>
    <w:rsid w:val="00F66DDE"/>
    <w:rsid w:val="00F672AC"/>
    <w:rsid w:val="00F6784C"/>
    <w:rsid w:val="00F67AD3"/>
    <w:rsid w:val="00F71579"/>
    <w:rsid w:val="00F71CA8"/>
    <w:rsid w:val="00F73CAD"/>
    <w:rsid w:val="00F7411D"/>
    <w:rsid w:val="00F742CC"/>
    <w:rsid w:val="00F7469B"/>
    <w:rsid w:val="00F74CA9"/>
    <w:rsid w:val="00F758A6"/>
    <w:rsid w:val="00F76875"/>
    <w:rsid w:val="00F76EC9"/>
    <w:rsid w:val="00F771D8"/>
    <w:rsid w:val="00F774AD"/>
    <w:rsid w:val="00F776DF"/>
    <w:rsid w:val="00F800E2"/>
    <w:rsid w:val="00F806D5"/>
    <w:rsid w:val="00F80E06"/>
    <w:rsid w:val="00F810B9"/>
    <w:rsid w:val="00F8153B"/>
    <w:rsid w:val="00F81AF1"/>
    <w:rsid w:val="00F832DA"/>
    <w:rsid w:val="00F8380B"/>
    <w:rsid w:val="00F83C21"/>
    <w:rsid w:val="00F85B87"/>
    <w:rsid w:val="00F85B88"/>
    <w:rsid w:val="00F87882"/>
    <w:rsid w:val="00F87AEA"/>
    <w:rsid w:val="00F9038C"/>
    <w:rsid w:val="00F905BB"/>
    <w:rsid w:val="00F91134"/>
    <w:rsid w:val="00F91F30"/>
    <w:rsid w:val="00F93DC1"/>
    <w:rsid w:val="00F93EE4"/>
    <w:rsid w:val="00F9402B"/>
    <w:rsid w:val="00F941F5"/>
    <w:rsid w:val="00F959B5"/>
    <w:rsid w:val="00F9634B"/>
    <w:rsid w:val="00F9732D"/>
    <w:rsid w:val="00F97AD5"/>
    <w:rsid w:val="00FA0404"/>
    <w:rsid w:val="00FA0F23"/>
    <w:rsid w:val="00FA0FA0"/>
    <w:rsid w:val="00FA123F"/>
    <w:rsid w:val="00FA1A09"/>
    <w:rsid w:val="00FA1C89"/>
    <w:rsid w:val="00FA2126"/>
    <w:rsid w:val="00FA262C"/>
    <w:rsid w:val="00FA2B87"/>
    <w:rsid w:val="00FA2E04"/>
    <w:rsid w:val="00FA33CE"/>
    <w:rsid w:val="00FA3768"/>
    <w:rsid w:val="00FA39F2"/>
    <w:rsid w:val="00FA4651"/>
    <w:rsid w:val="00FA4A5B"/>
    <w:rsid w:val="00FA55C2"/>
    <w:rsid w:val="00FA736E"/>
    <w:rsid w:val="00FB0327"/>
    <w:rsid w:val="00FB2159"/>
    <w:rsid w:val="00FB25A9"/>
    <w:rsid w:val="00FB2802"/>
    <w:rsid w:val="00FB2CA8"/>
    <w:rsid w:val="00FB301C"/>
    <w:rsid w:val="00FB34B3"/>
    <w:rsid w:val="00FB45C7"/>
    <w:rsid w:val="00FB4925"/>
    <w:rsid w:val="00FB4963"/>
    <w:rsid w:val="00FB49D6"/>
    <w:rsid w:val="00FB4A3F"/>
    <w:rsid w:val="00FB58F8"/>
    <w:rsid w:val="00FB5DC6"/>
    <w:rsid w:val="00FB5EF6"/>
    <w:rsid w:val="00FB6256"/>
    <w:rsid w:val="00FB6FEE"/>
    <w:rsid w:val="00FB7329"/>
    <w:rsid w:val="00FB73C9"/>
    <w:rsid w:val="00FC0E0F"/>
    <w:rsid w:val="00FC194D"/>
    <w:rsid w:val="00FC1A53"/>
    <w:rsid w:val="00FC2675"/>
    <w:rsid w:val="00FC2887"/>
    <w:rsid w:val="00FC2C63"/>
    <w:rsid w:val="00FC37B6"/>
    <w:rsid w:val="00FC4105"/>
    <w:rsid w:val="00FC57F2"/>
    <w:rsid w:val="00FC5A7B"/>
    <w:rsid w:val="00FC5A92"/>
    <w:rsid w:val="00FC5D44"/>
    <w:rsid w:val="00FC5EE9"/>
    <w:rsid w:val="00FC5EED"/>
    <w:rsid w:val="00FC694A"/>
    <w:rsid w:val="00FD0404"/>
    <w:rsid w:val="00FD0CB5"/>
    <w:rsid w:val="00FD1704"/>
    <w:rsid w:val="00FD372B"/>
    <w:rsid w:val="00FD3911"/>
    <w:rsid w:val="00FD4244"/>
    <w:rsid w:val="00FD5518"/>
    <w:rsid w:val="00FD5E08"/>
    <w:rsid w:val="00FD6028"/>
    <w:rsid w:val="00FD7A34"/>
    <w:rsid w:val="00FE172C"/>
    <w:rsid w:val="00FE295F"/>
    <w:rsid w:val="00FE365F"/>
    <w:rsid w:val="00FE3D37"/>
    <w:rsid w:val="00FE49AF"/>
    <w:rsid w:val="00FE4D7E"/>
    <w:rsid w:val="00FE4E9D"/>
    <w:rsid w:val="00FE4EA3"/>
    <w:rsid w:val="00FE55E6"/>
    <w:rsid w:val="00FE5D56"/>
    <w:rsid w:val="00FE5ECA"/>
    <w:rsid w:val="00FE613B"/>
    <w:rsid w:val="00FE6DBB"/>
    <w:rsid w:val="00FE6E17"/>
    <w:rsid w:val="00FF0054"/>
    <w:rsid w:val="00FF0945"/>
    <w:rsid w:val="00FF103B"/>
    <w:rsid w:val="00FF2E76"/>
    <w:rsid w:val="00FF3A9D"/>
    <w:rsid w:val="00FF4144"/>
    <w:rsid w:val="00FF44F4"/>
    <w:rsid w:val="00FF4BF5"/>
    <w:rsid w:val="00FF66A5"/>
    <w:rsid w:val="00FF718C"/>
    <w:rsid w:val="00FF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Char"/>
    <w:uiPriority w:val="9"/>
    <w:qFormat/>
    <w:rsid w:val="00430D4D"/>
    <w:pPr>
      <w:spacing w:before="240" w:after="120"/>
      <w:outlineLvl w:val="0"/>
    </w:pPr>
    <w:rPr>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87E"/>
    <w:pPr>
      <w:ind w:left="720"/>
      <w:contextualSpacing/>
    </w:pPr>
  </w:style>
  <w:style w:type="table" w:styleId="a4">
    <w:name w:val="Table Grid"/>
    <w:basedOn w:val="a1"/>
    <w:rsid w:val="0045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0B629A"/>
    <w:rPr>
      <w:color w:val="0000FF" w:themeColor="hyperlink"/>
      <w:u w:val="single"/>
    </w:rPr>
  </w:style>
  <w:style w:type="paragraph" w:styleId="a6">
    <w:name w:val="header"/>
    <w:basedOn w:val="a"/>
    <w:link w:val="Char"/>
    <w:uiPriority w:val="99"/>
    <w:rsid w:val="0097527F"/>
    <w:pPr>
      <w:tabs>
        <w:tab w:val="center" w:pos="4680"/>
        <w:tab w:val="right" w:pos="9360"/>
      </w:tabs>
    </w:pPr>
  </w:style>
  <w:style w:type="character" w:customStyle="1" w:styleId="Char">
    <w:name w:val="页眉 Char"/>
    <w:basedOn w:val="a0"/>
    <w:link w:val="a6"/>
    <w:uiPriority w:val="99"/>
    <w:rsid w:val="0097527F"/>
    <w:rPr>
      <w:sz w:val="24"/>
      <w:szCs w:val="24"/>
    </w:rPr>
  </w:style>
  <w:style w:type="paragraph" w:styleId="a7">
    <w:name w:val="footer"/>
    <w:basedOn w:val="a"/>
    <w:link w:val="Char0"/>
    <w:rsid w:val="0097527F"/>
    <w:pPr>
      <w:tabs>
        <w:tab w:val="center" w:pos="4680"/>
        <w:tab w:val="right" w:pos="9360"/>
      </w:tabs>
    </w:pPr>
  </w:style>
  <w:style w:type="character" w:customStyle="1" w:styleId="Char0">
    <w:name w:val="页脚 Char"/>
    <w:basedOn w:val="a0"/>
    <w:link w:val="a7"/>
    <w:rsid w:val="0097527F"/>
    <w:rPr>
      <w:sz w:val="24"/>
      <w:szCs w:val="24"/>
    </w:rPr>
  </w:style>
  <w:style w:type="paragraph" w:styleId="a8">
    <w:name w:val="Balloon Text"/>
    <w:basedOn w:val="a"/>
    <w:link w:val="Char1"/>
    <w:rsid w:val="00A96155"/>
    <w:rPr>
      <w:rFonts w:ascii="Tahoma" w:hAnsi="Tahoma" w:cs="Tahoma"/>
      <w:sz w:val="16"/>
      <w:szCs w:val="16"/>
    </w:rPr>
  </w:style>
  <w:style w:type="character" w:customStyle="1" w:styleId="Char1">
    <w:name w:val="批注框文本 Char"/>
    <w:basedOn w:val="a0"/>
    <w:link w:val="a8"/>
    <w:rsid w:val="00A96155"/>
    <w:rPr>
      <w:rFonts w:ascii="Tahoma" w:hAnsi="Tahoma" w:cs="Tahoma"/>
      <w:sz w:val="16"/>
      <w:szCs w:val="16"/>
    </w:rPr>
  </w:style>
  <w:style w:type="character" w:styleId="a9">
    <w:name w:val="Emphasis"/>
    <w:basedOn w:val="a0"/>
    <w:uiPriority w:val="20"/>
    <w:qFormat/>
    <w:rsid w:val="004027FC"/>
    <w:rPr>
      <w:i/>
      <w:iCs/>
    </w:rPr>
  </w:style>
  <w:style w:type="character" w:customStyle="1" w:styleId="1Char">
    <w:name w:val="标题 1 Char"/>
    <w:basedOn w:val="a0"/>
    <w:link w:val="1"/>
    <w:uiPriority w:val="9"/>
    <w:rsid w:val="00430D4D"/>
    <w:rPr>
      <w:b/>
      <w:bCs/>
      <w:color w:val="000000"/>
      <w:kern w:val="36"/>
      <w:sz w:val="33"/>
      <w:szCs w:val="33"/>
    </w:rPr>
  </w:style>
  <w:style w:type="paragraph" w:styleId="aa">
    <w:name w:val="Normal (Web)"/>
    <w:basedOn w:val="a"/>
    <w:uiPriority w:val="99"/>
    <w:unhideWhenUsed/>
    <w:rsid w:val="00BC038A"/>
    <w:pPr>
      <w:spacing w:after="150"/>
    </w:pPr>
  </w:style>
  <w:style w:type="character" w:styleId="ab">
    <w:name w:val="annotation reference"/>
    <w:basedOn w:val="a0"/>
    <w:rsid w:val="00583F46"/>
    <w:rPr>
      <w:sz w:val="16"/>
      <w:szCs w:val="16"/>
    </w:rPr>
  </w:style>
  <w:style w:type="paragraph" w:styleId="ac">
    <w:name w:val="annotation text"/>
    <w:basedOn w:val="a"/>
    <w:link w:val="Char2"/>
    <w:rsid w:val="00583F46"/>
    <w:rPr>
      <w:sz w:val="20"/>
      <w:szCs w:val="20"/>
    </w:rPr>
  </w:style>
  <w:style w:type="character" w:customStyle="1" w:styleId="Char2">
    <w:name w:val="批注文字 Char"/>
    <w:basedOn w:val="a0"/>
    <w:link w:val="ac"/>
    <w:rsid w:val="00583F46"/>
  </w:style>
  <w:style w:type="paragraph" w:styleId="ad">
    <w:name w:val="annotation subject"/>
    <w:basedOn w:val="ac"/>
    <w:next w:val="ac"/>
    <w:link w:val="Char3"/>
    <w:rsid w:val="00583F46"/>
    <w:rPr>
      <w:b/>
      <w:bCs/>
    </w:rPr>
  </w:style>
  <w:style w:type="character" w:customStyle="1" w:styleId="Char3">
    <w:name w:val="批注主题 Char"/>
    <w:basedOn w:val="Char2"/>
    <w:link w:val="ad"/>
    <w:rsid w:val="00583F46"/>
    <w:rPr>
      <w:b/>
      <w:bCs/>
    </w:rPr>
  </w:style>
  <w:style w:type="paragraph" w:styleId="ae">
    <w:name w:val="Plain Text"/>
    <w:basedOn w:val="a"/>
    <w:link w:val="Char4"/>
    <w:rsid w:val="000902B9"/>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e"/>
    <w:rsid w:val="000902B9"/>
    <w:rPr>
      <w:rFonts w:ascii="宋体" w:eastAsia="宋体" w:hAnsi="Courier New" w:cs="Courier New"/>
      <w:kern w:val="2"/>
      <w:sz w:val="21"/>
      <w:szCs w:val="21"/>
      <w:lang w:eastAsia="zh-CN"/>
    </w:rPr>
  </w:style>
  <w:style w:type="character" w:customStyle="1" w:styleId="apple-converted-space">
    <w:name w:val="apple-converted-space"/>
    <w:basedOn w:val="a0"/>
    <w:rsid w:val="00090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Char"/>
    <w:uiPriority w:val="9"/>
    <w:qFormat/>
    <w:rsid w:val="00430D4D"/>
    <w:pPr>
      <w:spacing w:before="240" w:after="120"/>
      <w:outlineLvl w:val="0"/>
    </w:pPr>
    <w:rPr>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87E"/>
    <w:pPr>
      <w:ind w:left="720"/>
      <w:contextualSpacing/>
    </w:pPr>
  </w:style>
  <w:style w:type="table" w:styleId="a4">
    <w:name w:val="Table Grid"/>
    <w:basedOn w:val="a1"/>
    <w:rsid w:val="0045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0B629A"/>
    <w:rPr>
      <w:color w:val="0000FF" w:themeColor="hyperlink"/>
      <w:u w:val="single"/>
    </w:rPr>
  </w:style>
  <w:style w:type="paragraph" w:styleId="a6">
    <w:name w:val="header"/>
    <w:basedOn w:val="a"/>
    <w:link w:val="Char"/>
    <w:uiPriority w:val="99"/>
    <w:rsid w:val="0097527F"/>
    <w:pPr>
      <w:tabs>
        <w:tab w:val="center" w:pos="4680"/>
        <w:tab w:val="right" w:pos="9360"/>
      </w:tabs>
    </w:pPr>
  </w:style>
  <w:style w:type="character" w:customStyle="1" w:styleId="Char">
    <w:name w:val="页眉 Char"/>
    <w:basedOn w:val="a0"/>
    <w:link w:val="a6"/>
    <w:uiPriority w:val="99"/>
    <w:rsid w:val="0097527F"/>
    <w:rPr>
      <w:sz w:val="24"/>
      <w:szCs w:val="24"/>
    </w:rPr>
  </w:style>
  <w:style w:type="paragraph" w:styleId="a7">
    <w:name w:val="footer"/>
    <w:basedOn w:val="a"/>
    <w:link w:val="Char0"/>
    <w:rsid w:val="0097527F"/>
    <w:pPr>
      <w:tabs>
        <w:tab w:val="center" w:pos="4680"/>
        <w:tab w:val="right" w:pos="9360"/>
      </w:tabs>
    </w:pPr>
  </w:style>
  <w:style w:type="character" w:customStyle="1" w:styleId="Char0">
    <w:name w:val="页脚 Char"/>
    <w:basedOn w:val="a0"/>
    <w:link w:val="a7"/>
    <w:rsid w:val="0097527F"/>
    <w:rPr>
      <w:sz w:val="24"/>
      <w:szCs w:val="24"/>
    </w:rPr>
  </w:style>
  <w:style w:type="paragraph" w:styleId="a8">
    <w:name w:val="Balloon Text"/>
    <w:basedOn w:val="a"/>
    <w:link w:val="Char1"/>
    <w:rsid w:val="00A96155"/>
    <w:rPr>
      <w:rFonts w:ascii="Tahoma" w:hAnsi="Tahoma" w:cs="Tahoma"/>
      <w:sz w:val="16"/>
      <w:szCs w:val="16"/>
    </w:rPr>
  </w:style>
  <w:style w:type="character" w:customStyle="1" w:styleId="Char1">
    <w:name w:val="批注框文本 Char"/>
    <w:basedOn w:val="a0"/>
    <w:link w:val="a8"/>
    <w:rsid w:val="00A96155"/>
    <w:rPr>
      <w:rFonts w:ascii="Tahoma" w:hAnsi="Tahoma" w:cs="Tahoma"/>
      <w:sz w:val="16"/>
      <w:szCs w:val="16"/>
    </w:rPr>
  </w:style>
  <w:style w:type="character" w:styleId="a9">
    <w:name w:val="Emphasis"/>
    <w:basedOn w:val="a0"/>
    <w:uiPriority w:val="20"/>
    <w:qFormat/>
    <w:rsid w:val="004027FC"/>
    <w:rPr>
      <w:i/>
      <w:iCs/>
    </w:rPr>
  </w:style>
  <w:style w:type="character" w:customStyle="1" w:styleId="1Char">
    <w:name w:val="标题 1 Char"/>
    <w:basedOn w:val="a0"/>
    <w:link w:val="1"/>
    <w:uiPriority w:val="9"/>
    <w:rsid w:val="00430D4D"/>
    <w:rPr>
      <w:b/>
      <w:bCs/>
      <w:color w:val="000000"/>
      <w:kern w:val="36"/>
      <w:sz w:val="33"/>
      <w:szCs w:val="33"/>
    </w:rPr>
  </w:style>
  <w:style w:type="paragraph" w:styleId="aa">
    <w:name w:val="Normal (Web)"/>
    <w:basedOn w:val="a"/>
    <w:uiPriority w:val="99"/>
    <w:unhideWhenUsed/>
    <w:rsid w:val="00BC038A"/>
    <w:pPr>
      <w:spacing w:after="150"/>
    </w:pPr>
  </w:style>
  <w:style w:type="character" w:styleId="ab">
    <w:name w:val="annotation reference"/>
    <w:basedOn w:val="a0"/>
    <w:rsid w:val="00583F46"/>
    <w:rPr>
      <w:sz w:val="16"/>
      <w:szCs w:val="16"/>
    </w:rPr>
  </w:style>
  <w:style w:type="paragraph" w:styleId="ac">
    <w:name w:val="annotation text"/>
    <w:basedOn w:val="a"/>
    <w:link w:val="Char2"/>
    <w:rsid w:val="00583F46"/>
    <w:rPr>
      <w:sz w:val="20"/>
      <w:szCs w:val="20"/>
    </w:rPr>
  </w:style>
  <w:style w:type="character" w:customStyle="1" w:styleId="Char2">
    <w:name w:val="批注文字 Char"/>
    <w:basedOn w:val="a0"/>
    <w:link w:val="ac"/>
    <w:rsid w:val="00583F46"/>
  </w:style>
  <w:style w:type="paragraph" w:styleId="ad">
    <w:name w:val="annotation subject"/>
    <w:basedOn w:val="ac"/>
    <w:next w:val="ac"/>
    <w:link w:val="Char3"/>
    <w:rsid w:val="00583F46"/>
    <w:rPr>
      <w:b/>
      <w:bCs/>
    </w:rPr>
  </w:style>
  <w:style w:type="character" w:customStyle="1" w:styleId="Char3">
    <w:name w:val="批注主题 Char"/>
    <w:basedOn w:val="Char2"/>
    <w:link w:val="ad"/>
    <w:rsid w:val="00583F46"/>
    <w:rPr>
      <w:b/>
      <w:bCs/>
    </w:rPr>
  </w:style>
  <w:style w:type="paragraph" w:styleId="ae">
    <w:name w:val="Plain Text"/>
    <w:basedOn w:val="a"/>
    <w:link w:val="Char4"/>
    <w:rsid w:val="000902B9"/>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e"/>
    <w:rsid w:val="000902B9"/>
    <w:rPr>
      <w:rFonts w:ascii="宋体" w:eastAsia="宋体" w:hAnsi="Courier New" w:cs="Courier New"/>
      <w:kern w:val="2"/>
      <w:sz w:val="21"/>
      <w:szCs w:val="21"/>
      <w:lang w:eastAsia="zh-CN"/>
    </w:rPr>
  </w:style>
  <w:style w:type="character" w:customStyle="1" w:styleId="apple-converted-space">
    <w:name w:val="apple-converted-space"/>
    <w:basedOn w:val="a0"/>
    <w:rsid w:val="0009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48874">
      <w:bodyDiv w:val="1"/>
      <w:marLeft w:val="0"/>
      <w:marRight w:val="0"/>
      <w:marTop w:val="0"/>
      <w:marBottom w:val="0"/>
      <w:divBdr>
        <w:top w:val="none" w:sz="0" w:space="0" w:color="auto"/>
        <w:left w:val="none" w:sz="0" w:space="0" w:color="auto"/>
        <w:bottom w:val="none" w:sz="0" w:space="0" w:color="auto"/>
        <w:right w:val="none" w:sz="0" w:space="0" w:color="auto"/>
      </w:divBdr>
      <w:divsChild>
        <w:div w:id="1152408070">
          <w:marLeft w:val="0"/>
          <w:marRight w:val="1"/>
          <w:marTop w:val="0"/>
          <w:marBottom w:val="0"/>
          <w:divBdr>
            <w:top w:val="none" w:sz="0" w:space="0" w:color="auto"/>
            <w:left w:val="none" w:sz="0" w:space="0" w:color="auto"/>
            <w:bottom w:val="none" w:sz="0" w:space="0" w:color="auto"/>
            <w:right w:val="none" w:sz="0" w:space="0" w:color="auto"/>
          </w:divBdr>
          <w:divsChild>
            <w:div w:id="1667828852">
              <w:marLeft w:val="0"/>
              <w:marRight w:val="0"/>
              <w:marTop w:val="0"/>
              <w:marBottom w:val="0"/>
              <w:divBdr>
                <w:top w:val="none" w:sz="0" w:space="0" w:color="auto"/>
                <w:left w:val="none" w:sz="0" w:space="0" w:color="auto"/>
                <w:bottom w:val="none" w:sz="0" w:space="0" w:color="auto"/>
                <w:right w:val="none" w:sz="0" w:space="0" w:color="auto"/>
              </w:divBdr>
              <w:divsChild>
                <w:div w:id="1471635282">
                  <w:marLeft w:val="0"/>
                  <w:marRight w:val="1"/>
                  <w:marTop w:val="0"/>
                  <w:marBottom w:val="0"/>
                  <w:divBdr>
                    <w:top w:val="none" w:sz="0" w:space="0" w:color="auto"/>
                    <w:left w:val="none" w:sz="0" w:space="0" w:color="auto"/>
                    <w:bottom w:val="none" w:sz="0" w:space="0" w:color="auto"/>
                    <w:right w:val="none" w:sz="0" w:space="0" w:color="auto"/>
                  </w:divBdr>
                  <w:divsChild>
                    <w:div w:id="90009173">
                      <w:marLeft w:val="0"/>
                      <w:marRight w:val="0"/>
                      <w:marTop w:val="0"/>
                      <w:marBottom w:val="0"/>
                      <w:divBdr>
                        <w:top w:val="none" w:sz="0" w:space="0" w:color="auto"/>
                        <w:left w:val="none" w:sz="0" w:space="0" w:color="auto"/>
                        <w:bottom w:val="none" w:sz="0" w:space="0" w:color="auto"/>
                        <w:right w:val="none" w:sz="0" w:space="0" w:color="auto"/>
                      </w:divBdr>
                      <w:divsChild>
                        <w:div w:id="244075165">
                          <w:marLeft w:val="0"/>
                          <w:marRight w:val="0"/>
                          <w:marTop w:val="0"/>
                          <w:marBottom w:val="0"/>
                          <w:divBdr>
                            <w:top w:val="none" w:sz="0" w:space="0" w:color="auto"/>
                            <w:left w:val="none" w:sz="0" w:space="0" w:color="auto"/>
                            <w:bottom w:val="none" w:sz="0" w:space="0" w:color="auto"/>
                            <w:right w:val="none" w:sz="0" w:space="0" w:color="auto"/>
                          </w:divBdr>
                          <w:divsChild>
                            <w:div w:id="1569657294">
                              <w:marLeft w:val="0"/>
                              <w:marRight w:val="0"/>
                              <w:marTop w:val="120"/>
                              <w:marBottom w:val="360"/>
                              <w:divBdr>
                                <w:top w:val="none" w:sz="0" w:space="0" w:color="auto"/>
                                <w:left w:val="none" w:sz="0" w:space="0" w:color="auto"/>
                                <w:bottom w:val="none" w:sz="0" w:space="0" w:color="auto"/>
                                <w:right w:val="none" w:sz="0" w:space="0" w:color="auto"/>
                              </w:divBdr>
                              <w:divsChild>
                                <w:div w:id="1555696267">
                                  <w:marLeft w:val="0"/>
                                  <w:marRight w:val="0"/>
                                  <w:marTop w:val="0"/>
                                  <w:marBottom w:val="0"/>
                                  <w:divBdr>
                                    <w:top w:val="none" w:sz="0" w:space="0" w:color="auto"/>
                                    <w:left w:val="none" w:sz="0" w:space="0" w:color="auto"/>
                                    <w:bottom w:val="none" w:sz="0" w:space="0" w:color="auto"/>
                                    <w:right w:val="none" w:sz="0" w:space="0" w:color="auto"/>
                                  </w:divBdr>
                                </w:div>
                                <w:div w:id="3279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86154">
      <w:bodyDiv w:val="1"/>
      <w:marLeft w:val="0"/>
      <w:marRight w:val="0"/>
      <w:marTop w:val="0"/>
      <w:marBottom w:val="0"/>
      <w:divBdr>
        <w:top w:val="none" w:sz="0" w:space="0" w:color="auto"/>
        <w:left w:val="none" w:sz="0" w:space="0" w:color="auto"/>
        <w:bottom w:val="none" w:sz="0" w:space="0" w:color="auto"/>
        <w:right w:val="none" w:sz="0" w:space="0" w:color="auto"/>
      </w:divBdr>
      <w:divsChild>
        <w:div w:id="1192691932">
          <w:marLeft w:val="0"/>
          <w:marRight w:val="0"/>
          <w:marTop w:val="0"/>
          <w:marBottom w:val="0"/>
          <w:divBdr>
            <w:top w:val="none" w:sz="0" w:space="0" w:color="auto"/>
            <w:left w:val="none" w:sz="0" w:space="0" w:color="auto"/>
            <w:bottom w:val="none" w:sz="0" w:space="0" w:color="auto"/>
            <w:right w:val="none" w:sz="0" w:space="0" w:color="auto"/>
          </w:divBdr>
          <w:divsChild>
            <w:div w:id="1825117931">
              <w:marLeft w:val="0"/>
              <w:marRight w:val="0"/>
              <w:marTop w:val="0"/>
              <w:marBottom w:val="0"/>
              <w:divBdr>
                <w:top w:val="none" w:sz="0" w:space="0" w:color="auto"/>
                <w:left w:val="none" w:sz="0" w:space="0" w:color="auto"/>
                <w:bottom w:val="none" w:sz="0" w:space="0" w:color="auto"/>
                <w:right w:val="none" w:sz="0" w:space="0" w:color="auto"/>
              </w:divBdr>
              <w:divsChild>
                <w:div w:id="460999288">
                  <w:marLeft w:val="0"/>
                  <w:marRight w:val="0"/>
                  <w:marTop w:val="750"/>
                  <w:marBottom w:val="0"/>
                  <w:divBdr>
                    <w:top w:val="none" w:sz="0" w:space="0" w:color="auto"/>
                    <w:left w:val="none" w:sz="0" w:space="0" w:color="auto"/>
                    <w:bottom w:val="none" w:sz="0" w:space="0" w:color="auto"/>
                    <w:right w:val="none" w:sz="0" w:space="0" w:color="auto"/>
                  </w:divBdr>
                  <w:divsChild>
                    <w:div w:id="1003629255">
                      <w:marLeft w:val="0"/>
                      <w:marRight w:val="0"/>
                      <w:marTop w:val="0"/>
                      <w:marBottom w:val="0"/>
                      <w:divBdr>
                        <w:top w:val="none" w:sz="0" w:space="0" w:color="auto"/>
                        <w:left w:val="none" w:sz="0" w:space="0" w:color="auto"/>
                        <w:bottom w:val="none" w:sz="0" w:space="0" w:color="auto"/>
                        <w:right w:val="none" w:sz="0" w:space="0" w:color="auto"/>
                      </w:divBdr>
                      <w:divsChild>
                        <w:div w:id="502360219">
                          <w:marLeft w:val="0"/>
                          <w:marRight w:val="0"/>
                          <w:marTop w:val="0"/>
                          <w:marBottom w:val="0"/>
                          <w:divBdr>
                            <w:top w:val="none" w:sz="0" w:space="0" w:color="auto"/>
                            <w:left w:val="none" w:sz="0" w:space="0" w:color="auto"/>
                            <w:bottom w:val="none" w:sz="0" w:space="0" w:color="auto"/>
                            <w:right w:val="none" w:sz="0" w:space="0" w:color="auto"/>
                          </w:divBdr>
                          <w:divsChild>
                            <w:div w:id="2003580719">
                              <w:marLeft w:val="0"/>
                              <w:marRight w:val="0"/>
                              <w:marTop w:val="0"/>
                              <w:marBottom w:val="0"/>
                              <w:divBdr>
                                <w:top w:val="none" w:sz="0" w:space="0" w:color="auto"/>
                                <w:left w:val="none" w:sz="0" w:space="0" w:color="auto"/>
                                <w:bottom w:val="none" w:sz="0" w:space="0" w:color="auto"/>
                                <w:right w:val="none" w:sz="0" w:space="0" w:color="auto"/>
                              </w:divBdr>
                              <w:divsChild>
                                <w:div w:id="1299923001">
                                  <w:marLeft w:val="0"/>
                                  <w:marRight w:val="0"/>
                                  <w:marTop w:val="0"/>
                                  <w:marBottom w:val="0"/>
                                  <w:divBdr>
                                    <w:top w:val="none" w:sz="0" w:space="0" w:color="auto"/>
                                    <w:left w:val="none" w:sz="0" w:space="0" w:color="auto"/>
                                    <w:bottom w:val="none" w:sz="0" w:space="0" w:color="auto"/>
                                    <w:right w:val="none" w:sz="0" w:space="0" w:color="auto"/>
                                  </w:divBdr>
                                  <w:divsChild>
                                    <w:div w:id="1041903589">
                                      <w:marLeft w:val="0"/>
                                      <w:marRight w:val="0"/>
                                      <w:marTop w:val="0"/>
                                      <w:marBottom w:val="0"/>
                                      <w:divBdr>
                                        <w:top w:val="none" w:sz="0" w:space="0" w:color="auto"/>
                                        <w:left w:val="none" w:sz="0" w:space="0" w:color="auto"/>
                                        <w:bottom w:val="none" w:sz="0" w:space="0" w:color="auto"/>
                                        <w:right w:val="none" w:sz="0" w:space="0" w:color="auto"/>
                                      </w:divBdr>
                                      <w:divsChild>
                                        <w:div w:id="1565792152">
                                          <w:marLeft w:val="0"/>
                                          <w:marRight w:val="0"/>
                                          <w:marTop w:val="0"/>
                                          <w:marBottom w:val="0"/>
                                          <w:divBdr>
                                            <w:top w:val="none" w:sz="0" w:space="0" w:color="auto"/>
                                            <w:left w:val="none" w:sz="0" w:space="0" w:color="auto"/>
                                            <w:bottom w:val="none" w:sz="0" w:space="0" w:color="auto"/>
                                            <w:right w:val="none" w:sz="0" w:space="0" w:color="auto"/>
                                          </w:divBdr>
                                        </w:div>
                                      </w:divsChild>
                                    </w:div>
                                    <w:div w:id="643974554">
                                      <w:marLeft w:val="0"/>
                                      <w:marRight w:val="0"/>
                                      <w:marTop w:val="0"/>
                                      <w:marBottom w:val="0"/>
                                      <w:divBdr>
                                        <w:top w:val="none" w:sz="0" w:space="0" w:color="auto"/>
                                        <w:left w:val="none" w:sz="0" w:space="0" w:color="auto"/>
                                        <w:bottom w:val="none" w:sz="0" w:space="0" w:color="auto"/>
                                        <w:right w:val="none" w:sz="0" w:space="0" w:color="auto"/>
                                      </w:divBdr>
                                      <w:divsChild>
                                        <w:div w:id="18858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024259">
      <w:bodyDiv w:val="1"/>
      <w:marLeft w:val="0"/>
      <w:marRight w:val="0"/>
      <w:marTop w:val="0"/>
      <w:marBottom w:val="0"/>
      <w:divBdr>
        <w:top w:val="none" w:sz="0" w:space="0" w:color="auto"/>
        <w:left w:val="none" w:sz="0" w:space="0" w:color="auto"/>
        <w:bottom w:val="none" w:sz="0" w:space="0" w:color="auto"/>
        <w:right w:val="none" w:sz="0" w:space="0" w:color="auto"/>
      </w:divBdr>
      <w:divsChild>
        <w:div w:id="1157693623">
          <w:marLeft w:val="0"/>
          <w:marRight w:val="0"/>
          <w:marTop w:val="0"/>
          <w:marBottom w:val="0"/>
          <w:divBdr>
            <w:top w:val="none" w:sz="0" w:space="0" w:color="auto"/>
            <w:left w:val="none" w:sz="0" w:space="0" w:color="auto"/>
            <w:bottom w:val="none" w:sz="0" w:space="0" w:color="auto"/>
            <w:right w:val="none" w:sz="0" w:space="0" w:color="auto"/>
          </w:divBdr>
        </w:div>
        <w:div w:id="117995309">
          <w:marLeft w:val="0"/>
          <w:marRight w:val="0"/>
          <w:marTop w:val="0"/>
          <w:marBottom w:val="0"/>
          <w:divBdr>
            <w:top w:val="none" w:sz="0" w:space="0" w:color="auto"/>
            <w:left w:val="none" w:sz="0" w:space="0" w:color="auto"/>
            <w:bottom w:val="none" w:sz="0" w:space="0" w:color="auto"/>
            <w:right w:val="none" w:sz="0" w:space="0" w:color="auto"/>
          </w:divBdr>
        </w:div>
        <w:div w:id="780228635">
          <w:marLeft w:val="0"/>
          <w:marRight w:val="0"/>
          <w:marTop w:val="0"/>
          <w:marBottom w:val="0"/>
          <w:divBdr>
            <w:top w:val="none" w:sz="0" w:space="0" w:color="auto"/>
            <w:left w:val="none" w:sz="0" w:space="0" w:color="auto"/>
            <w:bottom w:val="none" w:sz="0" w:space="0" w:color="auto"/>
            <w:right w:val="none" w:sz="0" w:space="0" w:color="auto"/>
          </w:divBdr>
        </w:div>
        <w:div w:id="575897055">
          <w:marLeft w:val="0"/>
          <w:marRight w:val="0"/>
          <w:marTop w:val="0"/>
          <w:marBottom w:val="0"/>
          <w:divBdr>
            <w:top w:val="none" w:sz="0" w:space="0" w:color="auto"/>
            <w:left w:val="none" w:sz="0" w:space="0" w:color="auto"/>
            <w:bottom w:val="none" w:sz="0" w:space="0" w:color="auto"/>
            <w:right w:val="none" w:sz="0" w:space="0" w:color="auto"/>
          </w:divBdr>
        </w:div>
        <w:div w:id="147065441">
          <w:marLeft w:val="0"/>
          <w:marRight w:val="0"/>
          <w:marTop w:val="0"/>
          <w:marBottom w:val="0"/>
          <w:divBdr>
            <w:top w:val="none" w:sz="0" w:space="0" w:color="auto"/>
            <w:left w:val="none" w:sz="0" w:space="0" w:color="auto"/>
            <w:bottom w:val="none" w:sz="0" w:space="0" w:color="auto"/>
            <w:right w:val="none" w:sz="0" w:space="0" w:color="auto"/>
          </w:divBdr>
        </w:div>
        <w:div w:id="943342499">
          <w:marLeft w:val="0"/>
          <w:marRight w:val="0"/>
          <w:marTop w:val="0"/>
          <w:marBottom w:val="0"/>
          <w:divBdr>
            <w:top w:val="none" w:sz="0" w:space="0" w:color="auto"/>
            <w:left w:val="none" w:sz="0" w:space="0" w:color="auto"/>
            <w:bottom w:val="none" w:sz="0" w:space="0" w:color="auto"/>
            <w:right w:val="none" w:sz="0" w:space="0" w:color="auto"/>
          </w:divBdr>
        </w:div>
        <w:div w:id="1857650060">
          <w:marLeft w:val="0"/>
          <w:marRight w:val="0"/>
          <w:marTop w:val="0"/>
          <w:marBottom w:val="0"/>
          <w:divBdr>
            <w:top w:val="none" w:sz="0" w:space="0" w:color="auto"/>
            <w:left w:val="none" w:sz="0" w:space="0" w:color="auto"/>
            <w:bottom w:val="none" w:sz="0" w:space="0" w:color="auto"/>
            <w:right w:val="none" w:sz="0" w:space="0" w:color="auto"/>
          </w:divBdr>
        </w:div>
        <w:div w:id="571702391">
          <w:marLeft w:val="0"/>
          <w:marRight w:val="0"/>
          <w:marTop w:val="0"/>
          <w:marBottom w:val="0"/>
          <w:divBdr>
            <w:top w:val="none" w:sz="0" w:space="0" w:color="auto"/>
            <w:left w:val="none" w:sz="0" w:space="0" w:color="auto"/>
            <w:bottom w:val="none" w:sz="0" w:space="0" w:color="auto"/>
            <w:right w:val="none" w:sz="0" w:space="0" w:color="auto"/>
          </w:divBdr>
        </w:div>
        <w:div w:id="8874266">
          <w:marLeft w:val="0"/>
          <w:marRight w:val="0"/>
          <w:marTop w:val="0"/>
          <w:marBottom w:val="0"/>
          <w:divBdr>
            <w:top w:val="none" w:sz="0" w:space="0" w:color="auto"/>
            <w:left w:val="none" w:sz="0" w:space="0" w:color="auto"/>
            <w:bottom w:val="none" w:sz="0" w:space="0" w:color="auto"/>
            <w:right w:val="none" w:sz="0" w:space="0" w:color="auto"/>
          </w:divBdr>
        </w:div>
        <w:div w:id="1096095774">
          <w:marLeft w:val="0"/>
          <w:marRight w:val="0"/>
          <w:marTop w:val="0"/>
          <w:marBottom w:val="0"/>
          <w:divBdr>
            <w:top w:val="none" w:sz="0" w:space="0" w:color="auto"/>
            <w:left w:val="none" w:sz="0" w:space="0" w:color="auto"/>
            <w:bottom w:val="none" w:sz="0" w:space="0" w:color="auto"/>
            <w:right w:val="none" w:sz="0" w:space="0" w:color="auto"/>
          </w:divBdr>
        </w:div>
        <w:div w:id="1057582413">
          <w:marLeft w:val="0"/>
          <w:marRight w:val="0"/>
          <w:marTop w:val="0"/>
          <w:marBottom w:val="0"/>
          <w:divBdr>
            <w:top w:val="none" w:sz="0" w:space="0" w:color="auto"/>
            <w:left w:val="none" w:sz="0" w:space="0" w:color="auto"/>
            <w:bottom w:val="none" w:sz="0" w:space="0" w:color="auto"/>
            <w:right w:val="none" w:sz="0" w:space="0" w:color="auto"/>
          </w:divBdr>
        </w:div>
        <w:div w:id="971834359">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72241816">
          <w:marLeft w:val="0"/>
          <w:marRight w:val="0"/>
          <w:marTop w:val="0"/>
          <w:marBottom w:val="0"/>
          <w:divBdr>
            <w:top w:val="none" w:sz="0" w:space="0" w:color="auto"/>
            <w:left w:val="none" w:sz="0" w:space="0" w:color="auto"/>
            <w:bottom w:val="none" w:sz="0" w:space="0" w:color="auto"/>
            <w:right w:val="none" w:sz="0" w:space="0" w:color="auto"/>
          </w:divBdr>
        </w:div>
        <w:div w:id="526531735">
          <w:marLeft w:val="0"/>
          <w:marRight w:val="0"/>
          <w:marTop w:val="0"/>
          <w:marBottom w:val="0"/>
          <w:divBdr>
            <w:top w:val="none" w:sz="0" w:space="0" w:color="auto"/>
            <w:left w:val="none" w:sz="0" w:space="0" w:color="auto"/>
            <w:bottom w:val="none" w:sz="0" w:space="0" w:color="auto"/>
            <w:right w:val="none" w:sz="0" w:space="0" w:color="auto"/>
          </w:divBdr>
        </w:div>
        <w:div w:id="90590887">
          <w:marLeft w:val="0"/>
          <w:marRight w:val="0"/>
          <w:marTop w:val="0"/>
          <w:marBottom w:val="0"/>
          <w:divBdr>
            <w:top w:val="none" w:sz="0" w:space="0" w:color="auto"/>
            <w:left w:val="none" w:sz="0" w:space="0" w:color="auto"/>
            <w:bottom w:val="none" w:sz="0" w:space="0" w:color="auto"/>
            <w:right w:val="none" w:sz="0" w:space="0" w:color="auto"/>
          </w:divBdr>
        </w:div>
        <w:div w:id="1800953885">
          <w:marLeft w:val="0"/>
          <w:marRight w:val="0"/>
          <w:marTop w:val="0"/>
          <w:marBottom w:val="0"/>
          <w:divBdr>
            <w:top w:val="none" w:sz="0" w:space="0" w:color="auto"/>
            <w:left w:val="none" w:sz="0" w:space="0" w:color="auto"/>
            <w:bottom w:val="none" w:sz="0" w:space="0" w:color="auto"/>
            <w:right w:val="none" w:sz="0" w:space="0" w:color="auto"/>
          </w:divBdr>
        </w:div>
        <w:div w:id="1406994270">
          <w:marLeft w:val="0"/>
          <w:marRight w:val="0"/>
          <w:marTop w:val="0"/>
          <w:marBottom w:val="0"/>
          <w:divBdr>
            <w:top w:val="none" w:sz="0" w:space="0" w:color="auto"/>
            <w:left w:val="none" w:sz="0" w:space="0" w:color="auto"/>
            <w:bottom w:val="none" w:sz="0" w:space="0" w:color="auto"/>
            <w:right w:val="none" w:sz="0" w:space="0" w:color="auto"/>
          </w:divBdr>
        </w:div>
        <w:div w:id="888419054">
          <w:marLeft w:val="0"/>
          <w:marRight w:val="0"/>
          <w:marTop w:val="0"/>
          <w:marBottom w:val="0"/>
          <w:divBdr>
            <w:top w:val="none" w:sz="0" w:space="0" w:color="auto"/>
            <w:left w:val="none" w:sz="0" w:space="0" w:color="auto"/>
            <w:bottom w:val="none" w:sz="0" w:space="0" w:color="auto"/>
            <w:right w:val="none" w:sz="0" w:space="0" w:color="auto"/>
          </w:divBdr>
        </w:div>
      </w:divsChild>
    </w:div>
    <w:div w:id="2044868068">
      <w:bodyDiv w:val="1"/>
      <w:marLeft w:val="0"/>
      <w:marRight w:val="0"/>
      <w:marTop w:val="0"/>
      <w:marBottom w:val="0"/>
      <w:divBdr>
        <w:top w:val="none" w:sz="0" w:space="0" w:color="auto"/>
        <w:left w:val="none" w:sz="0" w:space="0" w:color="auto"/>
        <w:bottom w:val="none" w:sz="0" w:space="0" w:color="auto"/>
        <w:right w:val="none" w:sz="0" w:space="0" w:color="auto"/>
      </w:divBdr>
      <w:divsChild>
        <w:div w:id="287517362">
          <w:marLeft w:val="0"/>
          <w:marRight w:val="1"/>
          <w:marTop w:val="0"/>
          <w:marBottom w:val="0"/>
          <w:divBdr>
            <w:top w:val="none" w:sz="0" w:space="0" w:color="auto"/>
            <w:left w:val="none" w:sz="0" w:space="0" w:color="auto"/>
            <w:bottom w:val="none" w:sz="0" w:space="0" w:color="auto"/>
            <w:right w:val="none" w:sz="0" w:space="0" w:color="auto"/>
          </w:divBdr>
          <w:divsChild>
            <w:div w:id="815030262">
              <w:marLeft w:val="0"/>
              <w:marRight w:val="0"/>
              <w:marTop w:val="0"/>
              <w:marBottom w:val="0"/>
              <w:divBdr>
                <w:top w:val="none" w:sz="0" w:space="0" w:color="auto"/>
                <w:left w:val="none" w:sz="0" w:space="0" w:color="auto"/>
                <w:bottom w:val="none" w:sz="0" w:space="0" w:color="auto"/>
                <w:right w:val="none" w:sz="0" w:space="0" w:color="auto"/>
              </w:divBdr>
              <w:divsChild>
                <w:div w:id="2132507001">
                  <w:marLeft w:val="0"/>
                  <w:marRight w:val="1"/>
                  <w:marTop w:val="0"/>
                  <w:marBottom w:val="0"/>
                  <w:divBdr>
                    <w:top w:val="none" w:sz="0" w:space="0" w:color="auto"/>
                    <w:left w:val="none" w:sz="0" w:space="0" w:color="auto"/>
                    <w:bottom w:val="none" w:sz="0" w:space="0" w:color="auto"/>
                    <w:right w:val="none" w:sz="0" w:space="0" w:color="auto"/>
                  </w:divBdr>
                  <w:divsChild>
                    <w:div w:id="1384986684">
                      <w:marLeft w:val="0"/>
                      <w:marRight w:val="0"/>
                      <w:marTop w:val="0"/>
                      <w:marBottom w:val="0"/>
                      <w:divBdr>
                        <w:top w:val="none" w:sz="0" w:space="0" w:color="auto"/>
                        <w:left w:val="none" w:sz="0" w:space="0" w:color="auto"/>
                        <w:bottom w:val="none" w:sz="0" w:space="0" w:color="auto"/>
                        <w:right w:val="none" w:sz="0" w:space="0" w:color="auto"/>
                      </w:divBdr>
                      <w:divsChild>
                        <w:div w:id="979312464">
                          <w:marLeft w:val="0"/>
                          <w:marRight w:val="0"/>
                          <w:marTop w:val="0"/>
                          <w:marBottom w:val="0"/>
                          <w:divBdr>
                            <w:top w:val="none" w:sz="0" w:space="0" w:color="auto"/>
                            <w:left w:val="none" w:sz="0" w:space="0" w:color="auto"/>
                            <w:bottom w:val="none" w:sz="0" w:space="0" w:color="auto"/>
                            <w:right w:val="none" w:sz="0" w:space="0" w:color="auto"/>
                          </w:divBdr>
                          <w:divsChild>
                            <w:div w:id="40792117">
                              <w:marLeft w:val="0"/>
                              <w:marRight w:val="0"/>
                              <w:marTop w:val="120"/>
                              <w:marBottom w:val="360"/>
                              <w:divBdr>
                                <w:top w:val="none" w:sz="0" w:space="0" w:color="auto"/>
                                <w:left w:val="none" w:sz="0" w:space="0" w:color="auto"/>
                                <w:bottom w:val="none" w:sz="0" w:space="0" w:color="auto"/>
                                <w:right w:val="none" w:sz="0" w:space="0" w:color="auto"/>
                              </w:divBdr>
                              <w:divsChild>
                                <w:div w:id="1849977334">
                                  <w:marLeft w:val="0"/>
                                  <w:marRight w:val="0"/>
                                  <w:marTop w:val="0"/>
                                  <w:marBottom w:val="0"/>
                                  <w:divBdr>
                                    <w:top w:val="none" w:sz="0" w:space="0" w:color="auto"/>
                                    <w:left w:val="none" w:sz="0" w:space="0" w:color="auto"/>
                                    <w:bottom w:val="none" w:sz="0" w:space="0" w:color="auto"/>
                                    <w:right w:val="none" w:sz="0" w:space="0" w:color="auto"/>
                                  </w:divBdr>
                                </w:div>
                                <w:div w:id="8780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utner@emory.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4737</Words>
  <Characters>27002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Kutner, Nancy</dc:creator>
  <cp:lastModifiedBy>LS Ma</cp:lastModifiedBy>
  <cp:revision>2</cp:revision>
  <cp:lastPrinted>2014-06-23T20:44:00Z</cp:lastPrinted>
  <dcterms:created xsi:type="dcterms:W3CDTF">2014-07-15T00:07:00Z</dcterms:created>
  <dcterms:modified xsi:type="dcterms:W3CDTF">2014-07-15T00:07:00Z</dcterms:modified>
</cp:coreProperties>
</file>