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93" w:rsidRPr="005E097D" w:rsidRDefault="006B1E93" w:rsidP="001630CF">
      <w:pPr>
        <w:snapToGrid w:val="0"/>
        <w:spacing w:after="0" w:line="360" w:lineRule="auto"/>
        <w:rPr>
          <w:rFonts w:ascii="Book Antiqua" w:eastAsia="Times New Roman" w:hAnsi="Book Antiqua" w:cs="Tahoma"/>
          <w:b/>
          <w:color w:val="000000"/>
          <w:sz w:val="24"/>
          <w:szCs w:val="24"/>
        </w:rPr>
      </w:pPr>
      <w:r w:rsidRPr="005E097D">
        <w:rPr>
          <w:rFonts w:ascii="Book Antiqua" w:eastAsia="Times New Roman" w:hAnsi="Book Antiqua" w:cs="Tahoma"/>
          <w:b/>
          <w:color w:val="0000FF"/>
          <w:sz w:val="24"/>
          <w:szCs w:val="24"/>
        </w:rPr>
        <w:t xml:space="preserve">Name of journal: </w:t>
      </w:r>
      <w:r w:rsidRPr="005E097D">
        <w:rPr>
          <w:rFonts w:ascii="Book Antiqua" w:eastAsia="Times New Roman" w:hAnsi="Book Antiqua" w:cs="Tahoma"/>
          <w:b/>
          <w:sz w:val="24"/>
          <w:szCs w:val="24"/>
        </w:rPr>
        <w:t>World Journal of Gastroenterology</w:t>
      </w:r>
    </w:p>
    <w:p w:rsidR="006B1E93" w:rsidRPr="005E097D" w:rsidRDefault="006B1E93" w:rsidP="001630CF">
      <w:pPr>
        <w:snapToGrid w:val="0"/>
        <w:spacing w:after="0" w:line="360" w:lineRule="auto"/>
        <w:rPr>
          <w:rFonts w:ascii="Book Antiqua" w:hAnsi="Book Antiqua" w:cs="Tahoma"/>
          <w:b/>
          <w:color w:val="0000FF"/>
          <w:sz w:val="24"/>
          <w:szCs w:val="24"/>
          <w:lang w:eastAsia="zh-CN"/>
        </w:rPr>
      </w:pPr>
      <w:r w:rsidRPr="005E097D">
        <w:rPr>
          <w:rFonts w:ascii="Book Antiqua" w:eastAsia="Times New Roman" w:hAnsi="Book Antiqua" w:cs="Tahoma"/>
          <w:b/>
          <w:color w:val="0000FF"/>
          <w:sz w:val="24"/>
          <w:szCs w:val="24"/>
        </w:rPr>
        <w:t>ESPS Manuscript NO:</w:t>
      </w:r>
      <w:r w:rsidRPr="005E097D">
        <w:rPr>
          <w:rFonts w:ascii="Book Antiqua" w:hAnsi="Book Antiqua" w:cs="Tahoma"/>
          <w:b/>
          <w:sz w:val="24"/>
          <w:szCs w:val="24"/>
        </w:rPr>
        <w:t xml:space="preserve"> 10</w:t>
      </w:r>
      <w:r>
        <w:rPr>
          <w:rFonts w:ascii="Book Antiqua" w:hAnsi="Book Antiqua" w:cs="Tahoma" w:hint="eastAsia"/>
          <w:b/>
          <w:sz w:val="24"/>
          <w:szCs w:val="24"/>
          <w:lang w:eastAsia="zh-CN"/>
        </w:rPr>
        <w:t>722</w:t>
      </w:r>
    </w:p>
    <w:p w:rsidR="006B1E93" w:rsidRDefault="006B1E93" w:rsidP="001630CF">
      <w:pPr>
        <w:snapToGrid w:val="0"/>
        <w:spacing w:after="0" w:line="360" w:lineRule="auto"/>
        <w:rPr>
          <w:rFonts w:ascii="Book Antiqua" w:eastAsiaTheme="minorEastAsia" w:hAnsi="Book Antiqua" w:cs="Tahoma"/>
          <w:b/>
          <w:sz w:val="24"/>
          <w:szCs w:val="24"/>
          <w:lang w:eastAsia="zh-CN"/>
        </w:rPr>
      </w:pPr>
      <w:r w:rsidRPr="005E097D">
        <w:rPr>
          <w:rFonts w:ascii="Book Antiqua" w:eastAsia="Times New Roman" w:hAnsi="Book Antiqua" w:cs="Tahoma"/>
          <w:b/>
          <w:color w:val="0000FF"/>
          <w:sz w:val="24"/>
          <w:szCs w:val="24"/>
        </w:rPr>
        <w:t>Columns:</w:t>
      </w:r>
      <w:r w:rsidRPr="005E097D">
        <w:rPr>
          <w:rFonts w:ascii="Book Antiqua" w:eastAsia="Times New Roman" w:hAnsi="Book Antiqua"/>
          <w:color w:val="0000FF"/>
          <w:sz w:val="24"/>
          <w:szCs w:val="24"/>
        </w:rPr>
        <w:t xml:space="preserve"> </w:t>
      </w:r>
      <w:r w:rsidRPr="005E097D">
        <w:rPr>
          <w:rFonts w:ascii="Book Antiqua" w:eastAsia="Times New Roman" w:hAnsi="Book Antiqua" w:cs="Tahoma"/>
          <w:b/>
          <w:sz w:val="24"/>
          <w:szCs w:val="24"/>
        </w:rPr>
        <w:t>CASE</w:t>
      </w:r>
      <w:r w:rsidRPr="00A56906">
        <w:rPr>
          <w:rFonts w:ascii="Book Antiqua" w:hAnsi="Book Antiqua" w:cs="Tahoma" w:hint="eastAsia"/>
          <w:b/>
          <w:sz w:val="24"/>
          <w:szCs w:val="24"/>
        </w:rPr>
        <w:t xml:space="preserve"> </w:t>
      </w:r>
      <w:r w:rsidRPr="005E097D">
        <w:rPr>
          <w:rFonts w:ascii="Book Antiqua" w:eastAsia="Times New Roman" w:hAnsi="Book Antiqua" w:cs="Tahoma"/>
          <w:b/>
          <w:sz w:val="24"/>
          <w:szCs w:val="24"/>
        </w:rPr>
        <w:t>REPORT</w:t>
      </w:r>
    </w:p>
    <w:p w:rsidR="006B1E93" w:rsidRPr="006B1E93" w:rsidRDefault="006B1E93" w:rsidP="001630CF">
      <w:pPr>
        <w:snapToGrid w:val="0"/>
        <w:spacing w:after="0" w:line="360" w:lineRule="auto"/>
        <w:rPr>
          <w:rFonts w:ascii="Book Antiqua" w:eastAsiaTheme="minorEastAsia" w:hAnsi="Book Antiqua" w:cs="Tahoma"/>
          <w:b/>
          <w:color w:val="000000"/>
          <w:sz w:val="24"/>
          <w:szCs w:val="24"/>
          <w:lang w:eastAsia="zh-CN"/>
        </w:rPr>
      </w:pPr>
    </w:p>
    <w:p w:rsidR="00836127" w:rsidRDefault="00836127" w:rsidP="001630CF">
      <w:pPr>
        <w:snapToGrid w:val="0"/>
        <w:spacing w:after="0" w:line="360" w:lineRule="auto"/>
        <w:jc w:val="both"/>
        <w:rPr>
          <w:rFonts w:ascii="Book Antiqua" w:hAnsi="Book Antiqua" w:cs="Times New Roman"/>
          <w:b/>
          <w:sz w:val="24"/>
          <w:szCs w:val="24"/>
          <w:lang w:eastAsia="zh-CN"/>
        </w:rPr>
      </w:pPr>
      <w:r w:rsidRPr="00D85CC9">
        <w:rPr>
          <w:rFonts w:ascii="Book Antiqua" w:hAnsi="Book Antiqua" w:cs="Times New Roman"/>
          <w:b/>
          <w:sz w:val="24"/>
          <w:szCs w:val="24"/>
        </w:rPr>
        <w:t>N-</w:t>
      </w:r>
      <w:proofErr w:type="spellStart"/>
      <w:r w:rsidR="006B1E93" w:rsidRPr="00D85CC9">
        <w:rPr>
          <w:rFonts w:ascii="Book Antiqua" w:hAnsi="Book Antiqua" w:cs="Times New Roman"/>
          <w:b/>
          <w:sz w:val="24"/>
          <w:szCs w:val="24"/>
        </w:rPr>
        <w:t>acetylcysteine</w:t>
      </w:r>
      <w:proofErr w:type="spellEnd"/>
      <w:r w:rsidR="006B1E93" w:rsidRPr="00D85CC9">
        <w:rPr>
          <w:rFonts w:ascii="Book Antiqua" w:hAnsi="Book Antiqua" w:cs="Times New Roman"/>
          <w:b/>
          <w:sz w:val="24"/>
          <w:szCs w:val="24"/>
        </w:rPr>
        <w:t xml:space="preserve"> treats intravenous </w:t>
      </w:r>
      <w:proofErr w:type="spellStart"/>
      <w:r w:rsidR="006B1E93" w:rsidRPr="00D85CC9">
        <w:rPr>
          <w:rFonts w:ascii="Book Antiqua" w:hAnsi="Book Antiqua" w:cs="Times New Roman"/>
          <w:b/>
          <w:sz w:val="24"/>
          <w:szCs w:val="24"/>
        </w:rPr>
        <w:t>amiodarone</w:t>
      </w:r>
      <w:proofErr w:type="spellEnd"/>
      <w:r w:rsidR="006B1E93" w:rsidRPr="00D85CC9">
        <w:rPr>
          <w:rFonts w:ascii="Book Antiqua" w:hAnsi="Book Antiqua" w:cs="Times New Roman"/>
          <w:b/>
          <w:sz w:val="24"/>
          <w:szCs w:val="24"/>
        </w:rPr>
        <w:t xml:space="preserve"> induced liver in</w:t>
      </w:r>
      <w:r w:rsidR="00697B60" w:rsidRPr="00D85CC9">
        <w:rPr>
          <w:rFonts w:ascii="Book Antiqua" w:hAnsi="Book Antiqua" w:cs="Times New Roman"/>
          <w:b/>
          <w:sz w:val="24"/>
          <w:szCs w:val="24"/>
        </w:rPr>
        <w:t>jury</w:t>
      </w:r>
    </w:p>
    <w:p w:rsidR="006B1E93" w:rsidRDefault="006B1E93" w:rsidP="001630CF">
      <w:pPr>
        <w:snapToGrid w:val="0"/>
        <w:spacing w:after="0" w:line="360" w:lineRule="auto"/>
        <w:jc w:val="both"/>
        <w:rPr>
          <w:rFonts w:ascii="Book Antiqua" w:hAnsi="Book Antiqua" w:cs="Times New Roman"/>
          <w:b/>
          <w:sz w:val="24"/>
          <w:szCs w:val="24"/>
          <w:lang w:eastAsia="zh-CN"/>
        </w:rPr>
      </w:pPr>
    </w:p>
    <w:p w:rsidR="006B1E93" w:rsidRDefault="006B1E93" w:rsidP="001630CF">
      <w:pPr>
        <w:snapToGrid w:val="0"/>
        <w:spacing w:after="0" w:line="360" w:lineRule="auto"/>
        <w:jc w:val="both"/>
        <w:rPr>
          <w:rFonts w:ascii="Book Antiqua" w:hAnsi="Book Antiqua" w:cs="Times New Roman"/>
          <w:sz w:val="24"/>
          <w:szCs w:val="24"/>
          <w:lang w:eastAsia="zh-CN"/>
        </w:rPr>
      </w:pPr>
      <w:proofErr w:type="spellStart"/>
      <w:r w:rsidRPr="00D85CC9">
        <w:rPr>
          <w:rFonts w:ascii="Book Antiqua" w:hAnsi="Book Antiqua" w:cs="Times New Roman"/>
          <w:sz w:val="24"/>
          <w:szCs w:val="24"/>
        </w:rPr>
        <w:t>Mudalel</w:t>
      </w:r>
      <w:proofErr w:type="spellEnd"/>
      <w:r>
        <w:rPr>
          <w:rFonts w:ascii="Book Antiqua" w:hAnsi="Book Antiqua" w:cs="Times New Roman" w:hint="eastAsia"/>
          <w:sz w:val="24"/>
          <w:szCs w:val="24"/>
          <w:lang w:eastAsia="zh-CN"/>
        </w:rPr>
        <w:t xml:space="preserve"> </w:t>
      </w:r>
      <w:r w:rsidR="00C720F7">
        <w:rPr>
          <w:rFonts w:ascii="Book Antiqua" w:hAnsi="Book Antiqua" w:cs="Times New Roman" w:hint="eastAsia"/>
          <w:sz w:val="24"/>
          <w:szCs w:val="24"/>
          <w:lang w:eastAsia="zh-CN"/>
        </w:rPr>
        <w:t xml:space="preserve">ML </w:t>
      </w:r>
      <w:r w:rsidRPr="006B1E93">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r w:rsidR="00044345" w:rsidRPr="00D85CC9">
        <w:rPr>
          <w:rFonts w:ascii="Book Antiqua" w:hAnsi="Book Antiqua" w:cs="Times New Roman"/>
          <w:sz w:val="24"/>
          <w:szCs w:val="24"/>
        </w:rPr>
        <w:t>NAC</w:t>
      </w:r>
      <w:r w:rsidRPr="006B1E93">
        <w:rPr>
          <w:rFonts w:ascii="Book Antiqua" w:hAnsi="Book Antiqua" w:cs="Times New Roman"/>
          <w:sz w:val="24"/>
          <w:szCs w:val="24"/>
          <w:lang w:eastAsia="zh-CN"/>
        </w:rPr>
        <w:t xml:space="preserve"> treats intravenous </w:t>
      </w:r>
      <w:proofErr w:type="spellStart"/>
      <w:r w:rsidRPr="006B1E93">
        <w:rPr>
          <w:rFonts w:ascii="Book Antiqua" w:hAnsi="Book Antiqua" w:cs="Times New Roman"/>
          <w:sz w:val="24"/>
          <w:szCs w:val="24"/>
          <w:lang w:eastAsia="zh-CN"/>
        </w:rPr>
        <w:t>amiodarone</w:t>
      </w:r>
      <w:proofErr w:type="spellEnd"/>
      <w:r w:rsidRPr="006B1E93">
        <w:rPr>
          <w:rFonts w:ascii="Book Antiqua" w:hAnsi="Book Antiqua" w:cs="Times New Roman"/>
          <w:sz w:val="24"/>
          <w:szCs w:val="24"/>
          <w:lang w:eastAsia="zh-CN"/>
        </w:rPr>
        <w:t xml:space="preserve"> liver injury</w:t>
      </w:r>
    </w:p>
    <w:p w:rsidR="006B1E93" w:rsidRPr="00C720F7" w:rsidRDefault="006B1E93" w:rsidP="001630CF">
      <w:pPr>
        <w:snapToGrid w:val="0"/>
        <w:spacing w:after="0" w:line="360" w:lineRule="auto"/>
        <w:jc w:val="both"/>
        <w:rPr>
          <w:rFonts w:ascii="Book Antiqua" w:hAnsi="Book Antiqua" w:cs="Times New Roman"/>
          <w:b/>
          <w:sz w:val="24"/>
          <w:szCs w:val="24"/>
          <w:lang w:eastAsia="zh-CN"/>
        </w:rPr>
      </w:pPr>
    </w:p>
    <w:p w:rsidR="00836127" w:rsidRDefault="00B23293"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Matthew L</w:t>
      </w:r>
      <w:r w:rsidR="00411140">
        <w:rPr>
          <w:rFonts w:ascii="Book Antiqua" w:hAnsi="Book Antiqua" w:cs="Times New Roman" w:hint="eastAsia"/>
          <w:sz w:val="24"/>
          <w:szCs w:val="24"/>
          <w:lang w:eastAsia="zh-CN"/>
        </w:rPr>
        <w:t xml:space="preserve"> </w:t>
      </w:r>
      <w:proofErr w:type="spellStart"/>
      <w:r w:rsidRPr="00D85CC9">
        <w:rPr>
          <w:rFonts w:ascii="Book Antiqua" w:hAnsi="Book Antiqua" w:cs="Times New Roman"/>
          <w:sz w:val="24"/>
          <w:szCs w:val="24"/>
        </w:rPr>
        <w:t>Mudalel</w:t>
      </w:r>
      <w:proofErr w:type="spellEnd"/>
      <w:r w:rsidRPr="00D85CC9">
        <w:rPr>
          <w:rFonts w:ascii="Book Antiqua" w:hAnsi="Book Antiqua" w:cs="Times New Roman"/>
          <w:sz w:val="24"/>
          <w:szCs w:val="24"/>
        </w:rPr>
        <w:t xml:space="preserve">, </w:t>
      </w:r>
      <w:proofErr w:type="spellStart"/>
      <w:r w:rsidR="00836127" w:rsidRPr="00D85CC9">
        <w:rPr>
          <w:rFonts w:ascii="Book Antiqua" w:hAnsi="Book Antiqua" w:cs="Times New Roman"/>
          <w:sz w:val="24"/>
          <w:szCs w:val="24"/>
        </w:rPr>
        <w:t>Kartikeya</w:t>
      </w:r>
      <w:proofErr w:type="spellEnd"/>
      <w:r w:rsidR="00836127" w:rsidRPr="00D85CC9">
        <w:rPr>
          <w:rFonts w:ascii="Book Antiqua" w:hAnsi="Book Antiqua" w:cs="Times New Roman"/>
          <w:sz w:val="24"/>
          <w:szCs w:val="24"/>
        </w:rPr>
        <w:t xml:space="preserve"> Dave, </w:t>
      </w:r>
      <w:r w:rsidR="0052008C" w:rsidRPr="00D85CC9">
        <w:rPr>
          <w:rFonts w:ascii="Book Antiqua" w:hAnsi="Book Antiqua" w:cs="Times New Roman"/>
          <w:sz w:val="24"/>
          <w:szCs w:val="24"/>
        </w:rPr>
        <w:t>James</w:t>
      </w:r>
      <w:r w:rsidR="00FB1CF1" w:rsidRPr="00D85CC9">
        <w:rPr>
          <w:rFonts w:ascii="Book Antiqua" w:hAnsi="Book Antiqua" w:cs="Times New Roman"/>
          <w:sz w:val="24"/>
          <w:szCs w:val="24"/>
        </w:rPr>
        <w:t xml:space="preserve"> P</w:t>
      </w:r>
      <w:r w:rsidR="00411140">
        <w:rPr>
          <w:rFonts w:ascii="Book Antiqua" w:hAnsi="Book Antiqua" w:cs="Times New Roman" w:hint="eastAsia"/>
          <w:sz w:val="24"/>
          <w:szCs w:val="24"/>
          <w:lang w:eastAsia="zh-CN"/>
        </w:rPr>
        <w:t xml:space="preserve"> </w:t>
      </w:r>
      <w:r w:rsidR="0052008C" w:rsidRPr="00D85CC9">
        <w:rPr>
          <w:rFonts w:ascii="Book Antiqua" w:hAnsi="Book Antiqua" w:cs="Times New Roman"/>
          <w:sz w:val="24"/>
          <w:szCs w:val="24"/>
        </w:rPr>
        <w:t xml:space="preserve">Hummel, </w:t>
      </w:r>
      <w:r w:rsidR="00836127" w:rsidRPr="00D85CC9">
        <w:rPr>
          <w:rFonts w:ascii="Book Antiqua" w:hAnsi="Book Antiqua" w:cs="Times New Roman"/>
          <w:sz w:val="24"/>
          <w:szCs w:val="24"/>
        </w:rPr>
        <w:t>Steven F</w:t>
      </w:r>
      <w:r w:rsidR="00411140">
        <w:rPr>
          <w:rFonts w:ascii="Book Antiqua" w:hAnsi="Book Antiqua" w:cs="Times New Roman" w:hint="eastAsia"/>
          <w:sz w:val="24"/>
          <w:szCs w:val="24"/>
          <w:lang w:eastAsia="zh-CN"/>
        </w:rPr>
        <w:t xml:space="preserve"> </w:t>
      </w:r>
      <w:proofErr w:type="spellStart"/>
      <w:r w:rsidR="00836127" w:rsidRPr="00D85CC9">
        <w:rPr>
          <w:rFonts w:ascii="Book Antiqua" w:hAnsi="Book Antiqua" w:cs="Times New Roman"/>
          <w:sz w:val="24"/>
          <w:szCs w:val="24"/>
        </w:rPr>
        <w:t>Solga</w:t>
      </w:r>
      <w:proofErr w:type="spellEnd"/>
    </w:p>
    <w:p w:rsidR="006B1E93" w:rsidRPr="00D85CC9" w:rsidRDefault="006B1E93" w:rsidP="001630CF">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noProof/>
          <w:sz w:val="24"/>
          <w:szCs w:val="24"/>
          <w:lang w:eastAsia="zh-CN"/>
        </w:rPr>
        <mc:AlternateContent>
          <mc:Choice Requires="wps">
            <w:drawing>
              <wp:anchor distT="4294967294" distB="4294967294" distL="114300" distR="114300" simplePos="0" relativeHeight="251658240" behindDoc="0" locked="0" layoutInCell="1" allowOverlap="1" wp14:anchorId="2CD3C67C" wp14:editId="53725D1C">
                <wp:simplePos x="0" y="0"/>
                <wp:positionH relativeFrom="column">
                  <wp:posOffset>-7620</wp:posOffset>
                </wp:positionH>
                <wp:positionV relativeFrom="paragraph">
                  <wp:posOffset>87630</wp:posOffset>
                </wp:positionV>
                <wp:extent cx="519684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6.9pt" to="408.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8R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" strokecolor="gray" strokeweight="3pt"/>
            </w:pict>
          </mc:Fallback>
        </mc:AlternateContent>
      </w:r>
    </w:p>
    <w:p w:rsidR="00836127" w:rsidRDefault="00B86D66" w:rsidP="001630CF">
      <w:pPr>
        <w:snapToGrid w:val="0"/>
        <w:spacing w:after="0" w:line="360" w:lineRule="auto"/>
        <w:jc w:val="both"/>
        <w:rPr>
          <w:rFonts w:ascii="Book Antiqua" w:hAnsi="Book Antiqua" w:cs="Times New Roman"/>
          <w:sz w:val="24"/>
          <w:szCs w:val="24"/>
          <w:lang w:eastAsia="zh-CN"/>
        </w:rPr>
      </w:pPr>
      <w:r w:rsidRPr="00411140">
        <w:rPr>
          <w:rFonts w:ascii="Book Antiqua" w:hAnsi="Book Antiqua" w:cs="Times New Roman"/>
          <w:b/>
          <w:sz w:val="24"/>
          <w:szCs w:val="24"/>
        </w:rPr>
        <w:t>Matthew L</w:t>
      </w:r>
      <w:r w:rsidR="00411140" w:rsidRPr="00411140">
        <w:rPr>
          <w:rFonts w:ascii="Book Antiqua" w:hAnsi="Book Antiqua" w:cs="Times New Roman" w:hint="eastAsia"/>
          <w:b/>
          <w:sz w:val="24"/>
          <w:szCs w:val="24"/>
          <w:lang w:eastAsia="zh-CN"/>
        </w:rPr>
        <w:t xml:space="preserve"> </w:t>
      </w:r>
      <w:proofErr w:type="spellStart"/>
      <w:r w:rsidRPr="00411140">
        <w:rPr>
          <w:rFonts w:ascii="Book Antiqua" w:hAnsi="Book Antiqua" w:cs="Times New Roman"/>
          <w:b/>
          <w:sz w:val="24"/>
          <w:szCs w:val="24"/>
        </w:rPr>
        <w:t>Mudalel</w:t>
      </w:r>
      <w:proofErr w:type="spellEnd"/>
      <w:r w:rsidR="00411140" w:rsidRPr="00411140">
        <w:rPr>
          <w:rFonts w:ascii="Book Antiqua" w:hAnsi="Book Antiqua" w:cs="Times New Roman" w:hint="eastAsia"/>
          <w:b/>
          <w:sz w:val="24"/>
          <w:szCs w:val="24"/>
          <w:lang w:eastAsia="zh-CN"/>
        </w:rPr>
        <w:t xml:space="preserve">, </w:t>
      </w:r>
      <w:r w:rsidRPr="00411140">
        <w:rPr>
          <w:rFonts w:ascii="Book Antiqua" w:hAnsi="Book Antiqua" w:cs="Times New Roman"/>
          <w:b/>
          <w:sz w:val="24"/>
          <w:szCs w:val="24"/>
        </w:rPr>
        <w:t>Steven F</w:t>
      </w:r>
      <w:r w:rsidR="00411140" w:rsidRPr="00411140">
        <w:rPr>
          <w:rFonts w:ascii="Book Antiqua" w:hAnsi="Book Antiqua" w:cs="Times New Roman" w:hint="eastAsia"/>
          <w:b/>
          <w:sz w:val="24"/>
          <w:szCs w:val="24"/>
          <w:lang w:eastAsia="zh-CN"/>
        </w:rPr>
        <w:t xml:space="preserve"> </w:t>
      </w:r>
      <w:proofErr w:type="spellStart"/>
      <w:r w:rsidRPr="00411140">
        <w:rPr>
          <w:rFonts w:ascii="Book Antiqua" w:hAnsi="Book Antiqua" w:cs="Times New Roman"/>
          <w:b/>
          <w:sz w:val="24"/>
          <w:szCs w:val="24"/>
        </w:rPr>
        <w:t>Solga</w:t>
      </w:r>
      <w:proofErr w:type="spellEnd"/>
      <w:r w:rsidR="00411140" w:rsidRPr="00411140">
        <w:rPr>
          <w:rFonts w:ascii="Book Antiqua" w:hAnsi="Book Antiqua" w:cs="Times New Roman" w:hint="eastAsia"/>
          <w:b/>
          <w:sz w:val="24"/>
          <w:szCs w:val="24"/>
          <w:lang w:eastAsia="zh-CN"/>
        </w:rPr>
        <w:t>,</w:t>
      </w:r>
      <w:r w:rsidR="00411140">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 xml:space="preserve">Department of Medicine, Division of </w:t>
      </w:r>
      <w:proofErr w:type="spellStart"/>
      <w:r w:rsidRPr="00D85CC9">
        <w:rPr>
          <w:rFonts w:ascii="Book Antiqua" w:hAnsi="Book Antiqua" w:cs="Times New Roman"/>
          <w:sz w:val="24"/>
          <w:szCs w:val="24"/>
        </w:rPr>
        <w:t>Gastroenteorlogy</w:t>
      </w:r>
      <w:proofErr w:type="spellEnd"/>
      <w:r w:rsidRPr="00D85CC9">
        <w:rPr>
          <w:rFonts w:ascii="Book Antiqua" w:hAnsi="Book Antiqua" w:cs="Times New Roman"/>
          <w:sz w:val="24"/>
          <w:szCs w:val="24"/>
        </w:rPr>
        <w:t xml:space="preserve">, </w:t>
      </w:r>
      <w:r w:rsidR="00836127" w:rsidRPr="00D85CC9">
        <w:rPr>
          <w:rFonts w:ascii="Book Antiqua" w:hAnsi="Book Antiqua" w:cs="Times New Roman"/>
          <w:sz w:val="24"/>
          <w:szCs w:val="24"/>
        </w:rPr>
        <w:t>St. Luke’s University Hospital and Temple School of Medicine, Bethlehem</w:t>
      </w:r>
      <w:r w:rsidR="00AB6688">
        <w:rPr>
          <w:rFonts w:ascii="Book Antiqua" w:hAnsi="Book Antiqua" w:cs="Times New Roman" w:hint="eastAsia"/>
          <w:sz w:val="24"/>
          <w:szCs w:val="24"/>
          <w:lang w:eastAsia="zh-CN"/>
        </w:rPr>
        <w:t>, PA</w:t>
      </w:r>
      <w:r w:rsidR="00411140">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18015</w:t>
      </w:r>
      <w:r w:rsidR="00411140">
        <w:rPr>
          <w:rFonts w:ascii="Book Antiqua" w:hAnsi="Book Antiqua" w:cs="Times New Roman" w:hint="eastAsia"/>
          <w:sz w:val="24"/>
          <w:szCs w:val="24"/>
          <w:lang w:eastAsia="zh-CN"/>
        </w:rPr>
        <w:t>,</w:t>
      </w:r>
      <w:r w:rsidRPr="00D85CC9">
        <w:rPr>
          <w:rFonts w:ascii="Book Antiqua" w:hAnsi="Book Antiqua" w:cs="Times New Roman"/>
          <w:sz w:val="24"/>
          <w:szCs w:val="24"/>
        </w:rPr>
        <w:t xml:space="preserve"> United States </w:t>
      </w:r>
    </w:p>
    <w:p w:rsidR="00B877C0" w:rsidRPr="00AB6688" w:rsidRDefault="00B877C0" w:rsidP="001630CF">
      <w:pPr>
        <w:snapToGrid w:val="0"/>
        <w:spacing w:after="0" w:line="360" w:lineRule="auto"/>
        <w:jc w:val="both"/>
        <w:rPr>
          <w:rFonts w:ascii="Book Antiqua" w:hAnsi="Book Antiqua" w:cs="Times New Roman"/>
          <w:sz w:val="24"/>
          <w:szCs w:val="24"/>
          <w:lang w:eastAsia="zh-CN"/>
        </w:rPr>
      </w:pPr>
    </w:p>
    <w:p w:rsidR="00B86D66" w:rsidRDefault="0095740B" w:rsidP="001630CF">
      <w:pPr>
        <w:snapToGrid w:val="0"/>
        <w:spacing w:after="0" w:line="360" w:lineRule="auto"/>
        <w:jc w:val="both"/>
        <w:rPr>
          <w:rFonts w:ascii="Book Antiqua" w:hAnsi="Book Antiqua" w:cs="Times New Roman"/>
          <w:sz w:val="24"/>
          <w:szCs w:val="24"/>
          <w:lang w:eastAsia="zh-CN"/>
        </w:rPr>
      </w:pPr>
      <w:proofErr w:type="spellStart"/>
      <w:r w:rsidRPr="00411140">
        <w:rPr>
          <w:rFonts w:ascii="Book Antiqua" w:hAnsi="Book Antiqua" w:cs="Times New Roman"/>
          <w:b/>
          <w:sz w:val="24"/>
          <w:szCs w:val="24"/>
        </w:rPr>
        <w:t>Kartikeya</w:t>
      </w:r>
      <w:proofErr w:type="spellEnd"/>
      <w:r w:rsidRPr="00411140">
        <w:rPr>
          <w:rFonts w:ascii="Book Antiqua" w:hAnsi="Book Antiqua" w:cs="Times New Roman"/>
          <w:b/>
          <w:sz w:val="24"/>
          <w:szCs w:val="24"/>
        </w:rPr>
        <w:t xml:space="preserve"> Dave</w:t>
      </w:r>
      <w:r w:rsidR="00411140" w:rsidRPr="00411140">
        <w:rPr>
          <w:rFonts w:ascii="Book Antiqua" w:hAnsi="Book Antiqua" w:cs="Times New Roman" w:hint="eastAsia"/>
          <w:b/>
          <w:sz w:val="24"/>
          <w:szCs w:val="24"/>
          <w:lang w:eastAsia="zh-CN"/>
        </w:rPr>
        <w:t xml:space="preserve">, </w:t>
      </w:r>
      <w:r w:rsidRPr="00D85CC9">
        <w:rPr>
          <w:rFonts w:ascii="Book Antiqua" w:hAnsi="Book Antiqua" w:cs="Times New Roman"/>
          <w:sz w:val="24"/>
          <w:szCs w:val="24"/>
        </w:rPr>
        <w:t>Monte</w:t>
      </w:r>
      <w:r w:rsidR="00B86D66" w:rsidRPr="00D85CC9">
        <w:rPr>
          <w:rFonts w:ascii="Book Antiqua" w:hAnsi="Book Antiqua" w:cs="Times New Roman"/>
          <w:sz w:val="24"/>
          <w:szCs w:val="24"/>
        </w:rPr>
        <w:t>f</w:t>
      </w:r>
      <w:r w:rsidRPr="00D85CC9">
        <w:rPr>
          <w:rFonts w:ascii="Book Antiqua" w:hAnsi="Book Antiqua" w:cs="Times New Roman"/>
          <w:sz w:val="24"/>
          <w:szCs w:val="24"/>
        </w:rPr>
        <w:t>i</w:t>
      </w:r>
      <w:r w:rsidR="00B86D66" w:rsidRPr="00D85CC9">
        <w:rPr>
          <w:rFonts w:ascii="Book Antiqua" w:hAnsi="Book Antiqua" w:cs="Times New Roman"/>
          <w:sz w:val="24"/>
          <w:szCs w:val="24"/>
        </w:rPr>
        <w:t>ore Medical Center</w:t>
      </w:r>
      <w:r w:rsidRPr="00D85CC9">
        <w:rPr>
          <w:rFonts w:ascii="Book Antiqua" w:hAnsi="Book Antiqua" w:cs="Times New Roman"/>
          <w:sz w:val="24"/>
          <w:szCs w:val="24"/>
        </w:rPr>
        <w:t>, New York</w:t>
      </w:r>
      <w:r w:rsidR="00B877C0">
        <w:rPr>
          <w:rFonts w:ascii="Book Antiqua" w:hAnsi="Book Antiqua" w:cs="Times New Roman" w:hint="eastAsia"/>
          <w:sz w:val="24"/>
          <w:szCs w:val="24"/>
          <w:lang w:eastAsia="zh-CN"/>
        </w:rPr>
        <w:t>, NY</w:t>
      </w:r>
      <w:r w:rsidR="00411140">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10467</w:t>
      </w:r>
      <w:r w:rsidR="00411140">
        <w:rPr>
          <w:rFonts w:ascii="Book Antiqua" w:hAnsi="Book Antiqua" w:cs="Times New Roman" w:hint="eastAsia"/>
          <w:sz w:val="24"/>
          <w:szCs w:val="24"/>
          <w:lang w:eastAsia="zh-CN"/>
        </w:rPr>
        <w:t>,</w:t>
      </w:r>
      <w:r w:rsidRPr="00D85CC9">
        <w:rPr>
          <w:rFonts w:ascii="Book Antiqua" w:hAnsi="Book Antiqua" w:cs="Times New Roman"/>
          <w:sz w:val="24"/>
          <w:szCs w:val="24"/>
        </w:rPr>
        <w:t xml:space="preserve"> United States </w:t>
      </w:r>
    </w:p>
    <w:p w:rsidR="00B877C0" w:rsidRPr="00D85CC9" w:rsidRDefault="00B877C0" w:rsidP="001630CF">
      <w:pPr>
        <w:snapToGrid w:val="0"/>
        <w:spacing w:after="0" w:line="360" w:lineRule="auto"/>
        <w:jc w:val="both"/>
        <w:rPr>
          <w:rFonts w:ascii="Book Antiqua" w:hAnsi="Book Antiqua" w:cs="Times New Roman"/>
          <w:sz w:val="24"/>
          <w:szCs w:val="24"/>
          <w:lang w:eastAsia="zh-CN"/>
        </w:rPr>
      </w:pPr>
    </w:p>
    <w:p w:rsidR="00B86D66" w:rsidRDefault="00B86D66" w:rsidP="001630CF">
      <w:pPr>
        <w:snapToGrid w:val="0"/>
        <w:spacing w:after="0" w:line="360" w:lineRule="auto"/>
        <w:jc w:val="both"/>
        <w:rPr>
          <w:rFonts w:ascii="Book Antiqua" w:hAnsi="Book Antiqua" w:cs="Times New Roman"/>
          <w:sz w:val="24"/>
          <w:szCs w:val="24"/>
          <w:lang w:eastAsia="zh-CN"/>
        </w:rPr>
      </w:pPr>
      <w:r w:rsidRPr="00411140">
        <w:rPr>
          <w:rFonts w:ascii="Book Antiqua" w:hAnsi="Book Antiqua" w:cs="Times New Roman"/>
          <w:b/>
          <w:sz w:val="24"/>
          <w:szCs w:val="24"/>
        </w:rPr>
        <w:t>James P</w:t>
      </w:r>
      <w:r w:rsidR="00411140" w:rsidRPr="00411140">
        <w:rPr>
          <w:rFonts w:ascii="Book Antiqua" w:hAnsi="Book Antiqua" w:cs="Times New Roman" w:hint="eastAsia"/>
          <w:b/>
          <w:sz w:val="24"/>
          <w:szCs w:val="24"/>
          <w:lang w:eastAsia="zh-CN"/>
        </w:rPr>
        <w:t xml:space="preserve"> </w:t>
      </w:r>
      <w:proofErr w:type="spellStart"/>
      <w:r w:rsidRPr="00411140">
        <w:rPr>
          <w:rFonts w:ascii="Book Antiqua" w:hAnsi="Book Antiqua" w:cs="Times New Roman"/>
          <w:b/>
          <w:sz w:val="24"/>
          <w:szCs w:val="24"/>
        </w:rPr>
        <w:t>Humel</w:t>
      </w:r>
      <w:proofErr w:type="spellEnd"/>
      <w:r w:rsidRPr="00411140">
        <w:rPr>
          <w:rFonts w:ascii="Book Antiqua" w:hAnsi="Book Antiqua" w:cs="Times New Roman"/>
          <w:b/>
          <w:sz w:val="24"/>
          <w:szCs w:val="24"/>
        </w:rPr>
        <w:t>,</w:t>
      </w:r>
      <w:r w:rsidRPr="00D85CC9">
        <w:rPr>
          <w:rFonts w:ascii="Book Antiqua" w:hAnsi="Book Antiqua" w:cs="Times New Roman"/>
          <w:sz w:val="24"/>
          <w:szCs w:val="24"/>
        </w:rPr>
        <w:t xml:space="preserve"> Department of Medicine, Division of Cardiology, University of North Carolina, Chapel Hill</w:t>
      </w:r>
      <w:r w:rsidR="00B877C0">
        <w:rPr>
          <w:rFonts w:ascii="Book Antiqua" w:hAnsi="Book Antiqua" w:cs="Times New Roman" w:hint="eastAsia"/>
          <w:sz w:val="24"/>
          <w:szCs w:val="24"/>
          <w:lang w:eastAsia="zh-CN"/>
        </w:rPr>
        <w:t xml:space="preserve">, </w:t>
      </w:r>
      <w:r w:rsidR="00411140">
        <w:rPr>
          <w:rFonts w:ascii="Book Antiqua" w:hAnsi="Book Antiqua" w:cs="Times New Roman" w:hint="eastAsia"/>
          <w:sz w:val="24"/>
          <w:szCs w:val="24"/>
          <w:lang w:eastAsia="zh-CN"/>
        </w:rPr>
        <w:t xml:space="preserve"> </w:t>
      </w:r>
      <w:r w:rsidR="005C764D">
        <w:rPr>
          <w:rFonts w:ascii="Book Antiqua" w:hAnsi="Book Antiqua" w:cs="Times New Roman" w:hint="eastAsia"/>
          <w:sz w:val="24"/>
          <w:szCs w:val="24"/>
          <w:lang w:eastAsia="zh-CN"/>
        </w:rPr>
        <w:t xml:space="preserve">NC </w:t>
      </w:r>
      <w:r w:rsidR="0095740B" w:rsidRPr="00D85CC9">
        <w:rPr>
          <w:rFonts w:ascii="Book Antiqua" w:hAnsi="Book Antiqua" w:cs="Times New Roman"/>
          <w:sz w:val="24"/>
          <w:szCs w:val="24"/>
        </w:rPr>
        <w:t>27514</w:t>
      </w:r>
      <w:r w:rsidR="00411140">
        <w:rPr>
          <w:rFonts w:ascii="Book Antiqua" w:hAnsi="Book Antiqua" w:cs="Times New Roman" w:hint="eastAsia"/>
          <w:sz w:val="24"/>
          <w:szCs w:val="24"/>
          <w:lang w:eastAsia="zh-CN"/>
        </w:rPr>
        <w:t>,</w:t>
      </w:r>
      <w:r w:rsidR="0095740B" w:rsidRPr="00D85CC9">
        <w:rPr>
          <w:rFonts w:ascii="Book Antiqua" w:hAnsi="Book Antiqua" w:cs="Times New Roman"/>
          <w:sz w:val="24"/>
          <w:szCs w:val="24"/>
        </w:rPr>
        <w:t xml:space="preserve"> </w:t>
      </w:r>
      <w:r w:rsidRPr="00D85CC9">
        <w:rPr>
          <w:rFonts w:ascii="Book Antiqua" w:hAnsi="Book Antiqua" w:cs="Times New Roman"/>
          <w:sz w:val="24"/>
          <w:szCs w:val="24"/>
        </w:rPr>
        <w:t xml:space="preserve">United States </w:t>
      </w:r>
    </w:p>
    <w:p w:rsidR="006B1E93" w:rsidRPr="00D85CC9" w:rsidRDefault="006B1E93" w:rsidP="001630CF">
      <w:pPr>
        <w:snapToGrid w:val="0"/>
        <w:spacing w:after="0" w:line="360" w:lineRule="auto"/>
        <w:jc w:val="both"/>
        <w:rPr>
          <w:rFonts w:ascii="Book Antiqua" w:hAnsi="Book Antiqua" w:cs="Times New Roman"/>
          <w:sz w:val="24"/>
          <w:szCs w:val="24"/>
          <w:lang w:eastAsia="zh-CN"/>
        </w:rPr>
      </w:pPr>
    </w:p>
    <w:p w:rsidR="00664FD4" w:rsidRDefault="00411140" w:rsidP="001630CF">
      <w:pPr>
        <w:snapToGrid w:val="0"/>
        <w:spacing w:after="0" w:line="360" w:lineRule="auto"/>
        <w:jc w:val="both"/>
        <w:rPr>
          <w:rFonts w:ascii="Book Antiqua" w:hAnsi="Book Antiqua" w:cs="Times New Roman"/>
          <w:sz w:val="24"/>
          <w:szCs w:val="24"/>
          <w:lang w:eastAsia="zh-CN"/>
        </w:rPr>
      </w:pPr>
      <w:r w:rsidRPr="005E097D">
        <w:rPr>
          <w:rFonts w:ascii="Book Antiqua" w:hAnsi="Book Antiqua"/>
          <w:b/>
          <w:bCs/>
          <w:sz w:val="24"/>
          <w:szCs w:val="24"/>
        </w:rPr>
        <w:t xml:space="preserve">Author contributions: </w:t>
      </w:r>
      <w:r w:rsidR="008B40D7" w:rsidRPr="00D85CC9">
        <w:rPr>
          <w:rFonts w:ascii="Book Antiqua" w:hAnsi="Book Antiqua" w:cs="Times New Roman"/>
          <w:sz w:val="24"/>
          <w:szCs w:val="24"/>
        </w:rPr>
        <w:t xml:space="preserve">Dave K, </w:t>
      </w:r>
      <w:proofErr w:type="spellStart"/>
      <w:r w:rsidR="008B40D7" w:rsidRPr="00D85CC9">
        <w:rPr>
          <w:rFonts w:ascii="Book Antiqua" w:hAnsi="Book Antiqua" w:cs="Times New Roman"/>
          <w:sz w:val="24"/>
          <w:szCs w:val="24"/>
        </w:rPr>
        <w:t>Mudalel</w:t>
      </w:r>
      <w:proofErr w:type="spellEnd"/>
      <w:r w:rsidR="008B40D7" w:rsidRPr="00D85CC9">
        <w:rPr>
          <w:rFonts w:ascii="Book Antiqua" w:hAnsi="Book Antiqua" w:cs="Times New Roman"/>
          <w:sz w:val="24"/>
          <w:szCs w:val="24"/>
        </w:rPr>
        <w:t xml:space="preserve"> M, Hummel JP</w:t>
      </w:r>
      <w:r w:rsidRPr="00411140">
        <w:rPr>
          <w:rFonts w:ascii="Book Antiqua" w:hAnsi="Book Antiqua" w:cs="Times New Roman"/>
          <w:sz w:val="24"/>
          <w:szCs w:val="24"/>
        </w:rPr>
        <w:t xml:space="preserve"> </w:t>
      </w:r>
      <w:r w:rsidRPr="00D85CC9">
        <w:rPr>
          <w:rFonts w:ascii="Book Antiqua" w:hAnsi="Book Antiqua" w:cs="Times New Roman"/>
          <w:sz w:val="24"/>
          <w:szCs w:val="24"/>
        </w:rPr>
        <w:t xml:space="preserve">and </w:t>
      </w:r>
      <w:proofErr w:type="spellStart"/>
      <w:r w:rsidR="008B40D7" w:rsidRPr="00D85CC9">
        <w:rPr>
          <w:rFonts w:ascii="Book Antiqua" w:hAnsi="Book Antiqua" w:cs="Times New Roman"/>
          <w:sz w:val="24"/>
          <w:szCs w:val="24"/>
        </w:rPr>
        <w:t>Solga</w:t>
      </w:r>
      <w:proofErr w:type="spellEnd"/>
      <w:r w:rsidR="008B40D7" w:rsidRPr="00D85CC9">
        <w:rPr>
          <w:rFonts w:ascii="Book Antiqua" w:hAnsi="Book Antiqua" w:cs="Times New Roman"/>
          <w:sz w:val="24"/>
          <w:szCs w:val="24"/>
        </w:rPr>
        <w:t xml:space="preserve"> SF</w:t>
      </w:r>
      <w:r>
        <w:rPr>
          <w:rFonts w:ascii="Book Antiqua" w:hAnsi="Book Antiqua" w:cs="Times New Roman" w:hint="eastAsia"/>
          <w:sz w:val="24"/>
          <w:szCs w:val="24"/>
          <w:lang w:eastAsia="zh-CN"/>
        </w:rPr>
        <w:t xml:space="preserve"> c</w:t>
      </w:r>
      <w:r w:rsidR="008B40D7" w:rsidRPr="00D85CC9">
        <w:rPr>
          <w:rFonts w:ascii="Book Antiqua" w:hAnsi="Book Antiqua" w:cs="Times New Roman"/>
          <w:sz w:val="24"/>
          <w:szCs w:val="24"/>
        </w:rPr>
        <w:t>o-</w:t>
      </w:r>
      <w:r w:rsidR="00B856C3">
        <w:rPr>
          <w:rFonts w:ascii="Book Antiqua" w:hAnsi="Book Antiqua" w:cs="Times New Roman"/>
          <w:sz w:val="24"/>
          <w:szCs w:val="24"/>
        </w:rPr>
        <w:t>wr</w:t>
      </w:r>
      <w:r w:rsidR="00B856C3">
        <w:rPr>
          <w:rFonts w:ascii="Book Antiqua" w:hAnsi="Book Antiqua" w:cs="Times New Roman" w:hint="eastAsia"/>
          <w:sz w:val="24"/>
          <w:szCs w:val="24"/>
          <w:lang w:eastAsia="zh-CN"/>
        </w:rPr>
        <w:t>o</w:t>
      </w:r>
      <w:r w:rsidR="00B856C3">
        <w:rPr>
          <w:rFonts w:ascii="Book Antiqua" w:hAnsi="Book Antiqua" w:cs="Times New Roman"/>
          <w:sz w:val="24"/>
          <w:szCs w:val="24"/>
        </w:rPr>
        <w:t>t</w:t>
      </w:r>
      <w:r w:rsidR="00B856C3">
        <w:rPr>
          <w:rFonts w:ascii="Book Antiqua" w:hAnsi="Book Antiqua" w:cs="Times New Roman" w:hint="eastAsia"/>
          <w:sz w:val="24"/>
          <w:szCs w:val="24"/>
          <w:lang w:eastAsia="zh-CN"/>
        </w:rPr>
        <w:t>e</w:t>
      </w:r>
      <w:r w:rsidR="008B40D7" w:rsidRPr="00D85CC9">
        <w:rPr>
          <w:rFonts w:ascii="Book Antiqua" w:hAnsi="Book Antiqua" w:cs="Times New Roman"/>
          <w:sz w:val="24"/>
          <w:szCs w:val="24"/>
        </w:rPr>
        <w:t xml:space="preserve"> manuscript, edited manuscript, produced illustrations. Hummel JP and </w:t>
      </w:r>
      <w:proofErr w:type="spellStart"/>
      <w:r w:rsidR="008B40D7" w:rsidRPr="00D85CC9">
        <w:rPr>
          <w:rFonts w:ascii="Book Antiqua" w:hAnsi="Book Antiqua" w:cs="Times New Roman"/>
          <w:sz w:val="24"/>
          <w:szCs w:val="24"/>
        </w:rPr>
        <w:t>Solga</w:t>
      </w:r>
      <w:proofErr w:type="spellEnd"/>
      <w:r w:rsidR="008B40D7" w:rsidRPr="00D85CC9">
        <w:rPr>
          <w:rFonts w:ascii="Book Antiqua" w:hAnsi="Book Antiqua" w:cs="Times New Roman"/>
          <w:sz w:val="24"/>
          <w:szCs w:val="24"/>
        </w:rPr>
        <w:t xml:space="preserve"> SF interpreted data </w:t>
      </w:r>
    </w:p>
    <w:p w:rsidR="0051075D" w:rsidRDefault="0051075D" w:rsidP="001630CF">
      <w:pPr>
        <w:snapToGrid w:val="0"/>
        <w:spacing w:after="0" w:line="360" w:lineRule="auto"/>
        <w:jc w:val="both"/>
        <w:rPr>
          <w:rFonts w:ascii="Book Antiqua" w:hAnsi="Book Antiqua" w:cs="Times New Roman"/>
          <w:sz w:val="24"/>
          <w:szCs w:val="24"/>
          <w:lang w:eastAsia="zh-CN"/>
        </w:rPr>
      </w:pPr>
    </w:p>
    <w:p w:rsidR="0051075D" w:rsidRDefault="0051075D" w:rsidP="001630CF">
      <w:pPr>
        <w:snapToGrid w:val="0"/>
        <w:spacing w:after="0" w:line="360" w:lineRule="auto"/>
        <w:jc w:val="both"/>
        <w:rPr>
          <w:rFonts w:ascii="Book Antiqua" w:hAnsi="Book Antiqua" w:cs="Times New Roman"/>
          <w:sz w:val="24"/>
          <w:szCs w:val="24"/>
          <w:lang w:eastAsia="zh-CN"/>
        </w:rPr>
      </w:pPr>
      <w:proofErr w:type="spellStart"/>
      <w:r w:rsidRPr="005E097D">
        <w:rPr>
          <w:rFonts w:ascii="Book Antiqua" w:hAnsi="Book Antiqua"/>
          <w:b/>
          <w:bCs/>
          <w:sz w:val="24"/>
          <w:szCs w:val="24"/>
        </w:rPr>
        <w:t>Correspondance</w:t>
      </w:r>
      <w:proofErr w:type="spellEnd"/>
      <w:r w:rsidRPr="005E097D">
        <w:rPr>
          <w:rFonts w:ascii="Book Antiqua" w:hAnsi="Book Antiqua"/>
          <w:b/>
          <w:bCs/>
          <w:sz w:val="24"/>
          <w:szCs w:val="24"/>
        </w:rPr>
        <w:t xml:space="preserve"> to:</w:t>
      </w:r>
      <w:r>
        <w:rPr>
          <w:rFonts w:ascii="Book Antiqua" w:hAnsi="Book Antiqua" w:hint="eastAsia"/>
          <w:b/>
          <w:bCs/>
          <w:sz w:val="24"/>
          <w:szCs w:val="24"/>
          <w:lang w:eastAsia="zh-CN"/>
        </w:rPr>
        <w:t xml:space="preserve"> </w:t>
      </w:r>
      <w:r w:rsidRPr="00F7608D">
        <w:rPr>
          <w:rFonts w:ascii="Book Antiqua" w:hAnsi="Book Antiqua" w:cs="Times New Roman"/>
          <w:b/>
          <w:sz w:val="24"/>
          <w:szCs w:val="24"/>
        </w:rPr>
        <w:t>Steven F</w:t>
      </w:r>
      <w:r w:rsidRPr="00F7608D">
        <w:rPr>
          <w:rFonts w:ascii="Book Antiqua" w:hAnsi="Book Antiqua" w:cs="Times New Roman" w:hint="eastAsia"/>
          <w:b/>
          <w:sz w:val="24"/>
          <w:szCs w:val="24"/>
          <w:lang w:eastAsia="zh-CN"/>
        </w:rPr>
        <w:t xml:space="preserve"> </w:t>
      </w:r>
      <w:proofErr w:type="spellStart"/>
      <w:r w:rsidRPr="00F7608D">
        <w:rPr>
          <w:rFonts w:ascii="Book Antiqua" w:hAnsi="Book Antiqua" w:cs="Times New Roman"/>
          <w:b/>
          <w:sz w:val="24"/>
          <w:szCs w:val="24"/>
        </w:rPr>
        <w:t>Solga</w:t>
      </w:r>
      <w:proofErr w:type="spellEnd"/>
      <w:r w:rsidRPr="00F7608D">
        <w:rPr>
          <w:rFonts w:ascii="Book Antiqua" w:hAnsi="Book Antiqua" w:cs="Times New Roman"/>
          <w:b/>
          <w:sz w:val="24"/>
          <w:szCs w:val="24"/>
        </w:rPr>
        <w:t>,</w:t>
      </w:r>
      <w:r w:rsidRPr="00F7608D">
        <w:rPr>
          <w:rFonts w:ascii="Book Antiqua" w:hAnsi="Book Antiqua" w:cs="Times New Roman" w:hint="eastAsia"/>
          <w:b/>
          <w:sz w:val="24"/>
          <w:szCs w:val="24"/>
          <w:lang w:eastAsia="zh-CN"/>
        </w:rPr>
        <w:t xml:space="preserve"> </w:t>
      </w:r>
      <w:r w:rsidRPr="00F7608D">
        <w:rPr>
          <w:rFonts w:ascii="Book Antiqua" w:hAnsi="Book Antiqua" w:cs="Times New Roman"/>
          <w:b/>
          <w:sz w:val="24"/>
          <w:szCs w:val="24"/>
        </w:rPr>
        <w:t>MD</w:t>
      </w:r>
      <w:r w:rsidRPr="00F7608D">
        <w:rPr>
          <w:rFonts w:ascii="Book Antiqua" w:hAnsi="Book Antiqua" w:cs="Times New Roman" w:hint="eastAsia"/>
          <w:b/>
          <w:sz w:val="24"/>
          <w:szCs w:val="24"/>
          <w:lang w:eastAsia="zh-CN"/>
        </w:rPr>
        <w:t xml:space="preserve">, </w:t>
      </w:r>
      <w:r w:rsidRPr="00F7608D">
        <w:rPr>
          <w:rFonts w:ascii="Book Antiqua" w:hAnsi="Book Antiqua" w:cs="Times New Roman"/>
          <w:b/>
          <w:sz w:val="24"/>
          <w:szCs w:val="24"/>
        </w:rPr>
        <w:t>Chief</w:t>
      </w:r>
      <w:r w:rsidRPr="00D85CC9">
        <w:rPr>
          <w:rFonts w:ascii="Book Antiqua" w:hAnsi="Book Antiqua" w:cs="Times New Roman"/>
          <w:sz w:val="24"/>
          <w:szCs w:val="24"/>
        </w:rPr>
        <w:t xml:space="preserve"> of Gastroenterology</w:t>
      </w:r>
      <w:r>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 xml:space="preserve">St. Luke’s University Hospital and Temple School of Medicine, 701 </w:t>
      </w:r>
      <w:proofErr w:type="spellStart"/>
      <w:r w:rsidRPr="00D85CC9">
        <w:rPr>
          <w:rFonts w:ascii="Book Antiqua" w:hAnsi="Book Antiqua" w:cs="Times New Roman"/>
          <w:sz w:val="24"/>
          <w:szCs w:val="24"/>
        </w:rPr>
        <w:t>Ostrum</w:t>
      </w:r>
      <w:proofErr w:type="spellEnd"/>
      <w:r w:rsidRPr="00D85CC9">
        <w:rPr>
          <w:rFonts w:ascii="Book Antiqua" w:hAnsi="Book Antiqua" w:cs="Times New Roman"/>
          <w:sz w:val="24"/>
          <w:szCs w:val="24"/>
        </w:rPr>
        <w:t xml:space="preserve"> St. Suite 604A</w:t>
      </w:r>
      <w:r>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Bethlehem</w:t>
      </w:r>
      <w:r w:rsidR="007F369E">
        <w:rPr>
          <w:rFonts w:ascii="Book Antiqua" w:hAnsi="Book Antiqua" w:cs="Times New Roman" w:hint="eastAsia"/>
          <w:sz w:val="24"/>
          <w:szCs w:val="24"/>
          <w:lang w:eastAsia="zh-CN"/>
        </w:rPr>
        <w:t>,</w:t>
      </w:r>
      <w:r>
        <w:rPr>
          <w:rFonts w:ascii="Book Antiqua" w:hAnsi="Book Antiqua" w:cs="Times New Roman" w:hint="eastAsia"/>
          <w:sz w:val="24"/>
          <w:szCs w:val="24"/>
          <w:lang w:eastAsia="zh-CN"/>
        </w:rPr>
        <w:t xml:space="preserve"> </w:t>
      </w:r>
      <w:r w:rsidR="007F369E">
        <w:rPr>
          <w:rFonts w:ascii="Book Antiqua" w:hAnsi="Book Antiqua" w:cs="Times New Roman" w:hint="eastAsia"/>
          <w:sz w:val="24"/>
          <w:szCs w:val="24"/>
          <w:lang w:eastAsia="zh-CN"/>
        </w:rPr>
        <w:t xml:space="preserve">PA </w:t>
      </w:r>
      <w:r w:rsidRPr="00D85CC9">
        <w:rPr>
          <w:rFonts w:ascii="Book Antiqua" w:hAnsi="Book Antiqua" w:cs="Times New Roman"/>
          <w:sz w:val="24"/>
          <w:szCs w:val="24"/>
        </w:rPr>
        <w:t>18015</w:t>
      </w:r>
      <w:r>
        <w:rPr>
          <w:rFonts w:ascii="Book Antiqua" w:hAnsi="Book Antiqua" w:cs="Times New Roman" w:hint="eastAsia"/>
          <w:sz w:val="24"/>
          <w:szCs w:val="24"/>
          <w:lang w:eastAsia="zh-CN"/>
        </w:rPr>
        <w:t>,</w:t>
      </w:r>
      <w:r w:rsidRPr="00D85CC9">
        <w:rPr>
          <w:rFonts w:ascii="Book Antiqua" w:hAnsi="Book Antiqua" w:cs="Times New Roman"/>
          <w:sz w:val="24"/>
          <w:szCs w:val="24"/>
        </w:rPr>
        <w:t xml:space="preserve"> United States</w:t>
      </w:r>
      <w:r w:rsidR="00607C7A">
        <w:rPr>
          <w:rFonts w:ascii="Book Antiqua" w:hAnsi="Book Antiqua" w:cs="Times New Roman" w:hint="eastAsia"/>
          <w:sz w:val="24"/>
          <w:szCs w:val="24"/>
          <w:lang w:eastAsia="zh-CN"/>
        </w:rPr>
        <w:t xml:space="preserve">. </w:t>
      </w:r>
      <w:r w:rsidR="00607C7A" w:rsidRPr="00607C7A">
        <w:rPr>
          <w:rFonts w:ascii="Book Antiqua" w:hAnsi="Book Antiqua" w:cs="Times New Roman"/>
          <w:sz w:val="24"/>
          <w:szCs w:val="24"/>
          <w:lang w:eastAsia="zh-CN"/>
        </w:rPr>
        <w:t>stevesolga@gmail.com</w:t>
      </w:r>
    </w:p>
    <w:p w:rsidR="005B4133" w:rsidRDefault="005B4133" w:rsidP="001630CF">
      <w:pPr>
        <w:autoSpaceDE w:val="0"/>
        <w:autoSpaceDN w:val="0"/>
        <w:adjustRightInd w:val="0"/>
        <w:snapToGrid w:val="0"/>
        <w:spacing w:after="0" w:line="360" w:lineRule="auto"/>
        <w:jc w:val="both"/>
        <w:rPr>
          <w:rFonts w:ascii="Book Antiqua" w:hAnsi="Book Antiqua" w:cs="TimesNewRomanPSMT"/>
          <w:sz w:val="24"/>
          <w:szCs w:val="24"/>
          <w:lang w:eastAsia="zh-CN"/>
        </w:rPr>
      </w:pPr>
      <w:r w:rsidRPr="00505C6A">
        <w:rPr>
          <w:rFonts w:ascii="Book Antiqua" w:hAnsi="Book Antiqua"/>
          <w:b/>
          <w:sz w:val="24"/>
          <w:szCs w:val="24"/>
          <w:lang w:val="es-ES" w:eastAsia="zh-CN"/>
        </w:rPr>
        <w:t>Telephone</w:t>
      </w:r>
      <w:r w:rsidRPr="00505C6A">
        <w:rPr>
          <w:rFonts w:ascii="Book Antiqua" w:eastAsia="Times New Roman" w:hAnsi="Book Antiqua"/>
          <w:sz w:val="24"/>
          <w:szCs w:val="24"/>
          <w:lang w:val="es-ES"/>
        </w:rPr>
        <w:t xml:space="preserve">: </w:t>
      </w:r>
      <w:r w:rsidRPr="005B4133">
        <w:rPr>
          <w:rFonts w:ascii="Book Antiqua" w:hAnsi="Book Antiqua" w:cs="TimesNewRomanPSMT"/>
          <w:sz w:val="24"/>
          <w:szCs w:val="24"/>
        </w:rPr>
        <w:t>+011</w:t>
      </w:r>
      <w:r>
        <w:rPr>
          <w:rFonts w:ascii="Book Antiqua" w:hAnsi="Book Antiqua" w:cs="TimesNewRomanPSMT" w:hint="eastAsia"/>
          <w:sz w:val="24"/>
          <w:szCs w:val="24"/>
          <w:lang w:eastAsia="zh-CN"/>
        </w:rPr>
        <w:t>-</w:t>
      </w:r>
      <w:r w:rsidRPr="005B4133">
        <w:rPr>
          <w:rFonts w:ascii="Book Antiqua" w:hAnsi="Book Antiqua" w:cs="TimesNewRomanPSMT"/>
          <w:sz w:val="24"/>
          <w:szCs w:val="24"/>
        </w:rPr>
        <w:t>610</w:t>
      </w:r>
      <w:r>
        <w:rPr>
          <w:rFonts w:ascii="Book Antiqua" w:hAnsi="Book Antiqua" w:cs="TimesNewRomanPSMT" w:hint="eastAsia"/>
          <w:sz w:val="24"/>
          <w:szCs w:val="24"/>
          <w:lang w:eastAsia="zh-CN"/>
        </w:rPr>
        <w:t>-</w:t>
      </w:r>
      <w:r>
        <w:rPr>
          <w:rFonts w:ascii="Book Antiqua" w:hAnsi="Book Antiqua" w:cs="TimesNewRomanPSMT"/>
          <w:sz w:val="24"/>
          <w:szCs w:val="24"/>
        </w:rPr>
        <w:t>866</w:t>
      </w:r>
      <w:r w:rsidRPr="005B4133">
        <w:rPr>
          <w:rFonts w:ascii="Book Antiqua" w:hAnsi="Book Antiqua" w:cs="TimesNewRomanPSMT"/>
          <w:sz w:val="24"/>
          <w:szCs w:val="24"/>
        </w:rPr>
        <w:t xml:space="preserve">3900 </w:t>
      </w:r>
      <w:r>
        <w:rPr>
          <w:rFonts w:ascii="Book Antiqua" w:hAnsi="Book Antiqua" w:cs="TimesNewRomanPSMT" w:hint="eastAsia"/>
          <w:sz w:val="24"/>
          <w:szCs w:val="24"/>
          <w:lang w:eastAsia="zh-CN"/>
        </w:rPr>
        <w:t xml:space="preserve">  </w:t>
      </w:r>
      <w:r w:rsidRPr="00505C6A">
        <w:rPr>
          <w:rFonts w:ascii="Book Antiqua" w:eastAsia="Times New Roman" w:hAnsi="Book Antiqua"/>
          <w:b/>
          <w:sz w:val="24"/>
          <w:szCs w:val="24"/>
          <w:lang w:val="es-ES"/>
        </w:rPr>
        <w:t>Fax</w:t>
      </w:r>
      <w:r w:rsidRPr="00505C6A">
        <w:rPr>
          <w:rFonts w:ascii="Book Antiqua" w:eastAsia="Times New Roman" w:hAnsi="Book Antiqua"/>
          <w:sz w:val="24"/>
          <w:szCs w:val="24"/>
          <w:lang w:val="es-ES"/>
        </w:rPr>
        <w:t xml:space="preserve">: </w:t>
      </w:r>
      <w:r w:rsidRPr="005B4133">
        <w:rPr>
          <w:rFonts w:ascii="Book Antiqua" w:hAnsi="Book Antiqua" w:cs="TimesNewRomanPSMT"/>
          <w:sz w:val="24"/>
          <w:szCs w:val="24"/>
        </w:rPr>
        <w:t>+011</w:t>
      </w:r>
      <w:r>
        <w:rPr>
          <w:rFonts w:ascii="Book Antiqua" w:hAnsi="Book Antiqua" w:cs="TimesNewRomanPSMT" w:hint="eastAsia"/>
          <w:sz w:val="24"/>
          <w:szCs w:val="24"/>
          <w:lang w:eastAsia="zh-CN"/>
        </w:rPr>
        <w:t>-</w:t>
      </w:r>
      <w:r w:rsidRPr="005B4133">
        <w:rPr>
          <w:rFonts w:ascii="Book Antiqua" w:hAnsi="Book Antiqua" w:cs="TimesNewRomanPSMT"/>
          <w:sz w:val="24"/>
          <w:szCs w:val="24"/>
        </w:rPr>
        <w:t>610</w:t>
      </w:r>
      <w:r>
        <w:rPr>
          <w:rFonts w:ascii="Book Antiqua" w:hAnsi="Book Antiqua" w:cs="TimesNewRomanPSMT" w:hint="eastAsia"/>
          <w:sz w:val="24"/>
          <w:szCs w:val="24"/>
          <w:lang w:eastAsia="zh-CN"/>
        </w:rPr>
        <w:t>-</w:t>
      </w:r>
      <w:r>
        <w:rPr>
          <w:rFonts w:ascii="Book Antiqua" w:hAnsi="Book Antiqua" w:cs="TimesNewRomanPSMT"/>
          <w:sz w:val="24"/>
          <w:szCs w:val="24"/>
        </w:rPr>
        <w:t>866</w:t>
      </w:r>
      <w:r w:rsidRPr="005B4133">
        <w:rPr>
          <w:rFonts w:ascii="Book Antiqua" w:hAnsi="Book Antiqua" w:cs="TimesNewRomanPSMT"/>
          <w:sz w:val="24"/>
          <w:szCs w:val="24"/>
        </w:rPr>
        <w:t>8140</w:t>
      </w:r>
    </w:p>
    <w:p w:rsidR="00607C7A" w:rsidRPr="00505C6A" w:rsidRDefault="00607C7A" w:rsidP="001630CF">
      <w:pPr>
        <w:autoSpaceDE w:val="0"/>
        <w:autoSpaceDN w:val="0"/>
        <w:adjustRightInd w:val="0"/>
        <w:snapToGrid w:val="0"/>
        <w:spacing w:after="0" w:line="360" w:lineRule="auto"/>
        <w:jc w:val="both"/>
        <w:rPr>
          <w:rFonts w:ascii="Book Antiqua" w:hAnsi="Book Antiqua" w:cs="TimesNewRomanPSMT"/>
          <w:sz w:val="24"/>
          <w:szCs w:val="24"/>
          <w:lang w:eastAsia="zh-CN"/>
        </w:rPr>
      </w:pPr>
    </w:p>
    <w:p w:rsidR="00607C7A" w:rsidRPr="00505C6A" w:rsidRDefault="00607C7A" w:rsidP="001630CF">
      <w:pPr>
        <w:snapToGrid w:val="0"/>
        <w:spacing w:after="0" w:line="360" w:lineRule="auto"/>
        <w:jc w:val="both"/>
        <w:rPr>
          <w:rFonts w:ascii="Book Antiqua" w:eastAsia="Times New Roman" w:hAnsi="Book Antiqua"/>
          <w:color w:val="000000"/>
          <w:sz w:val="24"/>
          <w:szCs w:val="24"/>
        </w:rPr>
      </w:pPr>
      <w:bookmarkStart w:id="0" w:name="OLE_LINK4"/>
      <w:bookmarkStart w:id="1" w:name="OLE_LINK5"/>
      <w:bookmarkStart w:id="2" w:name="OLE_LINK12"/>
      <w:bookmarkStart w:id="3" w:name="OLE_LINK212"/>
      <w:r w:rsidRPr="00526D4A">
        <w:rPr>
          <w:rFonts w:ascii="Book Antiqua" w:eastAsia="Times New Roman" w:hAnsi="Book Antiqua"/>
          <w:b/>
          <w:color w:val="000000"/>
          <w:sz w:val="24"/>
          <w:szCs w:val="24"/>
        </w:rPr>
        <w:t>Received:</w:t>
      </w:r>
      <w:r w:rsidRPr="00526D4A">
        <w:rPr>
          <w:rFonts w:ascii="Book Antiqua" w:eastAsiaTheme="minorEastAsia" w:hAnsi="Book Antiqua" w:hint="eastAsia"/>
          <w:b/>
          <w:color w:val="000000"/>
          <w:sz w:val="24"/>
          <w:szCs w:val="24"/>
          <w:lang w:eastAsia="zh-CN"/>
        </w:rPr>
        <w:t xml:space="preserve"> </w:t>
      </w:r>
      <w:r w:rsidR="00526D4A" w:rsidRPr="00526D4A">
        <w:rPr>
          <w:rFonts w:ascii="Book Antiqua" w:eastAsiaTheme="minorEastAsia" w:hAnsi="Book Antiqua" w:hint="eastAsia"/>
          <w:color w:val="000000"/>
          <w:sz w:val="24"/>
          <w:szCs w:val="24"/>
          <w:lang w:eastAsia="zh-CN"/>
        </w:rPr>
        <w:t>April</w:t>
      </w:r>
      <w:r w:rsidRPr="00526D4A">
        <w:rPr>
          <w:rFonts w:ascii="Book Antiqua" w:eastAsiaTheme="minorEastAsia" w:hAnsi="Book Antiqua" w:hint="eastAsia"/>
          <w:color w:val="000000"/>
          <w:sz w:val="24"/>
          <w:szCs w:val="24"/>
          <w:lang w:eastAsia="zh-CN"/>
        </w:rPr>
        <w:t xml:space="preserve"> </w:t>
      </w:r>
      <w:r w:rsidR="00526D4A" w:rsidRPr="00526D4A">
        <w:rPr>
          <w:rFonts w:ascii="Book Antiqua" w:eastAsiaTheme="minorEastAsia" w:hAnsi="Book Antiqua" w:hint="eastAsia"/>
          <w:color w:val="000000"/>
          <w:sz w:val="24"/>
          <w:szCs w:val="24"/>
          <w:lang w:eastAsia="zh-CN"/>
        </w:rPr>
        <w:t>16</w:t>
      </w:r>
      <w:r w:rsidRPr="00526D4A">
        <w:rPr>
          <w:rFonts w:ascii="Book Antiqua" w:eastAsiaTheme="minorEastAsia" w:hAnsi="Book Antiqua" w:hint="eastAsia"/>
          <w:color w:val="000000"/>
          <w:sz w:val="24"/>
          <w:szCs w:val="24"/>
          <w:lang w:eastAsia="zh-CN"/>
        </w:rPr>
        <w:t>, 2014</w:t>
      </w:r>
      <w:r w:rsidRPr="00526D4A">
        <w:rPr>
          <w:rFonts w:ascii="Book Antiqua" w:hAnsi="Book Antiqua"/>
          <w:color w:val="000000"/>
          <w:sz w:val="24"/>
          <w:szCs w:val="24"/>
          <w:lang w:eastAsia="zh-CN"/>
        </w:rPr>
        <w:tab/>
      </w:r>
      <w:r w:rsidRPr="00526D4A">
        <w:rPr>
          <w:rFonts w:ascii="Book Antiqua" w:hAnsi="Book Antiqua"/>
          <w:color w:val="000000"/>
          <w:sz w:val="24"/>
          <w:szCs w:val="24"/>
          <w:lang w:eastAsia="zh-CN"/>
        </w:rPr>
        <w:tab/>
      </w:r>
      <w:r w:rsidRPr="00526D4A">
        <w:rPr>
          <w:rFonts w:ascii="Book Antiqua" w:eastAsia="Times New Roman" w:hAnsi="Book Antiqua"/>
          <w:b/>
          <w:color w:val="000000"/>
          <w:sz w:val="24"/>
          <w:szCs w:val="24"/>
        </w:rPr>
        <w:t xml:space="preserve">Revised: </w:t>
      </w:r>
      <w:r w:rsidR="007071A7">
        <w:rPr>
          <w:rFonts w:ascii="Book Antiqua" w:eastAsiaTheme="minorEastAsia" w:hAnsi="Book Antiqua" w:hint="eastAsia"/>
          <w:color w:val="000000"/>
          <w:sz w:val="24"/>
          <w:szCs w:val="24"/>
          <w:lang w:eastAsia="zh-CN"/>
        </w:rPr>
        <w:t>October 7</w:t>
      </w:r>
      <w:r w:rsidR="00526D4A" w:rsidRPr="00526D4A">
        <w:rPr>
          <w:rFonts w:ascii="Book Antiqua" w:eastAsiaTheme="minorEastAsia" w:hAnsi="Book Antiqua" w:hint="eastAsia"/>
          <w:color w:val="000000"/>
          <w:sz w:val="24"/>
          <w:szCs w:val="24"/>
          <w:lang w:eastAsia="zh-CN"/>
        </w:rPr>
        <w:t>, 2014</w:t>
      </w:r>
    </w:p>
    <w:p w:rsidR="007B5C5B" w:rsidRDefault="00607C7A" w:rsidP="007B5C5B">
      <w:pPr>
        <w:rPr>
          <w:rFonts w:ascii="Book Antiqua" w:hAnsi="Book Antiqua"/>
          <w:color w:val="000000"/>
          <w:sz w:val="24"/>
        </w:rPr>
      </w:pPr>
      <w:r w:rsidRPr="00505C6A">
        <w:rPr>
          <w:rFonts w:ascii="Book Antiqua" w:eastAsia="Times New Roman" w:hAnsi="Book Antiqua"/>
          <w:b/>
          <w:color w:val="000000"/>
          <w:sz w:val="24"/>
          <w:szCs w:val="24"/>
        </w:rPr>
        <w:lastRenderedPageBreak/>
        <w:t>Accepted:</w:t>
      </w:r>
      <w:bookmarkStart w:id="4" w:name="OLE_LINK2"/>
      <w:bookmarkStart w:id="5" w:name="OLE_LINK3"/>
      <w:bookmarkStart w:id="6" w:name="OLE_LINK8"/>
      <w:bookmarkStart w:id="7" w:name="OLE_LINK9"/>
      <w:bookmarkStart w:id="8" w:name="OLE_LINK10"/>
      <w:bookmarkStart w:id="9" w:name="OLE_LINK6"/>
      <w:bookmarkStart w:id="10" w:name="OLE_LINK13"/>
      <w:bookmarkStart w:id="11" w:name="OLE_LINK7"/>
      <w:bookmarkStart w:id="12" w:name="OLE_LINK18"/>
      <w:bookmarkStart w:id="13" w:name="OLE_LINK19"/>
      <w:bookmarkStart w:id="14" w:name="OLE_LINK22"/>
      <w:bookmarkStart w:id="15" w:name="OLE_LINK24"/>
      <w:bookmarkStart w:id="16" w:name="OLE_LINK25"/>
      <w:bookmarkStart w:id="17" w:name="OLE_LINK28"/>
      <w:bookmarkStart w:id="18" w:name="OLE_LINK29"/>
      <w:bookmarkStart w:id="19" w:name="OLE_LINK30"/>
      <w:bookmarkStart w:id="20" w:name="OLE_LINK31"/>
      <w:r w:rsidR="007B5C5B" w:rsidRPr="007B5C5B">
        <w:rPr>
          <w:rFonts w:ascii="Book Antiqua" w:hAnsi="Book Antiqua"/>
          <w:color w:val="000000"/>
          <w:sz w:val="24"/>
        </w:rPr>
        <w:t xml:space="preserve"> </w:t>
      </w:r>
      <w:r w:rsidR="007B5C5B">
        <w:rPr>
          <w:rFonts w:ascii="Book Antiqua" w:hAnsi="Book Antiqua"/>
          <w:color w:val="000000"/>
          <w:sz w:val="24"/>
        </w:rPr>
        <w:t>November 18, 2014</w:t>
      </w:r>
    </w:p>
    <w:p w:rsidR="00607C7A" w:rsidRPr="00505C6A" w:rsidRDefault="00607C7A" w:rsidP="001630CF">
      <w:pPr>
        <w:snapToGrid w:val="0"/>
        <w:spacing w:after="0" w:line="360" w:lineRule="auto"/>
        <w:rPr>
          <w:rFonts w:ascii="Book Antiqua" w:hAnsi="Book Antiqua"/>
          <w:sz w:val="24"/>
          <w:szCs w:val="24"/>
        </w:rPr>
      </w:pP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05C6A">
        <w:rPr>
          <w:rFonts w:ascii="Book Antiqua" w:eastAsia="Times New Roman" w:hAnsi="Book Antiqua"/>
          <w:b/>
          <w:color w:val="000000"/>
          <w:sz w:val="24"/>
          <w:szCs w:val="24"/>
        </w:rPr>
        <w:t xml:space="preserve"> </w:t>
      </w:r>
    </w:p>
    <w:p w:rsidR="00607C7A" w:rsidRPr="00505C6A" w:rsidRDefault="00607C7A" w:rsidP="001630CF">
      <w:pPr>
        <w:snapToGrid w:val="0"/>
        <w:spacing w:after="0" w:line="360" w:lineRule="auto"/>
        <w:jc w:val="both"/>
        <w:rPr>
          <w:rFonts w:ascii="Book Antiqua" w:eastAsia="Times New Roman" w:hAnsi="Book Antiqua"/>
          <w:b/>
          <w:color w:val="000000"/>
          <w:sz w:val="24"/>
          <w:szCs w:val="24"/>
        </w:rPr>
      </w:pPr>
    </w:p>
    <w:p w:rsidR="00607C7A" w:rsidRPr="00505C6A" w:rsidRDefault="00607C7A" w:rsidP="001630CF">
      <w:pPr>
        <w:snapToGrid w:val="0"/>
        <w:spacing w:after="0" w:line="360" w:lineRule="auto"/>
        <w:jc w:val="both"/>
        <w:rPr>
          <w:rFonts w:ascii="Book Antiqua" w:hAnsi="Book Antiqua"/>
          <w:b/>
          <w:color w:val="000000"/>
          <w:sz w:val="24"/>
          <w:szCs w:val="24"/>
          <w:lang w:eastAsia="zh-CN"/>
        </w:rPr>
      </w:pPr>
      <w:r w:rsidRPr="00505C6A">
        <w:rPr>
          <w:rFonts w:ascii="Book Antiqua" w:eastAsia="Times New Roman" w:hAnsi="Book Antiqua"/>
          <w:b/>
          <w:color w:val="000000"/>
          <w:sz w:val="24"/>
          <w:szCs w:val="24"/>
        </w:rPr>
        <w:t xml:space="preserve">Published online: </w:t>
      </w:r>
      <w:bookmarkEnd w:id="0"/>
      <w:bookmarkEnd w:id="1"/>
      <w:bookmarkEnd w:id="2"/>
      <w:bookmarkEnd w:id="3"/>
    </w:p>
    <w:p w:rsidR="00276F83" w:rsidRPr="00D85CC9" w:rsidRDefault="00276F83" w:rsidP="001630CF">
      <w:pPr>
        <w:snapToGrid w:val="0"/>
        <w:spacing w:after="0" w:line="360" w:lineRule="auto"/>
        <w:jc w:val="both"/>
        <w:rPr>
          <w:rFonts w:ascii="Book Antiqua" w:hAnsi="Book Antiqua" w:cs="Times New Roman"/>
          <w:sz w:val="24"/>
          <w:szCs w:val="24"/>
          <w:lang w:eastAsia="zh-CN"/>
        </w:rPr>
      </w:pPr>
    </w:p>
    <w:p w:rsidR="00836127" w:rsidRPr="00D85CC9" w:rsidRDefault="00E541C6" w:rsidP="001630CF">
      <w:pPr>
        <w:snapToGrid w:val="0"/>
        <w:spacing w:after="0" w:line="360" w:lineRule="auto"/>
        <w:jc w:val="both"/>
        <w:rPr>
          <w:rFonts w:ascii="Book Antiqua" w:hAnsi="Book Antiqua" w:cs="Times New Roman"/>
          <w:b/>
          <w:sz w:val="24"/>
          <w:szCs w:val="24"/>
          <w:lang w:eastAsia="zh-CN"/>
        </w:rPr>
      </w:pPr>
      <w:r w:rsidRPr="00D85CC9">
        <w:rPr>
          <w:rFonts w:ascii="Book Antiqua" w:hAnsi="Book Antiqua" w:cs="Times New Roman"/>
          <w:b/>
          <w:sz w:val="24"/>
          <w:szCs w:val="24"/>
        </w:rPr>
        <w:t>Abstract</w:t>
      </w:r>
      <w:r w:rsidR="00F25085">
        <w:rPr>
          <w:rFonts w:ascii="Book Antiqua" w:hAnsi="Book Antiqua" w:cs="Times New Roman" w:hint="eastAsia"/>
          <w:b/>
          <w:sz w:val="24"/>
          <w:szCs w:val="24"/>
          <w:lang w:eastAsia="zh-CN"/>
        </w:rPr>
        <w:t xml:space="preserve"> </w:t>
      </w:r>
    </w:p>
    <w:p w:rsidR="00DA2A8B" w:rsidRDefault="00697B60"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 xml:space="preserve">We report a case of intravenous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drug induced liver injury (DILI). The patient received IV N-</w:t>
      </w:r>
      <w:proofErr w:type="spellStart"/>
      <w:r w:rsidRPr="00D85CC9">
        <w:rPr>
          <w:rFonts w:ascii="Book Antiqua" w:hAnsi="Book Antiqua" w:cs="Times New Roman"/>
          <w:sz w:val="24"/>
          <w:szCs w:val="24"/>
        </w:rPr>
        <w:t>acetylcysteine</w:t>
      </w:r>
      <w:proofErr w:type="spellEnd"/>
      <w:r w:rsidRPr="00D85CC9">
        <w:rPr>
          <w:rFonts w:ascii="Book Antiqua" w:hAnsi="Book Antiqua" w:cs="Times New Roman"/>
          <w:sz w:val="24"/>
          <w:szCs w:val="24"/>
        </w:rPr>
        <w:t xml:space="preserve"> (NAC) which resulted in a rapid improvement in liver enzymes. While the specific mechanisms for the pathogenesis of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and the therapeutic action of IV NAC are both unknown, this case strongly implies at least some commonality.</w:t>
      </w:r>
      <w:r w:rsidR="00613845">
        <w:rPr>
          <w:rFonts w:ascii="Book Antiqua" w:hAnsi="Book Antiqua" w:cs="Times New Roman" w:hint="eastAsia"/>
          <w:sz w:val="24"/>
          <w:szCs w:val="24"/>
          <w:lang w:eastAsia="zh-CN"/>
        </w:rPr>
        <w:t xml:space="preserve"> </w:t>
      </w:r>
      <w:r w:rsidR="000A7536" w:rsidRPr="00D85CC9">
        <w:rPr>
          <w:rFonts w:ascii="Book Antiqua" w:hAnsi="Book Antiqua" w:cs="Times New Roman"/>
          <w:sz w:val="24"/>
          <w:szCs w:val="24"/>
        </w:rPr>
        <w:t xml:space="preserve">Because IV </w:t>
      </w:r>
      <w:proofErr w:type="spellStart"/>
      <w:r w:rsidR="000A7536" w:rsidRPr="00D85CC9">
        <w:rPr>
          <w:rFonts w:ascii="Book Antiqua" w:hAnsi="Book Antiqua" w:cs="Times New Roman"/>
          <w:sz w:val="24"/>
          <w:szCs w:val="24"/>
        </w:rPr>
        <w:t>amiodarone</w:t>
      </w:r>
      <w:proofErr w:type="spellEnd"/>
      <w:r w:rsidR="000A7536" w:rsidRPr="00D85CC9">
        <w:rPr>
          <w:rFonts w:ascii="Book Antiqua" w:hAnsi="Book Antiqua" w:cs="Times New Roman"/>
          <w:sz w:val="24"/>
          <w:szCs w:val="24"/>
        </w:rPr>
        <w:t xml:space="preserve"> is indicated for the treatment of serious cardiac arrhythmias in an intensive care unit setting, some degree of ischemic hepatitis is </w:t>
      </w:r>
      <w:r w:rsidR="00FE3B52" w:rsidRPr="00D85CC9">
        <w:rPr>
          <w:rFonts w:ascii="Book Antiqua" w:hAnsi="Book Antiqua" w:cs="Times New Roman"/>
          <w:sz w:val="24"/>
          <w:szCs w:val="24"/>
        </w:rPr>
        <w:t xml:space="preserve">likely a cofactor in most cases. </w:t>
      </w:r>
    </w:p>
    <w:p w:rsidR="00607C7A" w:rsidRDefault="00607C7A" w:rsidP="001630CF">
      <w:pPr>
        <w:snapToGrid w:val="0"/>
        <w:spacing w:after="0" w:line="360" w:lineRule="auto"/>
        <w:jc w:val="both"/>
        <w:rPr>
          <w:rFonts w:ascii="Book Antiqua" w:hAnsi="Book Antiqua" w:cs="Times New Roman"/>
          <w:sz w:val="24"/>
          <w:szCs w:val="24"/>
          <w:lang w:eastAsia="zh-CN"/>
        </w:rPr>
      </w:pPr>
    </w:p>
    <w:p w:rsidR="00607C7A" w:rsidRDefault="00607C7A" w:rsidP="001630CF">
      <w:pPr>
        <w:snapToGrid w:val="0"/>
        <w:spacing w:after="0" w:line="360" w:lineRule="auto"/>
        <w:rPr>
          <w:rFonts w:ascii="Book Antiqua" w:hAnsi="Book Antiqua"/>
          <w:sz w:val="24"/>
          <w:szCs w:val="24"/>
        </w:rPr>
      </w:pPr>
      <w:r w:rsidRPr="00DF27BB">
        <w:rPr>
          <w:rFonts w:ascii="Book Antiqua" w:hAnsi="Book Antiqua" w:hint="eastAsia"/>
          <w:sz w:val="24"/>
          <w:szCs w:val="24"/>
        </w:rPr>
        <w:t>©</w:t>
      </w:r>
      <w:r w:rsidRPr="00DF27BB">
        <w:rPr>
          <w:rFonts w:ascii="Book Antiqua" w:hAnsi="Book Antiqua"/>
          <w:sz w:val="24"/>
          <w:szCs w:val="24"/>
        </w:rPr>
        <w:t xml:space="preserve"> 2014 </w:t>
      </w:r>
      <w:proofErr w:type="spellStart"/>
      <w:r w:rsidRPr="00DF27BB">
        <w:rPr>
          <w:rFonts w:ascii="Book Antiqua" w:hAnsi="Book Antiqua"/>
          <w:sz w:val="24"/>
          <w:szCs w:val="24"/>
        </w:rPr>
        <w:t>Baishideng</w:t>
      </w:r>
      <w:proofErr w:type="spellEnd"/>
      <w:r w:rsidRPr="00DF27BB">
        <w:rPr>
          <w:rFonts w:ascii="Book Antiqua" w:hAnsi="Book Antiqua"/>
          <w:sz w:val="24"/>
          <w:szCs w:val="24"/>
        </w:rPr>
        <w:t xml:space="preserve"> Publishing Group Inc. All rights reserved.</w:t>
      </w:r>
    </w:p>
    <w:p w:rsidR="00607C7A" w:rsidRPr="00607C7A" w:rsidRDefault="00607C7A" w:rsidP="001630CF">
      <w:pPr>
        <w:snapToGrid w:val="0"/>
        <w:spacing w:after="0" w:line="360" w:lineRule="auto"/>
        <w:jc w:val="both"/>
        <w:rPr>
          <w:rFonts w:ascii="Book Antiqua" w:hAnsi="Book Antiqua" w:cs="Times New Roman"/>
          <w:sz w:val="24"/>
          <w:szCs w:val="24"/>
          <w:lang w:eastAsia="zh-CN"/>
        </w:rPr>
      </w:pPr>
    </w:p>
    <w:p w:rsidR="00271913" w:rsidRPr="00D85CC9" w:rsidRDefault="00607C7A" w:rsidP="001630CF">
      <w:pPr>
        <w:snapToGrid w:val="0"/>
        <w:spacing w:after="0" w:line="360" w:lineRule="auto"/>
        <w:jc w:val="both"/>
        <w:rPr>
          <w:rFonts w:ascii="Book Antiqua" w:hAnsi="Book Antiqua" w:cs="Times New Roman"/>
          <w:sz w:val="24"/>
          <w:szCs w:val="24"/>
          <w:lang w:eastAsia="zh-CN"/>
        </w:rPr>
      </w:pPr>
      <w:r w:rsidRPr="005E097D">
        <w:rPr>
          <w:rFonts w:ascii="Book Antiqua" w:eastAsia="DotumChe" w:hAnsi="Book Antiqua"/>
          <w:b/>
          <w:bCs/>
          <w:sz w:val="24"/>
          <w:szCs w:val="24"/>
        </w:rPr>
        <w:t>Key words</w:t>
      </w:r>
      <w:r w:rsidRPr="00973E8A">
        <w:rPr>
          <w:rFonts w:ascii="Book Antiqua" w:hAnsi="Book Antiqua" w:hint="eastAsia"/>
          <w:b/>
          <w:sz w:val="24"/>
          <w:szCs w:val="24"/>
        </w:rPr>
        <w:t>:</w:t>
      </w:r>
      <w:r w:rsidRPr="00973E8A">
        <w:rPr>
          <w:rFonts w:ascii="Book Antiqua" w:hAnsi="Book Antiqua" w:hint="eastAsia"/>
          <w:sz w:val="24"/>
          <w:szCs w:val="24"/>
        </w:rPr>
        <w:t xml:space="preserve"> </w:t>
      </w:r>
      <w:r w:rsidR="00271913" w:rsidRPr="00D85CC9">
        <w:rPr>
          <w:rFonts w:ascii="Book Antiqua" w:hAnsi="Book Antiqua" w:cs="Times New Roman"/>
          <w:sz w:val="24"/>
          <w:szCs w:val="24"/>
        </w:rPr>
        <w:t>N-</w:t>
      </w:r>
      <w:proofErr w:type="spellStart"/>
      <w:r w:rsidR="00271913" w:rsidRPr="00D85CC9">
        <w:rPr>
          <w:rFonts w:ascii="Book Antiqua" w:hAnsi="Book Antiqua" w:cs="Times New Roman"/>
          <w:sz w:val="24"/>
          <w:szCs w:val="24"/>
        </w:rPr>
        <w:t>acetylcysteine</w:t>
      </w:r>
      <w:proofErr w:type="spellEnd"/>
      <w:r>
        <w:rPr>
          <w:rFonts w:ascii="Book Antiqua" w:hAnsi="Book Antiqua" w:cs="Times New Roman" w:hint="eastAsia"/>
          <w:sz w:val="24"/>
          <w:szCs w:val="24"/>
          <w:lang w:eastAsia="zh-CN"/>
        </w:rPr>
        <w:t>;</w:t>
      </w:r>
      <w:r w:rsidR="00271913" w:rsidRPr="00D85CC9">
        <w:rPr>
          <w:rFonts w:ascii="Book Antiqua" w:hAnsi="Book Antiqua" w:cs="Times New Roman"/>
          <w:sz w:val="24"/>
          <w:szCs w:val="24"/>
        </w:rPr>
        <w:t xml:space="preserve"> </w:t>
      </w:r>
      <w:proofErr w:type="spellStart"/>
      <w:r w:rsidR="00271913" w:rsidRPr="00D85CC9">
        <w:rPr>
          <w:rFonts w:ascii="Book Antiqua" w:hAnsi="Book Antiqua" w:cs="Times New Roman"/>
          <w:sz w:val="24"/>
          <w:szCs w:val="24"/>
        </w:rPr>
        <w:t>Amiodarone</w:t>
      </w:r>
      <w:proofErr w:type="spellEnd"/>
      <w:r>
        <w:rPr>
          <w:rFonts w:ascii="Book Antiqua" w:hAnsi="Book Antiqua" w:cs="Times New Roman" w:hint="eastAsia"/>
          <w:sz w:val="24"/>
          <w:szCs w:val="24"/>
          <w:lang w:eastAsia="zh-CN"/>
        </w:rPr>
        <w:t>;</w:t>
      </w:r>
      <w:r w:rsidR="00271913" w:rsidRPr="00D85CC9">
        <w:rPr>
          <w:rFonts w:ascii="Book Antiqua" w:hAnsi="Book Antiqua" w:cs="Times New Roman"/>
          <w:sz w:val="24"/>
          <w:szCs w:val="24"/>
        </w:rPr>
        <w:t xml:space="preserve"> Dru</w:t>
      </w:r>
      <w:r w:rsidRPr="00D85CC9">
        <w:rPr>
          <w:rFonts w:ascii="Book Antiqua" w:hAnsi="Book Antiqua" w:cs="Times New Roman"/>
          <w:sz w:val="24"/>
          <w:szCs w:val="24"/>
        </w:rPr>
        <w:t>g induced liver inju</w:t>
      </w:r>
      <w:r w:rsidR="00271913" w:rsidRPr="00D85CC9">
        <w:rPr>
          <w:rFonts w:ascii="Book Antiqua" w:hAnsi="Book Antiqua" w:cs="Times New Roman"/>
          <w:sz w:val="24"/>
          <w:szCs w:val="24"/>
        </w:rPr>
        <w:t>ry</w:t>
      </w:r>
      <w:r w:rsidR="00110F0A">
        <w:rPr>
          <w:rFonts w:ascii="Book Antiqua" w:hAnsi="Book Antiqua" w:cs="Times New Roman" w:hint="eastAsia"/>
          <w:sz w:val="24"/>
          <w:szCs w:val="24"/>
          <w:lang w:eastAsia="zh-CN"/>
        </w:rPr>
        <w:t>; L</w:t>
      </w:r>
      <w:r w:rsidR="00110F0A" w:rsidRPr="00110F0A">
        <w:rPr>
          <w:rFonts w:ascii="Book Antiqua" w:hAnsi="Book Antiqua" w:cs="Times New Roman"/>
          <w:sz w:val="24"/>
          <w:szCs w:val="24"/>
        </w:rPr>
        <w:t>iver enzyme</w:t>
      </w:r>
      <w:r w:rsidR="00110F0A">
        <w:rPr>
          <w:rFonts w:ascii="Book Antiqua" w:hAnsi="Book Antiqua" w:cs="Times New Roman" w:hint="eastAsia"/>
          <w:sz w:val="24"/>
          <w:szCs w:val="24"/>
          <w:lang w:eastAsia="zh-CN"/>
        </w:rPr>
        <w:t>s; P</w:t>
      </w:r>
      <w:r w:rsidR="00110F0A" w:rsidRPr="00D85CC9">
        <w:rPr>
          <w:rFonts w:ascii="Book Antiqua" w:hAnsi="Book Antiqua" w:cs="Times New Roman"/>
          <w:sz w:val="24"/>
          <w:szCs w:val="24"/>
        </w:rPr>
        <w:t>athogenesis</w:t>
      </w:r>
    </w:p>
    <w:p w:rsidR="00F96B40" w:rsidRPr="00D85CC9" w:rsidRDefault="00F96B40" w:rsidP="001630CF">
      <w:pPr>
        <w:snapToGrid w:val="0"/>
        <w:spacing w:after="0" w:line="360" w:lineRule="auto"/>
        <w:jc w:val="both"/>
        <w:rPr>
          <w:rFonts w:ascii="Book Antiqua" w:hAnsi="Book Antiqua" w:cs="Times New Roman"/>
          <w:b/>
          <w:sz w:val="24"/>
          <w:szCs w:val="24"/>
          <w:lang w:eastAsia="zh-CN"/>
        </w:rPr>
      </w:pPr>
    </w:p>
    <w:p w:rsidR="00271913" w:rsidRDefault="00607C7A" w:rsidP="001630CF">
      <w:pPr>
        <w:snapToGrid w:val="0"/>
        <w:spacing w:after="0" w:line="360" w:lineRule="auto"/>
        <w:jc w:val="both"/>
        <w:rPr>
          <w:rFonts w:ascii="Book Antiqua" w:hAnsi="Book Antiqua" w:cs="Times New Roman"/>
          <w:sz w:val="24"/>
          <w:szCs w:val="24"/>
          <w:lang w:eastAsia="zh-CN"/>
        </w:rPr>
      </w:pPr>
      <w:r w:rsidRPr="00044345">
        <w:rPr>
          <w:rFonts w:ascii="Book Antiqua" w:hAnsi="Book Antiqua"/>
          <w:b/>
          <w:sz w:val="24"/>
          <w:szCs w:val="24"/>
        </w:rPr>
        <w:t>Core tip</w:t>
      </w:r>
      <w:r w:rsidRPr="00044345">
        <w:rPr>
          <w:rFonts w:ascii="Book Antiqua" w:hAnsi="Book Antiqua" w:hint="eastAsia"/>
          <w:b/>
          <w:sz w:val="24"/>
          <w:szCs w:val="24"/>
        </w:rPr>
        <w:t xml:space="preserve">: </w:t>
      </w:r>
      <w:r w:rsidR="00271913" w:rsidRPr="00044345">
        <w:rPr>
          <w:rFonts w:ascii="Book Antiqua" w:hAnsi="Book Antiqua" w:cs="Times New Roman"/>
          <w:sz w:val="24"/>
          <w:szCs w:val="24"/>
        </w:rPr>
        <w:t>I</w:t>
      </w:r>
      <w:r w:rsidR="00371E46" w:rsidRPr="00371E46">
        <w:rPr>
          <w:rFonts w:ascii="Book Antiqua" w:hAnsi="Book Antiqua" w:cs="Times New Roman"/>
          <w:sz w:val="24"/>
          <w:szCs w:val="24"/>
        </w:rPr>
        <w:t>ntravenous (IV)</w:t>
      </w:r>
      <w:r w:rsidR="00271913" w:rsidRPr="00D85CC9">
        <w:rPr>
          <w:rFonts w:ascii="Book Antiqua" w:hAnsi="Book Antiqua" w:cs="Times New Roman"/>
          <w:sz w:val="24"/>
          <w:szCs w:val="24"/>
        </w:rPr>
        <w:t xml:space="preserve"> </w:t>
      </w:r>
      <w:proofErr w:type="spellStart"/>
      <w:r w:rsidR="00271913" w:rsidRPr="00D85CC9">
        <w:rPr>
          <w:rFonts w:ascii="Book Antiqua" w:hAnsi="Book Antiqua" w:cs="Times New Roman"/>
          <w:sz w:val="24"/>
          <w:szCs w:val="24"/>
        </w:rPr>
        <w:t>amiodarone</w:t>
      </w:r>
      <w:proofErr w:type="spellEnd"/>
      <w:r w:rsidR="00271913" w:rsidRPr="00D85CC9">
        <w:rPr>
          <w:rFonts w:ascii="Book Antiqua" w:hAnsi="Book Antiqua" w:cs="Times New Roman"/>
          <w:sz w:val="24"/>
          <w:szCs w:val="24"/>
        </w:rPr>
        <w:t xml:space="preserve"> </w:t>
      </w:r>
      <w:r w:rsidR="00C22B31" w:rsidRPr="00D85CC9">
        <w:rPr>
          <w:rFonts w:ascii="Book Antiqua" w:hAnsi="Book Antiqua" w:cs="Times New Roman"/>
          <w:sz w:val="24"/>
          <w:szCs w:val="24"/>
        </w:rPr>
        <w:t>drug induced liver injury (DILI)</w:t>
      </w:r>
      <w:r w:rsidR="00271913" w:rsidRPr="00D85CC9">
        <w:rPr>
          <w:rFonts w:ascii="Book Antiqua" w:hAnsi="Book Antiqua" w:cs="Times New Roman"/>
          <w:sz w:val="24"/>
          <w:szCs w:val="24"/>
        </w:rPr>
        <w:t xml:space="preserve"> is uncommon, and difficult to distinguish from ischemic hepatitis or congestive </w:t>
      </w:r>
      <w:proofErr w:type="spellStart"/>
      <w:r w:rsidR="00271913" w:rsidRPr="00D85CC9">
        <w:rPr>
          <w:rFonts w:ascii="Book Antiqua" w:hAnsi="Book Antiqua" w:cs="Times New Roman"/>
          <w:sz w:val="24"/>
          <w:szCs w:val="24"/>
        </w:rPr>
        <w:t>hepatopathy</w:t>
      </w:r>
      <w:proofErr w:type="spellEnd"/>
      <w:r w:rsidR="00271913" w:rsidRPr="00D85CC9">
        <w:rPr>
          <w:rFonts w:ascii="Book Antiqua" w:hAnsi="Book Antiqua" w:cs="Times New Roman"/>
          <w:sz w:val="24"/>
          <w:szCs w:val="24"/>
        </w:rPr>
        <w:t xml:space="preserve">. Further, the pathophysiology is uncertain. IV </w:t>
      </w:r>
      <w:r w:rsidR="00C22B31" w:rsidRPr="00D85CC9">
        <w:rPr>
          <w:rFonts w:ascii="Book Antiqua" w:hAnsi="Book Antiqua" w:cs="Times New Roman"/>
          <w:sz w:val="24"/>
          <w:szCs w:val="24"/>
        </w:rPr>
        <w:t>N-</w:t>
      </w:r>
      <w:proofErr w:type="spellStart"/>
      <w:r w:rsidR="00C22B31" w:rsidRPr="00D85CC9">
        <w:rPr>
          <w:rFonts w:ascii="Book Antiqua" w:hAnsi="Book Antiqua" w:cs="Times New Roman"/>
          <w:sz w:val="24"/>
          <w:szCs w:val="24"/>
        </w:rPr>
        <w:t>acetylcysteine</w:t>
      </w:r>
      <w:proofErr w:type="spellEnd"/>
      <w:r w:rsidR="00C22B31" w:rsidRPr="00D85CC9">
        <w:rPr>
          <w:rFonts w:ascii="Book Antiqua" w:hAnsi="Book Antiqua" w:cs="Times New Roman"/>
          <w:sz w:val="24"/>
          <w:szCs w:val="24"/>
        </w:rPr>
        <w:t xml:space="preserve"> (NAC)</w:t>
      </w:r>
      <w:r w:rsidR="00271913" w:rsidRPr="00D85CC9">
        <w:rPr>
          <w:rFonts w:ascii="Book Antiqua" w:hAnsi="Book Antiqua" w:cs="Times New Roman"/>
          <w:sz w:val="24"/>
          <w:szCs w:val="24"/>
        </w:rPr>
        <w:t xml:space="preserve"> is often used empirically as a treatment for idiopathic hepatitis or DILI. We report a case of rapid improvement of liver enzymes in a suspected case of IV </w:t>
      </w:r>
      <w:proofErr w:type="spellStart"/>
      <w:r w:rsidR="00271913" w:rsidRPr="00D85CC9">
        <w:rPr>
          <w:rFonts w:ascii="Book Antiqua" w:hAnsi="Book Antiqua" w:cs="Times New Roman"/>
          <w:sz w:val="24"/>
          <w:szCs w:val="24"/>
        </w:rPr>
        <w:t>amiodarone</w:t>
      </w:r>
      <w:proofErr w:type="spellEnd"/>
      <w:r w:rsidR="00271913" w:rsidRPr="00D85CC9">
        <w:rPr>
          <w:rFonts w:ascii="Book Antiqua" w:hAnsi="Book Antiqua" w:cs="Times New Roman"/>
          <w:sz w:val="24"/>
          <w:szCs w:val="24"/>
        </w:rPr>
        <w:t xml:space="preserve"> DILI with IV NAC, suggesting at least some shared features between the</w:t>
      </w:r>
      <w:r w:rsidR="00566B5E" w:rsidRPr="00D85CC9">
        <w:rPr>
          <w:rFonts w:ascii="Book Antiqua" w:hAnsi="Book Antiqua" w:cs="Times New Roman"/>
          <w:sz w:val="24"/>
          <w:szCs w:val="24"/>
        </w:rPr>
        <w:t xml:space="preserve"> pathogenic mechanisms of the former and the therapeutic actions of the latter. </w:t>
      </w:r>
      <w:r w:rsidR="00271913" w:rsidRPr="00D85CC9">
        <w:rPr>
          <w:rFonts w:ascii="Book Antiqua" w:hAnsi="Book Antiqua" w:cs="Times New Roman"/>
          <w:sz w:val="24"/>
          <w:szCs w:val="24"/>
        </w:rPr>
        <w:t xml:space="preserve"> </w:t>
      </w:r>
    </w:p>
    <w:p w:rsidR="00C22B31" w:rsidRDefault="00C22B31" w:rsidP="001630CF">
      <w:pPr>
        <w:snapToGrid w:val="0"/>
        <w:spacing w:after="0" w:line="360" w:lineRule="auto"/>
        <w:jc w:val="both"/>
        <w:rPr>
          <w:rFonts w:ascii="Book Antiqua" w:hAnsi="Book Antiqua" w:cs="Times New Roman"/>
          <w:sz w:val="24"/>
          <w:szCs w:val="24"/>
          <w:lang w:eastAsia="zh-CN"/>
        </w:rPr>
      </w:pPr>
    </w:p>
    <w:p w:rsidR="00044345" w:rsidRPr="00044345" w:rsidRDefault="00044345" w:rsidP="001630CF">
      <w:pPr>
        <w:snapToGrid w:val="0"/>
        <w:spacing w:after="0" w:line="360" w:lineRule="auto"/>
        <w:jc w:val="both"/>
        <w:rPr>
          <w:rFonts w:ascii="Book Antiqua" w:hAnsi="Book Antiqua" w:cs="Times New Roman"/>
          <w:sz w:val="24"/>
          <w:szCs w:val="24"/>
          <w:lang w:eastAsia="zh-CN"/>
        </w:rPr>
      </w:pPr>
      <w:proofErr w:type="spellStart"/>
      <w:r w:rsidRPr="00D85CC9">
        <w:rPr>
          <w:rFonts w:ascii="Book Antiqua" w:hAnsi="Book Antiqua" w:cs="Times New Roman"/>
          <w:sz w:val="24"/>
          <w:szCs w:val="24"/>
        </w:rPr>
        <w:t>Mudalel</w:t>
      </w:r>
      <w:proofErr w:type="spellEnd"/>
      <w:r>
        <w:rPr>
          <w:rFonts w:ascii="Book Antiqua" w:hAnsi="Book Antiqua" w:cs="Times New Roman" w:hint="eastAsia"/>
          <w:sz w:val="24"/>
          <w:szCs w:val="24"/>
          <w:lang w:eastAsia="zh-CN"/>
        </w:rPr>
        <w:t xml:space="preserve"> ML</w:t>
      </w:r>
      <w:r w:rsidRPr="00D85CC9">
        <w:rPr>
          <w:rFonts w:ascii="Book Antiqua" w:hAnsi="Book Antiqua" w:cs="Times New Roman"/>
          <w:sz w:val="24"/>
          <w:szCs w:val="24"/>
        </w:rPr>
        <w:t>, Dave</w:t>
      </w:r>
      <w:r>
        <w:rPr>
          <w:rFonts w:ascii="Book Antiqua" w:hAnsi="Book Antiqua" w:cs="Times New Roman" w:hint="eastAsia"/>
          <w:sz w:val="24"/>
          <w:szCs w:val="24"/>
          <w:lang w:eastAsia="zh-CN"/>
        </w:rPr>
        <w:t xml:space="preserve"> K</w:t>
      </w:r>
      <w:r w:rsidRPr="00D85CC9">
        <w:rPr>
          <w:rFonts w:ascii="Book Antiqua" w:hAnsi="Book Antiqua" w:cs="Times New Roman"/>
          <w:sz w:val="24"/>
          <w:szCs w:val="24"/>
        </w:rPr>
        <w:t>, Hummel</w:t>
      </w:r>
      <w:r>
        <w:rPr>
          <w:rFonts w:ascii="Book Antiqua" w:hAnsi="Book Antiqua" w:cs="Times New Roman" w:hint="eastAsia"/>
          <w:sz w:val="24"/>
          <w:szCs w:val="24"/>
          <w:lang w:eastAsia="zh-CN"/>
        </w:rPr>
        <w:t xml:space="preserve"> JP</w:t>
      </w:r>
      <w:r w:rsidRPr="00D85CC9">
        <w:rPr>
          <w:rFonts w:ascii="Book Antiqua" w:hAnsi="Book Antiqua" w:cs="Times New Roman"/>
          <w:sz w:val="24"/>
          <w:szCs w:val="24"/>
        </w:rPr>
        <w:t xml:space="preserve">, </w:t>
      </w:r>
      <w:proofErr w:type="spellStart"/>
      <w:r w:rsidRPr="00D85CC9">
        <w:rPr>
          <w:rFonts w:ascii="Book Antiqua" w:hAnsi="Book Antiqua" w:cs="Times New Roman"/>
          <w:sz w:val="24"/>
          <w:szCs w:val="24"/>
        </w:rPr>
        <w:t>Solga</w:t>
      </w:r>
      <w:proofErr w:type="spellEnd"/>
      <w:r>
        <w:rPr>
          <w:rFonts w:ascii="Book Antiqua" w:hAnsi="Book Antiqua" w:cs="Times New Roman" w:hint="eastAsia"/>
          <w:sz w:val="24"/>
          <w:szCs w:val="24"/>
          <w:lang w:eastAsia="zh-CN"/>
        </w:rPr>
        <w:t xml:space="preserve"> SF.</w:t>
      </w:r>
      <w:r w:rsidRPr="00CA59D2">
        <w:rPr>
          <w:rFonts w:ascii="Book Antiqua" w:hAnsi="Book Antiqua"/>
          <w:sz w:val="24"/>
          <w:szCs w:val="24"/>
          <w:lang w:eastAsia="zh-CN"/>
        </w:rPr>
        <w:t xml:space="preserve"> </w:t>
      </w:r>
      <w:r w:rsidRPr="006B1E93">
        <w:rPr>
          <w:rFonts w:ascii="Book Antiqua" w:hAnsi="Book Antiqua" w:cs="Times New Roman"/>
          <w:sz w:val="24"/>
          <w:szCs w:val="24"/>
          <w:lang w:eastAsia="zh-CN"/>
        </w:rPr>
        <w:t>N-</w:t>
      </w:r>
      <w:proofErr w:type="spellStart"/>
      <w:r w:rsidRPr="006B1E93">
        <w:rPr>
          <w:rFonts w:ascii="Book Antiqua" w:hAnsi="Book Antiqua" w:cs="Times New Roman"/>
          <w:sz w:val="24"/>
          <w:szCs w:val="24"/>
          <w:lang w:eastAsia="zh-CN"/>
        </w:rPr>
        <w:t>acetylcysteine</w:t>
      </w:r>
      <w:proofErr w:type="spellEnd"/>
      <w:r w:rsidRPr="006B1E93">
        <w:rPr>
          <w:rFonts w:ascii="Book Antiqua" w:hAnsi="Book Antiqua" w:cs="Times New Roman"/>
          <w:sz w:val="24"/>
          <w:szCs w:val="24"/>
          <w:lang w:eastAsia="zh-CN"/>
        </w:rPr>
        <w:t xml:space="preserve"> treats intravenous </w:t>
      </w:r>
      <w:proofErr w:type="spellStart"/>
      <w:r w:rsidRPr="006B1E93">
        <w:rPr>
          <w:rFonts w:ascii="Book Antiqua" w:hAnsi="Book Antiqua" w:cs="Times New Roman"/>
          <w:sz w:val="24"/>
          <w:szCs w:val="24"/>
          <w:lang w:eastAsia="zh-CN"/>
        </w:rPr>
        <w:t>amiodarone</w:t>
      </w:r>
      <w:proofErr w:type="spellEnd"/>
      <w:r w:rsidRPr="006B1E93">
        <w:rPr>
          <w:rFonts w:ascii="Book Antiqua" w:hAnsi="Book Antiqua" w:cs="Times New Roman"/>
          <w:sz w:val="24"/>
          <w:szCs w:val="24"/>
          <w:lang w:eastAsia="zh-CN"/>
        </w:rPr>
        <w:t xml:space="preserve"> liver injury</w:t>
      </w:r>
      <w:r w:rsidRPr="00CA59D2">
        <w:rPr>
          <w:rFonts w:ascii="Book Antiqua" w:hAnsi="Book Antiqua"/>
          <w:sz w:val="24"/>
          <w:szCs w:val="24"/>
          <w:lang w:eastAsia="zh-CN"/>
        </w:rPr>
        <w:t>.</w:t>
      </w:r>
      <w:r w:rsidRPr="008B337A">
        <w:t xml:space="preserve"> </w:t>
      </w:r>
      <w:r w:rsidRPr="008B337A">
        <w:rPr>
          <w:rFonts w:ascii="Book Antiqua" w:hAnsi="Book Antiqua"/>
          <w:i/>
          <w:sz w:val="24"/>
          <w:szCs w:val="24"/>
          <w:lang w:eastAsia="zh-CN"/>
        </w:rPr>
        <w:t xml:space="preserve">World J </w:t>
      </w:r>
      <w:proofErr w:type="spellStart"/>
      <w:r w:rsidRPr="008B337A">
        <w:rPr>
          <w:rFonts w:ascii="Book Antiqua" w:hAnsi="Book Antiqua"/>
          <w:i/>
          <w:sz w:val="24"/>
          <w:szCs w:val="24"/>
          <w:lang w:eastAsia="zh-CN"/>
        </w:rPr>
        <w:t>Gastroenterol</w:t>
      </w:r>
      <w:proofErr w:type="spellEnd"/>
      <w:r w:rsidRPr="008B337A">
        <w:rPr>
          <w:rFonts w:ascii="Book Antiqua" w:hAnsi="Book Antiqua"/>
          <w:i/>
          <w:sz w:val="24"/>
          <w:szCs w:val="24"/>
          <w:lang w:eastAsia="zh-CN"/>
        </w:rPr>
        <w:t xml:space="preserve"> </w:t>
      </w:r>
      <w:r w:rsidRPr="008B337A">
        <w:rPr>
          <w:rFonts w:ascii="Book Antiqua" w:hAnsi="Book Antiqua"/>
          <w:sz w:val="24"/>
          <w:szCs w:val="24"/>
          <w:lang w:eastAsia="zh-CN"/>
        </w:rPr>
        <w:t xml:space="preserve">2014; </w:t>
      </w:r>
      <w:proofErr w:type="gramStart"/>
      <w:r w:rsidRPr="008B337A">
        <w:rPr>
          <w:rFonts w:ascii="Book Antiqua" w:hAnsi="Book Antiqua"/>
          <w:sz w:val="24"/>
          <w:szCs w:val="24"/>
          <w:lang w:eastAsia="zh-CN"/>
        </w:rPr>
        <w:t>In</w:t>
      </w:r>
      <w:proofErr w:type="gramEnd"/>
      <w:r w:rsidRPr="008B337A">
        <w:rPr>
          <w:rFonts w:ascii="Book Antiqua" w:hAnsi="Book Antiqua"/>
          <w:sz w:val="24"/>
          <w:szCs w:val="24"/>
          <w:lang w:eastAsia="zh-CN"/>
        </w:rPr>
        <w:t xml:space="preserve"> press</w:t>
      </w:r>
    </w:p>
    <w:p w:rsidR="00C22B31" w:rsidRPr="00D85CC9" w:rsidRDefault="00C22B31" w:rsidP="001630CF">
      <w:pPr>
        <w:snapToGrid w:val="0"/>
        <w:spacing w:after="0" w:line="360" w:lineRule="auto"/>
        <w:jc w:val="both"/>
        <w:rPr>
          <w:rFonts w:ascii="Book Antiqua" w:hAnsi="Book Antiqua" w:cs="Times New Roman"/>
          <w:sz w:val="24"/>
          <w:szCs w:val="24"/>
          <w:lang w:eastAsia="zh-CN"/>
        </w:rPr>
      </w:pPr>
    </w:p>
    <w:p w:rsidR="00372721" w:rsidRPr="00372721" w:rsidRDefault="00372721" w:rsidP="00372721">
      <w:pPr>
        <w:spacing w:line="360" w:lineRule="auto"/>
        <w:rPr>
          <w:rFonts w:ascii="Book Antiqua" w:hAnsi="Book Antiqua" w:cs="Times New Roman"/>
          <w:b/>
          <w:sz w:val="24"/>
          <w:szCs w:val="24"/>
          <w:lang w:eastAsia="zh-CN"/>
        </w:rPr>
      </w:pPr>
      <w:r w:rsidRPr="00372721">
        <w:rPr>
          <w:rFonts w:ascii="Book Antiqua" w:hAnsi="Book Antiqua" w:cs="Times New Roman"/>
          <w:b/>
          <w:sz w:val="24"/>
          <w:szCs w:val="24"/>
          <w:lang w:eastAsia="zh-CN"/>
        </w:rPr>
        <w:t>INTRODUCTION</w:t>
      </w:r>
    </w:p>
    <w:p w:rsidR="00372721" w:rsidRDefault="00372721" w:rsidP="00372721">
      <w:pPr>
        <w:snapToGrid w:val="0"/>
        <w:spacing w:after="0" w:line="360" w:lineRule="auto"/>
        <w:jc w:val="both"/>
        <w:rPr>
          <w:rFonts w:ascii="Book Antiqua" w:hAnsi="Book Antiqua" w:cs="Times New Roman"/>
          <w:sz w:val="24"/>
          <w:szCs w:val="24"/>
          <w:lang w:eastAsia="zh-CN"/>
        </w:rPr>
      </w:pPr>
      <w:r w:rsidRPr="00044345">
        <w:rPr>
          <w:rFonts w:ascii="Book Antiqua" w:hAnsi="Book Antiqua" w:cs="Times New Roman"/>
          <w:sz w:val="24"/>
          <w:szCs w:val="24"/>
        </w:rPr>
        <w:t>I</w:t>
      </w:r>
      <w:r w:rsidRPr="00371E46">
        <w:rPr>
          <w:rFonts w:ascii="Book Antiqua" w:hAnsi="Book Antiqua" w:cs="Times New Roman"/>
          <w:sz w:val="24"/>
          <w:szCs w:val="24"/>
        </w:rPr>
        <w:t>ntravenous (IV)</w:t>
      </w:r>
      <w:r w:rsidRPr="00D85CC9">
        <w:rPr>
          <w:rFonts w:ascii="Book Antiqua" w:hAnsi="Book Antiqua" w:cs="Times New Roman"/>
          <w:sz w:val="24"/>
          <w:szCs w:val="24"/>
        </w:rPr>
        <w:t xml:space="preserve">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drug induced liver injury (DILI) is uncommon, and difficult to distinguish from ischemic hepatitis or congestive </w:t>
      </w:r>
      <w:proofErr w:type="spellStart"/>
      <w:r w:rsidRPr="00D85CC9">
        <w:rPr>
          <w:rFonts w:ascii="Book Antiqua" w:hAnsi="Book Antiqua" w:cs="Times New Roman"/>
          <w:sz w:val="24"/>
          <w:szCs w:val="24"/>
        </w:rPr>
        <w:t>hepatopathy</w:t>
      </w:r>
      <w:proofErr w:type="spellEnd"/>
      <w:r w:rsidRPr="00D85CC9">
        <w:rPr>
          <w:rFonts w:ascii="Book Antiqua" w:hAnsi="Book Antiqua" w:cs="Times New Roman"/>
          <w:sz w:val="24"/>
          <w:szCs w:val="24"/>
        </w:rPr>
        <w:t>. Further, the pathophysiology is uncertain. IV N-</w:t>
      </w:r>
      <w:proofErr w:type="spellStart"/>
      <w:r w:rsidRPr="00D85CC9">
        <w:rPr>
          <w:rFonts w:ascii="Book Antiqua" w:hAnsi="Book Antiqua" w:cs="Times New Roman"/>
          <w:sz w:val="24"/>
          <w:szCs w:val="24"/>
        </w:rPr>
        <w:t>acetylcysteine</w:t>
      </w:r>
      <w:proofErr w:type="spellEnd"/>
      <w:r w:rsidRPr="00D85CC9">
        <w:rPr>
          <w:rFonts w:ascii="Book Antiqua" w:hAnsi="Book Antiqua" w:cs="Times New Roman"/>
          <w:sz w:val="24"/>
          <w:szCs w:val="24"/>
        </w:rPr>
        <w:t xml:space="preserve"> (NAC) is often used empirically as a treatment for idiopathic hepatitis or DILI. We report a case of rapid improvement of liver enzymes in a suspected case of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with IV NAC, suggesting at least some shared features between the pathogenic mechanisms of the former and the therapeutic actions of the latter.  </w:t>
      </w:r>
    </w:p>
    <w:p w:rsidR="00044345" w:rsidRDefault="00044345" w:rsidP="001630CF">
      <w:pPr>
        <w:snapToGrid w:val="0"/>
        <w:spacing w:after="0" w:line="360" w:lineRule="auto"/>
        <w:jc w:val="both"/>
        <w:rPr>
          <w:rFonts w:ascii="Book Antiqua" w:hAnsi="Book Antiqua" w:cs="Times New Roman"/>
          <w:sz w:val="24"/>
          <w:szCs w:val="24"/>
          <w:lang w:eastAsia="zh-CN"/>
        </w:rPr>
      </w:pPr>
    </w:p>
    <w:p w:rsidR="00836127" w:rsidRPr="00D85CC9" w:rsidRDefault="00BD2469" w:rsidP="001630CF">
      <w:pPr>
        <w:snapToGrid w:val="0"/>
        <w:spacing w:after="0" w:line="360" w:lineRule="auto"/>
        <w:jc w:val="both"/>
        <w:rPr>
          <w:rFonts w:ascii="Book Antiqua" w:hAnsi="Book Antiqua" w:cs="Times New Roman"/>
          <w:b/>
          <w:sz w:val="24"/>
          <w:szCs w:val="24"/>
          <w:lang w:eastAsia="zh-CN"/>
        </w:rPr>
      </w:pPr>
      <w:r w:rsidRPr="00D85CC9">
        <w:rPr>
          <w:rFonts w:ascii="Book Antiqua" w:hAnsi="Book Antiqua" w:cs="Times New Roman"/>
          <w:b/>
          <w:sz w:val="24"/>
          <w:szCs w:val="24"/>
        </w:rPr>
        <w:t xml:space="preserve">CASE </w:t>
      </w:r>
      <w:r>
        <w:rPr>
          <w:rFonts w:ascii="Book Antiqua" w:hAnsi="Book Antiqua" w:cs="Times New Roman"/>
          <w:b/>
          <w:sz w:val="24"/>
          <w:szCs w:val="24"/>
          <w:lang w:eastAsia="zh-CN"/>
        </w:rPr>
        <w:t>R</w:t>
      </w:r>
      <w:r>
        <w:rPr>
          <w:rFonts w:ascii="Book Antiqua" w:hAnsi="Book Antiqua" w:cs="Times New Roman"/>
          <w:b/>
          <w:sz w:val="24"/>
          <w:szCs w:val="24"/>
        </w:rPr>
        <w:t>EPORT</w:t>
      </w:r>
    </w:p>
    <w:p w:rsidR="00ED26F4" w:rsidRPr="00D85CC9" w:rsidRDefault="00836127"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A 65</w:t>
      </w:r>
      <w:r w:rsidR="00C22B31">
        <w:rPr>
          <w:rFonts w:ascii="Book Antiqua" w:hAnsi="Book Antiqua" w:cs="Times New Roman" w:hint="eastAsia"/>
          <w:sz w:val="24"/>
          <w:szCs w:val="24"/>
          <w:lang w:eastAsia="zh-CN"/>
        </w:rPr>
        <w:t>-</w:t>
      </w:r>
      <w:r w:rsidRPr="00D85CC9">
        <w:rPr>
          <w:rFonts w:ascii="Book Antiqua" w:hAnsi="Book Antiqua" w:cs="Times New Roman"/>
          <w:sz w:val="24"/>
          <w:szCs w:val="24"/>
        </w:rPr>
        <w:t xml:space="preserve">year old woman presented to her primary physician with fatigue and shortness of breath. She was treated with ciprofloxacin and oral prednisone for presumptive upper respiratory tract infection and asthma, respectively. Five days later, her symptoms worsened. She presented to the emergency room, was found to be hypotensive and hypoxic, and was admitted to an </w:t>
      </w:r>
      <w:r w:rsidR="00EA27E7" w:rsidRPr="00D85CC9">
        <w:rPr>
          <w:rFonts w:ascii="Book Antiqua" w:hAnsi="Book Antiqua" w:cs="Times New Roman"/>
          <w:sz w:val="24"/>
          <w:szCs w:val="24"/>
        </w:rPr>
        <w:t>intensive care unit (</w:t>
      </w:r>
      <w:r w:rsidRPr="00D85CC9">
        <w:rPr>
          <w:rFonts w:ascii="Book Antiqua" w:hAnsi="Book Antiqua" w:cs="Times New Roman"/>
          <w:sz w:val="24"/>
          <w:szCs w:val="24"/>
        </w:rPr>
        <w:t>ICU</w:t>
      </w:r>
      <w:r w:rsidR="00EA27E7" w:rsidRPr="00D85CC9">
        <w:rPr>
          <w:rFonts w:ascii="Book Antiqua" w:hAnsi="Book Antiqua" w:cs="Times New Roman"/>
          <w:sz w:val="24"/>
          <w:szCs w:val="24"/>
        </w:rPr>
        <w:t>)</w:t>
      </w:r>
      <w:r w:rsidRPr="00D85CC9">
        <w:rPr>
          <w:rFonts w:ascii="Book Antiqua" w:hAnsi="Book Antiqua" w:cs="Times New Roman"/>
          <w:sz w:val="24"/>
          <w:szCs w:val="24"/>
        </w:rPr>
        <w:t xml:space="preserve">.  Aside from the asthma, her past medical history included hypothyroidism and remote breast cancer/mastectomy.  There was no history of alcohol use and she was non-obese.  </w:t>
      </w:r>
    </w:p>
    <w:p w:rsidR="00836127" w:rsidRPr="00D85CC9" w:rsidRDefault="006E21AC"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t>On admission, c</w:t>
      </w:r>
      <w:r w:rsidR="004221C3" w:rsidRPr="00D85CC9">
        <w:rPr>
          <w:rFonts w:ascii="Book Antiqua" w:hAnsi="Book Antiqua" w:cs="Times New Roman"/>
          <w:sz w:val="24"/>
          <w:szCs w:val="24"/>
        </w:rPr>
        <w:t xml:space="preserve">hest </w:t>
      </w:r>
      <w:r w:rsidR="00416F0E">
        <w:rPr>
          <w:rFonts w:ascii="Book Antiqua" w:hAnsi="Book Antiqua" w:cs="Times New Roman" w:hint="eastAsia"/>
          <w:sz w:val="24"/>
          <w:szCs w:val="24"/>
          <w:lang w:eastAsia="zh-CN"/>
        </w:rPr>
        <w:t>X</w:t>
      </w:r>
      <w:r w:rsidR="004221C3" w:rsidRPr="00D85CC9">
        <w:rPr>
          <w:rFonts w:ascii="Book Antiqua" w:hAnsi="Book Antiqua" w:cs="Times New Roman"/>
          <w:sz w:val="24"/>
          <w:szCs w:val="24"/>
        </w:rPr>
        <w:t xml:space="preserve">-ray revealed marked cardiomegaly and right lower lobe infiltrate and she was treated with antibiotics for community acquired pneumonia and presumed sepsis.  Echocardiogram revealed severe global left ventricular dysfunction with ejection fraction 15%.  The patient was hypotensive on presentation due to mixed septic and cardiogenic shock and required aggressive fluid resuscitation and intermittent </w:t>
      </w:r>
      <w:proofErr w:type="spellStart"/>
      <w:r w:rsidR="004221C3" w:rsidRPr="00D85CC9">
        <w:rPr>
          <w:rFonts w:ascii="Book Antiqua" w:hAnsi="Book Antiqua" w:cs="Times New Roman"/>
          <w:sz w:val="24"/>
          <w:szCs w:val="24"/>
        </w:rPr>
        <w:t>pressor</w:t>
      </w:r>
      <w:proofErr w:type="spellEnd"/>
      <w:r w:rsidR="004221C3" w:rsidRPr="00D85CC9">
        <w:rPr>
          <w:rFonts w:ascii="Book Antiqua" w:hAnsi="Book Antiqua" w:cs="Times New Roman"/>
          <w:sz w:val="24"/>
          <w:szCs w:val="24"/>
        </w:rPr>
        <w:t xml:space="preserve"> support.  </w:t>
      </w:r>
      <w:r w:rsidRPr="00D85CC9">
        <w:rPr>
          <w:rFonts w:ascii="Book Antiqua" w:hAnsi="Book Antiqua" w:cs="Times New Roman"/>
          <w:sz w:val="24"/>
          <w:szCs w:val="24"/>
        </w:rPr>
        <w:t xml:space="preserve">Lactate levels were elevated </w:t>
      </w:r>
      <w:r w:rsidR="004221C3" w:rsidRPr="00D85CC9">
        <w:rPr>
          <w:rFonts w:ascii="Book Antiqua" w:hAnsi="Book Antiqua" w:cs="Times New Roman"/>
          <w:sz w:val="24"/>
          <w:szCs w:val="24"/>
        </w:rPr>
        <w:t>(2.5</w:t>
      </w:r>
      <w:r w:rsidR="00416F0E">
        <w:rPr>
          <w:rFonts w:ascii="Book Antiqua" w:hAnsi="Book Antiqua" w:cs="Times New Roman" w:hint="eastAsia"/>
          <w:sz w:val="24"/>
          <w:szCs w:val="24"/>
          <w:lang w:eastAsia="zh-CN"/>
        </w:rPr>
        <w:t xml:space="preserve"> </w:t>
      </w:r>
      <w:proofErr w:type="spellStart"/>
      <w:r w:rsidR="003561AB" w:rsidRPr="00D85CC9">
        <w:rPr>
          <w:rFonts w:ascii="Book Antiqua" w:hAnsi="Book Antiqua" w:cs="Times New Roman"/>
          <w:sz w:val="24"/>
          <w:szCs w:val="24"/>
        </w:rPr>
        <w:t>mmol</w:t>
      </w:r>
      <w:proofErr w:type="spellEnd"/>
      <w:r w:rsidR="003561AB" w:rsidRPr="00D85CC9">
        <w:rPr>
          <w:rFonts w:ascii="Book Antiqua" w:hAnsi="Book Antiqua" w:cs="Times New Roman"/>
          <w:sz w:val="24"/>
          <w:szCs w:val="24"/>
        </w:rPr>
        <w:t>/L</w:t>
      </w:r>
      <w:r w:rsidR="004221C3" w:rsidRPr="00D85CC9">
        <w:rPr>
          <w:rFonts w:ascii="Book Antiqua" w:hAnsi="Book Antiqua" w:cs="Times New Roman"/>
          <w:sz w:val="24"/>
          <w:szCs w:val="24"/>
        </w:rPr>
        <w:t>)</w:t>
      </w:r>
      <w:r w:rsidRPr="00D85CC9">
        <w:rPr>
          <w:rFonts w:ascii="Book Antiqua" w:hAnsi="Book Antiqua" w:cs="Times New Roman"/>
          <w:sz w:val="24"/>
          <w:szCs w:val="24"/>
        </w:rPr>
        <w:t>,</w:t>
      </w:r>
      <w:r w:rsidR="004221C3" w:rsidRPr="00D85CC9">
        <w:rPr>
          <w:rFonts w:ascii="Book Antiqua" w:hAnsi="Book Antiqua" w:cs="Times New Roman"/>
          <w:sz w:val="24"/>
          <w:szCs w:val="24"/>
        </w:rPr>
        <w:t xml:space="preserve"> </w:t>
      </w:r>
      <w:r w:rsidR="003561AB" w:rsidRPr="00D85CC9">
        <w:rPr>
          <w:rFonts w:ascii="Book Antiqua" w:hAnsi="Book Antiqua" w:cs="Times New Roman"/>
          <w:sz w:val="24"/>
          <w:szCs w:val="24"/>
        </w:rPr>
        <w:t xml:space="preserve">as </w:t>
      </w:r>
      <w:r w:rsidRPr="00D85CC9">
        <w:rPr>
          <w:rFonts w:ascii="Book Antiqua" w:hAnsi="Book Antiqua" w:cs="Times New Roman"/>
          <w:sz w:val="24"/>
          <w:szCs w:val="24"/>
        </w:rPr>
        <w:t>were</w:t>
      </w:r>
      <w:r w:rsidR="00EA27E7" w:rsidRPr="00D85CC9">
        <w:rPr>
          <w:rFonts w:ascii="Book Antiqua" w:hAnsi="Book Antiqua" w:cs="Times New Roman"/>
          <w:sz w:val="24"/>
          <w:szCs w:val="24"/>
        </w:rPr>
        <w:t xml:space="preserve"> alanine transaminase</w:t>
      </w:r>
      <w:r w:rsidR="003561AB" w:rsidRPr="00D85CC9">
        <w:rPr>
          <w:rFonts w:ascii="Book Antiqua" w:hAnsi="Book Antiqua" w:cs="Times New Roman"/>
          <w:sz w:val="24"/>
          <w:szCs w:val="24"/>
        </w:rPr>
        <w:t xml:space="preserve"> </w:t>
      </w:r>
      <w:r w:rsidR="00EA27E7" w:rsidRPr="00D85CC9">
        <w:rPr>
          <w:rFonts w:ascii="Book Antiqua" w:hAnsi="Book Antiqua" w:cs="Times New Roman"/>
          <w:sz w:val="24"/>
          <w:szCs w:val="24"/>
        </w:rPr>
        <w:t>(</w:t>
      </w:r>
      <w:r w:rsidR="00836127" w:rsidRPr="00D85CC9">
        <w:rPr>
          <w:rFonts w:ascii="Book Antiqua" w:hAnsi="Book Antiqua" w:cs="Times New Roman"/>
          <w:sz w:val="24"/>
          <w:szCs w:val="24"/>
        </w:rPr>
        <w:t>ALT</w:t>
      </w:r>
      <w:r w:rsidR="00EA27E7" w:rsidRPr="00D85CC9">
        <w:rPr>
          <w:rFonts w:ascii="Book Antiqua" w:hAnsi="Book Antiqua" w:cs="Times New Roman"/>
          <w:sz w:val="24"/>
          <w:szCs w:val="24"/>
        </w:rPr>
        <w:t>)</w:t>
      </w:r>
      <w:r w:rsidR="00836127" w:rsidRPr="00D85CC9">
        <w:rPr>
          <w:rFonts w:ascii="Book Antiqua" w:hAnsi="Book Antiqua" w:cs="Times New Roman"/>
          <w:sz w:val="24"/>
          <w:szCs w:val="24"/>
        </w:rPr>
        <w:t xml:space="preserve"> and</w:t>
      </w:r>
      <w:r w:rsidR="00EA27E7" w:rsidRPr="00D85CC9">
        <w:rPr>
          <w:rFonts w:ascii="Book Antiqua" w:hAnsi="Book Antiqua" w:cs="Times New Roman"/>
          <w:sz w:val="24"/>
          <w:szCs w:val="24"/>
        </w:rPr>
        <w:t xml:space="preserve"> aspartate transaminase</w:t>
      </w:r>
      <w:r w:rsidR="00836127" w:rsidRPr="00D85CC9">
        <w:rPr>
          <w:rFonts w:ascii="Book Antiqua" w:hAnsi="Book Antiqua" w:cs="Times New Roman"/>
          <w:sz w:val="24"/>
          <w:szCs w:val="24"/>
        </w:rPr>
        <w:t xml:space="preserve"> </w:t>
      </w:r>
      <w:r w:rsidR="00EA27E7" w:rsidRPr="00D85CC9">
        <w:rPr>
          <w:rFonts w:ascii="Book Antiqua" w:hAnsi="Book Antiqua" w:cs="Times New Roman"/>
          <w:sz w:val="24"/>
          <w:szCs w:val="24"/>
        </w:rPr>
        <w:t>(</w:t>
      </w:r>
      <w:r w:rsidR="00836127" w:rsidRPr="00D85CC9">
        <w:rPr>
          <w:rFonts w:ascii="Book Antiqua" w:hAnsi="Book Antiqua" w:cs="Times New Roman"/>
          <w:sz w:val="24"/>
          <w:szCs w:val="24"/>
        </w:rPr>
        <w:t>AST</w:t>
      </w:r>
      <w:r w:rsidR="00EA27E7" w:rsidRPr="00D85CC9">
        <w:rPr>
          <w:rFonts w:ascii="Book Antiqua" w:hAnsi="Book Antiqua" w:cs="Times New Roman"/>
          <w:sz w:val="24"/>
          <w:szCs w:val="24"/>
        </w:rPr>
        <w:t>)</w:t>
      </w:r>
      <w:r w:rsidR="00836127" w:rsidRPr="00D85CC9">
        <w:rPr>
          <w:rFonts w:ascii="Book Antiqua" w:hAnsi="Book Antiqua" w:cs="Times New Roman"/>
          <w:sz w:val="24"/>
          <w:szCs w:val="24"/>
        </w:rPr>
        <w:t xml:space="preserve"> (439</w:t>
      </w:r>
      <w:r w:rsidR="00416F0E" w:rsidRPr="00D85CC9">
        <w:rPr>
          <w:rFonts w:ascii="Book Antiqua" w:hAnsi="Book Antiqua" w:cs="Times New Roman"/>
          <w:sz w:val="24"/>
          <w:szCs w:val="24"/>
        </w:rPr>
        <w:t xml:space="preserve"> U/L</w:t>
      </w:r>
      <w:r w:rsidR="00836127" w:rsidRPr="00D85CC9">
        <w:rPr>
          <w:rFonts w:ascii="Book Antiqua" w:hAnsi="Book Antiqua" w:cs="Times New Roman"/>
          <w:sz w:val="24"/>
          <w:szCs w:val="24"/>
        </w:rPr>
        <w:t xml:space="preserve"> and 305</w:t>
      </w:r>
      <w:r w:rsidR="003561AB" w:rsidRPr="00D85CC9">
        <w:rPr>
          <w:rFonts w:ascii="Book Antiqua" w:hAnsi="Book Antiqua" w:cs="Times New Roman"/>
          <w:sz w:val="24"/>
          <w:szCs w:val="24"/>
        </w:rPr>
        <w:t xml:space="preserve"> U/L</w:t>
      </w:r>
      <w:r w:rsidR="00814F5C" w:rsidRPr="00D85CC9">
        <w:rPr>
          <w:rFonts w:ascii="Book Antiqua" w:hAnsi="Book Antiqua" w:cs="Times New Roman"/>
          <w:sz w:val="24"/>
          <w:szCs w:val="24"/>
        </w:rPr>
        <w:t>,</w:t>
      </w:r>
      <w:r w:rsidR="00836127" w:rsidRPr="00D85CC9">
        <w:rPr>
          <w:rFonts w:ascii="Book Antiqua" w:hAnsi="Book Antiqua" w:cs="Times New Roman"/>
          <w:sz w:val="24"/>
          <w:szCs w:val="24"/>
        </w:rPr>
        <w:t xml:space="preserve"> respectively). </w:t>
      </w:r>
      <w:r w:rsidR="001C7EF4" w:rsidRPr="00D85CC9">
        <w:rPr>
          <w:rFonts w:ascii="Book Antiqua" w:hAnsi="Book Antiqua" w:cs="Times New Roman"/>
          <w:sz w:val="24"/>
          <w:szCs w:val="24"/>
        </w:rPr>
        <w:t xml:space="preserve">Lactate levels would later normalize and remain largely unremarkable. </w:t>
      </w:r>
      <w:r w:rsidR="00836127" w:rsidRPr="00D85CC9">
        <w:rPr>
          <w:rFonts w:ascii="Book Antiqua" w:hAnsi="Book Antiqua" w:cs="Times New Roman"/>
          <w:sz w:val="24"/>
          <w:szCs w:val="24"/>
        </w:rPr>
        <w:t>Transaminases remained elevated (ALT 602 U/L and AST 212 U/L) over the next 2 days.</w:t>
      </w:r>
    </w:p>
    <w:p w:rsidR="00836127" w:rsidRPr="00D85CC9" w:rsidRDefault="00836127"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lastRenderedPageBreak/>
        <w:t>On hospital day 4</w:t>
      </w:r>
      <w:r w:rsidR="00EA27E7" w:rsidRPr="00D85CC9">
        <w:rPr>
          <w:rFonts w:ascii="Book Antiqua" w:hAnsi="Book Antiqua" w:cs="Times New Roman"/>
          <w:sz w:val="24"/>
          <w:szCs w:val="24"/>
        </w:rPr>
        <w:t>,</w:t>
      </w:r>
      <w:r w:rsidRPr="00D85CC9">
        <w:rPr>
          <w:rFonts w:ascii="Book Antiqua" w:hAnsi="Book Antiqua" w:cs="Times New Roman"/>
          <w:sz w:val="24"/>
          <w:szCs w:val="24"/>
        </w:rPr>
        <w:t xml:space="preserve"> </w:t>
      </w:r>
      <w:r w:rsidR="003561AB" w:rsidRPr="00D85CC9">
        <w:rPr>
          <w:rFonts w:ascii="Book Antiqua" w:hAnsi="Book Antiqua" w:cs="Times New Roman"/>
          <w:sz w:val="24"/>
          <w:szCs w:val="24"/>
        </w:rPr>
        <w:t>the patient developed atrial fibrillation with rapid ventricular response which was poorly tolerated hemodynamically.  She received a 150</w:t>
      </w:r>
      <w:r w:rsidR="002132FC">
        <w:rPr>
          <w:rFonts w:ascii="Book Antiqua" w:hAnsi="Book Antiqua" w:cs="Times New Roman" w:hint="eastAsia"/>
          <w:sz w:val="24"/>
          <w:szCs w:val="24"/>
          <w:lang w:eastAsia="zh-CN"/>
        </w:rPr>
        <w:t xml:space="preserve"> </w:t>
      </w:r>
      <w:r w:rsidR="003561AB" w:rsidRPr="00D85CC9">
        <w:rPr>
          <w:rFonts w:ascii="Book Antiqua" w:hAnsi="Book Antiqua" w:cs="Times New Roman"/>
          <w:sz w:val="24"/>
          <w:szCs w:val="24"/>
        </w:rPr>
        <w:t xml:space="preserve">mg bolus of </w:t>
      </w:r>
      <w:proofErr w:type="spellStart"/>
      <w:r w:rsidR="003561AB"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w:t>
      </w:r>
      <w:r w:rsidR="003561AB" w:rsidRPr="00D85CC9">
        <w:rPr>
          <w:rFonts w:ascii="Book Antiqua" w:hAnsi="Book Antiqua" w:cs="Times New Roman"/>
          <w:sz w:val="24"/>
          <w:szCs w:val="24"/>
        </w:rPr>
        <w:t xml:space="preserve">which resulted in worsening hypotension requiring </w:t>
      </w:r>
      <w:proofErr w:type="spellStart"/>
      <w:r w:rsidR="003561AB" w:rsidRPr="00D85CC9">
        <w:rPr>
          <w:rFonts w:ascii="Book Antiqua" w:hAnsi="Book Antiqua" w:cs="Times New Roman"/>
          <w:sz w:val="24"/>
          <w:szCs w:val="24"/>
        </w:rPr>
        <w:t>pressor</w:t>
      </w:r>
      <w:proofErr w:type="spellEnd"/>
      <w:r w:rsidR="003561AB" w:rsidRPr="00D85CC9">
        <w:rPr>
          <w:rFonts w:ascii="Book Antiqua" w:hAnsi="Book Antiqua" w:cs="Times New Roman"/>
          <w:sz w:val="24"/>
          <w:szCs w:val="24"/>
        </w:rPr>
        <w:t xml:space="preserve"> support, but with no other signs of drug reaction.  </w:t>
      </w:r>
      <w:r w:rsidR="003A49DC" w:rsidRPr="00D85CC9">
        <w:rPr>
          <w:rFonts w:ascii="Book Antiqua" w:hAnsi="Book Antiqua" w:cs="Times New Roman"/>
          <w:sz w:val="24"/>
          <w:szCs w:val="24"/>
        </w:rPr>
        <w:t xml:space="preserve">No further </w:t>
      </w:r>
      <w:proofErr w:type="spellStart"/>
      <w:r w:rsidR="003A49DC" w:rsidRPr="00D85CC9">
        <w:rPr>
          <w:rFonts w:ascii="Book Antiqua" w:hAnsi="Book Antiqua" w:cs="Times New Roman"/>
          <w:sz w:val="24"/>
          <w:szCs w:val="24"/>
        </w:rPr>
        <w:t>amiodarone</w:t>
      </w:r>
      <w:proofErr w:type="spellEnd"/>
      <w:r w:rsidR="003A49DC" w:rsidRPr="00D85CC9">
        <w:rPr>
          <w:rFonts w:ascii="Book Antiqua" w:hAnsi="Book Antiqua" w:cs="Times New Roman"/>
          <w:sz w:val="24"/>
          <w:szCs w:val="24"/>
        </w:rPr>
        <w:t xml:space="preserve"> was given</w:t>
      </w:r>
      <w:r w:rsidR="003561AB" w:rsidRPr="00D85CC9">
        <w:rPr>
          <w:rFonts w:ascii="Book Antiqua" w:hAnsi="Book Antiqua" w:cs="Times New Roman"/>
          <w:sz w:val="24"/>
          <w:szCs w:val="24"/>
        </w:rPr>
        <w:t xml:space="preserve">.  Following this episode, there was </w:t>
      </w:r>
      <w:r w:rsidRPr="00D85CC9">
        <w:rPr>
          <w:rFonts w:ascii="Book Antiqua" w:hAnsi="Book Antiqua" w:cs="Times New Roman"/>
          <w:sz w:val="24"/>
          <w:szCs w:val="24"/>
        </w:rPr>
        <w:t xml:space="preserve">an acute elevation of ALT to 1730 U/L and AST to 1650 U/L, </w:t>
      </w:r>
      <w:r w:rsidR="003561AB" w:rsidRPr="00D85CC9">
        <w:rPr>
          <w:rFonts w:ascii="Book Antiqua" w:hAnsi="Book Antiqua" w:cs="Times New Roman"/>
          <w:sz w:val="24"/>
          <w:szCs w:val="24"/>
        </w:rPr>
        <w:t xml:space="preserve">which was believed secondary to </w:t>
      </w:r>
      <w:r w:rsidR="000F53B1" w:rsidRPr="00D85CC9">
        <w:rPr>
          <w:rFonts w:ascii="Book Antiqua" w:hAnsi="Book Antiqua" w:cs="Times New Roman"/>
          <w:sz w:val="24"/>
          <w:szCs w:val="24"/>
        </w:rPr>
        <w:t xml:space="preserve">transient </w:t>
      </w:r>
      <w:proofErr w:type="spellStart"/>
      <w:r w:rsidR="000F53B1" w:rsidRPr="00D85CC9">
        <w:rPr>
          <w:rFonts w:ascii="Book Antiqua" w:hAnsi="Book Antiqua" w:cs="Times New Roman"/>
          <w:sz w:val="24"/>
          <w:szCs w:val="24"/>
        </w:rPr>
        <w:t>hypoperfusion</w:t>
      </w:r>
      <w:proofErr w:type="spellEnd"/>
      <w:r w:rsidRPr="00D85CC9">
        <w:rPr>
          <w:rFonts w:ascii="Book Antiqua" w:hAnsi="Book Antiqua" w:cs="Times New Roman"/>
          <w:sz w:val="24"/>
          <w:szCs w:val="24"/>
        </w:rPr>
        <w:t xml:space="preserve">. </w:t>
      </w:r>
    </w:p>
    <w:p w:rsidR="00836127" w:rsidRPr="00D85CC9" w:rsidRDefault="00836127"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t xml:space="preserve">Over the next 12 </w:t>
      </w:r>
      <w:r w:rsidR="00E41EC9">
        <w:rPr>
          <w:rFonts w:ascii="Book Antiqua" w:hAnsi="Book Antiqua" w:cs="Times New Roman" w:hint="eastAsia"/>
          <w:sz w:val="24"/>
          <w:szCs w:val="24"/>
          <w:lang w:eastAsia="zh-CN"/>
        </w:rPr>
        <w:t>d</w:t>
      </w:r>
      <w:r w:rsidRPr="00D85CC9">
        <w:rPr>
          <w:rFonts w:ascii="Book Antiqua" w:hAnsi="Book Antiqua" w:cs="Times New Roman"/>
          <w:sz w:val="24"/>
          <w:szCs w:val="24"/>
        </w:rPr>
        <w:t>, liver enzymes spontaneously decreased to ALT and AST of 204 U/L and 56 U/L respectively. An evaluation including a viral hepatitis panel,</w:t>
      </w:r>
      <w:r w:rsidR="00012B87" w:rsidRPr="00D85CC9">
        <w:rPr>
          <w:rFonts w:ascii="Book Antiqua" w:hAnsi="Book Antiqua" w:cs="Times New Roman"/>
          <w:sz w:val="24"/>
          <w:szCs w:val="24"/>
        </w:rPr>
        <w:t xml:space="preserve"> anti</w:t>
      </w:r>
      <w:r w:rsidR="002132FC">
        <w:rPr>
          <w:rFonts w:ascii="Book Antiqua" w:hAnsi="Book Antiqua" w:cs="Times New Roman" w:hint="eastAsia"/>
          <w:sz w:val="24"/>
          <w:szCs w:val="24"/>
          <w:lang w:eastAsia="zh-CN"/>
        </w:rPr>
        <w:t>-</w:t>
      </w:r>
      <w:r w:rsidR="00012B87" w:rsidRPr="00D85CC9">
        <w:rPr>
          <w:rFonts w:ascii="Book Antiqua" w:hAnsi="Book Antiqua" w:cs="Times New Roman"/>
          <w:sz w:val="24"/>
          <w:szCs w:val="24"/>
        </w:rPr>
        <w:t>nuclear antibodies (</w:t>
      </w:r>
      <w:r w:rsidRPr="00D85CC9">
        <w:rPr>
          <w:rFonts w:ascii="Book Antiqua" w:hAnsi="Book Antiqua" w:cs="Times New Roman"/>
          <w:sz w:val="24"/>
          <w:szCs w:val="24"/>
        </w:rPr>
        <w:t>ANA</w:t>
      </w:r>
      <w:r w:rsidR="00012B87" w:rsidRPr="00D85CC9">
        <w:rPr>
          <w:rFonts w:ascii="Book Antiqua" w:hAnsi="Book Antiqua" w:cs="Times New Roman"/>
          <w:sz w:val="24"/>
          <w:szCs w:val="24"/>
        </w:rPr>
        <w:t>)</w:t>
      </w:r>
      <w:r w:rsidRPr="00D85CC9">
        <w:rPr>
          <w:rFonts w:ascii="Book Antiqua" w:hAnsi="Book Antiqua" w:cs="Times New Roman"/>
          <w:sz w:val="24"/>
          <w:szCs w:val="24"/>
        </w:rPr>
        <w:t>,</w:t>
      </w:r>
      <w:r w:rsidR="00012B87" w:rsidRPr="00D85CC9">
        <w:rPr>
          <w:rFonts w:ascii="Book Antiqua" w:hAnsi="Book Antiqua" w:cs="Times New Roman"/>
          <w:sz w:val="24"/>
          <w:szCs w:val="24"/>
        </w:rPr>
        <w:t xml:space="preserve"> </w:t>
      </w:r>
      <w:r w:rsidR="00BC1865" w:rsidRPr="00D85CC9">
        <w:rPr>
          <w:rFonts w:ascii="Book Antiqua" w:hAnsi="Book Antiqua" w:cs="Times New Roman"/>
          <w:sz w:val="24"/>
          <w:szCs w:val="24"/>
        </w:rPr>
        <w:t>smooth muscle antibody</w:t>
      </w:r>
      <w:r w:rsidRPr="00D85CC9">
        <w:rPr>
          <w:rFonts w:ascii="Book Antiqua" w:hAnsi="Book Antiqua" w:cs="Times New Roman"/>
          <w:sz w:val="24"/>
          <w:szCs w:val="24"/>
        </w:rPr>
        <w:t xml:space="preserve"> </w:t>
      </w:r>
      <w:r w:rsidR="00BC1865" w:rsidRPr="00D85CC9">
        <w:rPr>
          <w:rFonts w:ascii="Book Antiqua" w:hAnsi="Book Antiqua" w:cs="Times New Roman"/>
          <w:sz w:val="24"/>
          <w:szCs w:val="24"/>
        </w:rPr>
        <w:t>(</w:t>
      </w:r>
      <w:r w:rsidRPr="00D85CC9">
        <w:rPr>
          <w:rFonts w:ascii="Book Antiqua" w:hAnsi="Book Antiqua" w:cs="Times New Roman"/>
          <w:sz w:val="24"/>
          <w:szCs w:val="24"/>
        </w:rPr>
        <w:t>SMA</w:t>
      </w:r>
      <w:r w:rsidR="00BC1865" w:rsidRPr="00D85CC9">
        <w:rPr>
          <w:rFonts w:ascii="Book Antiqua" w:hAnsi="Book Antiqua" w:cs="Times New Roman"/>
          <w:sz w:val="24"/>
          <w:szCs w:val="24"/>
        </w:rPr>
        <w:t>)</w:t>
      </w:r>
      <w:r w:rsidRPr="00D85CC9">
        <w:rPr>
          <w:rFonts w:ascii="Book Antiqua" w:hAnsi="Book Antiqua" w:cs="Times New Roman"/>
          <w:sz w:val="24"/>
          <w:szCs w:val="24"/>
        </w:rPr>
        <w:t xml:space="preserve">, </w:t>
      </w:r>
      <w:r w:rsidR="00B22B93" w:rsidRPr="00D85CC9">
        <w:rPr>
          <w:rFonts w:ascii="Book Antiqua" w:hAnsi="Book Antiqua" w:cs="Times New Roman"/>
          <w:sz w:val="24"/>
          <w:szCs w:val="24"/>
        </w:rPr>
        <w:t>serum electrophoresis (</w:t>
      </w:r>
      <w:r w:rsidRPr="00D85CC9">
        <w:rPr>
          <w:rFonts w:ascii="Book Antiqua" w:hAnsi="Book Antiqua" w:cs="Times New Roman"/>
          <w:sz w:val="24"/>
          <w:szCs w:val="24"/>
        </w:rPr>
        <w:t>SPEP</w:t>
      </w:r>
      <w:r w:rsidR="00B22B93" w:rsidRPr="00D85CC9">
        <w:rPr>
          <w:rFonts w:ascii="Book Antiqua" w:hAnsi="Book Antiqua" w:cs="Times New Roman"/>
          <w:sz w:val="24"/>
          <w:szCs w:val="24"/>
        </w:rPr>
        <w:t>)</w:t>
      </w:r>
      <w:r w:rsidRPr="00D85CC9">
        <w:rPr>
          <w:rFonts w:ascii="Book Antiqua" w:hAnsi="Book Antiqua" w:cs="Times New Roman"/>
          <w:sz w:val="24"/>
          <w:szCs w:val="24"/>
        </w:rPr>
        <w:t>, anti</w:t>
      </w:r>
      <w:r w:rsidR="002132FC">
        <w:rPr>
          <w:rFonts w:ascii="Book Antiqua" w:hAnsi="Book Antiqua" w:cs="Times New Roman" w:hint="eastAsia"/>
          <w:sz w:val="24"/>
          <w:szCs w:val="24"/>
          <w:lang w:eastAsia="zh-CN"/>
        </w:rPr>
        <w:t>-</w:t>
      </w:r>
      <w:r w:rsidR="00B22B93" w:rsidRPr="00D85CC9">
        <w:rPr>
          <w:rFonts w:ascii="Book Antiqua" w:hAnsi="Book Antiqua" w:cs="Times New Roman"/>
          <w:sz w:val="24"/>
          <w:szCs w:val="24"/>
        </w:rPr>
        <w:t>liver kidney microsomal 1</w:t>
      </w:r>
      <w:r w:rsidRPr="00D85CC9">
        <w:rPr>
          <w:rFonts w:ascii="Book Antiqua" w:hAnsi="Book Antiqua" w:cs="Times New Roman"/>
          <w:sz w:val="24"/>
          <w:szCs w:val="24"/>
        </w:rPr>
        <w:t xml:space="preserve"> </w:t>
      </w:r>
      <w:r w:rsidR="00B22B93" w:rsidRPr="00D85CC9">
        <w:rPr>
          <w:rFonts w:ascii="Book Antiqua" w:hAnsi="Book Antiqua" w:cs="Times New Roman"/>
          <w:sz w:val="24"/>
          <w:szCs w:val="24"/>
        </w:rPr>
        <w:t>(</w:t>
      </w:r>
      <w:r w:rsidRPr="00D85CC9">
        <w:rPr>
          <w:rFonts w:ascii="Book Antiqua" w:hAnsi="Book Antiqua" w:cs="Times New Roman"/>
          <w:sz w:val="24"/>
          <w:szCs w:val="24"/>
        </w:rPr>
        <w:t>LKM1</w:t>
      </w:r>
      <w:r w:rsidR="00B22B93" w:rsidRPr="00D85CC9">
        <w:rPr>
          <w:rFonts w:ascii="Book Antiqua" w:hAnsi="Book Antiqua" w:cs="Times New Roman"/>
          <w:sz w:val="24"/>
          <w:szCs w:val="24"/>
        </w:rPr>
        <w:t>)</w:t>
      </w:r>
      <w:r w:rsidRPr="00D85CC9">
        <w:rPr>
          <w:rFonts w:ascii="Book Antiqua" w:hAnsi="Book Antiqua" w:cs="Times New Roman"/>
          <w:sz w:val="24"/>
          <w:szCs w:val="24"/>
        </w:rPr>
        <w:t xml:space="preserve"> and duplex ultrasound were negative. </w:t>
      </w:r>
      <w:r w:rsidR="000F53B1" w:rsidRPr="00D85CC9">
        <w:rPr>
          <w:rFonts w:ascii="Book Antiqua" w:hAnsi="Book Antiqua" w:cs="Times New Roman"/>
          <w:sz w:val="24"/>
          <w:szCs w:val="24"/>
        </w:rPr>
        <w:t xml:space="preserve"> Cardiac catheterization revealed no significant obstructive coronary disease.</w:t>
      </w:r>
    </w:p>
    <w:p w:rsidR="00836127" w:rsidRPr="00D85CC9" w:rsidRDefault="003A49DC"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t>The</w:t>
      </w:r>
      <w:r w:rsidR="000F53B1" w:rsidRPr="00D85CC9">
        <w:rPr>
          <w:rFonts w:ascii="Book Antiqua" w:hAnsi="Book Antiqua" w:cs="Times New Roman"/>
          <w:sz w:val="24"/>
          <w:szCs w:val="24"/>
        </w:rPr>
        <w:t xml:space="preserve"> </w:t>
      </w:r>
      <w:r w:rsidRPr="00D85CC9">
        <w:rPr>
          <w:rFonts w:ascii="Book Antiqua" w:hAnsi="Book Antiqua" w:cs="Times New Roman"/>
          <w:sz w:val="24"/>
          <w:szCs w:val="24"/>
        </w:rPr>
        <w:t xml:space="preserve">patient’s respiratory and clinical status improved during this time. </w:t>
      </w:r>
      <w:r w:rsidR="000F53B1" w:rsidRPr="00D85CC9">
        <w:rPr>
          <w:rFonts w:ascii="Book Antiqua" w:hAnsi="Book Antiqua" w:cs="Times New Roman"/>
          <w:sz w:val="24"/>
          <w:szCs w:val="24"/>
        </w:rPr>
        <w:t xml:space="preserve"> </w:t>
      </w:r>
      <w:r w:rsidRPr="00D85CC9">
        <w:rPr>
          <w:rFonts w:ascii="Book Antiqua" w:hAnsi="Book Antiqua" w:cs="Times New Roman"/>
          <w:sz w:val="24"/>
          <w:szCs w:val="24"/>
        </w:rPr>
        <w:t>H</w:t>
      </w:r>
      <w:r w:rsidR="000F53B1" w:rsidRPr="00D85CC9">
        <w:rPr>
          <w:rFonts w:ascii="Book Antiqua" w:hAnsi="Book Antiqua" w:cs="Times New Roman"/>
          <w:sz w:val="24"/>
          <w:szCs w:val="24"/>
        </w:rPr>
        <w:t xml:space="preserve">owever, </w:t>
      </w:r>
      <w:r w:rsidRPr="00D85CC9">
        <w:rPr>
          <w:rFonts w:ascii="Book Antiqua" w:hAnsi="Book Antiqua" w:cs="Times New Roman"/>
          <w:sz w:val="24"/>
          <w:szCs w:val="24"/>
        </w:rPr>
        <w:t xml:space="preserve">she remained </w:t>
      </w:r>
      <w:r w:rsidR="000F53B1" w:rsidRPr="00D85CC9">
        <w:rPr>
          <w:rFonts w:ascii="Book Antiqua" w:hAnsi="Book Antiqua" w:cs="Times New Roman"/>
          <w:sz w:val="24"/>
          <w:szCs w:val="24"/>
        </w:rPr>
        <w:t>in atrial fibrillation with rapid ventricular rates refractory to beta blockers and digoxin.</w:t>
      </w:r>
      <w:r w:rsidR="002132FC">
        <w:rPr>
          <w:rFonts w:ascii="Book Antiqua" w:hAnsi="Book Antiqua" w:cs="Times New Roman" w:hint="eastAsia"/>
          <w:sz w:val="24"/>
          <w:szCs w:val="24"/>
          <w:lang w:eastAsia="zh-CN"/>
        </w:rPr>
        <w:t xml:space="preserve"> </w:t>
      </w:r>
      <w:r w:rsidR="00836127" w:rsidRPr="00D85CC9">
        <w:rPr>
          <w:rFonts w:ascii="Book Antiqua" w:hAnsi="Book Antiqua" w:cs="Times New Roman"/>
          <w:sz w:val="24"/>
          <w:szCs w:val="24"/>
        </w:rPr>
        <w:t xml:space="preserve">On hospital day 17, </w:t>
      </w:r>
      <w:r w:rsidRPr="00D85CC9">
        <w:rPr>
          <w:rFonts w:ascii="Book Antiqua" w:hAnsi="Book Antiqua" w:cs="Times New Roman"/>
          <w:sz w:val="24"/>
          <w:szCs w:val="24"/>
        </w:rPr>
        <w:t>after</w:t>
      </w:r>
      <w:r w:rsidR="003E36D8" w:rsidRPr="00D85CC9">
        <w:rPr>
          <w:rFonts w:ascii="Book Antiqua" w:hAnsi="Book Antiqua" w:cs="Times New Roman"/>
          <w:sz w:val="24"/>
          <w:szCs w:val="24"/>
        </w:rPr>
        <w:t xml:space="preserve"> a</w:t>
      </w:r>
      <w:r w:rsidR="007009F8" w:rsidRPr="00D85CC9">
        <w:rPr>
          <w:rFonts w:ascii="Book Antiqua" w:hAnsi="Book Antiqua" w:cs="Times New Roman"/>
          <w:sz w:val="24"/>
          <w:szCs w:val="24"/>
        </w:rPr>
        <w:t xml:space="preserve"> </w:t>
      </w:r>
      <w:proofErr w:type="spellStart"/>
      <w:r w:rsidR="007009F8" w:rsidRPr="00D85CC9">
        <w:rPr>
          <w:rFonts w:ascii="Book Antiqua" w:hAnsi="Book Antiqua" w:cs="Times New Roman"/>
          <w:sz w:val="24"/>
          <w:szCs w:val="24"/>
        </w:rPr>
        <w:t>transesophageal</w:t>
      </w:r>
      <w:proofErr w:type="spellEnd"/>
      <w:r w:rsidR="007009F8" w:rsidRPr="00D85CC9">
        <w:rPr>
          <w:rFonts w:ascii="Book Antiqua" w:hAnsi="Book Antiqua" w:cs="Times New Roman"/>
          <w:sz w:val="24"/>
          <w:szCs w:val="24"/>
        </w:rPr>
        <w:t xml:space="preserve"> echocardiography</w:t>
      </w:r>
      <w:r w:rsidRPr="00D85CC9">
        <w:rPr>
          <w:rFonts w:ascii="Book Antiqua" w:hAnsi="Book Antiqua" w:cs="Times New Roman"/>
          <w:sz w:val="24"/>
          <w:szCs w:val="24"/>
        </w:rPr>
        <w:t xml:space="preserve"> guided cardioversion</w:t>
      </w:r>
      <w:r w:rsidR="002844EB" w:rsidRPr="00D85CC9">
        <w:rPr>
          <w:rFonts w:ascii="Book Antiqua" w:hAnsi="Book Antiqua" w:cs="Times New Roman"/>
          <w:sz w:val="24"/>
          <w:szCs w:val="24"/>
        </w:rPr>
        <w:t xml:space="preserve">, the patient </w:t>
      </w:r>
      <w:r w:rsidR="00836127" w:rsidRPr="00D85CC9">
        <w:rPr>
          <w:rFonts w:ascii="Book Antiqua" w:hAnsi="Book Antiqua" w:cs="Times New Roman"/>
          <w:sz w:val="24"/>
          <w:szCs w:val="24"/>
        </w:rPr>
        <w:t xml:space="preserve">received </w:t>
      </w:r>
      <w:r w:rsidRPr="00D85CC9">
        <w:rPr>
          <w:rFonts w:ascii="Book Antiqua" w:hAnsi="Book Antiqua" w:cs="Times New Roman"/>
          <w:sz w:val="24"/>
          <w:szCs w:val="24"/>
        </w:rPr>
        <w:t xml:space="preserve">a slow infusion of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(0.5</w:t>
      </w:r>
      <w:r w:rsidR="002132FC">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mg/min) without bolus during careful monitoring of her blood pressure</w:t>
      </w:r>
      <w:r w:rsidR="00836127" w:rsidRPr="00D85CC9">
        <w:rPr>
          <w:rFonts w:ascii="Book Antiqua" w:hAnsi="Book Antiqua" w:cs="Times New Roman"/>
          <w:sz w:val="24"/>
          <w:szCs w:val="24"/>
        </w:rPr>
        <w:t>.</w:t>
      </w:r>
      <w:r w:rsidR="002132FC">
        <w:rPr>
          <w:rFonts w:ascii="Book Antiqua" w:hAnsi="Book Antiqua" w:cs="Times New Roman" w:hint="eastAsia"/>
          <w:sz w:val="24"/>
          <w:szCs w:val="24"/>
          <w:lang w:eastAsia="zh-CN"/>
        </w:rPr>
        <w:t xml:space="preserve"> </w:t>
      </w:r>
      <w:r w:rsidR="002844EB" w:rsidRPr="00D85CC9">
        <w:rPr>
          <w:rFonts w:ascii="Book Antiqua" w:hAnsi="Book Antiqua" w:cs="Times New Roman"/>
          <w:sz w:val="24"/>
          <w:szCs w:val="24"/>
        </w:rPr>
        <w:t xml:space="preserve">She received </w:t>
      </w:r>
      <w:r w:rsidR="00E85E50" w:rsidRPr="00D85CC9">
        <w:rPr>
          <w:rFonts w:ascii="Book Antiqua" w:hAnsi="Book Antiqua" w:cs="Times New Roman"/>
          <w:sz w:val="24"/>
          <w:szCs w:val="24"/>
        </w:rPr>
        <w:t>approximately 9</w:t>
      </w:r>
      <w:r w:rsidR="002844EB" w:rsidRPr="00D85CC9">
        <w:rPr>
          <w:rFonts w:ascii="Book Antiqua" w:hAnsi="Book Antiqua" w:cs="Times New Roman"/>
          <w:sz w:val="24"/>
          <w:szCs w:val="24"/>
        </w:rPr>
        <w:t>00</w:t>
      </w:r>
      <w:r w:rsidR="002132FC">
        <w:rPr>
          <w:rFonts w:ascii="Book Antiqua" w:hAnsi="Book Antiqua" w:cs="Times New Roman" w:hint="eastAsia"/>
          <w:sz w:val="24"/>
          <w:szCs w:val="24"/>
          <w:lang w:eastAsia="zh-CN"/>
        </w:rPr>
        <w:t xml:space="preserve"> </w:t>
      </w:r>
      <w:r w:rsidR="002844EB" w:rsidRPr="00D85CC9">
        <w:rPr>
          <w:rFonts w:ascii="Book Antiqua" w:hAnsi="Book Antiqua" w:cs="Times New Roman"/>
          <w:sz w:val="24"/>
          <w:szCs w:val="24"/>
        </w:rPr>
        <w:t xml:space="preserve">mg IV </w:t>
      </w:r>
      <w:proofErr w:type="spellStart"/>
      <w:r w:rsidR="002844EB" w:rsidRPr="00D85CC9">
        <w:rPr>
          <w:rFonts w:ascii="Book Antiqua" w:hAnsi="Book Antiqua" w:cs="Times New Roman"/>
          <w:sz w:val="24"/>
          <w:szCs w:val="24"/>
        </w:rPr>
        <w:t>amiodarone</w:t>
      </w:r>
      <w:proofErr w:type="spellEnd"/>
      <w:r w:rsidR="002844EB" w:rsidRPr="00D85CC9">
        <w:rPr>
          <w:rFonts w:ascii="Book Antiqua" w:hAnsi="Book Antiqua" w:cs="Times New Roman"/>
          <w:sz w:val="24"/>
          <w:szCs w:val="24"/>
        </w:rPr>
        <w:t xml:space="preserve"> </w:t>
      </w:r>
      <w:r w:rsidR="00193554" w:rsidRPr="00D85CC9">
        <w:rPr>
          <w:rFonts w:ascii="Book Antiqua" w:hAnsi="Book Antiqua" w:cs="Times New Roman"/>
          <w:sz w:val="24"/>
          <w:szCs w:val="24"/>
        </w:rPr>
        <w:t>overnight and n</w:t>
      </w:r>
      <w:r w:rsidR="002844EB" w:rsidRPr="00D85CC9">
        <w:rPr>
          <w:rFonts w:ascii="Book Antiqua" w:hAnsi="Book Antiqua" w:cs="Times New Roman"/>
          <w:sz w:val="24"/>
          <w:szCs w:val="24"/>
        </w:rPr>
        <w:t xml:space="preserve">o hypotension was observed. </w:t>
      </w:r>
      <w:r w:rsidR="0065297F" w:rsidRPr="00D85CC9">
        <w:rPr>
          <w:rFonts w:ascii="Book Antiqua" w:hAnsi="Book Antiqua" w:cs="Times New Roman"/>
          <w:sz w:val="24"/>
          <w:szCs w:val="24"/>
        </w:rPr>
        <w:t xml:space="preserve">IV </w:t>
      </w:r>
      <w:proofErr w:type="spellStart"/>
      <w:r w:rsidR="0065297F" w:rsidRPr="00D85CC9">
        <w:rPr>
          <w:rFonts w:ascii="Book Antiqua" w:hAnsi="Book Antiqua" w:cs="Times New Roman"/>
          <w:sz w:val="24"/>
          <w:szCs w:val="24"/>
        </w:rPr>
        <w:t>amiodarone</w:t>
      </w:r>
      <w:proofErr w:type="spellEnd"/>
      <w:r w:rsidR="0065297F" w:rsidRPr="00D85CC9">
        <w:rPr>
          <w:rFonts w:ascii="Book Antiqua" w:hAnsi="Book Antiqua" w:cs="Times New Roman"/>
          <w:sz w:val="24"/>
          <w:szCs w:val="24"/>
        </w:rPr>
        <w:t xml:space="preserve"> was then stopped due to nausea, but a</w:t>
      </w:r>
      <w:r w:rsidR="00836127" w:rsidRPr="00D85CC9">
        <w:rPr>
          <w:rFonts w:ascii="Book Antiqua" w:hAnsi="Book Antiqua" w:cs="Times New Roman"/>
          <w:sz w:val="24"/>
          <w:szCs w:val="24"/>
        </w:rPr>
        <w:t xml:space="preserve">nother 3 doses of 200 mg of oral </w:t>
      </w:r>
      <w:proofErr w:type="spellStart"/>
      <w:r w:rsidR="00836127" w:rsidRPr="00D85CC9">
        <w:rPr>
          <w:rFonts w:ascii="Book Antiqua" w:hAnsi="Book Antiqua" w:cs="Times New Roman"/>
          <w:sz w:val="24"/>
          <w:szCs w:val="24"/>
        </w:rPr>
        <w:t>amiodarone</w:t>
      </w:r>
      <w:proofErr w:type="spellEnd"/>
      <w:r w:rsidR="00836127" w:rsidRPr="00D85CC9">
        <w:rPr>
          <w:rFonts w:ascii="Book Antiqua" w:hAnsi="Book Antiqua" w:cs="Times New Roman"/>
          <w:sz w:val="24"/>
          <w:szCs w:val="24"/>
        </w:rPr>
        <w:t xml:space="preserve"> were administered the next day. In the next 5 days, her transaminases again rose quickly and significantly in a stepwise manner. On day 23, her ALT and AST were 1541 U/L and 3994 U/L. </w:t>
      </w:r>
      <w:r w:rsidR="004B63AD" w:rsidRPr="00D85CC9">
        <w:rPr>
          <w:rFonts w:ascii="Book Antiqua" w:hAnsi="Book Antiqua" w:cs="Times New Roman"/>
          <w:sz w:val="24"/>
          <w:szCs w:val="24"/>
        </w:rPr>
        <w:t xml:space="preserve"> Aside from occasional low dose acetaminophen</w:t>
      </w:r>
      <w:r w:rsidR="00B20E00" w:rsidRPr="00D85CC9">
        <w:rPr>
          <w:rFonts w:ascii="Book Antiqua" w:hAnsi="Book Antiqua" w:cs="Times New Roman"/>
          <w:sz w:val="24"/>
          <w:szCs w:val="24"/>
        </w:rPr>
        <w:t xml:space="preserve"> (APAP), </w:t>
      </w:r>
      <w:r w:rsidR="004B63AD" w:rsidRPr="00D85CC9">
        <w:rPr>
          <w:rFonts w:ascii="Book Antiqua" w:hAnsi="Book Antiqua" w:cs="Times New Roman"/>
          <w:sz w:val="24"/>
          <w:szCs w:val="24"/>
        </w:rPr>
        <w:t>total dose 3900 mg in a 48 hour pe</w:t>
      </w:r>
      <w:r w:rsidR="00B20E00" w:rsidRPr="00D85CC9">
        <w:rPr>
          <w:rFonts w:ascii="Book Antiqua" w:hAnsi="Book Antiqua" w:cs="Times New Roman"/>
          <w:sz w:val="24"/>
          <w:szCs w:val="24"/>
        </w:rPr>
        <w:t>riod between days 18 and day 20</w:t>
      </w:r>
      <w:r w:rsidR="004B63AD" w:rsidRPr="00D85CC9">
        <w:rPr>
          <w:rFonts w:ascii="Book Antiqua" w:hAnsi="Book Antiqua" w:cs="Times New Roman"/>
          <w:sz w:val="24"/>
          <w:szCs w:val="24"/>
        </w:rPr>
        <w:t>, she was not on any other hepatotoxic medications. No acetaminophen was given after day 20. A liver biopsy was not done.</w:t>
      </w:r>
    </w:p>
    <w:p w:rsidR="00836127" w:rsidRPr="00D85CC9" w:rsidRDefault="00836127"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t>IV</w:t>
      </w:r>
      <w:r w:rsidR="007009F8" w:rsidRPr="00D85CC9">
        <w:rPr>
          <w:rFonts w:ascii="Book Antiqua" w:hAnsi="Book Antiqua" w:cs="Times New Roman"/>
          <w:sz w:val="24"/>
          <w:szCs w:val="24"/>
        </w:rPr>
        <w:t xml:space="preserve"> </w:t>
      </w:r>
      <w:r w:rsidRPr="00D85CC9">
        <w:rPr>
          <w:rFonts w:ascii="Book Antiqua" w:hAnsi="Book Antiqua" w:cs="Times New Roman"/>
          <w:sz w:val="24"/>
          <w:szCs w:val="24"/>
        </w:rPr>
        <w:t>NAC, 300</w:t>
      </w:r>
      <w:r w:rsidR="00BD2469">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mg/kg, was then administered over 21 h</w:t>
      </w:r>
      <w:r w:rsidR="002132FC">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using the standard</w:t>
      </w:r>
      <w:r w:rsidR="007009F8" w:rsidRPr="00D85CC9">
        <w:rPr>
          <w:rFonts w:ascii="Book Antiqua" w:hAnsi="Book Antiqua" w:cs="Times New Roman"/>
          <w:sz w:val="24"/>
          <w:szCs w:val="24"/>
        </w:rPr>
        <w:t xml:space="preserve"> Food and Drug Administration (</w:t>
      </w:r>
      <w:r w:rsidRPr="00D85CC9">
        <w:rPr>
          <w:rFonts w:ascii="Book Antiqua" w:hAnsi="Book Antiqua" w:cs="Times New Roman"/>
          <w:sz w:val="24"/>
          <w:szCs w:val="24"/>
        </w:rPr>
        <w:t>FDA</w:t>
      </w:r>
      <w:r w:rsidR="007009F8" w:rsidRPr="00D85CC9">
        <w:rPr>
          <w:rFonts w:ascii="Book Antiqua" w:hAnsi="Book Antiqua" w:cs="Times New Roman"/>
          <w:sz w:val="24"/>
          <w:szCs w:val="24"/>
        </w:rPr>
        <w:t>)</w:t>
      </w:r>
      <w:r w:rsidRPr="00D85CC9">
        <w:rPr>
          <w:rFonts w:ascii="Book Antiqua" w:hAnsi="Book Antiqua" w:cs="Times New Roman"/>
          <w:sz w:val="24"/>
          <w:szCs w:val="24"/>
        </w:rPr>
        <w:t xml:space="preserve"> approved acetaminophen protocol. After 12 h</w:t>
      </w:r>
      <w:r w:rsidR="002132FC">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of NAC, her AST fell by 50% to 1958 U/L. Twenty</w:t>
      </w:r>
      <w:r w:rsidR="002132FC">
        <w:rPr>
          <w:rFonts w:ascii="Book Antiqua" w:hAnsi="Book Antiqua" w:cs="Times New Roman" w:hint="eastAsia"/>
          <w:sz w:val="24"/>
          <w:szCs w:val="24"/>
          <w:lang w:eastAsia="zh-CN"/>
        </w:rPr>
        <w:t>-</w:t>
      </w:r>
      <w:r w:rsidRPr="00D85CC9">
        <w:rPr>
          <w:rFonts w:ascii="Book Antiqua" w:hAnsi="Book Antiqua" w:cs="Times New Roman"/>
          <w:sz w:val="24"/>
          <w:szCs w:val="24"/>
        </w:rPr>
        <w:t>four hours later the AST fell to 851 U/L, representing an 80% decrease</w:t>
      </w:r>
      <w:r w:rsidR="002132FC">
        <w:rPr>
          <w:rFonts w:ascii="Book Antiqua" w:hAnsi="Book Antiqua" w:cs="Times New Roman" w:hint="eastAsia"/>
          <w:sz w:val="24"/>
          <w:szCs w:val="24"/>
          <w:lang w:eastAsia="zh-CN"/>
        </w:rPr>
        <w:t xml:space="preserve"> (</w:t>
      </w:r>
      <w:r w:rsidR="002E3B37" w:rsidRPr="00D85CC9">
        <w:rPr>
          <w:rFonts w:ascii="Book Antiqua" w:hAnsi="Book Antiqua" w:cs="Times New Roman"/>
          <w:sz w:val="24"/>
          <w:szCs w:val="24"/>
        </w:rPr>
        <w:t>Figure 1</w:t>
      </w:r>
      <w:r w:rsidR="002132FC">
        <w:rPr>
          <w:rFonts w:ascii="Book Antiqua" w:hAnsi="Book Antiqua" w:cs="Times New Roman" w:hint="eastAsia"/>
          <w:sz w:val="24"/>
          <w:szCs w:val="24"/>
          <w:lang w:eastAsia="zh-CN"/>
        </w:rPr>
        <w:t>)</w:t>
      </w:r>
      <w:r w:rsidR="002E3B37" w:rsidRPr="00D85CC9">
        <w:rPr>
          <w:rFonts w:ascii="Book Antiqua" w:hAnsi="Book Antiqua" w:cs="Times New Roman"/>
          <w:sz w:val="24"/>
          <w:szCs w:val="24"/>
        </w:rPr>
        <w:t xml:space="preserve">. </w:t>
      </w:r>
    </w:p>
    <w:p w:rsidR="00836127" w:rsidRDefault="0083612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t xml:space="preserve">Over the next 8 </w:t>
      </w:r>
      <w:r w:rsidR="00FC130E">
        <w:rPr>
          <w:rFonts w:ascii="Book Antiqua" w:hAnsi="Book Antiqua" w:cs="Times New Roman" w:hint="eastAsia"/>
          <w:sz w:val="24"/>
          <w:szCs w:val="24"/>
          <w:lang w:eastAsia="zh-CN"/>
        </w:rPr>
        <w:t>d</w:t>
      </w:r>
      <w:r w:rsidRPr="00D85CC9">
        <w:rPr>
          <w:rFonts w:ascii="Book Antiqua" w:hAnsi="Book Antiqua" w:cs="Times New Roman"/>
          <w:sz w:val="24"/>
          <w:szCs w:val="24"/>
        </w:rPr>
        <w:t xml:space="preserve">, the liver enzymes continued to decrease and day 34 (day of death) ALT and AST were 84 U/Land 142 U/L. However, her </w:t>
      </w:r>
      <w:r w:rsidR="001C7EF4" w:rsidRPr="00D85CC9">
        <w:rPr>
          <w:rFonts w:ascii="Book Antiqua" w:hAnsi="Book Antiqua" w:cs="Times New Roman"/>
          <w:sz w:val="24"/>
          <w:szCs w:val="24"/>
        </w:rPr>
        <w:t xml:space="preserve">bilirubin </w:t>
      </w:r>
      <w:r w:rsidR="003E5ED3" w:rsidRPr="00D85CC9">
        <w:rPr>
          <w:rFonts w:ascii="Book Antiqua" w:hAnsi="Book Antiqua" w:cs="Times New Roman"/>
          <w:sz w:val="24"/>
          <w:szCs w:val="24"/>
        </w:rPr>
        <w:t xml:space="preserve">began to increase at </w:t>
      </w:r>
      <w:r w:rsidR="003E5ED3" w:rsidRPr="00D85CC9">
        <w:rPr>
          <w:rFonts w:ascii="Book Antiqua" w:hAnsi="Book Antiqua" w:cs="Times New Roman"/>
          <w:sz w:val="24"/>
          <w:szCs w:val="24"/>
        </w:rPr>
        <w:lastRenderedPageBreak/>
        <w:t xml:space="preserve">hospital day 27, and </w:t>
      </w:r>
      <w:r w:rsidRPr="00D85CC9">
        <w:rPr>
          <w:rFonts w:ascii="Book Antiqua" w:hAnsi="Book Antiqua" w:cs="Times New Roman"/>
          <w:sz w:val="24"/>
          <w:szCs w:val="24"/>
        </w:rPr>
        <w:t xml:space="preserve">direct and total bilirubin elevated to 11.75 mg/dl and 16.0 mg/dl respectively after the second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administration. Concurrently, she had developed </w:t>
      </w:r>
      <w:proofErr w:type="spellStart"/>
      <w:r w:rsidRPr="00D85CC9">
        <w:rPr>
          <w:rFonts w:ascii="Book Antiqua" w:hAnsi="Book Antiqua" w:cs="Times New Roman"/>
          <w:sz w:val="24"/>
          <w:szCs w:val="24"/>
        </w:rPr>
        <w:t>fungemia</w:t>
      </w:r>
      <w:proofErr w:type="spellEnd"/>
      <w:r w:rsidRPr="00D85CC9">
        <w:rPr>
          <w:rFonts w:ascii="Book Antiqua" w:hAnsi="Book Antiqua" w:cs="Times New Roman"/>
          <w:sz w:val="24"/>
          <w:szCs w:val="24"/>
        </w:rPr>
        <w:t xml:space="preserve"> and died of multi organ failure. </w:t>
      </w:r>
    </w:p>
    <w:p w:rsidR="00BD2469" w:rsidRPr="00D85CC9" w:rsidRDefault="00BD2469" w:rsidP="001630CF">
      <w:pPr>
        <w:snapToGrid w:val="0"/>
        <w:spacing w:after="0" w:line="360" w:lineRule="auto"/>
        <w:ind w:firstLineChars="100" w:firstLine="240"/>
        <w:jc w:val="both"/>
        <w:rPr>
          <w:rFonts w:ascii="Book Antiqua" w:hAnsi="Book Antiqua" w:cs="Times New Roman"/>
          <w:sz w:val="24"/>
          <w:szCs w:val="24"/>
          <w:lang w:eastAsia="zh-CN"/>
        </w:rPr>
      </w:pPr>
    </w:p>
    <w:p w:rsidR="00836127" w:rsidRPr="00D85CC9" w:rsidRDefault="00BD2469" w:rsidP="001630CF">
      <w:pPr>
        <w:snapToGrid w:val="0"/>
        <w:spacing w:after="0" w:line="360" w:lineRule="auto"/>
        <w:jc w:val="both"/>
        <w:rPr>
          <w:rFonts w:ascii="Book Antiqua" w:hAnsi="Book Antiqua" w:cs="Times New Roman"/>
          <w:b/>
          <w:sz w:val="24"/>
          <w:szCs w:val="24"/>
        </w:rPr>
      </w:pPr>
      <w:r w:rsidRPr="00D85CC9">
        <w:rPr>
          <w:rFonts w:ascii="Book Antiqua" w:hAnsi="Book Antiqua" w:cs="Times New Roman"/>
          <w:b/>
          <w:sz w:val="24"/>
          <w:szCs w:val="24"/>
        </w:rPr>
        <w:t>DISCUSSION</w:t>
      </w:r>
    </w:p>
    <w:p w:rsidR="00ED26F4" w:rsidRPr="00D85CC9" w:rsidRDefault="00836127"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 xml:space="preserve">Acute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toxicity, in contrast to chronic oral use, is relatively rare</w:t>
      </w:r>
      <w:r w:rsidR="00232E63" w:rsidRPr="00D85CC9">
        <w:rPr>
          <w:rFonts w:ascii="Book Antiqua" w:hAnsi="Book Antiqua" w:cs="Times New Roman"/>
          <w:sz w:val="24"/>
          <w:szCs w:val="24"/>
        </w:rPr>
        <w:fldChar w:fldCharType="begin" w:fldLock="1"/>
      </w:r>
      <w:r w:rsidR="00F96B40" w:rsidRPr="00D85CC9">
        <w:rPr>
          <w:rFonts w:ascii="Book Antiqua" w:hAnsi="Book Antiqua" w:cs="Times New Roman"/>
          <w:sz w:val="24"/>
          <w:szCs w:val="24"/>
        </w:rPr>
        <w:instrText>ADDIN CSL_CITATION {"mendeley": {"previouslyFormattedCitation": "&lt;sup&gt;[1]&lt;/sup&gt;"}, "citationItems": [{"uris": ["http://www.mendeley.com/documents/?uuid=8dbab690-4f00-475f-9c87-bb3ed3b988b8", "http://www.mendeley.com/documents/?uuid=53b1d936-db29-4413-abe4-550d5052aa3d", "http://www.mendeley.com/documents/?uuid=23e3510a-21bf-45ec-8cf9-1dc1baba6ccd"], "id": "ITEM-1", "itemData": {"issued": {"date-parts": [["0"]]}, "type": "webpage", "id": "ITEM-1", "title": "Amiodarone"}}], "properties": {"noteIndex": 0}, "schema": "https://github.com/citation-style-language/schema/raw/master/csl-citation.json"}</w:instrText>
      </w:r>
      <w:r w:rsidR="00232E63" w:rsidRPr="00D85CC9">
        <w:rPr>
          <w:rFonts w:ascii="Book Antiqua" w:hAnsi="Book Antiqua" w:cs="Times New Roman"/>
          <w:sz w:val="24"/>
          <w:szCs w:val="24"/>
        </w:rPr>
        <w:fldChar w:fldCharType="separate"/>
      </w:r>
      <w:r w:rsidR="00F96B40" w:rsidRPr="00D85CC9">
        <w:rPr>
          <w:rFonts w:ascii="Book Antiqua" w:hAnsi="Book Antiqua" w:cs="Times New Roman"/>
          <w:noProof/>
          <w:sz w:val="24"/>
          <w:szCs w:val="24"/>
          <w:vertAlign w:val="superscript"/>
        </w:rPr>
        <w:t>[1]</w:t>
      </w:r>
      <w:r w:rsidR="00232E63" w:rsidRPr="00D85CC9">
        <w:rPr>
          <w:rFonts w:ascii="Book Antiqua" w:hAnsi="Book Antiqua" w:cs="Times New Roman"/>
          <w:sz w:val="24"/>
          <w:szCs w:val="24"/>
        </w:rPr>
        <w:fldChar w:fldCharType="end"/>
      </w:r>
      <w:r w:rsidR="00BB6ED7" w:rsidRPr="00D85CC9">
        <w:rPr>
          <w:rFonts w:ascii="Book Antiqua" w:hAnsi="Book Antiqua" w:cs="Times New Roman"/>
          <w:sz w:val="24"/>
          <w:szCs w:val="24"/>
        </w:rPr>
        <w:t>.  G</w:t>
      </w:r>
      <w:r w:rsidR="0052008C" w:rsidRPr="00D85CC9">
        <w:rPr>
          <w:rFonts w:ascii="Book Antiqua" w:hAnsi="Book Antiqua" w:cs="Times New Roman"/>
          <w:sz w:val="24"/>
          <w:szCs w:val="24"/>
        </w:rPr>
        <w:t xml:space="preserve">luck </w:t>
      </w:r>
      <w:r w:rsidR="0052008C" w:rsidRPr="00D92A2B">
        <w:rPr>
          <w:rFonts w:ascii="Book Antiqua" w:hAnsi="Book Antiqua" w:cs="Times New Roman"/>
          <w:i/>
          <w:sz w:val="24"/>
          <w:szCs w:val="24"/>
        </w:rPr>
        <w:t>et al</w:t>
      </w:r>
      <w:r w:rsidR="000378BD" w:rsidRPr="00D85CC9">
        <w:rPr>
          <w:rFonts w:ascii="Book Antiqua" w:hAnsi="Book Antiqua" w:cs="Times New Roman"/>
          <w:sz w:val="24"/>
          <w:szCs w:val="24"/>
        </w:rPr>
        <w:fldChar w:fldCharType="begin" w:fldLock="1"/>
      </w:r>
      <w:r w:rsidR="000378BD" w:rsidRPr="00D85CC9">
        <w:rPr>
          <w:rFonts w:ascii="Book Antiqua" w:hAnsi="Book Antiqua" w:cs="Times New Roman"/>
          <w:sz w:val="24"/>
          <w:szCs w:val="24"/>
        </w:rPr>
        <w:instrText>ADDIN CSL_CITATION {"mendeley": {"previouslyFormattedCitation": "&lt;sup&gt;[2]&lt;/sup&gt;"}, "citationItems": [{"uris": ["http://www.mendeley.com/documents/?uuid=5c4a04c4-66cd-473a-9a85-b27efc743c2b", "http://www.mendeley.com/documents/?uuid=ab376a77-ee73-4fbe-b56a-ab59ea317929", "http://www.mendeley.com/documents/?uuid=e31fdab9-9788-4a91-a6f1-6b7ce630018d"], "id": "ITEM-1", "itemData": {"type": "article-journal", "author": [{"given": "Nathan", "dropping-particle": "", "suffix": "", "family": "Gluck", "parse-names": false, "non-dropping-particle": ""}, {"given": "Mordechai", "dropping-particle": "", "suffix": "", "family": "Fried", "parse-names": false, "non-dropping-particle": ""}, {"given": "Reuven", "dropping-particle": "", "suffix": "", "family": "Porat", "parse-names": false, "non-dropping-particle": ""}], "issued": {"date-parts": [["2011", "12"]]}, "abstract": "BACKGROUND: Hepatotoxicity due to intravenous amiodarone (HIVAD) is a rare side effect with a distinct pattern of enzyme disturbances compared to liver damage from oral amiodarone. Intravenous amiodarone is administered for acute arrhythmias often causing heart failure. The enzyme abnormalities and clinical setting are very similar to that of ischemic hepatitis, a far more common condition.\n\nOBJECTIVES: To ascertain if acute HIVAD exists as a separate entity or whether reported cases may be explained by ischemic hepatitis\n\nMETHODS: In this case-control retrospective study the files of hospitalized patients with markedly elevated aminotransferases were reviewed for the diagnoses of HIVAD or ischemic hepatitis. Medline was searched for published cases of HIVAD. Pooled data of all patients with HIVAD were compared to a control group with ischemic hepatitis.\n\nRESULTS: There were no significant differences in the clinical characteristics, laboratory results or histological findings between HIVAD and ischemic hepatitis patients.\n\nCONCLUSIONS: In our opinion, there is currently insufficient data to support the existence of distinct HIVAD, and ischemic hepatitis is a more probable diagnosis in most reported cases. Withdrawing amiodarone because of assumed hepatic damage could deprive patients of a life-saving therapy.", "ISSN": "1565-1088", "page": "748-52", "volume": "13", "container-title": "The Israel Medical Association journal : IMAJ", "title": "Acute amiodarone liver toxicity likely due to ischemic hepatitis.", "PMID": "22332445", "issue": "12", "id": "ITEM-1"}}], "properties": {"noteIndex": 0}, "schema": "https://github.com/citation-style-language/schema/raw/master/csl-citation.json"}</w:instrText>
      </w:r>
      <w:r w:rsidR="000378BD" w:rsidRPr="00D85CC9">
        <w:rPr>
          <w:rFonts w:ascii="Book Antiqua" w:hAnsi="Book Antiqua" w:cs="Times New Roman"/>
          <w:sz w:val="24"/>
          <w:szCs w:val="24"/>
        </w:rPr>
        <w:fldChar w:fldCharType="separate"/>
      </w:r>
      <w:r w:rsidR="000378BD" w:rsidRPr="00D85CC9">
        <w:rPr>
          <w:rFonts w:ascii="Book Antiqua" w:hAnsi="Book Antiqua" w:cs="Times New Roman"/>
          <w:noProof/>
          <w:sz w:val="24"/>
          <w:szCs w:val="24"/>
          <w:vertAlign w:val="superscript"/>
        </w:rPr>
        <w:t>[2]</w:t>
      </w:r>
      <w:r w:rsidR="000378BD" w:rsidRPr="00D85CC9">
        <w:rPr>
          <w:rFonts w:ascii="Book Antiqua" w:hAnsi="Book Antiqua" w:cs="Times New Roman"/>
          <w:sz w:val="24"/>
          <w:szCs w:val="24"/>
        </w:rPr>
        <w:fldChar w:fldCharType="end"/>
      </w:r>
      <w:r w:rsidR="0052008C" w:rsidRPr="00D85CC9">
        <w:rPr>
          <w:rFonts w:ascii="Book Antiqua" w:hAnsi="Book Antiqua" w:cs="Times New Roman"/>
          <w:sz w:val="24"/>
          <w:szCs w:val="24"/>
        </w:rPr>
        <w:t xml:space="preserve"> have recently even questioned its existence.</w:t>
      </w:r>
      <w:r w:rsidRPr="00D85CC9">
        <w:rPr>
          <w:rFonts w:ascii="Book Antiqua" w:hAnsi="Book Antiqua" w:cs="Times New Roman"/>
          <w:sz w:val="24"/>
          <w:szCs w:val="24"/>
        </w:rPr>
        <w:t xml:space="preserve"> However, a number of case reports have been described</w:t>
      </w:r>
      <w:r w:rsidR="0052008C" w:rsidRPr="00D85CC9">
        <w:rPr>
          <w:rFonts w:ascii="Book Antiqua" w:hAnsi="Book Antiqua" w:cs="Times New Roman"/>
          <w:sz w:val="24"/>
          <w:szCs w:val="24"/>
        </w:rPr>
        <w:t xml:space="preserve">. </w:t>
      </w:r>
      <w:r w:rsidRPr="00D85CC9">
        <w:rPr>
          <w:rFonts w:ascii="Book Antiqua" w:hAnsi="Book Antiqua" w:cs="Times New Roman"/>
          <w:sz w:val="24"/>
          <w:szCs w:val="24"/>
        </w:rPr>
        <w:t xml:space="preserve">Because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is often used in seriously ill patients for cardiac indications, it can be challenging to distinguish</w:t>
      </w:r>
      <w:r w:rsidR="00EE0B0F" w:rsidRPr="00D85CC9">
        <w:rPr>
          <w:rFonts w:ascii="Book Antiqua" w:hAnsi="Book Antiqua" w:cs="Times New Roman"/>
          <w:sz w:val="24"/>
          <w:szCs w:val="24"/>
        </w:rPr>
        <w:t xml:space="preserve"> </w:t>
      </w:r>
      <w:r w:rsidRPr="00D85CC9">
        <w:rPr>
          <w:rFonts w:ascii="Book Antiqua" w:hAnsi="Book Antiqua" w:cs="Times New Roman"/>
          <w:sz w:val="24"/>
          <w:szCs w:val="24"/>
        </w:rPr>
        <w:t xml:space="preserve">DILI from ischemic hepatitis from, for example, even transient hypotension or other co-morbid events. Moreover, as is the case in this report, liver histology is frequently not obtained, as these patients are sick and frequently are on anti-platelet agents or anticoagulation. Consistent with prior reports,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like ischemia, causes an acute and severe hepatitis. We believe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is most likely in our case as there was no significant evidence for hypotension and there was a re-challenge. </w:t>
      </w:r>
    </w:p>
    <w:p w:rsidR="00ED26F4" w:rsidRPr="00D85CC9" w:rsidRDefault="0083612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t xml:space="preserve">The etiology of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is unknown, but is thought to be considerably different from the more common chronic oral hepato</w:t>
      </w:r>
      <w:r w:rsidR="00697B60" w:rsidRPr="00D85CC9">
        <w:rPr>
          <w:rFonts w:ascii="Book Antiqua" w:hAnsi="Book Antiqua" w:cs="Times New Roman"/>
          <w:sz w:val="24"/>
          <w:szCs w:val="24"/>
        </w:rPr>
        <w:t>to</w:t>
      </w:r>
      <w:r w:rsidRPr="00D85CC9">
        <w:rPr>
          <w:rFonts w:ascii="Book Antiqua" w:hAnsi="Book Antiqua" w:cs="Times New Roman"/>
          <w:sz w:val="24"/>
          <w:szCs w:val="24"/>
        </w:rPr>
        <w:t>xicity. NAC is often used off-label for non-acetaminophen acute liver failure, including DILI in both adult and pediatric populations with mixed success</w:t>
      </w:r>
      <w:r w:rsidR="000476B3" w:rsidRPr="00D85CC9">
        <w:rPr>
          <w:rFonts w:ascii="Book Antiqua" w:hAnsi="Book Antiqua" w:cs="Times New Roman"/>
          <w:sz w:val="24"/>
          <w:szCs w:val="24"/>
        </w:rPr>
        <w:fldChar w:fldCharType="begin"/>
      </w:r>
      <w:r w:rsidR="00F96B40" w:rsidRPr="00D85CC9">
        <w:rPr>
          <w:rFonts w:ascii="Book Antiqua" w:hAnsi="Book Antiqua" w:cs="Times New Roman"/>
          <w:sz w:val="24"/>
          <w:szCs w:val="24"/>
        </w:rPr>
        <w:instrText>ADDIN CSL_CITATION {"mendeley": {"previouslyFormattedCitation": "&lt;sup&gt;[3,4]&lt;/sup&gt;"}, "citationItems": [{"uris": ["http://www.mendeley.com/documents/?uuid=5c07b8da-e680-44bd-bd08-71a45d641b77"], "id": "ITEM-1", "itemData": {"DOI": "10.1053/j.gastro.2009.06.006", "type": "article-journal", "author": [{"given": "William M", "dropping-particle": "", "suffix": "", "family": "Lee", "parse-names": false, "non-dropping-particle": ""}, {"given": "Linda S", "dropping-particle": "", "suffix": "", "family": "Hynan", "parse-names": false, "non-dropping-particle": ""}, {"given": "Lorenzo", "dropping-particle": "", "suffix": "", "family": "Rossaro", "parse-names": false, "non-dropping-particle": ""}, {"given": "Robert J", "dropping-particle": "", "suffix": "", "family": "Fontana", "parse-names": false, "non-dropping-particle": ""}, {"given": "R Todd", "dropping-particle": "", "suffix": "", "family": "Stravitz", "parse-names": false, "non-dropping-particle": ""}, {"given": "Anne M", "dropping-particle": "", "suffix": "", "family": "Larson", "parse-names": false, "non-dropping-particle": ""}, {"given": "Timothy J", "dropping-particle": "", "suffix": "", "family": "Davern", "parse-names": false, "non-dropping-particle": ""}, {"given": "Natalie G", "dropping-particle": "", "suffix": "", "family": "Murray", "parse-names": false, "non-dropping-particle": ""}, {"given": "Timothy", "dropping-particle": "", "suffix": "", "family": "McCashland", "parse-names": false, "non-dropping-particle": ""}, {"given": "Joan S", "dropping-particle": "", "suffix": "", "family": "Reisch", "parse-names": false, "non-dropping-particle": ""}, {"given": "Patricia R", "dropping-particle": "", "suffix": "", "family": "Robuck", "parse-names": false, "non-dropping-particle": ""}], "issued": {"date-parts": [["2009", "9"]]}, "abstract": "BACKGROUND &amp; AIMS: N-acetylcysteine (NAC), an antidote for acetaminophen poisoning, might benefit patients with non-acetaminophen-related acute liver failure.\n\nMETHODS: In a prospective, double-blind trial, acute liver failure patients without clinical or historical evidence of acetaminophen overdose were stratified by site and coma grade and assigned randomly to groups that were given NAC or placebo (dextrose) infusion for 72 hours. The primary outcome was overall survival at 3 weeks. Secondary outcomes included transplant-free survival and rate of transplantation.\n\nRESULTS: A total of 173 patients received NAC (n = 81) or placebo (n = 92). Overall survival at 3 weeks was 70% for patients given NAC and 66% for patients given placebo (1-sided P = .283). Transplant-free survival was significantly better for NAC patients (40%) than for those given placebo (27%; 1-sided P = .043). The benefits of transplant-free survival were confined to the 114 patients with coma grades I-II who received NAC (52% compared with 30% for placebo; 1-sided P = .010); transplant-free survival for the 59 patients with coma grades III-IV was 9% in those given NAC and 22% in those given placebo (1-sided P = .912). The transplantation rate was lower in the NAC group but was not significantly different between groups (32% vs 45%; P = .093). Intravenous NAC generally was well tolerated; only nausea and vomiting occurred significantly more frequently in the NAC group (14% vs 4%; P = .031).\n\nCONCLUSIONS: Intravenous NAC improves transplant-free survival in patients with early stage non-acetaminophen-related acute liver failure. Patients with advanced coma grades do not benefit from NAC and typically require emergency liver transplantation.", "ISSN": "1528-0012", "page": "856-64, 864.e1", "volume": "137", "container-title": "Gastroenterology", "title": "Intravenous N-acetylcysteine improves transplant-free survival in early stage non-acetaminophen acute liver failure.", "PMID": "19524577", "issue": "3", "id": "ITEM-1"}}, {"uris": ["http://www.mendeley.com/documents/?uuid=24a48c4b-7f20-43cc-b135-4f63af1ea046"], "id": "ITEM-2", "itemData": {"DOI": "10.1002/hep.26001", "type": "article-journal", "author": [{"given": "Robert H", "dropping-particle": "", "suffix": "", "family": "Squires", "parse-names": false, "non-dropping-particle": ""}, {"given": "Anil", "dropping-particle": "", "suffix": "", "family": "Dhawan", "parse-names": false, "non-dropping-particle": ""}, {"given": "Estella", "dropping-particle": "", "suffix": "", "family": "Alonso", "parse-names": false, "non-dropping-particle": ""}, {"given": "Michael R", "dropping-particle": "", "suffix": "", "family": "Narkewicz", "parse-names": false, "non-dropping-particle": ""}, {"given": "Benjamin L", "dropping-particle": "", "suffix": "", "family": "Shneider", "parse-names": false, "non-dropping-particle": ""}, {"given": "Norberto", "dropping-particle": "", "suffix": "", "family": "Rodriguez-Baez", "parse-names": false, "non-dropping-particle": ""}, {"given": "Dominic Dell", "dropping-particle": "", "suffix": "", "family": "Olio", "parse-names": false, "non-dropping-particle": ""}, {"given": "Saul", "dropping-particle": "", "suffix": "", "family": "Karpen", "parse-names": false, "non-dropping-particle": ""}, {"given": "John", "dropping-particle": "", "suffix": "", "family": "Bucuvalas", "parse-names": false, "non-dropping-particle": ""}, {"given": "Steven", "dropping-particle": "", "suffix": "", "family": "Lobritto", "parse-names": false, "non-dropping-particle": ""}, {"given": "Elizabeth", "dropping-particle": "", "suffix": "", "family": "Rand", "parse-names": false, "non-dropping-particle": ""}, {"given": "Philip", "dropping-particle": "", "suffix": "", "family": "Rosenthal", "parse-names": false, "non-dropping-particle": ""}, {"given": "Simon", "dropping-particle": "", "suffix": "", "family": "Horslen", "parse-names": false, "non-dropping-particle": ""}, {"given": "Vicky", "dropping-particle": "", "suffix": "", "family": "Ng", "parse-names": false, "non-dropping-particle": ""}, {"given": "Girish", "dropping-particle": "", "suffix": "", "family": "Subbarao", "parse-names": false, "non-dropping-particle": ""}, {"given": "Nanda", "dropping-particle": "", "suffix": "", "family": "Kerkar", "parse-names": false, "non-dropping-particle": ""}, {"given": "David", "dropping-particle": "", "suffix": "", "family": "Rudnick", "parse-names": false, "non-dropping-particle": ""}, {"given": "M James", "dropping-particle": "", "suffix": "", "family": "Lopez", "parse-names": false, "non-dropping-particle": ""}, {"given": "Kathleen", "dropping-particle": "", "suffix": "", "family": "Schwarz", "parse-names": false, "non-dropping-particle": ""}, {"given": "Rene", "dropping-particle": "", "suffix": "", "family": "Romero", "parse-names": false, "non-dropping-particle": ""}, {"given": "Scott", "dropping-particle": "", "suffix": "", "family": "Elisofon", "parse-names": false, "non-dropping-particle": ""}, {"given": "Edward", "dropping-particle": "", "suffix": "", "family": "Doo", "parse-names": false, "non-dropping-particle": ""}, {"given": "Patricia R", "dropping-particle": "", "suffix": "", "family": "Robuck", "parse-names": false, "non-dropping-particle": ""}, {"given": "Sharon", "dropping-particle": "", "suffix": "", "family": "Lawlor", "parse-names": false, "non-dropping-particle": ""}, {"given": "Steven H", "dropping-particle": "", "suffix": "", "family": "Belle", "parse-names": false, "non-dropping-particle": ""}], "issued": {"date-parts": [["2013", "4"]]}, "abstract": "UNLABELLED: N-acetylcysteine (NAC) was found to improve transplantation-free survival in only those adults with nonacetaminophen (non-APAP) acute liver failure (ALF) and grade 1-2 hepatic encephalopathy (HE). Because non-APAP ALF differs significantly between children and adults, the Pediatric Acute Liver Failure (PALF) Study Group evaluated NAC in non-APAP PALF. Children from birth through age 17 years with non-APAP ALF enrolled in the PALF registry were eligible to enter an adaptively allocated, doubly masked, placebo-controlled trial using a continuous intravenous infusion of NAC (150 mg/kg/day in 5% dextrose in water [D5W]) or placebo (D5W) for up to 7 days. The primary outcome was 1-year survival. Secondary outcomes included liver transplantation-free survival, liver transplantation (LTx), length of intensive care unit (ICU) and hospital stays, organ system failure, and maximum HE score. A total of 184 participants were enrolled in the trial with 92 in each arm. The 1-year survival did not differ significantly (P = 0.19) between the NAC (73%) and placebo (82%) treatment groups. The 1-year LTx-free survival was significantly lower (P = 0.03) in those who received NAC (35%) than those who received placebo (53%), particularly, but not significantly so, among those less than 2 years old with HE grade 0-1 (NAC 25%; placebo 60%; P = 0.0493). There were no significant differences between treatment arms for hospital or ICU length of stay, organ systems failing, or highest recorded grade of HE.\n\nCONCLUSION: NAC did not improve 1-year survival in non-APAP PALF. One-year LTx-free survival was significantly lower with NAC, particularly among those &lt;2 years old. These results do not support broad use of NAC in non-APAP PALF and emphasizes the importance of conducting controlled pediatric drug trials, regardless of results in adults.", "ISSN": "1527-3350", "page": "1542-9", "volume": "57", "container-title": "Hepatology (Baltimore, Md.)", "title": "Intravenous N-acetylcysteine in pediatric patients with nonacetaminophen acute liver failure: a placebo-controlled clinical trial.", "PMID": "22886633", "issue": "4", "id": "ITEM-2"}}], "properties": {"noteIndex": 0}, "schema": "https://github.com/citation-style-language/schema/raw/master/csl-citation.json"}</w:instrText>
      </w:r>
      <w:r w:rsidR="000476B3" w:rsidRPr="00D85CC9">
        <w:rPr>
          <w:rFonts w:ascii="Book Antiqua" w:hAnsi="Book Antiqua" w:cs="Times New Roman"/>
          <w:sz w:val="24"/>
          <w:szCs w:val="24"/>
        </w:rPr>
        <w:fldChar w:fldCharType="separate"/>
      </w:r>
      <w:r w:rsidR="00F96B40" w:rsidRPr="00D85CC9">
        <w:rPr>
          <w:rFonts w:ascii="Book Antiqua" w:hAnsi="Book Antiqua" w:cs="Times New Roman"/>
          <w:noProof/>
          <w:sz w:val="24"/>
          <w:szCs w:val="24"/>
          <w:vertAlign w:val="superscript"/>
        </w:rPr>
        <w:t>[3,4]</w:t>
      </w:r>
      <w:r w:rsidR="000476B3" w:rsidRPr="00D85CC9">
        <w:rPr>
          <w:rFonts w:ascii="Book Antiqua" w:hAnsi="Book Antiqua" w:cs="Times New Roman"/>
          <w:sz w:val="24"/>
          <w:szCs w:val="24"/>
        </w:rPr>
        <w:fldChar w:fldCharType="end"/>
      </w:r>
      <w:r w:rsidRPr="00D85CC9">
        <w:rPr>
          <w:rFonts w:ascii="Book Antiqua" w:hAnsi="Book Antiqua" w:cs="Times New Roman"/>
          <w:sz w:val="24"/>
          <w:szCs w:val="24"/>
        </w:rPr>
        <w:t xml:space="preserve">. </w:t>
      </w:r>
    </w:p>
    <w:p w:rsidR="00360AB5" w:rsidRPr="00D85CC9" w:rsidRDefault="002E3B3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t>We note in F</w:t>
      </w:r>
      <w:r w:rsidR="000F6DA9" w:rsidRPr="00D85CC9">
        <w:rPr>
          <w:rFonts w:ascii="Book Antiqua" w:hAnsi="Book Antiqua" w:cs="Times New Roman"/>
          <w:sz w:val="24"/>
          <w:szCs w:val="24"/>
        </w:rPr>
        <w:t>igu</w:t>
      </w:r>
      <w:r w:rsidR="000F6DA9" w:rsidRPr="00CA3FFF">
        <w:rPr>
          <w:rFonts w:ascii="Book Antiqua" w:hAnsi="Book Antiqua" w:cs="Times New Roman"/>
          <w:sz w:val="24"/>
          <w:szCs w:val="24"/>
        </w:rPr>
        <w:t>re 2</w:t>
      </w:r>
      <w:r w:rsidR="00386206" w:rsidRPr="00D85CC9">
        <w:rPr>
          <w:rFonts w:ascii="Book Antiqua" w:hAnsi="Book Antiqua" w:cs="Times New Roman"/>
          <w:sz w:val="24"/>
          <w:szCs w:val="24"/>
        </w:rPr>
        <w:fldChar w:fldCharType="begin" w:fldLock="1"/>
      </w:r>
      <w:r w:rsidR="00386206" w:rsidRPr="00D85CC9">
        <w:rPr>
          <w:rFonts w:ascii="Book Antiqua" w:hAnsi="Book Antiqua" w:cs="Times New Roman"/>
          <w:sz w:val="24"/>
          <w:szCs w:val="24"/>
        </w:rPr>
        <w:instrText>ADDIN CSL_CITATION {"mendeley": {"previouslyFormattedCitation": "&lt;sup&gt;[5]&lt;/sup&gt;"}, "citationItems": [{"uris": ["http://www.mendeley.com/documents/?uuid=ab1332e2-fa7a-4156-9887-27681b55d685", "http://www.mendeley.com/documents/?uuid=659a4505-67f0-4875-87ff-0e453bdc5156", "http://www.mendeley.com/documents/?uuid=1b7478b6-566d-4654-8d88-ce0a2b4abea3"], "id": "ITEM-1", "itemData": {"DOI": "10.1002/hep.26044", "type": "article-journal", "author": [{"given": "Nedim", "dropping-particle": "", "suffix": "", "family": "Had\u017ei\u0107", "parse-names": false, "non-dropping-particle": ""}], "issued": {"date-parts": [["2013", "4"]]}, "ISSN": "1527-3350", "page": "1297-300", "volume": "57", "container-title": "Hepatology (Baltimore, Md.)", "title": "Challenging the dogmas; the NAC tie.", "PMID": "22941945", "issue": "4", "id": "ITEM-1"}}], "properties": {"noteIndex": 0}, "schema": "https://github.com/citation-style-language/schema/raw/master/csl-citation.json"}</w:instrText>
      </w:r>
      <w:r w:rsidR="00386206" w:rsidRPr="00D85CC9">
        <w:rPr>
          <w:rFonts w:ascii="Book Antiqua" w:hAnsi="Book Antiqua" w:cs="Times New Roman"/>
          <w:sz w:val="24"/>
          <w:szCs w:val="24"/>
        </w:rPr>
        <w:fldChar w:fldCharType="separate"/>
      </w:r>
      <w:r w:rsidR="00386206" w:rsidRPr="00D85CC9">
        <w:rPr>
          <w:rFonts w:ascii="Book Antiqua" w:hAnsi="Book Antiqua" w:cs="Times New Roman"/>
          <w:noProof/>
          <w:sz w:val="24"/>
          <w:szCs w:val="24"/>
          <w:vertAlign w:val="superscript"/>
        </w:rPr>
        <w:t>[5</w:t>
      </w:r>
      <w:r w:rsidR="00386206">
        <w:rPr>
          <w:rFonts w:ascii="Book Antiqua" w:hAnsi="Book Antiqua" w:cs="Times New Roman" w:hint="eastAsia"/>
          <w:noProof/>
          <w:sz w:val="24"/>
          <w:szCs w:val="24"/>
          <w:vertAlign w:val="superscript"/>
          <w:lang w:eastAsia="zh-CN"/>
        </w:rPr>
        <w:t>-11</w:t>
      </w:r>
      <w:r w:rsidR="00386206" w:rsidRPr="00D85CC9">
        <w:rPr>
          <w:rFonts w:ascii="Book Antiqua" w:hAnsi="Book Antiqua" w:cs="Times New Roman"/>
          <w:noProof/>
          <w:sz w:val="24"/>
          <w:szCs w:val="24"/>
          <w:vertAlign w:val="superscript"/>
        </w:rPr>
        <w:t>]</w:t>
      </w:r>
      <w:r w:rsidR="00386206" w:rsidRPr="00D85CC9">
        <w:rPr>
          <w:rFonts w:ascii="Book Antiqua" w:hAnsi="Book Antiqua" w:cs="Times New Roman"/>
          <w:sz w:val="24"/>
          <w:szCs w:val="24"/>
        </w:rPr>
        <w:fldChar w:fldCharType="end"/>
      </w:r>
      <w:r w:rsidR="00836127" w:rsidRPr="00CA3FFF">
        <w:rPr>
          <w:rFonts w:ascii="Book Antiqua" w:hAnsi="Book Antiqua" w:cs="Times New Roman"/>
          <w:sz w:val="24"/>
          <w:szCs w:val="24"/>
        </w:rPr>
        <w:t xml:space="preserve"> that there are </w:t>
      </w:r>
      <w:r w:rsidR="002132FC" w:rsidRPr="00CA3FFF">
        <w:rPr>
          <w:rFonts w:ascii="Book Antiqua" w:hAnsi="Book Antiqua" w:cs="Times New Roman" w:hint="eastAsia"/>
          <w:sz w:val="24"/>
          <w:szCs w:val="24"/>
          <w:lang w:eastAsia="zh-CN"/>
        </w:rPr>
        <w:t>(</w:t>
      </w:r>
      <w:r w:rsidR="00836127" w:rsidRPr="00CA3FFF">
        <w:rPr>
          <w:rFonts w:ascii="Book Antiqua" w:hAnsi="Book Antiqua" w:cs="Times New Roman"/>
          <w:sz w:val="24"/>
          <w:szCs w:val="24"/>
        </w:rPr>
        <w:t xml:space="preserve">1) numerous putative non-exclusive mechanisms by which IV </w:t>
      </w:r>
      <w:proofErr w:type="spellStart"/>
      <w:r w:rsidR="00836127" w:rsidRPr="00CA3FFF">
        <w:rPr>
          <w:rFonts w:ascii="Book Antiqua" w:hAnsi="Book Antiqua" w:cs="Times New Roman"/>
          <w:sz w:val="24"/>
          <w:szCs w:val="24"/>
        </w:rPr>
        <w:t>amiodarone</w:t>
      </w:r>
      <w:proofErr w:type="spellEnd"/>
      <w:r w:rsidR="00836127" w:rsidRPr="00CA3FFF">
        <w:rPr>
          <w:rFonts w:ascii="Book Antiqua" w:hAnsi="Book Antiqua" w:cs="Times New Roman"/>
          <w:sz w:val="24"/>
          <w:szCs w:val="24"/>
        </w:rPr>
        <w:t xml:space="preserve"> might cause acute DILI</w:t>
      </w:r>
      <w:r w:rsidR="00CC4765">
        <w:rPr>
          <w:rFonts w:ascii="Book Antiqua" w:hAnsi="Book Antiqua" w:cs="Times New Roman" w:hint="eastAsia"/>
          <w:sz w:val="24"/>
          <w:szCs w:val="24"/>
          <w:lang w:eastAsia="zh-CN"/>
        </w:rPr>
        <w:t>;</w:t>
      </w:r>
      <w:r w:rsidR="00836127" w:rsidRPr="00CA3FFF">
        <w:rPr>
          <w:rFonts w:ascii="Book Antiqua" w:hAnsi="Book Antiqua" w:cs="Times New Roman"/>
          <w:sz w:val="24"/>
          <w:szCs w:val="24"/>
        </w:rPr>
        <w:t xml:space="preserve"> and </w:t>
      </w:r>
      <w:r w:rsidR="002132FC" w:rsidRPr="00CA3FFF">
        <w:rPr>
          <w:rFonts w:ascii="Book Antiqua" w:hAnsi="Book Antiqua" w:cs="Times New Roman" w:hint="eastAsia"/>
          <w:sz w:val="24"/>
          <w:szCs w:val="24"/>
          <w:lang w:eastAsia="zh-CN"/>
        </w:rPr>
        <w:t>(</w:t>
      </w:r>
      <w:r w:rsidR="00836127" w:rsidRPr="00CA3FFF">
        <w:rPr>
          <w:rFonts w:ascii="Book Antiqua" w:hAnsi="Book Antiqua" w:cs="Times New Roman"/>
          <w:sz w:val="24"/>
          <w:szCs w:val="24"/>
        </w:rPr>
        <w:t>2) n</w:t>
      </w:r>
      <w:r w:rsidR="00836127" w:rsidRPr="00D85CC9">
        <w:rPr>
          <w:rFonts w:ascii="Book Antiqua" w:hAnsi="Book Antiqua" w:cs="Times New Roman"/>
          <w:sz w:val="24"/>
          <w:szCs w:val="24"/>
        </w:rPr>
        <w:t>umerous putative non-exclusive mechanisms by which IV NAC might treat DILI</w:t>
      </w:r>
      <w:r w:rsidR="00232E63" w:rsidRPr="00D85CC9">
        <w:rPr>
          <w:rFonts w:ascii="Book Antiqua" w:hAnsi="Book Antiqua" w:cs="Times New Roman"/>
          <w:sz w:val="24"/>
          <w:szCs w:val="24"/>
        </w:rPr>
        <w:fldChar w:fldCharType="begin" w:fldLock="1"/>
      </w:r>
      <w:r w:rsidR="00F96B40" w:rsidRPr="00D85CC9">
        <w:rPr>
          <w:rFonts w:ascii="Book Antiqua" w:hAnsi="Book Antiqua" w:cs="Times New Roman"/>
          <w:sz w:val="24"/>
          <w:szCs w:val="24"/>
        </w:rPr>
        <w:instrText>ADDIN CSL_CITATION {"mendeley": {"previouslyFormattedCitation": "&lt;sup&gt;[5]&lt;/sup&gt;"}, "citationItems": [{"uris": ["http://www.mendeley.com/documents/?uuid=ab1332e2-fa7a-4156-9887-27681b55d685", "http://www.mendeley.com/documents/?uuid=659a4505-67f0-4875-87ff-0e453bdc5156", "http://www.mendeley.com/documents/?uuid=1b7478b6-566d-4654-8d88-ce0a2b4abea3"], "id": "ITEM-1", "itemData": {"DOI": "10.1002/hep.26044", "type": "article-journal", "author": [{"given": "Nedim", "dropping-particle": "", "suffix": "", "family": "Had\u017ei\u0107", "parse-names": false, "non-dropping-particle": ""}], "issued": {"date-parts": [["2013", "4"]]}, "ISSN": "1527-3350", "page": "1297-300", "volume": "57", "container-title": "Hepatology (Baltimore, Md.)", "title": "Challenging the dogmas; the NAC tie.", "PMID": "22941945", "issue": "4", "id": "ITEM-1"}}], "properties": {"noteIndex": 0}, "schema": "https://github.com/citation-style-language/schema/raw/master/csl-citation.json"}</w:instrText>
      </w:r>
      <w:r w:rsidR="00232E63" w:rsidRPr="00D85CC9">
        <w:rPr>
          <w:rFonts w:ascii="Book Antiqua" w:hAnsi="Book Antiqua" w:cs="Times New Roman"/>
          <w:sz w:val="24"/>
          <w:szCs w:val="24"/>
        </w:rPr>
        <w:fldChar w:fldCharType="separate"/>
      </w:r>
      <w:r w:rsidR="00F96B40" w:rsidRPr="00D85CC9">
        <w:rPr>
          <w:rFonts w:ascii="Book Antiqua" w:hAnsi="Book Antiqua" w:cs="Times New Roman"/>
          <w:noProof/>
          <w:sz w:val="24"/>
          <w:szCs w:val="24"/>
          <w:vertAlign w:val="superscript"/>
        </w:rPr>
        <w:t>[5]</w:t>
      </w:r>
      <w:r w:rsidR="00232E63" w:rsidRPr="00D85CC9">
        <w:rPr>
          <w:rFonts w:ascii="Book Antiqua" w:hAnsi="Book Antiqua" w:cs="Times New Roman"/>
          <w:sz w:val="24"/>
          <w:szCs w:val="24"/>
        </w:rPr>
        <w:fldChar w:fldCharType="end"/>
      </w:r>
      <w:r w:rsidR="00836127" w:rsidRPr="00D85CC9">
        <w:rPr>
          <w:rFonts w:ascii="Book Antiqua" w:hAnsi="Book Antiqua" w:cs="Times New Roman"/>
          <w:sz w:val="24"/>
          <w:szCs w:val="24"/>
        </w:rPr>
        <w:t xml:space="preserve">. However, recent elegant work by </w:t>
      </w:r>
      <w:proofErr w:type="spellStart"/>
      <w:r w:rsidR="00836127" w:rsidRPr="00D85CC9">
        <w:rPr>
          <w:rFonts w:ascii="Book Antiqua" w:hAnsi="Book Antiqua" w:cs="Times New Roman"/>
          <w:sz w:val="24"/>
          <w:szCs w:val="24"/>
        </w:rPr>
        <w:t>Serviddio</w:t>
      </w:r>
      <w:proofErr w:type="spellEnd"/>
      <w:r w:rsidR="00836127" w:rsidRPr="00D85CC9">
        <w:rPr>
          <w:rFonts w:ascii="Book Antiqua" w:hAnsi="Book Antiqua" w:cs="Times New Roman"/>
          <w:sz w:val="24"/>
          <w:szCs w:val="24"/>
        </w:rPr>
        <w:t xml:space="preserve"> </w:t>
      </w:r>
      <w:r w:rsidR="00836127" w:rsidRPr="002132FC">
        <w:rPr>
          <w:rFonts w:ascii="Book Antiqua" w:hAnsi="Book Antiqua" w:cs="Times New Roman"/>
          <w:i/>
          <w:sz w:val="24"/>
          <w:szCs w:val="24"/>
        </w:rPr>
        <w:t>et al</w:t>
      </w:r>
      <w:r w:rsidR="002332A2" w:rsidRPr="00D85CC9">
        <w:rPr>
          <w:rFonts w:ascii="Book Antiqua" w:hAnsi="Book Antiqua" w:cs="Times New Roman"/>
          <w:sz w:val="24"/>
          <w:szCs w:val="24"/>
        </w:rPr>
        <w:fldChar w:fldCharType="begin" w:fldLock="1"/>
      </w:r>
      <w:r w:rsidR="002332A2" w:rsidRPr="00D85CC9">
        <w:rPr>
          <w:rFonts w:ascii="Book Antiqua" w:hAnsi="Book Antiqua" w:cs="Times New Roman"/>
          <w:sz w:val="24"/>
          <w:szCs w:val="24"/>
        </w:rPr>
        <w:instrText>ADDIN CSL_CITATION {"mendeley": {"previouslyFormattedCitation": "&lt;sup&gt;[6]&lt;/sup&gt;"}, "citationItems": [{"uris": ["http://www.mendeley.com/documents/?uuid=cca8640b-e721-4194-9db9-827bd90e8815", "http://www.mendeley.com/documents/?uuid=c989cf7f-78fa-4737-9ca4-ad8ad8f7ae79", "http://www.mendeley.com/documents/?uuid=fc782702-6e08-498a-bbbc-a3ea84f77e07"], "id": "ITEM-1", "itemData": {"DOI": "10.1016/j.freeradbiomed.2011.09.004", "type": "article-journal", "author": [{"given": "Gaetano", "dropping-particle": "", "suffix": "", "family": "Serviddio", "parse-names": false, "non-dropping-particle": ""}, {"given": "Francesco", "dropping-particle": "", "suffix": "", "family": "Bellanti", "parse-names": false, "non-dropping-particle": ""}, {"given": "Anna Maria", "dropping-particle": "", "suffix": "", "family": "Giudetti", "parse-names": false, "non-dropping-particle": ""}, {"given": "Gabriele Vincenzo", "dropping-particle": "", "suffix": "", "family": "Gnoni", "parse-names": false, "non-dropping-particle": ""}, {"given": "Nazzareno", "dropping-particle": "", "suffix": "", "family": "Capitanio", "parse-names": false, "non-dropping-particle": ""}, {"given": "Rosanna", "dropping-particle": "", "suffix": "", "family": "Tamborra", "parse-names": false, "non-dropping-particle": ""}, {"given": "Antonino Davide", "dropping-particle": "", "suffix": "", "family": "Romano", "parse-names": false, "non-dropping-particle": ""}, {"given": "Maurizio", "dropping-particle": "", "suffix": "", "family": "Quinto", "parse-names": false, "non-dropping-particle": ""}, {"given": "Maria", "dropping-particle": "", "suffix": "", "family": "Blonda", "parse-names": false, "non-dropping-particle": ""}, {"given": "Gianluigi", "dropping-particle": "", "suffix": "", "family": "Vendemiale", "parse-names": false, "non-dropping-particle": ""}, {"given": "Emanuele", "dropping-particle": "", "suffix": "", "family": "Altomare", "parse-names": false, "non-dropping-particle": ""}], "issued": {"date-parts": [["2011", "12"]]}, "abstract": "The role played by oxidative stress in amiodarone-induced mitochondrial toxicity is debated. Dronedarone shows pharmacological properties similar to those of amiodarone but several differences in terms of toxicity. In this study, we analyzed the effects of the two drugs on liver mitochondrial function by administering an equivalent human dose to a rat model. Amiodarone increased mitochondrial H(2)O(2) synthesis, which in turn induced cardiolipin peroxidation. Moreover, amiodarone inhibited Complex I activity and uncoupled oxidative phosphorylation, leading to a reduction in the hepatic ATP content. We also observed a modification of membrane phospholipid composition after amiodarone administration. N-acetylcysteine completely prevented such effects. Although dronedarone shares with amiodarone the capacity to induce uncoupling of oxidative phosphorylation, it did not show any of the oxidative effects and did not impair mitochondrial bioenergetics. Our data provide important insights into the mechanism of mitochondrial toxicity induced by amiodarone. These results may greatly influence the clinical application and toxicity management of these two antiarrhythmic drugs.", "ISSN": "1873-4596", "page": "2234-42", "volume": "51", "container-title": "Free radical biology &amp; medicine", "title": "Mitochondrial oxidative stress and respiratory chain dysfunction account for liver toxicity during amiodarone but not dronedarone administration.", "PMID": "21971348", "issue": "12", "id": "ITEM-1"}}], "properties": {"noteIndex": 0}, "schema": "https://github.com/citation-style-language/schema/raw/master/csl-citation.json"}</w:instrText>
      </w:r>
      <w:r w:rsidR="002332A2" w:rsidRPr="00D85CC9">
        <w:rPr>
          <w:rFonts w:ascii="Book Antiqua" w:hAnsi="Book Antiqua" w:cs="Times New Roman"/>
          <w:sz w:val="24"/>
          <w:szCs w:val="24"/>
        </w:rPr>
        <w:fldChar w:fldCharType="separate"/>
      </w:r>
      <w:r w:rsidR="002332A2" w:rsidRPr="00D85CC9">
        <w:rPr>
          <w:rFonts w:ascii="Book Antiqua" w:hAnsi="Book Antiqua" w:cs="Times New Roman"/>
          <w:noProof/>
          <w:sz w:val="24"/>
          <w:szCs w:val="24"/>
          <w:vertAlign w:val="superscript"/>
        </w:rPr>
        <w:t>[6]</w:t>
      </w:r>
      <w:r w:rsidR="002332A2" w:rsidRPr="00D85CC9">
        <w:rPr>
          <w:rFonts w:ascii="Book Antiqua" w:hAnsi="Book Antiqua" w:cs="Times New Roman"/>
          <w:sz w:val="24"/>
          <w:szCs w:val="24"/>
        </w:rPr>
        <w:fldChar w:fldCharType="end"/>
      </w:r>
      <w:r w:rsidR="00836127" w:rsidRPr="00D85CC9">
        <w:rPr>
          <w:rFonts w:ascii="Book Antiqua" w:hAnsi="Book Antiqua" w:cs="Times New Roman"/>
          <w:sz w:val="24"/>
          <w:szCs w:val="24"/>
        </w:rPr>
        <w:t xml:space="preserve"> bridged these terrains. Using a rat model, their research focused on the impact of mitochondrial oxidative stress and respiratory chain dysfunction as key to the pathogenesis of </w:t>
      </w:r>
      <w:proofErr w:type="spellStart"/>
      <w:r w:rsidR="00836127" w:rsidRPr="00D85CC9">
        <w:rPr>
          <w:rFonts w:ascii="Book Antiqua" w:hAnsi="Book Antiqua" w:cs="Times New Roman"/>
          <w:sz w:val="24"/>
          <w:szCs w:val="24"/>
        </w:rPr>
        <w:t>amiodarone</w:t>
      </w:r>
      <w:proofErr w:type="spellEnd"/>
      <w:r w:rsidR="002132FC">
        <w:rPr>
          <w:rFonts w:ascii="Book Antiqua" w:hAnsi="Book Antiqua" w:cs="Times New Roman" w:hint="eastAsia"/>
          <w:sz w:val="24"/>
          <w:szCs w:val="24"/>
          <w:lang w:eastAsia="zh-CN"/>
        </w:rPr>
        <w:t xml:space="preserve"> </w:t>
      </w:r>
      <w:r w:rsidR="00836127" w:rsidRPr="00D85CC9">
        <w:rPr>
          <w:rFonts w:ascii="Book Antiqua" w:hAnsi="Book Antiqua" w:cs="Times New Roman"/>
          <w:sz w:val="24"/>
          <w:szCs w:val="24"/>
        </w:rPr>
        <w:t>hepato</w:t>
      </w:r>
      <w:r w:rsidR="00697B60" w:rsidRPr="00D85CC9">
        <w:rPr>
          <w:rFonts w:ascii="Book Antiqua" w:hAnsi="Book Antiqua" w:cs="Times New Roman"/>
          <w:sz w:val="24"/>
          <w:szCs w:val="24"/>
        </w:rPr>
        <w:t>to</w:t>
      </w:r>
      <w:r w:rsidR="00836127" w:rsidRPr="00D85CC9">
        <w:rPr>
          <w:rFonts w:ascii="Book Antiqua" w:hAnsi="Book Antiqua" w:cs="Times New Roman"/>
          <w:sz w:val="24"/>
          <w:szCs w:val="24"/>
        </w:rPr>
        <w:t>xicity and showed that</w:t>
      </w:r>
      <w:r w:rsidR="0054095D">
        <w:rPr>
          <w:rFonts w:ascii="Book Antiqua" w:hAnsi="Book Antiqua" w:cs="Times New Roman" w:hint="eastAsia"/>
          <w:sz w:val="24"/>
          <w:szCs w:val="24"/>
          <w:lang w:eastAsia="zh-CN"/>
        </w:rPr>
        <w:t xml:space="preserve"> </w:t>
      </w:r>
      <w:r w:rsidR="00836127" w:rsidRPr="00D85CC9">
        <w:rPr>
          <w:rFonts w:ascii="Book Antiqua" w:hAnsi="Book Antiqua" w:cs="Times New Roman"/>
          <w:sz w:val="24"/>
          <w:szCs w:val="24"/>
        </w:rPr>
        <w:t xml:space="preserve">NAC specifically abrogates these deleterious effects. In doing so, their work elucidates some of the basic mechanisms of both drugs, at least when co-administered. Although their research used a murine model, it served as the basis for the use NAC in this patient.  </w:t>
      </w:r>
    </w:p>
    <w:p w:rsidR="00ED26F4" w:rsidRPr="00D85CC9" w:rsidRDefault="0083612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lastRenderedPageBreak/>
        <w:t xml:space="preserve">Our results, which show a striking improvement in transaminases levels immediately following NAC administration, are consistent with their experience.  And while some reports of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have described spontaneous resolution of hepatic injury, we believe this is the first describing improvement attributable to NAC. </w:t>
      </w:r>
      <w:r w:rsidR="00BB6ED7" w:rsidRPr="00D85CC9">
        <w:rPr>
          <w:rFonts w:ascii="Book Antiqua" w:hAnsi="Book Antiqua" w:cs="Times New Roman"/>
          <w:sz w:val="24"/>
          <w:szCs w:val="24"/>
        </w:rPr>
        <w:t xml:space="preserve">Using a cell culture model, </w:t>
      </w:r>
      <w:proofErr w:type="spellStart"/>
      <w:r w:rsidR="00BB6ED7" w:rsidRPr="00D85CC9">
        <w:rPr>
          <w:rFonts w:ascii="Book Antiqua" w:hAnsi="Book Antiqua" w:cs="Times New Roman"/>
          <w:sz w:val="24"/>
          <w:szCs w:val="24"/>
        </w:rPr>
        <w:t>Durukan</w:t>
      </w:r>
      <w:proofErr w:type="spellEnd"/>
      <w:r w:rsidR="00BB6ED7" w:rsidRPr="00D85CC9">
        <w:rPr>
          <w:rFonts w:ascii="Book Antiqua" w:hAnsi="Book Antiqua" w:cs="Times New Roman"/>
          <w:sz w:val="24"/>
          <w:szCs w:val="24"/>
        </w:rPr>
        <w:t xml:space="preserve"> </w:t>
      </w:r>
      <w:r w:rsidR="00BB6ED7" w:rsidRPr="0054095D">
        <w:rPr>
          <w:rFonts w:ascii="Book Antiqua" w:hAnsi="Book Antiqua" w:cs="Times New Roman"/>
          <w:i/>
          <w:sz w:val="24"/>
          <w:szCs w:val="24"/>
        </w:rPr>
        <w:t>et al</w:t>
      </w:r>
      <w:r w:rsidR="00956495" w:rsidRPr="00D85CC9">
        <w:rPr>
          <w:rFonts w:ascii="Book Antiqua" w:hAnsi="Book Antiqua" w:cs="Times New Roman"/>
          <w:sz w:val="24"/>
          <w:szCs w:val="24"/>
        </w:rPr>
        <w:fldChar w:fldCharType="begin" w:fldLock="1"/>
      </w:r>
      <w:r w:rsidR="00956495" w:rsidRPr="00D85CC9">
        <w:rPr>
          <w:rFonts w:ascii="Book Antiqua" w:hAnsi="Book Antiqua" w:cs="Times New Roman"/>
          <w:sz w:val="24"/>
          <w:szCs w:val="24"/>
        </w:rPr>
        <w:instrText>ADDIN CSL_CITATION {"mendeley": {"previouslyFormattedCitation": "&lt;sup&gt;[7]&lt;/sup&gt;"}, "citationItems": [{"uris": ["http://www.mendeley.com/documents/?uuid=dadc79ab-a5cc-4c0c-b182-64e1ecafe583", "http://www.mendeley.com/documents/?uuid=ed1d6c85-ed2c-4fc5-ad8f-340d5f295291", "http://www.mendeley.com/documents/?uuid=9af3c3f6-af38-47e4-98a4-fde855d5503f"], "id": "ITEM-1", "itemData": {"DOI": "10.1186/1749-8090-7-61", "author": [{"given": "Ahmet Baris", "dropping-particle": "", "suffix": "", "family": "Durukan", "parse-names": false, "non-dropping-particle": ""}, {"given": "Beril", "dropping-particle": "", "suffix": "", "family": "Erdem", "parse-names": false, "non-dropping-particle": ""}, {"given": "Elif", "dropping-particle": "", "suffix": "", "family": "Durukan", "parse-names": false, "non-dropping-particle": ""}, {"given": "Handan", "dropping-particle": "", "suffix": "", "family": "Sevim", "parse-names": false, "non-dropping-particle": ""}, {"given": "Tugce", "dropping-particle": "", "suffix": "", "family": "Karaduman", "parse-names": false, "non-dropping-particle": ""}, {"given": "Hasan Alper", "dropping-particle": "", "suffix": "", "family": "Gurbuz", "parse-names": false, "non-dropping-particle": ""}, {"given": "Aylin", "dropping-particle": "", "suffix": "", "family": "Gurpinar", "parse-names": false, "non-dropping-particle": ""}, {"given": "Cem", "dropping-particle": "", "suffix": "", "family": "Yorgancioglu", "parse-names": false, "non-dropping-particle": ""}], "issued": {"date-parts": [["2012", "1"]]}, "abstract": "BACKGROUND: Atrial Fibrillation is the most common arrhythmia encountered following cardiac surgery. The most commonly administered drug used in treatment and prophylaxis is amiodarone which has several toxic effects on major organ functions. There are few clinical data concerning prevention of toxic effects and there is no routinely suggested agent. The aim of this study is to document the cytotoxic effects of amiodarone on cell culture media and compare the cytoprotective effects of commonly used antioxidant agents.\n\nMETHODS: L929 mouse fibroblast cell line was cultured and 100,000 cells/well-plate were obtained. First group of cells were treated with increasing concentrations of amiodarone (20 to 180 \u03bcM) alone. Second and third group of cells were incubated with one-fold equimolar dose of vitamin C and N-acetyl cysteine prior to amiodarone exposure. The viability of cells were measured by MTT assay and the cytoprotective effect of each agent was compared.\n\nRESULTS: The cytotoxicity of amiodarone was significant with concentrations of 100 \u03bcM and more. The viabilities of both vitamin C and N-acetyl cysteine treated cells were higher compared to untreated cells.\n\nCONCLUSIONS: Vitamin C and N-acetyl cysteine are commonly used in the clinical setting for different purposes in context of their known antioxidant actions. Their role in prevention of amiodarone induced cytotoxicity is not fully documented. The study fully demonstrates the cytoprotective role of both agents in amiodarone induced cytotoxicity on cell culture media; more pronounced with vitamin C in some concentrations. The findings may be projectile for further clinical studies.", "ISSN": "1749-8090", "page": "61", "volume": "7", "container-title": "Journal of cardiothoracic surgery", "title": "May toxicity of amiodarone be prevented by antioxidants? A cell-culture study.", "PMID": "22741616", "type": "article-journal", "id": "ITEM-1"}}], "properties": {"noteIndex": 0}, "schema": "https://github.com/citation-style-language/schema/raw/master/csl-citation.json"}</w:instrText>
      </w:r>
      <w:r w:rsidR="00956495" w:rsidRPr="00D85CC9">
        <w:rPr>
          <w:rFonts w:ascii="Book Antiqua" w:hAnsi="Book Antiqua" w:cs="Times New Roman"/>
          <w:sz w:val="24"/>
          <w:szCs w:val="24"/>
        </w:rPr>
        <w:fldChar w:fldCharType="separate"/>
      </w:r>
      <w:r w:rsidR="00956495" w:rsidRPr="00D85CC9">
        <w:rPr>
          <w:rFonts w:ascii="Book Antiqua" w:hAnsi="Book Antiqua" w:cs="Times New Roman"/>
          <w:noProof/>
          <w:sz w:val="24"/>
          <w:szCs w:val="24"/>
          <w:vertAlign w:val="superscript"/>
        </w:rPr>
        <w:t>[</w:t>
      </w:r>
      <w:r w:rsidR="00956495">
        <w:rPr>
          <w:rFonts w:ascii="Book Antiqua" w:hAnsi="Book Antiqua" w:cs="Times New Roman" w:hint="eastAsia"/>
          <w:noProof/>
          <w:sz w:val="24"/>
          <w:szCs w:val="24"/>
          <w:vertAlign w:val="superscript"/>
          <w:lang w:eastAsia="zh-CN"/>
        </w:rPr>
        <w:t>12</w:t>
      </w:r>
      <w:r w:rsidR="00956495" w:rsidRPr="00D85CC9">
        <w:rPr>
          <w:rFonts w:ascii="Book Antiqua" w:hAnsi="Book Antiqua" w:cs="Times New Roman"/>
          <w:noProof/>
          <w:sz w:val="24"/>
          <w:szCs w:val="24"/>
          <w:vertAlign w:val="superscript"/>
        </w:rPr>
        <w:t>]</w:t>
      </w:r>
      <w:r w:rsidR="00956495" w:rsidRPr="00D85CC9">
        <w:rPr>
          <w:rFonts w:ascii="Book Antiqua" w:hAnsi="Book Antiqua" w:cs="Times New Roman"/>
          <w:sz w:val="24"/>
          <w:szCs w:val="24"/>
        </w:rPr>
        <w:fldChar w:fldCharType="end"/>
      </w:r>
      <w:r w:rsidR="00BB6ED7" w:rsidRPr="00D85CC9">
        <w:rPr>
          <w:rFonts w:ascii="Book Antiqua" w:hAnsi="Book Antiqua" w:cs="Times New Roman"/>
          <w:sz w:val="24"/>
          <w:szCs w:val="24"/>
        </w:rPr>
        <w:t xml:space="preserve"> have also reported that NAC can treat </w:t>
      </w:r>
      <w:proofErr w:type="spellStart"/>
      <w:r w:rsidR="00BB6ED7" w:rsidRPr="00D85CC9">
        <w:rPr>
          <w:rFonts w:ascii="Book Antiqua" w:hAnsi="Book Antiqua" w:cs="Times New Roman"/>
          <w:sz w:val="24"/>
          <w:szCs w:val="24"/>
        </w:rPr>
        <w:t>amiodarone</w:t>
      </w:r>
      <w:proofErr w:type="spellEnd"/>
      <w:r w:rsidR="00BB6ED7" w:rsidRPr="00D85CC9">
        <w:rPr>
          <w:rFonts w:ascii="Book Antiqua" w:hAnsi="Book Antiqua" w:cs="Times New Roman"/>
          <w:sz w:val="24"/>
          <w:szCs w:val="24"/>
        </w:rPr>
        <w:t xml:space="preserve"> toxicity.</w:t>
      </w:r>
    </w:p>
    <w:p w:rsidR="008E5A30" w:rsidRPr="00D85CC9" w:rsidRDefault="00836127" w:rsidP="001630CF">
      <w:pPr>
        <w:snapToGrid w:val="0"/>
        <w:spacing w:after="0" w:line="360" w:lineRule="auto"/>
        <w:ind w:firstLineChars="100" w:firstLine="240"/>
        <w:jc w:val="both"/>
        <w:rPr>
          <w:rFonts w:ascii="Book Antiqua" w:hAnsi="Book Antiqua" w:cs="Times New Roman"/>
          <w:sz w:val="24"/>
          <w:szCs w:val="24"/>
        </w:rPr>
      </w:pPr>
      <w:r w:rsidRPr="00D85CC9">
        <w:rPr>
          <w:rFonts w:ascii="Book Antiqua" w:hAnsi="Book Antiqua" w:cs="Times New Roman"/>
          <w:sz w:val="24"/>
          <w:szCs w:val="24"/>
        </w:rPr>
        <w:t>In retrospect, our patient may have benefited from additional NAC, as her transaminase improvement stalled somewhat after discontinuation. We used the standard 21 h</w:t>
      </w:r>
      <w:r w:rsidR="0054095D">
        <w:rPr>
          <w:rFonts w:ascii="Book Antiqua" w:hAnsi="Book Antiqua" w:cs="Times New Roman" w:hint="eastAsia"/>
          <w:sz w:val="24"/>
          <w:szCs w:val="24"/>
          <w:lang w:eastAsia="zh-CN"/>
        </w:rPr>
        <w:t xml:space="preserve"> </w:t>
      </w:r>
      <w:r w:rsidRPr="00D85CC9">
        <w:rPr>
          <w:rFonts w:ascii="Book Antiqua" w:hAnsi="Book Antiqua" w:cs="Times New Roman"/>
          <w:sz w:val="24"/>
          <w:szCs w:val="24"/>
        </w:rPr>
        <w:t>APAP/NAC protocol, believing this to be adequate. However, others have reported using longer protocols for DILI and/or acute hepato</w:t>
      </w:r>
      <w:r w:rsidR="00697B60" w:rsidRPr="00D85CC9">
        <w:rPr>
          <w:rFonts w:ascii="Book Antiqua" w:hAnsi="Book Antiqua" w:cs="Times New Roman"/>
          <w:sz w:val="24"/>
          <w:szCs w:val="24"/>
        </w:rPr>
        <w:t>to</w:t>
      </w:r>
      <w:r w:rsidRPr="00D85CC9">
        <w:rPr>
          <w:rFonts w:ascii="Book Antiqua" w:hAnsi="Book Antiqua" w:cs="Times New Roman"/>
          <w:sz w:val="24"/>
          <w:szCs w:val="24"/>
        </w:rPr>
        <w:t xml:space="preserve">xicity.  Also, our patient received low dose acetaminophen as an anti-pyretic around the time she received the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Although this was promptly discontinued as her transaminases were rising, it is possible even these low doses potentiated the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and/or its apparent responsiveness to NAC. The patient ultimately died of multi-organ failure and </w:t>
      </w:r>
      <w:proofErr w:type="spellStart"/>
      <w:r w:rsidRPr="00D85CC9">
        <w:rPr>
          <w:rFonts w:ascii="Book Antiqua" w:hAnsi="Book Antiqua" w:cs="Times New Roman"/>
          <w:sz w:val="24"/>
          <w:szCs w:val="24"/>
        </w:rPr>
        <w:t>fungemia</w:t>
      </w:r>
      <w:proofErr w:type="spellEnd"/>
      <w:r w:rsidRPr="00D85CC9">
        <w:rPr>
          <w:rFonts w:ascii="Book Antiqua" w:hAnsi="Book Antiqua" w:cs="Times New Roman"/>
          <w:sz w:val="24"/>
          <w:szCs w:val="24"/>
        </w:rPr>
        <w:t xml:space="preserve">; the contribution of her liver toxicity was uncertain but probably small. </w:t>
      </w:r>
    </w:p>
    <w:p w:rsidR="00ED26F4" w:rsidRPr="00D85CC9" w:rsidRDefault="0083612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t xml:space="preserve">Finally, although she did not have any significant known hypotensive episodes around the time of her second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infusion, we cannot fully exclude the possibility that there could have been some contribution from ischemia. </w:t>
      </w:r>
      <w:r w:rsidR="00A154AF" w:rsidRPr="00D85CC9">
        <w:rPr>
          <w:rFonts w:ascii="Book Antiqua" w:hAnsi="Book Antiqua" w:cs="Times New Roman"/>
          <w:sz w:val="24"/>
          <w:szCs w:val="24"/>
        </w:rPr>
        <w:t>Indeed, the fact that her AST was higher than her ALT on her second flare, this may be likely</w:t>
      </w:r>
      <w:r w:rsidR="00232E63" w:rsidRPr="00D85CC9">
        <w:rPr>
          <w:rFonts w:ascii="Book Antiqua" w:hAnsi="Book Antiqua" w:cs="Times New Roman"/>
          <w:sz w:val="24"/>
          <w:szCs w:val="24"/>
        </w:rPr>
        <w:fldChar w:fldCharType="begin" w:fldLock="1"/>
      </w:r>
      <w:r w:rsidR="00F96B40" w:rsidRPr="00D85CC9">
        <w:rPr>
          <w:rFonts w:ascii="Book Antiqua" w:hAnsi="Book Antiqua" w:cs="Times New Roman"/>
          <w:sz w:val="24"/>
          <w:szCs w:val="24"/>
        </w:rPr>
        <w:instrText>ADDIN CSL_CITATION {"mendeley": {"previouslyFormattedCitation": "&lt;sup&gt;[8]&lt;/sup&gt;"}, "citationItems": [{"uris": ["http://www.mendeley.com/documents/?uuid=4956d516-d6b7-4dd6-b30f-b0a4723a0098", "http://www.mendeley.com/documents/?uuid=5ebec98b-de66-4823-843d-0f789aacfc8c"], "id": "ITEM-1", "itemData": {"DOI": "10.1111/j.1478-3231.2011.02655.x", "type": "article-journal", "author": [{"given": "Jean", "dropping-particle": "", "suffix": "", "family": "Henrion", "parse-names": false, "non-dropping-particle": ""}], "issued": {"date-parts": [["2012", "8"]]}, "abstract": "Hypoxic hepatitis (HH), an acute liver injury also known as 'ischaemic hepatitis' or 'shock liver', is frequently observed in intensive care units. HH is heralded by a massive but transient rise in serum aminotransferase activities caused by anoxic necrosis of centrilobular liver cells. Cardiac failure, respiratory failure and toxic-septic shock are the main underlying conditions accounting for more than 90% of cases, but HH may also occur in other circumstances. Until recently, liver ischaemia, i.e. a drop in hepatic blood flow, was considered the leading, and even the sole, hemodynamic mechanism responsible for HH, and it was generally held that a shock state was required. In reality, other hemodynamic mechanisms of hypoxia, such as passive congestion of the liver, arterial hypoxaemia and dysoxia, play an important role while a shock state is observed in only 50% of cases. Accordingly, 'ischaemic hepatitis' and 'shock liver' are misnomers. Therapy of HH depends primarily on the nature of the underlying condition. The prognosis is poor, with more than half of patients dying during the hospital stay.", "ISSN": "1478-3231", "page": "1039-52", "volume": "32", "container-title": "Liver international : official journal of the International Association for the Study of the Liver", "title": "Hypoxic hepatitis.", "PMID": "22098491", "issue": "7", "id": "ITEM-1"}}], "properties": {"noteIndex": 0}, "schema": "https://github.com/citation-style-language/schema/raw/master/csl-citation.json"}</w:instrText>
      </w:r>
      <w:r w:rsidR="00232E63" w:rsidRPr="00D85CC9">
        <w:rPr>
          <w:rFonts w:ascii="Book Antiqua" w:hAnsi="Book Antiqua" w:cs="Times New Roman"/>
          <w:sz w:val="24"/>
          <w:szCs w:val="24"/>
        </w:rPr>
        <w:fldChar w:fldCharType="separate"/>
      </w:r>
      <w:r w:rsidR="00F96B40" w:rsidRPr="00D85CC9">
        <w:rPr>
          <w:rFonts w:ascii="Book Antiqua" w:hAnsi="Book Antiqua" w:cs="Times New Roman"/>
          <w:noProof/>
          <w:sz w:val="24"/>
          <w:szCs w:val="24"/>
          <w:vertAlign w:val="superscript"/>
        </w:rPr>
        <w:t>[</w:t>
      </w:r>
      <w:r w:rsidR="00386206">
        <w:rPr>
          <w:rFonts w:ascii="Book Antiqua" w:hAnsi="Book Antiqua" w:cs="Times New Roman" w:hint="eastAsia"/>
          <w:noProof/>
          <w:sz w:val="24"/>
          <w:szCs w:val="24"/>
          <w:vertAlign w:val="superscript"/>
          <w:lang w:eastAsia="zh-CN"/>
        </w:rPr>
        <w:t>13</w:t>
      </w:r>
      <w:r w:rsidR="00F96B40" w:rsidRPr="00D85CC9">
        <w:rPr>
          <w:rFonts w:ascii="Book Antiqua" w:hAnsi="Book Antiqua" w:cs="Times New Roman"/>
          <w:noProof/>
          <w:sz w:val="24"/>
          <w:szCs w:val="24"/>
          <w:vertAlign w:val="superscript"/>
        </w:rPr>
        <w:t>]</w:t>
      </w:r>
      <w:r w:rsidR="00232E63" w:rsidRPr="00D85CC9">
        <w:rPr>
          <w:rFonts w:ascii="Book Antiqua" w:hAnsi="Book Antiqua" w:cs="Times New Roman"/>
          <w:sz w:val="24"/>
          <w:szCs w:val="24"/>
        </w:rPr>
        <w:fldChar w:fldCharType="end"/>
      </w:r>
      <w:r w:rsidR="00A154AF" w:rsidRPr="00D85CC9">
        <w:rPr>
          <w:rFonts w:ascii="Book Antiqua" w:hAnsi="Book Antiqua" w:cs="Times New Roman"/>
          <w:sz w:val="24"/>
          <w:szCs w:val="24"/>
        </w:rPr>
        <w:t xml:space="preserve">. </w:t>
      </w:r>
      <w:r w:rsidR="000A7536" w:rsidRPr="00D85CC9">
        <w:rPr>
          <w:rFonts w:ascii="Book Antiqua" w:hAnsi="Book Antiqua" w:cs="Times New Roman"/>
          <w:sz w:val="24"/>
          <w:szCs w:val="24"/>
        </w:rPr>
        <w:t>Application of the Council for International Organizations of Medical Sciences scale for causality assessment is useful: our patient scores maximally in favor of DILI for each of the seven items of hepatocellular injury with the exception of possible recent hypotension and the interpretation of her second ALT response</w:t>
      </w:r>
      <w:r w:rsidR="00232E63" w:rsidRPr="00D85CC9">
        <w:rPr>
          <w:rFonts w:ascii="Book Antiqua" w:hAnsi="Book Antiqua" w:cs="Times New Roman"/>
          <w:sz w:val="24"/>
          <w:szCs w:val="24"/>
        </w:rPr>
        <w:fldChar w:fldCharType="begin" w:fldLock="1"/>
      </w:r>
      <w:r w:rsidR="00F96B40" w:rsidRPr="00D85CC9">
        <w:rPr>
          <w:rFonts w:ascii="Book Antiqua" w:hAnsi="Book Antiqua" w:cs="Times New Roman"/>
          <w:sz w:val="24"/>
          <w:szCs w:val="24"/>
        </w:rPr>
        <w:instrText>ADDIN CSL_CITATION {"mendeley": {"previouslyFormattedCitation": "&lt;sup&gt;[9]&lt;/sup&gt;"}, "citationItems": [{"uris": ["http://www.mendeley.com/documents/?uuid=d2894e2e-4765-4649-b0fc-fe53412fe68a", "http://www.mendeley.com/documents/?uuid=fb47afd8-995d-4566-95ed-accd70808c26"], "id": "ITEM-1", "itemData": {"DOI": "10.4254/wjh.v6.i1.17", "type": "article-journal", "author": [{"given": "Rolf", "dropping-particle": "", "suffix": "", "family": "Teschke", "parse-names": false, "non-dropping-particle": ""}, {"given": "Albrecht", "dropping-particle": "", "suffix": "", "family": "Wolff", "parse-names": false, "non-dropping-particle": ""}, {"given": "Christian", "dropping-particle": "", "suffix": "", "family": "Frenzel", "parse-names": false, "non-dropping-particle": ""}, {"given": "Alexander", "dropping-particle": "", "suffix": "", "family": "Schwarzenboeck", "parse-names": false, "non-dropping-particle": ""}, {"given": "Johannes", "dropping-particle": "", "suffix": "", "family": "Schulze", "parse-names": false, "non-dropping-particle": ""}, {"given": "Axel", "dropping-particle": "", "suffix": "", "family": "Eickhoff", "parse-names": false, "non-dropping-particle": ""}], "issued": {"date-parts": [["2014", "1"]]}, "abstract": "Causality assessment of suspected drug induced liver injury (DILI) and herb induced liver injury (HILI) is hampered by the lack of a standardized approach to be used by attending physicians and at various subsequent evaluating levels. The aim of this review was to analyze the suitability of the liver specific Council for International Organizations of Medical Sciences (CIOMS) scale as a standard tool for causality assessment in DILI and HILI cases. PubMed database was searched for the following terms: drug induced liver injury; herb induced liver injury; DILI causality assessment; and HILI causality assessment. The strength of the CIOMS lies in its potential as a standardized scale for DILI and HILI causality assessment. Other advantages include its liver specificity and its validation for hepatotoxicity with excellent sensitivity, specificity and predictive validity, based on cases with a positive reexposure test. This scale allows prospective collection of all relevant data required for a valid causality assessment. It does not require expert knowledge in hepatotoxicity and its results may subsequently be refined. Weaknesses of the CIOMS scale include the limited exclusion of alternative causes and qualitatively graded risk factors. In conclusion, CIOMS appears to be suitable as a standard scale for attending physicians, regulatory agencies, expert panels and other scientists to provide a standardized, reproducible causality assessment in suspected DILI and HILI cases, applicable primarily at all assessing levels involved.", "ISSN": "1948-5182", "page": "17-32", "volume": "6", "container-title": "World journal of hepatology", "title": "Drug and herb induced liver injury: Council for International Organizations of Medical Sciences scale for causality assessment.", "PMID": "24653791", "issue": "1", "id": "ITEM-1"}}], "properties": {"noteIndex": 0}, "schema": "https://github.com/citation-style-language/schema/raw/master/csl-citation.json"}</w:instrText>
      </w:r>
      <w:r w:rsidR="00232E63" w:rsidRPr="00D85CC9">
        <w:rPr>
          <w:rFonts w:ascii="Book Antiqua" w:hAnsi="Book Antiqua" w:cs="Times New Roman"/>
          <w:sz w:val="24"/>
          <w:szCs w:val="24"/>
        </w:rPr>
        <w:fldChar w:fldCharType="separate"/>
      </w:r>
      <w:r w:rsidR="00F96B40" w:rsidRPr="00D85CC9">
        <w:rPr>
          <w:rFonts w:ascii="Book Antiqua" w:hAnsi="Book Antiqua" w:cs="Times New Roman"/>
          <w:noProof/>
          <w:sz w:val="24"/>
          <w:szCs w:val="24"/>
          <w:vertAlign w:val="superscript"/>
        </w:rPr>
        <w:t>[</w:t>
      </w:r>
      <w:r w:rsidR="00386206">
        <w:rPr>
          <w:rFonts w:ascii="Book Antiqua" w:hAnsi="Book Antiqua" w:cs="Times New Roman" w:hint="eastAsia"/>
          <w:noProof/>
          <w:sz w:val="24"/>
          <w:szCs w:val="24"/>
          <w:vertAlign w:val="superscript"/>
          <w:lang w:eastAsia="zh-CN"/>
        </w:rPr>
        <w:t>14</w:t>
      </w:r>
      <w:r w:rsidR="00F96B40" w:rsidRPr="00D85CC9">
        <w:rPr>
          <w:rFonts w:ascii="Book Antiqua" w:hAnsi="Book Antiqua" w:cs="Times New Roman"/>
          <w:noProof/>
          <w:sz w:val="24"/>
          <w:szCs w:val="24"/>
          <w:vertAlign w:val="superscript"/>
        </w:rPr>
        <w:t>]</w:t>
      </w:r>
      <w:r w:rsidR="00232E63" w:rsidRPr="00D85CC9">
        <w:rPr>
          <w:rFonts w:ascii="Book Antiqua" w:hAnsi="Book Antiqua" w:cs="Times New Roman"/>
          <w:sz w:val="24"/>
          <w:szCs w:val="24"/>
        </w:rPr>
        <w:fldChar w:fldCharType="end"/>
      </w:r>
      <w:r w:rsidR="000A7536" w:rsidRPr="00D85CC9">
        <w:rPr>
          <w:rFonts w:ascii="Book Antiqua" w:hAnsi="Book Antiqua" w:cs="Times New Roman"/>
          <w:sz w:val="24"/>
          <w:szCs w:val="24"/>
        </w:rPr>
        <w:t xml:space="preserve">. As such, she scores as either “highly probable” or only “probable.” </w:t>
      </w:r>
      <w:r w:rsidRPr="00D85CC9">
        <w:rPr>
          <w:rFonts w:ascii="Book Antiqua" w:hAnsi="Book Antiqua" w:cs="Times New Roman"/>
          <w:sz w:val="24"/>
          <w:szCs w:val="24"/>
        </w:rPr>
        <w:t xml:space="preserve">We note, however, that since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is indicated in the treatment of serious cardiac arrhythmias, ischemic hepatitis is a universal bedside consideration, which may lead to the under-diagnosis and under-reporting of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w:t>
      </w:r>
    </w:p>
    <w:p w:rsidR="00ED26F4" w:rsidRPr="00D85CC9" w:rsidRDefault="00AC1262"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lastRenderedPageBreak/>
        <w:t xml:space="preserve">Some authors have postulated that the diluent </w:t>
      </w:r>
      <w:proofErr w:type="spellStart"/>
      <w:r w:rsidRPr="00D85CC9">
        <w:rPr>
          <w:rFonts w:ascii="Book Antiqua" w:hAnsi="Book Antiqua" w:cs="Times New Roman"/>
          <w:sz w:val="24"/>
          <w:szCs w:val="24"/>
        </w:rPr>
        <w:t>polysorbate</w:t>
      </w:r>
      <w:proofErr w:type="spellEnd"/>
      <w:r w:rsidRPr="00D85CC9">
        <w:rPr>
          <w:rFonts w:ascii="Book Antiqua" w:hAnsi="Book Antiqua" w:cs="Times New Roman"/>
          <w:sz w:val="24"/>
          <w:szCs w:val="24"/>
        </w:rPr>
        <w:t xml:space="preserve"> 80 may be responsible for toxicity seen with IV but not oral </w:t>
      </w:r>
      <w:proofErr w:type="spellStart"/>
      <w:r w:rsidRPr="00D85CC9">
        <w:rPr>
          <w:rFonts w:ascii="Book Antiqua" w:hAnsi="Book Antiqua" w:cs="Times New Roman"/>
          <w:sz w:val="24"/>
          <w:szCs w:val="24"/>
        </w:rPr>
        <w:t>amiodarone</w:t>
      </w:r>
      <w:proofErr w:type="spellEnd"/>
      <w:r w:rsidR="00232E63" w:rsidRPr="00D85CC9">
        <w:rPr>
          <w:rFonts w:ascii="Book Antiqua" w:hAnsi="Book Antiqua" w:cs="Times New Roman"/>
          <w:sz w:val="24"/>
          <w:szCs w:val="24"/>
        </w:rPr>
        <w:fldChar w:fldCharType="begin" w:fldLock="1"/>
      </w:r>
      <w:r w:rsidR="00F96B40" w:rsidRPr="00D85CC9">
        <w:rPr>
          <w:rFonts w:ascii="Book Antiqua" w:hAnsi="Book Antiqua" w:cs="Times New Roman"/>
          <w:sz w:val="24"/>
          <w:szCs w:val="24"/>
        </w:rPr>
        <w:instrText>ADDIN CSL_CITATION {"mendeley": {"previouslyFormattedCitation": "&lt;sup&gt;[10]&lt;/sup&gt;"}, "citationItems": [{"uris": ["http://www.mendeley.com/documents/?uuid=18b9f89a-ccbe-46f4-b8dd-0a4b4e02de3a", "http://www.mendeley.com/documents/?uuid=c9e4ba45-c11c-438a-8005-b9ce522911b9", "http://www.mendeley.com/documents/?uuid=b81e162f-80c2-49f6-9fd7-0ea864032d75"], "id": "ITEM-1", "itemData": {"type": "article-journal", "author": [{"given": "Francesco", "dropping-particle": "", "suffix": "", "family": "Giannattasio", "parse-names": false, "non-dropping-particle": ""}, {"given": "Antonio", "dropping-particle": "", "suffix": "", "family": "Salvio", "parse-names": false, "non-dropping-particle": ""}, {"given": "Maria", "dropping-particle": "", "suffix": "", "family": "Varriale", "parse-names": false, "non-dropping-particle": ""}, {"given": "Francesco Paolo", "dropping-particle": "", "suffix": "", "family": "Picciotto", "parse-names": false, "non-dropping-particle": ""}, {"given": "Giovan Giuseppe", "dropping-particle": "", "suffix": "", "family": "Costanzo", "parse-names": false, "non-dropping-particle": "Di"}, {"given": "Mario", "dropping-particle": "", "suffix": "", "family": "Visconti", "parse-names": false, "non-dropping-particle": ""}], "issued": {"date-parts": [["0"]]}, "abstract": "Amiodarone is one of the most effective antiarrhythmic drugs available and is widely prescribed despite several potentially life-threatening side-effects. Hepatotoxicity is the most frequent one during long-term oral therapy: occasionally acute hepatitis necessitates the suspension of treatment but monitoring of a transient increase in serum aminotransferases is usually sufficient; the clinical-morphological pictures of liver cirrhosis have also been reported. Fulminant hepatitis soon after a parenteral load of the drug is far less well described in the literature. Most published cases were reversible after the suspension of treatment. A negative challenge after oral amiodarone exposure suggested that polysorbate 80, a solvent added to the intravenous infusion and already implied in the pathogenesis of a similar syndrome observed in infants, is a more likely cause of this complication. The occurrence of acute hepatitis complicating parenteral amiodarone treatment does not preclude subsequent oral use of the drug: an evidence-based therapeutic behavior now definitively consolidated. Because of the rarity of this diagnosis, we report 3 cases of short-term hepatotoxicity secondary to amiodarone treatment for supraventricular tachyarrhythmias: in 2 male patients with dilated cardiomyopathy and in a female with liver disease. The diagnosis was presumptive and based on a thorough drug history, the temporal relationship, the time-course of liver dysfunction, the exclusion of other causes and on the rapid improvement observed after parenteral amiodarone withdrawal in 2 cases; in no case could we find any other explanation for the liver damage. Since amiodarone is sometimes still an irreplaceable antiarrhythmic drug, we raise the question of whether careful and continuous vigilance should be mandatory in patients receiving the drug or whether it is possible to introduce a pharmaceutical preparation not containing the vehicle that induces acute liver toxicity.", "ISSN": "0393-9340", "page": "180-4", "volume": "17", "container-title": "Annali italiani di medicina interna : organo ufficiale della Societ\u00e0 italiana di medicina interna", "title": "Three cases of severe acute hepatitis after parenteral administration of amiodarone: the active ingredient is not the only agent responsible for hepatotoxicity.", "PMID": "12402666", "issue": "3", "id": "ITEM-1"}}], "properties": {"noteIndex": 0}, "schema": "https://github.com/citation-style-language/schema/raw/master/csl-citation.json"}</w:instrText>
      </w:r>
      <w:r w:rsidR="00232E63" w:rsidRPr="00D85CC9">
        <w:rPr>
          <w:rFonts w:ascii="Book Antiqua" w:hAnsi="Book Antiqua" w:cs="Times New Roman"/>
          <w:sz w:val="24"/>
          <w:szCs w:val="24"/>
        </w:rPr>
        <w:fldChar w:fldCharType="separate"/>
      </w:r>
      <w:r w:rsidR="00386206">
        <w:rPr>
          <w:rFonts w:ascii="Book Antiqua" w:hAnsi="Book Antiqua" w:cs="Times New Roman"/>
          <w:noProof/>
          <w:sz w:val="24"/>
          <w:szCs w:val="24"/>
          <w:vertAlign w:val="superscript"/>
        </w:rPr>
        <w:t>[1</w:t>
      </w:r>
      <w:r w:rsidR="00386206">
        <w:rPr>
          <w:rFonts w:ascii="Book Antiqua" w:hAnsi="Book Antiqua" w:cs="Times New Roman" w:hint="eastAsia"/>
          <w:noProof/>
          <w:sz w:val="24"/>
          <w:szCs w:val="24"/>
          <w:vertAlign w:val="superscript"/>
          <w:lang w:eastAsia="zh-CN"/>
        </w:rPr>
        <w:t>5</w:t>
      </w:r>
      <w:r w:rsidR="00F96B40" w:rsidRPr="00D85CC9">
        <w:rPr>
          <w:rFonts w:ascii="Book Antiqua" w:hAnsi="Book Antiqua" w:cs="Times New Roman"/>
          <w:noProof/>
          <w:sz w:val="24"/>
          <w:szCs w:val="24"/>
          <w:vertAlign w:val="superscript"/>
        </w:rPr>
        <w:t>]</w:t>
      </w:r>
      <w:r w:rsidR="00232E63" w:rsidRPr="00D85CC9">
        <w:rPr>
          <w:rFonts w:ascii="Book Antiqua" w:hAnsi="Book Antiqua" w:cs="Times New Roman"/>
          <w:sz w:val="24"/>
          <w:szCs w:val="24"/>
        </w:rPr>
        <w:fldChar w:fldCharType="end"/>
      </w:r>
      <w:r w:rsidRPr="00D85CC9">
        <w:rPr>
          <w:rFonts w:ascii="Book Antiqua" w:hAnsi="Book Antiqua" w:cs="Times New Roman"/>
          <w:sz w:val="24"/>
          <w:szCs w:val="24"/>
        </w:rPr>
        <w:t xml:space="preserve">. While our results do not disagree with this possibility, our apparent NAC responsiveness makes this seem unlikely in the present report.  </w:t>
      </w:r>
      <w:r w:rsidR="00E77691" w:rsidRPr="00D85CC9">
        <w:rPr>
          <w:rFonts w:ascii="Book Antiqua" w:hAnsi="Book Antiqua" w:cs="Times New Roman"/>
          <w:sz w:val="24"/>
          <w:szCs w:val="24"/>
        </w:rPr>
        <w:t xml:space="preserve">It is noted that </w:t>
      </w:r>
      <w:r w:rsidR="008E5A30" w:rsidRPr="00D85CC9">
        <w:rPr>
          <w:rFonts w:ascii="Book Antiqua" w:hAnsi="Book Antiqua" w:cs="Times New Roman"/>
          <w:sz w:val="24"/>
          <w:szCs w:val="24"/>
        </w:rPr>
        <w:t xml:space="preserve">while </w:t>
      </w:r>
      <w:r w:rsidR="00E77691" w:rsidRPr="00D85CC9">
        <w:rPr>
          <w:rFonts w:ascii="Book Antiqua" w:hAnsi="Book Antiqua" w:cs="Times New Roman"/>
          <w:sz w:val="24"/>
          <w:szCs w:val="24"/>
        </w:rPr>
        <w:t xml:space="preserve">our IV </w:t>
      </w:r>
      <w:proofErr w:type="spellStart"/>
      <w:r w:rsidR="00E77691" w:rsidRPr="00D85CC9">
        <w:rPr>
          <w:rFonts w:ascii="Book Antiqua" w:hAnsi="Book Antiqua" w:cs="Times New Roman"/>
          <w:sz w:val="24"/>
          <w:szCs w:val="24"/>
        </w:rPr>
        <w:t>amiodarone</w:t>
      </w:r>
      <w:proofErr w:type="spellEnd"/>
      <w:r w:rsidR="00E77691" w:rsidRPr="00D85CC9">
        <w:rPr>
          <w:rFonts w:ascii="Book Antiqua" w:hAnsi="Book Antiqua" w:cs="Times New Roman"/>
          <w:sz w:val="24"/>
          <w:szCs w:val="24"/>
        </w:rPr>
        <w:t xml:space="preserve"> did contain </w:t>
      </w:r>
      <w:proofErr w:type="spellStart"/>
      <w:r w:rsidR="00E77691" w:rsidRPr="00D85CC9">
        <w:rPr>
          <w:rFonts w:ascii="Book Antiqua" w:hAnsi="Book Antiqua" w:cs="Times New Roman"/>
          <w:sz w:val="24"/>
          <w:szCs w:val="24"/>
        </w:rPr>
        <w:t>polys</w:t>
      </w:r>
      <w:r w:rsidR="008E5A30" w:rsidRPr="00D85CC9">
        <w:rPr>
          <w:rFonts w:ascii="Book Antiqua" w:hAnsi="Book Antiqua" w:cs="Times New Roman"/>
          <w:sz w:val="24"/>
          <w:szCs w:val="24"/>
        </w:rPr>
        <w:t>orbate</w:t>
      </w:r>
      <w:proofErr w:type="spellEnd"/>
      <w:r w:rsidR="008E5A30" w:rsidRPr="00D85CC9">
        <w:rPr>
          <w:rFonts w:ascii="Book Antiqua" w:hAnsi="Book Antiqua" w:cs="Times New Roman"/>
          <w:sz w:val="24"/>
          <w:szCs w:val="24"/>
        </w:rPr>
        <w:t xml:space="preserve"> 80, IV </w:t>
      </w:r>
      <w:proofErr w:type="spellStart"/>
      <w:r w:rsidR="008E5A30" w:rsidRPr="00D85CC9">
        <w:rPr>
          <w:rFonts w:ascii="Book Antiqua" w:hAnsi="Book Antiqua" w:cs="Times New Roman"/>
          <w:sz w:val="24"/>
          <w:szCs w:val="24"/>
        </w:rPr>
        <w:t>amiodarone</w:t>
      </w:r>
      <w:proofErr w:type="spellEnd"/>
      <w:r w:rsidR="008E5A30" w:rsidRPr="00D85CC9">
        <w:rPr>
          <w:rFonts w:ascii="Book Antiqua" w:hAnsi="Book Antiqua" w:cs="Times New Roman"/>
          <w:sz w:val="24"/>
          <w:szCs w:val="24"/>
        </w:rPr>
        <w:t xml:space="preserve"> is commercially available without this diluent.</w:t>
      </w:r>
      <w:r w:rsidR="00E77691" w:rsidRPr="00D85CC9">
        <w:rPr>
          <w:rFonts w:ascii="Book Antiqua" w:hAnsi="Book Antiqua" w:cs="Times New Roman"/>
          <w:sz w:val="24"/>
          <w:szCs w:val="24"/>
        </w:rPr>
        <w:t xml:space="preserve"> </w:t>
      </w:r>
    </w:p>
    <w:p w:rsidR="00ED26F4" w:rsidRPr="0054095D" w:rsidRDefault="00836127" w:rsidP="001630CF">
      <w:pPr>
        <w:snapToGrid w:val="0"/>
        <w:spacing w:after="0" w:line="360" w:lineRule="auto"/>
        <w:ind w:firstLineChars="100" w:firstLine="240"/>
        <w:jc w:val="both"/>
        <w:rPr>
          <w:rFonts w:ascii="Book Antiqua" w:hAnsi="Book Antiqua" w:cs="Times New Roman"/>
          <w:sz w:val="24"/>
          <w:szCs w:val="24"/>
          <w:lang w:eastAsia="zh-CN"/>
        </w:rPr>
      </w:pPr>
      <w:r w:rsidRPr="00D85CC9">
        <w:rPr>
          <w:rFonts w:ascii="Book Antiqua" w:hAnsi="Book Antiqua" w:cs="Times New Roman"/>
          <w:sz w:val="24"/>
          <w:szCs w:val="24"/>
        </w:rPr>
        <w:t xml:space="preserve">In conclusion, we believe that NAC at least partially treated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DILI for our patient. This experience lends support to a shared mitochondrial dysfunction/oxidative stress mechanism for these drugs, with NAC specifically ameliorating the injury from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in this setting. Earlier and more prolonged NAC administration may have be more beneficial.   </w:t>
      </w:r>
    </w:p>
    <w:p w:rsidR="00701A2F" w:rsidRPr="00D85CC9" w:rsidRDefault="00701A2F" w:rsidP="001630CF">
      <w:pPr>
        <w:snapToGrid w:val="0"/>
        <w:spacing w:after="0" w:line="360" w:lineRule="auto"/>
        <w:jc w:val="both"/>
        <w:rPr>
          <w:rFonts w:ascii="Book Antiqua" w:hAnsi="Book Antiqua" w:cs="Times New Roman"/>
          <w:sz w:val="24"/>
          <w:szCs w:val="24"/>
        </w:rPr>
      </w:pPr>
    </w:p>
    <w:p w:rsidR="00C774C7" w:rsidRPr="00D26DBB" w:rsidRDefault="000D6245" w:rsidP="001630CF">
      <w:pPr>
        <w:snapToGrid w:val="0"/>
        <w:spacing w:after="0" w:line="360" w:lineRule="auto"/>
        <w:jc w:val="both"/>
        <w:rPr>
          <w:rFonts w:ascii="Book Antiqua" w:hAnsi="Book Antiqua" w:cs="Times New Roman"/>
          <w:b/>
          <w:sz w:val="24"/>
          <w:szCs w:val="24"/>
        </w:rPr>
      </w:pPr>
      <w:r w:rsidRPr="00D26DBB">
        <w:rPr>
          <w:rFonts w:ascii="Book Antiqua" w:hAnsi="Book Antiqua" w:cs="Times New Roman"/>
          <w:b/>
          <w:sz w:val="24"/>
          <w:szCs w:val="24"/>
        </w:rPr>
        <w:t>COMMENTS</w:t>
      </w:r>
    </w:p>
    <w:p w:rsidR="00491053" w:rsidRPr="00880F83" w:rsidRDefault="00350205" w:rsidP="001630CF">
      <w:pPr>
        <w:snapToGrid w:val="0"/>
        <w:spacing w:after="0" w:line="360" w:lineRule="auto"/>
        <w:ind w:left="1"/>
        <w:jc w:val="both"/>
        <w:rPr>
          <w:rFonts w:ascii="Book Antiqua" w:hAnsi="Book Antiqua" w:cs="Times New Roman"/>
          <w:b/>
          <w:sz w:val="24"/>
          <w:szCs w:val="24"/>
          <w:lang w:eastAsia="zh-CN"/>
        </w:rPr>
      </w:pPr>
      <w:r w:rsidRPr="00491053">
        <w:rPr>
          <w:rFonts w:ascii="Book Antiqua" w:hAnsi="Book Antiqua" w:cs="Times New Roman"/>
          <w:b/>
          <w:i/>
          <w:sz w:val="24"/>
          <w:szCs w:val="24"/>
        </w:rPr>
        <w:t>Ca</w:t>
      </w:r>
      <w:r w:rsidR="00880F83" w:rsidRPr="00491053">
        <w:rPr>
          <w:rFonts w:ascii="Book Antiqua" w:hAnsi="Book Antiqua" w:cs="Times New Roman"/>
          <w:b/>
          <w:i/>
          <w:sz w:val="24"/>
          <w:szCs w:val="24"/>
        </w:rPr>
        <w:t>s</w:t>
      </w:r>
      <w:r w:rsidR="00880F83" w:rsidRPr="00880F83">
        <w:rPr>
          <w:rFonts w:ascii="Book Antiqua" w:hAnsi="Book Antiqua" w:cs="Times New Roman"/>
          <w:b/>
          <w:i/>
          <w:sz w:val="24"/>
          <w:szCs w:val="24"/>
        </w:rPr>
        <w:t>e ch</w:t>
      </w:r>
      <w:r w:rsidRPr="00880F83">
        <w:rPr>
          <w:rFonts w:ascii="Book Antiqua" w:hAnsi="Book Antiqua" w:cs="Times New Roman"/>
          <w:b/>
          <w:i/>
          <w:sz w:val="24"/>
          <w:szCs w:val="24"/>
        </w:rPr>
        <w:t>a</w:t>
      </w:r>
      <w:r w:rsidRPr="00491053">
        <w:rPr>
          <w:rFonts w:ascii="Book Antiqua" w:hAnsi="Book Antiqua" w:cs="Times New Roman"/>
          <w:b/>
          <w:i/>
          <w:sz w:val="24"/>
          <w:szCs w:val="24"/>
        </w:rPr>
        <w:t>racteristics</w:t>
      </w:r>
    </w:p>
    <w:p w:rsidR="00491053" w:rsidRDefault="000D6245" w:rsidP="001630CF">
      <w:pPr>
        <w:snapToGrid w:val="0"/>
        <w:spacing w:after="0" w:line="360" w:lineRule="auto"/>
        <w:jc w:val="both"/>
        <w:rPr>
          <w:rFonts w:ascii="Book Antiqua" w:hAnsi="Book Antiqua" w:cs="Times New Roman"/>
          <w:sz w:val="24"/>
          <w:szCs w:val="24"/>
          <w:lang w:eastAsia="zh-CN"/>
        </w:rPr>
      </w:pPr>
      <w:proofErr w:type="spellStart"/>
      <w:r w:rsidRPr="00D85CC9">
        <w:rPr>
          <w:rFonts w:ascii="Book Antiqua" w:hAnsi="Book Antiqua" w:cs="Times New Roman"/>
          <w:sz w:val="24"/>
          <w:szCs w:val="24"/>
        </w:rPr>
        <w:t>I</w:t>
      </w:r>
      <w:r w:rsidR="0054095D" w:rsidRPr="00D85CC9">
        <w:rPr>
          <w:rFonts w:ascii="Book Antiqua" w:hAnsi="Book Antiqua" w:cs="Times New Roman"/>
          <w:sz w:val="24"/>
          <w:szCs w:val="24"/>
        </w:rPr>
        <w:t>intravenous</w:t>
      </w:r>
      <w:proofErr w:type="spellEnd"/>
      <w:r w:rsidR="0054095D" w:rsidRPr="00D85CC9">
        <w:rPr>
          <w:rFonts w:ascii="Book Antiqua" w:hAnsi="Book Antiqua" w:cs="Times New Roman"/>
          <w:sz w:val="24"/>
          <w:szCs w:val="24"/>
        </w:rPr>
        <w:t xml:space="preserve"> (IV)</w:t>
      </w:r>
      <w:r w:rsidRPr="00D85CC9">
        <w:rPr>
          <w:rFonts w:ascii="Book Antiqua" w:hAnsi="Book Antiqua" w:cs="Times New Roman"/>
          <w:sz w:val="24"/>
          <w:szCs w:val="24"/>
        </w:rPr>
        <w:t xml:space="preserve">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drug induced liver injury possibility treated with IV </w:t>
      </w:r>
      <w:r w:rsidR="0054095D" w:rsidRPr="00D85CC9">
        <w:rPr>
          <w:rFonts w:ascii="Book Antiqua" w:hAnsi="Book Antiqua" w:cs="Times New Roman"/>
          <w:sz w:val="24"/>
          <w:szCs w:val="24"/>
        </w:rPr>
        <w:t>N-</w:t>
      </w:r>
      <w:proofErr w:type="spellStart"/>
      <w:r w:rsidR="0054095D" w:rsidRPr="00D85CC9">
        <w:rPr>
          <w:rFonts w:ascii="Book Antiqua" w:hAnsi="Book Antiqua" w:cs="Times New Roman"/>
          <w:sz w:val="24"/>
          <w:szCs w:val="24"/>
        </w:rPr>
        <w:t>acetylcysteine</w:t>
      </w:r>
      <w:proofErr w:type="spellEnd"/>
      <w:r w:rsidR="0054095D" w:rsidRPr="00D85CC9">
        <w:rPr>
          <w:rFonts w:ascii="Book Antiqua" w:hAnsi="Book Antiqua" w:cs="Times New Roman"/>
          <w:sz w:val="24"/>
          <w:szCs w:val="24"/>
        </w:rPr>
        <w:t xml:space="preserve"> (NAC)</w:t>
      </w:r>
      <w:r w:rsidR="0054095D">
        <w:rPr>
          <w:rFonts w:ascii="Book Antiqua" w:hAnsi="Book Antiqua" w:cs="Times New Roman" w:hint="eastAsia"/>
          <w:sz w:val="24"/>
          <w:szCs w:val="24"/>
          <w:lang w:eastAsia="zh-CN"/>
        </w:rPr>
        <w:t>.</w:t>
      </w:r>
    </w:p>
    <w:p w:rsidR="00C32E9C" w:rsidRPr="00880F83" w:rsidRDefault="00C32E9C" w:rsidP="001630CF">
      <w:pPr>
        <w:snapToGrid w:val="0"/>
        <w:spacing w:after="0" w:line="360" w:lineRule="auto"/>
        <w:jc w:val="both"/>
        <w:rPr>
          <w:rFonts w:ascii="Book Antiqua" w:hAnsi="Book Antiqua" w:cs="Times New Roman"/>
          <w:sz w:val="24"/>
          <w:szCs w:val="24"/>
          <w:lang w:eastAsia="zh-CN"/>
        </w:rPr>
      </w:pPr>
    </w:p>
    <w:p w:rsidR="00350205" w:rsidRPr="00491053" w:rsidRDefault="000D6245" w:rsidP="001630CF">
      <w:pPr>
        <w:snapToGrid w:val="0"/>
        <w:spacing w:after="0" w:line="360" w:lineRule="auto"/>
        <w:jc w:val="both"/>
        <w:rPr>
          <w:rFonts w:ascii="Book Antiqua" w:hAnsi="Book Antiqua" w:cs="Times New Roman"/>
          <w:b/>
          <w:i/>
          <w:sz w:val="24"/>
          <w:szCs w:val="24"/>
        </w:rPr>
      </w:pPr>
      <w:r w:rsidRPr="00491053">
        <w:rPr>
          <w:rFonts w:ascii="Book Antiqua" w:hAnsi="Book Antiqua" w:cs="Times New Roman"/>
          <w:b/>
          <w:i/>
          <w:sz w:val="24"/>
          <w:szCs w:val="24"/>
        </w:rPr>
        <w:t>C</w:t>
      </w:r>
      <w:r w:rsidR="00350205" w:rsidRPr="00491053">
        <w:rPr>
          <w:rFonts w:ascii="Book Antiqua" w:hAnsi="Book Antiqua" w:cs="Times New Roman"/>
          <w:b/>
          <w:i/>
          <w:sz w:val="24"/>
          <w:szCs w:val="24"/>
        </w:rPr>
        <w:t>linic</w:t>
      </w:r>
      <w:r w:rsidR="00880F83" w:rsidRPr="00491053">
        <w:rPr>
          <w:rFonts w:ascii="Book Antiqua" w:hAnsi="Book Antiqua" w:cs="Times New Roman"/>
          <w:b/>
          <w:i/>
          <w:sz w:val="24"/>
          <w:szCs w:val="24"/>
        </w:rPr>
        <w:t>al d</w:t>
      </w:r>
      <w:r w:rsidR="00350205" w:rsidRPr="00491053">
        <w:rPr>
          <w:rFonts w:ascii="Book Antiqua" w:hAnsi="Book Antiqua" w:cs="Times New Roman"/>
          <w:b/>
          <w:i/>
          <w:sz w:val="24"/>
          <w:szCs w:val="24"/>
        </w:rPr>
        <w:t>iagnosis</w:t>
      </w:r>
    </w:p>
    <w:p w:rsidR="00491053" w:rsidRDefault="000D6245"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Transaminases fell markedly after IV NAC administration</w:t>
      </w:r>
    </w:p>
    <w:p w:rsidR="00C32E9C" w:rsidRPr="00D85CC9" w:rsidRDefault="00C32E9C" w:rsidP="001630CF">
      <w:pPr>
        <w:snapToGrid w:val="0"/>
        <w:spacing w:after="0" w:line="360" w:lineRule="auto"/>
        <w:jc w:val="both"/>
        <w:rPr>
          <w:rFonts w:ascii="Book Antiqua" w:hAnsi="Book Antiqua" w:cs="Times New Roman"/>
          <w:sz w:val="24"/>
          <w:szCs w:val="24"/>
          <w:lang w:eastAsia="zh-CN"/>
        </w:rPr>
      </w:pPr>
    </w:p>
    <w:p w:rsidR="00350205" w:rsidRPr="00491053" w:rsidRDefault="000D6245" w:rsidP="001630CF">
      <w:pPr>
        <w:snapToGrid w:val="0"/>
        <w:spacing w:after="0" w:line="360" w:lineRule="auto"/>
        <w:jc w:val="both"/>
        <w:rPr>
          <w:rFonts w:ascii="Book Antiqua" w:hAnsi="Book Antiqua" w:cs="Times New Roman"/>
          <w:b/>
          <w:sz w:val="24"/>
          <w:szCs w:val="24"/>
        </w:rPr>
      </w:pPr>
      <w:r w:rsidRPr="00491053">
        <w:rPr>
          <w:rFonts w:ascii="Book Antiqua" w:hAnsi="Book Antiqua" w:cs="Times New Roman"/>
          <w:b/>
          <w:i/>
          <w:sz w:val="24"/>
          <w:szCs w:val="24"/>
        </w:rPr>
        <w:t>Different</w:t>
      </w:r>
      <w:r w:rsidR="00880F83" w:rsidRPr="00491053">
        <w:rPr>
          <w:rFonts w:ascii="Book Antiqua" w:hAnsi="Book Antiqua" w:cs="Times New Roman"/>
          <w:b/>
          <w:i/>
          <w:sz w:val="24"/>
          <w:szCs w:val="24"/>
        </w:rPr>
        <w:t>ial diag</w:t>
      </w:r>
      <w:r w:rsidRPr="00491053">
        <w:rPr>
          <w:rFonts w:ascii="Book Antiqua" w:hAnsi="Book Antiqua" w:cs="Times New Roman"/>
          <w:b/>
          <w:i/>
          <w:sz w:val="24"/>
          <w:szCs w:val="24"/>
        </w:rPr>
        <w:t>nosis</w:t>
      </w:r>
      <w:r w:rsidR="00350205" w:rsidRPr="00491053">
        <w:rPr>
          <w:rFonts w:ascii="Book Antiqua" w:hAnsi="Book Antiqua" w:cs="Times New Roman"/>
          <w:b/>
          <w:sz w:val="24"/>
          <w:szCs w:val="24"/>
        </w:rPr>
        <w:t xml:space="preserve"> </w:t>
      </w:r>
    </w:p>
    <w:p w:rsidR="00491053" w:rsidRDefault="000D6245"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 xml:space="preserve">Ischemic hepatitis was a likely cofactor. </w:t>
      </w:r>
    </w:p>
    <w:p w:rsidR="00C32E9C" w:rsidRPr="00D85CC9" w:rsidRDefault="00C32E9C" w:rsidP="001630CF">
      <w:pPr>
        <w:snapToGrid w:val="0"/>
        <w:spacing w:after="0" w:line="360" w:lineRule="auto"/>
        <w:jc w:val="both"/>
        <w:rPr>
          <w:rFonts w:ascii="Book Antiqua" w:hAnsi="Book Antiqua" w:cs="Times New Roman"/>
          <w:sz w:val="24"/>
          <w:szCs w:val="24"/>
          <w:lang w:eastAsia="zh-CN"/>
        </w:rPr>
      </w:pPr>
    </w:p>
    <w:p w:rsidR="00350205" w:rsidRPr="00491053" w:rsidRDefault="000D6245" w:rsidP="001630CF">
      <w:pPr>
        <w:snapToGrid w:val="0"/>
        <w:spacing w:after="0" w:line="360" w:lineRule="auto"/>
        <w:jc w:val="both"/>
        <w:rPr>
          <w:rFonts w:ascii="Book Antiqua" w:hAnsi="Book Antiqua" w:cs="Times New Roman"/>
          <w:b/>
          <w:sz w:val="24"/>
          <w:szCs w:val="24"/>
        </w:rPr>
      </w:pPr>
      <w:r w:rsidRPr="00491053">
        <w:rPr>
          <w:rFonts w:ascii="Book Antiqua" w:hAnsi="Book Antiqua" w:cs="Times New Roman"/>
          <w:b/>
          <w:i/>
          <w:sz w:val="24"/>
          <w:szCs w:val="24"/>
        </w:rPr>
        <w:t>Laborat</w:t>
      </w:r>
      <w:r w:rsidR="00880F83" w:rsidRPr="00491053">
        <w:rPr>
          <w:rFonts w:ascii="Book Antiqua" w:hAnsi="Book Antiqua" w:cs="Times New Roman"/>
          <w:b/>
          <w:i/>
          <w:sz w:val="24"/>
          <w:szCs w:val="24"/>
        </w:rPr>
        <w:t>ory di</w:t>
      </w:r>
      <w:r w:rsidRPr="00491053">
        <w:rPr>
          <w:rFonts w:ascii="Book Antiqua" w:hAnsi="Book Antiqua" w:cs="Times New Roman"/>
          <w:b/>
          <w:i/>
          <w:sz w:val="24"/>
          <w:szCs w:val="24"/>
        </w:rPr>
        <w:t>agnosis</w:t>
      </w:r>
      <w:r w:rsidR="00350205" w:rsidRPr="00491053">
        <w:rPr>
          <w:rFonts w:ascii="Book Antiqua" w:hAnsi="Book Antiqua" w:cs="Times New Roman"/>
          <w:b/>
          <w:sz w:val="24"/>
          <w:szCs w:val="24"/>
        </w:rPr>
        <w:t xml:space="preserve"> </w:t>
      </w:r>
    </w:p>
    <w:p w:rsidR="00C32E9C" w:rsidRDefault="000D6245"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t xml:space="preserve">Transaminases rose twice in response to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but fell precipitously after IV NAC. </w:t>
      </w:r>
    </w:p>
    <w:p w:rsidR="00C32E9C" w:rsidRPr="00C32E9C" w:rsidRDefault="00C32E9C" w:rsidP="001630CF">
      <w:pPr>
        <w:snapToGrid w:val="0"/>
        <w:spacing w:after="0" w:line="360" w:lineRule="auto"/>
        <w:jc w:val="both"/>
        <w:rPr>
          <w:rFonts w:ascii="Book Antiqua" w:hAnsi="Book Antiqua" w:cs="Times New Roman"/>
          <w:sz w:val="24"/>
          <w:szCs w:val="24"/>
          <w:lang w:eastAsia="zh-CN"/>
        </w:rPr>
      </w:pPr>
    </w:p>
    <w:p w:rsidR="00350205" w:rsidRPr="00491053" w:rsidRDefault="000D6245" w:rsidP="001630CF">
      <w:pPr>
        <w:snapToGrid w:val="0"/>
        <w:spacing w:after="0" w:line="360" w:lineRule="auto"/>
        <w:jc w:val="both"/>
        <w:rPr>
          <w:rFonts w:ascii="Book Antiqua" w:hAnsi="Book Antiqua" w:cs="Times New Roman"/>
          <w:b/>
          <w:sz w:val="24"/>
          <w:szCs w:val="24"/>
        </w:rPr>
      </w:pPr>
      <w:r w:rsidRPr="00491053">
        <w:rPr>
          <w:rFonts w:ascii="Book Antiqua" w:hAnsi="Book Antiqua" w:cs="Times New Roman"/>
          <w:b/>
          <w:i/>
          <w:sz w:val="24"/>
          <w:szCs w:val="24"/>
        </w:rPr>
        <w:t>T</w:t>
      </w:r>
      <w:r w:rsidR="00350205" w:rsidRPr="00491053">
        <w:rPr>
          <w:rFonts w:ascii="Book Antiqua" w:hAnsi="Book Antiqua" w:cs="Times New Roman"/>
          <w:b/>
          <w:i/>
          <w:sz w:val="24"/>
          <w:szCs w:val="24"/>
        </w:rPr>
        <w:t xml:space="preserve">reatment </w:t>
      </w:r>
    </w:p>
    <w:p w:rsidR="00491053" w:rsidRDefault="000D6245" w:rsidP="001630CF">
      <w:pPr>
        <w:snapToGrid w:val="0"/>
        <w:spacing w:after="0" w:line="360" w:lineRule="auto"/>
        <w:jc w:val="both"/>
        <w:rPr>
          <w:rFonts w:ascii="Book Antiqua" w:hAnsi="Book Antiqua" w:cs="Times New Roman"/>
          <w:sz w:val="24"/>
          <w:szCs w:val="24"/>
          <w:lang w:eastAsia="zh-CN"/>
        </w:rPr>
      </w:pPr>
      <w:r w:rsidRPr="00491053">
        <w:rPr>
          <w:rFonts w:ascii="Book Antiqua" w:hAnsi="Book Antiqua" w:cs="Times New Roman"/>
          <w:sz w:val="24"/>
          <w:szCs w:val="24"/>
        </w:rPr>
        <w:t>IV NAC was the only liver specific treatment applied</w:t>
      </w:r>
      <w:r w:rsidR="00880F83">
        <w:rPr>
          <w:rFonts w:ascii="Book Antiqua" w:hAnsi="Book Antiqua" w:cs="Times New Roman" w:hint="eastAsia"/>
          <w:sz w:val="24"/>
          <w:szCs w:val="24"/>
          <w:lang w:eastAsia="zh-CN"/>
        </w:rPr>
        <w:t>.</w:t>
      </w:r>
      <w:r w:rsidRPr="00491053">
        <w:rPr>
          <w:rFonts w:ascii="Book Antiqua" w:hAnsi="Book Antiqua" w:cs="Times New Roman"/>
          <w:sz w:val="24"/>
          <w:szCs w:val="24"/>
        </w:rPr>
        <w:t xml:space="preserve"> </w:t>
      </w:r>
    </w:p>
    <w:p w:rsidR="00C32E9C" w:rsidRPr="00880F83" w:rsidRDefault="00C32E9C" w:rsidP="001630CF">
      <w:pPr>
        <w:snapToGrid w:val="0"/>
        <w:spacing w:after="0" w:line="360" w:lineRule="auto"/>
        <w:jc w:val="both"/>
        <w:rPr>
          <w:rFonts w:ascii="Book Antiqua" w:hAnsi="Book Antiqua" w:cs="Times New Roman"/>
          <w:sz w:val="24"/>
          <w:szCs w:val="24"/>
          <w:lang w:eastAsia="zh-CN"/>
        </w:rPr>
      </w:pPr>
    </w:p>
    <w:p w:rsidR="00350205" w:rsidRPr="00491053" w:rsidRDefault="000D6245" w:rsidP="001630CF">
      <w:pPr>
        <w:snapToGrid w:val="0"/>
        <w:spacing w:after="0" w:line="360" w:lineRule="auto"/>
        <w:jc w:val="both"/>
        <w:rPr>
          <w:rFonts w:ascii="Book Antiqua" w:hAnsi="Book Antiqua" w:cs="Times New Roman"/>
          <w:b/>
          <w:sz w:val="24"/>
          <w:szCs w:val="24"/>
        </w:rPr>
      </w:pPr>
      <w:r w:rsidRPr="00491053">
        <w:rPr>
          <w:rFonts w:ascii="Book Antiqua" w:hAnsi="Book Antiqua" w:cs="Times New Roman"/>
          <w:b/>
          <w:i/>
          <w:sz w:val="24"/>
          <w:szCs w:val="24"/>
        </w:rPr>
        <w:lastRenderedPageBreak/>
        <w:t xml:space="preserve">Related </w:t>
      </w:r>
      <w:r w:rsidR="00880F83">
        <w:rPr>
          <w:rFonts w:ascii="Book Antiqua" w:hAnsi="Book Antiqua" w:cs="Times New Roman" w:hint="eastAsia"/>
          <w:b/>
          <w:i/>
          <w:sz w:val="24"/>
          <w:szCs w:val="24"/>
          <w:lang w:eastAsia="zh-CN"/>
        </w:rPr>
        <w:t>r</w:t>
      </w:r>
      <w:r w:rsidRPr="00491053">
        <w:rPr>
          <w:rFonts w:ascii="Book Antiqua" w:hAnsi="Book Antiqua" w:cs="Times New Roman"/>
          <w:b/>
          <w:i/>
          <w:sz w:val="24"/>
          <w:szCs w:val="24"/>
        </w:rPr>
        <w:t>eports</w:t>
      </w:r>
      <w:r w:rsidRPr="00491053">
        <w:rPr>
          <w:rFonts w:ascii="Book Antiqua" w:hAnsi="Book Antiqua" w:cs="Times New Roman"/>
          <w:b/>
          <w:sz w:val="24"/>
          <w:szCs w:val="24"/>
        </w:rPr>
        <w:t xml:space="preserve"> </w:t>
      </w:r>
    </w:p>
    <w:p w:rsidR="000D6245" w:rsidRDefault="000D6245" w:rsidP="001630CF">
      <w:pPr>
        <w:snapToGrid w:val="0"/>
        <w:spacing w:after="0" w:line="360" w:lineRule="auto"/>
        <w:ind w:left="1"/>
        <w:jc w:val="both"/>
        <w:rPr>
          <w:rFonts w:ascii="Book Antiqua" w:hAnsi="Book Antiqua" w:cs="Times New Roman"/>
          <w:sz w:val="24"/>
          <w:szCs w:val="24"/>
          <w:lang w:eastAsia="zh-CN"/>
        </w:rPr>
      </w:pPr>
      <w:r w:rsidRPr="00D85CC9">
        <w:rPr>
          <w:rFonts w:ascii="Book Antiqua" w:hAnsi="Book Antiqua" w:cs="Times New Roman"/>
          <w:sz w:val="24"/>
          <w:szCs w:val="24"/>
        </w:rPr>
        <w:t xml:space="preserve">Multiple other reports have described IV </w:t>
      </w:r>
      <w:proofErr w:type="spellStart"/>
      <w:r w:rsidRPr="00D85CC9">
        <w:rPr>
          <w:rFonts w:ascii="Book Antiqua" w:hAnsi="Book Antiqua" w:cs="Times New Roman"/>
          <w:sz w:val="24"/>
          <w:szCs w:val="24"/>
        </w:rPr>
        <w:t>amiodarone</w:t>
      </w:r>
      <w:proofErr w:type="spellEnd"/>
      <w:r w:rsidRPr="00D85CC9">
        <w:rPr>
          <w:rFonts w:ascii="Book Antiqua" w:hAnsi="Book Antiqua" w:cs="Times New Roman"/>
          <w:sz w:val="24"/>
          <w:szCs w:val="24"/>
        </w:rPr>
        <w:t xml:space="preserve"> toxicity, but its incidence, pathogenesis, and ideal treatments remain unknown. </w:t>
      </w:r>
    </w:p>
    <w:p w:rsidR="00C32E9C" w:rsidRDefault="00C32E9C" w:rsidP="001630CF">
      <w:pPr>
        <w:snapToGrid w:val="0"/>
        <w:spacing w:after="0" w:line="360" w:lineRule="auto"/>
        <w:ind w:left="1"/>
        <w:jc w:val="both"/>
        <w:rPr>
          <w:rFonts w:ascii="Book Antiqua" w:hAnsi="Book Antiqua" w:cs="Times New Roman"/>
          <w:sz w:val="24"/>
          <w:szCs w:val="24"/>
          <w:lang w:eastAsia="zh-CN"/>
        </w:rPr>
      </w:pPr>
    </w:p>
    <w:p w:rsidR="00AF0618" w:rsidRPr="00652790" w:rsidRDefault="00AF0618" w:rsidP="00AF0618">
      <w:pPr>
        <w:spacing w:after="0" w:line="360" w:lineRule="auto"/>
        <w:jc w:val="both"/>
        <w:rPr>
          <w:rFonts w:ascii="Book Antiqua" w:hAnsi="Book Antiqua"/>
          <w:b/>
          <w:i/>
          <w:sz w:val="24"/>
          <w:szCs w:val="24"/>
        </w:rPr>
      </w:pPr>
      <w:r w:rsidRPr="00652790">
        <w:rPr>
          <w:rFonts w:ascii="Book Antiqua" w:hAnsi="Book Antiqua"/>
          <w:b/>
          <w:i/>
          <w:sz w:val="24"/>
          <w:szCs w:val="24"/>
        </w:rPr>
        <w:t>Peer review</w:t>
      </w:r>
    </w:p>
    <w:p w:rsidR="00AF0618" w:rsidRDefault="00AF0618" w:rsidP="00AF0618">
      <w:pPr>
        <w:spacing w:after="0" w:line="360" w:lineRule="auto"/>
        <w:jc w:val="both"/>
        <w:rPr>
          <w:rFonts w:ascii="Book Antiqua" w:hAnsi="Book Antiqua" w:cs="Arial"/>
          <w:sz w:val="24"/>
          <w:szCs w:val="24"/>
        </w:rPr>
      </w:pPr>
      <w:r w:rsidRPr="00AF0618">
        <w:rPr>
          <w:rFonts w:ascii="Book Antiqua" w:hAnsi="Book Antiqua" w:cs="Arial"/>
          <w:sz w:val="24"/>
          <w:szCs w:val="24"/>
        </w:rPr>
        <w:t>This is an interesting case reports with various clinical issues.</w:t>
      </w:r>
      <w:r>
        <w:rPr>
          <w:rFonts w:ascii="Book Antiqua" w:hAnsi="Book Antiqua" w:cs="Arial" w:hint="eastAsia"/>
          <w:sz w:val="24"/>
          <w:szCs w:val="24"/>
          <w:lang w:eastAsia="zh-CN"/>
        </w:rPr>
        <w:t xml:space="preserve"> </w:t>
      </w:r>
      <w:r w:rsidRPr="00652790">
        <w:rPr>
          <w:rFonts w:ascii="Book Antiqua" w:hAnsi="Book Antiqua" w:cs="Arial"/>
          <w:sz w:val="24"/>
          <w:szCs w:val="24"/>
        </w:rPr>
        <w:t>The manuscript is interesting and well written.</w:t>
      </w:r>
    </w:p>
    <w:p w:rsidR="00AF0618" w:rsidRPr="00D85CC9" w:rsidRDefault="00AF0618" w:rsidP="001630CF">
      <w:pPr>
        <w:snapToGrid w:val="0"/>
        <w:spacing w:after="0" w:line="360" w:lineRule="auto"/>
        <w:ind w:left="1"/>
        <w:jc w:val="both"/>
        <w:rPr>
          <w:rFonts w:ascii="Book Antiqua" w:hAnsi="Book Antiqua" w:cs="Times New Roman"/>
          <w:sz w:val="24"/>
          <w:szCs w:val="24"/>
          <w:lang w:eastAsia="zh-CN"/>
        </w:rPr>
      </w:pPr>
    </w:p>
    <w:p w:rsidR="00F96B40" w:rsidRPr="00D85CC9" w:rsidRDefault="00880F83" w:rsidP="001630CF">
      <w:pPr>
        <w:tabs>
          <w:tab w:val="left" w:pos="1200"/>
        </w:tabs>
        <w:snapToGrid w:val="0"/>
        <w:spacing w:after="0" w:line="360" w:lineRule="auto"/>
        <w:jc w:val="both"/>
        <w:divId w:val="694235565"/>
        <w:rPr>
          <w:rFonts w:ascii="Book Antiqua" w:hAnsi="Book Antiqua"/>
          <w:sz w:val="24"/>
          <w:szCs w:val="24"/>
        </w:rPr>
      </w:pPr>
      <w:r w:rsidRPr="005E097D">
        <w:rPr>
          <w:rFonts w:ascii="Book Antiqua" w:eastAsia="DotumChe" w:hAnsi="Book Antiqua"/>
          <w:b/>
          <w:bCs/>
          <w:sz w:val="24"/>
          <w:szCs w:val="24"/>
        </w:rPr>
        <w:t>R</w:t>
      </w:r>
      <w:r w:rsidRPr="005E097D">
        <w:rPr>
          <w:rFonts w:ascii="Book Antiqua" w:hAnsi="Book Antiqua"/>
          <w:b/>
          <w:bCs/>
          <w:sz w:val="24"/>
          <w:szCs w:val="24"/>
        </w:rPr>
        <w:t>EFERENCE</w:t>
      </w:r>
      <w:r w:rsidRPr="00D85CC9">
        <w:rPr>
          <w:rFonts w:ascii="Book Antiqua" w:eastAsiaTheme="minorEastAsia" w:hAnsi="Book Antiqua"/>
          <w:sz w:val="24"/>
          <w:szCs w:val="24"/>
        </w:rPr>
        <w:t xml:space="preserve"> </w:t>
      </w:r>
      <w:r w:rsidR="00232E63" w:rsidRPr="00D85CC9">
        <w:rPr>
          <w:rFonts w:ascii="Book Antiqua" w:eastAsiaTheme="minorEastAsia" w:hAnsi="Book Antiqua"/>
          <w:sz w:val="24"/>
          <w:szCs w:val="24"/>
        </w:rPr>
        <w:fldChar w:fldCharType="begin" w:fldLock="1"/>
      </w:r>
      <w:r w:rsidR="002D1E30" w:rsidRPr="00D85CC9">
        <w:rPr>
          <w:rFonts w:ascii="Book Antiqua" w:hAnsi="Book Antiqua"/>
          <w:sz w:val="24"/>
          <w:szCs w:val="24"/>
        </w:rPr>
        <w:instrText xml:space="preserve">ADDIN Mendeley Bibliography CSL_BIBLIOGRAPHY </w:instrText>
      </w:r>
      <w:r w:rsidR="00232E63" w:rsidRPr="00D85CC9">
        <w:rPr>
          <w:rFonts w:ascii="Book Antiqua" w:eastAsiaTheme="minorEastAsia" w:hAnsi="Book Antiqua"/>
          <w:sz w:val="24"/>
          <w:szCs w:val="24"/>
        </w:rPr>
        <w:fldChar w:fldCharType="separate"/>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1</w:t>
      </w:r>
      <w:r>
        <w:rPr>
          <w:rFonts w:ascii="Book Antiqua" w:hAnsi="Book Antiqua" w:cs="宋体" w:hint="eastAsia"/>
          <w:color w:val="000000"/>
          <w:sz w:val="24"/>
          <w:szCs w:val="24"/>
        </w:rPr>
        <w:t xml:space="preserve"> </w:t>
      </w:r>
      <w:r w:rsidRPr="00F94FCE">
        <w:rPr>
          <w:rFonts w:ascii="Book Antiqua" w:hAnsi="Book Antiqua" w:cs="宋体"/>
          <w:color w:val="000000"/>
          <w:sz w:val="24"/>
          <w:szCs w:val="24"/>
        </w:rPr>
        <w:t>Am</w:t>
      </w:r>
      <w:r>
        <w:rPr>
          <w:rFonts w:ascii="Book Antiqua" w:hAnsi="Book Antiqua" w:cs="宋体"/>
          <w:color w:val="000000"/>
          <w:sz w:val="24"/>
          <w:szCs w:val="24"/>
        </w:rPr>
        <w:t>iodarone. Available from: http:</w:t>
      </w:r>
      <w:r w:rsidRPr="00F94FCE">
        <w:rPr>
          <w:rFonts w:ascii="Book Antiqua" w:hAnsi="Book Antiqua" w:cs="宋体"/>
          <w:color w:val="000000"/>
          <w:sz w:val="24"/>
          <w:szCs w:val="24"/>
        </w:rPr>
        <w:t>//livertox.nlm.nih.gov/Amiodarone.htm</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2 </w:t>
      </w:r>
      <w:r w:rsidRPr="00F94FCE">
        <w:rPr>
          <w:rFonts w:ascii="Book Antiqua" w:hAnsi="Book Antiqua" w:cs="宋体"/>
          <w:b/>
          <w:bCs/>
          <w:color w:val="000000"/>
          <w:sz w:val="24"/>
          <w:szCs w:val="24"/>
        </w:rPr>
        <w:t>Gluck N</w:t>
      </w:r>
      <w:r w:rsidRPr="00F94FCE">
        <w:rPr>
          <w:rFonts w:ascii="Book Antiqua" w:hAnsi="Book Antiqua" w:cs="宋体"/>
          <w:color w:val="000000"/>
          <w:sz w:val="24"/>
          <w:szCs w:val="24"/>
        </w:rPr>
        <w:t>, Fried M, Porat R. Acute amiodarone liver toxicity likely due to ischemic hepatitis. </w:t>
      </w:r>
      <w:r w:rsidRPr="00F94FCE">
        <w:rPr>
          <w:rFonts w:ascii="Book Antiqua" w:hAnsi="Book Antiqua" w:cs="宋体"/>
          <w:i/>
          <w:iCs/>
          <w:color w:val="000000"/>
          <w:sz w:val="24"/>
          <w:szCs w:val="24"/>
        </w:rPr>
        <w:t>Isr Med Assoc J</w:t>
      </w:r>
      <w:r w:rsidRPr="00F94FCE">
        <w:rPr>
          <w:rFonts w:ascii="Book Antiqua" w:hAnsi="Book Antiqua" w:cs="宋体"/>
          <w:color w:val="000000"/>
          <w:sz w:val="24"/>
          <w:szCs w:val="24"/>
        </w:rPr>
        <w:t> 2011; </w:t>
      </w:r>
      <w:r w:rsidRPr="00F94FCE">
        <w:rPr>
          <w:rFonts w:ascii="Book Antiqua" w:hAnsi="Book Antiqua" w:cs="宋体"/>
          <w:b/>
          <w:bCs/>
          <w:color w:val="000000"/>
          <w:sz w:val="24"/>
          <w:szCs w:val="24"/>
        </w:rPr>
        <w:t>13</w:t>
      </w:r>
      <w:r w:rsidRPr="00F94FCE">
        <w:rPr>
          <w:rFonts w:ascii="Book Antiqua" w:hAnsi="Book Antiqua" w:cs="宋体"/>
          <w:color w:val="000000"/>
          <w:sz w:val="24"/>
          <w:szCs w:val="24"/>
        </w:rPr>
        <w:t>: 748-752 [PMID: 22332445]</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3 </w:t>
      </w:r>
      <w:r w:rsidRPr="00F94FCE">
        <w:rPr>
          <w:rFonts w:ascii="Book Antiqua" w:hAnsi="Book Antiqua" w:cs="宋体"/>
          <w:b/>
          <w:bCs/>
          <w:color w:val="000000"/>
          <w:sz w:val="24"/>
          <w:szCs w:val="24"/>
        </w:rPr>
        <w:t>Lee WM</w:t>
      </w:r>
      <w:r w:rsidRPr="00F94FCE">
        <w:rPr>
          <w:rFonts w:ascii="Book Antiqua" w:hAnsi="Book Antiqua" w:cs="宋体"/>
          <w:color w:val="000000"/>
          <w:sz w:val="24"/>
          <w:szCs w:val="24"/>
        </w:rPr>
        <w:t>, Hynan LS, Rossaro L, Fontana RJ, Stravitz RT, Larson AM, Davern TJ, Murray NG, McCashland T, Reisch JS, Robuck PR. Intravenous N-acetylcysteine improves transplant-free survival in early stage non-acetaminophen acute liver failure. </w:t>
      </w:r>
      <w:r w:rsidRPr="00F94FCE">
        <w:rPr>
          <w:rFonts w:ascii="Book Antiqua" w:hAnsi="Book Antiqua" w:cs="宋体"/>
          <w:i/>
          <w:iCs/>
          <w:color w:val="000000"/>
          <w:sz w:val="24"/>
          <w:szCs w:val="24"/>
        </w:rPr>
        <w:t>Gastroenterology</w:t>
      </w:r>
      <w:r w:rsidRPr="00F94FCE">
        <w:rPr>
          <w:rFonts w:ascii="Book Antiqua" w:hAnsi="Book Antiqua" w:cs="宋体"/>
          <w:color w:val="000000"/>
          <w:sz w:val="24"/>
          <w:szCs w:val="24"/>
        </w:rPr>
        <w:t> 2009; </w:t>
      </w:r>
      <w:r w:rsidRPr="00F94FCE">
        <w:rPr>
          <w:rFonts w:ascii="Book Antiqua" w:hAnsi="Book Antiqua" w:cs="宋体"/>
          <w:b/>
          <w:bCs/>
          <w:color w:val="000000"/>
          <w:sz w:val="24"/>
          <w:szCs w:val="24"/>
        </w:rPr>
        <w:t>137</w:t>
      </w:r>
      <w:r w:rsidRPr="00F94FCE">
        <w:rPr>
          <w:rFonts w:ascii="Book Antiqua" w:hAnsi="Book Antiqua" w:cs="宋体"/>
          <w:color w:val="000000"/>
          <w:sz w:val="24"/>
          <w:szCs w:val="24"/>
        </w:rPr>
        <w:t>: 856-</w:t>
      </w:r>
      <w:r>
        <w:rPr>
          <w:rFonts w:ascii="Book Antiqua" w:hAnsi="Book Antiqua" w:cs="宋体" w:hint="eastAsia"/>
          <w:color w:val="000000"/>
          <w:sz w:val="24"/>
          <w:szCs w:val="24"/>
        </w:rPr>
        <w:t>8</w:t>
      </w:r>
      <w:r w:rsidRPr="00F94FCE">
        <w:rPr>
          <w:rFonts w:ascii="Book Antiqua" w:hAnsi="Book Antiqua" w:cs="宋体"/>
          <w:color w:val="000000"/>
          <w:sz w:val="24"/>
          <w:szCs w:val="24"/>
        </w:rPr>
        <w:t>64.e1 [PMID: 19524577 DOI: 10.1053/j.gastro.2009.06.006]</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4 </w:t>
      </w:r>
      <w:r w:rsidRPr="00F94FCE">
        <w:rPr>
          <w:rFonts w:ascii="Book Antiqua" w:hAnsi="Book Antiqua" w:cs="宋体"/>
          <w:b/>
          <w:bCs/>
          <w:color w:val="000000"/>
          <w:sz w:val="24"/>
          <w:szCs w:val="24"/>
        </w:rPr>
        <w:t>Squires RH</w:t>
      </w:r>
      <w:r w:rsidRPr="00F94FCE">
        <w:rPr>
          <w:rFonts w:ascii="Book Antiqua" w:hAnsi="Book Antiqua" w:cs="宋体"/>
          <w:color w:val="000000"/>
          <w:sz w:val="24"/>
          <w:szCs w:val="24"/>
        </w:rPr>
        <w:t>, Dhawan A, Alonso E, Narkewicz MR, Shneider BL, Rodriguez-Baez N, Olio DD, Karpen S, Bucuvalas J, Lobritto S, Rand E, Rosenthal P, Horslen S, Ng V, Subbarao G, Kerkar N, Rudnick D, Lopez MJ, Schwarz K, Romero R, Elisofon S, Doo E, Robuck PR, Lawlor S, Belle SH. Intravenous N-acetylcysteine in pediatric patients with nonacetaminophen acute liver failure: a placebo-controlled clinical trial. </w:t>
      </w:r>
      <w:r w:rsidRPr="00F94FCE">
        <w:rPr>
          <w:rFonts w:ascii="Book Antiqua" w:hAnsi="Book Antiqua" w:cs="宋体"/>
          <w:i/>
          <w:iCs/>
          <w:color w:val="000000"/>
          <w:sz w:val="24"/>
          <w:szCs w:val="24"/>
        </w:rPr>
        <w:t>Hepatology</w:t>
      </w:r>
      <w:r w:rsidRPr="00F94FCE">
        <w:rPr>
          <w:rFonts w:ascii="Book Antiqua" w:hAnsi="Book Antiqua" w:cs="宋体"/>
          <w:color w:val="000000"/>
          <w:sz w:val="24"/>
          <w:szCs w:val="24"/>
        </w:rPr>
        <w:t> 2013; </w:t>
      </w:r>
      <w:r w:rsidRPr="00F94FCE">
        <w:rPr>
          <w:rFonts w:ascii="Book Antiqua" w:hAnsi="Book Antiqua" w:cs="宋体"/>
          <w:b/>
          <w:bCs/>
          <w:color w:val="000000"/>
          <w:sz w:val="24"/>
          <w:szCs w:val="24"/>
        </w:rPr>
        <w:t>57</w:t>
      </w:r>
      <w:r w:rsidRPr="00F94FCE">
        <w:rPr>
          <w:rFonts w:ascii="Book Antiqua" w:hAnsi="Book Antiqua" w:cs="宋体"/>
          <w:color w:val="000000"/>
          <w:sz w:val="24"/>
          <w:szCs w:val="24"/>
        </w:rPr>
        <w:t>: 1542-1549 [PMID: 22886633 DOI: 10.1002/hep.26001]</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5 </w:t>
      </w:r>
      <w:r w:rsidRPr="00F94FCE">
        <w:rPr>
          <w:rFonts w:ascii="Book Antiqua" w:hAnsi="Book Antiqua" w:cs="宋体"/>
          <w:b/>
          <w:bCs/>
          <w:color w:val="000000"/>
          <w:sz w:val="24"/>
          <w:szCs w:val="24"/>
        </w:rPr>
        <w:t>Hadžić N</w:t>
      </w:r>
      <w:r w:rsidRPr="00F94FCE">
        <w:rPr>
          <w:rFonts w:ascii="Book Antiqua" w:hAnsi="Book Antiqua" w:cs="宋体"/>
          <w:color w:val="000000"/>
          <w:sz w:val="24"/>
          <w:szCs w:val="24"/>
        </w:rPr>
        <w:t>. Challenging the dogmas; the NAC tie. </w:t>
      </w:r>
      <w:r w:rsidRPr="00F94FCE">
        <w:rPr>
          <w:rFonts w:ascii="Book Antiqua" w:hAnsi="Book Antiqua" w:cs="宋体"/>
          <w:i/>
          <w:iCs/>
          <w:color w:val="000000"/>
          <w:sz w:val="24"/>
          <w:szCs w:val="24"/>
        </w:rPr>
        <w:t>Hepatology</w:t>
      </w:r>
      <w:r w:rsidRPr="00F94FCE">
        <w:rPr>
          <w:rFonts w:ascii="Book Antiqua" w:hAnsi="Book Antiqua" w:cs="宋体"/>
          <w:color w:val="000000"/>
          <w:sz w:val="24"/>
          <w:szCs w:val="24"/>
        </w:rPr>
        <w:t> 2013; </w:t>
      </w:r>
      <w:r w:rsidRPr="00F94FCE">
        <w:rPr>
          <w:rFonts w:ascii="Book Antiqua" w:hAnsi="Book Antiqua" w:cs="宋体"/>
          <w:b/>
          <w:bCs/>
          <w:color w:val="000000"/>
          <w:sz w:val="24"/>
          <w:szCs w:val="24"/>
        </w:rPr>
        <w:t>57</w:t>
      </w:r>
      <w:r w:rsidRPr="00F94FCE">
        <w:rPr>
          <w:rFonts w:ascii="Book Antiqua" w:hAnsi="Book Antiqua" w:cs="宋体"/>
          <w:color w:val="000000"/>
          <w:sz w:val="24"/>
          <w:szCs w:val="24"/>
        </w:rPr>
        <w:t>: 1297-1300 [PMID: 22941945 DOI: 10.1002/hep.26044]</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6 </w:t>
      </w:r>
      <w:r w:rsidRPr="00F94FCE">
        <w:rPr>
          <w:rFonts w:ascii="Book Antiqua" w:hAnsi="Book Antiqua" w:cs="宋体"/>
          <w:b/>
          <w:bCs/>
          <w:color w:val="000000"/>
          <w:sz w:val="24"/>
          <w:szCs w:val="24"/>
        </w:rPr>
        <w:t>Serviddio G</w:t>
      </w:r>
      <w:r w:rsidRPr="00F94FCE">
        <w:rPr>
          <w:rFonts w:ascii="Book Antiqua" w:hAnsi="Book Antiqua" w:cs="宋体"/>
          <w:color w:val="000000"/>
          <w:sz w:val="24"/>
          <w:szCs w:val="24"/>
        </w:rPr>
        <w:t xml:space="preserve">, Bellanti F, Giudetti AM, Gnoni GV, Capitanio N, Tamborra R, Romano AD, Quinto M, Blonda M, Vendemiale G, Altomare E. Mitochondrial oxidative stress and respiratory chain dysfunction account for liver toxicity during amiodarone but not </w:t>
      </w:r>
      <w:r w:rsidRPr="00F94FCE">
        <w:rPr>
          <w:rFonts w:ascii="Book Antiqua" w:hAnsi="Book Antiqua" w:cs="宋体"/>
          <w:color w:val="000000"/>
          <w:sz w:val="24"/>
          <w:szCs w:val="24"/>
        </w:rPr>
        <w:lastRenderedPageBreak/>
        <w:t>dronedarone administration. </w:t>
      </w:r>
      <w:r w:rsidRPr="00F94FCE">
        <w:rPr>
          <w:rFonts w:ascii="Book Antiqua" w:hAnsi="Book Antiqua" w:cs="宋体"/>
          <w:i/>
          <w:iCs/>
          <w:color w:val="000000"/>
          <w:sz w:val="24"/>
          <w:szCs w:val="24"/>
        </w:rPr>
        <w:t>Free Radic Biol Med</w:t>
      </w:r>
      <w:r w:rsidRPr="00F94FCE">
        <w:rPr>
          <w:rFonts w:ascii="Book Antiqua" w:hAnsi="Book Antiqua" w:cs="宋体"/>
          <w:color w:val="000000"/>
          <w:sz w:val="24"/>
          <w:szCs w:val="24"/>
        </w:rPr>
        <w:t> 2011; </w:t>
      </w:r>
      <w:r w:rsidRPr="00F94FCE">
        <w:rPr>
          <w:rFonts w:ascii="Book Antiqua" w:hAnsi="Book Antiqua" w:cs="宋体"/>
          <w:b/>
          <w:bCs/>
          <w:color w:val="000000"/>
          <w:sz w:val="24"/>
          <w:szCs w:val="24"/>
        </w:rPr>
        <w:t>51</w:t>
      </w:r>
      <w:r w:rsidRPr="00F94FCE">
        <w:rPr>
          <w:rFonts w:ascii="Book Antiqua" w:hAnsi="Book Antiqua" w:cs="宋体"/>
          <w:color w:val="000000"/>
          <w:sz w:val="24"/>
          <w:szCs w:val="24"/>
        </w:rPr>
        <w:t>: 2234-2242 [PMID: 21971348 DOI: 10.1016/j.freeradbiomed.2011.09.004]</w:t>
      </w:r>
    </w:p>
    <w:p w:rsidR="00386206" w:rsidRPr="00F94FCE" w:rsidRDefault="00386206" w:rsidP="00386206">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7</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Kannan R</w:t>
      </w:r>
      <w:r w:rsidRPr="00F94FCE">
        <w:rPr>
          <w:rFonts w:ascii="Book Antiqua" w:hAnsi="Book Antiqua" w:cs="宋体"/>
          <w:color w:val="000000"/>
          <w:sz w:val="24"/>
          <w:szCs w:val="24"/>
        </w:rPr>
        <w:t>, Sarma JS, Guha M, Venkataraman K. Tissue drug accumulation and ultrastructural changes during amiodarone administration in rats. </w:t>
      </w:r>
      <w:r w:rsidRPr="00F94FCE">
        <w:rPr>
          <w:rFonts w:ascii="Book Antiqua" w:hAnsi="Book Antiqua" w:cs="宋体"/>
          <w:i/>
          <w:iCs/>
          <w:color w:val="000000"/>
          <w:sz w:val="24"/>
          <w:szCs w:val="24"/>
        </w:rPr>
        <w:t>Fundam Appl Toxicol</w:t>
      </w:r>
      <w:r w:rsidRPr="00F94FCE">
        <w:rPr>
          <w:rFonts w:ascii="Book Antiqua" w:hAnsi="Book Antiqua" w:cs="宋体"/>
          <w:color w:val="000000"/>
          <w:sz w:val="24"/>
          <w:szCs w:val="24"/>
        </w:rPr>
        <w:t> 1989; </w:t>
      </w:r>
      <w:r w:rsidRPr="00F94FCE">
        <w:rPr>
          <w:rFonts w:ascii="Book Antiqua" w:hAnsi="Book Antiqua" w:cs="宋体"/>
          <w:b/>
          <w:bCs/>
          <w:color w:val="000000"/>
          <w:sz w:val="24"/>
          <w:szCs w:val="24"/>
        </w:rPr>
        <w:t>13</w:t>
      </w:r>
      <w:r w:rsidRPr="00F94FCE">
        <w:rPr>
          <w:rFonts w:ascii="Book Antiqua" w:hAnsi="Book Antiqua" w:cs="宋体"/>
          <w:color w:val="000000"/>
          <w:sz w:val="24"/>
          <w:szCs w:val="24"/>
        </w:rPr>
        <w:t>: 793-803 [PMID: 2620796]</w:t>
      </w:r>
    </w:p>
    <w:p w:rsidR="00386206" w:rsidRPr="00F94FCE" w:rsidRDefault="00386206" w:rsidP="00386206">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8</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Hein OV</w:t>
      </w:r>
      <w:r w:rsidRPr="00F94FCE">
        <w:rPr>
          <w:rFonts w:ascii="Book Antiqua" w:hAnsi="Book Antiqua" w:cs="宋体"/>
          <w:color w:val="000000"/>
          <w:sz w:val="24"/>
          <w:szCs w:val="24"/>
        </w:rPr>
        <w:t>, Ohring R, Schilling A, Oellerich M, Armstrong VW, Kox WJ, Spies C. N-acetylcysteine decreases lactate signal intensities in liver tissue and improves liver function in septic shock patients, as shown by magnetic resonance spectroscopy: extended case report. </w:t>
      </w:r>
      <w:r w:rsidRPr="00F94FCE">
        <w:rPr>
          <w:rFonts w:ascii="Book Antiqua" w:hAnsi="Book Antiqua" w:cs="宋体"/>
          <w:i/>
          <w:iCs/>
          <w:color w:val="000000"/>
          <w:sz w:val="24"/>
          <w:szCs w:val="24"/>
        </w:rPr>
        <w:t>Crit Care</w:t>
      </w:r>
      <w:r w:rsidRPr="00F94FCE">
        <w:rPr>
          <w:rFonts w:ascii="Book Antiqua" w:hAnsi="Book Antiqua" w:cs="宋体"/>
          <w:color w:val="000000"/>
          <w:sz w:val="24"/>
          <w:szCs w:val="24"/>
        </w:rPr>
        <w:t> 2004; </w:t>
      </w:r>
      <w:r w:rsidRPr="00F94FCE">
        <w:rPr>
          <w:rFonts w:ascii="Book Antiqua" w:hAnsi="Book Antiqua" w:cs="宋体"/>
          <w:b/>
          <w:bCs/>
          <w:color w:val="000000"/>
          <w:sz w:val="24"/>
          <w:szCs w:val="24"/>
        </w:rPr>
        <w:t>8</w:t>
      </w:r>
      <w:r w:rsidRPr="00F94FCE">
        <w:rPr>
          <w:rFonts w:ascii="Book Antiqua" w:hAnsi="Book Antiqua" w:cs="宋体"/>
          <w:color w:val="000000"/>
          <w:sz w:val="24"/>
          <w:szCs w:val="24"/>
        </w:rPr>
        <w:t>: R66-R71 [PMID: 15025780 DOI: 10.1186/cc2426]</w:t>
      </w:r>
    </w:p>
    <w:p w:rsidR="00386206" w:rsidRPr="00F94FCE" w:rsidRDefault="00386206" w:rsidP="00386206">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9</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Saito C</w:t>
      </w:r>
      <w:r w:rsidRPr="00F94FCE">
        <w:rPr>
          <w:rFonts w:ascii="Book Antiqua" w:hAnsi="Book Antiqua" w:cs="宋体"/>
          <w:color w:val="000000"/>
          <w:sz w:val="24"/>
          <w:szCs w:val="24"/>
        </w:rPr>
        <w:t>, Zwingmann C, Jaeschke H. Novel mechanisms of protection against acetaminophen hepatotoxicity in mice by glutathione and N-acetylcysteine. </w:t>
      </w:r>
      <w:r w:rsidRPr="00F94FCE">
        <w:rPr>
          <w:rFonts w:ascii="Book Antiqua" w:hAnsi="Book Antiqua" w:cs="宋体"/>
          <w:i/>
          <w:iCs/>
          <w:color w:val="000000"/>
          <w:sz w:val="24"/>
          <w:szCs w:val="24"/>
        </w:rPr>
        <w:t>Hepatology</w:t>
      </w:r>
      <w:r w:rsidRPr="00F94FCE">
        <w:rPr>
          <w:rFonts w:ascii="Book Antiqua" w:hAnsi="Book Antiqua" w:cs="宋体"/>
          <w:color w:val="000000"/>
          <w:sz w:val="24"/>
          <w:szCs w:val="24"/>
        </w:rPr>
        <w:t> 2010; </w:t>
      </w:r>
      <w:r w:rsidRPr="00F94FCE">
        <w:rPr>
          <w:rFonts w:ascii="Book Antiqua" w:hAnsi="Book Antiqua" w:cs="宋体"/>
          <w:b/>
          <w:bCs/>
          <w:color w:val="000000"/>
          <w:sz w:val="24"/>
          <w:szCs w:val="24"/>
        </w:rPr>
        <w:t>51</w:t>
      </w:r>
      <w:r w:rsidRPr="00F94FCE">
        <w:rPr>
          <w:rFonts w:ascii="Book Antiqua" w:hAnsi="Book Antiqua" w:cs="宋体"/>
          <w:color w:val="000000"/>
          <w:sz w:val="24"/>
          <w:szCs w:val="24"/>
        </w:rPr>
        <w:t>: 246-254 [PMID: 19821517 DOI: 10.1002/hep.23267]</w:t>
      </w:r>
    </w:p>
    <w:p w:rsidR="00386206" w:rsidRPr="00F94FCE" w:rsidRDefault="00386206" w:rsidP="00386206">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1</w:t>
      </w:r>
      <w:r>
        <w:rPr>
          <w:rFonts w:ascii="Book Antiqua" w:hAnsi="Book Antiqua" w:cs="宋体" w:hint="eastAsia"/>
          <w:color w:val="000000"/>
          <w:sz w:val="24"/>
          <w:szCs w:val="24"/>
          <w:lang w:eastAsia="zh-CN"/>
        </w:rPr>
        <w:t>0</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Zwingmann C</w:t>
      </w:r>
      <w:r w:rsidRPr="00F94FCE">
        <w:rPr>
          <w:rFonts w:ascii="Book Antiqua" w:hAnsi="Book Antiqua" w:cs="宋体"/>
          <w:color w:val="000000"/>
          <w:sz w:val="24"/>
          <w:szCs w:val="24"/>
        </w:rPr>
        <w:t>, Bilodeau M. Metabolic insights into the hepatoprotective role of N-acetylcysteine in mouse liver. </w:t>
      </w:r>
      <w:r w:rsidRPr="00F94FCE">
        <w:rPr>
          <w:rFonts w:ascii="Book Antiqua" w:hAnsi="Book Antiqua" w:cs="宋体"/>
          <w:i/>
          <w:iCs/>
          <w:color w:val="000000"/>
          <w:sz w:val="24"/>
          <w:szCs w:val="24"/>
        </w:rPr>
        <w:t>Hepatology</w:t>
      </w:r>
      <w:r w:rsidRPr="00F94FCE">
        <w:rPr>
          <w:rFonts w:ascii="Book Antiqua" w:hAnsi="Book Antiqua" w:cs="宋体"/>
          <w:color w:val="000000"/>
          <w:sz w:val="24"/>
          <w:szCs w:val="24"/>
        </w:rPr>
        <w:t> 2006; </w:t>
      </w:r>
      <w:r w:rsidRPr="00F94FCE">
        <w:rPr>
          <w:rFonts w:ascii="Book Antiqua" w:hAnsi="Book Antiqua" w:cs="宋体"/>
          <w:b/>
          <w:bCs/>
          <w:color w:val="000000"/>
          <w:sz w:val="24"/>
          <w:szCs w:val="24"/>
        </w:rPr>
        <w:t>43</w:t>
      </w:r>
      <w:r w:rsidRPr="00F94FCE">
        <w:rPr>
          <w:rFonts w:ascii="Book Antiqua" w:hAnsi="Book Antiqua" w:cs="宋体"/>
          <w:color w:val="000000"/>
          <w:sz w:val="24"/>
          <w:szCs w:val="24"/>
        </w:rPr>
        <w:t>: 454-463 [PMID: 16496303 DOI: 10.1002/hep.21075]</w:t>
      </w:r>
    </w:p>
    <w:p w:rsidR="00386206" w:rsidRPr="001630CF" w:rsidRDefault="00386206" w:rsidP="00386206">
      <w:pPr>
        <w:snapToGrid w:val="0"/>
        <w:spacing w:after="0" w:line="360" w:lineRule="auto"/>
        <w:rPr>
          <w:rFonts w:ascii="Book Antiqua" w:hAnsi="Book Antiqua" w:cs="宋体"/>
          <w:color w:val="000000"/>
          <w:sz w:val="24"/>
          <w:szCs w:val="24"/>
          <w:lang w:eastAsia="zh-CN"/>
        </w:rPr>
      </w:pPr>
      <w:r w:rsidRPr="00F94FCE">
        <w:rPr>
          <w:rFonts w:ascii="Book Antiqua" w:hAnsi="Book Antiqua" w:cs="宋体"/>
          <w:color w:val="000000"/>
          <w:sz w:val="24"/>
          <w:szCs w:val="24"/>
        </w:rPr>
        <w:t>1</w:t>
      </w:r>
      <w:r>
        <w:rPr>
          <w:rFonts w:ascii="Book Antiqua" w:hAnsi="Book Antiqua" w:cs="宋体" w:hint="eastAsia"/>
          <w:color w:val="000000"/>
          <w:sz w:val="24"/>
          <w:szCs w:val="24"/>
          <w:lang w:eastAsia="zh-CN"/>
        </w:rPr>
        <w:t>1</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Zafarullah M</w:t>
      </w:r>
      <w:r w:rsidRPr="00F94FCE">
        <w:rPr>
          <w:rFonts w:ascii="Book Antiqua" w:hAnsi="Book Antiqua" w:cs="宋体"/>
          <w:color w:val="000000"/>
          <w:sz w:val="24"/>
          <w:szCs w:val="24"/>
        </w:rPr>
        <w:t>, Li WQ, Sylvester J, Ahmad M. Molecular mechanisms of N-acetylcysteine actions. </w:t>
      </w:r>
      <w:r w:rsidRPr="00F94FCE">
        <w:rPr>
          <w:rFonts w:ascii="Book Antiqua" w:hAnsi="Book Antiqua" w:cs="宋体"/>
          <w:i/>
          <w:iCs/>
          <w:color w:val="000000"/>
          <w:sz w:val="24"/>
          <w:szCs w:val="24"/>
        </w:rPr>
        <w:t>Cell Mol Life Sci</w:t>
      </w:r>
      <w:r w:rsidRPr="00F94FCE">
        <w:rPr>
          <w:rFonts w:ascii="Book Antiqua" w:hAnsi="Book Antiqua" w:cs="宋体"/>
          <w:color w:val="000000"/>
          <w:sz w:val="24"/>
          <w:szCs w:val="24"/>
        </w:rPr>
        <w:t> 2003; </w:t>
      </w:r>
      <w:r w:rsidRPr="00F94FCE">
        <w:rPr>
          <w:rFonts w:ascii="Book Antiqua" w:hAnsi="Book Antiqua" w:cs="宋体"/>
          <w:b/>
          <w:bCs/>
          <w:color w:val="000000"/>
          <w:sz w:val="24"/>
          <w:szCs w:val="24"/>
        </w:rPr>
        <w:t>60</w:t>
      </w:r>
      <w:r w:rsidRPr="00F94FCE">
        <w:rPr>
          <w:rFonts w:ascii="Book Antiqua" w:hAnsi="Book Antiqua" w:cs="宋体"/>
          <w:color w:val="000000"/>
          <w:sz w:val="24"/>
          <w:szCs w:val="24"/>
        </w:rPr>
        <w:t>: 6-20 [PMID: 12613655]</w:t>
      </w:r>
    </w:p>
    <w:p w:rsidR="001630CF" w:rsidRPr="00F94FCE" w:rsidRDefault="00386206" w:rsidP="001630CF">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12</w:t>
      </w:r>
      <w:r w:rsidR="001630CF" w:rsidRPr="00F94FCE">
        <w:rPr>
          <w:rFonts w:ascii="Book Antiqua" w:hAnsi="Book Antiqua" w:cs="宋体"/>
          <w:color w:val="000000"/>
          <w:sz w:val="24"/>
          <w:szCs w:val="24"/>
        </w:rPr>
        <w:t> </w:t>
      </w:r>
      <w:r w:rsidR="001630CF" w:rsidRPr="00F94FCE">
        <w:rPr>
          <w:rFonts w:ascii="Book Antiqua" w:hAnsi="Book Antiqua" w:cs="宋体"/>
          <w:b/>
          <w:bCs/>
          <w:color w:val="000000"/>
          <w:sz w:val="24"/>
          <w:szCs w:val="24"/>
        </w:rPr>
        <w:t>Durukan AB</w:t>
      </w:r>
      <w:r w:rsidR="001630CF" w:rsidRPr="00F94FCE">
        <w:rPr>
          <w:rFonts w:ascii="Book Antiqua" w:hAnsi="Book Antiqua" w:cs="宋体"/>
          <w:color w:val="000000"/>
          <w:sz w:val="24"/>
          <w:szCs w:val="24"/>
        </w:rPr>
        <w:t>, Erdem B, Durukan E, Sevim H, Karaduman T, Gurbuz HA, Gurpinar A, Yorgancioglu C. May toxicity of amiodarone be prevented by antioxidants? A cell-culture study. </w:t>
      </w:r>
      <w:r w:rsidR="001630CF" w:rsidRPr="00F94FCE">
        <w:rPr>
          <w:rFonts w:ascii="Book Antiqua" w:hAnsi="Book Antiqua" w:cs="宋体"/>
          <w:i/>
          <w:iCs/>
          <w:color w:val="000000"/>
          <w:sz w:val="24"/>
          <w:szCs w:val="24"/>
        </w:rPr>
        <w:t>J Cardiothorac Surg</w:t>
      </w:r>
      <w:r w:rsidR="001630CF" w:rsidRPr="00F94FCE">
        <w:rPr>
          <w:rFonts w:ascii="Book Antiqua" w:hAnsi="Book Antiqua" w:cs="宋体"/>
          <w:color w:val="000000"/>
          <w:sz w:val="24"/>
          <w:szCs w:val="24"/>
        </w:rPr>
        <w:t> 2012; </w:t>
      </w:r>
      <w:r w:rsidR="001630CF" w:rsidRPr="00F94FCE">
        <w:rPr>
          <w:rFonts w:ascii="Book Antiqua" w:hAnsi="Book Antiqua" w:cs="宋体"/>
          <w:b/>
          <w:bCs/>
          <w:color w:val="000000"/>
          <w:sz w:val="24"/>
          <w:szCs w:val="24"/>
        </w:rPr>
        <w:t>7</w:t>
      </w:r>
      <w:r w:rsidR="001630CF" w:rsidRPr="00F94FCE">
        <w:rPr>
          <w:rFonts w:ascii="Book Antiqua" w:hAnsi="Book Antiqua" w:cs="宋体"/>
          <w:color w:val="000000"/>
          <w:sz w:val="24"/>
          <w:szCs w:val="24"/>
        </w:rPr>
        <w:t>: 61 [PMID: 22741616 DOI: 10.1186/1749-8090-7-61]</w:t>
      </w:r>
    </w:p>
    <w:p w:rsidR="001630CF" w:rsidRPr="00F94FCE" w:rsidRDefault="00386206" w:rsidP="001630CF">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13</w:t>
      </w:r>
      <w:r w:rsidR="001630CF" w:rsidRPr="00F94FCE">
        <w:rPr>
          <w:rFonts w:ascii="Book Antiqua" w:hAnsi="Book Antiqua" w:cs="宋体"/>
          <w:color w:val="000000"/>
          <w:sz w:val="24"/>
          <w:szCs w:val="24"/>
        </w:rPr>
        <w:t> </w:t>
      </w:r>
      <w:r w:rsidR="001630CF" w:rsidRPr="00F94FCE">
        <w:rPr>
          <w:rFonts w:ascii="Book Antiqua" w:hAnsi="Book Antiqua" w:cs="宋体"/>
          <w:b/>
          <w:bCs/>
          <w:color w:val="000000"/>
          <w:sz w:val="24"/>
          <w:szCs w:val="24"/>
        </w:rPr>
        <w:t>Henrion J</w:t>
      </w:r>
      <w:r w:rsidR="001630CF" w:rsidRPr="00F94FCE">
        <w:rPr>
          <w:rFonts w:ascii="Book Antiqua" w:hAnsi="Book Antiqua" w:cs="宋体"/>
          <w:color w:val="000000"/>
          <w:sz w:val="24"/>
          <w:szCs w:val="24"/>
        </w:rPr>
        <w:t>. Hypoxic hepatitis. </w:t>
      </w:r>
      <w:r w:rsidR="001630CF" w:rsidRPr="00F94FCE">
        <w:rPr>
          <w:rFonts w:ascii="Book Antiqua" w:hAnsi="Book Antiqua" w:cs="宋体"/>
          <w:i/>
          <w:iCs/>
          <w:color w:val="000000"/>
          <w:sz w:val="24"/>
          <w:szCs w:val="24"/>
        </w:rPr>
        <w:t>Liver Int</w:t>
      </w:r>
      <w:r w:rsidR="001630CF" w:rsidRPr="00F94FCE">
        <w:rPr>
          <w:rFonts w:ascii="Book Antiqua" w:hAnsi="Book Antiqua" w:cs="宋体"/>
          <w:color w:val="000000"/>
          <w:sz w:val="24"/>
          <w:szCs w:val="24"/>
        </w:rPr>
        <w:t> 2012; </w:t>
      </w:r>
      <w:r w:rsidR="001630CF" w:rsidRPr="00F94FCE">
        <w:rPr>
          <w:rFonts w:ascii="Book Antiqua" w:hAnsi="Book Antiqua" w:cs="宋体"/>
          <w:b/>
          <w:bCs/>
          <w:color w:val="000000"/>
          <w:sz w:val="24"/>
          <w:szCs w:val="24"/>
        </w:rPr>
        <w:t>32</w:t>
      </w:r>
      <w:r w:rsidR="001630CF" w:rsidRPr="00F94FCE">
        <w:rPr>
          <w:rFonts w:ascii="Book Antiqua" w:hAnsi="Book Antiqua" w:cs="宋体"/>
          <w:color w:val="000000"/>
          <w:sz w:val="24"/>
          <w:szCs w:val="24"/>
        </w:rPr>
        <w:t>: 1039-1052 [PMID: 22098491 DOI: 10.1111/j.1478-3231.2011.02655.x]</w:t>
      </w:r>
    </w:p>
    <w:p w:rsidR="001630CF" w:rsidRPr="00F94FCE" w:rsidRDefault="00386206" w:rsidP="001630CF">
      <w:pPr>
        <w:snapToGrid w:val="0"/>
        <w:spacing w:after="0" w:line="360" w:lineRule="auto"/>
        <w:rPr>
          <w:rFonts w:ascii="Book Antiqua" w:hAnsi="Book Antiqua" w:cs="宋体"/>
          <w:color w:val="000000"/>
          <w:sz w:val="24"/>
          <w:szCs w:val="24"/>
        </w:rPr>
      </w:pPr>
      <w:r>
        <w:rPr>
          <w:rFonts w:ascii="Book Antiqua" w:hAnsi="Book Antiqua" w:cs="宋体" w:hint="eastAsia"/>
          <w:color w:val="000000"/>
          <w:sz w:val="24"/>
          <w:szCs w:val="24"/>
          <w:lang w:eastAsia="zh-CN"/>
        </w:rPr>
        <w:t>14</w:t>
      </w:r>
      <w:r w:rsidR="001630CF" w:rsidRPr="00F94FCE">
        <w:rPr>
          <w:rFonts w:ascii="Book Antiqua" w:hAnsi="Book Antiqua" w:cs="宋体"/>
          <w:color w:val="000000"/>
          <w:sz w:val="24"/>
          <w:szCs w:val="24"/>
        </w:rPr>
        <w:t> </w:t>
      </w:r>
      <w:r w:rsidR="001630CF" w:rsidRPr="00F94FCE">
        <w:rPr>
          <w:rFonts w:ascii="Book Antiqua" w:hAnsi="Book Antiqua" w:cs="宋体"/>
          <w:b/>
          <w:bCs/>
          <w:color w:val="000000"/>
          <w:sz w:val="24"/>
          <w:szCs w:val="24"/>
        </w:rPr>
        <w:t>Teschke R</w:t>
      </w:r>
      <w:r w:rsidR="001630CF" w:rsidRPr="00F94FCE">
        <w:rPr>
          <w:rFonts w:ascii="Book Antiqua" w:hAnsi="Book Antiqua" w:cs="宋体"/>
          <w:color w:val="000000"/>
          <w:sz w:val="24"/>
          <w:szCs w:val="24"/>
        </w:rPr>
        <w:t>, Wolff A, Frenzel C, Schwarzenboeck A, Schulze J, Eickhoff A. Drug and herb induced liver injury: Council for International Organizations of Medical Sciences scale for causality assessment. </w:t>
      </w:r>
      <w:r w:rsidR="001630CF" w:rsidRPr="00F94FCE">
        <w:rPr>
          <w:rFonts w:ascii="Book Antiqua" w:hAnsi="Book Antiqua" w:cs="宋体"/>
          <w:i/>
          <w:iCs/>
          <w:color w:val="000000"/>
          <w:sz w:val="24"/>
          <w:szCs w:val="24"/>
        </w:rPr>
        <w:t>World J Hepatol</w:t>
      </w:r>
      <w:r w:rsidR="001630CF" w:rsidRPr="00F94FCE">
        <w:rPr>
          <w:rFonts w:ascii="Book Antiqua" w:hAnsi="Book Antiqua" w:cs="宋体"/>
          <w:color w:val="000000"/>
          <w:sz w:val="24"/>
          <w:szCs w:val="24"/>
        </w:rPr>
        <w:t> 2014; </w:t>
      </w:r>
      <w:r w:rsidR="001630CF" w:rsidRPr="00F94FCE">
        <w:rPr>
          <w:rFonts w:ascii="Book Antiqua" w:hAnsi="Book Antiqua" w:cs="宋体"/>
          <w:b/>
          <w:bCs/>
          <w:color w:val="000000"/>
          <w:sz w:val="24"/>
          <w:szCs w:val="24"/>
        </w:rPr>
        <w:t>6</w:t>
      </w:r>
      <w:r w:rsidR="001630CF" w:rsidRPr="00F94FCE">
        <w:rPr>
          <w:rFonts w:ascii="Book Antiqua" w:hAnsi="Book Antiqua" w:cs="宋体"/>
          <w:color w:val="000000"/>
          <w:sz w:val="24"/>
          <w:szCs w:val="24"/>
        </w:rPr>
        <w:t>: 17-32 [PMID: 24653791 DOI: 10.4254/wjh.v6.i1.17]</w:t>
      </w:r>
    </w:p>
    <w:p w:rsidR="001630CF" w:rsidRPr="00F94FCE" w:rsidRDefault="001630CF" w:rsidP="001630CF">
      <w:pPr>
        <w:snapToGrid w:val="0"/>
        <w:spacing w:after="0" w:line="360" w:lineRule="auto"/>
        <w:rPr>
          <w:rFonts w:ascii="Book Antiqua" w:hAnsi="Book Antiqua" w:cs="宋体"/>
          <w:color w:val="000000"/>
          <w:sz w:val="24"/>
          <w:szCs w:val="24"/>
        </w:rPr>
      </w:pPr>
      <w:r w:rsidRPr="00F94FCE">
        <w:rPr>
          <w:rFonts w:ascii="Book Antiqua" w:hAnsi="Book Antiqua" w:cs="宋体"/>
          <w:color w:val="000000"/>
          <w:sz w:val="24"/>
          <w:szCs w:val="24"/>
        </w:rPr>
        <w:t>1</w:t>
      </w:r>
      <w:r w:rsidR="00386206">
        <w:rPr>
          <w:rFonts w:ascii="Book Antiqua" w:hAnsi="Book Antiqua" w:cs="宋体" w:hint="eastAsia"/>
          <w:color w:val="000000"/>
          <w:sz w:val="24"/>
          <w:szCs w:val="24"/>
          <w:lang w:eastAsia="zh-CN"/>
        </w:rPr>
        <w:t>5</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Giannattasio F</w:t>
      </w:r>
      <w:r w:rsidRPr="00F94FCE">
        <w:rPr>
          <w:rFonts w:ascii="Book Antiqua" w:hAnsi="Book Antiqua" w:cs="宋体"/>
          <w:color w:val="000000"/>
          <w:sz w:val="24"/>
          <w:szCs w:val="24"/>
        </w:rPr>
        <w:t xml:space="preserve">, Salvio A, Varriale M, Picciotto FP, Di Costanzo GG, Visconti M. Three cases of severe acute hepatitis after parenteral administration of amiodarone: the </w:t>
      </w:r>
      <w:r w:rsidRPr="00F94FCE">
        <w:rPr>
          <w:rFonts w:ascii="Book Antiqua" w:hAnsi="Book Antiqua" w:cs="宋体"/>
          <w:color w:val="000000"/>
          <w:sz w:val="24"/>
          <w:szCs w:val="24"/>
        </w:rPr>
        <w:lastRenderedPageBreak/>
        <w:t>active ingredient is not the only agent responsible for hepatotoxicity. </w:t>
      </w:r>
      <w:r w:rsidRPr="00F94FCE">
        <w:rPr>
          <w:rFonts w:ascii="Book Antiqua" w:hAnsi="Book Antiqua" w:cs="宋体"/>
          <w:i/>
          <w:iCs/>
          <w:color w:val="000000"/>
          <w:sz w:val="24"/>
          <w:szCs w:val="24"/>
        </w:rPr>
        <w:t>Ann Ital Med Int</w:t>
      </w:r>
      <w:r w:rsidRPr="00F94FCE">
        <w:rPr>
          <w:rFonts w:ascii="Book Antiqua" w:hAnsi="Book Antiqua" w:cs="宋体"/>
          <w:color w:val="000000"/>
          <w:sz w:val="24"/>
          <w:szCs w:val="24"/>
        </w:rPr>
        <w:t> </w:t>
      </w:r>
      <w:r>
        <w:rPr>
          <w:rFonts w:ascii="Book Antiqua" w:hAnsi="Book Antiqua" w:cs="宋体" w:hint="eastAsia"/>
          <w:color w:val="000000"/>
          <w:sz w:val="24"/>
          <w:szCs w:val="24"/>
        </w:rPr>
        <w:t>2002</w:t>
      </w:r>
      <w:r w:rsidRPr="00F94FCE">
        <w:rPr>
          <w:rFonts w:ascii="Book Antiqua" w:hAnsi="Book Antiqua" w:cs="宋体"/>
          <w:color w:val="000000"/>
          <w:sz w:val="24"/>
          <w:szCs w:val="24"/>
        </w:rPr>
        <w:t>; </w:t>
      </w:r>
      <w:r w:rsidRPr="00F94FCE">
        <w:rPr>
          <w:rFonts w:ascii="Book Antiqua" w:hAnsi="Book Antiqua" w:cs="宋体"/>
          <w:b/>
          <w:bCs/>
          <w:color w:val="000000"/>
          <w:sz w:val="24"/>
          <w:szCs w:val="24"/>
        </w:rPr>
        <w:t>17</w:t>
      </w:r>
      <w:r w:rsidRPr="00F94FCE">
        <w:rPr>
          <w:rFonts w:ascii="Book Antiqua" w:hAnsi="Book Antiqua" w:cs="宋体"/>
          <w:color w:val="000000"/>
          <w:sz w:val="24"/>
          <w:szCs w:val="24"/>
        </w:rPr>
        <w:t>: 180-184 [PMID: 12402666]</w:t>
      </w:r>
    </w:p>
    <w:p w:rsidR="00C774C7" w:rsidRPr="00D85CC9" w:rsidRDefault="00232E63" w:rsidP="001630CF">
      <w:pPr>
        <w:snapToGrid w:val="0"/>
        <w:spacing w:after="0" w:line="360" w:lineRule="auto"/>
        <w:jc w:val="both"/>
        <w:rPr>
          <w:rFonts w:ascii="Book Antiqua" w:hAnsi="Book Antiqua" w:cs="Times New Roman"/>
          <w:sz w:val="24"/>
          <w:szCs w:val="24"/>
          <w:lang w:eastAsia="zh-CN"/>
        </w:rPr>
      </w:pPr>
      <w:r w:rsidRPr="00D85CC9">
        <w:rPr>
          <w:rFonts w:ascii="Book Antiqua" w:hAnsi="Book Antiqua" w:cs="Times New Roman"/>
          <w:sz w:val="24"/>
          <w:szCs w:val="24"/>
        </w:rPr>
        <w:fldChar w:fldCharType="end"/>
      </w:r>
    </w:p>
    <w:p w:rsidR="002A5EE1" w:rsidRDefault="002A5EE1" w:rsidP="00F6473D">
      <w:pPr>
        <w:pStyle w:val="ac"/>
        <w:wordWrap w:val="0"/>
        <w:snapToGrid w:val="0"/>
        <w:spacing w:after="0" w:line="360" w:lineRule="auto"/>
        <w:ind w:left="360" w:right="120"/>
        <w:contextualSpacing w:val="0"/>
        <w:jc w:val="right"/>
        <w:rPr>
          <w:rFonts w:ascii="Book Antiqua" w:hAnsi="Book Antiqua"/>
          <w:bCs/>
          <w:color w:val="000000"/>
          <w:lang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78"/>
      <w:r w:rsidRPr="008A435A">
        <w:rPr>
          <w:rStyle w:val="ad"/>
          <w:rFonts w:ascii="Book Antiqua" w:hAnsi="Book Antiqua" w:cs="Arial"/>
          <w:noProof/>
          <w:color w:val="000000"/>
        </w:rPr>
        <w:t>P-</w:t>
      </w:r>
      <w:r>
        <w:rPr>
          <w:rStyle w:val="ad"/>
          <w:rFonts w:ascii="Book Antiqua" w:hAnsi="Book Antiqua" w:cs="Arial" w:hint="eastAsia"/>
          <w:noProof/>
          <w:color w:val="000000"/>
        </w:rPr>
        <w:t xml:space="preserve"> </w:t>
      </w:r>
      <w:r w:rsidRPr="008A435A">
        <w:rPr>
          <w:rStyle w:val="ad"/>
          <w:rFonts w:ascii="Book Antiqua" w:hAnsi="Book Antiqua" w:cs="Arial"/>
          <w:noProof/>
          <w:color w:val="000000"/>
        </w:rPr>
        <w:t>Reviewers</w:t>
      </w:r>
      <w:r w:rsidRPr="00673A62">
        <w:rPr>
          <w:rStyle w:val="ad"/>
          <w:rFonts w:ascii="Book Antiqua" w:hAnsi="Book Antiqua" w:cs="Arial"/>
          <w:noProof/>
          <w:color w:val="000000"/>
        </w:rPr>
        <w:t>:</w:t>
      </w:r>
      <w:r w:rsidRPr="008A435A">
        <w:rPr>
          <w:rFonts w:ascii="Book Antiqua" w:hAnsi="Book Antiqua"/>
          <w:bCs/>
          <w:color w:val="000000"/>
        </w:rPr>
        <w:t xml:space="preserve"> </w:t>
      </w:r>
      <w:r w:rsidR="00F6473D" w:rsidRPr="00F6473D">
        <w:rPr>
          <w:rFonts w:ascii="Book Antiqua" w:hAnsi="Book Antiqua"/>
          <w:bCs/>
          <w:color w:val="000000"/>
        </w:rPr>
        <w:t>Garcia-Fernandez</w:t>
      </w:r>
      <w:r w:rsidR="00F6473D">
        <w:rPr>
          <w:rFonts w:ascii="Book Antiqua" w:hAnsi="Book Antiqua" w:hint="eastAsia"/>
          <w:bCs/>
          <w:color w:val="000000"/>
          <w:lang w:eastAsia="zh-CN"/>
        </w:rPr>
        <w:t xml:space="preserve"> MI, </w:t>
      </w:r>
      <w:proofErr w:type="spellStart"/>
      <w:r w:rsidR="00F6473D">
        <w:rPr>
          <w:rFonts w:ascii="Book Antiqua" w:hAnsi="Book Antiqua"/>
          <w:bCs/>
          <w:color w:val="000000"/>
          <w:lang w:eastAsia="zh-CN"/>
        </w:rPr>
        <w:t>Teschke</w:t>
      </w:r>
      <w:proofErr w:type="spellEnd"/>
      <w:r w:rsidR="00F6473D" w:rsidRPr="00F6473D">
        <w:rPr>
          <w:rFonts w:ascii="Book Antiqua" w:hAnsi="Book Antiqua"/>
          <w:bCs/>
          <w:color w:val="000000"/>
          <w:lang w:eastAsia="zh-CN"/>
        </w:rPr>
        <w:t xml:space="preserve"> R</w:t>
      </w:r>
    </w:p>
    <w:p w:rsidR="002A5EE1" w:rsidRPr="00B92786" w:rsidRDefault="002A5EE1" w:rsidP="001630CF">
      <w:pPr>
        <w:pStyle w:val="ac"/>
        <w:snapToGrid w:val="0"/>
        <w:spacing w:after="0" w:line="360" w:lineRule="auto"/>
        <w:ind w:left="360" w:right="120"/>
        <w:contextualSpacing w:val="0"/>
        <w:jc w:val="right"/>
        <w:rPr>
          <w:rFonts w:ascii="Book Antiqua" w:hAnsi="Book Antiqua"/>
          <w:b/>
          <w:bCs/>
          <w:color w:val="000000"/>
          <w:lang w:eastAsia="zh-CN"/>
        </w:rPr>
      </w:pPr>
      <w:r w:rsidRPr="008A435A">
        <w:rPr>
          <w:rFonts w:ascii="Book Antiqua" w:hAnsi="Book Antiqua"/>
          <w:bCs/>
          <w:color w:val="000000"/>
        </w:rPr>
        <w:t xml:space="preserve"> </w:t>
      </w:r>
      <w:r w:rsidRPr="008A435A">
        <w:rPr>
          <w:rFonts w:ascii="Book Antiqua" w:hAnsi="Book Antiqua"/>
          <w:b/>
          <w:bCs/>
          <w:color w:val="000000"/>
        </w:rPr>
        <w:t>S-</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r w:rsidRPr="008A435A">
        <w:rPr>
          <w:rFonts w:ascii="Book Antiqua" w:hAnsi="Book Antiqua"/>
          <w:bCs/>
          <w:color w:val="000000"/>
        </w:rPr>
        <w:t xml:space="preserve"> </w:t>
      </w:r>
      <w:r>
        <w:rPr>
          <w:rFonts w:ascii="Book Antiqua" w:hAnsi="Book Antiqua" w:hint="eastAsia"/>
          <w:bCs/>
          <w:color w:val="000000"/>
        </w:rPr>
        <w:t xml:space="preserve">Nan </w:t>
      </w:r>
      <w:r>
        <w:rPr>
          <w:rFonts w:ascii="Book Antiqua" w:hAnsi="Book Antiqua" w:hint="eastAsia"/>
          <w:bCs/>
          <w:color w:val="000000"/>
          <w:lang w:eastAsia="zh-CN"/>
        </w:rPr>
        <w:t>J</w:t>
      </w:r>
      <w:r w:rsidRPr="008A435A">
        <w:rPr>
          <w:rFonts w:ascii="Book Antiqua" w:hAnsi="Book Antiqua"/>
          <w:b/>
          <w:bCs/>
          <w:color w:val="000000"/>
        </w:rPr>
        <w:t xml:space="preserve">   L-</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r w:rsidRPr="008A435A">
        <w:rPr>
          <w:rFonts w:ascii="Book Antiqua" w:hAnsi="Book Antiqua"/>
          <w:b/>
          <w:bCs/>
          <w:color w:val="000000"/>
        </w:rPr>
        <w:t xml:space="preserve">   E-</w:t>
      </w:r>
      <w:r>
        <w:rPr>
          <w:rFonts w:ascii="Book Antiqua" w:hAnsi="Book Antiqua" w:hint="eastAsia"/>
          <w:b/>
          <w:bCs/>
          <w:color w:val="000000"/>
        </w:rPr>
        <w:t xml:space="preserve"> </w:t>
      </w:r>
      <w:r w:rsidRPr="008A435A">
        <w:rPr>
          <w:rFonts w:ascii="Book Antiqua" w:hAnsi="Book Antiqua"/>
          <w:b/>
          <w:bCs/>
          <w:color w:val="000000"/>
        </w:rPr>
        <w:t>Editor</w:t>
      </w:r>
      <w:r w:rsidRPr="00673A62">
        <w:rPr>
          <w:rFonts w:ascii="Book Antiqua" w:hAnsi="Book Antiqua"/>
          <w:b/>
          <w:bCs/>
          <w:color w:val="000000"/>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E48C5" w:rsidRPr="00D85CC9" w:rsidRDefault="00FE48C5" w:rsidP="001630CF">
      <w:pPr>
        <w:snapToGrid w:val="0"/>
        <w:spacing w:after="0" w:line="360" w:lineRule="auto"/>
        <w:jc w:val="both"/>
        <w:rPr>
          <w:rFonts w:ascii="Book Antiqua" w:hAnsi="Book Antiqua" w:cs="Times New Roman"/>
          <w:sz w:val="24"/>
          <w:szCs w:val="24"/>
        </w:rPr>
      </w:pPr>
    </w:p>
    <w:p w:rsidR="00FE48C5" w:rsidRPr="00D85CC9" w:rsidRDefault="00FE48C5" w:rsidP="001630CF">
      <w:pPr>
        <w:snapToGrid w:val="0"/>
        <w:spacing w:after="0" w:line="360" w:lineRule="auto"/>
        <w:jc w:val="both"/>
        <w:rPr>
          <w:rFonts w:ascii="Book Antiqua" w:hAnsi="Book Antiqua" w:cs="Times New Roman"/>
          <w:sz w:val="24"/>
          <w:szCs w:val="24"/>
        </w:rPr>
      </w:pPr>
    </w:p>
    <w:p w:rsidR="00FE48C5" w:rsidRPr="00D85CC9" w:rsidRDefault="00FE48C5" w:rsidP="001630CF">
      <w:pPr>
        <w:snapToGrid w:val="0"/>
        <w:spacing w:after="0" w:line="360" w:lineRule="auto"/>
        <w:jc w:val="both"/>
        <w:rPr>
          <w:rFonts w:ascii="Book Antiqua" w:hAnsi="Book Antiqua" w:cs="Times New Roman"/>
          <w:sz w:val="24"/>
          <w:szCs w:val="24"/>
        </w:rPr>
      </w:pPr>
    </w:p>
    <w:p w:rsidR="00FE48C5" w:rsidRPr="00D85CC9" w:rsidRDefault="00FE48C5" w:rsidP="001630CF">
      <w:pPr>
        <w:snapToGrid w:val="0"/>
        <w:spacing w:after="0" w:line="360" w:lineRule="auto"/>
        <w:jc w:val="both"/>
        <w:rPr>
          <w:rFonts w:ascii="Book Antiqua" w:hAnsi="Book Antiqua" w:cs="Times New Roman"/>
          <w:sz w:val="24"/>
          <w:szCs w:val="24"/>
        </w:rPr>
      </w:pPr>
    </w:p>
    <w:p w:rsidR="003F2F28" w:rsidRPr="00D85CC9" w:rsidRDefault="00386206" w:rsidP="001630CF">
      <w:pPr>
        <w:snapToGrid w:val="0"/>
        <w:spacing w:after="0" w:line="360" w:lineRule="auto"/>
        <w:jc w:val="both"/>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extent cx="5829300" cy="3238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238500"/>
                    </a:xfrm>
                    <a:prstGeom prst="rect">
                      <a:avLst/>
                    </a:prstGeom>
                    <a:noFill/>
                    <a:ln>
                      <a:noFill/>
                    </a:ln>
                  </pic:spPr>
                </pic:pic>
              </a:graphicData>
            </a:graphic>
          </wp:inline>
        </w:drawing>
      </w:r>
    </w:p>
    <w:p w:rsidR="00F96B40" w:rsidRPr="00D85CC9" w:rsidRDefault="00F96B40" w:rsidP="001630CF">
      <w:pPr>
        <w:snapToGrid w:val="0"/>
        <w:spacing w:after="0" w:line="360" w:lineRule="auto"/>
        <w:jc w:val="both"/>
        <w:rPr>
          <w:rFonts w:ascii="Book Antiqua" w:hAnsi="Book Antiqua" w:cs="Times New Roman"/>
          <w:sz w:val="24"/>
          <w:szCs w:val="24"/>
          <w:lang w:eastAsia="zh-CN"/>
        </w:rPr>
      </w:pPr>
      <w:r w:rsidRPr="00D1135F">
        <w:rPr>
          <w:rFonts w:ascii="Book Antiqua" w:hAnsi="Book Antiqua" w:cs="Times New Roman"/>
          <w:b/>
          <w:sz w:val="24"/>
          <w:szCs w:val="24"/>
        </w:rPr>
        <w:t xml:space="preserve">Figure </w:t>
      </w:r>
      <w:proofErr w:type="gramStart"/>
      <w:r w:rsidRPr="00D1135F">
        <w:rPr>
          <w:rFonts w:ascii="Book Antiqua" w:hAnsi="Book Antiqua" w:cs="Times New Roman"/>
          <w:b/>
          <w:sz w:val="24"/>
          <w:szCs w:val="24"/>
        </w:rPr>
        <w:t>1</w:t>
      </w:r>
      <w:r w:rsidR="00D1135F" w:rsidRPr="00D1135F">
        <w:rPr>
          <w:rFonts w:ascii="Book Antiqua" w:hAnsi="Book Antiqua" w:cs="Times New Roman" w:hint="eastAsia"/>
          <w:b/>
          <w:sz w:val="24"/>
          <w:szCs w:val="24"/>
          <w:lang w:eastAsia="zh-CN"/>
        </w:rPr>
        <w:t xml:space="preserve">  </w:t>
      </w:r>
      <w:r w:rsidRPr="00D1135F">
        <w:rPr>
          <w:rFonts w:ascii="Book Antiqua" w:hAnsi="Book Antiqua" w:cs="Times New Roman"/>
          <w:b/>
          <w:sz w:val="24"/>
          <w:szCs w:val="24"/>
        </w:rPr>
        <w:t>Temporal</w:t>
      </w:r>
      <w:proofErr w:type="gramEnd"/>
      <w:r w:rsidRPr="00D1135F">
        <w:rPr>
          <w:rFonts w:ascii="Book Antiqua" w:hAnsi="Book Antiqua" w:cs="Times New Roman"/>
          <w:b/>
          <w:sz w:val="24"/>
          <w:szCs w:val="24"/>
        </w:rPr>
        <w:t xml:space="preserve"> relationship of </w:t>
      </w:r>
      <w:proofErr w:type="spellStart"/>
      <w:r w:rsidRPr="00D1135F">
        <w:rPr>
          <w:rFonts w:ascii="Book Antiqua" w:hAnsi="Book Antiqua" w:cs="Times New Roman"/>
          <w:b/>
          <w:sz w:val="24"/>
          <w:szCs w:val="24"/>
        </w:rPr>
        <w:t>amiodarone</w:t>
      </w:r>
      <w:proofErr w:type="spellEnd"/>
      <w:r w:rsidRPr="00D1135F">
        <w:rPr>
          <w:rFonts w:ascii="Book Antiqua" w:hAnsi="Book Antiqua" w:cs="Times New Roman"/>
          <w:b/>
          <w:sz w:val="24"/>
          <w:szCs w:val="24"/>
        </w:rPr>
        <w:t xml:space="preserve"> and </w:t>
      </w:r>
      <w:r w:rsidR="006174FC" w:rsidRPr="006174FC">
        <w:rPr>
          <w:rFonts w:ascii="Book Antiqua" w:hAnsi="Book Antiqua" w:cs="Times New Roman"/>
          <w:b/>
          <w:sz w:val="24"/>
          <w:szCs w:val="24"/>
        </w:rPr>
        <w:t>N-</w:t>
      </w:r>
      <w:proofErr w:type="spellStart"/>
      <w:r w:rsidR="006174FC" w:rsidRPr="006174FC">
        <w:rPr>
          <w:rFonts w:ascii="Book Antiqua" w:hAnsi="Book Antiqua" w:cs="Times New Roman"/>
          <w:b/>
          <w:sz w:val="24"/>
          <w:szCs w:val="24"/>
        </w:rPr>
        <w:t>acetylcysteine</w:t>
      </w:r>
      <w:proofErr w:type="spellEnd"/>
      <w:r w:rsidRPr="00D1135F">
        <w:rPr>
          <w:rFonts w:ascii="Book Antiqua" w:hAnsi="Book Antiqua" w:cs="Times New Roman"/>
          <w:b/>
          <w:sz w:val="24"/>
          <w:szCs w:val="24"/>
        </w:rPr>
        <w:t xml:space="preserve"> administration to transaminases. </w:t>
      </w:r>
      <w:r w:rsidRPr="00D85CC9">
        <w:rPr>
          <w:rFonts w:ascii="Book Antiqua" w:hAnsi="Book Antiqua" w:cs="Times New Roman"/>
          <w:sz w:val="24"/>
          <w:szCs w:val="24"/>
        </w:rPr>
        <w:t>Most labs were drawn between 4 am and 6 am. NAC administration began during the afternoon of day 24.</w:t>
      </w:r>
      <w:r w:rsidR="00D1135F" w:rsidRPr="00D85CC9">
        <w:rPr>
          <w:rFonts w:ascii="Book Antiqua" w:hAnsi="Book Antiqua" w:cs="Times New Roman"/>
          <w:sz w:val="24"/>
          <w:szCs w:val="24"/>
        </w:rPr>
        <w:t xml:space="preserve"> NAC</w:t>
      </w:r>
      <w:r w:rsidR="00D1135F">
        <w:rPr>
          <w:rFonts w:ascii="Book Antiqua" w:hAnsi="Book Antiqua" w:cs="Times New Roman" w:hint="eastAsia"/>
          <w:sz w:val="24"/>
          <w:szCs w:val="24"/>
          <w:lang w:eastAsia="zh-CN"/>
        </w:rPr>
        <w:t xml:space="preserve">: </w:t>
      </w:r>
      <w:r w:rsidR="00D1135F" w:rsidRPr="00D85CC9">
        <w:rPr>
          <w:rFonts w:ascii="Book Antiqua" w:hAnsi="Book Antiqua" w:cs="Times New Roman"/>
          <w:sz w:val="24"/>
          <w:szCs w:val="24"/>
        </w:rPr>
        <w:t>N-</w:t>
      </w:r>
      <w:proofErr w:type="spellStart"/>
      <w:r w:rsidR="00D1135F" w:rsidRPr="00D85CC9">
        <w:rPr>
          <w:rFonts w:ascii="Book Antiqua" w:hAnsi="Book Antiqua" w:cs="Times New Roman"/>
          <w:sz w:val="24"/>
          <w:szCs w:val="24"/>
        </w:rPr>
        <w:t>acetylcysteine</w:t>
      </w:r>
      <w:proofErr w:type="spellEnd"/>
      <w:r w:rsidR="00B849A9">
        <w:rPr>
          <w:rFonts w:ascii="Book Antiqua" w:hAnsi="Book Antiqua" w:cs="Times New Roman" w:hint="eastAsia"/>
          <w:sz w:val="24"/>
          <w:szCs w:val="24"/>
          <w:lang w:eastAsia="zh-CN"/>
        </w:rPr>
        <w:t xml:space="preserve">; </w:t>
      </w:r>
      <w:r w:rsidR="00B849A9" w:rsidRPr="00D85CC9">
        <w:rPr>
          <w:rFonts w:ascii="Book Antiqua" w:hAnsi="Book Antiqua" w:cs="Times New Roman"/>
          <w:sz w:val="24"/>
          <w:szCs w:val="24"/>
        </w:rPr>
        <w:t>ALT</w:t>
      </w:r>
      <w:r w:rsidR="00B849A9">
        <w:rPr>
          <w:rFonts w:ascii="Book Antiqua" w:hAnsi="Book Antiqua" w:cs="Times New Roman" w:hint="eastAsia"/>
          <w:sz w:val="24"/>
          <w:szCs w:val="24"/>
          <w:lang w:eastAsia="zh-CN"/>
        </w:rPr>
        <w:t>:</w:t>
      </w:r>
      <w:r w:rsidR="00B849A9" w:rsidRPr="00D85CC9">
        <w:rPr>
          <w:rFonts w:ascii="Book Antiqua" w:hAnsi="Book Antiqua" w:cs="Times New Roman"/>
          <w:sz w:val="24"/>
          <w:szCs w:val="24"/>
        </w:rPr>
        <w:t xml:space="preserve"> </w:t>
      </w:r>
      <w:r w:rsidR="00B849A9">
        <w:rPr>
          <w:rFonts w:ascii="Book Antiqua" w:hAnsi="Book Antiqua" w:cs="Times New Roman" w:hint="eastAsia"/>
          <w:sz w:val="24"/>
          <w:szCs w:val="24"/>
          <w:lang w:eastAsia="zh-CN"/>
        </w:rPr>
        <w:t>A</w:t>
      </w:r>
      <w:r w:rsidR="00B849A9" w:rsidRPr="00D85CC9">
        <w:rPr>
          <w:rFonts w:ascii="Book Antiqua" w:hAnsi="Book Antiqua" w:cs="Times New Roman"/>
          <w:sz w:val="24"/>
          <w:szCs w:val="24"/>
        </w:rPr>
        <w:t>lanine transaminase</w:t>
      </w:r>
      <w:r w:rsidR="00B849A9">
        <w:rPr>
          <w:rFonts w:ascii="Book Antiqua" w:hAnsi="Book Antiqua" w:cs="Times New Roman" w:hint="eastAsia"/>
          <w:sz w:val="24"/>
          <w:szCs w:val="24"/>
          <w:lang w:eastAsia="zh-CN"/>
        </w:rPr>
        <w:t xml:space="preserve">; </w:t>
      </w:r>
      <w:r w:rsidR="00B849A9" w:rsidRPr="00D85CC9">
        <w:rPr>
          <w:rFonts w:ascii="Book Antiqua" w:hAnsi="Book Antiqua" w:cs="Times New Roman"/>
          <w:sz w:val="24"/>
          <w:szCs w:val="24"/>
        </w:rPr>
        <w:t>AST</w:t>
      </w:r>
      <w:r w:rsidR="00B849A9">
        <w:rPr>
          <w:rFonts w:ascii="Book Antiqua" w:hAnsi="Book Antiqua" w:cs="Times New Roman" w:hint="eastAsia"/>
          <w:sz w:val="24"/>
          <w:szCs w:val="24"/>
          <w:lang w:eastAsia="zh-CN"/>
        </w:rPr>
        <w:t>:</w:t>
      </w:r>
      <w:r w:rsidR="00B849A9" w:rsidRPr="00D85CC9">
        <w:rPr>
          <w:rFonts w:ascii="Book Antiqua" w:hAnsi="Book Antiqua" w:cs="Times New Roman"/>
          <w:sz w:val="24"/>
          <w:szCs w:val="24"/>
        </w:rPr>
        <w:t xml:space="preserve"> </w:t>
      </w:r>
      <w:r w:rsidR="00B849A9">
        <w:rPr>
          <w:rFonts w:ascii="Book Antiqua" w:hAnsi="Book Antiqua" w:cs="Times New Roman" w:hint="eastAsia"/>
          <w:sz w:val="24"/>
          <w:szCs w:val="24"/>
          <w:lang w:eastAsia="zh-CN"/>
        </w:rPr>
        <w:t>A</w:t>
      </w:r>
      <w:r w:rsidR="00B849A9" w:rsidRPr="00D85CC9">
        <w:rPr>
          <w:rFonts w:ascii="Book Antiqua" w:hAnsi="Book Antiqua" w:cs="Times New Roman"/>
          <w:sz w:val="24"/>
          <w:szCs w:val="24"/>
        </w:rPr>
        <w:t>spar</w:t>
      </w:r>
      <w:r w:rsidR="00B849A9" w:rsidRPr="006174FC">
        <w:rPr>
          <w:rFonts w:ascii="Book Antiqua" w:hAnsi="Book Antiqua" w:cs="Times New Roman"/>
          <w:sz w:val="24"/>
          <w:szCs w:val="24"/>
        </w:rPr>
        <w:t>tate transaminase</w:t>
      </w:r>
      <w:r w:rsidR="00292C9F" w:rsidRPr="006174FC">
        <w:rPr>
          <w:rFonts w:ascii="Book Antiqua" w:hAnsi="Book Antiqua" w:cs="Times New Roman" w:hint="eastAsia"/>
          <w:sz w:val="24"/>
          <w:szCs w:val="24"/>
          <w:lang w:eastAsia="zh-CN"/>
        </w:rPr>
        <w:t>;</w:t>
      </w:r>
      <w:r w:rsidR="00292C9F" w:rsidRPr="006174FC">
        <w:rPr>
          <w:rFonts w:ascii="Book Antiqua" w:hAnsi="Book Antiqua" w:cs="Times New Roman"/>
          <w:sz w:val="24"/>
          <w:szCs w:val="24"/>
        </w:rPr>
        <w:t xml:space="preserve"> APAP</w:t>
      </w:r>
      <w:r w:rsidR="00292C9F" w:rsidRPr="006174FC">
        <w:rPr>
          <w:rFonts w:ascii="Book Antiqua" w:hAnsi="Book Antiqua" w:cs="Times New Roman" w:hint="eastAsia"/>
          <w:sz w:val="24"/>
          <w:szCs w:val="24"/>
          <w:lang w:eastAsia="zh-CN"/>
        </w:rPr>
        <w:t>: A</w:t>
      </w:r>
      <w:r w:rsidR="00292C9F" w:rsidRPr="006174FC">
        <w:rPr>
          <w:rFonts w:ascii="Book Antiqua" w:hAnsi="Book Antiqua" w:cs="Times New Roman"/>
          <w:sz w:val="24"/>
          <w:szCs w:val="24"/>
        </w:rPr>
        <w:t>cetaminophen</w:t>
      </w:r>
      <w:r w:rsidR="00292C9F" w:rsidRPr="006174FC">
        <w:rPr>
          <w:rFonts w:ascii="Book Antiqua" w:hAnsi="Book Antiqua" w:cs="Times New Roman" w:hint="eastAsia"/>
          <w:sz w:val="24"/>
          <w:szCs w:val="24"/>
          <w:lang w:eastAsia="zh-CN"/>
        </w:rPr>
        <w:t>.</w:t>
      </w:r>
    </w:p>
    <w:p w:rsidR="00F96B40" w:rsidRPr="00D85CC9" w:rsidRDefault="00F96B40" w:rsidP="001630CF">
      <w:pPr>
        <w:snapToGrid w:val="0"/>
        <w:spacing w:after="0" w:line="360" w:lineRule="auto"/>
        <w:jc w:val="both"/>
        <w:rPr>
          <w:rFonts w:ascii="Book Antiqua" w:hAnsi="Book Antiqua" w:cs="Times New Roman"/>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F96B40" w:rsidP="001630CF">
      <w:pPr>
        <w:snapToGrid w:val="0"/>
        <w:spacing w:after="0" w:line="360" w:lineRule="auto"/>
        <w:jc w:val="both"/>
        <w:rPr>
          <w:rFonts w:ascii="Book Antiqua" w:hAnsi="Book Antiqua"/>
          <w:sz w:val="24"/>
          <w:szCs w:val="24"/>
        </w:rPr>
      </w:pPr>
    </w:p>
    <w:p w:rsidR="00F96B40" w:rsidRPr="00D85CC9" w:rsidRDefault="002267F1" w:rsidP="001630CF">
      <w:pPr>
        <w:snapToGrid w:val="0"/>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3905250" cy="2352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2352675"/>
                    </a:xfrm>
                    <a:prstGeom prst="rect">
                      <a:avLst/>
                    </a:prstGeom>
                    <a:noFill/>
                    <a:ln>
                      <a:noFill/>
                    </a:ln>
                  </pic:spPr>
                </pic:pic>
              </a:graphicData>
            </a:graphic>
          </wp:inline>
        </w:drawing>
      </w:r>
    </w:p>
    <w:p w:rsidR="004207A0" w:rsidRPr="00860257" w:rsidRDefault="00F96B40" w:rsidP="001630CF">
      <w:pPr>
        <w:snapToGrid w:val="0"/>
        <w:spacing w:after="0" w:line="360" w:lineRule="auto"/>
        <w:jc w:val="both"/>
        <w:rPr>
          <w:rFonts w:ascii="Book Antiqua" w:hAnsi="Book Antiqua"/>
          <w:b/>
          <w:sz w:val="24"/>
          <w:szCs w:val="24"/>
        </w:rPr>
      </w:pPr>
      <w:r w:rsidRPr="00860257">
        <w:rPr>
          <w:rFonts w:ascii="Book Antiqua" w:hAnsi="Book Antiqua" w:cs="Times New Roman"/>
          <w:b/>
          <w:sz w:val="24"/>
          <w:szCs w:val="24"/>
        </w:rPr>
        <w:t xml:space="preserve">Figure </w:t>
      </w:r>
      <w:proofErr w:type="gramStart"/>
      <w:r w:rsidRPr="00860257">
        <w:rPr>
          <w:rFonts w:ascii="Book Antiqua" w:hAnsi="Book Antiqua" w:cs="Times New Roman"/>
          <w:b/>
          <w:sz w:val="24"/>
          <w:szCs w:val="24"/>
        </w:rPr>
        <w:t>2</w:t>
      </w:r>
      <w:r w:rsidR="00860257" w:rsidRPr="00860257">
        <w:rPr>
          <w:rFonts w:ascii="Book Antiqua" w:hAnsi="Book Antiqua" w:cs="Times New Roman" w:hint="eastAsia"/>
          <w:b/>
          <w:sz w:val="24"/>
          <w:szCs w:val="24"/>
          <w:lang w:eastAsia="zh-CN"/>
        </w:rPr>
        <w:t xml:space="preserve">  </w:t>
      </w:r>
      <w:r w:rsidRPr="00860257">
        <w:rPr>
          <w:rFonts w:ascii="Book Antiqua" w:hAnsi="Book Antiqua" w:cs="Times New Roman"/>
          <w:b/>
          <w:sz w:val="24"/>
          <w:szCs w:val="24"/>
        </w:rPr>
        <w:t>Possible</w:t>
      </w:r>
      <w:proofErr w:type="gramEnd"/>
      <w:r w:rsidRPr="00860257">
        <w:rPr>
          <w:rFonts w:ascii="Book Antiqua" w:hAnsi="Book Antiqua" w:cs="Times New Roman"/>
          <w:b/>
          <w:sz w:val="24"/>
          <w:szCs w:val="24"/>
        </w:rPr>
        <w:t xml:space="preserve"> mechanism of injury</w:t>
      </w:r>
      <w:r w:rsidR="00F56CE0">
        <w:rPr>
          <w:rFonts w:ascii="Book Antiqua" w:hAnsi="Book Antiqua" w:cs="Times New Roman" w:hint="eastAsia"/>
          <w:b/>
          <w:sz w:val="24"/>
          <w:szCs w:val="24"/>
          <w:lang w:eastAsia="zh-CN"/>
        </w:rPr>
        <w:t xml:space="preserve"> </w:t>
      </w:r>
      <w:r w:rsidRPr="00860257">
        <w:rPr>
          <w:rFonts w:ascii="Book Antiqua" w:hAnsi="Book Antiqua" w:cs="Times New Roman"/>
          <w:b/>
          <w:sz w:val="24"/>
          <w:szCs w:val="24"/>
        </w:rPr>
        <w:t xml:space="preserve">and treatment. </w:t>
      </w:r>
    </w:p>
    <w:sectPr w:rsidR="004207A0" w:rsidRPr="00860257" w:rsidSect="00E12981">
      <w:head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4F" w:rsidRDefault="0004614F" w:rsidP="00836127">
      <w:pPr>
        <w:spacing w:after="0" w:line="240" w:lineRule="auto"/>
      </w:pPr>
      <w:r>
        <w:separator/>
      </w:r>
    </w:p>
  </w:endnote>
  <w:endnote w:type="continuationSeparator" w:id="0">
    <w:p w:rsidR="0004614F" w:rsidRDefault="0004614F" w:rsidP="0083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4F" w:rsidRDefault="0004614F" w:rsidP="00836127">
      <w:pPr>
        <w:spacing w:after="0" w:line="240" w:lineRule="auto"/>
      </w:pPr>
      <w:r>
        <w:separator/>
      </w:r>
    </w:p>
  </w:footnote>
  <w:footnote w:type="continuationSeparator" w:id="0">
    <w:p w:rsidR="0004614F" w:rsidRDefault="0004614F" w:rsidP="00836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649"/>
      <w:docPartObj>
        <w:docPartGallery w:val="Page Numbers (Top of Page)"/>
        <w:docPartUnique/>
      </w:docPartObj>
    </w:sdtPr>
    <w:sdtEndPr/>
    <w:sdtContent>
      <w:p w:rsidR="00F96B40" w:rsidRDefault="005D1B84">
        <w:pPr>
          <w:pStyle w:val="a9"/>
          <w:jc w:val="right"/>
        </w:pPr>
        <w:r>
          <w:fldChar w:fldCharType="begin"/>
        </w:r>
        <w:r>
          <w:instrText xml:space="preserve"> PAGE   \* MERGEFORMAT </w:instrText>
        </w:r>
        <w:r>
          <w:fldChar w:fldCharType="separate"/>
        </w:r>
        <w:r w:rsidR="007B5C5B">
          <w:rPr>
            <w:noProof/>
          </w:rPr>
          <w:t>11</w:t>
        </w:r>
        <w:r>
          <w:rPr>
            <w:noProof/>
          </w:rPr>
          <w:fldChar w:fldCharType="end"/>
        </w:r>
      </w:p>
    </w:sdtContent>
  </w:sdt>
  <w:p w:rsidR="00F96B40" w:rsidRDefault="00F96B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5474"/>
    <w:multiLevelType w:val="hybridMultilevel"/>
    <w:tmpl w:val="7FAC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33"/>
    <w:rsid w:val="00012B87"/>
    <w:rsid w:val="000378BD"/>
    <w:rsid w:val="00044345"/>
    <w:rsid w:val="0004614F"/>
    <w:rsid w:val="000469BD"/>
    <w:rsid w:val="000476B3"/>
    <w:rsid w:val="000A7536"/>
    <w:rsid w:val="000D0AE2"/>
    <w:rsid w:val="000D6245"/>
    <w:rsid w:val="000E2F01"/>
    <w:rsid w:val="000F53B1"/>
    <w:rsid w:val="000F6DA9"/>
    <w:rsid w:val="00110F0A"/>
    <w:rsid w:val="00152F61"/>
    <w:rsid w:val="001564E2"/>
    <w:rsid w:val="001630CF"/>
    <w:rsid w:val="0018114B"/>
    <w:rsid w:val="00184D91"/>
    <w:rsid w:val="00193554"/>
    <w:rsid w:val="001C7EF4"/>
    <w:rsid w:val="001D11AE"/>
    <w:rsid w:val="002132FC"/>
    <w:rsid w:val="002267F1"/>
    <w:rsid w:val="00232E63"/>
    <w:rsid w:val="002332A2"/>
    <w:rsid w:val="0024372D"/>
    <w:rsid w:val="002671CC"/>
    <w:rsid w:val="00271913"/>
    <w:rsid w:val="00276F83"/>
    <w:rsid w:val="002844EB"/>
    <w:rsid w:val="00292C9F"/>
    <w:rsid w:val="002958D4"/>
    <w:rsid w:val="002A5EE1"/>
    <w:rsid w:val="002A67DF"/>
    <w:rsid w:val="002B0252"/>
    <w:rsid w:val="002C5977"/>
    <w:rsid w:val="002D1E30"/>
    <w:rsid w:val="002E3B37"/>
    <w:rsid w:val="00326979"/>
    <w:rsid w:val="00330FE6"/>
    <w:rsid w:val="003479A5"/>
    <w:rsid w:val="00350205"/>
    <w:rsid w:val="003561AB"/>
    <w:rsid w:val="003561CA"/>
    <w:rsid w:val="00360AB5"/>
    <w:rsid w:val="003678E4"/>
    <w:rsid w:val="00371E46"/>
    <w:rsid w:val="00372721"/>
    <w:rsid w:val="0037330B"/>
    <w:rsid w:val="00386206"/>
    <w:rsid w:val="003A49DC"/>
    <w:rsid w:val="003E36D8"/>
    <w:rsid w:val="003E5ED3"/>
    <w:rsid w:val="003F2F28"/>
    <w:rsid w:val="00411140"/>
    <w:rsid w:val="00416F0E"/>
    <w:rsid w:val="004207A0"/>
    <w:rsid w:val="004221C3"/>
    <w:rsid w:val="00441571"/>
    <w:rsid w:val="00457AD8"/>
    <w:rsid w:val="00491053"/>
    <w:rsid w:val="00496256"/>
    <w:rsid w:val="004A2B16"/>
    <w:rsid w:val="004B1637"/>
    <w:rsid w:val="004B63AD"/>
    <w:rsid w:val="0051075D"/>
    <w:rsid w:val="00511633"/>
    <w:rsid w:val="0052008C"/>
    <w:rsid w:val="00526D4A"/>
    <w:rsid w:val="00535230"/>
    <w:rsid w:val="00535477"/>
    <w:rsid w:val="0054095D"/>
    <w:rsid w:val="00554B92"/>
    <w:rsid w:val="00566B5E"/>
    <w:rsid w:val="00567341"/>
    <w:rsid w:val="005840BD"/>
    <w:rsid w:val="005B4133"/>
    <w:rsid w:val="005C5833"/>
    <w:rsid w:val="005C764D"/>
    <w:rsid w:val="005D0C5C"/>
    <w:rsid w:val="005D1B84"/>
    <w:rsid w:val="005D67DF"/>
    <w:rsid w:val="005E258F"/>
    <w:rsid w:val="005F3563"/>
    <w:rsid w:val="00607C7A"/>
    <w:rsid w:val="00613845"/>
    <w:rsid w:val="006174FC"/>
    <w:rsid w:val="0065297F"/>
    <w:rsid w:val="00664FD4"/>
    <w:rsid w:val="00690143"/>
    <w:rsid w:val="006940AA"/>
    <w:rsid w:val="00697B60"/>
    <w:rsid w:val="006A22FA"/>
    <w:rsid w:val="006B1E93"/>
    <w:rsid w:val="006C6D1A"/>
    <w:rsid w:val="006E21AC"/>
    <w:rsid w:val="006E4611"/>
    <w:rsid w:val="006F75CE"/>
    <w:rsid w:val="007009F8"/>
    <w:rsid w:val="00701A2F"/>
    <w:rsid w:val="007071A7"/>
    <w:rsid w:val="007224B9"/>
    <w:rsid w:val="00731C5D"/>
    <w:rsid w:val="00737B2A"/>
    <w:rsid w:val="00747440"/>
    <w:rsid w:val="00750D5E"/>
    <w:rsid w:val="007744EE"/>
    <w:rsid w:val="007816BE"/>
    <w:rsid w:val="007B47A0"/>
    <w:rsid w:val="007B5C5B"/>
    <w:rsid w:val="007C3D71"/>
    <w:rsid w:val="007F369E"/>
    <w:rsid w:val="00814F5C"/>
    <w:rsid w:val="0083387A"/>
    <w:rsid w:val="00836127"/>
    <w:rsid w:val="00844294"/>
    <w:rsid w:val="00851B47"/>
    <w:rsid w:val="00860257"/>
    <w:rsid w:val="008808C1"/>
    <w:rsid w:val="00880F83"/>
    <w:rsid w:val="00895045"/>
    <w:rsid w:val="008A59A6"/>
    <w:rsid w:val="008B3175"/>
    <w:rsid w:val="008B40D7"/>
    <w:rsid w:val="008E3EE1"/>
    <w:rsid w:val="008E5A30"/>
    <w:rsid w:val="008F3AEF"/>
    <w:rsid w:val="00910CE2"/>
    <w:rsid w:val="0091641B"/>
    <w:rsid w:val="00956495"/>
    <w:rsid w:val="0095740B"/>
    <w:rsid w:val="00963483"/>
    <w:rsid w:val="009E48B2"/>
    <w:rsid w:val="009F312C"/>
    <w:rsid w:val="00A154AF"/>
    <w:rsid w:val="00A15F65"/>
    <w:rsid w:val="00A358C8"/>
    <w:rsid w:val="00A43294"/>
    <w:rsid w:val="00A61FCC"/>
    <w:rsid w:val="00A81082"/>
    <w:rsid w:val="00A90439"/>
    <w:rsid w:val="00AA4BB2"/>
    <w:rsid w:val="00AB1BC5"/>
    <w:rsid w:val="00AB6688"/>
    <w:rsid w:val="00AB7B08"/>
    <w:rsid w:val="00AC1262"/>
    <w:rsid w:val="00AD228F"/>
    <w:rsid w:val="00AE31F7"/>
    <w:rsid w:val="00AF0618"/>
    <w:rsid w:val="00B20E00"/>
    <w:rsid w:val="00B22B93"/>
    <w:rsid w:val="00B23293"/>
    <w:rsid w:val="00B53536"/>
    <w:rsid w:val="00B71990"/>
    <w:rsid w:val="00B849A9"/>
    <w:rsid w:val="00B856C3"/>
    <w:rsid w:val="00B85D51"/>
    <w:rsid w:val="00B86D66"/>
    <w:rsid w:val="00B877C0"/>
    <w:rsid w:val="00BB6ED7"/>
    <w:rsid w:val="00BC1865"/>
    <w:rsid w:val="00BC6F2C"/>
    <w:rsid w:val="00BD2469"/>
    <w:rsid w:val="00BF07B1"/>
    <w:rsid w:val="00C22B31"/>
    <w:rsid w:val="00C32D58"/>
    <w:rsid w:val="00C32E9C"/>
    <w:rsid w:val="00C42ACB"/>
    <w:rsid w:val="00C56874"/>
    <w:rsid w:val="00C720F7"/>
    <w:rsid w:val="00C774C7"/>
    <w:rsid w:val="00C84B23"/>
    <w:rsid w:val="00CA3FFF"/>
    <w:rsid w:val="00CB07DD"/>
    <w:rsid w:val="00CB69B7"/>
    <w:rsid w:val="00CC4765"/>
    <w:rsid w:val="00CF7BEB"/>
    <w:rsid w:val="00D1135F"/>
    <w:rsid w:val="00D15A79"/>
    <w:rsid w:val="00D26DBB"/>
    <w:rsid w:val="00D662DB"/>
    <w:rsid w:val="00D728A9"/>
    <w:rsid w:val="00D85CC9"/>
    <w:rsid w:val="00D92A2B"/>
    <w:rsid w:val="00D93550"/>
    <w:rsid w:val="00DA2A8B"/>
    <w:rsid w:val="00DB76D7"/>
    <w:rsid w:val="00DE2CF7"/>
    <w:rsid w:val="00DF1067"/>
    <w:rsid w:val="00E03622"/>
    <w:rsid w:val="00E12981"/>
    <w:rsid w:val="00E27290"/>
    <w:rsid w:val="00E41EC9"/>
    <w:rsid w:val="00E4524E"/>
    <w:rsid w:val="00E541C6"/>
    <w:rsid w:val="00E66B2B"/>
    <w:rsid w:val="00E77691"/>
    <w:rsid w:val="00E85E50"/>
    <w:rsid w:val="00EA27E7"/>
    <w:rsid w:val="00EA303F"/>
    <w:rsid w:val="00EA48D5"/>
    <w:rsid w:val="00EC71A2"/>
    <w:rsid w:val="00ED26F4"/>
    <w:rsid w:val="00EE0B0F"/>
    <w:rsid w:val="00EF7D6E"/>
    <w:rsid w:val="00F0095A"/>
    <w:rsid w:val="00F13985"/>
    <w:rsid w:val="00F25085"/>
    <w:rsid w:val="00F251C9"/>
    <w:rsid w:val="00F534BC"/>
    <w:rsid w:val="00F56CE0"/>
    <w:rsid w:val="00F6473D"/>
    <w:rsid w:val="00F7608D"/>
    <w:rsid w:val="00F96B40"/>
    <w:rsid w:val="00FA57A9"/>
    <w:rsid w:val="00FB1CF1"/>
    <w:rsid w:val="00FC130E"/>
    <w:rsid w:val="00FC2D2F"/>
    <w:rsid w:val="00FE03E8"/>
    <w:rsid w:val="00FE3360"/>
    <w:rsid w:val="00FE3B52"/>
    <w:rsid w:val="00FE48C5"/>
    <w:rsid w:val="00FE51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27"/>
    <w:pPr>
      <w:suppressAutoHyphens/>
    </w:pPr>
    <w:rPr>
      <w:rFonts w:ascii="Calibri" w:eastAsia="宋体" w:hAnsi="Calibri" w:cs="Calibri"/>
    </w:rPr>
  </w:style>
  <w:style w:type="paragraph" w:styleId="1">
    <w:name w:val="heading 1"/>
    <w:basedOn w:val="a"/>
    <w:next w:val="a"/>
    <w:link w:val="1Char"/>
    <w:uiPriority w:val="9"/>
    <w:qFormat/>
    <w:rsid w:val="00044345"/>
    <w:pPr>
      <w:keepNext/>
      <w:keepLines/>
      <w:suppressAutoHyphens w:val="0"/>
      <w:spacing w:before="480" w:after="0" w:line="480" w:lineRule="auto"/>
      <w:jc w:val="both"/>
      <w:outlineLvl w:val="0"/>
    </w:pPr>
    <w:rPr>
      <w:rFonts w:asciiTheme="majorHAnsi" w:eastAsiaTheme="majorEastAsia" w:hAnsiTheme="majorHAnsi" w:cstheme="majorBidi"/>
      <w:b/>
      <w:bCs/>
      <w:color w:val="365F91" w:themeColor="accent1" w:themeShade="BF"/>
      <w:sz w:val="28"/>
      <w:szCs w:val="28"/>
      <w:lang w:val="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836127"/>
    <w:pPr>
      <w:spacing w:after="0"/>
    </w:pPr>
    <w:rPr>
      <w:sz w:val="20"/>
      <w:szCs w:val="20"/>
    </w:rPr>
  </w:style>
  <w:style w:type="character" w:customStyle="1" w:styleId="Char">
    <w:name w:val="尾注文本 Char"/>
    <w:basedOn w:val="a0"/>
    <w:link w:val="a3"/>
    <w:rsid w:val="00836127"/>
    <w:rPr>
      <w:rFonts w:ascii="Calibri" w:eastAsia="宋体" w:hAnsi="Calibri" w:cs="Calibri"/>
      <w:sz w:val="20"/>
      <w:szCs w:val="20"/>
    </w:rPr>
  </w:style>
  <w:style w:type="character" w:styleId="a4">
    <w:name w:val="endnote reference"/>
    <w:basedOn w:val="a0"/>
    <w:semiHidden/>
    <w:unhideWhenUsed/>
    <w:rsid w:val="00836127"/>
    <w:rPr>
      <w:vertAlign w:val="superscript"/>
    </w:rPr>
  </w:style>
  <w:style w:type="character" w:customStyle="1" w:styleId="jrnl">
    <w:name w:val="jrnl"/>
    <w:basedOn w:val="a0"/>
    <w:rsid w:val="00836127"/>
  </w:style>
  <w:style w:type="character" w:customStyle="1" w:styleId="Endnoteanchor">
    <w:name w:val="Endnote anchor"/>
    <w:rsid w:val="00836127"/>
    <w:rPr>
      <w:vertAlign w:val="superscript"/>
    </w:rPr>
  </w:style>
  <w:style w:type="paragraph" w:styleId="a5">
    <w:name w:val="Balloon Text"/>
    <w:basedOn w:val="a"/>
    <w:link w:val="Char0"/>
    <w:uiPriority w:val="99"/>
    <w:semiHidden/>
    <w:unhideWhenUsed/>
    <w:rsid w:val="00535230"/>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535230"/>
    <w:rPr>
      <w:rFonts w:ascii="Tahoma" w:eastAsia="宋体" w:hAnsi="Tahoma" w:cs="Tahoma"/>
      <w:sz w:val="16"/>
      <w:szCs w:val="16"/>
    </w:rPr>
  </w:style>
  <w:style w:type="paragraph" w:styleId="HTML">
    <w:name w:val="HTML Preformatted"/>
    <w:basedOn w:val="a"/>
    <w:link w:val="HTMLChar"/>
    <w:uiPriority w:val="99"/>
    <w:unhideWhenUsed/>
    <w:rsid w:val="00BB6ED7"/>
    <w:pPr>
      <w:spacing w:after="0" w:line="240" w:lineRule="auto"/>
    </w:pPr>
    <w:rPr>
      <w:rFonts w:ascii="Consolas" w:hAnsi="Consolas"/>
      <w:sz w:val="20"/>
      <w:szCs w:val="20"/>
    </w:rPr>
  </w:style>
  <w:style w:type="character" w:customStyle="1" w:styleId="HTMLChar">
    <w:name w:val="HTML 预设格式 Char"/>
    <w:basedOn w:val="a0"/>
    <w:link w:val="HTML"/>
    <w:uiPriority w:val="99"/>
    <w:rsid w:val="00BB6ED7"/>
    <w:rPr>
      <w:rFonts w:ascii="Consolas" w:eastAsia="宋体" w:hAnsi="Consolas" w:cs="Calibri"/>
      <w:sz w:val="20"/>
      <w:szCs w:val="20"/>
    </w:rPr>
  </w:style>
  <w:style w:type="character" w:styleId="a6">
    <w:name w:val="Hyperlink"/>
    <w:basedOn w:val="a0"/>
    <w:uiPriority w:val="99"/>
    <w:unhideWhenUsed/>
    <w:rsid w:val="00BB6ED7"/>
    <w:rPr>
      <w:color w:val="0000FF" w:themeColor="hyperlink"/>
      <w:u w:val="single"/>
    </w:rPr>
  </w:style>
  <w:style w:type="paragraph" w:styleId="a7">
    <w:name w:val="footnote text"/>
    <w:basedOn w:val="a"/>
    <w:link w:val="Char1"/>
    <w:uiPriority w:val="99"/>
    <w:semiHidden/>
    <w:unhideWhenUsed/>
    <w:rsid w:val="00E541C6"/>
    <w:pPr>
      <w:spacing w:after="0" w:line="240" w:lineRule="auto"/>
    </w:pPr>
    <w:rPr>
      <w:sz w:val="20"/>
      <w:szCs w:val="20"/>
    </w:rPr>
  </w:style>
  <w:style w:type="character" w:customStyle="1" w:styleId="Char1">
    <w:name w:val="脚注文本 Char"/>
    <w:basedOn w:val="a0"/>
    <w:link w:val="a7"/>
    <w:uiPriority w:val="99"/>
    <w:semiHidden/>
    <w:rsid w:val="00E541C6"/>
    <w:rPr>
      <w:rFonts w:ascii="Calibri" w:eastAsia="宋体" w:hAnsi="Calibri" w:cs="Calibri"/>
      <w:sz w:val="20"/>
      <w:szCs w:val="20"/>
    </w:rPr>
  </w:style>
  <w:style w:type="character" w:styleId="a8">
    <w:name w:val="footnote reference"/>
    <w:basedOn w:val="a0"/>
    <w:uiPriority w:val="99"/>
    <w:semiHidden/>
    <w:unhideWhenUsed/>
    <w:rsid w:val="00E541C6"/>
    <w:rPr>
      <w:vertAlign w:val="superscript"/>
    </w:rPr>
  </w:style>
  <w:style w:type="paragraph" w:styleId="a9">
    <w:name w:val="header"/>
    <w:basedOn w:val="a"/>
    <w:link w:val="Char2"/>
    <w:uiPriority w:val="99"/>
    <w:unhideWhenUsed/>
    <w:rsid w:val="00A358C8"/>
    <w:pPr>
      <w:tabs>
        <w:tab w:val="center" w:pos="4680"/>
        <w:tab w:val="right" w:pos="9360"/>
      </w:tabs>
      <w:spacing w:after="0" w:line="240" w:lineRule="auto"/>
    </w:pPr>
  </w:style>
  <w:style w:type="character" w:customStyle="1" w:styleId="Char2">
    <w:name w:val="页眉 Char"/>
    <w:basedOn w:val="a0"/>
    <w:link w:val="a9"/>
    <w:uiPriority w:val="99"/>
    <w:rsid w:val="00A358C8"/>
    <w:rPr>
      <w:rFonts w:ascii="Calibri" w:eastAsia="宋体" w:hAnsi="Calibri" w:cs="Calibri"/>
    </w:rPr>
  </w:style>
  <w:style w:type="paragraph" w:styleId="aa">
    <w:name w:val="footer"/>
    <w:basedOn w:val="a"/>
    <w:link w:val="Char3"/>
    <w:uiPriority w:val="99"/>
    <w:unhideWhenUsed/>
    <w:rsid w:val="00A358C8"/>
    <w:pPr>
      <w:tabs>
        <w:tab w:val="center" w:pos="4680"/>
        <w:tab w:val="right" w:pos="9360"/>
      </w:tabs>
      <w:spacing w:after="0" w:line="240" w:lineRule="auto"/>
    </w:pPr>
  </w:style>
  <w:style w:type="character" w:customStyle="1" w:styleId="Char3">
    <w:name w:val="页脚 Char"/>
    <w:basedOn w:val="a0"/>
    <w:link w:val="aa"/>
    <w:uiPriority w:val="99"/>
    <w:rsid w:val="00A358C8"/>
    <w:rPr>
      <w:rFonts w:ascii="Calibri" w:eastAsia="宋体" w:hAnsi="Calibri" w:cs="Calibri"/>
    </w:rPr>
  </w:style>
  <w:style w:type="paragraph" w:styleId="ab">
    <w:name w:val="Normal (Web)"/>
    <w:basedOn w:val="a"/>
    <w:uiPriority w:val="99"/>
    <w:unhideWhenUsed/>
    <w:rsid w:val="002D1E30"/>
    <w:pPr>
      <w:suppressAutoHyphens w:val="0"/>
      <w:spacing w:before="100" w:beforeAutospacing="1" w:after="100" w:afterAutospacing="1" w:line="240" w:lineRule="auto"/>
    </w:pPr>
    <w:rPr>
      <w:rFonts w:ascii="Times New Roman" w:eastAsiaTheme="minorEastAsia" w:hAnsi="Times New Roman" w:cs="Times New Roman"/>
      <w:sz w:val="24"/>
      <w:szCs w:val="24"/>
    </w:rPr>
  </w:style>
  <w:style w:type="paragraph" w:styleId="ac">
    <w:name w:val="List Paragraph"/>
    <w:basedOn w:val="a"/>
    <w:uiPriority w:val="99"/>
    <w:qFormat/>
    <w:rsid w:val="000D6245"/>
    <w:pPr>
      <w:ind w:left="720"/>
      <w:contextualSpacing/>
    </w:pPr>
  </w:style>
  <w:style w:type="character" w:customStyle="1" w:styleId="1Char">
    <w:name w:val="标题 1 Char"/>
    <w:basedOn w:val="a0"/>
    <w:link w:val="1"/>
    <w:uiPriority w:val="9"/>
    <w:rsid w:val="00044345"/>
    <w:rPr>
      <w:rFonts w:asciiTheme="majorHAnsi" w:eastAsiaTheme="majorEastAsia" w:hAnsiTheme="majorHAnsi" w:cstheme="majorBidi"/>
      <w:b/>
      <w:bCs/>
      <w:color w:val="365F91" w:themeColor="accent1" w:themeShade="BF"/>
      <w:sz w:val="28"/>
      <w:szCs w:val="28"/>
      <w:lang w:val="da-DK"/>
    </w:rPr>
  </w:style>
  <w:style w:type="character" w:styleId="ad">
    <w:name w:val="Strong"/>
    <w:uiPriority w:val="99"/>
    <w:qFormat/>
    <w:rsid w:val="002A5E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27"/>
    <w:pPr>
      <w:suppressAutoHyphens/>
    </w:pPr>
    <w:rPr>
      <w:rFonts w:ascii="Calibri" w:eastAsia="宋体" w:hAnsi="Calibri" w:cs="Calibri"/>
    </w:rPr>
  </w:style>
  <w:style w:type="paragraph" w:styleId="1">
    <w:name w:val="heading 1"/>
    <w:basedOn w:val="a"/>
    <w:next w:val="a"/>
    <w:link w:val="1Char"/>
    <w:uiPriority w:val="9"/>
    <w:qFormat/>
    <w:rsid w:val="00044345"/>
    <w:pPr>
      <w:keepNext/>
      <w:keepLines/>
      <w:suppressAutoHyphens w:val="0"/>
      <w:spacing w:before="480" w:after="0" w:line="480" w:lineRule="auto"/>
      <w:jc w:val="both"/>
      <w:outlineLvl w:val="0"/>
    </w:pPr>
    <w:rPr>
      <w:rFonts w:asciiTheme="majorHAnsi" w:eastAsiaTheme="majorEastAsia" w:hAnsiTheme="majorHAnsi" w:cstheme="majorBidi"/>
      <w:b/>
      <w:bCs/>
      <w:color w:val="365F91" w:themeColor="accent1" w:themeShade="BF"/>
      <w:sz w:val="28"/>
      <w:szCs w:val="28"/>
      <w:lang w:val="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836127"/>
    <w:pPr>
      <w:spacing w:after="0"/>
    </w:pPr>
    <w:rPr>
      <w:sz w:val="20"/>
      <w:szCs w:val="20"/>
    </w:rPr>
  </w:style>
  <w:style w:type="character" w:customStyle="1" w:styleId="Char">
    <w:name w:val="尾注文本 Char"/>
    <w:basedOn w:val="a0"/>
    <w:link w:val="a3"/>
    <w:rsid w:val="00836127"/>
    <w:rPr>
      <w:rFonts w:ascii="Calibri" w:eastAsia="宋体" w:hAnsi="Calibri" w:cs="Calibri"/>
      <w:sz w:val="20"/>
      <w:szCs w:val="20"/>
    </w:rPr>
  </w:style>
  <w:style w:type="character" w:styleId="a4">
    <w:name w:val="endnote reference"/>
    <w:basedOn w:val="a0"/>
    <w:semiHidden/>
    <w:unhideWhenUsed/>
    <w:rsid w:val="00836127"/>
    <w:rPr>
      <w:vertAlign w:val="superscript"/>
    </w:rPr>
  </w:style>
  <w:style w:type="character" w:customStyle="1" w:styleId="jrnl">
    <w:name w:val="jrnl"/>
    <w:basedOn w:val="a0"/>
    <w:rsid w:val="00836127"/>
  </w:style>
  <w:style w:type="character" w:customStyle="1" w:styleId="Endnoteanchor">
    <w:name w:val="Endnote anchor"/>
    <w:rsid w:val="00836127"/>
    <w:rPr>
      <w:vertAlign w:val="superscript"/>
    </w:rPr>
  </w:style>
  <w:style w:type="paragraph" w:styleId="a5">
    <w:name w:val="Balloon Text"/>
    <w:basedOn w:val="a"/>
    <w:link w:val="Char0"/>
    <w:uiPriority w:val="99"/>
    <w:semiHidden/>
    <w:unhideWhenUsed/>
    <w:rsid w:val="00535230"/>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535230"/>
    <w:rPr>
      <w:rFonts w:ascii="Tahoma" w:eastAsia="宋体" w:hAnsi="Tahoma" w:cs="Tahoma"/>
      <w:sz w:val="16"/>
      <w:szCs w:val="16"/>
    </w:rPr>
  </w:style>
  <w:style w:type="paragraph" w:styleId="HTML">
    <w:name w:val="HTML Preformatted"/>
    <w:basedOn w:val="a"/>
    <w:link w:val="HTMLChar"/>
    <w:uiPriority w:val="99"/>
    <w:unhideWhenUsed/>
    <w:rsid w:val="00BB6ED7"/>
    <w:pPr>
      <w:spacing w:after="0" w:line="240" w:lineRule="auto"/>
    </w:pPr>
    <w:rPr>
      <w:rFonts w:ascii="Consolas" w:hAnsi="Consolas"/>
      <w:sz w:val="20"/>
      <w:szCs w:val="20"/>
    </w:rPr>
  </w:style>
  <w:style w:type="character" w:customStyle="1" w:styleId="HTMLChar">
    <w:name w:val="HTML 预设格式 Char"/>
    <w:basedOn w:val="a0"/>
    <w:link w:val="HTML"/>
    <w:uiPriority w:val="99"/>
    <w:rsid w:val="00BB6ED7"/>
    <w:rPr>
      <w:rFonts w:ascii="Consolas" w:eastAsia="宋体" w:hAnsi="Consolas" w:cs="Calibri"/>
      <w:sz w:val="20"/>
      <w:szCs w:val="20"/>
    </w:rPr>
  </w:style>
  <w:style w:type="character" w:styleId="a6">
    <w:name w:val="Hyperlink"/>
    <w:basedOn w:val="a0"/>
    <w:uiPriority w:val="99"/>
    <w:unhideWhenUsed/>
    <w:rsid w:val="00BB6ED7"/>
    <w:rPr>
      <w:color w:val="0000FF" w:themeColor="hyperlink"/>
      <w:u w:val="single"/>
    </w:rPr>
  </w:style>
  <w:style w:type="paragraph" w:styleId="a7">
    <w:name w:val="footnote text"/>
    <w:basedOn w:val="a"/>
    <w:link w:val="Char1"/>
    <w:uiPriority w:val="99"/>
    <w:semiHidden/>
    <w:unhideWhenUsed/>
    <w:rsid w:val="00E541C6"/>
    <w:pPr>
      <w:spacing w:after="0" w:line="240" w:lineRule="auto"/>
    </w:pPr>
    <w:rPr>
      <w:sz w:val="20"/>
      <w:szCs w:val="20"/>
    </w:rPr>
  </w:style>
  <w:style w:type="character" w:customStyle="1" w:styleId="Char1">
    <w:name w:val="脚注文本 Char"/>
    <w:basedOn w:val="a0"/>
    <w:link w:val="a7"/>
    <w:uiPriority w:val="99"/>
    <w:semiHidden/>
    <w:rsid w:val="00E541C6"/>
    <w:rPr>
      <w:rFonts w:ascii="Calibri" w:eastAsia="宋体" w:hAnsi="Calibri" w:cs="Calibri"/>
      <w:sz w:val="20"/>
      <w:szCs w:val="20"/>
    </w:rPr>
  </w:style>
  <w:style w:type="character" w:styleId="a8">
    <w:name w:val="footnote reference"/>
    <w:basedOn w:val="a0"/>
    <w:uiPriority w:val="99"/>
    <w:semiHidden/>
    <w:unhideWhenUsed/>
    <w:rsid w:val="00E541C6"/>
    <w:rPr>
      <w:vertAlign w:val="superscript"/>
    </w:rPr>
  </w:style>
  <w:style w:type="paragraph" w:styleId="a9">
    <w:name w:val="header"/>
    <w:basedOn w:val="a"/>
    <w:link w:val="Char2"/>
    <w:uiPriority w:val="99"/>
    <w:unhideWhenUsed/>
    <w:rsid w:val="00A358C8"/>
    <w:pPr>
      <w:tabs>
        <w:tab w:val="center" w:pos="4680"/>
        <w:tab w:val="right" w:pos="9360"/>
      </w:tabs>
      <w:spacing w:after="0" w:line="240" w:lineRule="auto"/>
    </w:pPr>
  </w:style>
  <w:style w:type="character" w:customStyle="1" w:styleId="Char2">
    <w:name w:val="页眉 Char"/>
    <w:basedOn w:val="a0"/>
    <w:link w:val="a9"/>
    <w:uiPriority w:val="99"/>
    <w:rsid w:val="00A358C8"/>
    <w:rPr>
      <w:rFonts w:ascii="Calibri" w:eastAsia="宋体" w:hAnsi="Calibri" w:cs="Calibri"/>
    </w:rPr>
  </w:style>
  <w:style w:type="paragraph" w:styleId="aa">
    <w:name w:val="footer"/>
    <w:basedOn w:val="a"/>
    <w:link w:val="Char3"/>
    <w:uiPriority w:val="99"/>
    <w:unhideWhenUsed/>
    <w:rsid w:val="00A358C8"/>
    <w:pPr>
      <w:tabs>
        <w:tab w:val="center" w:pos="4680"/>
        <w:tab w:val="right" w:pos="9360"/>
      </w:tabs>
      <w:spacing w:after="0" w:line="240" w:lineRule="auto"/>
    </w:pPr>
  </w:style>
  <w:style w:type="character" w:customStyle="1" w:styleId="Char3">
    <w:name w:val="页脚 Char"/>
    <w:basedOn w:val="a0"/>
    <w:link w:val="aa"/>
    <w:uiPriority w:val="99"/>
    <w:rsid w:val="00A358C8"/>
    <w:rPr>
      <w:rFonts w:ascii="Calibri" w:eastAsia="宋体" w:hAnsi="Calibri" w:cs="Calibri"/>
    </w:rPr>
  </w:style>
  <w:style w:type="paragraph" w:styleId="ab">
    <w:name w:val="Normal (Web)"/>
    <w:basedOn w:val="a"/>
    <w:uiPriority w:val="99"/>
    <w:unhideWhenUsed/>
    <w:rsid w:val="002D1E30"/>
    <w:pPr>
      <w:suppressAutoHyphens w:val="0"/>
      <w:spacing w:before="100" w:beforeAutospacing="1" w:after="100" w:afterAutospacing="1" w:line="240" w:lineRule="auto"/>
    </w:pPr>
    <w:rPr>
      <w:rFonts w:ascii="Times New Roman" w:eastAsiaTheme="minorEastAsia" w:hAnsi="Times New Roman" w:cs="Times New Roman"/>
      <w:sz w:val="24"/>
      <w:szCs w:val="24"/>
    </w:rPr>
  </w:style>
  <w:style w:type="paragraph" w:styleId="ac">
    <w:name w:val="List Paragraph"/>
    <w:basedOn w:val="a"/>
    <w:uiPriority w:val="99"/>
    <w:qFormat/>
    <w:rsid w:val="000D6245"/>
    <w:pPr>
      <w:ind w:left="720"/>
      <w:contextualSpacing/>
    </w:pPr>
  </w:style>
  <w:style w:type="character" w:customStyle="1" w:styleId="1Char">
    <w:name w:val="标题 1 Char"/>
    <w:basedOn w:val="a0"/>
    <w:link w:val="1"/>
    <w:uiPriority w:val="9"/>
    <w:rsid w:val="00044345"/>
    <w:rPr>
      <w:rFonts w:asciiTheme="majorHAnsi" w:eastAsiaTheme="majorEastAsia" w:hAnsiTheme="majorHAnsi" w:cstheme="majorBidi"/>
      <w:b/>
      <w:bCs/>
      <w:color w:val="365F91" w:themeColor="accent1" w:themeShade="BF"/>
      <w:sz w:val="28"/>
      <w:szCs w:val="28"/>
      <w:lang w:val="da-DK"/>
    </w:rPr>
  </w:style>
  <w:style w:type="character" w:styleId="ad">
    <w:name w:val="Strong"/>
    <w:uiPriority w:val="99"/>
    <w:qFormat/>
    <w:rsid w:val="002A5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1065">
      <w:bodyDiv w:val="1"/>
      <w:marLeft w:val="0"/>
      <w:marRight w:val="0"/>
      <w:marTop w:val="0"/>
      <w:marBottom w:val="0"/>
      <w:divBdr>
        <w:top w:val="none" w:sz="0" w:space="0" w:color="auto"/>
        <w:left w:val="none" w:sz="0" w:space="0" w:color="auto"/>
        <w:bottom w:val="none" w:sz="0" w:space="0" w:color="auto"/>
        <w:right w:val="none" w:sz="0" w:space="0" w:color="auto"/>
      </w:divBdr>
    </w:div>
    <w:div w:id="694235565">
      <w:bodyDiv w:val="1"/>
      <w:marLeft w:val="0"/>
      <w:marRight w:val="0"/>
      <w:marTop w:val="0"/>
      <w:marBottom w:val="0"/>
      <w:divBdr>
        <w:top w:val="none" w:sz="0" w:space="0" w:color="auto"/>
        <w:left w:val="none" w:sz="0" w:space="0" w:color="auto"/>
        <w:bottom w:val="none" w:sz="0" w:space="0" w:color="auto"/>
        <w:right w:val="none" w:sz="0" w:space="0" w:color="auto"/>
      </w:divBdr>
    </w:div>
    <w:div w:id="711924658">
      <w:bodyDiv w:val="1"/>
      <w:marLeft w:val="0"/>
      <w:marRight w:val="0"/>
      <w:marTop w:val="0"/>
      <w:marBottom w:val="0"/>
      <w:divBdr>
        <w:top w:val="none" w:sz="0" w:space="0" w:color="auto"/>
        <w:left w:val="none" w:sz="0" w:space="0" w:color="auto"/>
        <w:bottom w:val="none" w:sz="0" w:space="0" w:color="auto"/>
        <w:right w:val="none" w:sz="0" w:space="0" w:color="auto"/>
      </w:divBdr>
    </w:div>
    <w:div w:id="952594841">
      <w:bodyDiv w:val="1"/>
      <w:marLeft w:val="0"/>
      <w:marRight w:val="0"/>
      <w:marTop w:val="0"/>
      <w:marBottom w:val="0"/>
      <w:divBdr>
        <w:top w:val="none" w:sz="0" w:space="0" w:color="auto"/>
        <w:left w:val="none" w:sz="0" w:space="0" w:color="auto"/>
        <w:bottom w:val="none" w:sz="0" w:space="0" w:color="auto"/>
        <w:right w:val="none" w:sz="0" w:space="0" w:color="auto"/>
      </w:divBdr>
      <w:divsChild>
        <w:div w:id="1901362293">
          <w:marLeft w:val="0"/>
          <w:marRight w:val="0"/>
          <w:marTop w:val="0"/>
          <w:marBottom w:val="0"/>
          <w:divBdr>
            <w:top w:val="none" w:sz="0" w:space="0" w:color="auto"/>
            <w:left w:val="none" w:sz="0" w:space="0" w:color="auto"/>
            <w:bottom w:val="none" w:sz="0" w:space="0" w:color="auto"/>
            <w:right w:val="none" w:sz="0" w:space="0" w:color="auto"/>
          </w:divBdr>
          <w:divsChild>
            <w:div w:id="559023721">
              <w:marLeft w:val="0"/>
              <w:marRight w:val="0"/>
              <w:marTop w:val="0"/>
              <w:marBottom w:val="0"/>
              <w:divBdr>
                <w:top w:val="none" w:sz="0" w:space="0" w:color="auto"/>
                <w:left w:val="none" w:sz="0" w:space="0" w:color="auto"/>
                <w:bottom w:val="none" w:sz="0" w:space="0" w:color="auto"/>
                <w:right w:val="none" w:sz="0" w:space="0" w:color="auto"/>
              </w:divBdr>
              <w:divsChild>
                <w:div w:id="618221488">
                  <w:marLeft w:val="0"/>
                  <w:marRight w:val="0"/>
                  <w:marTop w:val="0"/>
                  <w:marBottom w:val="0"/>
                  <w:divBdr>
                    <w:top w:val="none" w:sz="0" w:space="0" w:color="auto"/>
                    <w:left w:val="none" w:sz="0" w:space="0" w:color="auto"/>
                    <w:bottom w:val="none" w:sz="0" w:space="0" w:color="auto"/>
                    <w:right w:val="none" w:sz="0" w:space="0" w:color="auto"/>
                  </w:divBdr>
                  <w:divsChild>
                    <w:div w:id="1114207448">
                      <w:marLeft w:val="0"/>
                      <w:marRight w:val="0"/>
                      <w:marTop w:val="0"/>
                      <w:marBottom w:val="0"/>
                      <w:divBdr>
                        <w:top w:val="none" w:sz="0" w:space="0" w:color="auto"/>
                        <w:left w:val="none" w:sz="0" w:space="0" w:color="auto"/>
                        <w:bottom w:val="none" w:sz="0" w:space="0" w:color="auto"/>
                        <w:right w:val="none" w:sz="0" w:space="0" w:color="auto"/>
                      </w:divBdr>
                      <w:divsChild>
                        <w:div w:id="1051271879">
                          <w:marLeft w:val="0"/>
                          <w:marRight w:val="0"/>
                          <w:marTop w:val="0"/>
                          <w:marBottom w:val="0"/>
                          <w:divBdr>
                            <w:top w:val="none" w:sz="0" w:space="0" w:color="auto"/>
                            <w:left w:val="none" w:sz="0" w:space="0" w:color="auto"/>
                            <w:bottom w:val="none" w:sz="0" w:space="0" w:color="auto"/>
                            <w:right w:val="none" w:sz="0" w:space="0" w:color="auto"/>
                          </w:divBdr>
                          <w:divsChild>
                            <w:div w:id="2074044628">
                              <w:marLeft w:val="0"/>
                              <w:marRight w:val="0"/>
                              <w:marTop w:val="0"/>
                              <w:marBottom w:val="0"/>
                              <w:divBdr>
                                <w:top w:val="none" w:sz="0" w:space="0" w:color="auto"/>
                                <w:left w:val="none" w:sz="0" w:space="0" w:color="auto"/>
                                <w:bottom w:val="none" w:sz="0" w:space="0" w:color="auto"/>
                                <w:right w:val="none" w:sz="0" w:space="0" w:color="auto"/>
                              </w:divBdr>
                              <w:divsChild>
                                <w:div w:id="1867133969">
                                  <w:marLeft w:val="0"/>
                                  <w:marRight w:val="0"/>
                                  <w:marTop w:val="240"/>
                                  <w:marBottom w:val="240"/>
                                  <w:divBdr>
                                    <w:top w:val="none" w:sz="0" w:space="0" w:color="auto"/>
                                    <w:left w:val="none" w:sz="0" w:space="0" w:color="auto"/>
                                    <w:bottom w:val="none" w:sz="0" w:space="0" w:color="auto"/>
                                    <w:right w:val="none" w:sz="0" w:space="0" w:color="auto"/>
                                  </w:divBdr>
                                  <w:divsChild>
                                    <w:div w:id="1668245534">
                                      <w:marLeft w:val="0"/>
                                      <w:marRight w:val="0"/>
                                      <w:marTop w:val="0"/>
                                      <w:marBottom w:val="0"/>
                                      <w:divBdr>
                                        <w:top w:val="none" w:sz="0" w:space="0" w:color="auto"/>
                                        <w:left w:val="none" w:sz="0" w:space="0" w:color="auto"/>
                                        <w:bottom w:val="none" w:sz="0" w:space="0" w:color="auto"/>
                                        <w:right w:val="none" w:sz="0" w:space="0" w:color="auto"/>
                                      </w:divBdr>
                                      <w:divsChild>
                                        <w:div w:id="276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38944">
      <w:bodyDiv w:val="1"/>
      <w:marLeft w:val="0"/>
      <w:marRight w:val="0"/>
      <w:marTop w:val="0"/>
      <w:marBottom w:val="0"/>
      <w:divBdr>
        <w:top w:val="none" w:sz="0" w:space="0" w:color="auto"/>
        <w:left w:val="none" w:sz="0" w:space="0" w:color="auto"/>
        <w:bottom w:val="none" w:sz="0" w:space="0" w:color="auto"/>
        <w:right w:val="none" w:sz="0" w:space="0" w:color="auto"/>
      </w:divBdr>
      <w:divsChild>
        <w:div w:id="1848011704">
          <w:marLeft w:val="0"/>
          <w:marRight w:val="0"/>
          <w:marTop w:val="0"/>
          <w:marBottom w:val="0"/>
          <w:divBdr>
            <w:top w:val="none" w:sz="0" w:space="0" w:color="auto"/>
            <w:left w:val="none" w:sz="0" w:space="0" w:color="auto"/>
            <w:bottom w:val="none" w:sz="0" w:space="0" w:color="auto"/>
            <w:right w:val="none" w:sz="0" w:space="0" w:color="auto"/>
          </w:divBdr>
          <w:divsChild>
            <w:div w:id="986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007">
      <w:bodyDiv w:val="1"/>
      <w:marLeft w:val="0"/>
      <w:marRight w:val="0"/>
      <w:marTop w:val="0"/>
      <w:marBottom w:val="0"/>
      <w:divBdr>
        <w:top w:val="none" w:sz="0" w:space="0" w:color="auto"/>
        <w:left w:val="none" w:sz="0" w:space="0" w:color="auto"/>
        <w:bottom w:val="none" w:sz="0" w:space="0" w:color="auto"/>
        <w:right w:val="none" w:sz="0" w:space="0" w:color="auto"/>
      </w:divBdr>
    </w:div>
    <w:div w:id="1691835172">
      <w:bodyDiv w:val="1"/>
      <w:marLeft w:val="0"/>
      <w:marRight w:val="0"/>
      <w:marTop w:val="0"/>
      <w:marBottom w:val="0"/>
      <w:divBdr>
        <w:top w:val="none" w:sz="0" w:space="0" w:color="auto"/>
        <w:left w:val="none" w:sz="0" w:space="0" w:color="auto"/>
        <w:bottom w:val="none" w:sz="0" w:space="0" w:color="auto"/>
        <w:right w:val="none" w:sz="0" w:space="0" w:color="auto"/>
      </w:divBdr>
    </w:div>
    <w:div w:id="1849444449">
      <w:bodyDiv w:val="1"/>
      <w:marLeft w:val="0"/>
      <w:marRight w:val="0"/>
      <w:marTop w:val="0"/>
      <w:marBottom w:val="0"/>
      <w:divBdr>
        <w:top w:val="none" w:sz="0" w:space="0" w:color="auto"/>
        <w:left w:val="none" w:sz="0" w:space="0" w:color="auto"/>
        <w:bottom w:val="none" w:sz="0" w:space="0" w:color="auto"/>
        <w:right w:val="none" w:sz="0" w:space="0" w:color="auto"/>
      </w:divBdr>
      <w:divsChild>
        <w:div w:id="1931888871">
          <w:marLeft w:val="0"/>
          <w:marRight w:val="0"/>
          <w:marTop w:val="0"/>
          <w:marBottom w:val="0"/>
          <w:divBdr>
            <w:top w:val="none" w:sz="0" w:space="0" w:color="auto"/>
            <w:left w:val="none" w:sz="0" w:space="0" w:color="auto"/>
            <w:bottom w:val="none" w:sz="0" w:space="0" w:color="auto"/>
            <w:right w:val="none" w:sz="0" w:space="0" w:color="auto"/>
          </w:divBdr>
          <w:divsChild>
            <w:div w:id="1419323698">
              <w:marLeft w:val="0"/>
              <w:marRight w:val="0"/>
              <w:marTop w:val="0"/>
              <w:marBottom w:val="0"/>
              <w:divBdr>
                <w:top w:val="none" w:sz="0" w:space="0" w:color="auto"/>
                <w:left w:val="none" w:sz="0" w:space="0" w:color="auto"/>
                <w:bottom w:val="none" w:sz="0" w:space="0" w:color="auto"/>
                <w:right w:val="none" w:sz="0" w:space="0" w:color="auto"/>
              </w:divBdr>
              <w:divsChild>
                <w:div w:id="1284312551">
                  <w:marLeft w:val="0"/>
                  <w:marRight w:val="0"/>
                  <w:marTop w:val="0"/>
                  <w:marBottom w:val="0"/>
                  <w:divBdr>
                    <w:top w:val="none" w:sz="0" w:space="0" w:color="auto"/>
                    <w:left w:val="none" w:sz="0" w:space="0" w:color="auto"/>
                    <w:bottom w:val="none" w:sz="0" w:space="0" w:color="auto"/>
                    <w:right w:val="none" w:sz="0" w:space="0" w:color="auto"/>
                  </w:divBdr>
                  <w:divsChild>
                    <w:div w:id="64843295">
                      <w:marLeft w:val="0"/>
                      <w:marRight w:val="0"/>
                      <w:marTop w:val="0"/>
                      <w:marBottom w:val="0"/>
                      <w:divBdr>
                        <w:top w:val="none" w:sz="0" w:space="0" w:color="auto"/>
                        <w:left w:val="none" w:sz="0" w:space="0" w:color="auto"/>
                        <w:bottom w:val="none" w:sz="0" w:space="0" w:color="auto"/>
                        <w:right w:val="none" w:sz="0" w:space="0" w:color="auto"/>
                      </w:divBdr>
                      <w:divsChild>
                        <w:div w:id="203718018">
                          <w:marLeft w:val="0"/>
                          <w:marRight w:val="0"/>
                          <w:marTop w:val="0"/>
                          <w:marBottom w:val="0"/>
                          <w:divBdr>
                            <w:top w:val="none" w:sz="0" w:space="0" w:color="auto"/>
                            <w:left w:val="none" w:sz="0" w:space="0" w:color="auto"/>
                            <w:bottom w:val="none" w:sz="0" w:space="0" w:color="auto"/>
                            <w:right w:val="none" w:sz="0" w:space="0" w:color="auto"/>
                          </w:divBdr>
                          <w:divsChild>
                            <w:div w:id="1580097453">
                              <w:marLeft w:val="0"/>
                              <w:marRight w:val="0"/>
                              <w:marTop w:val="0"/>
                              <w:marBottom w:val="0"/>
                              <w:divBdr>
                                <w:top w:val="none" w:sz="0" w:space="0" w:color="auto"/>
                                <w:left w:val="none" w:sz="0" w:space="0" w:color="auto"/>
                                <w:bottom w:val="none" w:sz="0" w:space="0" w:color="auto"/>
                                <w:right w:val="none" w:sz="0" w:space="0" w:color="auto"/>
                              </w:divBdr>
                              <w:divsChild>
                                <w:div w:id="2063597707">
                                  <w:marLeft w:val="0"/>
                                  <w:marRight w:val="0"/>
                                  <w:marTop w:val="0"/>
                                  <w:marBottom w:val="0"/>
                                  <w:divBdr>
                                    <w:top w:val="none" w:sz="0" w:space="0" w:color="auto"/>
                                    <w:left w:val="none" w:sz="0" w:space="0" w:color="auto"/>
                                    <w:bottom w:val="none" w:sz="0" w:space="0" w:color="auto"/>
                                    <w:right w:val="none" w:sz="0" w:space="0" w:color="auto"/>
                                  </w:divBdr>
                                  <w:divsChild>
                                    <w:div w:id="971249041">
                                      <w:marLeft w:val="0"/>
                                      <w:marRight w:val="0"/>
                                      <w:marTop w:val="0"/>
                                      <w:marBottom w:val="0"/>
                                      <w:divBdr>
                                        <w:top w:val="none" w:sz="0" w:space="0" w:color="auto"/>
                                        <w:left w:val="none" w:sz="0" w:space="0" w:color="auto"/>
                                        <w:bottom w:val="none" w:sz="0" w:space="0" w:color="auto"/>
                                        <w:right w:val="none" w:sz="0" w:space="0" w:color="auto"/>
                                      </w:divBdr>
                                      <w:divsChild>
                                        <w:div w:id="422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3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3F0D-19C0-4B1B-A424-825173BB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St Luke's Hospital</Company>
  <LinksUpToDate>false</LinksUpToDate>
  <CharactersWithSpaces>47814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LS Ma</cp:lastModifiedBy>
  <cp:revision>2</cp:revision>
  <dcterms:created xsi:type="dcterms:W3CDTF">2014-11-17T22:45:00Z</dcterms:created>
  <dcterms:modified xsi:type="dcterms:W3CDTF">2014-11-17T22:45:00Z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joemunier@gmail.com@www.mendeley.com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