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F8" w:rsidRPr="00AA384A" w:rsidRDefault="00D46CF8" w:rsidP="00AA384A">
      <w:pPr>
        <w:spacing w:line="360" w:lineRule="auto"/>
        <w:jc w:val="both"/>
        <w:rPr>
          <w:rFonts w:ascii="Book Antiqua" w:hAnsi="Book Antiqua" w:cs="Tahoma"/>
          <w:b/>
          <w:color w:val="auto"/>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AA384A">
        <w:rPr>
          <w:rFonts w:ascii="Book Antiqua" w:hAnsi="Book Antiqua" w:cs="Tahoma"/>
          <w:b/>
          <w:color w:val="auto"/>
        </w:rPr>
        <w:t>Name of journal: World Journal of Gastroenterology</w:t>
      </w:r>
    </w:p>
    <w:p w:rsidR="00D46CF8" w:rsidRPr="00AA384A" w:rsidRDefault="00D46CF8" w:rsidP="00AA384A">
      <w:pPr>
        <w:spacing w:line="360" w:lineRule="auto"/>
        <w:jc w:val="both"/>
        <w:rPr>
          <w:rFonts w:ascii="Book Antiqua" w:hAnsi="Book Antiqua" w:cs="Tahoma"/>
          <w:b/>
          <w:color w:val="auto"/>
        </w:rPr>
      </w:pPr>
      <w:r w:rsidRPr="00AA384A">
        <w:rPr>
          <w:rFonts w:ascii="Book Antiqua" w:hAnsi="Book Antiqua" w:cs="Tahoma"/>
          <w:b/>
          <w:color w:val="auto"/>
        </w:rPr>
        <w:t>ESPS Manuscript NO: 10905</w:t>
      </w:r>
    </w:p>
    <w:bookmarkEnd w:id="0"/>
    <w:bookmarkEnd w:id="1"/>
    <w:bookmarkEnd w:id="2"/>
    <w:bookmarkEnd w:id="3"/>
    <w:bookmarkEnd w:id="4"/>
    <w:bookmarkEnd w:id="5"/>
    <w:bookmarkEnd w:id="6"/>
    <w:p w:rsidR="00D46CF8" w:rsidRPr="00AA384A" w:rsidRDefault="00D46CF8" w:rsidP="00AA384A">
      <w:pPr>
        <w:spacing w:line="360" w:lineRule="auto"/>
        <w:jc w:val="both"/>
        <w:rPr>
          <w:rFonts w:ascii="Book Antiqua" w:hAnsi="Book Antiqua" w:cs="Tahoma"/>
          <w:b/>
          <w:color w:val="auto"/>
        </w:rPr>
      </w:pPr>
      <w:r w:rsidRPr="00AA384A">
        <w:rPr>
          <w:rFonts w:ascii="Book Antiqua" w:hAnsi="Book Antiqua" w:cs="Tahoma"/>
          <w:b/>
          <w:color w:val="auto"/>
        </w:rPr>
        <w:t>Columns:</w:t>
      </w:r>
      <w:r w:rsidRPr="00AA384A">
        <w:rPr>
          <w:rFonts w:ascii="Book Antiqua" w:hAnsi="Book Antiqua"/>
          <w:color w:val="auto"/>
        </w:rPr>
        <w:t xml:space="preserve"> </w:t>
      </w:r>
      <w:r w:rsidR="00CD2927" w:rsidRPr="00AA384A">
        <w:rPr>
          <w:rFonts w:ascii="Book Antiqua" w:hAnsi="Book Antiqua" w:cs="Tahoma"/>
          <w:b/>
          <w:color w:val="auto"/>
        </w:rPr>
        <w:t>CLINICAL TRIALS STUDY</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smallCaps/>
          <w:color w:val="auto"/>
          <w:szCs w:val="24"/>
          <w:lang w:val="en-US" w:eastAsia="zh-CN"/>
        </w:rPr>
      </w:pPr>
    </w:p>
    <w:p w:rsidR="003D5388" w:rsidRPr="00AA384A" w:rsidRDefault="003D5388" w:rsidP="00AA384A">
      <w:pPr>
        <w:spacing w:line="360" w:lineRule="auto"/>
        <w:jc w:val="both"/>
        <w:rPr>
          <w:rFonts w:ascii="Book Antiqua" w:hAnsi="Book Antiqua"/>
          <w:b/>
          <w:color w:val="auto"/>
        </w:rPr>
      </w:pPr>
      <w:proofErr w:type="spellStart"/>
      <w:r w:rsidRPr="00AA384A">
        <w:rPr>
          <w:rFonts w:ascii="Book Antiqua" w:hAnsi="Book Antiqua"/>
          <w:b/>
          <w:color w:val="auto"/>
        </w:rPr>
        <w:t>Boceprevir</w:t>
      </w:r>
      <w:proofErr w:type="spellEnd"/>
      <w:r w:rsidRPr="00AA384A">
        <w:rPr>
          <w:rFonts w:ascii="Book Antiqua" w:hAnsi="Book Antiqua"/>
          <w:b/>
          <w:color w:val="auto"/>
        </w:rPr>
        <w:t xml:space="preserve"> is highly effective in treatment-experienced </w:t>
      </w:r>
      <w:r w:rsidR="007C6B02" w:rsidRPr="00AA384A">
        <w:rPr>
          <w:rFonts w:ascii="Book Antiqua" w:hAnsi="Book Antiqua"/>
          <w:b/>
          <w:color w:val="auto"/>
        </w:rPr>
        <w:t>hepatitis C virus</w:t>
      </w:r>
      <w:r w:rsidRPr="00AA384A">
        <w:rPr>
          <w:rFonts w:ascii="Book Antiqua" w:hAnsi="Book Antiqua"/>
          <w:b/>
          <w:color w:val="auto"/>
        </w:rPr>
        <w:t>-positive genotype-1 menopausal women</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smallCaps/>
          <w:color w:val="auto"/>
          <w:szCs w:val="24"/>
          <w:lang w:val="en-US" w:eastAsia="zh-CN"/>
        </w:rPr>
      </w:pPr>
    </w:p>
    <w:p w:rsidR="00D46CF8" w:rsidRPr="00AA384A" w:rsidRDefault="007C6B02"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rPr>
        <w:t>Bernabucci</w:t>
      </w:r>
      <w:r w:rsidRPr="00AA384A">
        <w:rPr>
          <w:rFonts w:ascii="Book Antiqua" w:hAnsi="Book Antiqua" w:cs="Arial"/>
          <w:color w:val="auto"/>
          <w:szCs w:val="24"/>
          <w:lang w:val="en-US"/>
        </w:rPr>
        <w:t xml:space="preserve"> </w:t>
      </w:r>
      <w:r w:rsidRPr="00AA384A">
        <w:rPr>
          <w:rFonts w:ascii="Book Antiqua" w:eastAsia="宋体" w:hAnsi="Book Antiqua" w:cs="Arial"/>
          <w:color w:val="auto"/>
          <w:szCs w:val="24"/>
          <w:lang w:val="en-US" w:eastAsia="zh-CN"/>
        </w:rPr>
        <w:t xml:space="preserve">V </w:t>
      </w:r>
      <w:r w:rsidRPr="00AA384A">
        <w:rPr>
          <w:rFonts w:ascii="Book Antiqua" w:eastAsia="宋体" w:hAnsi="Book Antiqua" w:cs="Arial"/>
          <w:i/>
          <w:color w:val="auto"/>
          <w:szCs w:val="24"/>
          <w:lang w:val="en-US" w:eastAsia="zh-CN"/>
        </w:rPr>
        <w:t xml:space="preserve">et al. </w:t>
      </w:r>
      <w:proofErr w:type="spellStart"/>
      <w:r w:rsidR="00D46CF8" w:rsidRPr="00AA384A">
        <w:rPr>
          <w:rFonts w:ascii="Book Antiqua" w:hAnsi="Book Antiqua" w:cs="Arial"/>
          <w:color w:val="auto"/>
          <w:szCs w:val="24"/>
          <w:lang w:val="en-US"/>
        </w:rPr>
        <w:t>Boceprevir</w:t>
      </w:r>
      <w:proofErr w:type="spellEnd"/>
      <w:r w:rsidR="00D46CF8" w:rsidRPr="00AA384A">
        <w:rPr>
          <w:rFonts w:ascii="Book Antiqua" w:hAnsi="Book Antiqua" w:cs="Arial"/>
          <w:color w:val="auto"/>
          <w:szCs w:val="24"/>
          <w:lang w:val="en-US"/>
        </w:rPr>
        <w:t xml:space="preserve"> in experienced menopausal HCV</w:t>
      </w:r>
      <w:r w:rsidR="00D46CF8" w:rsidRPr="00AA384A">
        <w:rPr>
          <w:rFonts w:ascii="Book Antiqua" w:hAnsi="Book Antiqua" w:cs="Arial"/>
          <w:color w:val="auto"/>
          <w:szCs w:val="24"/>
          <w:vertAlign w:val="superscript"/>
          <w:lang w:val="en-US"/>
        </w:rPr>
        <w:t>+</w:t>
      </w:r>
      <w:r w:rsidR="00D46CF8" w:rsidRPr="00AA384A">
        <w:rPr>
          <w:rFonts w:ascii="Book Antiqua" w:hAnsi="Book Antiqua" w:cs="Arial"/>
          <w:color w:val="auto"/>
          <w:szCs w:val="24"/>
          <w:lang w:val="en-US"/>
        </w:rPr>
        <w:t xml:space="preserve"> women</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smallCaps/>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vertAlign w:val="superscript"/>
          <w:lang w:eastAsia="zh-CN"/>
        </w:rPr>
      </w:pPr>
      <w:r w:rsidRPr="00AA384A">
        <w:rPr>
          <w:rFonts w:ascii="Book Antiqua" w:hAnsi="Book Antiqua" w:cs="Arial"/>
          <w:color w:val="auto"/>
          <w:szCs w:val="24"/>
        </w:rPr>
        <w:t>Veronica Bernabucci,</w:t>
      </w:r>
      <w:r w:rsidRPr="00AA384A">
        <w:rPr>
          <w:rFonts w:ascii="Book Antiqua" w:hAnsi="Book Antiqua" w:cs="Arial"/>
          <w:smallCaps/>
          <w:color w:val="auto"/>
          <w:szCs w:val="24"/>
        </w:rPr>
        <w:t xml:space="preserve"> </w:t>
      </w:r>
      <w:r w:rsidRPr="00AA384A">
        <w:rPr>
          <w:rFonts w:ascii="Book Antiqua" w:hAnsi="Book Antiqua" w:cs="Arial"/>
          <w:color w:val="auto"/>
          <w:szCs w:val="24"/>
        </w:rPr>
        <w:t>Alessia Ciancio, Salvatore Petta, Aimilia Karampatou, Laura Turco, Silvia Strona, Rosina Critelli, Paola Todesca, Caterina Cerami, Caterina Sagnelli, Mario Rizzetto, Calogero Cammà, Erica Villa</w:t>
      </w:r>
    </w:p>
    <w:p w:rsidR="00D46CF8" w:rsidRPr="00AA384A" w:rsidRDefault="005A6F29"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eastAsia="zh-CN"/>
        </w:rPr>
      </w:pPr>
      <w:r>
        <w:rPr>
          <w:rFonts w:ascii="Book Antiqua" w:hAnsi="Book Antiqua" w:cs="Arial"/>
          <w:smallCaps/>
          <w:noProof/>
          <w:color w:val="auto"/>
          <w:szCs w:val="24"/>
          <w:lang w:val="en-US" w:eastAsia="zh-CN"/>
        </w:rPr>
        <mc:AlternateContent>
          <mc:Choice Requires="wps">
            <w:drawing>
              <wp:anchor distT="0" distB="0" distL="114300" distR="114300" simplePos="0" relativeHeight="251657728" behindDoc="0" locked="0" layoutInCell="1" allowOverlap="1" wp14:anchorId="5F1EB795" wp14:editId="3875BA5A">
                <wp:simplePos x="0" y="0"/>
                <wp:positionH relativeFrom="column">
                  <wp:posOffset>40005</wp:posOffset>
                </wp:positionH>
                <wp:positionV relativeFrom="paragraph">
                  <wp:posOffset>107950</wp:posOffset>
                </wp:positionV>
                <wp:extent cx="5436235" cy="0"/>
                <wp:effectExtent l="20955" t="22225" r="1968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pt" to="4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P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" strokecolor="gray" strokeweight="3pt"/>
            </w:pict>
          </mc:Fallback>
        </mc:AlternateContent>
      </w:r>
    </w:p>
    <w:p w:rsidR="00D46CF8"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eastAsia="zh-CN"/>
        </w:rPr>
      </w:pPr>
      <w:r w:rsidRPr="00AA384A">
        <w:rPr>
          <w:rFonts w:ascii="Book Antiqua" w:hAnsi="Book Antiqua" w:cs="Arial"/>
          <w:b/>
          <w:color w:val="auto"/>
          <w:szCs w:val="24"/>
        </w:rPr>
        <w:t>Veronica Bernabucci,</w:t>
      </w:r>
      <w:r w:rsidRPr="00AA384A">
        <w:rPr>
          <w:rFonts w:ascii="Book Antiqua" w:eastAsia="宋体" w:hAnsi="Book Antiqua" w:cs="Arial"/>
          <w:b/>
          <w:color w:val="auto"/>
          <w:szCs w:val="24"/>
          <w:lang w:eastAsia="zh-CN"/>
        </w:rPr>
        <w:t xml:space="preserve"> </w:t>
      </w:r>
      <w:r w:rsidRPr="00AA384A">
        <w:rPr>
          <w:rFonts w:ascii="Book Antiqua" w:hAnsi="Book Antiqua" w:cs="Arial"/>
          <w:b/>
          <w:color w:val="auto"/>
          <w:szCs w:val="24"/>
        </w:rPr>
        <w:t>Aimilia Karampatou, Laura Turco, Rosina Critelli, Paola Todesca, Caterina Cerami, Erica Villa</w:t>
      </w:r>
      <w:r w:rsidRPr="00AA384A">
        <w:rPr>
          <w:rFonts w:ascii="Book Antiqua" w:eastAsia="宋体" w:hAnsi="Book Antiqua" w:cs="Arial"/>
          <w:b/>
          <w:color w:val="auto"/>
          <w:szCs w:val="24"/>
          <w:lang w:eastAsia="zh-CN"/>
        </w:rPr>
        <w:t xml:space="preserve">, </w:t>
      </w:r>
      <w:r w:rsidR="00D46CF8" w:rsidRPr="00AA384A">
        <w:rPr>
          <w:rFonts w:ascii="Book Antiqua" w:hAnsi="Book Antiqua" w:cs="Arial"/>
          <w:color w:val="auto"/>
          <w:szCs w:val="24"/>
        </w:rPr>
        <w:t>Division of Gastroenterology, Azienda Ospedaliero-Universitaria Policlinico di Modena, Italy Università degli Studi di Modena e Reggio Emilia,</w:t>
      </w:r>
      <w:r w:rsidRPr="00AA384A">
        <w:rPr>
          <w:rFonts w:ascii="Book Antiqua" w:hAnsi="Book Antiqua" w:cs="Arial"/>
          <w:color w:val="auto"/>
          <w:szCs w:val="24"/>
        </w:rPr>
        <w:t xml:space="preserve"> 41124 Modena, Italy</w:t>
      </w:r>
    </w:p>
    <w:p w:rsidR="007C6B02"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eastAsia="zh-CN"/>
        </w:rPr>
      </w:pPr>
    </w:p>
    <w:p w:rsidR="00D46CF8"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r w:rsidRPr="00AA384A">
        <w:rPr>
          <w:rFonts w:ascii="Book Antiqua" w:hAnsi="Book Antiqua" w:cs="Arial"/>
          <w:b/>
          <w:color w:val="auto"/>
          <w:szCs w:val="24"/>
        </w:rPr>
        <w:t>Alessia Ciancio, Silvia Strona, Mario Rizzetto,</w:t>
      </w:r>
      <w:r w:rsidRPr="00AA384A">
        <w:rPr>
          <w:rFonts w:ascii="Book Antiqua" w:hAnsi="Book Antiqua" w:cs="Arial"/>
          <w:color w:val="auto"/>
          <w:szCs w:val="24"/>
        </w:rPr>
        <w:t xml:space="preserve"> </w:t>
      </w:r>
      <w:r w:rsidR="00D46CF8" w:rsidRPr="00AA384A">
        <w:rPr>
          <w:rFonts w:ascii="Book Antiqua" w:hAnsi="Book Antiqua" w:cs="Arial"/>
          <w:color w:val="auto"/>
          <w:szCs w:val="24"/>
          <w:lang w:val="en-US"/>
        </w:rPr>
        <w:t>Division of Gastroenterology, University of Turin, 10126</w:t>
      </w:r>
      <w:r w:rsidR="001B6FEA" w:rsidRPr="00AA384A">
        <w:rPr>
          <w:rFonts w:ascii="Book Antiqua" w:eastAsia="宋体" w:hAnsi="Book Antiqua" w:cs="Arial"/>
          <w:color w:val="auto"/>
          <w:szCs w:val="24"/>
          <w:lang w:val="en-US" w:eastAsia="zh-CN"/>
        </w:rPr>
        <w:t xml:space="preserve"> </w:t>
      </w:r>
      <w:r w:rsidR="001B6FEA" w:rsidRPr="00AA384A">
        <w:rPr>
          <w:rFonts w:ascii="Book Antiqua" w:hAnsi="Book Antiqua" w:cs="Arial"/>
          <w:color w:val="auto"/>
          <w:szCs w:val="24"/>
          <w:lang w:val="en-US"/>
        </w:rPr>
        <w:t>Turin</w:t>
      </w:r>
      <w:r w:rsidR="00D46CF8" w:rsidRPr="00AA384A">
        <w:rPr>
          <w:rFonts w:ascii="Book Antiqua" w:hAnsi="Book Antiqua" w:cs="Arial"/>
          <w:color w:val="auto"/>
          <w:szCs w:val="24"/>
          <w:lang w:val="en-US"/>
        </w:rPr>
        <w:t>, Italy</w:t>
      </w:r>
    </w:p>
    <w:p w:rsidR="007C6B02"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D46CF8"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r w:rsidRPr="00AA384A">
        <w:rPr>
          <w:rFonts w:ascii="Book Antiqua" w:hAnsi="Book Antiqua" w:cs="Arial"/>
          <w:b/>
          <w:color w:val="auto"/>
          <w:szCs w:val="24"/>
        </w:rPr>
        <w:t>Salvatore Petta,</w:t>
      </w:r>
      <w:r w:rsidRPr="00AA384A">
        <w:rPr>
          <w:rFonts w:ascii="Book Antiqua" w:eastAsia="宋体" w:hAnsi="Book Antiqua" w:cs="Arial"/>
          <w:b/>
          <w:color w:val="auto"/>
          <w:szCs w:val="24"/>
          <w:lang w:eastAsia="zh-CN"/>
        </w:rPr>
        <w:t xml:space="preserve"> </w:t>
      </w:r>
      <w:r w:rsidRPr="00AA384A">
        <w:rPr>
          <w:rFonts w:ascii="Book Antiqua" w:hAnsi="Book Antiqua" w:cs="Arial"/>
          <w:b/>
          <w:color w:val="auto"/>
          <w:szCs w:val="24"/>
        </w:rPr>
        <w:t xml:space="preserve">Calogero Cammà, </w:t>
      </w:r>
      <w:r w:rsidR="00D46CF8" w:rsidRPr="00AA384A">
        <w:rPr>
          <w:rFonts w:ascii="Book Antiqua" w:hAnsi="Book Antiqua" w:cs="Arial"/>
          <w:color w:val="auto"/>
          <w:szCs w:val="24"/>
          <w:lang w:val="en-US"/>
        </w:rPr>
        <w:t xml:space="preserve">Division of Gastroenterology, </w:t>
      </w:r>
      <w:proofErr w:type="spellStart"/>
      <w:r w:rsidR="00D46CF8" w:rsidRPr="00AA384A">
        <w:rPr>
          <w:rFonts w:ascii="Book Antiqua" w:hAnsi="Book Antiqua" w:cs="Arial"/>
          <w:color w:val="auto"/>
          <w:szCs w:val="24"/>
          <w:lang w:val="en-US"/>
        </w:rPr>
        <w:t>DiBiMIS</w:t>
      </w:r>
      <w:proofErr w:type="spellEnd"/>
      <w:r w:rsidR="00D46CF8" w:rsidRPr="00AA384A">
        <w:rPr>
          <w:rFonts w:ascii="Book Antiqua" w:hAnsi="Book Antiqua" w:cs="Arial"/>
          <w:color w:val="auto"/>
          <w:szCs w:val="24"/>
          <w:lang w:val="en-US"/>
        </w:rPr>
        <w:t>, University of Palermo, 90127</w:t>
      </w:r>
      <w:r w:rsidR="001B6FEA" w:rsidRPr="00AA384A">
        <w:rPr>
          <w:rFonts w:ascii="Book Antiqua" w:eastAsia="宋体" w:hAnsi="Book Antiqua" w:cs="Arial"/>
          <w:color w:val="auto"/>
          <w:szCs w:val="24"/>
          <w:lang w:val="en-US" w:eastAsia="zh-CN"/>
        </w:rPr>
        <w:t xml:space="preserve"> </w:t>
      </w:r>
      <w:r w:rsidR="001B6FEA" w:rsidRPr="00AA384A">
        <w:rPr>
          <w:rFonts w:ascii="Book Antiqua" w:hAnsi="Book Antiqua" w:cs="Arial"/>
          <w:color w:val="auto"/>
          <w:szCs w:val="24"/>
          <w:lang w:val="en-US"/>
        </w:rPr>
        <w:t>Palermo</w:t>
      </w:r>
      <w:r w:rsidR="00D46CF8" w:rsidRPr="00AA384A">
        <w:rPr>
          <w:rFonts w:ascii="Book Antiqua" w:hAnsi="Book Antiqua" w:cs="Arial"/>
          <w:color w:val="auto"/>
          <w:szCs w:val="24"/>
          <w:lang w:val="en-US"/>
        </w:rPr>
        <w:t xml:space="preserve">, Italy </w:t>
      </w:r>
    </w:p>
    <w:p w:rsidR="007C6B02"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D46CF8" w:rsidRPr="00AA384A" w:rsidRDefault="007C6B02" w:rsidP="00AA384A">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rPr>
      </w:pPr>
      <w:r w:rsidRPr="00AA384A">
        <w:rPr>
          <w:rFonts w:ascii="Book Antiqua" w:hAnsi="Book Antiqua" w:cs="Arial"/>
          <w:b/>
          <w:color w:val="auto"/>
          <w:szCs w:val="24"/>
        </w:rPr>
        <w:t>Caterina Sagnelli,</w:t>
      </w:r>
      <w:r w:rsidRPr="00AA384A">
        <w:rPr>
          <w:rFonts w:ascii="Book Antiqua" w:eastAsia="宋体" w:hAnsi="Book Antiqua" w:cs="Arial"/>
          <w:color w:val="auto"/>
          <w:szCs w:val="24"/>
          <w:lang w:eastAsia="zh-CN"/>
        </w:rPr>
        <w:t xml:space="preserve"> </w:t>
      </w:r>
      <w:r w:rsidR="00D46CF8" w:rsidRPr="00AA384A">
        <w:rPr>
          <w:rFonts w:ascii="Book Antiqua" w:hAnsi="Book Antiqua" w:cs="Arial"/>
          <w:color w:val="auto"/>
          <w:szCs w:val="24"/>
        </w:rPr>
        <w:t>Dipartimento Medico-Chirurgico di Internistica Clinica e Sperimentale “F. Magrassi</w:t>
      </w:r>
      <w:r w:rsidR="00CD2927">
        <w:rPr>
          <w:rFonts w:ascii="Book Antiqua" w:eastAsia="宋体" w:hAnsi="Book Antiqua" w:cs="Arial" w:hint="eastAsia"/>
          <w:color w:val="auto"/>
          <w:szCs w:val="24"/>
          <w:lang w:eastAsia="zh-CN"/>
        </w:rPr>
        <w:t>-</w:t>
      </w:r>
      <w:r w:rsidR="00D46CF8" w:rsidRPr="00AA384A">
        <w:rPr>
          <w:rFonts w:ascii="Book Antiqua" w:hAnsi="Book Antiqua" w:cs="Arial"/>
          <w:color w:val="auto"/>
          <w:szCs w:val="24"/>
        </w:rPr>
        <w:t xml:space="preserve">A. Lanzara”, </w:t>
      </w:r>
      <w:r w:rsidR="001B6FEA" w:rsidRPr="00AA384A">
        <w:rPr>
          <w:rFonts w:ascii="Book Antiqua" w:hAnsi="Book Antiqua" w:cs="Arial"/>
          <w:color w:val="auto"/>
          <w:szCs w:val="24"/>
        </w:rPr>
        <w:t>Second University of Naples,</w:t>
      </w:r>
      <w:r w:rsidR="001B6FEA" w:rsidRPr="00AA384A">
        <w:rPr>
          <w:rFonts w:ascii="Book Antiqua" w:eastAsia="宋体" w:hAnsi="Book Antiqua" w:cs="Arial"/>
          <w:color w:val="auto"/>
          <w:szCs w:val="24"/>
          <w:lang w:eastAsia="zh-CN"/>
        </w:rPr>
        <w:t xml:space="preserve"> </w:t>
      </w:r>
      <w:r w:rsidR="00D46CF8" w:rsidRPr="00AA384A">
        <w:rPr>
          <w:rFonts w:ascii="Book Antiqua" w:hAnsi="Book Antiqua" w:cs="Arial"/>
          <w:color w:val="auto"/>
          <w:szCs w:val="24"/>
        </w:rPr>
        <w:t>80131</w:t>
      </w:r>
      <w:r w:rsidR="001B6FEA" w:rsidRPr="00AA384A">
        <w:rPr>
          <w:rFonts w:ascii="Book Antiqua" w:eastAsia="宋体" w:hAnsi="Book Antiqua" w:cs="Arial"/>
          <w:color w:val="auto"/>
          <w:szCs w:val="24"/>
          <w:lang w:eastAsia="zh-CN"/>
        </w:rPr>
        <w:t xml:space="preserve"> </w:t>
      </w:r>
      <w:r w:rsidR="001B6FEA" w:rsidRPr="00AA384A">
        <w:rPr>
          <w:rFonts w:ascii="Book Antiqua" w:hAnsi="Book Antiqua" w:cs="Arial"/>
          <w:color w:val="auto"/>
          <w:szCs w:val="24"/>
        </w:rPr>
        <w:t>Naples</w:t>
      </w:r>
      <w:r w:rsidR="00D46CF8" w:rsidRPr="00AA384A">
        <w:rPr>
          <w:rFonts w:ascii="Book Antiqua" w:hAnsi="Book Antiqua" w:cs="Arial"/>
          <w:color w:val="auto"/>
          <w:szCs w:val="24"/>
        </w:rPr>
        <w:t>, Italy</w:t>
      </w:r>
    </w:p>
    <w:p w:rsidR="00D46CF8" w:rsidRPr="00AA384A" w:rsidRDefault="00D46CF8" w:rsidP="00AA384A">
      <w:pPr>
        <w:spacing w:line="360" w:lineRule="auto"/>
        <w:jc w:val="both"/>
        <w:rPr>
          <w:rFonts w:ascii="Book Antiqua" w:eastAsia="宋体" w:hAnsi="Book Antiqua" w:cs="Arial"/>
          <w:color w:val="auto"/>
          <w:lang w:eastAsia="zh-CN"/>
        </w:rPr>
      </w:pPr>
    </w:p>
    <w:p w:rsidR="00D46CF8" w:rsidRDefault="00D46CF8" w:rsidP="00AA384A">
      <w:pPr>
        <w:spacing w:line="360" w:lineRule="auto"/>
        <w:jc w:val="both"/>
        <w:rPr>
          <w:rFonts w:ascii="Book Antiqua" w:hAnsi="Book Antiqua"/>
          <w:color w:val="auto"/>
        </w:rPr>
      </w:pPr>
      <w:bookmarkStart w:id="7" w:name="OLE_LINK231"/>
      <w:bookmarkStart w:id="8" w:name="OLE_LINK234"/>
      <w:bookmarkStart w:id="9" w:name="OLE_LINK342"/>
      <w:r w:rsidRPr="00AA384A">
        <w:rPr>
          <w:rFonts w:ascii="Book Antiqua" w:eastAsia="MS Mincho" w:hAnsi="Book Antiqua"/>
          <w:b/>
          <w:color w:val="auto"/>
          <w:lang w:eastAsia="ja-JP"/>
        </w:rPr>
        <w:t>Author contributions:</w:t>
      </w:r>
      <w:bookmarkEnd w:id="7"/>
      <w:bookmarkEnd w:id="8"/>
      <w:bookmarkEnd w:id="9"/>
      <w:r w:rsidR="007C6B02" w:rsidRPr="00AA384A">
        <w:rPr>
          <w:rFonts w:ascii="Book Antiqua" w:eastAsia="宋体" w:hAnsi="Book Antiqua"/>
          <w:b/>
          <w:color w:val="auto"/>
          <w:lang w:eastAsia="zh-CN"/>
        </w:rPr>
        <w:t xml:space="preserve"> </w:t>
      </w:r>
      <w:proofErr w:type="spellStart"/>
      <w:r w:rsidRPr="00AA384A">
        <w:rPr>
          <w:rFonts w:ascii="Book Antiqua" w:hAnsi="Book Antiqua"/>
          <w:color w:val="auto"/>
        </w:rPr>
        <w:t>Bernabucci</w:t>
      </w:r>
      <w:proofErr w:type="spellEnd"/>
      <w:r w:rsidRPr="00AA384A">
        <w:rPr>
          <w:rFonts w:ascii="Book Antiqua" w:hAnsi="Book Antiqua"/>
          <w:color w:val="auto"/>
        </w:rPr>
        <w:t xml:space="preserve"> </w:t>
      </w:r>
      <w:r w:rsidR="007C6B02" w:rsidRPr="00AA384A">
        <w:rPr>
          <w:rFonts w:ascii="Book Antiqua" w:eastAsia="宋体" w:hAnsi="Book Antiqua"/>
          <w:color w:val="auto"/>
          <w:lang w:eastAsia="zh-CN"/>
        </w:rPr>
        <w:t xml:space="preserve">V </w:t>
      </w:r>
      <w:r w:rsidRPr="00AA384A">
        <w:rPr>
          <w:rFonts w:ascii="Book Antiqua" w:hAnsi="Book Antiqua"/>
          <w:color w:val="auto"/>
        </w:rPr>
        <w:t xml:space="preserve">revised the draft and in collaboration with </w:t>
      </w:r>
      <w:proofErr w:type="spellStart"/>
      <w:r w:rsidRPr="00AA384A">
        <w:rPr>
          <w:rFonts w:ascii="Book Antiqua" w:hAnsi="Book Antiqua"/>
          <w:color w:val="auto"/>
        </w:rPr>
        <w:t>Ciancio</w:t>
      </w:r>
      <w:proofErr w:type="spellEnd"/>
      <w:r w:rsidR="007C6B02" w:rsidRPr="00AA384A">
        <w:rPr>
          <w:rFonts w:ascii="Book Antiqua" w:eastAsia="宋体" w:hAnsi="Book Antiqua"/>
          <w:color w:val="auto"/>
          <w:lang w:eastAsia="zh-CN"/>
        </w:rPr>
        <w:t xml:space="preserve"> A</w:t>
      </w:r>
      <w:r w:rsidRPr="00AA384A">
        <w:rPr>
          <w:rFonts w:ascii="Book Antiqua" w:hAnsi="Book Antiqua"/>
          <w:color w:val="auto"/>
        </w:rPr>
        <w:t xml:space="preserve">, </w:t>
      </w:r>
      <w:proofErr w:type="spellStart"/>
      <w:r w:rsidRPr="00AA384A">
        <w:rPr>
          <w:rFonts w:ascii="Book Antiqua" w:hAnsi="Book Antiqua"/>
          <w:color w:val="auto"/>
        </w:rPr>
        <w:t>Turco</w:t>
      </w:r>
      <w:proofErr w:type="spellEnd"/>
      <w:r w:rsidR="007C6B02" w:rsidRPr="00AA384A">
        <w:rPr>
          <w:rFonts w:ascii="Book Antiqua" w:eastAsia="宋体" w:hAnsi="Book Antiqua"/>
          <w:color w:val="auto"/>
          <w:lang w:eastAsia="zh-CN"/>
        </w:rPr>
        <w:t xml:space="preserve"> L</w:t>
      </w:r>
      <w:r w:rsidRPr="00AA384A">
        <w:rPr>
          <w:rFonts w:ascii="Book Antiqua" w:hAnsi="Book Antiqua"/>
          <w:color w:val="auto"/>
        </w:rPr>
        <w:t xml:space="preserve">, </w:t>
      </w:r>
      <w:proofErr w:type="spellStart"/>
      <w:r w:rsidRPr="00AA384A">
        <w:rPr>
          <w:rFonts w:ascii="Book Antiqua" w:hAnsi="Book Antiqua"/>
          <w:color w:val="auto"/>
        </w:rPr>
        <w:t>Strona</w:t>
      </w:r>
      <w:proofErr w:type="spellEnd"/>
      <w:r w:rsidR="007C6B02" w:rsidRPr="00AA384A">
        <w:rPr>
          <w:rFonts w:ascii="Book Antiqua" w:eastAsia="宋体" w:hAnsi="Book Antiqua"/>
          <w:color w:val="auto"/>
          <w:lang w:eastAsia="zh-CN"/>
        </w:rPr>
        <w:t xml:space="preserve"> S</w:t>
      </w:r>
      <w:r w:rsidRPr="00AA384A">
        <w:rPr>
          <w:rFonts w:ascii="Book Antiqua" w:hAnsi="Book Antiqua"/>
          <w:color w:val="auto"/>
        </w:rPr>
        <w:t xml:space="preserve">, </w:t>
      </w:r>
      <w:proofErr w:type="spellStart"/>
      <w:r w:rsidRPr="00AA384A">
        <w:rPr>
          <w:rFonts w:ascii="Book Antiqua" w:hAnsi="Book Antiqua"/>
          <w:color w:val="auto"/>
        </w:rPr>
        <w:t>Cerami</w:t>
      </w:r>
      <w:proofErr w:type="spellEnd"/>
      <w:r w:rsidR="007C6B02" w:rsidRPr="00AA384A">
        <w:rPr>
          <w:rFonts w:ascii="Book Antiqua" w:eastAsia="宋体" w:hAnsi="Book Antiqua"/>
          <w:color w:val="auto"/>
          <w:lang w:eastAsia="zh-CN"/>
        </w:rPr>
        <w:t xml:space="preserve"> C</w:t>
      </w:r>
      <w:r w:rsidRPr="00AA384A">
        <w:rPr>
          <w:rFonts w:ascii="Book Antiqua" w:hAnsi="Book Antiqua"/>
          <w:color w:val="auto"/>
        </w:rPr>
        <w:t xml:space="preserve">, </w:t>
      </w:r>
      <w:proofErr w:type="spellStart"/>
      <w:r w:rsidRPr="00AA384A">
        <w:rPr>
          <w:rFonts w:ascii="Book Antiqua" w:hAnsi="Book Antiqua"/>
          <w:color w:val="auto"/>
        </w:rPr>
        <w:t>Sagnelli</w:t>
      </w:r>
      <w:proofErr w:type="spellEnd"/>
      <w:r w:rsidR="007C6B02" w:rsidRPr="00AA384A">
        <w:rPr>
          <w:rFonts w:ascii="Book Antiqua" w:eastAsia="宋体" w:hAnsi="Book Antiqua"/>
          <w:color w:val="auto"/>
          <w:lang w:eastAsia="zh-CN"/>
        </w:rPr>
        <w:t xml:space="preserve"> C</w:t>
      </w:r>
      <w:r w:rsidRPr="00AA384A">
        <w:rPr>
          <w:rFonts w:ascii="Book Antiqua" w:hAnsi="Book Antiqua"/>
          <w:color w:val="auto"/>
        </w:rPr>
        <w:t xml:space="preserve">, </w:t>
      </w:r>
      <w:proofErr w:type="spellStart"/>
      <w:r w:rsidRPr="00AA384A">
        <w:rPr>
          <w:rFonts w:ascii="Book Antiqua" w:hAnsi="Book Antiqua"/>
          <w:color w:val="auto"/>
        </w:rPr>
        <w:t>Karampatou</w:t>
      </w:r>
      <w:proofErr w:type="spellEnd"/>
      <w:r w:rsidRPr="00AA384A">
        <w:rPr>
          <w:rFonts w:ascii="Book Antiqua" w:hAnsi="Book Antiqua"/>
          <w:color w:val="auto"/>
        </w:rPr>
        <w:t xml:space="preserve"> </w:t>
      </w:r>
      <w:r w:rsidR="007C6B02" w:rsidRPr="00AA384A">
        <w:rPr>
          <w:rFonts w:ascii="Book Antiqua" w:eastAsia="宋体" w:hAnsi="Book Antiqua"/>
          <w:color w:val="auto"/>
          <w:lang w:eastAsia="zh-CN"/>
        </w:rPr>
        <w:t xml:space="preserve">A </w:t>
      </w:r>
      <w:r w:rsidRPr="00AA384A">
        <w:rPr>
          <w:rFonts w:ascii="Book Antiqua" w:hAnsi="Book Antiqua"/>
          <w:color w:val="auto"/>
        </w:rPr>
        <w:t xml:space="preserve">enrolled </w:t>
      </w:r>
      <w:r w:rsidRPr="00AA384A">
        <w:rPr>
          <w:rFonts w:ascii="Book Antiqua" w:hAnsi="Book Antiqua"/>
          <w:color w:val="auto"/>
        </w:rPr>
        <w:lastRenderedPageBreak/>
        <w:t xml:space="preserve">patients, collected and </w:t>
      </w:r>
      <w:proofErr w:type="spellStart"/>
      <w:r w:rsidRPr="00AA384A">
        <w:rPr>
          <w:rFonts w:ascii="Book Antiqua" w:hAnsi="Book Antiqua"/>
          <w:color w:val="auto"/>
        </w:rPr>
        <w:t>analysed</w:t>
      </w:r>
      <w:proofErr w:type="spellEnd"/>
      <w:r w:rsidRPr="00AA384A">
        <w:rPr>
          <w:rFonts w:ascii="Book Antiqua" w:hAnsi="Book Antiqua"/>
          <w:color w:val="auto"/>
        </w:rPr>
        <w:t xml:space="preserve"> the data</w:t>
      </w:r>
      <w:r w:rsidR="007C6B02" w:rsidRPr="00AA384A">
        <w:rPr>
          <w:rFonts w:ascii="Book Antiqua" w:eastAsia="宋体" w:hAnsi="Book Antiqua"/>
          <w:color w:val="auto"/>
          <w:lang w:eastAsia="zh-CN"/>
        </w:rPr>
        <w:t>;</w:t>
      </w:r>
      <w:r w:rsidRPr="00AA384A">
        <w:rPr>
          <w:rFonts w:ascii="Book Antiqua" w:hAnsi="Book Antiqua"/>
          <w:color w:val="auto"/>
        </w:rPr>
        <w:t xml:space="preserve"> </w:t>
      </w:r>
      <w:proofErr w:type="spellStart"/>
      <w:r w:rsidRPr="00AA384A">
        <w:rPr>
          <w:rFonts w:ascii="Book Antiqua" w:hAnsi="Book Antiqua"/>
          <w:color w:val="auto"/>
        </w:rPr>
        <w:t>Critelli</w:t>
      </w:r>
      <w:proofErr w:type="spellEnd"/>
      <w:r w:rsidRPr="00AA384A">
        <w:rPr>
          <w:rFonts w:ascii="Book Antiqua" w:hAnsi="Book Antiqua"/>
          <w:color w:val="auto"/>
        </w:rPr>
        <w:t xml:space="preserve"> </w:t>
      </w:r>
      <w:r w:rsidR="007C6B02" w:rsidRPr="00AA384A">
        <w:rPr>
          <w:rFonts w:ascii="Book Antiqua" w:eastAsia="宋体" w:hAnsi="Book Antiqua"/>
          <w:color w:val="auto"/>
          <w:lang w:eastAsia="zh-CN"/>
        </w:rPr>
        <w:t xml:space="preserve">R </w:t>
      </w:r>
      <w:r w:rsidRPr="00AA384A">
        <w:rPr>
          <w:rFonts w:ascii="Book Antiqua" w:hAnsi="Book Antiqua"/>
          <w:color w:val="auto"/>
        </w:rPr>
        <w:t xml:space="preserve">collected, </w:t>
      </w:r>
      <w:proofErr w:type="spellStart"/>
      <w:r w:rsidRPr="00AA384A">
        <w:rPr>
          <w:rFonts w:ascii="Book Antiqua" w:hAnsi="Book Antiqua"/>
          <w:color w:val="auto"/>
        </w:rPr>
        <w:t>analysed</w:t>
      </w:r>
      <w:proofErr w:type="spellEnd"/>
      <w:r w:rsidRPr="00AA384A">
        <w:rPr>
          <w:rFonts w:ascii="Book Antiqua" w:hAnsi="Book Antiqua"/>
          <w:color w:val="auto"/>
        </w:rPr>
        <w:t xml:space="preserve"> the data and also revised the draft</w:t>
      </w:r>
      <w:r w:rsidR="007C6B02" w:rsidRPr="00AA384A">
        <w:rPr>
          <w:rFonts w:ascii="Book Antiqua" w:eastAsia="宋体" w:hAnsi="Book Antiqua"/>
          <w:color w:val="auto"/>
          <w:lang w:eastAsia="zh-CN"/>
        </w:rPr>
        <w:t>;</w:t>
      </w:r>
      <w:r w:rsidRPr="00AA384A">
        <w:rPr>
          <w:rFonts w:ascii="Book Antiqua" w:hAnsi="Book Antiqua"/>
          <w:color w:val="auto"/>
        </w:rPr>
        <w:t xml:space="preserve"> </w:t>
      </w:r>
      <w:proofErr w:type="spellStart"/>
      <w:r w:rsidRPr="00AA384A">
        <w:rPr>
          <w:rFonts w:ascii="Book Antiqua" w:hAnsi="Book Antiqua"/>
          <w:color w:val="auto"/>
        </w:rPr>
        <w:t>Petta</w:t>
      </w:r>
      <w:proofErr w:type="spellEnd"/>
      <w:r w:rsidRPr="00AA384A">
        <w:rPr>
          <w:rFonts w:ascii="Book Antiqua" w:hAnsi="Book Antiqua"/>
          <w:color w:val="auto"/>
        </w:rPr>
        <w:t xml:space="preserve"> </w:t>
      </w:r>
      <w:r w:rsidR="007C6B02" w:rsidRPr="00AA384A">
        <w:rPr>
          <w:rFonts w:ascii="Book Antiqua" w:eastAsia="宋体" w:hAnsi="Book Antiqua"/>
          <w:color w:val="auto"/>
          <w:lang w:eastAsia="zh-CN"/>
        </w:rPr>
        <w:t xml:space="preserve">S </w:t>
      </w:r>
      <w:r w:rsidRPr="00AA384A">
        <w:rPr>
          <w:rFonts w:ascii="Book Antiqua" w:hAnsi="Book Antiqua"/>
          <w:color w:val="auto"/>
        </w:rPr>
        <w:t xml:space="preserve">collected, </w:t>
      </w:r>
      <w:proofErr w:type="spellStart"/>
      <w:r w:rsidRPr="00AA384A">
        <w:rPr>
          <w:rFonts w:ascii="Book Antiqua" w:hAnsi="Book Antiqua"/>
          <w:color w:val="auto"/>
        </w:rPr>
        <w:t>analysed</w:t>
      </w:r>
      <w:proofErr w:type="spellEnd"/>
      <w:r w:rsidRPr="00AA384A">
        <w:rPr>
          <w:rFonts w:ascii="Book Antiqua" w:hAnsi="Book Antiqua"/>
          <w:color w:val="auto"/>
        </w:rPr>
        <w:t xml:space="preserve"> the data, </w:t>
      </w:r>
      <w:r w:rsidRPr="00AA384A">
        <w:rPr>
          <w:rFonts w:ascii="Book Antiqua" w:hAnsi="Book Antiqua" w:cs="Arial"/>
          <w:color w:val="auto"/>
        </w:rPr>
        <w:t xml:space="preserve">revised statistical analysis and </w:t>
      </w:r>
      <w:r w:rsidRPr="00AA384A">
        <w:rPr>
          <w:rFonts w:ascii="Book Antiqua" w:hAnsi="Book Antiqua"/>
          <w:color w:val="auto"/>
          <w:lang w:val="en-GB"/>
        </w:rPr>
        <w:t>was also involved in revising the draft</w:t>
      </w:r>
      <w:r w:rsidR="007C6B02" w:rsidRPr="00AA384A">
        <w:rPr>
          <w:rFonts w:ascii="Book Antiqua" w:eastAsia="宋体" w:hAnsi="Book Antiqua" w:cs="Arial"/>
          <w:color w:val="auto"/>
          <w:lang w:eastAsia="zh-CN"/>
        </w:rPr>
        <w:t>;</w:t>
      </w:r>
      <w:r w:rsidRPr="00AA384A">
        <w:rPr>
          <w:rFonts w:ascii="Book Antiqua" w:hAnsi="Book Antiqua" w:cs="Arial"/>
          <w:color w:val="auto"/>
        </w:rPr>
        <w:t xml:space="preserve"> </w:t>
      </w:r>
      <w:proofErr w:type="spellStart"/>
      <w:r w:rsidRPr="00AA384A">
        <w:rPr>
          <w:rFonts w:ascii="Book Antiqua" w:hAnsi="Book Antiqua"/>
          <w:color w:val="auto"/>
        </w:rPr>
        <w:t>Rizzetto</w:t>
      </w:r>
      <w:proofErr w:type="spellEnd"/>
      <w:r w:rsidRPr="00AA384A">
        <w:rPr>
          <w:rFonts w:ascii="Book Antiqua" w:hAnsi="Book Antiqua" w:cs="Arial"/>
          <w:color w:val="auto"/>
        </w:rPr>
        <w:t xml:space="preserve"> </w:t>
      </w:r>
      <w:r w:rsidR="007C6B02" w:rsidRPr="00AA384A">
        <w:rPr>
          <w:rFonts w:ascii="Book Antiqua" w:eastAsia="宋体" w:hAnsi="Book Antiqua" w:cs="Arial"/>
          <w:color w:val="auto"/>
          <w:lang w:eastAsia="zh-CN"/>
        </w:rPr>
        <w:t xml:space="preserve">M </w:t>
      </w:r>
      <w:r w:rsidRPr="00AA384A">
        <w:rPr>
          <w:rFonts w:ascii="Book Antiqua" w:hAnsi="Book Antiqua" w:cs="Arial"/>
          <w:color w:val="auto"/>
        </w:rPr>
        <w:t>contributed to the design of the study and revised the draft</w:t>
      </w:r>
      <w:r w:rsidR="007C6B02" w:rsidRPr="00AA384A">
        <w:rPr>
          <w:rFonts w:ascii="Book Antiqua" w:eastAsia="宋体" w:hAnsi="Book Antiqua" w:cs="Arial"/>
          <w:color w:val="auto"/>
          <w:lang w:eastAsia="zh-CN"/>
        </w:rPr>
        <w:t>;</w:t>
      </w:r>
      <w:r w:rsidRPr="00AA384A">
        <w:rPr>
          <w:rFonts w:ascii="Book Antiqua" w:hAnsi="Book Antiqua" w:cs="Arial"/>
          <w:color w:val="auto"/>
        </w:rPr>
        <w:t xml:space="preserve"> </w:t>
      </w:r>
      <w:proofErr w:type="spellStart"/>
      <w:r w:rsidRPr="00AA384A">
        <w:rPr>
          <w:rFonts w:ascii="Book Antiqua" w:hAnsi="Book Antiqua"/>
          <w:color w:val="auto"/>
        </w:rPr>
        <w:t>Cammà</w:t>
      </w:r>
      <w:proofErr w:type="spellEnd"/>
      <w:r w:rsidRPr="00AA384A">
        <w:rPr>
          <w:rFonts w:ascii="Book Antiqua" w:hAnsi="Book Antiqua"/>
          <w:color w:val="auto"/>
        </w:rPr>
        <w:t xml:space="preserve"> </w:t>
      </w:r>
      <w:r w:rsidR="007C6B02" w:rsidRPr="00AA384A">
        <w:rPr>
          <w:rFonts w:ascii="Book Antiqua" w:eastAsia="宋体" w:hAnsi="Book Antiqua"/>
          <w:color w:val="auto"/>
          <w:lang w:eastAsia="zh-CN"/>
        </w:rPr>
        <w:t xml:space="preserve">C </w:t>
      </w:r>
      <w:r w:rsidRPr="00AA384A">
        <w:rPr>
          <w:rFonts w:ascii="Book Antiqua" w:hAnsi="Book Antiqua" w:cs="Arial"/>
          <w:color w:val="auto"/>
        </w:rPr>
        <w:t>contributed to the design of the study, performed statistical analysis and revised the draft</w:t>
      </w:r>
      <w:r w:rsidR="007C6B02" w:rsidRPr="00AA384A">
        <w:rPr>
          <w:rFonts w:ascii="Book Antiqua" w:eastAsia="宋体" w:hAnsi="Book Antiqua" w:cs="Arial"/>
          <w:color w:val="auto"/>
          <w:lang w:eastAsia="zh-CN"/>
        </w:rPr>
        <w:t>;</w:t>
      </w:r>
      <w:r w:rsidRPr="00AA384A">
        <w:rPr>
          <w:rFonts w:ascii="Book Antiqua" w:hAnsi="Book Antiqua" w:cs="Arial"/>
          <w:color w:val="auto"/>
        </w:rPr>
        <w:t xml:space="preserve"> </w:t>
      </w:r>
      <w:r w:rsidRPr="00AA384A">
        <w:rPr>
          <w:rFonts w:ascii="Book Antiqua" w:hAnsi="Book Antiqua"/>
          <w:color w:val="auto"/>
        </w:rPr>
        <w:t xml:space="preserve">Villa </w:t>
      </w:r>
      <w:r w:rsidR="007C6B02" w:rsidRPr="00AA384A">
        <w:rPr>
          <w:rFonts w:ascii="Book Antiqua" w:eastAsia="宋体" w:hAnsi="Book Antiqua"/>
          <w:color w:val="auto"/>
          <w:lang w:eastAsia="zh-CN"/>
        </w:rPr>
        <w:t xml:space="preserve">E </w:t>
      </w:r>
      <w:r w:rsidRPr="00AA384A">
        <w:rPr>
          <w:rFonts w:ascii="Book Antiqua" w:hAnsi="Book Antiqua"/>
          <w:color w:val="auto"/>
        </w:rPr>
        <w:t xml:space="preserve">designed the study, </w:t>
      </w:r>
      <w:proofErr w:type="spellStart"/>
      <w:r w:rsidRPr="00AA384A">
        <w:rPr>
          <w:rFonts w:ascii="Book Antiqua" w:hAnsi="Book Antiqua"/>
          <w:color w:val="auto"/>
        </w:rPr>
        <w:t>analysed</w:t>
      </w:r>
      <w:proofErr w:type="spellEnd"/>
      <w:r w:rsidRPr="00AA384A">
        <w:rPr>
          <w:rFonts w:ascii="Book Antiqua" w:hAnsi="Book Antiqua"/>
          <w:color w:val="auto"/>
        </w:rPr>
        <w:t xml:space="preserve"> the data and wrote the paper.</w:t>
      </w:r>
    </w:p>
    <w:p w:rsidR="00A6150D" w:rsidRPr="00AA384A" w:rsidRDefault="00A6150D" w:rsidP="00AA384A">
      <w:pPr>
        <w:spacing w:line="360" w:lineRule="auto"/>
        <w:jc w:val="both"/>
        <w:rPr>
          <w:rFonts w:ascii="Book Antiqua" w:hAnsi="Book Antiqua"/>
          <w:b/>
          <w:color w:val="auto"/>
        </w:rPr>
      </w:pPr>
    </w:p>
    <w:p w:rsidR="00D46CF8" w:rsidRDefault="00A6150D"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6150D">
        <w:rPr>
          <w:rFonts w:ascii="Book Antiqua" w:hAnsi="Book Antiqua" w:cs="Arial"/>
          <w:b/>
          <w:color w:val="auto"/>
          <w:szCs w:val="24"/>
          <w:lang w:val="en-US"/>
        </w:rPr>
        <w:t>Supported by</w:t>
      </w:r>
      <w:r>
        <w:rPr>
          <w:rFonts w:ascii="Book Antiqua" w:hAnsi="Book Antiqua" w:cs="Arial"/>
          <w:color w:val="auto"/>
          <w:szCs w:val="24"/>
          <w:lang w:val="en-US"/>
        </w:rPr>
        <w:t xml:space="preserve"> Schering-Plough (now Merck)</w:t>
      </w:r>
    </w:p>
    <w:p w:rsidR="00A6150D" w:rsidRPr="00AA384A" w:rsidRDefault="00A6150D"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D46CF8" w:rsidRPr="00AA384A" w:rsidRDefault="00D46CF8" w:rsidP="00AA384A">
      <w:pPr>
        <w:spacing w:line="360" w:lineRule="auto"/>
        <w:jc w:val="both"/>
        <w:rPr>
          <w:rFonts w:ascii="Book Antiqua" w:eastAsia="宋体" w:hAnsi="Book Antiqua"/>
          <w:b/>
          <w:color w:val="auto"/>
          <w:lang w:eastAsia="zh-CN"/>
        </w:rPr>
      </w:pPr>
      <w:r w:rsidRPr="00AA384A">
        <w:rPr>
          <w:rFonts w:ascii="Book Antiqua" w:hAnsi="Book Antiqua"/>
          <w:b/>
          <w:color w:val="auto"/>
        </w:rPr>
        <w:t>Correspondence to:</w:t>
      </w:r>
      <w:r w:rsidR="007C6B02" w:rsidRPr="00AA384A">
        <w:rPr>
          <w:rFonts w:ascii="Book Antiqua" w:eastAsia="宋体" w:hAnsi="Book Antiqua"/>
          <w:b/>
          <w:color w:val="auto"/>
          <w:lang w:eastAsia="zh-CN"/>
        </w:rPr>
        <w:t xml:space="preserve"> </w:t>
      </w:r>
      <w:r w:rsidRPr="00AA384A">
        <w:rPr>
          <w:rFonts w:ascii="Book Antiqua" w:hAnsi="Book Antiqua" w:cs="Arial"/>
          <w:b/>
          <w:color w:val="auto"/>
          <w:lang w:val="en-GB"/>
        </w:rPr>
        <w:t>Erica Villa</w:t>
      </w:r>
      <w:r w:rsidR="007C6B02" w:rsidRPr="00AA384A">
        <w:rPr>
          <w:rFonts w:ascii="Book Antiqua" w:eastAsia="宋体" w:hAnsi="Book Antiqua" w:cs="Arial"/>
          <w:b/>
          <w:color w:val="auto"/>
          <w:lang w:val="en-GB" w:eastAsia="zh-CN"/>
        </w:rPr>
        <w:t xml:space="preserve">, </w:t>
      </w:r>
      <w:r w:rsidR="007C6B02" w:rsidRPr="00AA384A">
        <w:rPr>
          <w:rFonts w:ascii="Book Antiqua" w:hAnsi="Book Antiqua" w:cs="Arial"/>
          <w:b/>
          <w:color w:val="auto"/>
          <w:lang w:val="en-GB"/>
        </w:rPr>
        <w:t>Prof</w:t>
      </w:r>
      <w:r w:rsidR="007C6B02" w:rsidRPr="00AA384A">
        <w:rPr>
          <w:rFonts w:ascii="Book Antiqua" w:eastAsia="宋体" w:hAnsi="Book Antiqua" w:cs="Arial"/>
          <w:b/>
          <w:color w:val="auto"/>
          <w:lang w:val="en-GB" w:eastAsia="zh-CN"/>
        </w:rPr>
        <w:t>essor,</w:t>
      </w:r>
      <w:r w:rsidR="007C6B02" w:rsidRPr="00AA384A">
        <w:rPr>
          <w:rFonts w:ascii="Book Antiqua" w:eastAsia="宋体" w:hAnsi="Book Antiqua"/>
          <w:b/>
          <w:color w:val="auto"/>
          <w:lang w:eastAsia="zh-CN"/>
        </w:rPr>
        <w:t xml:space="preserve"> </w:t>
      </w:r>
      <w:r w:rsidRPr="00AA384A">
        <w:rPr>
          <w:rFonts w:ascii="Book Antiqua" w:hAnsi="Book Antiqua" w:cs="Arial"/>
          <w:color w:val="auto"/>
          <w:lang w:val="en-GB"/>
        </w:rPr>
        <w:t xml:space="preserve">Division of Gastroenterology, </w:t>
      </w:r>
      <w:r w:rsidRPr="00AA384A">
        <w:rPr>
          <w:rFonts w:ascii="Book Antiqua" w:hAnsi="Book Antiqua" w:cs="Arial"/>
          <w:color w:val="auto"/>
          <w:lang w:val="it-IT"/>
        </w:rPr>
        <w:t xml:space="preserve">Azienda Ospedaliero-Universitaria Policlinico di Modena, Università degli Studi di Modena e Reggio Emilia, </w:t>
      </w:r>
      <w:r w:rsidR="00ED4FC2" w:rsidRPr="00AA384A">
        <w:rPr>
          <w:rFonts w:ascii="Book Antiqua" w:hAnsi="Book Antiqua" w:cs="Arial"/>
          <w:color w:val="auto"/>
          <w:lang w:val="it-IT"/>
        </w:rPr>
        <w:t>v</w:t>
      </w:r>
      <w:r w:rsidRPr="00AA384A">
        <w:rPr>
          <w:rFonts w:ascii="Book Antiqua" w:hAnsi="Book Antiqua" w:cs="Arial"/>
          <w:color w:val="auto"/>
          <w:lang w:val="it-IT"/>
        </w:rPr>
        <w:t>ia del Pozzo 71, 41124 Modena, Italy</w:t>
      </w:r>
      <w:r w:rsidR="007C6B02" w:rsidRPr="00AA384A">
        <w:rPr>
          <w:rFonts w:ascii="Book Antiqua" w:eastAsia="宋体" w:hAnsi="Book Antiqua" w:cs="Arial"/>
          <w:color w:val="auto"/>
          <w:lang w:val="it-IT" w:eastAsia="zh-CN"/>
        </w:rPr>
        <w:t>.</w:t>
      </w:r>
      <w:r w:rsidR="007C6B02" w:rsidRPr="00AA384A">
        <w:rPr>
          <w:rFonts w:ascii="Book Antiqua" w:hAnsi="Book Antiqua" w:cs="Arial"/>
          <w:color w:val="auto"/>
          <w:lang w:val="it-IT"/>
        </w:rPr>
        <w:t xml:space="preserve"> </w:t>
      </w:r>
      <w:hyperlink r:id="rId8" w:history="1">
        <w:r w:rsidR="007C6B02" w:rsidRPr="00AA384A">
          <w:rPr>
            <w:rStyle w:val="a9"/>
            <w:rFonts w:ascii="Book Antiqua" w:hAnsi="Book Antiqua" w:cs="Arial"/>
            <w:color w:val="auto"/>
            <w:u w:val="none"/>
            <w:lang w:val="it-IT"/>
          </w:rPr>
          <w:t>erica.villa@unimore.it</w:t>
        </w:r>
      </w:hyperlink>
    </w:p>
    <w:p w:rsidR="00D46CF8" w:rsidRPr="00AA384A" w:rsidRDefault="007C6B02" w:rsidP="00AA384A">
      <w:pPr>
        <w:spacing w:line="360" w:lineRule="auto"/>
        <w:jc w:val="both"/>
        <w:rPr>
          <w:rFonts w:ascii="Book Antiqua" w:hAnsi="Book Antiqua"/>
          <w:color w:val="auto"/>
        </w:rPr>
      </w:pPr>
      <w:r w:rsidRPr="00AA384A">
        <w:rPr>
          <w:rFonts w:ascii="Book Antiqua" w:hAnsi="Book Antiqua"/>
          <w:b/>
          <w:color w:val="auto"/>
        </w:rPr>
        <w:t xml:space="preserve">Telephone: </w:t>
      </w:r>
      <w:r w:rsidR="00D46CF8" w:rsidRPr="00AA384A">
        <w:rPr>
          <w:rFonts w:ascii="Book Antiqua" w:hAnsi="Book Antiqua" w:cs="Arial"/>
          <w:color w:val="auto"/>
          <w:lang w:val="en-GB"/>
        </w:rPr>
        <w:t>+39-59-4225308</w:t>
      </w:r>
      <w:r w:rsidRPr="00AA384A">
        <w:rPr>
          <w:rFonts w:ascii="Book Antiqua" w:eastAsia="宋体" w:hAnsi="Book Antiqua"/>
          <w:b/>
          <w:color w:val="auto"/>
          <w:lang w:eastAsia="zh-CN"/>
        </w:rPr>
        <w:tab/>
      </w:r>
      <w:r w:rsidRPr="00AA384A">
        <w:rPr>
          <w:rFonts w:ascii="Book Antiqua" w:eastAsia="宋体" w:hAnsi="Book Antiqua"/>
          <w:b/>
          <w:color w:val="auto"/>
          <w:lang w:eastAsia="zh-CN"/>
        </w:rPr>
        <w:tab/>
      </w:r>
      <w:r w:rsidR="00D46CF8" w:rsidRPr="00AA384A">
        <w:rPr>
          <w:rFonts w:ascii="Book Antiqua" w:hAnsi="Book Antiqua"/>
          <w:b/>
          <w:color w:val="auto"/>
        </w:rPr>
        <w:t xml:space="preserve">Fax: </w:t>
      </w:r>
      <w:r w:rsidRPr="00AA384A">
        <w:rPr>
          <w:rFonts w:ascii="Book Antiqua" w:hAnsi="Book Antiqua" w:cs="Arial"/>
          <w:color w:val="auto"/>
          <w:lang w:val="en-GB"/>
        </w:rPr>
        <w:t>+39-</w:t>
      </w:r>
      <w:r w:rsidR="00D46CF8" w:rsidRPr="00AA384A">
        <w:rPr>
          <w:rFonts w:ascii="Book Antiqua" w:hAnsi="Book Antiqua" w:cs="Arial"/>
          <w:color w:val="auto"/>
          <w:lang w:val="en-GB"/>
        </w:rPr>
        <w:t>59-4222624</w:t>
      </w:r>
    </w:p>
    <w:p w:rsidR="00D46CF8" w:rsidRPr="00AA384A" w:rsidRDefault="00D46CF8" w:rsidP="00AA384A">
      <w:pPr>
        <w:spacing w:line="360" w:lineRule="auto"/>
        <w:jc w:val="both"/>
        <w:rPr>
          <w:rFonts w:ascii="Book Antiqua" w:hAnsi="Book Antiqua"/>
          <w:b/>
          <w:color w:val="auto"/>
        </w:rPr>
      </w:pPr>
    </w:p>
    <w:p w:rsidR="00D46CF8" w:rsidRPr="00AA384A" w:rsidRDefault="00D46CF8" w:rsidP="00AA384A">
      <w:pPr>
        <w:spacing w:line="360" w:lineRule="auto"/>
        <w:jc w:val="both"/>
        <w:rPr>
          <w:rFonts w:ascii="Book Antiqua" w:eastAsia="宋体" w:hAnsi="Book Antiqua"/>
          <w:color w:val="auto"/>
          <w:lang w:eastAsia="zh-CN"/>
        </w:rPr>
      </w:pPr>
      <w:bookmarkStart w:id="10" w:name="OLE_LINK4"/>
      <w:bookmarkStart w:id="11" w:name="OLE_LINK5"/>
      <w:bookmarkStart w:id="12" w:name="OLE_LINK332"/>
      <w:bookmarkStart w:id="13" w:name="OLE_LINK329"/>
      <w:bookmarkStart w:id="14" w:name="OLE_LINK381"/>
      <w:bookmarkStart w:id="15" w:name="OLE_LINK407"/>
      <w:r w:rsidRPr="00AA384A">
        <w:rPr>
          <w:rFonts w:ascii="Book Antiqua" w:hAnsi="Book Antiqua"/>
          <w:b/>
          <w:color w:val="auto"/>
        </w:rPr>
        <w:t>Received:</w:t>
      </w:r>
      <w:r w:rsidR="007C6B02" w:rsidRPr="00AA384A">
        <w:rPr>
          <w:rFonts w:ascii="Book Antiqua" w:eastAsia="宋体" w:hAnsi="Book Antiqua"/>
          <w:b/>
          <w:color w:val="auto"/>
          <w:lang w:eastAsia="zh-CN"/>
        </w:rPr>
        <w:t xml:space="preserve"> </w:t>
      </w:r>
      <w:r w:rsidR="007C6B02" w:rsidRPr="00AA384A">
        <w:rPr>
          <w:rFonts w:ascii="Book Antiqua" w:eastAsia="宋体" w:hAnsi="Book Antiqua"/>
          <w:color w:val="auto"/>
          <w:lang w:eastAsia="zh-CN"/>
        </w:rPr>
        <w:t>April 25, 2014</w:t>
      </w:r>
      <w:r w:rsidR="007C6B02" w:rsidRPr="00AA384A">
        <w:rPr>
          <w:rFonts w:ascii="Book Antiqua" w:eastAsia="宋体" w:hAnsi="Book Antiqua"/>
          <w:color w:val="auto"/>
          <w:lang w:eastAsia="zh-CN"/>
        </w:rPr>
        <w:tab/>
      </w:r>
      <w:r w:rsidR="007C6B02" w:rsidRPr="00AA384A">
        <w:rPr>
          <w:rFonts w:ascii="Book Antiqua" w:eastAsia="宋体" w:hAnsi="Book Antiqua"/>
          <w:b/>
          <w:color w:val="auto"/>
          <w:lang w:eastAsia="zh-CN"/>
        </w:rPr>
        <w:tab/>
      </w:r>
      <w:r w:rsidRPr="00AA384A">
        <w:rPr>
          <w:rFonts w:ascii="Book Antiqua" w:hAnsi="Book Antiqua"/>
          <w:b/>
          <w:color w:val="auto"/>
        </w:rPr>
        <w:t>Revised:</w:t>
      </w:r>
      <w:r w:rsidR="00C53F9D" w:rsidRPr="00AA384A">
        <w:rPr>
          <w:rFonts w:ascii="Book Antiqua" w:eastAsia="宋体" w:hAnsi="Book Antiqua"/>
          <w:color w:val="auto"/>
          <w:lang w:eastAsia="zh-CN"/>
        </w:rPr>
        <w:t xml:space="preserve"> June 19, 2014</w:t>
      </w:r>
    </w:p>
    <w:p w:rsidR="000F5433" w:rsidRDefault="00D46CF8" w:rsidP="000F5433">
      <w:pPr>
        <w:rPr>
          <w:rFonts w:ascii="Book Antiqua" w:hAnsi="Book Antiqua"/>
        </w:rPr>
      </w:pPr>
      <w:r w:rsidRPr="00AA384A">
        <w:rPr>
          <w:rFonts w:ascii="Book Antiqua" w:hAnsi="Book Antiqua"/>
          <w:b/>
          <w:color w:val="auto"/>
        </w:rPr>
        <w:t xml:space="preserve">Accepted: </w:t>
      </w:r>
      <w:bookmarkStart w:id="16" w:name="OLE_LINK1"/>
      <w:bookmarkStart w:id="17" w:name="OLE_LINK2"/>
      <w:bookmarkStart w:id="18" w:name="OLE_LINK3"/>
      <w:bookmarkStart w:id="19" w:name="OLE_LINK6"/>
      <w:bookmarkStart w:id="20" w:name="OLE_LINK7"/>
      <w:bookmarkStart w:id="21" w:name="OLE_LINK9"/>
      <w:bookmarkStart w:id="22" w:name="OLE_LINK10"/>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bookmarkStart w:id="37" w:name="OLE_LINK34"/>
      <w:bookmarkStart w:id="38" w:name="OLE_LINK36"/>
      <w:bookmarkStart w:id="39" w:name="OLE_LINK37"/>
      <w:bookmarkStart w:id="40" w:name="OLE_LINK38"/>
      <w:bookmarkStart w:id="41" w:name="OLE_LINK41"/>
      <w:bookmarkStart w:id="42" w:name="OLE_LINK42"/>
      <w:bookmarkStart w:id="43" w:name="OLE_LINK44"/>
      <w:bookmarkStart w:id="44" w:name="OLE_LINK45"/>
      <w:bookmarkStart w:id="45" w:name="OLE_LINK46"/>
      <w:bookmarkStart w:id="46" w:name="OLE_LINK47"/>
      <w:bookmarkStart w:id="47" w:name="OLE_LINK52"/>
      <w:bookmarkStart w:id="48" w:name="OLE_LINK43"/>
      <w:bookmarkStart w:id="49" w:name="OLE_LINK57"/>
      <w:bookmarkStart w:id="50" w:name="OLE_LINK58"/>
      <w:bookmarkStart w:id="51" w:name="OLE_LINK8"/>
      <w:bookmarkStart w:id="52" w:name="OLE_LINK62"/>
      <w:bookmarkStart w:id="53" w:name="OLE_LINK66"/>
      <w:bookmarkStart w:id="54" w:name="OLE_LINK68"/>
      <w:bookmarkStart w:id="55" w:name="OLE_LINK69"/>
      <w:bookmarkStart w:id="56" w:name="OLE_LINK71"/>
      <w:bookmarkStart w:id="57" w:name="OLE_LINK74"/>
      <w:bookmarkStart w:id="58" w:name="OLE_LINK77"/>
      <w:bookmarkStart w:id="59" w:name="OLE_LINK78"/>
      <w:bookmarkStart w:id="60" w:name="OLE_LINK72"/>
      <w:bookmarkStart w:id="61" w:name="OLE_LINK73"/>
      <w:bookmarkStart w:id="62" w:name="OLE_LINK79"/>
      <w:bookmarkStart w:id="63" w:name="OLE_LINK81"/>
      <w:bookmarkStart w:id="64" w:name="OLE_LINK86"/>
      <w:bookmarkStart w:id="65" w:name="OLE_LINK87"/>
      <w:bookmarkStart w:id="66" w:name="OLE_LINK88"/>
      <w:bookmarkStart w:id="67" w:name="OLE_LINK89"/>
      <w:bookmarkStart w:id="68" w:name="OLE_LINK92"/>
      <w:r w:rsidR="000F5433">
        <w:rPr>
          <w:rFonts w:ascii="Book Antiqua" w:hAnsi="Book Antiqua"/>
        </w:rPr>
        <w:t>July 2</w:t>
      </w:r>
      <w:r w:rsidR="000F5433">
        <w:rPr>
          <w:rFonts w:ascii="Book Antiqua" w:hAnsi="Book Antiqua" w:hint="eastAsia"/>
        </w:rPr>
        <w:t>9</w:t>
      </w:r>
      <w:r w:rsidR="000F5433">
        <w:rPr>
          <w:rFonts w:ascii="Book Antiqua" w:hAnsi="Book Antiqua"/>
        </w:rPr>
        <w:t>, 2014</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D46CF8" w:rsidRPr="00AA384A" w:rsidRDefault="00D46CF8" w:rsidP="00AA384A">
      <w:pPr>
        <w:spacing w:line="360" w:lineRule="auto"/>
        <w:jc w:val="both"/>
        <w:rPr>
          <w:rFonts w:ascii="Book Antiqua" w:hAnsi="Book Antiqua"/>
          <w:b/>
          <w:color w:val="auto"/>
        </w:rPr>
      </w:pPr>
    </w:p>
    <w:p w:rsidR="00D46CF8" w:rsidRPr="00AA384A" w:rsidRDefault="00D46CF8" w:rsidP="00AA384A">
      <w:pPr>
        <w:spacing w:line="360" w:lineRule="auto"/>
        <w:jc w:val="both"/>
        <w:rPr>
          <w:rFonts w:ascii="Book Antiqua" w:hAnsi="Book Antiqua"/>
          <w:color w:val="auto"/>
        </w:rPr>
      </w:pPr>
      <w:r w:rsidRPr="00AA384A">
        <w:rPr>
          <w:rFonts w:ascii="Book Antiqua" w:hAnsi="Book Antiqua"/>
          <w:b/>
          <w:color w:val="auto"/>
        </w:rPr>
        <w:t xml:space="preserve">Published online: </w:t>
      </w:r>
    </w:p>
    <w:bookmarkEnd w:id="10"/>
    <w:bookmarkEnd w:id="11"/>
    <w:bookmarkEnd w:id="12"/>
    <w:bookmarkEnd w:id="13"/>
    <w:bookmarkEnd w:id="14"/>
    <w:bookmarkEnd w:id="15"/>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color w:val="auto"/>
          <w:szCs w:val="24"/>
          <w:lang w:val="en-US" w:eastAsia="zh-CN"/>
        </w:rPr>
      </w:pPr>
      <w:r w:rsidRPr="00AA384A">
        <w:rPr>
          <w:rFonts w:ascii="Book Antiqua" w:hAnsi="Book Antiqua" w:cs="Arial"/>
          <w:color w:val="auto"/>
          <w:szCs w:val="24"/>
          <w:lang w:val="en-US"/>
        </w:rPr>
        <w:br w:type="page"/>
      </w:r>
      <w:r w:rsidRPr="00AA384A">
        <w:rPr>
          <w:rFonts w:ascii="Book Antiqua" w:hAnsi="Book Antiqua" w:cs="Arial"/>
          <w:b/>
          <w:color w:val="auto"/>
          <w:szCs w:val="24"/>
          <w:lang w:val="en-US"/>
        </w:rPr>
        <w:lastRenderedPageBreak/>
        <w:t>Abstract</w:t>
      </w:r>
    </w:p>
    <w:p w:rsid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r w:rsidRPr="00AA384A">
        <w:rPr>
          <w:rFonts w:ascii="Book Antiqua" w:hAnsi="Book Antiqua" w:cs="Arial"/>
          <w:b/>
          <w:color w:val="auto"/>
          <w:szCs w:val="24"/>
          <w:lang w:val="en-US"/>
        </w:rPr>
        <w:t>AIM</w:t>
      </w:r>
      <w:r w:rsidRPr="00AA384A">
        <w:rPr>
          <w:rFonts w:ascii="Book Antiqua" w:hAnsi="Book Antiqua" w:cs="Arial"/>
          <w:color w:val="auto"/>
          <w:szCs w:val="24"/>
          <w:lang w:val="en-US"/>
        </w:rPr>
        <w:t>: To investigate</w:t>
      </w:r>
      <w:r w:rsidRPr="00AA384A">
        <w:rPr>
          <w:rFonts w:ascii="Book Antiqua" w:hAnsi="Book Antiqua" w:cs="Arial"/>
          <w:b/>
          <w:color w:val="auto"/>
          <w:szCs w:val="24"/>
          <w:lang w:val="en-US"/>
        </w:rPr>
        <w:t xml:space="preserve"> </w:t>
      </w:r>
      <w:r w:rsidRPr="00AA384A">
        <w:rPr>
          <w:rFonts w:ascii="Book Antiqua" w:hAnsi="Book Antiqua" w:cs="Arial"/>
          <w:color w:val="auto"/>
          <w:szCs w:val="24"/>
          <w:lang w:val="en-US"/>
        </w:rPr>
        <w:t xml:space="preserve">the safety/efficacy of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-based triple therapy in </w:t>
      </w:r>
      <w:r w:rsidR="00553A3B" w:rsidRPr="00553A3B">
        <w:rPr>
          <w:rFonts w:ascii="Book Antiqua" w:hAnsi="Book Antiqua" w:cs="Arial"/>
          <w:color w:val="auto"/>
          <w:szCs w:val="24"/>
          <w:lang w:val="en-US"/>
        </w:rPr>
        <w:t xml:space="preserve">hepatitis C virus </w:t>
      </w:r>
      <w:r w:rsidR="00553A3B">
        <w:rPr>
          <w:rFonts w:ascii="Book Antiqua" w:hAnsi="Book Antiqua" w:cs="Arial"/>
          <w:color w:val="auto"/>
          <w:szCs w:val="24"/>
          <w:lang w:val="en-US"/>
        </w:rPr>
        <w:t>(</w:t>
      </w:r>
      <w:r w:rsidRPr="00AA384A">
        <w:rPr>
          <w:rFonts w:ascii="Book Antiqua" w:hAnsi="Book Antiqua" w:cs="Arial"/>
          <w:color w:val="auto"/>
          <w:szCs w:val="24"/>
          <w:lang w:val="en-US"/>
        </w:rPr>
        <w:t>HCV</w:t>
      </w:r>
      <w:r w:rsidR="00553A3B">
        <w:rPr>
          <w:rFonts w:ascii="Book Antiqua" w:hAnsi="Book Antiqua" w:cs="Arial"/>
          <w:color w:val="auto"/>
          <w:szCs w:val="24"/>
          <w:lang w:val="en-US"/>
        </w:rPr>
        <w:t>)</w:t>
      </w:r>
      <w:r w:rsidRPr="00AA384A">
        <w:rPr>
          <w:rFonts w:ascii="Book Antiqua" w:hAnsi="Book Antiqua" w:cs="Arial"/>
          <w:color w:val="auto"/>
          <w:szCs w:val="24"/>
          <w:lang w:val="en-US"/>
        </w:rPr>
        <w:t xml:space="preserve">-G1 menopausal women who were historic </w:t>
      </w:r>
      <w:proofErr w:type="spellStart"/>
      <w:r w:rsidRPr="00AA384A">
        <w:rPr>
          <w:rFonts w:ascii="Book Antiqua" w:hAnsi="Book Antiqua" w:cs="Arial"/>
          <w:color w:val="auto"/>
          <w:szCs w:val="24"/>
          <w:lang w:val="en-US"/>
        </w:rPr>
        <w:t>relapsers</w:t>
      </w:r>
      <w:proofErr w:type="spellEnd"/>
      <w:r w:rsidRPr="00AA384A">
        <w:rPr>
          <w:rFonts w:ascii="Book Antiqua" w:hAnsi="Book Antiqua" w:cs="Arial"/>
          <w:color w:val="auto"/>
          <w:szCs w:val="24"/>
          <w:lang w:val="en-US"/>
        </w:rPr>
        <w:t>, partial-responders and null-responders.</w:t>
      </w:r>
      <w:r w:rsidRPr="00AA384A">
        <w:rPr>
          <w:rFonts w:ascii="Book Antiqua" w:eastAsia="宋体" w:hAnsi="Book Antiqua" w:cs="Arial"/>
          <w:color w:val="auto"/>
          <w:szCs w:val="24"/>
          <w:lang w:val="en-US" w:eastAsia="zh-CN"/>
        </w:rPr>
        <w:t xml:space="preserve"> </w:t>
      </w:r>
    </w:p>
    <w:p w:rsidR="00AA384A" w:rsidRP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shd w:val="clear" w:color="auto" w:fill="FFFFFF"/>
          <w:lang w:val="en-US" w:eastAsia="zh-CN"/>
        </w:rPr>
      </w:pPr>
      <w:r w:rsidRPr="00AA384A">
        <w:rPr>
          <w:rFonts w:ascii="Book Antiqua" w:eastAsia="宋体" w:hAnsi="Book Antiqua" w:cs="Arial"/>
          <w:b/>
          <w:color w:val="auto"/>
          <w:szCs w:val="24"/>
          <w:lang w:val="en-US" w:eastAsia="zh-CN"/>
        </w:rPr>
        <w:t>METHODS</w:t>
      </w:r>
      <w:r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In this single-assignment, </w:t>
      </w:r>
      <w:proofErr w:type="spellStart"/>
      <w:r w:rsidRPr="00AA384A">
        <w:rPr>
          <w:rFonts w:ascii="Book Antiqua" w:hAnsi="Book Antiqua" w:cs="Arial"/>
          <w:color w:val="auto"/>
          <w:szCs w:val="24"/>
          <w:lang w:val="en-US"/>
        </w:rPr>
        <w:t>unblinded</w:t>
      </w:r>
      <w:proofErr w:type="spellEnd"/>
      <w:r w:rsidRPr="00AA384A">
        <w:rPr>
          <w:rFonts w:ascii="Book Antiqua" w:hAnsi="Book Antiqua" w:cs="Arial"/>
          <w:color w:val="auto"/>
          <w:szCs w:val="24"/>
          <w:lang w:val="en-US"/>
        </w:rPr>
        <w:t xml:space="preserve"> study, we treated fifty-six menopausal women with HCV-G1, 46% F3-F4, and previous PEG-</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/RBV failure (7% null, 41% non-responder, and 52% </w:t>
      </w:r>
      <w:proofErr w:type="spellStart"/>
      <w:r w:rsidRPr="00AA384A">
        <w:rPr>
          <w:rFonts w:ascii="Book Antiqua" w:hAnsi="Book Antiqua" w:cs="Arial"/>
          <w:color w:val="auto"/>
          <w:szCs w:val="24"/>
          <w:lang w:val="en-US"/>
        </w:rPr>
        <w:t>relapser</w:t>
      </w:r>
      <w:proofErr w:type="spellEnd"/>
      <w:r w:rsidRPr="00AA384A">
        <w:rPr>
          <w:rFonts w:ascii="Book Antiqua" w:hAnsi="Book Antiqua" w:cs="Arial"/>
          <w:color w:val="auto"/>
          <w:szCs w:val="24"/>
          <w:lang w:val="en-US"/>
        </w:rPr>
        <w:t>) with 4 weeks lead-in with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2b/RBV followed by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2b/</w:t>
      </w:r>
      <w:proofErr w:type="spellStart"/>
      <w:r w:rsidRPr="00AA384A">
        <w:rPr>
          <w:rFonts w:ascii="Book Antiqua" w:hAnsi="Book Antiqua" w:cs="Arial"/>
          <w:color w:val="auto"/>
          <w:szCs w:val="24"/>
          <w:lang w:val="en-US"/>
        </w:rPr>
        <w:t>RBV+Boceprevir</w:t>
      </w:r>
      <w:proofErr w:type="spellEnd"/>
      <w:r w:rsidRPr="00AA384A">
        <w:rPr>
          <w:rFonts w:ascii="Book Antiqua" w:hAnsi="Book Antiqua" w:cs="Arial"/>
          <w:color w:val="auto"/>
          <w:szCs w:val="24"/>
          <w:lang w:val="en-US"/>
        </w:rPr>
        <w:t xml:space="preserve"> for 32 weeks, with an additional 12 weeks of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2b/RBV if patients were HCV-RNA-positive by week 8. In previous null-responders, 44 </w:t>
      </w:r>
      <w:proofErr w:type="spellStart"/>
      <w:r w:rsidRPr="00AA384A">
        <w:rPr>
          <w:rFonts w:ascii="Book Antiqua" w:hAnsi="Book Antiqua" w:cs="Arial"/>
          <w:color w:val="auto"/>
          <w:szCs w:val="24"/>
          <w:lang w:val="en-US"/>
        </w:rPr>
        <w:t>w</w:t>
      </w:r>
      <w:r>
        <w:rPr>
          <w:rFonts w:ascii="Book Antiqua" w:hAnsi="Book Antiqua" w:cs="Arial"/>
          <w:color w:val="auto"/>
          <w:szCs w:val="24"/>
          <w:lang w:val="en-US"/>
        </w:rPr>
        <w:t>k</w:t>
      </w:r>
      <w:proofErr w:type="spellEnd"/>
      <w:r w:rsidRPr="00AA384A">
        <w:rPr>
          <w:rFonts w:ascii="Book Antiqua" w:hAnsi="Book Antiqua" w:cs="Arial"/>
          <w:color w:val="auto"/>
          <w:szCs w:val="24"/>
          <w:lang w:val="en-US"/>
        </w:rPr>
        <w:t xml:space="preserve"> of triple therapy was used. The primary objective of retreatment was to verify whether a SVR (HCV RNA undetectable at 24 </w:t>
      </w:r>
      <w:proofErr w:type="spellStart"/>
      <w:r w:rsidRPr="00AA384A">
        <w:rPr>
          <w:rFonts w:ascii="Book Antiqua" w:hAnsi="Book Antiqua" w:cs="Arial"/>
          <w:color w:val="auto"/>
          <w:szCs w:val="24"/>
          <w:lang w:val="en-US"/>
        </w:rPr>
        <w:t>w</w:t>
      </w:r>
      <w:r>
        <w:rPr>
          <w:rFonts w:ascii="Book Antiqua" w:hAnsi="Book Antiqua" w:cs="Arial"/>
          <w:color w:val="auto"/>
          <w:szCs w:val="24"/>
          <w:lang w:val="en-US"/>
        </w:rPr>
        <w:t>k</w:t>
      </w:r>
      <w:proofErr w:type="spellEnd"/>
      <w:r w:rsidRPr="00AA384A">
        <w:rPr>
          <w:rFonts w:ascii="Book Antiqua" w:hAnsi="Book Antiqua" w:cs="Arial"/>
          <w:color w:val="auto"/>
          <w:szCs w:val="24"/>
          <w:lang w:val="en-US"/>
        </w:rPr>
        <w:t xml:space="preserve"> of follow-up) rate of at least 20% could be obtained. The secondary objective was the evaluation of the percent of patients with negative HCV RNA at week 4 (RVR), 8 (RVR_BOC), 12 (EVR), or at the end-of-treatment (ETR) that reached SVR. To assess the relationship between SVR and clinical and biochemical parameters, multiple logistic regression analysis was used.</w:t>
      </w:r>
    </w:p>
    <w:p w:rsidR="00AA384A" w:rsidRP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r w:rsidRPr="00AA384A">
        <w:rPr>
          <w:rFonts w:ascii="Book Antiqua" w:eastAsia="宋体" w:hAnsi="Book Antiqua" w:cs="Arial"/>
          <w:b/>
          <w:color w:val="auto"/>
          <w:szCs w:val="24"/>
          <w:lang w:val="en-US" w:eastAsia="zh-CN"/>
        </w:rPr>
        <w:t>RESULTS</w:t>
      </w:r>
      <w:r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After lead-in, only two patients had RVR; HCV-RNA was unchanged in all but 62% who had </w:t>
      </w:r>
      <w:r w:rsidRPr="00AA384A">
        <w:rPr>
          <w:rFonts w:ascii="Book Antiqua" w:hAnsi="Book Antiqua" w:cs="Arial"/>
          <w:color w:val="auto"/>
          <w:szCs w:val="24"/>
          <w:lang w:val="en-US"/>
        </w:rPr>
        <w:sym w:font="Symbol" w:char="F0A3"/>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 xml:space="preserve">1 log decrease. After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HCV RNA became undetectable at week 8 in 32/56 (57.1%) and at week 12 in 41/56 (73.2%). Of these, 53.8% and 52.0%, respectively, achieved SVR. Overall, SVR was obtained in 25/56 (44.6%). SVR was achieved in 55% previous </w:t>
      </w:r>
      <w:proofErr w:type="spellStart"/>
      <w:r w:rsidRPr="00AA384A">
        <w:rPr>
          <w:rFonts w:ascii="Book Antiqua" w:hAnsi="Book Antiqua" w:cs="Arial"/>
          <w:color w:val="auto"/>
          <w:szCs w:val="24"/>
          <w:lang w:val="en-US"/>
        </w:rPr>
        <w:t>relapsers</w:t>
      </w:r>
      <w:proofErr w:type="spellEnd"/>
      <w:r w:rsidRPr="00AA384A">
        <w:rPr>
          <w:rFonts w:ascii="Book Antiqua" w:hAnsi="Book Antiqua" w:cs="Arial"/>
          <w:color w:val="auto"/>
          <w:szCs w:val="24"/>
          <w:lang w:val="en-US"/>
        </w:rPr>
        <w:t xml:space="preserve"> vs. 41% non-responders (</w:t>
      </w:r>
      <w:r w:rsidRPr="00AA384A">
        <w:rPr>
          <w:rFonts w:ascii="Book Antiqua" w:hAnsi="Book Antiqua" w:cs="Arial"/>
          <w:i/>
          <w:color w:val="auto"/>
          <w:szCs w:val="24"/>
          <w:lang w:val="en-US"/>
        </w:rPr>
        <w:t>P</w:t>
      </w:r>
      <w:r>
        <w:rPr>
          <w:rFonts w:ascii="Book Antiqua" w:eastAsia="宋体" w:hAnsi="Book Antiqua" w:cs="Arial" w:hint="eastAsia"/>
          <w:i/>
          <w:color w:val="auto"/>
          <w:szCs w:val="24"/>
          <w:lang w:val="en-US" w:eastAsia="zh-CN"/>
        </w:rPr>
        <w:t xml:space="preserve"> </w:t>
      </w:r>
      <w:r w:rsidRPr="00AA384A">
        <w:rPr>
          <w:rFonts w:ascii="Book Antiqua" w:hAnsi="Book Antiqua" w:cs="Arial"/>
          <w:color w:val="auto"/>
          <w:szCs w:val="24"/>
          <w:lang w:val="en-US"/>
        </w:rPr>
        <w:t>=</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0.250),</w:t>
      </w:r>
      <w:r>
        <w:rPr>
          <w:rFonts w:ascii="Book Antiqua" w:hAnsi="Book Antiqua" w:cs="Arial"/>
          <w:color w:val="auto"/>
          <w:szCs w:val="24"/>
          <w:lang w:val="en-US"/>
        </w:rPr>
        <w:t xml:space="preserve"> in 44% F0-F2 </w:t>
      </w:r>
      <w:proofErr w:type="spellStart"/>
      <w:r w:rsidRPr="00AA384A">
        <w:rPr>
          <w:rFonts w:ascii="Book Antiqua" w:hAnsi="Book Antiqua" w:cs="Arial"/>
          <w:i/>
          <w:color w:val="auto"/>
          <w:szCs w:val="24"/>
          <w:lang w:val="en-US"/>
        </w:rPr>
        <w:t>vs</w:t>
      </w:r>
      <w:proofErr w:type="spellEnd"/>
      <w:r w:rsidRPr="00AA384A">
        <w:rPr>
          <w:rFonts w:ascii="Book Antiqua" w:hAnsi="Book Antiqua" w:cs="Arial"/>
          <w:color w:val="auto"/>
          <w:szCs w:val="24"/>
          <w:lang w:val="en-US"/>
        </w:rPr>
        <w:t xml:space="preserve"> 54% F3-F4 (</w:t>
      </w:r>
      <w:r w:rsidRPr="00AA384A">
        <w:rPr>
          <w:rFonts w:ascii="Book Antiqua" w:hAnsi="Book Antiqua" w:cs="Arial"/>
          <w:i/>
          <w:color w:val="auto"/>
          <w:szCs w:val="24"/>
          <w:lang w:val="en-US"/>
        </w:rPr>
        <w:t>P</w:t>
      </w:r>
      <w:r>
        <w:rPr>
          <w:rFonts w:ascii="Book Antiqua" w:eastAsia="宋体" w:hAnsi="Book Antiqua" w:cs="Arial" w:hint="eastAsia"/>
          <w:i/>
          <w:color w:val="auto"/>
          <w:szCs w:val="24"/>
          <w:lang w:val="en-US" w:eastAsia="zh-CN"/>
        </w:rPr>
        <w:t xml:space="preserve"> </w:t>
      </w:r>
      <w:r w:rsidRPr="00AA384A">
        <w:rPr>
          <w:rFonts w:ascii="Book Antiqua" w:hAnsi="Book Antiqua" w:cs="Arial"/>
          <w:color w:val="auto"/>
          <w:szCs w:val="24"/>
          <w:lang w:val="en-US"/>
        </w:rPr>
        <w:t>=</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 xml:space="preserve">0.488), and in 11/19 (57.9%) of patients with cirrhosis. At </w:t>
      </w:r>
      <w:proofErr w:type="spellStart"/>
      <w:r w:rsidRPr="00AA384A">
        <w:rPr>
          <w:rFonts w:ascii="Book Antiqua" w:hAnsi="Book Antiqua" w:cs="Arial"/>
          <w:color w:val="auto"/>
          <w:szCs w:val="24"/>
          <w:lang w:val="en-US"/>
        </w:rPr>
        <w:t>univariate</w:t>
      </w:r>
      <w:proofErr w:type="spellEnd"/>
      <w:r w:rsidRPr="00AA384A">
        <w:rPr>
          <w:rFonts w:ascii="Book Antiqua" w:hAnsi="Book Antiqua" w:cs="Arial"/>
          <w:color w:val="auto"/>
          <w:szCs w:val="24"/>
          <w:lang w:val="en-US"/>
        </w:rPr>
        <w:t xml:space="preserve"> analysis for baseline predictors of SVR, only previous response to a</w:t>
      </w:r>
      <w:r>
        <w:rPr>
          <w:rFonts w:ascii="Book Antiqua" w:hAnsi="Book Antiqua" w:cs="Arial"/>
          <w:color w:val="auto"/>
          <w:szCs w:val="24"/>
          <w:lang w:val="en-US"/>
        </w:rPr>
        <w:t xml:space="preserve">ntiviral therapy (OR </w:t>
      </w:r>
      <w:r>
        <w:rPr>
          <w:rFonts w:ascii="Book Antiqua" w:eastAsia="宋体" w:hAnsi="Book Antiqua" w:cs="Arial" w:hint="eastAsia"/>
          <w:color w:val="auto"/>
          <w:szCs w:val="24"/>
          <w:lang w:val="en-US" w:eastAsia="zh-CN"/>
        </w:rPr>
        <w:t xml:space="preserve">= </w:t>
      </w:r>
      <w:r>
        <w:rPr>
          <w:rFonts w:ascii="Book Antiqua" w:hAnsi="Book Antiqua" w:cs="Arial"/>
          <w:color w:val="auto"/>
          <w:szCs w:val="24"/>
          <w:lang w:val="en-US"/>
        </w:rPr>
        <w:t>2.662, 95%</w:t>
      </w:r>
      <w:r w:rsidRPr="00AA384A">
        <w:rPr>
          <w:rFonts w:ascii="Book Antiqua" w:hAnsi="Book Antiqua" w:cs="Arial"/>
          <w:color w:val="auto"/>
          <w:szCs w:val="24"/>
          <w:lang w:val="en-US"/>
        </w:rPr>
        <w:t>CI</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 xml:space="preserve">0.957-6.881, </w:t>
      </w:r>
      <w:r w:rsidRPr="00AA384A">
        <w:rPr>
          <w:rFonts w:ascii="Book Antiqua" w:hAnsi="Book Antiqua" w:cs="Arial"/>
          <w:i/>
          <w:color w:val="auto"/>
          <w:szCs w:val="24"/>
          <w:lang w:val="en-US"/>
        </w:rPr>
        <w:t>P</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0.043), was related with SVR. When considering “on treatment” factors, 1 log HCV RNA decline at week 4 (3.733, 95%CI</w:t>
      </w:r>
      <w:r>
        <w:rPr>
          <w:rFonts w:ascii="Book Antiqua" w:eastAsia="宋体" w:hAnsi="Book Antiqua" w:cs="Arial" w:hint="eastAsia"/>
          <w:color w:val="auto"/>
          <w:szCs w:val="24"/>
          <w:lang w:val="en-US" w:eastAsia="zh-CN"/>
        </w:rPr>
        <w:t>:</w:t>
      </w:r>
      <w:r w:rsidRPr="00AA384A">
        <w:rPr>
          <w:rFonts w:ascii="Book Antiqua" w:hAnsi="Book Antiqua" w:cs="Arial"/>
          <w:color w:val="auto"/>
          <w:szCs w:val="24"/>
          <w:lang w:val="en-US"/>
        </w:rPr>
        <w:t xml:space="preserve"> 1.676-12.658, </w:t>
      </w:r>
      <w:r w:rsidRPr="00AA384A">
        <w:rPr>
          <w:rFonts w:ascii="Book Antiqua" w:hAnsi="Book Antiqua" w:cs="Arial"/>
          <w:i/>
          <w:color w:val="auto"/>
          <w:szCs w:val="24"/>
          <w:lang w:val="en-US"/>
        </w:rPr>
        <w:t>P</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0.034) and ach</w:t>
      </w:r>
      <w:r>
        <w:rPr>
          <w:rFonts w:ascii="Book Antiqua" w:hAnsi="Book Antiqua" w:cs="Arial"/>
          <w:color w:val="auto"/>
          <w:szCs w:val="24"/>
          <w:lang w:val="en-US"/>
        </w:rPr>
        <w:t>ievement of RVR BOC (7.347, 95%</w:t>
      </w:r>
      <w:r w:rsidRPr="00AA384A">
        <w:rPr>
          <w:rFonts w:ascii="Book Antiqua" w:hAnsi="Book Antiqua" w:cs="Arial"/>
          <w:color w:val="auto"/>
          <w:szCs w:val="24"/>
          <w:lang w:val="en-US"/>
        </w:rPr>
        <w:t>CI</w:t>
      </w:r>
      <w:r>
        <w:rPr>
          <w:rFonts w:ascii="Book Antiqua" w:eastAsia="宋体" w:hAnsi="Book Antiqua" w:cs="Arial" w:hint="eastAsia"/>
          <w:color w:val="auto"/>
          <w:szCs w:val="24"/>
          <w:lang w:val="en-US" w:eastAsia="zh-CN"/>
        </w:rPr>
        <w:t>:</w:t>
      </w:r>
      <w:r w:rsidRPr="00AA384A">
        <w:rPr>
          <w:rFonts w:ascii="Book Antiqua" w:hAnsi="Book Antiqua" w:cs="Arial"/>
          <w:color w:val="auto"/>
          <w:szCs w:val="24"/>
          <w:lang w:val="en-US"/>
        </w:rPr>
        <w:t xml:space="preserve"> 2.156-25.035, </w:t>
      </w:r>
      <w:r w:rsidRPr="00AA384A">
        <w:rPr>
          <w:rFonts w:ascii="Book Antiqua" w:hAnsi="Book Antiqua" w:cs="Arial"/>
          <w:i/>
          <w:color w:val="auto"/>
          <w:szCs w:val="24"/>
          <w:lang w:val="en-US"/>
        </w:rPr>
        <w:t>P</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lastRenderedPageBreak/>
        <w:t>0.001) were significantly related with the SVR, al</w:t>
      </w:r>
      <w:r>
        <w:rPr>
          <w:rFonts w:ascii="Book Antiqua" w:hAnsi="Book Antiqua" w:cs="Arial"/>
          <w:color w:val="auto"/>
          <w:szCs w:val="24"/>
          <w:lang w:val="en-US"/>
        </w:rPr>
        <w:t>though RVR BOC only (6.794, 95%</w:t>
      </w:r>
      <w:r w:rsidRPr="00AA384A">
        <w:rPr>
          <w:rFonts w:ascii="Book Antiqua" w:hAnsi="Book Antiqua" w:cs="Arial"/>
          <w:color w:val="auto"/>
          <w:szCs w:val="24"/>
          <w:lang w:val="en-US"/>
        </w:rPr>
        <w:t>CI</w:t>
      </w:r>
      <w:r>
        <w:rPr>
          <w:rFonts w:ascii="Book Antiqua" w:eastAsia="宋体" w:hAnsi="Book Antiqua" w:cs="Arial" w:hint="eastAsia"/>
          <w:color w:val="auto"/>
          <w:szCs w:val="24"/>
          <w:lang w:val="en-US" w:eastAsia="zh-CN"/>
        </w:rPr>
        <w:t>:</w:t>
      </w:r>
      <w:r w:rsidRPr="00AA384A">
        <w:rPr>
          <w:rFonts w:ascii="Book Antiqua" w:hAnsi="Book Antiqua" w:cs="Arial"/>
          <w:color w:val="auto"/>
          <w:szCs w:val="24"/>
          <w:lang w:val="en-US"/>
        </w:rPr>
        <w:t xml:space="preserve"> 1.596-21.644, </w:t>
      </w:r>
      <w:r w:rsidRPr="00AA384A">
        <w:rPr>
          <w:rFonts w:ascii="Book Antiqua" w:hAnsi="Book Antiqua" w:cs="Arial"/>
          <w:i/>
          <w:color w:val="auto"/>
          <w:szCs w:val="24"/>
          <w:lang w:val="en-US"/>
        </w:rPr>
        <w:t>P</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0.010) maintained significance at multivariate logistic regression analysis.</w:t>
      </w:r>
      <w:r>
        <w:rPr>
          <w:rFonts w:ascii="Book Antiqua" w:eastAsia="宋体" w:hAnsi="Book Antiqua" w:cs="Arial" w:hint="eastAsia"/>
          <w:color w:val="auto"/>
          <w:szCs w:val="24"/>
          <w:lang w:val="en-US" w:eastAsia="zh-CN"/>
        </w:rPr>
        <w:t xml:space="preserve"> </w:t>
      </w:r>
      <w:r w:rsidRPr="00AA384A">
        <w:rPr>
          <w:rFonts w:ascii="Book Antiqua" w:hAnsi="Book Antiqua" w:cs="Arial"/>
          <w:color w:val="auto"/>
          <w:szCs w:val="24"/>
          <w:lang w:val="en-US"/>
        </w:rPr>
        <w:t xml:space="preserve">Anemia and neutropenia were managed with Erythropoietin and </w:t>
      </w:r>
      <w:proofErr w:type="spellStart"/>
      <w:r w:rsidRPr="00AA384A">
        <w:rPr>
          <w:rFonts w:ascii="Book Antiqua" w:hAnsi="Book Antiqua" w:cs="Arial"/>
          <w:color w:val="auto"/>
          <w:szCs w:val="24"/>
          <w:lang w:val="en-US"/>
        </w:rPr>
        <w:t>Filgrastim</w:t>
      </w:r>
      <w:proofErr w:type="spellEnd"/>
      <w:r w:rsidRPr="00AA384A">
        <w:rPr>
          <w:rFonts w:ascii="Book Antiqua" w:hAnsi="Book Antiqua" w:cs="Arial"/>
          <w:color w:val="auto"/>
          <w:szCs w:val="24"/>
          <w:lang w:val="en-US"/>
        </w:rPr>
        <w:t xml:space="preserve"> supplementation, respectively. Only six patients discontinued therapy. </w:t>
      </w:r>
    </w:p>
    <w:p w:rsidR="00AA384A" w:rsidRP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AA384A" w:rsidRPr="00AA384A" w:rsidRDefault="00AA384A"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Pr>
          <w:rFonts w:ascii="Book Antiqua" w:hAnsi="Book Antiqua" w:cs="Arial"/>
          <w:b/>
          <w:color w:val="auto"/>
          <w:szCs w:val="24"/>
          <w:lang w:val="en-US"/>
        </w:rPr>
        <w:t xml:space="preserve">CONCLUSION: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obtained high SVR response independent of previous response, RVR or baseline fibrosis or cirrhosis. RVR_BOC was the only independent predictor of SVR.</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D46CF8" w:rsidRPr="00AA384A" w:rsidRDefault="00D46CF8" w:rsidP="00AA384A">
      <w:pPr>
        <w:spacing w:line="360" w:lineRule="auto"/>
        <w:jc w:val="both"/>
        <w:rPr>
          <w:rFonts w:ascii="Book Antiqua" w:hAnsi="Book Antiqua" w:cs="Arial Unicode MS"/>
          <w:color w:val="auto"/>
        </w:rPr>
      </w:pPr>
      <w:r w:rsidRPr="00AA384A">
        <w:rPr>
          <w:rFonts w:ascii="Book Antiqua" w:hAnsi="Book Antiqua"/>
          <w:color w:val="auto"/>
        </w:rPr>
        <w:t xml:space="preserve">© </w:t>
      </w:r>
      <w:r w:rsidRPr="00AA384A">
        <w:rPr>
          <w:rFonts w:ascii="Book Antiqua" w:hAnsi="Book Antiqua" w:cs="Arial Unicode MS"/>
          <w:color w:val="auto"/>
        </w:rPr>
        <w:t xml:space="preserve">2014 </w:t>
      </w:r>
      <w:proofErr w:type="spellStart"/>
      <w:r w:rsidRPr="00AA384A">
        <w:rPr>
          <w:rFonts w:ascii="Book Antiqua" w:hAnsi="Book Antiqua" w:cs="Arial Unicode MS"/>
          <w:color w:val="auto"/>
        </w:rPr>
        <w:t>Baishideng</w:t>
      </w:r>
      <w:proofErr w:type="spellEnd"/>
      <w:r w:rsidRPr="00AA384A">
        <w:rPr>
          <w:rFonts w:ascii="Book Antiqua" w:hAnsi="Book Antiqua" w:cs="Arial Unicode MS"/>
          <w:color w:val="auto"/>
        </w:rPr>
        <w:t xml:space="preserve"> Publishing Group Inc. All rights reserved.</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b/>
          <w:color w:val="auto"/>
          <w:szCs w:val="24"/>
          <w:lang w:val="en-US"/>
        </w:rPr>
        <w:t>Key words:</w:t>
      </w:r>
      <w:r w:rsidRPr="00AA384A">
        <w:rPr>
          <w:rFonts w:ascii="Book Antiqua" w:hAnsi="Book Antiqua" w:cs="Arial"/>
          <w:color w:val="auto"/>
          <w:szCs w:val="24"/>
          <w:lang w:val="en-US"/>
        </w:rPr>
        <w:t xml:space="preserve"> </w:t>
      </w:r>
      <w:r w:rsidR="007C6B02" w:rsidRPr="00AA384A">
        <w:rPr>
          <w:rFonts w:ascii="Book Antiqua" w:hAnsi="Book Antiqua" w:cs="Arial"/>
          <w:color w:val="auto"/>
          <w:szCs w:val="24"/>
          <w:lang w:val="en-US"/>
        </w:rPr>
        <w:t>Hepatitis C virus</w:t>
      </w:r>
      <w:r w:rsidRPr="00AA384A">
        <w:rPr>
          <w:rFonts w:ascii="Book Antiqua" w:hAnsi="Book Antiqua" w:cs="Arial"/>
          <w:color w:val="auto"/>
          <w:szCs w:val="24"/>
          <w:lang w:val="en-US"/>
        </w:rPr>
        <w:t xml:space="preserve"> treatment; </w:t>
      </w:r>
      <w:proofErr w:type="spellStart"/>
      <w:r w:rsidRPr="00AA384A">
        <w:rPr>
          <w:rFonts w:ascii="Book Antiqua" w:hAnsi="Book Antiqua" w:cs="Arial"/>
          <w:color w:val="auto"/>
          <w:szCs w:val="24"/>
          <w:lang w:val="en-US"/>
        </w:rPr>
        <w:t>Pegylated</w:t>
      </w:r>
      <w:proofErr w:type="spellEnd"/>
      <w:r w:rsidRPr="00AA384A">
        <w:rPr>
          <w:rFonts w:ascii="Book Antiqua" w:hAnsi="Book Antiqua" w:cs="Arial"/>
          <w:color w:val="auto"/>
          <w:szCs w:val="24"/>
          <w:lang w:val="en-US"/>
        </w:rPr>
        <w:t xml:space="preserve"> Interferon; Viral Hepatitis; Menopause; Genotype 1</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b/>
          <w:color w:val="auto"/>
          <w:szCs w:val="24"/>
          <w:lang w:val="en-US"/>
        </w:rPr>
        <w:t xml:space="preserve">Core tip: </w:t>
      </w:r>
      <w:r w:rsidRPr="00AA384A">
        <w:rPr>
          <w:rFonts w:ascii="Book Antiqua" w:eastAsia="宋体" w:hAnsi="Book Antiqua" w:cs="Arial"/>
          <w:b/>
          <w:color w:val="auto"/>
          <w:szCs w:val="24"/>
          <w:lang w:val="en-US" w:eastAsia="zh-CN"/>
        </w:rPr>
        <w:t xml:space="preserve"> </w:t>
      </w:r>
      <w:r w:rsidRPr="00AA384A">
        <w:rPr>
          <w:rFonts w:ascii="Book Antiqua" w:hAnsi="Book Antiqua"/>
          <w:color w:val="auto"/>
          <w:szCs w:val="24"/>
          <w:lang w:val="en-US"/>
        </w:rPr>
        <w:t xml:space="preserve">After menopause liver disease in </w:t>
      </w:r>
      <w:r w:rsidR="007C6B02" w:rsidRPr="00AA384A">
        <w:rPr>
          <w:rFonts w:ascii="Book Antiqua" w:hAnsi="Book Antiqua"/>
          <w:color w:val="auto"/>
          <w:szCs w:val="24"/>
          <w:lang w:val="en-US"/>
        </w:rPr>
        <w:t xml:space="preserve">hepatitis C virus </w:t>
      </w:r>
      <w:r w:rsidRPr="00AA384A">
        <w:rPr>
          <w:rFonts w:ascii="Book Antiqua" w:hAnsi="Book Antiqua"/>
          <w:color w:val="auto"/>
          <w:szCs w:val="24"/>
          <w:lang w:val="en-US"/>
        </w:rPr>
        <w:t>-positive women becomes rapidly progressive, severe fibrosis develops, and response to antiviral therapy becomes very low. Re-treatment with standard dual therapy in previous failures of </w:t>
      </w:r>
      <w:proofErr w:type="spellStart"/>
      <w:r w:rsidRPr="00AA384A">
        <w:rPr>
          <w:rFonts w:ascii="Book Antiqua" w:hAnsi="Book Antiqua"/>
          <w:color w:val="auto"/>
          <w:szCs w:val="24"/>
          <w:lang w:val="en-US"/>
        </w:rPr>
        <w:t>Peginterferon</w:t>
      </w:r>
      <w:proofErr w:type="spellEnd"/>
      <w:r w:rsidRPr="00AA384A">
        <w:rPr>
          <w:rFonts w:ascii="Book Antiqua" w:hAnsi="Book Antiqua"/>
          <w:color w:val="auto"/>
          <w:szCs w:val="24"/>
          <w:lang w:val="en-US"/>
        </w:rPr>
        <w:t>-</w:t>
      </w:r>
      <w:r w:rsidRPr="00AA384A">
        <w:rPr>
          <w:rFonts w:ascii="Book Antiqua" w:hAnsi="Book Antiqua" w:cs="Arial"/>
          <w:color w:val="auto"/>
          <w:szCs w:val="24"/>
          <w:lang w:val="en-US"/>
        </w:rPr>
        <w:sym w:font="Symbol" w:char="F061"/>
      </w:r>
      <w:r w:rsidRPr="00AA384A">
        <w:rPr>
          <w:rFonts w:ascii="Book Antiqua" w:hAnsi="Book Antiqua"/>
          <w:color w:val="auto"/>
          <w:szCs w:val="24"/>
          <w:lang w:val="en-US"/>
        </w:rPr>
        <w:t>+Ribavirin (PEG-IFN</w:t>
      </w:r>
      <w:r w:rsidRPr="00AA384A">
        <w:rPr>
          <w:rFonts w:ascii="Book Antiqua" w:hAnsi="Book Antiqua" w:cs="Arial"/>
          <w:color w:val="auto"/>
          <w:szCs w:val="24"/>
          <w:lang w:val="en-US"/>
        </w:rPr>
        <w:sym w:font="Symbol" w:char="F061"/>
      </w:r>
      <w:r w:rsidRPr="00AA384A">
        <w:rPr>
          <w:rFonts w:ascii="Book Antiqua" w:hAnsi="Book Antiqua"/>
          <w:color w:val="auto"/>
          <w:szCs w:val="24"/>
          <w:lang w:val="en-US"/>
        </w:rPr>
        <w:t>/RBV) treatments does not achieve more than 5</w:t>
      </w:r>
      <w:r w:rsidR="0014629E">
        <w:rPr>
          <w:rFonts w:ascii="Book Antiqua" w:hAnsi="Book Antiqua"/>
          <w:color w:val="auto"/>
          <w:szCs w:val="24"/>
          <w:lang w:val="en-US"/>
        </w:rPr>
        <w:t>%</w:t>
      </w:r>
      <w:r w:rsidRPr="00AA384A">
        <w:rPr>
          <w:rFonts w:ascii="Book Antiqua" w:hAnsi="Book Antiqua"/>
          <w:color w:val="auto"/>
          <w:szCs w:val="24"/>
          <w:lang w:val="en-US"/>
        </w:rPr>
        <w:t xml:space="preserve">-10% </w:t>
      </w:r>
      <w:r w:rsidR="007C6B02" w:rsidRPr="00AA384A">
        <w:rPr>
          <w:rFonts w:ascii="Book Antiqua" w:hAnsi="Book Antiqua"/>
          <w:color w:val="auto"/>
          <w:szCs w:val="24"/>
          <w:lang w:val="en-US"/>
        </w:rPr>
        <w:t xml:space="preserve">sustained </w:t>
      </w:r>
      <w:proofErr w:type="spellStart"/>
      <w:r w:rsidR="007C6B02" w:rsidRPr="00AA384A">
        <w:rPr>
          <w:rFonts w:ascii="Book Antiqua" w:hAnsi="Book Antiqua"/>
          <w:color w:val="auto"/>
          <w:szCs w:val="24"/>
          <w:lang w:val="en-US"/>
        </w:rPr>
        <w:t>virological</w:t>
      </w:r>
      <w:proofErr w:type="spellEnd"/>
      <w:r w:rsidR="007C6B02" w:rsidRPr="00AA384A">
        <w:rPr>
          <w:rFonts w:ascii="Book Antiqua" w:hAnsi="Book Antiqua"/>
          <w:color w:val="auto"/>
          <w:szCs w:val="24"/>
          <w:lang w:val="en-US"/>
        </w:rPr>
        <w:t xml:space="preserve"> response</w:t>
      </w:r>
      <w:r w:rsidR="007C6B02" w:rsidRPr="00AA384A">
        <w:rPr>
          <w:rFonts w:ascii="Book Antiqua" w:eastAsia="宋体" w:hAnsi="Book Antiqua"/>
          <w:color w:val="auto"/>
          <w:szCs w:val="24"/>
          <w:lang w:val="en-US" w:eastAsia="zh-CN"/>
        </w:rPr>
        <w:t xml:space="preserve"> </w:t>
      </w:r>
      <w:r w:rsidRPr="00AA384A">
        <w:rPr>
          <w:rFonts w:ascii="Book Antiqua" w:hAnsi="Book Antiqua"/>
          <w:color w:val="auto"/>
          <w:szCs w:val="24"/>
          <w:lang w:val="en-US"/>
        </w:rPr>
        <w:t xml:space="preserve">(SVR).  The addition of </w:t>
      </w:r>
      <w:proofErr w:type="spellStart"/>
      <w:r w:rsidRPr="00AA384A">
        <w:rPr>
          <w:rFonts w:ascii="Book Antiqua" w:hAnsi="Book Antiqua"/>
          <w:color w:val="auto"/>
          <w:szCs w:val="24"/>
          <w:lang w:val="en-US"/>
        </w:rPr>
        <w:t>Boceprevir</w:t>
      </w:r>
      <w:proofErr w:type="spellEnd"/>
      <w:r w:rsidRPr="00AA384A">
        <w:rPr>
          <w:rFonts w:ascii="Book Antiqua" w:hAnsi="Book Antiqua"/>
          <w:color w:val="auto"/>
          <w:szCs w:val="24"/>
          <w:lang w:val="en-US"/>
        </w:rPr>
        <w:t xml:space="preserve"> to PEG-IFN</w:t>
      </w:r>
      <w:r w:rsidRPr="00AA384A">
        <w:rPr>
          <w:rFonts w:ascii="Book Antiqua" w:hAnsi="Book Antiqua" w:cs="Arial"/>
          <w:color w:val="auto"/>
          <w:szCs w:val="24"/>
          <w:lang w:val="en-US"/>
        </w:rPr>
        <w:sym w:font="Symbol" w:char="F061"/>
      </w:r>
      <w:r w:rsidRPr="00AA384A">
        <w:rPr>
          <w:rFonts w:ascii="Book Antiqua" w:hAnsi="Book Antiqua"/>
          <w:color w:val="auto"/>
          <w:szCs w:val="24"/>
          <w:lang w:val="en-US"/>
        </w:rPr>
        <w:t xml:space="preserve">/RBV in menopausal women with HCV-1 genotype infection, who had previously failed dual antiviral therapy, determined a striking improvement of SVR. More than 45% of women re-treated with triple therapy achieved SVR, with few side effects and good tolerability. Response after 4 </w:t>
      </w:r>
      <w:proofErr w:type="spellStart"/>
      <w:r w:rsidR="00F37342">
        <w:rPr>
          <w:rFonts w:ascii="Book Antiqua" w:hAnsi="Book Antiqua"/>
          <w:color w:val="auto"/>
          <w:szCs w:val="24"/>
          <w:lang w:val="en-US"/>
        </w:rPr>
        <w:t>wk</w:t>
      </w:r>
      <w:proofErr w:type="spellEnd"/>
      <w:r w:rsidRPr="00AA384A">
        <w:rPr>
          <w:rFonts w:ascii="Book Antiqua" w:hAnsi="Book Antiqua"/>
          <w:color w:val="auto"/>
          <w:szCs w:val="24"/>
          <w:lang w:val="en-US"/>
        </w:rPr>
        <w:t xml:space="preserve"> of </w:t>
      </w:r>
      <w:proofErr w:type="spellStart"/>
      <w:r w:rsidRPr="00AA384A">
        <w:rPr>
          <w:rFonts w:ascii="Book Antiqua" w:hAnsi="Book Antiqua"/>
          <w:color w:val="auto"/>
          <w:szCs w:val="24"/>
          <w:lang w:val="en-US"/>
        </w:rPr>
        <w:t>Boceprevir</w:t>
      </w:r>
      <w:proofErr w:type="spellEnd"/>
      <w:r w:rsidRPr="00AA384A">
        <w:rPr>
          <w:rFonts w:ascii="Book Antiqua" w:hAnsi="Book Antiqua"/>
          <w:color w:val="auto"/>
          <w:szCs w:val="24"/>
          <w:lang w:val="en-US"/>
        </w:rPr>
        <w:t xml:space="preserve"> was the only independent factor predicting SVR.</w:t>
      </w:r>
    </w:p>
    <w:p w:rsidR="00D46CF8" w:rsidRPr="00AA384A" w:rsidRDefault="00D46CF8" w:rsidP="00AA384A">
      <w:pPr>
        <w:adjustRightInd w:val="0"/>
        <w:snapToGrid w:val="0"/>
        <w:spacing w:line="360" w:lineRule="auto"/>
        <w:jc w:val="both"/>
        <w:rPr>
          <w:rFonts w:ascii="Book Antiqua" w:hAnsi="Book Antiqua" w:cs="Arial"/>
          <w:color w:val="auto"/>
          <w:lang w:val="it-IT" w:eastAsia="it-IT"/>
        </w:rPr>
      </w:pPr>
      <w:bookmarkStart w:id="69" w:name="OLE_LINK130"/>
      <w:bookmarkStart w:id="70" w:name="OLE_LINK134"/>
    </w:p>
    <w:p w:rsidR="00D46CF8" w:rsidRPr="00AA384A" w:rsidRDefault="00D46CF8" w:rsidP="00AA384A">
      <w:pPr>
        <w:adjustRightInd w:val="0"/>
        <w:snapToGrid w:val="0"/>
        <w:spacing w:line="360" w:lineRule="auto"/>
        <w:jc w:val="both"/>
        <w:rPr>
          <w:rFonts w:ascii="Book Antiqua" w:hAnsi="Book Antiqua" w:cs="Arial"/>
          <w:color w:val="auto"/>
          <w:lang w:val="it-IT" w:eastAsia="it-IT"/>
        </w:rPr>
      </w:pPr>
      <w:r w:rsidRPr="00AA384A">
        <w:rPr>
          <w:rFonts w:ascii="Book Antiqua" w:hAnsi="Book Antiqua" w:cs="Arial"/>
          <w:color w:val="auto"/>
          <w:lang w:val="it-IT" w:eastAsia="it-IT"/>
        </w:rPr>
        <w:t>Bernabucci V, Ciancio A, Petta S, Karampatou A, Turco L, Strona S, Critelli R, Todesca P, Cerami C, Sagnelli C, Rizzetto M, Cammà C, Villa E.</w:t>
      </w:r>
      <w:bookmarkStart w:id="71" w:name="OLE_LINK424"/>
      <w:bookmarkStart w:id="72" w:name="OLE_LINK425"/>
      <w:r w:rsidR="007C6B02" w:rsidRPr="00AA384A">
        <w:rPr>
          <w:rFonts w:ascii="Book Antiqua" w:eastAsia="宋体" w:hAnsi="Book Antiqua" w:cs="Arial"/>
          <w:color w:val="auto"/>
          <w:lang w:val="it-IT" w:eastAsia="zh-CN"/>
        </w:rPr>
        <w:t xml:space="preserve"> Boceprevir is </w:t>
      </w:r>
      <w:r w:rsidR="007C6B02" w:rsidRPr="00AA384A">
        <w:rPr>
          <w:rFonts w:ascii="Book Antiqua" w:eastAsia="宋体" w:hAnsi="Book Antiqua" w:cs="Arial"/>
          <w:color w:val="auto"/>
          <w:lang w:val="it-IT" w:eastAsia="zh-CN"/>
        </w:rPr>
        <w:lastRenderedPageBreak/>
        <w:t xml:space="preserve">highly effective in treatment-experienced hepatitis C virus-positive genotype-1 menopausal women. </w:t>
      </w:r>
      <w:r w:rsidRPr="00AA384A">
        <w:rPr>
          <w:rFonts w:ascii="Book Antiqua" w:hAnsi="Book Antiqua"/>
          <w:i/>
          <w:color w:val="auto"/>
        </w:rPr>
        <w:t xml:space="preserve">World J </w:t>
      </w:r>
      <w:proofErr w:type="spellStart"/>
      <w:r w:rsidRPr="00AA384A">
        <w:rPr>
          <w:rFonts w:ascii="Book Antiqua" w:hAnsi="Book Antiqua"/>
          <w:i/>
          <w:color w:val="auto"/>
        </w:rPr>
        <w:t>Gastroenterol</w:t>
      </w:r>
      <w:proofErr w:type="spellEnd"/>
      <w:r w:rsidRPr="00AA384A">
        <w:rPr>
          <w:rFonts w:ascii="Book Antiqua" w:hAnsi="Book Antiqua"/>
          <w:color w:val="auto"/>
        </w:rPr>
        <w:t xml:space="preserve"> 2014; </w:t>
      </w:r>
      <w:bookmarkStart w:id="73" w:name="OLE_LINK1689"/>
      <w:bookmarkStart w:id="74" w:name="OLE_LINK1298"/>
      <w:bookmarkStart w:id="75" w:name="OLE_LINK1297"/>
      <w:proofErr w:type="gramStart"/>
      <w:r w:rsidRPr="00AA384A">
        <w:rPr>
          <w:rFonts w:ascii="Book Antiqua" w:hAnsi="Book Antiqua"/>
          <w:color w:val="auto"/>
        </w:rPr>
        <w:t>In</w:t>
      </w:r>
      <w:proofErr w:type="gramEnd"/>
      <w:r w:rsidRPr="00AA384A">
        <w:rPr>
          <w:rFonts w:ascii="Book Antiqua" w:hAnsi="Book Antiqua"/>
          <w:color w:val="auto"/>
        </w:rPr>
        <w:t xml:space="preserve"> press</w:t>
      </w:r>
      <w:bookmarkEnd w:id="73"/>
      <w:bookmarkEnd w:id="74"/>
      <w:bookmarkEnd w:id="75"/>
    </w:p>
    <w:bookmarkEnd w:id="69"/>
    <w:bookmarkEnd w:id="70"/>
    <w:bookmarkEnd w:id="71"/>
    <w:bookmarkEnd w:id="72"/>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olor w:val="auto"/>
          <w:szCs w:val="24"/>
          <w:lang w:val="en-US" w:eastAsia="zh-CN"/>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color w:val="auto"/>
          <w:szCs w:val="24"/>
          <w:lang w:val="en-US" w:eastAsia="zh-CN"/>
        </w:rPr>
      </w:pPr>
      <w:r w:rsidRPr="00AA384A">
        <w:rPr>
          <w:rFonts w:ascii="Book Antiqua" w:hAnsi="Book Antiqua" w:cs="Arial"/>
          <w:color w:val="auto"/>
          <w:szCs w:val="24"/>
          <w:lang w:val="en-US"/>
        </w:rPr>
        <w:br w:type="page"/>
      </w:r>
      <w:r w:rsidRPr="00AA384A">
        <w:rPr>
          <w:rFonts w:ascii="Book Antiqua" w:hAnsi="Book Antiqua" w:cs="Arial"/>
          <w:b/>
          <w:color w:val="auto"/>
          <w:szCs w:val="24"/>
          <w:lang w:val="en-US"/>
        </w:rPr>
        <w:lastRenderedPageBreak/>
        <w:t>INTRODUCTION</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Menopausal women with chronic </w:t>
      </w:r>
      <w:r w:rsidR="006408E9" w:rsidRPr="00AA384A">
        <w:rPr>
          <w:rFonts w:ascii="Book Antiqua" w:hAnsi="Book Antiqua" w:cs="Arial"/>
          <w:color w:val="auto"/>
          <w:szCs w:val="24"/>
          <w:lang w:val="en-US"/>
        </w:rPr>
        <w:t xml:space="preserve">hepatitis </w:t>
      </w:r>
      <w:r w:rsidRPr="00AA384A">
        <w:rPr>
          <w:rFonts w:ascii="Book Antiqua" w:hAnsi="Book Antiqua" w:cs="Arial"/>
          <w:color w:val="auto"/>
          <w:szCs w:val="24"/>
          <w:lang w:val="en-US"/>
        </w:rPr>
        <w:t>C are a group of patients with remarkably distinctive characteristics when compared with women of reproductive a</w:t>
      </w:r>
      <w:r w:rsidR="00C53F9D" w:rsidRPr="00AA384A">
        <w:rPr>
          <w:rFonts w:ascii="Book Antiqua" w:hAnsi="Book Antiqua" w:cs="Arial"/>
          <w:color w:val="auto"/>
          <w:szCs w:val="24"/>
          <w:lang w:val="en-US"/>
        </w:rPr>
        <w:t xml:space="preserve">ge or with males of similar </w:t>
      </w:r>
      <w:proofErr w:type="gramStart"/>
      <w:r w:rsidR="00C53F9D" w:rsidRPr="00AA384A">
        <w:rPr>
          <w:rFonts w:ascii="Book Antiqua" w:hAnsi="Book Antiqua" w:cs="Arial"/>
          <w:color w:val="auto"/>
          <w:szCs w:val="24"/>
          <w:lang w:val="en-US"/>
        </w:rPr>
        <w:t>age</w:t>
      </w:r>
      <w:r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1,2]</w:t>
      </w:r>
      <w:r w:rsidRPr="00AA384A">
        <w:rPr>
          <w:rFonts w:ascii="Book Antiqua" w:hAnsi="Book Antiqua" w:cs="Arial"/>
          <w:color w:val="auto"/>
          <w:szCs w:val="24"/>
          <w:lang w:val="en-US"/>
        </w:rPr>
        <w:t xml:space="preserve">. Acceleration of fibrosis in the past was attributed to several different factors: length of </w:t>
      </w:r>
      <w:r w:rsidR="004256ED" w:rsidRPr="004256ED">
        <w:rPr>
          <w:rFonts w:ascii="Book Antiqua" w:hAnsi="Book Antiqua" w:cs="Arial"/>
          <w:color w:val="auto"/>
          <w:szCs w:val="24"/>
          <w:lang w:val="en-US"/>
        </w:rPr>
        <w:t xml:space="preserve">hepatitis C virus </w:t>
      </w:r>
      <w:r w:rsidR="004256ED">
        <w:rPr>
          <w:rFonts w:ascii="Book Antiqua" w:hAnsi="Book Antiqua" w:cs="Arial"/>
          <w:color w:val="auto"/>
          <w:szCs w:val="24"/>
          <w:lang w:val="en-US"/>
        </w:rPr>
        <w:t>(</w:t>
      </w:r>
      <w:r w:rsidRPr="00AA384A">
        <w:rPr>
          <w:rFonts w:ascii="Book Antiqua" w:hAnsi="Book Antiqua" w:cs="Arial"/>
          <w:color w:val="auto"/>
          <w:szCs w:val="24"/>
          <w:lang w:val="en-US"/>
        </w:rPr>
        <w:t>HCV</w:t>
      </w:r>
      <w:r w:rsidR="004256ED">
        <w:rPr>
          <w:rFonts w:ascii="Book Antiqua" w:hAnsi="Book Antiqua" w:cs="Arial"/>
          <w:color w:val="auto"/>
          <w:szCs w:val="24"/>
          <w:lang w:val="en-US"/>
        </w:rPr>
        <w:t>)</w:t>
      </w:r>
      <w:r w:rsidRPr="00AA384A">
        <w:rPr>
          <w:rFonts w:ascii="Book Antiqua" w:hAnsi="Book Antiqua" w:cs="Arial"/>
          <w:color w:val="auto"/>
          <w:szCs w:val="24"/>
          <w:lang w:val="en-US"/>
        </w:rPr>
        <w:t xml:space="preserve"> </w:t>
      </w:r>
      <w:proofErr w:type="gramStart"/>
      <w:r w:rsidRPr="00AA384A">
        <w:rPr>
          <w:rFonts w:ascii="Book Antiqua" w:hAnsi="Book Antiqua" w:cs="Arial"/>
          <w:color w:val="auto"/>
          <w:szCs w:val="24"/>
          <w:lang w:val="en-US"/>
        </w:rPr>
        <w:t>infection</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3]</w:t>
      </w:r>
      <w:r w:rsidRPr="00AA384A">
        <w:rPr>
          <w:rFonts w:ascii="Book Antiqua" w:hAnsi="Book Antiqua" w:cs="Arial"/>
          <w:color w:val="auto"/>
          <w:szCs w:val="24"/>
          <w:lang w:val="en-US"/>
        </w:rPr>
        <w:t>, alcohol and smoking</w:t>
      </w:r>
      <w:r w:rsidRPr="00AA384A">
        <w:rPr>
          <w:rFonts w:ascii="Book Antiqua" w:hAnsi="Book Antiqua" w:cs="Arial"/>
          <w:color w:val="auto"/>
          <w:szCs w:val="24"/>
          <w:vertAlign w:val="superscript"/>
          <w:lang w:val="en-US"/>
        </w:rPr>
        <w:t>[4]</w:t>
      </w:r>
      <w:r w:rsidRPr="00AA384A">
        <w:rPr>
          <w:rFonts w:ascii="Book Antiqua" w:hAnsi="Book Antiqua" w:cs="Arial"/>
          <w:color w:val="auto"/>
          <w:szCs w:val="24"/>
          <w:lang w:val="en-US"/>
        </w:rPr>
        <w:t>, genetic characteristics of patient</w:t>
      </w:r>
      <w:r w:rsidR="00C53F9D" w:rsidRPr="00AA384A">
        <w:rPr>
          <w:rFonts w:ascii="Book Antiqua" w:hAnsi="Book Antiqua" w:cs="Arial"/>
          <w:color w:val="auto"/>
          <w:szCs w:val="24"/>
          <w:lang w:val="en-US"/>
        </w:rPr>
        <w:t>s</w:t>
      </w:r>
      <w:r w:rsidRPr="00AA384A">
        <w:rPr>
          <w:rFonts w:ascii="Book Antiqua" w:hAnsi="Book Antiqua" w:cs="Arial"/>
          <w:color w:val="auto"/>
          <w:szCs w:val="24"/>
          <w:vertAlign w:val="superscript"/>
          <w:lang w:val="en-US"/>
        </w:rPr>
        <w:t>[5]</w:t>
      </w:r>
      <w:r w:rsidRPr="00AA384A">
        <w:rPr>
          <w:rFonts w:ascii="Book Antiqua" w:hAnsi="Book Antiqua" w:cs="Arial"/>
          <w:color w:val="auto"/>
          <w:szCs w:val="24"/>
          <w:lang w:val="en-US"/>
        </w:rPr>
        <w:t>. Lately, the distinctive ro</w:t>
      </w:r>
      <w:r w:rsidR="00C53F9D" w:rsidRPr="00AA384A">
        <w:rPr>
          <w:rFonts w:ascii="Book Antiqua" w:hAnsi="Book Antiqua" w:cs="Arial"/>
          <w:color w:val="auto"/>
          <w:szCs w:val="24"/>
          <w:lang w:val="en-US"/>
        </w:rPr>
        <w:t xml:space="preserve">le of menopause became </w:t>
      </w:r>
      <w:proofErr w:type="gramStart"/>
      <w:r w:rsidR="00C53F9D" w:rsidRPr="00AA384A">
        <w:rPr>
          <w:rFonts w:ascii="Book Antiqua" w:hAnsi="Book Antiqua" w:cs="Arial"/>
          <w:color w:val="auto"/>
          <w:szCs w:val="24"/>
          <w:lang w:val="en-US"/>
        </w:rPr>
        <w:t>apparent</w:t>
      </w:r>
      <w:r w:rsidRPr="00AA384A">
        <w:rPr>
          <w:rFonts w:ascii="Book Antiqua" w:hAnsi="Book Antiqua" w:cs="Arial"/>
          <w:color w:val="auto"/>
          <w:szCs w:val="24"/>
          <w:vertAlign w:val="superscript"/>
          <w:lang w:val="en-US"/>
        </w:rPr>
        <w:t>[</w:t>
      </w:r>
      <w:proofErr w:type="gramEnd"/>
      <w:r w:rsidR="00C53F9D" w:rsidRPr="00AA384A">
        <w:rPr>
          <w:rFonts w:ascii="Book Antiqua" w:hAnsi="Book Antiqua" w:cs="Arial"/>
          <w:color w:val="auto"/>
          <w:szCs w:val="24"/>
          <w:vertAlign w:val="superscript"/>
          <w:lang w:val="en-US"/>
        </w:rPr>
        <w:t>2,</w:t>
      </w:r>
      <w:r w:rsidRPr="00AA384A">
        <w:rPr>
          <w:rFonts w:ascii="Book Antiqua" w:hAnsi="Book Antiqua" w:cs="Arial"/>
          <w:color w:val="auto"/>
          <w:szCs w:val="24"/>
          <w:vertAlign w:val="superscript"/>
          <w:lang w:val="en-US"/>
        </w:rPr>
        <w:t>6-8]</w:t>
      </w:r>
      <w:r w:rsidRPr="00AA384A">
        <w:rPr>
          <w:rFonts w:ascii="Book Antiqua" w:hAnsi="Book Antiqua" w:cs="Arial"/>
          <w:color w:val="auto"/>
          <w:szCs w:val="24"/>
          <w:lang w:val="en-US"/>
        </w:rPr>
        <w:t xml:space="preserve">. Soon after menopause liver disease becomes rapidly progressive and severe hepatic fibrosis </w:t>
      </w:r>
      <w:proofErr w:type="gramStart"/>
      <w:r w:rsidRPr="00AA384A">
        <w:rPr>
          <w:rFonts w:ascii="Book Antiqua" w:hAnsi="Book Antiqua" w:cs="Arial"/>
          <w:color w:val="auto"/>
          <w:szCs w:val="24"/>
          <w:lang w:val="en-US"/>
        </w:rPr>
        <w:t>develops</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6-9]</w:t>
      </w:r>
      <w:r w:rsidRPr="00AA384A">
        <w:rPr>
          <w:rFonts w:ascii="Book Antiqua" w:hAnsi="Book Antiqua" w:cs="Arial"/>
          <w:color w:val="auto"/>
          <w:szCs w:val="24"/>
          <w:lang w:val="en-US"/>
        </w:rPr>
        <w:t>, likely as a consequence of the rapid increase of inflammation as a direct consequence of estrogen deprivation</w:t>
      </w:r>
      <w:r w:rsidR="00C53F9D" w:rsidRPr="00AA384A">
        <w:rPr>
          <w:rFonts w:ascii="Book Antiqua" w:hAnsi="Book Antiqua" w:cs="Arial"/>
          <w:color w:val="auto"/>
          <w:szCs w:val="24"/>
          <w:vertAlign w:val="superscript"/>
          <w:lang w:val="en-US"/>
        </w:rPr>
        <w:t>[8,</w:t>
      </w:r>
      <w:r w:rsidRPr="00AA384A">
        <w:rPr>
          <w:rFonts w:ascii="Book Antiqua" w:hAnsi="Book Antiqua" w:cs="Arial"/>
          <w:color w:val="auto"/>
          <w:szCs w:val="24"/>
          <w:vertAlign w:val="superscript"/>
          <w:lang w:val="en-US"/>
        </w:rPr>
        <w:t>10]</w:t>
      </w:r>
      <w:r w:rsidRPr="00AA384A">
        <w:rPr>
          <w:rFonts w:ascii="Book Antiqua" w:hAnsi="Book Antiqua" w:cs="Arial"/>
          <w:color w:val="auto"/>
          <w:szCs w:val="24"/>
          <w:lang w:val="en-US"/>
        </w:rPr>
        <w:t>. In menopausal HCV-positive women there is a striking up-regulation of hepatic tumor necrosis factor-</w:t>
      </w:r>
      <w:proofErr w:type="spellStart"/>
      <w:r w:rsidRPr="00AA384A">
        <w:rPr>
          <w:rFonts w:ascii="Book Antiqua" w:hAnsi="Book Antiqua" w:cs="Arial"/>
          <w:color w:val="auto"/>
          <w:szCs w:val="24"/>
          <w:lang w:val="en-US"/>
        </w:rPr>
        <w:t>alfa</w:t>
      </w:r>
      <w:proofErr w:type="spellEnd"/>
      <w:r w:rsidRPr="00AA384A">
        <w:rPr>
          <w:rFonts w:ascii="Book Antiqua" w:hAnsi="Book Antiqua" w:cs="Arial"/>
          <w:color w:val="auto"/>
          <w:szCs w:val="24"/>
          <w:lang w:val="en-US"/>
        </w:rPr>
        <w:t xml:space="preserve"> (TNF-</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 suppressor of cytokine signaling-3 (SOCS3), interleukin-6 (IL-6), whose levels correlate with higher </w:t>
      </w:r>
      <w:proofErr w:type="spellStart"/>
      <w:r w:rsidRPr="00AA384A">
        <w:rPr>
          <w:rFonts w:ascii="Book Antiqua" w:hAnsi="Book Antiqua" w:cs="Arial"/>
          <w:color w:val="auto"/>
          <w:szCs w:val="24"/>
          <w:lang w:val="en-US"/>
        </w:rPr>
        <w:t>necro</w:t>
      </w:r>
      <w:proofErr w:type="spellEnd"/>
      <w:r w:rsidRPr="00AA384A">
        <w:rPr>
          <w:rFonts w:ascii="Book Antiqua" w:hAnsi="Book Antiqua" w:cs="Arial"/>
          <w:color w:val="auto"/>
          <w:szCs w:val="24"/>
          <w:lang w:val="en-US"/>
        </w:rPr>
        <w:t xml:space="preserve">-inflammation and with faster progression of liver </w:t>
      </w:r>
      <w:proofErr w:type="gramStart"/>
      <w:r w:rsidRPr="00AA384A">
        <w:rPr>
          <w:rFonts w:ascii="Book Antiqua" w:hAnsi="Book Antiqua" w:cs="Arial"/>
          <w:color w:val="auto"/>
          <w:szCs w:val="24"/>
          <w:lang w:val="en-US"/>
        </w:rPr>
        <w:t>fibrosis</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9]</w:t>
      </w:r>
      <w:r w:rsidRPr="00AA384A">
        <w:rPr>
          <w:rFonts w:ascii="Book Antiqua" w:hAnsi="Book Antiqua" w:cs="Arial"/>
          <w:color w:val="auto"/>
          <w:szCs w:val="24"/>
          <w:lang w:val="en-US"/>
        </w:rPr>
        <w:t xml:space="preserve">. Not surprisingly, hormone replacement therapy (HRT) was shown to exert a positive effect slowing down fibrosis </w:t>
      </w:r>
      <w:proofErr w:type="gramStart"/>
      <w:r w:rsidRPr="00AA384A">
        <w:rPr>
          <w:rFonts w:ascii="Book Antiqua" w:hAnsi="Book Antiqua" w:cs="Arial"/>
          <w:color w:val="auto"/>
          <w:szCs w:val="24"/>
          <w:lang w:val="en-US"/>
        </w:rPr>
        <w:t>progression</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6]</w:t>
      </w:r>
      <w:r w:rsidRPr="00AA384A">
        <w:rPr>
          <w:rFonts w:ascii="Book Antiqua" w:hAnsi="Book Antiqua" w:cs="Arial"/>
          <w:color w:val="auto"/>
          <w:szCs w:val="24"/>
          <w:lang w:val="en-US"/>
        </w:rPr>
        <w:t>. Even more disappointing is the fact that menopausal HCV-positive women become also resistant to conventional antiviral therapy with Peg-Interferon-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+Ribavirin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/RBV): in our study of women with HCV-1 genotype menopause was the only independent factor predicting failure of dual antiviral </w:t>
      </w:r>
      <w:proofErr w:type="gramStart"/>
      <w:r w:rsidRPr="00AA384A">
        <w:rPr>
          <w:rFonts w:ascii="Book Antiqua" w:hAnsi="Book Antiqua" w:cs="Arial"/>
          <w:color w:val="auto"/>
          <w:szCs w:val="24"/>
          <w:lang w:val="en-US"/>
        </w:rPr>
        <w:t>therapy</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9]</w:t>
      </w:r>
      <w:r w:rsidRPr="00AA384A">
        <w:rPr>
          <w:rFonts w:ascii="Book Antiqua" w:hAnsi="Book Antiqua" w:cs="Arial"/>
          <w:color w:val="auto"/>
          <w:szCs w:val="24"/>
          <w:lang w:val="en-US"/>
        </w:rPr>
        <w:t xml:space="preserve">. This finding was confirmed in a prospective cohort study aimed to evaluate viral and host factors influencing antiviral therapy: genotype 1 females over 50 years, had greatly reduced efficacy of interferon-based </w:t>
      </w:r>
      <w:proofErr w:type="gramStart"/>
      <w:r w:rsidRPr="00AA384A">
        <w:rPr>
          <w:rFonts w:ascii="Book Antiqua" w:hAnsi="Book Antiqua" w:cs="Arial"/>
          <w:color w:val="auto"/>
          <w:szCs w:val="24"/>
          <w:lang w:val="en-US"/>
        </w:rPr>
        <w:t>therapy</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11]</w:t>
      </w:r>
      <w:r w:rsidRPr="00AA384A">
        <w:rPr>
          <w:rFonts w:ascii="Book Antiqua" w:hAnsi="Book Antiqua" w:cs="Arial"/>
          <w:color w:val="auto"/>
          <w:szCs w:val="24"/>
          <w:lang w:val="en-US"/>
        </w:rPr>
        <w:t>. Furthermore, the evaluation of our database for Hepatitis C showed that SVR rate after retreatment of menopausal women with HCV-1 genotype was very low, ranging from 5% after retreatment with dual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/RBV in those having other unfavorable predictive factors like IL 28B (rs12979860) other than CC or high </w:t>
      </w:r>
      <w:proofErr w:type="gramStart"/>
      <w:r w:rsidRPr="00AA384A">
        <w:rPr>
          <w:rFonts w:ascii="Book Antiqua" w:hAnsi="Book Antiqua" w:cs="Arial"/>
          <w:color w:val="auto"/>
          <w:szCs w:val="24"/>
          <w:lang w:val="en-US"/>
        </w:rPr>
        <w:t>BMI</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11-13]</w:t>
      </w:r>
      <w:r w:rsidRPr="00AA384A">
        <w:rPr>
          <w:rFonts w:ascii="Book Antiqua" w:hAnsi="Book Antiqua" w:cs="Arial"/>
          <w:color w:val="auto"/>
          <w:szCs w:val="24"/>
          <w:lang w:val="en-US"/>
        </w:rPr>
        <w:t xml:space="preserve"> to 15% in those who had only menopause as risk factor (personal data).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 xml:space="preserve">We decided, therefore, to perform an exploratory study using the results from the previous retreatment studies as historical control to evaluate whether </w:t>
      </w:r>
      <w:r w:rsidRPr="00AA384A">
        <w:rPr>
          <w:rFonts w:ascii="Book Antiqua" w:hAnsi="Book Antiqua" w:cs="Arial"/>
          <w:color w:val="auto"/>
          <w:szCs w:val="24"/>
          <w:lang w:val="en-US"/>
        </w:rPr>
        <w:lastRenderedPageBreak/>
        <w:t xml:space="preserve">the addition of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to standard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2b/RBV was able to increase the SVR rate in a difficult-to-treat cohort of menopausal HCV genotype 1 women with a previous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/RBV failure.</w:t>
      </w:r>
    </w:p>
    <w:p w:rsidR="00D46CF8" w:rsidRPr="00AA384A" w:rsidRDefault="00D46CF8" w:rsidP="00AA384A">
      <w:pPr>
        <w:spacing w:line="360" w:lineRule="auto"/>
        <w:jc w:val="both"/>
        <w:rPr>
          <w:rFonts w:ascii="Book Antiqua" w:hAnsi="Book Antiqua"/>
          <w:b/>
          <w:color w:val="auto"/>
        </w:rPr>
      </w:pPr>
      <w:bookmarkStart w:id="76" w:name="OLE_LINK337"/>
      <w:bookmarkStart w:id="77" w:name="OLE_LINK338"/>
      <w:bookmarkStart w:id="78" w:name="OLE_LINK378"/>
      <w:bookmarkStart w:id="79" w:name="OLE_LINK388"/>
    </w:p>
    <w:p w:rsidR="00D46CF8" w:rsidRPr="00AA384A" w:rsidRDefault="00D46CF8" w:rsidP="00AA384A">
      <w:pPr>
        <w:spacing w:line="360" w:lineRule="auto"/>
        <w:jc w:val="both"/>
        <w:rPr>
          <w:rFonts w:ascii="Book Antiqua" w:hAnsi="Book Antiqua"/>
          <w:b/>
          <w:color w:val="auto"/>
        </w:rPr>
      </w:pPr>
      <w:r w:rsidRPr="00AA384A">
        <w:rPr>
          <w:rFonts w:ascii="Book Antiqua" w:hAnsi="Book Antiqua"/>
          <w:b/>
          <w:color w:val="auto"/>
        </w:rPr>
        <w:t>MATERIALS AND METHODS</w:t>
      </w:r>
    </w:p>
    <w:bookmarkEnd w:id="76"/>
    <w:bookmarkEnd w:id="77"/>
    <w:bookmarkEnd w:id="78"/>
    <w:bookmarkEnd w:id="79"/>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r w:rsidRPr="00AA384A">
        <w:rPr>
          <w:rFonts w:ascii="Book Antiqua" w:hAnsi="Book Antiqua" w:cs="Arial"/>
          <w:color w:val="auto"/>
          <w:szCs w:val="24"/>
          <w:lang w:val="en-US"/>
        </w:rPr>
        <w:t xml:space="preserve">All patients gave written informed consent before starting the study. The study was approved by the Institutional Review Board of the </w:t>
      </w:r>
      <w:proofErr w:type="spellStart"/>
      <w:r w:rsidRPr="00AA384A">
        <w:rPr>
          <w:rFonts w:ascii="Book Antiqua" w:hAnsi="Book Antiqua" w:cs="Arial"/>
          <w:color w:val="auto"/>
          <w:szCs w:val="24"/>
          <w:lang w:val="en-US"/>
        </w:rPr>
        <w:t>Azienda</w:t>
      </w:r>
      <w:proofErr w:type="spellEnd"/>
      <w:r w:rsidRPr="00AA384A">
        <w:rPr>
          <w:rFonts w:ascii="Book Antiqua" w:hAnsi="Book Antiqua" w:cs="Arial"/>
          <w:color w:val="auto"/>
          <w:szCs w:val="24"/>
          <w:lang w:val="en-US"/>
        </w:rPr>
        <w:t xml:space="preserve"> </w:t>
      </w:r>
      <w:proofErr w:type="spellStart"/>
      <w:r w:rsidRPr="00AA384A">
        <w:rPr>
          <w:rFonts w:ascii="Book Antiqua" w:hAnsi="Book Antiqua" w:cs="Arial"/>
          <w:color w:val="auto"/>
          <w:szCs w:val="24"/>
          <w:lang w:val="en-US"/>
        </w:rPr>
        <w:t>Ospedaliero-Universitaria</w:t>
      </w:r>
      <w:proofErr w:type="spellEnd"/>
      <w:r w:rsidRPr="00AA384A">
        <w:rPr>
          <w:rFonts w:ascii="Book Antiqua" w:hAnsi="Book Antiqua" w:cs="Arial"/>
          <w:color w:val="auto"/>
          <w:szCs w:val="24"/>
          <w:lang w:val="en-US"/>
        </w:rPr>
        <w:t xml:space="preserve"> of Modena (</w:t>
      </w:r>
      <w:proofErr w:type="spellStart"/>
      <w:r w:rsidRPr="00AA384A">
        <w:rPr>
          <w:rFonts w:ascii="Book Antiqua" w:hAnsi="Book Antiqua" w:cs="Arial"/>
          <w:color w:val="auto"/>
          <w:szCs w:val="24"/>
          <w:lang w:val="en-US"/>
        </w:rPr>
        <w:t>EudraCT</w:t>
      </w:r>
      <w:proofErr w:type="spellEnd"/>
      <w:r w:rsidRPr="00AA384A">
        <w:rPr>
          <w:rFonts w:ascii="Book Antiqua" w:hAnsi="Book Antiqua" w:cs="Arial"/>
          <w:color w:val="auto"/>
          <w:szCs w:val="24"/>
          <w:lang w:val="en-US"/>
        </w:rPr>
        <w:t xml:space="preserve"> 2011-002459-33) and by the appropriate institutional review boards of the other Institutions and was conducted in accordance with provisions of the Declaration of Helsinki and Good Clinical Practice guidelines (</w:t>
      </w:r>
      <w:proofErr w:type="spellStart"/>
      <w:r w:rsidRPr="00AA384A">
        <w:rPr>
          <w:rFonts w:ascii="Book Antiqua" w:hAnsi="Book Antiqua" w:cs="Arial"/>
          <w:color w:val="auto"/>
          <w:szCs w:val="24"/>
          <w:lang w:val="en-US"/>
        </w:rPr>
        <w:t>ClinicalTrials</w:t>
      </w:r>
      <w:proofErr w:type="spellEnd"/>
      <w:r w:rsidRPr="00AA384A">
        <w:rPr>
          <w:rFonts w:ascii="Book Antiqua" w:hAnsi="Book Antiqua" w:cs="Arial"/>
          <w:color w:val="auto"/>
          <w:szCs w:val="24"/>
          <w:lang w:val="en-US"/>
        </w:rPr>
        <w:t xml:space="preserve"> ID: NCT01457937).</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i/>
          <w:color w:val="auto"/>
          <w:szCs w:val="24"/>
          <w:lang w:val="en-US"/>
        </w:rPr>
      </w:pPr>
      <w:r w:rsidRPr="00AA384A">
        <w:rPr>
          <w:rFonts w:ascii="Book Antiqua" w:hAnsi="Book Antiqua" w:cs="Arial"/>
          <w:b/>
          <w:i/>
          <w:color w:val="auto"/>
          <w:szCs w:val="24"/>
          <w:lang w:val="en-US"/>
        </w:rPr>
        <w:t>Study patients</w:t>
      </w:r>
    </w:p>
    <w:p w:rsidR="00D46CF8" w:rsidRPr="00AA384A" w:rsidRDefault="00D46CF8" w:rsidP="00AA384A">
      <w:pPr>
        <w:pStyle w:val="Normale1"/>
        <w:tabs>
          <w:tab w:val="left" w:pos="8797"/>
        </w:tabs>
        <w:spacing w:line="360" w:lineRule="auto"/>
        <w:ind w:right="335"/>
        <w:jc w:val="both"/>
        <w:rPr>
          <w:rFonts w:ascii="Book Antiqua" w:hAnsi="Book Antiqua" w:cs="Arial"/>
          <w:color w:val="auto"/>
          <w:szCs w:val="24"/>
          <w:lang w:val="en-US"/>
        </w:rPr>
      </w:pPr>
      <w:r w:rsidRPr="00AA384A">
        <w:rPr>
          <w:rFonts w:ascii="Book Antiqua" w:hAnsi="Book Antiqua" w:cs="Arial"/>
          <w:color w:val="auto"/>
          <w:szCs w:val="24"/>
          <w:lang w:val="en-US"/>
        </w:rPr>
        <w:t>From December 2011 to June 2012 we screened 87 consecutive menopausal women with HCV genotype 1 infection and a documentation of a failed prior course of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/RBV for at least 12 </w:t>
      </w:r>
      <w:proofErr w:type="spellStart"/>
      <w:r w:rsidRPr="00AA384A">
        <w:rPr>
          <w:rFonts w:ascii="Book Antiqua" w:hAnsi="Book Antiqua" w:cs="Arial"/>
          <w:color w:val="auto"/>
          <w:szCs w:val="24"/>
          <w:lang w:val="en-US"/>
        </w:rPr>
        <w:t>w</w:t>
      </w:r>
      <w:r w:rsidR="00C53F9D" w:rsidRPr="00AA384A">
        <w:rPr>
          <w:rFonts w:ascii="Book Antiqua" w:hAnsi="Book Antiqua" w:cs="Arial"/>
          <w:color w:val="auto"/>
          <w:szCs w:val="24"/>
          <w:lang w:val="en-US"/>
        </w:rPr>
        <w:t>k</w:t>
      </w:r>
      <w:proofErr w:type="spellEnd"/>
      <w:r w:rsidRPr="00AA384A">
        <w:rPr>
          <w:rFonts w:ascii="Book Antiqua" w:hAnsi="Book Antiqua" w:cs="Arial"/>
          <w:color w:val="auto"/>
          <w:szCs w:val="24"/>
          <w:lang w:val="en-US"/>
        </w:rPr>
        <w:t>, followed up in the out patients clinics of the Liver Units of Modena, Turin, Palermo and Naples.</w:t>
      </w:r>
    </w:p>
    <w:p w:rsidR="00D46CF8" w:rsidRPr="00AA384A" w:rsidRDefault="00D46CF8" w:rsidP="00AA384A">
      <w:pPr>
        <w:pStyle w:val="Normale1"/>
        <w:tabs>
          <w:tab w:val="left" w:pos="8797"/>
        </w:tabs>
        <w:spacing w:line="360" w:lineRule="auto"/>
        <w:ind w:right="335"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 xml:space="preserve">Inclusion criteria included patients with relapse (undetectable HCV RNA level at the end of treatment, without subsequent attainment of a sustained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prior partial-response (defined as decrease of HCV-RNA</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w:t>
      </w:r>
      <w:r w:rsidR="00C53F9D" w:rsidRPr="00AA384A">
        <w:rPr>
          <w:rFonts w:ascii="Book Antiqua" w:eastAsia="宋体" w:hAnsi="Book Antiqua" w:cs="Arial"/>
          <w:color w:val="auto"/>
          <w:szCs w:val="24"/>
          <w:lang w:val="en-US" w:eastAsia="zh-CN"/>
        </w:rPr>
        <w:t xml:space="preserve"> </w:t>
      </w:r>
      <w:r w:rsidR="00ED4FC2" w:rsidRPr="00AA384A">
        <w:rPr>
          <w:rFonts w:ascii="Book Antiqua" w:hAnsi="Book Antiqua" w:cs="Arial"/>
          <w:color w:val="auto"/>
          <w:szCs w:val="24"/>
          <w:lang w:val="en-US"/>
        </w:rPr>
        <w:t>2</w:t>
      </w:r>
      <w:r w:rsidRPr="00AA384A">
        <w:rPr>
          <w:rFonts w:ascii="Book Antiqua" w:hAnsi="Book Antiqua" w:cs="Arial"/>
          <w:color w:val="auto"/>
          <w:szCs w:val="24"/>
          <w:lang w:val="en-US"/>
        </w:rPr>
        <w:t>log10 by week 12 of prior therapy but with detectable HCV-RNA throughout the cours</w:t>
      </w:r>
      <w:r w:rsidR="00C53F9D" w:rsidRPr="00AA384A">
        <w:rPr>
          <w:rFonts w:ascii="Book Antiqua" w:hAnsi="Book Antiqua" w:cs="Arial"/>
          <w:color w:val="auto"/>
          <w:szCs w:val="24"/>
          <w:lang w:val="en-US"/>
        </w:rPr>
        <w:t>e of therapy), or null-response</w:t>
      </w:r>
      <w:r w:rsidRPr="00AA384A">
        <w:rPr>
          <w:rFonts w:ascii="Book Antiqua" w:hAnsi="Book Antiqua" w:cs="Arial"/>
          <w:color w:val="auto"/>
          <w:szCs w:val="24"/>
          <w:lang w:val="en-US"/>
        </w:rPr>
        <w:t xml:space="preserve"> (decrease of HCV-RNA ≤</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2-log</w:t>
      </w:r>
      <w:r w:rsidRPr="00AA384A">
        <w:rPr>
          <w:rFonts w:ascii="Book Antiqua" w:hAnsi="Book Antiqua" w:cs="Arial"/>
          <w:color w:val="auto"/>
          <w:szCs w:val="24"/>
          <w:vertAlign w:val="subscript"/>
          <w:lang w:val="en-US"/>
        </w:rPr>
        <w:t>10</w:t>
      </w:r>
      <w:r w:rsidRPr="00AA384A">
        <w:rPr>
          <w:rFonts w:ascii="Book Antiqua" w:hAnsi="Book Antiqua" w:cs="Arial"/>
          <w:color w:val="auto"/>
          <w:szCs w:val="24"/>
          <w:lang w:val="en-US"/>
        </w:rPr>
        <w:t xml:space="preserve"> by week 12 of prior therapy).</w:t>
      </w:r>
    </w:p>
    <w:p w:rsidR="00D46CF8" w:rsidRPr="00AA384A" w:rsidRDefault="00D46CF8" w:rsidP="00AA384A">
      <w:pPr>
        <w:pStyle w:val="Normale1"/>
        <w:tabs>
          <w:tab w:val="left" w:pos="8797"/>
        </w:tabs>
        <w:spacing w:line="360" w:lineRule="auto"/>
        <w:ind w:right="335" w:firstLineChars="150" w:firstLine="360"/>
        <w:jc w:val="both"/>
        <w:rPr>
          <w:rFonts w:ascii="Book Antiqua" w:hAnsi="Book Antiqua" w:cs="Arial"/>
          <w:color w:val="auto"/>
          <w:szCs w:val="24"/>
          <w:lang w:val="en-US"/>
        </w:rPr>
      </w:pPr>
      <w:r w:rsidRPr="00AA384A">
        <w:rPr>
          <w:rFonts w:ascii="Book Antiqua" w:hAnsi="Book Antiqua" w:cs="Arial"/>
          <w:color w:val="auto"/>
          <w:szCs w:val="24"/>
          <w:lang w:val="en-US"/>
        </w:rPr>
        <w:t>A liver biopsy within the last 2 years with histology consistent with chronic hepatitis C (CHC) and no other etiology was required. In subjects with bridging fibrosis or cirrhosis, an ultrasound within 6 months of the Screening Visit (or between Screening and Day 1) with no findings suspect for hepatocellular carcinoma (HCC) was mandatory.</w:t>
      </w:r>
    </w:p>
    <w:p w:rsidR="00D46CF8" w:rsidRPr="00AA384A" w:rsidRDefault="00D46CF8" w:rsidP="00AA384A">
      <w:pPr>
        <w:pStyle w:val="Normale1"/>
        <w:tabs>
          <w:tab w:val="left" w:pos="8797"/>
        </w:tabs>
        <w:spacing w:line="360" w:lineRule="auto"/>
        <w:ind w:right="335" w:firstLineChars="150" w:firstLine="360"/>
        <w:jc w:val="both"/>
        <w:rPr>
          <w:rFonts w:ascii="Book Antiqua" w:eastAsia="宋体" w:hAnsi="Book Antiqua" w:cs="Arial"/>
          <w:color w:val="auto"/>
          <w:szCs w:val="24"/>
          <w:lang w:val="en-US" w:eastAsia="zh-CN"/>
        </w:rPr>
      </w:pPr>
      <w:r w:rsidRPr="00AA384A">
        <w:rPr>
          <w:rFonts w:ascii="Book Antiqua" w:hAnsi="Book Antiqua" w:cs="Arial"/>
          <w:color w:val="auto"/>
          <w:szCs w:val="24"/>
          <w:lang w:val="en-US"/>
        </w:rPr>
        <w:t>Exclusion criteria included co-infection with the human immunodeficiency virus (HIV) or hepatitis B virus (</w:t>
      </w:r>
      <w:proofErr w:type="spellStart"/>
      <w:r w:rsidRPr="00AA384A">
        <w:rPr>
          <w:rFonts w:ascii="Book Antiqua" w:hAnsi="Book Antiqua" w:cs="Arial"/>
          <w:color w:val="auto"/>
          <w:szCs w:val="24"/>
          <w:lang w:val="en-US"/>
        </w:rPr>
        <w:t>HBsAg</w:t>
      </w:r>
      <w:proofErr w:type="spellEnd"/>
      <w:r w:rsidRPr="00AA384A">
        <w:rPr>
          <w:rFonts w:ascii="Book Antiqua" w:hAnsi="Book Antiqua" w:cs="Arial"/>
          <w:color w:val="auto"/>
          <w:szCs w:val="24"/>
          <w:lang w:val="en-US"/>
        </w:rPr>
        <w:t xml:space="preserve"> positive), </w:t>
      </w:r>
      <w:r w:rsidRPr="00AA384A">
        <w:rPr>
          <w:rFonts w:ascii="Book Antiqua" w:hAnsi="Book Antiqua" w:cs="Arial"/>
          <w:color w:val="auto"/>
          <w:szCs w:val="24"/>
          <w:lang w:val="en-US"/>
        </w:rPr>
        <w:lastRenderedPageBreak/>
        <w:t xml:space="preserve">treatment with any investigational drug within 30 d of the randomization visit in this study, evidence of decompensated liver disease including history or presence of clinical ascites, bleeding </w:t>
      </w:r>
      <w:proofErr w:type="spellStart"/>
      <w:r w:rsidRPr="00AA384A">
        <w:rPr>
          <w:rFonts w:ascii="Book Antiqua" w:hAnsi="Book Antiqua" w:cs="Arial"/>
          <w:color w:val="auto"/>
          <w:szCs w:val="24"/>
          <w:lang w:val="en-US"/>
        </w:rPr>
        <w:t>varices</w:t>
      </w:r>
      <w:proofErr w:type="spellEnd"/>
      <w:r w:rsidRPr="00AA384A">
        <w:rPr>
          <w:rFonts w:ascii="Book Antiqua" w:hAnsi="Book Antiqua" w:cs="Arial"/>
          <w:color w:val="auto"/>
          <w:szCs w:val="24"/>
          <w:lang w:val="en-US"/>
        </w:rPr>
        <w:t>, or hepatic encephalopathy, diabetic and/or hypertensive subjects with clinically significant ocular examination findings (like retinopathy, cotton wool spots, optic nerve disorder, retinal hemorrhage, or any other clinically significant abnormality), pre-existing psychiatric conditions, clinical diagnosis of substance abuse of the specified drugs within the specified timeframes, any known pre-existing medical condition that could interfere with the subject's participation in and completion of the study, evidence of active or suspected malignancy, or a history of malignancy, within the last 5 years (except adequately treated carcinoma in situ and basal cell carcinoma of the skin). Further exclusion criteria included protocol-specified hematologic, biochemical, and serologic criteria: hemoglobin &lt;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12 g/</w:t>
      </w:r>
      <w:proofErr w:type="spellStart"/>
      <w:r w:rsidRPr="00AA384A">
        <w:rPr>
          <w:rFonts w:ascii="Book Antiqua" w:hAnsi="Book Antiqua" w:cs="Arial"/>
          <w:color w:val="auto"/>
          <w:szCs w:val="24"/>
          <w:lang w:val="en-US"/>
        </w:rPr>
        <w:t>dL</w:t>
      </w:r>
      <w:proofErr w:type="spellEnd"/>
      <w:r w:rsidRPr="00AA384A">
        <w:rPr>
          <w:rFonts w:ascii="Book Antiqua" w:hAnsi="Book Antiqua" w:cs="Arial"/>
          <w:color w:val="auto"/>
          <w:szCs w:val="24"/>
          <w:lang w:val="en-US"/>
        </w:rPr>
        <w:t>; neutrophils &lt;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1500/mm</w:t>
      </w:r>
      <w:r w:rsidRPr="00AA384A">
        <w:rPr>
          <w:rFonts w:ascii="Book Antiqua" w:hAnsi="Book Antiqua" w:cs="Arial"/>
          <w:color w:val="auto"/>
          <w:szCs w:val="24"/>
          <w:vertAlign w:val="superscript"/>
          <w:lang w:val="en-US"/>
        </w:rPr>
        <w:t>3</w:t>
      </w:r>
      <w:r w:rsidRPr="00AA384A">
        <w:rPr>
          <w:rFonts w:ascii="Book Antiqua" w:hAnsi="Book Antiqua" w:cs="Arial"/>
          <w:color w:val="auto"/>
          <w:szCs w:val="24"/>
          <w:lang w:val="en-US"/>
        </w:rPr>
        <w:t>; platelets &lt;</w:t>
      </w:r>
      <w:r w:rsidR="00C53F9D" w:rsidRPr="00AA384A">
        <w:rPr>
          <w:rFonts w:ascii="Book Antiqua" w:eastAsia="宋体" w:hAnsi="Book Antiqua" w:cs="Arial"/>
          <w:color w:val="auto"/>
          <w:szCs w:val="24"/>
          <w:lang w:val="en-US" w:eastAsia="zh-CN"/>
        </w:rPr>
        <w:t xml:space="preserve"> </w:t>
      </w:r>
      <w:r w:rsidR="00C53F9D" w:rsidRPr="00AA384A">
        <w:rPr>
          <w:rFonts w:ascii="Book Antiqua" w:hAnsi="Book Antiqua" w:cs="Arial"/>
          <w:color w:val="auto"/>
          <w:szCs w:val="24"/>
          <w:lang w:val="en-US"/>
        </w:rPr>
        <w:t>100</w:t>
      </w:r>
      <w:r w:rsidRPr="00AA384A">
        <w:rPr>
          <w:rFonts w:ascii="Book Antiqua" w:hAnsi="Book Antiqua" w:cs="Arial"/>
          <w:color w:val="auto"/>
          <w:szCs w:val="24"/>
          <w:lang w:val="en-US"/>
        </w:rPr>
        <w:t>000/mm</w:t>
      </w:r>
      <w:r w:rsidRPr="00AA384A">
        <w:rPr>
          <w:rFonts w:ascii="Book Antiqua" w:hAnsi="Book Antiqua" w:cs="Arial"/>
          <w:color w:val="auto"/>
          <w:szCs w:val="24"/>
          <w:vertAlign w:val="superscript"/>
          <w:lang w:val="en-US"/>
        </w:rPr>
        <w:t>3</w:t>
      </w:r>
      <w:r w:rsidRPr="00AA384A">
        <w:rPr>
          <w:rFonts w:ascii="Book Antiqua" w:hAnsi="Book Antiqua" w:cs="Arial"/>
          <w:color w:val="auto"/>
          <w:szCs w:val="24"/>
          <w:lang w:val="en-US"/>
        </w:rPr>
        <w:t xml:space="preserve">, direct bilirubin &gt;1.5 </w:t>
      </w:r>
      <w:r w:rsidR="00C53F9D" w:rsidRPr="00AA384A">
        <w:rPr>
          <w:rFonts w:ascii="Book Antiqua" w:hAnsi="Book Antiqua" w:cs="Arial"/>
          <w:color w:val="auto"/>
          <w:szCs w:val="24"/>
          <w:lang w:val="en-US"/>
        </w:rPr>
        <w:sym w:font="Symbol" w:char="F0B4"/>
      </w:r>
      <w:r w:rsidRPr="00AA384A">
        <w:rPr>
          <w:rFonts w:ascii="Book Antiqua" w:hAnsi="Book Antiqua" w:cs="Arial"/>
          <w:color w:val="auto"/>
          <w:szCs w:val="24"/>
          <w:lang w:val="en-US"/>
        </w:rPr>
        <w:t xml:space="preserve"> upper limit of normal (ULN), serum albumin &lt; lower limit of normal (LLN), thyroid-stimulating hormone (TSH)</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&gt;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1.2</w:t>
      </w:r>
      <w:r w:rsidR="00C53F9D" w:rsidRPr="00AA384A">
        <w:rPr>
          <w:rFonts w:ascii="Book Antiqua" w:eastAsia="宋体" w:hAnsi="Book Antiqua" w:cs="Arial"/>
          <w:color w:val="auto"/>
          <w:szCs w:val="24"/>
          <w:lang w:val="en-US" w:eastAsia="zh-CN"/>
        </w:rPr>
        <w:t xml:space="preserve"> </w:t>
      </w:r>
      <w:r w:rsidR="00C53F9D" w:rsidRPr="00AA384A">
        <w:rPr>
          <w:rFonts w:ascii="Book Antiqua" w:hAnsi="Book Antiqua" w:cs="Arial"/>
          <w:color w:val="auto"/>
          <w:szCs w:val="24"/>
          <w:lang w:val="en-US"/>
        </w:rPr>
        <w:sym w:font="Symbol" w:char="F0B4"/>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ULN or &lt;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0.8</w:t>
      </w:r>
      <w:r w:rsidR="00C53F9D" w:rsidRPr="00AA384A">
        <w:rPr>
          <w:rFonts w:ascii="Book Antiqua" w:eastAsia="宋体" w:hAnsi="Book Antiqua" w:cs="Arial"/>
          <w:color w:val="auto"/>
          <w:szCs w:val="24"/>
          <w:lang w:val="en-US" w:eastAsia="zh-CN"/>
        </w:rPr>
        <w:t xml:space="preserve"> </w:t>
      </w:r>
      <w:r w:rsidR="00C53F9D" w:rsidRPr="00AA384A">
        <w:rPr>
          <w:rFonts w:ascii="Book Antiqua" w:hAnsi="Book Antiqua" w:cs="Arial"/>
          <w:color w:val="auto"/>
          <w:szCs w:val="24"/>
          <w:lang w:val="en-US"/>
        </w:rPr>
        <w:sym w:font="Symbol" w:char="F0B4"/>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LLN of laboratory, serum </w:t>
      </w:r>
      <w:proofErr w:type="spellStart"/>
      <w:r w:rsidRPr="00AA384A">
        <w:rPr>
          <w:rFonts w:ascii="Book Antiqua" w:hAnsi="Book Antiqua" w:cs="Arial"/>
          <w:color w:val="auto"/>
          <w:szCs w:val="24"/>
          <w:lang w:val="en-US"/>
        </w:rPr>
        <w:t>creatinine</w:t>
      </w:r>
      <w:proofErr w:type="spellEnd"/>
      <w:r w:rsidRPr="00AA384A">
        <w:rPr>
          <w:rFonts w:ascii="Book Antiqua" w:hAnsi="Book Antiqua" w:cs="Arial"/>
          <w:color w:val="auto"/>
          <w:szCs w:val="24"/>
          <w:lang w:val="en-US"/>
        </w:rPr>
        <w:t xml:space="preserve"> &gt;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ULN of the laboratory reference, protocol-specified serum glucose concentrations, </w:t>
      </w:r>
      <w:proofErr w:type="spellStart"/>
      <w:r w:rsidRPr="00AA384A">
        <w:rPr>
          <w:rFonts w:ascii="Book Antiqua" w:hAnsi="Book Antiqua" w:cs="Arial"/>
          <w:color w:val="auto"/>
          <w:szCs w:val="24"/>
          <w:lang w:val="en-US"/>
        </w:rPr>
        <w:t>prothrombin</w:t>
      </w:r>
      <w:proofErr w:type="spellEnd"/>
      <w:r w:rsidRPr="00AA384A">
        <w:rPr>
          <w:rFonts w:ascii="Book Antiqua" w:hAnsi="Book Antiqua" w:cs="Arial"/>
          <w:color w:val="auto"/>
          <w:szCs w:val="24"/>
          <w:lang w:val="en-US"/>
        </w:rPr>
        <w:t xml:space="preserve"> time/partial </w:t>
      </w:r>
      <w:proofErr w:type="spellStart"/>
      <w:r w:rsidRPr="00AA384A">
        <w:rPr>
          <w:rFonts w:ascii="Book Antiqua" w:hAnsi="Book Antiqua" w:cs="Arial"/>
          <w:color w:val="auto"/>
          <w:szCs w:val="24"/>
          <w:lang w:val="en-US"/>
        </w:rPr>
        <w:t>thromboplastin</w:t>
      </w:r>
      <w:proofErr w:type="spellEnd"/>
      <w:r w:rsidRPr="00AA384A">
        <w:rPr>
          <w:rFonts w:ascii="Book Antiqua" w:hAnsi="Book Antiqua" w:cs="Arial"/>
          <w:color w:val="auto"/>
          <w:szCs w:val="24"/>
          <w:lang w:val="en-US"/>
        </w:rPr>
        <w:t xml:space="preserve"> time (PT/PTT) values &gt;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10% above laboratory reference range, anti-nuclear antibodies &gt;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1:320.</w:t>
      </w:r>
    </w:p>
    <w:p w:rsidR="00D46CF8" w:rsidRPr="00AA384A" w:rsidRDefault="00D46CF8" w:rsidP="00AA384A">
      <w:pPr>
        <w:pStyle w:val="Normale1"/>
        <w:tabs>
          <w:tab w:val="left" w:pos="8797"/>
        </w:tabs>
        <w:spacing w:line="360" w:lineRule="auto"/>
        <w:ind w:right="335" w:firstLineChars="150" w:firstLine="360"/>
        <w:jc w:val="both"/>
        <w:rPr>
          <w:rFonts w:ascii="Book Antiqua" w:eastAsia="宋体" w:hAnsi="Book Antiqua" w:cs="Arial"/>
          <w:color w:val="auto"/>
          <w:szCs w:val="24"/>
          <w:lang w:val="en-US" w:eastAsia="zh-CN"/>
        </w:rPr>
      </w:pPr>
    </w:p>
    <w:p w:rsidR="00D46CF8" w:rsidRPr="00AA384A" w:rsidRDefault="00D46CF8" w:rsidP="00AA384A">
      <w:pPr>
        <w:pStyle w:val="Normale1"/>
        <w:tabs>
          <w:tab w:val="left" w:pos="8797"/>
        </w:tabs>
        <w:spacing w:line="360" w:lineRule="auto"/>
        <w:ind w:right="335"/>
        <w:jc w:val="both"/>
        <w:rPr>
          <w:rFonts w:ascii="Book Antiqua" w:hAnsi="Book Antiqua" w:cs="Arial"/>
          <w:b/>
          <w:i/>
          <w:color w:val="auto"/>
          <w:szCs w:val="24"/>
          <w:lang w:val="en-US"/>
        </w:rPr>
      </w:pPr>
      <w:r w:rsidRPr="00AA384A">
        <w:rPr>
          <w:rFonts w:ascii="Book Antiqua" w:hAnsi="Book Antiqua" w:cs="Arial"/>
          <w:b/>
          <w:i/>
          <w:color w:val="auto"/>
          <w:szCs w:val="24"/>
          <w:lang w:val="en-US"/>
        </w:rPr>
        <w:t>Study design</w:t>
      </w:r>
    </w:p>
    <w:p w:rsidR="00D46CF8" w:rsidRPr="00AA384A" w:rsidRDefault="00D46CF8" w:rsidP="00AA384A">
      <w:pPr>
        <w:pStyle w:val="Normale1"/>
        <w:tabs>
          <w:tab w:val="left" w:pos="8797"/>
        </w:tabs>
        <w:spacing w:line="360" w:lineRule="auto"/>
        <w:ind w:right="335"/>
        <w:jc w:val="both"/>
        <w:rPr>
          <w:rFonts w:ascii="Book Antiqua" w:hAnsi="Book Antiqua" w:cs="Arial"/>
          <w:color w:val="auto"/>
          <w:szCs w:val="24"/>
          <w:lang w:val="en-US"/>
        </w:rPr>
      </w:pPr>
      <w:r w:rsidRPr="00AA384A">
        <w:rPr>
          <w:rFonts w:ascii="Book Antiqua" w:hAnsi="Book Antiqua" w:cs="Arial"/>
          <w:color w:val="auto"/>
          <w:szCs w:val="24"/>
          <w:lang w:val="en-US"/>
        </w:rPr>
        <w:t xml:space="preserve">In this single-assignment, </w:t>
      </w:r>
      <w:proofErr w:type="spellStart"/>
      <w:r w:rsidRPr="00AA384A">
        <w:rPr>
          <w:rFonts w:ascii="Book Antiqua" w:hAnsi="Book Antiqua" w:cs="Arial"/>
          <w:color w:val="auto"/>
          <w:szCs w:val="24"/>
          <w:lang w:val="en-US"/>
        </w:rPr>
        <w:t>unblinded</w:t>
      </w:r>
      <w:proofErr w:type="spellEnd"/>
      <w:r w:rsidRPr="00AA384A">
        <w:rPr>
          <w:rFonts w:ascii="Book Antiqua" w:hAnsi="Book Antiqua" w:cs="Arial"/>
          <w:color w:val="auto"/>
          <w:szCs w:val="24"/>
          <w:lang w:val="en-US"/>
        </w:rPr>
        <w:t xml:space="preserve"> study we treated menopausal women with previous treatment failure to a prior course of PEG-IFN/RBV. The primary objective of retreatment was to verify whether a sustained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(SVR)</w:t>
      </w:r>
      <w:r w:rsidR="00ED4FC2"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(HCV RNA undetectable at 24 </w:t>
      </w:r>
      <w:proofErr w:type="spellStart"/>
      <w:r w:rsidRPr="00AA384A">
        <w:rPr>
          <w:rFonts w:ascii="Book Antiqua" w:hAnsi="Book Antiqua" w:cs="Arial"/>
          <w:color w:val="auto"/>
          <w:szCs w:val="24"/>
          <w:lang w:val="en-US"/>
        </w:rPr>
        <w:t>w</w:t>
      </w:r>
      <w:r w:rsidR="00ED4FC2" w:rsidRPr="00AA384A">
        <w:rPr>
          <w:rFonts w:ascii="Book Antiqua" w:hAnsi="Book Antiqua" w:cs="Arial"/>
          <w:color w:val="auto"/>
          <w:szCs w:val="24"/>
          <w:lang w:val="en-US"/>
        </w:rPr>
        <w:t>k</w:t>
      </w:r>
      <w:proofErr w:type="spellEnd"/>
      <w:r w:rsidRPr="00AA384A">
        <w:rPr>
          <w:rFonts w:ascii="Book Antiqua" w:hAnsi="Book Antiqua" w:cs="Arial"/>
          <w:color w:val="auto"/>
          <w:szCs w:val="24"/>
          <w:lang w:val="en-US"/>
        </w:rPr>
        <w:t xml:space="preserve"> of follow-up) rate of at least 20% could be achieved with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in menopausal women with chronic HCV genotype 1 with a previous failure of PEG IFN/Ribavirin. Secondary objective of this study was the evaluation of the </w:t>
      </w:r>
      <w:r w:rsidRPr="00AA384A">
        <w:rPr>
          <w:rFonts w:ascii="Book Antiqua" w:hAnsi="Book Antiqua" w:cs="Arial"/>
          <w:color w:val="auto"/>
          <w:szCs w:val="24"/>
          <w:lang w:val="en-US"/>
        </w:rPr>
        <w:lastRenderedPageBreak/>
        <w:t xml:space="preserve">percent of patients with negative HCV RNA at week 4 (rapid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RVR), 8 (rapid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after BOC addition, RVR BOC), 12 (early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EVR), or at the end-of-treatment (ETR) that reached SVR. </w:t>
      </w:r>
    </w:p>
    <w:p w:rsidR="00D46CF8" w:rsidRPr="00AA384A" w:rsidRDefault="00D46CF8" w:rsidP="00AA384A">
      <w:pPr>
        <w:pStyle w:val="Normale1"/>
        <w:tabs>
          <w:tab w:val="left" w:pos="8797"/>
        </w:tabs>
        <w:spacing w:line="360" w:lineRule="auto"/>
        <w:ind w:right="335"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 xml:space="preserve">All patients received 4-weeks lead-in with </w:t>
      </w:r>
      <w:r w:rsidRPr="00AA384A">
        <w:rPr>
          <w:rFonts w:ascii="Book Antiqua" w:hAnsi="Book Antiqua" w:cs="Arial"/>
          <w:bCs/>
          <w:color w:val="auto"/>
          <w:szCs w:val="24"/>
          <w:lang w:val="en-GB"/>
        </w:rPr>
        <w:t>with PEG-IFN</w:t>
      </w:r>
      <w:r w:rsidRPr="00AA384A">
        <w:rPr>
          <w:rFonts w:ascii="Book Antiqua" w:hAnsi="Book Antiqua" w:cs="Arial"/>
          <w:color w:val="auto"/>
          <w:szCs w:val="24"/>
          <w:lang w:val="en-US"/>
        </w:rPr>
        <w:sym w:font="Symbol" w:char="F061"/>
      </w:r>
      <w:r w:rsidR="00C53F9D" w:rsidRPr="00AA384A">
        <w:rPr>
          <w:rFonts w:ascii="Book Antiqua" w:hAnsi="Book Antiqua" w:cs="Arial"/>
          <w:bCs/>
          <w:color w:val="auto"/>
          <w:szCs w:val="24"/>
          <w:lang w:val="en-GB"/>
        </w:rPr>
        <w:t xml:space="preserve">-2b </w:t>
      </w:r>
      <w:proofErr w:type="gramStart"/>
      <w:r w:rsidR="00C53F9D" w:rsidRPr="00AA384A">
        <w:rPr>
          <w:rFonts w:ascii="Book Antiqua" w:hAnsi="Book Antiqua" w:cs="Arial"/>
          <w:bCs/>
          <w:color w:val="auto"/>
          <w:szCs w:val="24"/>
          <w:lang w:val="en-GB"/>
        </w:rPr>
        <w:t>at</w:t>
      </w:r>
      <w:r w:rsidR="00C53F9D" w:rsidRPr="00AA384A">
        <w:rPr>
          <w:rFonts w:ascii="Book Antiqua" w:eastAsia="宋体" w:hAnsi="Book Antiqua" w:cs="Arial"/>
          <w:bCs/>
          <w:color w:val="auto"/>
          <w:szCs w:val="24"/>
          <w:lang w:val="en-GB" w:eastAsia="zh-CN"/>
        </w:rPr>
        <w:t xml:space="preserve"> </w:t>
      </w:r>
      <w:r w:rsidRPr="00AA384A">
        <w:rPr>
          <w:rFonts w:ascii="Book Antiqua" w:hAnsi="Book Antiqua" w:cs="Arial"/>
          <w:bCs/>
          <w:color w:val="auto"/>
          <w:szCs w:val="24"/>
          <w:lang w:val="en-GB"/>
        </w:rPr>
        <w:t xml:space="preserve">1.5 </w:t>
      </w:r>
      <w:proofErr w:type="spellStart"/>
      <w:r w:rsidRPr="00AA384A">
        <w:rPr>
          <w:rFonts w:ascii="Book Antiqua" w:hAnsi="Book Antiqua" w:cs="Arial"/>
          <w:bCs/>
          <w:color w:val="auto"/>
          <w:szCs w:val="24"/>
          <w:lang w:val="en-GB"/>
        </w:rPr>
        <w:t>ug</w:t>
      </w:r>
      <w:proofErr w:type="spellEnd"/>
      <w:r w:rsidRPr="00AA384A">
        <w:rPr>
          <w:rFonts w:ascii="Book Antiqua" w:hAnsi="Book Antiqua" w:cs="Arial"/>
          <w:bCs/>
          <w:color w:val="auto"/>
          <w:szCs w:val="24"/>
          <w:lang w:val="en-GB"/>
        </w:rPr>
        <w:t>/kg</w:t>
      </w:r>
      <w:proofErr w:type="gramEnd"/>
      <w:r w:rsidRPr="00AA384A">
        <w:rPr>
          <w:rFonts w:ascii="Book Antiqua" w:hAnsi="Book Antiqua" w:cs="Arial"/>
          <w:bCs/>
          <w:color w:val="auto"/>
          <w:szCs w:val="24"/>
          <w:lang w:val="en-GB"/>
        </w:rPr>
        <w:t xml:space="preserve"> subcutaneously weekly, in combination with weight-based oral RBV at a total dose of 800 to 1400 mg per day</w:t>
      </w:r>
      <w:r w:rsidRPr="00AA384A">
        <w:rPr>
          <w:rFonts w:ascii="Book Antiqua" w:hAnsi="Book Antiqua" w:cs="Arial"/>
          <w:color w:val="auto"/>
          <w:szCs w:val="24"/>
          <w:lang w:val="en-US"/>
        </w:rPr>
        <w:t xml:space="preserve"> according to body weight. In relapse and partial responder patients after</w:t>
      </w:r>
      <w:r w:rsidRPr="00AA384A">
        <w:rPr>
          <w:rFonts w:ascii="Book Antiqua" w:hAnsi="Book Antiqua" w:cs="Arial"/>
          <w:bCs/>
          <w:color w:val="auto"/>
          <w:szCs w:val="24"/>
          <w:lang w:val="en-GB"/>
        </w:rPr>
        <w:t xml:space="preserve"> 4 weeks of lead-in, all patients received 32 </w:t>
      </w:r>
      <w:proofErr w:type="spellStart"/>
      <w:r w:rsidRPr="00AA384A">
        <w:rPr>
          <w:rFonts w:ascii="Book Antiqua" w:hAnsi="Book Antiqua" w:cs="Arial"/>
          <w:bCs/>
          <w:color w:val="auto"/>
          <w:szCs w:val="24"/>
          <w:lang w:val="en-GB"/>
        </w:rPr>
        <w:t>w</w:t>
      </w:r>
      <w:r w:rsidR="00C53F9D" w:rsidRPr="00AA384A">
        <w:rPr>
          <w:rFonts w:ascii="Book Antiqua" w:hAnsi="Book Antiqua" w:cs="Arial"/>
          <w:bCs/>
          <w:color w:val="auto"/>
          <w:szCs w:val="24"/>
          <w:lang w:val="en-GB"/>
        </w:rPr>
        <w:t>k</w:t>
      </w:r>
      <w:proofErr w:type="spellEnd"/>
      <w:r w:rsidRPr="00AA384A">
        <w:rPr>
          <w:rFonts w:ascii="Book Antiqua" w:hAnsi="Book Antiqua" w:cs="Arial"/>
          <w:bCs/>
          <w:color w:val="auto"/>
          <w:szCs w:val="24"/>
          <w:lang w:val="en-GB"/>
        </w:rPr>
        <w:t xml:space="preserve"> of BOC 800 mg administered orally three times a day, in combination with PEG-IFN and RBV. These patients then received an additional 12 </w:t>
      </w:r>
      <w:proofErr w:type="spellStart"/>
      <w:r w:rsidRPr="00AA384A">
        <w:rPr>
          <w:rFonts w:ascii="Book Antiqua" w:hAnsi="Book Antiqua" w:cs="Arial"/>
          <w:bCs/>
          <w:color w:val="auto"/>
          <w:szCs w:val="24"/>
          <w:lang w:val="en-GB"/>
        </w:rPr>
        <w:t>w</w:t>
      </w:r>
      <w:r w:rsidR="00C53F9D" w:rsidRPr="00AA384A">
        <w:rPr>
          <w:rFonts w:ascii="Book Antiqua" w:hAnsi="Book Antiqua" w:cs="Arial"/>
          <w:bCs/>
          <w:color w:val="auto"/>
          <w:szCs w:val="24"/>
          <w:lang w:val="en-GB"/>
        </w:rPr>
        <w:t>k</w:t>
      </w:r>
      <w:proofErr w:type="spellEnd"/>
      <w:r w:rsidRPr="00AA384A">
        <w:rPr>
          <w:rFonts w:ascii="Book Antiqua" w:hAnsi="Book Antiqua" w:cs="Arial"/>
          <w:bCs/>
          <w:color w:val="auto"/>
          <w:szCs w:val="24"/>
          <w:lang w:val="en-GB"/>
        </w:rPr>
        <w:t xml:space="preserve"> of PR</w:t>
      </w:r>
      <w:r w:rsidRPr="00AA384A">
        <w:rPr>
          <w:rFonts w:ascii="Book Antiqua" w:hAnsi="Book Antiqua" w:cs="Arial"/>
          <w:color w:val="auto"/>
          <w:szCs w:val="24"/>
          <w:lang w:val="en-US"/>
        </w:rPr>
        <w:t xml:space="preserve"> only if HCV-RNA was positive by week 8 yet. In previous null-responders, after the lead-in phase, triple therapy with PEG-IFN/Ribavirin and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was continued until week 48. All drugs were self-administered by the patients.</w:t>
      </w:r>
    </w:p>
    <w:p w:rsidR="00D46CF8" w:rsidRPr="00AA384A" w:rsidRDefault="00D46CF8" w:rsidP="00AA384A">
      <w:pPr>
        <w:pStyle w:val="Normale1"/>
        <w:tabs>
          <w:tab w:val="left" w:pos="8797"/>
        </w:tabs>
        <w:spacing w:line="360" w:lineRule="auto"/>
        <w:ind w:right="335" w:firstLineChars="200" w:firstLine="480"/>
        <w:jc w:val="both"/>
        <w:rPr>
          <w:rFonts w:ascii="Book Antiqua" w:eastAsia="宋体" w:hAnsi="Book Antiqua" w:cs="Arial"/>
          <w:color w:val="auto"/>
          <w:szCs w:val="24"/>
          <w:lang w:val="en-US" w:eastAsia="zh-CN"/>
        </w:rPr>
      </w:pPr>
      <w:r w:rsidRPr="00AA384A">
        <w:rPr>
          <w:rFonts w:ascii="Book Antiqua" w:hAnsi="Book Antiqua" w:cs="Arial"/>
          <w:color w:val="auto"/>
          <w:szCs w:val="24"/>
          <w:lang w:val="en-US"/>
        </w:rPr>
        <w:t xml:space="preserve">In all patients, if HCV RNA was detectable at week 12, treatment was stopped. </w:t>
      </w:r>
    </w:p>
    <w:p w:rsidR="00C53F9D" w:rsidRPr="00AA384A" w:rsidRDefault="00C53F9D" w:rsidP="00AA384A">
      <w:pPr>
        <w:pStyle w:val="Normale1"/>
        <w:tabs>
          <w:tab w:val="left" w:pos="8797"/>
        </w:tabs>
        <w:spacing w:line="360" w:lineRule="auto"/>
        <w:ind w:right="335" w:firstLineChars="200" w:firstLine="480"/>
        <w:jc w:val="both"/>
        <w:rPr>
          <w:rFonts w:ascii="Book Antiqua" w:eastAsia="宋体" w:hAnsi="Book Antiqua" w:cs="Arial"/>
          <w:color w:val="auto"/>
          <w:szCs w:val="24"/>
          <w:lang w:val="en-US" w:eastAsia="zh-CN"/>
        </w:rPr>
      </w:pPr>
    </w:p>
    <w:p w:rsidR="00D46CF8" w:rsidRPr="00AA384A" w:rsidRDefault="00D46CF8" w:rsidP="00AA384A">
      <w:pPr>
        <w:pStyle w:val="Normale1"/>
        <w:tabs>
          <w:tab w:val="left" w:pos="8797"/>
        </w:tabs>
        <w:spacing w:line="360" w:lineRule="auto"/>
        <w:ind w:right="335"/>
        <w:jc w:val="both"/>
        <w:rPr>
          <w:rFonts w:ascii="Book Antiqua" w:hAnsi="Book Antiqua" w:cs="Arial"/>
          <w:b/>
          <w:i/>
          <w:color w:val="auto"/>
          <w:szCs w:val="24"/>
          <w:lang w:val="en-US"/>
        </w:rPr>
      </w:pPr>
      <w:r w:rsidRPr="00AA384A">
        <w:rPr>
          <w:rFonts w:ascii="Book Antiqua" w:hAnsi="Book Antiqua" w:cs="Arial"/>
          <w:b/>
          <w:i/>
          <w:color w:val="auto"/>
          <w:szCs w:val="24"/>
          <w:lang w:val="en-US"/>
        </w:rPr>
        <w:t>IL28 genotyping</w:t>
      </w:r>
    </w:p>
    <w:p w:rsidR="00D46CF8" w:rsidRPr="00AA384A" w:rsidRDefault="00D46CF8" w:rsidP="00AA384A">
      <w:pPr>
        <w:widowControl w:val="0"/>
        <w:autoSpaceDE w:val="0"/>
        <w:autoSpaceDN w:val="0"/>
        <w:adjustRightInd w:val="0"/>
        <w:spacing w:line="360" w:lineRule="auto"/>
        <w:jc w:val="both"/>
        <w:rPr>
          <w:rFonts w:ascii="Book Antiqua" w:eastAsia="宋体" w:hAnsi="Book Antiqua" w:cs="Arial"/>
          <w:color w:val="auto"/>
          <w:lang w:eastAsia="zh-CN"/>
        </w:rPr>
      </w:pPr>
      <w:r w:rsidRPr="00AA384A">
        <w:rPr>
          <w:rFonts w:ascii="Book Antiqua" w:hAnsi="Book Antiqua" w:cs="Arial"/>
          <w:color w:val="auto"/>
          <w:lang w:eastAsia="it-IT"/>
        </w:rPr>
        <w:t xml:space="preserve">IL28B </w:t>
      </w:r>
      <w:r w:rsidRPr="00AA384A">
        <w:rPr>
          <w:rFonts w:ascii="Book Antiqua" w:hAnsi="Book Antiqua" w:cs="Arial"/>
          <w:color w:val="auto"/>
        </w:rPr>
        <w:t xml:space="preserve">rs12979860 </w:t>
      </w:r>
      <w:r w:rsidRPr="00AA384A">
        <w:rPr>
          <w:rFonts w:ascii="Book Antiqua" w:hAnsi="Book Antiqua" w:cs="Arial"/>
          <w:color w:val="auto"/>
          <w:lang w:eastAsia="it-IT"/>
        </w:rPr>
        <w:t xml:space="preserve">genotype was tested as already </w:t>
      </w:r>
      <w:proofErr w:type="gramStart"/>
      <w:r w:rsidRPr="00AA384A">
        <w:rPr>
          <w:rFonts w:ascii="Book Antiqua" w:hAnsi="Book Antiqua" w:cs="Arial"/>
          <w:color w:val="auto"/>
          <w:lang w:eastAsia="it-IT"/>
        </w:rPr>
        <w:t>described</w:t>
      </w:r>
      <w:r w:rsidR="00C53F9D" w:rsidRPr="00AA384A">
        <w:rPr>
          <w:rFonts w:ascii="Book Antiqua" w:hAnsi="Book Antiqua" w:cs="Arial"/>
          <w:color w:val="auto"/>
          <w:vertAlign w:val="superscript"/>
          <w:lang w:eastAsia="it-IT"/>
        </w:rPr>
        <w:t>[</w:t>
      </w:r>
      <w:proofErr w:type="gramEnd"/>
      <w:r w:rsidRPr="00AA384A">
        <w:rPr>
          <w:rFonts w:ascii="Book Antiqua" w:hAnsi="Book Antiqua" w:cs="Arial"/>
          <w:color w:val="auto"/>
          <w:vertAlign w:val="superscript"/>
        </w:rPr>
        <w:t>13]</w:t>
      </w:r>
      <w:r w:rsidRPr="00AA384A">
        <w:rPr>
          <w:rFonts w:ascii="Book Antiqua" w:hAnsi="Book Antiqua" w:cs="Arial"/>
          <w:color w:val="auto"/>
          <w:lang w:eastAsia="it-IT"/>
        </w:rPr>
        <w:t xml:space="preserve">. </w:t>
      </w:r>
    </w:p>
    <w:p w:rsidR="00C53F9D" w:rsidRPr="00AA384A" w:rsidRDefault="00C53F9D" w:rsidP="00AA384A">
      <w:pPr>
        <w:widowControl w:val="0"/>
        <w:autoSpaceDE w:val="0"/>
        <w:autoSpaceDN w:val="0"/>
        <w:adjustRightInd w:val="0"/>
        <w:spacing w:line="360" w:lineRule="auto"/>
        <w:jc w:val="both"/>
        <w:rPr>
          <w:rFonts w:ascii="Book Antiqua" w:eastAsia="宋体" w:hAnsi="Book Antiqua" w:cs="Arial"/>
          <w:color w:val="auto"/>
          <w:lang w:eastAsia="zh-CN"/>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i/>
          <w:color w:val="auto"/>
          <w:szCs w:val="24"/>
          <w:lang w:val="en-US" w:eastAsia="zh-CN"/>
        </w:rPr>
      </w:pPr>
      <w:r w:rsidRPr="00AA384A">
        <w:rPr>
          <w:rFonts w:ascii="Book Antiqua" w:hAnsi="Book Antiqua" w:cs="Arial"/>
          <w:b/>
          <w:i/>
          <w:color w:val="auto"/>
          <w:szCs w:val="24"/>
          <w:lang w:val="en-US"/>
        </w:rPr>
        <w:t>Safety assessment</w:t>
      </w:r>
    </w:p>
    <w:p w:rsidR="00D46CF8" w:rsidRPr="00AA384A" w:rsidRDefault="00D46CF8" w:rsidP="00AA384A">
      <w:pPr>
        <w:pStyle w:val="ProtocolText-AllLevelsCharCharCharChar"/>
        <w:tabs>
          <w:tab w:val="left" w:pos="8799"/>
        </w:tabs>
        <w:ind w:right="333" w:firstLine="0"/>
        <w:rPr>
          <w:rFonts w:ascii="Book Antiqua" w:hAnsi="Book Antiqua" w:cs="Arial"/>
          <w:color w:val="auto"/>
          <w:sz w:val="24"/>
          <w:szCs w:val="24"/>
          <w:shd w:val="clear" w:color="auto" w:fill="FFFF00"/>
        </w:rPr>
      </w:pPr>
      <w:r w:rsidRPr="00AA384A">
        <w:rPr>
          <w:rFonts w:ascii="Book Antiqua" w:hAnsi="Book Antiqua" w:cs="Arial"/>
          <w:color w:val="auto"/>
          <w:sz w:val="24"/>
          <w:szCs w:val="24"/>
        </w:rPr>
        <w:t>Adverse events (AEs) were graded according to WHO grading system. The safety analyses included all subjects who receive at least one dose of study medication. Non severe hematological adverse events were managed by pharmacological dose reduction. In case of neutrophil count &lt;</w:t>
      </w:r>
      <w:r w:rsidR="00C53F9D" w:rsidRPr="00AA384A">
        <w:rPr>
          <w:rFonts w:ascii="Book Antiqua" w:eastAsia="宋体" w:hAnsi="Book Antiqua" w:cs="Arial"/>
          <w:color w:val="auto"/>
          <w:sz w:val="24"/>
          <w:szCs w:val="24"/>
          <w:lang w:eastAsia="zh-CN"/>
        </w:rPr>
        <w:t xml:space="preserve"> </w:t>
      </w:r>
      <w:r w:rsidRPr="00AA384A">
        <w:rPr>
          <w:rFonts w:ascii="Book Antiqua" w:hAnsi="Book Antiqua" w:cs="Arial"/>
          <w:color w:val="auto"/>
          <w:sz w:val="24"/>
          <w:szCs w:val="24"/>
        </w:rPr>
        <w:t xml:space="preserve">0.75 </w:t>
      </w:r>
      <w:r w:rsidR="00C53F9D" w:rsidRPr="00AA384A">
        <w:rPr>
          <w:rFonts w:ascii="Book Antiqua" w:hAnsi="Book Antiqua" w:cs="Arial"/>
          <w:color w:val="auto"/>
          <w:sz w:val="24"/>
          <w:szCs w:val="24"/>
        </w:rPr>
        <w:sym w:font="Symbol" w:char="F0B4"/>
      </w:r>
      <w:r w:rsidRPr="00AA384A">
        <w:rPr>
          <w:rFonts w:ascii="Book Antiqua" w:hAnsi="Book Antiqua" w:cs="Arial"/>
          <w:color w:val="auto"/>
          <w:sz w:val="24"/>
          <w:szCs w:val="24"/>
        </w:rPr>
        <w:t xml:space="preserve"> 10</w:t>
      </w:r>
      <w:r w:rsidRPr="00AA384A">
        <w:rPr>
          <w:rFonts w:ascii="Book Antiqua" w:hAnsi="Book Antiqua" w:cs="Arial"/>
          <w:color w:val="auto"/>
          <w:sz w:val="24"/>
          <w:szCs w:val="24"/>
          <w:vertAlign w:val="superscript"/>
        </w:rPr>
        <w:t>9</w:t>
      </w:r>
      <w:r w:rsidRPr="00AA384A">
        <w:rPr>
          <w:rFonts w:ascii="Book Antiqua" w:hAnsi="Book Antiqua" w:cs="Arial"/>
          <w:color w:val="auto"/>
          <w:sz w:val="24"/>
          <w:szCs w:val="24"/>
        </w:rPr>
        <w:t>/L, granulocyte colony stimulating factor (GCS-F) was also used. In case of hemoglobin decrease &lt;</w:t>
      </w:r>
      <w:r w:rsidR="00C53F9D" w:rsidRPr="00AA384A">
        <w:rPr>
          <w:rFonts w:ascii="Book Antiqua" w:eastAsia="宋体" w:hAnsi="Book Antiqua" w:cs="Arial"/>
          <w:color w:val="auto"/>
          <w:sz w:val="24"/>
          <w:szCs w:val="24"/>
          <w:lang w:eastAsia="zh-CN"/>
        </w:rPr>
        <w:t xml:space="preserve"> </w:t>
      </w:r>
      <w:r w:rsidRPr="00AA384A">
        <w:rPr>
          <w:rFonts w:ascii="Book Antiqua" w:hAnsi="Book Antiqua" w:cs="Arial"/>
          <w:color w:val="auto"/>
          <w:sz w:val="24"/>
          <w:szCs w:val="24"/>
        </w:rPr>
        <w:t>10 g/</w:t>
      </w:r>
      <w:proofErr w:type="spellStart"/>
      <w:r w:rsidRPr="00AA384A">
        <w:rPr>
          <w:rFonts w:ascii="Book Antiqua" w:hAnsi="Book Antiqua" w:cs="Arial"/>
          <w:color w:val="auto"/>
          <w:sz w:val="24"/>
          <w:szCs w:val="24"/>
        </w:rPr>
        <w:t>dL</w:t>
      </w:r>
      <w:proofErr w:type="spellEnd"/>
      <w:r w:rsidRPr="00AA384A">
        <w:rPr>
          <w:rFonts w:ascii="Book Antiqua" w:hAnsi="Book Antiqua" w:cs="Arial"/>
          <w:color w:val="auto"/>
          <w:sz w:val="24"/>
          <w:szCs w:val="24"/>
        </w:rPr>
        <w:t xml:space="preserve">, Ribavirin dose was reduced and/or erythropoietin administered.  </w:t>
      </w:r>
    </w:p>
    <w:p w:rsidR="00D46CF8" w:rsidRPr="00AA384A" w:rsidRDefault="00D46CF8" w:rsidP="00AA384A">
      <w:pPr>
        <w:pStyle w:val="NormaleWeb1"/>
        <w:tabs>
          <w:tab w:val="left" w:pos="8797"/>
        </w:tabs>
        <w:spacing w:before="2" w:after="2" w:line="360" w:lineRule="auto"/>
        <w:ind w:right="335" w:firstLineChars="200" w:firstLine="480"/>
        <w:jc w:val="both"/>
        <w:rPr>
          <w:rFonts w:ascii="Book Antiqua" w:hAnsi="Book Antiqua" w:cs="Arial"/>
          <w:color w:val="auto"/>
          <w:sz w:val="24"/>
          <w:szCs w:val="24"/>
        </w:rPr>
      </w:pPr>
      <w:r w:rsidRPr="00AA384A">
        <w:rPr>
          <w:rFonts w:ascii="Book Antiqua" w:hAnsi="Book Antiqua" w:cs="Arial"/>
          <w:color w:val="auto"/>
          <w:sz w:val="24"/>
          <w:szCs w:val="24"/>
        </w:rPr>
        <w:t xml:space="preserve">Subjects having AEs were monitored with appropriate clinical assessments and laboratory tests, as determined by the investigator.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i/>
          <w:color w:val="auto"/>
          <w:szCs w:val="24"/>
          <w:lang w:val="en-US"/>
        </w:rPr>
      </w:pPr>
      <w:r w:rsidRPr="00AA384A">
        <w:rPr>
          <w:rFonts w:ascii="Book Antiqua" w:hAnsi="Book Antiqua" w:cs="Arial"/>
          <w:b/>
          <w:i/>
          <w:color w:val="auto"/>
          <w:szCs w:val="24"/>
          <w:lang w:val="en-US"/>
        </w:rPr>
        <w:lastRenderedPageBreak/>
        <w:t xml:space="preserve">Statistical </w:t>
      </w:r>
      <w:r w:rsidRPr="00AA384A">
        <w:rPr>
          <w:rFonts w:ascii="Book Antiqua" w:eastAsia="宋体" w:hAnsi="Book Antiqua" w:cs="Arial"/>
          <w:b/>
          <w:i/>
          <w:color w:val="auto"/>
          <w:szCs w:val="24"/>
          <w:lang w:val="en-US" w:eastAsia="zh-CN"/>
        </w:rPr>
        <w:t>a</w:t>
      </w:r>
      <w:r w:rsidRPr="00AA384A">
        <w:rPr>
          <w:rFonts w:ascii="Book Antiqua" w:hAnsi="Book Antiqua" w:cs="Arial"/>
          <w:b/>
          <w:i/>
          <w:color w:val="auto"/>
          <w:szCs w:val="24"/>
          <w:lang w:val="en-US"/>
        </w:rPr>
        <w:t>nalysis</w:t>
      </w:r>
    </w:p>
    <w:p w:rsidR="00D46CF8" w:rsidRPr="00AA384A" w:rsidRDefault="00D46CF8" w:rsidP="00AA384A">
      <w:pPr>
        <w:pStyle w:val="Normale1"/>
        <w:tabs>
          <w:tab w:val="left" w:pos="8799"/>
        </w:tabs>
        <w:spacing w:line="360" w:lineRule="auto"/>
        <w:ind w:right="333"/>
        <w:jc w:val="both"/>
        <w:rPr>
          <w:rFonts w:ascii="Book Antiqua" w:hAnsi="Book Antiqua" w:cs="Arial"/>
          <w:color w:val="auto"/>
          <w:szCs w:val="24"/>
          <w:lang w:val="en-US"/>
        </w:rPr>
      </w:pPr>
      <w:r w:rsidRPr="00AA384A">
        <w:rPr>
          <w:rFonts w:ascii="Book Antiqua" w:hAnsi="Book Antiqua" w:cs="Arial"/>
          <w:color w:val="auto"/>
          <w:szCs w:val="24"/>
          <w:lang w:val="en-US"/>
        </w:rPr>
        <w:t xml:space="preserve">Analysis regarding the primary end-point included all patients who had received at least one dose of any study medication (intention-to-treat analysis). Our primary endpoint was attainment of sustained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defined as undetectable circulating HCV RNA at week 24 of follow-up. Secondary end point was the identification of independent baseline and on-treatment SVR predictors. </w:t>
      </w:r>
    </w:p>
    <w:p w:rsidR="00D46CF8" w:rsidRPr="00AA384A" w:rsidRDefault="00D46CF8" w:rsidP="00AA384A">
      <w:pPr>
        <w:pStyle w:val="Normale1"/>
        <w:tabs>
          <w:tab w:val="left" w:pos="8799"/>
        </w:tabs>
        <w:spacing w:line="360" w:lineRule="auto"/>
        <w:ind w:right="333" w:firstLineChars="150" w:firstLine="360"/>
        <w:jc w:val="both"/>
        <w:rPr>
          <w:rFonts w:ascii="Book Antiqua" w:hAnsi="Book Antiqua" w:cs="Arial"/>
          <w:color w:val="auto"/>
          <w:szCs w:val="24"/>
          <w:lang w:val="en-US"/>
        </w:rPr>
      </w:pPr>
      <w:r w:rsidRPr="00AA384A">
        <w:rPr>
          <w:rFonts w:ascii="Book Antiqua" w:hAnsi="Book Antiqua" w:cs="Arial"/>
          <w:color w:val="auto"/>
          <w:szCs w:val="24"/>
          <w:lang w:val="en-US"/>
        </w:rPr>
        <w:t>To calculate sample size, we estimated to obtain at</w:t>
      </w:r>
      <w:r w:rsidR="00C53F9D" w:rsidRPr="00AA384A">
        <w:rPr>
          <w:rFonts w:ascii="Book Antiqua" w:hAnsi="Book Antiqua" w:cs="Arial"/>
          <w:color w:val="auto"/>
          <w:szCs w:val="24"/>
          <w:lang w:val="en-US"/>
        </w:rPr>
        <w:t xml:space="preserve"> least a 20% increase in SVR </w:t>
      </w:r>
      <w:proofErr w:type="spellStart"/>
      <w:r w:rsidR="00C53F9D" w:rsidRPr="00AA384A">
        <w:rPr>
          <w:rFonts w:ascii="Book Antiqua" w:hAnsi="Book Antiqua" w:cs="Arial"/>
          <w:i/>
          <w:color w:val="auto"/>
          <w:szCs w:val="24"/>
          <w:lang w:val="en-US"/>
        </w:rPr>
        <w:t>vs</w:t>
      </w:r>
      <w:proofErr w:type="spellEnd"/>
      <w:r w:rsidRPr="00AA384A">
        <w:rPr>
          <w:rFonts w:ascii="Book Antiqua" w:hAnsi="Book Antiqua" w:cs="Arial"/>
          <w:color w:val="auto"/>
          <w:szCs w:val="24"/>
          <w:lang w:val="en-US"/>
        </w:rPr>
        <w:t xml:space="preserve"> historical controls with the same characteristic. Thus, with 80% power and a type 1 error set to 0.05, 49 subjects were required. A 15% excess of inclusions was allowed in order to compensate for withdrawals.</w:t>
      </w:r>
    </w:p>
    <w:p w:rsidR="0045304B" w:rsidRPr="00AA384A" w:rsidRDefault="0045304B"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150" w:firstLine="360"/>
        <w:jc w:val="both"/>
        <w:rPr>
          <w:rFonts w:ascii="Book Antiqua" w:hAnsi="Book Antiqua" w:cs="Arial"/>
          <w:color w:val="auto"/>
          <w:szCs w:val="24"/>
          <w:lang w:val="en-US"/>
        </w:rPr>
      </w:pPr>
      <w:r w:rsidRPr="00AA384A">
        <w:rPr>
          <w:rFonts w:ascii="Book Antiqua" w:hAnsi="Book Antiqua" w:cs="Arial"/>
          <w:color w:val="auto"/>
          <w:szCs w:val="24"/>
          <w:lang w:val="en-US"/>
        </w:rPr>
        <w:t>Dichotomous or continuous variables were compared with the Fisher exact test with mid-p correction or the nonparametric Mann–Whitney rank-sum test, respectively.</w:t>
      </w:r>
    </w:p>
    <w:p w:rsidR="00D46CF8" w:rsidRPr="00AA384A" w:rsidRDefault="0045304B"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150" w:firstLine="360"/>
        <w:jc w:val="both"/>
        <w:rPr>
          <w:rFonts w:ascii="Book Antiqua" w:eastAsia="宋体" w:hAnsi="Book Antiqua" w:cs="Arial"/>
          <w:color w:val="auto"/>
          <w:szCs w:val="24"/>
          <w:lang w:val="en-US" w:eastAsia="zh-CN"/>
        </w:rPr>
      </w:pPr>
      <w:r w:rsidRPr="00AA384A">
        <w:rPr>
          <w:rFonts w:ascii="Book Antiqua" w:hAnsi="Book Antiqua" w:cs="Arial"/>
          <w:color w:val="auto"/>
          <w:szCs w:val="24"/>
          <w:lang w:val="en-US"/>
        </w:rPr>
        <w:t xml:space="preserve">To assess the relationship between SVR and clinical and biochemical parameters, two multiple logistic regression models were used; the first assessed baseline variables only and the second assessed both baseline and on-treatment parameters. In the statistical model, the dependent variable was coded as 1 (present) versus 0 (absent). In all analyses, partial and null responders were considered together and referred to as non-responders. Variables associated with the dependent variable in </w:t>
      </w:r>
      <w:proofErr w:type="spellStart"/>
      <w:r w:rsidRPr="00AA384A">
        <w:rPr>
          <w:rFonts w:ascii="Book Antiqua" w:hAnsi="Book Antiqua" w:cs="Arial"/>
          <w:color w:val="auto"/>
          <w:szCs w:val="24"/>
          <w:lang w:val="en-US"/>
        </w:rPr>
        <w:t>univariate</w:t>
      </w:r>
      <w:proofErr w:type="spellEnd"/>
      <w:r w:rsidRPr="00AA384A">
        <w:rPr>
          <w:rFonts w:ascii="Book Antiqua" w:hAnsi="Book Antiqua" w:cs="Arial"/>
          <w:color w:val="auto"/>
          <w:szCs w:val="24"/>
          <w:lang w:val="en-US"/>
        </w:rPr>
        <w:t xml:space="preserve"> analyses (probability threshold, </w:t>
      </w:r>
      <w:r w:rsidRPr="00AA384A">
        <w:rPr>
          <w:rFonts w:ascii="Book Antiqua" w:hAnsi="Book Antiqua" w:cs="Arial"/>
          <w:i/>
          <w:color w:val="auto"/>
          <w:szCs w:val="24"/>
          <w:lang w:val="en-US"/>
        </w:rPr>
        <w:t>P</w:t>
      </w:r>
      <w:r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&lt;</w:t>
      </w:r>
      <w:r w:rsidRPr="00AA384A">
        <w:rPr>
          <w:rFonts w:ascii="Book Antiqua" w:eastAsia="宋体" w:hAnsi="Book Antiqua" w:cs="Arial"/>
          <w:color w:val="auto"/>
          <w:szCs w:val="24"/>
          <w:lang w:val="en-US" w:eastAsia="zh-CN"/>
        </w:rPr>
        <w:t xml:space="preserve"> 0</w:t>
      </w:r>
      <w:r w:rsidRPr="00AA384A">
        <w:rPr>
          <w:rFonts w:ascii="Book Antiqua" w:hAnsi="Book Antiqua" w:cs="Arial"/>
          <w:color w:val="auto"/>
          <w:szCs w:val="24"/>
          <w:lang w:val="en-US"/>
        </w:rPr>
        <w:t xml:space="preserve">.10) were included in the multivariate regression model. The PASW Statistics 20 program (SPSS, </w:t>
      </w:r>
      <w:proofErr w:type="spellStart"/>
      <w:r w:rsidRPr="00AA384A">
        <w:rPr>
          <w:rFonts w:ascii="Book Antiqua" w:hAnsi="Book Antiqua" w:cs="Arial"/>
          <w:color w:val="auto"/>
          <w:szCs w:val="24"/>
          <w:lang w:val="en-US"/>
        </w:rPr>
        <w:t>Inc</w:t>
      </w:r>
      <w:proofErr w:type="spellEnd"/>
      <w:r w:rsidRPr="00AA384A">
        <w:rPr>
          <w:rFonts w:ascii="Book Antiqua" w:hAnsi="Book Antiqua" w:cs="Arial"/>
          <w:color w:val="auto"/>
          <w:szCs w:val="24"/>
          <w:lang w:val="en-US"/>
        </w:rPr>
        <w:t>, Chicago, IL) was used for the analysis.</w:t>
      </w:r>
      <w:r w:rsidRPr="00AA384A">
        <w:rPr>
          <w:rFonts w:ascii="Book Antiqua" w:eastAsia="宋体" w:hAnsi="Book Antiqua" w:cs="Arial"/>
          <w:color w:val="auto"/>
          <w:szCs w:val="24"/>
          <w:lang w:val="en-US" w:eastAsia="zh-CN"/>
        </w:rPr>
        <w:t xml:space="preserve"> </w:t>
      </w:r>
    </w:p>
    <w:p w:rsidR="0045304B" w:rsidRPr="00AA384A" w:rsidRDefault="0045304B"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b/>
          <w:color w:val="auto"/>
          <w:szCs w:val="24"/>
          <w:lang w:val="en-US"/>
        </w:rPr>
        <w:t>RESULTS</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i/>
          <w:color w:val="auto"/>
          <w:szCs w:val="24"/>
          <w:lang w:val="en-US"/>
        </w:rPr>
      </w:pPr>
      <w:r w:rsidRPr="00AA384A">
        <w:rPr>
          <w:rFonts w:ascii="Book Antiqua" w:hAnsi="Book Antiqua" w:cs="Arial"/>
          <w:b/>
          <w:i/>
          <w:color w:val="auto"/>
          <w:szCs w:val="24"/>
          <w:lang w:val="en-US"/>
        </w:rPr>
        <w:t>Study patients</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A total of 87 menopausal women with chronic Hepatitis C, genotype 1, with previous treatment failure to standard antiviral therapy, were evaluated (Figure 1). Baseline characteristics of the 56 enrolled patients are shown in Table 1. </w:t>
      </w:r>
      <w:r w:rsidRPr="00AA384A">
        <w:rPr>
          <w:rFonts w:ascii="Book Antiqua" w:hAnsi="Book Antiqua" w:cs="Arial"/>
          <w:color w:val="auto"/>
          <w:szCs w:val="24"/>
          <w:lang w:val="en-US"/>
        </w:rPr>
        <w:lastRenderedPageBreak/>
        <w:t>Thirty-eight women were from Northern Italy while 18 were from Southern Italy. There were no significant differences between them regarding previous response to antiviral therapy, percentage of patients with cirrhosis, IL28B genotype, basal BMI, duration of menopause, basal viral load. All patients completed follow up and were included in the analysis.</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Mean age was 56.8 ± 6.1 years; mean menopausal duration was 11.4±6.1years (median 12.5 years). Mean BMI was 26.2</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4.0 (median 24.8). Four patients (7.1%) were previous null responders, 23 (41.1%) partial-responders and 29</w:t>
      </w:r>
      <w:r w:rsidRPr="00AA384A" w:rsidDel="003A70FF">
        <w:rPr>
          <w:rFonts w:ascii="Book Antiqua" w:hAnsi="Book Antiqua" w:cs="Arial"/>
          <w:color w:val="auto"/>
          <w:szCs w:val="24"/>
          <w:lang w:val="en-US"/>
        </w:rPr>
        <w:t xml:space="preserve"> </w:t>
      </w:r>
      <w:r w:rsidRPr="00AA384A">
        <w:rPr>
          <w:rFonts w:ascii="Book Antiqua" w:hAnsi="Book Antiqua" w:cs="Arial"/>
          <w:color w:val="auto"/>
          <w:szCs w:val="24"/>
          <w:lang w:val="en-US"/>
        </w:rPr>
        <w:t xml:space="preserve">(51.8%) </w:t>
      </w:r>
      <w:proofErr w:type="spellStart"/>
      <w:r w:rsidRPr="00AA384A">
        <w:rPr>
          <w:rFonts w:ascii="Book Antiqua" w:hAnsi="Book Antiqua" w:cs="Arial"/>
          <w:color w:val="auto"/>
          <w:szCs w:val="24"/>
          <w:lang w:val="en-US"/>
        </w:rPr>
        <w:t>relapsers</w:t>
      </w:r>
      <w:proofErr w:type="spellEnd"/>
      <w:r w:rsidRPr="00AA384A">
        <w:rPr>
          <w:rFonts w:ascii="Book Antiqua" w:hAnsi="Book Antiqua" w:cs="Arial"/>
          <w:color w:val="auto"/>
          <w:szCs w:val="24"/>
          <w:lang w:val="en-US"/>
        </w:rPr>
        <w:t xml:space="preserve">. According to </w:t>
      </w:r>
      <w:proofErr w:type="spellStart"/>
      <w:r w:rsidRPr="00AA384A">
        <w:rPr>
          <w:rFonts w:ascii="Book Antiqua" w:hAnsi="Book Antiqua" w:cs="Arial"/>
          <w:color w:val="auto"/>
          <w:szCs w:val="24"/>
          <w:lang w:val="en-US"/>
        </w:rPr>
        <w:t>Metavir</w:t>
      </w:r>
      <w:proofErr w:type="spellEnd"/>
      <w:r w:rsidRPr="00AA384A">
        <w:rPr>
          <w:rFonts w:ascii="Book Antiqua" w:hAnsi="Book Antiqua" w:cs="Arial"/>
          <w:color w:val="auto"/>
          <w:szCs w:val="24"/>
          <w:lang w:val="en-US"/>
        </w:rPr>
        <w:t xml:space="preserve"> fibrosis score, 30/56 (54.0%) women had a score of 1 or 2, while 26/56 (46.0%) had a score of 3 or 4; of t</w:t>
      </w:r>
      <w:r w:rsidR="00C53F9D" w:rsidRPr="00AA384A">
        <w:rPr>
          <w:rFonts w:ascii="Book Antiqua" w:hAnsi="Book Antiqua" w:cs="Arial"/>
          <w:color w:val="auto"/>
          <w:szCs w:val="24"/>
          <w:lang w:val="en-US"/>
        </w:rPr>
        <w:t>hese, 21 (37.5%) had cirrhosis.</w:t>
      </w:r>
      <w:r w:rsidRPr="00AA384A">
        <w:rPr>
          <w:rFonts w:ascii="Book Antiqua" w:hAnsi="Book Antiqua" w:cs="Arial"/>
          <w:color w:val="auto"/>
          <w:szCs w:val="24"/>
          <w:lang w:val="en-US"/>
        </w:rPr>
        <w:t xml:space="preserve"> Approximately 60% of patients had a high viral load (an HCV RNA level &gt;</w:t>
      </w:r>
      <w:r w:rsidR="00C53F9D" w:rsidRPr="00AA384A">
        <w:rPr>
          <w:rFonts w:ascii="Book Antiqua" w:eastAsia="宋体" w:hAnsi="Book Antiqua" w:cs="Arial"/>
          <w:color w:val="auto"/>
          <w:szCs w:val="24"/>
          <w:lang w:val="en-US" w:eastAsia="zh-CN"/>
        </w:rPr>
        <w:t xml:space="preserve"> </w:t>
      </w:r>
      <w:r w:rsidR="00C53F9D" w:rsidRPr="00AA384A">
        <w:rPr>
          <w:rFonts w:ascii="Book Antiqua" w:hAnsi="Book Antiqua" w:cs="Arial"/>
          <w:color w:val="auto"/>
          <w:szCs w:val="24"/>
          <w:lang w:val="en-US"/>
        </w:rPr>
        <w:t>800</w:t>
      </w:r>
      <w:r w:rsidRPr="00AA384A">
        <w:rPr>
          <w:rFonts w:ascii="Book Antiqua" w:hAnsi="Book Antiqua" w:cs="Arial"/>
          <w:color w:val="auto"/>
          <w:szCs w:val="24"/>
          <w:lang w:val="en-US"/>
        </w:rPr>
        <w:t>000 IU per milliliter). Genotype 1b infection was predominant (52/56, 92.9%). IL28B rs12979860 genotype was available for 43 patients (9 CC, 26 TC, and 8 TT).</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i/>
          <w:color w:val="auto"/>
          <w:szCs w:val="24"/>
          <w:lang w:val="en-US" w:eastAsia="zh-CN"/>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i/>
          <w:color w:val="auto"/>
          <w:szCs w:val="24"/>
          <w:lang w:val="en-US"/>
        </w:rPr>
      </w:pPr>
      <w:r w:rsidRPr="00AA384A">
        <w:rPr>
          <w:rFonts w:ascii="Book Antiqua" w:hAnsi="Book Antiqua" w:cs="Arial"/>
          <w:b/>
          <w:i/>
          <w:color w:val="auto"/>
          <w:szCs w:val="24"/>
          <w:lang w:val="en-US"/>
        </w:rPr>
        <w:t>Efficacy</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In the entire population, SVR was obtained in 25/56 (44.6%) patients. There was no significant difference between women of Northern and Southern origin in the SVR rate (44.7% </w:t>
      </w:r>
      <w:proofErr w:type="spellStart"/>
      <w:r w:rsidRPr="00AA384A">
        <w:rPr>
          <w:rFonts w:ascii="Book Antiqua" w:hAnsi="Book Antiqua" w:cs="Arial"/>
          <w:i/>
          <w:color w:val="auto"/>
          <w:szCs w:val="24"/>
          <w:lang w:val="en-US"/>
        </w:rPr>
        <w:t>vs</w:t>
      </w:r>
      <w:proofErr w:type="spellEnd"/>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44.4%, respectively, </w:t>
      </w:r>
      <w:r w:rsidRPr="00AA384A">
        <w:rPr>
          <w:rFonts w:ascii="Book Antiqua" w:hAnsi="Book Antiqua" w:cs="Arial"/>
          <w:i/>
          <w:color w:val="auto"/>
          <w:szCs w:val="24"/>
          <w:lang w:val="en-US"/>
        </w:rPr>
        <w:t>P</w:t>
      </w:r>
      <w:r w:rsidR="00C53F9D"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53F9D"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0.964).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 xml:space="preserve">After 4 </w:t>
      </w:r>
      <w:proofErr w:type="spellStart"/>
      <w:r w:rsidRPr="00AA384A">
        <w:rPr>
          <w:rFonts w:ascii="Book Antiqua" w:hAnsi="Book Antiqua" w:cs="Arial"/>
          <w:color w:val="auto"/>
          <w:szCs w:val="24"/>
          <w:lang w:val="en-US"/>
        </w:rPr>
        <w:t>w</w:t>
      </w:r>
      <w:r w:rsidR="002149B6" w:rsidRPr="00AA384A">
        <w:rPr>
          <w:rFonts w:ascii="Book Antiqua" w:hAnsi="Book Antiqua" w:cs="Arial"/>
          <w:color w:val="auto"/>
          <w:szCs w:val="24"/>
          <w:lang w:val="en-US"/>
        </w:rPr>
        <w:t>k</w:t>
      </w:r>
      <w:proofErr w:type="spellEnd"/>
      <w:r w:rsidRPr="00AA384A">
        <w:rPr>
          <w:rFonts w:ascii="Book Antiqua" w:hAnsi="Book Antiqua" w:cs="Arial"/>
          <w:color w:val="auto"/>
          <w:szCs w:val="24"/>
          <w:lang w:val="en-US"/>
        </w:rPr>
        <w:t xml:space="preserve"> of lead-in, none but two patients achieved RVR, while the HCV RNA drop of at least 1 log from baseline (IFN sensitivity) was obtained in 62% of patients. After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addition, RVR BOC, EVR and ETR were obtained in 32/56 (57.1%), 41/56 (73.2%), and 42 (75.0%) respectively. Of these, 53.8%, 52.0%, and 52.0%, respectively, achieved SVR.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Fourteen patients (25.0%) stopped therapy</w:t>
      </w:r>
      <w:r w:rsidR="00ED4FC2" w:rsidRPr="00AA384A">
        <w:rPr>
          <w:rFonts w:ascii="Book Antiqua" w:eastAsia="宋体" w:hAnsi="Book Antiqua" w:cs="Arial"/>
          <w:color w:val="auto"/>
          <w:szCs w:val="24"/>
          <w:lang w:val="en-US" w:eastAsia="zh-CN"/>
        </w:rPr>
        <w:t xml:space="preserve"> </w:t>
      </w:r>
      <w:r w:rsidR="00C53F9D" w:rsidRPr="00AA384A">
        <w:rPr>
          <w:rFonts w:ascii="Book Antiqua" w:hAnsi="Book Antiqua" w:cs="Arial"/>
          <w:color w:val="auto"/>
          <w:szCs w:val="24"/>
          <w:lang w:val="en-US"/>
        </w:rPr>
        <w:t>[</w:t>
      </w:r>
      <w:r w:rsidRPr="00AA384A">
        <w:rPr>
          <w:rFonts w:ascii="Book Antiqua" w:hAnsi="Book Antiqua" w:cs="Arial"/>
          <w:color w:val="auto"/>
          <w:szCs w:val="24"/>
          <w:lang w:val="en-US"/>
        </w:rPr>
        <w:t xml:space="preserve">6/14 (43%) for intolerance, 5/14 (36%) for HCV RNA detectability at week 12; 3/14 (21%) for viral breakthrough]. All experienced a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relapse.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50" w:firstLine="600"/>
        <w:jc w:val="both"/>
        <w:rPr>
          <w:rFonts w:ascii="Book Antiqua" w:hAnsi="Book Antiqua" w:cs="Arial"/>
          <w:color w:val="auto"/>
          <w:szCs w:val="24"/>
          <w:lang w:val="en-US"/>
        </w:rPr>
      </w:pPr>
      <w:r w:rsidRPr="00AA384A">
        <w:rPr>
          <w:rFonts w:ascii="Book Antiqua" w:hAnsi="Book Antiqua" w:cs="Arial"/>
          <w:color w:val="auto"/>
          <w:szCs w:val="24"/>
          <w:lang w:val="en-US"/>
        </w:rPr>
        <w:t xml:space="preserve">The rate of sustained </w:t>
      </w:r>
      <w:proofErr w:type="spellStart"/>
      <w:r w:rsidRPr="00AA384A">
        <w:rPr>
          <w:rFonts w:ascii="Book Antiqua" w:hAnsi="Book Antiqua" w:cs="Arial"/>
          <w:color w:val="auto"/>
          <w:szCs w:val="24"/>
          <w:lang w:val="en-US"/>
        </w:rPr>
        <w:t>virological</w:t>
      </w:r>
      <w:proofErr w:type="spellEnd"/>
      <w:r w:rsidRPr="00AA384A">
        <w:rPr>
          <w:rFonts w:ascii="Book Antiqua" w:hAnsi="Book Antiqua" w:cs="Arial"/>
          <w:color w:val="auto"/>
          <w:szCs w:val="24"/>
          <w:lang w:val="en-US"/>
        </w:rPr>
        <w:t xml:space="preserve"> response among patients with prior relapse or </w:t>
      </w:r>
      <w:r w:rsidR="00C20698" w:rsidRPr="00AA384A">
        <w:rPr>
          <w:rFonts w:ascii="Book Antiqua" w:hAnsi="Book Antiqua" w:cs="Arial"/>
          <w:color w:val="auto"/>
          <w:szCs w:val="24"/>
          <w:lang w:val="en-US"/>
        </w:rPr>
        <w:t>non-response</w:t>
      </w:r>
      <w:r w:rsidRPr="00AA384A">
        <w:rPr>
          <w:rFonts w:ascii="Book Antiqua" w:hAnsi="Book Antiqua" w:cs="Arial"/>
          <w:color w:val="auto"/>
          <w:szCs w:val="24"/>
          <w:lang w:val="en-US"/>
        </w:rPr>
        <w:t xml:space="preserve"> was 55% and 41% respectively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00C20698" w:rsidRPr="00AA384A">
        <w:rPr>
          <w:rFonts w:ascii="Book Antiqua" w:hAnsi="Book Antiqua" w:cs="Arial"/>
          <w:color w:val="auto"/>
          <w:szCs w:val="24"/>
          <w:lang w:val="en-US"/>
        </w:rPr>
        <w:t>0.250).</w:t>
      </w:r>
      <w:r w:rsidRPr="00AA384A">
        <w:rPr>
          <w:rFonts w:ascii="Book Antiqua" w:hAnsi="Book Antiqua" w:cs="Arial"/>
          <w:color w:val="auto"/>
          <w:szCs w:val="24"/>
          <w:lang w:val="en-US"/>
        </w:rPr>
        <w:t xml:space="preserve"> No significant correlation was present between SVR and high viral load (HCV </w:t>
      </w:r>
      <w:r w:rsidRPr="00AA384A">
        <w:rPr>
          <w:rFonts w:ascii="Book Antiqua" w:hAnsi="Book Antiqua" w:cs="Arial"/>
          <w:color w:val="auto"/>
          <w:szCs w:val="24"/>
          <w:lang w:val="en-US"/>
        </w:rPr>
        <w:lastRenderedPageBreak/>
        <w:t>RNA &gt;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800.000 IU/m</w:t>
      </w:r>
      <w:r w:rsidR="00ED4FC2" w:rsidRPr="00AA384A">
        <w:rPr>
          <w:rFonts w:ascii="Book Antiqua" w:hAnsi="Book Antiqua" w:cs="Arial"/>
          <w:color w:val="auto"/>
          <w:szCs w:val="24"/>
          <w:lang w:val="en-US"/>
        </w:rPr>
        <w:t>L</w:t>
      </w:r>
      <w:r w:rsidRPr="00AA384A">
        <w:rPr>
          <w:rFonts w:ascii="Book Antiqua" w:hAnsi="Book Antiqua" w:cs="Arial"/>
          <w:color w:val="auto"/>
          <w:szCs w:val="24"/>
          <w:lang w:val="en-US"/>
        </w:rPr>
        <w:t xml:space="preserve">: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0.597) or IL28 status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0.333). Patients with IFN sensitivity had significantly higher SVR rates compared p</w:t>
      </w:r>
      <w:r w:rsidR="00C20698" w:rsidRPr="00AA384A">
        <w:rPr>
          <w:rFonts w:ascii="Book Antiqua" w:hAnsi="Book Antiqua" w:cs="Arial"/>
          <w:color w:val="auto"/>
          <w:szCs w:val="24"/>
          <w:lang w:val="en-US"/>
        </w:rPr>
        <w:t xml:space="preserve">atients with IFN insensitivity </w:t>
      </w:r>
      <w:r w:rsidRPr="00AA384A">
        <w:rPr>
          <w:rFonts w:ascii="Book Antiqua" w:hAnsi="Book Antiqua" w:cs="Arial"/>
          <w:color w:val="auto"/>
          <w:szCs w:val="24"/>
          <w:lang w:val="en-US"/>
        </w:rPr>
        <w:t xml:space="preserve">(57.1% </w:t>
      </w:r>
      <w:proofErr w:type="spellStart"/>
      <w:r w:rsidRPr="00AA384A">
        <w:rPr>
          <w:rFonts w:ascii="Book Antiqua" w:hAnsi="Book Antiqua" w:cs="Arial"/>
          <w:i/>
          <w:color w:val="auto"/>
          <w:szCs w:val="24"/>
          <w:lang w:val="en-US"/>
        </w:rPr>
        <w:t>vs</w:t>
      </w:r>
      <w:proofErr w:type="spellEnd"/>
      <w:r w:rsidRPr="00AA384A">
        <w:rPr>
          <w:rFonts w:ascii="Book Antiqua" w:hAnsi="Book Antiqua" w:cs="Arial"/>
          <w:color w:val="auto"/>
          <w:szCs w:val="24"/>
          <w:lang w:val="en-US"/>
        </w:rPr>
        <w:t xml:space="preserve"> 26.3%,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0.030). Level of fibrosis did not negatively influence the SVR rate, which occurre</w:t>
      </w:r>
      <w:r w:rsidR="00C20698" w:rsidRPr="00AA384A">
        <w:rPr>
          <w:rFonts w:ascii="Book Antiqua" w:hAnsi="Book Antiqua" w:cs="Arial"/>
          <w:color w:val="auto"/>
          <w:szCs w:val="24"/>
          <w:lang w:val="en-US"/>
        </w:rPr>
        <w:t xml:space="preserve">d in 44% of women with F0-F2 </w:t>
      </w:r>
      <w:proofErr w:type="spellStart"/>
      <w:r w:rsidR="00C20698" w:rsidRPr="00AA384A">
        <w:rPr>
          <w:rFonts w:ascii="Book Antiqua" w:hAnsi="Book Antiqua" w:cs="Arial"/>
          <w:i/>
          <w:color w:val="auto"/>
          <w:szCs w:val="24"/>
          <w:lang w:val="en-US"/>
        </w:rPr>
        <w:t>vs</w:t>
      </w:r>
      <w:proofErr w:type="spellEnd"/>
      <w:r w:rsidRPr="00AA384A">
        <w:rPr>
          <w:rFonts w:ascii="Book Antiqua" w:hAnsi="Book Antiqua" w:cs="Arial"/>
          <w:color w:val="auto"/>
          <w:szCs w:val="24"/>
          <w:lang w:val="en-US"/>
        </w:rPr>
        <w:t xml:space="preserve"> 54% of those with F3-F4 fibrosis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0.488) nor was the presence of cirrhosis (presence of cirrhosis vs. absence: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0.485). Figure 2 depicts SVR rates according to the pattern of prior response, severity of fibrosis and baseline viral load.</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00" w:firstLine="480"/>
        <w:jc w:val="both"/>
        <w:rPr>
          <w:rFonts w:ascii="Book Antiqua" w:eastAsia="宋体" w:hAnsi="Book Antiqua" w:cs="Arial"/>
          <w:color w:val="auto"/>
          <w:szCs w:val="24"/>
          <w:lang w:val="en-US" w:eastAsia="zh-CN"/>
        </w:rPr>
      </w:pPr>
      <w:r w:rsidRPr="00AA384A">
        <w:rPr>
          <w:rFonts w:ascii="Book Antiqua" w:hAnsi="Book Antiqua" w:cs="Arial"/>
          <w:color w:val="auto"/>
          <w:szCs w:val="24"/>
          <w:lang w:val="en-US"/>
        </w:rPr>
        <w:t xml:space="preserve">At </w:t>
      </w:r>
      <w:proofErr w:type="spellStart"/>
      <w:r w:rsidRPr="00AA384A">
        <w:rPr>
          <w:rFonts w:ascii="Book Antiqua" w:hAnsi="Book Antiqua" w:cs="Arial"/>
          <w:color w:val="auto"/>
          <w:szCs w:val="24"/>
          <w:lang w:val="en-US"/>
        </w:rPr>
        <w:t>univariate</w:t>
      </w:r>
      <w:proofErr w:type="spellEnd"/>
      <w:r w:rsidRPr="00AA384A">
        <w:rPr>
          <w:rFonts w:ascii="Book Antiqua" w:hAnsi="Book Antiqua" w:cs="Arial"/>
          <w:color w:val="auto"/>
          <w:szCs w:val="24"/>
          <w:lang w:val="en-US"/>
        </w:rPr>
        <w:t xml:space="preserve"> analysis for baseline predictors of SVR, none of the clinical and biochemical parameters but previous response to antiviral therapy (OR </w:t>
      </w:r>
      <w:r w:rsidR="00C20698" w:rsidRPr="00AA384A">
        <w:rPr>
          <w:rFonts w:ascii="Book Antiqua" w:eastAsia="宋体" w:hAnsi="Book Antiqua" w:cs="Arial"/>
          <w:color w:val="auto"/>
          <w:szCs w:val="24"/>
          <w:lang w:val="en-US" w:eastAsia="zh-CN"/>
        </w:rPr>
        <w:t xml:space="preserve">= </w:t>
      </w:r>
      <w:r w:rsidR="00C20698" w:rsidRPr="00AA384A">
        <w:rPr>
          <w:rFonts w:ascii="Book Antiqua" w:hAnsi="Book Antiqua" w:cs="Arial"/>
          <w:color w:val="auto"/>
          <w:szCs w:val="24"/>
          <w:lang w:val="en-US"/>
        </w:rPr>
        <w:t>2.662, 95%</w:t>
      </w:r>
      <w:r w:rsidRPr="00AA384A">
        <w:rPr>
          <w:rFonts w:ascii="Book Antiqua" w:hAnsi="Book Antiqua" w:cs="Arial"/>
          <w:color w:val="auto"/>
          <w:szCs w:val="24"/>
          <w:lang w:val="en-US"/>
        </w:rPr>
        <w:t>CI</w:t>
      </w:r>
      <w:r w:rsidR="00C20698" w:rsidRPr="00AA384A">
        <w:rPr>
          <w:rFonts w:ascii="Book Antiqua" w:eastAsia="宋体" w:hAnsi="Book Antiqua" w:cs="Arial"/>
          <w:color w:val="auto"/>
          <w:szCs w:val="24"/>
          <w:lang w:val="en-US" w:eastAsia="zh-CN"/>
        </w:rPr>
        <w:t>:</w:t>
      </w:r>
      <w:r w:rsidRPr="00AA384A">
        <w:rPr>
          <w:rFonts w:ascii="Book Antiqua" w:hAnsi="Book Antiqua" w:cs="Arial"/>
          <w:color w:val="auto"/>
          <w:szCs w:val="24"/>
          <w:lang w:val="en-US"/>
        </w:rPr>
        <w:t xml:space="preserve"> 0.957-6.881,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0.043) was related with SVR. When taking into consideration also “on treatment” factors, 1 log HCV RNA decline at week 4 (3.733, 95%CI</w:t>
      </w:r>
      <w:r w:rsidR="00C20698" w:rsidRPr="00AA384A">
        <w:rPr>
          <w:rFonts w:ascii="Book Antiqua" w:eastAsia="宋体" w:hAnsi="Book Antiqua" w:cs="Arial"/>
          <w:color w:val="auto"/>
          <w:szCs w:val="24"/>
          <w:lang w:val="en-US" w:eastAsia="zh-CN"/>
        </w:rPr>
        <w:t>:</w:t>
      </w:r>
      <w:r w:rsidRPr="00AA384A">
        <w:rPr>
          <w:rFonts w:ascii="Book Antiqua" w:hAnsi="Book Antiqua" w:cs="Arial"/>
          <w:color w:val="auto"/>
          <w:szCs w:val="24"/>
          <w:lang w:val="en-US"/>
        </w:rPr>
        <w:t xml:space="preserve"> 1.676-12.658,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0.034) and ach</w:t>
      </w:r>
      <w:r w:rsidR="00C20698" w:rsidRPr="00AA384A">
        <w:rPr>
          <w:rFonts w:ascii="Book Antiqua" w:hAnsi="Book Antiqua" w:cs="Arial"/>
          <w:color w:val="auto"/>
          <w:szCs w:val="24"/>
          <w:lang w:val="en-US"/>
        </w:rPr>
        <w:t>ievement of RVR BOC (7.347, 95%</w:t>
      </w:r>
      <w:r w:rsidRPr="00AA384A">
        <w:rPr>
          <w:rFonts w:ascii="Book Antiqua" w:hAnsi="Book Antiqua" w:cs="Arial"/>
          <w:color w:val="auto"/>
          <w:szCs w:val="24"/>
          <w:lang w:val="en-US"/>
        </w:rPr>
        <w:t>CI</w:t>
      </w:r>
      <w:r w:rsidR="00C20698" w:rsidRPr="00AA384A">
        <w:rPr>
          <w:rFonts w:ascii="Book Antiqua" w:eastAsia="宋体" w:hAnsi="Book Antiqua" w:cs="Arial"/>
          <w:color w:val="auto"/>
          <w:szCs w:val="24"/>
          <w:lang w:val="en-US" w:eastAsia="zh-CN"/>
        </w:rPr>
        <w:t>:</w:t>
      </w:r>
      <w:r w:rsidRPr="00AA384A">
        <w:rPr>
          <w:rFonts w:ascii="Book Antiqua" w:hAnsi="Book Antiqua" w:cs="Arial"/>
          <w:color w:val="auto"/>
          <w:szCs w:val="24"/>
          <w:lang w:val="en-US"/>
        </w:rPr>
        <w:t xml:space="preserve"> 2.156-25.035, </w:t>
      </w:r>
      <w:r w:rsidRPr="00AA384A">
        <w:rPr>
          <w:rFonts w:ascii="Book Antiqua" w:hAnsi="Book Antiqua" w:cs="Arial"/>
          <w:i/>
          <w:color w:val="auto"/>
          <w:szCs w:val="24"/>
          <w:lang w:val="en-US"/>
        </w:rPr>
        <w:t>P</w:t>
      </w:r>
      <w:r w:rsidR="00C20698" w:rsidRPr="00AA384A">
        <w:rPr>
          <w:rFonts w:ascii="Book Antiqua" w:eastAsia="宋体" w:hAnsi="Book Antiqua" w:cs="Arial"/>
          <w:b/>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0.001) were significantly related with SVR, al</w:t>
      </w:r>
      <w:r w:rsidR="00C20698" w:rsidRPr="00AA384A">
        <w:rPr>
          <w:rFonts w:ascii="Book Antiqua" w:hAnsi="Book Antiqua" w:cs="Arial"/>
          <w:color w:val="auto"/>
          <w:szCs w:val="24"/>
          <w:lang w:val="en-US"/>
        </w:rPr>
        <w:t>though RVR BOC only (6.794, 95%</w:t>
      </w:r>
      <w:r w:rsidRPr="00AA384A">
        <w:rPr>
          <w:rFonts w:ascii="Book Antiqua" w:hAnsi="Book Antiqua" w:cs="Arial"/>
          <w:color w:val="auto"/>
          <w:szCs w:val="24"/>
          <w:lang w:val="en-US"/>
        </w:rPr>
        <w:t>CI</w:t>
      </w:r>
      <w:r w:rsidR="00C20698" w:rsidRPr="00AA384A">
        <w:rPr>
          <w:rFonts w:ascii="Book Antiqua" w:eastAsia="宋体" w:hAnsi="Book Antiqua" w:cs="Arial"/>
          <w:color w:val="auto"/>
          <w:szCs w:val="24"/>
          <w:lang w:val="en-US" w:eastAsia="zh-CN"/>
        </w:rPr>
        <w:t>:</w:t>
      </w:r>
      <w:r w:rsidRPr="00AA384A">
        <w:rPr>
          <w:rFonts w:ascii="Book Antiqua" w:hAnsi="Book Antiqua" w:cs="Arial"/>
          <w:color w:val="auto"/>
          <w:szCs w:val="24"/>
          <w:lang w:val="en-US"/>
        </w:rPr>
        <w:t xml:space="preserve"> 1.596-21.644, </w:t>
      </w:r>
      <w:r w:rsidRPr="00AA384A">
        <w:rPr>
          <w:rFonts w:ascii="Book Antiqua" w:hAnsi="Book Antiqua" w:cs="Arial"/>
          <w:i/>
          <w:color w:val="auto"/>
          <w:szCs w:val="24"/>
          <w:lang w:val="en-US"/>
        </w:rPr>
        <w:t>P</w:t>
      </w:r>
      <w:r w:rsidR="00C20698" w:rsidRPr="00AA384A">
        <w:rPr>
          <w:rFonts w:ascii="Book Antiqua" w:eastAsia="宋体" w:hAnsi="Book Antiqua" w:cs="Arial"/>
          <w:i/>
          <w:color w:val="auto"/>
          <w:szCs w:val="24"/>
          <w:lang w:val="en-US" w:eastAsia="zh-CN"/>
        </w:rPr>
        <w:t xml:space="preserve"> </w:t>
      </w:r>
      <w:r w:rsidRPr="00AA384A">
        <w:rPr>
          <w:rFonts w:ascii="Book Antiqua" w:hAnsi="Book Antiqua" w:cs="Arial"/>
          <w:color w:val="auto"/>
          <w:szCs w:val="24"/>
          <w:lang w:val="en-US"/>
        </w:rPr>
        <w: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0.010) maintained significance at multivariate logistic regression analysis (Table 2).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i/>
          <w:color w:val="auto"/>
          <w:szCs w:val="24"/>
          <w:lang w:val="en-US"/>
        </w:rPr>
      </w:pPr>
      <w:r w:rsidRPr="00AA384A">
        <w:rPr>
          <w:rFonts w:ascii="Book Antiqua" w:hAnsi="Book Antiqua" w:cs="Arial"/>
          <w:b/>
          <w:i/>
          <w:color w:val="auto"/>
          <w:szCs w:val="24"/>
          <w:lang w:val="en-US"/>
        </w:rPr>
        <w:t>Safety</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roofErr w:type="spellStart"/>
      <w:r w:rsidRPr="00AA384A">
        <w:rPr>
          <w:rFonts w:ascii="Book Antiqua" w:hAnsi="Book Antiqua" w:cs="Arial"/>
          <w:color w:val="auto"/>
          <w:szCs w:val="24"/>
          <w:lang w:val="en-US"/>
        </w:rPr>
        <w:t>Anaemia</w:t>
      </w:r>
      <w:proofErr w:type="spellEnd"/>
      <w:r w:rsidRPr="00AA384A">
        <w:rPr>
          <w:rFonts w:ascii="Book Antiqua" w:hAnsi="Book Antiqua" w:cs="Arial"/>
          <w:color w:val="auto"/>
          <w:szCs w:val="24"/>
          <w:lang w:val="en-US"/>
        </w:rPr>
        <w:t xml:space="preserve"> and neutropenia were managed with Erythropoietin and </w:t>
      </w:r>
      <w:proofErr w:type="spellStart"/>
      <w:r w:rsidRPr="00AA384A">
        <w:rPr>
          <w:rFonts w:ascii="Book Antiqua" w:hAnsi="Book Antiqua" w:cs="Arial"/>
          <w:color w:val="auto"/>
          <w:szCs w:val="24"/>
          <w:lang w:val="en-US"/>
        </w:rPr>
        <w:t>Granulokine</w:t>
      </w:r>
      <w:proofErr w:type="spellEnd"/>
      <w:r w:rsidRPr="00AA384A">
        <w:rPr>
          <w:rFonts w:ascii="Book Antiqua" w:hAnsi="Book Antiqua" w:cs="Arial"/>
          <w:color w:val="auto"/>
          <w:szCs w:val="24"/>
          <w:lang w:val="en-US"/>
        </w:rPr>
        <w:t xml:space="preserve"> supplementation, respectively: only six patients discontinued therapy.</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00" w:firstLine="480"/>
        <w:jc w:val="both"/>
        <w:rPr>
          <w:rFonts w:ascii="Book Antiqua" w:hAnsi="Book Antiqua" w:cs="Arial"/>
          <w:color w:val="auto"/>
          <w:szCs w:val="24"/>
          <w:lang w:val="en-US"/>
        </w:rPr>
      </w:pPr>
      <w:r w:rsidRPr="00AA384A">
        <w:rPr>
          <w:rFonts w:ascii="Book Antiqua" w:hAnsi="Book Antiqua" w:cs="Arial"/>
          <w:color w:val="auto"/>
          <w:szCs w:val="24"/>
          <w:lang w:val="en-US"/>
        </w:rPr>
        <w:t xml:space="preserve">The treatment was well tolerated, with low rates of severe adverse events. Fatigue and nausea were the most common adverse events. Hemoglobin levels decreased significantly at </w:t>
      </w:r>
      <w:r w:rsidR="00C20698" w:rsidRPr="00AA384A">
        <w:rPr>
          <w:rFonts w:ascii="Book Antiqua" w:hAnsi="Book Antiqua" w:cs="Arial"/>
          <w:color w:val="auto"/>
          <w:szCs w:val="24"/>
          <w:lang w:val="en-US"/>
        </w:rPr>
        <w:t>all-time</w:t>
      </w:r>
      <w:r w:rsidRPr="00AA384A">
        <w:rPr>
          <w:rFonts w:ascii="Book Antiqua" w:hAnsi="Book Antiqua" w:cs="Arial"/>
          <w:color w:val="auto"/>
          <w:szCs w:val="24"/>
          <w:lang w:val="en-US"/>
        </w:rPr>
        <w:t xml:space="preserve"> points, without requiring the introduction of erythropoietin before week 6 (</w:t>
      </w:r>
      <w:r w:rsidRPr="00AA384A">
        <w:rPr>
          <w:rFonts w:ascii="Book Antiqua" w:hAnsi="Book Antiqua" w:cs="Arial"/>
          <w:i/>
          <w:color w:val="auto"/>
          <w:szCs w:val="24"/>
          <w:lang w:val="en-US"/>
        </w:rPr>
        <w:t>i.e.,</w:t>
      </w:r>
      <w:r w:rsidRPr="00AA384A">
        <w:rPr>
          <w:rFonts w:ascii="Book Antiqua" w:hAnsi="Book Antiqua" w:cs="Arial"/>
          <w:color w:val="auto"/>
          <w:szCs w:val="24"/>
          <w:lang w:val="en-US"/>
        </w:rPr>
        <w:t xml:space="preserve"> 2 </w:t>
      </w:r>
      <w:proofErr w:type="spellStart"/>
      <w:r w:rsidRPr="00AA384A">
        <w:rPr>
          <w:rFonts w:ascii="Book Antiqua" w:hAnsi="Book Antiqua" w:cs="Arial"/>
          <w:color w:val="auto"/>
          <w:szCs w:val="24"/>
          <w:lang w:val="en-US"/>
        </w:rPr>
        <w:t>w</w:t>
      </w:r>
      <w:r w:rsidR="00C20698" w:rsidRPr="00AA384A">
        <w:rPr>
          <w:rFonts w:ascii="Book Antiqua" w:hAnsi="Book Antiqua" w:cs="Arial"/>
          <w:color w:val="auto"/>
          <w:szCs w:val="24"/>
          <w:lang w:val="en-US"/>
        </w:rPr>
        <w:t>k</w:t>
      </w:r>
      <w:proofErr w:type="spellEnd"/>
      <w:r w:rsidRPr="00AA384A">
        <w:rPr>
          <w:rFonts w:ascii="Book Antiqua" w:hAnsi="Book Antiqua" w:cs="Arial"/>
          <w:color w:val="auto"/>
          <w:szCs w:val="24"/>
          <w:lang w:val="en-US"/>
        </w:rPr>
        <w:t xml:space="preserve"> following the addition of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Conversely, the neutrophil count reduction required </w:t>
      </w:r>
      <w:proofErr w:type="spellStart"/>
      <w:r w:rsidRPr="00AA384A">
        <w:rPr>
          <w:rFonts w:ascii="Book Antiqua" w:hAnsi="Book Antiqua" w:cs="Arial"/>
          <w:color w:val="auto"/>
          <w:szCs w:val="24"/>
          <w:lang w:val="en-US"/>
        </w:rPr>
        <w:t>Granulokine</w:t>
      </w:r>
      <w:proofErr w:type="spellEnd"/>
      <w:r w:rsidRPr="00AA384A">
        <w:rPr>
          <w:rFonts w:ascii="Book Antiqua" w:hAnsi="Book Antiqua" w:cs="Arial"/>
          <w:color w:val="auto"/>
          <w:szCs w:val="24"/>
          <w:lang w:val="en-US"/>
        </w:rPr>
        <w:t xml:space="preserve"> supplementation already at week 2. Anemia was successfully managed with erythropoietin supplementation, as neutropenia with </w:t>
      </w:r>
      <w:proofErr w:type="spellStart"/>
      <w:r w:rsidRPr="00AA384A">
        <w:rPr>
          <w:rFonts w:ascii="Book Antiqua" w:hAnsi="Book Antiqua" w:cs="Arial"/>
          <w:color w:val="auto"/>
          <w:szCs w:val="24"/>
          <w:lang w:val="en-US"/>
        </w:rPr>
        <w:t>Granulokine</w:t>
      </w:r>
      <w:proofErr w:type="spellEnd"/>
      <w:r w:rsidRPr="00AA384A">
        <w:rPr>
          <w:rFonts w:ascii="Book Antiqua" w:hAnsi="Book Antiqua" w:cs="Arial"/>
          <w:color w:val="auto"/>
          <w:szCs w:val="24"/>
          <w:lang w:val="en-US"/>
        </w:rPr>
        <w:t xml:space="preserve"> supplementation. The supplementation of both Erythropoietin and </w:t>
      </w:r>
      <w:proofErr w:type="spellStart"/>
      <w:r w:rsidRPr="00AA384A">
        <w:rPr>
          <w:rFonts w:ascii="Book Antiqua" w:hAnsi="Book Antiqua" w:cs="Arial"/>
          <w:color w:val="auto"/>
          <w:szCs w:val="24"/>
          <w:lang w:val="en-US"/>
        </w:rPr>
        <w:t>Granulokine</w:t>
      </w:r>
      <w:proofErr w:type="spellEnd"/>
      <w:r w:rsidRPr="00AA384A">
        <w:rPr>
          <w:rFonts w:ascii="Book Antiqua" w:hAnsi="Book Antiqua" w:cs="Arial"/>
          <w:color w:val="auto"/>
          <w:szCs w:val="24"/>
          <w:lang w:val="en-US"/>
        </w:rPr>
        <w:t xml:space="preserve"> was necessary to preserve the full treatment doses. None of the patients experienced skin problems; </w:t>
      </w:r>
      <w:proofErr w:type="spellStart"/>
      <w:r w:rsidRPr="00AA384A">
        <w:rPr>
          <w:rFonts w:ascii="Book Antiqua" w:hAnsi="Book Antiqua" w:cs="Arial"/>
          <w:color w:val="auto"/>
          <w:szCs w:val="24"/>
          <w:lang w:val="en-US"/>
        </w:rPr>
        <w:t>dysgeusia</w:t>
      </w:r>
      <w:proofErr w:type="spellEnd"/>
      <w:r w:rsidRPr="00AA384A">
        <w:rPr>
          <w:rFonts w:ascii="Book Antiqua" w:hAnsi="Book Antiqua" w:cs="Arial"/>
          <w:color w:val="auto"/>
          <w:szCs w:val="24"/>
          <w:lang w:val="en-US"/>
        </w:rPr>
        <w:t xml:space="preserve"> was frequent, but no patient discontinued therapy due to this event (Table 3).</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b/>
          <w:color w:val="auto"/>
          <w:szCs w:val="24"/>
          <w:lang w:val="en-US"/>
        </w:rPr>
        <w:lastRenderedPageBreak/>
        <w:t>DISCUSSION</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In this study on a cohort of difficult-to-treat genotype 1 CHC patients (menopausal females, failure to a previous course of PEG-IFN/RBV, high prevalence of F3-F4 fibrosis) we showed that retreatment with a BOC-based TT regimen leads to SVR in about 45% of cases, RVR BOC being the only independent predictor of SVR.</w:t>
      </w:r>
    </w:p>
    <w:p w:rsidR="00D46CF8" w:rsidRPr="00AA384A" w:rsidRDefault="00D46CF8" w:rsidP="00AA38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auto"/>
          <w:sz w:val="24"/>
          <w:szCs w:val="24"/>
          <w:lang w:val="en-US"/>
        </w:rPr>
      </w:pPr>
      <w:r w:rsidRPr="00AA384A">
        <w:rPr>
          <w:rFonts w:ascii="Book Antiqua" w:hAnsi="Book Antiqua" w:cs="Arial"/>
          <w:color w:val="auto"/>
          <w:sz w:val="24"/>
          <w:szCs w:val="24"/>
          <w:lang w:val="en-US"/>
        </w:rPr>
        <w:t>The achievement of SVR in a great proportion of patients gives BOC-based therapy a relevant option for this group of difficult-to-treat patients, where a deferral strategy towards IFN-free regimens should be carefully evaluated due to the rapid progression of the liver diseases related to the menopausal status.</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Menopausal women with chronic HCV genotype 1 infection are patients experiencing an utmost resistance to antiviral therapy with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 and Ribavirin occurring at and soon after the onset of </w:t>
      </w:r>
      <w:proofErr w:type="gramStart"/>
      <w:r w:rsidRPr="00AA384A">
        <w:rPr>
          <w:rFonts w:ascii="Book Antiqua" w:hAnsi="Book Antiqua" w:cs="Arial"/>
          <w:color w:val="auto"/>
          <w:szCs w:val="24"/>
          <w:lang w:val="en-US"/>
        </w:rPr>
        <w:t>menopause</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9]</w:t>
      </w:r>
      <w:r w:rsidRPr="00AA384A">
        <w:rPr>
          <w:rFonts w:ascii="Book Antiqua" w:hAnsi="Book Antiqua" w:cs="Arial"/>
          <w:color w:val="auto"/>
          <w:szCs w:val="24"/>
          <w:lang w:val="en-US"/>
        </w:rPr>
        <w:t>. This issue could be probably further amplified in patients who failed a previous treatment with PEG-IFN and Ribavirin. In this clinical context several studies, not stratified for gender and menopausal status, were not able to obtain more than a 3</w:t>
      </w:r>
      <w:r w:rsidR="00C20698" w:rsidRPr="00AA384A">
        <w:rPr>
          <w:rFonts w:ascii="Book Antiqua" w:eastAsia="宋体" w:hAnsi="Book Antiqua" w:cs="Arial"/>
          <w:color w:val="auto"/>
          <w:szCs w:val="24"/>
          <w:lang w:val="en-US" w:eastAsia="zh-CN"/>
        </w:rPr>
        <w:t>%</w:t>
      </w:r>
      <w:r w:rsidRPr="00AA384A">
        <w:rPr>
          <w:rFonts w:ascii="Book Antiqua" w:hAnsi="Book Antiqua" w:cs="Arial"/>
          <w:color w:val="auto"/>
          <w:szCs w:val="24"/>
          <w:lang w:val="en-US"/>
        </w:rPr>
        <w:t>-21% SVR despite employing PEG-IFN/RBV-based treatment schedules with higher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 dosages or longer period of treatment than routinely </w:t>
      </w:r>
      <w:proofErr w:type="gramStart"/>
      <w:r w:rsidRPr="00AA384A">
        <w:rPr>
          <w:rFonts w:ascii="Book Antiqua" w:hAnsi="Book Antiqua" w:cs="Arial"/>
          <w:color w:val="auto"/>
          <w:szCs w:val="24"/>
          <w:lang w:val="en-US"/>
        </w:rPr>
        <w:t>used</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14-18]</w:t>
      </w:r>
      <w:r w:rsidRPr="00AA384A">
        <w:rPr>
          <w:rFonts w:ascii="Book Antiqua" w:hAnsi="Book Antiqua" w:cs="Arial"/>
          <w:color w:val="auto"/>
          <w:szCs w:val="24"/>
          <w:lang w:val="en-US"/>
        </w:rPr>
        <w:t xml:space="preserve">. As in all the above studies, our cohort of menopausal patients with a previous failure to dual antiviral therapy exhibited a marked lack of sensitivity toward interferon, i.e. none but two patients achieved RVR after the 4-week lead-in, and a substantial proportion displayed less than 1 log decline of viral load. Despite the this occurrence, the addition of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determined a striking effect: viral load became undetectable in almost 60% of patients after 4 weeks and in more than 70% at week 12, and finally SVR was obtained in 45% of women. The SVR we obtained is slightly lower than that reported in the study by Bacon</w:t>
      </w:r>
      <w:r w:rsidRPr="00AA384A">
        <w:rPr>
          <w:rFonts w:ascii="Book Antiqua" w:hAnsi="Book Antiqua" w:cs="Arial"/>
          <w:i/>
          <w:color w:val="auto"/>
          <w:szCs w:val="24"/>
          <w:lang w:val="en-US"/>
        </w:rPr>
        <w:t xml:space="preserve"> et </w:t>
      </w:r>
      <w:proofErr w:type="gramStart"/>
      <w:r w:rsidRPr="00AA384A">
        <w:rPr>
          <w:rFonts w:ascii="Book Antiqua" w:hAnsi="Book Antiqua" w:cs="Arial"/>
          <w:i/>
          <w:color w:val="auto"/>
          <w:szCs w:val="24"/>
          <w:lang w:val="en-US"/>
        </w:rPr>
        <w:t>al</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17]</w:t>
      </w:r>
      <w:r w:rsidRPr="00AA384A">
        <w:rPr>
          <w:rFonts w:ascii="Book Antiqua" w:hAnsi="Book Antiqua" w:cs="Arial"/>
          <w:color w:val="auto"/>
          <w:szCs w:val="24"/>
          <w:lang w:val="en-US"/>
        </w:rPr>
        <w:t xml:space="preserve"> who, with a similar treatment regimen, obtained a 59% and 66% depending on the treatment schedule. It should, however, be underlined that the population undergoing treatment in the Bacon study was characterized by much more favorable characteristics in term of response to </w:t>
      </w:r>
      <w:r w:rsidRPr="00AA384A">
        <w:rPr>
          <w:rFonts w:ascii="Book Antiqua" w:hAnsi="Book Antiqua" w:cs="Arial"/>
          <w:color w:val="auto"/>
          <w:szCs w:val="24"/>
          <w:lang w:val="en-US"/>
        </w:rPr>
        <w:lastRenderedPageBreak/>
        <w:t xml:space="preserve">antiviral therapy like younger age and less advanced disease than ours. A recent paper by </w:t>
      </w:r>
      <w:proofErr w:type="spellStart"/>
      <w:r w:rsidRPr="00AA384A">
        <w:rPr>
          <w:rFonts w:ascii="Book Antiqua" w:hAnsi="Book Antiqua" w:cs="Arial"/>
          <w:color w:val="auto"/>
          <w:szCs w:val="24"/>
          <w:lang w:val="en-US"/>
        </w:rPr>
        <w:t>Vierling</w:t>
      </w:r>
      <w:proofErr w:type="spellEnd"/>
      <w:r w:rsidRPr="00AA384A">
        <w:rPr>
          <w:rFonts w:ascii="Book Antiqua" w:hAnsi="Book Antiqua" w:cs="Arial"/>
          <w:i/>
          <w:color w:val="auto"/>
          <w:szCs w:val="24"/>
          <w:lang w:val="en-US"/>
        </w:rPr>
        <w:t xml:space="preserve"> et </w:t>
      </w:r>
      <w:proofErr w:type="gramStart"/>
      <w:r w:rsidRPr="00AA384A">
        <w:rPr>
          <w:rFonts w:ascii="Book Antiqua" w:hAnsi="Book Antiqua" w:cs="Arial"/>
          <w:i/>
          <w:color w:val="auto"/>
          <w:szCs w:val="24"/>
          <w:lang w:val="en-US"/>
        </w:rPr>
        <w:t>al</w:t>
      </w:r>
      <w:r w:rsidR="00C53F9D" w:rsidRPr="00AA384A">
        <w:rPr>
          <w:rFonts w:ascii="Book Antiqua" w:hAnsi="Book Antiqua" w:cs="Arial"/>
          <w:color w:val="auto"/>
          <w:szCs w:val="24"/>
          <w:vertAlign w:val="superscript"/>
          <w:lang w:val="en-US"/>
        </w:rPr>
        <w:t>[</w:t>
      </w:r>
      <w:proofErr w:type="gramEnd"/>
      <w:r w:rsidRPr="00AA384A">
        <w:rPr>
          <w:rFonts w:ascii="Book Antiqua" w:hAnsi="Book Antiqua" w:cs="Arial"/>
          <w:color w:val="auto"/>
          <w:szCs w:val="24"/>
          <w:vertAlign w:val="superscript"/>
          <w:lang w:val="en-US"/>
        </w:rPr>
        <w:t>19]</w:t>
      </w:r>
      <w:r w:rsidRPr="00AA384A">
        <w:rPr>
          <w:rFonts w:ascii="Book Antiqua" w:hAnsi="Book Antiqua" w:cs="Arial"/>
          <w:color w:val="auto"/>
          <w:szCs w:val="24"/>
          <w:lang w:val="en-US"/>
        </w:rPr>
        <w:t xml:space="preserve"> reported higher SVR rates with BOC re-treatment. Enrolled patients belonged to control arm of 4 </w:t>
      </w:r>
      <w:proofErr w:type="spellStart"/>
      <w:r w:rsidRPr="00AA384A">
        <w:rPr>
          <w:rFonts w:ascii="Book Antiqua" w:hAnsi="Book Antiqua" w:cs="Arial"/>
          <w:color w:val="auto"/>
          <w:szCs w:val="24"/>
          <w:lang w:val="en-US"/>
        </w:rPr>
        <w:t>Boceprevir</w:t>
      </w:r>
      <w:proofErr w:type="spellEnd"/>
      <w:r w:rsidRPr="00AA384A">
        <w:rPr>
          <w:rFonts w:ascii="Book Antiqua" w:hAnsi="Book Antiqua" w:cs="Arial"/>
          <w:color w:val="auto"/>
          <w:szCs w:val="24"/>
          <w:lang w:val="en-US"/>
        </w:rPr>
        <w:t xml:space="preserve"> studies (SPRINT-2, RESPOND-2, SPRINT-1, or Protocol 05685</w:t>
      </w:r>
      <w:proofErr w:type="gramStart"/>
      <w:r w:rsidRPr="00AA384A">
        <w:rPr>
          <w:rFonts w:ascii="Book Antiqua" w:hAnsi="Book Antiqua" w:cs="Arial"/>
          <w:color w:val="auto"/>
          <w:szCs w:val="24"/>
          <w:lang w:val="en-US"/>
        </w:rPr>
        <w:t>)</w:t>
      </w:r>
      <w:r w:rsidR="00C53F9D" w:rsidRPr="00AA384A">
        <w:rPr>
          <w:rFonts w:ascii="Book Antiqua" w:hAnsi="Book Antiqua" w:cs="Arial"/>
          <w:color w:val="auto"/>
          <w:szCs w:val="24"/>
          <w:vertAlign w:val="superscript"/>
          <w:lang w:val="en-US"/>
        </w:rPr>
        <w:t>[</w:t>
      </w:r>
      <w:proofErr w:type="gramEnd"/>
      <w:r w:rsidR="00C20698" w:rsidRPr="00AA384A">
        <w:rPr>
          <w:rFonts w:ascii="Book Antiqua" w:hAnsi="Book Antiqua" w:cs="Arial"/>
          <w:color w:val="auto"/>
          <w:szCs w:val="24"/>
          <w:vertAlign w:val="superscript"/>
          <w:lang w:val="en-US"/>
        </w:rPr>
        <w:t>17,</w:t>
      </w:r>
      <w:r w:rsidRPr="00AA384A">
        <w:rPr>
          <w:rFonts w:ascii="Book Antiqua" w:hAnsi="Book Antiqua" w:cs="Arial"/>
          <w:color w:val="auto"/>
          <w:szCs w:val="24"/>
          <w:vertAlign w:val="superscript"/>
          <w:lang w:val="en-US"/>
        </w:rPr>
        <w:t>20-22]</w:t>
      </w:r>
      <w:r w:rsidRPr="00AA384A">
        <w:rPr>
          <w:rFonts w:ascii="Book Antiqua" w:hAnsi="Book Antiqua" w:cs="Arial"/>
          <w:color w:val="auto"/>
          <w:szCs w:val="24"/>
          <w:lang w:val="en-US"/>
        </w:rPr>
        <w:t xml:space="preserve"> and had not achieved SVR. They were enrolled soon (&lt;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 xml:space="preserve">2 </w:t>
      </w:r>
      <w:proofErr w:type="spellStart"/>
      <w:r w:rsidRPr="00AA384A">
        <w:rPr>
          <w:rFonts w:ascii="Book Antiqua" w:hAnsi="Book Antiqua" w:cs="Arial"/>
          <w:color w:val="auto"/>
          <w:szCs w:val="24"/>
          <w:lang w:val="en-US"/>
        </w:rPr>
        <w:t>w</w:t>
      </w:r>
      <w:r w:rsidR="00C20698" w:rsidRPr="00AA384A">
        <w:rPr>
          <w:rFonts w:ascii="Book Antiqua" w:hAnsi="Book Antiqua" w:cs="Arial"/>
          <w:color w:val="auto"/>
          <w:szCs w:val="24"/>
          <w:lang w:val="en-US"/>
        </w:rPr>
        <w:t>k</w:t>
      </w:r>
      <w:proofErr w:type="spellEnd"/>
      <w:r w:rsidRPr="00AA384A">
        <w:rPr>
          <w:rFonts w:ascii="Book Antiqua" w:hAnsi="Book Antiqua" w:cs="Arial"/>
          <w:color w:val="auto"/>
          <w:szCs w:val="24"/>
          <w:lang w:val="en-US"/>
        </w:rPr>
        <w:t>) after a failed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/RBV course at least 12 weeks that however, in about 40% of patients, had lasted 48 weeks. This makes the results scarcely comparable with the other re-treatment studies and ours as the patients were exposed in a restricted period of time to PEG-IFN-</w:t>
      </w:r>
      <w:r w:rsidRPr="00AA384A">
        <w:rPr>
          <w:rFonts w:ascii="Book Antiqua" w:hAnsi="Book Antiqua" w:cs="Arial"/>
          <w:color w:val="auto"/>
          <w:szCs w:val="24"/>
          <w:lang w:val="en-US"/>
        </w:rPr>
        <w:sym w:font="Symbol" w:char="F061"/>
      </w:r>
      <w:r w:rsidRPr="00AA384A">
        <w:rPr>
          <w:rFonts w:ascii="Book Antiqua" w:hAnsi="Book Antiqua" w:cs="Arial"/>
          <w:color w:val="auto"/>
          <w:szCs w:val="24"/>
          <w:lang w:val="en-US"/>
        </w:rPr>
        <w:t xml:space="preserve">/RBV for more than double the usual duration of therapy. The </w:t>
      </w:r>
      <w:r w:rsidR="00C20698" w:rsidRPr="00AA384A">
        <w:rPr>
          <w:rFonts w:ascii="Book Antiqua" w:hAnsi="Book Antiqua" w:cs="Arial"/>
          <w:color w:val="auto"/>
          <w:szCs w:val="24"/>
          <w:lang w:val="en-US"/>
        </w:rPr>
        <w:t xml:space="preserve">results reported by </w:t>
      </w:r>
      <w:proofErr w:type="spellStart"/>
      <w:r w:rsidR="00C20698" w:rsidRPr="00AA384A">
        <w:rPr>
          <w:rFonts w:ascii="Book Antiqua" w:hAnsi="Book Antiqua" w:cs="Arial"/>
          <w:color w:val="auto"/>
          <w:szCs w:val="24"/>
          <w:lang w:val="en-US"/>
        </w:rPr>
        <w:t>Flamm</w:t>
      </w:r>
      <w:proofErr w:type="spellEnd"/>
      <w:r w:rsidR="00C20698" w:rsidRPr="00AA384A">
        <w:rPr>
          <w:rFonts w:ascii="Book Antiqua" w:hAnsi="Book Antiqua" w:cs="Arial"/>
          <w:color w:val="auto"/>
          <w:szCs w:val="24"/>
          <w:lang w:val="en-US"/>
        </w:rPr>
        <w:t xml:space="preserve"> </w:t>
      </w:r>
      <w:r w:rsidR="00C20698" w:rsidRPr="00AA384A">
        <w:rPr>
          <w:rFonts w:ascii="Book Antiqua" w:hAnsi="Book Antiqua" w:cs="Arial"/>
          <w:i/>
          <w:color w:val="auto"/>
          <w:szCs w:val="24"/>
          <w:lang w:val="en-US"/>
        </w:rPr>
        <w:t>et al</w:t>
      </w:r>
      <w:r w:rsidR="00C53F9D" w:rsidRPr="00AA384A">
        <w:rPr>
          <w:rFonts w:ascii="Book Antiqua" w:hAnsi="Book Antiqua" w:cs="Arial"/>
          <w:color w:val="auto"/>
          <w:szCs w:val="24"/>
          <w:vertAlign w:val="superscript"/>
          <w:lang w:val="en-US"/>
        </w:rPr>
        <w:t>[</w:t>
      </w:r>
      <w:r w:rsidRPr="00AA384A">
        <w:rPr>
          <w:rFonts w:ascii="Book Antiqua" w:hAnsi="Book Antiqua" w:cs="Arial"/>
          <w:color w:val="auto"/>
          <w:szCs w:val="24"/>
          <w:vertAlign w:val="superscript"/>
          <w:lang w:val="en-US"/>
        </w:rPr>
        <w:t>23]</w:t>
      </w:r>
      <w:r w:rsidRPr="00AA384A">
        <w:rPr>
          <w:rFonts w:ascii="Book Antiqua" w:hAnsi="Book Antiqua" w:cs="Arial"/>
          <w:color w:val="auto"/>
          <w:szCs w:val="24"/>
          <w:lang w:val="en-US"/>
        </w:rPr>
        <w:t xml:space="preserve"> of retreatment of patients previously treated with chronic hepatitis C genotype 1 infection are consistent with ours: subjects who had had poor response to interferon therapy (&lt;</w:t>
      </w:r>
      <w:r w:rsidR="00C20698" w:rsidRPr="00AA384A">
        <w:rPr>
          <w:rFonts w:ascii="Book Antiqua" w:eastAsia="宋体" w:hAnsi="Book Antiqua" w:cs="Arial"/>
          <w:color w:val="auto"/>
          <w:szCs w:val="24"/>
          <w:lang w:val="en-US" w:eastAsia="zh-CN"/>
        </w:rPr>
        <w:t xml:space="preserve"> </w:t>
      </w:r>
      <w:r w:rsidRPr="00AA384A">
        <w:rPr>
          <w:rFonts w:ascii="Book Antiqua" w:hAnsi="Book Antiqua" w:cs="Arial"/>
          <w:color w:val="auto"/>
          <w:szCs w:val="24"/>
          <w:lang w:val="en-US"/>
        </w:rPr>
        <w:t>1-log10 decline in HCV RNA at week 4), had only a 39% SVR. Interestingly, none of the patients with less than 1 log decline had SVR when retreated with dual PEG IFN/RBV. As a general remark, in none of the previously cited retreatment studies was the stratification by menopausal status available.</w:t>
      </w:r>
    </w:p>
    <w:p w:rsidR="00D46CF8" w:rsidRPr="00AA384A" w:rsidRDefault="00D46CF8" w:rsidP="00AA38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auto"/>
          <w:sz w:val="24"/>
          <w:szCs w:val="24"/>
          <w:lang w:val="en-US"/>
        </w:rPr>
      </w:pPr>
      <w:r w:rsidRPr="00AA384A">
        <w:rPr>
          <w:rFonts w:ascii="Book Antiqua" w:hAnsi="Book Antiqua" w:cs="Arial"/>
          <w:color w:val="auto"/>
          <w:sz w:val="24"/>
          <w:szCs w:val="24"/>
          <w:lang w:val="en-US"/>
        </w:rPr>
        <w:t>Another relevant finding of our study lies in the identification of RVR BOC as the only independent predictor of SVR. This result raises attention for relevant practical issues in the management of this diffic</w:t>
      </w:r>
      <w:r w:rsidR="00C20698" w:rsidRPr="00AA384A">
        <w:rPr>
          <w:rFonts w:ascii="Book Antiqua" w:hAnsi="Book Antiqua" w:cs="Arial"/>
          <w:color w:val="auto"/>
          <w:sz w:val="24"/>
          <w:szCs w:val="24"/>
          <w:lang w:val="en-US"/>
        </w:rPr>
        <w:t>ult-to-treat group of patients</w:t>
      </w:r>
      <w:r w:rsidRPr="00AA384A">
        <w:rPr>
          <w:rFonts w:ascii="Book Antiqua" w:hAnsi="Book Antiqua" w:cs="Arial"/>
          <w:color w:val="auto"/>
          <w:sz w:val="24"/>
          <w:szCs w:val="24"/>
          <w:lang w:val="en-US"/>
        </w:rPr>
        <w:t xml:space="preserve">, when RVR BOC occurs, the pattern of previous failure to dual therapy does not significantly affect the likelihood of SVR to BOC-based TT. Second, although 1 log decline of viral load after 4 </w:t>
      </w:r>
      <w:proofErr w:type="spellStart"/>
      <w:r w:rsidRPr="00AA384A">
        <w:rPr>
          <w:rFonts w:ascii="Book Antiqua" w:hAnsi="Book Antiqua" w:cs="Arial"/>
          <w:color w:val="auto"/>
          <w:sz w:val="24"/>
          <w:szCs w:val="24"/>
          <w:lang w:val="en-US"/>
        </w:rPr>
        <w:t>w</w:t>
      </w:r>
      <w:r w:rsidR="002149B6" w:rsidRPr="00AA384A">
        <w:rPr>
          <w:rFonts w:ascii="Book Antiqua" w:hAnsi="Book Antiqua" w:cs="Arial"/>
          <w:color w:val="auto"/>
          <w:sz w:val="24"/>
          <w:szCs w:val="24"/>
          <w:lang w:val="en-US"/>
        </w:rPr>
        <w:t>k</w:t>
      </w:r>
      <w:proofErr w:type="spellEnd"/>
      <w:r w:rsidRPr="00AA384A">
        <w:rPr>
          <w:rFonts w:ascii="Book Antiqua" w:hAnsi="Book Antiqua" w:cs="Arial"/>
          <w:color w:val="auto"/>
          <w:sz w:val="24"/>
          <w:szCs w:val="24"/>
          <w:lang w:val="en-US"/>
        </w:rPr>
        <w:t xml:space="preserve"> of dual therapy identified patients at higher SVR likelihood, it was not confirmed as independently associated with SVR at multivariate analysis. Third, none of the other factors that are traditionally associated with achievement of a sustained </w:t>
      </w:r>
      <w:proofErr w:type="spellStart"/>
      <w:r w:rsidRPr="00AA384A">
        <w:rPr>
          <w:rFonts w:ascii="Book Antiqua" w:hAnsi="Book Antiqua" w:cs="Arial"/>
          <w:color w:val="auto"/>
          <w:sz w:val="24"/>
          <w:szCs w:val="24"/>
          <w:lang w:val="en-US"/>
        </w:rPr>
        <w:t>virological</w:t>
      </w:r>
      <w:proofErr w:type="spellEnd"/>
      <w:r w:rsidRPr="00AA384A">
        <w:rPr>
          <w:rFonts w:ascii="Book Antiqua" w:hAnsi="Book Antiqua" w:cs="Arial"/>
          <w:color w:val="auto"/>
          <w:sz w:val="24"/>
          <w:szCs w:val="24"/>
          <w:lang w:val="en-US"/>
        </w:rPr>
        <w:t xml:space="preserve"> response (</w:t>
      </w:r>
      <w:r w:rsidRPr="00AA384A">
        <w:rPr>
          <w:rFonts w:ascii="Book Antiqua" w:hAnsi="Book Antiqua" w:cs="Arial"/>
          <w:i/>
          <w:color w:val="auto"/>
          <w:sz w:val="24"/>
          <w:szCs w:val="24"/>
          <w:lang w:val="en-US"/>
        </w:rPr>
        <w:t>i.e.</w:t>
      </w:r>
      <w:r w:rsidR="00C20698" w:rsidRPr="00AA384A">
        <w:rPr>
          <w:rFonts w:ascii="Book Antiqua" w:eastAsia="宋体" w:hAnsi="Book Antiqua" w:cs="Arial"/>
          <w:i/>
          <w:color w:val="auto"/>
          <w:sz w:val="24"/>
          <w:szCs w:val="24"/>
          <w:lang w:val="en-US" w:eastAsia="zh-CN"/>
        </w:rPr>
        <w:t>,</w:t>
      </w:r>
      <w:r w:rsidRPr="00AA384A">
        <w:rPr>
          <w:rFonts w:ascii="Book Antiqua" w:hAnsi="Book Antiqua" w:cs="Arial"/>
          <w:color w:val="auto"/>
          <w:sz w:val="24"/>
          <w:szCs w:val="24"/>
          <w:lang w:val="en-US"/>
        </w:rPr>
        <w:t xml:space="preserve"> low viral load at baseline, absence of fibrosis or cirrhosis, IL 28B genotype, &gt;</w:t>
      </w:r>
      <w:r w:rsidR="00C20698" w:rsidRPr="00AA384A">
        <w:rPr>
          <w:rFonts w:ascii="Book Antiqua" w:eastAsia="宋体" w:hAnsi="Book Antiqua" w:cs="Arial"/>
          <w:color w:val="auto"/>
          <w:sz w:val="24"/>
          <w:szCs w:val="24"/>
          <w:lang w:val="en-US" w:eastAsia="zh-CN"/>
        </w:rPr>
        <w:t xml:space="preserve"> </w:t>
      </w:r>
      <w:r w:rsidRPr="00AA384A">
        <w:rPr>
          <w:rFonts w:ascii="Book Antiqua" w:hAnsi="Book Antiqua" w:cs="Arial"/>
          <w:color w:val="auto"/>
          <w:sz w:val="24"/>
          <w:szCs w:val="24"/>
          <w:lang w:val="en-US"/>
        </w:rPr>
        <w:t>1 log10 decrease in HCV RNA)</w:t>
      </w:r>
      <w:r w:rsidR="00C53F9D" w:rsidRPr="00AA384A">
        <w:rPr>
          <w:rFonts w:ascii="Book Antiqua" w:hAnsi="Book Antiqua" w:cs="Arial"/>
          <w:color w:val="auto"/>
          <w:sz w:val="24"/>
          <w:szCs w:val="24"/>
          <w:vertAlign w:val="superscript"/>
          <w:lang w:val="en-US"/>
        </w:rPr>
        <w:t>[</w:t>
      </w:r>
      <w:r w:rsidRPr="00AA384A">
        <w:rPr>
          <w:rFonts w:ascii="Book Antiqua" w:hAnsi="Book Antiqua" w:cs="Arial"/>
          <w:color w:val="auto"/>
          <w:sz w:val="24"/>
          <w:szCs w:val="24"/>
          <w:vertAlign w:val="superscript"/>
          <w:lang w:val="en-US"/>
        </w:rPr>
        <w:t>24]</w:t>
      </w:r>
      <w:r w:rsidRPr="00AA384A">
        <w:rPr>
          <w:rFonts w:ascii="Book Antiqua" w:hAnsi="Book Antiqua" w:cs="Arial"/>
          <w:color w:val="auto"/>
          <w:sz w:val="24"/>
          <w:szCs w:val="24"/>
          <w:lang w:val="en-US"/>
        </w:rPr>
        <w:t xml:space="preserve"> was independently related with SVR. It is of note that the relevance of RVR BOC as predictor of SVR has been identified in other studies of difficult-to-treat population like patients with </w:t>
      </w:r>
      <w:proofErr w:type="gramStart"/>
      <w:r w:rsidRPr="00AA384A">
        <w:rPr>
          <w:rFonts w:ascii="Book Antiqua" w:hAnsi="Book Antiqua" w:cs="Arial"/>
          <w:color w:val="auto"/>
          <w:sz w:val="24"/>
          <w:szCs w:val="24"/>
          <w:lang w:val="en-US"/>
        </w:rPr>
        <w:t>cirrhosis</w:t>
      </w:r>
      <w:r w:rsidR="00C53F9D" w:rsidRPr="00AA384A">
        <w:rPr>
          <w:rFonts w:ascii="Book Antiqua" w:hAnsi="Book Antiqua" w:cs="Arial"/>
          <w:color w:val="auto"/>
          <w:sz w:val="24"/>
          <w:szCs w:val="24"/>
          <w:vertAlign w:val="superscript"/>
          <w:lang w:val="en-US"/>
        </w:rPr>
        <w:t>[</w:t>
      </w:r>
      <w:proofErr w:type="gramEnd"/>
      <w:r w:rsidR="00C20698" w:rsidRPr="00AA384A">
        <w:rPr>
          <w:rFonts w:ascii="Book Antiqua" w:hAnsi="Book Antiqua" w:cs="Arial"/>
          <w:color w:val="auto"/>
          <w:sz w:val="24"/>
          <w:szCs w:val="24"/>
          <w:vertAlign w:val="superscript"/>
          <w:lang w:val="en-US"/>
        </w:rPr>
        <w:t>25,</w:t>
      </w:r>
      <w:r w:rsidRPr="00AA384A">
        <w:rPr>
          <w:rFonts w:ascii="Book Antiqua" w:hAnsi="Book Antiqua" w:cs="Arial"/>
          <w:color w:val="auto"/>
          <w:sz w:val="24"/>
          <w:szCs w:val="24"/>
          <w:vertAlign w:val="superscript"/>
          <w:lang w:val="en-US"/>
        </w:rPr>
        <w:t>26]</w:t>
      </w:r>
      <w:r w:rsidRPr="00AA384A">
        <w:rPr>
          <w:rFonts w:ascii="Book Antiqua" w:hAnsi="Book Antiqua" w:cs="Arial"/>
          <w:color w:val="auto"/>
          <w:sz w:val="24"/>
          <w:szCs w:val="24"/>
          <w:lang w:val="en-US"/>
        </w:rPr>
        <w:t>.</w:t>
      </w:r>
    </w:p>
    <w:p w:rsidR="00D46CF8" w:rsidRPr="00AA384A" w:rsidRDefault="00D46CF8" w:rsidP="00AA384A">
      <w:pPr>
        <w:autoSpaceDE w:val="0"/>
        <w:autoSpaceDN w:val="0"/>
        <w:adjustRightInd w:val="0"/>
        <w:spacing w:line="360" w:lineRule="auto"/>
        <w:ind w:firstLineChars="200" w:firstLine="480"/>
        <w:jc w:val="both"/>
        <w:rPr>
          <w:rFonts w:ascii="Book Antiqua" w:hAnsi="Book Antiqua" w:cs="Arial"/>
          <w:color w:val="auto"/>
        </w:rPr>
      </w:pPr>
      <w:r w:rsidRPr="00AA384A">
        <w:rPr>
          <w:rFonts w:ascii="Book Antiqua" w:hAnsi="Book Antiqua" w:cs="Arial"/>
          <w:color w:val="auto"/>
        </w:rPr>
        <w:lastRenderedPageBreak/>
        <w:t xml:space="preserve">The main limitation of this study lies in the potentially limited external validity of the results for different populations and settings. Our study included a cohort of Italian patients enrolled at tertiary care centers, who may be different from general population, in terms of both metabolic features and severity of liver disease, </w:t>
      </w:r>
      <w:r w:rsidRPr="00AA384A">
        <w:rPr>
          <w:rFonts w:ascii="Book Antiqua" w:eastAsia="Batang" w:hAnsi="Book Antiqua" w:cs="Arial"/>
          <w:color w:val="auto"/>
          <w:lang w:val="en-GB" w:eastAsia="ko-KR" w:bidi="th-TH"/>
        </w:rPr>
        <w:t xml:space="preserve">limiting the broad application of the results. </w:t>
      </w:r>
    </w:p>
    <w:p w:rsidR="00D46CF8" w:rsidRPr="00AA384A" w:rsidRDefault="00D46CF8" w:rsidP="00AA384A">
      <w:pPr>
        <w:autoSpaceDE w:val="0"/>
        <w:autoSpaceDN w:val="0"/>
        <w:adjustRightInd w:val="0"/>
        <w:spacing w:line="360" w:lineRule="auto"/>
        <w:ind w:firstLineChars="250" w:firstLine="600"/>
        <w:jc w:val="both"/>
        <w:rPr>
          <w:rFonts w:ascii="Book Antiqua" w:hAnsi="Book Antiqua" w:cs="Arial"/>
          <w:color w:val="auto"/>
        </w:rPr>
      </w:pPr>
      <w:r w:rsidRPr="00AA384A">
        <w:rPr>
          <w:rFonts w:ascii="Book Antiqua" w:hAnsi="Book Antiqua" w:cs="Arial"/>
          <w:color w:val="auto"/>
        </w:rPr>
        <w:t xml:space="preserve">In conclusion, </w:t>
      </w:r>
      <w:proofErr w:type="spellStart"/>
      <w:r w:rsidRPr="00AA384A">
        <w:rPr>
          <w:rFonts w:ascii="Book Antiqua" w:hAnsi="Book Antiqua" w:cs="Arial"/>
          <w:color w:val="auto"/>
        </w:rPr>
        <w:t>Boceprevir</w:t>
      </w:r>
      <w:proofErr w:type="spellEnd"/>
      <w:r w:rsidRPr="00AA384A">
        <w:rPr>
          <w:rFonts w:ascii="Book Antiqua" w:hAnsi="Book Antiqua" w:cs="Arial"/>
          <w:color w:val="auto"/>
        </w:rPr>
        <w:t xml:space="preserve"> addition to standard PEG-IFN-</w:t>
      </w:r>
      <w:r w:rsidRPr="00AA384A">
        <w:rPr>
          <w:rFonts w:ascii="Book Antiqua" w:hAnsi="Book Antiqua" w:cs="Arial"/>
          <w:color w:val="auto"/>
        </w:rPr>
        <w:sym w:font="Symbol" w:char="F061"/>
      </w:r>
      <w:r w:rsidRPr="00AA384A">
        <w:rPr>
          <w:rFonts w:ascii="Book Antiqua" w:hAnsi="Book Antiqua" w:cs="Arial"/>
          <w:color w:val="auto"/>
        </w:rPr>
        <w:t>/RBV therapy was effective in achieving SVR in about 50% of menopausal women with chronic hepatitis C, genotype 1, who had failed SVR with prior PEG-IFN-</w:t>
      </w:r>
      <w:r w:rsidRPr="00AA384A">
        <w:rPr>
          <w:rFonts w:ascii="Book Antiqua" w:hAnsi="Book Antiqua" w:cs="Arial"/>
          <w:color w:val="auto"/>
        </w:rPr>
        <w:sym w:font="Symbol" w:char="F061"/>
      </w:r>
      <w:r w:rsidRPr="00AA384A">
        <w:rPr>
          <w:rFonts w:ascii="Book Antiqua" w:hAnsi="Book Antiqua" w:cs="Arial"/>
          <w:color w:val="auto"/>
        </w:rPr>
        <w:t xml:space="preserve">/RBV treatment. Most importantly, </w:t>
      </w:r>
      <w:proofErr w:type="spellStart"/>
      <w:r w:rsidRPr="00AA384A">
        <w:rPr>
          <w:rFonts w:ascii="Book Antiqua" w:hAnsi="Book Antiqua" w:cs="Arial"/>
          <w:color w:val="auto"/>
        </w:rPr>
        <w:t>Boceprevir</w:t>
      </w:r>
      <w:proofErr w:type="spellEnd"/>
      <w:r w:rsidRPr="00AA384A">
        <w:rPr>
          <w:rFonts w:ascii="Book Antiqua" w:hAnsi="Book Antiqua" w:cs="Arial"/>
          <w:color w:val="auto"/>
        </w:rPr>
        <w:t xml:space="preserve">-based triple therapy success rate was not influenced by pattern of previous response to DT or by the severity of liver fibrosis while RVR BOC was the only independent predictor of SVR. This opens a relevant possibility for patients who are at high risk of a rapid progression toward cirrhosis and/or </w:t>
      </w:r>
      <w:proofErr w:type="spellStart"/>
      <w:r w:rsidRPr="00AA384A">
        <w:rPr>
          <w:rFonts w:ascii="Book Antiqua" w:hAnsi="Book Antiqua" w:cs="Arial"/>
          <w:color w:val="auto"/>
        </w:rPr>
        <w:t>decompensation</w:t>
      </w:r>
      <w:proofErr w:type="spellEnd"/>
      <w:r w:rsidRPr="00AA384A">
        <w:rPr>
          <w:rFonts w:ascii="Book Antiqua" w:hAnsi="Book Antiqua" w:cs="Arial"/>
          <w:color w:val="auto"/>
        </w:rPr>
        <w:t>.</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eastAsia="en-US"/>
        </w:rPr>
      </w:pPr>
    </w:p>
    <w:p w:rsidR="00D46CF8" w:rsidRPr="00AA384A" w:rsidRDefault="00D46CF8" w:rsidP="00AA384A">
      <w:pPr>
        <w:spacing w:line="360" w:lineRule="auto"/>
        <w:jc w:val="both"/>
        <w:rPr>
          <w:rFonts w:ascii="Book Antiqua" w:hAnsi="Book Antiqua"/>
          <w:b/>
          <w:color w:val="auto"/>
        </w:rPr>
      </w:pPr>
      <w:bookmarkStart w:id="80" w:name="OLE_LINK13"/>
      <w:bookmarkStart w:id="81" w:name="OLE_LINK323"/>
      <w:bookmarkStart w:id="82" w:name="OLE_LINK349"/>
      <w:bookmarkStart w:id="83" w:name="OLE_LINK377"/>
      <w:bookmarkStart w:id="84" w:name="OLE_LINK386"/>
      <w:bookmarkStart w:id="85" w:name="OLE_LINK400"/>
      <w:bookmarkStart w:id="86" w:name="OLE_LINK416"/>
      <w:r w:rsidRPr="00AA384A">
        <w:rPr>
          <w:rFonts w:ascii="Book Antiqua" w:hAnsi="Book Antiqua"/>
          <w:b/>
          <w:color w:val="auto"/>
        </w:rPr>
        <w:t>COMMENTS</w:t>
      </w:r>
    </w:p>
    <w:p w:rsidR="00D46CF8" w:rsidRPr="00AA384A" w:rsidRDefault="00D46CF8" w:rsidP="00AA384A">
      <w:pPr>
        <w:spacing w:line="360" w:lineRule="auto"/>
        <w:jc w:val="both"/>
        <w:rPr>
          <w:rFonts w:ascii="Book Antiqua" w:hAnsi="Book Antiqua"/>
          <w:b/>
          <w:i/>
          <w:color w:val="auto"/>
        </w:rPr>
      </w:pPr>
      <w:r w:rsidRPr="00AA384A">
        <w:rPr>
          <w:rFonts w:ascii="Book Antiqua" w:hAnsi="Book Antiqua"/>
          <w:b/>
          <w:i/>
          <w:color w:val="auto"/>
        </w:rPr>
        <w:t>Background</w:t>
      </w:r>
    </w:p>
    <w:p w:rsidR="00D46CF8" w:rsidRPr="00AA384A" w:rsidRDefault="00D46CF8" w:rsidP="00AA384A">
      <w:pPr>
        <w:spacing w:line="360" w:lineRule="auto"/>
        <w:jc w:val="both"/>
        <w:rPr>
          <w:rFonts w:ascii="Book Antiqua" w:eastAsia="宋体" w:hAnsi="Book Antiqua"/>
          <w:color w:val="auto"/>
          <w:lang w:eastAsia="zh-CN"/>
        </w:rPr>
      </w:pPr>
      <w:r w:rsidRPr="00AA384A">
        <w:rPr>
          <w:rFonts w:ascii="Book Antiqua" w:hAnsi="Book Antiqua" w:cs="Arial"/>
          <w:color w:val="auto"/>
        </w:rPr>
        <w:t xml:space="preserve">Hepatitis C (HCV) infection is a leading cause of chronic liver disease. In menopausal women, the disease becomes much more rapidly progressing than during reproductive age, </w:t>
      </w:r>
      <w:r w:rsidRPr="00AA384A">
        <w:rPr>
          <w:rFonts w:ascii="Book Antiqua" w:hAnsi="Book Antiqua"/>
          <w:color w:val="auto"/>
        </w:rPr>
        <w:t>severe fibrosis develops, and response to antiviral therapy becomes low.</w:t>
      </w:r>
    </w:p>
    <w:p w:rsidR="002149B6" w:rsidRPr="00AA384A" w:rsidRDefault="002149B6" w:rsidP="00AA384A">
      <w:pPr>
        <w:spacing w:line="360" w:lineRule="auto"/>
        <w:jc w:val="both"/>
        <w:rPr>
          <w:rFonts w:ascii="Book Antiqua" w:eastAsia="宋体" w:hAnsi="Book Antiqua" w:cs="Arial"/>
          <w:color w:val="auto"/>
          <w:lang w:eastAsia="zh-CN"/>
        </w:rPr>
      </w:pPr>
    </w:p>
    <w:p w:rsidR="00D46CF8" w:rsidRPr="00AA384A" w:rsidRDefault="00D46CF8" w:rsidP="00AA384A">
      <w:pPr>
        <w:spacing w:line="360" w:lineRule="auto"/>
        <w:jc w:val="both"/>
        <w:rPr>
          <w:rFonts w:ascii="Book Antiqua" w:hAnsi="Book Antiqua"/>
          <w:b/>
          <w:i/>
          <w:color w:val="auto"/>
        </w:rPr>
      </w:pPr>
      <w:r w:rsidRPr="00AA384A">
        <w:rPr>
          <w:rFonts w:ascii="Book Antiqua" w:hAnsi="Book Antiqua"/>
          <w:b/>
          <w:i/>
          <w:color w:val="auto"/>
        </w:rPr>
        <w:t>Research frontiers</w:t>
      </w:r>
    </w:p>
    <w:p w:rsidR="00C20698" w:rsidRPr="00AA384A" w:rsidRDefault="00D46CF8" w:rsidP="00AA384A">
      <w:pPr>
        <w:spacing w:line="360" w:lineRule="auto"/>
        <w:jc w:val="both"/>
        <w:rPr>
          <w:rFonts w:ascii="Book Antiqua" w:eastAsia="宋体" w:hAnsi="Book Antiqua" w:cs="Arial"/>
          <w:color w:val="auto"/>
          <w:lang w:eastAsia="zh-CN"/>
        </w:rPr>
      </w:pPr>
      <w:r w:rsidRPr="00AA384A">
        <w:rPr>
          <w:rFonts w:ascii="Book Antiqua" w:hAnsi="Book Antiqua" w:cs="Arial"/>
          <w:color w:val="auto"/>
        </w:rPr>
        <w:t>The therapeutic options for Hepatitis C are rapidly growing. New drugs will be, however, extremely expensive and the use of the best cost-effective options should be pursued in order to offer treatment to the largest number of patients.</w:t>
      </w:r>
    </w:p>
    <w:p w:rsidR="00D46CF8" w:rsidRPr="00AA384A" w:rsidRDefault="00D46CF8" w:rsidP="00AA384A">
      <w:pPr>
        <w:spacing w:line="360" w:lineRule="auto"/>
        <w:jc w:val="both"/>
        <w:rPr>
          <w:rFonts w:ascii="Book Antiqua" w:hAnsi="Book Antiqua" w:cs="Arial"/>
          <w:color w:val="auto"/>
        </w:rPr>
      </w:pPr>
      <w:r w:rsidRPr="00AA384A">
        <w:rPr>
          <w:rFonts w:ascii="Book Antiqua" w:hAnsi="Book Antiqua" w:cs="Arial"/>
          <w:color w:val="auto"/>
        </w:rPr>
        <w:t xml:space="preserve"> </w:t>
      </w:r>
    </w:p>
    <w:p w:rsidR="00D46CF8" w:rsidRPr="00AA384A" w:rsidRDefault="00D46CF8" w:rsidP="00AA384A">
      <w:pPr>
        <w:spacing w:line="360" w:lineRule="auto"/>
        <w:jc w:val="both"/>
        <w:rPr>
          <w:rFonts w:ascii="Book Antiqua" w:hAnsi="Book Antiqua"/>
          <w:b/>
          <w:i/>
          <w:color w:val="auto"/>
        </w:rPr>
      </w:pPr>
      <w:r w:rsidRPr="00AA384A">
        <w:rPr>
          <w:rFonts w:ascii="Book Antiqua" w:hAnsi="Book Antiqua"/>
          <w:b/>
          <w:i/>
          <w:color w:val="auto"/>
        </w:rPr>
        <w:t>Innovations and breakthroughs</w:t>
      </w:r>
    </w:p>
    <w:p w:rsidR="00D46CF8" w:rsidRPr="00AA384A" w:rsidRDefault="00D46CF8" w:rsidP="00AA384A">
      <w:pPr>
        <w:spacing w:line="360" w:lineRule="auto"/>
        <w:jc w:val="both"/>
        <w:rPr>
          <w:rFonts w:ascii="Book Antiqua" w:eastAsia="宋体" w:hAnsi="Book Antiqua" w:cs="Arial"/>
          <w:color w:val="auto"/>
          <w:lang w:eastAsia="zh-CN"/>
        </w:rPr>
      </w:pPr>
      <w:r w:rsidRPr="00AA384A">
        <w:rPr>
          <w:rFonts w:ascii="Book Antiqua" w:hAnsi="Book Antiqua" w:cs="Arial"/>
          <w:color w:val="auto"/>
        </w:rPr>
        <w:t>The results support the concept that triple antiviral treatment with PEG IFN/</w:t>
      </w:r>
      <w:proofErr w:type="spellStart"/>
      <w:r w:rsidRPr="00AA384A">
        <w:rPr>
          <w:rFonts w:ascii="Book Antiqua" w:hAnsi="Book Antiqua" w:cs="Arial"/>
          <w:color w:val="auto"/>
        </w:rPr>
        <w:t>Ribavarin</w:t>
      </w:r>
      <w:proofErr w:type="spellEnd"/>
      <w:r w:rsidRPr="00AA384A">
        <w:rPr>
          <w:rFonts w:ascii="Book Antiqua" w:hAnsi="Book Antiqua" w:cs="Arial"/>
          <w:color w:val="auto"/>
        </w:rPr>
        <w:t xml:space="preserve"> and </w:t>
      </w:r>
      <w:proofErr w:type="spellStart"/>
      <w:r w:rsidRPr="00AA384A">
        <w:rPr>
          <w:rFonts w:ascii="Book Antiqua" w:hAnsi="Book Antiqua" w:cs="Arial"/>
          <w:color w:val="auto"/>
        </w:rPr>
        <w:t>Boceprevir</w:t>
      </w:r>
      <w:proofErr w:type="spellEnd"/>
      <w:r w:rsidRPr="00AA384A">
        <w:rPr>
          <w:rFonts w:ascii="Book Antiqua" w:hAnsi="Book Antiqua" w:cs="Arial"/>
          <w:color w:val="auto"/>
        </w:rPr>
        <w:t xml:space="preserve"> is able to obtain a striking improvement in the </w:t>
      </w:r>
      <w:r w:rsidRPr="00AA384A">
        <w:rPr>
          <w:rFonts w:ascii="Book Antiqua" w:hAnsi="Book Antiqua" w:cs="Arial"/>
          <w:color w:val="auto"/>
        </w:rPr>
        <w:lastRenderedPageBreak/>
        <w:t>SVR rate of menopausal women with Hepatitis C with previous treatment failure.</w:t>
      </w:r>
    </w:p>
    <w:p w:rsidR="00C20698" w:rsidRPr="00AA384A" w:rsidRDefault="00C20698" w:rsidP="00AA384A">
      <w:pPr>
        <w:spacing w:line="360" w:lineRule="auto"/>
        <w:jc w:val="both"/>
        <w:rPr>
          <w:rFonts w:ascii="Book Antiqua" w:eastAsia="宋体" w:hAnsi="Book Antiqua" w:cs="Arial"/>
          <w:color w:val="auto"/>
          <w:lang w:eastAsia="zh-CN"/>
        </w:rPr>
      </w:pPr>
    </w:p>
    <w:p w:rsidR="00D46CF8" w:rsidRPr="00AA384A" w:rsidRDefault="00D46CF8" w:rsidP="00AA384A">
      <w:pPr>
        <w:spacing w:line="360" w:lineRule="auto"/>
        <w:jc w:val="both"/>
        <w:rPr>
          <w:rFonts w:ascii="Book Antiqua" w:hAnsi="Book Antiqua"/>
          <w:b/>
          <w:i/>
          <w:color w:val="auto"/>
        </w:rPr>
      </w:pPr>
      <w:r w:rsidRPr="00AA384A">
        <w:rPr>
          <w:rFonts w:ascii="Book Antiqua" w:hAnsi="Book Antiqua"/>
          <w:b/>
          <w:i/>
          <w:color w:val="auto"/>
        </w:rPr>
        <w:t>Applications</w:t>
      </w:r>
    </w:p>
    <w:p w:rsidR="00C20698" w:rsidRPr="00AA384A" w:rsidRDefault="00D46CF8" w:rsidP="00AA384A">
      <w:pPr>
        <w:spacing w:line="360" w:lineRule="auto"/>
        <w:jc w:val="both"/>
        <w:rPr>
          <w:rFonts w:ascii="Book Antiqua" w:eastAsia="宋体" w:hAnsi="Book Antiqua"/>
          <w:color w:val="auto"/>
          <w:lang w:eastAsia="zh-CN"/>
        </w:rPr>
      </w:pPr>
      <w:r w:rsidRPr="00AA384A">
        <w:rPr>
          <w:rFonts w:ascii="Book Antiqua" w:hAnsi="Book Antiqua"/>
          <w:color w:val="auto"/>
        </w:rPr>
        <w:t xml:space="preserve">The management of patients who do not achieve a viral response has always been challenging. The results of this study support the efficacy, safety and tolerability of PEG IFN/ Ribavirin and </w:t>
      </w:r>
      <w:proofErr w:type="spellStart"/>
      <w:r w:rsidRPr="00AA384A">
        <w:rPr>
          <w:rFonts w:ascii="Book Antiqua" w:hAnsi="Book Antiqua"/>
          <w:color w:val="auto"/>
        </w:rPr>
        <w:t>Boceprevir</w:t>
      </w:r>
      <w:proofErr w:type="spellEnd"/>
      <w:r w:rsidRPr="00AA384A">
        <w:rPr>
          <w:rFonts w:ascii="Book Antiqua" w:hAnsi="Book Antiqua"/>
          <w:color w:val="auto"/>
        </w:rPr>
        <w:t xml:space="preserve"> in a high percentage of previous non responders to PEG IFN/Ribavirin thus offering immediate cure to patients otherwise likely to rapidly progress toward severe fibrosis. </w:t>
      </w:r>
    </w:p>
    <w:p w:rsidR="00C20698" w:rsidRPr="00AA384A" w:rsidRDefault="00C20698" w:rsidP="00AA384A">
      <w:pPr>
        <w:spacing w:line="360" w:lineRule="auto"/>
        <w:jc w:val="both"/>
        <w:rPr>
          <w:rFonts w:ascii="Book Antiqua" w:eastAsia="宋体" w:hAnsi="Book Antiqua"/>
          <w:color w:val="auto"/>
          <w:lang w:eastAsia="zh-CN"/>
        </w:rPr>
      </w:pPr>
    </w:p>
    <w:p w:rsidR="00D46CF8" w:rsidRPr="00AA384A" w:rsidRDefault="00D46CF8" w:rsidP="00AA384A">
      <w:pPr>
        <w:spacing w:line="360" w:lineRule="auto"/>
        <w:jc w:val="both"/>
        <w:rPr>
          <w:rFonts w:ascii="Book Antiqua" w:hAnsi="Book Antiqua"/>
          <w:b/>
          <w:i/>
          <w:color w:val="auto"/>
        </w:rPr>
      </w:pPr>
      <w:r w:rsidRPr="00AA384A">
        <w:rPr>
          <w:rFonts w:ascii="Book Antiqua" w:hAnsi="Book Antiqua"/>
          <w:b/>
          <w:i/>
          <w:color w:val="auto"/>
        </w:rPr>
        <w:t>Terminology</w:t>
      </w:r>
    </w:p>
    <w:p w:rsidR="00D46CF8" w:rsidRPr="00AA384A" w:rsidRDefault="00D46CF8" w:rsidP="00AA384A">
      <w:pPr>
        <w:spacing w:line="360" w:lineRule="auto"/>
        <w:jc w:val="both"/>
        <w:rPr>
          <w:rFonts w:ascii="Book Antiqua" w:hAnsi="Book Antiqua"/>
          <w:color w:val="auto"/>
        </w:rPr>
      </w:pPr>
      <w:r w:rsidRPr="00AA384A">
        <w:rPr>
          <w:rFonts w:ascii="Book Antiqua" w:hAnsi="Book Antiqua"/>
          <w:color w:val="auto"/>
        </w:rPr>
        <w:t xml:space="preserve">SVR indicates sustained </w:t>
      </w:r>
      <w:proofErr w:type="spellStart"/>
      <w:r w:rsidRPr="00AA384A">
        <w:rPr>
          <w:rFonts w:ascii="Book Antiqua" w:hAnsi="Book Antiqua"/>
          <w:color w:val="auto"/>
        </w:rPr>
        <w:t>virological</w:t>
      </w:r>
      <w:proofErr w:type="spellEnd"/>
      <w:r w:rsidRPr="00AA384A">
        <w:rPr>
          <w:rFonts w:ascii="Book Antiqua" w:hAnsi="Book Antiqua"/>
          <w:color w:val="auto"/>
        </w:rPr>
        <w:t xml:space="preserve"> response,</w:t>
      </w:r>
      <w:r w:rsidRPr="00AA384A">
        <w:rPr>
          <w:rFonts w:ascii="Book Antiqua" w:hAnsi="Book Antiqua"/>
          <w:i/>
          <w:color w:val="auto"/>
        </w:rPr>
        <w:t xml:space="preserve"> i.e.</w:t>
      </w:r>
      <w:r w:rsidR="00C20698" w:rsidRPr="00AA384A">
        <w:rPr>
          <w:rFonts w:ascii="Book Antiqua" w:eastAsia="宋体" w:hAnsi="Book Antiqua"/>
          <w:i/>
          <w:color w:val="auto"/>
          <w:lang w:eastAsia="zh-CN"/>
        </w:rPr>
        <w:t>,</w:t>
      </w:r>
      <w:r w:rsidRPr="00AA384A">
        <w:rPr>
          <w:rFonts w:ascii="Book Antiqua" w:hAnsi="Book Antiqua"/>
          <w:i/>
          <w:color w:val="auto"/>
        </w:rPr>
        <w:t xml:space="preserve"> </w:t>
      </w:r>
      <w:r w:rsidR="00C20698" w:rsidRPr="00AA384A">
        <w:rPr>
          <w:rFonts w:ascii="Book Antiqua" w:hAnsi="Book Antiqua"/>
          <w:color w:val="auto"/>
        </w:rPr>
        <w:t>viral clearance for more</w:t>
      </w:r>
      <w:r w:rsidR="00C20698" w:rsidRPr="00AA384A">
        <w:rPr>
          <w:rFonts w:ascii="Book Antiqua" w:eastAsia="宋体" w:hAnsi="Book Antiqua"/>
          <w:color w:val="auto"/>
          <w:lang w:eastAsia="zh-CN"/>
        </w:rPr>
        <w:t xml:space="preserve"> </w:t>
      </w:r>
      <w:r w:rsidRPr="00AA384A">
        <w:rPr>
          <w:rFonts w:ascii="Book Antiqua" w:hAnsi="Book Antiqua"/>
          <w:color w:val="auto"/>
        </w:rPr>
        <w:t xml:space="preserve">than 24 </w:t>
      </w:r>
      <w:proofErr w:type="spellStart"/>
      <w:r w:rsidRPr="00AA384A">
        <w:rPr>
          <w:rFonts w:ascii="Book Antiqua" w:hAnsi="Book Antiqua"/>
          <w:color w:val="auto"/>
        </w:rPr>
        <w:t>w</w:t>
      </w:r>
      <w:r w:rsidR="00C20698" w:rsidRPr="00AA384A">
        <w:rPr>
          <w:rFonts w:ascii="Book Antiqua" w:hAnsi="Book Antiqua"/>
          <w:color w:val="auto"/>
        </w:rPr>
        <w:t>k</w:t>
      </w:r>
      <w:proofErr w:type="spellEnd"/>
      <w:r w:rsidRPr="00AA384A">
        <w:rPr>
          <w:rFonts w:ascii="Book Antiqua" w:hAnsi="Book Antiqua"/>
          <w:color w:val="auto"/>
        </w:rPr>
        <w:t xml:space="preserve"> after treatment.</w:t>
      </w:r>
    </w:p>
    <w:p w:rsidR="00C20698" w:rsidRPr="00AA384A" w:rsidRDefault="00C20698" w:rsidP="00AA384A">
      <w:pPr>
        <w:spacing w:line="360" w:lineRule="auto"/>
        <w:jc w:val="both"/>
        <w:rPr>
          <w:rFonts w:ascii="Book Antiqua" w:eastAsia="宋体" w:hAnsi="Book Antiqua"/>
          <w:color w:val="auto"/>
          <w:lang w:eastAsia="zh-CN"/>
        </w:rPr>
      </w:pPr>
    </w:p>
    <w:p w:rsidR="00D46CF8" w:rsidRPr="00AA384A" w:rsidRDefault="00D46CF8" w:rsidP="00AA384A">
      <w:pPr>
        <w:spacing w:line="360" w:lineRule="auto"/>
        <w:jc w:val="both"/>
        <w:rPr>
          <w:rFonts w:ascii="Book Antiqua" w:hAnsi="Book Antiqua"/>
          <w:b/>
          <w:i/>
          <w:color w:val="auto"/>
        </w:rPr>
      </w:pPr>
      <w:r w:rsidRPr="00AA384A">
        <w:rPr>
          <w:rFonts w:ascii="Book Antiqua" w:hAnsi="Book Antiqua"/>
          <w:b/>
          <w:i/>
          <w:color w:val="auto"/>
        </w:rPr>
        <w:t>Peer review</w:t>
      </w:r>
    </w:p>
    <w:p w:rsidR="00D46CF8" w:rsidRPr="00AA384A" w:rsidRDefault="004672DC" w:rsidP="00AA384A">
      <w:pPr>
        <w:spacing w:line="360" w:lineRule="auto"/>
        <w:jc w:val="both"/>
        <w:rPr>
          <w:rFonts w:ascii="Book Antiqua" w:hAnsi="Book Antiqua"/>
          <w:color w:val="auto"/>
        </w:rPr>
      </w:pPr>
      <w:r w:rsidRPr="00AA384A">
        <w:rPr>
          <w:rFonts w:ascii="Book Antiqua" w:hAnsi="Book Antiqua"/>
          <w:color w:val="auto"/>
        </w:rPr>
        <w:t xml:space="preserve">In the manuscript the </w:t>
      </w:r>
      <w:proofErr w:type="gramStart"/>
      <w:r w:rsidRPr="00AA384A">
        <w:rPr>
          <w:rFonts w:ascii="Book Antiqua" w:hAnsi="Book Antiqua"/>
          <w:color w:val="auto"/>
        </w:rPr>
        <w:t>authors</w:t>
      </w:r>
      <w:proofErr w:type="gramEnd"/>
      <w:r w:rsidRPr="00AA384A">
        <w:rPr>
          <w:rFonts w:ascii="Book Antiqua" w:hAnsi="Book Antiqua"/>
          <w:color w:val="auto"/>
        </w:rPr>
        <w:t xml:space="preserve"> present data showing that the difficult to treat population of menopausal women display improved treatment results by the inclusion of </w:t>
      </w:r>
      <w:proofErr w:type="spellStart"/>
      <w:r w:rsidRPr="00AA384A">
        <w:rPr>
          <w:rFonts w:ascii="Book Antiqua" w:hAnsi="Book Antiqua"/>
          <w:color w:val="auto"/>
        </w:rPr>
        <w:t>boceprevir</w:t>
      </w:r>
      <w:proofErr w:type="spellEnd"/>
      <w:r w:rsidRPr="00AA384A">
        <w:rPr>
          <w:rFonts w:ascii="Book Antiqua" w:hAnsi="Book Antiqua"/>
          <w:color w:val="auto"/>
        </w:rPr>
        <w:t xml:space="preserve">. The manuscript is clearly presented and generally well-written, although it should be edited once more by the authors before </w:t>
      </w:r>
      <w:bookmarkStart w:id="87" w:name="_GoBack"/>
      <w:r w:rsidRPr="00AA384A">
        <w:rPr>
          <w:rFonts w:ascii="Book Antiqua" w:hAnsi="Book Antiqua"/>
          <w:color w:val="auto"/>
        </w:rPr>
        <w:t xml:space="preserve">publishing. HCV triple therapy including either </w:t>
      </w:r>
      <w:proofErr w:type="spellStart"/>
      <w:r w:rsidRPr="00AA384A">
        <w:rPr>
          <w:rFonts w:ascii="Book Antiqua" w:hAnsi="Book Antiqua"/>
          <w:color w:val="auto"/>
        </w:rPr>
        <w:t>telaprevir</w:t>
      </w:r>
      <w:proofErr w:type="spellEnd"/>
      <w:r w:rsidRPr="00AA384A">
        <w:rPr>
          <w:rFonts w:ascii="Book Antiqua" w:hAnsi="Book Antiqua"/>
          <w:color w:val="auto"/>
        </w:rPr>
        <w:t xml:space="preserve"> or </w:t>
      </w:r>
      <w:proofErr w:type="spellStart"/>
      <w:r w:rsidRPr="00AA384A">
        <w:rPr>
          <w:rFonts w:ascii="Book Antiqua" w:hAnsi="Book Antiqua"/>
          <w:color w:val="auto"/>
        </w:rPr>
        <w:t>boceprevir</w:t>
      </w:r>
      <w:proofErr w:type="spellEnd"/>
      <w:r w:rsidRPr="00AA384A">
        <w:rPr>
          <w:rFonts w:ascii="Book Antiqua" w:hAnsi="Book Antiqua"/>
          <w:color w:val="auto"/>
        </w:rPr>
        <w:t xml:space="preserve"> is now the current standard of care therapy for HCV infection, though this will soon change to “next generation” antivirals. The population numbers of the current study are limited to 56, and would be strengthened by expanding the study to a larger population.</w:t>
      </w:r>
    </w:p>
    <w:bookmarkEnd w:id="80"/>
    <w:bookmarkEnd w:id="81"/>
    <w:bookmarkEnd w:id="82"/>
    <w:bookmarkEnd w:id="83"/>
    <w:bookmarkEnd w:id="84"/>
    <w:bookmarkEnd w:id="85"/>
    <w:bookmarkEnd w:id="86"/>
    <w:bookmarkEnd w:id="87"/>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color w:val="auto"/>
          <w:szCs w:val="24"/>
          <w:lang w:val="en-US" w:eastAsia="zh-CN"/>
        </w:rPr>
      </w:pPr>
      <w:r w:rsidRPr="00AA384A">
        <w:rPr>
          <w:rFonts w:ascii="Book Antiqua" w:hAnsi="Book Antiqua" w:cs="Arial"/>
          <w:color w:val="auto"/>
          <w:szCs w:val="24"/>
          <w:shd w:val="clear" w:color="auto" w:fill="F3EB00"/>
          <w:lang w:val="en-US"/>
        </w:rPr>
        <w:br w:type="page"/>
      </w:r>
      <w:r w:rsidRPr="00AA384A">
        <w:rPr>
          <w:rFonts w:ascii="Book Antiqua" w:hAnsi="Book Antiqua" w:cs="Arial"/>
          <w:b/>
          <w:color w:val="auto"/>
          <w:szCs w:val="24"/>
          <w:lang w:val="en-US"/>
        </w:rPr>
        <w:lastRenderedPageBreak/>
        <w:t>REFERENCES</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1 </w:t>
      </w:r>
      <w:proofErr w:type="spellStart"/>
      <w:r w:rsidRPr="00AA384A">
        <w:rPr>
          <w:rFonts w:ascii="Book Antiqua" w:eastAsia="宋体" w:hAnsi="Book Antiqua" w:cs="宋体"/>
          <w:b/>
          <w:bCs/>
          <w:color w:val="auto"/>
        </w:rPr>
        <w:t>Floreani</w:t>
      </w:r>
      <w:proofErr w:type="spellEnd"/>
      <w:r w:rsidRPr="00AA384A">
        <w:rPr>
          <w:rFonts w:ascii="Book Antiqua" w:eastAsia="宋体" w:hAnsi="Book Antiqua" w:cs="宋体"/>
          <w:b/>
          <w:bCs/>
          <w:color w:val="auto"/>
        </w:rPr>
        <w:t xml:space="preserve"> A</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Cazzagon</w:t>
      </w:r>
      <w:proofErr w:type="spellEnd"/>
      <w:r w:rsidRPr="00AA384A">
        <w:rPr>
          <w:rFonts w:ascii="Book Antiqua" w:eastAsia="宋体" w:hAnsi="Book Antiqua" w:cs="宋体"/>
          <w:color w:val="auto"/>
        </w:rPr>
        <w:t xml:space="preserve"> N, </w:t>
      </w:r>
      <w:proofErr w:type="spellStart"/>
      <w:r w:rsidRPr="00AA384A">
        <w:rPr>
          <w:rFonts w:ascii="Book Antiqua" w:eastAsia="宋体" w:hAnsi="Book Antiqua" w:cs="宋体"/>
          <w:color w:val="auto"/>
        </w:rPr>
        <w:t>Boemo</w:t>
      </w:r>
      <w:proofErr w:type="spellEnd"/>
      <w:r w:rsidRPr="00AA384A">
        <w:rPr>
          <w:rFonts w:ascii="Book Antiqua" w:eastAsia="宋体" w:hAnsi="Book Antiqua" w:cs="宋体"/>
          <w:color w:val="auto"/>
        </w:rPr>
        <w:t xml:space="preserve"> DG, </w:t>
      </w:r>
      <w:proofErr w:type="spellStart"/>
      <w:r w:rsidRPr="00AA384A">
        <w:rPr>
          <w:rFonts w:ascii="Book Antiqua" w:eastAsia="宋体" w:hAnsi="Book Antiqua" w:cs="宋体"/>
          <w:color w:val="auto"/>
        </w:rPr>
        <w:t>Baldovin</w:t>
      </w:r>
      <w:proofErr w:type="spellEnd"/>
      <w:r w:rsidRPr="00AA384A">
        <w:rPr>
          <w:rFonts w:ascii="Book Antiqua" w:eastAsia="宋体" w:hAnsi="Book Antiqua" w:cs="宋体"/>
          <w:color w:val="auto"/>
        </w:rPr>
        <w:t xml:space="preserve"> T, </w:t>
      </w:r>
      <w:proofErr w:type="spellStart"/>
      <w:r w:rsidRPr="00AA384A">
        <w:rPr>
          <w:rFonts w:ascii="Book Antiqua" w:eastAsia="宋体" w:hAnsi="Book Antiqua" w:cs="宋体"/>
          <w:color w:val="auto"/>
        </w:rPr>
        <w:t>Baldo</w:t>
      </w:r>
      <w:proofErr w:type="spellEnd"/>
      <w:r w:rsidRPr="00AA384A">
        <w:rPr>
          <w:rFonts w:ascii="Book Antiqua" w:eastAsia="宋体" w:hAnsi="Book Antiqua" w:cs="宋体"/>
          <w:color w:val="auto"/>
        </w:rPr>
        <w:t xml:space="preserve"> V, </w:t>
      </w:r>
      <w:proofErr w:type="spellStart"/>
      <w:r w:rsidRPr="00AA384A">
        <w:rPr>
          <w:rFonts w:ascii="Book Antiqua" w:eastAsia="宋体" w:hAnsi="Book Antiqua" w:cs="宋体"/>
          <w:color w:val="auto"/>
        </w:rPr>
        <w:t>Egoue</w:t>
      </w:r>
      <w:proofErr w:type="spellEnd"/>
      <w:r w:rsidRPr="00AA384A">
        <w:rPr>
          <w:rFonts w:ascii="Book Antiqua" w:eastAsia="宋体" w:hAnsi="Book Antiqua" w:cs="宋体"/>
          <w:color w:val="auto"/>
        </w:rPr>
        <w:t xml:space="preserve"> J, </w:t>
      </w:r>
      <w:proofErr w:type="spellStart"/>
      <w:r w:rsidRPr="00AA384A">
        <w:rPr>
          <w:rFonts w:ascii="Book Antiqua" w:eastAsia="宋体" w:hAnsi="Book Antiqua" w:cs="宋体"/>
          <w:color w:val="auto"/>
        </w:rPr>
        <w:t>Antoniazzi</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Minola</w:t>
      </w:r>
      <w:proofErr w:type="spellEnd"/>
      <w:r w:rsidRPr="00AA384A">
        <w:rPr>
          <w:rFonts w:ascii="Book Antiqua" w:eastAsia="宋体" w:hAnsi="Book Antiqua" w:cs="宋体"/>
          <w:color w:val="auto"/>
        </w:rPr>
        <w:t xml:space="preserve"> E. Female patients in fertile age with chronic hepatitis C, easy genotype, and persistently normal transaminases have a 100% chance to reach a sustained </w:t>
      </w:r>
      <w:proofErr w:type="spellStart"/>
      <w:r w:rsidRPr="00AA384A">
        <w:rPr>
          <w:rFonts w:ascii="Book Antiqua" w:eastAsia="宋体" w:hAnsi="Book Antiqua" w:cs="宋体"/>
          <w:color w:val="auto"/>
        </w:rPr>
        <w:t>virological</w:t>
      </w:r>
      <w:proofErr w:type="spellEnd"/>
      <w:r w:rsidRPr="00AA384A">
        <w:rPr>
          <w:rFonts w:ascii="Book Antiqua" w:eastAsia="宋体" w:hAnsi="Book Antiqua" w:cs="宋体"/>
          <w:color w:val="auto"/>
        </w:rPr>
        <w:t xml:space="preserve"> response. </w:t>
      </w:r>
      <w:proofErr w:type="spellStart"/>
      <w:r w:rsidRPr="00AA384A">
        <w:rPr>
          <w:rFonts w:ascii="Book Antiqua" w:eastAsia="宋体" w:hAnsi="Book Antiqua" w:cs="宋体"/>
          <w:i/>
          <w:iCs/>
          <w:color w:val="auto"/>
        </w:rPr>
        <w:t>Eur</w:t>
      </w:r>
      <w:proofErr w:type="spellEnd"/>
      <w:r w:rsidRPr="00AA384A">
        <w:rPr>
          <w:rFonts w:ascii="Book Antiqua" w:eastAsia="宋体" w:hAnsi="Book Antiqua" w:cs="宋体"/>
          <w:i/>
          <w:iCs/>
          <w:color w:val="auto"/>
        </w:rPr>
        <w:t xml:space="preserve"> J </w:t>
      </w:r>
      <w:proofErr w:type="spellStart"/>
      <w:r w:rsidRPr="00AA384A">
        <w:rPr>
          <w:rFonts w:ascii="Book Antiqua" w:eastAsia="宋体" w:hAnsi="Book Antiqua" w:cs="宋体"/>
          <w:i/>
          <w:iCs/>
          <w:color w:val="auto"/>
        </w:rPr>
        <w:t>Gastroenterol</w:t>
      </w:r>
      <w:proofErr w:type="spellEnd"/>
      <w:r w:rsidRPr="00AA384A">
        <w:rPr>
          <w:rFonts w:ascii="Book Antiqua" w:eastAsia="宋体" w:hAnsi="Book Antiqua" w:cs="宋体"/>
          <w:i/>
          <w:iCs/>
          <w:color w:val="auto"/>
        </w:rPr>
        <w:t xml:space="preserve">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2011; </w:t>
      </w:r>
      <w:r w:rsidRPr="00AA384A">
        <w:rPr>
          <w:rFonts w:ascii="Book Antiqua" w:eastAsia="宋体" w:hAnsi="Book Antiqua" w:cs="宋体"/>
          <w:b/>
          <w:bCs/>
          <w:color w:val="auto"/>
        </w:rPr>
        <w:t>23</w:t>
      </w:r>
      <w:r w:rsidRPr="00AA384A">
        <w:rPr>
          <w:rFonts w:ascii="Book Antiqua" w:eastAsia="宋体" w:hAnsi="Book Antiqua" w:cs="宋体"/>
          <w:color w:val="auto"/>
        </w:rPr>
        <w:t>: 997-1003 [PMID: 21915057 DOI: 10.1097/MEG.0b013e32834ae863]</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2 </w:t>
      </w:r>
      <w:r w:rsidRPr="00AA384A">
        <w:rPr>
          <w:rFonts w:ascii="Book Antiqua" w:eastAsia="宋体" w:hAnsi="Book Antiqua" w:cs="宋体"/>
          <w:b/>
          <w:bCs/>
          <w:color w:val="auto"/>
        </w:rPr>
        <w:t>Villa E</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Vukotic</w:t>
      </w:r>
      <w:proofErr w:type="spellEnd"/>
      <w:r w:rsidRPr="00AA384A">
        <w:rPr>
          <w:rFonts w:ascii="Book Antiqua" w:eastAsia="宋体" w:hAnsi="Book Antiqua" w:cs="宋体"/>
          <w:color w:val="auto"/>
        </w:rPr>
        <w:t xml:space="preserve"> R, </w:t>
      </w:r>
      <w:proofErr w:type="spellStart"/>
      <w:r w:rsidRPr="00AA384A">
        <w:rPr>
          <w:rFonts w:ascii="Book Antiqua" w:eastAsia="宋体" w:hAnsi="Book Antiqua" w:cs="宋体"/>
          <w:color w:val="auto"/>
        </w:rPr>
        <w:t>Cammà</w:t>
      </w:r>
      <w:proofErr w:type="spellEnd"/>
      <w:r w:rsidRPr="00AA384A">
        <w:rPr>
          <w:rFonts w:ascii="Book Antiqua" w:eastAsia="宋体" w:hAnsi="Book Antiqua" w:cs="宋体"/>
          <w:color w:val="auto"/>
        </w:rPr>
        <w:t xml:space="preserve"> C, </w:t>
      </w:r>
      <w:proofErr w:type="spellStart"/>
      <w:r w:rsidRPr="00AA384A">
        <w:rPr>
          <w:rFonts w:ascii="Book Antiqua" w:eastAsia="宋体" w:hAnsi="Book Antiqua" w:cs="宋体"/>
          <w:color w:val="auto"/>
        </w:rPr>
        <w:t>Petta</w:t>
      </w:r>
      <w:proofErr w:type="spellEnd"/>
      <w:r w:rsidRPr="00AA384A">
        <w:rPr>
          <w:rFonts w:ascii="Book Antiqua" w:eastAsia="宋体" w:hAnsi="Book Antiqua" w:cs="宋体"/>
          <w:color w:val="auto"/>
        </w:rPr>
        <w:t xml:space="preserve"> S, Di Leo A, </w:t>
      </w:r>
      <w:proofErr w:type="spellStart"/>
      <w:r w:rsidRPr="00AA384A">
        <w:rPr>
          <w:rFonts w:ascii="Book Antiqua" w:eastAsia="宋体" w:hAnsi="Book Antiqua" w:cs="宋体"/>
          <w:color w:val="auto"/>
        </w:rPr>
        <w:t>Gitto</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Turola</w:t>
      </w:r>
      <w:proofErr w:type="spellEnd"/>
      <w:r w:rsidRPr="00AA384A">
        <w:rPr>
          <w:rFonts w:ascii="Book Antiqua" w:eastAsia="宋体" w:hAnsi="Book Antiqua" w:cs="宋体"/>
          <w:color w:val="auto"/>
        </w:rPr>
        <w:t xml:space="preserve"> E, </w:t>
      </w:r>
      <w:proofErr w:type="spellStart"/>
      <w:r w:rsidRPr="00AA384A">
        <w:rPr>
          <w:rFonts w:ascii="Book Antiqua" w:eastAsia="宋体" w:hAnsi="Book Antiqua" w:cs="宋体"/>
          <w:color w:val="auto"/>
        </w:rPr>
        <w:t>Karampatou</w:t>
      </w:r>
      <w:proofErr w:type="spellEnd"/>
      <w:r w:rsidRPr="00AA384A">
        <w:rPr>
          <w:rFonts w:ascii="Book Antiqua" w:eastAsia="宋体" w:hAnsi="Book Antiqua" w:cs="宋体"/>
          <w:color w:val="auto"/>
        </w:rPr>
        <w:t xml:space="preserve"> A, </w:t>
      </w:r>
      <w:proofErr w:type="spellStart"/>
      <w:r w:rsidRPr="00AA384A">
        <w:rPr>
          <w:rFonts w:ascii="Book Antiqua" w:eastAsia="宋体" w:hAnsi="Book Antiqua" w:cs="宋体"/>
          <w:color w:val="auto"/>
        </w:rPr>
        <w:t>Losi</w:t>
      </w:r>
      <w:proofErr w:type="spellEnd"/>
      <w:r w:rsidRPr="00AA384A">
        <w:rPr>
          <w:rFonts w:ascii="Book Antiqua" w:eastAsia="宋体" w:hAnsi="Book Antiqua" w:cs="宋体"/>
          <w:color w:val="auto"/>
        </w:rPr>
        <w:t xml:space="preserve"> L, </w:t>
      </w:r>
      <w:proofErr w:type="spellStart"/>
      <w:r w:rsidRPr="00AA384A">
        <w:rPr>
          <w:rFonts w:ascii="Book Antiqua" w:eastAsia="宋体" w:hAnsi="Book Antiqua" w:cs="宋体"/>
          <w:color w:val="auto"/>
        </w:rPr>
        <w:t>Bernabucci</w:t>
      </w:r>
      <w:proofErr w:type="spellEnd"/>
      <w:r w:rsidRPr="00AA384A">
        <w:rPr>
          <w:rFonts w:ascii="Book Antiqua" w:eastAsia="宋体" w:hAnsi="Book Antiqua" w:cs="宋体"/>
          <w:color w:val="auto"/>
        </w:rPr>
        <w:t xml:space="preserve"> V, Cenci A, </w:t>
      </w:r>
      <w:proofErr w:type="spellStart"/>
      <w:r w:rsidRPr="00AA384A">
        <w:rPr>
          <w:rFonts w:ascii="Book Antiqua" w:eastAsia="宋体" w:hAnsi="Book Antiqua" w:cs="宋体"/>
          <w:color w:val="auto"/>
        </w:rPr>
        <w:t>Tagliavini</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Baraldi</w:t>
      </w:r>
      <w:proofErr w:type="spellEnd"/>
      <w:r w:rsidRPr="00AA384A">
        <w:rPr>
          <w:rFonts w:ascii="Book Antiqua" w:eastAsia="宋体" w:hAnsi="Book Antiqua" w:cs="宋体"/>
          <w:color w:val="auto"/>
        </w:rPr>
        <w:t xml:space="preserve"> E, De Maria N, </w:t>
      </w:r>
      <w:proofErr w:type="spellStart"/>
      <w:r w:rsidRPr="00AA384A">
        <w:rPr>
          <w:rFonts w:ascii="Book Antiqua" w:eastAsia="宋体" w:hAnsi="Book Antiqua" w:cs="宋体"/>
          <w:color w:val="auto"/>
        </w:rPr>
        <w:t>Gelmini</w:t>
      </w:r>
      <w:proofErr w:type="spellEnd"/>
      <w:r w:rsidRPr="00AA384A">
        <w:rPr>
          <w:rFonts w:ascii="Book Antiqua" w:eastAsia="宋体" w:hAnsi="Book Antiqua" w:cs="宋体"/>
          <w:color w:val="auto"/>
        </w:rPr>
        <w:t xml:space="preserve"> R, </w:t>
      </w:r>
      <w:proofErr w:type="spellStart"/>
      <w:r w:rsidRPr="00AA384A">
        <w:rPr>
          <w:rFonts w:ascii="Book Antiqua" w:eastAsia="宋体" w:hAnsi="Book Antiqua" w:cs="宋体"/>
          <w:color w:val="auto"/>
        </w:rPr>
        <w:t>Bertolini</w:t>
      </w:r>
      <w:proofErr w:type="spellEnd"/>
      <w:r w:rsidRPr="00AA384A">
        <w:rPr>
          <w:rFonts w:ascii="Book Antiqua" w:eastAsia="宋体" w:hAnsi="Book Antiqua" w:cs="宋体"/>
          <w:color w:val="auto"/>
        </w:rPr>
        <w:t xml:space="preserve"> E, </w:t>
      </w:r>
      <w:proofErr w:type="spellStart"/>
      <w:r w:rsidRPr="00AA384A">
        <w:rPr>
          <w:rFonts w:ascii="Book Antiqua" w:eastAsia="宋体" w:hAnsi="Book Antiqua" w:cs="宋体"/>
          <w:color w:val="auto"/>
        </w:rPr>
        <w:t>Rendina</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Francavilla</w:t>
      </w:r>
      <w:proofErr w:type="spellEnd"/>
      <w:r w:rsidRPr="00AA384A">
        <w:rPr>
          <w:rFonts w:ascii="Book Antiqua" w:eastAsia="宋体" w:hAnsi="Book Antiqua" w:cs="宋体"/>
          <w:color w:val="auto"/>
        </w:rPr>
        <w:t xml:space="preserve"> A. Reproductive status is associated with the severity of fibrosis in women with hepatitis C. </w:t>
      </w:r>
      <w:proofErr w:type="spellStart"/>
      <w:r w:rsidRPr="00AA384A">
        <w:rPr>
          <w:rFonts w:ascii="Book Antiqua" w:eastAsia="宋体" w:hAnsi="Book Antiqua" w:cs="宋体"/>
          <w:i/>
          <w:iCs/>
          <w:color w:val="auto"/>
        </w:rPr>
        <w:t>PLoS</w:t>
      </w:r>
      <w:proofErr w:type="spellEnd"/>
      <w:r w:rsidRPr="00AA384A">
        <w:rPr>
          <w:rFonts w:ascii="Book Antiqua" w:eastAsia="宋体" w:hAnsi="Book Antiqua" w:cs="宋体"/>
          <w:i/>
          <w:iCs/>
          <w:color w:val="auto"/>
        </w:rPr>
        <w:t xml:space="preserve"> One</w:t>
      </w:r>
      <w:r w:rsidRPr="00AA384A">
        <w:rPr>
          <w:rFonts w:ascii="Book Antiqua" w:eastAsia="宋体" w:hAnsi="Book Antiqua" w:cs="宋体"/>
          <w:color w:val="auto"/>
        </w:rPr>
        <w:t> 2012; </w:t>
      </w:r>
      <w:r w:rsidRPr="00AA384A">
        <w:rPr>
          <w:rFonts w:ascii="Book Antiqua" w:eastAsia="宋体" w:hAnsi="Book Antiqua" w:cs="宋体"/>
          <w:b/>
          <w:bCs/>
          <w:color w:val="auto"/>
        </w:rPr>
        <w:t>7</w:t>
      </w:r>
      <w:r w:rsidRPr="00AA384A">
        <w:rPr>
          <w:rFonts w:ascii="Book Antiqua" w:eastAsia="宋体" w:hAnsi="Book Antiqua" w:cs="宋体"/>
          <w:color w:val="auto"/>
        </w:rPr>
        <w:t>: e44624 [PMID: 22970270 DOI: 10.1371/journal.pone.0044624]</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3 </w:t>
      </w:r>
      <w:r w:rsidRPr="00AA384A">
        <w:rPr>
          <w:rFonts w:ascii="Book Antiqua" w:eastAsia="宋体" w:hAnsi="Book Antiqua" w:cs="宋体"/>
          <w:b/>
          <w:bCs/>
          <w:color w:val="auto"/>
        </w:rPr>
        <w:t>de Torres M</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Poynard</w:t>
      </w:r>
      <w:proofErr w:type="spellEnd"/>
      <w:r w:rsidRPr="00AA384A">
        <w:rPr>
          <w:rFonts w:ascii="Book Antiqua" w:eastAsia="宋体" w:hAnsi="Book Antiqua" w:cs="宋体"/>
          <w:color w:val="auto"/>
        </w:rPr>
        <w:t xml:space="preserve"> T. Risk factors for liver fibrosis progression in patients with chronic hepatitis C. </w:t>
      </w:r>
      <w:r w:rsidRPr="00AA384A">
        <w:rPr>
          <w:rFonts w:ascii="Book Antiqua" w:eastAsia="宋体" w:hAnsi="Book Antiqua" w:cs="宋体"/>
          <w:i/>
          <w:iCs/>
          <w:color w:val="auto"/>
        </w:rPr>
        <w:t xml:space="preserve">Ann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2003; </w:t>
      </w:r>
      <w:r w:rsidRPr="00AA384A">
        <w:rPr>
          <w:rFonts w:ascii="Book Antiqua" w:eastAsia="宋体" w:hAnsi="Book Antiqua" w:cs="宋体"/>
          <w:b/>
          <w:bCs/>
          <w:color w:val="auto"/>
        </w:rPr>
        <w:t>2</w:t>
      </w:r>
      <w:r w:rsidRPr="00AA384A">
        <w:rPr>
          <w:rFonts w:ascii="Book Antiqua" w:eastAsia="宋体" w:hAnsi="Book Antiqua" w:cs="宋体"/>
          <w:color w:val="auto"/>
        </w:rPr>
        <w:t>: 5-11 [PMID: 15094700]</w:t>
      </w:r>
    </w:p>
    <w:p w:rsidR="00990765" w:rsidRPr="00AA384A" w:rsidRDefault="00990765" w:rsidP="00AA384A">
      <w:pPr>
        <w:spacing w:line="360" w:lineRule="auto"/>
        <w:jc w:val="both"/>
        <w:rPr>
          <w:rFonts w:ascii="Book Antiqua" w:eastAsia="宋体" w:hAnsi="Book Antiqua" w:cs="宋体"/>
          <w:color w:val="auto"/>
        </w:rPr>
      </w:pPr>
      <w:proofErr w:type="gramStart"/>
      <w:r w:rsidRPr="00AA384A">
        <w:rPr>
          <w:rFonts w:ascii="Book Antiqua" w:eastAsia="宋体" w:hAnsi="Book Antiqua" w:cs="宋体"/>
          <w:color w:val="auto"/>
        </w:rPr>
        <w:t>4 </w:t>
      </w:r>
      <w:proofErr w:type="spellStart"/>
      <w:r w:rsidRPr="00AA384A">
        <w:rPr>
          <w:rFonts w:ascii="Book Antiqua" w:eastAsia="宋体" w:hAnsi="Book Antiqua" w:cs="宋体"/>
          <w:b/>
          <w:bCs/>
          <w:color w:val="auto"/>
        </w:rPr>
        <w:t>Missiha</w:t>
      </w:r>
      <w:proofErr w:type="spellEnd"/>
      <w:r w:rsidRPr="00AA384A">
        <w:rPr>
          <w:rFonts w:ascii="Book Antiqua" w:eastAsia="宋体" w:hAnsi="Book Antiqua" w:cs="宋体"/>
          <w:b/>
          <w:bCs/>
          <w:color w:val="auto"/>
        </w:rPr>
        <w:t xml:space="preserve"> SB</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Ostrowski</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Heathcote</w:t>
      </w:r>
      <w:proofErr w:type="spellEnd"/>
      <w:r w:rsidRPr="00AA384A">
        <w:rPr>
          <w:rFonts w:ascii="Book Antiqua" w:eastAsia="宋体" w:hAnsi="Book Antiqua" w:cs="宋体"/>
          <w:color w:val="auto"/>
        </w:rPr>
        <w:t xml:space="preserve"> EJ.</w:t>
      </w:r>
      <w:proofErr w:type="gramEnd"/>
      <w:r w:rsidRPr="00AA384A">
        <w:rPr>
          <w:rFonts w:ascii="Book Antiqua" w:eastAsia="宋体" w:hAnsi="Book Antiqua" w:cs="宋体"/>
          <w:color w:val="auto"/>
        </w:rPr>
        <w:t xml:space="preserve"> Disease progression in chronic hepatitis C: modifiable and </w:t>
      </w:r>
      <w:proofErr w:type="spellStart"/>
      <w:r w:rsidRPr="00AA384A">
        <w:rPr>
          <w:rFonts w:ascii="Book Antiqua" w:eastAsia="宋体" w:hAnsi="Book Antiqua" w:cs="宋体"/>
          <w:color w:val="auto"/>
        </w:rPr>
        <w:t>nonmodifiable</w:t>
      </w:r>
      <w:proofErr w:type="spellEnd"/>
      <w:r w:rsidRPr="00AA384A">
        <w:rPr>
          <w:rFonts w:ascii="Book Antiqua" w:eastAsia="宋体" w:hAnsi="Book Antiqua" w:cs="宋体"/>
          <w:color w:val="auto"/>
        </w:rPr>
        <w:t xml:space="preserve"> factors. </w:t>
      </w:r>
      <w:r w:rsidRPr="00AA384A">
        <w:rPr>
          <w:rFonts w:ascii="Book Antiqua" w:eastAsia="宋体" w:hAnsi="Book Antiqua" w:cs="宋体"/>
          <w:i/>
          <w:iCs/>
          <w:color w:val="auto"/>
        </w:rPr>
        <w:t>Gastroenterology</w:t>
      </w:r>
      <w:r w:rsidRPr="00AA384A">
        <w:rPr>
          <w:rFonts w:ascii="Book Antiqua" w:eastAsia="宋体" w:hAnsi="Book Antiqua" w:cs="宋体"/>
          <w:color w:val="auto"/>
        </w:rPr>
        <w:t> 2008; </w:t>
      </w:r>
      <w:r w:rsidRPr="00AA384A">
        <w:rPr>
          <w:rFonts w:ascii="Book Antiqua" w:eastAsia="宋体" w:hAnsi="Book Antiqua" w:cs="宋体"/>
          <w:b/>
          <w:bCs/>
          <w:color w:val="auto"/>
        </w:rPr>
        <w:t>134</w:t>
      </w:r>
      <w:r w:rsidRPr="00AA384A">
        <w:rPr>
          <w:rFonts w:ascii="Book Antiqua" w:eastAsia="宋体" w:hAnsi="Book Antiqua" w:cs="宋体"/>
          <w:color w:val="auto"/>
        </w:rPr>
        <w:t>: 1699-1714 [PMID: 18471548 DOI: 10.1053/j.gastro.2008.02.069]</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5 </w:t>
      </w:r>
      <w:proofErr w:type="spellStart"/>
      <w:r w:rsidRPr="00AA384A">
        <w:rPr>
          <w:rFonts w:ascii="Book Antiqua" w:eastAsia="宋体" w:hAnsi="Book Antiqua" w:cs="宋体"/>
          <w:b/>
          <w:bCs/>
          <w:color w:val="auto"/>
        </w:rPr>
        <w:t>Estrabaud</w:t>
      </w:r>
      <w:proofErr w:type="spellEnd"/>
      <w:r w:rsidRPr="00AA384A">
        <w:rPr>
          <w:rFonts w:ascii="Book Antiqua" w:eastAsia="宋体" w:hAnsi="Book Antiqua" w:cs="宋体"/>
          <w:b/>
          <w:bCs/>
          <w:color w:val="auto"/>
        </w:rPr>
        <w:t xml:space="preserve"> E</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Vidaud</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Marcellin</w:t>
      </w:r>
      <w:proofErr w:type="spellEnd"/>
      <w:r w:rsidRPr="00AA384A">
        <w:rPr>
          <w:rFonts w:ascii="Book Antiqua" w:eastAsia="宋体" w:hAnsi="Book Antiqua" w:cs="宋体"/>
          <w:color w:val="auto"/>
        </w:rPr>
        <w:t xml:space="preserve"> P, </w:t>
      </w:r>
      <w:proofErr w:type="spellStart"/>
      <w:r w:rsidRPr="00AA384A">
        <w:rPr>
          <w:rFonts w:ascii="Book Antiqua" w:eastAsia="宋体" w:hAnsi="Book Antiqua" w:cs="宋体"/>
          <w:color w:val="auto"/>
        </w:rPr>
        <w:t>Asselah</w:t>
      </w:r>
      <w:proofErr w:type="spellEnd"/>
      <w:r w:rsidRPr="00AA384A">
        <w:rPr>
          <w:rFonts w:ascii="Book Antiqua" w:eastAsia="宋体" w:hAnsi="Book Antiqua" w:cs="宋体"/>
          <w:color w:val="auto"/>
        </w:rPr>
        <w:t xml:space="preserve"> T. Genomics and HCV infection: progression of fibrosis and treatment response. </w:t>
      </w:r>
      <w:r w:rsidRPr="00AA384A">
        <w:rPr>
          <w:rFonts w:ascii="Book Antiqua" w:eastAsia="宋体" w:hAnsi="Book Antiqua" w:cs="宋体"/>
          <w:i/>
          <w:iCs/>
          <w:color w:val="auto"/>
        </w:rPr>
        <w:t xml:space="preserve">J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2012; </w:t>
      </w:r>
      <w:r w:rsidRPr="00AA384A">
        <w:rPr>
          <w:rFonts w:ascii="Book Antiqua" w:eastAsia="宋体" w:hAnsi="Book Antiqua" w:cs="宋体"/>
          <w:b/>
          <w:bCs/>
          <w:color w:val="auto"/>
        </w:rPr>
        <w:t>57</w:t>
      </w:r>
      <w:r w:rsidRPr="00AA384A">
        <w:rPr>
          <w:rFonts w:ascii="Book Antiqua" w:eastAsia="宋体" w:hAnsi="Book Antiqua" w:cs="宋体"/>
          <w:color w:val="auto"/>
        </w:rPr>
        <w:t>: 1110-1125 [PMID: 22659520 DOI: 10.1016/j.jhep.2012.05.016]</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6 </w:t>
      </w:r>
      <w:r w:rsidRPr="00AA384A">
        <w:rPr>
          <w:rFonts w:ascii="Book Antiqua" w:eastAsia="宋体" w:hAnsi="Book Antiqua" w:cs="宋体"/>
          <w:b/>
          <w:bCs/>
          <w:color w:val="auto"/>
        </w:rPr>
        <w:t>Di Martino V</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Lebray</w:t>
      </w:r>
      <w:proofErr w:type="spellEnd"/>
      <w:r w:rsidRPr="00AA384A">
        <w:rPr>
          <w:rFonts w:ascii="Book Antiqua" w:eastAsia="宋体" w:hAnsi="Book Antiqua" w:cs="宋体"/>
          <w:color w:val="auto"/>
        </w:rPr>
        <w:t xml:space="preserve"> P, Myers RP, Pannier E, </w:t>
      </w:r>
      <w:proofErr w:type="spellStart"/>
      <w:r w:rsidRPr="00AA384A">
        <w:rPr>
          <w:rFonts w:ascii="Book Antiqua" w:eastAsia="宋体" w:hAnsi="Book Antiqua" w:cs="宋体"/>
          <w:color w:val="auto"/>
        </w:rPr>
        <w:t>Paradis</w:t>
      </w:r>
      <w:proofErr w:type="spellEnd"/>
      <w:r w:rsidRPr="00AA384A">
        <w:rPr>
          <w:rFonts w:ascii="Book Antiqua" w:eastAsia="宋体" w:hAnsi="Book Antiqua" w:cs="宋体"/>
          <w:color w:val="auto"/>
        </w:rPr>
        <w:t xml:space="preserve"> V, Charlotte F, </w:t>
      </w:r>
      <w:proofErr w:type="spellStart"/>
      <w:r w:rsidRPr="00AA384A">
        <w:rPr>
          <w:rFonts w:ascii="Book Antiqua" w:eastAsia="宋体" w:hAnsi="Book Antiqua" w:cs="宋体"/>
          <w:color w:val="auto"/>
        </w:rPr>
        <w:t>Moussalli</w:t>
      </w:r>
      <w:proofErr w:type="spellEnd"/>
      <w:r w:rsidRPr="00AA384A">
        <w:rPr>
          <w:rFonts w:ascii="Book Antiqua" w:eastAsia="宋体" w:hAnsi="Book Antiqua" w:cs="宋体"/>
          <w:color w:val="auto"/>
        </w:rPr>
        <w:t xml:space="preserve"> J, </w:t>
      </w:r>
      <w:proofErr w:type="spellStart"/>
      <w:r w:rsidRPr="00AA384A">
        <w:rPr>
          <w:rFonts w:ascii="Book Antiqua" w:eastAsia="宋体" w:hAnsi="Book Antiqua" w:cs="宋体"/>
          <w:color w:val="auto"/>
        </w:rPr>
        <w:t>Thabut</w:t>
      </w:r>
      <w:proofErr w:type="spellEnd"/>
      <w:r w:rsidRPr="00AA384A">
        <w:rPr>
          <w:rFonts w:ascii="Book Antiqua" w:eastAsia="宋体" w:hAnsi="Book Antiqua" w:cs="宋体"/>
          <w:color w:val="auto"/>
        </w:rPr>
        <w:t xml:space="preserve"> D, Buffet C, </w:t>
      </w:r>
      <w:proofErr w:type="spellStart"/>
      <w:r w:rsidRPr="00AA384A">
        <w:rPr>
          <w:rFonts w:ascii="Book Antiqua" w:eastAsia="宋体" w:hAnsi="Book Antiqua" w:cs="宋体"/>
          <w:color w:val="auto"/>
        </w:rPr>
        <w:t>Poynard</w:t>
      </w:r>
      <w:proofErr w:type="spellEnd"/>
      <w:r w:rsidRPr="00AA384A">
        <w:rPr>
          <w:rFonts w:ascii="Book Antiqua" w:eastAsia="宋体" w:hAnsi="Book Antiqua" w:cs="宋体"/>
          <w:color w:val="auto"/>
        </w:rPr>
        <w:t xml:space="preserve"> T. Progression of liver fibrosis in women infected with hepatitis C: long-term benefit of estrogen exposure. </w:t>
      </w:r>
      <w:proofErr w:type="spellStart"/>
      <w:r w:rsidRPr="00AA384A">
        <w:rPr>
          <w:rFonts w:ascii="Book Antiqua" w:eastAsia="宋体" w:hAnsi="Book Antiqua" w:cs="宋体"/>
          <w:i/>
          <w:iCs/>
          <w:color w:val="auto"/>
        </w:rPr>
        <w:t>Hepatology</w:t>
      </w:r>
      <w:proofErr w:type="spellEnd"/>
      <w:r w:rsidRPr="00AA384A">
        <w:rPr>
          <w:rFonts w:ascii="Book Antiqua" w:eastAsia="宋体" w:hAnsi="Book Antiqua" w:cs="宋体"/>
          <w:color w:val="auto"/>
        </w:rPr>
        <w:t> 2004; </w:t>
      </w:r>
      <w:r w:rsidRPr="00AA384A">
        <w:rPr>
          <w:rFonts w:ascii="Book Antiqua" w:eastAsia="宋体" w:hAnsi="Book Antiqua" w:cs="宋体"/>
          <w:b/>
          <w:bCs/>
          <w:color w:val="auto"/>
        </w:rPr>
        <w:t>40</w:t>
      </w:r>
      <w:r w:rsidRPr="00AA384A">
        <w:rPr>
          <w:rFonts w:ascii="Book Antiqua" w:eastAsia="宋体" w:hAnsi="Book Antiqua" w:cs="宋体"/>
          <w:color w:val="auto"/>
        </w:rPr>
        <w:t>: 1426-1433 [PMID: 15565616]</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7 </w:t>
      </w:r>
      <w:r w:rsidRPr="00AA384A">
        <w:rPr>
          <w:rFonts w:ascii="Book Antiqua" w:eastAsia="宋体" w:hAnsi="Book Antiqua" w:cs="宋体"/>
          <w:b/>
          <w:bCs/>
          <w:color w:val="auto"/>
        </w:rPr>
        <w:t>Codes L</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Asselah</w:t>
      </w:r>
      <w:proofErr w:type="spellEnd"/>
      <w:r w:rsidRPr="00AA384A">
        <w:rPr>
          <w:rFonts w:ascii="Book Antiqua" w:eastAsia="宋体" w:hAnsi="Book Antiqua" w:cs="宋体"/>
          <w:color w:val="auto"/>
        </w:rPr>
        <w:t xml:space="preserve"> T, </w:t>
      </w:r>
      <w:proofErr w:type="spellStart"/>
      <w:r w:rsidRPr="00AA384A">
        <w:rPr>
          <w:rFonts w:ascii="Book Antiqua" w:eastAsia="宋体" w:hAnsi="Book Antiqua" w:cs="宋体"/>
          <w:color w:val="auto"/>
        </w:rPr>
        <w:t>Cazals-Hatem</w:t>
      </w:r>
      <w:proofErr w:type="spellEnd"/>
      <w:r w:rsidRPr="00AA384A">
        <w:rPr>
          <w:rFonts w:ascii="Book Antiqua" w:eastAsia="宋体" w:hAnsi="Book Antiqua" w:cs="宋体"/>
          <w:color w:val="auto"/>
        </w:rPr>
        <w:t xml:space="preserve"> D, </w:t>
      </w:r>
      <w:proofErr w:type="spellStart"/>
      <w:r w:rsidRPr="00AA384A">
        <w:rPr>
          <w:rFonts w:ascii="Book Antiqua" w:eastAsia="宋体" w:hAnsi="Book Antiqua" w:cs="宋体"/>
          <w:color w:val="auto"/>
        </w:rPr>
        <w:t>Tubach</w:t>
      </w:r>
      <w:proofErr w:type="spellEnd"/>
      <w:r w:rsidRPr="00AA384A">
        <w:rPr>
          <w:rFonts w:ascii="Book Antiqua" w:eastAsia="宋体" w:hAnsi="Book Antiqua" w:cs="宋体"/>
          <w:color w:val="auto"/>
        </w:rPr>
        <w:t xml:space="preserve"> F, </w:t>
      </w:r>
      <w:proofErr w:type="spellStart"/>
      <w:r w:rsidRPr="00AA384A">
        <w:rPr>
          <w:rFonts w:ascii="Book Antiqua" w:eastAsia="宋体" w:hAnsi="Book Antiqua" w:cs="宋体"/>
          <w:color w:val="auto"/>
        </w:rPr>
        <w:t>Vidaud</w:t>
      </w:r>
      <w:proofErr w:type="spellEnd"/>
      <w:r w:rsidRPr="00AA384A">
        <w:rPr>
          <w:rFonts w:ascii="Book Antiqua" w:eastAsia="宋体" w:hAnsi="Book Antiqua" w:cs="宋体"/>
          <w:color w:val="auto"/>
        </w:rPr>
        <w:t xml:space="preserve"> D, Paraná R, </w:t>
      </w:r>
      <w:proofErr w:type="spellStart"/>
      <w:r w:rsidRPr="00AA384A">
        <w:rPr>
          <w:rFonts w:ascii="Book Antiqua" w:eastAsia="宋体" w:hAnsi="Book Antiqua" w:cs="宋体"/>
          <w:color w:val="auto"/>
        </w:rPr>
        <w:t>Bedossa</w:t>
      </w:r>
      <w:proofErr w:type="spellEnd"/>
      <w:r w:rsidRPr="00AA384A">
        <w:rPr>
          <w:rFonts w:ascii="Book Antiqua" w:eastAsia="宋体" w:hAnsi="Book Antiqua" w:cs="宋体"/>
          <w:color w:val="auto"/>
        </w:rPr>
        <w:t xml:space="preserve"> P, Valla D, </w:t>
      </w:r>
      <w:proofErr w:type="spellStart"/>
      <w:r w:rsidRPr="00AA384A">
        <w:rPr>
          <w:rFonts w:ascii="Book Antiqua" w:eastAsia="宋体" w:hAnsi="Book Antiqua" w:cs="宋体"/>
          <w:color w:val="auto"/>
        </w:rPr>
        <w:t>Marcellin</w:t>
      </w:r>
      <w:proofErr w:type="spellEnd"/>
      <w:r w:rsidRPr="00AA384A">
        <w:rPr>
          <w:rFonts w:ascii="Book Antiqua" w:eastAsia="宋体" w:hAnsi="Book Antiqua" w:cs="宋体"/>
          <w:color w:val="auto"/>
        </w:rPr>
        <w:t xml:space="preserve"> P. Liver fibrosis in women with chronic hepatitis C: evidence for the negative role of the menopause and </w:t>
      </w:r>
      <w:proofErr w:type="spellStart"/>
      <w:r w:rsidRPr="00AA384A">
        <w:rPr>
          <w:rFonts w:ascii="Book Antiqua" w:eastAsia="宋体" w:hAnsi="Book Antiqua" w:cs="宋体"/>
          <w:color w:val="auto"/>
        </w:rPr>
        <w:t>steatosis</w:t>
      </w:r>
      <w:proofErr w:type="spellEnd"/>
      <w:r w:rsidRPr="00AA384A">
        <w:rPr>
          <w:rFonts w:ascii="Book Antiqua" w:eastAsia="宋体" w:hAnsi="Book Antiqua" w:cs="宋体"/>
          <w:color w:val="auto"/>
        </w:rPr>
        <w:t xml:space="preserve"> and the potential benefit of hormone replacement therapy. </w:t>
      </w:r>
      <w:r w:rsidRPr="00AA384A">
        <w:rPr>
          <w:rFonts w:ascii="Book Antiqua" w:eastAsia="宋体" w:hAnsi="Book Antiqua" w:cs="宋体"/>
          <w:i/>
          <w:iCs/>
          <w:color w:val="auto"/>
        </w:rPr>
        <w:t>Gut</w:t>
      </w:r>
      <w:r w:rsidRPr="00AA384A">
        <w:rPr>
          <w:rFonts w:ascii="Book Antiqua" w:eastAsia="宋体" w:hAnsi="Book Antiqua" w:cs="宋体"/>
          <w:color w:val="auto"/>
        </w:rPr>
        <w:t> 2007; </w:t>
      </w:r>
      <w:r w:rsidRPr="00AA384A">
        <w:rPr>
          <w:rFonts w:ascii="Book Antiqua" w:eastAsia="宋体" w:hAnsi="Book Antiqua" w:cs="宋体"/>
          <w:b/>
          <w:bCs/>
          <w:color w:val="auto"/>
        </w:rPr>
        <w:t>56</w:t>
      </w:r>
      <w:r w:rsidRPr="00AA384A">
        <w:rPr>
          <w:rFonts w:ascii="Book Antiqua" w:eastAsia="宋体" w:hAnsi="Book Antiqua" w:cs="宋体"/>
          <w:color w:val="auto"/>
        </w:rPr>
        <w:t>: 390-395 [PMID: 17005762]</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8 </w:t>
      </w:r>
      <w:r w:rsidRPr="00AA384A">
        <w:rPr>
          <w:rFonts w:ascii="Book Antiqua" w:eastAsia="宋体" w:hAnsi="Book Antiqua" w:cs="宋体"/>
          <w:b/>
          <w:bCs/>
          <w:color w:val="auto"/>
        </w:rPr>
        <w:t>Codes L</w:t>
      </w:r>
      <w:r w:rsidRPr="00AA384A">
        <w:rPr>
          <w:rFonts w:ascii="Book Antiqua" w:eastAsia="宋体" w:hAnsi="Book Antiqua" w:cs="宋体"/>
          <w:color w:val="auto"/>
        </w:rPr>
        <w:t>, Matos L, Paraná R. Chronic hepatitis C and fibrosis: evidences for possible estrogen benefits. </w:t>
      </w:r>
      <w:proofErr w:type="spellStart"/>
      <w:r w:rsidRPr="00AA384A">
        <w:rPr>
          <w:rFonts w:ascii="Book Antiqua" w:eastAsia="宋体" w:hAnsi="Book Antiqua" w:cs="宋体"/>
          <w:i/>
          <w:iCs/>
          <w:color w:val="auto"/>
        </w:rPr>
        <w:t>Braz</w:t>
      </w:r>
      <w:proofErr w:type="spellEnd"/>
      <w:r w:rsidRPr="00AA384A">
        <w:rPr>
          <w:rFonts w:ascii="Book Antiqua" w:eastAsia="宋体" w:hAnsi="Book Antiqua" w:cs="宋体"/>
          <w:i/>
          <w:iCs/>
          <w:color w:val="auto"/>
        </w:rPr>
        <w:t xml:space="preserve"> J Infect Dis</w:t>
      </w:r>
      <w:r w:rsidRPr="00AA384A">
        <w:rPr>
          <w:rFonts w:ascii="Book Antiqua" w:eastAsia="宋体" w:hAnsi="Book Antiqua" w:cs="宋体"/>
          <w:color w:val="auto"/>
        </w:rPr>
        <w:t> 2007; </w:t>
      </w:r>
      <w:r w:rsidRPr="00AA384A">
        <w:rPr>
          <w:rFonts w:ascii="Book Antiqua" w:eastAsia="宋体" w:hAnsi="Book Antiqua" w:cs="宋体"/>
          <w:b/>
          <w:bCs/>
          <w:color w:val="auto"/>
        </w:rPr>
        <w:t>11</w:t>
      </w:r>
      <w:r w:rsidRPr="00AA384A">
        <w:rPr>
          <w:rFonts w:ascii="Book Antiqua" w:eastAsia="宋体" w:hAnsi="Book Antiqua" w:cs="宋体"/>
          <w:color w:val="auto"/>
        </w:rPr>
        <w:t>: 371-374 [PMID: 17684642]</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lastRenderedPageBreak/>
        <w:t>9 </w:t>
      </w:r>
      <w:r w:rsidRPr="00AA384A">
        <w:rPr>
          <w:rFonts w:ascii="Book Antiqua" w:eastAsia="宋体" w:hAnsi="Book Antiqua" w:cs="宋体"/>
          <w:b/>
          <w:bCs/>
          <w:color w:val="auto"/>
        </w:rPr>
        <w:t>Villa E</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Karampatou</w:t>
      </w:r>
      <w:proofErr w:type="spellEnd"/>
      <w:r w:rsidRPr="00AA384A">
        <w:rPr>
          <w:rFonts w:ascii="Book Antiqua" w:eastAsia="宋体" w:hAnsi="Book Antiqua" w:cs="宋体"/>
          <w:color w:val="auto"/>
        </w:rPr>
        <w:t xml:space="preserve"> A, </w:t>
      </w:r>
      <w:proofErr w:type="spellStart"/>
      <w:r w:rsidRPr="00AA384A">
        <w:rPr>
          <w:rFonts w:ascii="Book Antiqua" w:eastAsia="宋体" w:hAnsi="Book Antiqua" w:cs="宋体"/>
          <w:color w:val="auto"/>
        </w:rPr>
        <w:t>Cammà</w:t>
      </w:r>
      <w:proofErr w:type="spellEnd"/>
      <w:r w:rsidRPr="00AA384A">
        <w:rPr>
          <w:rFonts w:ascii="Book Antiqua" w:eastAsia="宋体" w:hAnsi="Book Antiqua" w:cs="宋体"/>
          <w:color w:val="auto"/>
        </w:rPr>
        <w:t xml:space="preserve"> C, Di Leo A, </w:t>
      </w:r>
      <w:proofErr w:type="spellStart"/>
      <w:r w:rsidRPr="00AA384A">
        <w:rPr>
          <w:rFonts w:ascii="Book Antiqua" w:eastAsia="宋体" w:hAnsi="Book Antiqua" w:cs="宋体"/>
          <w:color w:val="auto"/>
        </w:rPr>
        <w:t>Luongo</w:t>
      </w:r>
      <w:proofErr w:type="spellEnd"/>
      <w:r w:rsidRPr="00AA384A">
        <w:rPr>
          <w:rFonts w:ascii="Book Antiqua" w:eastAsia="宋体" w:hAnsi="Book Antiqua" w:cs="宋体"/>
          <w:color w:val="auto"/>
        </w:rPr>
        <w:t xml:space="preserve"> M, Ferrari A, </w:t>
      </w:r>
      <w:proofErr w:type="spellStart"/>
      <w:r w:rsidRPr="00AA384A">
        <w:rPr>
          <w:rFonts w:ascii="Book Antiqua" w:eastAsia="宋体" w:hAnsi="Book Antiqua" w:cs="宋体"/>
          <w:color w:val="auto"/>
        </w:rPr>
        <w:t>Petta</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Losi</w:t>
      </w:r>
      <w:proofErr w:type="spellEnd"/>
      <w:r w:rsidRPr="00AA384A">
        <w:rPr>
          <w:rFonts w:ascii="Book Antiqua" w:eastAsia="宋体" w:hAnsi="Book Antiqua" w:cs="宋体"/>
          <w:color w:val="auto"/>
        </w:rPr>
        <w:t xml:space="preserve"> L, </w:t>
      </w:r>
      <w:proofErr w:type="spellStart"/>
      <w:r w:rsidRPr="00AA384A">
        <w:rPr>
          <w:rFonts w:ascii="Book Antiqua" w:eastAsia="宋体" w:hAnsi="Book Antiqua" w:cs="宋体"/>
          <w:color w:val="auto"/>
        </w:rPr>
        <w:t>Taliani</w:t>
      </w:r>
      <w:proofErr w:type="spellEnd"/>
      <w:r w:rsidRPr="00AA384A">
        <w:rPr>
          <w:rFonts w:ascii="Book Antiqua" w:eastAsia="宋体" w:hAnsi="Book Antiqua" w:cs="宋体"/>
          <w:color w:val="auto"/>
        </w:rPr>
        <w:t xml:space="preserve"> G, </w:t>
      </w:r>
      <w:proofErr w:type="spellStart"/>
      <w:r w:rsidRPr="00AA384A">
        <w:rPr>
          <w:rFonts w:ascii="Book Antiqua" w:eastAsia="宋体" w:hAnsi="Book Antiqua" w:cs="宋体"/>
          <w:color w:val="auto"/>
        </w:rPr>
        <w:t>Trande</w:t>
      </w:r>
      <w:proofErr w:type="spellEnd"/>
      <w:r w:rsidRPr="00AA384A">
        <w:rPr>
          <w:rFonts w:ascii="Book Antiqua" w:eastAsia="宋体" w:hAnsi="Book Antiqua" w:cs="宋体"/>
          <w:color w:val="auto"/>
        </w:rPr>
        <w:t xml:space="preserve"> P, Lei B, </w:t>
      </w:r>
      <w:proofErr w:type="spellStart"/>
      <w:r w:rsidRPr="00AA384A">
        <w:rPr>
          <w:rFonts w:ascii="Book Antiqua" w:eastAsia="宋体" w:hAnsi="Book Antiqua" w:cs="宋体"/>
          <w:color w:val="auto"/>
        </w:rPr>
        <w:t>Graziosi</w:t>
      </w:r>
      <w:proofErr w:type="spellEnd"/>
      <w:r w:rsidRPr="00AA384A">
        <w:rPr>
          <w:rFonts w:ascii="Book Antiqua" w:eastAsia="宋体" w:hAnsi="Book Antiqua" w:cs="宋体"/>
          <w:color w:val="auto"/>
        </w:rPr>
        <w:t xml:space="preserve"> A, </w:t>
      </w:r>
      <w:proofErr w:type="spellStart"/>
      <w:r w:rsidRPr="00AA384A">
        <w:rPr>
          <w:rFonts w:ascii="Book Antiqua" w:eastAsia="宋体" w:hAnsi="Book Antiqua" w:cs="宋体"/>
          <w:color w:val="auto"/>
        </w:rPr>
        <w:t>Bernabucci</w:t>
      </w:r>
      <w:proofErr w:type="spellEnd"/>
      <w:r w:rsidRPr="00AA384A">
        <w:rPr>
          <w:rFonts w:ascii="Book Antiqua" w:eastAsia="宋体" w:hAnsi="Book Antiqua" w:cs="宋体"/>
          <w:color w:val="auto"/>
        </w:rPr>
        <w:t xml:space="preserve"> V, </w:t>
      </w:r>
      <w:proofErr w:type="spellStart"/>
      <w:r w:rsidRPr="00AA384A">
        <w:rPr>
          <w:rFonts w:ascii="Book Antiqua" w:eastAsia="宋体" w:hAnsi="Book Antiqua" w:cs="宋体"/>
          <w:color w:val="auto"/>
        </w:rPr>
        <w:t>Critelli</w:t>
      </w:r>
      <w:proofErr w:type="spellEnd"/>
      <w:r w:rsidRPr="00AA384A">
        <w:rPr>
          <w:rFonts w:ascii="Book Antiqua" w:eastAsia="宋体" w:hAnsi="Book Antiqua" w:cs="宋体"/>
          <w:color w:val="auto"/>
        </w:rPr>
        <w:t xml:space="preserve"> R, </w:t>
      </w:r>
      <w:proofErr w:type="spellStart"/>
      <w:r w:rsidRPr="00AA384A">
        <w:rPr>
          <w:rFonts w:ascii="Book Antiqua" w:eastAsia="宋体" w:hAnsi="Book Antiqua" w:cs="宋体"/>
          <w:color w:val="auto"/>
        </w:rPr>
        <w:t>Pazienza</w:t>
      </w:r>
      <w:proofErr w:type="spellEnd"/>
      <w:r w:rsidRPr="00AA384A">
        <w:rPr>
          <w:rFonts w:ascii="Book Antiqua" w:eastAsia="宋体" w:hAnsi="Book Antiqua" w:cs="宋体"/>
          <w:color w:val="auto"/>
        </w:rPr>
        <w:t xml:space="preserve"> P, </w:t>
      </w:r>
      <w:proofErr w:type="spellStart"/>
      <w:r w:rsidRPr="00AA384A">
        <w:rPr>
          <w:rFonts w:ascii="Book Antiqua" w:eastAsia="宋体" w:hAnsi="Book Antiqua" w:cs="宋体"/>
          <w:color w:val="auto"/>
        </w:rPr>
        <w:t>Rendina</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Antonelli</w:t>
      </w:r>
      <w:proofErr w:type="spellEnd"/>
      <w:r w:rsidRPr="00AA384A">
        <w:rPr>
          <w:rFonts w:ascii="Book Antiqua" w:eastAsia="宋体" w:hAnsi="Book Antiqua" w:cs="宋体"/>
          <w:color w:val="auto"/>
        </w:rPr>
        <w:t xml:space="preserve"> A, </w:t>
      </w:r>
      <w:proofErr w:type="spellStart"/>
      <w:r w:rsidRPr="00AA384A">
        <w:rPr>
          <w:rFonts w:ascii="Book Antiqua" w:eastAsia="宋体" w:hAnsi="Book Antiqua" w:cs="宋体"/>
          <w:color w:val="auto"/>
        </w:rPr>
        <w:t>Francavilla</w:t>
      </w:r>
      <w:proofErr w:type="spellEnd"/>
      <w:r w:rsidRPr="00AA384A">
        <w:rPr>
          <w:rFonts w:ascii="Book Antiqua" w:eastAsia="宋体" w:hAnsi="Book Antiqua" w:cs="宋体"/>
          <w:color w:val="auto"/>
        </w:rPr>
        <w:t xml:space="preserve"> A. Early menopause is associated with lack of response to antiviral therapy in women with chronic hepatitis C. </w:t>
      </w:r>
      <w:r w:rsidRPr="00AA384A">
        <w:rPr>
          <w:rFonts w:ascii="Book Antiqua" w:eastAsia="宋体" w:hAnsi="Book Antiqua" w:cs="宋体"/>
          <w:i/>
          <w:iCs/>
          <w:color w:val="auto"/>
        </w:rPr>
        <w:t>Gastroenterology</w:t>
      </w:r>
      <w:r w:rsidRPr="00AA384A">
        <w:rPr>
          <w:rFonts w:ascii="Book Antiqua" w:eastAsia="宋体" w:hAnsi="Book Antiqua" w:cs="宋体"/>
          <w:color w:val="auto"/>
        </w:rPr>
        <w:t> 2011; </w:t>
      </w:r>
      <w:r w:rsidRPr="00AA384A">
        <w:rPr>
          <w:rFonts w:ascii="Book Antiqua" w:eastAsia="宋体" w:hAnsi="Book Antiqua" w:cs="宋体"/>
          <w:b/>
          <w:bCs/>
          <w:color w:val="auto"/>
        </w:rPr>
        <w:t>140</w:t>
      </w:r>
      <w:r w:rsidRPr="00AA384A">
        <w:rPr>
          <w:rFonts w:ascii="Book Antiqua" w:eastAsia="宋体" w:hAnsi="Book Antiqua" w:cs="宋体"/>
          <w:color w:val="auto"/>
        </w:rPr>
        <w:t>: 818-829 [PMID: 21167831 DOI: 10.1053/j.gastro.2010.12.027]</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10 </w:t>
      </w:r>
      <w:proofErr w:type="spellStart"/>
      <w:r w:rsidRPr="00AA384A">
        <w:rPr>
          <w:rFonts w:ascii="Book Antiqua" w:eastAsia="宋体" w:hAnsi="Book Antiqua" w:cs="宋体"/>
          <w:b/>
          <w:bCs/>
          <w:color w:val="auto"/>
        </w:rPr>
        <w:t>Pfeilschifter</w:t>
      </w:r>
      <w:proofErr w:type="spellEnd"/>
      <w:r w:rsidRPr="00AA384A">
        <w:rPr>
          <w:rFonts w:ascii="Book Antiqua" w:eastAsia="宋体" w:hAnsi="Book Antiqua" w:cs="宋体"/>
          <w:b/>
          <w:bCs/>
          <w:color w:val="auto"/>
        </w:rPr>
        <w:t xml:space="preserve"> J</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Köditz</w:t>
      </w:r>
      <w:proofErr w:type="spellEnd"/>
      <w:r w:rsidRPr="00AA384A">
        <w:rPr>
          <w:rFonts w:ascii="Book Antiqua" w:eastAsia="宋体" w:hAnsi="Book Antiqua" w:cs="宋体"/>
          <w:color w:val="auto"/>
        </w:rPr>
        <w:t xml:space="preserve"> R, </w:t>
      </w:r>
      <w:proofErr w:type="spellStart"/>
      <w:r w:rsidRPr="00AA384A">
        <w:rPr>
          <w:rFonts w:ascii="Book Antiqua" w:eastAsia="宋体" w:hAnsi="Book Antiqua" w:cs="宋体"/>
          <w:color w:val="auto"/>
        </w:rPr>
        <w:t>Pfohl</w:t>
      </w:r>
      <w:proofErr w:type="spellEnd"/>
      <w:r w:rsidRPr="00AA384A">
        <w:rPr>
          <w:rFonts w:ascii="Book Antiqua" w:eastAsia="宋体" w:hAnsi="Book Antiqua" w:cs="宋体"/>
          <w:color w:val="auto"/>
        </w:rPr>
        <w:t xml:space="preserve"> M, Schatz H. Changes in </w:t>
      </w:r>
      <w:proofErr w:type="spellStart"/>
      <w:r w:rsidRPr="00AA384A">
        <w:rPr>
          <w:rFonts w:ascii="Book Antiqua" w:eastAsia="宋体" w:hAnsi="Book Antiqua" w:cs="宋体"/>
          <w:color w:val="auto"/>
        </w:rPr>
        <w:t>proinflammatory</w:t>
      </w:r>
      <w:proofErr w:type="spellEnd"/>
      <w:r w:rsidRPr="00AA384A">
        <w:rPr>
          <w:rFonts w:ascii="Book Antiqua" w:eastAsia="宋体" w:hAnsi="Book Antiqua" w:cs="宋体"/>
          <w:color w:val="auto"/>
        </w:rPr>
        <w:t xml:space="preserve"> cytokine activity after menopause. </w:t>
      </w:r>
      <w:proofErr w:type="spellStart"/>
      <w:r w:rsidRPr="00AA384A">
        <w:rPr>
          <w:rFonts w:ascii="Book Antiqua" w:eastAsia="宋体" w:hAnsi="Book Antiqua" w:cs="宋体"/>
          <w:i/>
          <w:iCs/>
          <w:color w:val="auto"/>
        </w:rPr>
        <w:t>Endocr</w:t>
      </w:r>
      <w:proofErr w:type="spellEnd"/>
      <w:r w:rsidRPr="00AA384A">
        <w:rPr>
          <w:rFonts w:ascii="Book Antiqua" w:eastAsia="宋体" w:hAnsi="Book Antiqua" w:cs="宋体"/>
          <w:i/>
          <w:iCs/>
          <w:color w:val="auto"/>
        </w:rPr>
        <w:t xml:space="preserve"> Rev</w:t>
      </w:r>
      <w:r w:rsidRPr="00AA384A">
        <w:rPr>
          <w:rFonts w:ascii="Book Antiqua" w:eastAsia="宋体" w:hAnsi="Book Antiqua" w:cs="宋体"/>
          <w:color w:val="auto"/>
        </w:rPr>
        <w:t> 2002; </w:t>
      </w:r>
      <w:r w:rsidRPr="00AA384A">
        <w:rPr>
          <w:rFonts w:ascii="Book Antiqua" w:eastAsia="宋体" w:hAnsi="Book Antiqua" w:cs="宋体"/>
          <w:b/>
          <w:bCs/>
          <w:color w:val="auto"/>
        </w:rPr>
        <w:t>23</w:t>
      </w:r>
      <w:r w:rsidRPr="00AA384A">
        <w:rPr>
          <w:rFonts w:ascii="Book Antiqua" w:eastAsia="宋体" w:hAnsi="Book Antiqua" w:cs="宋体"/>
          <w:color w:val="auto"/>
        </w:rPr>
        <w:t>: 90-119 [PMID: 11844745]</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11 </w:t>
      </w:r>
      <w:r w:rsidRPr="00AA384A">
        <w:rPr>
          <w:rFonts w:ascii="Book Antiqua" w:eastAsia="宋体" w:hAnsi="Book Antiqua" w:cs="宋体"/>
          <w:b/>
          <w:bCs/>
          <w:color w:val="auto"/>
        </w:rPr>
        <w:t>Di Marco V</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Covolo</w:t>
      </w:r>
      <w:proofErr w:type="spellEnd"/>
      <w:r w:rsidRPr="00AA384A">
        <w:rPr>
          <w:rFonts w:ascii="Book Antiqua" w:eastAsia="宋体" w:hAnsi="Book Antiqua" w:cs="宋体"/>
          <w:color w:val="auto"/>
        </w:rPr>
        <w:t xml:space="preserve"> L, </w:t>
      </w:r>
      <w:proofErr w:type="spellStart"/>
      <w:r w:rsidRPr="00AA384A">
        <w:rPr>
          <w:rFonts w:ascii="Book Antiqua" w:eastAsia="宋体" w:hAnsi="Book Antiqua" w:cs="宋体"/>
          <w:color w:val="auto"/>
        </w:rPr>
        <w:t>Calvaruso</w:t>
      </w:r>
      <w:proofErr w:type="spellEnd"/>
      <w:r w:rsidRPr="00AA384A">
        <w:rPr>
          <w:rFonts w:ascii="Book Antiqua" w:eastAsia="宋体" w:hAnsi="Book Antiqua" w:cs="宋体"/>
          <w:color w:val="auto"/>
        </w:rPr>
        <w:t xml:space="preserve"> V, </w:t>
      </w:r>
      <w:proofErr w:type="spellStart"/>
      <w:r w:rsidRPr="00AA384A">
        <w:rPr>
          <w:rFonts w:ascii="Book Antiqua" w:eastAsia="宋体" w:hAnsi="Book Antiqua" w:cs="宋体"/>
          <w:color w:val="auto"/>
        </w:rPr>
        <w:t>Levrero</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Puoti</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Suter</w:t>
      </w:r>
      <w:proofErr w:type="spellEnd"/>
      <w:r w:rsidRPr="00AA384A">
        <w:rPr>
          <w:rFonts w:ascii="Book Antiqua" w:eastAsia="宋体" w:hAnsi="Book Antiqua" w:cs="宋体"/>
          <w:color w:val="auto"/>
        </w:rPr>
        <w:t xml:space="preserve"> F, Gaeta GB, Ferrari C, </w:t>
      </w:r>
      <w:proofErr w:type="spellStart"/>
      <w:r w:rsidRPr="00AA384A">
        <w:rPr>
          <w:rFonts w:ascii="Book Antiqua" w:eastAsia="宋体" w:hAnsi="Book Antiqua" w:cs="宋体"/>
          <w:color w:val="auto"/>
        </w:rPr>
        <w:t>Raimondo</w:t>
      </w:r>
      <w:proofErr w:type="spellEnd"/>
      <w:r w:rsidRPr="00AA384A">
        <w:rPr>
          <w:rFonts w:ascii="Book Antiqua" w:eastAsia="宋体" w:hAnsi="Book Antiqua" w:cs="宋体"/>
          <w:color w:val="auto"/>
        </w:rPr>
        <w:t xml:space="preserve"> G, </w:t>
      </w:r>
      <w:proofErr w:type="spellStart"/>
      <w:r w:rsidRPr="00AA384A">
        <w:rPr>
          <w:rFonts w:ascii="Book Antiqua" w:eastAsia="宋体" w:hAnsi="Book Antiqua" w:cs="宋体"/>
          <w:color w:val="auto"/>
        </w:rPr>
        <w:t>Fattovich</w:t>
      </w:r>
      <w:proofErr w:type="spellEnd"/>
      <w:r w:rsidRPr="00AA384A">
        <w:rPr>
          <w:rFonts w:ascii="Book Antiqua" w:eastAsia="宋体" w:hAnsi="Book Antiqua" w:cs="宋体"/>
          <w:color w:val="auto"/>
        </w:rPr>
        <w:t xml:space="preserve"> G, </w:t>
      </w:r>
      <w:proofErr w:type="spellStart"/>
      <w:r w:rsidRPr="00AA384A">
        <w:rPr>
          <w:rFonts w:ascii="Book Antiqua" w:eastAsia="宋体" w:hAnsi="Book Antiqua" w:cs="宋体"/>
          <w:color w:val="auto"/>
        </w:rPr>
        <w:t>Santantonio</w:t>
      </w:r>
      <w:proofErr w:type="spellEnd"/>
      <w:r w:rsidRPr="00AA384A">
        <w:rPr>
          <w:rFonts w:ascii="Book Antiqua" w:eastAsia="宋体" w:hAnsi="Book Antiqua" w:cs="宋体"/>
          <w:color w:val="auto"/>
        </w:rPr>
        <w:t xml:space="preserve"> T, </w:t>
      </w:r>
      <w:proofErr w:type="spellStart"/>
      <w:r w:rsidRPr="00AA384A">
        <w:rPr>
          <w:rFonts w:ascii="Book Antiqua" w:eastAsia="宋体" w:hAnsi="Book Antiqua" w:cs="宋体"/>
          <w:color w:val="auto"/>
        </w:rPr>
        <w:t>Alberti</w:t>
      </w:r>
      <w:proofErr w:type="spellEnd"/>
      <w:r w:rsidRPr="00AA384A">
        <w:rPr>
          <w:rFonts w:ascii="Book Antiqua" w:eastAsia="宋体" w:hAnsi="Book Antiqua" w:cs="宋体"/>
          <w:color w:val="auto"/>
        </w:rPr>
        <w:t xml:space="preserve"> A, Bruno R, </w:t>
      </w:r>
      <w:proofErr w:type="spellStart"/>
      <w:r w:rsidRPr="00AA384A">
        <w:rPr>
          <w:rFonts w:ascii="Book Antiqua" w:eastAsia="宋体" w:hAnsi="Book Antiqua" w:cs="宋体"/>
          <w:color w:val="auto"/>
        </w:rPr>
        <w:t>Mussini</w:t>
      </w:r>
      <w:proofErr w:type="spellEnd"/>
      <w:r w:rsidRPr="00AA384A">
        <w:rPr>
          <w:rFonts w:ascii="Book Antiqua" w:eastAsia="宋体" w:hAnsi="Book Antiqua" w:cs="宋体"/>
          <w:color w:val="auto"/>
        </w:rPr>
        <w:t xml:space="preserve"> C, </w:t>
      </w:r>
      <w:proofErr w:type="spellStart"/>
      <w:r w:rsidRPr="00AA384A">
        <w:rPr>
          <w:rFonts w:ascii="Book Antiqua" w:eastAsia="宋体" w:hAnsi="Book Antiqua" w:cs="宋体"/>
          <w:color w:val="auto"/>
        </w:rPr>
        <w:t>Mondelli</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Donato</w:t>
      </w:r>
      <w:proofErr w:type="spellEnd"/>
      <w:r w:rsidRPr="00AA384A">
        <w:rPr>
          <w:rFonts w:ascii="Book Antiqua" w:eastAsia="宋体" w:hAnsi="Book Antiqua" w:cs="宋体"/>
          <w:color w:val="auto"/>
        </w:rPr>
        <w:t xml:space="preserve"> F, </w:t>
      </w:r>
      <w:proofErr w:type="spellStart"/>
      <w:r w:rsidRPr="00AA384A">
        <w:rPr>
          <w:rFonts w:ascii="Book Antiqua" w:eastAsia="宋体" w:hAnsi="Book Antiqua" w:cs="宋体"/>
          <w:color w:val="auto"/>
        </w:rPr>
        <w:t>Craxì</w:t>
      </w:r>
      <w:proofErr w:type="spellEnd"/>
      <w:r w:rsidRPr="00AA384A">
        <w:rPr>
          <w:rFonts w:ascii="Book Antiqua" w:eastAsia="宋体" w:hAnsi="Book Antiqua" w:cs="宋体"/>
          <w:color w:val="auto"/>
        </w:rPr>
        <w:t xml:space="preserve"> A. Who is more likely to respond to dual treatment with </w:t>
      </w:r>
      <w:proofErr w:type="spellStart"/>
      <w:r w:rsidRPr="00AA384A">
        <w:rPr>
          <w:rFonts w:ascii="Book Antiqua" w:eastAsia="宋体" w:hAnsi="Book Antiqua" w:cs="宋体"/>
          <w:color w:val="auto"/>
        </w:rPr>
        <w:t>pegylated</w:t>
      </w:r>
      <w:proofErr w:type="spellEnd"/>
      <w:r w:rsidRPr="00AA384A">
        <w:rPr>
          <w:rFonts w:ascii="Book Antiqua" w:eastAsia="宋体" w:hAnsi="Book Antiqua" w:cs="宋体"/>
          <w:color w:val="auto"/>
        </w:rPr>
        <w:t xml:space="preserve">-interferon and ribavirin for chronic hepatitis C? </w:t>
      </w:r>
      <w:proofErr w:type="gramStart"/>
      <w:r w:rsidRPr="00AA384A">
        <w:rPr>
          <w:rFonts w:ascii="Book Antiqua" w:eastAsia="宋体" w:hAnsi="Book Antiqua" w:cs="宋体"/>
          <w:color w:val="auto"/>
        </w:rPr>
        <w:t>A gender-oriented analysis.</w:t>
      </w:r>
      <w:proofErr w:type="gramEnd"/>
      <w:r w:rsidRPr="00AA384A">
        <w:rPr>
          <w:rFonts w:ascii="Book Antiqua" w:eastAsia="宋体" w:hAnsi="Book Antiqua" w:cs="宋体"/>
          <w:color w:val="auto"/>
        </w:rPr>
        <w:t> </w:t>
      </w:r>
      <w:r w:rsidRPr="00AA384A">
        <w:rPr>
          <w:rFonts w:ascii="Book Antiqua" w:eastAsia="宋体" w:hAnsi="Book Antiqua" w:cs="宋体"/>
          <w:i/>
          <w:iCs/>
          <w:color w:val="auto"/>
        </w:rPr>
        <w:t xml:space="preserve">J Viral </w:t>
      </w:r>
      <w:proofErr w:type="spellStart"/>
      <w:r w:rsidRPr="00AA384A">
        <w:rPr>
          <w:rFonts w:ascii="Book Antiqua" w:eastAsia="宋体" w:hAnsi="Book Antiqua" w:cs="宋体"/>
          <w:i/>
          <w:iCs/>
          <w:color w:val="auto"/>
        </w:rPr>
        <w:t>Hepat</w:t>
      </w:r>
      <w:proofErr w:type="spellEnd"/>
      <w:r w:rsidRPr="00AA384A">
        <w:rPr>
          <w:rFonts w:ascii="Book Antiqua" w:eastAsia="宋体" w:hAnsi="Book Antiqua" w:cs="宋体"/>
          <w:color w:val="auto"/>
        </w:rPr>
        <w:t> 2013; </w:t>
      </w:r>
      <w:r w:rsidRPr="00AA384A">
        <w:rPr>
          <w:rFonts w:ascii="Book Antiqua" w:eastAsia="宋体" w:hAnsi="Book Antiqua" w:cs="宋体"/>
          <w:b/>
          <w:bCs/>
          <w:color w:val="auto"/>
        </w:rPr>
        <w:t>20</w:t>
      </w:r>
      <w:r w:rsidRPr="00AA384A">
        <w:rPr>
          <w:rFonts w:ascii="Book Antiqua" w:eastAsia="宋体" w:hAnsi="Book Antiqua" w:cs="宋体"/>
          <w:color w:val="auto"/>
        </w:rPr>
        <w:t>: 790-800 [PMID: 24168258 DOI: 10.1111/jvh.12106]</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12 </w:t>
      </w:r>
      <w:proofErr w:type="spellStart"/>
      <w:r w:rsidRPr="00AA384A">
        <w:rPr>
          <w:rFonts w:ascii="Book Antiqua" w:eastAsia="宋体" w:hAnsi="Book Antiqua" w:cs="宋体"/>
          <w:b/>
          <w:bCs/>
          <w:color w:val="auto"/>
        </w:rPr>
        <w:t>Cariani</w:t>
      </w:r>
      <w:proofErr w:type="spellEnd"/>
      <w:r w:rsidRPr="00AA384A">
        <w:rPr>
          <w:rFonts w:ascii="Book Antiqua" w:eastAsia="宋体" w:hAnsi="Book Antiqua" w:cs="宋体"/>
          <w:b/>
          <w:bCs/>
          <w:color w:val="auto"/>
        </w:rPr>
        <w:t xml:space="preserve"> E</w:t>
      </w:r>
      <w:r w:rsidRPr="00AA384A">
        <w:rPr>
          <w:rFonts w:ascii="Book Antiqua" w:eastAsia="宋体" w:hAnsi="Book Antiqua" w:cs="宋体"/>
          <w:color w:val="auto"/>
        </w:rPr>
        <w:t xml:space="preserve">, Villa E, Rota C, </w:t>
      </w:r>
      <w:proofErr w:type="spellStart"/>
      <w:r w:rsidRPr="00AA384A">
        <w:rPr>
          <w:rFonts w:ascii="Book Antiqua" w:eastAsia="宋体" w:hAnsi="Book Antiqua" w:cs="宋体"/>
          <w:color w:val="auto"/>
        </w:rPr>
        <w:t>Critelli</w:t>
      </w:r>
      <w:proofErr w:type="spellEnd"/>
      <w:r w:rsidRPr="00AA384A">
        <w:rPr>
          <w:rFonts w:ascii="Book Antiqua" w:eastAsia="宋体" w:hAnsi="Book Antiqua" w:cs="宋体"/>
          <w:color w:val="auto"/>
        </w:rPr>
        <w:t xml:space="preserve"> R, </w:t>
      </w:r>
      <w:proofErr w:type="spellStart"/>
      <w:r w:rsidRPr="00AA384A">
        <w:rPr>
          <w:rFonts w:ascii="Book Antiqua" w:eastAsia="宋体" w:hAnsi="Book Antiqua" w:cs="宋体"/>
          <w:color w:val="auto"/>
        </w:rPr>
        <w:t>Trenti</w:t>
      </w:r>
      <w:proofErr w:type="spellEnd"/>
      <w:r w:rsidRPr="00AA384A">
        <w:rPr>
          <w:rFonts w:ascii="Book Antiqua" w:eastAsia="宋体" w:hAnsi="Book Antiqua" w:cs="宋体"/>
          <w:color w:val="auto"/>
        </w:rPr>
        <w:t xml:space="preserve"> T. Translating </w:t>
      </w:r>
      <w:proofErr w:type="spellStart"/>
      <w:r w:rsidRPr="00AA384A">
        <w:rPr>
          <w:rFonts w:ascii="Book Antiqua" w:eastAsia="宋体" w:hAnsi="Book Antiqua" w:cs="宋体"/>
          <w:color w:val="auto"/>
        </w:rPr>
        <w:t>pharmacogenetics</w:t>
      </w:r>
      <w:proofErr w:type="spellEnd"/>
      <w:r w:rsidRPr="00AA384A">
        <w:rPr>
          <w:rFonts w:ascii="Book Antiqua" w:eastAsia="宋体" w:hAnsi="Book Antiqua" w:cs="宋体"/>
          <w:color w:val="auto"/>
        </w:rPr>
        <w:t xml:space="preserve"> into clinical practice: interleukin (IL)28B and </w:t>
      </w:r>
      <w:proofErr w:type="spellStart"/>
      <w:r w:rsidRPr="00AA384A">
        <w:rPr>
          <w:rFonts w:ascii="Book Antiqua" w:eastAsia="宋体" w:hAnsi="Book Antiqua" w:cs="宋体"/>
          <w:color w:val="auto"/>
        </w:rPr>
        <w:t>inosine</w:t>
      </w:r>
      <w:proofErr w:type="spellEnd"/>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triphosphatase</w:t>
      </w:r>
      <w:proofErr w:type="spellEnd"/>
      <w:r w:rsidRPr="00AA384A">
        <w:rPr>
          <w:rFonts w:ascii="Book Antiqua" w:eastAsia="宋体" w:hAnsi="Book Antiqua" w:cs="宋体"/>
          <w:color w:val="auto"/>
        </w:rPr>
        <w:t xml:space="preserve"> (ITPA) </w:t>
      </w:r>
      <w:proofErr w:type="spellStart"/>
      <w:r w:rsidRPr="00AA384A">
        <w:rPr>
          <w:rFonts w:ascii="Book Antiqua" w:eastAsia="宋体" w:hAnsi="Book Antiqua" w:cs="宋体"/>
          <w:color w:val="auto"/>
        </w:rPr>
        <w:t>polymophisms</w:t>
      </w:r>
      <w:proofErr w:type="spellEnd"/>
      <w:r w:rsidRPr="00AA384A">
        <w:rPr>
          <w:rFonts w:ascii="Book Antiqua" w:eastAsia="宋体" w:hAnsi="Book Antiqua" w:cs="宋体"/>
          <w:color w:val="auto"/>
        </w:rPr>
        <w:t xml:space="preserve"> in hepatitis C virus (HCV) infection. </w:t>
      </w:r>
      <w:proofErr w:type="spellStart"/>
      <w:r w:rsidRPr="00AA384A">
        <w:rPr>
          <w:rFonts w:ascii="Book Antiqua" w:eastAsia="宋体" w:hAnsi="Book Antiqua" w:cs="宋体"/>
          <w:i/>
          <w:iCs/>
          <w:color w:val="auto"/>
        </w:rPr>
        <w:t>Clin</w:t>
      </w:r>
      <w:proofErr w:type="spellEnd"/>
      <w:r w:rsidRPr="00AA384A">
        <w:rPr>
          <w:rFonts w:ascii="Book Antiqua" w:eastAsia="宋体" w:hAnsi="Book Antiqua" w:cs="宋体"/>
          <w:i/>
          <w:iCs/>
          <w:color w:val="auto"/>
        </w:rPr>
        <w:t xml:space="preserve"> </w:t>
      </w:r>
      <w:proofErr w:type="spellStart"/>
      <w:r w:rsidRPr="00AA384A">
        <w:rPr>
          <w:rFonts w:ascii="Book Antiqua" w:eastAsia="宋体" w:hAnsi="Book Antiqua" w:cs="宋体"/>
          <w:i/>
          <w:iCs/>
          <w:color w:val="auto"/>
        </w:rPr>
        <w:t>Chem</w:t>
      </w:r>
      <w:proofErr w:type="spellEnd"/>
      <w:r w:rsidRPr="00AA384A">
        <w:rPr>
          <w:rFonts w:ascii="Book Antiqua" w:eastAsia="宋体" w:hAnsi="Book Antiqua" w:cs="宋体"/>
          <w:i/>
          <w:iCs/>
          <w:color w:val="auto"/>
        </w:rPr>
        <w:t xml:space="preserve"> Lab Med</w:t>
      </w:r>
      <w:r w:rsidRPr="00AA384A">
        <w:rPr>
          <w:rFonts w:ascii="Book Antiqua" w:eastAsia="宋体" w:hAnsi="Book Antiqua" w:cs="宋体"/>
          <w:color w:val="auto"/>
        </w:rPr>
        <w:t> 2011; </w:t>
      </w:r>
      <w:r w:rsidRPr="00AA384A">
        <w:rPr>
          <w:rFonts w:ascii="Book Antiqua" w:eastAsia="宋体" w:hAnsi="Book Antiqua" w:cs="宋体"/>
          <w:b/>
          <w:bCs/>
          <w:color w:val="auto"/>
        </w:rPr>
        <w:t>49</w:t>
      </w:r>
      <w:r w:rsidRPr="00AA384A">
        <w:rPr>
          <w:rFonts w:ascii="Book Antiqua" w:eastAsia="宋体" w:hAnsi="Book Antiqua" w:cs="宋体"/>
          <w:color w:val="auto"/>
        </w:rPr>
        <w:t>: 1247-1256 [PMID: 21612542 DOI: 10.1515/CCLM.2011.618]</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13 </w:t>
      </w:r>
      <w:proofErr w:type="spellStart"/>
      <w:r w:rsidRPr="00AA384A">
        <w:rPr>
          <w:rFonts w:ascii="Book Antiqua" w:eastAsia="宋体" w:hAnsi="Book Antiqua" w:cs="宋体"/>
          <w:b/>
          <w:bCs/>
          <w:color w:val="auto"/>
        </w:rPr>
        <w:t>Cariani</w:t>
      </w:r>
      <w:proofErr w:type="spellEnd"/>
      <w:r w:rsidRPr="00AA384A">
        <w:rPr>
          <w:rFonts w:ascii="Book Antiqua" w:eastAsia="宋体" w:hAnsi="Book Antiqua" w:cs="宋体"/>
          <w:b/>
          <w:bCs/>
          <w:color w:val="auto"/>
        </w:rPr>
        <w:t xml:space="preserve"> E</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Critelli</w:t>
      </w:r>
      <w:proofErr w:type="spellEnd"/>
      <w:r w:rsidRPr="00AA384A">
        <w:rPr>
          <w:rFonts w:ascii="Book Antiqua" w:eastAsia="宋体" w:hAnsi="Book Antiqua" w:cs="宋体"/>
          <w:color w:val="auto"/>
        </w:rPr>
        <w:t xml:space="preserve"> R, Rota C, </w:t>
      </w:r>
      <w:proofErr w:type="spellStart"/>
      <w:r w:rsidRPr="00AA384A">
        <w:rPr>
          <w:rFonts w:ascii="Book Antiqua" w:eastAsia="宋体" w:hAnsi="Book Antiqua" w:cs="宋体"/>
          <w:color w:val="auto"/>
        </w:rPr>
        <w:t>Luongo</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Trenti</w:t>
      </w:r>
      <w:proofErr w:type="spellEnd"/>
      <w:r w:rsidRPr="00AA384A">
        <w:rPr>
          <w:rFonts w:ascii="Book Antiqua" w:eastAsia="宋体" w:hAnsi="Book Antiqua" w:cs="宋体"/>
          <w:color w:val="auto"/>
        </w:rPr>
        <w:t xml:space="preserve"> T, Villa E. Interleukin 28B genotype determination using DNA from different sources: A simple and reliable tool for the epidemiological and clinical characterization of hepatitis C. </w:t>
      </w:r>
      <w:r w:rsidRPr="00AA384A">
        <w:rPr>
          <w:rFonts w:ascii="Book Antiqua" w:eastAsia="宋体" w:hAnsi="Book Antiqua" w:cs="宋体"/>
          <w:i/>
          <w:iCs/>
          <w:color w:val="auto"/>
        </w:rPr>
        <w:t xml:space="preserve">J </w:t>
      </w:r>
      <w:proofErr w:type="spellStart"/>
      <w:r w:rsidRPr="00AA384A">
        <w:rPr>
          <w:rFonts w:ascii="Book Antiqua" w:eastAsia="宋体" w:hAnsi="Book Antiqua" w:cs="宋体"/>
          <w:i/>
          <w:iCs/>
          <w:color w:val="auto"/>
        </w:rPr>
        <w:t>Virol</w:t>
      </w:r>
      <w:proofErr w:type="spellEnd"/>
      <w:r w:rsidRPr="00AA384A">
        <w:rPr>
          <w:rFonts w:ascii="Book Antiqua" w:eastAsia="宋体" w:hAnsi="Book Antiqua" w:cs="宋体"/>
          <w:i/>
          <w:iCs/>
          <w:color w:val="auto"/>
        </w:rPr>
        <w:t xml:space="preserve"> Methods</w:t>
      </w:r>
      <w:r w:rsidRPr="00AA384A">
        <w:rPr>
          <w:rFonts w:ascii="Book Antiqua" w:eastAsia="宋体" w:hAnsi="Book Antiqua" w:cs="宋体"/>
          <w:color w:val="auto"/>
        </w:rPr>
        <w:t> 2011; </w:t>
      </w:r>
      <w:r w:rsidRPr="00AA384A">
        <w:rPr>
          <w:rFonts w:ascii="Book Antiqua" w:eastAsia="宋体" w:hAnsi="Book Antiqua" w:cs="宋体"/>
          <w:b/>
          <w:bCs/>
          <w:color w:val="auto"/>
        </w:rPr>
        <w:t>178</w:t>
      </w:r>
      <w:r w:rsidRPr="00AA384A">
        <w:rPr>
          <w:rFonts w:ascii="Book Antiqua" w:eastAsia="宋体" w:hAnsi="Book Antiqua" w:cs="宋体"/>
          <w:color w:val="auto"/>
        </w:rPr>
        <w:t>: 235-238 [PMID: 21903134 DOI: 10.1016/j.jviromet.2011.08.021]</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14 </w:t>
      </w:r>
      <w:r w:rsidRPr="00AA384A">
        <w:rPr>
          <w:rFonts w:ascii="Book Antiqua" w:eastAsia="宋体" w:hAnsi="Book Antiqua" w:cs="宋体"/>
          <w:b/>
          <w:bCs/>
          <w:color w:val="auto"/>
        </w:rPr>
        <w:t>Jensen DM</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Marcellin</w:t>
      </w:r>
      <w:proofErr w:type="spellEnd"/>
      <w:r w:rsidRPr="00AA384A">
        <w:rPr>
          <w:rFonts w:ascii="Book Antiqua" w:eastAsia="宋体" w:hAnsi="Book Antiqua" w:cs="宋体"/>
          <w:color w:val="auto"/>
        </w:rPr>
        <w:t xml:space="preserve"> P, </w:t>
      </w:r>
      <w:proofErr w:type="spellStart"/>
      <w:r w:rsidRPr="00AA384A">
        <w:rPr>
          <w:rFonts w:ascii="Book Antiqua" w:eastAsia="宋体" w:hAnsi="Book Antiqua" w:cs="宋体"/>
          <w:color w:val="auto"/>
        </w:rPr>
        <w:t>Freilich</w:t>
      </w:r>
      <w:proofErr w:type="spellEnd"/>
      <w:r w:rsidRPr="00AA384A">
        <w:rPr>
          <w:rFonts w:ascii="Book Antiqua" w:eastAsia="宋体" w:hAnsi="Book Antiqua" w:cs="宋体"/>
          <w:color w:val="auto"/>
        </w:rPr>
        <w:t xml:space="preserve"> B, </w:t>
      </w:r>
      <w:proofErr w:type="spellStart"/>
      <w:r w:rsidRPr="00AA384A">
        <w:rPr>
          <w:rFonts w:ascii="Book Antiqua" w:eastAsia="宋体" w:hAnsi="Book Antiqua" w:cs="宋体"/>
          <w:color w:val="auto"/>
        </w:rPr>
        <w:t>Andreone</w:t>
      </w:r>
      <w:proofErr w:type="spellEnd"/>
      <w:r w:rsidRPr="00AA384A">
        <w:rPr>
          <w:rFonts w:ascii="Book Antiqua" w:eastAsia="宋体" w:hAnsi="Book Antiqua" w:cs="宋体"/>
          <w:color w:val="auto"/>
        </w:rPr>
        <w:t xml:space="preserve"> P, Di </w:t>
      </w:r>
      <w:proofErr w:type="spellStart"/>
      <w:r w:rsidRPr="00AA384A">
        <w:rPr>
          <w:rFonts w:ascii="Book Antiqua" w:eastAsia="宋体" w:hAnsi="Book Antiqua" w:cs="宋体"/>
          <w:color w:val="auto"/>
        </w:rPr>
        <w:t>Bisceglie</w:t>
      </w:r>
      <w:proofErr w:type="spellEnd"/>
      <w:r w:rsidRPr="00AA384A">
        <w:rPr>
          <w:rFonts w:ascii="Book Antiqua" w:eastAsia="宋体" w:hAnsi="Book Antiqua" w:cs="宋体"/>
          <w:color w:val="auto"/>
        </w:rPr>
        <w:t xml:space="preserve"> A, </w:t>
      </w:r>
      <w:proofErr w:type="spellStart"/>
      <w:r w:rsidRPr="00AA384A">
        <w:rPr>
          <w:rFonts w:ascii="Book Antiqua" w:eastAsia="宋体" w:hAnsi="Book Antiqua" w:cs="宋体"/>
          <w:color w:val="auto"/>
        </w:rPr>
        <w:t>Brandão</w:t>
      </w:r>
      <w:proofErr w:type="spellEnd"/>
      <w:r w:rsidRPr="00AA384A">
        <w:rPr>
          <w:rFonts w:ascii="Book Antiqua" w:eastAsia="宋体" w:hAnsi="Book Antiqua" w:cs="宋体"/>
          <w:color w:val="auto"/>
        </w:rPr>
        <w:t xml:space="preserve">-Mello CE, Reddy KR, </w:t>
      </w:r>
      <w:proofErr w:type="spellStart"/>
      <w:r w:rsidRPr="00AA384A">
        <w:rPr>
          <w:rFonts w:ascii="Book Antiqua" w:eastAsia="宋体" w:hAnsi="Book Antiqua" w:cs="宋体"/>
          <w:color w:val="auto"/>
        </w:rPr>
        <w:t>Craxi</w:t>
      </w:r>
      <w:proofErr w:type="spellEnd"/>
      <w:r w:rsidRPr="00AA384A">
        <w:rPr>
          <w:rFonts w:ascii="Book Antiqua" w:eastAsia="宋体" w:hAnsi="Book Antiqua" w:cs="宋体"/>
          <w:color w:val="auto"/>
        </w:rPr>
        <w:t xml:space="preserve"> A, Martin AO, </w:t>
      </w:r>
      <w:proofErr w:type="spellStart"/>
      <w:r w:rsidRPr="00AA384A">
        <w:rPr>
          <w:rFonts w:ascii="Book Antiqua" w:eastAsia="宋体" w:hAnsi="Book Antiqua" w:cs="宋体"/>
          <w:color w:val="auto"/>
        </w:rPr>
        <w:t>Teuber</w:t>
      </w:r>
      <w:proofErr w:type="spellEnd"/>
      <w:r w:rsidRPr="00AA384A">
        <w:rPr>
          <w:rFonts w:ascii="Book Antiqua" w:eastAsia="宋体" w:hAnsi="Book Antiqua" w:cs="宋体"/>
          <w:color w:val="auto"/>
        </w:rPr>
        <w:t xml:space="preserve"> G, </w:t>
      </w:r>
      <w:proofErr w:type="spellStart"/>
      <w:r w:rsidRPr="00AA384A">
        <w:rPr>
          <w:rFonts w:ascii="Book Antiqua" w:eastAsia="宋体" w:hAnsi="Book Antiqua" w:cs="宋体"/>
          <w:color w:val="auto"/>
        </w:rPr>
        <w:t>Messinger</w:t>
      </w:r>
      <w:proofErr w:type="spellEnd"/>
      <w:r w:rsidRPr="00AA384A">
        <w:rPr>
          <w:rFonts w:ascii="Book Antiqua" w:eastAsia="宋体" w:hAnsi="Book Antiqua" w:cs="宋体"/>
          <w:color w:val="auto"/>
        </w:rPr>
        <w:t xml:space="preserve"> D, </w:t>
      </w:r>
      <w:proofErr w:type="spellStart"/>
      <w:r w:rsidRPr="00AA384A">
        <w:rPr>
          <w:rFonts w:ascii="Book Antiqua" w:eastAsia="宋体" w:hAnsi="Book Antiqua" w:cs="宋体"/>
          <w:color w:val="auto"/>
        </w:rPr>
        <w:t>Thommes</w:t>
      </w:r>
      <w:proofErr w:type="spellEnd"/>
      <w:r w:rsidRPr="00AA384A">
        <w:rPr>
          <w:rFonts w:ascii="Book Antiqua" w:eastAsia="宋体" w:hAnsi="Book Antiqua" w:cs="宋体"/>
          <w:color w:val="auto"/>
        </w:rPr>
        <w:t xml:space="preserve"> JA, </w:t>
      </w:r>
      <w:proofErr w:type="spellStart"/>
      <w:r w:rsidRPr="00AA384A">
        <w:rPr>
          <w:rFonts w:ascii="Book Antiqua" w:eastAsia="宋体" w:hAnsi="Book Antiqua" w:cs="宋体"/>
          <w:color w:val="auto"/>
        </w:rPr>
        <w:t>Tietz</w:t>
      </w:r>
      <w:proofErr w:type="spellEnd"/>
      <w:r w:rsidRPr="00AA384A">
        <w:rPr>
          <w:rFonts w:ascii="Book Antiqua" w:eastAsia="宋体" w:hAnsi="Book Antiqua" w:cs="宋体"/>
          <w:color w:val="auto"/>
        </w:rPr>
        <w:t xml:space="preserve"> A. Re-treatment of patients with chronic hepatitis C who do not respond to peginterferon-alpha2b: a randomized trial. </w:t>
      </w:r>
      <w:r w:rsidRPr="00AA384A">
        <w:rPr>
          <w:rFonts w:ascii="Book Antiqua" w:eastAsia="宋体" w:hAnsi="Book Antiqua" w:cs="宋体"/>
          <w:i/>
          <w:iCs/>
          <w:color w:val="auto"/>
        </w:rPr>
        <w:t>Ann Intern Med</w:t>
      </w:r>
      <w:r w:rsidRPr="00AA384A">
        <w:rPr>
          <w:rFonts w:ascii="Book Antiqua" w:eastAsia="宋体" w:hAnsi="Book Antiqua" w:cs="宋体"/>
          <w:color w:val="auto"/>
        </w:rPr>
        <w:t> 2009; </w:t>
      </w:r>
      <w:r w:rsidRPr="00AA384A">
        <w:rPr>
          <w:rFonts w:ascii="Book Antiqua" w:eastAsia="宋体" w:hAnsi="Book Antiqua" w:cs="宋体"/>
          <w:b/>
          <w:bCs/>
          <w:color w:val="auto"/>
        </w:rPr>
        <w:t>150</w:t>
      </w:r>
      <w:r w:rsidRPr="00AA384A">
        <w:rPr>
          <w:rFonts w:ascii="Book Antiqua" w:eastAsia="宋体" w:hAnsi="Book Antiqua" w:cs="宋体"/>
          <w:color w:val="auto"/>
        </w:rPr>
        <w:t>: 528-540 [PMID: 19380853]</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15 </w:t>
      </w:r>
      <w:r w:rsidRPr="00AA384A">
        <w:rPr>
          <w:rFonts w:ascii="Book Antiqua" w:eastAsia="宋体" w:hAnsi="Book Antiqua" w:cs="宋体"/>
          <w:b/>
          <w:bCs/>
          <w:color w:val="auto"/>
        </w:rPr>
        <w:t>Bacon BR</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Shiffman</w:t>
      </w:r>
      <w:proofErr w:type="spellEnd"/>
      <w:r w:rsidRPr="00AA384A">
        <w:rPr>
          <w:rFonts w:ascii="Book Antiqua" w:eastAsia="宋体" w:hAnsi="Book Antiqua" w:cs="宋体"/>
          <w:color w:val="auto"/>
        </w:rPr>
        <w:t xml:space="preserve"> ML, Mendes F, </w:t>
      </w:r>
      <w:proofErr w:type="spellStart"/>
      <w:r w:rsidRPr="00AA384A">
        <w:rPr>
          <w:rFonts w:ascii="Book Antiqua" w:eastAsia="宋体" w:hAnsi="Book Antiqua" w:cs="宋体"/>
          <w:color w:val="auto"/>
        </w:rPr>
        <w:t>Ghalib</w:t>
      </w:r>
      <w:proofErr w:type="spellEnd"/>
      <w:r w:rsidRPr="00AA384A">
        <w:rPr>
          <w:rFonts w:ascii="Book Antiqua" w:eastAsia="宋体" w:hAnsi="Book Antiqua" w:cs="宋体"/>
          <w:color w:val="auto"/>
        </w:rPr>
        <w:t xml:space="preserve"> R, </w:t>
      </w:r>
      <w:proofErr w:type="spellStart"/>
      <w:r w:rsidRPr="00AA384A">
        <w:rPr>
          <w:rFonts w:ascii="Book Antiqua" w:eastAsia="宋体" w:hAnsi="Book Antiqua" w:cs="宋体"/>
          <w:color w:val="auto"/>
        </w:rPr>
        <w:t>Hassanein</w:t>
      </w:r>
      <w:proofErr w:type="spellEnd"/>
      <w:r w:rsidRPr="00AA384A">
        <w:rPr>
          <w:rFonts w:ascii="Book Antiqua" w:eastAsia="宋体" w:hAnsi="Book Antiqua" w:cs="宋体"/>
          <w:color w:val="auto"/>
        </w:rPr>
        <w:t xml:space="preserve"> T, </w:t>
      </w:r>
      <w:proofErr w:type="spellStart"/>
      <w:r w:rsidRPr="00AA384A">
        <w:rPr>
          <w:rFonts w:ascii="Book Antiqua" w:eastAsia="宋体" w:hAnsi="Book Antiqua" w:cs="宋体"/>
          <w:color w:val="auto"/>
        </w:rPr>
        <w:t>Morelli</w:t>
      </w:r>
      <w:proofErr w:type="spellEnd"/>
      <w:r w:rsidRPr="00AA384A">
        <w:rPr>
          <w:rFonts w:ascii="Book Antiqua" w:eastAsia="宋体" w:hAnsi="Book Antiqua" w:cs="宋体"/>
          <w:color w:val="auto"/>
        </w:rPr>
        <w:t xml:space="preserve"> G, Joshi S, Rothstein K, </w:t>
      </w:r>
      <w:proofErr w:type="spellStart"/>
      <w:r w:rsidRPr="00AA384A">
        <w:rPr>
          <w:rFonts w:ascii="Book Antiqua" w:eastAsia="宋体" w:hAnsi="Book Antiqua" w:cs="宋体"/>
          <w:color w:val="auto"/>
        </w:rPr>
        <w:t>Kwo</w:t>
      </w:r>
      <w:proofErr w:type="spellEnd"/>
      <w:r w:rsidRPr="00AA384A">
        <w:rPr>
          <w:rFonts w:ascii="Book Antiqua" w:eastAsia="宋体" w:hAnsi="Book Antiqua" w:cs="宋体"/>
          <w:color w:val="auto"/>
        </w:rPr>
        <w:t xml:space="preserve"> P, </w:t>
      </w:r>
      <w:proofErr w:type="spellStart"/>
      <w:r w:rsidRPr="00AA384A">
        <w:rPr>
          <w:rFonts w:ascii="Book Antiqua" w:eastAsia="宋体" w:hAnsi="Book Antiqua" w:cs="宋体"/>
          <w:color w:val="auto"/>
        </w:rPr>
        <w:t>Gitlin</w:t>
      </w:r>
      <w:proofErr w:type="spellEnd"/>
      <w:r w:rsidRPr="00AA384A">
        <w:rPr>
          <w:rFonts w:ascii="Book Antiqua" w:eastAsia="宋体" w:hAnsi="Book Antiqua" w:cs="宋体"/>
          <w:color w:val="auto"/>
        </w:rPr>
        <w:t xml:space="preserve"> N. Retreating chronic hepatitis C with daily </w:t>
      </w:r>
      <w:r w:rsidRPr="00AA384A">
        <w:rPr>
          <w:rFonts w:ascii="Book Antiqua" w:eastAsia="宋体" w:hAnsi="Book Antiqua" w:cs="宋体"/>
          <w:color w:val="auto"/>
        </w:rPr>
        <w:lastRenderedPageBreak/>
        <w:t xml:space="preserve">interferon alfacon-1/ribavirin after nonresponse to </w:t>
      </w:r>
      <w:proofErr w:type="spellStart"/>
      <w:r w:rsidRPr="00AA384A">
        <w:rPr>
          <w:rFonts w:ascii="Book Antiqua" w:eastAsia="宋体" w:hAnsi="Book Antiqua" w:cs="宋体"/>
          <w:color w:val="auto"/>
        </w:rPr>
        <w:t>pegylated</w:t>
      </w:r>
      <w:proofErr w:type="spellEnd"/>
      <w:r w:rsidRPr="00AA384A">
        <w:rPr>
          <w:rFonts w:ascii="Book Antiqua" w:eastAsia="宋体" w:hAnsi="Book Antiqua" w:cs="宋体"/>
          <w:color w:val="auto"/>
        </w:rPr>
        <w:t xml:space="preserve"> interferon/ribavirin: DIRECT results. </w:t>
      </w:r>
      <w:proofErr w:type="spellStart"/>
      <w:r w:rsidRPr="00AA384A">
        <w:rPr>
          <w:rFonts w:ascii="Book Antiqua" w:eastAsia="宋体" w:hAnsi="Book Antiqua" w:cs="宋体"/>
          <w:i/>
          <w:iCs/>
          <w:color w:val="auto"/>
        </w:rPr>
        <w:t>Hepatology</w:t>
      </w:r>
      <w:proofErr w:type="spellEnd"/>
      <w:r w:rsidRPr="00AA384A">
        <w:rPr>
          <w:rFonts w:ascii="Book Antiqua" w:eastAsia="宋体" w:hAnsi="Book Antiqua" w:cs="宋体"/>
          <w:color w:val="auto"/>
        </w:rPr>
        <w:t> 2009; </w:t>
      </w:r>
      <w:r w:rsidRPr="00AA384A">
        <w:rPr>
          <w:rFonts w:ascii="Book Antiqua" w:eastAsia="宋体" w:hAnsi="Book Antiqua" w:cs="宋体"/>
          <w:b/>
          <w:bCs/>
          <w:color w:val="auto"/>
        </w:rPr>
        <w:t>49</w:t>
      </w:r>
      <w:r w:rsidRPr="00AA384A">
        <w:rPr>
          <w:rFonts w:ascii="Book Antiqua" w:eastAsia="宋体" w:hAnsi="Book Antiqua" w:cs="宋体"/>
          <w:color w:val="auto"/>
        </w:rPr>
        <w:t>: 1838-1846 [PMID: 19291790 DOI: 10.1002/hep.22871]</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16 </w:t>
      </w:r>
      <w:r w:rsidRPr="00AA384A">
        <w:rPr>
          <w:rFonts w:ascii="Book Antiqua" w:eastAsia="宋体" w:hAnsi="Book Antiqua" w:cs="宋体"/>
          <w:b/>
          <w:bCs/>
          <w:color w:val="auto"/>
        </w:rPr>
        <w:t>Yee HS</w:t>
      </w:r>
      <w:r w:rsidRPr="00AA384A">
        <w:rPr>
          <w:rFonts w:ascii="Book Antiqua" w:eastAsia="宋体" w:hAnsi="Book Antiqua" w:cs="宋体"/>
          <w:color w:val="auto"/>
        </w:rPr>
        <w:t xml:space="preserve">, Currie SL, </w:t>
      </w:r>
      <w:proofErr w:type="spellStart"/>
      <w:r w:rsidRPr="00AA384A">
        <w:rPr>
          <w:rFonts w:ascii="Book Antiqua" w:eastAsia="宋体" w:hAnsi="Book Antiqua" w:cs="宋体"/>
          <w:color w:val="auto"/>
        </w:rPr>
        <w:t>Tortorice</w:t>
      </w:r>
      <w:proofErr w:type="spellEnd"/>
      <w:r w:rsidRPr="00AA384A">
        <w:rPr>
          <w:rFonts w:ascii="Book Antiqua" w:eastAsia="宋体" w:hAnsi="Book Antiqua" w:cs="宋体"/>
          <w:color w:val="auto"/>
        </w:rPr>
        <w:t xml:space="preserve"> K, Cozen M, </w:t>
      </w:r>
      <w:proofErr w:type="spellStart"/>
      <w:r w:rsidRPr="00AA384A">
        <w:rPr>
          <w:rFonts w:ascii="Book Antiqua" w:eastAsia="宋体" w:hAnsi="Book Antiqua" w:cs="宋体"/>
          <w:color w:val="auto"/>
        </w:rPr>
        <w:t>Shen</w:t>
      </w:r>
      <w:proofErr w:type="spellEnd"/>
      <w:r w:rsidRPr="00AA384A">
        <w:rPr>
          <w:rFonts w:ascii="Book Antiqua" w:eastAsia="宋体" w:hAnsi="Book Antiqua" w:cs="宋体"/>
          <w:color w:val="auto"/>
        </w:rPr>
        <w:t xml:space="preserve"> H, Chapman S, Cunningham F, </w:t>
      </w:r>
      <w:proofErr w:type="spellStart"/>
      <w:r w:rsidRPr="00AA384A">
        <w:rPr>
          <w:rFonts w:ascii="Book Antiqua" w:eastAsia="宋体" w:hAnsi="Book Antiqua" w:cs="宋体"/>
          <w:color w:val="auto"/>
        </w:rPr>
        <w:t>Monto</w:t>
      </w:r>
      <w:proofErr w:type="spellEnd"/>
      <w:r w:rsidRPr="00AA384A">
        <w:rPr>
          <w:rFonts w:ascii="Book Antiqua" w:eastAsia="宋体" w:hAnsi="Book Antiqua" w:cs="宋体"/>
          <w:color w:val="auto"/>
        </w:rPr>
        <w:t xml:space="preserve"> A. Retreatment of hepatitis C with consensus interferon and ribavirin after nonresponse or relapse to </w:t>
      </w:r>
      <w:proofErr w:type="spellStart"/>
      <w:r w:rsidRPr="00AA384A">
        <w:rPr>
          <w:rFonts w:ascii="Book Antiqua" w:eastAsia="宋体" w:hAnsi="Book Antiqua" w:cs="宋体"/>
          <w:color w:val="auto"/>
        </w:rPr>
        <w:t>pegylated</w:t>
      </w:r>
      <w:proofErr w:type="spellEnd"/>
      <w:r w:rsidRPr="00AA384A">
        <w:rPr>
          <w:rFonts w:ascii="Book Antiqua" w:eastAsia="宋体" w:hAnsi="Book Antiqua" w:cs="宋体"/>
          <w:color w:val="auto"/>
        </w:rPr>
        <w:t xml:space="preserve"> interferon and ribavirin: a national VA clinical practice study. </w:t>
      </w:r>
      <w:r w:rsidRPr="00AA384A">
        <w:rPr>
          <w:rFonts w:ascii="Book Antiqua" w:eastAsia="宋体" w:hAnsi="Book Antiqua" w:cs="宋体"/>
          <w:i/>
          <w:iCs/>
          <w:color w:val="auto"/>
        </w:rPr>
        <w:t xml:space="preserve">Dig Dis </w:t>
      </w:r>
      <w:proofErr w:type="spellStart"/>
      <w:r w:rsidRPr="00AA384A">
        <w:rPr>
          <w:rFonts w:ascii="Book Antiqua" w:eastAsia="宋体" w:hAnsi="Book Antiqua" w:cs="宋体"/>
          <w:i/>
          <w:iCs/>
          <w:color w:val="auto"/>
        </w:rPr>
        <w:t>Sci</w:t>
      </w:r>
      <w:proofErr w:type="spellEnd"/>
      <w:r w:rsidRPr="00AA384A">
        <w:rPr>
          <w:rFonts w:ascii="Book Antiqua" w:eastAsia="宋体" w:hAnsi="Book Antiqua" w:cs="宋体"/>
          <w:color w:val="auto"/>
        </w:rPr>
        <w:t> 2011; </w:t>
      </w:r>
      <w:r w:rsidRPr="00AA384A">
        <w:rPr>
          <w:rFonts w:ascii="Book Antiqua" w:eastAsia="宋体" w:hAnsi="Book Antiqua" w:cs="宋体"/>
          <w:b/>
          <w:bCs/>
          <w:color w:val="auto"/>
        </w:rPr>
        <w:t>56</w:t>
      </w:r>
      <w:r w:rsidRPr="00AA384A">
        <w:rPr>
          <w:rFonts w:ascii="Book Antiqua" w:eastAsia="宋体" w:hAnsi="Book Antiqua" w:cs="宋体"/>
          <w:color w:val="auto"/>
        </w:rPr>
        <w:t>: 2439-2448 [PMID: 21633833 DOI: 10.1007/s10620-011-1746-3]</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17 </w:t>
      </w:r>
      <w:r w:rsidRPr="00AA384A">
        <w:rPr>
          <w:rFonts w:ascii="Book Antiqua" w:eastAsia="宋体" w:hAnsi="Book Antiqua" w:cs="宋体"/>
          <w:b/>
          <w:bCs/>
          <w:color w:val="auto"/>
        </w:rPr>
        <w:t>Bacon BR</w:t>
      </w:r>
      <w:r w:rsidRPr="00AA384A">
        <w:rPr>
          <w:rFonts w:ascii="Book Antiqua" w:eastAsia="宋体" w:hAnsi="Book Antiqua" w:cs="宋体"/>
          <w:color w:val="auto"/>
        </w:rPr>
        <w:t xml:space="preserve">, Gordon SC, </w:t>
      </w:r>
      <w:proofErr w:type="spellStart"/>
      <w:r w:rsidRPr="00AA384A">
        <w:rPr>
          <w:rFonts w:ascii="Book Antiqua" w:eastAsia="宋体" w:hAnsi="Book Antiqua" w:cs="宋体"/>
          <w:color w:val="auto"/>
        </w:rPr>
        <w:t>Lawitz</w:t>
      </w:r>
      <w:proofErr w:type="spellEnd"/>
      <w:r w:rsidRPr="00AA384A">
        <w:rPr>
          <w:rFonts w:ascii="Book Antiqua" w:eastAsia="宋体" w:hAnsi="Book Antiqua" w:cs="宋体"/>
          <w:color w:val="auto"/>
        </w:rPr>
        <w:t xml:space="preserve"> E, </w:t>
      </w:r>
      <w:proofErr w:type="spellStart"/>
      <w:r w:rsidRPr="00AA384A">
        <w:rPr>
          <w:rFonts w:ascii="Book Antiqua" w:eastAsia="宋体" w:hAnsi="Book Antiqua" w:cs="宋体"/>
          <w:color w:val="auto"/>
        </w:rPr>
        <w:t>Marcellin</w:t>
      </w:r>
      <w:proofErr w:type="spellEnd"/>
      <w:r w:rsidRPr="00AA384A">
        <w:rPr>
          <w:rFonts w:ascii="Book Antiqua" w:eastAsia="宋体" w:hAnsi="Book Antiqua" w:cs="宋体"/>
          <w:color w:val="auto"/>
        </w:rPr>
        <w:t xml:space="preserve"> P, </w:t>
      </w:r>
      <w:proofErr w:type="spellStart"/>
      <w:r w:rsidRPr="00AA384A">
        <w:rPr>
          <w:rFonts w:ascii="Book Antiqua" w:eastAsia="宋体" w:hAnsi="Book Antiqua" w:cs="宋体"/>
          <w:color w:val="auto"/>
        </w:rPr>
        <w:t>Vierling</w:t>
      </w:r>
      <w:proofErr w:type="spellEnd"/>
      <w:r w:rsidRPr="00AA384A">
        <w:rPr>
          <w:rFonts w:ascii="Book Antiqua" w:eastAsia="宋体" w:hAnsi="Book Antiqua" w:cs="宋体"/>
          <w:color w:val="auto"/>
        </w:rPr>
        <w:t xml:space="preserve"> JM, </w:t>
      </w:r>
      <w:proofErr w:type="spellStart"/>
      <w:r w:rsidRPr="00AA384A">
        <w:rPr>
          <w:rFonts w:ascii="Book Antiqua" w:eastAsia="宋体" w:hAnsi="Book Antiqua" w:cs="宋体"/>
          <w:color w:val="auto"/>
        </w:rPr>
        <w:t>Zeuzem</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Poordad</w:t>
      </w:r>
      <w:proofErr w:type="spellEnd"/>
      <w:r w:rsidRPr="00AA384A">
        <w:rPr>
          <w:rFonts w:ascii="Book Antiqua" w:eastAsia="宋体" w:hAnsi="Book Antiqua" w:cs="宋体"/>
          <w:color w:val="auto"/>
        </w:rPr>
        <w:t xml:space="preserve"> F, Goodman ZD, Sings HL, </w:t>
      </w:r>
      <w:proofErr w:type="spellStart"/>
      <w:r w:rsidRPr="00AA384A">
        <w:rPr>
          <w:rFonts w:ascii="Book Antiqua" w:eastAsia="宋体" w:hAnsi="Book Antiqua" w:cs="宋体"/>
          <w:color w:val="auto"/>
        </w:rPr>
        <w:t>Boparai</w:t>
      </w:r>
      <w:proofErr w:type="spellEnd"/>
      <w:r w:rsidRPr="00AA384A">
        <w:rPr>
          <w:rFonts w:ascii="Book Antiqua" w:eastAsia="宋体" w:hAnsi="Book Antiqua" w:cs="宋体"/>
          <w:color w:val="auto"/>
        </w:rPr>
        <w:t xml:space="preserve"> N, Burroughs M, Brass CA, Albrecht JK, Esteban R. </w:t>
      </w:r>
      <w:proofErr w:type="spell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xml:space="preserve"> for previously treated chronic HCV genotype 1 infection. </w:t>
      </w:r>
      <w:r w:rsidRPr="00AA384A">
        <w:rPr>
          <w:rFonts w:ascii="Book Antiqua" w:eastAsia="宋体" w:hAnsi="Book Antiqua" w:cs="宋体"/>
          <w:i/>
          <w:iCs/>
          <w:color w:val="auto"/>
        </w:rPr>
        <w:t xml:space="preserve">N </w:t>
      </w:r>
      <w:proofErr w:type="spellStart"/>
      <w:r w:rsidRPr="00AA384A">
        <w:rPr>
          <w:rFonts w:ascii="Book Antiqua" w:eastAsia="宋体" w:hAnsi="Book Antiqua" w:cs="宋体"/>
          <w:i/>
          <w:iCs/>
          <w:color w:val="auto"/>
        </w:rPr>
        <w:t>Engl</w:t>
      </w:r>
      <w:proofErr w:type="spellEnd"/>
      <w:r w:rsidRPr="00AA384A">
        <w:rPr>
          <w:rFonts w:ascii="Book Antiqua" w:eastAsia="宋体" w:hAnsi="Book Antiqua" w:cs="宋体"/>
          <w:i/>
          <w:iCs/>
          <w:color w:val="auto"/>
        </w:rPr>
        <w:t xml:space="preserve"> J Med</w:t>
      </w:r>
      <w:r w:rsidRPr="00AA384A">
        <w:rPr>
          <w:rFonts w:ascii="Book Antiqua" w:eastAsia="宋体" w:hAnsi="Book Antiqua" w:cs="宋体"/>
          <w:color w:val="auto"/>
        </w:rPr>
        <w:t> 2011; </w:t>
      </w:r>
      <w:r w:rsidRPr="00AA384A">
        <w:rPr>
          <w:rFonts w:ascii="Book Antiqua" w:eastAsia="宋体" w:hAnsi="Book Antiqua" w:cs="宋体"/>
          <w:b/>
          <w:bCs/>
          <w:color w:val="auto"/>
        </w:rPr>
        <w:t>364</w:t>
      </w:r>
      <w:r w:rsidRPr="00AA384A">
        <w:rPr>
          <w:rFonts w:ascii="Book Antiqua" w:eastAsia="宋体" w:hAnsi="Book Antiqua" w:cs="宋体"/>
          <w:color w:val="auto"/>
        </w:rPr>
        <w:t>: 1207-1217 [PMID: 21449784 DOI: 10.1056/NEJMoa1009482]</w:t>
      </w:r>
    </w:p>
    <w:p w:rsidR="00990765" w:rsidRPr="00AA384A" w:rsidRDefault="00990765" w:rsidP="00AA384A">
      <w:pPr>
        <w:spacing w:line="360" w:lineRule="auto"/>
        <w:jc w:val="both"/>
        <w:rPr>
          <w:rFonts w:ascii="Book Antiqua" w:eastAsia="宋体" w:hAnsi="Book Antiqua" w:cs="宋体"/>
          <w:color w:val="auto"/>
        </w:rPr>
      </w:pPr>
      <w:proofErr w:type="gramStart"/>
      <w:r w:rsidRPr="00AA384A">
        <w:rPr>
          <w:rFonts w:ascii="Book Antiqua" w:eastAsia="宋体" w:hAnsi="Book Antiqua" w:cs="宋体"/>
          <w:color w:val="auto"/>
        </w:rPr>
        <w:t xml:space="preserve">18 </w:t>
      </w:r>
      <w:proofErr w:type="spellStart"/>
      <w:r w:rsidRPr="00AA384A">
        <w:rPr>
          <w:rFonts w:ascii="Book Antiqua" w:eastAsia="宋体" w:hAnsi="Book Antiqua" w:cs="宋体"/>
          <w:b/>
          <w:color w:val="auto"/>
        </w:rPr>
        <w:t>Leevy</w:t>
      </w:r>
      <w:proofErr w:type="spellEnd"/>
      <w:r w:rsidRPr="00AA384A">
        <w:rPr>
          <w:rFonts w:ascii="Book Antiqua" w:eastAsia="宋体" w:hAnsi="Book Antiqua" w:cs="宋体"/>
          <w:b/>
          <w:color w:val="auto"/>
        </w:rPr>
        <w:t xml:space="preserve"> CB.</w:t>
      </w:r>
      <w:proofErr w:type="gramEnd"/>
      <w:r w:rsidRPr="00AA384A">
        <w:rPr>
          <w:rFonts w:ascii="Book Antiqua" w:eastAsia="宋体" w:hAnsi="Book Antiqua" w:cs="宋体"/>
          <w:b/>
          <w:color w:val="auto"/>
        </w:rPr>
        <w:t xml:space="preserve"> </w:t>
      </w:r>
      <w:proofErr w:type="gramStart"/>
      <w:r w:rsidRPr="00AA384A">
        <w:rPr>
          <w:rFonts w:ascii="Book Antiqua" w:eastAsia="宋体" w:hAnsi="Book Antiqua" w:cs="宋体"/>
          <w:color w:val="auto"/>
        </w:rPr>
        <w:t xml:space="preserve">Consensus Interferon and Ribavirin in Patients with Chronic Hepatitis C Who Were </w:t>
      </w:r>
      <w:proofErr w:type="spellStart"/>
      <w:r w:rsidRPr="00AA384A">
        <w:rPr>
          <w:rFonts w:ascii="Book Antiqua" w:eastAsia="宋体" w:hAnsi="Book Antiqua" w:cs="宋体"/>
          <w:color w:val="auto"/>
        </w:rPr>
        <w:t>Nonresponders</w:t>
      </w:r>
      <w:proofErr w:type="spellEnd"/>
      <w:r w:rsidRPr="00AA384A">
        <w:rPr>
          <w:rFonts w:ascii="Book Antiqua" w:eastAsia="宋体" w:hAnsi="Book Antiqua" w:cs="宋体"/>
          <w:color w:val="auto"/>
        </w:rPr>
        <w:t xml:space="preserve"> to </w:t>
      </w:r>
      <w:proofErr w:type="spellStart"/>
      <w:r w:rsidRPr="00AA384A">
        <w:rPr>
          <w:rFonts w:ascii="Book Antiqua" w:eastAsia="宋体" w:hAnsi="Book Antiqua" w:cs="宋体"/>
          <w:color w:val="auto"/>
        </w:rPr>
        <w:t>Pegylated</w:t>
      </w:r>
      <w:proofErr w:type="spellEnd"/>
      <w:r w:rsidRPr="00AA384A">
        <w:rPr>
          <w:rFonts w:ascii="Book Antiqua" w:eastAsia="宋体" w:hAnsi="Book Antiqua" w:cs="宋体"/>
          <w:color w:val="auto"/>
        </w:rPr>
        <w:t xml:space="preserve"> Interferon alfa-2b and Ribavirin.</w:t>
      </w:r>
      <w:proofErr w:type="gramEnd"/>
      <w:r w:rsidRPr="00AA384A">
        <w:rPr>
          <w:rFonts w:ascii="Book Antiqua" w:eastAsia="宋体" w:hAnsi="Book Antiqua" w:cs="宋体"/>
          <w:color w:val="auto"/>
        </w:rPr>
        <w:t xml:space="preserve"> </w:t>
      </w:r>
      <w:r w:rsidRPr="00AA384A">
        <w:rPr>
          <w:rFonts w:ascii="Book Antiqua" w:eastAsia="宋体" w:hAnsi="Book Antiqua" w:cs="宋体"/>
          <w:i/>
          <w:color w:val="auto"/>
        </w:rPr>
        <w:t xml:space="preserve">Did Dis </w:t>
      </w:r>
      <w:proofErr w:type="spellStart"/>
      <w:r w:rsidRPr="00AA384A">
        <w:rPr>
          <w:rFonts w:ascii="Book Antiqua" w:eastAsia="宋体" w:hAnsi="Book Antiqua" w:cs="宋体"/>
          <w:i/>
          <w:color w:val="auto"/>
        </w:rPr>
        <w:t>Sci</w:t>
      </w:r>
      <w:proofErr w:type="spellEnd"/>
      <w:r w:rsidRPr="00AA384A">
        <w:rPr>
          <w:rFonts w:ascii="Book Antiqua" w:eastAsia="宋体" w:hAnsi="Book Antiqua" w:cs="宋体"/>
          <w:color w:val="auto"/>
        </w:rPr>
        <w:t xml:space="preserve"> 2008; </w:t>
      </w:r>
      <w:r w:rsidRPr="00AA384A">
        <w:rPr>
          <w:rFonts w:ascii="Book Antiqua" w:eastAsia="宋体" w:hAnsi="Book Antiqua" w:cs="宋体"/>
          <w:b/>
          <w:color w:val="auto"/>
        </w:rPr>
        <w:t>53</w:t>
      </w:r>
      <w:r w:rsidRPr="00AA384A">
        <w:rPr>
          <w:rFonts w:ascii="Book Antiqua" w:eastAsia="宋体" w:hAnsi="Book Antiqua" w:cs="宋体"/>
          <w:color w:val="auto"/>
        </w:rPr>
        <w:t>: 1961-1966 [PMID: 18219576 DOI: 10.1007/s10620-007-0076-y]</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19 </w:t>
      </w:r>
      <w:proofErr w:type="spellStart"/>
      <w:r w:rsidRPr="00AA384A">
        <w:rPr>
          <w:rFonts w:ascii="Book Antiqua" w:eastAsia="宋体" w:hAnsi="Book Antiqua" w:cs="宋体"/>
          <w:b/>
          <w:bCs/>
          <w:color w:val="auto"/>
        </w:rPr>
        <w:t>Vierling</w:t>
      </w:r>
      <w:proofErr w:type="spellEnd"/>
      <w:r w:rsidRPr="00AA384A">
        <w:rPr>
          <w:rFonts w:ascii="Book Antiqua" w:eastAsia="宋体" w:hAnsi="Book Antiqua" w:cs="宋体"/>
          <w:b/>
          <w:bCs/>
          <w:color w:val="auto"/>
        </w:rPr>
        <w:t xml:space="preserve"> JM</w:t>
      </w:r>
      <w:r w:rsidRPr="00AA384A">
        <w:rPr>
          <w:rFonts w:ascii="Book Antiqua" w:eastAsia="宋体" w:hAnsi="Book Antiqua" w:cs="宋体"/>
          <w:color w:val="auto"/>
        </w:rPr>
        <w:t xml:space="preserve">, Davis M, </w:t>
      </w:r>
      <w:proofErr w:type="spellStart"/>
      <w:r w:rsidRPr="00AA384A">
        <w:rPr>
          <w:rFonts w:ascii="Book Antiqua" w:eastAsia="宋体" w:hAnsi="Book Antiqua" w:cs="宋体"/>
          <w:color w:val="auto"/>
        </w:rPr>
        <w:t>Flamm</w:t>
      </w:r>
      <w:proofErr w:type="spellEnd"/>
      <w:r w:rsidRPr="00AA384A">
        <w:rPr>
          <w:rFonts w:ascii="Book Antiqua" w:eastAsia="宋体" w:hAnsi="Book Antiqua" w:cs="宋体"/>
          <w:color w:val="auto"/>
        </w:rPr>
        <w:t xml:space="preserve"> S, Gordon SC, </w:t>
      </w:r>
      <w:proofErr w:type="spellStart"/>
      <w:r w:rsidRPr="00AA384A">
        <w:rPr>
          <w:rFonts w:ascii="Book Antiqua" w:eastAsia="宋体" w:hAnsi="Book Antiqua" w:cs="宋体"/>
          <w:color w:val="auto"/>
        </w:rPr>
        <w:t>Lawitz</w:t>
      </w:r>
      <w:proofErr w:type="spellEnd"/>
      <w:r w:rsidRPr="00AA384A">
        <w:rPr>
          <w:rFonts w:ascii="Book Antiqua" w:eastAsia="宋体" w:hAnsi="Book Antiqua" w:cs="宋体"/>
          <w:color w:val="auto"/>
        </w:rPr>
        <w:t xml:space="preserve"> E, Yoshida EM, Galati J, </w:t>
      </w:r>
      <w:proofErr w:type="spellStart"/>
      <w:r w:rsidRPr="00AA384A">
        <w:rPr>
          <w:rFonts w:ascii="Book Antiqua" w:eastAsia="宋体" w:hAnsi="Book Antiqua" w:cs="宋体"/>
          <w:color w:val="auto"/>
        </w:rPr>
        <w:t>Luketic</w:t>
      </w:r>
      <w:proofErr w:type="spellEnd"/>
      <w:r w:rsidRPr="00AA384A">
        <w:rPr>
          <w:rFonts w:ascii="Book Antiqua" w:eastAsia="宋体" w:hAnsi="Book Antiqua" w:cs="宋体"/>
          <w:color w:val="auto"/>
        </w:rPr>
        <w:t xml:space="preserve"> V, McCone J, Jacobson I, </w:t>
      </w:r>
      <w:proofErr w:type="spellStart"/>
      <w:r w:rsidRPr="00AA384A">
        <w:rPr>
          <w:rFonts w:ascii="Book Antiqua" w:eastAsia="宋体" w:hAnsi="Book Antiqua" w:cs="宋体"/>
          <w:color w:val="auto"/>
        </w:rPr>
        <w:t>Marcellin</w:t>
      </w:r>
      <w:proofErr w:type="spellEnd"/>
      <w:r w:rsidRPr="00AA384A">
        <w:rPr>
          <w:rFonts w:ascii="Book Antiqua" w:eastAsia="宋体" w:hAnsi="Book Antiqua" w:cs="宋体"/>
          <w:color w:val="auto"/>
        </w:rPr>
        <w:t xml:space="preserve"> P, Muir AJ, </w:t>
      </w:r>
      <w:proofErr w:type="spellStart"/>
      <w:r w:rsidRPr="00AA384A">
        <w:rPr>
          <w:rFonts w:ascii="Book Antiqua" w:eastAsia="宋体" w:hAnsi="Book Antiqua" w:cs="宋体"/>
          <w:color w:val="auto"/>
        </w:rPr>
        <w:t>Poordad</w:t>
      </w:r>
      <w:proofErr w:type="spellEnd"/>
      <w:r w:rsidRPr="00AA384A">
        <w:rPr>
          <w:rFonts w:ascii="Book Antiqua" w:eastAsia="宋体" w:hAnsi="Book Antiqua" w:cs="宋体"/>
          <w:color w:val="auto"/>
        </w:rPr>
        <w:t xml:space="preserve"> F,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Albrecht J, Brass C, Howe AY, </w:t>
      </w:r>
      <w:proofErr w:type="spellStart"/>
      <w:r w:rsidRPr="00AA384A">
        <w:rPr>
          <w:rFonts w:ascii="Book Antiqua" w:eastAsia="宋体" w:hAnsi="Book Antiqua" w:cs="宋体"/>
          <w:color w:val="auto"/>
        </w:rPr>
        <w:t>Colvard</w:t>
      </w:r>
      <w:proofErr w:type="spellEnd"/>
      <w:r w:rsidRPr="00AA384A">
        <w:rPr>
          <w:rFonts w:ascii="Book Antiqua" w:eastAsia="宋体" w:hAnsi="Book Antiqua" w:cs="宋体"/>
          <w:color w:val="auto"/>
        </w:rPr>
        <w:t xml:space="preserve"> LY, Helmond FA, Deng W, </w:t>
      </w:r>
      <w:proofErr w:type="spellStart"/>
      <w:r w:rsidRPr="00AA384A">
        <w:rPr>
          <w:rFonts w:ascii="Book Antiqua" w:eastAsia="宋体" w:hAnsi="Book Antiqua" w:cs="宋体"/>
          <w:color w:val="auto"/>
        </w:rPr>
        <w:t>Treitel</w:t>
      </w:r>
      <w:proofErr w:type="spellEnd"/>
      <w:r w:rsidRPr="00AA384A">
        <w:rPr>
          <w:rFonts w:ascii="Book Antiqua" w:eastAsia="宋体" w:hAnsi="Book Antiqua" w:cs="宋体"/>
          <w:color w:val="auto"/>
        </w:rPr>
        <w:t xml:space="preserve"> M, Wahl J, </w:t>
      </w:r>
      <w:proofErr w:type="spellStart"/>
      <w:r w:rsidRPr="00AA384A">
        <w:rPr>
          <w:rFonts w:ascii="Book Antiqua" w:eastAsia="宋体" w:hAnsi="Book Antiqua" w:cs="宋体"/>
          <w:color w:val="auto"/>
        </w:rPr>
        <w:t>Bronowicki</w:t>
      </w:r>
      <w:proofErr w:type="spellEnd"/>
      <w:r w:rsidRPr="00AA384A">
        <w:rPr>
          <w:rFonts w:ascii="Book Antiqua" w:eastAsia="宋体" w:hAnsi="Book Antiqua" w:cs="宋体"/>
          <w:color w:val="auto"/>
        </w:rPr>
        <w:t xml:space="preserve"> JP. </w:t>
      </w:r>
      <w:proofErr w:type="spellStart"/>
      <w:proofErr w:type="gram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xml:space="preserve"> for chronic HCV genotype 1 infection in patients with prior treatment failure to </w:t>
      </w:r>
      <w:proofErr w:type="spellStart"/>
      <w:r w:rsidRPr="00AA384A">
        <w:rPr>
          <w:rFonts w:ascii="Book Antiqua" w:eastAsia="宋体" w:hAnsi="Book Antiqua" w:cs="宋体"/>
          <w:color w:val="auto"/>
        </w:rPr>
        <w:t>peginterferon</w:t>
      </w:r>
      <w:proofErr w:type="spellEnd"/>
      <w:r w:rsidRPr="00AA384A">
        <w:rPr>
          <w:rFonts w:ascii="Book Antiqua" w:eastAsia="宋体" w:hAnsi="Book Antiqua" w:cs="宋体"/>
          <w:color w:val="auto"/>
        </w:rPr>
        <w:t>/ribavirin, including prior null response.</w:t>
      </w:r>
      <w:proofErr w:type="gramEnd"/>
      <w:r w:rsidRPr="00AA384A">
        <w:rPr>
          <w:rFonts w:ascii="Book Antiqua" w:eastAsia="宋体" w:hAnsi="Book Antiqua" w:cs="宋体"/>
          <w:color w:val="auto"/>
        </w:rPr>
        <w:t> </w:t>
      </w:r>
      <w:r w:rsidRPr="00AA384A">
        <w:rPr>
          <w:rFonts w:ascii="Book Antiqua" w:eastAsia="宋体" w:hAnsi="Book Antiqua" w:cs="宋体"/>
          <w:i/>
          <w:iCs/>
          <w:color w:val="auto"/>
        </w:rPr>
        <w:t xml:space="preserve">J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2014; </w:t>
      </w:r>
      <w:r w:rsidRPr="00AA384A">
        <w:rPr>
          <w:rFonts w:ascii="Book Antiqua" w:eastAsia="宋体" w:hAnsi="Book Antiqua" w:cs="宋体"/>
          <w:b/>
          <w:bCs/>
          <w:color w:val="auto"/>
        </w:rPr>
        <w:t>60</w:t>
      </w:r>
      <w:r w:rsidRPr="00AA384A">
        <w:rPr>
          <w:rFonts w:ascii="Book Antiqua" w:eastAsia="宋体" w:hAnsi="Book Antiqua" w:cs="宋体"/>
          <w:color w:val="auto"/>
        </w:rPr>
        <w:t>: 748-756 [PMID: 24362076 DOI: 10.1016/j.jhep.2013.12.013]</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20 </w:t>
      </w:r>
      <w:proofErr w:type="spellStart"/>
      <w:r w:rsidRPr="00AA384A">
        <w:rPr>
          <w:rFonts w:ascii="Book Antiqua" w:eastAsia="宋体" w:hAnsi="Book Antiqua" w:cs="宋体"/>
          <w:b/>
          <w:bCs/>
          <w:color w:val="auto"/>
        </w:rPr>
        <w:t>Poordad</w:t>
      </w:r>
      <w:proofErr w:type="spellEnd"/>
      <w:r w:rsidRPr="00AA384A">
        <w:rPr>
          <w:rFonts w:ascii="Book Antiqua" w:eastAsia="宋体" w:hAnsi="Book Antiqua" w:cs="宋体"/>
          <w:b/>
          <w:bCs/>
          <w:color w:val="auto"/>
        </w:rPr>
        <w:t xml:space="preserve"> F</w:t>
      </w:r>
      <w:r w:rsidRPr="00AA384A">
        <w:rPr>
          <w:rFonts w:ascii="Book Antiqua" w:eastAsia="宋体" w:hAnsi="Book Antiqua" w:cs="宋体"/>
          <w:color w:val="auto"/>
        </w:rPr>
        <w:t xml:space="preserve">, McCone J, Bacon BR, Bruno S, </w:t>
      </w:r>
      <w:proofErr w:type="spellStart"/>
      <w:r w:rsidRPr="00AA384A">
        <w:rPr>
          <w:rFonts w:ascii="Book Antiqua" w:eastAsia="宋体" w:hAnsi="Book Antiqua" w:cs="宋体"/>
          <w:color w:val="auto"/>
        </w:rPr>
        <w:t>Manns</w:t>
      </w:r>
      <w:proofErr w:type="spellEnd"/>
      <w:r w:rsidRPr="00AA384A">
        <w:rPr>
          <w:rFonts w:ascii="Book Antiqua" w:eastAsia="宋体" w:hAnsi="Book Antiqua" w:cs="宋体"/>
          <w:color w:val="auto"/>
        </w:rPr>
        <w:t xml:space="preserve"> MP, </w:t>
      </w:r>
      <w:proofErr w:type="spellStart"/>
      <w:r w:rsidRPr="00AA384A">
        <w:rPr>
          <w:rFonts w:ascii="Book Antiqua" w:eastAsia="宋体" w:hAnsi="Book Antiqua" w:cs="宋体"/>
          <w:color w:val="auto"/>
        </w:rPr>
        <w:t>Sulkowski</w:t>
      </w:r>
      <w:proofErr w:type="spellEnd"/>
      <w:r w:rsidRPr="00AA384A">
        <w:rPr>
          <w:rFonts w:ascii="Book Antiqua" w:eastAsia="宋体" w:hAnsi="Book Antiqua" w:cs="宋体"/>
          <w:color w:val="auto"/>
        </w:rPr>
        <w:t xml:space="preserve"> MS, Jacobson IM, Reddy KR, Goodman ZD, </w:t>
      </w:r>
      <w:proofErr w:type="spellStart"/>
      <w:r w:rsidRPr="00AA384A">
        <w:rPr>
          <w:rFonts w:ascii="Book Antiqua" w:eastAsia="宋体" w:hAnsi="Book Antiqua" w:cs="宋体"/>
          <w:color w:val="auto"/>
        </w:rPr>
        <w:t>Boparai</w:t>
      </w:r>
      <w:proofErr w:type="spellEnd"/>
      <w:r w:rsidRPr="00AA384A">
        <w:rPr>
          <w:rFonts w:ascii="Book Antiqua" w:eastAsia="宋体" w:hAnsi="Book Antiqua" w:cs="宋体"/>
          <w:color w:val="auto"/>
        </w:rPr>
        <w:t xml:space="preserve"> N, </w:t>
      </w:r>
      <w:proofErr w:type="spellStart"/>
      <w:r w:rsidRPr="00AA384A">
        <w:rPr>
          <w:rFonts w:ascii="Book Antiqua" w:eastAsia="宋体" w:hAnsi="Book Antiqua" w:cs="宋体"/>
          <w:color w:val="auto"/>
        </w:rPr>
        <w:t>DiNubile</w:t>
      </w:r>
      <w:proofErr w:type="spellEnd"/>
      <w:r w:rsidRPr="00AA384A">
        <w:rPr>
          <w:rFonts w:ascii="Book Antiqua" w:eastAsia="宋体" w:hAnsi="Book Antiqua" w:cs="宋体"/>
          <w:color w:val="auto"/>
        </w:rPr>
        <w:t xml:space="preserve"> MJ, </w:t>
      </w:r>
      <w:proofErr w:type="spellStart"/>
      <w:r w:rsidRPr="00AA384A">
        <w:rPr>
          <w:rFonts w:ascii="Book Antiqua" w:eastAsia="宋体" w:hAnsi="Book Antiqua" w:cs="宋体"/>
          <w:color w:val="auto"/>
        </w:rPr>
        <w:t>Sniukiene</w:t>
      </w:r>
      <w:proofErr w:type="spellEnd"/>
      <w:r w:rsidRPr="00AA384A">
        <w:rPr>
          <w:rFonts w:ascii="Book Antiqua" w:eastAsia="宋体" w:hAnsi="Book Antiqua" w:cs="宋体"/>
          <w:color w:val="auto"/>
        </w:rPr>
        <w:t xml:space="preserve"> V, Brass CA, Albrecht JK, </w:t>
      </w:r>
      <w:proofErr w:type="spellStart"/>
      <w:r w:rsidRPr="00AA384A">
        <w:rPr>
          <w:rFonts w:ascii="Book Antiqua" w:eastAsia="宋体" w:hAnsi="Book Antiqua" w:cs="宋体"/>
          <w:color w:val="auto"/>
        </w:rPr>
        <w:t>Bronowicki</w:t>
      </w:r>
      <w:proofErr w:type="spellEnd"/>
      <w:r w:rsidRPr="00AA384A">
        <w:rPr>
          <w:rFonts w:ascii="Book Antiqua" w:eastAsia="宋体" w:hAnsi="Book Antiqua" w:cs="宋体"/>
          <w:color w:val="auto"/>
        </w:rPr>
        <w:t xml:space="preserve"> JP. </w:t>
      </w:r>
      <w:proofErr w:type="spellStart"/>
      <w:proofErr w:type="gram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xml:space="preserve"> for untreated chronic HCV genotype 1 infection.</w:t>
      </w:r>
      <w:proofErr w:type="gramEnd"/>
      <w:r w:rsidRPr="00AA384A">
        <w:rPr>
          <w:rFonts w:ascii="Book Antiqua" w:eastAsia="宋体" w:hAnsi="Book Antiqua" w:cs="宋体"/>
          <w:color w:val="auto"/>
        </w:rPr>
        <w:t> </w:t>
      </w:r>
      <w:r w:rsidRPr="00AA384A">
        <w:rPr>
          <w:rFonts w:ascii="Book Antiqua" w:eastAsia="宋体" w:hAnsi="Book Antiqua" w:cs="宋体"/>
          <w:i/>
          <w:iCs/>
          <w:color w:val="auto"/>
        </w:rPr>
        <w:t xml:space="preserve">N </w:t>
      </w:r>
      <w:proofErr w:type="spellStart"/>
      <w:r w:rsidRPr="00AA384A">
        <w:rPr>
          <w:rFonts w:ascii="Book Antiqua" w:eastAsia="宋体" w:hAnsi="Book Antiqua" w:cs="宋体"/>
          <w:i/>
          <w:iCs/>
          <w:color w:val="auto"/>
        </w:rPr>
        <w:t>Engl</w:t>
      </w:r>
      <w:proofErr w:type="spellEnd"/>
      <w:r w:rsidRPr="00AA384A">
        <w:rPr>
          <w:rFonts w:ascii="Book Antiqua" w:eastAsia="宋体" w:hAnsi="Book Antiqua" w:cs="宋体"/>
          <w:i/>
          <w:iCs/>
          <w:color w:val="auto"/>
        </w:rPr>
        <w:t xml:space="preserve"> J Med</w:t>
      </w:r>
      <w:r w:rsidRPr="00AA384A">
        <w:rPr>
          <w:rFonts w:ascii="Book Antiqua" w:eastAsia="宋体" w:hAnsi="Book Antiqua" w:cs="宋体"/>
          <w:color w:val="auto"/>
        </w:rPr>
        <w:t> 2011; </w:t>
      </w:r>
      <w:r w:rsidRPr="00AA384A">
        <w:rPr>
          <w:rFonts w:ascii="Book Antiqua" w:eastAsia="宋体" w:hAnsi="Book Antiqua" w:cs="宋体"/>
          <w:b/>
          <w:bCs/>
          <w:color w:val="auto"/>
        </w:rPr>
        <w:t>364</w:t>
      </w:r>
      <w:r w:rsidRPr="00AA384A">
        <w:rPr>
          <w:rFonts w:ascii="Book Antiqua" w:eastAsia="宋体" w:hAnsi="Book Antiqua" w:cs="宋体"/>
          <w:color w:val="auto"/>
        </w:rPr>
        <w:t>: 1195-1206 [PMID: 21449783 DOI: 10.1056/NEJMoa1010494]</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lastRenderedPageBreak/>
        <w:t>21 </w:t>
      </w:r>
      <w:proofErr w:type="spellStart"/>
      <w:r w:rsidRPr="00AA384A">
        <w:rPr>
          <w:rFonts w:ascii="Book Antiqua" w:eastAsia="宋体" w:hAnsi="Book Antiqua" w:cs="宋体"/>
          <w:b/>
          <w:bCs/>
          <w:color w:val="auto"/>
        </w:rPr>
        <w:t>McHutchison</w:t>
      </w:r>
      <w:proofErr w:type="spellEnd"/>
      <w:r w:rsidRPr="00AA384A">
        <w:rPr>
          <w:rFonts w:ascii="Book Antiqua" w:eastAsia="宋体" w:hAnsi="Book Antiqua" w:cs="宋体"/>
          <w:b/>
          <w:bCs/>
          <w:color w:val="auto"/>
        </w:rPr>
        <w:t xml:space="preserve"> JG</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Lawitz</w:t>
      </w:r>
      <w:proofErr w:type="spellEnd"/>
      <w:r w:rsidRPr="00AA384A">
        <w:rPr>
          <w:rFonts w:ascii="Book Antiqua" w:eastAsia="宋体" w:hAnsi="Book Antiqua" w:cs="宋体"/>
          <w:color w:val="auto"/>
        </w:rPr>
        <w:t xml:space="preserve"> EJ, </w:t>
      </w:r>
      <w:proofErr w:type="spellStart"/>
      <w:r w:rsidRPr="00AA384A">
        <w:rPr>
          <w:rFonts w:ascii="Book Antiqua" w:eastAsia="宋体" w:hAnsi="Book Antiqua" w:cs="宋体"/>
          <w:color w:val="auto"/>
        </w:rPr>
        <w:t>Shiffman</w:t>
      </w:r>
      <w:proofErr w:type="spellEnd"/>
      <w:r w:rsidRPr="00AA384A">
        <w:rPr>
          <w:rFonts w:ascii="Book Antiqua" w:eastAsia="宋体" w:hAnsi="Book Antiqua" w:cs="宋体"/>
          <w:color w:val="auto"/>
        </w:rPr>
        <w:t xml:space="preserve"> ML, Muir AJ, </w:t>
      </w:r>
      <w:proofErr w:type="spellStart"/>
      <w:r w:rsidRPr="00AA384A">
        <w:rPr>
          <w:rFonts w:ascii="Book Antiqua" w:eastAsia="宋体" w:hAnsi="Book Antiqua" w:cs="宋体"/>
          <w:color w:val="auto"/>
        </w:rPr>
        <w:t>Galler</w:t>
      </w:r>
      <w:proofErr w:type="spellEnd"/>
      <w:r w:rsidRPr="00AA384A">
        <w:rPr>
          <w:rFonts w:ascii="Book Antiqua" w:eastAsia="宋体" w:hAnsi="Book Antiqua" w:cs="宋体"/>
          <w:color w:val="auto"/>
        </w:rPr>
        <w:t xml:space="preserve"> GW, McCone J, Nyberg LM, Lee WM, </w:t>
      </w:r>
      <w:proofErr w:type="spellStart"/>
      <w:r w:rsidRPr="00AA384A">
        <w:rPr>
          <w:rFonts w:ascii="Book Antiqua" w:eastAsia="宋体" w:hAnsi="Book Antiqua" w:cs="宋体"/>
          <w:color w:val="auto"/>
        </w:rPr>
        <w:t>Ghalib</w:t>
      </w:r>
      <w:proofErr w:type="spellEnd"/>
      <w:r w:rsidRPr="00AA384A">
        <w:rPr>
          <w:rFonts w:ascii="Book Antiqua" w:eastAsia="宋体" w:hAnsi="Book Antiqua" w:cs="宋体"/>
          <w:color w:val="auto"/>
        </w:rPr>
        <w:t xml:space="preserve"> RH, Schiff ER, Galati JS, Bacon BR, Davis MN, </w:t>
      </w:r>
      <w:proofErr w:type="spellStart"/>
      <w:r w:rsidRPr="00AA384A">
        <w:rPr>
          <w:rFonts w:ascii="Book Antiqua" w:eastAsia="宋体" w:hAnsi="Book Antiqua" w:cs="宋体"/>
          <w:color w:val="auto"/>
        </w:rPr>
        <w:t>Mukhopadhyay</w:t>
      </w:r>
      <w:proofErr w:type="spellEnd"/>
      <w:r w:rsidRPr="00AA384A">
        <w:rPr>
          <w:rFonts w:ascii="Book Antiqua" w:eastAsia="宋体" w:hAnsi="Book Antiqua" w:cs="宋体"/>
          <w:color w:val="auto"/>
        </w:rPr>
        <w:t xml:space="preserve"> P, </w:t>
      </w:r>
      <w:proofErr w:type="spellStart"/>
      <w:r w:rsidRPr="00AA384A">
        <w:rPr>
          <w:rFonts w:ascii="Book Antiqua" w:eastAsia="宋体" w:hAnsi="Book Antiqua" w:cs="宋体"/>
          <w:color w:val="auto"/>
        </w:rPr>
        <w:t>Koury</w:t>
      </w:r>
      <w:proofErr w:type="spellEnd"/>
      <w:r w:rsidRPr="00AA384A">
        <w:rPr>
          <w:rFonts w:ascii="Book Antiqua" w:eastAsia="宋体" w:hAnsi="Book Antiqua" w:cs="宋体"/>
          <w:color w:val="auto"/>
        </w:rPr>
        <w:t xml:space="preserve"> K, </w:t>
      </w:r>
      <w:proofErr w:type="spellStart"/>
      <w:r w:rsidRPr="00AA384A">
        <w:rPr>
          <w:rFonts w:ascii="Book Antiqua" w:eastAsia="宋体" w:hAnsi="Book Antiqua" w:cs="宋体"/>
          <w:color w:val="auto"/>
        </w:rPr>
        <w:t>Noviello</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Brass CA, Albrecht JK, </w:t>
      </w:r>
      <w:proofErr w:type="spellStart"/>
      <w:r w:rsidRPr="00AA384A">
        <w:rPr>
          <w:rFonts w:ascii="Book Antiqua" w:eastAsia="宋体" w:hAnsi="Book Antiqua" w:cs="宋体"/>
          <w:color w:val="auto"/>
        </w:rPr>
        <w:t>Sulkowski</w:t>
      </w:r>
      <w:proofErr w:type="spellEnd"/>
      <w:r w:rsidRPr="00AA384A">
        <w:rPr>
          <w:rFonts w:ascii="Book Antiqua" w:eastAsia="宋体" w:hAnsi="Book Antiqua" w:cs="宋体"/>
          <w:color w:val="auto"/>
        </w:rPr>
        <w:t xml:space="preserve"> MS. </w:t>
      </w:r>
      <w:proofErr w:type="spellStart"/>
      <w:r w:rsidRPr="00AA384A">
        <w:rPr>
          <w:rFonts w:ascii="Book Antiqua" w:eastAsia="宋体" w:hAnsi="Book Antiqua" w:cs="宋体"/>
          <w:color w:val="auto"/>
        </w:rPr>
        <w:t>Peginterferon</w:t>
      </w:r>
      <w:proofErr w:type="spellEnd"/>
      <w:r w:rsidRPr="00AA384A">
        <w:rPr>
          <w:rFonts w:ascii="Book Antiqua" w:eastAsia="宋体" w:hAnsi="Book Antiqua" w:cs="宋体"/>
          <w:color w:val="auto"/>
        </w:rPr>
        <w:t xml:space="preserve"> alfa-2b or alfa-2a with ribavirin for treatment of hepatitis C infection. </w:t>
      </w:r>
      <w:r w:rsidRPr="00AA384A">
        <w:rPr>
          <w:rFonts w:ascii="Book Antiqua" w:eastAsia="宋体" w:hAnsi="Book Antiqua" w:cs="宋体"/>
          <w:i/>
          <w:iCs/>
          <w:color w:val="auto"/>
        </w:rPr>
        <w:t xml:space="preserve">N </w:t>
      </w:r>
      <w:proofErr w:type="spellStart"/>
      <w:r w:rsidRPr="00AA384A">
        <w:rPr>
          <w:rFonts w:ascii="Book Antiqua" w:eastAsia="宋体" w:hAnsi="Book Antiqua" w:cs="宋体"/>
          <w:i/>
          <w:iCs/>
          <w:color w:val="auto"/>
        </w:rPr>
        <w:t>Engl</w:t>
      </w:r>
      <w:proofErr w:type="spellEnd"/>
      <w:r w:rsidRPr="00AA384A">
        <w:rPr>
          <w:rFonts w:ascii="Book Antiqua" w:eastAsia="宋体" w:hAnsi="Book Antiqua" w:cs="宋体"/>
          <w:i/>
          <w:iCs/>
          <w:color w:val="auto"/>
        </w:rPr>
        <w:t xml:space="preserve"> J Med</w:t>
      </w:r>
      <w:r w:rsidRPr="00AA384A">
        <w:rPr>
          <w:rFonts w:ascii="Book Antiqua" w:eastAsia="宋体" w:hAnsi="Book Antiqua" w:cs="宋体"/>
          <w:color w:val="auto"/>
        </w:rPr>
        <w:t> 2009; </w:t>
      </w:r>
      <w:r w:rsidRPr="00AA384A">
        <w:rPr>
          <w:rFonts w:ascii="Book Antiqua" w:eastAsia="宋体" w:hAnsi="Book Antiqua" w:cs="宋体"/>
          <w:b/>
          <w:bCs/>
          <w:color w:val="auto"/>
        </w:rPr>
        <w:t>361</w:t>
      </w:r>
      <w:r w:rsidRPr="00AA384A">
        <w:rPr>
          <w:rFonts w:ascii="Book Antiqua" w:eastAsia="宋体" w:hAnsi="Book Antiqua" w:cs="宋体"/>
          <w:color w:val="auto"/>
        </w:rPr>
        <w:t>: 580-593 [PMID: 19625712 DOI: 10.1056/NEJMoa0808010]</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22 </w:t>
      </w:r>
      <w:proofErr w:type="spellStart"/>
      <w:r w:rsidRPr="00AA384A">
        <w:rPr>
          <w:rFonts w:ascii="Book Antiqua" w:eastAsia="宋体" w:hAnsi="Book Antiqua" w:cs="宋体"/>
          <w:b/>
          <w:bCs/>
          <w:color w:val="auto"/>
        </w:rPr>
        <w:t>Kwo</w:t>
      </w:r>
      <w:proofErr w:type="spellEnd"/>
      <w:r w:rsidRPr="00AA384A">
        <w:rPr>
          <w:rFonts w:ascii="Book Antiqua" w:eastAsia="宋体" w:hAnsi="Book Antiqua" w:cs="宋体"/>
          <w:b/>
          <w:bCs/>
          <w:color w:val="auto"/>
        </w:rPr>
        <w:t xml:space="preserve"> PY</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Lawitz</w:t>
      </w:r>
      <w:proofErr w:type="spellEnd"/>
      <w:r w:rsidRPr="00AA384A">
        <w:rPr>
          <w:rFonts w:ascii="Book Antiqua" w:eastAsia="宋体" w:hAnsi="Book Antiqua" w:cs="宋体"/>
          <w:color w:val="auto"/>
        </w:rPr>
        <w:t xml:space="preserve"> EJ, McCone J, Schiff ER, </w:t>
      </w:r>
      <w:proofErr w:type="spellStart"/>
      <w:r w:rsidRPr="00AA384A">
        <w:rPr>
          <w:rFonts w:ascii="Book Antiqua" w:eastAsia="宋体" w:hAnsi="Book Antiqua" w:cs="宋体"/>
          <w:color w:val="auto"/>
        </w:rPr>
        <w:t>Vierling</w:t>
      </w:r>
      <w:proofErr w:type="spellEnd"/>
      <w:r w:rsidRPr="00AA384A">
        <w:rPr>
          <w:rFonts w:ascii="Book Antiqua" w:eastAsia="宋体" w:hAnsi="Book Antiqua" w:cs="宋体"/>
          <w:color w:val="auto"/>
        </w:rPr>
        <w:t xml:space="preserve"> JM, Pound D, Davis MN, Galati JS, Gordon SC, </w:t>
      </w:r>
      <w:proofErr w:type="spellStart"/>
      <w:r w:rsidRPr="00AA384A">
        <w:rPr>
          <w:rFonts w:ascii="Book Antiqua" w:eastAsia="宋体" w:hAnsi="Book Antiqua" w:cs="宋体"/>
          <w:color w:val="auto"/>
        </w:rPr>
        <w:t>Ravendhran</w:t>
      </w:r>
      <w:proofErr w:type="spellEnd"/>
      <w:r w:rsidRPr="00AA384A">
        <w:rPr>
          <w:rFonts w:ascii="Book Antiqua" w:eastAsia="宋体" w:hAnsi="Book Antiqua" w:cs="宋体"/>
          <w:color w:val="auto"/>
        </w:rPr>
        <w:t xml:space="preserve"> N, </w:t>
      </w:r>
      <w:proofErr w:type="spellStart"/>
      <w:r w:rsidRPr="00AA384A">
        <w:rPr>
          <w:rFonts w:ascii="Book Antiqua" w:eastAsia="宋体" w:hAnsi="Book Antiqua" w:cs="宋体"/>
          <w:color w:val="auto"/>
        </w:rPr>
        <w:t>Rossaro</w:t>
      </w:r>
      <w:proofErr w:type="spellEnd"/>
      <w:r w:rsidRPr="00AA384A">
        <w:rPr>
          <w:rFonts w:ascii="Book Antiqua" w:eastAsia="宋体" w:hAnsi="Book Antiqua" w:cs="宋体"/>
          <w:color w:val="auto"/>
        </w:rPr>
        <w:t xml:space="preserve"> L, Anderson FH, Jacobson IM, Rubin R, </w:t>
      </w:r>
      <w:proofErr w:type="spellStart"/>
      <w:r w:rsidRPr="00AA384A">
        <w:rPr>
          <w:rFonts w:ascii="Book Antiqua" w:eastAsia="宋体" w:hAnsi="Book Antiqua" w:cs="宋体"/>
          <w:color w:val="auto"/>
        </w:rPr>
        <w:t>Koury</w:t>
      </w:r>
      <w:proofErr w:type="spellEnd"/>
      <w:r w:rsidRPr="00AA384A">
        <w:rPr>
          <w:rFonts w:ascii="Book Antiqua" w:eastAsia="宋体" w:hAnsi="Book Antiqua" w:cs="宋体"/>
          <w:color w:val="auto"/>
        </w:rPr>
        <w:t xml:space="preserve"> K,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Brass CA, </w:t>
      </w:r>
      <w:proofErr w:type="spellStart"/>
      <w:r w:rsidRPr="00AA384A">
        <w:rPr>
          <w:rFonts w:ascii="Book Antiqua" w:eastAsia="宋体" w:hAnsi="Book Antiqua" w:cs="宋体"/>
          <w:color w:val="auto"/>
        </w:rPr>
        <w:t>Chaudhri</w:t>
      </w:r>
      <w:proofErr w:type="spellEnd"/>
      <w:r w:rsidRPr="00AA384A">
        <w:rPr>
          <w:rFonts w:ascii="Book Antiqua" w:eastAsia="宋体" w:hAnsi="Book Antiqua" w:cs="宋体"/>
          <w:color w:val="auto"/>
        </w:rPr>
        <w:t xml:space="preserve"> E, Albrecht JK. Efficacy of </w:t>
      </w:r>
      <w:proofErr w:type="spell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xml:space="preserve">, an NS3 protease inhibitor, in combination with </w:t>
      </w:r>
      <w:proofErr w:type="spellStart"/>
      <w:r w:rsidRPr="00AA384A">
        <w:rPr>
          <w:rFonts w:ascii="Book Antiqua" w:eastAsia="宋体" w:hAnsi="Book Antiqua" w:cs="宋体"/>
          <w:color w:val="auto"/>
        </w:rPr>
        <w:t>peginterferon</w:t>
      </w:r>
      <w:proofErr w:type="spellEnd"/>
      <w:r w:rsidRPr="00AA384A">
        <w:rPr>
          <w:rFonts w:ascii="Book Antiqua" w:eastAsia="宋体" w:hAnsi="Book Antiqua" w:cs="宋体"/>
          <w:color w:val="auto"/>
        </w:rPr>
        <w:t xml:space="preserve"> alfa-2b and ribavirin in treatment-naive patients with genotype 1 hepatitis C infection (SPRINT-1): an open-label, </w:t>
      </w:r>
      <w:proofErr w:type="spellStart"/>
      <w:r w:rsidRPr="00AA384A">
        <w:rPr>
          <w:rFonts w:ascii="Book Antiqua" w:eastAsia="宋体" w:hAnsi="Book Antiqua" w:cs="宋体"/>
          <w:color w:val="auto"/>
        </w:rPr>
        <w:t>randomised</w:t>
      </w:r>
      <w:proofErr w:type="spellEnd"/>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multicentre</w:t>
      </w:r>
      <w:proofErr w:type="spellEnd"/>
      <w:r w:rsidRPr="00AA384A">
        <w:rPr>
          <w:rFonts w:ascii="Book Antiqua" w:eastAsia="宋体" w:hAnsi="Book Antiqua" w:cs="宋体"/>
          <w:color w:val="auto"/>
        </w:rPr>
        <w:t xml:space="preserve"> phase 2 trial. </w:t>
      </w:r>
      <w:r w:rsidRPr="00AA384A">
        <w:rPr>
          <w:rFonts w:ascii="Book Antiqua" w:eastAsia="宋体" w:hAnsi="Book Antiqua" w:cs="宋体"/>
          <w:i/>
          <w:iCs/>
          <w:color w:val="auto"/>
        </w:rPr>
        <w:t>Lancet</w:t>
      </w:r>
      <w:r w:rsidRPr="00AA384A">
        <w:rPr>
          <w:rFonts w:ascii="Book Antiqua" w:eastAsia="宋体" w:hAnsi="Book Antiqua" w:cs="宋体"/>
          <w:color w:val="auto"/>
        </w:rPr>
        <w:t> 2010; </w:t>
      </w:r>
      <w:r w:rsidRPr="00AA384A">
        <w:rPr>
          <w:rFonts w:ascii="Book Antiqua" w:eastAsia="宋体" w:hAnsi="Book Antiqua" w:cs="宋体"/>
          <w:b/>
          <w:bCs/>
          <w:color w:val="auto"/>
        </w:rPr>
        <w:t>376</w:t>
      </w:r>
      <w:r w:rsidRPr="00AA384A">
        <w:rPr>
          <w:rFonts w:ascii="Book Antiqua" w:eastAsia="宋体" w:hAnsi="Book Antiqua" w:cs="宋体"/>
          <w:color w:val="auto"/>
        </w:rPr>
        <w:t>: 705-716 [PMID: 20692693 DOI: 10.1016/S0140-6736(10)60934-8.Epub]</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23 </w:t>
      </w:r>
      <w:proofErr w:type="spellStart"/>
      <w:r w:rsidRPr="00AA384A">
        <w:rPr>
          <w:rFonts w:ascii="Book Antiqua" w:eastAsia="宋体" w:hAnsi="Book Antiqua" w:cs="宋体"/>
          <w:b/>
          <w:bCs/>
          <w:color w:val="auto"/>
        </w:rPr>
        <w:t>Flamm</w:t>
      </w:r>
      <w:proofErr w:type="spellEnd"/>
      <w:r w:rsidRPr="00AA384A">
        <w:rPr>
          <w:rFonts w:ascii="Book Antiqua" w:eastAsia="宋体" w:hAnsi="Book Antiqua" w:cs="宋体"/>
          <w:b/>
          <w:bCs/>
          <w:color w:val="auto"/>
        </w:rPr>
        <w:t xml:space="preserve"> SL</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Lawitz</w:t>
      </w:r>
      <w:proofErr w:type="spellEnd"/>
      <w:r w:rsidRPr="00AA384A">
        <w:rPr>
          <w:rFonts w:ascii="Book Antiqua" w:eastAsia="宋体" w:hAnsi="Book Antiqua" w:cs="宋体"/>
          <w:color w:val="auto"/>
        </w:rPr>
        <w:t xml:space="preserve"> E, Jacobson I, </w:t>
      </w:r>
      <w:proofErr w:type="spellStart"/>
      <w:r w:rsidRPr="00AA384A">
        <w:rPr>
          <w:rFonts w:ascii="Book Antiqua" w:eastAsia="宋体" w:hAnsi="Book Antiqua" w:cs="宋体"/>
          <w:color w:val="auto"/>
        </w:rPr>
        <w:t>Bourlière</w:t>
      </w:r>
      <w:proofErr w:type="spellEnd"/>
      <w:r w:rsidRPr="00AA384A">
        <w:rPr>
          <w:rFonts w:ascii="Book Antiqua" w:eastAsia="宋体" w:hAnsi="Book Antiqua" w:cs="宋体"/>
          <w:color w:val="auto"/>
        </w:rPr>
        <w:t xml:space="preserve"> M, </w:t>
      </w:r>
      <w:proofErr w:type="spellStart"/>
      <w:r w:rsidRPr="00AA384A">
        <w:rPr>
          <w:rFonts w:ascii="Book Antiqua" w:eastAsia="宋体" w:hAnsi="Book Antiqua" w:cs="宋体"/>
          <w:color w:val="auto"/>
        </w:rPr>
        <w:t>Hezode</w:t>
      </w:r>
      <w:proofErr w:type="spellEnd"/>
      <w:r w:rsidRPr="00AA384A">
        <w:rPr>
          <w:rFonts w:ascii="Book Antiqua" w:eastAsia="宋体" w:hAnsi="Book Antiqua" w:cs="宋体"/>
          <w:color w:val="auto"/>
        </w:rPr>
        <w:t xml:space="preserve"> C, </w:t>
      </w:r>
      <w:proofErr w:type="spellStart"/>
      <w:r w:rsidRPr="00AA384A">
        <w:rPr>
          <w:rFonts w:ascii="Book Antiqua" w:eastAsia="宋体" w:hAnsi="Book Antiqua" w:cs="宋体"/>
          <w:color w:val="auto"/>
        </w:rPr>
        <w:t>Vierling</w:t>
      </w:r>
      <w:proofErr w:type="spellEnd"/>
      <w:r w:rsidRPr="00AA384A">
        <w:rPr>
          <w:rFonts w:ascii="Book Antiqua" w:eastAsia="宋体" w:hAnsi="Book Antiqua" w:cs="宋体"/>
          <w:color w:val="auto"/>
        </w:rPr>
        <w:t xml:space="preserve"> JM, Bacon BR, </w:t>
      </w:r>
      <w:proofErr w:type="spellStart"/>
      <w:r w:rsidRPr="00AA384A">
        <w:rPr>
          <w:rFonts w:ascii="Book Antiqua" w:eastAsia="宋体" w:hAnsi="Book Antiqua" w:cs="宋体"/>
          <w:color w:val="auto"/>
        </w:rPr>
        <w:t>Niederau</w:t>
      </w:r>
      <w:proofErr w:type="spellEnd"/>
      <w:r w:rsidRPr="00AA384A">
        <w:rPr>
          <w:rFonts w:ascii="Book Antiqua" w:eastAsia="宋体" w:hAnsi="Book Antiqua" w:cs="宋体"/>
          <w:color w:val="auto"/>
        </w:rPr>
        <w:t xml:space="preserve"> C, Sherman M, </w:t>
      </w:r>
      <w:proofErr w:type="spellStart"/>
      <w:r w:rsidRPr="00AA384A">
        <w:rPr>
          <w:rFonts w:ascii="Book Antiqua" w:eastAsia="宋体" w:hAnsi="Book Antiqua" w:cs="宋体"/>
          <w:color w:val="auto"/>
        </w:rPr>
        <w:t>Goteti</w:t>
      </w:r>
      <w:proofErr w:type="spellEnd"/>
      <w:r w:rsidRPr="00AA384A">
        <w:rPr>
          <w:rFonts w:ascii="Book Antiqua" w:eastAsia="宋体" w:hAnsi="Book Antiqua" w:cs="宋体"/>
          <w:color w:val="auto"/>
        </w:rPr>
        <w:t xml:space="preserve"> V, Sings HL, Barnard RO, Howe JA,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Burroughs MH, Brass CA, Albrecht JK, </w:t>
      </w:r>
      <w:proofErr w:type="spellStart"/>
      <w:r w:rsidRPr="00AA384A">
        <w:rPr>
          <w:rFonts w:ascii="Book Antiqua" w:eastAsia="宋体" w:hAnsi="Book Antiqua" w:cs="宋体"/>
          <w:color w:val="auto"/>
        </w:rPr>
        <w:t>Poordad</w:t>
      </w:r>
      <w:proofErr w:type="spellEnd"/>
      <w:r w:rsidRPr="00AA384A">
        <w:rPr>
          <w:rFonts w:ascii="Book Antiqua" w:eastAsia="宋体" w:hAnsi="Book Antiqua" w:cs="宋体"/>
          <w:color w:val="auto"/>
        </w:rPr>
        <w:t xml:space="preserve"> F. </w:t>
      </w:r>
      <w:proofErr w:type="spell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xml:space="preserve"> with </w:t>
      </w:r>
      <w:proofErr w:type="spellStart"/>
      <w:r w:rsidRPr="00AA384A">
        <w:rPr>
          <w:rFonts w:ascii="Book Antiqua" w:eastAsia="宋体" w:hAnsi="Book Antiqua" w:cs="宋体"/>
          <w:color w:val="auto"/>
        </w:rPr>
        <w:t>peginterferon</w:t>
      </w:r>
      <w:proofErr w:type="spellEnd"/>
      <w:r w:rsidRPr="00AA384A">
        <w:rPr>
          <w:rFonts w:ascii="Book Antiqua" w:eastAsia="宋体" w:hAnsi="Book Antiqua" w:cs="宋体"/>
          <w:color w:val="auto"/>
        </w:rPr>
        <w:t xml:space="preserve"> alfa-2a-ribavirin is effective for previously treated chronic hepatitis C genotype 1 infection. </w:t>
      </w:r>
      <w:proofErr w:type="spellStart"/>
      <w:r w:rsidRPr="00AA384A">
        <w:rPr>
          <w:rFonts w:ascii="Book Antiqua" w:eastAsia="宋体" w:hAnsi="Book Antiqua" w:cs="宋体"/>
          <w:i/>
          <w:iCs/>
          <w:color w:val="auto"/>
        </w:rPr>
        <w:t>Clin</w:t>
      </w:r>
      <w:proofErr w:type="spellEnd"/>
      <w:r w:rsidRPr="00AA384A">
        <w:rPr>
          <w:rFonts w:ascii="Book Antiqua" w:eastAsia="宋体" w:hAnsi="Book Antiqua" w:cs="宋体"/>
          <w:i/>
          <w:iCs/>
          <w:color w:val="auto"/>
        </w:rPr>
        <w:t xml:space="preserve"> </w:t>
      </w:r>
      <w:proofErr w:type="spellStart"/>
      <w:r w:rsidRPr="00AA384A">
        <w:rPr>
          <w:rFonts w:ascii="Book Antiqua" w:eastAsia="宋体" w:hAnsi="Book Antiqua" w:cs="宋体"/>
          <w:i/>
          <w:iCs/>
          <w:color w:val="auto"/>
        </w:rPr>
        <w:t>Gastroenterol</w:t>
      </w:r>
      <w:proofErr w:type="spellEnd"/>
      <w:r w:rsidRPr="00AA384A">
        <w:rPr>
          <w:rFonts w:ascii="Book Antiqua" w:eastAsia="宋体" w:hAnsi="Book Antiqua" w:cs="宋体"/>
          <w:i/>
          <w:iCs/>
          <w:color w:val="auto"/>
        </w:rPr>
        <w:t xml:space="preserve">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2013; </w:t>
      </w:r>
      <w:r w:rsidRPr="00AA384A">
        <w:rPr>
          <w:rFonts w:ascii="Book Antiqua" w:eastAsia="宋体" w:hAnsi="Book Antiqua" w:cs="宋体"/>
          <w:b/>
          <w:bCs/>
          <w:color w:val="auto"/>
        </w:rPr>
        <w:t>11</w:t>
      </w:r>
      <w:r w:rsidRPr="00AA384A">
        <w:rPr>
          <w:rFonts w:ascii="Book Antiqua" w:eastAsia="宋体" w:hAnsi="Book Antiqua" w:cs="宋体"/>
          <w:color w:val="auto"/>
        </w:rPr>
        <w:t>: 81-87.e4; quiz e5 [PMID: 23064222 DOI: 10.1016/j.cgh.2012.10.006]</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24 </w:t>
      </w:r>
      <w:proofErr w:type="spellStart"/>
      <w:r w:rsidRPr="00AA384A">
        <w:rPr>
          <w:rFonts w:ascii="Book Antiqua" w:eastAsia="宋体" w:hAnsi="Book Antiqua" w:cs="宋体"/>
          <w:b/>
          <w:bCs/>
          <w:color w:val="auto"/>
        </w:rPr>
        <w:t>Poordad</w:t>
      </w:r>
      <w:proofErr w:type="spellEnd"/>
      <w:r w:rsidRPr="00AA384A">
        <w:rPr>
          <w:rFonts w:ascii="Book Antiqua" w:eastAsia="宋体" w:hAnsi="Book Antiqua" w:cs="宋体"/>
          <w:b/>
          <w:bCs/>
          <w:color w:val="auto"/>
        </w:rPr>
        <w:t xml:space="preserve"> F</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Bronowicki</w:t>
      </w:r>
      <w:proofErr w:type="spellEnd"/>
      <w:r w:rsidRPr="00AA384A">
        <w:rPr>
          <w:rFonts w:ascii="Book Antiqua" w:eastAsia="宋体" w:hAnsi="Book Antiqua" w:cs="宋体"/>
          <w:color w:val="auto"/>
        </w:rPr>
        <w:t xml:space="preserve"> JP, Gordon SC, </w:t>
      </w:r>
      <w:proofErr w:type="spellStart"/>
      <w:r w:rsidRPr="00AA384A">
        <w:rPr>
          <w:rFonts w:ascii="Book Antiqua" w:eastAsia="宋体" w:hAnsi="Book Antiqua" w:cs="宋体"/>
          <w:color w:val="auto"/>
        </w:rPr>
        <w:t>Zeuzem</w:t>
      </w:r>
      <w:proofErr w:type="spellEnd"/>
      <w:r w:rsidRPr="00AA384A">
        <w:rPr>
          <w:rFonts w:ascii="Book Antiqua" w:eastAsia="宋体" w:hAnsi="Book Antiqua" w:cs="宋体"/>
          <w:color w:val="auto"/>
        </w:rPr>
        <w:t xml:space="preserve"> S, Jacobson IM, </w:t>
      </w:r>
      <w:proofErr w:type="spellStart"/>
      <w:r w:rsidRPr="00AA384A">
        <w:rPr>
          <w:rFonts w:ascii="Book Antiqua" w:eastAsia="宋体" w:hAnsi="Book Antiqua" w:cs="宋体"/>
          <w:color w:val="auto"/>
        </w:rPr>
        <w:t>Sulkowski</w:t>
      </w:r>
      <w:proofErr w:type="spellEnd"/>
      <w:r w:rsidRPr="00AA384A">
        <w:rPr>
          <w:rFonts w:ascii="Book Antiqua" w:eastAsia="宋体" w:hAnsi="Book Antiqua" w:cs="宋体"/>
          <w:color w:val="auto"/>
        </w:rPr>
        <w:t xml:space="preserve"> MS, </w:t>
      </w:r>
      <w:proofErr w:type="spellStart"/>
      <w:r w:rsidRPr="00AA384A">
        <w:rPr>
          <w:rFonts w:ascii="Book Antiqua" w:eastAsia="宋体" w:hAnsi="Book Antiqua" w:cs="宋体"/>
          <w:color w:val="auto"/>
        </w:rPr>
        <w:t>Poynard</w:t>
      </w:r>
      <w:proofErr w:type="spellEnd"/>
      <w:r w:rsidRPr="00AA384A">
        <w:rPr>
          <w:rFonts w:ascii="Book Antiqua" w:eastAsia="宋体" w:hAnsi="Book Antiqua" w:cs="宋体"/>
          <w:color w:val="auto"/>
        </w:rPr>
        <w:t xml:space="preserve"> T, Morgan TR, </w:t>
      </w:r>
      <w:proofErr w:type="spellStart"/>
      <w:r w:rsidRPr="00AA384A">
        <w:rPr>
          <w:rFonts w:ascii="Book Antiqua" w:eastAsia="宋体" w:hAnsi="Book Antiqua" w:cs="宋体"/>
          <w:color w:val="auto"/>
        </w:rPr>
        <w:t>Molony</w:t>
      </w:r>
      <w:proofErr w:type="spellEnd"/>
      <w:r w:rsidRPr="00AA384A">
        <w:rPr>
          <w:rFonts w:ascii="Book Antiqua" w:eastAsia="宋体" w:hAnsi="Book Antiqua" w:cs="宋体"/>
          <w:color w:val="auto"/>
        </w:rPr>
        <w:t xml:space="preserve"> C,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Sings HL, Burroughs MH, </w:t>
      </w:r>
      <w:proofErr w:type="spellStart"/>
      <w:r w:rsidRPr="00AA384A">
        <w:rPr>
          <w:rFonts w:ascii="Book Antiqua" w:eastAsia="宋体" w:hAnsi="Book Antiqua" w:cs="宋体"/>
          <w:color w:val="auto"/>
        </w:rPr>
        <w:t>Sniukiene</w:t>
      </w:r>
      <w:proofErr w:type="spellEnd"/>
      <w:r w:rsidRPr="00AA384A">
        <w:rPr>
          <w:rFonts w:ascii="Book Antiqua" w:eastAsia="宋体" w:hAnsi="Book Antiqua" w:cs="宋体"/>
          <w:color w:val="auto"/>
        </w:rPr>
        <w:t xml:space="preserve"> V, </w:t>
      </w:r>
      <w:proofErr w:type="spellStart"/>
      <w:r w:rsidRPr="00AA384A">
        <w:rPr>
          <w:rFonts w:ascii="Book Antiqua" w:eastAsia="宋体" w:hAnsi="Book Antiqua" w:cs="宋体"/>
          <w:color w:val="auto"/>
        </w:rPr>
        <w:t>Boparai</w:t>
      </w:r>
      <w:proofErr w:type="spellEnd"/>
      <w:r w:rsidRPr="00AA384A">
        <w:rPr>
          <w:rFonts w:ascii="Book Antiqua" w:eastAsia="宋体" w:hAnsi="Book Antiqua" w:cs="宋体"/>
          <w:color w:val="auto"/>
        </w:rPr>
        <w:t xml:space="preserve"> N, </w:t>
      </w:r>
      <w:proofErr w:type="spellStart"/>
      <w:r w:rsidRPr="00AA384A">
        <w:rPr>
          <w:rFonts w:ascii="Book Antiqua" w:eastAsia="宋体" w:hAnsi="Book Antiqua" w:cs="宋体"/>
          <w:color w:val="auto"/>
        </w:rPr>
        <w:t>Goteti</w:t>
      </w:r>
      <w:proofErr w:type="spellEnd"/>
      <w:r w:rsidRPr="00AA384A">
        <w:rPr>
          <w:rFonts w:ascii="Book Antiqua" w:eastAsia="宋体" w:hAnsi="Book Antiqua" w:cs="宋体"/>
          <w:color w:val="auto"/>
        </w:rPr>
        <w:t xml:space="preserve"> VS, Brass CA, Albrecht JK, Bacon BR. Factors that predict response of patients with hepatitis C virus infection to </w:t>
      </w:r>
      <w:proofErr w:type="spell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w:t>
      </w:r>
      <w:r w:rsidRPr="00AA384A">
        <w:rPr>
          <w:rFonts w:ascii="Book Antiqua" w:eastAsia="宋体" w:hAnsi="Book Antiqua" w:cs="宋体"/>
          <w:i/>
          <w:iCs/>
          <w:color w:val="auto"/>
        </w:rPr>
        <w:t>Gastroenterology</w:t>
      </w:r>
      <w:r w:rsidRPr="00AA384A">
        <w:rPr>
          <w:rFonts w:ascii="Book Antiqua" w:eastAsia="宋体" w:hAnsi="Book Antiqua" w:cs="宋体"/>
          <w:color w:val="auto"/>
        </w:rPr>
        <w:t> 2012; </w:t>
      </w:r>
      <w:r w:rsidRPr="00AA384A">
        <w:rPr>
          <w:rFonts w:ascii="Book Antiqua" w:eastAsia="宋体" w:hAnsi="Book Antiqua" w:cs="宋体"/>
          <w:b/>
          <w:bCs/>
          <w:color w:val="auto"/>
        </w:rPr>
        <w:t>143</w:t>
      </w:r>
      <w:r w:rsidRPr="00AA384A">
        <w:rPr>
          <w:rFonts w:ascii="Book Antiqua" w:eastAsia="宋体" w:hAnsi="Book Antiqua" w:cs="宋体"/>
          <w:color w:val="auto"/>
        </w:rPr>
        <w:t>: 608-18.e1-5 [PMID: 22626609 DOI: 10.1053/j.gastro.2012.05.011]</w:t>
      </w:r>
    </w:p>
    <w:p w:rsidR="00990765" w:rsidRPr="00AA384A" w:rsidRDefault="00990765" w:rsidP="00AA384A">
      <w:pPr>
        <w:spacing w:line="360" w:lineRule="auto"/>
        <w:jc w:val="both"/>
        <w:rPr>
          <w:rFonts w:ascii="Book Antiqua" w:eastAsia="宋体" w:hAnsi="Book Antiqua" w:cs="宋体"/>
          <w:color w:val="auto"/>
        </w:rPr>
      </w:pPr>
      <w:r w:rsidRPr="00AA384A">
        <w:rPr>
          <w:rFonts w:ascii="Book Antiqua" w:eastAsia="宋体" w:hAnsi="Book Antiqua" w:cs="宋体"/>
          <w:color w:val="auto"/>
        </w:rPr>
        <w:t>25 </w:t>
      </w:r>
      <w:r w:rsidRPr="00AA384A">
        <w:rPr>
          <w:rFonts w:ascii="Book Antiqua" w:eastAsia="宋体" w:hAnsi="Book Antiqua" w:cs="宋体"/>
          <w:b/>
          <w:bCs/>
          <w:color w:val="auto"/>
        </w:rPr>
        <w:t>Bruno S</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Vierling</w:t>
      </w:r>
      <w:proofErr w:type="spellEnd"/>
      <w:r w:rsidRPr="00AA384A">
        <w:rPr>
          <w:rFonts w:ascii="Book Antiqua" w:eastAsia="宋体" w:hAnsi="Book Antiqua" w:cs="宋体"/>
          <w:color w:val="auto"/>
        </w:rPr>
        <w:t xml:space="preserve"> JM, Esteban R, Nyberg LM, </w:t>
      </w:r>
      <w:proofErr w:type="spellStart"/>
      <w:r w:rsidRPr="00AA384A">
        <w:rPr>
          <w:rFonts w:ascii="Book Antiqua" w:eastAsia="宋体" w:hAnsi="Book Antiqua" w:cs="宋体"/>
          <w:color w:val="auto"/>
        </w:rPr>
        <w:t>Tanno</w:t>
      </w:r>
      <w:proofErr w:type="spellEnd"/>
      <w:r w:rsidRPr="00AA384A">
        <w:rPr>
          <w:rFonts w:ascii="Book Antiqua" w:eastAsia="宋体" w:hAnsi="Book Antiqua" w:cs="宋体"/>
          <w:color w:val="auto"/>
        </w:rPr>
        <w:t xml:space="preserve"> H, Goodman Z, </w:t>
      </w:r>
      <w:proofErr w:type="spellStart"/>
      <w:r w:rsidRPr="00AA384A">
        <w:rPr>
          <w:rFonts w:ascii="Book Antiqua" w:eastAsia="宋体" w:hAnsi="Book Antiqua" w:cs="宋体"/>
          <w:color w:val="auto"/>
        </w:rPr>
        <w:t>Poordad</w:t>
      </w:r>
      <w:proofErr w:type="spellEnd"/>
      <w:r w:rsidRPr="00AA384A">
        <w:rPr>
          <w:rFonts w:ascii="Book Antiqua" w:eastAsia="宋体" w:hAnsi="Book Antiqua" w:cs="宋体"/>
          <w:color w:val="auto"/>
        </w:rPr>
        <w:t xml:space="preserve"> F, Bacon B, </w:t>
      </w:r>
      <w:proofErr w:type="spellStart"/>
      <w:r w:rsidRPr="00AA384A">
        <w:rPr>
          <w:rFonts w:ascii="Book Antiqua" w:eastAsia="宋体" w:hAnsi="Book Antiqua" w:cs="宋体"/>
          <w:color w:val="auto"/>
        </w:rPr>
        <w:t>Gottesdiener</w:t>
      </w:r>
      <w:proofErr w:type="spellEnd"/>
      <w:r w:rsidRPr="00AA384A">
        <w:rPr>
          <w:rFonts w:ascii="Book Antiqua" w:eastAsia="宋体" w:hAnsi="Book Antiqua" w:cs="宋体"/>
          <w:color w:val="auto"/>
        </w:rPr>
        <w:t xml:space="preserve"> K,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Albrecht JK, Brass CA, Thompson S, Burroughs MH. </w:t>
      </w:r>
      <w:proofErr w:type="gramStart"/>
      <w:r w:rsidRPr="00AA384A">
        <w:rPr>
          <w:rFonts w:ascii="Book Antiqua" w:eastAsia="宋体" w:hAnsi="Book Antiqua" w:cs="宋体"/>
          <w:color w:val="auto"/>
        </w:rPr>
        <w:t xml:space="preserve">Efficacy and safety of </w:t>
      </w:r>
      <w:proofErr w:type="spell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 xml:space="preserve"> plus </w:t>
      </w:r>
      <w:proofErr w:type="spellStart"/>
      <w:r w:rsidRPr="00AA384A">
        <w:rPr>
          <w:rFonts w:ascii="Book Antiqua" w:eastAsia="宋体" w:hAnsi="Book Antiqua" w:cs="宋体"/>
          <w:color w:val="auto"/>
        </w:rPr>
        <w:lastRenderedPageBreak/>
        <w:t>peginterferon</w:t>
      </w:r>
      <w:proofErr w:type="spellEnd"/>
      <w:r w:rsidRPr="00AA384A">
        <w:rPr>
          <w:rFonts w:ascii="Book Antiqua" w:eastAsia="宋体" w:hAnsi="Book Antiqua" w:cs="宋体"/>
          <w:color w:val="auto"/>
        </w:rPr>
        <w:t>-ribavirin in patients with HCV G1 infection and advanced fibrosis/cirrhosis.</w:t>
      </w:r>
      <w:proofErr w:type="gramEnd"/>
      <w:r w:rsidRPr="00AA384A">
        <w:rPr>
          <w:rFonts w:ascii="Book Antiqua" w:eastAsia="宋体" w:hAnsi="Book Antiqua" w:cs="宋体"/>
          <w:color w:val="auto"/>
        </w:rPr>
        <w:t> </w:t>
      </w:r>
      <w:r w:rsidRPr="00AA384A">
        <w:rPr>
          <w:rFonts w:ascii="Book Antiqua" w:eastAsia="宋体" w:hAnsi="Book Antiqua" w:cs="宋体"/>
          <w:i/>
          <w:iCs/>
          <w:color w:val="auto"/>
        </w:rPr>
        <w:t xml:space="preserve">J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2013; </w:t>
      </w:r>
      <w:r w:rsidRPr="00AA384A">
        <w:rPr>
          <w:rFonts w:ascii="Book Antiqua" w:eastAsia="宋体" w:hAnsi="Book Antiqua" w:cs="宋体"/>
          <w:b/>
          <w:bCs/>
          <w:color w:val="auto"/>
        </w:rPr>
        <w:t>58</w:t>
      </w:r>
      <w:r w:rsidRPr="00AA384A">
        <w:rPr>
          <w:rFonts w:ascii="Book Antiqua" w:eastAsia="宋体" w:hAnsi="Book Antiqua" w:cs="宋体"/>
          <w:color w:val="auto"/>
        </w:rPr>
        <w:t>: 479-487 [PMID: 23183529 DOI: 10.1016/j]</w:t>
      </w:r>
    </w:p>
    <w:p w:rsidR="00D46CF8" w:rsidRPr="00AA384A" w:rsidRDefault="00990765"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rPr>
        <w:t>26</w:t>
      </w:r>
      <w:r w:rsidRPr="00AA384A">
        <w:rPr>
          <w:rFonts w:ascii="Book Antiqua" w:eastAsia="宋体" w:hAnsi="Book Antiqua" w:cs="宋体"/>
          <w:b/>
          <w:color w:val="auto"/>
        </w:rPr>
        <w:t xml:space="preserve"> </w:t>
      </w:r>
      <w:proofErr w:type="spellStart"/>
      <w:r w:rsidRPr="00AA384A">
        <w:rPr>
          <w:rFonts w:ascii="Book Antiqua" w:eastAsia="宋体" w:hAnsi="Book Antiqua" w:cs="宋体"/>
          <w:b/>
          <w:color w:val="auto"/>
        </w:rPr>
        <w:t>Vierling</w:t>
      </w:r>
      <w:proofErr w:type="spellEnd"/>
      <w:r w:rsidRPr="00AA384A">
        <w:rPr>
          <w:rFonts w:ascii="Book Antiqua" w:eastAsia="宋体" w:hAnsi="Book Antiqua" w:cs="宋体"/>
          <w:b/>
          <w:color w:val="auto"/>
        </w:rPr>
        <w:t xml:space="preserve"> JM,</w:t>
      </w:r>
      <w:r w:rsidRPr="00AA384A">
        <w:rPr>
          <w:rFonts w:ascii="Book Antiqua" w:eastAsia="宋体" w:hAnsi="Book Antiqua" w:cs="宋体"/>
          <w:color w:val="auto"/>
        </w:rPr>
        <w:t xml:space="preserve"> </w:t>
      </w:r>
      <w:proofErr w:type="spellStart"/>
      <w:r w:rsidRPr="00AA384A">
        <w:rPr>
          <w:rFonts w:ascii="Book Antiqua" w:eastAsia="宋体" w:hAnsi="Book Antiqua" w:cs="宋体"/>
          <w:color w:val="auto"/>
        </w:rPr>
        <w:t>Zeuzem</w:t>
      </w:r>
      <w:proofErr w:type="spellEnd"/>
      <w:r w:rsidRPr="00AA384A">
        <w:rPr>
          <w:rFonts w:ascii="Book Antiqua" w:eastAsia="宋体" w:hAnsi="Book Antiqua" w:cs="宋体"/>
          <w:color w:val="auto"/>
        </w:rPr>
        <w:t xml:space="preserve"> S, </w:t>
      </w:r>
      <w:proofErr w:type="spellStart"/>
      <w:r w:rsidRPr="00AA384A">
        <w:rPr>
          <w:rFonts w:ascii="Book Antiqua" w:eastAsia="宋体" w:hAnsi="Book Antiqua" w:cs="宋体"/>
          <w:color w:val="auto"/>
        </w:rPr>
        <w:t>Poordad</w:t>
      </w:r>
      <w:proofErr w:type="spellEnd"/>
      <w:r w:rsidRPr="00AA384A">
        <w:rPr>
          <w:rFonts w:ascii="Book Antiqua" w:eastAsia="宋体" w:hAnsi="Book Antiqua" w:cs="宋体"/>
          <w:color w:val="auto"/>
        </w:rPr>
        <w:t xml:space="preserve"> F, </w:t>
      </w:r>
      <w:proofErr w:type="spellStart"/>
      <w:r w:rsidRPr="00AA384A">
        <w:rPr>
          <w:rFonts w:ascii="Book Antiqua" w:eastAsia="宋体" w:hAnsi="Book Antiqua" w:cs="宋体"/>
          <w:color w:val="auto"/>
        </w:rPr>
        <w:t>Bronowicki</w:t>
      </w:r>
      <w:proofErr w:type="spellEnd"/>
      <w:r w:rsidRPr="00AA384A">
        <w:rPr>
          <w:rFonts w:ascii="Book Antiqua" w:eastAsia="宋体" w:hAnsi="Book Antiqua" w:cs="宋体"/>
          <w:color w:val="auto"/>
        </w:rPr>
        <w:t xml:space="preserve"> JP, </w:t>
      </w:r>
      <w:proofErr w:type="spellStart"/>
      <w:r w:rsidRPr="00AA384A">
        <w:rPr>
          <w:rFonts w:ascii="Book Antiqua" w:eastAsia="宋体" w:hAnsi="Book Antiqua" w:cs="宋体"/>
          <w:color w:val="auto"/>
        </w:rPr>
        <w:t>Manns</w:t>
      </w:r>
      <w:proofErr w:type="spellEnd"/>
      <w:r w:rsidRPr="00AA384A">
        <w:rPr>
          <w:rFonts w:ascii="Book Antiqua" w:eastAsia="宋体" w:hAnsi="Book Antiqua" w:cs="宋体"/>
          <w:color w:val="auto"/>
        </w:rPr>
        <w:t xml:space="preserve"> MP, Bacon BR, Esteban R, </w:t>
      </w:r>
      <w:proofErr w:type="spellStart"/>
      <w:r w:rsidRPr="00AA384A">
        <w:rPr>
          <w:rFonts w:ascii="Book Antiqua" w:eastAsia="宋体" w:hAnsi="Book Antiqua" w:cs="宋体"/>
          <w:color w:val="auto"/>
        </w:rPr>
        <w:t>Flamm</w:t>
      </w:r>
      <w:proofErr w:type="spellEnd"/>
      <w:r w:rsidRPr="00AA384A">
        <w:rPr>
          <w:rFonts w:ascii="Book Antiqua" w:eastAsia="宋体" w:hAnsi="Book Antiqua" w:cs="宋体"/>
          <w:color w:val="auto"/>
        </w:rPr>
        <w:t xml:space="preserve"> SL, </w:t>
      </w:r>
      <w:proofErr w:type="spellStart"/>
      <w:r w:rsidRPr="00AA384A">
        <w:rPr>
          <w:rFonts w:ascii="Book Antiqua" w:eastAsia="宋体" w:hAnsi="Book Antiqua" w:cs="宋体"/>
          <w:color w:val="auto"/>
        </w:rPr>
        <w:t>Kwo</w:t>
      </w:r>
      <w:proofErr w:type="spellEnd"/>
      <w:r w:rsidRPr="00AA384A">
        <w:rPr>
          <w:rFonts w:ascii="Book Antiqua" w:eastAsia="宋体" w:hAnsi="Book Antiqua" w:cs="宋体"/>
          <w:color w:val="auto"/>
        </w:rPr>
        <w:t xml:space="preserve"> PY, </w:t>
      </w:r>
      <w:proofErr w:type="spellStart"/>
      <w:r w:rsidRPr="00AA384A">
        <w:rPr>
          <w:rFonts w:ascii="Book Antiqua" w:eastAsia="宋体" w:hAnsi="Book Antiqua" w:cs="宋体"/>
          <w:color w:val="auto"/>
        </w:rPr>
        <w:t>Pedicone</w:t>
      </w:r>
      <w:proofErr w:type="spellEnd"/>
      <w:r w:rsidRPr="00AA384A">
        <w:rPr>
          <w:rFonts w:ascii="Book Antiqua" w:eastAsia="宋体" w:hAnsi="Book Antiqua" w:cs="宋体"/>
          <w:color w:val="auto"/>
        </w:rPr>
        <w:t xml:space="preserve"> LD, Deng W, </w:t>
      </w:r>
      <w:proofErr w:type="spellStart"/>
      <w:r w:rsidRPr="00AA384A">
        <w:rPr>
          <w:rFonts w:ascii="Book Antiqua" w:eastAsia="宋体" w:hAnsi="Book Antiqua" w:cs="宋体"/>
          <w:color w:val="auto"/>
        </w:rPr>
        <w:t>Dutko</w:t>
      </w:r>
      <w:proofErr w:type="spellEnd"/>
      <w:r w:rsidRPr="00AA384A">
        <w:rPr>
          <w:rFonts w:ascii="Book Antiqua" w:eastAsia="宋体" w:hAnsi="Book Antiqua" w:cs="宋体"/>
          <w:color w:val="auto"/>
        </w:rPr>
        <w:t xml:space="preserve"> FJ, </w:t>
      </w:r>
      <w:proofErr w:type="spellStart"/>
      <w:r w:rsidRPr="00AA384A">
        <w:rPr>
          <w:rFonts w:ascii="Book Antiqua" w:eastAsia="宋体" w:hAnsi="Book Antiqua" w:cs="宋体"/>
          <w:color w:val="auto"/>
        </w:rPr>
        <w:t>DiNubile</w:t>
      </w:r>
      <w:proofErr w:type="spellEnd"/>
      <w:r w:rsidRPr="00AA384A">
        <w:rPr>
          <w:rFonts w:ascii="Book Antiqua" w:eastAsia="宋体" w:hAnsi="Book Antiqua" w:cs="宋体"/>
          <w:color w:val="auto"/>
        </w:rPr>
        <w:t xml:space="preserve"> MJ, </w:t>
      </w:r>
      <w:proofErr w:type="spellStart"/>
      <w:r w:rsidRPr="00AA384A">
        <w:rPr>
          <w:rFonts w:ascii="Book Antiqua" w:eastAsia="宋体" w:hAnsi="Book Antiqua" w:cs="宋体"/>
          <w:color w:val="auto"/>
        </w:rPr>
        <w:t>Koury</w:t>
      </w:r>
      <w:proofErr w:type="spellEnd"/>
      <w:r w:rsidRPr="00AA384A">
        <w:rPr>
          <w:rFonts w:ascii="Book Antiqua" w:eastAsia="宋体" w:hAnsi="Book Antiqua" w:cs="宋体"/>
          <w:color w:val="auto"/>
        </w:rPr>
        <w:t xml:space="preserve"> KJ, Helmond FA, Wahl J, Bruno S. Safety and efficacy of </w:t>
      </w:r>
      <w:proofErr w:type="spellStart"/>
      <w:r w:rsidRPr="00AA384A">
        <w:rPr>
          <w:rFonts w:ascii="Book Antiqua" w:eastAsia="宋体" w:hAnsi="Book Antiqua" w:cs="宋体"/>
          <w:color w:val="auto"/>
        </w:rPr>
        <w:t>boceprevir</w:t>
      </w:r>
      <w:proofErr w:type="spellEnd"/>
      <w:r w:rsidRPr="00AA384A">
        <w:rPr>
          <w:rFonts w:ascii="Book Antiqua" w:eastAsia="宋体" w:hAnsi="Book Antiqua" w:cs="宋体"/>
          <w:color w:val="auto"/>
        </w:rPr>
        <w:t>/</w:t>
      </w:r>
      <w:proofErr w:type="spellStart"/>
      <w:r w:rsidRPr="00AA384A">
        <w:rPr>
          <w:rFonts w:ascii="Book Antiqua" w:eastAsia="宋体" w:hAnsi="Book Antiqua" w:cs="宋体"/>
          <w:color w:val="auto"/>
        </w:rPr>
        <w:t>peginterferon</w:t>
      </w:r>
      <w:proofErr w:type="spellEnd"/>
      <w:r w:rsidRPr="00AA384A">
        <w:rPr>
          <w:rFonts w:ascii="Book Antiqua" w:eastAsia="宋体" w:hAnsi="Book Antiqua" w:cs="宋体"/>
          <w:color w:val="auto"/>
        </w:rPr>
        <w:t xml:space="preserve">/ribavirin for HCV G1 compensated </w:t>
      </w:r>
      <w:proofErr w:type="spellStart"/>
      <w:r w:rsidRPr="00AA384A">
        <w:rPr>
          <w:rFonts w:ascii="Book Antiqua" w:eastAsia="宋体" w:hAnsi="Book Antiqua" w:cs="宋体"/>
          <w:color w:val="auto"/>
        </w:rPr>
        <w:t>cirrhotics</w:t>
      </w:r>
      <w:proofErr w:type="spellEnd"/>
      <w:r w:rsidRPr="00AA384A">
        <w:rPr>
          <w:rFonts w:ascii="Book Antiqua" w:eastAsia="宋体" w:hAnsi="Book Antiqua" w:cs="宋体"/>
          <w:color w:val="auto"/>
        </w:rPr>
        <w:t>: Meta-analysis of 5 trials. </w:t>
      </w:r>
      <w:r w:rsidRPr="00AA384A">
        <w:rPr>
          <w:rFonts w:ascii="Book Antiqua" w:eastAsia="宋体" w:hAnsi="Book Antiqua" w:cs="宋体"/>
          <w:i/>
          <w:iCs/>
          <w:color w:val="auto"/>
        </w:rPr>
        <w:t xml:space="preserve">J </w:t>
      </w:r>
      <w:proofErr w:type="spellStart"/>
      <w:r w:rsidRPr="00AA384A">
        <w:rPr>
          <w:rFonts w:ascii="Book Antiqua" w:eastAsia="宋体" w:hAnsi="Book Antiqua" w:cs="宋体"/>
          <w:i/>
          <w:iCs/>
          <w:color w:val="auto"/>
        </w:rPr>
        <w:t>Hepatol</w:t>
      </w:r>
      <w:proofErr w:type="spellEnd"/>
      <w:r w:rsidRPr="00AA384A">
        <w:rPr>
          <w:rFonts w:ascii="Book Antiqua" w:eastAsia="宋体" w:hAnsi="Book Antiqua" w:cs="宋体"/>
          <w:color w:val="auto"/>
        </w:rPr>
        <w:t> 2014; [PMID: 24747798 DOI: 10.1016/j.jhep.2014.03.022]</w:t>
      </w:r>
    </w:p>
    <w:p w:rsidR="00D46CF8" w:rsidRPr="00AA384A" w:rsidRDefault="00D46CF8" w:rsidP="00AA384A">
      <w:pPr>
        <w:pStyle w:val="FreeForm"/>
        <w:spacing w:line="360" w:lineRule="auto"/>
        <w:jc w:val="both"/>
        <w:rPr>
          <w:rFonts w:ascii="Book Antiqua" w:hAnsi="Book Antiqua" w:cs="Arial"/>
          <w:color w:val="auto"/>
          <w:sz w:val="24"/>
          <w:szCs w:val="24"/>
          <w:shd w:val="clear" w:color="auto" w:fill="FFFFFF"/>
          <w:lang w:val="en-US"/>
        </w:rPr>
      </w:pPr>
    </w:p>
    <w:p w:rsidR="00E62E7E" w:rsidRPr="00AA384A" w:rsidRDefault="00CD2927" w:rsidP="00AA384A">
      <w:pPr>
        <w:pStyle w:val="1"/>
        <w:wordWrap w:val="0"/>
        <w:spacing w:line="360" w:lineRule="auto"/>
        <w:ind w:left="360" w:right="120" w:firstLineChars="0" w:firstLine="0"/>
        <w:jc w:val="right"/>
        <w:rPr>
          <w:rFonts w:ascii="Book Antiqua" w:hAnsi="Book Antiqua"/>
          <w:b/>
          <w:bCs/>
          <w:szCs w:val="24"/>
          <w:lang w:val="en-GB" w:eastAsia="zh-CN"/>
        </w:rPr>
      </w:pPr>
      <w:bookmarkStart w:id="88" w:name="OLE_LINK277"/>
      <w:bookmarkStart w:id="89" w:name="OLE_LINK278"/>
      <w:bookmarkStart w:id="90" w:name="OLE_LINK279"/>
      <w:bookmarkStart w:id="91" w:name="OLE_LINK290"/>
      <w:bookmarkStart w:id="92" w:name="OLE_LINK301"/>
      <w:bookmarkStart w:id="93" w:name="OLE_LINK312"/>
      <w:bookmarkStart w:id="94" w:name="OLE_LINK315"/>
      <w:bookmarkStart w:id="95" w:name="OLE_LINK316"/>
      <w:bookmarkStart w:id="96" w:name="OLE_LINK317"/>
      <w:bookmarkStart w:id="97" w:name="OLE_LINK318"/>
      <w:bookmarkStart w:id="98" w:name="OLE_LINK326"/>
      <w:bookmarkStart w:id="99" w:name="OLE_LINK335"/>
      <w:bookmarkStart w:id="100" w:name="OLE_LINK339"/>
      <w:bookmarkStart w:id="101" w:name="OLE_LINK348"/>
      <w:bookmarkStart w:id="102" w:name="OLE_LINK399"/>
      <w:bookmarkStart w:id="103" w:name="OLE_LINK419"/>
      <w:bookmarkStart w:id="104" w:name="OLE_LINK420"/>
      <w:bookmarkStart w:id="105" w:name="OLE_LINK423"/>
      <w:bookmarkStart w:id="106" w:name="OLE_LINK449"/>
      <w:bookmarkStart w:id="107" w:name="OLE_LINK450"/>
      <w:bookmarkStart w:id="108" w:name="OLE_LINK454"/>
      <w:r>
        <w:rPr>
          <w:rStyle w:val="a7"/>
          <w:rFonts w:ascii="Book Antiqua" w:hAnsi="Book Antiqua" w:cs="Arial"/>
          <w:noProof/>
          <w:szCs w:val="24"/>
          <w:lang w:val="en-GB"/>
        </w:rPr>
        <w:t>P-Reviewer</w:t>
      </w:r>
      <w:r w:rsidR="00D46CF8" w:rsidRPr="00AA384A">
        <w:rPr>
          <w:rStyle w:val="a7"/>
          <w:rFonts w:ascii="Book Antiqua" w:hAnsi="Book Antiqua" w:cs="Arial"/>
          <w:noProof/>
          <w:szCs w:val="24"/>
          <w:lang w:val="en-GB" w:eastAsia="zh-CN"/>
        </w:rPr>
        <w:t>:</w:t>
      </w:r>
      <w:r w:rsidR="00D46CF8" w:rsidRPr="00AA384A">
        <w:rPr>
          <w:rFonts w:ascii="Book Antiqua" w:hAnsi="Book Antiqua"/>
          <w:bCs/>
          <w:szCs w:val="24"/>
          <w:lang w:val="en-GB"/>
        </w:rPr>
        <w:t xml:space="preserve"> </w:t>
      </w:r>
      <w:proofErr w:type="spellStart"/>
      <w:r w:rsidR="008244ED" w:rsidRPr="00AA384A">
        <w:rPr>
          <w:rFonts w:ascii="Book Antiqua" w:hAnsi="Book Antiqua"/>
          <w:bCs/>
          <w:szCs w:val="24"/>
          <w:lang w:val="en-GB"/>
        </w:rPr>
        <w:t>Bellanti</w:t>
      </w:r>
      <w:proofErr w:type="spellEnd"/>
      <w:r w:rsidR="008244ED" w:rsidRPr="00AA384A">
        <w:rPr>
          <w:rFonts w:ascii="Book Antiqua" w:hAnsi="Book Antiqua"/>
          <w:bCs/>
          <w:szCs w:val="24"/>
          <w:lang w:val="en-GB" w:eastAsia="zh-CN"/>
        </w:rPr>
        <w:t xml:space="preserve"> F,</w:t>
      </w:r>
      <w:r w:rsidR="00D46CF8" w:rsidRPr="00AA384A">
        <w:rPr>
          <w:rFonts w:ascii="Book Antiqua" w:hAnsi="Book Antiqua"/>
          <w:bCs/>
          <w:szCs w:val="24"/>
          <w:lang w:val="en-GB"/>
        </w:rPr>
        <w:t xml:space="preserve"> </w:t>
      </w:r>
      <w:proofErr w:type="spellStart"/>
      <w:r w:rsidR="008244ED" w:rsidRPr="00AA384A">
        <w:rPr>
          <w:rFonts w:ascii="Book Antiqua" w:hAnsi="Book Antiqua"/>
          <w:bCs/>
          <w:szCs w:val="24"/>
          <w:lang w:val="en-GB"/>
        </w:rPr>
        <w:t>Felmlee</w:t>
      </w:r>
      <w:proofErr w:type="spellEnd"/>
      <w:r w:rsidR="008244ED" w:rsidRPr="00AA384A">
        <w:rPr>
          <w:rFonts w:ascii="Book Antiqua" w:hAnsi="Book Antiqua"/>
          <w:bCs/>
          <w:szCs w:val="24"/>
          <w:lang w:val="en-GB" w:eastAsia="zh-CN"/>
        </w:rPr>
        <w:t xml:space="preserve"> DJ,</w:t>
      </w:r>
      <w:r w:rsidR="00D46CF8" w:rsidRPr="00AA384A">
        <w:rPr>
          <w:rFonts w:ascii="Book Antiqua" w:hAnsi="Book Antiqua"/>
          <w:bCs/>
          <w:szCs w:val="24"/>
          <w:lang w:val="en-GB"/>
        </w:rPr>
        <w:t xml:space="preserve"> </w:t>
      </w:r>
      <w:proofErr w:type="spellStart"/>
      <w:r w:rsidR="008244ED" w:rsidRPr="00AA384A">
        <w:rPr>
          <w:rFonts w:ascii="Book Antiqua" w:hAnsi="Book Antiqua"/>
          <w:bCs/>
          <w:szCs w:val="24"/>
          <w:lang w:val="en-GB"/>
        </w:rPr>
        <w:t>Gherlan</w:t>
      </w:r>
      <w:proofErr w:type="spellEnd"/>
      <w:r w:rsidR="008244ED" w:rsidRPr="00AA384A">
        <w:rPr>
          <w:rFonts w:ascii="Book Antiqua" w:hAnsi="Book Antiqua"/>
          <w:bCs/>
          <w:szCs w:val="24"/>
          <w:lang w:val="en-GB" w:eastAsia="zh-CN"/>
        </w:rPr>
        <w:t xml:space="preserve"> GS</w:t>
      </w:r>
      <w:r w:rsidR="00D46CF8" w:rsidRPr="00AA384A">
        <w:rPr>
          <w:rFonts w:ascii="Book Antiqua" w:hAnsi="Book Antiqua"/>
          <w:bCs/>
          <w:szCs w:val="24"/>
          <w:lang w:val="en-GB"/>
        </w:rPr>
        <w:t xml:space="preserve"> </w:t>
      </w:r>
      <w:r w:rsidR="00D46CF8" w:rsidRPr="00AA384A">
        <w:rPr>
          <w:rFonts w:ascii="Book Antiqua" w:hAnsi="Book Antiqua"/>
          <w:b/>
          <w:bCs/>
          <w:szCs w:val="24"/>
          <w:lang w:val="en-GB"/>
        </w:rPr>
        <w:t>S-Editor</w:t>
      </w:r>
      <w:r w:rsidR="00D46CF8" w:rsidRPr="00AA384A">
        <w:rPr>
          <w:rFonts w:ascii="Book Antiqua" w:hAnsi="Book Antiqua"/>
          <w:b/>
          <w:bCs/>
          <w:szCs w:val="24"/>
          <w:lang w:val="en-GB" w:eastAsia="zh-CN"/>
        </w:rPr>
        <w:t>:</w:t>
      </w:r>
      <w:r w:rsidR="00D46CF8" w:rsidRPr="00AA384A">
        <w:rPr>
          <w:rFonts w:ascii="Book Antiqua" w:hAnsi="Book Antiqua"/>
          <w:bCs/>
          <w:szCs w:val="24"/>
          <w:lang w:val="en-GB"/>
        </w:rPr>
        <w:t xml:space="preserve"> </w:t>
      </w:r>
      <w:r w:rsidR="00D46CF8" w:rsidRPr="00AA384A">
        <w:rPr>
          <w:rFonts w:ascii="Book Antiqua" w:hAnsi="Book Antiqua"/>
          <w:bCs/>
          <w:szCs w:val="24"/>
          <w:lang w:val="en-GB" w:eastAsia="zh-CN"/>
        </w:rPr>
        <w:t>Qi Y</w:t>
      </w:r>
    </w:p>
    <w:p w:rsidR="00D46CF8" w:rsidRPr="00AA384A" w:rsidRDefault="00D46CF8" w:rsidP="00AA384A">
      <w:pPr>
        <w:pStyle w:val="1"/>
        <w:spacing w:line="360" w:lineRule="auto"/>
        <w:ind w:left="360" w:right="120" w:firstLineChars="0" w:firstLine="0"/>
        <w:jc w:val="right"/>
        <w:rPr>
          <w:rFonts w:ascii="Book Antiqua" w:hAnsi="Book Antiqua"/>
          <w:b/>
          <w:bCs/>
          <w:szCs w:val="24"/>
          <w:lang w:val="en-GB" w:eastAsia="zh-CN"/>
        </w:rPr>
      </w:pPr>
      <w:r w:rsidRPr="00AA384A">
        <w:rPr>
          <w:rFonts w:ascii="Book Antiqua" w:hAnsi="Book Antiqua"/>
          <w:b/>
          <w:bCs/>
          <w:szCs w:val="24"/>
          <w:lang w:val="en-GB"/>
        </w:rPr>
        <w:t>L-Editor</w:t>
      </w:r>
      <w:r w:rsidRPr="00AA384A">
        <w:rPr>
          <w:rFonts w:ascii="Book Antiqua" w:hAnsi="Book Antiqua"/>
          <w:b/>
          <w:bCs/>
          <w:szCs w:val="24"/>
          <w:lang w:val="en-GB" w:eastAsia="zh-CN"/>
        </w:rPr>
        <w:t>:</w:t>
      </w:r>
      <w:r w:rsidRPr="00AA384A">
        <w:rPr>
          <w:rFonts w:ascii="Book Antiqua" w:hAnsi="Book Antiqua"/>
          <w:b/>
          <w:bCs/>
          <w:szCs w:val="24"/>
          <w:lang w:val="en-GB"/>
        </w:rPr>
        <w:t xml:space="preserve">   E-Editor</w:t>
      </w:r>
      <w:r w:rsidRPr="00AA384A">
        <w:rPr>
          <w:rFonts w:ascii="Book Antiqua" w:hAnsi="Book Antiqua"/>
          <w:b/>
          <w:bCs/>
          <w:szCs w:val="24"/>
          <w:lang w:val="en-GB" w:eastAsia="zh-CN"/>
        </w:rPr>
        <w:t>:</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GB"/>
        </w:rPr>
      </w:pPr>
    </w:p>
    <w:p w:rsidR="00D46CF8" w:rsidRPr="00AA384A" w:rsidRDefault="00D46CF8" w:rsidP="00AA384A">
      <w:pPr>
        <w:pStyle w:val="FreeForm"/>
        <w:spacing w:line="360" w:lineRule="auto"/>
        <w:jc w:val="both"/>
        <w:rPr>
          <w:rFonts w:ascii="Book Antiqua" w:hAnsi="Book Antiqua" w:cs="Arial"/>
          <w:color w:val="auto"/>
          <w:sz w:val="24"/>
          <w:szCs w:val="24"/>
          <w:shd w:val="clear" w:color="auto" w:fill="FFFFFF"/>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color w:val="auto"/>
          <w:szCs w:val="24"/>
          <w:lang w:val="en-US" w:eastAsia="zh-CN"/>
        </w:rPr>
      </w:pPr>
      <w:r w:rsidRPr="00AA384A">
        <w:rPr>
          <w:rFonts w:ascii="Book Antiqua" w:hAnsi="Book Antiqua" w:cs="Arial"/>
          <w:color w:val="auto"/>
          <w:szCs w:val="24"/>
          <w:lang w:val="en-US"/>
        </w:rPr>
        <w:br w:type="page"/>
      </w:r>
      <w:r w:rsidR="008244ED" w:rsidRPr="00AA384A">
        <w:rPr>
          <w:rFonts w:ascii="Book Antiqua" w:hAnsi="Book Antiqua" w:cs="Arial"/>
          <w:b/>
          <w:color w:val="auto"/>
          <w:szCs w:val="24"/>
          <w:lang w:val="en-US"/>
        </w:rPr>
        <w:lastRenderedPageBreak/>
        <w:t>Figure 1</w:t>
      </w:r>
      <w:r w:rsidR="008244ED" w:rsidRPr="00AA384A">
        <w:rPr>
          <w:rFonts w:ascii="Book Antiqua" w:eastAsia="宋体" w:hAnsi="Book Antiqua" w:cs="Arial"/>
          <w:b/>
          <w:color w:val="auto"/>
          <w:szCs w:val="24"/>
          <w:lang w:val="en-US" w:eastAsia="zh-CN"/>
        </w:rPr>
        <w:t xml:space="preserve"> </w:t>
      </w:r>
      <w:r w:rsidRPr="00AA384A">
        <w:rPr>
          <w:rFonts w:ascii="Book Antiqua" w:hAnsi="Book Antiqua" w:cs="Arial"/>
          <w:b/>
          <w:color w:val="auto"/>
          <w:szCs w:val="24"/>
          <w:lang w:val="en-US"/>
        </w:rPr>
        <w:t>Trend statement flow diagram.</w:t>
      </w:r>
      <w:r w:rsidR="00B43AF1" w:rsidRPr="00AA384A">
        <w:rPr>
          <w:rFonts w:ascii="Book Antiqua" w:eastAsia="宋体" w:hAnsi="Book Antiqua" w:cs="Arial"/>
          <w:b/>
          <w:color w:val="auto"/>
          <w:szCs w:val="24"/>
          <w:lang w:val="en-US" w:eastAsia="zh-CN"/>
        </w:rPr>
        <w:t xml:space="preserve"> </w:t>
      </w:r>
      <w:r w:rsidR="00B43AF1" w:rsidRPr="00AA384A">
        <w:rPr>
          <w:rFonts w:ascii="Book Antiqua" w:eastAsia="宋体" w:hAnsi="Book Antiqua" w:cs="Arial"/>
          <w:color w:val="auto"/>
          <w:szCs w:val="24"/>
          <w:lang w:val="en-US" w:eastAsia="zh-CN"/>
        </w:rPr>
        <w:t>HCV: Hepatitis C virus;</w:t>
      </w:r>
      <w:r w:rsidR="00B43AF1" w:rsidRPr="00AA384A">
        <w:rPr>
          <w:rFonts w:ascii="Book Antiqua" w:hAnsi="Book Antiqua"/>
          <w:color w:val="auto"/>
          <w:szCs w:val="24"/>
        </w:rPr>
        <w:t xml:space="preserve"> </w:t>
      </w:r>
      <w:r w:rsidR="00B43AF1" w:rsidRPr="00AA384A">
        <w:rPr>
          <w:rFonts w:ascii="Book Antiqua" w:eastAsia="宋体" w:hAnsi="Book Antiqua" w:cs="Arial"/>
          <w:color w:val="auto"/>
          <w:szCs w:val="24"/>
          <w:lang w:val="en-US" w:eastAsia="zh-CN"/>
        </w:rPr>
        <w:t>AE: Adverse event.</w:t>
      </w:r>
    </w:p>
    <w:p w:rsidR="00D46CF8" w:rsidRPr="00AA384A" w:rsidRDefault="005A6F29"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Pr>
          <w:rFonts w:ascii="Book Antiqua" w:hAnsi="Book Antiqua" w:cs="Arial"/>
          <w:noProof/>
          <w:color w:val="auto"/>
          <w:szCs w:val="24"/>
          <w:lang w:val="en-US" w:eastAsia="zh-CN"/>
        </w:rPr>
        <w:drawing>
          <wp:inline distT="0" distB="0" distL="0" distR="0" wp14:anchorId="177AE5C4" wp14:editId="60CD463A">
            <wp:extent cx="4937760" cy="4253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4253865"/>
                    </a:xfrm>
                    <a:prstGeom prst="rect">
                      <a:avLst/>
                    </a:prstGeom>
                    <a:noFill/>
                    <a:ln>
                      <a:noFill/>
                    </a:ln>
                  </pic:spPr>
                </pic:pic>
              </a:graphicData>
            </a:graphic>
          </wp:inline>
        </w:drawing>
      </w:r>
    </w:p>
    <w:p w:rsidR="00D46CF8" w:rsidRPr="00AA384A" w:rsidRDefault="00B43AF1"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b/>
          <w:color w:val="auto"/>
          <w:szCs w:val="24"/>
          <w:lang w:val="en-US"/>
        </w:rPr>
        <w:br w:type="page"/>
      </w:r>
      <w:r w:rsidR="008244ED" w:rsidRPr="00AA384A">
        <w:rPr>
          <w:rFonts w:ascii="Book Antiqua" w:hAnsi="Book Antiqua" w:cs="Arial"/>
          <w:b/>
          <w:color w:val="auto"/>
          <w:szCs w:val="24"/>
          <w:lang w:val="en-US"/>
        </w:rPr>
        <w:lastRenderedPageBreak/>
        <w:t>Figure 2</w:t>
      </w:r>
      <w:r w:rsidR="008244ED" w:rsidRPr="00AA384A">
        <w:rPr>
          <w:rFonts w:ascii="Book Antiqua" w:eastAsia="宋体" w:hAnsi="Book Antiqua" w:cs="Arial"/>
          <w:b/>
          <w:color w:val="auto"/>
          <w:szCs w:val="24"/>
          <w:lang w:val="en-US" w:eastAsia="zh-CN"/>
        </w:rPr>
        <w:t xml:space="preserve"> </w:t>
      </w:r>
      <w:r w:rsidR="00D46CF8" w:rsidRPr="00AA384A">
        <w:rPr>
          <w:rFonts w:ascii="Book Antiqua" w:hAnsi="Book Antiqua" w:cs="Arial"/>
          <w:b/>
          <w:color w:val="auto"/>
          <w:szCs w:val="24"/>
          <w:lang w:val="en-US"/>
        </w:rPr>
        <w:t xml:space="preserve">Percentage of patients with a sustained </w:t>
      </w:r>
      <w:proofErr w:type="spellStart"/>
      <w:r w:rsidR="00D46CF8" w:rsidRPr="00AA384A">
        <w:rPr>
          <w:rFonts w:ascii="Book Antiqua" w:hAnsi="Book Antiqua" w:cs="Arial"/>
          <w:b/>
          <w:color w:val="auto"/>
          <w:szCs w:val="24"/>
          <w:lang w:val="en-US"/>
        </w:rPr>
        <w:t>virologic</w:t>
      </w:r>
      <w:proofErr w:type="spellEnd"/>
      <w:r w:rsidR="00D46CF8" w:rsidRPr="00AA384A">
        <w:rPr>
          <w:rFonts w:ascii="Book Antiqua" w:hAnsi="Book Antiqua" w:cs="Arial"/>
          <w:b/>
          <w:color w:val="auto"/>
          <w:szCs w:val="24"/>
          <w:lang w:val="en-US"/>
        </w:rPr>
        <w:t xml:space="preserve"> response according to prior response to </w:t>
      </w:r>
      <w:proofErr w:type="spellStart"/>
      <w:r w:rsidR="00CC726B" w:rsidRPr="00CC726B">
        <w:rPr>
          <w:rFonts w:ascii="Book Antiqua" w:hAnsi="Book Antiqua"/>
          <w:b/>
          <w:color w:val="auto"/>
          <w:szCs w:val="24"/>
          <w:lang w:val="en-US"/>
        </w:rPr>
        <w:t>Peginterferon</w:t>
      </w:r>
      <w:proofErr w:type="spellEnd"/>
      <w:r w:rsidR="00CC726B" w:rsidRPr="00CC726B">
        <w:rPr>
          <w:rFonts w:ascii="Book Antiqua" w:hAnsi="Book Antiqua"/>
          <w:b/>
          <w:color w:val="auto"/>
          <w:szCs w:val="24"/>
          <w:lang w:val="en-US"/>
        </w:rPr>
        <w:t>-</w:t>
      </w:r>
      <w:r w:rsidR="00CC726B" w:rsidRPr="00CC726B">
        <w:rPr>
          <w:rFonts w:ascii="Book Antiqua" w:hAnsi="Book Antiqua" w:cs="Arial"/>
          <w:b/>
          <w:color w:val="auto"/>
          <w:szCs w:val="24"/>
          <w:lang w:val="en-US"/>
        </w:rPr>
        <w:sym w:font="Symbol" w:char="F061"/>
      </w:r>
      <w:r w:rsidR="00CC726B" w:rsidRPr="00CC726B">
        <w:rPr>
          <w:rFonts w:ascii="Book Antiqua" w:hAnsi="Book Antiqua"/>
          <w:b/>
          <w:color w:val="auto"/>
          <w:szCs w:val="24"/>
          <w:lang w:val="en-US"/>
        </w:rPr>
        <w:t>+Ribavirin</w:t>
      </w:r>
      <w:r w:rsidR="00CC726B" w:rsidRPr="00CC726B">
        <w:rPr>
          <w:rFonts w:ascii="Book Antiqua" w:hAnsi="Book Antiqua" w:cs="Arial"/>
          <w:b/>
          <w:color w:val="auto"/>
          <w:szCs w:val="24"/>
          <w:lang w:val="en-US"/>
        </w:rPr>
        <w:t xml:space="preserve"> </w:t>
      </w:r>
      <w:r w:rsidR="00D46CF8" w:rsidRPr="00AA384A">
        <w:rPr>
          <w:rFonts w:ascii="Book Antiqua" w:hAnsi="Book Antiqua" w:cs="Arial"/>
          <w:b/>
          <w:color w:val="auto"/>
          <w:szCs w:val="24"/>
          <w:lang w:val="en-US"/>
        </w:rPr>
        <w:t>treatment, level of fibrosis and viral load.</w:t>
      </w:r>
    </w:p>
    <w:p w:rsidR="00D46CF8" w:rsidRPr="00AA384A" w:rsidRDefault="005A6F29"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Pr>
          <w:rFonts w:ascii="Book Antiqua" w:hAnsi="Book Antiqua" w:cs="Arial"/>
          <w:noProof/>
          <w:color w:val="auto"/>
          <w:szCs w:val="24"/>
          <w:lang w:val="en-US" w:eastAsia="zh-CN"/>
        </w:rPr>
        <w:drawing>
          <wp:inline distT="0" distB="0" distL="0" distR="0" wp14:anchorId="3E0BF77C" wp14:editId="6C2236C5">
            <wp:extent cx="5398770" cy="2854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854325"/>
                    </a:xfrm>
                    <a:prstGeom prst="rect">
                      <a:avLst/>
                    </a:prstGeom>
                    <a:noFill/>
                    <a:ln>
                      <a:noFill/>
                    </a:ln>
                  </pic:spPr>
                </pic:pic>
              </a:graphicData>
            </a:graphic>
          </wp:inline>
        </w:drawing>
      </w:r>
      <w:r w:rsidR="00D46CF8" w:rsidRPr="00AA384A">
        <w:rPr>
          <w:rFonts w:ascii="Book Antiqua" w:hAnsi="Book Antiqua" w:cs="Arial"/>
          <w:color w:val="auto"/>
          <w:szCs w:val="24"/>
          <w:lang w:val="en-US"/>
        </w:rPr>
        <w:br w:type="page"/>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b/>
          <w:color w:val="auto"/>
          <w:szCs w:val="24"/>
          <w:lang w:val="en-US" w:eastAsia="zh-CN"/>
        </w:rPr>
      </w:pPr>
      <w:r w:rsidRPr="00AA384A">
        <w:rPr>
          <w:rFonts w:ascii="Book Antiqua" w:hAnsi="Book Antiqua" w:cs="Arial"/>
          <w:b/>
          <w:color w:val="auto"/>
          <w:szCs w:val="24"/>
          <w:lang w:val="en-US"/>
        </w:rPr>
        <w:lastRenderedPageBreak/>
        <w:t>Table 1</w:t>
      </w:r>
      <w:r w:rsidR="00825E60" w:rsidRPr="00AA384A">
        <w:rPr>
          <w:rFonts w:ascii="Book Antiqua" w:eastAsia="宋体" w:hAnsi="Book Antiqua" w:cs="Arial"/>
          <w:b/>
          <w:color w:val="auto"/>
          <w:szCs w:val="24"/>
          <w:lang w:val="en-US" w:eastAsia="zh-CN"/>
        </w:rPr>
        <w:t xml:space="preserve"> </w:t>
      </w:r>
      <w:r w:rsidRPr="00AA384A">
        <w:rPr>
          <w:rFonts w:ascii="Book Antiqua" w:hAnsi="Book Antiqua" w:cs="Arial"/>
          <w:b/>
          <w:color w:val="auto"/>
          <w:szCs w:val="24"/>
          <w:lang w:val="en-US"/>
        </w:rPr>
        <w:t xml:space="preserve">Demographic </w:t>
      </w:r>
      <w:proofErr w:type="gramStart"/>
      <w:r w:rsidRPr="00AA384A">
        <w:rPr>
          <w:rFonts w:ascii="Book Antiqua" w:hAnsi="Book Antiqua" w:cs="Arial"/>
          <w:b/>
          <w:color w:val="auto"/>
          <w:szCs w:val="24"/>
          <w:lang w:val="en-US"/>
        </w:rPr>
        <w:t>characteristics</w:t>
      </w:r>
      <w:proofErr w:type="gramEnd"/>
      <w:r w:rsidRPr="00AA384A">
        <w:rPr>
          <w:rFonts w:ascii="Book Antiqua" w:hAnsi="Book Antiqua" w:cs="Arial"/>
          <w:b/>
          <w:color w:val="auto"/>
          <w:szCs w:val="24"/>
          <w:lang w:val="en-US"/>
        </w:rPr>
        <w:t xml:space="preserve"> of the 56 patients at enrollment</w:t>
      </w:r>
      <w:r w:rsidR="00E62E7E" w:rsidRPr="00AA384A">
        <w:rPr>
          <w:rFonts w:ascii="Book Antiqua" w:eastAsia="宋体" w:hAnsi="Book Antiqua" w:cs="Arial"/>
          <w:b/>
          <w:color w:val="auto"/>
          <w:szCs w:val="24"/>
          <w:lang w:val="en-US" w:eastAsia="zh-CN"/>
        </w:rPr>
        <w:t xml:space="preserve"> </w:t>
      </w:r>
      <w:r w:rsidR="00E62E7E" w:rsidRPr="00AA384A">
        <w:rPr>
          <w:rFonts w:ascii="Book Antiqua" w:eastAsia="宋体" w:hAnsi="Book Antiqua" w:cs="宋体"/>
          <w:b/>
          <w:i/>
          <w:color w:val="auto"/>
          <w:szCs w:val="24"/>
          <w:lang w:eastAsia="zh-CN"/>
        </w:rPr>
        <w:t>n</w:t>
      </w:r>
      <w:r w:rsidR="00E62E7E" w:rsidRPr="00AA384A">
        <w:rPr>
          <w:rFonts w:ascii="Book Antiqua" w:eastAsia="宋体" w:hAnsi="Book Antiqua" w:cs="宋体"/>
          <w:b/>
          <w:color w:val="auto"/>
          <w:szCs w:val="24"/>
          <w:lang w:eastAsia="zh-CN"/>
        </w:rPr>
        <w:t xml:space="preserve"> (%)</w:t>
      </w:r>
    </w:p>
    <w:p w:rsidR="00825E60"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w:t>
      </w:r>
    </w:p>
    <w:tbl>
      <w:tblPr>
        <w:tblW w:w="8662" w:type="dxa"/>
        <w:tblInd w:w="93" w:type="dxa"/>
        <w:tblBorders>
          <w:top w:val="single" w:sz="8" w:space="0" w:color="000000"/>
          <w:bottom w:val="single" w:sz="8" w:space="0" w:color="000000"/>
        </w:tblBorders>
        <w:tblLook w:val="04A0" w:firstRow="1" w:lastRow="0" w:firstColumn="1" w:lastColumn="0" w:noHBand="0" w:noVBand="1"/>
      </w:tblPr>
      <w:tblGrid>
        <w:gridCol w:w="5423"/>
        <w:gridCol w:w="3239"/>
      </w:tblGrid>
      <w:tr w:rsidR="00E62E7E" w:rsidRPr="00AA384A" w:rsidTr="00E62E7E">
        <w:trPr>
          <w:trHeight w:hRule="exact" w:val="397"/>
        </w:trPr>
        <w:tc>
          <w:tcPr>
            <w:tcW w:w="0" w:type="auto"/>
            <w:vMerge w:val="restart"/>
            <w:tcBorders>
              <w:top w:val="single" w:sz="8" w:space="0" w:color="000000"/>
              <w:bottom w:val="single" w:sz="8" w:space="0" w:color="000000"/>
            </w:tcBorders>
            <w:shd w:val="clear" w:color="auto" w:fill="auto"/>
            <w:vAlign w:val="center"/>
            <w:hideMark/>
          </w:tcPr>
          <w:p w:rsidR="00825E60" w:rsidRPr="00AA384A" w:rsidRDefault="00825E60" w:rsidP="00AA384A">
            <w:pPr>
              <w:spacing w:line="360" w:lineRule="auto"/>
              <w:jc w:val="both"/>
              <w:rPr>
                <w:rFonts w:ascii="Book Antiqua" w:eastAsia="宋体" w:hAnsi="Book Antiqua" w:cs="宋体"/>
                <w:b/>
                <w:color w:val="auto"/>
                <w:lang w:eastAsia="zh-CN"/>
              </w:rPr>
            </w:pPr>
            <w:r w:rsidRPr="00AA384A">
              <w:rPr>
                <w:rFonts w:ascii="Book Antiqua" w:eastAsia="宋体" w:hAnsi="Book Antiqua" w:cs="宋体"/>
                <w:b/>
                <w:color w:val="auto"/>
                <w:lang w:eastAsia="zh-CN"/>
              </w:rPr>
              <w:t xml:space="preserve">  Variables</w:t>
            </w:r>
          </w:p>
        </w:tc>
        <w:tc>
          <w:tcPr>
            <w:tcW w:w="3239" w:type="dxa"/>
            <w:vMerge w:val="restart"/>
            <w:tcBorders>
              <w:top w:val="single" w:sz="8" w:space="0" w:color="000000"/>
              <w:bottom w:val="single" w:sz="8" w:space="0" w:color="000000"/>
            </w:tcBorders>
            <w:shd w:val="clear" w:color="auto" w:fill="auto"/>
            <w:vAlign w:val="center"/>
            <w:hideMark/>
          </w:tcPr>
          <w:p w:rsidR="00825E60" w:rsidRPr="00AA384A" w:rsidRDefault="00825E60" w:rsidP="00AA384A">
            <w:pPr>
              <w:spacing w:line="360" w:lineRule="auto"/>
              <w:jc w:val="both"/>
              <w:rPr>
                <w:rFonts w:ascii="Book Antiqua" w:eastAsia="宋体" w:hAnsi="Book Antiqua" w:cs="宋体"/>
                <w:b/>
                <w:color w:val="auto"/>
                <w:lang w:eastAsia="zh-CN"/>
              </w:rPr>
            </w:pPr>
            <w:r w:rsidRPr="00AA384A">
              <w:rPr>
                <w:rFonts w:ascii="Book Antiqua" w:eastAsia="宋体" w:hAnsi="Book Antiqua" w:cs="宋体"/>
                <w:b/>
                <w:color w:val="auto"/>
                <w:lang w:eastAsia="zh-CN"/>
              </w:rPr>
              <w:t xml:space="preserve">　</w:t>
            </w:r>
          </w:p>
        </w:tc>
      </w:tr>
      <w:tr w:rsidR="00825E60" w:rsidRPr="00AA384A" w:rsidTr="00E62E7E">
        <w:trPr>
          <w:trHeight w:val="447"/>
        </w:trPr>
        <w:tc>
          <w:tcPr>
            <w:tcW w:w="0" w:type="auto"/>
            <w:vMerge/>
            <w:tcBorders>
              <w:top w:val="nil"/>
              <w:bottom w:val="single" w:sz="8" w:space="0" w:color="000000"/>
            </w:tcBorders>
            <w:shd w:val="clear" w:color="auto" w:fill="auto"/>
            <w:vAlign w:val="center"/>
            <w:hideMark/>
          </w:tcPr>
          <w:p w:rsidR="00825E60" w:rsidRPr="00AA384A" w:rsidRDefault="00825E60" w:rsidP="00AA384A">
            <w:pPr>
              <w:spacing w:line="360" w:lineRule="auto"/>
              <w:rPr>
                <w:rFonts w:ascii="Book Antiqua" w:eastAsia="宋体" w:hAnsi="Book Antiqua" w:cs="宋体"/>
                <w:color w:val="auto"/>
                <w:lang w:eastAsia="zh-CN"/>
              </w:rPr>
            </w:pPr>
          </w:p>
        </w:tc>
        <w:tc>
          <w:tcPr>
            <w:tcW w:w="3239" w:type="dxa"/>
            <w:vMerge/>
            <w:tcBorders>
              <w:top w:val="nil"/>
              <w:bottom w:val="single" w:sz="8" w:space="0" w:color="000000"/>
            </w:tcBorders>
            <w:shd w:val="clear" w:color="auto" w:fill="auto"/>
            <w:vAlign w:val="center"/>
            <w:hideMark/>
          </w:tcPr>
          <w:p w:rsidR="00825E60" w:rsidRPr="00AA384A" w:rsidRDefault="00825E60" w:rsidP="00AA384A">
            <w:pPr>
              <w:spacing w:line="360" w:lineRule="auto"/>
              <w:rPr>
                <w:rFonts w:ascii="Book Antiqua" w:eastAsia="宋体" w:hAnsi="Book Antiqua" w:cs="宋体"/>
                <w:color w:val="auto"/>
                <w:lang w:eastAsia="zh-CN"/>
              </w:rPr>
            </w:pPr>
          </w:p>
        </w:tc>
      </w:tr>
      <w:tr w:rsidR="00E62E7E" w:rsidRPr="00AA384A" w:rsidTr="00E62E7E">
        <w:trPr>
          <w:trHeight w:hRule="exact" w:val="397"/>
        </w:trPr>
        <w:tc>
          <w:tcPr>
            <w:tcW w:w="0" w:type="auto"/>
            <w:tcBorders>
              <w:top w:val="single" w:sz="8" w:space="0" w:color="000000"/>
            </w:tcBorders>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Mean age, </w:t>
            </w:r>
            <w:r w:rsidR="00E62E7E" w:rsidRPr="00AA384A">
              <w:rPr>
                <w:rFonts w:ascii="Book Antiqua" w:eastAsia="宋体" w:hAnsi="Book Antiqua" w:cs="宋体"/>
                <w:color w:val="auto"/>
                <w:lang w:val="it-IT" w:eastAsia="zh-CN"/>
              </w:rPr>
              <w:t>Mean ± SD, yr,</w:t>
            </w:r>
          </w:p>
        </w:tc>
        <w:tc>
          <w:tcPr>
            <w:tcW w:w="3239" w:type="dxa"/>
            <w:tcBorders>
              <w:top w:val="single" w:sz="8" w:space="0" w:color="000000"/>
            </w:tcBorders>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56.8 ± 6.1</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eastAsia="zh-CN"/>
              </w:rPr>
              <w:t xml:space="preserve">  Mean age at menopause, </w:t>
            </w:r>
            <w:r w:rsidR="00E62E7E" w:rsidRPr="00AA384A">
              <w:rPr>
                <w:rFonts w:ascii="Book Antiqua" w:eastAsia="宋体" w:hAnsi="Book Antiqua" w:cs="宋体"/>
                <w:color w:val="auto"/>
                <w:lang w:val="it-IT" w:eastAsia="zh-CN"/>
              </w:rPr>
              <w:t>Mean ± SD, yr,</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49.3</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4.3</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en-GB" w:eastAsia="zh-CN"/>
              </w:rPr>
              <w:t xml:space="preserve">  Time from menopause,</w:t>
            </w:r>
            <w:r w:rsidR="00E62E7E" w:rsidRPr="00AA384A">
              <w:rPr>
                <w:rFonts w:ascii="Book Antiqua" w:eastAsia="宋体" w:hAnsi="Book Antiqua" w:cs="宋体"/>
                <w:color w:val="auto"/>
                <w:lang w:val="it-IT" w:eastAsia="zh-CN"/>
              </w:rPr>
              <w:t xml:space="preserve"> Mean ± SD, yr,</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en-GB" w:eastAsia="zh-CN"/>
              </w:rPr>
              <w:t>11.4</w:t>
            </w:r>
            <w:r w:rsidR="00E62E7E" w:rsidRPr="00AA384A">
              <w:rPr>
                <w:rFonts w:ascii="Book Antiqua" w:eastAsia="宋体" w:hAnsi="Book Antiqua" w:cs="宋体"/>
                <w:color w:val="auto"/>
                <w:lang w:val="en-GB" w:eastAsia="zh-CN"/>
              </w:rPr>
              <w:t xml:space="preserve"> </w:t>
            </w:r>
            <w:r w:rsidRPr="00AA384A">
              <w:rPr>
                <w:rFonts w:ascii="Book Antiqua" w:eastAsia="宋体" w:hAnsi="Book Antiqua" w:cs="宋体"/>
                <w:color w:val="auto"/>
                <w:lang w:val="en-GB" w:eastAsia="zh-CN"/>
              </w:rPr>
              <w:t>±</w:t>
            </w:r>
            <w:r w:rsidR="00E62E7E" w:rsidRPr="00AA384A">
              <w:rPr>
                <w:rFonts w:ascii="Book Antiqua" w:eastAsia="宋体" w:hAnsi="Book Antiqua" w:cs="宋体"/>
                <w:color w:val="auto"/>
                <w:lang w:val="en-GB" w:eastAsia="zh-CN"/>
              </w:rPr>
              <w:t xml:space="preserve"> </w:t>
            </w:r>
            <w:r w:rsidRPr="00AA384A">
              <w:rPr>
                <w:rFonts w:ascii="Book Antiqua" w:eastAsia="宋体" w:hAnsi="Book Antiqua" w:cs="宋体"/>
                <w:color w:val="auto"/>
                <w:lang w:val="en-GB" w:eastAsia="zh-CN"/>
              </w:rPr>
              <w:t>6.1</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Previous response</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Relapse</w:t>
            </w:r>
          </w:p>
        </w:tc>
        <w:tc>
          <w:tcPr>
            <w:tcW w:w="3239" w:type="dxa"/>
            <w:shd w:val="clear" w:color="auto" w:fill="auto"/>
            <w:vAlign w:val="center"/>
            <w:hideMark/>
          </w:tcPr>
          <w:p w:rsidR="00825E60" w:rsidRPr="00AA384A" w:rsidRDefault="00E62E7E"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29 (51.8</w:t>
            </w:r>
            <w:r w:rsidR="00825E60" w:rsidRPr="00AA384A">
              <w:rPr>
                <w:rFonts w:ascii="Book Antiqua" w:eastAsia="宋体" w:hAnsi="Book Antiqua" w:cs="宋体"/>
                <w:color w:val="auto"/>
                <w:lang w:val="it-IT" w:eastAsia="zh-CN"/>
              </w:rPr>
              <w:t>)</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Non response</w:t>
            </w:r>
          </w:p>
        </w:tc>
        <w:tc>
          <w:tcPr>
            <w:tcW w:w="3239" w:type="dxa"/>
            <w:shd w:val="clear" w:color="auto" w:fill="auto"/>
            <w:vAlign w:val="center"/>
            <w:hideMark/>
          </w:tcPr>
          <w:p w:rsidR="00825E60" w:rsidRPr="00AA384A" w:rsidRDefault="00E62E7E"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23 (41.1</w:t>
            </w:r>
            <w:r w:rsidR="00825E60" w:rsidRPr="00AA384A">
              <w:rPr>
                <w:rFonts w:ascii="Book Antiqua" w:eastAsia="宋体" w:hAnsi="Book Antiqua" w:cs="宋体"/>
                <w:color w:val="auto"/>
                <w:lang w:val="it-IT" w:eastAsia="zh-CN"/>
              </w:rPr>
              <w:t>)</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Null response</w:t>
            </w:r>
          </w:p>
        </w:tc>
        <w:tc>
          <w:tcPr>
            <w:tcW w:w="3239" w:type="dxa"/>
            <w:shd w:val="clear" w:color="auto" w:fill="auto"/>
            <w:vAlign w:val="center"/>
            <w:hideMark/>
          </w:tcPr>
          <w:p w:rsidR="00825E60" w:rsidRPr="00AA384A" w:rsidRDefault="00E62E7E"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4 (7.1</w:t>
            </w:r>
            <w:r w:rsidR="00825E60" w:rsidRPr="00AA384A">
              <w:rPr>
                <w:rFonts w:ascii="Book Antiqua" w:eastAsia="宋体" w:hAnsi="Book Antiqua" w:cs="宋体"/>
                <w:color w:val="auto"/>
                <w:lang w:val="it-IT" w:eastAsia="zh-CN"/>
              </w:rPr>
              <w:t>)</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Grading</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5.1</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2.4</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Staging</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2.3</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1.3</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Cirrhosis</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21 (37.5)</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Stiffness</w:t>
            </w:r>
            <w:r w:rsidR="00E62E7E" w:rsidRPr="00AA384A">
              <w:rPr>
                <w:rFonts w:ascii="Book Antiqua" w:eastAsia="宋体" w:hAnsi="Book Antiqua" w:cs="宋体"/>
                <w:color w:val="auto"/>
                <w:lang w:val="it-IT" w:eastAsia="zh-CN"/>
              </w:rPr>
              <w:t>, Kpa</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10.3</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7.1</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BMI, </w:t>
            </w:r>
            <w:r w:rsidR="00E62E7E" w:rsidRPr="00AA384A">
              <w:rPr>
                <w:rFonts w:ascii="Book Antiqua" w:eastAsia="宋体" w:hAnsi="Book Antiqua" w:cs="宋体"/>
                <w:color w:val="auto"/>
                <w:lang w:val="it-IT" w:eastAsia="zh-CN"/>
              </w:rPr>
              <w:t>Mean ± SD</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26.2</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4.0</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eastAsia="zh-CN"/>
              </w:rPr>
              <w:t xml:space="preserve">  Blood Glucose, </w:t>
            </w:r>
            <w:r w:rsidR="00E62E7E" w:rsidRPr="00AA384A">
              <w:rPr>
                <w:rFonts w:ascii="Book Antiqua" w:eastAsia="宋体" w:hAnsi="Book Antiqua" w:cs="宋体"/>
                <w:color w:val="auto"/>
                <w:lang w:val="it-IT" w:eastAsia="zh-CN"/>
              </w:rPr>
              <w:t xml:space="preserve">Mean ± SD, </w:t>
            </w:r>
            <w:r w:rsidR="00E62E7E" w:rsidRPr="00AA384A">
              <w:rPr>
                <w:rFonts w:ascii="Book Antiqua" w:eastAsia="宋体" w:hAnsi="Book Antiqua" w:cs="宋体"/>
                <w:color w:val="auto"/>
                <w:lang w:eastAsia="zh-CN"/>
              </w:rPr>
              <w:t>mg/</w:t>
            </w:r>
            <w:proofErr w:type="spellStart"/>
            <w:r w:rsidR="00E62E7E" w:rsidRPr="00AA384A">
              <w:rPr>
                <w:rFonts w:ascii="Book Antiqua" w:eastAsia="宋体" w:hAnsi="Book Antiqua" w:cs="宋体"/>
                <w:color w:val="auto"/>
                <w:lang w:eastAsia="zh-CN"/>
              </w:rPr>
              <w:t>dL</w:t>
            </w:r>
            <w:proofErr w:type="spellEnd"/>
            <w:r w:rsidR="00E62E7E" w:rsidRPr="00AA384A">
              <w:rPr>
                <w:rFonts w:ascii="Book Antiqua" w:eastAsia="宋体" w:hAnsi="Book Antiqua" w:cs="宋体"/>
                <w:color w:val="auto"/>
                <w:lang w:eastAsia="zh-CN"/>
              </w:rPr>
              <w:t>,</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101</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22</w:t>
            </w:r>
          </w:p>
        </w:tc>
      </w:tr>
      <w:tr w:rsidR="00E62E7E" w:rsidRPr="00AA384A" w:rsidTr="00E62E7E">
        <w:trPr>
          <w:trHeight w:hRule="exact" w:val="397"/>
        </w:trPr>
        <w:tc>
          <w:tcPr>
            <w:tcW w:w="0" w:type="auto"/>
            <w:shd w:val="clear" w:color="auto" w:fill="auto"/>
            <w:vAlign w:val="center"/>
            <w:hideMark/>
          </w:tcPr>
          <w:p w:rsidR="00825E60" w:rsidRPr="00AA384A" w:rsidRDefault="00E62E7E"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Insulin_base, U/mL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9.9</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7.9</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HOMA score</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2.5</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1.5</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Blood Iron</w:t>
            </w:r>
            <w:r w:rsidR="00E62E7E" w:rsidRPr="00AA384A">
              <w:rPr>
                <w:rFonts w:ascii="Book Antiqua" w:eastAsia="宋体" w:hAnsi="Book Antiqua" w:cs="宋体"/>
                <w:color w:val="auto"/>
                <w:lang w:val="it-IT" w:eastAsia="zh-CN"/>
              </w:rPr>
              <w:t>, μg/dL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128</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87</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Hb</w:t>
            </w:r>
            <w:r w:rsidR="00E62E7E" w:rsidRPr="00AA384A">
              <w:rPr>
                <w:rFonts w:ascii="Book Antiqua" w:eastAsia="宋体" w:hAnsi="Book Antiqua" w:cs="宋体"/>
                <w:color w:val="auto"/>
                <w:lang w:val="it-IT" w:eastAsia="zh-CN"/>
              </w:rPr>
              <w:t>, g%</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13.</w:t>
            </w:r>
            <w:r w:rsidR="00E62E7E" w:rsidRPr="00AA384A">
              <w:rPr>
                <w:rFonts w:ascii="Book Antiqua" w:eastAsia="宋体" w:hAnsi="Book Antiqua" w:cs="宋体"/>
                <w:color w:val="auto"/>
                <w:lang w:val="it-IT" w:eastAsia="zh-CN"/>
              </w:rPr>
              <w:t xml:space="preserve">0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2.2</w:t>
            </w:r>
          </w:p>
        </w:tc>
      </w:tr>
      <w:tr w:rsidR="00E62E7E" w:rsidRPr="00AA384A" w:rsidTr="00E62E7E">
        <w:trPr>
          <w:trHeight w:hRule="exact" w:val="397"/>
        </w:trPr>
        <w:tc>
          <w:tcPr>
            <w:tcW w:w="0" w:type="auto"/>
            <w:shd w:val="clear" w:color="auto" w:fill="auto"/>
            <w:vAlign w:val="center"/>
            <w:hideMark/>
          </w:tcPr>
          <w:p w:rsidR="00825E60" w:rsidRPr="00AA384A" w:rsidRDefault="00E62E7E"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WBC, K/µL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4.9</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1.4</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Neutrophils</w:t>
            </w:r>
            <w:r w:rsidR="00E62E7E" w:rsidRPr="00AA384A">
              <w:rPr>
                <w:rFonts w:ascii="Book Antiqua" w:eastAsia="宋体" w:hAnsi="Book Antiqua" w:cs="宋体"/>
                <w:color w:val="auto"/>
                <w:lang w:val="it-IT" w:eastAsia="zh-CN"/>
              </w:rPr>
              <w:t>, K/µL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2.5</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0.9</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Platelets</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10</w:t>
            </w:r>
            <w:r w:rsidRPr="00AA384A">
              <w:rPr>
                <w:rFonts w:ascii="Book Antiqua" w:eastAsia="宋体" w:hAnsi="Book Antiqua" w:cs="宋体"/>
                <w:color w:val="auto"/>
                <w:vertAlign w:val="superscript"/>
                <w:lang w:val="it-IT" w:eastAsia="zh-CN"/>
              </w:rPr>
              <w:t>3</w:t>
            </w:r>
            <w:r w:rsidRPr="00AA384A">
              <w:rPr>
                <w:rFonts w:ascii="Book Antiqua" w:eastAsia="宋体" w:hAnsi="Book Antiqua" w:cs="宋体"/>
                <w:color w:val="auto"/>
                <w:lang w:val="it-IT" w:eastAsia="zh-CN"/>
              </w:rPr>
              <w:t>/mm</w:t>
            </w:r>
            <w:r w:rsidRPr="00AA384A">
              <w:rPr>
                <w:rFonts w:ascii="Book Antiqua" w:eastAsia="宋体" w:hAnsi="Book Antiqua" w:cs="宋体"/>
                <w:color w:val="auto"/>
                <w:vertAlign w:val="superscript"/>
                <w:lang w:val="it-IT" w:eastAsia="zh-CN"/>
              </w:rPr>
              <w:t>3</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206</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78</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BUN</w:t>
            </w:r>
            <w:r w:rsidR="00E62E7E" w:rsidRPr="00AA384A">
              <w:rPr>
                <w:rFonts w:ascii="Book Antiqua" w:eastAsia="宋体" w:hAnsi="Book Antiqua" w:cs="宋体"/>
                <w:color w:val="auto"/>
                <w:lang w:val="it-IT" w:eastAsia="zh-CN"/>
              </w:rPr>
              <w:t>, mg/dL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36</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11</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Creatinine</w:t>
            </w:r>
            <w:r w:rsidR="00E62E7E" w:rsidRPr="00AA384A">
              <w:rPr>
                <w:rFonts w:ascii="Book Antiqua" w:eastAsia="宋体" w:hAnsi="Book Antiqua" w:cs="宋体"/>
                <w:color w:val="auto"/>
                <w:lang w:val="it-IT" w:eastAsia="zh-CN"/>
              </w:rPr>
              <w:t>, mg/dL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0.7</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0.1</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AST</w:t>
            </w:r>
            <w:r w:rsidR="00E62E7E" w:rsidRPr="00AA384A">
              <w:rPr>
                <w:rFonts w:ascii="Book Antiqua" w:eastAsia="宋体" w:hAnsi="Book Antiqua" w:cs="宋体"/>
                <w:color w:val="auto"/>
                <w:lang w:val="it-IT" w:eastAsia="zh-CN"/>
              </w:rPr>
              <w:t>, IU/L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58</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24</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ALT</w:t>
            </w:r>
            <w:r w:rsidR="00E62E7E" w:rsidRPr="00AA384A">
              <w:rPr>
                <w:rFonts w:ascii="Book Antiqua" w:eastAsia="宋体" w:hAnsi="Book Antiqua" w:cs="宋体"/>
                <w:color w:val="auto"/>
                <w:lang w:val="it-IT" w:eastAsia="zh-CN"/>
              </w:rPr>
              <w:t>, IU/L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66</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27</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ALP</w:t>
            </w:r>
            <w:r w:rsidR="00E62E7E" w:rsidRPr="00AA384A">
              <w:rPr>
                <w:rFonts w:ascii="Book Antiqua" w:eastAsia="宋体" w:hAnsi="Book Antiqua" w:cs="宋体"/>
                <w:color w:val="auto"/>
                <w:lang w:val="it-IT" w:eastAsia="zh-CN"/>
              </w:rPr>
              <w:t>, IU/L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95</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28</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Gamma-GT</w:t>
            </w:r>
            <w:r w:rsidR="00E62E7E" w:rsidRPr="00AA384A">
              <w:rPr>
                <w:rFonts w:ascii="Book Antiqua" w:eastAsia="宋体" w:hAnsi="Book Antiqua" w:cs="宋体"/>
                <w:color w:val="auto"/>
                <w:lang w:val="it-IT" w:eastAsia="zh-CN"/>
              </w:rPr>
              <w:t>, IU/L</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45</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15</w:t>
            </w:r>
          </w:p>
        </w:tc>
      </w:tr>
      <w:tr w:rsidR="00E62E7E" w:rsidRPr="00AA384A" w:rsidTr="00E62E7E">
        <w:trPr>
          <w:trHeight w:hRule="exact" w:val="397"/>
        </w:trPr>
        <w:tc>
          <w:tcPr>
            <w:tcW w:w="0" w:type="auto"/>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 xml:space="preserve">  HCV RNA</w:t>
            </w:r>
            <w:r w:rsidR="00E62E7E" w:rsidRPr="00AA384A">
              <w:rPr>
                <w:rFonts w:ascii="Book Antiqua" w:eastAsia="宋体" w:hAnsi="Book Antiqua" w:cs="宋体"/>
                <w:color w:val="auto"/>
                <w:lang w:val="it-IT" w:eastAsia="zh-CN"/>
              </w:rPr>
              <w:t>, IU/mL,</w:t>
            </w:r>
            <w:r w:rsidRPr="00AA384A">
              <w:rPr>
                <w:rFonts w:ascii="Book Antiqua" w:eastAsia="宋体" w:hAnsi="Book Antiqua" w:cs="宋体"/>
                <w:color w:val="auto"/>
                <w:lang w:val="it-IT" w:eastAsia="zh-CN"/>
              </w:rPr>
              <w:t xml:space="preserve"> 10</w:t>
            </w:r>
            <w:r w:rsidRPr="00AA384A">
              <w:rPr>
                <w:rFonts w:ascii="Book Antiqua" w:eastAsia="宋体" w:hAnsi="Book Antiqua" w:cs="宋体"/>
                <w:color w:val="auto"/>
                <w:vertAlign w:val="superscript"/>
                <w:lang w:val="it-IT" w:eastAsia="zh-CN"/>
              </w:rPr>
              <w:t>3</w:t>
            </w:r>
          </w:p>
        </w:tc>
        <w:tc>
          <w:tcPr>
            <w:tcW w:w="3239" w:type="dxa"/>
            <w:shd w:val="clear" w:color="auto" w:fill="auto"/>
            <w:vAlign w:val="center"/>
            <w:hideMark/>
          </w:tcPr>
          <w:p w:rsidR="00825E60" w:rsidRPr="00AA384A" w:rsidRDefault="00825E60" w:rsidP="00AA384A">
            <w:pPr>
              <w:spacing w:line="360" w:lineRule="auto"/>
              <w:jc w:val="both"/>
              <w:rPr>
                <w:rFonts w:ascii="Book Antiqua" w:eastAsia="宋体" w:hAnsi="Book Antiqua" w:cs="宋体"/>
                <w:color w:val="auto"/>
                <w:lang w:eastAsia="zh-CN"/>
              </w:rPr>
            </w:pPr>
            <w:r w:rsidRPr="00AA384A">
              <w:rPr>
                <w:rFonts w:ascii="Book Antiqua" w:eastAsia="宋体" w:hAnsi="Book Antiqua" w:cs="宋体"/>
                <w:color w:val="auto"/>
                <w:lang w:val="it-IT" w:eastAsia="zh-CN"/>
              </w:rPr>
              <w:t>1.440</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w:t>
            </w:r>
            <w:r w:rsidR="00E62E7E" w:rsidRPr="00AA384A">
              <w:rPr>
                <w:rFonts w:ascii="Book Antiqua" w:eastAsia="宋体" w:hAnsi="Book Antiqua" w:cs="宋体"/>
                <w:color w:val="auto"/>
                <w:lang w:val="it-IT" w:eastAsia="zh-CN"/>
              </w:rPr>
              <w:t xml:space="preserve"> </w:t>
            </w:r>
            <w:r w:rsidRPr="00AA384A">
              <w:rPr>
                <w:rFonts w:ascii="Book Antiqua" w:eastAsia="宋体" w:hAnsi="Book Antiqua" w:cs="宋体"/>
                <w:color w:val="auto"/>
                <w:lang w:val="it-IT" w:eastAsia="zh-CN"/>
              </w:rPr>
              <w:t>1.178</w:t>
            </w:r>
          </w:p>
        </w:tc>
      </w:tr>
    </w:tbl>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color w:val="auto"/>
          <w:szCs w:val="24"/>
          <w:lang w:val="en-US"/>
        </w:rPr>
        <w:br w:type="page"/>
      </w:r>
      <w:r w:rsidRPr="00AA384A">
        <w:rPr>
          <w:rFonts w:ascii="Book Antiqua" w:hAnsi="Book Antiqua" w:cs="Arial"/>
          <w:b/>
          <w:color w:val="auto"/>
          <w:szCs w:val="24"/>
          <w:lang w:val="en-US"/>
        </w:rPr>
        <w:lastRenderedPageBreak/>
        <w:t>Table 2</w:t>
      </w:r>
      <w:r w:rsidR="00E62E7E" w:rsidRPr="00AA384A">
        <w:rPr>
          <w:rFonts w:ascii="Book Antiqua" w:eastAsia="宋体" w:hAnsi="Book Antiqua" w:cs="Arial"/>
          <w:b/>
          <w:color w:val="auto"/>
          <w:szCs w:val="24"/>
          <w:lang w:val="en-US" w:eastAsia="zh-CN"/>
        </w:rPr>
        <w:t xml:space="preserve"> </w:t>
      </w:r>
      <w:proofErr w:type="spellStart"/>
      <w:r w:rsidRPr="00AA384A">
        <w:rPr>
          <w:rFonts w:ascii="Book Antiqua" w:hAnsi="Book Antiqua" w:cs="Arial"/>
          <w:b/>
          <w:color w:val="auto"/>
          <w:szCs w:val="24"/>
          <w:lang w:val="en-US"/>
        </w:rPr>
        <w:t>Univariate</w:t>
      </w:r>
      <w:proofErr w:type="spellEnd"/>
      <w:r w:rsidRPr="00AA384A">
        <w:rPr>
          <w:rFonts w:ascii="Book Antiqua" w:hAnsi="Book Antiqua" w:cs="Arial"/>
          <w:b/>
          <w:color w:val="auto"/>
          <w:szCs w:val="24"/>
          <w:lang w:val="en-US"/>
        </w:rPr>
        <w:t xml:space="preserve"> and multivariate analysis for factors predicting SVR</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tbl>
      <w:tblPr>
        <w:tblW w:w="9071" w:type="dxa"/>
        <w:tblInd w:w="-324" w:type="dxa"/>
        <w:tblBorders>
          <w:top w:val="single" w:sz="4" w:space="0" w:color="000000"/>
          <w:bottom w:val="single" w:sz="4" w:space="0" w:color="000000"/>
        </w:tblBorders>
        <w:tblLayout w:type="fixed"/>
        <w:tblLook w:val="0000" w:firstRow="0" w:lastRow="0" w:firstColumn="0" w:lastColumn="0" w:noHBand="0" w:noVBand="0"/>
      </w:tblPr>
      <w:tblGrid>
        <w:gridCol w:w="2267"/>
        <w:gridCol w:w="3544"/>
        <w:gridCol w:w="3260"/>
      </w:tblGrid>
      <w:tr w:rsidR="00D46CF8" w:rsidRPr="00AA384A" w:rsidTr="00E62E7E">
        <w:trPr>
          <w:cantSplit/>
          <w:trHeight w:val="520"/>
          <w:tblHeader/>
        </w:trPr>
        <w:tc>
          <w:tcPr>
            <w:tcW w:w="2267" w:type="dxa"/>
            <w:tcBorders>
              <w:top w:val="single" w:sz="4" w:space="0" w:color="000000"/>
              <w:bottom w:val="single" w:sz="4" w:space="0" w:color="000000"/>
            </w:tcBorders>
            <w:shd w:val="clear" w:color="auto" w:fill="auto"/>
            <w:tcMar>
              <w:top w:w="100" w:type="dxa"/>
              <w:left w:w="100" w:type="dxa"/>
              <w:bottom w:w="100" w:type="dxa"/>
              <w:right w:w="100" w:type="dxa"/>
            </w:tcMar>
          </w:tcPr>
          <w:p w:rsidR="00D46CF8" w:rsidRPr="00AA384A" w:rsidRDefault="00D46CF8" w:rsidP="00AA384A">
            <w:pPr>
              <w:pStyle w:val="Heading21"/>
              <w:spacing w:line="360" w:lineRule="auto"/>
              <w:jc w:val="both"/>
              <w:rPr>
                <w:rFonts w:ascii="Book Antiqua" w:hAnsi="Book Antiqua" w:cs="Arial"/>
                <w:color w:val="auto"/>
                <w:szCs w:val="24"/>
              </w:rPr>
            </w:pPr>
            <w:r w:rsidRPr="00AA384A">
              <w:rPr>
                <w:rFonts w:ascii="Book Antiqua" w:hAnsi="Book Antiqua" w:cs="Arial"/>
                <w:color w:val="auto"/>
                <w:szCs w:val="24"/>
              </w:rPr>
              <w:t>Variables</w:t>
            </w:r>
          </w:p>
        </w:tc>
        <w:tc>
          <w:tcPr>
            <w:tcW w:w="3544" w:type="dxa"/>
            <w:tcBorders>
              <w:top w:val="single" w:sz="4" w:space="0" w:color="000000"/>
              <w:bottom w:val="single" w:sz="4" w:space="0" w:color="000000"/>
            </w:tcBorders>
            <w:shd w:val="clear" w:color="auto" w:fill="auto"/>
            <w:tcMar>
              <w:top w:w="100" w:type="dxa"/>
              <w:left w:w="100" w:type="dxa"/>
              <w:bottom w:w="100" w:type="dxa"/>
              <w:right w:w="100" w:type="dxa"/>
            </w:tcMar>
          </w:tcPr>
          <w:p w:rsidR="00D46CF8" w:rsidRPr="00AA384A" w:rsidRDefault="00D46CF8" w:rsidP="00AA384A">
            <w:pPr>
              <w:pStyle w:val="Heading21"/>
              <w:spacing w:line="360" w:lineRule="auto"/>
              <w:jc w:val="both"/>
              <w:rPr>
                <w:rFonts w:ascii="Book Antiqua" w:hAnsi="Book Antiqua" w:cs="Arial"/>
                <w:color w:val="auto"/>
                <w:szCs w:val="24"/>
              </w:rPr>
            </w:pPr>
            <w:proofErr w:type="spellStart"/>
            <w:r w:rsidRPr="00AA384A">
              <w:rPr>
                <w:rFonts w:ascii="Book Antiqua" w:hAnsi="Book Antiqua" w:cs="Arial"/>
                <w:color w:val="auto"/>
                <w:szCs w:val="24"/>
              </w:rPr>
              <w:t>Univariate</w:t>
            </w:r>
            <w:proofErr w:type="spellEnd"/>
            <w:r w:rsidRPr="00AA384A">
              <w:rPr>
                <w:rFonts w:ascii="Book Antiqua" w:hAnsi="Book Antiqua" w:cs="Arial"/>
                <w:color w:val="auto"/>
                <w:szCs w:val="24"/>
              </w:rPr>
              <w:t xml:space="preserve"> </w:t>
            </w:r>
            <w:r w:rsidR="00E62E7E" w:rsidRPr="00AA384A">
              <w:rPr>
                <w:rFonts w:ascii="Book Antiqua" w:hAnsi="Book Antiqua" w:cs="Arial"/>
                <w:color w:val="auto"/>
                <w:szCs w:val="24"/>
              </w:rPr>
              <w:t>analysis</w:t>
            </w:r>
          </w:p>
          <w:p w:rsidR="00D46CF8" w:rsidRPr="00AA384A" w:rsidRDefault="00E62E7E" w:rsidP="00AA384A">
            <w:pPr>
              <w:pStyle w:val="Heading21"/>
              <w:spacing w:line="360" w:lineRule="auto"/>
              <w:jc w:val="both"/>
              <w:rPr>
                <w:rFonts w:ascii="Book Antiqua" w:hAnsi="Book Antiqua" w:cs="Arial"/>
                <w:color w:val="auto"/>
                <w:szCs w:val="24"/>
              </w:rPr>
            </w:pPr>
            <w:r w:rsidRPr="00AA384A">
              <w:rPr>
                <w:rFonts w:ascii="Book Antiqua" w:hAnsi="Book Antiqua" w:cs="Arial"/>
                <w:color w:val="auto"/>
                <w:szCs w:val="24"/>
              </w:rPr>
              <w:t xml:space="preserve">OR (95% CI) </w:t>
            </w:r>
            <w:r w:rsidRPr="00AA384A">
              <w:rPr>
                <w:rFonts w:ascii="Book Antiqua" w:hAnsi="Book Antiqua" w:cs="Arial"/>
                <w:i/>
                <w:color w:val="auto"/>
                <w:szCs w:val="24"/>
              </w:rPr>
              <w:t>P</w:t>
            </w:r>
            <w:r w:rsidR="00D46CF8" w:rsidRPr="00AA384A">
              <w:rPr>
                <w:rFonts w:ascii="Book Antiqua" w:hAnsi="Book Antiqua" w:cs="Arial"/>
                <w:color w:val="auto"/>
                <w:szCs w:val="24"/>
              </w:rPr>
              <w:t xml:space="preserve"> value</w:t>
            </w:r>
          </w:p>
        </w:tc>
        <w:tc>
          <w:tcPr>
            <w:tcW w:w="3260" w:type="dxa"/>
            <w:tcBorders>
              <w:top w:val="single" w:sz="4" w:space="0" w:color="000000"/>
              <w:bottom w:val="single" w:sz="4" w:space="0" w:color="000000"/>
            </w:tcBorders>
            <w:shd w:val="clear" w:color="auto" w:fill="auto"/>
            <w:tcMar>
              <w:top w:w="100" w:type="dxa"/>
              <w:left w:w="100" w:type="dxa"/>
              <w:bottom w:w="100" w:type="dxa"/>
              <w:right w:w="100" w:type="dxa"/>
            </w:tcMar>
          </w:tcPr>
          <w:p w:rsidR="00D46CF8" w:rsidRPr="00AA384A" w:rsidRDefault="00D46CF8" w:rsidP="00AA384A">
            <w:pPr>
              <w:pStyle w:val="Heading21"/>
              <w:spacing w:line="360" w:lineRule="auto"/>
              <w:jc w:val="both"/>
              <w:rPr>
                <w:rFonts w:ascii="Book Antiqua" w:hAnsi="Book Antiqua" w:cs="Arial"/>
                <w:color w:val="auto"/>
                <w:szCs w:val="24"/>
              </w:rPr>
            </w:pPr>
            <w:r w:rsidRPr="00AA384A">
              <w:rPr>
                <w:rFonts w:ascii="Book Antiqua" w:hAnsi="Book Antiqua" w:cs="Arial"/>
                <w:color w:val="auto"/>
                <w:szCs w:val="24"/>
              </w:rPr>
              <w:t xml:space="preserve">Multivariate </w:t>
            </w:r>
            <w:r w:rsidR="00E62E7E" w:rsidRPr="00AA384A">
              <w:rPr>
                <w:rFonts w:ascii="Book Antiqua" w:hAnsi="Book Antiqua" w:cs="Arial"/>
                <w:color w:val="auto"/>
                <w:szCs w:val="24"/>
              </w:rPr>
              <w:t>analysis</w:t>
            </w:r>
          </w:p>
          <w:p w:rsidR="00D46CF8" w:rsidRPr="00AA384A" w:rsidRDefault="00E62E7E" w:rsidP="00AA384A">
            <w:pPr>
              <w:pStyle w:val="Heading21"/>
              <w:spacing w:line="360" w:lineRule="auto"/>
              <w:jc w:val="both"/>
              <w:rPr>
                <w:rFonts w:ascii="Book Antiqua" w:hAnsi="Book Antiqua" w:cs="Arial"/>
                <w:color w:val="auto"/>
                <w:szCs w:val="24"/>
              </w:rPr>
            </w:pPr>
            <w:r w:rsidRPr="00AA384A">
              <w:rPr>
                <w:rFonts w:ascii="Book Antiqua" w:hAnsi="Book Antiqua" w:cs="Arial"/>
                <w:color w:val="auto"/>
                <w:szCs w:val="24"/>
              </w:rPr>
              <w:t xml:space="preserve">OR (95% CI) </w:t>
            </w:r>
            <w:r w:rsidRPr="00AA384A">
              <w:rPr>
                <w:rFonts w:ascii="Book Antiqua" w:hAnsi="Book Antiqua" w:cs="Arial"/>
                <w:i/>
                <w:color w:val="auto"/>
                <w:szCs w:val="24"/>
              </w:rPr>
              <w:t>P</w:t>
            </w:r>
            <w:r w:rsidR="00D46CF8" w:rsidRPr="00AA384A">
              <w:rPr>
                <w:rFonts w:ascii="Book Antiqua" w:hAnsi="Book Antiqua" w:cs="Arial"/>
                <w:color w:val="auto"/>
                <w:szCs w:val="24"/>
              </w:rPr>
              <w:t xml:space="preserve"> value</w:t>
            </w:r>
          </w:p>
        </w:tc>
      </w:tr>
      <w:tr w:rsidR="00D46CF8" w:rsidRPr="00AA384A" w:rsidTr="00E62E7E">
        <w:trPr>
          <w:cantSplit/>
          <w:trHeight w:val="260"/>
        </w:trPr>
        <w:tc>
          <w:tcPr>
            <w:tcW w:w="2267" w:type="dxa"/>
            <w:tcBorders>
              <w:top w:val="single" w:sz="4" w:space="0" w:color="000000"/>
            </w:tcBorders>
            <w:shd w:val="clear" w:color="auto" w:fill="auto"/>
          </w:tcPr>
          <w:p w:rsidR="00D46CF8" w:rsidRPr="00AA384A" w:rsidRDefault="00D46CF8" w:rsidP="00AA384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both"/>
              <w:rPr>
                <w:rFonts w:ascii="Book Antiqua" w:hAnsi="Book Antiqua" w:cs="Arial"/>
                <w:color w:val="auto"/>
              </w:rPr>
            </w:pPr>
            <w:r w:rsidRPr="00AA384A">
              <w:rPr>
                <w:rFonts w:ascii="Book Antiqua" w:hAnsi="Book Antiqua" w:cs="Arial"/>
                <w:color w:val="auto"/>
              </w:rPr>
              <w:t>Age (</w:t>
            </w:r>
            <w:proofErr w:type="spellStart"/>
            <w:r w:rsidR="00E62E7E" w:rsidRPr="00AA384A">
              <w:rPr>
                <w:rFonts w:ascii="Book Antiqua" w:hAnsi="Book Antiqua" w:cs="Arial"/>
                <w:color w:val="auto"/>
              </w:rPr>
              <w:t>yr</w:t>
            </w:r>
            <w:proofErr w:type="spellEnd"/>
            <w:r w:rsidRPr="00AA384A">
              <w:rPr>
                <w:rFonts w:ascii="Book Antiqua" w:hAnsi="Book Antiqua" w:cs="Arial"/>
                <w:color w:val="auto"/>
              </w:rPr>
              <w:t>)</w:t>
            </w:r>
          </w:p>
        </w:tc>
        <w:tc>
          <w:tcPr>
            <w:tcW w:w="3544" w:type="dxa"/>
            <w:tcBorders>
              <w:top w:val="single" w:sz="4" w:space="0" w:color="000000"/>
            </w:tcBorders>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1.006 (0.916-1.105)    0.900</w:t>
            </w:r>
          </w:p>
        </w:tc>
        <w:tc>
          <w:tcPr>
            <w:tcW w:w="3260" w:type="dxa"/>
            <w:tcBorders>
              <w:top w:val="single" w:sz="4" w:space="0" w:color="000000"/>
            </w:tcBorders>
            <w:shd w:val="clear" w:color="auto" w:fill="auto"/>
            <w:tcMar>
              <w:top w:w="0" w:type="dxa"/>
              <w:left w:w="0" w:type="dxa"/>
              <w:bottom w:w="0" w:type="dxa"/>
              <w:right w:w="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Age at menopause</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1.150 (0.931-1.450)    0.195</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Previous Response</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2.662 (0.957-6.881)    0.043</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2.927 (0.931-9.206)  0.066</w:t>
            </w: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Histological Grading</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0.894 (0.605-1.322)    0.576</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Histological Staging</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0.982 (0.586-1.645)    0.946</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Fibrosis</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1.667 (0.528-5.265)    0.384</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Liver Stiffness</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0.986 (0.895-1.086)    0.774</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Cirrhosis</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1.111 80.155-7.974)    0.917</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BMI</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1.000 (0.825-1.212)    1.000</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HCV RNA &gt;</w:t>
            </w:r>
            <w:r w:rsidR="00E62E7E" w:rsidRPr="00AA384A">
              <w:rPr>
                <w:rFonts w:ascii="Book Antiqua" w:eastAsia="宋体" w:hAnsi="Book Antiqua" w:cs="Arial"/>
                <w:color w:val="auto"/>
                <w:szCs w:val="24"/>
                <w:lang w:eastAsia="zh-CN"/>
              </w:rPr>
              <w:t xml:space="preserve"> </w:t>
            </w:r>
            <w:r w:rsidRPr="00AA384A">
              <w:rPr>
                <w:rFonts w:ascii="Book Antiqua" w:hAnsi="Book Antiqua" w:cs="Arial"/>
                <w:color w:val="auto"/>
                <w:szCs w:val="24"/>
              </w:rPr>
              <w:t>800.000IU/L</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0.519 (0.120-2.248)    0.381</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RVR</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1.200 (0.070-20.429)   0.900</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 log decline at week 4</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3.733 (1.676-12.658) 0.034</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0.961(0.194-4.757)   0.961</w:t>
            </w: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RVR BOC</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7.347 (2.156-25.035)   0.001</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6.794 (1.596-21.644)  0.010</w:t>
            </w: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ALT (IU/mL)</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0.996 (0.977-1.014)    0.645</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b/>
                <w:i/>
                <w:iCs/>
                <w:color w:val="auto"/>
                <w:szCs w:val="24"/>
                <w:lang w:eastAsia="en-US"/>
              </w:rPr>
            </w:pPr>
            <w:r w:rsidRPr="00AA384A">
              <w:rPr>
                <w:rFonts w:ascii="Book Antiqua" w:hAnsi="Book Antiqua" w:cs="Arial"/>
                <w:color w:val="auto"/>
                <w:szCs w:val="24"/>
              </w:rPr>
              <w:lastRenderedPageBreak/>
              <w:t>Platelets (</w:t>
            </w:r>
            <w:r w:rsidR="00E62E7E" w:rsidRPr="00AA384A">
              <w:rPr>
                <w:rFonts w:ascii="Book Antiqua" w:hAnsi="Book Antiqua" w:cs="Arial"/>
                <w:color w:val="auto"/>
                <w:szCs w:val="24"/>
              </w:rPr>
              <w:sym w:font="Symbol" w:char="F0B4"/>
            </w:r>
            <w:r w:rsidR="00E62E7E" w:rsidRPr="00AA384A">
              <w:rPr>
                <w:rFonts w:ascii="Book Antiqua" w:eastAsia="宋体" w:hAnsi="Book Antiqua" w:cs="Arial"/>
                <w:color w:val="auto"/>
                <w:szCs w:val="24"/>
                <w:lang w:eastAsia="zh-CN"/>
              </w:rPr>
              <w:t xml:space="preserve"> </w:t>
            </w:r>
            <w:r w:rsidRPr="00AA384A">
              <w:rPr>
                <w:rFonts w:ascii="Book Antiqua" w:hAnsi="Book Antiqua" w:cs="Arial"/>
                <w:color w:val="auto"/>
                <w:szCs w:val="24"/>
              </w:rPr>
              <w:t>10</w:t>
            </w:r>
            <w:r w:rsidRPr="00AA384A">
              <w:rPr>
                <w:rFonts w:ascii="Book Antiqua" w:hAnsi="Book Antiqua" w:cs="Arial"/>
                <w:color w:val="auto"/>
                <w:szCs w:val="24"/>
                <w:vertAlign w:val="superscript"/>
              </w:rPr>
              <w:t>3</w:t>
            </w:r>
            <w:r w:rsidRPr="00AA384A">
              <w:rPr>
                <w:rFonts w:ascii="Book Antiqua" w:hAnsi="Book Antiqua" w:cs="Arial"/>
                <w:color w:val="auto"/>
                <w:szCs w:val="24"/>
              </w:rPr>
              <w:t>/mm</w:t>
            </w:r>
            <w:r w:rsidRPr="00AA384A">
              <w:rPr>
                <w:rFonts w:ascii="Book Antiqua" w:hAnsi="Book Antiqua" w:cs="Arial"/>
                <w:color w:val="auto"/>
                <w:szCs w:val="24"/>
                <w:vertAlign w:val="superscript"/>
              </w:rPr>
              <w:t>3</w:t>
            </w:r>
            <w:r w:rsidRPr="00AA384A">
              <w:rPr>
                <w:rFonts w:ascii="Book Antiqua" w:hAnsi="Book Antiqua" w:cs="Arial"/>
                <w:color w:val="auto"/>
                <w:szCs w:val="24"/>
              </w:rPr>
              <w:t>)</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1.000 (1.000-1.000) 0.165</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r w:rsidR="00D46CF8" w:rsidRPr="00AA384A" w:rsidTr="00E62E7E">
        <w:trPr>
          <w:cantSplit/>
          <w:trHeight w:val="260"/>
        </w:trPr>
        <w:tc>
          <w:tcPr>
            <w:tcW w:w="2267"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b/>
                <w:i/>
                <w:iCs/>
                <w:color w:val="auto"/>
                <w:szCs w:val="24"/>
                <w:lang w:eastAsia="en-US"/>
              </w:rPr>
            </w:pPr>
            <w:r w:rsidRPr="00AA384A">
              <w:rPr>
                <w:rFonts w:ascii="Book Antiqua" w:hAnsi="Book Antiqua" w:cs="Arial"/>
                <w:color w:val="auto"/>
                <w:szCs w:val="24"/>
              </w:rPr>
              <w:t>HOMA</w:t>
            </w:r>
          </w:p>
        </w:tc>
        <w:tc>
          <w:tcPr>
            <w:tcW w:w="3544"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r w:rsidRPr="00AA384A">
              <w:rPr>
                <w:rFonts w:ascii="Book Antiqua" w:hAnsi="Book Antiqua" w:cs="Arial"/>
                <w:color w:val="auto"/>
                <w:szCs w:val="24"/>
              </w:rPr>
              <w:t>0.907(0533-1.544)  0.719</w:t>
            </w:r>
          </w:p>
        </w:tc>
        <w:tc>
          <w:tcPr>
            <w:tcW w:w="3260" w:type="dxa"/>
            <w:shd w:val="clear" w:color="auto" w:fill="auto"/>
            <w:tcMar>
              <w:top w:w="100" w:type="dxa"/>
              <w:left w:w="100" w:type="dxa"/>
              <w:bottom w:w="100" w:type="dxa"/>
              <w:right w:w="100" w:type="dxa"/>
            </w:tcMar>
          </w:tcPr>
          <w:p w:rsidR="00D46CF8" w:rsidRPr="00AA384A" w:rsidRDefault="00D46CF8" w:rsidP="00AA384A">
            <w:pPr>
              <w:pStyle w:val="Body"/>
              <w:spacing w:line="360" w:lineRule="auto"/>
              <w:jc w:val="both"/>
              <w:rPr>
                <w:rFonts w:ascii="Book Antiqua" w:hAnsi="Book Antiqua" w:cs="Arial"/>
                <w:color w:val="auto"/>
                <w:szCs w:val="24"/>
              </w:rPr>
            </w:pPr>
          </w:p>
        </w:tc>
      </w:tr>
    </w:tbl>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spacing w:line="360" w:lineRule="auto"/>
        <w:jc w:val="both"/>
        <w:rPr>
          <w:rFonts w:ascii="Book Antiqua" w:hAnsi="Book Antiqua" w:cs="Arial"/>
          <w:color w:val="auto"/>
          <w:lang w:eastAsia="it-IT"/>
        </w:rPr>
      </w:pPr>
      <w:r w:rsidRPr="00AA384A">
        <w:rPr>
          <w:rFonts w:ascii="Book Antiqua" w:hAnsi="Book Antiqua" w:cs="Arial"/>
          <w:color w:val="auto"/>
        </w:rPr>
        <w:br w:type="page"/>
      </w:r>
    </w:p>
    <w:tbl>
      <w:tblPr>
        <w:tblpPr w:leftFromText="141" w:rightFromText="141" w:vertAnchor="page" w:horzAnchor="page" w:tblpX="1909" w:tblpY="2741"/>
        <w:tblW w:w="0" w:type="auto"/>
        <w:tblBorders>
          <w:top w:val="single" w:sz="4" w:space="0" w:color="auto"/>
          <w:bottom w:val="single" w:sz="4" w:space="0" w:color="auto"/>
        </w:tblBorders>
        <w:tblLook w:val="00A0" w:firstRow="1" w:lastRow="0" w:firstColumn="1" w:lastColumn="0" w:noHBand="0" w:noVBand="0"/>
      </w:tblPr>
      <w:tblGrid>
        <w:gridCol w:w="5211"/>
        <w:gridCol w:w="2268"/>
      </w:tblGrid>
      <w:tr w:rsidR="00D46CF8" w:rsidRPr="00AA384A" w:rsidTr="00E62E7E">
        <w:trPr>
          <w:trHeight w:hRule="exact" w:val="397"/>
        </w:trPr>
        <w:tc>
          <w:tcPr>
            <w:tcW w:w="5211" w:type="dxa"/>
            <w:tcBorders>
              <w:top w:val="single" w:sz="4" w:space="0" w:color="auto"/>
              <w:bottom w:val="single" w:sz="4" w:space="0" w:color="auto"/>
            </w:tcBorders>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b/>
                <w:color w:val="auto"/>
                <w:szCs w:val="24"/>
                <w:lang w:val="en-US"/>
              </w:rPr>
              <w:lastRenderedPageBreak/>
              <w:t xml:space="preserve">Event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p>
        </w:tc>
        <w:tc>
          <w:tcPr>
            <w:tcW w:w="2268" w:type="dxa"/>
            <w:tcBorders>
              <w:top w:val="single" w:sz="4" w:space="0" w:color="auto"/>
              <w:bottom w:val="single" w:sz="4" w:space="0" w:color="auto"/>
            </w:tcBorders>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tc>
      </w:tr>
      <w:tr w:rsidR="00D46CF8" w:rsidRPr="00AA384A" w:rsidTr="00E62E7E">
        <w:trPr>
          <w:trHeight w:hRule="exact" w:val="397"/>
        </w:trPr>
        <w:tc>
          <w:tcPr>
            <w:tcW w:w="5211" w:type="dxa"/>
            <w:tcBorders>
              <w:top w:val="single" w:sz="4" w:space="0" w:color="auto"/>
            </w:tcBorders>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Death </w:t>
            </w:r>
          </w:p>
        </w:tc>
        <w:tc>
          <w:tcPr>
            <w:tcW w:w="2268" w:type="dxa"/>
            <w:tcBorders>
              <w:top w:val="single" w:sz="4" w:space="0" w:color="auto"/>
            </w:tcBorders>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0</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Drug Discontinuation due to AE  </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6 (10)</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Dose Modification due to AE </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8 (14)</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Any life-threatening adverse event</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0</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Any serious adverse event</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2 (4)</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Hematologic event</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Reduced neutrophil count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&lt;750 per mm</w:t>
            </w:r>
            <w:r w:rsidRPr="00AA384A">
              <w:rPr>
                <w:rFonts w:ascii="Book Antiqua" w:hAnsi="Book Antiqua" w:cs="Arial"/>
                <w:color w:val="auto"/>
                <w:szCs w:val="24"/>
                <w:vertAlign w:val="superscript"/>
                <w:lang w:val="en-US"/>
              </w:rPr>
              <w:t>3</w:t>
            </w:r>
            <w:r w:rsidRPr="00AA384A">
              <w:rPr>
                <w:rFonts w:ascii="Book Antiqua" w:hAnsi="Book Antiqua" w:cs="Arial"/>
                <w:color w:val="auto"/>
                <w:szCs w:val="24"/>
                <w:lang w:val="en-US"/>
              </w:rPr>
              <w:t xml:space="preserve">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&lt;500 per mm</w:t>
            </w:r>
            <w:r w:rsidRPr="00AA384A">
              <w:rPr>
                <w:rFonts w:ascii="Book Antiqua" w:hAnsi="Book Antiqua" w:cs="Arial"/>
                <w:color w:val="auto"/>
                <w:szCs w:val="24"/>
                <w:vertAlign w:val="superscript"/>
                <w:lang w:val="en-US"/>
              </w:rPr>
              <w:t>3</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14 (25)</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8 (15)</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Mean change in hemoglobin from baseline — g/dl</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At </w:t>
            </w:r>
            <w:proofErr w:type="spellStart"/>
            <w:r w:rsidRPr="00AA384A">
              <w:rPr>
                <w:rFonts w:ascii="Book Antiqua" w:hAnsi="Book Antiqua" w:cs="Arial"/>
                <w:color w:val="auto"/>
                <w:szCs w:val="24"/>
                <w:lang w:val="en-US"/>
              </w:rPr>
              <w:t>wk</w:t>
            </w:r>
            <w:proofErr w:type="spellEnd"/>
            <w:r w:rsidRPr="00AA384A">
              <w:rPr>
                <w:rFonts w:ascii="Book Antiqua" w:hAnsi="Book Antiqua" w:cs="Arial"/>
                <w:color w:val="auto"/>
                <w:szCs w:val="24"/>
                <w:lang w:val="en-US"/>
              </w:rPr>
              <w:t xml:space="preserve"> 12</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- 1.2</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At </w:t>
            </w:r>
            <w:proofErr w:type="spellStart"/>
            <w:r w:rsidRPr="00AA384A">
              <w:rPr>
                <w:rFonts w:ascii="Book Antiqua" w:hAnsi="Book Antiqua" w:cs="Arial"/>
                <w:color w:val="auto"/>
                <w:szCs w:val="24"/>
                <w:lang w:val="en-US"/>
              </w:rPr>
              <w:t>wk</w:t>
            </w:r>
            <w:proofErr w:type="spellEnd"/>
            <w:r w:rsidRPr="00AA384A">
              <w:rPr>
                <w:rFonts w:ascii="Book Antiqua" w:hAnsi="Book Antiqua" w:cs="Arial"/>
                <w:color w:val="auto"/>
                <w:szCs w:val="24"/>
                <w:lang w:val="en-US"/>
              </w:rPr>
              <w:t xml:space="preserve"> 24</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-2.2</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At </w:t>
            </w:r>
            <w:proofErr w:type="spellStart"/>
            <w:r w:rsidRPr="00AA384A">
              <w:rPr>
                <w:rFonts w:ascii="Book Antiqua" w:hAnsi="Book Antiqua" w:cs="Arial"/>
                <w:color w:val="auto"/>
                <w:szCs w:val="24"/>
                <w:lang w:val="en-US"/>
              </w:rPr>
              <w:t>wk</w:t>
            </w:r>
            <w:proofErr w:type="spellEnd"/>
            <w:r w:rsidRPr="00AA384A">
              <w:rPr>
                <w:rFonts w:ascii="Book Antiqua" w:hAnsi="Book Antiqua" w:cs="Arial"/>
                <w:color w:val="auto"/>
                <w:szCs w:val="24"/>
                <w:lang w:val="en-US"/>
              </w:rPr>
              <w:t xml:space="preserve"> 48</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-3.3</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Erythropoietin use</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20 (35)</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Transfusion</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1 (1.8)</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Common adverse event</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Nausea</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24 (43)</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Anemia</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23 (41)</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w:t>
            </w:r>
            <w:proofErr w:type="spellStart"/>
            <w:r w:rsidRPr="00AA384A">
              <w:rPr>
                <w:rFonts w:ascii="Book Antiqua" w:hAnsi="Book Antiqua" w:cs="Arial"/>
                <w:color w:val="auto"/>
                <w:szCs w:val="24"/>
                <w:lang w:val="en-US"/>
              </w:rPr>
              <w:t>Dysgeusia</w:t>
            </w:r>
            <w:proofErr w:type="spellEnd"/>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20 (36)</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Fatigue</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18 (32)</w:t>
            </w:r>
          </w:p>
        </w:tc>
      </w:tr>
      <w:tr w:rsidR="00D46CF8" w:rsidRPr="00AA384A" w:rsidTr="00E62E7E">
        <w:trPr>
          <w:trHeight w:hRule="exact" w:val="397"/>
        </w:trPr>
        <w:tc>
          <w:tcPr>
            <w:tcW w:w="5211"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Rash</w:t>
            </w:r>
          </w:p>
        </w:tc>
        <w:tc>
          <w:tcPr>
            <w:tcW w:w="2268" w:type="dxa"/>
          </w:tcPr>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6 (11)</w:t>
            </w:r>
          </w:p>
        </w:tc>
      </w:tr>
    </w:tbl>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b/>
          <w:color w:val="auto"/>
          <w:szCs w:val="24"/>
          <w:lang w:val="en-US"/>
        </w:rPr>
      </w:pPr>
      <w:r w:rsidRPr="00AA384A">
        <w:rPr>
          <w:rFonts w:ascii="Book Antiqua" w:hAnsi="Book Antiqua" w:cs="Arial"/>
          <w:b/>
          <w:color w:val="auto"/>
          <w:szCs w:val="24"/>
          <w:lang w:val="en-US"/>
        </w:rPr>
        <w:t>Table 3 Adverse</w:t>
      </w:r>
      <w:r w:rsidR="00E62E7E" w:rsidRPr="00AA384A">
        <w:rPr>
          <w:rFonts w:ascii="Book Antiqua" w:hAnsi="Book Antiqua" w:cs="Arial"/>
          <w:b/>
          <w:color w:val="auto"/>
          <w:szCs w:val="24"/>
          <w:lang w:val="en-US"/>
        </w:rPr>
        <w:t xml:space="preserve"> e</w:t>
      </w:r>
      <w:r w:rsidRPr="00AA384A">
        <w:rPr>
          <w:rFonts w:ascii="Book Antiqua" w:hAnsi="Book Antiqua" w:cs="Arial"/>
          <w:b/>
          <w:color w:val="auto"/>
          <w:szCs w:val="24"/>
          <w:lang w:val="en-US"/>
        </w:rPr>
        <w:t xml:space="preserve">vents </w:t>
      </w:r>
      <w:r w:rsidR="002149B6" w:rsidRPr="00AA384A">
        <w:rPr>
          <w:rFonts w:ascii="Book Antiqua" w:hAnsi="Book Antiqua" w:cs="Arial"/>
          <w:b/>
          <w:i/>
          <w:color w:val="auto"/>
          <w:szCs w:val="24"/>
          <w:lang w:val="en-US"/>
        </w:rPr>
        <w:t>n</w:t>
      </w:r>
      <w:r w:rsidR="002149B6" w:rsidRPr="00AA384A">
        <w:rPr>
          <w:rFonts w:ascii="Book Antiqua" w:hAnsi="Book Antiqua" w:cs="Arial"/>
          <w:b/>
          <w:color w:val="auto"/>
          <w:szCs w:val="24"/>
          <w:lang w:val="en-US"/>
        </w:rPr>
        <w:t xml:space="preserve">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r w:rsidRPr="00AA384A">
        <w:rPr>
          <w:rFonts w:ascii="Book Antiqua" w:hAnsi="Book Antiqua" w:cs="Arial"/>
          <w:color w:val="auto"/>
          <w:szCs w:val="24"/>
          <w:lang w:val="en-US"/>
        </w:rPr>
        <w:t xml:space="preserve">. </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E62E7E" w:rsidRPr="00AA384A" w:rsidRDefault="00E62E7E"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宋体" w:hAnsi="Book Antiqua" w:cs="Arial"/>
          <w:color w:val="auto"/>
          <w:szCs w:val="24"/>
          <w:lang w:val="en-US" w:eastAsia="zh-CN"/>
        </w:rPr>
      </w:pPr>
      <w:r w:rsidRPr="00AA384A">
        <w:rPr>
          <w:rFonts w:ascii="Book Antiqua" w:hAnsi="Book Antiqua" w:cs="Arial"/>
          <w:color w:val="auto"/>
          <w:szCs w:val="24"/>
          <w:lang w:val="en-US"/>
        </w:rPr>
        <w:t>AE: Adverse event</w:t>
      </w:r>
      <w:r w:rsidRPr="00AA384A">
        <w:rPr>
          <w:rFonts w:ascii="Book Antiqua" w:eastAsia="宋体" w:hAnsi="Book Antiqua" w:cs="Arial"/>
          <w:color w:val="auto"/>
          <w:szCs w:val="24"/>
          <w:lang w:val="en-US" w:eastAsia="zh-CN"/>
        </w:rPr>
        <w:t>.</w:t>
      </w: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p w:rsidR="00D46CF8" w:rsidRPr="00AA384A" w:rsidRDefault="00D46CF8" w:rsidP="00AA384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s="Arial"/>
          <w:color w:val="auto"/>
          <w:szCs w:val="24"/>
          <w:lang w:val="en-US"/>
        </w:rPr>
      </w:pPr>
    </w:p>
    <w:sectPr w:rsidR="00D46CF8" w:rsidRPr="00AA384A" w:rsidSect="00080672">
      <w:headerReference w:type="even" r:id="rId11"/>
      <w:headerReference w:type="default" r:id="rId12"/>
      <w:footerReference w:type="even" r:id="rId13"/>
      <w:footerReference w:type="default" r:id="rId14"/>
      <w:pgSz w:w="11900" w:h="16840"/>
      <w:pgMar w:top="1701" w:right="1701" w:bottom="1701" w:left="1701" w:header="573"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92" w:rsidRDefault="00F56D92">
      <w:r>
        <w:separator/>
      </w:r>
    </w:p>
  </w:endnote>
  <w:endnote w:type="continuationSeparator" w:id="0">
    <w:p w:rsidR="00F56D92" w:rsidRDefault="00F5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07" w:rsidRDefault="004C5207" w:rsidP="00954D50">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360"/>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07" w:rsidRDefault="004C5207" w:rsidP="00954D50">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360"/>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92" w:rsidRDefault="00F56D92">
      <w:r>
        <w:separator/>
      </w:r>
    </w:p>
  </w:footnote>
  <w:footnote w:type="continuationSeparator" w:id="0">
    <w:p w:rsidR="00F56D92" w:rsidRDefault="00F5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07" w:rsidRPr="000F69DD" w:rsidRDefault="004C5207" w:rsidP="00080672">
    <w:pPr>
      <w:pStyle w:val="ac"/>
      <w:framePr w:wrap="around" w:vAnchor="text" w:hAnchor="margin" w:xAlign="right" w:y="1"/>
      <w:rPr>
        <w:rStyle w:val="ab"/>
        <w:rFonts w:ascii="Arial" w:hAnsi="Arial" w:cs="Arial"/>
        <w:sz w:val="22"/>
        <w:szCs w:val="22"/>
      </w:rPr>
    </w:pPr>
    <w:r w:rsidRPr="000F69DD">
      <w:rPr>
        <w:rStyle w:val="ab"/>
        <w:rFonts w:ascii="Arial" w:hAnsi="Arial" w:cs="Arial"/>
        <w:sz w:val="22"/>
        <w:szCs w:val="22"/>
      </w:rPr>
      <w:fldChar w:fldCharType="begin"/>
    </w:r>
    <w:r w:rsidRPr="000F69DD">
      <w:rPr>
        <w:rStyle w:val="ab"/>
        <w:rFonts w:ascii="Arial" w:hAnsi="Arial" w:cs="Arial"/>
        <w:sz w:val="22"/>
        <w:szCs w:val="22"/>
      </w:rPr>
      <w:instrText xml:space="preserve">PAGE  </w:instrText>
    </w:r>
    <w:r w:rsidRPr="000F69DD">
      <w:rPr>
        <w:rStyle w:val="ab"/>
        <w:rFonts w:ascii="Arial" w:hAnsi="Arial" w:cs="Arial"/>
        <w:sz w:val="22"/>
        <w:szCs w:val="22"/>
      </w:rPr>
      <w:fldChar w:fldCharType="separate"/>
    </w:r>
    <w:r w:rsidR="00D84C59">
      <w:rPr>
        <w:rStyle w:val="ab"/>
        <w:rFonts w:ascii="Arial" w:hAnsi="Arial" w:cs="Arial"/>
        <w:noProof/>
        <w:sz w:val="22"/>
        <w:szCs w:val="22"/>
      </w:rPr>
      <w:t>16</w:t>
    </w:r>
    <w:r w:rsidRPr="000F69DD">
      <w:rPr>
        <w:rStyle w:val="ab"/>
        <w:rFonts w:ascii="Arial" w:hAnsi="Arial" w:cs="Arial"/>
        <w:sz w:val="22"/>
        <w:szCs w:val="22"/>
      </w:rPr>
      <w:fldChar w:fldCharType="end"/>
    </w:r>
  </w:p>
  <w:p w:rsidR="004C5207" w:rsidRDefault="004C5207" w:rsidP="004C0076">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360" w:firstLine="360"/>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07" w:rsidRDefault="004C5207" w:rsidP="0008067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84C59">
      <w:rPr>
        <w:rStyle w:val="ab"/>
        <w:noProof/>
      </w:rPr>
      <w:t>27</w:t>
    </w:r>
    <w:r>
      <w:rPr>
        <w:rStyle w:val="ab"/>
      </w:rPr>
      <w:fldChar w:fldCharType="end"/>
    </w:r>
  </w:p>
  <w:p w:rsidR="004C5207" w:rsidRDefault="004C5207" w:rsidP="004C0076">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360" w:firstLine="360"/>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AEAB4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pPr>
      <w:rPr>
        <w:rFonts w:cs="Times New Roman" w:hint="default"/>
        <w:position w:val="0"/>
      </w:rPr>
    </w:lvl>
    <w:lvl w:ilvl="1">
      <w:start w:val="1"/>
      <w:numFmt w:val="decimal"/>
      <w:isLgl/>
      <w:lvlText w:val="%2."/>
      <w:lvlJc w:val="left"/>
      <w:pPr>
        <w:tabs>
          <w:tab w:val="num" w:pos="360"/>
        </w:tabs>
        <w:ind w:left="360"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decimal"/>
      <w:isLgl/>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abstractNum w:abstractNumId="2">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3"/>
    <w:multiLevelType w:val="multilevel"/>
    <w:tmpl w:val="894EE875"/>
    <w:lvl w:ilvl="0">
      <w:start w:val="1"/>
      <w:numFmt w:val="decimal"/>
      <w:isLgl/>
      <w:lvlText w:val="%1."/>
      <w:lvlJc w:val="left"/>
      <w:pPr>
        <w:tabs>
          <w:tab w:val="num" w:pos="360"/>
        </w:tabs>
        <w:ind w:left="360"/>
      </w:pPr>
      <w:rPr>
        <w:rFonts w:cs="Times New Roman" w:hint="default"/>
        <w:color w:val="000000"/>
        <w:position w:val="0"/>
        <w:sz w:val="24"/>
      </w:rPr>
    </w:lvl>
    <w:lvl w:ilvl="1">
      <w:start w:val="1"/>
      <w:numFmt w:val="decimal"/>
      <w:isLgl/>
      <w:suff w:val="nothing"/>
      <w:lvlText w:val="%2."/>
      <w:lvlJc w:val="left"/>
      <w:pPr>
        <w:ind w:firstLine="720"/>
      </w:pPr>
      <w:rPr>
        <w:rFonts w:cs="Times New Roman" w:hint="default"/>
        <w:color w:val="000000"/>
        <w:position w:val="0"/>
        <w:sz w:val="24"/>
      </w:rPr>
    </w:lvl>
    <w:lvl w:ilvl="2">
      <w:start w:val="1"/>
      <w:numFmt w:val="decimal"/>
      <w:isLgl/>
      <w:suff w:val="nothing"/>
      <w:lvlText w:val="%3."/>
      <w:lvlJc w:val="left"/>
      <w:pPr>
        <w:ind w:firstLine="1080"/>
      </w:pPr>
      <w:rPr>
        <w:rFonts w:cs="Times New Roman" w:hint="default"/>
        <w:color w:val="000000"/>
        <w:position w:val="0"/>
        <w:sz w:val="24"/>
      </w:rPr>
    </w:lvl>
    <w:lvl w:ilvl="3">
      <w:start w:val="1"/>
      <w:numFmt w:val="decimal"/>
      <w:isLgl/>
      <w:suff w:val="nothing"/>
      <w:lvlText w:val="%4."/>
      <w:lvlJc w:val="left"/>
      <w:pPr>
        <w:ind w:firstLine="1440"/>
      </w:pPr>
      <w:rPr>
        <w:rFonts w:cs="Times New Roman" w:hint="default"/>
        <w:color w:val="000000"/>
        <w:position w:val="0"/>
        <w:sz w:val="24"/>
      </w:rPr>
    </w:lvl>
    <w:lvl w:ilvl="4">
      <w:start w:val="1"/>
      <w:numFmt w:val="decimal"/>
      <w:isLgl/>
      <w:suff w:val="nothing"/>
      <w:lvlText w:val="%5."/>
      <w:lvlJc w:val="left"/>
      <w:pPr>
        <w:ind w:firstLine="1800"/>
      </w:pPr>
      <w:rPr>
        <w:rFonts w:cs="Times New Roman" w:hint="default"/>
        <w:color w:val="000000"/>
        <w:position w:val="0"/>
        <w:sz w:val="24"/>
      </w:rPr>
    </w:lvl>
    <w:lvl w:ilvl="5">
      <w:start w:val="1"/>
      <w:numFmt w:val="decimal"/>
      <w:isLgl/>
      <w:suff w:val="nothing"/>
      <w:lvlText w:val="%6."/>
      <w:lvlJc w:val="left"/>
      <w:pPr>
        <w:ind w:firstLine="2160"/>
      </w:pPr>
      <w:rPr>
        <w:rFonts w:cs="Times New Roman" w:hint="default"/>
        <w:color w:val="000000"/>
        <w:position w:val="0"/>
        <w:sz w:val="24"/>
      </w:rPr>
    </w:lvl>
    <w:lvl w:ilvl="6">
      <w:start w:val="1"/>
      <w:numFmt w:val="decimal"/>
      <w:isLgl/>
      <w:suff w:val="nothing"/>
      <w:lvlText w:val="%7."/>
      <w:lvlJc w:val="left"/>
      <w:pPr>
        <w:ind w:firstLine="2520"/>
      </w:pPr>
      <w:rPr>
        <w:rFonts w:cs="Times New Roman" w:hint="default"/>
        <w:color w:val="000000"/>
        <w:position w:val="0"/>
        <w:sz w:val="24"/>
      </w:rPr>
    </w:lvl>
    <w:lvl w:ilvl="7">
      <w:start w:val="1"/>
      <w:numFmt w:val="decimal"/>
      <w:isLgl/>
      <w:suff w:val="nothing"/>
      <w:lvlText w:val="%8."/>
      <w:lvlJc w:val="left"/>
      <w:pPr>
        <w:ind w:firstLine="2880"/>
      </w:pPr>
      <w:rPr>
        <w:rFonts w:cs="Times New Roman" w:hint="default"/>
        <w:color w:val="000000"/>
        <w:position w:val="0"/>
        <w:sz w:val="24"/>
      </w:rPr>
    </w:lvl>
    <w:lvl w:ilvl="8">
      <w:start w:val="1"/>
      <w:numFmt w:val="decimal"/>
      <w:isLgl/>
      <w:suff w:val="nothing"/>
      <w:lvlText w:val="%9."/>
      <w:lvlJc w:val="left"/>
      <w:pPr>
        <w:ind w:firstLine="3240"/>
      </w:pPr>
      <w:rPr>
        <w:rFonts w:cs="Times New Roman" w:hint="default"/>
        <w:color w:val="000000"/>
        <w:position w:val="0"/>
        <w:sz w:val="24"/>
      </w:rPr>
    </w:lvl>
  </w:abstractNum>
  <w:abstractNum w:abstractNumId="4">
    <w:nsid w:val="172F0EC0"/>
    <w:multiLevelType w:val="hybridMultilevel"/>
    <w:tmpl w:val="186424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C9B55AC"/>
    <w:multiLevelType w:val="hybridMultilevel"/>
    <w:tmpl w:val="FE7A528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4C915D1"/>
    <w:multiLevelType w:val="hybridMultilevel"/>
    <w:tmpl w:val="6906715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522C2C7B"/>
    <w:multiLevelType w:val="hybridMultilevel"/>
    <w:tmpl w:val="2F146E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48"/>
    <w:rsid w:val="0000098F"/>
    <w:rsid w:val="00003732"/>
    <w:rsid w:val="000165B5"/>
    <w:rsid w:val="000320FE"/>
    <w:rsid w:val="00044243"/>
    <w:rsid w:val="00044A72"/>
    <w:rsid w:val="00051A7A"/>
    <w:rsid w:val="000548B3"/>
    <w:rsid w:val="00066E96"/>
    <w:rsid w:val="00076171"/>
    <w:rsid w:val="00080672"/>
    <w:rsid w:val="000870C1"/>
    <w:rsid w:val="00092CCA"/>
    <w:rsid w:val="00094396"/>
    <w:rsid w:val="000B3009"/>
    <w:rsid w:val="000C0732"/>
    <w:rsid w:val="000C2CB2"/>
    <w:rsid w:val="000D1FEA"/>
    <w:rsid w:val="000D4FC5"/>
    <w:rsid w:val="000E4736"/>
    <w:rsid w:val="000F5433"/>
    <w:rsid w:val="000F69DD"/>
    <w:rsid w:val="0010102B"/>
    <w:rsid w:val="0010722C"/>
    <w:rsid w:val="00111E88"/>
    <w:rsid w:val="0012675C"/>
    <w:rsid w:val="00126783"/>
    <w:rsid w:val="00134726"/>
    <w:rsid w:val="0014629E"/>
    <w:rsid w:val="00151FA5"/>
    <w:rsid w:val="001545A5"/>
    <w:rsid w:val="00167910"/>
    <w:rsid w:val="00170DA0"/>
    <w:rsid w:val="001712C5"/>
    <w:rsid w:val="00172F80"/>
    <w:rsid w:val="0018214F"/>
    <w:rsid w:val="0018546B"/>
    <w:rsid w:val="001856E1"/>
    <w:rsid w:val="001A6138"/>
    <w:rsid w:val="001B6FEA"/>
    <w:rsid w:val="001C005C"/>
    <w:rsid w:val="001C0205"/>
    <w:rsid w:val="001C4484"/>
    <w:rsid w:val="001C4A0B"/>
    <w:rsid w:val="001E566E"/>
    <w:rsid w:val="001E70FD"/>
    <w:rsid w:val="001F25A1"/>
    <w:rsid w:val="001F29A1"/>
    <w:rsid w:val="001F795A"/>
    <w:rsid w:val="001F7CCD"/>
    <w:rsid w:val="002047E4"/>
    <w:rsid w:val="00205CB1"/>
    <w:rsid w:val="002149B6"/>
    <w:rsid w:val="00220A99"/>
    <w:rsid w:val="002300B3"/>
    <w:rsid w:val="002375F7"/>
    <w:rsid w:val="002422D7"/>
    <w:rsid w:val="002424B1"/>
    <w:rsid w:val="002462CC"/>
    <w:rsid w:val="002666E9"/>
    <w:rsid w:val="0026704E"/>
    <w:rsid w:val="002720E0"/>
    <w:rsid w:val="00274758"/>
    <w:rsid w:val="00281A88"/>
    <w:rsid w:val="0028408E"/>
    <w:rsid w:val="00296502"/>
    <w:rsid w:val="002A754D"/>
    <w:rsid w:val="002B3C30"/>
    <w:rsid w:val="002B72D9"/>
    <w:rsid w:val="002C2974"/>
    <w:rsid w:val="002C6162"/>
    <w:rsid w:val="002C7527"/>
    <w:rsid w:val="002C7E20"/>
    <w:rsid w:val="00303088"/>
    <w:rsid w:val="003035B3"/>
    <w:rsid w:val="003054D1"/>
    <w:rsid w:val="00314F63"/>
    <w:rsid w:val="0031613F"/>
    <w:rsid w:val="00321ED8"/>
    <w:rsid w:val="00322112"/>
    <w:rsid w:val="00332466"/>
    <w:rsid w:val="0033454E"/>
    <w:rsid w:val="00334AA4"/>
    <w:rsid w:val="00341DA7"/>
    <w:rsid w:val="003478F4"/>
    <w:rsid w:val="00351C20"/>
    <w:rsid w:val="003535E0"/>
    <w:rsid w:val="003635E2"/>
    <w:rsid w:val="003673AC"/>
    <w:rsid w:val="003701CE"/>
    <w:rsid w:val="00376B1F"/>
    <w:rsid w:val="00383F7B"/>
    <w:rsid w:val="00384858"/>
    <w:rsid w:val="003863E9"/>
    <w:rsid w:val="00390C98"/>
    <w:rsid w:val="003941DF"/>
    <w:rsid w:val="003947D0"/>
    <w:rsid w:val="003A6343"/>
    <w:rsid w:val="003A70FF"/>
    <w:rsid w:val="003B2541"/>
    <w:rsid w:val="003B788B"/>
    <w:rsid w:val="003C06AD"/>
    <w:rsid w:val="003C37C0"/>
    <w:rsid w:val="003C74C5"/>
    <w:rsid w:val="003D255E"/>
    <w:rsid w:val="003D29AA"/>
    <w:rsid w:val="003D5388"/>
    <w:rsid w:val="003D590A"/>
    <w:rsid w:val="003F2648"/>
    <w:rsid w:val="0040785D"/>
    <w:rsid w:val="00416651"/>
    <w:rsid w:val="004256ED"/>
    <w:rsid w:val="00432C92"/>
    <w:rsid w:val="00433EA3"/>
    <w:rsid w:val="00437C24"/>
    <w:rsid w:val="004425D6"/>
    <w:rsid w:val="0044282B"/>
    <w:rsid w:val="004465E5"/>
    <w:rsid w:val="00451C0D"/>
    <w:rsid w:val="0045304B"/>
    <w:rsid w:val="0046563E"/>
    <w:rsid w:val="004672DC"/>
    <w:rsid w:val="004717E5"/>
    <w:rsid w:val="00475F22"/>
    <w:rsid w:val="0049097A"/>
    <w:rsid w:val="004A35D1"/>
    <w:rsid w:val="004A53BF"/>
    <w:rsid w:val="004A6909"/>
    <w:rsid w:val="004A6C85"/>
    <w:rsid w:val="004C0076"/>
    <w:rsid w:val="004C5207"/>
    <w:rsid w:val="004D7DA6"/>
    <w:rsid w:val="004F0BBE"/>
    <w:rsid w:val="004F368A"/>
    <w:rsid w:val="004F544A"/>
    <w:rsid w:val="004F7320"/>
    <w:rsid w:val="004F7425"/>
    <w:rsid w:val="00502A61"/>
    <w:rsid w:val="00510940"/>
    <w:rsid w:val="00517BBF"/>
    <w:rsid w:val="00526CFA"/>
    <w:rsid w:val="00530CB3"/>
    <w:rsid w:val="005330CD"/>
    <w:rsid w:val="00536FA4"/>
    <w:rsid w:val="00541CE2"/>
    <w:rsid w:val="00543EAD"/>
    <w:rsid w:val="00544775"/>
    <w:rsid w:val="00547687"/>
    <w:rsid w:val="00553A3B"/>
    <w:rsid w:val="005822CA"/>
    <w:rsid w:val="0058277B"/>
    <w:rsid w:val="0058462E"/>
    <w:rsid w:val="00592775"/>
    <w:rsid w:val="005A0996"/>
    <w:rsid w:val="005A3ACB"/>
    <w:rsid w:val="005A6F29"/>
    <w:rsid w:val="005B228A"/>
    <w:rsid w:val="005C6A5F"/>
    <w:rsid w:val="005D59DE"/>
    <w:rsid w:val="005E1549"/>
    <w:rsid w:val="005E3FA8"/>
    <w:rsid w:val="005E60A4"/>
    <w:rsid w:val="006023E0"/>
    <w:rsid w:val="006049CD"/>
    <w:rsid w:val="00611950"/>
    <w:rsid w:val="00611D96"/>
    <w:rsid w:val="00612CD1"/>
    <w:rsid w:val="00612D6F"/>
    <w:rsid w:val="00615F95"/>
    <w:rsid w:val="00616FF2"/>
    <w:rsid w:val="006306EF"/>
    <w:rsid w:val="00633EEF"/>
    <w:rsid w:val="00634B55"/>
    <w:rsid w:val="006408E9"/>
    <w:rsid w:val="00650016"/>
    <w:rsid w:val="00657253"/>
    <w:rsid w:val="00657E31"/>
    <w:rsid w:val="0066437A"/>
    <w:rsid w:val="00664D61"/>
    <w:rsid w:val="00673417"/>
    <w:rsid w:val="00683B99"/>
    <w:rsid w:val="00685B43"/>
    <w:rsid w:val="00686B80"/>
    <w:rsid w:val="00690B0E"/>
    <w:rsid w:val="0069435D"/>
    <w:rsid w:val="006964D2"/>
    <w:rsid w:val="006A78FA"/>
    <w:rsid w:val="006B0459"/>
    <w:rsid w:val="006B68B6"/>
    <w:rsid w:val="006B76E4"/>
    <w:rsid w:val="006C7654"/>
    <w:rsid w:val="006D2C3D"/>
    <w:rsid w:val="006D3B31"/>
    <w:rsid w:val="006D5CA2"/>
    <w:rsid w:val="0070708E"/>
    <w:rsid w:val="0071242B"/>
    <w:rsid w:val="00721E59"/>
    <w:rsid w:val="007339F7"/>
    <w:rsid w:val="007620C1"/>
    <w:rsid w:val="007672EE"/>
    <w:rsid w:val="00771FAF"/>
    <w:rsid w:val="007726AD"/>
    <w:rsid w:val="0078653B"/>
    <w:rsid w:val="00791D7D"/>
    <w:rsid w:val="00795CEA"/>
    <w:rsid w:val="00796964"/>
    <w:rsid w:val="007A65DB"/>
    <w:rsid w:val="007A7323"/>
    <w:rsid w:val="007A7FE9"/>
    <w:rsid w:val="007B3232"/>
    <w:rsid w:val="007C6B02"/>
    <w:rsid w:val="007C7780"/>
    <w:rsid w:val="007D240D"/>
    <w:rsid w:val="007E2BE4"/>
    <w:rsid w:val="007E4EF5"/>
    <w:rsid w:val="007E52D1"/>
    <w:rsid w:val="008031BC"/>
    <w:rsid w:val="00806A63"/>
    <w:rsid w:val="0082046E"/>
    <w:rsid w:val="008244ED"/>
    <w:rsid w:val="00825E60"/>
    <w:rsid w:val="00835E10"/>
    <w:rsid w:val="00837004"/>
    <w:rsid w:val="00837AD4"/>
    <w:rsid w:val="0085247D"/>
    <w:rsid w:val="0085371E"/>
    <w:rsid w:val="00854E2F"/>
    <w:rsid w:val="008569EB"/>
    <w:rsid w:val="00871D63"/>
    <w:rsid w:val="00872D06"/>
    <w:rsid w:val="00874C0E"/>
    <w:rsid w:val="00877A94"/>
    <w:rsid w:val="00885683"/>
    <w:rsid w:val="008A3F62"/>
    <w:rsid w:val="008A6CC6"/>
    <w:rsid w:val="008A6EEA"/>
    <w:rsid w:val="008B00D4"/>
    <w:rsid w:val="008B0816"/>
    <w:rsid w:val="008E3C45"/>
    <w:rsid w:val="008E7A7D"/>
    <w:rsid w:val="008F456A"/>
    <w:rsid w:val="008F4C79"/>
    <w:rsid w:val="0091557C"/>
    <w:rsid w:val="0091573F"/>
    <w:rsid w:val="009262AC"/>
    <w:rsid w:val="00941218"/>
    <w:rsid w:val="0094299E"/>
    <w:rsid w:val="00946E8B"/>
    <w:rsid w:val="0095004E"/>
    <w:rsid w:val="00954D50"/>
    <w:rsid w:val="0096203F"/>
    <w:rsid w:val="009621AA"/>
    <w:rsid w:val="00963ADF"/>
    <w:rsid w:val="009677F5"/>
    <w:rsid w:val="00967EDE"/>
    <w:rsid w:val="00970FC6"/>
    <w:rsid w:val="009728CE"/>
    <w:rsid w:val="00985A8B"/>
    <w:rsid w:val="00987188"/>
    <w:rsid w:val="00990765"/>
    <w:rsid w:val="0099157D"/>
    <w:rsid w:val="009970C1"/>
    <w:rsid w:val="009A0444"/>
    <w:rsid w:val="009A4D5F"/>
    <w:rsid w:val="009C620B"/>
    <w:rsid w:val="009D0DFE"/>
    <w:rsid w:val="009E04F1"/>
    <w:rsid w:val="009E575E"/>
    <w:rsid w:val="009E68C4"/>
    <w:rsid w:val="00A05F54"/>
    <w:rsid w:val="00A27B3A"/>
    <w:rsid w:val="00A31FA4"/>
    <w:rsid w:val="00A37EEC"/>
    <w:rsid w:val="00A402BD"/>
    <w:rsid w:val="00A411EA"/>
    <w:rsid w:val="00A41A9E"/>
    <w:rsid w:val="00A42F70"/>
    <w:rsid w:val="00A45F3C"/>
    <w:rsid w:val="00A50874"/>
    <w:rsid w:val="00A558F5"/>
    <w:rsid w:val="00A60D1E"/>
    <w:rsid w:val="00A6150D"/>
    <w:rsid w:val="00A620C8"/>
    <w:rsid w:val="00A621D2"/>
    <w:rsid w:val="00A63246"/>
    <w:rsid w:val="00A703B5"/>
    <w:rsid w:val="00A74CA2"/>
    <w:rsid w:val="00A82D04"/>
    <w:rsid w:val="00A83C0E"/>
    <w:rsid w:val="00A84B1B"/>
    <w:rsid w:val="00A90667"/>
    <w:rsid w:val="00A924A0"/>
    <w:rsid w:val="00A96DD2"/>
    <w:rsid w:val="00AA384A"/>
    <w:rsid w:val="00AA6E83"/>
    <w:rsid w:val="00AB1184"/>
    <w:rsid w:val="00AC2180"/>
    <w:rsid w:val="00AD1D54"/>
    <w:rsid w:val="00AD5F35"/>
    <w:rsid w:val="00AD7B20"/>
    <w:rsid w:val="00AF1822"/>
    <w:rsid w:val="00B05215"/>
    <w:rsid w:val="00B1678B"/>
    <w:rsid w:val="00B24706"/>
    <w:rsid w:val="00B26209"/>
    <w:rsid w:val="00B437D7"/>
    <w:rsid w:val="00B43AF1"/>
    <w:rsid w:val="00B501AC"/>
    <w:rsid w:val="00B71DB9"/>
    <w:rsid w:val="00B757EB"/>
    <w:rsid w:val="00B77BD3"/>
    <w:rsid w:val="00B77F5B"/>
    <w:rsid w:val="00B97191"/>
    <w:rsid w:val="00B9780C"/>
    <w:rsid w:val="00BA29C7"/>
    <w:rsid w:val="00BA5160"/>
    <w:rsid w:val="00BA5B51"/>
    <w:rsid w:val="00BA6EE2"/>
    <w:rsid w:val="00BB0897"/>
    <w:rsid w:val="00BB6B24"/>
    <w:rsid w:val="00BC3CFF"/>
    <w:rsid w:val="00BC4FBC"/>
    <w:rsid w:val="00BC5E4A"/>
    <w:rsid w:val="00BD13D1"/>
    <w:rsid w:val="00BD214E"/>
    <w:rsid w:val="00BE1911"/>
    <w:rsid w:val="00BF1FB6"/>
    <w:rsid w:val="00BF2BD5"/>
    <w:rsid w:val="00C05088"/>
    <w:rsid w:val="00C1309C"/>
    <w:rsid w:val="00C20698"/>
    <w:rsid w:val="00C23AF6"/>
    <w:rsid w:val="00C36D6E"/>
    <w:rsid w:val="00C37CB0"/>
    <w:rsid w:val="00C53F9D"/>
    <w:rsid w:val="00C568DE"/>
    <w:rsid w:val="00C674A7"/>
    <w:rsid w:val="00C739EC"/>
    <w:rsid w:val="00C77035"/>
    <w:rsid w:val="00C801D2"/>
    <w:rsid w:val="00CA309C"/>
    <w:rsid w:val="00CA46FA"/>
    <w:rsid w:val="00CA7827"/>
    <w:rsid w:val="00CA7FC9"/>
    <w:rsid w:val="00CB4151"/>
    <w:rsid w:val="00CB5DA5"/>
    <w:rsid w:val="00CB789C"/>
    <w:rsid w:val="00CC00DE"/>
    <w:rsid w:val="00CC726B"/>
    <w:rsid w:val="00CD2927"/>
    <w:rsid w:val="00CD3715"/>
    <w:rsid w:val="00CE64E4"/>
    <w:rsid w:val="00CE78DF"/>
    <w:rsid w:val="00CF7A4E"/>
    <w:rsid w:val="00D036AD"/>
    <w:rsid w:val="00D066D3"/>
    <w:rsid w:val="00D10DAC"/>
    <w:rsid w:val="00D15A05"/>
    <w:rsid w:val="00D16362"/>
    <w:rsid w:val="00D16568"/>
    <w:rsid w:val="00D16BDD"/>
    <w:rsid w:val="00D25A33"/>
    <w:rsid w:val="00D26319"/>
    <w:rsid w:val="00D46CF8"/>
    <w:rsid w:val="00D4739B"/>
    <w:rsid w:val="00D7063A"/>
    <w:rsid w:val="00D73E25"/>
    <w:rsid w:val="00D81BB9"/>
    <w:rsid w:val="00D8266B"/>
    <w:rsid w:val="00D84C59"/>
    <w:rsid w:val="00D86AC9"/>
    <w:rsid w:val="00D87E08"/>
    <w:rsid w:val="00D94B1F"/>
    <w:rsid w:val="00D96CA1"/>
    <w:rsid w:val="00DA4D91"/>
    <w:rsid w:val="00DA5D67"/>
    <w:rsid w:val="00DD2ED8"/>
    <w:rsid w:val="00DE15CB"/>
    <w:rsid w:val="00DF01E7"/>
    <w:rsid w:val="00DF1FD7"/>
    <w:rsid w:val="00DF2DC9"/>
    <w:rsid w:val="00E045A2"/>
    <w:rsid w:val="00E1134D"/>
    <w:rsid w:val="00E23DFF"/>
    <w:rsid w:val="00E37F64"/>
    <w:rsid w:val="00E424B6"/>
    <w:rsid w:val="00E62E7E"/>
    <w:rsid w:val="00E63996"/>
    <w:rsid w:val="00E643E6"/>
    <w:rsid w:val="00E6788A"/>
    <w:rsid w:val="00E72D79"/>
    <w:rsid w:val="00E74BD4"/>
    <w:rsid w:val="00EA04A6"/>
    <w:rsid w:val="00EB0A32"/>
    <w:rsid w:val="00EC6919"/>
    <w:rsid w:val="00ED0B3B"/>
    <w:rsid w:val="00ED2339"/>
    <w:rsid w:val="00ED4FC2"/>
    <w:rsid w:val="00EE1A99"/>
    <w:rsid w:val="00EF08B8"/>
    <w:rsid w:val="00EF2732"/>
    <w:rsid w:val="00EF3CF0"/>
    <w:rsid w:val="00EF55B6"/>
    <w:rsid w:val="00EF5707"/>
    <w:rsid w:val="00EF7A67"/>
    <w:rsid w:val="00F1020D"/>
    <w:rsid w:val="00F20983"/>
    <w:rsid w:val="00F23EF4"/>
    <w:rsid w:val="00F3369B"/>
    <w:rsid w:val="00F37342"/>
    <w:rsid w:val="00F419A3"/>
    <w:rsid w:val="00F42E3C"/>
    <w:rsid w:val="00F43D27"/>
    <w:rsid w:val="00F4637F"/>
    <w:rsid w:val="00F52DAE"/>
    <w:rsid w:val="00F53951"/>
    <w:rsid w:val="00F54375"/>
    <w:rsid w:val="00F56D92"/>
    <w:rsid w:val="00F60771"/>
    <w:rsid w:val="00F6656D"/>
    <w:rsid w:val="00F7486B"/>
    <w:rsid w:val="00F87AC9"/>
    <w:rsid w:val="00FA13F2"/>
    <w:rsid w:val="00FC0462"/>
    <w:rsid w:val="00FC3FA4"/>
    <w:rsid w:val="00FE1CF1"/>
    <w:rsid w:val="00FF0787"/>
    <w:rsid w:val="00FF1334"/>
    <w:rsid w:val="00FF21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83"/>
    <w:rPr>
      <w:rFonts w:ascii="Cambria" w:eastAsia="?????? Pro W3" w:hAnsi="Cambria"/>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next w:val="Body"/>
    <w:uiPriority w:val="99"/>
    <w:rsid w:val="00126783"/>
    <w:pPr>
      <w:keepNext/>
      <w:outlineLvl w:val="1"/>
    </w:pPr>
    <w:rPr>
      <w:rFonts w:ascii="Helvetica" w:eastAsia="?????? Pro W3" w:hAnsi="Helvetica"/>
      <w:b/>
      <w:color w:val="000000"/>
      <w:sz w:val="24"/>
      <w:lang w:eastAsia="it-IT"/>
    </w:rPr>
  </w:style>
  <w:style w:type="paragraph" w:customStyle="1" w:styleId="FreeFormA">
    <w:name w:val="Free Form A"/>
    <w:uiPriority w:val="99"/>
    <w:rsid w:val="00126783"/>
    <w:rPr>
      <w:rFonts w:eastAsia="?????? Pro W3"/>
      <w:color w:val="000000"/>
      <w:lang w:val="it-IT" w:eastAsia="it-IT"/>
    </w:rPr>
  </w:style>
  <w:style w:type="paragraph" w:customStyle="1" w:styleId="Normale1">
    <w:name w:val="Normale1"/>
    <w:uiPriority w:val="99"/>
    <w:rsid w:val="00126783"/>
    <w:rPr>
      <w:rFonts w:eastAsia="?????? Pro W3"/>
      <w:color w:val="000000"/>
      <w:sz w:val="24"/>
      <w:lang w:val="it-IT" w:eastAsia="it-IT"/>
    </w:rPr>
  </w:style>
  <w:style w:type="paragraph" w:customStyle="1" w:styleId="ProtocolText-AllLevelsCharCharCharChar">
    <w:name w:val="Protocol Text - All Levels Char Char Char Char"/>
    <w:autoRedefine/>
    <w:uiPriority w:val="99"/>
    <w:rsid w:val="00126783"/>
    <w:pPr>
      <w:spacing w:line="360" w:lineRule="auto"/>
      <w:ind w:firstLine="720"/>
      <w:jc w:val="both"/>
    </w:pPr>
    <w:rPr>
      <w:rFonts w:ascii="Arial" w:eastAsia="?????? Pro W3" w:hAnsi="Arial"/>
      <w:color w:val="000000"/>
      <w:sz w:val="22"/>
      <w:lang w:eastAsia="it-IT"/>
    </w:rPr>
  </w:style>
  <w:style w:type="paragraph" w:customStyle="1" w:styleId="NormaleWeb1">
    <w:name w:val="Normale (Web)1"/>
    <w:uiPriority w:val="99"/>
    <w:rsid w:val="00126783"/>
    <w:rPr>
      <w:rFonts w:ascii="Times" w:eastAsia="?????? Pro W3" w:hAnsi="Times"/>
      <w:color w:val="000000"/>
      <w:lang w:eastAsia="it-IT"/>
    </w:rPr>
  </w:style>
  <w:style w:type="paragraph" w:customStyle="1" w:styleId="FreeForm">
    <w:name w:val="Free Form"/>
    <w:uiPriority w:val="99"/>
    <w:rsid w:val="00126783"/>
    <w:rPr>
      <w:rFonts w:eastAsia="?????? Pro W3"/>
      <w:color w:val="000000"/>
      <w:lang w:val="it-IT" w:eastAsia="it-IT"/>
    </w:rPr>
  </w:style>
  <w:style w:type="paragraph" w:customStyle="1" w:styleId="Body">
    <w:name w:val="Body"/>
    <w:uiPriority w:val="99"/>
    <w:rsid w:val="00126783"/>
    <w:rPr>
      <w:rFonts w:ascii="Helvetica" w:eastAsia="?????? Pro W3" w:hAnsi="Helvetica"/>
      <w:color w:val="000000"/>
      <w:sz w:val="24"/>
      <w:lang w:eastAsia="it-IT"/>
    </w:rPr>
  </w:style>
  <w:style w:type="character" w:styleId="a3">
    <w:name w:val="annotation reference"/>
    <w:uiPriority w:val="99"/>
    <w:locked/>
    <w:rsid w:val="00A621D2"/>
    <w:rPr>
      <w:rFonts w:cs="Times New Roman"/>
      <w:sz w:val="16"/>
    </w:rPr>
  </w:style>
  <w:style w:type="paragraph" w:styleId="a4">
    <w:name w:val="annotation text"/>
    <w:basedOn w:val="a"/>
    <w:link w:val="Char"/>
    <w:locked/>
    <w:rsid w:val="00A621D2"/>
    <w:rPr>
      <w:sz w:val="20"/>
      <w:szCs w:val="20"/>
    </w:rPr>
  </w:style>
  <w:style w:type="character" w:customStyle="1" w:styleId="Char">
    <w:name w:val="批注文字 Char"/>
    <w:link w:val="a4"/>
    <w:locked/>
    <w:rsid w:val="00A621D2"/>
    <w:rPr>
      <w:rFonts w:ascii="Cambria" w:eastAsia="?????? Pro W3" w:hAnsi="Cambria" w:cs="Times New Roman"/>
      <w:color w:val="000000"/>
      <w:lang w:val="en-US" w:eastAsia="en-US"/>
    </w:rPr>
  </w:style>
  <w:style w:type="paragraph" w:styleId="a5">
    <w:name w:val="annotation subject"/>
    <w:basedOn w:val="a4"/>
    <w:next w:val="a4"/>
    <w:link w:val="Char0"/>
    <w:uiPriority w:val="99"/>
    <w:locked/>
    <w:rsid w:val="00A621D2"/>
    <w:rPr>
      <w:b/>
      <w:bCs/>
    </w:rPr>
  </w:style>
  <w:style w:type="character" w:customStyle="1" w:styleId="Char0">
    <w:name w:val="批注主题 Char"/>
    <w:link w:val="a5"/>
    <w:uiPriority w:val="99"/>
    <w:locked/>
    <w:rsid w:val="00A621D2"/>
    <w:rPr>
      <w:rFonts w:ascii="Cambria" w:eastAsia="?????? Pro W3" w:hAnsi="Cambria" w:cs="Times New Roman"/>
      <w:b/>
      <w:color w:val="000000"/>
      <w:lang w:val="en-US" w:eastAsia="en-US"/>
    </w:rPr>
  </w:style>
  <w:style w:type="paragraph" w:styleId="a6">
    <w:name w:val="Balloon Text"/>
    <w:basedOn w:val="a"/>
    <w:link w:val="Char1"/>
    <w:uiPriority w:val="99"/>
    <w:locked/>
    <w:rsid w:val="00A621D2"/>
    <w:rPr>
      <w:rFonts w:ascii="Tahoma" w:hAnsi="Tahoma"/>
      <w:sz w:val="16"/>
      <w:szCs w:val="16"/>
    </w:rPr>
  </w:style>
  <w:style w:type="character" w:customStyle="1" w:styleId="Char1">
    <w:name w:val="批注框文本 Char"/>
    <w:link w:val="a6"/>
    <w:uiPriority w:val="99"/>
    <w:locked/>
    <w:rsid w:val="00A621D2"/>
    <w:rPr>
      <w:rFonts w:ascii="Tahoma" w:eastAsia="?????? Pro W3" w:hAnsi="Tahoma" w:cs="Times New Roman"/>
      <w:color w:val="000000"/>
      <w:sz w:val="16"/>
      <w:lang w:val="en-US" w:eastAsia="en-US"/>
    </w:rPr>
  </w:style>
  <w:style w:type="paragraph" w:customStyle="1" w:styleId="2-21">
    <w:name w:val="中等深浅列表 2 - 强调文字颜色 21"/>
    <w:hidden/>
    <w:uiPriority w:val="99"/>
    <w:rsid w:val="005A0996"/>
    <w:rPr>
      <w:rFonts w:ascii="Cambria" w:eastAsia="?????? Pro W3" w:hAnsi="Cambria"/>
      <w:color w:val="000000"/>
      <w:sz w:val="24"/>
      <w:szCs w:val="24"/>
      <w:lang w:eastAsia="en-US"/>
    </w:rPr>
  </w:style>
  <w:style w:type="character" w:styleId="a7">
    <w:name w:val="Strong"/>
    <w:uiPriority w:val="99"/>
    <w:qFormat/>
    <w:locked/>
    <w:rsid w:val="00B05215"/>
    <w:rPr>
      <w:rFonts w:cs="Times New Roman"/>
      <w:b/>
    </w:rPr>
  </w:style>
  <w:style w:type="table" w:styleId="a8">
    <w:name w:val="Table Grid"/>
    <w:basedOn w:val="a1"/>
    <w:uiPriority w:val="99"/>
    <w:locked/>
    <w:rsid w:val="0096203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locked/>
    <w:rsid w:val="003D255E"/>
    <w:rPr>
      <w:rFonts w:cs="Times New Roman"/>
      <w:color w:val="0000FF"/>
      <w:u w:val="single"/>
    </w:rPr>
  </w:style>
  <w:style w:type="paragraph" w:styleId="aa">
    <w:name w:val="footer"/>
    <w:basedOn w:val="a"/>
    <w:link w:val="Char2"/>
    <w:uiPriority w:val="99"/>
    <w:locked/>
    <w:rsid w:val="00954D50"/>
    <w:pPr>
      <w:tabs>
        <w:tab w:val="center" w:pos="4819"/>
        <w:tab w:val="right" w:pos="9638"/>
      </w:tabs>
    </w:pPr>
  </w:style>
  <w:style w:type="character" w:customStyle="1" w:styleId="Char2">
    <w:name w:val="页脚 Char"/>
    <w:link w:val="aa"/>
    <w:uiPriority w:val="99"/>
    <w:locked/>
    <w:rsid w:val="00954D50"/>
    <w:rPr>
      <w:rFonts w:ascii="Cambria" w:eastAsia="?????? Pro W3" w:hAnsi="Cambria" w:cs="Times New Roman"/>
      <w:color w:val="000000"/>
      <w:sz w:val="24"/>
      <w:lang w:val="en-US" w:eastAsia="en-US"/>
    </w:rPr>
  </w:style>
  <w:style w:type="character" w:styleId="ab">
    <w:name w:val="page number"/>
    <w:uiPriority w:val="99"/>
    <w:locked/>
    <w:rsid w:val="00954D50"/>
    <w:rPr>
      <w:rFonts w:cs="Times New Roman"/>
    </w:rPr>
  </w:style>
  <w:style w:type="paragraph" w:styleId="ac">
    <w:name w:val="header"/>
    <w:basedOn w:val="a"/>
    <w:link w:val="Char3"/>
    <w:uiPriority w:val="99"/>
    <w:locked/>
    <w:rsid w:val="004C0076"/>
    <w:pPr>
      <w:tabs>
        <w:tab w:val="center" w:pos="4819"/>
        <w:tab w:val="right" w:pos="9638"/>
      </w:tabs>
    </w:pPr>
  </w:style>
  <w:style w:type="character" w:customStyle="1" w:styleId="Char3">
    <w:name w:val="页眉 Char"/>
    <w:link w:val="ac"/>
    <w:uiPriority w:val="99"/>
    <w:locked/>
    <w:rsid w:val="004C0076"/>
    <w:rPr>
      <w:rFonts w:ascii="Cambria" w:eastAsia="?????? Pro W3" w:hAnsi="Cambria" w:cs="Times New Roman"/>
      <w:color w:val="000000"/>
      <w:sz w:val="24"/>
      <w:lang w:val="en-US" w:eastAsia="en-US"/>
    </w:rPr>
  </w:style>
  <w:style w:type="paragraph" w:customStyle="1" w:styleId="p0">
    <w:name w:val="p0"/>
    <w:basedOn w:val="a"/>
    <w:uiPriority w:val="99"/>
    <w:rsid w:val="00044243"/>
    <w:pPr>
      <w:spacing w:line="240" w:lineRule="atLeast"/>
    </w:pPr>
    <w:rPr>
      <w:rFonts w:ascii="Century" w:eastAsia="宋体" w:hAnsi="Century" w:cs="宋体"/>
      <w:color w:val="auto"/>
      <w:sz w:val="21"/>
      <w:szCs w:val="21"/>
      <w:lang w:eastAsia="zh-CN"/>
    </w:rPr>
  </w:style>
  <w:style w:type="paragraph" w:customStyle="1" w:styleId="1">
    <w:name w:val="列出段落1"/>
    <w:basedOn w:val="a"/>
    <w:uiPriority w:val="99"/>
    <w:rsid w:val="00044243"/>
    <w:pPr>
      <w:suppressAutoHyphens/>
      <w:ind w:firstLineChars="200" w:firstLine="420"/>
    </w:pPr>
    <w:rPr>
      <w:rFonts w:ascii="Times New Roman" w:eastAsia="宋体" w:hAnsi="Times New Roman" w:cs="Mangal"/>
      <w:color w:val="auto"/>
      <w:kern w:val="1"/>
      <w:szCs w:val="21"/>
      <w:lang w:val="it-IT" w:eastAsia="hi-IN" w:bidi="hi-IN"/>
    </w:rPr>
  </w:style>
  <w:style w:type="character" w:customStyle="1" w:styleId="labellist1">
    <w:name w:val="label_list1"/>
    <w:rsid w:val="00044243"/>
  </w:style>
  <w:style w:type="character" w:customStyle="1" w:styleId="highlight2">
    <w:name w:val="highlight2"/>
    <w:uiPriority w:val="99"/>
    <w:rsid w:val="005B228A"/>
    <w:rPr>
      <w:rFonts w:cs="Times New Roman"/>
    </w:rPr>
  </w:style>
  <w:style w:type="character" w:styleId="ad">
    <w:name w:val="FollowedHyperlink"/>
    <w:uiPriority w:val="99"/>
    <w:locked/>
    <w:rsid w:val="0018214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83"/>
    <w:rPr>
      <w:rFonts w:ascii="Cambria" w:eastAsia="?????? Pro W3" w:hAnsi="Cambria"/>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next w:val="Body"/>
    <w:uiPriority w:val="99"/>
    <w:rsid w:val="00126783"/>
    <w:pPr>
      <w:keepNext/>
      <w:outlineLvl w:val="1"/>
    </w:pPr>
    <w:rPr>
      <w:rFonts w:ascii="Helvetica" w:eastAsia="?????? Pro W3" w:hAnsi="Helvetica"/>
      <w:b/>
      <w:color w:val="000000"/>
      <w:sz w:val="24"/>
      <w:lang w:eastAsia="it-IT"/>
    </w:rPr>
  </w:style>
  <w:style w:type="paragraph" w:customStyle="1" w:styleId="FreeFormA">
    <w:name w:val="Free Form A"/>
    <w:uiPriority w:val="99"/>
    <w:rsid w:val="00126783"/>
    <w:rPr>
      <w:rFonts w:eastAsia="?????? Pro W3"/>
      <w:color w:val="000000"/>
      <w:lang w:val="it-IT" w:eastAsia="it-IT"/>
    </w:rPr>
  </w:style>
  <w:style w:type="paragraph" w:customStyle="1" w:styleId="Normale1">
    <w:name w:val="Normale1"/>
    <w:uiPriority w:val="99"/>
    <w:rsid w:val="00126783"/>
    <w:rPr>
      <w:rFonts w:eastAsia="?????? Pro W3"/>
      <w:color w:val="000000"/>
      <w:sz w:val="24"/>
      <w:lang w:val="it-IT" w:eastAsia="it-IT"/>
    </w:rPr>
  </w:style>
  <w:style w:type="paragraph" w:customStyle="1" w:styleId="ProtocolText-AllLevelsCharCharCharChar">
    <w:name w:val="Protocol Text - All Levels Char Char Char Char"/>
    <w:autoRedefine/>
    <w:uiPriority w:val="99"/>
    <w:rsid w:val="00126783"/>
    <w:pPr>
      <w:spacing w:line="360" w:lineRule="auto"/>
      <w:ind w:firstLine="720"/>
      <w:jc w:val="both"/>
    </w:pPr>
    <w:rPr>
      <w:rFonts w:ascii="Arial" w:eastAsia="?????? Pro W3" w:hAnsi="Arial"/>
      <w:color w:val="000000"/>
      <w:sz w:val="22"/>
      <w:lang w:eastAsia="it-IT"/>
    </w:rPr>
  </w:style>
  <w:style w:type="paragraph" w:customStyle="1" w:styleId="NormaleWeb1">
    <w:name w:val="Normale (Web)1"/>
    <w:uiPriority w:val="99"/>
    <w:rsid w:val="00126783"/>
    <w:rPr>
      <w:rFonts w:ascii="Times" w:eastAsia="?????? Pro W3" w:hAnsi="Times"/>
      <w:color w:val="000000"/>
      <w:lang w:eastAsia="it-IT"/>
    </w:rPr>
  </w:style>
  <w:style w:type="paragraph" w:customStyle="1" w:styleId="FreeForm">
    <w:name w:val="Free Form"/>
    <w:uiPriority w:val="99"/>
    <w:rsid w:val="00126783"/>
    <w:rPr>
      <w:rFonts w:eastAsia="?????? Pro W3"/>
      <w:color w:val="000000"/>
      <w:lang w:val="it-IT" w:eastAsia="it-IT"/>
    </w:rPr>
  </w:style>
  <w:style w:type="paragraph" w:customStyle="1" w:styleId="Body">
    <w:name w:val="Body"/>
    <w:uiPriority w:val="99"/>
    <w:rsid w:val="00126783"/>
    <w:rPr>
      <w:rFonts w:ascii="Helvetica" w:eastAsia="?????? Pro W3" w:hAnsi="Helvetica"/>
      <w:color w:val="000000"/>
      <w:sz w:val="24"/>
      <w:lang w:eastAsia="it-IT"/>
    </w:rPr>
  </w:style>
  <w:style w:type="character" w:styleId="a3">
    <w:name w:val="annotation reference"/>
    <w:uiPriority w:val="99"/>
    <w:locked/>
    <w:rsid w:val="00A621D2"/>
    <w:rPr>
      <w:rFonts w:cs="Times New Roman"/>
      <w:sz w:val="16"/>
    </w:rPr>
  </w:style>
  <w:style w:type="paragraph" w:styleId="a4">
    <w:name w:val="annotation text"/>
    <w:basedOn w:val="a"/>
    <w:link w:val="Char"/>
    <w:locked/>
    <w:rsid w:val="00A621D2"/>
    <w:rPr>
      <w:sz w:val="20"/>
      <w:szCs w:val="20"/>
    </w:rPr>
  </w:style>
  <w:style w:type="character" w:customStyle="1" w:styleId="Char">
    <w:name w:val="批注文字 Char"/>
    <w:link w:val="a4"/>
    <w:locked/>
    <w:rsid w:val="00A621D2"/>
    <w:rPr>
      <w:rFonts w:ascii="Cambria" w:eastAsia="?????? Pro W3" w:hAnsi="Cambria" w:cs="Times New Roman"/>
      <w:color w:val="000000"/>
      <w:lang w:val="en-US" w:eastAsia="en-US"/>
    </w:rPr>
  </w:style>
  <w:style w:type="paragraph" w:styleId="a5">
    <w:name w:val="annotation subject"/>
    <w:basedOn w:val="a4"/>
    <w:next w:val="a4"/>
    <w:link w:val="Char0"/>
    <w:uiPriority w:val="99"/>
    <w:locked/>
    <w:rsid w:val="00A621D2"/>
    <w:rPr>
      <w:b/>
      <w:bCs/>
    </w:rPr>
  </w:style>
  <w:style w:type="character" w:customStyle="1" w:styleId="Char0">
    <w:name w:val="批注主题 Char"/>
    <w:link w:val="a5"/>
    <w:uiPriority w:val="99"/>
    <w:locked/>
    <w:rsid w:val="00A621D2"/>
    <w:rPr>
      <w:rFonts w:ascii="Cambria" w:eastAsia="?????? Pro W3" w:hAnsi="Cambria" w:cs="Times New Roman"/>
      <w:b/>
      <w:color w:val="000000"/>
      <w:lang w:val="en-US" w:eastAsia="en-US"/>
    </w:rPr>
  </w:style>
  <w:style w:type="paragraph" w:styleId="a6">
    <w:name w:val="Balloon Text"/>
    <w:basedOn w:val="a"/>
    <w:link w:val="Char1"/>
    <w:uiPriority w:val="99"/>
    <w:locked/>
    <w:rsid w:val="00A621D2"/>
    <w:rPr>
      <w:rFonts w:ascii="Tahoma" w:hAnsi="Tahoma"/>
      <w:sz w:val="16"/>
      <w:szCs w:val="16"/>
    </w:rPr>
  </w:style>
  <w:style w:type="character" w:customStyle="1" w:styleId="Char1">
    <w:name w:val="批注框文本 Char"/>
    <w:link w:val="a6"/>
    <w:uiPriority w:val="99"/>
    <w:locked/>
    <w:rsid w:val="00A621D2"/>
    <w:rPr>
      <w:rFonts w:ascii="Tahoma" w:eastAsia="?????? Pro W3" w:hAnsi="Tahoma" w:cs="Times New Roman"/>
      <w:color w:val="000000"/>
      <w:sz w:val="16"/>
      <w:lang w:val="en-US" w:eastAsia="en-US"/>
    </w:rPr>
  </w:style>
  <w:style w:type="paragraph" w:customStyle="1" w:styleId="2-21">
    <w:name w:val="中等深浅列表 2 - 强调文字颜色 21"/>
    <w:hidden/>
    <w:uiPriority w:val="99"/>
    <w:rsid w:val="005A0996"/>
    <w:rPr>
      <w:rFonts w:ascii="Cambria" w:eastAsia="?????? Pro W3" w:hAnsi="Cambria"/>
      <w:color w:val="000000"/>
      <w:sz w:val="24"/>
      <w:szCs w:val="24"/>
      <w:lang w:eastAsia="en-US"/>
    </w:rPr>
  </w:style>
  <w:style w:type="character" w:styleId="a7">
    <w:name w:val="Strong"/>
    <w:uiPriority w:val="99"/>
    <w:qFormat/>
    <w:locked/>
    <w:rsid w:val="00B05215"/>
    <w:rPr>
      <w:rFonts w:cs="Times New Roman"/>
      <w:b/>
    </w:rPr>
  </w:style>
  <w:style w:type="table" w:styleId="a8">
    <w:name w:val="Table Grid"/>
    <w:basedOn w:val="a1"/>
    <w:uiPriority w:val="99"/>
    <w:locked/>
    <w:rsid w:val="0096203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locked/>
    <w:rsid w:val="003D255E"/>
    <w:rPr>
      <w:rFonts w:cs="Times New Roman"/>
      <w:color w:val="0000FF"/>
      <w:u w:val="single"/>
    </w:rPr>
  </w:style>
  <w:style w:type="paragraph" w:styleId="aa">
    <w:name w:val="footer"/>
    <w:basedOn w:val="a"/>
    <w:link w:val="Char2"/>
    <w:uiPriority w:val="99"/>
    <w:locked/>
    <w:rsid w:val="00954D50"/>
    <w:pPr>
      <w:tabs>
        <w:tab w:val="center" w:pos="4819"/>
        <w:tab w:val="right" w:pos="9638"/>
      </w:tabs>
    </w:pPr>
  </w:style>
  <w:style w:type="character" w:customStyle="1" w:styleId="Char2">
    <w:name w:val="页脚 Char"/>
    <w:link w:val="aa"/>
    <w:uiPriority w:val="99"/>
    <w:locked/>
    <w:rsid w:val="00954D50"/>
    <w:rPr>
      <w:rFonts w:ascii="Cambria" w:eastAsia="?????? Pro W3" w:hAnsi="Cambria" w:cs="Times New Roman"/>
      <w:color w:val="000000"/>
      <w:sz w:val="24"/>
      <w:lang w:val="en-US" w:eastAsia="en-US"/>
    </w:rPr>
  </w:style>
  <w:style w:type="character" w:styleId="ab">
    <w:name w:val="page number"/>
    <w:uiPriority w:val="99"/>
    <w:locked/>
    <w:rsid w:val="00954D50"/>
    <w:rPr>
      <w:rFonts w:cs="Times New Roman"/>
    </w:rPr>
  </w:style>
  <w:style w:type="paragraph" w:styleId="ac">
    <w:name w:val="header"/>
    <w:basedOn w:val="a"/>
    <w:link w:val="Char3"/>
    <w:uiPriority w:val="99"/>
    <w:locked/>
    <w:rsid w:val="004C0076"/>
    <w:pPr>
      <w:tabs>
        <w:tab w:val="center" w:pos="4819"/>
        <w:tab w:val="right" w:pos="9638"/>
      </w:tabs>
    </w:pPr>
  </w:style>
  <w:style w:type="character" w:customStyle="1" w:styleId="Char3">
    <w:name w:val="页眉 Char"/>
    <w:link w:val="ac"/>
    <w:uiPriority w:val="99"/>
    <w:locked/>
    <w:rsid w:val="004C0076"/>
    <w:rPr>
      <w:rFonts w:ascii="Cambria" w:eastAsia="?????? Pro W3" w:hAnsi="Cambria" w:cs="Times New Roman"/>
      <w:color w:val="000000"/>
      <w:sz w:val="24"/>
      <w:lang w:val="en-US" w:eastAsia="en-US"/>
    </w:rPr>
  </w:style>
  <w:style w:type="paragraph" w:customStyle="1" w:styleId="p0">
    <w:name w:val="p0"/>
    <w:basedOn w:val="a"/>
    <w:uiPriority w:val="99"/>
    <w:rsid w:val="00044243"/>
    <w:pPr>
      <w:spacing w:line="240" w:lineRule="atLeast"/>
    </w:pPr>
    <w:rPr>
      <w:rFonts w:ascii="Century" w:eastAsia="宋体" w:hAnsi="Century" w:cs="宋体"/>
      <w:color w:val="auto"/>
      <w:sz w:val="21"/>
      <w:szCs w:val="21"/>
      <w:lang w:eastAsia="zh-CN"/>
    </w:rPr>
  </w:style>
  <w:style w:type="paragraph" w:customStyle="1" w:styleId="1">
    <w:name w:val="列出段落1"/>
    <w:basedOn w:val="a"/>
    <w:uiPriority w:val="99"/>
    <w:rsid w:val="00044243"/>
    <w:pPr>
      <w:suppressAutoHyphens/>
      <w:ind w:firstLineChars="200" w:firstLine="420"/>
    </w:pPr>
    <w:rPr>
      <w:rFonts w:ascii="Times New Roman" w:eastAsia="宋体" w:hAnsi="Times New Roman" w:cs="Mangal"/>
      <w:color w:val="auto"/>
      <w:kern w:val="1"/>
      <w:szCs w:val="21"/>
      <w:lang w:val="it-IT" w:eastAsia="hi-IN" w:bidi="hi-IN"/>
    </w:rPr>
  </w:style>
  <w:style w:type="character" w:customStyle="1" w:styleId="labellist1">
    <w:name w:val="label_list1"/>
    <w:rsid w:val="00044243"/>
  </w:style>
  <w:style w:type="character" w:customStyle="1" w:styleId="highlight2">
    <w:name w:val="highlight2"/>
    <w:uiPriority w:val="99"/>
    <w:rsid w:val="005B228A"/>
    <w:rPr>
      <w:rFonts w:cs="Times New Roman"/>
    </w:rPr>
  </w:style>
  <w:style w:type="character" w:styleId="ad">
    <w:name w:val="FollowedHyperlink"/>
    <w:uiPriority w:val="99"/>
    <w:locked/>
    <w:rsid w:val="0018214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76937">
      <w:marLeft w:val="0"/>
      <w:marRight w:val="0"/>
      <w:marTop w:val="0"/>
      <w:marBottom w:val="0"/>
      <w:divBdr>
        <w:top w:val="none" w:sz="0" w:space="0" w:color="auto"/>
        <w:left w:val="none" w:sz="0" w:space="0" w:color="auto"/>
        <w:bottom w:val="none" w:sz="0" w:space="0" w:color="auto"/>
        <w:right w:val="none" w:sz="0" w:space="0" w:color="auto"/>
      </w:divBdr>
      <w:divsChild>
        <w:div w:id="620577010">
          <w:marLeft w:val="0"/>
          <w:marRight w:val="0"/>
          <w:marTop w:val="0"/>
          <w:marBottom w:val="0"/>
          <w:divBdr>
            <w:top w:val="none" w:sz="0" w:space="0" w:color="auto"/>
            <w:left w:val="none" w:sz="0" w:space="0" w:color="auto"/>
            <w:bottom w:val="none" w:sz="0" w:space="0" w:color="auto"/>
            <w:right w:val="none" w:sz="0" w:space="0" w:color="auto"/>
          </w:divBdr>
          <w:divsChild>
            <w:div w:id="620576955">
              <w:marLeft w:val="0"/>
              <w:marRight w:val="0"/>
              <w:marTop w:val="0"/>
              <w:marBottom w:val="0"/>
              <w:divBdr>
                <w:top w:val="none" w:sz="0" w:space="0" w:color="auto"/>
                <w:left w:val="none" w:sz="0" w:space="0" w:color="auto"/>
                <w:bottom w:val="none" w:sz="0" w:space="0" w:color="auto"/>
                <w:right w:val="none" w:sz="0" w:space="0" w:color="auto"/>
              </w:divBdr>
              <w:divsChild>
                <w:div w:id="620576979">
                  <w:marLeft w:val="0"/>
                  <w:marRight w:val="0"/>
                  <w:marTop w:val="0"/>
                  <w:marBottom w:val="0"/>
                  <w:divBdr>
                    <w:top w:val="none" w:sz="0" w:space="0" w:color="auto"/>
                    <w:left w:val="none" w:sz="0" w:space="0" w:color="auto"/>
                    <w:bottom w:val="none" w:sz="0" w:space="0" w:color="auto"/>
                    <w:right w:val="none" w:sz="0" w:space="0" w:color="auto"/>
                  </w:divBdr>
                  <w:divsChild>
                    <w:div w:id="620576941">
                      <w:marLeft w:val="0"/>
                      <w:marRight w:val="0"/>
                      <w:marTop w:val="0"/>
                      <w:marBottom w:val="0"/>
                      <w:divBdr>
                        <w:top w:val="none" w:sz="0" w:space="0" w:color="auto"/>
                        <w:left w:val="none" w:sz="0" w:space="0" w:color="auto"/>
                        <w:bottom w:val="none" w:sz="0" w:space="0" w:color="auto"/>
                        <w:right w:val="none" w:sz="0" w:space="0" w:color="auto"/>
                      </w:divBdr>
                      <w:divsChild>
                        <w:div w:id="620576966">
                          <w:marLeft w:val="0"/>
                          <w:marRight w:val="0"/>
                          <w:marTop w:val="0"/>
                          <w:marBottom w:val="0"/>
                          <w:divBdr>
                            <w:top w:val="none" w:sz="0" w:space="0" w:color="auto"/>
                            <w:left w:val="none" w:sz="0" w:space="0" w:color="auto"/>
                            <w:bottom w:val="none" w:sz="0" w:space="0" w:color="auto"/>
                            <w:right w:val="none" w:sz="0" w:space="0" w:color="auto"/>
                          </w:divBdr>
                          <w:divsChild>
                            <w:div w:id="620576990">
                              <w:marLeft w:val="0"/>
                              <w:marRight w:val="0"/>
                              <w:marTop w:val="0"/>
                              <w:marBottom w:val="0"/>
                              <w:divBdr>
                                <w:top w:val="none" w:sz="0" w:space="0" w:color="auto"/>
                                <w:left w:val="none" w:sz="0" w:space="0" w:color="auto"/>
                                <w:bottom w:val="none" w:sz="0" w:space="0" w:color="auto"/>
                                <w:right w:val="none" w:sz="0" w:space="0" w:color="auto"/>
                              </w:divBdr>
                              <w:divsChild>
                                <w:div w:id="6205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6946">
      <w:marLeft w:val="0"/>
      <w:marRight w:val="0"/>
      <w:marTop w:val="0"/>
      <w:marBottom w:val="0"/>
      <w:divBdr>
        <w:top w:val="none" w:sz="0" w:space="0" w:color="auto"/>
        <w:left w:val="none" w:sz="0" w:space="0" w:color="auto"/>
        <w:bottom w:val="none" w:sz="0" w:space="0" w:color="auto"/>
        <w:right w:val="none" w:sz="0" w:space="0" w:color="auto"/>
      </w:divBdr>
    </w:div>
    <w:div w:id="620576957">
      <w:marLeft w:val="0"/>
      <w:marRight w:val="0"/>
      <w:marTop w:val="0"/>
      <w:marBottom w:val="0"/>
      <w:divBdr>
        <w:top w:val="none" w:sz="0" w:space="0" w:color="auto"/>
        <w:left w:val="none" w:sz="0" w:space="0" w:color="auto"/>
        <w:bottom w:val="none" w:sz="0" w:space="0" w:color="auto"/>
        <w:right w:val="none" w:sz="0" w:space="0" w:color="auto"/>
      </w:divBdr>
    </w:div>
    <w:div w:id="620576958">
      <w:marLeft w:val="0"/>
      <w:marRight w:val="0"/>
      <w:marTop w:val="0"/>
      <w:marBottom w:val="0"/>
      <w:divBdr>
        <w:top w:val="none" w:sz="0" w:space="0" w:color="auto"/>
        <w:left w:val="none" w:sz="0" w:space="0" w:color="auto"/>
        <w:bottom w:val="none" w:sz="0" w:space="0" w:color="auto"/>
        <w:right w:val="none" w:sz="0" w:space="0" w:color="auto"/>
      </w:divBdr>
      <w:divsChild>
        <w:div w:id="620576994">
          <w:marLeft w:val="0"/>
          <w:marRight w:val="0"/>
          <w:marTop w:val="0"/>
          <w:marBottom w:val="0"/>
          <w:divBdr>
            <w:top w:val="none" w:sz="0" w:space="0" w:color="auto"/>
            <w:left w:val="none" w:sz="0" w:space="0" w:color="auto"/>
            <w:bottom w:val="none" w:sz="0" w:space="0" w:color="auto"/>
            <w:right w:val="none" w:sz="0" w:space="0" w:color="auto"/>
          </w:divBdr>
          <w:divsChild>
            <w:div w:id="620577004">
              <w:marLeft w:val="0"/>
              <w:marRight w:val="0"/>
              <w:marTop w:val="0"/>
              <w:marBottom w:val="0"/>
              <w:divBdr>
                <w:top w:val="none" w:sz="0" w:space="0" w:color="auto"/>
                <w:left w:val="none" w:sz="0" w:space="0" w:color="auto"/>
                <w:bottom w:val="none" w:sz="0" w:space="0" w:color="auto"/>
                <w:right w:val="none" w:sz="0" w:space="0" w:color="auto"/>
              </w:divBdr>
              <w:divsChild>
                <w:div w:id="620576986">
                  <w:marLeft w:val="0"/>
                  <w:marRight w:val="0"/>
                  <w:marTop w:val="0"/>
                  <w:marBottom w:val="0"/>
                  <w:divBdr>
                    <w:top w:val="none" w:sz="0" w:space="0" w:color="auto"/>
                    <w:left w:val="none" w:sz="0" w:space="0" w:color="auto"/>
                    <w:bottom w:val="none" w:sz="0" w:space="0" w:color="auto"/>
                    <w:right w:val="none" w:sz="0" w:space="0" w:color="auto"/>
                  </w:divBdr>
                  <w:divsChild>
                    <w:div w:id="620576945">
                      <w:marLeft w:val="0"/>
                      <w:marRight w:val="0"/>
                      <w:marTop w:val="0"/>
                      <w:marBottom w:val="0"/>
                      <w:divBdr>
                        <w:top w:val="none" w:sz="0" w:space="0" w:color="auto"/>
                        <w:left w:val="none" w:sz="0" w:space="0" w:color="auto"/>
                        <w:bottom w:val="none" w:sz="0" w:space="0" w:color="auto"/>
                        <w:right w:val="none" w:sz="0" w:space="0" w:color="auto"/>
                      </w:divBdr>
                      <w:divsChild>
                        <w:div w:id="620576960">
                          <w:marLeft w:val="0"/>
                          <w:marRight w:val="0"/>
                          <w:marTop w:val="0"/>
                          <w:marBottom w:val="0"/>
                          <w:divBdr>
                            <w:top w:val="none" w:sz="0" w:space="0" w:color="auto"/>
                            <w:left w:val="none" w:sz="0" w:space="0" w:color="auto"/>
                            <w:bottom w:val="none" w:sz="0" w:space="0" w:color="auto"/>
                            <w:right w:val="none" w:sz="0" w:space="0" w:color="auto"/>
                          </w:divBdr>
                          <w:divsChild>
                            <w:div w:id="620577014">
                              <w:marLeft w:val="0"/>
                              <w:marRight w:val="0"/>
                              <w:marTop w:val="0"/>
                              <w:marBottom w:val="0"/>
                              <w:divBdr>
                                <w:top w:val="none" w:sz="0" w:space="0" w:color="auto"/>
                                <w:left w:val="none" w:sz="0" w:space="0" w:color="auto"/>
                                <w:bottom w:val="none" w:sz="0" w:space="0" w:color="auto"/>
                                <w:right w:val="none" w:sz="0" w:space="0" w:color="auto"/>
                              </w:divBdr>
                              <w:divsChild>
                                <w:div w:id="620576981">
                                  <w:marLeft w:val="0"/>
                                  <w:marRight w:val="0"/>
                                  <w:marTop w:val="0"/>
                                  <w:marBottom w:val="0"/>
                                  <w:divBdr>
                                    <w:top w:val="none" w:sz="0" w:space="0" w:color="auto"/>
                                    <w:left w:val="none" w:sz="0" w:space="0" w:color="auto"/>
                                    <w:bottom w:val="none" w:sz="0" w:space="0" w:color="auto"/>
                                    <w:right w:val="none" w:sz="0" w:space="0" w:color="auto"/>
                                  </w:divBdr>
                                  <w:divsChild>
                                    <w:div w:id="6205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6964">
      <w:marLeft w:val="0"/>
      <w:marRight w:val="0"/>
      <w:marTop w:val="0"/>
      <w:marBottom w:val="0"/>
      <w:divBdr>
        <w:top w:val="none" w:sz="0" w:space="0" w:color="auto"/>
        <w:left w:val="none" w:sz="0" w:space="0" w:color="auto"/>
        <w:bottom w:val="none" w:sz="0" w:space="0" w:color="auto"/>
        <w:right w:val="none" w:sz="0" w:space="0" w:color="auto"/>
      </w:divBdr>
      <w:divsChild>
        <w:div w:id="620576972">
          <w:marLeft w:val="0"/>
          <w:marRight w:val="0"/>
          <w:marTop w:val="0"/>
          <w:marBottom w:val="0"/>
          <w:divBdr>
            <w:top w:val="none" w:sz="0" w:space="0" w:color="auto"/>
            <w:left w:val="none" w:sz="0" w:space="0" w:color="auto"/>
            <w:bottom w:val="none" w:sz="0" w:space="0" w:color="auto"/>
            <w:right w:val="none" w:sz="0" w:space="0" w:color="auto"/>
          </w:divBdr>
          <w:divsChild>
            <w:div w:id="620577000">
              <w:marLeft w:val="0"/>
              <w:marRight w:val="0"/>
              <w:marTop w:val="0"/>
              <w:marBottom w:val="0"/>
              <w:divBdr>
                <w:top w:val="none" w:sz="0" w:space="0" w:color="auto"/>
                <w:left w:val="none" w:sz="0" w:space="0" w:color="auto"/>
                <w:bottom w:val="none" w:sz="0" w:space="0" w:color="auto"/>
                <w:right w:val="none" w:sz="0" w:space="0" w:color="auto"/>
              </w:divBdr>
              <w:divsChild>
                <w:div w:id="620576942">
                  <w:marLeft w:val="0"/>
                  <w:marRight w:val="0"/>
                  <w:marTop w:val="0"/>
                  <w:marBottom w:val="0"/>
                  <w:divBdr>
                    <w:top w:val="none" w:sz="0" w:space="0" w:color="auto"/>
                    <w:left w:val="none" w:sz="0" w:space="0" w:color="auto"/>
                    <w:bottom w:val="none" w:sz="0" w:space="0" w:color="auto"/>
                    <w:right w:val="none" w:sz="0" w:space="0" w:color="auto"/>
                  </w:divBdr>
                  <w:divsChild>
                    <w:div w:id="620576934">
                      <w:marLeft w:val="0"/>
                      <w:marRight w:val="0"/>
                      <w:marTop w:val="0"/>
                      <w:marBottom w:val="0"/>
                      <w:divBdr>
                        <w:top w:val="none" w:sz="0" w:space="0" w:color="auto"/>
                        <w:left w:val="none" w:sz="0" w:space="0" w:color="auto"/>
                        <w:bottom w:val="none" w:sz="0" w:space="0" w:color="auto"/>
                        <w:right w:val="none" w:sz="0" w:space="0" w:color="auto"/>
                      </w:divBdr>
                      <w:divsChild>
                        <w:div w:id="620576989">
                          <w:marLeft w:val="0"/>
                          <w:marRight w:val="0"/>
                          <w:marTop w:val="0"/>
                          <w:marBottom w:val="0"/>
                          <w:divBdr>
                            <w:top w:val="none" w:sz="0" w:space="0" w:color="auto"/>
                            <w:left w:val="none" w:sz="0" w:space="0" w:color="auto"/>
                            <w:bottom w:val="none" w:sz="0" w:space="0" w:color="auto"/>
                            <w:right w:val="none" w:sz="0" w:space="0" w:color="auto"/>
                          </w:divBdr>
                          <w:divsChild>
                            <w:div w:id="620577001">
                              <w:marLeft w:val="0"/>
                              <w:marRight w:val="0"/>
                              <w:marTop w:val="0"/>
                              <w:marBottom w:val="0"/>
                              <w:divBdr>
                                <w:top w:val="none" w:sz="0" w:space="0" w:color="auto"/>
                                <w:left w:val="none" w:sz="0" w:space="0" w:color="auto"/>
                                <w:bottom w:val="none" w:sz="0" w:space="0" w:color="auto"/>
                                <w:right w:val="none" w:sz="0" w:space="0" w:color="auto"/>
                              </w:divBdr>
                              <w:divsChild>
                                <w:div w:id="6205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6974">
      <w:marLeft w:val="0"/>
      <w:marRight w:val="0"/>
      <w:marTop w:val="0"/>
      <w:marBottom w:val="0"/>
      <w:divBdr>
        <w:top w:val="none" w:sz="0" w:space="0" w:color="auto"/>
        <w:left w:val="none" w:sz="0" w:space="0" w:color="auto"/>
        <w:bottom w:val="none" w:sz="0" w:space="0" w:color="auto"/>
        <w:right w:val="none" w:sz="0" w:space="0" w:color="auto"/>
      </w:divBdr>
      <w:divsChild>
        <w:div w:id="620576944">
          <w:marLeft w:val="0"/>
          <w:marRight w:val="0"/>
          <w:marTop w:val="0"/>
          <w:marBottom w:val="0"/>
          <w:divBdr>
            <w:top w:val="none" w:sz="0" w:space="0" w:color="auto"/>
            <w:left w:val="none" w:sz="0" w:space="0" w:color="auto"/>
            <w:bottom w:val="none" w:sz="0" w:space="0" w:color="auto"/>
            <w:right w:val="none" w:sz="0" w:space="0" w:color="auto"/>
          </w:divBdr>
          <w:divsChild>
            <w:div w:id="620576982">
              <w:marLeft w:val="0"/>
              <w:marRight w:val="0"/>
              <w:marTop w:val="0"/>
              <w:marBottom w:val="0"/>
              <w:divBdr>
                <w:top w:val="none" w:sz="0" w:space="0" w:color="auto"/>
                <w:left w:val="none" w:sz="0" w:space="0" w:color="auto"/>
                <w:bottom w:val="none" w:sz="0" w:space="0" w:color="auto"/>
                <w:right w:val="none" w:sz="0" w:space="0" w:color="auto"/>
              </w:divBdr>
              <w:divsChild>
                <w:div w:id="620576970">
                  <w:marLeft w:val="0"/>
                  <w:marRight w:val="0"/>
                  <w:marTop w:val="0"/>
                  <w:marBottom w:val="0"/>
                  <w:divBdr>
                    <w:top w:val="none" w:sz="0" w:space="0" w:color="auto"/>
                    <w:left w:val="none" w:sz="0" w:space="0" w:color="auto"/>
                    <w:bottom w:val="none" w:sz="0" w:space="0" w:color="auto"/>
                    <w:right w:val="none" w:sz="0" w:space="0" w:color="auto"/>
                  </w:divBdr>
                  <w:divsChild>
                    <w:div w:id="620576984">
                      <w:marLeft w:val="0"/>
                      <w:marRight w:val="0"/>
                      <w:marTop w:val="0"/>
                      <w:marBottom w:val="0"/>
                      <w:divBdr>
                        <w:top w:val="none" w:sz="0" w:space="0" w:color="auto"/>
                        <w:left w:val="none" w:sz="0" w:space="0" w:color="auto"/>
                        <w:bottom w:val="none" w:sz="0" w:space="0" w:color="auto"/>
                        <w:right w:val="none" w:sz="0" w:space="0" w:color="auto"/>
                      </w:divBdr>
                      <w:divsChild>
                        <w:div w:id="620576992">
                          <w:marLeft w:val="0"/>
                          <w:marRight w:val="0"/>
                          <w:marTop w:val="0"/>
                          <w:marBottom w:val="0"/>
                          <w:divBdr>
                            <w:top w:val="none" w:sz="0" w:space="0" w:color="auto"/>
                            <w:left w:val="none" w:sz="0" w:space="0" w:color="auto"/>
                            <w:bottom w:val="none" w:sz="0" w:space="0" w:color="auto"/>
                            <w:right w:val="none" w:sz="0" w:space="0" w:color="auto"/>
                          </w:divBdr>
                          <w:divsChild>
                            <w:div w:id="620576953">
                              <w:marLeft w:val="0"/>
                              <w:marRight w:val="0"/>
                              <w:marTop w:val="0"/>
                              <w:marBottom w:val="0"/>
                              <w:divBdr>
                                <w:top w:val="none" w:sz="0" w:space="0" w:color="auto"/>
                                <w:left w:val="none" w:sz="0" w:space="0" w:color="auto"/>
                                <w:bottom w:val="none" w:sz="0" w:space="0" w:color="auto"/>
                                <w:right w:val="none" w:sz="0" w:space="0" w:color="auto"/>
                              </w:divBdr>
                              <w:divsChild>
                                <w:div w:id="6205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6975">
      <w:marLeft w:val="0"/>
      <w:marRight w:val="0"/>
      <w:marTop w:val="0"/>
      <w:marBottom w:val="0"/>
      <w:divBdr>
        <w:top w:val="none" w:sz="0" w:space="0" w:color="auto"/>
        <w:left w:val="none" w:sz="0" w:space="0" w:color="auto"/>
        <w:bottom w:val="none" w:sz="0" w:space="0" w:color="auto"/>
        <w:right w:val="none" w:sz="0" w:space="0" w:color="auto"/>
      </w:divBdr>
    </w:div>
    <w:div w:id="620576976">
      <w:marLeft w:val="0"/>
      <w:marRight w:val="0"/>
      <w:marTop w:val="0"/>
      <w:marBottom w:val="0"/>
      <w:divBdr>
        <w:top w:val="none" w:sz="0" w:space="0" w:color="auto"/>
        <w:left w:val="none" w:sz="0" w:space="0" w:color="auto"/>
        <w:bottom w:val="none" w:sz="0" w:space="0" w:color="auto"/>
        <w:right w:val="none" w:sz="0" w:space="0" w:color="auto"/>
      </w:divBdr>
      <w:divsChild>
        <w:div w:id="620577013">
          <w:marLeft w:val="0"/>
          <w:marRight w:val="0"/>
          <w:marTop w:val="0"/>
          <w:marBottom w:val="0"/>
          <w:divBdr>
            <w:top w:val="none" w:sz="0" w:space="0" w:color="auto"/>
            <w:left w:val="none" w:sz="0" w:space="0" w:color="auto"/>
            <w:bottom w:val="none" w:sz="0" w:space="0" w:color="auto"/>
            <w:right w:val="none" w:sz="0" w:space="0" w:color="auto"/>
          </w:divBdr>
          <w:divsChild>
            <w:div w:id="620576956">
              <w:marLeft w:val="0"/>
              <w:marRight w:val="0"/>
              <w:marTop w:val="0"/>
              <w:marBottom w:val="0"/>
              <w:divBdr>
                <w:top w:val="none" w:sz="0" w:space="0" w:color="auto"/>
                <w:left w:val="none" w:sz="0" w:space="0" w:color="auto"/>
                <w:bottom w:val="none" w:sz="0" w:space="0" w:color="auto"/>
                <w:right w:val="none" w:sz="0" w:space="0" w:color="auto"/>
              </w:divBdr>
              <w:divsChild>
                <w:div w:id="620576985">
                  <w:marLeft w:val="0"/>
                  <w:marRight w:val="0"/>
                  <w:marTop w:val="0"/>
                  <w:marBottom w:val="0"/>
                  <w:divBdr>
                    <w:top w:val="none" w:sz="0" w:space="0" w:color="auto"/>
                    <w:left w:val="none" w:sz="0" w:space="0" w:color="auto"/>
                    <w:bottom w:val="none" w:sz="0" w:space="0" w:color="auto"/>
                    <w:right w:val="none" w:sz="0" w:space="0" w:color="auto"/>
                  </w:divBdr>
                  <w:divsChild>
                    <w:div w:id="620576980">
                      <w:marLeft w:val="0"/>
                      <w:marRight w:val="0"/>
                      <w:marTop w:val="0"/>
                      <w:marBottom w:val="0"/>
                      <w:divBdr>
                        <w:top w:val="none" w:sz="0" w:space="0" w:color="auto"/>
                        <w:left w:val="none" w:sz="0" w:space="0" w:color="auto"/>
                        <w:bottom w:val="none" w:sz="0" w:space="0" w:color="auto"/>
                        <w:right w:val="none" w:sz="0" w:space="0" w:color="auto"/>
                      </w:divBdr>
                      <w:divsChild>
                        <w:div w:id="620576948">
                          <w:marLeft w:val="0"/>
                          <w:marRight w:val="0"/>
                          <w:marTop w:val="0"/>
                          <w:marBottom w:val="0"/>
                          <w:divBdr>
                            <w:top w:val="none" w:sz="0" w:space="0" w:color="auto"/>
                            <w:left w:val="none" w:sz="0" w:space="0" w:color="auto"/>
                            <w:bottom w:val="none" w:sz="0" w:space="0" w:color="auto"/>
                            <w:right w:val="none" w:sz="0" w:space="0" w:color="auto"/>
                          </w:divBdr>
                          <w:divsChild>
                            <w:div w:id="620577003">
                              <w:marLeft w:val="0"/>
                              <w:marRight w:val="0"/>
                              <w:marTop w:val="0"/>
                              <w:marBottom w:val="0"/>
                              <w:divBdr>
                                <w:top w:val="none" w:sz="0" w:space="0" w:color="auto"/>
                                <w:left w:val="none" w:sz="0" w:space="0" w:color="auto"/>
                                <w:bottom w:val="none" w:sz="0" w:space="0" w:color="auto"/>
                                <w:right w:val="none" w:sz="0" w:space="0" w:color="auto"/>
                              </w:divBdr>
                              <w:divsChild>
                                <w:div w:id="6205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6978">
      <w:marLeft w:val="0"/>
      <w:marRight w:val="0"/>
      <w:marTop w:val="0"/>
      <w:marBottom w:val="0"/>
      <w:divBdr>
        <w:top w:val="none" w:sz="0" w:space="0" w:color="auto"/>
        <w:left w:val="none" w:sz="0" w:space="0" w:color="auto"/>
        <w:bottom w:val="none" w:sz="0" w:space="0" w:color="auto"/>
        <w:right w:val="none" w:sz="0" w:space="0" w:color="auto"/>
      </w:divBdr>
      <w:divsChild>
        <w:div w:id="620577012">
          <w:marLeft w:val="0"/>
          <w:marRight w:val="0"/>
          <w:marTop w:val="0"/>
          <w:marBottom w:val="0"/>
          <w:divBdr>
            <w:top w:val="none" w:sz="0" w:space="0" w:color="auto"/>
            <w:left w:val="none" w:sz="0" w:space="0" w:color="auto"/>
            <w:bottom w:val="none" w:sz="0" w:space="0" w:color="auto"/>
            <w:right w:val="none" w:sz="0" w:space="0" w:color="auto"/>
          </w:divBdr>
          <w:divsChild>
            <w:div w:id="620576971">
              <w:marLeft w:val="0"/>
              <w:marRight w:val="0"/>
              <w:marTop w:val="0"/>
              <w:marBottom w:val="0"/>
              <w:divBdr>
                <w:top w:val="none" w:sz="0" w:space="0" w:color="auto"/>
                <w:left w:val="none" w:sz="0" w:space="0" w:color="auto"/>
                <w:bottom w:val="none" w:sz="0" w:space="0" w:color="auto"/>
                <w:right w:val="none" w:sz="0" w:space="0" w:color="auto"/>
              </w:divBdr>
              <w:divsChild>
                <w:div w:id="620576939">
                  <w:marLeft w:val="0"/>
                  <w:marRight w:val="0"/>
                  <w:marTop w:val="0"/>
                  <w:marBottom w:val="0"/>
                  <w:divBdr>
                    <w:top w:val="none" w:sz="0" w:space="0" w:color="auto"/>
                    <w:left w:val="none" w:sz="0" w:space="0" w:color="auto"/>
                    <w:bottom w:val="none" w:sz="0" w:space="0" w:color="auto"/>
                    <w:right w:val="none" w:sz="0" w:space="0" w:color="auto"/>
                  </w:divBdr>
                  <w:divsChild>
                    <w:div w:id="620577009">
                      <w:marLeft w:val="0"/>
                      <w:marRight w:val="0"/>
                      <w:marTop w:val="0"/>
                      <w:marBottom w:val="0"/>
                      <w:divBdr>
                        <w:top w:val="none" w:sz="0" w:space="0" w:color="auto"/>
                        <w:left w:val="none" w:sz="0" w:space="0" w:color="auto"/>
                        <w:bottom w:val="none" w:sz="0" w:space="0" w:color="auto"/>
                        <w:right w:val="none" w:sz="0" w:space="0" w:color="auto"/>
                      </w:divBdr>
                      <w:divsChild>
                        <w:div w:id="620576954">
                          <w:marLeft w:val="0"/>
                          <w:marRight w:val="0"/>
                          <w:marTop w:val="0"/>
                          <w:marBottom w:val="0"/>
                          <w:divBdr>
                            <w:top w:val="none" w:sz="0" w:space="0" w:color="auto"/>
                            <w:left w:val="none" w:sz="0" w:space="0" w:color="auto"/>
                            <w:bottom w:val="none" w:sz="0" w:space="0" w:color="auto"/>
                            <w:right w:val="none" w:sz="0" w:space="0" w:color="auto"/>
                          </w:divBdr>
                          <w:divsChild>
                            <w:div w:id="620577011">
                              <w:marLeft w:val="0"/>
                              <w:marRight w:val="0"/>
                              <w:marTop w:val="0"/>
                              <w:marBottom w:val="0"/>
                              <w:divBdr>
                                <w:top w:val="none" w:sz="0" w:space="0" w:color="auto"/>
                                <w:left w:val="none" w:sz="0" w:space="0" w:color="auto"/>
                                <w:bottom w:val="none" w:sz="0" w:space="0" w:color="auto"/>
                                <w:right w:val="none" w:sz="0" w:space="0" w:color="auto"/>
                              </w:divBdr>
                              <w:divsChild>
                                <w:div w:id="6205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6987">
      <w:marLeft w:val="0"/>
      <w:marRight w:val="0"/>
      <w:marTop w:val="0"/>
      <w:marBottom w:val="0"/>
      <w:divBdr>
        <w:top w:val="none" w:sz="0" w:space="0" w:color="auto"/>
        <w:left w:val="none" w:sz="0" w:space="0" w:color="auto"/>
        <w:bottom w:val="none" w:sz="0" w:space="0" w:color="auto"/>
        <w:right w:val="none" w:sz="0" w:space="0" w:color="auto"/>
      </w:divBdr>
    </w:div>
    <w:div w:id="620576988">
      <w:marLeft w:val="0"/>
      <w:marRight w:val="0"/>
      <w:marTop w:val="0"/>
      <w:marBottom w:val="0"/>
      <w:divBdr>
        <w:top w:val="none" w:sz="0" w:space="0" w:color="auto"/>
        <w:left w:val="none" w:sz="0" w:space="0" w:color="auto"/>
        <w:bottom w:val="none" w:sz="0" w:space="0" w:color="auto"/>
        <w:right w:val="none" w:sz="0" w:space="0" w:color="auto"/>
      </w:divBdr>
    </w:div>
    <w:div w:id="620576993">
      <w:marLeft w:val="0"/>
      <w:marRight w:val="0"/>
      <w:marTop w:val="0"/>
      <w:marBottom w:val="0"/>
      <w:divBdr>
        <w:top w:val="none" w:sz="0" w:space="0" w:color="auto"/>
        <w:left w:val="none" w:sz="0" w:space="0" w:color="auto"/>
        <w:bottom w:val="none" w:sz="0" w:space="0" w:color="auto"/>
        <w:right w:val="none" w:sz="0" w:space="0" w:color="auto"/>
      </w:divBdr>
      <w:divsChild>
        <w:div w:id="620577007">
          <w:marLeft w:val="0"/>
          <w:marRight w:val="0"/>
          <w:marTop w:val="0"/>
          <w:marBottom w:val="0"/>
          <w:divBdr>
            <w:top w:val="none" w:sz="0" w:space="0" w:color="auto"/>
            <w:left w:val="none" w:sz="0" w:space="0" w:color="auto"/>
            <w:bottom w:val="none" w:sz="0" w:space="0" w:color="auto"/>
            <w:right w:val="none" w:sz="0" w:space="0" w:color="auto"/>
          </w:divBdr>
          <w:divsChild>
            <w:div w:id="620577016">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sChild>
                    <w:div w:id="620577015">
                      <w:marLeft w:val="0"/>
                      <w:marRight w:val="0"/>
                      <w:marTop w:val="0"/>
                      <w:marBottom w:val="0"/>
                      <w:divBdr>
                        <w:top w:val="none" w:sz="0" w:space="0" w:color="auto"/>
                        <w:left w:val="none" w:sz="0" w:space="0" w:color="auto"/>
                        <w:bottom w:val="none" w:sz="0" w:space="0" w:color="auto"/>
                        <w:right w:val="none" w:sz="0" w:space="0" w:color="auto"/>
                      </w:divBdr>
                      <w:divsChild>
                        <w:div w:id="620576991">
                          <w:marLeft w:val="0"/>
                          <w:marRight w:val="0"/>
                          <w:marTop w:val="0"/>
                          <w:marBottom w:val="0"/>
                          <w:divBdr>
                            <w:top w:val="none" w:sz="0" w:space="0" w:color="auto"/>
                            <w:left w:val="none" w:sz="0" w:space="0" w:color="auto"/>
                            <w:bottom w:val="none" w:sz="0" w:space="0" w:color="auto"/>
                            <w:right w:val="none" w:sz="0" w:space="0" w:color="auto"/>
                          </w:divBdr>
                          <w:divsChild>
                            <w:div w:id="620576996">
                              <w:marLeft w:val="0"/>
                              <w:marRight w:val="0"/>
                              <w:marTop w:val="0"/>
                              <w:marBottom w:val="0"/>
                              <w:divBdr>
                                <w:top w:val="none" w:sz="0" w:space="0" w:color="auto"/>
                                <w:left w:val="none" w:sz="0" w:space="0" w:color="auto"/>
                                <w:bottom w:val="none" w:sz="0" w:space="0" w:color="auto"/>
                                <w:right w:val="none" w:sz="0" w:space="0" w:color="auto"/>
                              </w:divBdr>
                              <w:divsChild>
                                <w:div w:id="6205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6997">
      <w:marLeft w:val="0"/>
      <w:marRight w:val="0"/>
      <w:marTop w:val="0"/>
      <w:marBottom w:val="0"/>
      <w:divBdr>
        <w:top w:val="none" w:sz="0" w:space="0" w:color="auto"/>
        <w:left w:val="none" w:sz="0" w:space="0" w:color="auto"/>
        <w:bottom w:val="none" w:sz="0" w:space="0" w:color="auto"/>
        <w:right w:val="none" w:sz="0" w:space="0" w:color="auto"/>
      </w:divBdr>
    </w:div>
    <w:div w:id="620576999">
      <w:marLeft w:val="0"/>
      <w:marRight w:val="0"/>
      <w:marTop w:val="0"/>
      <w:marBottom w:val="0"/>
      <w:divBdr>
        <w:top w:val="none" w:sz="0" w:space="0" w:color="auto"/>
        <w:left w:val="none" w:sz="0" w:space="0" w:color="auto"/>
        <w:bottom w:val="none" w:sz="0" w:space="0" w:color="auto"/>
        <w:right w:val="none" w:sz="0" w:space="0" w:color="auto"/>
      </w:divBdr>
      <w:divsChild>
        <w:div w:id="620576936">
          <w:marLeft w:val="0"/>
          <w:marRight w:val="0"/>
          <w:marTop w:val="0"/>
          <w:marBottom w:val="0"/>
          <w:divBdr>
            <w:top w:val="none" w:sz="0" w:space="0" w:color="auto"/>
            <w:left w:val="none" w:sz="0" w:space="0" w:color="auto"/>
            <w:bottom w:val="none" w:sz="0" w:space="0" w:color="auto"/>
            <w:right w:val="none" w:sz="0" w:space="0" w:color="auto"/>
          </w:divBdr>
          <w:divsChild>
            <w:div w:id="620576933">
              <w:marLeft w:val="0"/>
              <w:marRight w:val="0"/>
              <w:marTop w:val="0"/>
              <w:marBottom w:val="0"/>
              <w:divBdr>
                <w:top w:val="none" w:sz="0" w:space="0" w:color="auto"/>
                <w:left w:val="none" w:sz="0" w:space="0" w:color="auto"/>
                <w:bottom w:val="none" w:sz="0" w:space="0" w:color="auto"/>
                <w:right w:val="none" w:sz="0" w:space="0" w:color="auto"/>
              </w:divBdr>
              <w:divsChild>
                <w:div w:id="620576938">
                  <w:marLeft w:val="0"/>
                  <w:marRight w:val="0"/>
                  <w:marTop w:val="0"/>
                  <w:marBottom w:val="0"/>
                  <w:divBdr>
                    <w:top w:val="none" w:sz="0" w:space="0" w:color="auto"/>
                    <w:left w:val="none" w:sz="0" w:space="0" w:color="auto"/>
                    <w:bottom w:val="none" w:sz="0" w:space="0" w:color="auto"/>
                    <w:right w:val="none" w:sz="0" w:space="0" w:color="auto"/>
                  </w:divBdr>
                  <w:divsChild>
                    <w:div w:id="620577006">
                      <w:marLeft w:val="0"/>
                      <w:marRight w:val="0"/>
                      <w:marTop w:val="0"/>
                      <w:marBottom w:val="0"/>
                      <w:divBdr>
                        <w:top w:val="none" w:sz="0" w:space="0" w:color="auto"/>
                        <w:left w:val="none" w:sz="0" w:space="0" w:color="auto"/>
                        <w:bottom w:val="none" w:sz="0" w:space="0" w:color="auto"/>
                        <w:right w:val="none" w:sz="0" w:space="0" w:color="auto"/>
                      </w:divBdr>
                      <w:divsChild>
                        <w:div w:id="620577018">
                          <w:marLeft w:val="0"/>
                          <w:marRight w:val="0"/>
                          <w:marTop w:val="0"/>
                          <w:marBottom w:val="0"/>
                          <w:divBdr>
                            <w:top w:val="none" w:sz="0" w:space="0" w:color="auto"/>
                            <w:left w:val="none" w:sz="0" w:space="0" w:color="auto"/>
                            <w:bottom w:val="none" w:sz="0" w:space="0" w:color="auto"/>
                            <w:right w:val="none" w:sz="0" w:space="0" w:color="auto"/>
                          </w:divBdr>
                          <w:divsChild>
                            <w:div w:id="620576969">
                              <w:marLeft w:val="0"/>
                              <w:marRight w:val="0"/>
                              <w:marTop w:val="0"/>
                              <w:marBottom w:val="0"/>
                              <w:divBdr>
                                <w:top w:val="none" w:sz="0" w:space="0" w:color="auto"/>
                                <w:left w:val="none" w:sz="0" w:space="0" w:color="auto"/>
                                <w:bottom w:val="none" w:sz="0" w:space="0" w:color="auto"/>
                                <w:right w:val="none" w:sz="0" w:space="0" w:color="auto"/>
                              </w:divBdr>
                              <w:divsChild>
                                <w:div w:id="6205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7008">
      <w:marLeft w:val="0"/>
      <w:marRight w:val="0"/>
      <w:marTop w:val="0"/>
      <w:marBottom w:val="0"/>
      <w:divBdr>
        <w:top w:val="none" w:sz="0" w:space="0" w:color="auto"/>
        <w:left w:val="none" w:sz="0" w:space="0" w:color="auto"/>
        <w:bottom w:val="none" w:sz="0" w:space="0" w:color="auto"/>
        <w:right w:val="none" w:sz="0" w:space="0" w:color="auto"/>
      </w:divBdr>
      <w:divsChild>
        <w:div w:id="620576968">
          <w:marLeft w:val="0"/>
          <w:marRight w:val="0"/>
          <w:marTop w:val="0"/>
          <w:marBottom w:val="0"/>
          <w:divBdr>
            <w:top w:val="none" w:sz="0" w:space="0" w:color="auto"/>
            <w:left w:val="none" w:sz="0" w:space="0" w:color="auto"/>
            <w:bottom w:val="none" w:sz="0" w:space="0" w:color="auto"/>
            <w:right w:val="none" w:sz="0" w:space="0" w:color="auto"/>
          </w:divBdr>
          <w:divsChild>
            <w:div w:id="620576951">
              <w:marLeft w:val="0"/>
              <w:marRight w:val="0"/>
              <w:marTop w:val="0"/>
              <w:marBottom w:val="0"/>
              <w:divBdr>
                <w:top w:val="none" w:sz="0" w:space="0" w:color="auto"/>
                <w:left w:val="none" w:sz="0" w:space="0" w:color="auto"/>
                <w:bottom w:val="none" w:sz="0" w:space="0" w:color="auto"/>
                <w:right w:val="none" w:sz="0" w:space="0" w:color="auto"/>
              </w:divBdr>
              <w:divsChild>
                <w:div w:id="620576995">
                  <w:marLeft w:val="0"/>
                  <w:marRight w:val="0"/>
                  <w:marTop w:val="0"/>
                  <w:marBottom w:val="0"/>
                  <w:divBdr>
                    <w:top w:val="none" w:sz="0" w:space="0" w:color="auto"/>
                    <w:left w:val="none" w:sz="0" w:space="0" w:color="auto"/>
                    <w:bottom w:val="none" w:sz="0" w:space="0" w:color="auto"/>
                    <w:right w:val="none" w:sz="0" w:space="0" w:color="auto"/>
                  </w:divBdr>
                  <w:divsChild>
                    <w:div w:id="620576961">
                      <w:marLeft w:val="0"/>
                      <w:marRight w:val="0"/>
                      <w:marTop w:val="0"/>
                      <w:marBottom w:val="0"/>
                      <w:divBdr>
                        <w:top w:val="none" w:sz="0" w:space="0" w:color="auto"/>
                        <w:left w:val="none" w:sz="0" w:space="0" w:color="auto"/>
                        <w:bottom w:val="none" w:sz="0" w:space="0" w:color="auto"/>
                        <w:right w:val="none" w:sz="0" w:space="0" w:color="auto"/>
                      </w:divBdr>
                      <w:divsChild>
                        <w:div w:id="620577005">
                          <w:marLeft w:val="0"/>
                          <w:marRight w:val="0"/>
                          <w:marTop w:val="0"/>
                          <w:marBottom w:val="0"/>
                          <w:divBdr>
                            <w:top w:val="none" w:sz="0" w:space="0" w:color="auto"/>
                            <w:left w:val="none" w:sz="0" w:space="0" w:color="auto"/>
                            <w:bottom w:val="none" w:sz="0" w:space="0" w:color="auto"/>
                            <w:right w:val="none" w:sz="0" w:space="0" w:color="auto"/>
                          </w:divBdr>
                          <w:divsChild>
                            <w:div w:id="620576950">
                              <w:marLeft w:val="0"/>
                              <w:marRight w:val="0"/>
                              <w:marTop w:val="0"/>
                              <w:marBottom w:val="0"/>
                              <w:divBdr>
                                <w:top w:val="none" w:sz="0" w:space="0" w:color="auto"/>
                                <w:left w:val="none" w:sz="0" w:space="0" w:color="auto"/>
                                <w:bottom w:val="none" w:sz="0" w:space="0" w:color="auto"/>
                                <w:right w:val="none" w:sz="0" w:space="0" w:color="auto"/>
                              </w:divBdr>
                              <w:divsChild>
                                <w:div w:id="620576967">
                                  <w:marLeft w:val="0"/>
                                  <w:marRight w:val="0"/>
                                  <w:marTop w:val="0"/>
                                  <w:marBottom w:val="0"/>
                                  <w:divBdr>
                                    <w:top w:val="none" w:sz="0" w:space="0" w:color="auto"/>
                                    <w:left w:val="none" w:sz="0" w:space="0" w:color="auto"/>
                                    <w:bottom w:val="none" w:sz="0" w:space="0" w:color="auto"/>
                                    <w:right w:val="none" w:sz="0" w:space="0" w:color="auto"/>
                                  </w:divBdr>
                                  <w:divsChild>
                                    <w:div w:id="6205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7017">
      <w:marLeft w:val="0"/>
      <w:marRight w:val="0"/>
      <w:marTop w:val="0"/>
      <w:marBottom w:val="0"/>
      <w:divBdr>
        <w:top w:val="none" w:sz="0" w:space="0" w:color="auto"/>
        <w:left w:val="none" w:sz="0" w:space="0" w:color="auto"/>
        <w:bottom w:val="none" w:sz="0" w:space="0" w:color="auto"/>
        <w:right w:val="none" w:sz="0" w:space="0" w:color="auto"/>
      </w:divBdr>
      <w:divsChild>
        <w:div w:id="620576949">
          <w:marLeft w:val="0"/>
          <w:marRight w:val="0"/>
          <w:marTop w:val="0"/>
          <w:marBottom w:val="0"/>
          <w:divBdr>
            <w:top w:val="none" w:sz="0" w:space="0" w:color="auto"/>
            <w:left w:val="none" w:sz="0" w:space="0" w:color="auto"/>
            <w:bottom w:val="none" w:sz="0" w:space="0" w:color="auto"/>
            <w:right w:val="none" w:sz="0" w:space="0" w:color="auto"/>
          </w:divBdr>
          <w:divsChild>
            <w:div w:id="620576983">
              <w:marLeft w:val="0"/>
              <w:marRight w:val="0"/>
              <w:marTop w:val="0"/>
              <w:marBottom w:val="0"/>
              <w:divBdr>
                <w:top w:val="none" w:sz="0" w:space="0" w:color="auto"/>
                <w:left w:val="none" w:sz="0" w:space="0" w:color="auto"/>
                <w:bottom w:val="none" w:sz="0" w:space="0" w:color="auto"/>
                <w:right w:val="none" w:sz="0" w:space="0" w:color="auto"/>
              </w:divBdr>
              <w:divsChild>
                <w:div w:id="620576935">
                  <w:marLeft w:val="0"/>
                  <w:marRight w:val="0"/>
                  <w:marTop w:val="0"/>
                  <w:marBottom w:val="0"/>
                  <w:divBdr>
                    <w:top w:val="none" w:sz="0" w:space="0" w:color="auto"/>
                    <w:left w:val="none" w:sz="0" w:space="0" w:color="auto"/>
                    <w:bottom w:val="none" w:sz="0" w:space="0" w:color="auto"/>
                    <w:right w:val="none" w:sz="0" w:space="0" w:color="auto"/>
                  </w:divBdr>
                  <w:divsChild>
                    <w:div w:id="620576947">
                      <w:marLeft w:val="0"/>
                      <w:marRight w:val="0"/>
                      <w:marTop w:val="0"/>
                      <w:marBottom w:val="0"/>
                      <w:divBdr>
                        <w:top w:val="none" w:sz="0" w:space="0" w:color="auto"/>
                        <w:left w:val="none" w:sz="0" w:space="0" w:color="auto"/>
                        <w:bottom w:val="none" w:sz="0" w:space="0" w:color="auto"/>
                        <w:right w:val="none" w:sz="0" w:space="0" w:color="auto"/>
                      </w:divBdr>
                      <w:divsChild>
                        <w:div w:id="620577020">
                          <w:marLeft w:val="0"/>
                          <w:marRight w:val="0"/>
                          <w:marTop w:val="0"/>
                          <w:marBottom w:val="0"/>
                          <w:divBdr>
                            <w:top w:val="none" w:sz="0" w:space="0" w:color="auto"/>
                            <w:left w:val="none" w:sz="0" w:space="0" w:color="auto"/>
                            <w:bottom w:val="none" w:sz="0" w:space="0" w:color="auto"/>
                            <w:right w:val="none" w:sz="0" w:space="0" w:color="auto"/>
                          </w:divBdr>
                          <w:divsChild>
                            <w:div w:id="620576959">
                              <w:marLeft w:val="0"/>
                              <w:marRight w:val="0"/>
                              <w:marTop w:val="0"/>
                              <w:marBottom w:val="0"/>
                              <w:divBdr>
                                <w:top w:val="none" w:sz="0" w:space="0" w:color="auto"/>
                                <w:left w:val="none" w:sz="0" w:space="0" w:color="auto"/>
                                <w:bottom w:val="none" w:sz="0" w:space="0" w:color="auto"/>
                                <w:right w:val="none" w:sz="0" w:space="0" w:color="auto"/>
                              </w:divBdr>
                              <w:divsChild>
                                <w:div w:id="620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villa@unimore.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5663</Words>
  <Characters>32283</Characters>
  <Application>Microsoft Office Word</Application>
  <DocSecurity>0</DocSecurity>
  <Lines>269</Lines>
  <Paragraphs>75</Paragraphs>
  <ScaleCrop>false</ScaleCrop>
  <Company>Home</Company>
  <LinksUpToDate>false</LinksUpToDate>
  <CharactersWithSpaces>37871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Boceprevir in chronic HCV menopausal women</dc:title>
  <dc:creator>Azienda Ospealiera - Policlinico di Modena</dc:creator>
  <cp:lastModifiedBy>Qi Y</cp:lastModifiedBy>
  <cp:revision>3</cp:revision>
  <dcterms:created xsi:type="dcterms:W3CDTF">2014-07-29T01:47:00Z</dcterms:created>
  <dcterms:modified xsi:type="dcterms:W3CDTF">2014-07-29T08:12:00Z</dcterms:modified>
</cp:coreProperties>
</file>