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D4" w:rsidRPr="00612EED" w:rsidRDefault="00EE10D4" w:rsidP="002A048C">
      <w:pPr>
        <w:spacing w:after="0" w:line="360" w:lineRule="auto"/>
        <w:jc w:val="both"/>
        <w:rPr>
          <w:rFonts w:ascii="Book Antiqua" w:hAnsi="Book Antiqua" w:cs="Tahoma"/>
          <w:b/>
          <w:color w:val="000000"/>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bookmarkStart w:id="41" w:name="OLE_LINK478"/>
      <w:bookmarkStart w:id="42" w:name="OLE_LINK479"/>
      <w:bookmarkStart w:id="43" w:name="OLE_LINK484"/>
      <w:bookmarkStart w:id="44" w:name="OLE_LINK490"/>
      <w:bookmarkStart w:id="45" w:name="OLE_LINK492"/>
      <w:bookmarkStart w:id="46" w:name="OLE_LINK493"/>
      <w:bookmarkStart w:id="47" w:name="OLE_LINK495"/>
      <w:bookmarkStart w:id="48" w:name="OLE_LINK498"/>
      <w:bookmarkStart w:id="49" w:name="OLE_LINK500"/>
      <w:bookmarkStart w:id="50" w:name="OLE_LINK505"/>
      <w:bookmarkStart w:id="51" w:name="OLE_LINK624"/>
      <w:bookmarkStart w:id="52" w:name="OLE_LINK625"/>
      <w:bookmarkStart w:id="53" w:name="OLE_LINK627"/>
      <w:bookmarkStart w:id="54" w:name="OLE_LINK628"/>
      <w:r w:rsidRPr="00612EED">
        <w:rPr>
          <w:rFonts w:ascii="Book Antiqua" w:hAnsi="Book Antiqua" w:cs="Tahoma"/>
          <w:b/>
          <w:color w:val="0000FF"/>
          <w:sz w:val="24"/>
          <w:szCs w:val="24"/>
        </w:rPr>
        <w:t xml:space="preserve">Name of journal: </w:t>
      </w:r>
      <w:r w:rsidR="00007DDC" w:rsidRPr="00612EED">
        <w:rPr>
          <w:rFonts w:ascii="Book Antiqua" w:hAnsi="Book Antiqua" w:cs="Tahoma"/>
          <w:b/>
          <w:color w:val="000000"/>
          <w:sz w:val="24"/>
          <w:szCs w:val="24"/>
        </w:rPr>
        <w:t>World Journal of Nephrology</w:t>
      </w:r>
    </w:p>
    <w:p w:rsidR="00EE10D4" w:rsidRPr="00612EED" w:rsidRDefault="00EE10D4" w:rsidP="002A048C">
      <w:pPr>
        <w:spacing w:after="0" w:line="360" w:lineRule="auto"/>
        <w:jc w:val="both"/>
        <w:rPr>
          <w:rFonts w:ascii="Book Antiqua" w:hAnsi="Book Antiqua" w:cs="Tahoma"/>
          <w:b/>
          <w:color w:val="0000FF"/>
          <w:sz w:val="24"/>
          <w:szCs w:val="24"/>
          <w:lang w:eastAsia="zh-CN"/>
        </w:rPr>
      </w:pPr>
      <w:bookmarkStart w:id="55" w:name="OLE_LINK298"/>
      <w:bookmarkStart w:id="56" w:name="OLE_LINK299"/>
      <w:r w:rsidRPr="00612EED">
        <w:rPr>
          <w:rFonts w:ascii="Book Antiqua" w:hAnsi="Book Antiqua" w:cs="Tahoma"/>
          <w:b/>
          <w:color w:val="0000FF"/>
          <w:sz w:val="24"/>
          <w:szCs w:val="24"/>
        </w:rPr>
        <w:t>ESPS Manuscript NO:</w:t>
      </w:r>
      <w:bookmarkEnd w:id="55"/>
      <w:bookmarkEnd w:id="56"/>
      <w:r w:rsidRPr="00612EED">
        <w:rPr>
          <w:rFonts w:ascii="Book Antiqua" w:hAnsi="Book Antiqua" w:cs="Tahoma"/>
          <w:b/>
          <w:color w:val="0000FF"/>
          <w:sz w:val="24"/>
          <w:szCs w:val="24"/>
        </w:rPr>
        <w:t xml:space="preserve"> </w:t>
      </w:r>
      <w:r w:rsidRPr="00612EED">
        <w:rPr>
          <w:rFonts w:ascii="Book Antiqua" w:hAnsi="Book Antiqua" w:cs="Tahoma"/>
          <w:b/>
          <w:color w:val="0000FF"/>
          <w:sz w:val="24"/>
          <w:szCs w:val="24"/>
          <w:lang w:eastAsia="zh-CN"/>
        </w:rPr>
        <w:t>10928</w:t>
      </w:r>
    </w:p>
    <w:p w:rsidR="00EE10D4" w:rsidRDefault="00EE10D4" w:rsidP="002A048C">
      <w:pPr>
        <w:spacing w:after="0" w:line="360" w:lineRule="auto"/>
        <w:jc w:val="both"/>
        <w:rPr>
          <w:rFonts w:ascii="Book Antiqua" w:hAnsi="Book Antiqua" w:cs="Arial"/>
          <w:b/>
          <w:bCs/>
          <w:sz w:val="24"/>
          <w:szCs w:val="24"/>
          <w:lang w:eastAsia="zh-CN"/>
        </w:rPr>
      </w:pPr>
      <w:r w:rsidRPr="00612EED">
        <w:rPr>
          <w:rFonts w:ascii="Book Antiqua" w:hAnsi="Book Antiqua" w:cs="Tahoma"/>
          <w:b/>
          <w:color w:val="0000FF"/>
          <w:sz w:val="24"/>
          <w:szCs w:val="24"/>
        </w:rPr>
        <w:t>Columns:</w:t>
      </w:r>
      <w:bookmarkStart w:id="57" w:name="OLE_LINK461"/>
      <w:bookmarkStart w:id="58" w:name="OLE_LINK462"/>
      <w:r w:rsidRPr="00612EED">
        <w:rPr>
          <w:rFonts w:ascii="Book Antiqua" w:hAnsi="Book Antiqua" w:cs="Tahoma"/>
          <w:b/>
          <w:color w:val="0000FF"/>
          <w:sz w:val="24"/>
          <w:szCs w:val="24"/>
        </w:rPr>
        <w:t xml:space="preserve"> </w:t>
      </w:r>
      <w:bookmarkEnd w:id="57"/>
      <w:bookmarkEnd w:id="58"/>
      <w:r w:rsidR="00007DDC" w:rsidRPr="00612EED">
        <w:rPr>
          <w:rFonts w:ascii="Book Antiqua" w:hAnsi="Book Antiqua" w:cs="Arial"/>
          <w:b/>
          <w:bCs/>
          <w:sz w:val="24"/>
          <w:szCs w:val="24"/>
        </w:rPr>
        <w:t>Review</w:t>
      </w:r>
    </w:p>
    <w:p w:rsidR="00227A2A" w:rsidRPr="00612EED" w:rsidRDefault="00227A2A" w:rsidP="002A048C">
      <w:pPr>
        <w:spacing w:after="0" w:line="360" w:lineRule="auto"/>
        <w:jc w:val="both"/>
        <w:rPr>
          <w:rFonts w:ascii="Book Antiqua" w:hAnsi="Book Antiqua" w:cs="Arial"/>
          <w:b/>
          <w:bCs/>
          <w:sz w:val="24"/>
          <w:szCs w:val="24"/>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F2207B" w:rsidRPr="00EA27E7" w:rsidRDefault="00F2207B" w:rsidP="002A048C">
      <w:pPr>
        <w:spacing w:after="0" w:line="360" w:lineRule="auto"/>
        <w:jc w:val="both"/>
        <w:rPr>
          <w:rFonts w:ascii="Book Antiqua" w:hAnsi="Book Antiqua" w:cs="Times New Roman"/>
          <w:sz w:val="24"/>
          <w:szCs w:val="24"/>
          <w:lang w:eastAsia="zh-CN"/>
        </w:rPr>
      </w:pPr>
      <w:r w:rsidRPr="00EA27E7">
        <w:rPr>
          <w:rFonts w:ascii="Book Antiqua" w:hAnsi="Book Antiqua" w:cs="Times New Roman"/>
          <w:sz w:val="24"/>
          <w:szCs w:val="24"/>
        </w:rPr>
        <w:t xml:space="preserve">Nephropathy in </w:t>
      </w:r>
      <w:r w:rsidR="00612EED" w:rsidRPr="00EA27E7">
        <w:rPr>
          <w:rFonts w:ascii="Book Antiqua" w:hAnsi="Book Antiqua" w:cs="Times New Roman"/>
          <w:sz w:val="24"/>
          <w:szCs w:val="24"/>
        </w:rPr>
        <w:t>dietary h</w:t>
      </w:r>
      <w:r w:rsidRPr="00EA27E7">
        <w:rPr>
          <w:rFonts w:ascii="Book Antiqua" w:hAnsi="Book Antiqua" w:cs="Times New Roman"/>
          <w:sz w:val="24"/>
          <w:szCs w:val="24"/>
        </w:rPr>
        <w:t xml:space="preserve">yperoxaluria: A </w:t>
      </w:r>
      <w:r w:rsidR="00612EED" w:rsidRPr="00EA27E7">
        <w:rPr>
          <w:rFonts w:ascii="Book Antiqua" w:hAnsi="Book Antiqua" w:cs="Times New Roman"/>
          <w:sz w:val="24"/>
          <w:szCs w:val="24"/>
        </w:rPr>
        <w:t xml:space="preserve">potentially preventable acute or chronic kidney disease </w:t>
      </w:r>
    </w:p>
    <w:p w:rsidR="00845156" w:rsidRDefault="00845156" w:rsidP="002A048C">
      <w:pPr>
        <w:spacing w:after="0" w:line="360" w:lineRule="auto"/>
        <w:jc w:val="both"/>
        <w:rPr>
          <w:rFonts w:ascii="Book Antiqua" w:hAnsi="Book Antiqua" w:cs="Times New Roman"/>
          <w:b/>
          <w:sz w:val="24"/>
          <w:szCs w:val="24"/>
          <w:lang w:eastAsia="zh-CN"/>
        </w:rPr>
      </w:pPr>
    </w:p>
    <w:p w:rsidR="00845156" w:rsidRPr="00612EED" w:rsidRDefault="00E871E5" w:rsidP="002A048C">
      <w:pPr>
        <w:spacing w:after="0" w:line="360" w:lineRule="auto"/>
        <w:jc w:val="both"/>
        <w:rPr>
          <w:rFonts w:ascii="Book Antiqua" w:hAnsi="Book Antiqua" w:cs="Times New Roman"/>
          <w:sz w:val="24"/>
          <w:szCs w:val="24"/>
        </w:rPr>
      </w:pPr>
      <w:r w:rsidRPr="00845156">
        <w:rPr>
          <w:rFonts w:ascii="Book Antiqua" w:hAnsi="Book Antiqua" w:cs="Times New Roman"/>
          <w:sz w:val="24"/>
          <w:szCs w:val="24"/>
          <w:lang w:eastAsia="zh-CN"/>
        </w:rPr>
        <w:t>Glew</w:t>
      </w:r>
      <w:r w:rsidRPr="00612EED">
        <w:rPr>
          <w:rFonts w:ascii="Book Antiqua" w:hAnsi="Book Antiqua" w:cs="Times New Roman"/>
          <w:sz w:val="24"/>
          <w:szCs w:val="24"/>
        </w:rPr>
        <w:t xml:space="preserve"> </w:t>
      </w:r>
      <w:r>
        <w:rPr>
          <w:rFonts w:ascii="Book Antiqua" w:hAnsi="Book Antiqua" w:cs="Times New Roman" w:hint="eastAsia"/>
          <w:sz w:val="24"/>
          <w:szCs w:val="24"/>
          <w:lang w:eastAsia="zh-CN"/>
        </w:rPr>
        <w:t>RH</w:t>
      </w:r>
      <w:r w:rsidRPr="00E871E5">
        <w:rPr>
          <w:rFonts w:ascii="Book Antiqua" w:hAnsi="Book Antiqua" w:cs="Times New Roman" w:hint="eastAsia"/>
          <w:i/>
          <w:sz w:val="24"/>
          <w:szCs w:val="24"/>
          <w:lang w:eastAsia="zh-CN"/>
        </w:rPr>
        <w:t xml:space="preserve"> et al</w:t>
      </w:r>
      <w:r>
        <w:rPr>
          <w:rFonts w:ascii="Book Antiqua" w:hAnsi="Book Antiqua" w:cs="Times New Roman" w:hint="eastAsia"/>
          <w:sz w:val="24"/>
          <w:szCs w:val="24"/>
          <w:lang w:eastAsia="zh-CN"/>
        </w:rPr>
        <w:t xml:space="preserve">. </w:t>
      </w:r>
      <w:r w:rsidR="00845156" w:rsidRPr="00612EED">
        <w:rPr>
          <w:rFonts w:ascii="Book Antiqua" w:hAnsi="Book Antiqua" w:cs="Times New Roman"/>
          <w:sz w:val="24"/>
          <w:szCs w:val="24"/>
        </w:rPr>
        <w:t>Oxalate nephropathy</w:t>
      </w:r>
    </w:p>
    <w:p w:rsidR="00845156" w:rsidRDefault="00845156" w:rsidP="002A048C">
      <w:pPr>
        <w:spacing w:after="0" w:line="360" w:lineRule="auto"/>
        <w:jc w:val="both"/>
        <w:rPr>
          <w:rFonts w:ascii="Book Antiqua" w:hAnsi="Book Antiqua" w:cs="Times New Roman"/>
          <w:b/>
          <w:sz w:val="24"/>
          <w:szCs w:val="24"/>
          <w:lang w:eastAsia="zh-CN"/>
        </w:rPr>
      </w:pPr>
    </w:p>
    <w:p w:rsidR="00845156" w:rsidRDefault="00845156" w:rsidP="002A048C">
      <w:pPr>
        <w:spacing w:after="0" w:line="360" w:lineRule="auto"/>
        <w:jc w:val="both"/>
        <w:rPr>
          <w:rFonts w:ascii="Book Antiqua" w:hAnsi="Book Antiqua" w:cs="Times New Roman"/>
          <w:sz w:val="24"/>
          <w:szCs w:val="24"/>
          <w:lang w:eastAsia="zh-CN"/>
        </w:rPr>
      </w:pPr>
      <w:r w:rsidRPr="00845156">
        <w:rPr>
          <w:rFonts w:ascii="Book Antiqua" w:hAnsi="Book Antiqua" w:cs="Times New Roman"/>
          <w:sz w:val="24"/>
          <w:szCs w:val="24"/>
          <w:lang w:eastAsia="zh-CN"/>
        </w:rPr>
        <w:t>Robert H</w:t>
      </w:r>
      <w:r>
        <w:rPr>
          <w:rFonts w:ascii="Book Antiqua" w:hAnsi="Book Antiqua" w:cs="Times New Roman" w:hint="eastAsia"/>
          <w:sz w:val="24"/>
          <w:szCs w:val="24"/>
          <w:lang w:eastAsia="zh-CN"/>
        </w:rPr>
        <w:t xml:space="preserve"> </w:t>
      </w:r>
      <w:r w:rsidRPr="00845156">
        <w:rPr>
          <w:rFonts w:ascii="Book Antiqua" w:hAnsi="Book Antiqua" w:cs="Times New Roman"/>
          <w:sz w:val="24"/>
          <w:szCs w:val="24"/>
          <w:lang w:eastAsia="zh-CN"/>
        </w:rPr>
        <w:t>Glew, Yijuan Sun, Bruce L Horowitz, Konstantin N</w:t>
      </w:r>
      <w:r>
        <w:rPr>
          <w:rFonts w:ascii="Book Antiqua" w:hAnsi="Book Antiqua" w:cs="Times New Roman" w:hint="eastAsia"/>
          <w:sz w:val="24"/>
          <w:szCs w:val="24"/>
          <w:lang w:eastAsia="zh-CN"/>
        </w:rPr>
        <w:t xml:space="preserve"> </w:t>
      </w:r>
      <w:r w:rsidRPr="00845156">
        <w:rPr>
          <w:rFonts w:ascii="Book Antiqua" w:hAnsi="Book Antiqua" w:cs="Times New Roman"/>
          <w:sz w:val="24"/>
          <w:szCs w:val="24"/>
          <w:lang w:eastAsia="zh-CN"/>
        </w:rPr>
        <w:t>Kosntantinov, Marc Barry, Joanna R Fair, Larry Massie, Antonios H</w:t>
      </w:r>
      <w:r>
        <w:rPr>
          <w:rFonts w:ascii="Book Antiqua" w:hAnsi="Book Antiqua" w:cs="Times New Roman" w:hint="eastAsia"/>
          <w:sz w:val="24"/>
          <w:szCs w:val="24"/>
          <w:lang w:eastAsia="zh-CN"/>
        </w:rPr>
        <w:t xml:space="preserve"> </w:t>
      </w:r>
      <w:r w:rsidRPr="00845156">
        <w:rPr>
          <w:rFonts w:ascii="Book Antiqua" w:hAnsi="Book Antiqua" w:cs="Times New Roman"/>
          <w:sz w:val="24"/>
          <w:szCs w:val="24"/>
          <w:lang w:eastAsia="zh-CN"/>
        </w:rPr>
        <w:t>Tzamaloukas</w:t>
      </w:r>
    </w:p>
    <w:p w:rsidR="00845156" w:rsidRDefault="00845156" w:rsidP="002A048C">
      <w:pPr>
        <w:spacing w:after="0" w:line="360" w:lineRule="auto"/>
        <w:jc w:val="both"/>
        <w:rPr>
          <w:rFonts w:ascii="Book Antiqua" w:hAnsi="Book Antiqua" w:cs="Times New Roman"/>
          <w:sz w:val="24"/>
          <w:szCs w:val="24"/>
          <w:lang w:eastAsia="zh-CN"/>
        </w:rPr>
      </w:pPr>
    </w:p>
    <w:p w:rsidR="00F2207B" w:rsidRDefault="00F2207B" w:rsidP="002A048C">
      <w:pPr>
        <w:spacing w:after="0" w:line="360" w:lineRule="auto"/>
        <w:jc w:val="both"/>
        <w:rPr>
          <w:rFonts w:ascii="Book Antiqua" w:hAnsi="Book Antiqua" w:cs="Times New Roman"/>
          <w:sz w:val="24"/>
          <w:szCs w:val="24"/>
          <w:lang w:eastAsia="zh-CN"/>
        </w:rPr>
      </w:pPr>
      <w:r w:rsidRPr="00845156">
        <w:rPr>
          <w:rFonts w:ascii="Book Antiqua" w:hAnsi="Book Antiqua" w:cs="Times New Roman"/>
          <w:b/>
          <w:sz w:val="24"/>
          <w:szCs w:val="24"/>
        </w:rPr>
        <w:t>Robert H Glew,</w:t>
      </w:r>
      <w:r w:rsidRPr="00612EED">
        <w:rPr>
          <w:rFonts w:ascii="Book Antiqua" w:hAnsi="Book Antiqua" w:cs="Times New Roman"/>
          <w:sz w:val="24"/>
          <w:szCs w:val="24"/>
        </w:rPr>
        <w:t xml:space="preserve"> Department of Surgery, University of New Mexico School of Medicine, Albuquerque, N</w:t>
      </w:r>
      <w:r w:rsidR="00EA27E7">
        <w:rPr>
          <w:rFonts w:ascii="Book Antiqua" w:hAnsi="Book Antiqua" w:cs="Times New Roman" w:hint="eastAsia"/>
          <w:sz w:val="24"/>
          <w:szCs w:val="24"/>
          <w:lang w:eastAsia="zh-CN"/>
        </w:rPr>
        <w:t>M</w:t>
      </w:r>
      <w:r w:rsidRPr="00612EED">
        <w:rPr>
          <w:rFonts w:ascii="Book Antiqua" w:hAnsi="Book Antiqua" w:cs="Times New Roman"/>
          <w:sz w:val="24"/>
          <w:szCs w:val="24"/>
        </w:rPr>
        <w:t xml:space="preserve"> 87131,</w:t>
      </w:r>
      <w:r w:rsidR="0077323C">
        <w:rPr>
          <w:rFonts w:ascii="Book Antiqua" w:hAnsi="Book Antiqua" w:cs="Times New Roman"/>
          <w:sz w:val="24"/>
          <w:szCs w:val="24"/>
        </w:rPr>
        <w:t xml:space="preserve"> </w:t>
      </w:r>
      <w:bookmarkStart w:id="59" w:name="OLE_LINK144"/>
      <w:bookmarkStart w:id="60" w:name="OLE_LINK145"/>
      <w:bookmarkStart w:id="61" w:name="OLE_LINK31"/>
      <w:r w:rsidR="00EA27E7" w:rsidRPr="00506C76">
        <w:rPr>
          <w:rFonts w:ascii="Book Antiqua" w:hAnsi="Book Antiqua" w:cs="Garamond"/>
          <w:sz w:val="24"/>
          <w:szCs w:val="24"/>
        </w:rPr>
        <w:t>United States</w:t>
      </w:r>
      <w:bookmarkEnd w:id="59"/>
      <w:bookmarkEnd w:id="60"/>
      <w:bookmarkEnd w:id="61"/>
    </w:p>
    <w:p w:rsidR="00EA27E7" w:rsidRPr="00EA27E7" w:rsidRDefault="00EA27E7" w:rsidP="002A048C">
      <w:pPr>
        <w:spacing w:after="0" w:line="360" w:lineRule="auto"/>
        <w:jc w:val="both"/>
        <w:rPr>
          <w:rFonts w:ascii="Book Antiqua" w:hAnsi="Book Antiqua" w:cs="Times New Roman"/>
          <w:sz w:val="24"/>
          <w:szCs w:val="24"/>
          <w:lang w:eastAsia="zh-CN"/>
        </w:rPr>
      </w:pPr>
    </w:p>
    <w:p w:rsidR="00F2207B" w:rsidRDefault="00F2207B" w:rsidP="002A048C">
      <w:pPr>
        <w:spacing w:after="0" w:line="360" w:lineRule="auto"/>
        <w:jc w:val="both"/>
        <w:rPr>
          <w:rFonts w:ascii="Book Antiqua" w:hAnsi="Book Antiqua" w:cs="Garamond"/>
          <w:sz w:val="24"/>
          <w:szCs w:val="24"/>
          <w:lang w:eastAsia="zh-CN"/>
        </w:rPr>
      </w:pPr>
      <w:r w:rsidRPr="00845156">
        <w:rPr>
          <w:rFonts w:ascii="Book Antiqua" w:hAnsi="Book Antiqua" w:cs="Times New Roman"/>
          <w:b/>
          <w:sz w:val="24"/>
          <w:szCs w:val="24"/>
        </w:rPr>
        <w:t>Yijuan Sun,</w:t>
      </w:r>
      <w:r w:rsidR="0077323C" w:rsidRPr="00845156">
        <w:rPr>
          <w:rFonts w:ascii="Book Antiqua" w:hAnsi="Book Antiqua" w:cs="Times New Roman"/>
          <w:b/>
          <w:sz w:val="24"/>
          <w:szCs w:val="24"/>
        </w:rPr>
        <w:t xml:space="preserve"> </w:t>
      </w:r>
      <w:r w:rsidRPr="00845156">
        <w:rPr>
          <w:rFonts w:ascii="Book Antiqua" w:hAnsi="Book Antiqua" w:cs="Times New Roman"/>
          <w:b/>
          <w:sz w:val="24"/>
          <w:szCs w:val="24"/>
        </w:rPr>
        <w:t xml:space="preserve">Renal Section, </w:t>
      </w:r>
      <w:r w:rsidRPr="007C120B">
        <w:rPr>
          <w:rFonts w:ascii="Book Antiqua" w:hAnsi="Book Antiqua" w:cs="Times New Roman"/>
          <w:sz w:val="24"/>
          <w:szCs w:val="24"/>
        </w:rPr>
        <w:t>Raymond G Murphy</w:t>
      </w:r>
      <w:r w:rsidRPr="00845156">
        <w:rPr>
          <w:rFonts w:ascii="Book Antiqua" w:hAnsi="Book Antiqua" w:cs="Times New Roman"/>
          <w:b/>
          <w:sz w:val="24"/>
          <w:szCs w:val="24"/>
        </w:rPr>
        <w:t xml:space="preserve"> </w:t>
      </w:r>
      <w:r w:rsidRPr="00612EED">
        <w:rPr>
          <w:rFonts w:ascii="Book Antiqua" w:hAnsi="Book Antiqua" w:cs="Times New Roman"/>
          <w:sz w:val="24"/>
          <w:szCs w:val="24"/>
        </w:rPr>
        <w:t>Veterans Affairs (VA) Medical Center and Department of Medicine, University of New Mexico School of Medicine, Albuquerque, N</w:t>
      </w:r>
      <w:r w:rsidR="00C04C3A">
        <w:rPr>
          <w:rFonts w:ascii="Book Antiqua" w:hAnsi="Book Antiqua" w:cs="Times New Roman" w:hint="eastAsia"/>
          <w:sz w:val="24"/>
          <w:szCs w:val="24"/>
          <w:lang w:eastAsia="zh-CN"/>
        </w:rPr>
        <w:t xml:space="preserve">M </w:t>
      </w:r>
      <w:r w:rsidRPr="00612EED">
        <w:rPr>
          <w:rFonts w:ascii="Book Antiqua" w:hAnsi="Book Antiqua" w:cs="Times New Roman"/>
          <w:sz w:val="24"/>
          <w:szCs w:val="24"/>
        </w:rPr>
        <w:t xml:space="preserve">87108, </w:t>
      </w:r>
      <w:r w:rsidR="00EA27E7" w:rsidRPr="00506C76">
        <w:rPr>
          <w:rFonts w:ascii="Book Antiqua" w:hAnsi="Book Antiqua" w:cs="Garamond"/>
          <w:sz w:val="24"/>
          <w:szCs w:val="24"/>
        </w:rPr>
        <w:t>United States</w:t>
      </w:r>
    </w:p>
    <w:p w:rsidR="00C04C3A" w:rsidRPr="00C04C3A" w:rsidRDefault="00C04C3A" w:rsidP="002A048C">
      <w:pPr>
        <w:spacing w:after="0" w:line="360" w:lineRule="auto"/>
        <w:jc w:val="both"/>
        <w:rPr>
          <w:rFonts w:ascii="Book Antiqua" w:hAnsi="Book Antiqua" w:cs="Times New Roman"/>
          <w:sz w:val="24"/>
          <w:szCs w:val="24"/>
          <w:lang w:eastAsia="zh-CN"/>
        </w:rPr>
      </w:pPr>
    </w:p>
    <w:p w:rsidR="00F2207B" w:rsidRDefault="00F2207B" w:rsidP="002A048C">
      <w:pPr>
        <w:spacing w:after="0" w:line="360" w:lineRule="auto"/>
        <w:jc w:val="both"/>
        <w:rPr>
          <w:rFonts w:ascii="Book Antiqua" w:hAnsi="Book Antiqua" w:cs="Garamond"/>
          <w:sz w:val="24"/>
          <w:szCs w:val="24"/>
          <w:lang w:eastAsia="zh-CN"/>
        </w:rPr>
      </w:pPr>
      <w:r w:rsidRPr="00845156">
        <w:rPr>
          <w:rFonts w:ascii="Book Antiqua" w:hAnsi="Book Antiqua" w:cs="Times New Roman"/>
          <w:b/>
          <w:sz w:val="24"/>
          <w:szCs w:val="24"/>
        </w:rPr>
        <w:t xml:space="preserve">Bruce L Horowitz, </w:t>
      </w:r>
      <w:r w:rsidRPr="00612EED">
        <w:rPr>
          <w:rFonts w:ascii="Book Antiqua" w:hAnsi="Book Antiqua" w:cs="Times New Roman"/>
          <w:sz w:val="24"/>
          <w:szCs w:val="24"/>
        </w:rPr>
        <w:t>Division of Nephrology, Department of Medicine, University of New Mexico School of Medicine, Albuquerque, N</w:t>
      </w:r>
      <w:r w:rsidR="00734E1C">
        <w:rPr>
          <w:rFonts w:ascii="Book Antiqua" w:hAnsi="Book Antiqua" w:cs="Times New Roman" w:hint="eastAsia"/>
          <w:sz w:val="24"/>
          <w:szCs w:val="24"/>
          <w:lang w:eastAsia="zh-CN"/>
        </w:rPr>
        <w:t>M</w:t>
      </w:r>
      <w:r w:rsidRPr="00612EED">
        <w:rPr>
          <w:rFonts w:ascii="Book Antiqua" w:hAnsi="Book Antiqua" w:cs="Times New Roman"/>
          <w:sz w:val="24"/>
          <w:szCs w:val="24"/>
        </w:rPr>
        <w:t xml:space="preserve"> 87131, </w:t>
      </w:r>
      <w:r w:rsidR="00EA27E7" w:rsidRPr="00506C76">
        <w:rPr>
          <w:rFonts w:ascii="Book Antiqua" w:hAnsi="Book Antiqua" w:cs="Garamond"/>
          <w:sz w:val="24"/>
          <w:szCs w:val="24"/>
        </w:rPr>
        <w:t>United States</w:t>
      </w:r>
    </w:p>
    <w:p w:rsidR="00D11C88" w:rsidRPr="00612EED" w:rsidRDefault="00D11C88" w:rsidP="002A048C">
      <w:pPr>
        <w:spacing w:after="0" w:line="360" w:lineRule="auto"/>
        <w:jc w:val="both"/>
        <w:rPr>
          <w:rFonts w:ascii="Book Antiqua" w:hAnsi="Book Antiqua" w:cs="Times New Roman"/>
          <w:sz w:val="24"/>
          <w:szCs w:val="24"/>
          <w:lang w:eastAsia="zh-CN"/>
        </w:rPr>
      </w:pPr>
    </w:p>
    <w:p w:rsidR="00F2207B" w:rsidRDefault="00F2207B" w:rsidP="002A048C">
      <w:pPr>
        <w:spacing w:after="0" w:line="360" w:lineRule="auto"/>
        <w:jc w:val="both"/>
        <w:rPr>
          <w:rFonts w:ascii="Book Antiqua" w:hAnsi="Book Antiqua" w:cs="Garamond"/>
          <w:sz w:val="24"/>
          <w:szCs w:val="24"/>
          <w:lang w:eastAsia="zh-CN"/>
        </w:rPr>
      </w:pPr>
      <w:r w:rsidRPr="00845156">
        <w:rPr>
          <w:rFonts w:ascii="Book Antiqua" w:hAnsi="Book Antiqua" w:cs="Times New Roman"/>
          <w:b/>
          <w:sz w:val="24"/>
          <w:szCs w:val="24"/>
        </w:rPr>
        <w:t xml:space="preserve">Konstantin N Konstantinov, Rheumatology Section, </w:t>
      </w:r>
      <w:r w:rsidRPr="007C120B">
        <w:rPr>
          <w:rFonts w:ascii="Book Antiqua" w:hAnsi="Book Antiqua" w:cs="Times New Roman"/>
          <w:sz w:val="24"/>
          <w:szCs w:val="24"/>
        </w:rPr>
        <w:t xml:space="preserve">Raymond G Murphy </w:t>
      </w:r>
      <w:r w:rsidRPr="00612EED">
        <w:rPr>
          <w:rFonts w:ascii="Book Antiqua" w:hAnsi="Book Antiqua" w:cs="Times New Roman"/>
          <w:sz w:val="24"/>
          <w:szCs w:val="24"/>
        </w:rPr>
        <w:t>VA Medical Center and Department of Medicine, University of New Mexico School of Medicine, Albuquerque, N</w:t>
      </w:r>
      <w:r w:rsidR="004F1CB9">
        <w:rPr>
          <w:rFonts w:ascii="Book Antiqua" w:hAnsi="Book Antiqua" w:cs="Times New Roman" w:hint="eastAsia"/>
          <w:sz w:val="24"/>
          <w:szCs w:val="24"/>
          <w:lang w:eastAsia="zh-CN"/>
        </w:rPr>
        <w:t>M</w:t>
      </w:r>
      <w:r w:rsidRPr="00612EED">
        <w:rPr>
          <w:rFonts w:ascii="Book Antiqua" w:hAnsi="Book Antiqua" w:cs="Times New Roman"/>
          <w:sz w:val="24"/>
          <w:szCs w:val="24"/>
        </w:rPr>
        <w:t xml:space="preserve"> 87108, </w:t>
      </w:r>
      <w:r w:rsidR="00EA27E7" w:rsidRPr="00506C76">
        <w:rPr>
          <w:rFonts w:ascii="Book Antiqua" w:hAnsi="Book Antiqua" w:cs="Garamond"/>
          <w:sz w:val="24"/>
          <w:szCs w:val="24"/>
        </w:rPr>
        <w:t>United States</w:t>
      </w:r>
    </w:p>
    <w:p w:rsidR="004F1CB9" w:rsidRPr="004F1CB9" w:rsidRDefault="004F1CB9" w:rsidP="002A048C">
      <w:pPr>
        <w:spacing w:after="0" w:line="360" w:lineRule="auto"/>
        <w:jc w:val="both"/>
        <w:rPr>
          <w:rFonts w:ascii="Book Antiqua" w:hAnsi="Book Antiqua" w:cs="Times New Roman"/>
          <w:sz w:val="24"/>
          <w:szCs w:val="24"/>
          <w:lang w:eastAsia="zh-CN"/>
        </w:rPr>
      </w:pPr>
    </w:p>
    <w:p w:rsidR="00F2207B" w:rsidRDefault="00F2207B" w:rsidP="002A048C">
      <w:pPr>
        <w:spacing w:after="0" w:line="360" w:lineRule="auto"/>
        <w:jc w:val="both"/>
        <w:rPr>
          <w:rFonts w:ascii="Book Antiqua" w:hAnsi="Book Antiqua" w:cs="Garamond"/>
          <w:sz w:val="24"/>
          <w:szCs w:val="24"/>
          <w:lang w:eastAsia="zh-CN"/>
        </w:rPr>
      </w:pPr>
      <w:r w:rsidRPr="00D22959">
        <w:rPr>
          <w:rFonts w:ascii="Book Antiqua" w:hAnsi="Book Antiqua" w:cs="Times New Roman"/>
          <w:b/>
          <w:sz w:val="24"/>
          <w:szCs w:val="24"/>
        </w:rPr>
        <w:t>Marc Barry,</w:t>
      </w:r>
      <w:r w:rsidRPr="00D22959">
        <w:rPr>
          <w:rFonts w:ascii="Book Antiqua" w:hAnsi="Book Antiqua" w:cs="Times New Roman"/>
          <w:b/>
          <w:sz w:val="24"/>
          <w:szCs w:val="24"/>
          <w:vertAlign w:val="superscript"/>
        </w:rPr>
        <w:t xml:space="preserve"> </w:t>
      </w:r>
      <w:r w:rsidRPr="00612EED">
        <w:rPr>
          <w:rFonts w:ascii="Book Antiqua" w:hAnsi="Book Antiqua" w:cs="Times New Roman"/>
          <w:sz w:val="24"/>
          <w:szCs w:val="24"/>
        </w:rPr>
        <w:t>Department of Pathology, University of New Mexico School of Medicine, Albuquerque, N</w:t>
      </w:r>
      <w:r w:rsidR="00D22959">
        <w:rPr>
          <w:rFonts w:ascii="Book Antiqua" w:hAnsi="Book Antiqua" w:cs="Times New Roman" w:hint="eastAsia"/>
          <w:sz w:val="24"/>
          <w:szCs w:val="24"/>
          <w:lang w:eastAsia="zh-CN"/>
        </w:rPr>
        <w:t>M</w:t>
      </w:r>
      <w:r w:rsidRPr="00612EED">
        <w:rPr>
          <w:rFonts w:ascii="Book Antiqua" w:hAnsi="Book Antiqua" w:cs="Times New Roman"/>
          <w:sz w:val="24"/>
          <w:szCs w:val="24"/>
        </w:rPr>
        <w:t xml:space="preserve"> 87131, </w:t>
      </w:r>
      <w:r w:rsidR="00EA27E7" w:rsidRPr="00506C76">
        <w:rPr>
          <w:rFonts w:ascii="Book Antiqua" w:hAnsi="Book Antiqua" w:cs="Garamond"/>
          <w:sz w:val="24"/>
          <w:szCs w:val="24"/>
        </w:rPr>
        <w:t>United States</w:t>
      </w:r>
    </w:p>
    <w:p w:rsidR="003D1716" w:rsidRPr="003D1716" w:rsidRDefault="003D1716" w:rsidP="002A048C">
      <w:pPr>
        <w:spacing w:after="0" w:line="360" w:lineRule="auto"/>
        <w:jc w:val="both"/>
        <w:rPr>
          <w:rFonts w:ascii="Book Antiqua" w:hAnsi="Book Antiqua" w:cs="Times New Roman"/>
          <w:sz w:val="24"/>
          <w:szCs w:val="24"/>
          <w:lang w:eastAsia="zh-CN"/>
        </w:rPr>
      </w:pPr>
    </w:p>
    <w:p w:rsidR="00F2207B" w:rsidRDefault="00F2207B" w:rsidP="002A048C">
      <w:pPr>
        <w:spacing w:after="0" w:line="360" w:lineRule="auto"/>
        <w:jc w:val="both"/>
        <w:rPr>
          <w:rFonts w:ascii="Book Antiqua" w:hAnsi="Book Antiqua" w:cs="Garamond"/>
          <w:sz w:val="24"/>
          <w:szCs w:val="24"/>
          <w:lang w:eastAsia="zh-CN"/>
        </w:rPr>
      </w:pPr>
      <w:r w:rsidRPr="003D1716">
        <w:rPr>
          <w:rFonts w:ascii="Book Antiqua" w:hAnsi="Book Antiqua" w:cs="Times New Roman"/>
          <w:b/>
          <w:sz w:val="24"/>
          <w:szCs w:val="24"/>
        </w:rPr>
        <w:lastRenderedPageBreak/>
        <w:t xml:space="preserve">Joanna R Fair, Radiology Service, </w:t>
      </w:r>
      <w:r w:rsidRPr="007C120B">
        <w:rPr>
          <w:rFonts w:ascii="Book Antiqua" w:hAnsi="Book Antiqua" w:cs="Times New Roman"/>
          <w:sz w:val="24"/>
          <w:szCs w:val="24"/>
        </w:rPr>
        <w:t xml:space="preserve">Raymond G Murphy </w:t>
      </w:r>
      <w:r w:rsidRPr="00612EED">
        <w:rPr>
          <w:rFonts w:ascii="Book Antiqua" w:hAnsi="Book Antiqua" w:cs="Times New Roman"/>
          <w:sz w:val="24"/>
          <w:szCs w:val="24"/>
        </w:rPr>
        <w:t>VA Medical Center and Department of Radiology, University of New Mexico School of Medicine, Albuquerque, N</w:t>
      </w:r>
      <w:r w:rsidR="003D1716">
        <w:rPr>
          <w:rFonts w:ascii="Book Antiqua" w:hAnsi="Book Antiqua" w:cs="Times New Roman" w:hint="eastAsia"/>
          <w:sz w:val="24"/>
          <w:szCs w:val="24"/>
          <w:lang w:eastAsia="zh-CN"/>
        </w:rPr>
        <w:t>M</w:t>
      </w:r>
      <w:r w:rsidRPr="00612EED">
        <w:rPr>
          <w:rFonts w:ascii="Book Antiqua" w:hAnsi="Book Antiqua" w:cs="Times New Roman"/>
          <w:sz w:val="24"/>
          <w:szCs w:val="24"/>
        </w:rPr>
        <w:t xml:space="preserve"> 87108, </w:t>
      </w:r>
      <w:r w:rsidR="00EA27E7" w:rsidRPr="00506C76">
        <w:rPr>
          <w:rFonts w:ascii="Book Antiqua" w:hAnsi="Book Antiqua" w:cs="Garamond"/>
          <w:sz w:val="24"/>
          <w:szCs w:val="24"/>
        </w:rPr>
        <w:t>United States</w:t>
      </w:r>
    </w:p>
    <w:p w:rsidR="003D1716" w:rsidRPr="003D1716" w:rsidRDefault="003D1716" w:rsidP="002A048C">
      <w:pPr>
        <w:spacing w:after="0" w:line="360" w:lineRule="auto"/>
        <w:jc w:val="both"/>
        <w:rPr>
          <w:rFonts w:ascii="Book Antiqua" w:hAnsi="Book Antiqua" w:cs="Times New Roman"/>
          <w:sz w:val="24"/>
          <w:szCs w:val="24"/>
          <w:lang w:eastAsia="zh-CN"/>
        </w:rPr>
      </w:pPr>
    </w:p>
    <w:p w:rsidR="00F2207B" w:rsidRDefault="00F2207B" w:rsidP="002A048C">
      <w:pPr>
        <w:spacing w:after="0" w:line="360" w:lineRule="auto"/>
        <w:jc w:val="both"/>
        <w:rPr>
          <w:rFonts w:ascii="Book Antiqua" w:hAnsi="Book Antiqua" w:cs="Garamond"/>
          <w:sz w:val="24"/>
          <w:szCs w:val="24"/>
          <w:lang w:eastAsia="zh-CN"/>
        </w:rPr>
      </w:pPr>
      <w:r w:rsidRPr="00DA08FF">
        <w:rPr>
          <w:rFonts w:ascii="Book Antiqua" w:hAnsi="Book Antiqua" w:cs="Times New Roman"/>
          <w:b/>
          <w:sz w:val="24"/>
          <w:szCs w:val="24"/>
        </w:rPr>
        <w:t xml:space="preserve">Larry Massie, Pathology Section, </w:t>
      </w:r>
      <w:r w:rsidRPr="007C120B">
        <w:rPr>
          <w:rFonts w:ascii="Book Antiqua" w:hAnsi="Book Antiqua" w:cs="Times New Roman"/>
          <w:sz w:val="24"/>
          <w:szCs w:val="24"/>
        </w:rPr>
        <w:t>Raymond G Murphy</w:t>
      </w:r>
      <w:r w:rsidRPr="00DA08FF">
        <w:rPr>
          <w:rFonts w:ascii="Book Antiqua" w:hAnsi="Book Antiqua" w:cs="Times New Roman"/>
          <w:b/>
          <w:sz w:val="24"/>
          <w:szCs w:val="24"/>
        </w:rPr>
        <w:t xml:space="preserve"> </w:t>
      </w:r>
      <w:r w:rsidRPr="00612EED">
        <w:rPr>
          <w:rFonts w:ascii="Book Antiqua" w:hAnsi="Book Antiqua" w:cs="Times New Roman"/>
          <w:sz w:val="24"/>
          <w:szCs w:val="24"/>
        </w:rPr>
        <w:t xml:space="preserve">VA Medical Center and Department of Pathology, University of New Mexico School of Medicine, Albuquerque, New Mexico 87108, </w:t>
      </w:r>
      <w:r w:rsidR="00EA27E7" w:rsidRPr="00506C76">
        <w:rPr>
          <w:rFonts w:ascii="Book Antiqua" w:hAnsi="Book Antiqua" w:cs="Garamond"/>
          <w:sz w:val="24"/>
          <w:szCs w:val="24"/>
        </w:rPr>
        <w:t>United States</w:t>
      </w:r>
    </w:p>
    <w:p w:rsidR="00DA08FF" w:rsidRPr="00612EED" w:rsidRDefault="00DA08FF" w:rsidP="002A048C">
      <w:pPr>
        <w:spacing w:after="0" w:line="360" w:lineRule="auto"/>
        <w:jc w:val="both"/>
        <w:rPr>
          <w:rFonts w:ascii="Book Antiqua" w:hAnsi="Book Antiqua" w:cs="Times New Roman"/>
          <w:sz w:val="24"/>
          <w:szCs w:val="24"/>
          <w:lang w:eastAsia="zh-CN"/>
        </w:rPr>
      </w:pPr>
    </w:p>
    <w:p w:rsidR="00F2207B" w:rsidRDefault="00F2207B" w:rsidP="002A048C">
      <w:pPr>
        <w:spacing w:after="0" w:line="360" w:lineRule="auto"/>
        <w:jc w:val="both"/>
        <w:rPr>
          <w:rFonts w:ascii="Book Antiqua" w:hAnsi="Book Antiqua" w:cs="Garamond"/>
          <w:sz w:val="24"/>
          <w:szCs w:val="24"/>
          <w:lang w:eastAsia="zh-CN"/>
        </w:rPr>
      </w:pPr>
      <w:r w:rsidRPr="00DA08FF">
        <w:rPr>
          <w:rFonts w:ascii="Book Antiqua" w:hAnsi="Book Antiqua" w:cs="Times New Roman"/>
          <w:b/>
          <w:sz w:val="24"/>
          <w:szCs w:val="24"/>
        </w:rPr>
        <w:t>Antonios H Tzamaloukas, Renal Section</w:t>
      </w:r>
      <w:r w:rsidRPr="007C120B">
        <w:rPr>
          <w:rFonts w:ascii="Book Antiqua" w:hAnsi="Book Antiqua" w:cs="Times New Roman"/>
          <w:sz w:val="24"/>
          <w:szCs w:val="24"/>
        </w:rPr>
        <w:t>, Raymond G</w:t>
      </w:r>
      <w:r w:rsidR="00DA08FF" w:rsidRPr="007C120B">
        <w:rPr>
          <w:rFonts w:ascii="Book Antiqua" w:hAnsi="Book Antiqua" w:cs="Times New Roman" w:hint="eastAsia"/>
          <w:sz w:val="24"/>
          <w:szCs w:val="24"/>
          <w:lang w:eastAsia="zh-CN"/>
        </w:rPr>
        <w:t xml:space="preserve"> </w:t>
      </w:r>
      <w:r w:rsidRPr="007C120B">
        <w:rPr>
          <w:rFonts w:ascii="Book Antiqua" w:hAnsi="Book Antiqua" w:cs="Times New Roman"/>
          <w:sz w:val="24"/>
          <w:szCs w:val="24"/>
        </w:rPr>
        <w:t xml:space="preserve">Murphy </w:t>
      </w:r>
      <w:r w:rsidRPr="00612EED">
        <w:rPr>
          <w:rFonts w:ascii="Book Antiqua" w:hAnsi="Book Antiqua" w:cs="Times New Roman"/>
          <w:sz w:val="24"/>
          <w:szCs w:val="24"/>
        </w:rPr>
        <w:t>VA Medical Center and Department of Medicine, University of New Mexico School of Medicine, Albuquerque, N</w:t>
      </w:r>
      <w:r w:rsidR="00173973">
        <w:rPr>
          <w:rFonts w:ascii="Book Antiqua" w:hAnsi="Book Antiqua" w:cs="Times New Roman" w:hint="eastAsia"/>
          <w:sz w:val="24"/>
          <w:szCs w:val="24"/>
          <w:lang w:eastAsia="zh-CN"/>
        </w:rPr>
        <w:t>M</w:t>
      </w:r>
      <w:r w:rsidRPr="00612EED">
        <w:rPr>
          <w:rFonts w:ascii="Book Antiqua" w:hAnsi="Book Antiqua" w:cs="Times New Roman"/>
          <w:sz w:val="24"/>
          <w:szCs w:val="24"/>
        </w:rPr>
        <w:t xml:space="preserve"> 87108, </w:t>
      </w:r>
      <w:r w:rsidR="00EA27E7" w:rsidRPr="00506C76">
        <w:rPr>
          <w:rFonts w:ascii="Book Antiqua" w:hAnsi="Book Antiqua" w:cs="Garamond"/>
          <w:sz w:val="24"/>
          <w:szCs w:val="24"/>
        </w:rPr>
        <w:t>United States</w:t>
      </w:r>
    </w:p>
    <w:p w:rsidR="00B03340" w:rsidRPr="00173973" w:rsidRDefault="00B03340" w:rsidP="002A048C">
      <w:pPr>
        <w:spacing w:after="0" w:line="360" w:lineRule="auto"/>
        <w:jc w:val="both"/>
        <w:rPr>
          <w:rFonts w:ascii="Book Antiqua" w:hAnsi="Book Antiqua" w:cs="Times New Roman"/>
          <w:sz w:val="24"/>
          <w:szCs w:val="24"/>
          <w:lang w:eastAsia="zh-CN"/>
        </w:rPr>
      </w:pPr>
    </w:p>
    <w:p w:rsidR="00D21FB8" w:rsidRPr="00612EED" w:rsidRDefault="00ED1BF2" w:rsidP="002A048C">
      <w:pPr>
        <w:spacing w:after="0" w:line="360" w:lineRule="auto"/>
        <w:jc w:val="both"/>
        <w:rPr>
          <w:rFonts w:ascii="Book Antiqua" w:hAnsi="Book Antiqua" w:cs="Times New Roman"/>
          <w:sz w:val="24"/>
          <w:szCs w:val="24"/>
        </w:rPr>
      </w:pPr>
      <w:bookmarkStart w:id="62" w:name="OLE_LINK70"/>
      <w:bookmarkStart w:id="63" w:name="OLE_LINK71"/>
      <w:bookmarkStart w:id="64" w:name="OLE_LINK273"/>
      <w:bookmarkStart w:id="65" w:name="OLE_LINK292"/>
      <w:r w:rsidRPr="00B84540">
        <w:rPr>
          <w:rFonts w:ascii="Book Antiqua" w:eastAsia="MS Mincho" w:hAnsi="Book Antiqua"/>
          <w:b/>
          <w:sz w:val="24"/>
          <w:lang w:eastAsia="ja-JP"/>
        </w:rPr>
        <w:t>Author contributions:</w:t>
      </w:r>
      <w:bookmarkEnd w:id="62"/>
      <w:bookmarkEnd w:id="63"/>
      <w:bookmarkEnd w:id="64"/>
      <w:bookmarkEnd w:id="65"/>
      <w:r w:rsidR="00D21FB8" w:rsidRPr="00612EED">
        <w:rPr>
          <w:rFonts w:ascii="Book Antiqua" w:hAnsi="Book Antiqua" w:cs="Times New Roman"/>
          <w:sz w:val="24"/>
          <w:szCs w:val="24"/>
        </w:rPr>
        <w:t xml:space="preserve"> Glew</w:t>
      </w:r>
      <w:r w:rsidR="00F41D15">
        <w:rPr>
          <w:rFonts w:ascii="Book Antiqua" w:hAnsi="Book Antiqua" w:cs="Times New Roman" w:hint="eastAsia"/>
          <w:sz w:val="24"/>
          <w:szCs w:val="24"/>
          <w:lang w:eastAsia="zh-CN"/>
        </w:rPr>
        <w:t xml:space="preserve"> RH</w:t>
      </w:r>
      <w:r w:rsidR="004F2EFF">
        <w:rPr>
          <w:rFonts w:ascii="Book Antiqua" w:hAnsi="Book Antiqua" w:cs="Times New Roman" w:hint="eastAsia"/>
          <w:sz w:val="24"/>
          <w:szCs w:val="24"/>
          <w:lang w:eastAsia="zh-CN"/>
        </w:rPr>
        <w:t xml:space="preserve"> </w:t>
      </w:r>
      <w:r w:rsidR="00D21FB8" w:rsidRPr="00612EED">
        <w:rPr>
          <w:rFonts w:ascii="Book Antiqua" w:hAnsi="Book Antiqua" w:cs="Times New Roman"/>
          <w:sz w:val="24"/>
          <w:szCs w:val="24"/>
        </w:rPr>
        <w:t>contributed the section on biochemistry, endogenous production and excretion of oxalate, including the bibliographic search of these sections and made repeatedly extensive and critical revisions of the manuscript</w:t>
      </w:r>
      <w:r w:rsidR="00B77303">
        <w:rPr>
          <w:rFonts w:ascii="Book Antiqua" w:hAnsi="Book Antiqua" w:cs="Times New Roman" w:hint="eastAsia"/>
          <w:sz w:val="24"/>
          <w:szCs w:val="24"/>
          <w:lang w:eastAsia="zh-CN"/>
        </w:rPr>
        <w:t xml:space="preserve">; </w:t>
      </w:r>
      <w:r w:rsidR="00D21FB8" w:rsidRPr="00612EED">
        <w:rPr>
          <w:rFonts w:ascii="Book Antiqua" w:hAnsi="Book Antiqua" w:cs="Times New Roman"/>
          <w:sz w:val="24"/>
          <w:szCs w:val="24"/>
        </w:rPr>
        <w:t>Sun</w:t>
      </w:r>
      <w:r w:rsidR="00B77303">
        <w:rPr>
          <w:rFonts w:ascii="Book Antiqua" w:hAnsi="Book Antiqua" w:cs="Times New Roman" w:hint="eastAsia"/>
          <w:sz w:val="24"/>
          <w:szCs w:val="24"/>
          <w:lang w:eastAsia="zh-CN"/>
        </w:rPr>
        <w:t xml:space="preserve"> Y </w:t>
      </w:r>
      <w:r w:rsidR="00D21FB8" w:rsidRPr="00612EED">
        <w:rPr>
          <w:rFonts w:ascii="Book Antiqua" w:hAnsi="Book Antiqua" w:cs="Times New Roman"/>
          <w:sz w:val="24"/>
          <w:szCs w:val="24"/>
        </w:rPr>
        <w:t>and Horowitz</w:t>
      </w:r>
      <w:r w:rsidR="00B77303">
        <w:rPr>
          <w:rFonts w:ascii="Book Antiqua" w:hAnsi="Book Antiqua" w:cs="Times New Roman" w:hint="eastAsia"/>
          <w:sz w:val="24"/>
          <w:szCs w:val="24"/>
          <w:lang w:eastAsia="zh-CN"/>
        </w:rPr>
        <w:t xml:space="preserve"> BL</w:t>
      </w:r>
      <w:r w:rsidR="00D21FB8" w:rsidRPr="00612EED">
        <w:rPr>
          <w:rFonts w:ascii="Book Antiqua" w:hAnsi="Book Antiqua" w:cs="Times New Roman"/>
          <w:sz w:val="24"/>
          <w:szCs w:val="24"/>
        </w:rPr>
        <w:t xml:space="preserve"> assisted in the conception of the work, including bibliographic the search and made critical revisions of the manuscript</w:t>
      </w:r>
      <w:r w:rsidR="009778DE">
        <w:rPr>
          <w:rFonts w:ascii="Book Antiqua" w:hAnsi="Book Antiqua" w:cs="Times New Roman" w:hint="eastAsia"/>
          <w:sz w:val="24"/>
          <w:szCs w:val="24"/>
          <w:lang w:eastAsia="zh-CN"/>
        </w:rPr>
        <w:t>;</w:t>
      </w:r>
      <w:r w:rsidR="00D21FB8">
        <w:rPr>
          <w:rFonts w:ascii="Book Antiqua" w:hAnsi="Book Antiqua" w:cs="Times New Roman"/>
          <w:sz w:val="24"/>
          <w:szCs w:val="24"/>
        </w:rPr>
        <w:t xml:space="preserve"> </w:t>
      </w:r>
      <w:r w:rsidR="00D21FB8" w:rsidRPr="00612EED">
        <w:rPr>
          <w:rFonts w:ascii="Book Antiqua" w:hAnsi="Book Antiqua" w:cs="Times New Roman"/>
          <w:sz w:val="24"/>
          <w:szCs w:val="24"/>
        </w:rPr>
        <w:t>Konstantinov</w:t>
      </w:r>
      <w:r w:rsidR="00477E65">
        <w:rPr>
          <w:rFonts w:ascii="Book Antiqua" w:hAnsi="Book Antiqua" w:cs="Times New Roman" w:hint="eastAsia"/>
          <w:sz w:val="24"/>
          <w:szCs w:val="24"/>
          <w:lang w:eastAsia="zh-CN"/>
        </w:rPr>
        <w:t xml:space="preserve"> KN</w:t>
      </w:r>
      <w:r w:rsidR="00D21FB8" w:rsidRPr="00612EED">
        <w:rPr>
          <w:rFonts w:ascii="Book Antiqua" w:hAnsi="Book Antiqua" w:cs="Times New Roman"/>
          <w:sz w:val="24"/>
          <w:szCs w:val="24"/>
        </w:rPr>
        <w:t xml:space="preserve"> was responsible for the section on pathophysiology including the bibliographic search</w:t>
      </w:r>
      <w:r w:rsidR="00360143">
        <w:rPr>
          <w:rFonts w:ascii="Book Antiqua" w:hAnsi="Book Antiqua" w:cs="Times New Roman" w:hint="eastAsia"/>
          <w:sz w:val="24"/>
          <w:szCs w:val="24"/>
          <w:lang w:eastAsia="zh-CN"/>
        </w:rPr>
        <w:t xml:space="preserve">; </w:t>
      </w:r>
      <w:r w:rsidR="00D21FB8" w:rsidRPr="00612EED">
        <w:rPr>
          <w:rFonts w:ascii="Book Antiqua" w:hAnsi="Book Antiqua" w:cs="Times New Roman"/>
          <w:sz w:val="24"/>
          <w:szCs w:val="24"/>
        </w:rPr>
        <w:t>Barry</w:t>
      </w:r>
      <w:r w:rsidR="00360143">
        <w:rPr>
          <w:rFonts w:ascii="Book Antiqua" w:hAnsi="Book Antiqua" w:cs="Times New Roman" w:hint="eastAsia"/>
          <w:sz w:val="24"/>
          <w:szCs w:val="24"/>
          <w:lang w:eastAsia="zh-CN"/>
        </w:rPr>
        <w:t xml:space="preserve"> M</w:t>
      </w:r>
      <w:r w:rsidR="00D21FB8" w:rsidRPr="00612EED">
        <w:rPr>
          <w:rFonts w:ascii="Book Antiqua" w:hAnsi="Book Antiqua" w:cs="Times New Roman"/>
          <w:sz w:val="24"/>
          <w:szCs w:val="24"/>
        </w:rPr>
        <w:t xml:space="preserve"> and Massie</w:t>
      </w:r>
      <w:r w:rsidR="00360143">
        <w:rPr>
          <w:rFonts w:ascii="Book Antiqua" w:hAnsi="Book Antiqua" w:cs="Times New Roman" w:hint="eastAsia"/>
          <w:sz w:val="24"/>
          <w:szCs w:val="24"/>
          <w:lang w:eastAsia="zh-CN"/>
        </w:rPr>
        <w:t xml:space="preserve"> L</w:t>
      </w:r>
      <w:r w:rsidR="00D21FB8" w:rsidRPr="00612EED">
        <w:rPr>
          <w:rFonts w:ascii="Book Antiqua" w:hAnsi="Book Antiqua" w:cs="Times New Roman"/>
          <w:sz w:val="24"/>
          <w:szCs w:val="24"/>
        </w:rPr>
        <w:t xml:space="preserve"> are responsible for the section on Pathology</w:t>
      </w:r>
      <w:r w:rsidR="00695851">
        <w:rPr>
          <w:rFonts w:ascii="Book Antiqua" w:hAnsi="Book Antiqua" w:cs="Times New Roman" w:hint="eastAsia"/>
          <w:sz w:val="24"/>
          <w:szCs w:val="24"/>
          <w:lang w:eastAsia="zh-CN"/>
        </w:rPr>
        <w:t>;</w:t>
      </w:r>
      <w:r w:rsidR="00D21FB8" w:rsidRPr="00612EED">
        <w:rPr>
          <w:rFonts w:ascii="Book Antiqua" w:hAnsi="Book Antiqua" w:cs="Times New Roman"/>
          <w:sz w:val="24"/>
          <w:szCs w:val="24"/>
        </w:rPr>
        <w:t xml:space="preserve"> Fair</w:t>
      </w:r>
      <w:r w:rsidR="00695851">
        <w:rPr>
          <w:rFonts w:ascii="Book Antiqua" w:hAnsi="Book Antiqua" w:cs="Times New Roman" w:hint="eastAsia"/>
          <w:sz w:val="24"/>
          <w:szCs w:val="24"/>
          <w:lang w:eastAsia="zh-CN"/>
        </w:rPr>
        <w:t xml:space="preserve"> JR </w:t>
      </w:r>
      <w:r w:rsidR="00D21FB8" w:rsidRPr="00612EED">
        <w:rPr>
          <w:rFonts w:ascii="Book Antiqua" w:hAnsi="Book Antiqua" w:cs="Times New Roman"/>
          <w:sz w:val="24"/>
          <w:szCs w:val="24"/>
        </w:rPr>
        <w:t>is responsible for the section on imaging</w:t>
      </w:r>
      <w:r w:rsidR="001B5C59">
        <w:rPr>
          <w:rFonts w:ascii="Book Antiqua" w:hAnsi="Book Antiqua" w:cs="Times New Roman" w:hint="eastAsia"/>
          <w:sz w:val="24"/>
          <w:szCs w:val="24"/>
          <w:lang w:eastAsia="zh-CN"/>
        </w:rPr>
        <w:t>;</w:t>
      </w:r>
      <w:r w:rsidR="00D21FB8">
        <w:rPr>
          <w:rFonts w:ascii="Book Antiqua" w:hAnsi="Book Antiqua" w:cs="Times New Roman"/>
          <w:sz w:val="24"/>
          <w:szCs w:val="24"/>
        </w:rPr>
        <w:t xml:space="preserve"> </w:t>
      </w:r>
      <w:r w:rsidR="00D21FB8" w:rsidRPr="00612EED">
        <w:rPr>
          <w:rFonts w:ascii="Book Antiqua" w:hAnsi="Book Antiqua" w:cs="Times New Roman"/>
          <w:sz w:val="24"/>
          <w:szCs w:val="24"/>
        </w:rPr>
        <w:t>Tzamaloukas</w:t>
      </w:r>
      <w:r w:rsidR="001B5C59">
        <w:rPr>
          <w:rFonts w:ascii="Book Antiqua" w:hAnsi="Book Antiqua" w:cs="Times New Roman" w:hint="eastAsia"/>
          <w:sz w:val="24"/>
          <w:szCs w:val="24"/>
          <w:lang w:eastAsia="zh-CN"/>
        </w:rPr>
        <w:t xml:space="preserve"> AH</w:t>
      </w:r>
      <w:r w:rsidR="00D21FB8" w:rsidRPr="00612EED">
        <w:rPr>
          <w:rFonts w:ascii="Book Antiqua" w:hAnsi="Book Antiqua" w:cs="Times New Roman"/>
          <w:sz w:val="24"/>
          <w:szCs w:val="24"/>
        </w:rPr>
        <w:t xml:space="preserve"> conceived this work, wrote parts of the report, provided a substantial part of references and revised critically the report. </w:t>
      </w:r>
    </w:p>
    <w:p w:rsidR="00D21FB8" w:rsidRPr="00612EED" w:rsidRDefault="00D21FB8" w:rsidP="002A048C">
      <w:pPr>
        <w:spacing w:after="0" w:line="360" w:lineRule="auto"/>
        <w:jc w:val="both"/>
        <w:rPr>
          <w:rFonts w:ascii="Book Antiqua" w:hAnsi="Book Antiqua" w:cs="Times New Roman"/>
          <w:b/>
          <w:sz w:val="24"/>
          <w:szCs w:val="24"/>
        </w:rPr>
      </w:pPr>
    </w:p>
    <w:p w:rsidR="00EA42B4" w:rsidRDefault="00F2207B" w:rsidP="002A048C">
      <w:pPr>
        <w:spacing w:after="0" w:line="360" w:lineRule="auto"/>
        <w:jc w:val="both"/>
        <w:rPr>
          <w:rFonts w:ascii="Book Antiqua" w:hAnsi="Book Antiqua" w:cs="Times New Roman"/>
          <w:sz w:val="24"/>
          <w:szCs w:val="24"/>
          <w:lang w:eastAsia="zh-CN"/>
        </w:rPr>
      </w:pPr>
      <w:r w:rsidRPr="00D62C15">
        <w:rPr>
          <w:rFonts w:ascii="Book Antiqua" w:hAnsi="Book Antiqua" w:cs="Times New Roman"/>
          <w:b/>
          <w:sz w:val="24"/>
          <w:szCs w:val="24"/>
        </w:rPr>
        <w:t>Correspondence to:</w:t>
      </w:r>
      <w:r w:rsidR="0077323C" w:rsidRPr="00D62C15">
        <w:rPr>
          <w:rFonts w:ascii="Book Antiqua" w:hAnsi="Book Antiqua" w:cs="Times New Roman"/>
          <w:b/>
          <w:sz w:val="24"/>
          <w:szCs w:val="24"/>
        </w:rPr>
        <w:t xml:space="preserve"> </w:t>
      </w:r>
      <w:r w:rsidRPr="00D62C15">
        <w:rPr>
          <w:rFonts w:ascii="Book Antiqua" w:hAnsi="Book Antiqua" w:cs="Times New Roman"/>
          <w:b/>
          <w:sz w:val="24"/>
          <w:szCs w:val="24"/>
        </w:rPr>
        <w:t>Antonios H Tzamaloukas, MD,</w:t>
      </w:r>
      <w:r w:rsidR="000F56BA">
        <w:rPr>
          <w:rFonts w:ascii="Book Antiqua" w:hAnsi="Book Antiqua" w:cs="Times New Roman" w:hint="eastAsia"/>
          <w:b/>
          <w:sz w:val="24"/>
          <w:szCs w:val="24"/>
          <w:lang w:eastAsia="zh-CN"/>
        </w:rPr>
        <w:t xml:space="preserve"> </w:t>
      </w:r>
      <w:r w:rsidR="007160E4" w:rsidRPr="00902345">
        <w:rPr>
          <w:rFonts w:ascii="Book Antiqua" w:hAnsi="Book Antiqua" w:cs="Times New Roman" w:hint="eastAsia"/>
          <w:sz w:val="24"/>
          <w:szCs w:val="24"/>
          <w:lang w:eastAsia="zh-CN"/>
        </w:rPr>
        <w:t>R</w:t>
      </w:r>
      <w:r w:rsidR="000F56BA" w:rsidRPr="007C120B">
        <w:rPr>
          <w:rFonts w:ascii="Book Antiqua" w:hAnsi="Book Antiqua" w:cs="Times New Roman"/>
          <w:sz w:val="24"/>
          <w:szCs w:val="24"/>
        </w:rPr>
        <w:t>aymond G</w:t>
      </w:r>
      <w:r w:rsidR="000F56BA" w:rsidRPr="007C120B">
        <w:rPr>
          <w:rFonts w:ascii="Book Antiqua" w:hAnsi="Book Antiqua" w:cs="Times New Roman" w:hint="eastAsia"/>
          <w:sz w:val="24"/>
          <w:szCs w:val="24"/>
          <w:lang w:eastAsia="zh-CN"/>
        </w:rPr>
        <w:t xml:space="preserve"> </w:t>
      </w:r>
      <w:r w:rsidR="000F56BA" w:rsidRPr="007C120B">
        <w:rPr>
          <w:rFonts w:ascii="Book Antiqua" w:hAnsi="Book Antiqua" w:cs="Times New Roman"/>
          <w:sz w:val="24"/>
          <w:szCs w:val="24"/>
        </w:rPr>
        <w:t xml:space="preserve">Murphy </w:t>
      </w:r>
      <w:r w:rsidR="000F56BA" w:rsidRPr="00612EED">
        <w:rPr>
          <w:rFonts w:ascii="Book Antiqua" w:hAnsi="Book Antiqua" w:cs="Times New Roman"/>
          <w:sz w:val="24"/>
          <w:szCs w:val="24"/>
        </w:rPr>
        <w:t>VA Medical Center and Department of Medicine, University of New Mexico School of Medicine,</w:t>
      </w:r>
      <w:r w:rsidR="000D6AF9">
        <w:rPr>
          <w:rFonts w:ascii="Book Antiqua" w:hAnsi="Book Antiqua" w:cs="Times New Roman" w:hint="eastAsia"/>
          <w:sz w:val="24"/>
          <w:szCs w:val="24"/>
          <w:lang w:eastAsia="zh-CN"/>
        </w:rPr>
        <w:t xml:space="preserve"> </w:t>
      </w:r>
      <w:r w:rsidRPr="00EA42B4">
        <w:rPr>
          <w:rFonts w:ascii="Book Antiqua" w:hAnsi="Book Antiqua" w:cs="Times New Roman"/>
          <w:sz w:val="24"/>
          <w:szCs w:val="24"/>
        </w:rPr>
        <w:t xml:space="preserve">1501 San Pedro SE, Albuquerque, NM 87108, </w:t>
      </w:r>
      <w:r w:rsidR="00EA27E7" w:rsidRPr="00EA42B4">
        <w:rPr>
          <w:rFonts w:ascii="Book Antiqua" w:hAnsi="Book Antiqua" w:cs="Garamond"/>
          <w:sz w:val="24"/>
          <w:szCs w:val="24"/>
        </w:rPr>
        <w:t>United States</w:t>
      </w:r>
      <w:r w:rsidR="00EA42B4" w:rsidRPr="00EA42B4">
        <w:rPr>
          <w:rFonts w:ascii="Book Antiqua" w:hAnsi="Book Antiqua" w:cs="Garamond" w:hint="eastAsia"/>
          <w:sz w:val="24"/>
          <w:szCs w:val="24"/>
          <w:lang w:eastAsia="zh-CN"/>
        </w:rPr>
        <w:t xml:space="preserve">. </w:t>
      </w:r>
      <w:hyperlink r:id="rId8" w:history="1">
        <w:r w:rsidR="00EA42B4" w:rsidRPr="00EA42B4">
          <w:rPr>
            <w:rStyle w:val="a6"/>
            <w:rFonts w:ascii="Book Antiqua" w:hAnsi="Book Antiqua" w:cs="Times New Roman"/>
            <w:sz w:val="24"/>
            <w:szCs w:val="24"/>
            <w:u w:val="none"/>
          </w:rPr>
          <w:t>antonios.tzamaloukas@va.gov</w:t>
        </w:r>
      </w:hyperlink>
      <w:r w:rsidR="004F2EFF">
        <w:rPr>
          <w:rFonts w:ascii="Book Antiqua" w:hAnsi="Book Antiqua" w:cs="Times New Roman"/>
          <w:sz w:val="24"/>
          <w:szCs w:val="24"/>
        </w:rPr>
        <w:t xml:space="preserve"> </w:t>
      </w:r>
    </w:p>
    <w:p w:rsidR="001A6775" w:rsidRDefault="001A6775" w:rsidP="002A048C">
      <w:pPr>
        <w:spacing w:after="0" w:line="360" w:lineRule="auto"/>
        <w:rPr>
          <w:rFonts w:ascii="Book Antiqua" w:hAnsi="Book Antiqua" w:cs="Times New Roman"/>
          <w:sz w:val="24"/>
          <w:szCs w:val="24"/>
          <w:lang w:eastAsia="zh-CN"/>
        </w:rPr>
      </w:pPr>
      <w:bookmarkStart w:id="66" w:name="OLE_LINK283"/>
      <w:bookmarkStart w:id="67" w:name="OLE_LINK284"/>
      <w:bookmarkStart w:id="68" w:name="OLE_LINK368"/>
      <w:bookmarkStart w:id="69" w:name="OLE_LINK361"/>
      <w:bookmarkStart w:id="70" w:name="OLE_LINK362"/>
      <w:r w:rsidRPr="005C6A5F">
        <w:rPr>
          <w:rFonts w:ascii="Book Antiqua" w:hAnsi="Book Antiqua"/>
          <w:b/>
          <w:color w:val="000000"/>
          <w:sz w:val="24"/>
        </w:rPr>
        <w:t>Telephone:</w:t>
      </w:r>
      <w:r w:rsidRPr="001A6775">
        <w:rPr>
          <w:rFonts w:ascii="Book Antiqua" w:hAnsi="Book Antiqua" w:cs="Times New Roman"/>
          <w:sz w:val="24"/>
          <w:szCs w:val="24"/>
        </w:rPr>
        <w:t xml:space="preserve"> </w:t>
      </w:r>
      <w:r>
        <w:rPr>
          <w:rFonts w:ascii="Book Antiqua" w:hAnsi="Book Antiqua" w:cs="Times New Roman" w:hint="eastAsia"/>
          <w:sz w:val="24"/>
          <w:szCs w:val="24"/>
          <w:lang w:eastAsia="zh-CN"/>
        </w:rPr>
        <w:t>+</w:t>
      </w:r>
      <w:r w:rsidRPr="00612EED">
        <w:rPr>
          <w:rFonts w:ascii="Book Antiqua" w:hAnsi="Book Antiqua" w:cs="Times New Roman"/>
          <w:sz w:val="24"/>
          <w:szCs w:val="24"/>
        </w:rPr>
        <w:t>1-505-2651711</w:t>
      </w:r>
      <w:r>
        <w:rPr>
          <w:rFonts w:ascii="Book Antiqua" w:hAnsi="Book Antiqua" w:cs="Times New Roman"/>
          <w:sz w:val="24"/>
          <w:szCs w:val="24"/>
        </w:rPr>
        <w:t xml:space="preserve"> </w:t>
      </w:r>
      <w:r>
        <w:rPr>
          <w:rFonts w:ascii="Book Antiqua" w:hAnsi="Book Antiqua" w:hint="eastAsia"/>
          <w:color w:val="000000"/>
          <w:sz w:val="24"/>
        </w:rPr>
        <w:t xml:space="preserve">      </w:t>
      </w:r>
      <w:r>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Pr="001A6775">
        <w:rPr>
          <w:rFonts w:ascii="Book Antiqua" w:hAnsi="Book Antiqua" w:cs="Times New Roman"/>
          <w:sz w:val="24"/>
          <w:szCs w:val="24"/>
        </w:rPr>
        <w:t xml:space="preserve"> </w:t>
      </w:r>
      <w:r>
        <w:rPr>
          <w:rFonts w:ascii="Book Antiqua" w:hAnsi="Book Antiqua" w:cs="Times New Roman" w:hint="eastAsia"/>
          <w:sz w:val="24"/>
          <w:szCs w:val="24"/>
          <w:lang w:eastAsia="zh-CN"/>
        </w:rPr>
        <w:t>+</w:t>
      </w:r>
      <w:r w:rsidRPr="00612EED">
        <w:rPr>
          <w:rFonts w:ascii="Book Antiqua" w:hAnsi="Book Antiqua" w:cs="Times New Roman"/>
          <w:sz w:val="24"/>
          <w:szCs w:val="24"/>
        </w:rPr>
        <w:t>1-505-2566443</w:t>
      </w:r>
    </w:p>
    <w:p w:rsidR="00167561" w:rsidRDefault="00167561" w:rsidP="002A048C">
      <w:pPr>
        <w:spacing w:after="0" w:line="360" w:lineRule="auto"/>
        <w:rPr>
          <w:rFonts w:ascii="Book Antiqua" w:hAnsi="Book Antiqua"/>
          <w:b/>
          <w:color w:val="000000"/>
          <w:sz w:val="24"/>
          <w:lang w:eastAsia="zh-CN"/>
        </w:rPr>
      </w:pPr>
      <w:bookmarkStart w:id="71" w:name="OLE_LINK357"/>
      <w:bookmarkStart w:id="72" w:name="OLE_LINK358"/>
      <w:bookmarkEnd w:id="66"/>
      <w:bookmarkEnd w:id="67"/>
      <w:bookmarkEnd w:id="68"/>
    </w:p>
    <w:p w:rsidR="001A6775" w:rsidRDefault="001A6775" w:rsidP="002A048C">
      <w:pPr>
        <w:spacing w:after="0" w:line="360" w:lineRule="auto"/>
        <w:rPr>
          <w:rFonts w:ascii="Book Antiqua" w:hAnsi="Book Antiqua"/>
          <w:b/>
          <w:color w:val="000000"/>
          <w:sz w:val="24"/>
          <w:lang w:eastAsia="zh-CN"/>
        </w:rPr>
      </w:pPr>
      <w:r w:rsidRPr="005C6A5F">
        <w:rPr>
          <w:rFonts w:ascii="Book Antiqua" w:hAnsi="Book Antiqua"/>
          <w:b/>
          <w:color w:val="000000"/>
          <w:sz w:val="24"/>
        </w:rPr>
        <w:t xml:space="preserve">Received: </w:t>
      </w:r>
      <w:bookmarkStart w:id="73" w:name="OLE_LINK15"/>
      <w:bookmarkStart w:id="74" w:name="OLE_LINK16"/>
      <w:bookmarkStart w:id="75" w:name="OLE_LINK17"/>
      <w:bookmarkStart w:id="76" w:name="OLE_LINK155"/>
      <w:bookmarkStart w:id="77" w:name="OLE_LINK105"/>
      <w:bookmarkStart w:id="78" w:name="OLE_LINK114"/>
      <w:bookmarkStart w:id="79" w:name="OLE_LINK27"/>
      <w:bookmarkStart w:id="80" w:name="OLE_LINK300"/>
      <w:bookmarkStart w:id="81" w:name="OLE_LINK307"/>
      <w:bookmarkStart w:id="82" w:name="OLE_LINK243"/>
      <w:r w:rsidR="00C109C1" w:rsidRPr="00421E83">
        <w:rPr>
          <w:rFonts w:ascii="Book Antiqua" w:hAnsi="Book Antiqua"/>
          <w:sz w:val="24"/>
          <w:szCs w:val="24"/>
        </w:rPr>
        <w:t>April</w:t>
      </w:r>
      <w:bookmarkEnd w:id="73"/>
      <w:bookmarkEnd w:id="74"/>
      <w:bookmarkEnd w:id="75"/>
      <w:bookmarkEnd w:id="76"/>
      <w:bookmarkEnd w:id="77"/>
      <w:bookmarkEnd w:id="78"/>
      <w:bookmarkEnd w:id="79"/>
      <w:bookmarkEnd w:id="80"/>
      <w:bookmarkEnd w:id="81"/>
      <w:bookmarkEnd w:id="82"/>
      <w:r w:rsidR="00C109C1">
        <w:rPr>
          <w:rFonts w:ascii="Book Antiqua" w:hAnsi="Book Antiqua" w:hint="eastAsia"/>
          <w:sz w:val="24"/>
          <w:szCs w:val="24"/>
          <w:lang w:eastAsia="zh-CN"/>
        </w:rPr>
        <w:t xml:space="preserve"> 26, 2014       </w:t>
      </w:r>
      <w:r>
        <w:rPr>
          <w:rFonts w:ascii="Book Antiqua" w:hAnsi="Book Antiqua" w:hint="eastAsia"/>
          <w:color w:val="000000"/>
          <w:sz w:val="24"/>
        </w:rPr>
        <w:t xml:space="preserve"> </w:t>
      </w:r>
      <w:r w:rsidR="00C109C1">
        <w:rPr>
          <w:rFonts w:ascii="Book Antiqua" w:hAnsi="Book Antiqua" w:hint="eastAsia"/>
          <w:color w:val="000000"/>
          <w:sz w:val="24"/>
          <w:lang w:eastAsia="zh-CN"/>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83" w:name="OLE_LINK4"/>
      <w:bookmarkStart w:id="84" w:name="OLE_LINK5"/>
      <w:r w:rsidR="00C109C1" w:rsidRPr="00421E83">
        <w:rPr>
          <w:rFonts w:ascii="Book Antiqua" w:hAnsi="Book Antiqua"/>
          <w:sz w:val="24"/>
          <w:szCs w:val="24"/>
        </w:rPr>
        <w:t>June</w:t>
      </w:r>
      <w:bookmarkEnd w:id="83"/>
      <w:bookmarkEnd w:id="84"/>
      <w:r w:rsidR="00C109C1">
        <w:rPr>
          <w:rFonts w:ascii="Book Antiqua" w:hAnsi="Book Antiqua" w:hint="eastAsia"/>
          <w:sz w:val="24"/>
          <w:szCs w:val="24"/>
          <w:lang w:eastAsia="zh-CN"/>
        </w:rPr>
        <w:t xml:space="preserve"> 12, 2014</w:t>
      </w:r>
    </w:p>
    <w:p w:rsidR="007872F8" w:rsidRDefault="001A6775" w:rsidP="007872F8">
      <w:pPr>
        <w:rPr>
          <w:rFonts w:ascii="Book Antiqua" w:hAnsi="Book Antiqua"/>
          <w:color w:val="000000"/>
          <w:sz w:val="24"/>
        </w:rPr>
      </w:pPr>
      <w:r w:rsidRPr="005C6A5F">
        <w:rPr>
          <w:rFonts w:ascii="Book Antiqua" w:hAnsi="Book Antiqua"/>
          <w:b/>
          <w:color w:val="000000"/>
          <w:sz w:val="24"/>
        </w:rPr>
        <w:lastRenderedPageBreak/>
        <w:t>Accepted:</w:t>
      </w:r>
      <w:bookmarkStart w:id="85" w:name="OLE_LINK1"/>
      <w:bookmarkStart w:id="86" w:name="OLE_LINK2"/>
      <w:bookmarkStart w:id="87" w:name="OLE_LINK3"/>
      <w:bookmarkStart w:id="88" w:name="OLE_LINK6"/>
      <w:bookmarkStart w:id="89" w:name="OLE_LINK7"/>
      <w:bookmarkStart w:id="90" w:name="OLE_LINK9"/>
      <w:bookmarkStart w:id="91" w:name="OLE_LINK10"/>
      <w:bookmarkStart w:id="92" w:name="OLE_LINK13"/>
      <w:bookmarkStart w:id="93" w:name="OLE_LINK14"/>
      <w:bookmarkStart w:id="94" w:name="OLE_LINK18"/>
      <w:bookmarkStart w:id="95" w:name="OLE_LINK19"/>
      <w:bookmarkStart w:id="96" w:name="OLE_LINK22"/>
      <w:bookmarkStart w:id="97" w:name="OLE_LINK25"/>
      <w:bookmarkStart w:id="98" w:name="OLE_LINK26"/>
      <w:bookmarkStart w:id="99" w:name="OLE_LINK28"/>
      <w:bookmarkStart w:id="100" w:name="OLE_LINK29"/>
      <w:bookmarkStart w:id="101" w:name="OLE_LINK30"/>
      <w:bookmarkStart w:id="102" w:name="OLE_LINK32"/>
      <w:bookmarkStart w:id="103" w:name="OLE_LINK34"/>
      <w:bookmarkStart w:id="104" w:name="OLE_LINK38"/>
      <w:bookmarkStart w:id="105" w:name="OLE_LINK41"/>
      <w:bookmarkStart w:id="106" w:name="OLE_LINK42"/>
      <w:bookmarkStart w:id="107" w:name="OLE_LINK44"/>
      <w:bookmarkStart w:id="108" w:name="OLE_LINK45"/>
      <w:bookmarkStart w:id="109" w:name="OLE_LINK46"/>
      <w:bookmarkStart w:id="110" w:name="OLE_LINK47"/>
      <w:bookmarkStart w:id="111" w:name="OLE_LINK52"/>
      <w:bookmarkStart w:id="112" w:name="OLE_LINK43"/>
      <w:bookmarkStart w:id="113" w:name="OLE_LINK57"/>
      <w:bookmarkStart w:id="114" w:name="OLE_LINK58"/>
      <w:bookmarkStart w:id="115" w:name="OLE_LINK8"/>
      <w:bookmarkStart w:id="116" w:name="OLE_LINK62"/>
      <w:bookmarkStart w:id="117" w:name="OLE_LINK66"/>
      <w:bookmarkStart w:id="118" w:name="OLE_LINK68"/>
      <w:bookmarkStart w:id="119" w:name="OLE_LINK69"/>
      <w:bookmarkStart w:id="120" w:name="OLE_LINK74"/>
      <w:bookmarkStart w:id="121" w:name="OLE_LINK77"/>
      <w:bookmarkStart w:id="122" w:name="OLE_LINK78"/>
      <w:bookmarkStart w:id="123" w:name="OLE_LINK72"/>
      <w:bookmarkStart w:id="124" w:name="OLE_LINK73"/>
      <w:bookmarkStart w:id="125" w:name="OLE_LINK79"/>
      <w:bookmarkStart w:id="126" w:name="OLE_LINK81"/>
      <w:bookmarkStart w:id="127" w:name="OLE_LINK86"/>
      <w:bookmarkStart w:id="128" w:name="OLE_LINK87"/>
      <w:bookmarkStart w:id="129" w:name="OLE_LINK88"/>
      <w:bookmarkStart w:id="130" w:name="OLE_LINK89"/>
      <w:bookmarkStart w:id="131" w:name="OLE_LINK92"/>
      <w:bookmarkStart w:id="132" w:name="OLE_LINK94"/>
      <w:bookmarkStart w:id="133" w:name="OLE_LINK95"/>
      <w:bookmarkStart w:id="134" w:name="OLE_LINK98"/>
      <w:bookmarkStart w:id="135" w:name="OLE_LINK102"/>
      <w:bookmarkStart w:id="136" w:name="OLE_LINK103"/>
      <w:r w:rsidR="007872F8" w:rsidRPr="007872F8">
        <w:rPr>
          <w:rFonts w:ascii="Book Antiqua" w:hAnsi="Book Antiqua"/>
          <w:color w:val="000000"/>
          <w:sz w:val="24"/>
        </w:rPr>
        <w:t xml:space="preserve"> </w:t>
      </w:r>
      <w:r w:rsidR="007872F8">
        <w:rPr>
          <w:rFonts w:ascii="Book Antiqua" w:hAnsi="Book Antiqua"/>
          <w:color w:val="000000"/>
          <w:sz w:val="24"/>
        </w:rPr>
        <w:t>August 27, 2014</w:t>
      </w:r>
    </w:p>
    <w:p w:rsidR="001A6775" w:rsidRPr="003408E1" w:rsidRDefault="001A6775" w:rsidP="002A048C">
      <w:pPr>
        <w:spacing w:after="0" w:line="360" w:lineRule="auto"/>
        <w:rPr>
          <w:rFonts w:ascii="Book Antiqua" w:hAnsi="Book Antiqua"/>
          <w:b/>
          <w:color w:val="000000"/>
          <w:sz w:val="24"/>
        </w:rPr>
      </w:pPr>
      <w:bookmarkStart w:id="137" w:name="_GoBack"/>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5C6A5F">
        <w:rPr>
          <w:rFonts w:ascii="Book Antiqua" w:hAnsi="Book Antiqua"/>
          <w:b/>
          <w:color w:val="000000"/>
          <w:sz w:val="24"/>
        </w:rPr>
        <w:t xml:space="preserve"> </w:t>
      </w:r>
    </w:p>
    <w:p w:rsidR="001A6775" w:rsidRPr="005C6A5F" w:rsidRDefault="001A6775" w:rsidP="002A048C">
      <w:pPr>
        <w:spacing w:after="0"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69"/>
    <w:bookmarkEnd w:id="70"/>
    <w:bookmarkEnd w:id="71"/>
    <w:bookmarkEnd w:id="72"/>
    <w:p w:rsidR="00F2207B" w:rsidRPr="00612EED" w:rsidRDefault="00F2207B" w:rsidP="002A048C">
      <w:pPr>
        <w:spacing w:after="0" w:line="360" w:lineRule="auto"/>
        <w:jc w:val="both"/>
        <w:rPr>
          <w:rFonts w:ascii="Book Antiqua" w:hAnsi="Book Antiqua" w:cs="Times New Roman"/>
          <w:sz w:val="24"/>
          <w:szCs w:val="24"/>
        </w:rPr>
      </w:pPr>
    </w:p>
    <w:p w:rsidR="00F2207B" w:rsidRPr="00612EED" w:rsidRDefault="00F2207B" w:rsidP="002A048C">
      <w:pPr>
        <w:spacing w:after="0" w:line="360" w:lineRule="auto"/>
        <w:jc w:val="both"/>
        <w:rPr>
          <w:rFonts w:ascii="Book Antiqua" w:hAnsi="Book Antiqua" w:cs="Times New Roman"/>
          <w:b/>
          <w:sz w:val="24"/>
          <w:szCs w:val="24"/>
        </w:rPr>
      </w:pPr>
      <w:r w:rsidRPr="00612EED">
        <w:rPr>
          <w:rFonts w:ascii="Book Antiqua" w:hAnsi="Book Antiqua" w:cs="Times New Roman"/>
          <w:b/>
          <w:sz w:val="24"/>
          <w:szCs w:val="24"/>
        </w:rPr>
        <w:t>Abstract</w:t>
      </w:r>
    </w:p>
    <w:p w:rsidR="00F2207B" w:rsidRPr="00612EED" w:rsidRDefault="00F2207B" w:rsidP="002A048C">
      <w:pPr>
        <w:spacing w:after="0" w:line="360" w:lineRule="auto"/>
        <w:jc w:val="both"/>
        <w:rPr>
          <w:rFonts w:ascii="Book Antiqua" w:hAnsi="Book Antiqua" w:cs="Times New Roman"/>
          <w:sz w:val="24"/>
          <w:szCs w:val="24"/>
        </w:rPr>
      </w:pPr>
      <w:r w:rsidRPr="00612EED">
        <w:rPr>
          <w:rFonts w:ascii="Book Antiqua" w:hAnsi="Book Antiqua" w:cs="Times New Roman"/>
          <w:sz w:val="24"/>
          <w:szCs w:val="24"/>
        </w:rPr>
        <w:t>Hyperoxaluria can cause not only nephrolithiasis and nephrocalcinosis, but also renal parenchymal disease histologically characterized by deposition of calcium oxalate crystals throughout the renal parenchyma, profound tubular damage and interstitial inflammation and fibrosis.</w:t>
      </w:r>
      <w:r w:rsidR="0077323C">
        <w:rPr>
          <w:rFonts w:ascii="Book Antiqua" w:hAnsi="Book Antiqua" w:cs="Times New Roman"/>
          <w:sz w:val="24"/>
          <w:szCs w:val="24"/>
        </w:rPr>
        <w:t xml:space="preserve"> </w:t>
      </w:r>
      <w:r w:rsidRPr="00612EED">
        <w:rPr>
          <w:rFonts w:ascii="Book Antiqua" w:hAnsi="Book Antiqua" w:cs="Times New Roman"/>
          <w:sz w:val="24"/>
          <w:szCs w:val="24"/>
        </w:rPr>
        <w:t>Hyperoxaluric nephropathy presents clinically as acute or chronic renal failure that may progress to end-stage renal disease (ESRD).</w:t>
      </w:r>
      <w:r w:rsidR="0077323C">
        <w:rPr>
          <w:rFonts w:ascii="Book Antiqua" w:hAnsi="Book Antiqua" w:cs="Times New Roman"/>
          <w:sz w:val="24"/>
          <w:szCs w:val="24"/>
        </w:rPr>
        <w:t xml:space="preserve"> </w:t>
      </w:r>
      <w:r w:rsidRPr="00612EED">
        <w:rPr>
          <w:rFonts w:ascii="Book Antiqua" w:hAnsi="Book Antiqua" w:cs="Times New Roman"/>
          <w:sz w:val="24"/>
          <w:szCs w:val="24"/>
        </w:rPr>
        <w:t>This sequence of events, well recognized in the past in primary and enteric hyperoxalurias, has also been documented in a few cases of dietary hyperoxaluria.</w:t>
      </w:r>
      <w:r w:rsidR="0077323C">
        <w:rPr>
          <w:rFonts w:ascii="Book Antiqua" w:hAnsi="Book Antiqua" w:cs="Times New Roman"/>
          <w:sz w:val="24"/>
          <w:szCs w:val="24"/>
        </w:rPr>
        <w:t xml:space="preserve"> </w:t>
      </w:r>
      <w:r w:rsidRPr="00612EED">
        <w:rPr>
          <w:rFonts w:ascii="Book Antiqua" w:hAnsi="Book Antiqua" w:cs="Times New Roman"/>
          <w:sz w:val="24"/>
          <w:szCs w:val="24"/>
        </w:rPr>
        <w:t>Estimates of oxalate intake in patients with chronic dietary hyperoxaluria who developed chronic kidney disease or ESRD were comparable to the reported average oxalate content of the diets of certain populations worldwide, thus raising the question whether dietary hyperoxaluria is a primary cause of ESRD in these regions.</w:t>
      </w:r>
      <w:r w:rsidR="0077323C">
        <w:rPr>
          <w:rFonts w:ascii="Book Antiqua" w:hAnsi="Book Antiqua" w:cs="Times New Roman"/>
          <w:sz w:val="24"/>
          <w:szCs w:val="24"/>
        </w:rPr>
        <w:t xml:space="preserve"> </w:t>
      </w:r>
      <w:r w:rsidRPr="00612EED">
        <w:rPr>
          <w:rFonts w:ascii="Book Antiqua" w:hAnsi="Book Antiqua" w:cs="Times New Roman"/>
          <w:sz w:val="24"/>
          <w:szCs w:val="24"/>
        </w:rPr>
        <w:t>Studies addressing this question have the potential of improving population health and should be undertaken, alongside ongoing studies which are yielding fresh insights into the mechanisms of intestinal absorption and renal excretion of oxalate, and into the mechanisms of development of oxalate-induced renal parenchymal disease.</w:t>
      </w:r>
      <w:r w:rsidR="0077323C">
        <w:rPr>
          <w:rFonts w:ascii="Book Antiqua" w:hAnsi="Book Antiqua" w:cs="Times New Roman"/>
          <w:sz w:val="24"/>
          <w:szCs w:val="24"/>
        </w:rPr>
        <w:t xml:space="preserve"> </w:t>
      </w:r>
      <w:r w:rsidRPr="00612EED">
        <w:rPr>
          <w:rFonts w:ascii="Book Antiqua" w:hAnsi="Book Antiqua" w:cs="Times New Roman"/>
          <w:sz w:val="24"/>
          <w:szCs w:val="24"/>
        </w:rPr>
        <w:t>Novel preventive and therapeutic strategies for treating all types of hyperoxaluria are expected to develop from these studies.</w:t>
      </w:r>
    </w:p>
    <w:p w:rsidR="00F2207B" w:rsidRDefault="00F2207B" w:rsidP="002A048C">
      <w:pPr>
        <w:spacing w:after="0" w:line="360" w:lineRule="auto"/>
        <w:jc w:val="both"/>
        <w:rPr>
          <w:rFonts w:ascii="Book Antiqua" w:hAnsi="Book Antiqua" w:cs="Times New Roman"/>
          <w:sz w:val="24"/>
          <w:szCs w:val="24"/>
          <w:lang w:eastAsia="zh-CN"/>
        </w:rPr>
      </w:pPr>
    </w:p>
    <w:p w:rsidR="009F404A" w:rsidRPr="000418A5" w:rsidRDefault="009F404A" w:rsidP="002A048C">
      <w:pPr>
        <w:spacing w:after="0" w:line="360" w:lineRule="auto"/>
        <w:rPr>
          <w:rFonts w:ascii="Book Antiqua" w:hAnsi="Book Antiqua" w:cs="宋体"/>
          <w:sz w:val="24"/>
        </w:rPr>
      </w:pPr>
      <w:bookmarkStart w:id="138"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r w:rsidRPr="000418A5">
        <w:rPr>
          <w:rFonts w:ascii="Book Antiqua" w:hAnsi="Book Antiqua" w:cs="宋体"/>
          <w:sz w:val="24"/>
        </w:rPr>
        <w:t>Baishideng</w:t>
      </w:r>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138"/>
    <w:p w:rsidR="009F404A" w:rsidRPr="009F404A" w:rsidRDefault="009F404A" w:rsidP="002A048C">
      <w:pPr>
        <w:spacing w:after="0" w:line="360" w:lineRule="auto"/>
        <w:jc w:val="both"/>
        <w:rPr>
          <w:rFonts w:ascii="Book Antiqua" w:hAnsi="Book Antiqua" w:cs="Times New Roman"/>
          <w:sz w:val="24"/>
          <w:szCs w:val="24"/>
          <w:lang w:eastAsia="zh-CN"/>
        </w:rPr>
      </w:pPr>
    </w:p>
    <w:p w:rsidR="00F2207B" w:rsidRPr="00612EED" w:rsidRDefault="00F2207B" w:rsidP="002A048C">
      <w:pPr>
        <w:spacing w:after="0" w:line="360" w:lineRule="auto"/>
        <w:jc w:val="both"/>
        <w:rPr>
          <w:rFonts w:ascii="Book Antiqua" w:hAnsi="Book Antiqua" w:cs="Times New Roman"/>
          <w:sz w:val="24"/>
          <w:szCs w:val="24"/>
        </w:rPr>
      </w:pPr>
      <w:r w:rsidRPr="00612EED">
        <w:rPr>
          <w:rFonts w:ascii="Book Antiqua" w:hAnsi="Book Antiqua" w:cs="Times New Roman"/>
          <w:b/>
          <w:sz w:val="24"/>
          <w:szCs w:val="24"/>
        </w:rPr>
        <w:t xml:space="preserve">Key </w:t>
      </w:r>
      <w:r w:rsidR="00612EED" w:rsidRPr="00612EED">
        <w:rPr>
          <w:rFonts w:ascii="Book Antiqua" w:hAnsi="Book Antiqua" w:cs="Times New Roman"/>
          <w:b/>
          <w:sz w:val="24"/>
          <w:szCs w:val="24"/>
        </w:rPr>
        <w:t>w</w:t>
      </w:r>
      <w:r w:rsidRPr="00612EED">
        <w:rPr>
          <w:rFonts w:ascii="Book Antiqua" w:hAnsi="Book Antiqua" w:cs="Times New Roman"/>
          <w:b/>
          <w:sz w:val="24"/>
          <w:szCs w:val="24"/>
        </w:rPr>
        <w:t>ords</w:t>
      </w:r>
      <w:r w:rsidRPr="00612EED">
        <w:rPr>
          <w:rFonts w:ascii="Book Antiqua" w:hAnsi="Book Antiqua" w:cs="Times New Roman"/>
          <w:sz w:val="24"/>
          <w:szCs w:val="24"/>
        </w:rPr>
        <w:t>:</w:t>
      </w:r>
      <w:r w:rsidR="0077323C">
        <w:rPr>
          <w:rFonts w:ascii="Book Antiqua" w:hAnsi="Book Antiqua" w:cs="Times New Roman"/>
          <w:sz w:val="24"/>
          <w:szCs w:val="24"/>
        </w:rPr>
        <w:t xml:space="preserve"> </w:t>
      </w:r>
      <w:r w:rsidRPr="00612EED">
        <w:rPr>
          <w:rFonts w:ascii="Book Antiqua" w:hAnsi="Book Antiqua" w:cs="Times New Roman"/>
          <w:sz w:val="24"/>
          <w:szCs w:val="24"/>
        </w:rPr>
        <w:t>Dietary hyperoxaluria</w:t>
      </w:r>
      <w:r w:rsidR="008E13A1">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8E13A1" w:rsidRPr="00612EED">
        <w:rPr>
          <w:rFonts w:ascii="Book Antiqua" w:hAnsi="Book Antiqua" w:cs="Times New Roman"/>
          <w:sz w:val="24"/>
          <w:szCs w:val="24"/>
        </w:rPr>
        <w:t>C</w:t>
      </w:r>
      <w:r w:rsidRPr="00612EED">
        <w:rPr>
          <w:rFonts w:ascii="Book Antiqua" w:hAnsi="Book Antiqua" w:cs="Times New Roman"/>
          <w:sz w:val="24"/>
          <w:szCs w:val="24"/>
        </w:rPr>
        <w:t>hronic oxalate nephropathy</w:t>
      </w:r>
      <w:r w:rsidR="008E13A1">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8E13A1" w:rsidRPr="00612EED">
        <w:rPr>
          <w:rFonts w:ascii="Book Antiqua" w:hAnsi="Book Antiqua" w:cs="Times New Roman"/>
          <w:sz w:val="24"/>
          <w:szCs w:val="24"/>
        </w:rPr>
        <w:t>A</w:t>
      </w:r>
      <w:r w:rsidRPr="00612EED">
        <w:rPr>
          <w:rFonts w:ascii="Book Antiqua" w:hAnsi="Book Antiqua" w:cs="Times New Roman"/>
          <w:sz w:val="24"/>
          <w:szCs w:val="24"/>
        </w:rPr>
        <w:t>cute oxalate nephropathy</w:t>
      </w:r>
      <w:r w:rsidR="008E13A1">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8E13A1" w:rsidRPr="00612EED">
        <w:rPr>
          <w:rFonts w:ascii="Book Antiqua" w:hAnsi="Book Antiqua" w:cs="Times New Roman"/>
          <w:sz w:val="24"/>
          <w:szCs w:val="24"/>
        </w:rPr>
        <w:t>A</w:t>
      </w:r>
      <w:r w:rsidRPr="00612EED">
        <w:rPr>
          <w:rFonts w:ascii="Book Antiqua" w:hAnsi="Book Antiqua" w:cs="Times New Roman"/>
          <w:sz w:val="24"/>
          <w:szCs w:val="24"/>
        </w:rPr>
        <w:t>cute tubular necrosis</w:t>
      </w:r>
      <w:r w:rsidR="008E13A1">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8E13A1" w:rsidRPr="00612EED">
        <w:rPr>
          <w:rFonts w:ascii="Book Antiqua" w:hAnsi="Book Antiqua" w:cs="Times New Roman"/>
          <w:sz w:val="24"/>
          <w:szCs w:val="24"/>
        </w:rPr>
        <w:t>I</w:t>
      </w:r>
      <w:r w:rsidRPr="00612EED">
        <w:rPr>
          <w:rFonts w:ascii="Book Antiqua" w:hAnsi="Book Antiqua" w:cs="Times New Roman"/>
          <w:sz w:val="24"/>
          <w:szCs w:val="24"/>
        </w:rPr>
        <w:t>nterstitial nephritis</w:t>
      </w:r>
      <w:r w:rsidR="008E13A1">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8E13A1" w:rsidRPr="00612EED">
        <w:rPr>
          <w:rFonts w:ascii="Book Antiqua" w:hAnsi="Book Antiqua" w:cs="Times New Roman"/>
          <w:sz w:val="24"/>
          <w:szCs w:val="24"/>
        </w:rPr>
        <w:t>N</w:t>
      </w:r>
      <w:r w:rsidRPr="00612EED">
        <w:rPr>
          <w:rFonts w:ascii="Book Antiqua" w:hAnsi="Book Antiqua" w:cs="Times New Roman"/>
          <w:sz w:val="24"/>
          <w:szCs w:val="24"/>
        </w:rPr>
        <w:t>ephrocalcinosis</w:t>
      </w:r>
      <w:r w:rsidR="008E13A1">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8E13A1" w:rsidRPr="00612EED">
        <w:rPr>
          <w:rFonts w:ascii="Book Antiqua" w:hAnsi="Book Antiqua" w:cs="Times New Roman"/>
          <w:sz w:val="24"/>
          <w:szCs w:val="24"/>
        </w:rPr>
        <w:t>C</w:t>
      </w:r>
      <w:r w:rsidRPr="00612EED">
        <w:rPr>
          <w:rFonts w:ascii="Book Antiqua" w:hAnsi="Book Antiqua" w:cs="Times New Roman"/>
          <w:sz w:val="24"/>
          <w:szCs w:val="24"/>
        </w:rPr>
        <w:t>alcium oxalate nephrolithiasis</w:t>
      </w:r>
      <w:r w:rsidR="008E13A1">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8E13A1" w:rsidRPr="00612EED">
        <w:rPr>
          <w:rFonts w:ascii="Book Antiqua" w:hAnsi="Book Antiqua" w:cs="Times New Roman"/>
          <w:sz w:val="24"/>
          <w:szCs w:val="24"/>
        </w:rPr>
        <w:t>O</w:t>
      </w:r>
      <w:r w:rsidRPr="00612EED">
        <w:rPr>
          <w:rFonts w:ascii="Book Antiqua" w:hAnsi="Book Antiqua" w:cs="Times New Roman"/>
          <w:sz w:val="24"/>
          <w:szCs w:val="24"/>
        </w:rPr>
        <w:t>xalate transporters</w:t>
      </w:r>
      <w:r w:rsidR="008E13A1">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8E13A1" w:rsidRPr="00612EED">
        <w:rPr>
          <w:rFonts w:ascii="Book Antiqua" w:hAnsi="Book Antiqua" w:cs="Times New Roman"/>
          <w:sz w:val="24"/>
          <w:szCs w:val="24"/>
        </w:rPr>
        <w:t>I</w:t>
      </w:r>
      <w:r w:rsidRPr="00612EED">
        <w:rPr>
          <w:rFonts w:ascii="Book Antiqua" w:hAnsi="Book Antiqua" w:cs="Times New Roman"/>
          <w:sz w:val="24"/>
          <w:szCs w:val="24"/>
        </w:rPr>
        <w:t>nflammasomes</w:t>
      </w:r>
    </w:p>
    <w:p w:rsidR="00F2207B" w:rsidRPr="00612EED" w:rsidRDefault="00F2207B" w:rsidP="002A048C">
      <w:pPr>
        <w:spacing w:after="0" w:line="360" w:lineRule="auto"/>
        <w:jc w:val="both"/>
        <w:rPr>
          <w:rFonts w:ascii="Book Antiqua" w:hAnsi="Book Antiqua" w:cs="Times New Roman"/>
          <w:b/>
          <w:sz w:val="24"/>
          <w:szCs w:val="24"/>
        </w:rPr>
      </w:pPr>
    </w:p>
    <w:p w:rsidR="00F2207B" w:rsidRPr="00612EED" w:rsidRDefault="00F2207B" w:rsidP="002A048C">
      <w:pPr>
        <w:spacing w:after="0" w:line="360" w:lineRule="auto"/>
        <w:jc w:val="both"/>
        <w:rPr>
          <w:rFonts w:ascii="Book Antiqua" w:hAnsi="Book Antiqua" w:cs="Times New Roman"/>
          <w:sz w:val="24"/>
          <w:szCs w:val="24"/>
        </w:rPr>
      </w:pPr>
      <w:r w:rsidRPr="00612EED">
        <w:rPr>
          <w:rFonts w:ascii="Book Antiqua" w:hAnsi="Book Antiqua" w:cs="Times New Roman"/>
          <w:b/>
          <w:sz w:val="24"/>
          <w:szCs w:val="24"/>
        </w:rPr>
        <w:lastRenderedPageBreak/>
        <w:t xml:space="preserve">Core tip: </w:t>
      </w:r>
      <w:r w:rsidRPr="00612EED">
        <w:rPr>
          <w:rFonts w:ascii="Book Antiqua" w:hAnsi="Book Antiqua" w:cs="Times New Roman"/>
          <w:sz w:val="24"/>
          <w:szCs w:val="24"/>
        </w:rPr>
        <w:t>Chronic nephropathy secondary to dietary hyperoxaluria has been reported in a limited number of patients.</w:t>
      </w:r>
      <w:r w:rsidR="0077323C">
        <w:rPr>
          <w:rFonts w:ascii="Book Antiqua" w:hAnsi="Book Antiqua" w:cs="Times New Roman"/>
          <w:sz w:val="24"/>
          <w:szCs w:val="24"/>
        </w:rPr>
        <w:t xml:space="preserve"> </w:t>
      </w:r>
      <w:r w:rsidRPr="00612EED">
        <w:rPr>
          <w:rFonts w:ascii="Book Antiqua" w:hAnsi="Book Antiqua" w:cs="Times New Roman"/>
          <w:sz w:val="24"/>
          <w:szCs w:val="24"/>
        </w:rPr>
        <w:t>Dietary oxalate intake in these patients was lower than the average intake in certain parts of the world.</w:t>
      </w:r>
      <w:r w:rsidR="0077323C">
        <w:rPr>
          <w:rFonts w:ascii="Book Antiqua" w:hAnsi="Book Antiqua" w:cs="Times New Roman"/>
          <w:sz w:val="24"/>
          <w:szCs w:val="24"/>
        </w:rPr>
        <w:t xml:space="preserve"> </w:t>
      </w:r>
      <w:r w:rsidRPr="00612EED">
        <w:rPr>
          <w:rFonts w:ascii="Book Antiqua" w:hAnsi="Book Antiqua" w:cs="Times New Roman"/>
          <w:sz w:val="24"/>
          <w:szCs w:val="24"/>
        </w:rPr>
        <w:t>This raises the question whether dietary hyperoxaluria has been a neglected cause of chronic kidney disease.</w:t>
      </w:r>
      <w:r w:rsidR="0077323C">
        <w:rPr>
          <w:rFonts w:ascii="Book Antiqua" w:hAnsi="Book Antiqua" w:cs="Times New Roman"/>
          <w:sz w:val="24"/>
          <w:szCs w:val="24"/>
        </w:rPr>
        <w:t xml:space="preserve"> </w:t>
      </w:r>
      <w:r w:rsidRPr="00612EED">
        <w:rPr>
          <w:rFonts w:ascii="Book Antiqua" w:hAnsi="Book Antiqua" w:cs="Times New Roman"/>
          <w:sz w:val="24"/>
          <w:szCs w:val="24"/>
        </w:rPr>
        <w:t>This question along with recent findings elucidating the pathogenesis of oxalate nephropathy calls for further research in epidemiology, prevention and treatment of hyperoxaluria.</w:t>
      </w:r>
      <w:r w:rsidR="004F2EFF">
        <w:rPr>
          <w:rFonts w:ascii="Book Antiqua" w:hAnsi="Book Antiqua" w:cs="Times New Roman"/>
          <w:sz w:val="24"/>
          <w:szCs w:val="24"/>
        </w:rPr>
        <w:t xml:space="preserve"> </w:t>
      </w:r>
    </w:p>
    <w:p w:rsidR="00F2207B" w:rsidRPr="00612EED" w:rsidRDefault="00F2207B" w:rsidP="002A048C">
      <w:pPr>
        <w:spacing w:after="0" w:line="360" w:lineRule="auto"/>
        <w:jc w:val="both"/>
        <w:rPr>
          <w:rFonts w:ascii="Book Antiqua" w:hAnsi="Book Antiqua" w:cs="Times New Roman"/>
          <w:b/>
          <w:sz w:val="24"/>
          <w:szCs w:val="24"/>
        </w:rPr>
      </w:pPr>
    </w:p>
    <w:p w:rsidR="008E0D3F" w:rsidRPr="000418A5" w:rsidRDefault="008E0D3F" w:rsidP="002A048C">
      <w:pPr>
        <w:spacing w:after="0" w:line="360" w:lineRule="auto"/>
        <w:jc w:val="both"/>
        <w:rPr>
          <w:rFonts w:ascii="Book Antiqua" w:hAnsi="Book Antiqua"/>
          <w:sz w:val="24"/>
        </w:rPr>
      </w:pPr>
      <w:r w:rsidRPr="00845156">
        <w:rPr>
          <w:rFonts w:ascii="Book Antiqua" w:hAnsi="Book Antiqua" w:cs="Times New Roman"/>
          <w:sz w:val="24"/>
          <w:szCs w:val="24"/>
          <w:lang w:eastAsia="zh-CN"/>
        </w:rPr>
        <w:t>Glew</w:t>
      </w:r>
      <w:r>
        <w:rPr>
          <w:rFonts w:ascii="Book Antiqua" w:hAnsi="Book Antiqua" w:cs="Times New Roman" w:hint="eastAsia"/>
          <w:sz w:val="24"/>
          <w:szCs w:val="24"/>
          <w:lang w:eastAsia="zh-CN"/>
        </w:rPr>
        <w:t xml:space="preserve"> RH</w:t>
      </w:r>
      <w:r w:rsidRPr="00845156">
        <w:rPr>
          <w:rFonts w:ascii="Book Antiqua" w:hAnsi="Book Antiqua" w:cs="Times New Roman"/>
          <w:sz w:val="24"/>
          <w:szCs w:val="24"/>
          <w:lang w:eastAsia="zh-CN"/>
        </w:rPr>
        <w:t>, Sun</w:t>
      </w:r>
      <w:r>
        <w:rPr>
          <w:rFonts w:ascii="Book Antiqua" w:hAnsi="Book Antiqua" w:cs="Times New Roman" w:hint="eastAsia"/>
          <w:sz w:val="24"/>
          <w:szCs w:val="24"/>
          <w:lang w:eastAsia="zh-CN"/>
        </w:rPr>
        <w:t xml:space="preserve"> Y</w:t>
      </w:r>
      <w:r w:rsidRPr="00845156">
        <w:rPr>
          <w:rFonts w:ascii="Book Antiqua" w:hAnsi="Book Antiqua" w:cs="Times New Roman"/>
          <w:sz w:val="24"/>
          <w:szCs w:val="24"/>
          <w:lang w:eastAsia="zh-CN"/>
        </w:rPr>
        <w:t>, Horowitz</w:t>
      </w:r>
      <w:r>
        <w:rPr>
          <w:rFonts w:ascii="Book Antiqua" w:hAnsi="Book Antiqua" w:cs="Times New Roman" w:hint="eastAsia"/>
          <w:sz w:val="24"/>
          <w:szCs w:val="24"/>
          <w:lang w:eastAsia="zh-CN"/>
        </w:rPr>
        <w:t xml:space="preserve"> BL</w:t>
      </w:r>
      <w:r w:rsidRPr="00845156">
        <w:rPr>
          <w:rFonts w:ascii="Book Antiqua" w:hAnsi="Book Antiqua" w:cs="Times New Roman"/>
          <w:sz w:val="24"/>
          <w:szCs w:val="24"/>
          <w:lang w:eastAsia="zh-CN"/>
        </w:rPr>
        <w:t>, Kosntantinov</w:t>
      </w:r>
      <w:r>
        <w:rPr>
          <w:rFonts w:ascii="Book Antiqua" w:hAnsi="Book Antiqua" w:cs="Times New Roman" w:hint="eastAsia"/>
          <w:sz w:val="24"/>
          <w:szCs w:val="24"/>
          <w:lang w:eastAsia="zh-CN"/>
        </w:rPr>
        <w:t xml:space="preserve"> KN</w:t>
      </w:r>
      <w:r w:rsidRPr="00845156">
        <w:rPr>
          <w:rFonts w:ascii="Book Antiqua" w:hAnsi="Book Antiqua" w:cs="Times New Roman"/>
          <w:sz w:val="24"/>
          <w:szCs w:val="24"/>
          <w:lang w:eastAsia="zh-CN"/>
        </w:rPr>
        <w:t>, Barry</w:t>
      </w:r>
      <w:r>
        <w:rPr>
          <w:rFonts w:ascii="Book Antiqua" w:hAnsi="Book Antiqua" w:cs="Times New Roman" w:hint="eastAsia"/>
          <w:sz w:val="24"/>
          <w:szCs w:val="24"/>
          <w:lang w:eastAsia="zh-CN"/>
        </w:rPr>
        <w:t xml:space="preserve"> M</w:t>
      </w:r>
      <w:r w:rsidRPr="00845156">
        <w:rPr>
          <w:rFonts w:ascii="Book Antiqua" w:hAnsi="Book Antiqua" w:cs="Times New Roman"/>
          <w:sz w:val="24"/>
          <w:szCs w:val="24"/>
          <w:lang w:eastAsia="zh-CN"/>
        </w:rPr>
        <w:t>, Fair</w:t>
      </w:r>
      <w:r>
        <w:rPr>
          <w:rFonts w:ascii="Book Antiqua" w:hAnsi="Book Antiqua" w:cs="Times New Roman" w:hint="eastAsia"/>
          <w:sz w:val="24"/>
          <w:szCs w:val="24"/>
          <w:lang w:eastAsia="zh-CN"/>
        </w:rPr>
        <w:t xml:space="preserve"> JR</w:t>
      </w:r>
      <w:r w:rsidRPr="00845156">
        <w:rPr>
          <w:rFonts w:ascii="Book Antiqua" w:hAnsi="Book Antiqua" w:cs="Times New Roman"/>
          <w:sz w:val="24"/>
          <w:szCs w:val="24"/>
          <w:lang w:eastAsia="zh-CN"/>
        </w:rPr>
        <w:t>, Massie</w:t>
      </w:r>
      <w:r>
        <w:rPr>
          <w:rFonts w:ascii="Book Antiqua" w:hAnsi="Book Antiqua" w:cs="Times New Roman" w:hint="eastAsia"/>
          <w:sz w:val="24"/>
          <w:szCs w:val="24"/>
          <w:lang w:eastAsia="zh-CN"/>
        </w:rPr>
        <w:t xml:space="preserve"> L</w:t>
      </w:r>
      <w:r w:rsidRPr="00845156">
        <w:rPr>
          <w:rFonts w:ascii="Book Antiqua" w:hAnsi="Book Antiqua" w:cs="Times New Roman"/>
          <w:sz w:val="24"/>
          <w:szCs w:val="24"/>
          <w:lang w:eastAsia="zh-CN"/>
        </w:rPr>
        <w:t>, Tzamaloukas</w:t>
      </w:r>
      <w:r>
        <w:rPr>
          <w:rFonts w:ascii="Book Antiqua" w:hAnsi="Book Antiqua" w:cs="Times New Roman" w:hint="eastAsia"/>
          <w:sz w:val="24"/>
          <w:szCs w:val="24"/>
          <w:lang w:eastAsia="zh-CN"/>
        </w:rPr>
        <w:t xml:space="preserve"> AH. </w:t>
      </w:r>
      <w:r w:rsidRPr="00EA27E7">
        <w:rPr>
          <w:rFonts w:ascii="Book Antiqua" w:hAnsi="Book Antiqua" w:cs="Times New Roman"/>
          <w:sz w:val="24"/>
          <w:szCs w:val="24"/>
        </w:rPr>
        <w:t>Nephropathy in dietary hyperoxaluria: A potentially preventable acute or chronic kidney disease</w:t>
      </w:r>
      <w:r>
        <w:rPr>
          <w:rFonts w:ascii="Book Antiqua" w:hAnsi="Book Antiqua" w:cs="Times New Roman" w:hint="eastAsia"/>
          <w:sz w:val="24"/>
          <w:szCs w:val="24"/>
          <w:lang w:eastAsia="zh-CN"/>
        </w:rPr>
        <w:t>.</w:t>
      </w:r>
      <w:r w:rsidRPr="008E0D3F">
        <w:rPr>
          <w:rFonts w:ascii="Book Antiqua" w:hAnsi="Book Antiqua"/>
          <w:i/>
          <w:iCs/>
          <w:sz w:val="24"/>
          <w:szCs w:val="24"/>
        </w:rPr>
        <w:t xml:space="preserve"> </w:t>
      </w:r>
      <w:r w:rsidRPr="00C341A0">
        <w:rPr>
          <w:rFonts w:ascii="Book Antiqua" w:hAnsi="Book Antiqua"/>
          <w:i/>
          <w:iCs/>
          <w:sz w:val="24"/>
          <w:szCs w:val="24"/>
        </w:rPr>
        <w:t>World J Nephrol</w:t>
      </w:r>
      <w:r>
        <w:rPr>
          <w:rFonts w:ascii="Book Antiqua" w:hAnsi="Book Antiqua" w:hint="eastAsia"/>
          <w:i/>
          <w:iCs/>
          <w:sz w:val="24"/>
          <w:szCs w:val="24"/>
          <w:lang w:eastAsia="zh-CN"/>
        </w:rPr>
        <w:t xml:space="preserve"> </w:t>
      </w:r>
      <w:bookmarkStart w:id="139" w:name="OLE_LINK346"/>
      <w:bookmarkStart w:id="140" w:name="OLE_LINK347"/>
      <w:bookmarkStart w:id="141" w:name="OLE_LINK476"/>
      <w:r w:rsidRPr="008C30F2">
        <w:rPr>
          <w:rFonts w:ascii="Book Antiqua" w:hAnsi="Book Antiqua" w:hint="eastAsia"/>
          <w:iCs/>
          <w:sz w:val="24"/>
        </w:rPr>
        <w:t>2014</w:t>
      </w:r>
      <w:r>
        <w:rPr>
          <w:rFonts w:ascii="Book Antiqua" w:hAnsi="Book Antiqua" w:hint="eastAsia"/>
          <w:iCs/>
          <w:sz w:val="24"/>
        </w:rPr>
        <w:t>; In press</w:t>
      </w:r>
    </w:p>
    <w:bookmarkEnd w:id="139"/>
    <w:bookmarkEnd w:id="140"/>
    <w:bookmarkEnd w:id="141"/>
    <w:p w:rsidR="00F2207B" w:rsidRPr="00612EED" w:rsidRDefault="00F2207B" w:rsidP="002A048C">
      <w:pPr>
        <w:spacing w:after="0" w:line="360" w:lineRule="auto"/>
        <w:jc w:val="both"/>
        <w:rPr>
          <w:rFonts w:ascii="Book Antiqua" w:hAnsi="Book Antiqua" w:cs="Times New Roman"/>
          <w:b/>
          <w:sz w:val="24"/>
          <w:szCs w:val="24"/>
        </w:rPr>
      </w:pPr>
    </w:p>
    <w:p w:rsidR="00F2207B" w:rsidRPr="00612EED" w:rsidRDefault="0089344C" w:rsidP="002A048C">
      <w:pPr>
        <w:spacing w:after="0" w:line="360" w:lineRule="auto"/>
        <w:jc w:val="both"/>
        <w:rPr>
          <w:rFonts w:ascii="Book Antiqua" w:hAnsi="Book Antiqua" w:cs="Times New Roman"/>
          <w:b/>
          <w:sz w:val="24"/>
          <w:szCs w:val="24"/>
        </w:rPr>
      </w:pPr>
      <w:r w:rsidRPr="00612EED">
        <w:rPr>
          <w:rFonts w:ascii="Book Antiqua" w:hAnsi="Book Antiqua" w:cs="Times New Roman"/>
          <w:b/>
          <w:sz w:val="24"/>
          <w:szCs w:val="24"/>
        </w:rPr>
        <w:t>INTRODUCTION</w:t>
      </w:r>
    </w:p>
    <w:p w:rsidR="00F2207B" w:rsidRPr="00612EED" w:rsidRDefault="00F2207B" w:rsidP="002A048C">
      <w:pPr>
        <w:spacing w:after="0" w:line="360" w:lineRule="auto"/>
        <w:jc w:val="both"/>
        <w:rPr>
          <w:rFonts w:ascii="Book Antiqua" w:hAnsi="Book Antiqua" w:cs="Times New Roman"/>
          <w:sz w:val="24"/>
          <w:szCs w:val="24"/>
        </w:rPr>
      </w:pPr>
      <w:r w:rsidRPr="00612EED">
        <w:rPr>
          <w:rFonts w:ascii="Book Antiqua" w:hAnsi="Book Antiqua" w:cs="Times New Roman"/>
          <w:sz w:val="24"/>
          <w:szCs w:val="24"/>
        </w:rPr>
        <w:t>Oxaluria has been extensively studied in the context of nephrolithiasis</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1-15]</w:t>
      </w:r>
      <w:r w:rsidRPr="00E52B69">
        <w:rPr>
          <w:rFonts w:ascii="Book Antiqua" w:hAnsi="Book Antiqua" w:cs="Times New Roman"/>
          <w:sz w:val="24"/>
          <w:szCs w:val="24"/>
        </w:rPr>
        <w:t>.</w:t>
      </w:r>
      <w:r w:rsidR="0077323C">
        <w:rPr>
          <w:rFonts w:ascii="Book Antiqua" w:hAnsi="Book Antiqua" w:cs="Times New Roman"/>
          <w:sz w:val="24"/>
          <w:szCs w:val="24"/>
        </w:rPr>
        <w:t xml:space="preserve"> </w:t>
      </w:r>
      <w:r w:rsidRPr="00612EED">
        <w:rPr>
          <w:rFonts w:ascii="Book Antiqua" w:hAnsi="Book Antiqua" w:cs="Times New Roman"/>
          <w:sz w:val="24"/>
          <w:szCs w:val="24"/>
        </w:rPr>
        <w:t>While hyperoxaluria from various causes represents a definitive risk for calcium oxalate nephrolithiasis</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 2]</w:t>
      </w:r>
      <w:r w:rsidRPr="00DF0B93">
        <w:rPr>
          <w:rFonts w:ascii="Book Antiqua" w:hAnsi="Book Antiqua" w:cs="Times New Roman"/>
          <w:sz w:val="24"/>
          <w:szCs w:val="24"/>
        </w:rPr>
        <w:t>,</w:t>
      </w:r>
      <w:r w:rsidRPr="00612EED">
        <w:rPr>
          <w:rFonts w:ascii="Book Antiqua" w:hAnsi="Book Antiqua" w:cs="Times New Roman"/>
          <w:sz w:val="24"/>
          <w:szCs w:val="24"/>
        </w:rPr>
        <w:t xml:space="preserve"> lacking is convincing epidemiological evidence that oxaluria is a risk factors for idiopathic renal stone formation</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9, 10]</w:t>
      </w:r>
      <w:r w:rsidRPr="00DF0B93">
        <w:rPr>
          <w:rFonts w:ascii="Book Antiqua" w:hAnsi="Book Antiqua" w:cs="Times New Roman"/>
          <w:sz w:val="24"/>
          <w:szCs w:val="24"/>
        </w:rPr>
        <w:t>.</w:t>
      </w:r>
      <w:r w:rsidR="0077323C">
        <w:rPr>
          <w:rFonts w:ascii="Book Antiqua" w:hAnsi="Book Antiqua" w:cs="Times New Roman"/>
          <w:sz w:val="24"/>
          <w:szCs w:val="24"/>
        </w:rPr>
        <w:t xml:space="preserve"> </w:t>
      </w:r>
      <w:r w:rsidRPr="00612EED">
        <w:rPr>
          <w:rFonts w:ascii="Book Antiqua" w:hAnsi="Book Antiqua" w:cs="Times New Roman"/>
          <w:sz w:val="24"/>
          <w:szCs w:val="24"/>
        </w:rPr>
        <w:t>In addition to nephrolithiasis, hyperoxaluria can also cause nephrocalcinosis involving the renal cortex, the renal medulla, or both</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16-21]</w:t>
      </w:r>
      <w:r w:rsidRPr="00DF0B93">
        <w:rPr>
          <w:rFonts w:ascii="Book Antiqua" w:hAnsi="Book Antiqua" w:cs="Times New Roman"/>
          <w:sz w:val="24"/>
          <w:szCs w:val="24"/>
        </w:rPr>
        <w:t>,</w:t>
      </w:r>
      <w:r w:rsidRPr="00612EED">
        <w:rPr>
          <w:rFonts w:ascii="Book Antiqua" w:hAnsi="Book Antiqua" w:cs="Times New Roman"/>
          <w:sz w:val="24"/>
          <w:szCs w:val="24"/>
        </w:rPr>
        <w:t xml:space="preserve"> acute kidney injury (AKI) and chronic kidney disease (CKD).</w:t>
      </w:r>
      <w:r w:rsidR="0077323C">
        <w:rPr>
          <w:rFonts w:ascii="Book Antiqua" w:hAnsi="Book Antiqua" w:cs="Times New Roman"/>
          <w:sz w:val="24"/>
          <w:szCs w:val="24"/>
        </w:rPr>
        <w:t xml:space="preserve"> </w:t>
      </w:r>
      <w:r w:rsidRPr="00612EED">
        <w:rPr>
          <w:rFonts w:ascii="Book Antiqua" w:hAnsi="Book Antiqua" w:cs="Times New Roman"/>
          <w:sz w:val="24"/>
          <w:szCs w:val="24"/>
        </w:rPr>
        <w:t>Oxaluria has two sources: oxalate formed endogenously from metabolism of its precursors and oxalate absorbed from the gastrointestinal tract.</w:t>
      </w:r>
      <w:r w:rsidR="0077323C">
        <w:rPr>
          <w:rFonts w:ascii="Book Antiqua" w:hAnsi="Book Antiqua" w:cs="Times New Roman"/>
          <w:sz w:val="24"/>
          <w:szCs w:val="24"/>
        </w:rPr>
        <w:t xml:space="preserve"> </w:t>
      </w:r>
      <w:r w:rsidRPr="00612EED">
        <w:rPr>
          <w:rFonts w:ascii="Book Antiqua" w:hAnsi="Book Antiqua" w:cs="Times New Roman"/>
          <w:sz w:val="24"/>
          <w:szCs w:val="24"/>
        </w:rPr>
        <w:t>Increased rate of formation or increased rate of absorption of oxalate can lead to hyperoxaluria.</w:t>
      </w:r>
      <w:r w:rsidR="0077323C">
        <w:rPr>
          <w:rFonts w:ascii="Book Antiqua" w:hAnsi="Book Antiqua" w:cs="Times New Roman"/>
          <w:sz w:val="24"/>
          <w:szCs w:val="24"/>
        </w:rPr>
        <w:t xml:space="preserve"> </w:t>
      </w:r>
      <w:r w:rsidRPr="00612EED">
        <w:rPr>
          <w:rFonts w:ascii="Book Antiqua" w:hAnsi="Book Antiqua" w:cs="Times New Roman"/>
          <w:sz w:val="24"/>
          <w:szCs w:val="24"/>
        </w:rPr>
        <w:t>The principal aim of this review is to address various aspects of hyperoxaluric AKI and CKD with emphasis on nephropathy secondary to high dietary intake of oxalate.</w:t>
      </w:r>
      <w:r w:rsidR="0077323C">
        <w:rPr>
          <w:rFonts w:ascii="Book Antiqua" w:hAnsi="Book Antiqua" w:cs="Times New Roman"/>
          <w:sz w:val="24"/>
          <w:szCs w:val="24"/>
        </w:rPr>
        <w:t xml:space="preserve"> </w:t>
      </w:r>
      <w:r w:rsidRPr="00612EED">
        <w:rPr>
          <w:rFonts w:ascii="Book Antiqua" w:hAnsi="Book Antiqua" w:cs="Times New Roman"/>
          <w:sz w:val="24"/>
          <w:szCs w:val="24"/>
        </w:rPr>
        <w:t>This topic was selected because of its potential epidemiologic importance.</w:t>
      </w:r>
      <w:r w:rsidR="0077323C">
        <w:rPr>
          <w:rFonts w:ascii="Book Antiqua" w:hAnsi="Book Antiqua" w:cs="Times New Roman"/>
          <w:sz w:val="24"/>
          <w:szCs w:val="24"/>
        </w:rPr>
        <w:t xml:space="preserve"> </w:t>
      </w:r>
      <w:r w:rsidRPr="00612EED">
        <w:rPr>
          <w:rFonts w:ascii="Book Antiqua" w:hAnsi="Book Antiqua" w:cs="Times New Roman"/>
          <w:sz w:val="24"/>
          <w:szCs w:val="24"/>
        </w:rPr>
        <w:t>In addition, interest to the topic is enhanced by important recent developments in the pathogenesis of hyperoxaluric CKD and the relative paucity of published information on renal parenchymal disease from dietary hyperoxaluria.</w:t>
      </w:r>
      <w:r w:rsidR="004F2EFF">
        <w:rPr>
          <w:rFonts w:ascii="Book Antiqua" w:hAnsi="Book Antiqua" w:cs="Times New Roman"/>
          <w:sz w:val="24"/>
          <w:szCs w:val="24"/>
        </w:rPr>
        <w:t xml:space="preserve"> </w:t>
      </w:r>
    </w:p>
    <w:p w:rsidR="00F2207B" w:rsidRPr="00612EED" w:rsidRDefault="00F2207B" w:rsidP="002A048C">
      <w:pPr>
        <w:spacing w:after="0" w:line="360" w:lineRule="auto"/>
        <w:ind w:firstLineChars="150" w:firstLine="360"/>
        <w:jc w:val="both"/>
        <w:rPr>
          <w:rFonts w:ascii="Book Antiqua" w:hAnsi="Book Antiqua" w:cs="Times New Roman"/>
          <w:sz w:val="24"/>
          <w:szCs w:val="24"/>
        </w:rPr>
      </w:pPr>
      <w:r w:rsidRPr="00612EED">
        <w:rPr>
          <w:rFonts w:ascii="Book Antiqua" w:hAnsi="Book Antiqua" w:cs="Times New Roman"/>
          <w:sz w:val="24"/>
          <w:szCs w:val="24"/>
        </w:rPr>
        <w:t xml:space="preserve">This review will analyze in sequence the biochemistry of oxalate and oxalate stones, the pathways of hepatic synthesis of oxalate, the gastrointestinal absorption and renal </w:t>
      </w:r>
      <w:r w:rsidRPr="00612EED">
        <w:rPr>
          <w:rFonts w:ascii="Book Antiqua" w:hAnsi="Book Antiqua" w:cs="Times New Roman"/>
          <w:sz w:val="24"/>
          <w:szCs w:val="24"/>
        </w:rPr>
        <w:lastRenderedPageBreak/>
        <w:t>excretion of oxalate, the various types of hyperoxaluria with emphasis on the dietary variety, and the histologic types of oxalate nephropathy and their pathogenesis.</w:t>
      </w:r>
      <w:r w:rsidR="0077323C">
        <w:rPr>
          <w:rFonts w:ascii="Book Antiqua" w:hAnsi="Book Antiqua" w:cs="Times New Roman"/>
          <w:sz w:val="24"/>
          <w:szCs w:val="24"/>
        </w:rPr>
        <w:t xml:space="preserve"> </w:t>
      </w:r>
      <w:r w:rsidRPr="00612EED">
        <w:rPr>
          <w:rFonts w:ascii="Book Antiqua" w:hAnsi="Book Antiqua" w:cs="Times New Roman"/>
          <w:sz w:val="24"/>
          <w:szCs w:val="24"/>
        </w:rPr>
        <w:t>The final section focuses on future research avenues that may illuminate the topic of dietary hyperoxaluria.</w:t>
      </w:r>
      <w:r w:rsidR="0077323C">
        <w:rPr>
          <w:rFonts w:ascii="Book Antiqua" w:hAnsi="Book Antiqua" w:cs="Times New Roman"/>
          <w:sz w:val="24"/>
          <w:szCs w:val="24"/>
        </w:rPr>
        <w:t xml:space="preserve"> </w:t>
      </w:r>
      <w:r w:rsidRPr="00612EED">
        <w:rPr>
          <w:rFonts w:ascii="Book Antiqua" w:hAnsi="Book Antiqua" w:cs="Times New Roman"/>
          <w:sz w:val="24"/>
          <w:szCs w:val="24"/>
        </w:rPr>
        <w:t>The potential benefit from this research could be a reduction of the incidence of end-stage renal disease (ESRD)</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22]</w:t>
      </w:r>
      <w:r w:rsidRPr="00E52B69">
        <w:rPr>
          <w:rFonts w:ascii="Book Antiqua" w:hAnsi="Book Antiqua" w:cs="Times New Roman"/>
          <w:sz w:val="24"/>
          <w:szCs w:val="24"/>
        </w:rPr>
        <w:t>.</w:t>
      </w:r>
    </w:p>
    <w:p w:rsidR="00F2207B" w:rsidRPr="00612EED" w:rsidRDefault="00F2207B" w:rsidP="002A048C">
      <w:pPr>
        <w:spacing w:after="0" w:line="360" w:lineRule="auto"/>
        <w:jc w:val="both"/>
        <w:rPr>
          <w:rFonts w:ascii="Book Antiqua" w:hAnsi="Book Antiqua" w:cs="Times New Roman"/>
          <w:sz w:val="24"/>
          <w:szCs w:val="24"/>
        </w:rPr>
      </w:pPr>
    </w:p>
    <w:p w:rsidR="00F2207B" w:rsidRPr="00612EED" w:rsidRDefault="00E52B69" w:rsidP="002A048C">
      <w:pPr>
        <w:spacing w:after="0" w:line="360" w:lineRule="auto"/>
        <w:jc w:val="both"/>
        <w:rPr>
          <w:rFonts w:ascii="Book Antiqua" w:hAnsi="Book Antiqua" w:cs="Arial"/>
          <w:b/>
          <w:sz w:val="24"/>
          <w:szCs w:val="24"/>
        </w:rPr>
      </w:pPr>
      <w:r w:rsidRPr="00612EED">
        <w:rPr>
          <w:rFonts w:ascii="Book Antiqua" w:hAnsi="Book Antiqua" w:cs="Arial"/>
          <w:b/>
          <w:sz w:val="24"/>
          <w:szCs w:val="24"/>
        </w:rPr>
        <w:t xml:space="preserve">CHEMISTRY AND PROPERTIES OF OXALIC ACID AND OXALATE STONES </w:t>
      </w:r>
    </w:p>
    <w:p w:rsidR="00F2207B" w:rsidRPr="00612EED" w:rsidRDefault="00F2207B" w:rsidP="002A048C">
      <w:pPr>
        <w:spacing w:after="0" w:line="360" w:lineRule="auto"/>
        <w:jc w:val="both"/>
        <w:rPr>
          <w:rFonts w:ascii="Book Antiqua" w:hAnsi="Book Antiqua" w:cs="Arial"/>
          <w:sz w:val="24"/>
          <w:szCs w:val="24"/>
        </w:rPr>
      </w:pPr>
      <w:r w:rsidRPr="00612EED">
        <w:rPr>
          <w:rFonts w:ascii="Book Antiqua" w:hAnsi="Book Antiqua" w:cs="Arial"/>
          <w:b/>
          <w:sz w:val="24"/>
          <w:szCs w:val="24"/>
        </w:rPr>
        <w:t xml:space="preserve"> </w:t>
      </w:r>
      <w:r w:rsidRPr="00612EED">
        <w:rPr>
          <w:rFonts w:ascii="Book Antiqua" w:hAnsi="Book Antiqua" w:cs="Arial"/>
          <w:sz w:val="24"/>
          <w:szCs w:val="24"/>
        </w:rPr>
        <w:t>Oxalic acid is a two-carbon dicarboxylic acid (HOOC-COOH).</w:t>
      </w:r>
      <w:r w:rsidR="0077323C">
        <w:rPr>
          <w:rFonts w:ascii="Book Antiqua" w:hAnsi="Book Antiqua" w:cs="Arial"/>
          <w:sz w:val="24"/>
          <w:szCs w:val="24"/>
        </w:rPr>
        <w:t xml:space="preserve"> </w:t>
      </w:r>
      <w:r w:rsidRPr="00612EED">
        <w:rPr>
          <w:rFonts w:ascii="Book Antiqua" w:hAnsi="Book Antiqua" w:cs="Arial"/>
          <w:sz w:val="24"/>
          <w:szCs w:val="24"/>
        </w:rPr>
        <w:t>For a long time it was thought that oxalate stones were comprised of mono- and di-hydrates of calcium oxalate, with some contribution from trihydrates.</w:t>
      </w:r>
      <w:r w:rsidR="0077323C">
        <w:rPr>
          <w:rFonts w:ascii="Book Antiqua" w:hAnsi="Book Antiqua" w:cs="Arial"/>
          <w:sz w:val="24"/>
          <w:szCs w:val="24"/>
        </w:rPr>
        <w:t xml:space="preserve"> </w:t>
      </w:r>
      <w:r w:rsidRPr="00612EED">
        <w:rPr>
          <w:rFonts w:ascii="Book Antiqua" w:hAnsi="Book Antiqua" w:cs="Arial"/>
          <w:sz w:val="24"/>
          <w:szCs w:val="24"/>
        </w:rPr>
        <w:t>However, recent studies have led to a picture in which some non-oxalate preformed particle such as a crystal of uric acid, phosphate salts, drugs or drug metabolite act as the heterogeneous nucleus for formation of the oxalate calculus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23]</w:t>
      </w:r>
      <w:r w:rsidRPr="00E33049">
        <w:rPr>
          <w:rFonts w:ascii="Book Antiqua" w:hAnsi="Book Antiqua" w:cs="Arial"/>
          <w:sz w:val="24"/>
          <w:szCs w:val="24"/>
        </w:rPr>
        <w:t>.</w:t>
      </w:r>
      <w:r w:rsidRPr="00612EED">
        <w:rPr>
          <w:rFonts w:ascii="Book Antiqua" w:hAnsi="Book Antiqua" w:cs="Arial"/>
          <w:sz w:val="24"/>
          <w:szCs w:val="24"/>
        </w:rPr>
        <w:t xml:space="preserve"> </w:t>
      </w:r>
    </w:p>
    <w:p w:rsidR="00F2207B" w:rsidRPr="00612EED" w:rsidRDefault="00F2207B" w:rsidP="002A048C">
      <w:pPr>
        <w:spacing w:after="0" w:line="360" w:lineRule="auto"/>
        <w:ind w:firstLineChars="150" w:firstLine="360"/>
        <w:jc w:val="both"/>
        <w:rPr>
          <w:rFonts w:ascii="Book Antiqua" w:hAnsi="Book Antiqua" w:cs="Arial"/>
          <w:sz w:val="24"/>
          <w:szCs w:val="24"/>
        </w:rPr>
      </w:pPr>
      <w:r w:rsidRPr="00612EED">
        <w:rPr>
          <w:rFonts w:ascii="Book Antiqua" w:hAnsi="Book Antiqua" w:cs="Arial"/>
          <w:sz w:val="24"/>
          <w:szCs w:val="24"/>
        </w:rPr>
        <w:t>Oxalic acid is a moderately strong acid with pKa values of 1.23 and 4.19.</w:t>
      </w:r>
      <w:r w:rsidR="0077323C">
        <w:rPr>
          <w:rFonts w:ascii="Book Antiqua" w:hAnsi="Book Antiqua" w:cs="Arial"/>
          <w:sz w:val="24"/>
          <w:szCs w:val="24"/>
        </w:rPr>
        <w:t xml:space="preserve"> </w:t>
      </w:r>
      <w:r w:rsidRPr="00612EED">
        <w:rPr>
          <w:rFonts w:ascii="Book Antiqua" w:hAnsi="Book Antiqua" w:cs="Arial"/>
          <w:sz w:val="24"/>
          <w:szCs w:val="24"/>
        </w:rPr>
        <w:t>In its full ionic form it is called oxalate.</w:t>
      </w:r>
      <w:r w:rsidR="0077323C">
        <w:rPr>
          <w:rFonts w:ascii="Book Antiqua" w:hAnsi="Book Antiqua" w:cs="Arial"/>
          <w:sz w:val="24"/>
          <w:szCs w:val="24"/>
        </w:rPr>
        <w:t xml:space="preserve"> </w:t>
      </w:r>
      <w:r w:rsidRPr="00612EED">
        <w:rPr>
          <w:rFonts w:ascii="Book Antiqua" w:hAnsi="Book Antiqua" w:cs="Arial"/>
          <w:sz w:val="24"/>
          <w:szCs w:val="24"/>
        </w:rPr>
        <w:t>Whereas oxalic acid is relatively soluble in water (8700 mg/dL; pH 7, 20</w:t>
      </w:r>
      <w:r w:rsidR="00E33049">
        <w:rPr>
          <w:rFonts w:ascii="Book Antiqua" w:hAnsi="Book Antiqua" w:cs="Arial" w:hint="eastAsia"/>
          <w:sz w:val="24"/>
          <w:szCs w:val="24"/>
          <w:lang w:eastAsia="zh-CN"/>
        </w:rPr>
        <w:t xml:space="preserve"> </w:t>
      </w:r>
      <w:r w:rsidRPr="00612EED">
        <w:rPr>
          <w:rFonts w:ascii="Book Antiqua" w:hAnsi="Book Antiqua" w:cs="Arial"/>
          <w:sz w:val="24"/>
          <w:szCs w:val="24"/>
          <w:vertAlign w:val="superscript"/>
        </w:rPr>
        <w:t>o</w:t>
      </w:r>
      <w:r w:rsidRPr="00612EED">
        <w:rPr>
          <w:rFonts w:ascii="Book Antiqua" w:hAnsi="Book Antiqua" w:cs="Arial"/>
          <w:sz w:val="24"/>
          <w:szCs w:val="24"/>
        </w:rPr>
        <w:t>C), calcium oxalate is three to four orders of magnitude less soluble (0.67 mg/dL; pH 7.0, 20</w:t>
      </w:r>
      <w:r w:rsidR="00E33049">
        <w:rPr>
          <w:rFonts w:ascii="Book Antiqua" w:hAnsi="Book Antiqua" w:cs="Arial" w:hint="eastAsia"/>
          <w:sz w:val="24"/>
          <w:szCs w:val="24"/>
          <w:lang w:eastAsia="zh-CN"/>
        </w:rPr>
        <w:t xml:space="preserve"> </w:t>
      </w:r>
      <w:r w:rsidRPr="00612EED">
        <w:rPr>
          <w:rFonts w:ascii="Book Antiqua" w:hAnsi="Book Antiqua" w:cs="Arial"/>
          <w:sz w:val="24"/>
          <w:szCs w:val="24"/>
          <w:vertAlign w:val="superscript"/>
        </w:rPr>
        <w:t>o</w:t>
      </w:r>
      <w:r w:rsidRPr="00612EED">
        <w:rPr>
          <w:rFonts w:ascii="Book Antiqua" w:hAnsi="Book Antiqua" w:cs="Arial"/>
          <w:sz w:val="24"/>
          <w:szCs w:val="24"/>
        </w:rPr>
        <w:t>C) and crystallizes readily.</w:t>
      </w:r>
      <w:r w:rsidR="0077323C">
        <w:rPr>
          <w:rFonts w:ascii="Book Antiqua" w:hAnsi="Book Antiqua" w:cs="Arial"/>
          <w:sz w:val="24"/>
          <w:szCs w:val="24"/>
        </w:rPr>
        <w:t xml:space="preserve"> </w:t>
      </w:r>
      <w:r w:rsidRPr="00612EED">
        <w:rPr>
          <w:rFonts w:ascii="Book Antiqua" w:hAnsi="Book Antiqua" w:cs="Arial"/>
          <w:sz w:val="24"/>
          <w:szCs w:val="24"/>
        </w:rPr>
        <w:t>By way of comparison, calcium urate is about 400-fold more soluble than calcium oxalate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24]</w:t>
      </w:r>
      <w:r w:rsidRPr="00B81DA5">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Oxalate also forms crystals with other polyvalent ions, including magnesium, ferrous iron and zinc.</w:t>
      </w:r>
      <w:r w:rsidR="0077323C">
        <w:rPr>
          <w:rFonts w:ascii="Book Antiqua" w:hAnsi="Book Antiqua" w:cs="Arial"/>
          <w:sz w:val="24"/>
          <w:szCs w:val="24"/>
        </w:rPr>
        <w:t xml:space="preserve"> </w:t>
      </w:r>
      <w:r w:rsidRPr="00612EED">
        <w:rPr>
          <w:rFonts w:ascii="Book Antiqua" w:hAnsi="Book Antiqua" w:cs="Arial"/>
          <w:sz w:val="24"/>
          <w:szCs w:val="24"/>
        </w:rPr>
        <w:t>The water solubility (expressed as mg/dL) of these complexes at 18 to 20</w:t>
      </w:r>
      <w:r w:rsidR="00216DC7">
        <w:rPr>
          <w:rFonts w:ascii="Book Antiqua" w:hAnsi="Book Antiqua" w:cs="Arial" w:hint="eastAsia"/>
          <w:sz w:val="24"/>
          <w:szCs w:val="24"/>
          <w:lang w:eastAsia="zh-CN"/>
        </w:rPr>
        <w:t xml:space="preserve"> </w:t>
      </w:r>
      <w:r w:rsidRPr="00612EED">
        <w:rPr>
          <w:rFonts w:ascii="Book Antiqua" w:hAnsi="Book Antiqua" w:cs="Arial"/>
          <w:sz w:val="24"/>
          <w:szCs w:val="24"/>
          <w:vertAlign w:val="superscript"/>
        </w:rPr>
        <w:t>o</w:t>
      </w:r>
      <w:r w:rsidRPr="00612EED">
        <w:rPr>
          <w:rFonts w:ascii="Book Antiqua" w:hAnsi="Book Antiqua" w:cs="Arial"/>
          <w:sz w:val="24"/>
          <w:szCs w:val="24"/>
        </w:rPr>
        <w:t xml:space="preserve">C is as follows: magnesium oxalate 70.0, ferrous oxalate 22.0 and zinc oxalate 0.79, respectively. The solubility of calcium oxalate increases slightly with increasing pH; however, hydrogen ion changes in the physiological range have only a small effect on calcium oxalate solubility.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Oxalic acid is a toxic substance.</w:t>
      </w:r>
      <w:r w:rsidR="0077323C">
        <w:rPr>
          <w:rFonts w:ascii="Book Antiqua" w:hAnsi="Book Antiqua" w:cs="Arial"/>
          <w:b/>
          <w:sz w:val="24"/>
          <w:szCs w:val="24"/>
        </w:rPr>
        <w:t xml:space="preserve"> </w:t>
      </w:r>
      <w:r w:rsidRPr="00612EED">
        <w:rPr>
          <w:rFonts w:ascii="Book Antiqua" w:hAnsi="Book Antiqua" w:cs="Arial"/>
          <w:sz w:val="24"/>
          <w:szCs w:val="24"/>
        </w:rPr>
        <w:t>It is not known whether oxalic acid and oxalate are themselves toxic before they react with calcium to form calcium oxalate.</w:t>
      </w:r>
      <w:r w:rsidR="004F2EFF">
        <w:rPr>
          <w:rFonts w:ascii="Book Antiqua" w:hAnsi="Book Antiqua" w:cs="Arial"/>
          <w:sz w:val="24"/>
          <w:szCs w:val="24"/>
        </w:rPr>
        <w:t xml:space="preserve"> </w:t>
      </w:r>
      <w:r w:rsidRPr="00612EED">
        <w:rPr>
          <w:rFonts w:ascii="Book Antiqua" w:hAnsi="Book Antiqua" w:cs="Arial"/>
          <w:sz w:val="24"/>
          <w:szCs w:val="24"/>
        </w:rPr>
        <w:t xml:space="preserve">Under normal circumstances the concentration of oxalate in the blood and urine depends on the content of oxalic acid in foods and on metabolic conversion of endogenous oxalate precursors largely by oxidative reactions. Furthermore, dietary factors and substances </w:t>
      </w:r>
      <w:r w:rsidRPr="00612EED">
        <w:rPr>
          <w:rFonts w:ascii="Book Antiqua" w:hAnsi="Book Antiqua" w:cs="Arial"/>
          <w:sz w:val="24"/>
          <w:szCs w:val="24"/>
        </w:rPr>
        <w:lastRenderedPageBreak/>
        <w:t>other than oxalic acid per se can influence the tendency for oxalate crystals to form; these factors include: the amino acids 4-hydroxyproline, serine and glycine, calcium, and possibly ascorbic acid and fructose.</w:t>
      </w:r>
      <w:r w:rsidR="004F2EFF">
        <w:rPr>
          <w:rFonts w:ascii="Book Antiqua" w:hAnsi="Book Antiqua" w:cs="Arial"/>
          <w:sz w:val="24"/>
          <w:szCs w:val="24"/>
        </w:rPr>
        <w:t xml:space="preserve"> </w:t>
      </w:r>
      <w:r w:rsidRPr="00612EED">
        <w:rPr>
          <w:rFonts w:ascii="Book Antiqua" w:hAnsi="Book Antiqua" w:cs="Arial"/>
          <w:b/>
          <w:sz w:val="24"/>
          <w:szCs w:val="24"/>
        </w:rPr>
        <w:tab/>
      </w:r>
    </w:p>
    <w:p w:rsidR="00F2207B" w:rsidRPr="00612EED" w:rsidRDefault="00F2207B" w:rsidP="002A048C">
      <w:pPr>
        <w:spacing w:after="0" w:line="360" w:lineRule="auto"/>
        <w:jc w:val="both"/>
        <w:rPr>
          <w:rFonts w:ascii="Book Antiqua" w:hAnsi="Book Antiqua" w:cs="Arial"/>
          <w:b/>
          <w:sz w:val="24"/>
          <w:szCs w:val="24"/>
        </w:rPr>
      </w:pPr>
    </w:p>
    <w:p w:rsidR="00F2207B" w:rsidRPr="00612EED" w:rsidRDefault="00442D78" w:rsidP="002A048C">
      <w:pPr>
        <w:spacing w:after="0" w:line="360" w:lineRule="auto"/>
        <w:jc w:val="both"/>
        <w:rPr>
          <w:rFonts w:ascii="Book Antiqua" w:hAnsi="Book Antiqua" w:cs="Arial"/>
          <w:b/>
          <w:sz w:val="24"/>
          <w:szCs w:val="24"/>
        </w:rPr>
      </w:pPr>
      <w:r w:rsidRPr="00612EED">
        <w:rPr>
          <w:rFonts w:ascii="Book Antiqua" w:hAnsi="Book Antiqua" w:cs="Arial"/>
          <w:b/>
          <w:sz w:val="24"/>
          <w:szCs w:val="24"/>
        </w:rPr>
        <w:t>EXOGENOUS SOURCES OF OXALIC ACID</w:t>
      </w:r>
      <w:r>
        <w:rPr>
          <w:rFonts w:ascii="Book Antiqua" w:hAnsi="Book Antiqua" w:cs="Arial"/>
          <w:b/>
          <w:sz w:val="24"/>
          <w:szCs w:val="24"/>
        </w:rPr>
        <w:t xml:space="preserve"> </w:t>
      </w:r>
    </w:p>
    <w:p w:rsidR="00F2207B" w:rsidRPr="00612EED" w:rsidRDefault="00F2207B" w:rsidP="002A048C">
      <w:pPr>
        <w:spacing w:after="0" w:line="360" w:lineRule="auto"/>
        <w:jc w:val="both"/>
        <w:rPr>
          <w:rFonts w:ascii="Book Antiqua" w:hAnsi="Book Antiqua" w:cs="Arial"/>
          <w:sz w:val="24"/>
          <w:szCs w:val="24"/>
        </w:rPr>
      </w:pPr>
      <w:r w:rsidRPr="00612EED">
        <w:rPr>
          <w:rFonts w:ascii="Book Antiqua" w:hAnsi="Book Antiqua" w:cs="Arial"/>
          <w:sz w:val="24"/>
          <w:szCs w:val="24"/>
        </w:rPr>
        <w:t>In Nature oxalic acid occurs in the free form but more commonly as the salt of sodium, potassium, calcium, magnesium or iron.</w:t>
      </w:r>
      <w:r w:rsidR="0077323C">
        <w:rPr>
          <w:rFonts w:ascii="Book Antiqua" w:hAnsi="Book Antiqua" w:cs="Arial"/>
          <w:color w:val="00B050"/>
          <w:sz w:val="24"/>
          <w:szCs w:val="24"/>
        </w:rPr>
        <w:t xml:space="preserve"> </w:t>
      </w:r>
      <w:r w:rsidRPr="00612EED">
        <w:rPr>
          <w:rFonts w:ascii="Book Antiqua" w:hAnsi="Book Antiqua" w:cs="Arial"/>
          <w:sz w:val="24"/>
          <w:szCs w:val="24"/>
        </w:rPr>
        <w:t>The oxalate content of dietary items consumed by several populations has been analyzed</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6,25-31]</w:t>
      </w:r>
      <w:r w:rsidRPr="005A1B1E">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Widely consumed foods that are rich in preformed oxalic acid include vegetables, nuts, cocoa, tea, and fruits high in vitamin C.</w:t>
      </w:r>
      <w:r w:rsidR="0077323C">
        <w:rPr>
          <w:rFonts w:ascii="Book Antiqua" w:hAnsi="Book Antiqua" w:cs="Arial"/>
          <w:sz w:val="24"/>
          <w:szCs w:val="24"/>
        </w:rPr>
        <w:t xml:space="preserve"> </w:t>
      </w:r>
      <w:r w:rsidRPr="00612EED">
        <w:rPr>
          <w:rFonts w:ascii="Book Antiqua" w:hAnsi="Book Antiqua" w:cs="Arial"/>
          <w:sz w:val="24"/>
          <w:szCs w:val="24"/>
        </w:rPr>
        <w:t>Red meats, fish, poultry, eggs and dairy products contain relatively small amounts of oxalic acid.</w:t>
      </w:r>
      <w:r w:rsidR="0077323C">
        <w:rPr>
          <w:rFonts w:ascii="Book Antiqua" w:hAnsi="Book Antiqua" w:cs="Arial"/>
          <w:sz w:val="24"/>
          <w:szCs w:val="24"/>
        </w:rPr>
        <w:t xml:space="preserve"> </w:t>
      </w:r>
      <w:r w:rsidRPr="00612EED">
        <w:rPr>
          <w:rFonts w:ascii="Book Antiqua" w:hAnsi="Book Antiqua" w:cs="Arial"/>
          <w:sz w:val="24"/>
          <w:szCs w:val="24"/>
        </w:rPr>
        <w:t>Items in Western diets that significantly increase urinary oxalate excretion include spinach, rhubarb, beets, nuts, chocolate, tea, wheat bran, and strawberries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6]</w:t>
      </w:r>
      <w:r w:rsidRPr="00F0332E">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The bioavailability of ingested oxalate is influenced by other ingested items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32]</w:t>
      </w:r>
      <w:r w:rsidRPr="00935B59">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Oxalate content of various diets, its relation to nephrolithiasis, and guidelines for oxalate intake have been reported</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13-15, 33-37]</w:t>
      </w:r>
      <w:r w:rsidRPr="00F0332E">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One set of guidelines for prevention of nephrolithiasis proposed a maximal daily oxalate intake of 200 mg daily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33]</w:t>
      </w:r>
      <w:r w:rsidRPr="00F0332E">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We found no epidemiological reports relating dietary oxalate intake to oxalate nephropathy and no guidelines for prevention of this nephropathy.</w:t>
      </w:r>
    </w:p>
    <w:p w:rsidR="00F2207B" w:rsidRPr="00612EED" w:rsidRDefault="00F2207B" w:rsidP="002A048C">
      <w:pPr>
        <w:spacing w:after="0" w:line="360" w:lineRule="auto"/>
        <w:ind w:firstLineChars="150" w:firstLine="360"/>
        <w:jc w:val="both"/>
        <w:rPr>
          <w:rFonts w:ascii="Book Antiqua" w:hAnsi="Book Antiqua" w:cs="Arial"/>
          <w:sz w:val="24"/>
          <w:szCs w:val="24"/>
        </w:rPr>
      </w:pPr>
      <w:r w:rsidRPr="00612EED">
        <w:rPr>
          <w:rFonts w:ascii="Book Antiqua" w:hAnsi="Book Antiqua" w:cs="Arial"/>
          <w:sz w:val="24"/>
          <w:szCs w:val="24"/>
        </w:rPr>
        <w:t>Table 1 shows estimates of dietary oxalate intake in six countries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13, 35, 36, 38-42]</w:t>
      </w:r>
      <w:r w:rsidRPr="00F0332E">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Oxalate intake varies greatly between countries and regions of the same country.</w:t>
      </w:r>
      <w:r w:rsidR="0077323C">
        <w:rPr>
          <w:rFonts w:ascii="Book Antiqua" w:hAnsi="Book Antiqua" w:cs="Arial"/>
          <w:sz w:val="24"/>
          <w:szCs w:val="24"/>
        </w:rPr>
        <w:t xml:space="preserve"> </w:t>
      </w:r>
      <w:r w:rsidRPr="00612EED">
        <w:rPr>
          <w:rFonts w:ascii="Book Antiqua" w:hAnsi="Book Antiqua" w:cs="Arial"/>
          <w:sz w:val="24"/>
          <w:szCs w:val="24"/>
        </w:rPr>
        <w:t>For example, daily oxalate intake in Western diets ranges between 44 and 930 mg</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13]</w:t>
      </w:r>
      <w:r w:rsidRPr="00F0332E">
        <w:rPr>
          <w:rFonts w:ascii="Book Antiqua" w:hAnsi="Book Antiqua" w:cs="Arial"/>
          <w:sz w:val="24"/>
          <w:szCs w:val="24"/>
        </w:rPr>
        <w:t>.</w:t>
      </w:r>
      <w:r w:rsidR="0077323C" w:rsidRPr="00F0332E">
        <w:rPr>
          <w:rFonts w:ascii="Book Antiqua" w:hAnsi="Book Antiqua" w:cs="Arial"/>
          <w:sz w:val="24"/>
          <w:szCs w:val="24"/>
        </w:rPr>
        <w:t xml:space="preserve"> </w:t>
      </w:r>
      <w:r w:rsidRPr="00612EED">
        <w:rPr>
          <w:rFonts w:ascii="Book Antiqua" w:hAnsi="Book Antiqua" w:cs="Arial"/>
          <w:sz w:val="24"/>
          <w:szCs w:val="24"/>
        </w:rPr>
        <w:t>The seasonal variation of oxalate intake in a rural population in India is extreme (Table 1).</w:t>
      </w:r>
      <w:r w:rsidR="0077323C">
        <w:rPr>
          <w:rFonts w:ascii="Book Antiqua" w:hAnsi="Book Antiqua" w:cs="Arial"/>
          <w:sz w:val="24"/>
          <w:szCs w:val="24"/>
        </w:rPr>
        <w:t xml:space="preserve"> </w:t>
      </w:r>
      <w:r w:rsidRPr="00612EED">
        <w:rPr>
          <w:rFonts w:ascii="Book Antiqua" w:hAnsi="Book Antiqua" w:cs="Arial"/>
          <w:sz w:val="24"/>
          <w:szCs w:val="24"/>
        </w:rPr>
        <w:t>Very high consumption of oxalate in the context of dietary intake can be comparable to some reported lethal doses of the compound.</w:t>
      </w:r>
      <w:r w:rsidR="0077323C">
        <w:rPr>
          <w:rFonts w:ascii="Book Antiqua" w:hAnsi="Book Antiqua" w:cs="Arial"/>
          <w:sz w:val="24"/>
          <w:szCs w:val="24"/>
        </w:rPr>
        <w:t xml:space="preserve"> </w:t>
      </w:r>
      <w:r w:rsidRPr="00612EED">
        <w:rPr>
          <w:rFonts w:ascii="Book Antiqua" w:hAnsi="Book Antiqua" w:cs="Arial"/>
          <w:sz w:val="24"/>
          <w:szCs w:val="24"/>
        </w:rPr>
        <w:t>Although the average lethal dose (LD50) of oxalate was estimated at 375 mg/kg</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43]</w:t>
      </w:r>
      <w:r w:rsidRPr="00612EED">
        <w:rPr>
          <w:rFonts w:ascii="Book Antiqua" w:hAnsi="Book Antiqua" w:cs="Arial"/>
          <w:sz w:val="24"/>
          <w:szCs w:val="24"/>
        </w:rPr>
        <w:t>, or 26.3 g for a 70 kg person, much lower doses of oxalate can be lethal.</w:t>
      </w:r>
      <w:r w:rsidR="0077323C">
        <w:rPr>
          <w:rFonts w:ascii="Book Antiqua" w:hAnsi="Book Antiqua" w:cs="Arial"/>
          <w:sz w:val="24"/>
          <w:szCs w:val="24"/>
        </w:rPr>
        <w:t xml:space="preserve"> </w:t>
      </w:r>
      <w:r w:rsidRPr="00612EED">
        <w:rPr>
          <w:rFonts w:ascii="Book Antiqua" w:hAnsi="Book Antiqua" w:cs="Arial"/>
          <w:sz w:val="24"/>
          <w:szCs w:val="24"/>
        </w:rPr>
        <w:t>An intravenous dose of 1.2 g of sodium oxalate, which is equivalent to 0.8 g of oxalate, was lethal in one reported case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44]</w:t>
      </w:r>
      <w:r w:rsidRPr="005C2243">
        <w:rPr>
          <w:rFonts w:ascii="Book Antiqua" w:hAnsi="Book Antiqua" w:cs="Arial"/>
          <w:sz w:val="24"/>
          <w:szCs w:val="24"/>
        </w:rPr>
        <w:t>.</w:t>
      </w:r>
      <w:r w:rsidR="004F2EFF" w:rsidRPr="005C2243">
        <w:rPr>
          <w:rFonts w:ascii="Book Antiqua" w:hAnsi="Book Antiqua" w:cs="Arial"/>
          <w:sz w:val="24"/>
          <w:szCs w:val="24"/>
        </w:rPr>
        <w:t xml:space="preserve"> </w:t>
      </w:r>
      <w:r w:rsidRPr="00612EED">
        <w:rPr>
          <w:rFonts w:ascii="Book Antiqua" w:hAnsi="Book Antiqua" w:cs="Arial"/>
          <w:sz w:val="24"/>
          <w:szCs w:val="24"/>
        </w:rPr>
        <w:t>Of note also is that most studies cited in Table 1</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13, 35, 36, 39, 40, 42]</w:t>
      </w:r>
      <w:r w:rsidRPr="00612EED">
        <w:rPr>
          <w:rFonts w:ascii="Book Antiqua" w:hAnsi="Book Antiqua" w:cs="Arial"/>
          <w:sz w:val="24"/>
          <w:szCs w:val="24"/>
        </w:rPr>
        <w:t xml:space="preserve"> as well as other large epidemiological </w:t>
      </w:r>
      <w:r w:rsidRPr="00612EED">
        <w:rPr>
          <w:rFonts w:ascii="Book Antiqua" w:hAnsi="Book Antiqua" w:cs="Arial"/>
          <w:sz w:val="24"/>
          <w:szCs w:val="24"/>
        </w:rPr>
        <w:lastRenderedPageBreak/>
        <w:t>studies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45]</w:t>
      </w:r>
      <w:r w:rsidRPr="00612EED">
        <w:rPr>
          <w:rFonts w:ascii="Book Antiqua" w:hAnsi="Book Antiqua" w:cs="Arial"/>
          <w:sz w:val="24"/>
          <w:szCs w:val="24"/>
        </w:rPr>
        <w:t xml:space="preserve"> analyzed dietary oxalate intake to evaluate the risk of nephrolithiasis and no study addressed the risk of CKD from dietary hyperoxaluria.</w:t>
      </w:r>
      <w:r w:rsidR="0077323C">
        <w:rPr>
          <w:rFonts w:ascii="Book Antiqua" w:hAnsi="Book Antiqua" w:cs="Arial"/>
          <w:sz w:val="24"/>
          <w:szCs w:val="24"/>
        </w:rPr>
        <w:t xml:space="preserve"> </w:t>
      </w:r>
    </w:p>
    <w:p w:rsidR="00F2207B" w:rsidRPr="00612EED" w:rsidRDefault="00F2207B" w:rsidP="002A048C">
      <w:pPr>
        <w:spacing w:after="0" w:line="360" w:lineRule="auto"/>
        <w:jc w:val="both"/>
        <w:rPr>
          <w:rFonts w:ascii="Book Antiqua" w:hAnsi="Book Antiqua" w:cs="Arial"/>
          <w:sz w:val="24"/>
          <w:szCs w:val="24"/>
        </w:rPr>
      </w:pPr>
    </w:p>
    <w:p w:rsidR="00F2207B" w:rsidRPr="00612EED" w:rsidRDefault="005C2243" w:rsidP="002A048C">
      <w:pPr>
        <w:spacing w:after="0" w:line="360" w:lineRule="auto"/>
        <w:jc w:val="both"/>
        <w:rPr>
          <w:rFonts w:ascii="Book Antiqua" w:hAnsi="Book Antiqua" w:cs="Arial"/>
          <w:b/>
          <w:sz w:val="24"/>
          <w:szCs w:val="24"/>
        </w:rPr>
      </w:pPr>
      <w:r w:rsidRPr="00612EED">
        <w:rPr>
          <w:rFonts w:ascii="Book Antiqua" w:hAnsi="Book Antiqua" w:cs="Arial"/>
          <w:b/>
          <w:sz w:val="24"/>
          <w:szCs w:val="24"/>
        </w:rPr>
        <w:t>SOURCES OF OXALIC ACID IN THE BODY</w:t>
      </w:r>
    </w:p>
    <w:p w:rsidR="00F2207B" w:rsidRPr="00612EED" w:rsidRDefault="00F2207B" w:rsidP="002A048C">
      <w:pPr>
        <w:spacing w:after="0" w:line="360" w:lineRule="auto"/>
        <w:jc w:val="both"/>
        <w:rPr>
          <w:rFonts w:ascii="Book Antiqua" w:hAnsi="Book Antiqua" w:cs="Arial"/>
          <w:sz w:val="24"/>
          <w:szCs w:val="24"/>
        </w:rPr>
      </w:pPr>
      <w:r w:rsidRPr="00612EED">
        <w:rPr>
          <w:rFonts w:ascii="Book Antiqua" w:hAnsi="Book Antiqua" w:cs="Arial"/>
          <w:sz w:val="24"/>
          <w:szCs w:val="24"/>
        </w:rPr>
        <w:t>The body burden of oxalic acid has two sources, endogenous production in the liver and absorption from the gastrointestinal tract.</w:t>
      </w:r>
      <w:r w:rsidR="004F2EFF">
        <w:rPr>
          <w:rFonts w:ascii="Book Antiqua" w:hAnsi="Book Antiqua" w:cs="Arial"/>
          <w:sz w:val="24"/>
          <w:szCs w:val="24"/>
        </w:rPr>
        <w:t xml:space="preserve"> </w:t>
      </w:r>
      <w:r w:rsidRPr="00612EED">
        <w:rPr>
          <w:rFonts w:ascii="Book Antiqua" w:hAnsi="Book Antiqua" w:cs="Arial"/>
          <w:sz w:val="24"/>
          <w:szCs w:val="24"/>
        </w:rPr>
        <w:t>The pathways of hepatic production and gastrointestinal absorption of oxalic acid are discussed below.</w:t>
      </w:r>
    </w:p>
    <w:p w:rsidR="00F2207B" w:rsidRPr="00612EED" w:rsidRDefault="00F2207B" w:rsidP="002A048C">
      <w:pPr>
        <w:spacing w:after="0" w:line="360" w:lineRule="auto"/>
        <w:jc w:val="both"/>
        <w:rPr>
          <w:rFonts w:ascii="Book Antiqua" w:hAnsi="Book Antiqua" w:cs="Arial"/>
          <w:b/>
          <w:i/>
          <w:sz w:val="24"/>
          <w:szCs w:val="24"/>
        </w:rPr>
      </w:pPr>
    </w:p>
    <w:p w:rsidR="00F2207B" w:rsidRPr="00612EED" w:rsidRDefault="00F2207B" w:rsidP="002A048C">
      <w:pPr>
        <w:spacing w:after="0" w:line="360" w:lineRule="auto"/>
        <w:jc w:val="both"/>
        <w:rPr>
          <w:rFonts w:ascii="Book Antiqua" w:hAnsi="Book Antiqua" w:cs="Arial"/>
          <w:i/>
          <w:sz w:val="24"/>
          <w:szCs w:val="24"/>
          <w:lang w:eastAsia="zh-CN"/>
        </w:rPr>
      </w:pPr>
      <w:r w:rsidRPr="00612EED">
        <w:rPr>
          <w:rFonts w:ascii="Book Antiqua" w:hAnsi="Book Antiqua" w:cs="Arial"/>
          <w:b/>
          <w:i/>
          <w:sz w:val="24"/>
          <w:szCs w:val="24"/>
        </w:rPr>
        <w:t>Hep</w:t>
      </w:r>
      <w:r w:rsidR="005C2243">
        <w:rPr>
          <w:rFonts w:ascii="Book Antiqua" w:hAnsi="Book Antiqua" w:cs="Arial"/>
          <w:b/>
          <w:i/>
          <w:sz w:val="24"/>
          <w:szCs w:val="24"/>
        </w:rPr>
        <w:t>atic production of oxalic acid</w:t>
      </w:r>
    </w:p>
    <w:p w:rsidR="00F2207B" w:rsidRPr="00612EED" w:rsidRDefault="00F2207B" w:rsidP="002A048C">
      <w:pPr>
        <w:spacing w:after="0" w:line="360" w:lineRule="auto"/>
        <w:jc w:val="both"/>
        <w:rPr>
          <w:rFonts w:ascii="Book Antiqua" w:hAnsi="Book Antiqua" w:cs="Arial"/>
          <w:sz w:val="24"/>
          <w:szCs w:val="24"/>
        </w:rPr>
      </w:pPr>
      <w:r w:rsidRPr="00612EED">
        <w:rPr>
          <w:rFonts w:ascii="Book Antiqua" w:hAnsi="Book Antiqua" w:cs="Arial"/>
          <w:sz w:val="24"/>
          <w:szCs w:val="24"/>
        </w:rPr>
        <w:t>Oxalate is synthesized in the liver but is not metabolized further in humans.</w:t>
      </w:r>
      <w:r w:rsidR="004F2EFF">
        <w:rPr>
          <w:rFonts w:ascii="Book Antiqua" w:hAnsi="Book Antiqua" w:cs="Arial"/>
          <w:sz w:val="24"/>
          <w:szCs w:val="24"/>
        </w:rPr>
        <w:t xml:space="preserve"> </w:t>
      </w:r>
      <w:r w:rsidRPr="00612EED">
        <w:rPr>
          <w:rFonts w:ascii="Book Antiqua" w:hAnsi="Book Antiqua" w:cs="Arial"/>
          <w:sz w:val="24"/>
          <w:szCs w:val="24"/>
        </w:rPr>
        <w:t>Oxalic acid produced by catabolism of ingested oxalate precursors by means of normal metabolic pathways contributes significantly to the body’s burden of oxalate.</w:t>
      </w:r>
      <w:r w:rsidR="004F2EFF">
        <w:rPr>
          <w:rFonts w:ascii="Book Antiqua" w:hAnsi="Book Antiqua" w:cs="Arial"/>
          <w:sz w:val="24"/>
          <w:szCs w:val="24"/>
        </w:rPr>
        <w:t xml:space="preserve"> </w:t>
      </w:r>
      <w:r w:rsidRPr="00612EED">
        <w:rPr>
          <w:rFonts w:ascii="Book Antiqua" w:hAnsi="Book Antiqua" w:cs="Arial"/>
          <w:sz w:val="24"/>
          <w:szCs w:val="24"/>
        </w:rPr>
        <w:t>Earlier reports estimated that only 10% of the urinary oxalate was derived from dietary oxalate, while the remaining 90% was derived equally from metabolism of other oxalate precursors, including ascorbic acid</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46]</w:t>
      </w:r>
      <w:r w:rsidRPr="005C2243">
        <w:rPr>
          <w:rFonts w:ascii="Book Antiqua" w:hAnsi="Book Antiqua" w:cs="Arial"/>
          <w:sz w:val="24"/>
          <w:szCs w:val="24"/>
        </w:rPr>
        <w:t>.</w:t>
      </w:r>
      <w:r w:rsidR="0077323C" w:rsidRPr="005C2243">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Figure 1 shows the metabolism of oxalate, with emphasis on the pathways of primary hyperoxaluria and of metabolism of ethylene glycol, which is a major cause of acute oxalate intoxication.</w:t>
      </w:r>
      <w:r w:rsidR="004F2EFF">
        <w:rPr>
          <w:rFonts w:ascii="Book Antiqua" w:hAnsi="Book Antiqua" w:cs="Arial"/>
          <w:sz w:val="24"/>
          <w:szCs w:val="24"/>
        </w:rPr>
        <w:t xml:space="preserve"> </w:t>
      </w:r>
      <w:r w:rsidRPr="00612EED">
        <w:rPr>
          <w:rFonts w:ascii="Book Antiqua" w:hAnsi="Book Antiqua" w:cs="Arial"/>
          <w:sz w:val="24"/>
          <w:szCs w:val="24"/>
        </w:rPr>
        <w:t>The major precursors of oxalate under normal circumstances appear to be the amino acids hydroxyproline, glycine and serine (Figure 1).</w:t>
      </w:r>
      <w:r w:rsidR="0077323C">
        <w:rPr>
          <w:rFonts w:ascii="Book Antiqua" w:hAnsi="Book Antiqua" w:cs="Arial"/>
          <w:sz w:val="24"/>
          <w:szCs w:val="24"/>
        </w:rPr>
        <w:t xml:space="preserve"> </w:t>
      </w:r>
      <w:r w:rsidRPr="00612EED">
        <w:rPr>
          <w:rFonts w:ascii="Book Antiqua" w:hAnsi="Book Antiqua" w:cs="Arial"/>
          <w:sz w:val="24"/>
          <w:szCs w:val="24"/>
        </w:rPr>
        <w:t>Glycine and serine are present in all food proteins.</w:t>
      </w:r>
      <w:r w:rsidR="004F2EFF">
        <w:rPr>
          <w:rFonts w:ascii="Book Antiqua" w:hAnsi="Book Antiqua" w:cs="Arial"/>
          <w:sz w:val="24"/>
          <w:szCs w:val="24"/>
        </w:rPr>
        <w:t xml:space="preserve"> </w:t>
      </w:r>
      <w:r w:rsidRPr="00612EED">
        <w:rPr>
          <w:rFonts w:ascii="Book Antiqua" w:hAnsi="Book Antiqua" w:cs="Arial"/>
          <w:sz w:val="24"/>
          <w:szCs w:val="24"/>
        </w:rPr>
        <w:t>Oxalate is also the end-product of the metabolism of ingested ethylene glycol, the main component of antifreeze, which is encountered usually in the setting of attempted suicide.</w:t>
      </w:r>
      <w:r w:rsidR="0077323C">
        <w:rPr>
          <w:rFonts w:ascii="Book Antiqua" w:hAnsi="Book Antiqua" w:cs="Arial"/>
          <w:sz w:val="24"/>
          <w:szCs w:val="24"/>
        </w:rPr>
        <w:t xml:space="preserve"> </w:t>
      </w:r>
      <w:r w:rsidRPr="00612EED">
        <w:rPr>
          <w:rFonts w:ascii="Book Antiqua" w:hAnsi="Book Antiqua" w:cs="Arial"/>
          <w:sz w:val="24"/>
          <w:szCs w:val="24"/>
        </w:rPr>
        <w:t>In order to facilitate understanding of the these endogenous pathways, it may be helpful to consult Figure 1 which relates the major two-and three-carbon compounds that are relevant to this discussion.</w:t>
      </w:r>
      <w:r w:rsidR="0077323C">
        <w:rPr>
          <w:rFonts w:ascii="Book Antiqua" w:hAnsi="Book Antiqua" w:cs="Arial"/>
          <w:sz w:val="24"/>
          <w:szCs w:val="24"/>
        </w:rPr>
        <w:t xml:space="preserve"> </w:t>
      </w:r>
      <w:r w:rsidRPr="00612EED">
        <w:rPr>
          <w:rFonts w:ascii="Book Antiqua" w:hAnsi="Book Antiqua" w:cs="Arial"/>
          <w:sz w:val="24"/>
          <w:szCs w:val="24"/>
        </w:rPr>
        <w:t>The key player in this story is glyoxylate: it is the nexus of pathways that lead to and away from oxalate.</w:t>
      </w:r>
    </w:p>
    <w:p w:rsidR="00F2207B" w:rsidRPr="00612EED" w:rsidRDefault="00F2207B" w:rsidP="002A048C">
      <w:pPr>
        <w:spacing w:after="0" w:line="360" w:lineRule="auto"/>
        <w:ind w:firstLineChars="150" w:firstLine="360"/>
        <w:jc w:val="both"/>
        <w:rPr>
          <w:rFonts w:ascii="Book Antiqua" w:hAnsi="Book Antiqua" w:cs="Arial"/>
          <w:sz w:val="24"/>
          <w:szCs w:val="24"/>
        </w:rPr>
      </w:pPr>
      <w:r w:rsidRPr="00612EED">
        <w:rPr>
          <w:rFonts w:ascii="Book Antiqua" w:hAnsi="Book Antiqua" w:cs="Arial"/>
          <w:sz w:val="24"/>
          <w:szCs w:val="24"/>
        </w:rPr>
        <w:t>Hydroxyproline is one of the most abundant amino acids in collagen.</w:t>
      </w:r>
      <w:r w:rsidR="0077323C">
        <w:rPr>
          <w:rFonts w:ascii="Book Antiqua" w:hAnsi="Book Antiqua" w:cs="Arial"/>
          <w:sz w:val="24"/>
          <w:szCs w:val="24"/>
        </w:rPr>
        <w:t xml:space="preserve"> </w:t>
      </w:r>
      <w:r w:rsidRPr="00612EED">
        <w:rPr>
          <w:rFonts w:ascii="Book Antiqua" w:hAnsi="Book Antiqua" w:cs="Arial"/>
          <w:sz w:val="24"/>
          <w:szCs w:val="24"/>
        </w:rPr>
        <w:t>It is present in collagen-containing meat products, including gelatin, and is one of the most abundant proteins in the human body.</w:t>
      </w:r>
      <w:r w:rsidR="0077323C">
        <w:rPr>
          <w:rFonts w:ascii="Book Antiqua" w:hAnsi="Book Antiqua" w:cs="Arial"/>
          <w:sz w:val="24"/>
          <w:szCs w:val="24"/>
        </w:rPr>
        <w:t xml:space="preserve"> </w:t>
      </w:r>
      <w:r w:rsidRPr="00612EED">
        <w:rPr>
          <w:rFonts w:ascii="Book Antiqua" w:hAnsi="Book Antiqua" w:cs="Arial"/>
          <w:sz w:val="24"/>
          <w:szCs w:val="24"/>
        </w:rPr>
        <w:t xml:space="preserve">In fact, collagen accounts for about 30% of total animal </w:t>
      </w:r>
      <w:r w:rsidRPr="00612EED">
        <w:rPr>
          <w:rFonts w:ascii="Book Antiqua" w:hAnsi="Book Antiqua" w:cs="Arial"/>
          <w:sz w:val="24"/>
          <w:szCs w:val="24"/>
        </w:rPr>
        <w:lastRenderedPageBreak/>
        <w:t>proteins and contains about 13% hydroxyproline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47]</w:t>
      </w:r>
      <w:r w:rsidRPr="00EF5300">
        <w:rPr>
          <w:rFonts w:ascii="Book Antiqua" w:hAnsi="Book Antiqua" w:cs="Arial"/>
          <w:sz w:val="24"/>
          <w:szCs w:val="24"/>
        </w:rPr>
        <w:t>.</w:t>
      </w:r>
      <w:r w:rsidR="0077323C" w:rsidRPr="00EF5300">
        <w:rPr>
          <w:rFonts w:ascii="Book Antiqua" w:hAnsi="Book Antiqua" w:cs="Arial"/>
          <w:sz w:val="24"/>
          <w:szCs w:val="24"/>
        </w:rPr>
        <w:t xml:space="preserve"> </w:t>
      </w:r>
      <w:r w:rsidRPr="00612EED">
        <w:rPr>
          <w:rFonts w:ascii="Book Antiqua" w:hAnsi="Book Antiqua" w:cs="Arial"/>
          <w:sz w:val="24"/>
          <w:szCs w:val="24"/>
        </w:rPr>
        <w:t>Glyoxylate is the two-carbon end-product of hydroxyproline catabolism (pyruvate is the other product).</w:t>
      </w:r>
      <w:r w:rsidR="0077323C">
        <w:rPr>
          <w:rFonts w:ascii="Book Antiqua" w:hAnsi="Book Antiqua" w:cs="Arial"/>
          <w:sz w:val="24"/>
          <w:szCs w:val="24"/>
        </w:rPr>
        <w:t xml:space="preserve"> </w:t>
      </w:r>
      <w:r w:rsidRPr="00612EED">
        <w:rPr>
          <w:rFonts w:ascii="Book Antiqua" w:hAnsi="Book Antiqua" w:cs="Arial"/>
          <w:sz w:val="24"/>
          <w:szCs w:val="24"/>
        </w:rPr>
        <w:t>The conversion of glyoxylate to oxalate is catalyzed by lactate dehydrogenase.</w:t>
      </w:r>
      <w:r w:rsidR="0077323C">
        <w:rPr>
          <w:rFonts w:ascii="Book Antiqua" w:hAnsi="Book Antiqua" w:cs="Arial"/>
          <w:sz w:val="24"/>
          <w:szCs w:val="24"/>
        </w:rPr>
        <w:t xml:space="preserve"> </w:t>
      </w:r>
      <w:r w:rsidRPr="00612EED">
        <w:rPr>
          <w:rFonts w:ascii="Book Antiqua" w:hAnsi="Book Antiqua" w:cs="Arial"/>
          <w:sz w:val="24"/>
          <w:szCs w:val="24"/>
        </w:rPr>
        <w:t>Each day the human body turns over 2-3 g of collagen.</w:t>
      </w:r>
      <w:r w:rsidR="0077323C">
        <w:rPr>
          <w:rFonts w:ascii="Book Antiqua" w:hAnsi="Book Antiqua" w:cs="Arial"/>
          <w:sz w:val="24"/>
          <w:szCs w:val="24"/>
        </w:rPr>
        <w:t xml:space="preserve"> </w:t>
      </w:r>
      <w:r w:rsidRPr="00612EED">
        <w:rPr>
          <w:rFonts w:ascii="Book Antiqua" w:hAnsi="Book Antiqua" w:cs="Arial"/>
          <w:sz w:val="24"/>
          <w:szCs w:val="24"/>
        </w:rPr>
        <w:t>In the process 240-420 mg of hydroxyproline are released with the concomitant production of 140-240 mg of glyoxylate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48]</w:t>
      </w:r>
      <w:r w:rsidRPr="00EF5300">
        <w:rPr>
          <w:rFonts w:ascii="Book Antiqua" w:hAnsi="Book Antiqua" w:cs="Arial"/>
          <w:sz w:val="24"/>
          <w:szCs w:val="24"/>
        </w:rPr>
        <w:t>.</w:t>
      </w:r>
    </w:p>
    <w:p w:rsidR="00F2207B" w:rsidRPr="00612EED" w:rsidRDefault="00F2207B" w:rsidP="002A048C">
      <w:pPr>
        <w:spacing w:after="0" w:line="360" w:lineRule="auto"/>
        <w:ind w:firstLineChars="150" w:firstLine="360"/>
        <w:jc w:val="both"/>
        <w:rPr>
          <w:rFonts w:ascii="Book Antiqua" w:hAnsi="Book Antiqua" w:cs="Arial"/>
          <w:sz w:val="24"/>
          <w:szCs w:val="24"/>
        </w:rPr>
      </w:pPr>
      <w:r w:rsidRPr="00612EED">
        <w:rPr>
          <w:rFonts w:ascii="Book Antiqua" w:hAnsi="Book Antiqua" w:cs="Arial"/>
          <w:sz w:val="24"/>
          <w:szCs w:val="24"/>
        </w:rPr>
        <w:t xml:space="preserve">Knight </w:t>
      </w:r>
      <w:r w:rsidR="00EF5300" w:rsidRPr="00EF5300">
        <w:rPr>
          <w:rFonts w:ascii="Book Antiqua" w:hAnsi="Book Antiqua" w:cs="Arial"/>
          <w:i/>
          <w:sz w:val="24"/>
          <w:szCs w:val="24"/>
        </w:rPr>
        <w:t>et al</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48]</w:t>
      </w:r>
      <w:r w:rsidRPr="00612EED">
        <w:rPr>
          <w:rFonts w:ascii="Book Antiqua" w:hAnsi="Book Antiqua" w:cs="Arial"/>
          <w:sz w:val="24"/>
          <w:szCs w:val="24"/>
        </w:rPr>
        <w:t xml:space="preserve"> demonstrated using healthy volunteers that daily ingestion of 30 g of collagen for three days increased glycolate and oxalate excretion by 43% and 5.3-fold, respectively.</w:t>
      </w:r>
      <w:r w:rsidR="0077323C">
        <w:rPr>
          <w:rFonts w:ascii="Book Antiqua" w:hAnsi="Book Antiqua" w:cs="Arial"/>
          <w:sz w:val="24"/>
          <w:szCs w:val="24"/>
        </w:rPr>
        <w:t xml:space="preserve"> </w:t>
      </w:r>
      <w:r w:rsidRPr="00612EED">
        <w:rPr>
          <w:rFonts w:ascii="Book Antiqua" w:hAnsi="Book Antiqua" w:cs="Arial"/>
          <w:sz w:val="24"/>
          <w:szCs w:val="24"/>
        </w:rPr>
        <w:t>Glycolate is produced when glyoxylate is acted on by glyoxylate reductase which in the literature is also identified as hydroxypyruvate reductase and D-glycerate dehydrogenase.</w:t>
      </w:r>
      <w:r w:rsidR="0077323C">
        <w:rPr>
          <w:rFonts w:ascii="Book Antiqua" w:hAnsi="Book Antiqua" w:cs="Arial"/>
          <w:sz w:val="24"/>
          <w:szCs w:val="24"/>
        </w:rPr>
        <w:t xml:space="preserve"> </w:t>
      </w:r>
      <w:r w:rsidRPr="00612EED">
        <w:rPr>
          <w:rFonts w:ascii="Book Antiqua" w:hAnsi="Book Antiqua" w:cs="Arial"/>
          <w:sz w:val="24"/>
          <w:szCs w:val="24"/>
        </w:rPr>
        <w:t>However, only 5% of the ingested hydroxyproline was recovered as glyoxylate plus oxalate, thereby indicating that most of the glyoxylate resulting from hydroxyproline catabolism was probably diverted to glycine synthesis in the reaction catalyzed by alanine:glyoxylate aminotransferase (AGT).</w:t>
      </w:r>
      <w:r w:rsidR="0077323C">
        <w:rPr>
          <w:rFonts w:ascii="Book Antiqua" w:hAnsi="Book Antiqua" w:cs="Arial"/>
          <w:sz w:val="24"/>
          <w:szCs w:val="24"/>
        </w:rPr>
        <w:t xml:space="preserve"> </w:t>
      </w:r>
      <w:r w:rsidRPr="00612EED">
        <w:rPr>
          <w:rFonts w:ascii="Book Antiqua" w:hAnsi="Book Antiqua" w:cs="Arial"/>
          <w:sz w:val="24"/>
          <w:szCs w:val="24"/>
        </w:rPr>
        <w:t>The means of directing glyoxylate away from oxalate synthesis is the glyoxylate reductase reaction that converts glyoxylate into glycolate.</w:t>
      </w:r>
      <w:r w:rsidR="004F2EFF">
        <w:rPr>
          <w:rFonts w:ascii="Book Antiqua" w:hAnsi="Book Antiqua" w:cs="Arial"/>
          <w:sz w:val="24"/>
          <w:szCs w:val="24"/>
        </w:rPr>
        <w:t xml:space="preserve"> </w:t>
      </w:r>
      <w:r w:rsidRPr="00612EED">
        <w:rPr>
          <w:rFonts w:ascii="Book Antiqua" w:hAnsi="Book Antiqua" w:cs="Arial"/>
          <w:sz w:val="24"/>
          <w:szCs w:val="24"/>
        </w:rPr>
        <w:t>Since oxalate is not oxidized to carbon dioxide and water or otherwise metabolized by humans, its only route of disposal is urinary excretion.</w:t>
      </w:r>
      <w:r w:rsidR="004F2EFF">
        <w:rPr>
          <w:rFonts w:ascii="Book Antiqua" w:hAnsi="Book Antiqua" w:cs="Arial"/>
          <w:sz w:val="24"/>
          <w:szCs w:val="24"/>
        </w:rPr>
        <w:t xml:space="preserve"> </w:t>
      </w:r>
      <w:r w:rsidRPr="00612EED">
        <w:rPr>
          <w:rFonts w:ascii="Book Antiqua" w:hAnsi="Book Antiqua" w:cs="Arial"/>
          <w:sz w:val="24"/>
          <w:szCs w:val="24"/>
        </w:rPr>
        <w:t xml:space="preserve">Quantitatively, transamination of glycine and oxidation of glycine by D-amino acid oxidase are much less important than catabolism of hydroxyproline as sources of oxalate. </w:t>
      </w:r>
    </w:p>
    <w:p w:rsidR="00F2207B" w:rsidRPr="00612EED" w:rsidRDefault="00F2207B" w:rsidP="002A048C">
      <w:pPr>
        <w:spacing w:after="0" w:line="360" w:lineRule="auto"/>
        <w:ind w:firstLineChars="150" w:firstLine="360"/>
        <w:jc w:val="both"/>
        <w:rPr>
          <w:rFonts w:ascii="Book Antiqua" w:hAnsi="Book Antiqua" w:cs="Arial"/>
          <w:sz w:val="24"/>
          <w:szCs w:val="24"/>
        </w:rPr>
      </w:pPr>
      <w:r w:rsidRPr="00612EED">
        <w:rPr>
          <w:rFonts w:ascii="Book Antiqua" w:hAnsi="Book Antiqua" w:cs="Arial"/>
          <w:sz w:val="24"/>
          <w:szCs w:val="24"/>
        </w:rPr>
        <w:t>Since the metabolism of serine and glycine are so intimately linked in humans and because they are interconvertible, it is reasonable to expect that if one of these amino acids is metabolized to glyoxylate, the other too should be a precursor of glyoxylate, and that both should be sources of oxalate.</w:t>
      </w:r>
      <w:r w:rsidR="0077323C">
        <w:rPr>
          <w:rFonts w:ascii="Book Antiqua" w:hAnsi="Book Antiqua" w:cs="Arial"/>
          <w:sz w:val="24"/>
          <w:szCs w:val="24"/>
        </w:rPr>
        <w:t xml:space="preserve"> </w:t>
      </w:r>
      <w:r w:rsidRPr="00612EED">
        <w:rPr>
          <w:rFonts w:ascii="Book Antiqua" w:hAnsi="Book Antiqua" w:cs="Arial"/>
          <w:sz w:val="24"/>
          <w:szCs w:val="24"/>
        </w:rPr>
        <w:t>Such is the case.</w:t>
      </w:r>
      <w:r w:rsidR="0077323C">
        <w:rPr>
          <w:rFonts w:ascii="Book Antiqua" w:hAnsi="Book Antiqua" w:cs="Arial"/>
          <w:sz w:val="24"/>
          <w:szCs w:val="24"/>
        </w:rPr>
        <w:t xml:space="preserve"> </w:t>
      </w:r>
      <w:r w:rsidRPr="00612EED">
        <w:rPr>
          <w:rFonts w:ascii="Book Antiqua" w:hAnsi="Book Antiqua" w:cs="Arial"/>
          <w:sz w:val="24"/>
          <w:szCs w:val="24"/>
        </w:rPr>
        <w:t>The enzyme that catalyzes the serine-glycine interconversion is folate-dependent serine hydroxymethyl transferase (SHMT).</w:t>
      </w:r>
      <w:r w:rsidR="0077323C">
        <w:rPr>
          <w:rFonts w:ascii="Book Antiqua" w:hAnsi="Book Antiqua" w:cs="Arial"/>
          <w:sz w:val="24"/>
          <w:szCs w:val="24"/>
        </w:rPr>
        <w:t xml:space="preserve"> </w:t>
      </w:r>
      <w:r w:rsidRPr="00612EED">
        <w:rPr>
          <w:rFonts w:ascii="Book Antiqua" w:hAnsi="Book Antiqua" w:cs="Arial"/>
          <w:sz w:val="24"/>
          <w:szCs w:val="24"/>
        </w:rPr>
        <w:t xml:space="preserve">Another enzyme, namely D- amino acid oxidase, also converts glycine to glyoxylate. </w:t>
      </w:r>
    </w:p>
    <w:p w:rsidR="00F2207B" w:rsidRPr="00612EED" w:rsidRDefault="00F2207B" w:rsidP="002A048C">
      <w:pPr>
        <w:spacing w:after="0" w:line="360" w:lineRule="auto"/>
        <w:ind w:firstLineChars="150" w:firstLine="360"/>
        <w:jc w:val="both"/>
        <w:rPr>
          <w:rFonts w:ascii="Book Antiqua" w:hAnsi="Book Antiqua" w:cs="Arial"/>
          <w:color w:val="000000"/>
          <w:sz w:val="24"/>
          <w:szCs w:val="24"/>
        </w:rPr>
      </w:pPr>
      <w:r w:rsidRPr="00612EED">
        <w:rPr>
          <w:rFonts w:ascii="Book Antiqua" w:hAnsi="Book Antiqua" w:cs="Arial"/>
          <w:sz w:val="24"/>
          <w:szCs w:val="24"/>
        </w:rPr>
        <w:t>Although the underlying metabolic link between ascorbic acid and oxalic acid is obscure, there is evidence that a high oral or intravenous intake of ascorbic acid can result in a moderate increase in urinary oxalic acid</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8, 39, 49, 50]</w:t>
      </w:r>
      <w:r w:rsidRPr="00AC3B0A">
        <w:rPr>
          <w:rFonts w:ascii="Book Antiqua" w:hAnsi="Book Antiqua" w:cs="Arial"/>
          <w:sz w:val="24"/>
          <w:szCs w:val="24"/>
        </w:rPr>
        <w:t>.</w:t>
      </w:r>
      <w:r w:rsidR="0077323C">
        <w:rPr>
          <w:rFonts w:ascii="Book Antiqua" w:hAnsi="Book Antiqua" w:cs="Arial"/>
          <w:sz w:val="24"/>
          <w:szCs w:val="24"/>
          <w:vertAlign w:val="superscript"/>
        </w:rPr>
        <w:t xml:space="preserve"> </w:t>
      </w:r>
      <w:r w:rsidRPr="00612EED">
        <w:rPr>
          <w:rFonts w:ascii="Book Antiqua" w:hAnsi="Book Antiqua" w:cs="Arial"/>
          <w:sz w:val="24"/>
          <w:szCs w:val="24"/>
        </w:rPr>
        <w:t xml:space="preserve">With regard to parenteral </w:t>
      </w:r>
      <w:r w:rsidRPr="00612EED">
        <w:rPr>
          <w:rFonts w:ascii="Book Antiqua" w:hAnsi="Book Antiqua" w:cs="Arial"/>
          <w:sz w:val="24"/>
          <w:szCs w:val="24"/>
        </w:rPr>
        <w:lastRenderedPageBreak/>
        <w:t xml:space="preserve">feeding, Robitaille </w:t>
      </w:r>
      <w:r w:rsidR="00EF5300" w:rsidRPr="00EF5300">
        <w:rPr>
          <w:rFonts w:ascii="Book Antiqua" w:hAnsi="Book Antiqua" w:cs="Arial"/>
          <w:i/>
          <w:sz w:val="24"/>
          <w:szCs w:val="24"/>
        </w:rPr>
        <w:t>et al</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51]</w:t>
      </w:r>
      <w:r w:rsidRPr="00612EED">
        <w:rPr>
          <w:rFonts w:ascii="Book Antiqua" w:hAnsi="Book Antiqua" w:cs="Arial"/>
          <w:sz w:val="24"/>
          <w:szCs w:val="24"/>
        </w:rPr>
        <w:t xml:space="preserve"> found that, on average, 80 mg of a 105 g infused dose of ascorbic acid was recovered as urinary oxalic acid in elderly adults with normal kidney function.</w:t>
      </w:r>
      <w:r w:rsidR="0077323C">
        <w:rPr>
          <w:rFonts w:ascii="Book Antiqua" w:hAnsi="Book Antiqua" w:cs="Arial"/>
          <w:sz w:val="24"/>
          <w:szCs w:val="24"/>
        </w:rPr>
        <w:t xml:space="preserve"> </w:t>
      </w:r>
      <w:r w:rsidRPr="00612EED">
        <w:rPr>
          <w:rFonts w:ascii="Book Antiqua" w:hAnsi="Book Antiqua" w:cs="Arial"/>
          <w:sz w:val="24"/>
          <w:szCs w:val="24"/>
        </w:rPr>
        <w:t>Furthermore, intravenous ascorbic acid administration increased urinary oxalic acid excretion in a dose-dependent manner.</w:t>
      </w:r>
      <w:r w:rsidR="0077323C">
        <w:rPr>
          <w:rFonts w:ascii="Book Antiqua" w:hAnsi="Book Antiqua" w:cs="Arial"/>
          <w:sz w:val="24"/>
          <w:szCs w:val="24"/>
        </w:rPr>
        <w:t xml:space="preserve"> </w:t>
      </w:r>
      <w:r w:rsidRPr="00612EED">
        <w:rPr>
          <w:rFonts w:ascii="Book Antiqua" w:hAnsi="Book Antiqua" w:cs="Arial"/>
          <w:sz w:val="24"/>
          <w:szCs w:val="24"/>
        </w:rPr>
        <w:t>These authors cautioned against high-dose infusions of ascorbic acid for individuals already at high risk of oxalate stones.</w:t>
      </w:r>
    </w:p>
    <w:p w:rsidR="00F2207B" w:rsidRDefault="00F2207B" w:rsidP="002A048C">
      <w:pPr>
        <w:spacing w:after="0" w:line="360" w:lineRule="auto"/>
        <w:ind w:firstLineChars="150" w:firstLine="360"/>
        <w:jc w:val="both"/>
        <w:rPr>
          <w:rFonts w:ascii="Book Antiqua" w:hAnsi="Book Antiqua" w:cs="Arial"/>
          <w:sz w:val="24"/>
          <w:szCs w:val="24"/>
          <w:lang w:eastAsia="zh-CN"/>
        </w:rPr>
      </w:pPr>
      <w:r w:rsidRPr="00612EED">
        <w:rPr>
          <w:rFonts w:ascii="Book Antiqua" w:hAnsi="Book Antiqua" w:cs="Arial"/>
          <w:sz w:val="24"/>
          <w:szCs w:val="24"/>
        </w:rPr>
        <w:t>Epidemiologic studies that have addressed the relation between fructose intake and increased risk for oxalate stones have yielded conflicting results: however, a large epidemiological study found a significant association between high consumption of fructose and risk of kidney stones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52]</w:t>
      </w:r>
      <w:r w:rsidRPr="00EF151C">
        <w:rPr>
          <w:rFonts w:ascii="Book Antiqua" w:hAnsi="Book Antiqua" w:cs="Arial"/>
          <w:sz w:val="24"/>
          <w:szCs w:val="24"/>
        </w:rPr>
        <w:t>.</w:t>
      </w:r>
      <w:r w:rsidR="004F2EFF">
        <w:rPr>
          <w:rFonts w:ascii="Book Antiqua" w:hAnsi="Book Antiqua" w:cs="Arial"/>
          <w:sz w:val="24"/>
          <w:szCs w:val="24"/>
        </w:rPr>
        <w:t xml:space="preserve"> </w:t>
      </w:r>
      <w:r w:rsidRPr="00612EED">
        <w:rPr>
          <w:rFonts w:ascii="Book Antiqua" w:hAnsi="Book Antiqua" w:cs="Arial"/>
          <w:sz w:val="24"/>
          <w:szCs w:val="24"/>
        </w:rPr>
        <w:t>On the other hand, studies of urinary oxalate excretion in humans administered high amounts of fructose orally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53]</w:t>
      </w:r>
      <w:r w:rsidRPr="00612EED">
        <w:rPr>
          <w:rFonts w:ascii="Book Antiqua" w:hAnsi="Book Antiqua" w:cs="Arial"/>
          <w:sz w:val="24"/>
          <w:szCs w:val="24"/>
        </w:rPr>
        <w:t xml:space="preserve"> or intravenously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54]</w:t>
      </w:r>
      <w:r w:rsidRPr="00612EED">
        <w:rPr>
          <w:rFonts w:ascii="Book Antiqua" w:hAnsi="Book Antiqua" w:cs="Arial"/>
          <w:sz w:val="24"/>
          <w:szCs w:val="24"/>
        </w:rPr>
        <w:t xml:space="preserve"> have produced equivalent results.</w:t>
      </w:r>
      <w:r w:rsidR="004F2EFF">
        <w:rPr>
          <w:rFonts w:ascii="Book Antiqua" w:hAnsi="Book Antiqua" w:cs="Arial"/>
          <w:sz w:val="24"/>
          <w:szCs w:val="24"/>
        </w:rPr>
        <w:t xml:space="preserve"> </w:t>
      </w:r>
      <w:r w:rsidRPr="00612EED">
        <w:rPr>
          <w:rFonts w:ascii="Book Antiqua" w:hAnsi="Book Antiqua" w:cs="Arial"/>
          <w:sz w:val="24"/>
          <w:szCs w:val="24"/>
        </w:rPr>
        <w:t>A 2010 investigation of the relationship between fructose consumption and urinary oxalate in healthy subjects found that urinary excretion of oxalate and glyoxylate, which is a marker of oxalate synthesis, did not change when the fructose content of the diet was raised as high as 21% of calories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55]</w:t>
      </w:r>
      <w:r w:rsidRPr="00EF151C">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A possible effect of fructose on the absorption of dietary oxalate or calcium excretion was not assessed in that study.</w:t>
      </w:r>
      <w:r w:rsidR="0077323C">
        <w:rPr>
          <w:rFonts w:ascii="Book Antiqua" w:hAnsi="Book Antiqua" w:cs="Arial"/>
          <w:sz w:val="24"/>
          <w:szCs w:val="24"/>
        </w:rPr>
        <w:t xml:space="preserve"> </w:t>
      </w:r>
      <w:r w:rsidRPr="00612EED">
        <w:rPr>
          <w:rFonts w:ascii="Book Antiqua" w:hAnsi="Book Antiqua" w:cs="Arial"/>
          <w:sz w:val="24"/>
          <w:szCs w:val="24"/>
        </w:rPr>
        <w:t>Furthermore, lacking is evidence that humans metabolize fructose to oxalate.</w:t>
      </w:r>
      <w:r w:rsidR="0077323C">
        <w:rPr>
          <w:rFonts w:ascii="Book Antiqua" w:hAnsi="Book Antiqua" w:cs="Arial"/>
          <w:sz w:val="24"/>
          <w:szCs w:val="24"/>
        </w:rPr>
        <w:t xml:space="preserve"> </w:t>
      </w:r>
      <w:r w:rsidRPr="00612EED">
        <w:rPr>
          <w:rFonts w:ascii="Book Antiqua" w:hAnsi="Book Antiqua" w:cs="Arial"/>
          <w:sz w:val="24"/>
          <w:szCs w:val="24"/>
        </w:rPr>
        <w:t>However, fructose could affect the serum oxalate level indirectly by affecting events in the gastrointestinal tract.</w:t>
      </w:r>
      <w:r w:rsidR="0077323C">
        <w:rPr>
          <w:rFonts w:ascii="Book Antiqua" w:hAnsi="Book Antiqua" w:cs="Arial"/>
          <w:sz w:val="24"/>
          <w:szCs w:val="24"/>
        </w:rPr>
        <w:t xml:space="preserve"> </w:t>
      </w:r>
      <w:r w:rsidRPr="00612EED">
        <w:rPr>
          <w:rFonts w:ascii="Book Antiqua" w:hAnsi="Book Antiqua" w:cs="Arial"/>
          <w:sz w:val="24"/>
          <w:szCs w:val="24"/>
        </w:rPr>
        <w:t>For example, hyperabsorption of oxalate caused by a low intake of calcium for complexation with oxalate in the GI tract can exacerbate hyperoxaluria</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39]</w:t>
      </w:r>
      <w:r w:rsidRPr="00EF151C">
        <w:rPr>
          <w:rFonts w:ascii="Book Antiqua" w:hAnsi="Book Antiqua" w:cs="Arial"/>
          <w:sz w:val="24"/>
          <w:szCs w:val="24"/>
        </w:rPr>
        <w:t>.</w:t>
      </w:r>
      <w:r w:rsidR="0077323C" w:rsidRPr="00EF151C">
        <w:rPr>
          <w:rFonts w:ascii="Book Antiqua" w:hAnsi="Book Antiqua" w:cs="Arial"/>
          <w:sz w:val="24"/>
          <w:szCs w:val="24"/>
        </w:rPr>
        <w:t xml:space="preserve"> </w:t>
      </w:r>
    </w:p>
    <w:p w:rsidR="00EF151C" w:rsidRPr="00612EED" w:rsidRDefault="00EF151C" w:rsidP="002A048C">
      <w:pPr>
        <w:spacing w:after="0" w:line="360" w:lineRule="auto"/>
        <w:ind w:firstLineChars="150" w:firstLine="360"/>
        <w:jc w:val="both"/>
        <w:rPr>
          <w:rFonts w:ascii="Book Antiqua" w:hAnsi="Book Antiqua" w:cs="Arial"/>
          <w:sz w:val="24"/>
          <w:szCs w:val="24"/>
          <w:lang w:eastAsia="zh-CN"/>
        </w:rPr>
      </w:pPr>
    </w:p>
    <w:p w:rsidR="00F2207B" w:rsidRPr="00612EED" w:rsidRDefault="00F2207B" w:rsidP="002A048C">
      <w:pPr>
        <w:spacing w:after="0" w:line="360" w:lineRule="auto"/>
        <w:jc w:val="both"/>
        <w:rPr>
          <w:rFonts w:ascii="Book Antiqua" w:hAnsi="Book Antiqua" w:cs="Arial"/>
          <w:b/>
          <w:i/>
          <w:sz w:val="24"/>
          <w:szCs w:val="24"/>
        </w:rPr>
      </w:pPr>
      <w:r w:rsidRPr="00612EED">
        <w:rPr>
          <w:rFonts w:ascii="Book Antiqua" w:hAnsi="Book Antiqua" w:cs="Arial"/>
          <w:b/>
          <w:i/>
          <w:sz w:val="24"/>
          <w:szCs w:val="24"/>
        </w:rPr>
        <w:t>Gastrointestinal absorption of oxalate</w:t>
      </w:r>
    </w:p>
    <w:p w:rsidR="00F2207B" w:rsidRPr="00612EED" w:rsidRDefault="00F2207B" w:rsidP="002A048C">
      <w:pPr>
        <w:spacing w:after="0" w:line="360" w:lineRule="auto"/>
        <w:jc w:val="both"/>
        <w:rPr>
          <w:rFonts w:ascii="Book Antiqua" w:hAnsi="Book Antiqua" w:cs="Arial"/>
          <w:sz w:val="24"/>
          <w:szCs w:val="24"/>
        </w:rPr>
      </w:pPr>
      <w:r w:rsidRPr="00612EED">
        <w:rPr>
          <w:rFonts w:ascii="Book Antiqua" w:hAnsi="Book Antiqua" w:cs="Arial"/>
          <w:sz w:val="24"/>
          <w:szCs w:val="24"/>
        </w:rPr>
        <w:t>The contribution of oxalate absorbed from the gastrointestinal tract to the total body burden of oxalate depends on the oxalate content of the diet.</w:t>
      </w:r>
      <w:r w:rsidR="0077323C">
        <w:rPr>
          <w:rFonts w:ascii="Book Antiqua" w:hAnsi="Book Antiqua" w:cs="Arial"/>
          <w:sz w:val="24"/>
          <w:szCs w:val="24"/>
        </w:rPr>
        <w:t xml:space="preserve"> </w:t>
      </w:r>
      <w:r w:rsidRPr="00612EED">
        <w:rPr>
          <w:rFonts w:ascii="Book Antiqua" w:hAnsi="Book Antiqua" w:cs="Arial"/>
          <w:sz w:val="24"/>
          <w:szCs w:val="24"/>
        </w:rPr>
        <w:t>Recently, in a study of normal volunteers consuming diets with varying oxalate content, Holmes and associates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56]</w:t>
      </w:r>
      <w:r w:rsidRPr="00612EED">
        <w:rPr>
          <w:rFonts w:ascii="Book Antiqua" w:hAnsi="Book Antiqua" w:cs="Arial"/>
          <w:sz w:val="24"/>
          <w:szCs w:val="24"/>
        </w:rPr>
        <w:t xml:space="preserve"> showed that oxalate excretion in urine depends significantly on the dietary oxalate intake.</w:t>
      </w:r>
      <w:r w:rsidR="0077323C">
        <w:rPr>
          <w:rFonts w:ascii="Book Antiqua" w:hAnsi="Book Antiqua" w:cs="Arial"/>
          <w:sz w:val="24"/>
          <w:szCs w:val="24"/>
        </w:rPr>
        <w:t xml:space="preserve"> </w:t>
      </w:r>
      <w:r w:rsidRPr="00612EED">
        <w:rPr>
          <w:rFonts w:ascii="Book Antiqua" w:hAnsi="Book Antiqua" w:cs="Arial"/>
          <w:sz w:val="24"/>
          <w:szCs w:val="24"/>
        </w:rPr>
        <w:t>Dietary oxalate intake accounted for 24.4% of the urinary oxalate excretion when the diet contained 10 mg of oxalate per 2500 kcal.</w:t>
      </w:r>
      <w:r w:rsidR="0077323C">
        <w:rPr>
          <w:rFonts w:ascii="Book Antiqua" w:hAnsi="Book Antiqua" w:cs="Arial"/>
          <w:sz w:val="24"/>
          <w:szCs w:val="24"/>
        </w:rPr>
        <w:t xml:space="preserve"> </w:t>
      </w:r>
      <w:r w:rsidRPr="00612EED">
        <w:rPr>
          <w:rFonts w:ascii="Book Antiqua" w:hAnsi="Book Antiqua" w:cs="Arial"/>
          <w:sz w:val="24"/>
          <w:szCs w:val="24"/>
        </w:rPr>
        <w:t xml:space="preserve">Urinary oxalate </w:t>
      </w:r>
      <w:r w:rsidRPr="00612EED">
        <w:rPr>
          <w:rFonts w:ascii="Book Antiqua" w:hAnsi="Book Antiqua" w:cs="Arial"/>
          <w:sz w:val="24"/>
          <w:szCs w:val="24"/>
        </w:rPr>
        <w:lastRenderedPageBreak/>
        <w:t>excretion and the percent of urinary oxalate derived from dietary oxalate increased progressively with progressive rises in dietary oxalate content, reached a value of to 41.5% of the urine oxalate when the diet contained 250 mg of oxalate per 2500 kcal, and increased further to 52.6% of the urine oxalate when the diet contained both 250 mg of oxalate per 2500 kcal and a low calcium intake.</w:t>
      </w:r>
      <w:r w:rsidR="0077323C">
        <w:rPr>
          <w:rFonts w:ascii="Book Antiqua" w:hAnsi="Book Antiqua" w:cs="Arial"/>
          <w:sz w:val="24"/>
          <w:szCs w:val="24"/>
        </w:rPr>
        <w:t xml:space="preserve"> </w:t>
      </w:r>
      <w:r w:rsidRPr="00612EED">
        <w:rPr>
          <w:rFonts w:ascii="Book Antiqua" w:hAnsi="Book Antiqua" w:cs="Arial"/>
          <w:sz w:val="24"/>
          <w:szCs w:val="24"/>
        </w:rPr>
        <w:t>In the same study, although urinary excretion of oxalate increased substantially with increasing oxalate intake, estimated fractional absorption of oxalate from the gastrointestinal tract decreased from 55.4% at the lowest oxalate intake to 5.8% at the highest intake and then increased to 9.7% at the highest oxalate intake combined with low calcium intake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56]</w:t>
      </w:r>
      <w:r w:rsidRPr="00065CAF">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These findings are important in the context of dietary hyperoxaluria.</w:t>
      </w:r>
      <w:r w:rsidR="0077323C">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The functions involved in the disposition of dietary oxalate are exclusively absorption from the intestines and renal excretion</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57]</w:t>
      </w:r>
      <w:r w:rsidRPr="00065CAF">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In the intestines, oxalate is absorbed passively by means of a paracellular pathway.</w:t>
      </w:r>
      <w:r w:rsidR="0077323C">
        <w:rPr>
          <w:rFonts w:ascii="Book Antiqua" w:hAnsi="Book Antiqua" w:cs="Arial"/>
          <w:sz w:val="24"/>
          <w:szCs w:val="24"/>
        </w:rPr>
        <w:t xml:space="preserve"> </w:t>
      </w:r>
      <w:r w:rsidRPr="00612EED">
        <w:rPr>
          <w:rFonts w:ascii="Book Antiqua" w:hAnsi="Book Antiqua" w:cs="Arial"/>
          <w:sz w:val="24"/>
          <w:szCs w:val="24"/>
        </w:rPr>
        <w:t>Whereas unbound oxalate is absorbable, oxalate salts of divalent cations such as calcium and magnesium are insoluble in water and therefore not absorbable.</w:t>
      </w:r>
      <w:r w:rsidR="004F2EFF">
        <w:rPr>
          <w:rFonts w:ascii="Book Antiqua" w:hAnsi="Book Antiqua" w:cs="Arial"/>
          <w:sz w:val="24"/>
          <w:szCs w:val="24"/>
        </w:rPr>
        <w:t xml:space="preserve"> </w:t>
      </w:r>
      <w:r w:rsidRPr="00612EED">
        <w:rPr>
          <w:rFonts w:ascii="Book Antiqua" w:hAnsi="Book Antiqua" w:cs="Arial"/>
          <w:sz w:val="24"/>
          <w:szCs w:val="24"/>
        </w:rPr>
        <w:t>Oxalate transporters in the enteric</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 xml:space="preserve">58, 59] </w:t>
      </w:r>
      <w:r w:rsidRPr="00612EED">
        <w:rPr>
          <w:rFonts w:ascii="Book Antiqua" w:hAnsi="Book Antiqua" w:cs="Arial"/>
          <w:sz w:val="24"/>
          <w:szCs w:val="24"/>
        </w:rPr>
        <w:t>and renal epithelial cells have been identified and are discussed in some detail in the following subsection.</w:t>
      </w:r>
      <w:r w:rsidR="0077323C">
        <w:rPr>
          <w:rFonts w:ascii="Book Antiqua" w:hAnsi="Book Antiqua" w:cs="Arial"/>
          <w:sz w:val="24"/>
          <w:szCs w:val="24"/>
        </w:rPr>
        <w:t xml:space="preserve"> </w:t>
      </w:r>
    </w:p>
    <w:p w:rsidR="00F2207B" w:rsidRPr="00612EED" w:rsidRDefault="00F2207B" w:rsidP="002A048C">
      <w:pPr>
        <w:spacing w:after="0" w:line="360" w:lineRule="auto"/>
        <w:ind w:firstLineChars="150" w:firstLine="360"/>
        <w:jc w:val="both"/>
        <w:rPr>
          <w:rFonts w:ascii="Book Antiqua" w:hAnsi="Book Antiqua" w:cs="Arial"/>
          <w:sz w:val="24"/>
          <w:szCs w:val="24"/>
        </w:rPr>
      </w:pPr>
      <w:r w:rsidRPr="00612EED">
        <w:rPr>
          <w:rFonts w:ascii="Book Antiqua" w:hAnsi="Book Antiqua" w:cs="Arial"/>
          <w:sz w:val="24"/>
          <w:szCs w:val="24"/>
        </w:rPr>
        <w:t>The magnitude of oxalate absorption is affected by various dietary substances and the gastrointestinal milieu.</w:t>
      </w:r>
      <w:r w:rsidR="0077323C">
        <w:rPr>
          <w:rFonts w:ascii="Book Antiqua" w:hAnsi="Book Antiqua" w:cs="Arial"/>
          <w:sz w:val="24"/>
          <w:szCs w:val="24"/>
        </w:rPr>
        <w:t xml:space="preserve"> </w:t>
      </w:r>
      <w:r w:rsidRPr="00612EED">
        <w:rPr>
          <w:rFonts w:ascii="Book Antiqua" w:hAnsi="Book Antiqua" w:cs="Arial"/>
          <w:sz w:val="24"/>
          <w:szCs w:val="24"/>
        </w:rPr>
        <w:t>Dietary oxalate content is an important determinant of oxalate absorption that is particularly relevant to this review.</w:t>
      </w:r>
      <w:r w:rsidR="0077323C">
        <w:rPr>
          <w:rFonts w:ascii="Book Antiqua" w:hAnsi="Book Antiqua" w:cs="Arial"/>
          <w:sz w:val="24"/>
          <w:szCs w:val="24"/>
        </w:rPr>
        <w:t xml:space="preserve"> </w:t>
      </w:r>
      <w:r w:rsidRPr="00612EED">
        <w:rPr>
          <w:rFonts w:ascii="Book Antiqua" w:hAnsi="Book Antiqua" w:cs="Arial"/>
          <w:sz w:val="24"/>
          <w:szCs w:val="24"/>
        </w:rPr>
        <w:t>The fact that urinary oxalate is derived from two sources, absorption of dietary oxalate and endogenously produced oxalate, complicates the study of oxalate absorption in the gastrointestinal tract.</w:t>
      </w:r>
      <w:r w:rsidR="0077323C">
        <w:rPr>
          <w:rFonts w:ascii="Book Antiqua" w:hAnsi="Book Antiqua" w:cs="Arial"/>
          <w:sz w:val="24"/>
          <w:szCs w:val="24"/>
        </w:rPr>
        <w:t xml:space="preserve"> </w:t>
      </w:r>
      <w:r w:rsidRPr="00612EED">
        <w:rPr>
          <w:rFonts w:ascii="Book Antiqua" w:hAnsi="Book Antiqua" w:cs="Arial"/>
          <w:sz w:val="24"/>
          <w:szCs w:val="24"/>
        </w:rPr>
        <w:t>A reliable method for estimating oxalate absorption is by labelling oxalate with a stable carbon isotope (</w:t>
      </w:r>
      <w:r w:rsidRPr="00612EED">
        <w:rPr>
          <w:rFonts w:ascii="Book Antiqua" w:hAnsi="Book Antiqua" w:cs="Arial"/>
          <w:sz w:val="24"/>
          <w:szCs w:val="24"/>
          <w:vertAlign w:val="superscript"/>
        </w:rPr>
        <w:t>13</w:t>
      </w:r>
      <w:r w:rsidRPr="00612EED">
        <w:rPr>
          <w:rFonts w:ascii="Book Antiqua" w:hAnsi="Book Antiqua" w:cs="Arial"/>
          <w:sz w:val="24"/>
          <w:szCs w:val="24"/>
        </w:rPr>
        <w:t>C), ingesting a known quantity of labelled oxalate, and measuring the fractional (or percent) excretion of the labelled oxalate in the urine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60, 61]</w:t>
      </w:r>
      <w:r w:rsidRPr="00EC6890">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The method assumes that absorbed oxalate is excreted exclusively in the urine.</w:t>
      </w:r>
      <w:r w:rsidR="0077323C">
        <w:rPr>
          <w:rFonts w:ascii="Book Antiqua" w:hAnsi="Book Antiqua" w:cs="Arial"/>
          <w:sz w:val="24"/>
          <w:szCs w:val="24"/>
        </w:rPr>
        <w:t xml:space="preserve"> </w:t>
      </w:r>
      <w:r w:rsidRPr="00612EED">
        <w:rPr>
          <w:rFonts w:ascii="Book Antiqua" w:hAnsi="Book Antiqua" w:cs="Arial"/>
          <w:sz w:val="24"/>
          <w:szCs w:val="24"/>
        </w:rPr>
        <w:t>In one study conducted in normal subjects, oxalate absorption was evaluated by this method when total dietary intake of oxalate was low (63 mg daily) and high (600 mg daily).</w:t>
      </w:r>
      <w:r w:rsidR="0077323C">
        <w:rPr>
          <w:rFonts w:ascii="Book Antiqua" w:hAnsi="Book Antiqua" w:cs="Arial"/>
          <w:sz w:val="24"/>
          <w:szCs w:val="24"/>
        </w:rPr>
        <w:t xml:space="preserve"> </w:t>
      </w:r>
      <w:r w:rsidRPr="00612EED">
        <w:rPr>
          <w:rFonts w:ascii="Book Antiqua" w:hAnsi="Book Antiqua" w:cs="Arial"/>
          <w:sz w:val="24"/>
          <w:szCs w:val="24"/>
        </w:rPr>
        <w:t xml:space="preserve">Mean daily urine oxalate was 25 mg at the low oxalate intake and 43 mg at the high </w:t>
      </w:r>
      <w:r w:rsidRPr="00612EED">
        <w:rPr>
          <w:rFonts w:ascii="Book Antiqua" w:hAnsi="Book Antiqua" w:cs="Arial"/>
          <w:sz w:val="24"/>
          <w:szCs w:val="24"/>
        </w:rPr>
        <w:lastRenderedPageBreak/>
        <w:t>intake, while the percent absorption of ingested oxalate increased from 7.9% at the lower intake to 14.7% at the higher oxalate intake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62]</w:t>
      </w:r>
      <w:r w:rsidRPr="00D600D9">
        <w:rPr>
          <w:rFonts w:ascii="Book Antiqua" w:hAnsi="Book Antiqua" w:cs="Arial"/>
          <w:sz w:val="24"/>
          <w:szCs w:val="24"/>
        </w:rPr>
        <w:t>.</w:t>
      </w:r>
    </w:p>
    <w:p w:rsidR="00F2207B" w:rsidRPr="00612EED" w:rsidRDefault="00F2207B" w:rsidP="002A048C">
      <w:pPr>
        <w:spacing w:after="0" w:line="360" w:lineRule="auto"/>
        <w:ind w:firstLineChars="150" w:firstLine="360"/>
        <w:jc w:val="both"/>
        <w:rPr>
          <w:rFonts w:ascii="Book Antiqua" w:hAnsi="Book Antiqua" w:cs="Arial"/>
          <w:sz w:val="24"/>
          <w:szCs w:val="24"/>
        </w:rPr>
      </w:pPr>
      <w:r w:rsidRPr="00612EED">
        <w:rPr>
          <w:rFonts w:ascii="Book Antiqua" w:hAnsi="Book Antiqua" w:cs="Arial"/>
          <w:sz w:val="24"/>
          <w:szCs w:val="24"/>
        </w:rPr>
        <w:t>The dietary content of certain divalent cations has clinically important effects on oxalate absorption.</w:t>
      </w:r>
      <w:r w:rsidR="0077323C">
        <w:rPr>
          <w:rFonts w:ascii="Book Antiqua" w:hAnsi="Book Antiqua" w:cs="Arial"/>
          <w:sz w:val="24"/>
          <w:szCs w:val="24"/>
        </w:rPr>
        <w:t xml:space="preserve"> </w:t>
      </w:r>
      <w:r w:rsidRPr="00612EED">
        <w:rPr>
          <w:rFonts w:ascii="Book Antiqua" w:hAnsi="Book Antiqua" w:cs="Arial"/>
          <w:sz w:val="24"/>
          <w:szCs w:val="24"/>
        </w:rPr>
        <w:t>High dietary contents of calcium</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63-65]</w:t>
      </w:r>
      <w:r w:rsidRPr="00612EED">
        <w:rPr>
          <w:rFonts w:ascii="Book Antiqua" w:hAnsi="Book Antiqua" w:cs="Arial"/>
          <w:sz w:val="24"/>
          <w:szCs w:val="24"/>
        </w:rPr>
        <w:t xml:space="preserve"> and magnesium</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66]</w:t>
      </w:r>
      <w:r w:rsidRPr="00612EED">
        <w:rPr>
          <w:rFonts w:ascii="Book Antiqua" w:hAnsi="Book Antiqua" w:cs="Arial"/>
          <w:sz w:val="24"/>
          <w:szCs w:val="24"/>
        </w:rPr>
        <w:t xml:space="preserve"> inhibit oxalate absorption.</w:t>
      </w:r>
      <w:r w:rsidR="0077323C">
        <w:rPr>
          <w:rFonts w:ascii="Book Antiqua" w:hAnsi="Book Antiqua" w:cs="Arial"/>
          <w:sz w:val="24"/>
          <w:szCs w:val="24"/>
        </w:rPr>
        <w:t xml:space="preserve"> </w:t>
      </w:r>
      <w:r w:rsidRPr="00612EED">
        <w:rPr>
          <w:rFonts w:ascii="Book Antiqua" w:hAnsi="Book Antiqua" w:cs="Arial"/>
          <w:sz w:val="24"/>
          <w:szCs w:val="24"/>
        </w:rPr>
        <w:t>The mechanism of this inhibition is formation of insoluble and poorly absorbable oxalate salts of these two divalent cations when they are in abundance in the enteric lumen.</w:t>
      </w:r>
      <w:r w:rsidR="004F2EFF">
        <w:rPr>
          <w:rFonts w:ascii="Book Antiqua" w:hAnsi="Book Antiqua" w:cs="Arial"/>
          <w:sz w:val="24"/>
          <w:szCs w:val="24"/>
        </w:rPr>
        <w:t xml:space="preserve"> </w:t>
      </w:r>
      <w:r w:rsidRPr="00612EED">
        <w:rPr>
          <w:rFonts w:ascii="Book Antiqua" w:hAnsi="Book Antiqua" w:cs="Arial"/>
          <w:sz w:val="24"/>
          <w:szCs w:val="24"/>
        </w:rPr>
        <w:t>Fatty acids have an opposite effect from divalent cations on oxalate absorption.</w:t>
      </w:r>
      <w:r w:rsidR="0077323C">
        <w:rPr>
          <w:rFonts w:ascii="Book Antiqua" w:hAnsi="Book Antiqua" w:cs="Arial"/>
          <w:sz w:val="24"/>
          <w:szCs w:val="24"/>
        </w:rPr>
        <w:t xml:space="preserve"> </w:t>
      </w:r>
      <w:r w:rsidRPr="00612EED">
        <w:rPr>
          <w:rFonts w:ascii="Book Antiqua" w:hAnsi="Book Antiqua" w:cs="Arial"/>
          <w:sz w:val="24"/>
          <w:szCs w:val="24"/>
        </w:rPr>
        <w:t>High intake of the 20-carbon polyunsaturated fatty acid arachidonic acid was shown to be associated with increased urinary excretion of oxalate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67]</w:t>
      </w:r>
      <w:r w:rsidRPr="008508C2">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Fatty acids bind bivalent cations, thereby decreasing the latter’s availability for binding oxalate in the intestinal lumen.</w:t>
      </w:r>
      <w:r w:rsidR="004F2EFF">
        <w:rPr>
          <w:rFonts w:ascii="Book Antiqua" w:hAnsi="Book Antiqua" w:cs="Arial"/>
          <w:sz w:val="24"/>
          <w:szCs w:val="24"/>
        </w:rPr>
        <w:t xml:space="preserve"> </w:t>
      </w:r>
      <w:r w:rsidRPr="00612EED">
        <w:rPr>
          <w:rFonts w:ascii="Book Antiqua" w:hAnsi="Book Antiqua" w:cs="Arial"/>
          <w:sz w:val="24"/>
          <w:szCs w:val="24"/>
        </w:rPr>
        <w:t>This effect of fatty acids on oxalate absorption also has clinical implications (see below).</w:t>
      </w:r>
      <w:r w:rsidR="004F2EFF">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 xml:space="preserve">Several anaerobic bacteria, including </w:t>
      </w:r>
      <w:r w:rsidRPr="00612EED">
        <w:rPr>
          <w:rFonts w:ascii="Book Antiqua" w:hAnsi="Book Antiqua" w:cs="Arial"/>
          <w:i/>
          <w:sz w:val="24"/>
          <w:szCs w:val="24"/>
        </w:rPr>
        <w:t>Oxalobacter formigenes, Eubacterium lentum, Enterococcus faecalis</w:t>
      </w:r>
      <w:r w:rsidRPr="00612EED">
        <w:rPr>
          <w:rFonts w:ascii="Book Antiqua" w:hAnsi="Book Antiqua" w:cs="Arial"/>
          <w:sz w:val="24"/>
          <w:szCs w:val="24"/>
        </w:rPr>
        <w:t xml:space="preserve"> and </w:t>
      </w:r>
      <w:r w:rsidRPr="00612EED">
        <w:rPr>
          <w:rFonts w:ascii="Book Antiqua" w:hAnsi="Book Antiqua" w:cs="Arial"/>
          <w:i/>
          <w:sz w:val="24"/>
          <w:szCs w:val="24"/>
        </w:rPr>
        <w:t>Lactobacillus acidofilus</w:t>
      </w:r>
      <w:r w:rsidRPr="00612EED">
        <w:rPr>
          <w:rFonts w:ascii="Book Antiqua" w:hAnsi="Book Antiqua" w:cs="Arial"/>
          <w:sz w:val="24"/>
          <w:szCs w:val="24"/>
        </w:rPr>
        <w:t>, metabolize oxalate in the gut</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68]</w:t>
      </w:r>
      <w:r w:rsidRPr="008508C2">
        <w:rPr>
          <w:rFonts w:ascii="Book Antiqua" w:hAnsi="Book Antiqua" w:cs="Arial"/>
          <w:sz w:val="24"/>
          <w:szCs w:val="24"/>
        </w:rPr>
        <w:t>.</w:t>
      </w:r>
      <w:r w:rsidR="004F2EFF">
        <w:rPr>
          <w:rFonts w:ascii="Book Antiqua" w:hAnsi="Book Antiqua" w:cs="Arial"/>
          <w:sz w:val="24"/>
          <w:szCs w:val="24"/>
        </w:rPr>
        <w:t xml:space="preserve"> </w:t>
      </w:r>
      <w:r w:rsidRPr="00612EED">
        <w:rPr>
          <w:rFonts w:ascii="Book Antiqua" w:hAnsi="Book Antiqua" w:cs="Arial"/>
          <w:sz w:val="24"/>
          <w:szCs w:val="24"/>
        </w:rPr>
        <w:t>Administration of probiotics containing one or more of these bacteria to healthy subjects and, particularly, subjects with high baseline levels of oxalate absorption, decreases oxalate absorption</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68, 69]</w:t>
      </w:r>
      <w:r w:rsidRPr="008508C2">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Conditions that are known to affect oxalate absorption include the pH of the intestinal fluids and intestinal transit time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62]</w:t>
      </w:r>
      <w:r w:rsidRPr="008508C2">
        <w:rPr>
          <w:rFonts w:ascii="Book Antiqua" w:hAnsi="Book Antiqua" w:cs="Arial"/>
          <w:sz w:val="24"/>
          <w:szCs w:val="24"/>
        </w:rPr>
        <w:t>.</w:t>
      </w:r>
      <w:r w:rsidR="004F2EFF" w:rsidRPr="008508C2">
        <w:rPr>
          <w:rFonts w:ascii="Book Antiqua" w:hAnsi="Book Antiqua" w:cs="Arial"/>
          <w:sz w:val="24"/>
          <w:szCs w:val="24"/>
        </w:rPr>
        <w:t xml:space="preserve"> </w:t>
      </w:r>
      <w:r w:rsidRPr="00612EED">
        <w:rPr>
          <w:rFonts w:ascii="Book Antiqua" w:hAnsi="Book Antiqua" w:cs="Arial"/>
          <w:sz w:val="24"/>
          <w:szCs w:val="24"/>
        </w:rPr>
        <w:t>Whether these conditions have clinical significance or not is unclear.</w:t>
      </w:r>
      <w:r w:rsidR="0077323C">
        <w:rPr>
          <w:rFonts w:ascii="Book Antiqua" w:hAnsi="Book Antiqua" w:cs="Arial"/>
          <w:sz w:val="24"/>
          <w:szCs w:val="24"/>
        </w:rPr>
        <w:t xml:space="preserve"> </w:t>
      </w:r>
    </w:p>
    <w:p w:rsidR="00F2207B" w:rsidRPr="00612EED" w:rsidRDefault="00F2207B" w:rsidP="002A048C">
      <w:pPr>
        <w:spacing w:after="0" w:line="360" w:lineRule="auto"/>
        <w:jc w:val="both"/>
        <w:rPr>
          <w:rFonts w:ascii="Book Antiqua" w:hAnsi="Book Antiqua" w:cs="Arial"/>
          <w:b/>
          <w:sz w:val="24"/>
          <w:szCs w:val="24"/>
        </w:rPr>
      </w:pPr>
    </w:p>
    <w:p w:rsidR="00F2207B" w:rsidRPr="00612EED" w:rsidRDefault="008508C2" w:rsidP="002A048C">
      <w:pPr>
        <w:spacing w:after="0" w:line="360" w:lineRule="auto"/>
        <w:jc w:val="both"/>
        <w:rPr>
          <w:rFonts w:ascii="Book Antiqua" w:hAnsi="Book Antiqua" w:cs="Arial"/>
          <w:b/>
          <w:sz w:val="24"/>
          <w:szCs w:val="24"/>
        </w:rPr>
      </w:pPr>
      <w:r w:rsidRPr="00612EED">
        <w:rPr>
          <w:rFonts w:ascii="Book Antiqua" w:hAnsi="Book Antiqua" w:cs="Arial"/>
          <w:b/>
          <w:sz w:val="24"/>
          <w:szCs w:val="24"/>
        </w:rPr>
        <w:t>RENAL EXCRETION OF OXALATE</w:t>
      </w:r>
    </w:p>
    <w:p w:rsidR="00F2207B" w:rsidRPr="00612EED" w:rsidRDefault="00F2207B" w:rsidP="002A048C">
      <w:pPr>
        <w:spacing w:after="0" w:line="360" w:lineRule="auto"/>
        <w:jc w:val="both"/>
        <w:rPr>
          <w:rFonts w:ascii="Book Antiqua" w:hAnsi="Book Antiqua" w:cs="Arial"/>
          <w:sz w:val="24"/>
          <w:szCs w:val="24"/>
        </w:rPr>
      </w:pPr>
      <w:r w:rsidRPr="00612EED">
        <w:rPr>
          <w:rFonts w:ascii="Book Antiqua" w:hAnsi="Book Antiqua" w:cs="Arial"/>
          <w:sz w:val="24"/>
          <w:szCs w:val="24"/>
        </w:rPr>
        <w:t>Oxalate is eliminated almost exclusively by the kidneys.</w:t>
      </w:r>
      <w:r w:rsidR="0077323C">
        <w:rPr>
          <w:rFonts w:ascii="Book Antiqua" w:hAnsi="Book Antiqua" w:cs="Arial"/>
          <w:sz w:val="24"/>
          <w:szCs w:val="24"/>
        </w:rPr>
        <w:t xml:space="preserve"> </w:t>
      </w:r>
      <w:r w:rsidRPr="00612EED">
        <w:rPr>
          <w:rFonts w:ascii="Book Antiqua" w:hAnsi="Book Antiqua" w:cs="Arial"/>
          <w:sz w:val="24"/>
          <w:szCs w:val="24"/>
        </w:rPr>
        <w:t>In two studies involving subjects with normal renal function, more than 90% of injected radiolabelled oxalate was recovered in the urine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70, 71]</w:t>
      </w:r>
      <w:r w:rsidRPr="00270D53">
        <w:rPr>
          <w:rFonts w:ascii="Book Antiqua" w:hAnsi="Book Antiqua" w:cs="Arial"/>
          <w:sz w:val="24"/>
          <w:szCs w:val="24"/>
        </w:rPr>
        <w:t>.</w:t>
      </w:r>
      <w:r w:rsidR="0077323C" w:rsidRPr="00270D53">
        <w:rPr>
          <w:rFonts w:ascii="Book Antiqua" w:hAnsi="Book Antiqua" w:cs="Arial"/>
          <w:sz w:val="24"/>
          <w:szCs w:val="24"/>
        </w:rPr>
        <w:t xml:space="preserve"> </w:t>
      </w:r>
      <w:r w:rsidRPr="00612EED">
        <w:rPr>
          <w:rFonts w:ascii="Book Antiqua" w:hAnsi="Book Antiqua" w:cs="Arial"/>
          <w:sz w:val="24"/>
          <w:szCs w:val="24"/>
        </w:rPr>
        <w:t>Circulating oxalate is almost 100% ultrafilterable and it is filtered in the glomeruli</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72]</w:t>
      </w:r>
      <w:r w:rsidRPr="00612EED">
        <w:rPr>
          <w:rFonts w:ascii="Book Antiqua" w:hAnsi="Book Antiqua" w:cs="Arial"/>
          <w:sz w:val="24"/>
          <w:szCs w:val="24"/>
        </w:rPr>
        <w:t xml:space="preserve"> and excreted in the proximal tubules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73, 74]</w:t>
      </w:r>
      <w:r w:rsidRPr="00BF4292">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The basolateral membrane of proximal tubular cells contains a transporter, SLC26A1 that exchanges oxalate for bicarbonate or sulfate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75]</w:t>
      </w:r>
      <w:r w:rsidRPr="00270D53">
        <w:rPr>
          <w:rFonts w:ascii="Book Antiqua" w:hAnsi="Book Antiqua" w:cs="Arial"/>
          <w:sz w:val="24"/>
          <w:szCs w:val="24"/>
        </w:rPr>
        <w:t>.</w:t>
      </w:r>
      <w:r w:rsidR="004F2EFF">
        <w:rPr>
          <w:rFonts w:ascii="Book Antiqua" w:hAnsi="Book Antiqua" w:cs="Arial"/>
          <w:sz w:val="24"/>
          <w:szCs w:val="24"/>
        </w:rPr>
        <w:t xml:space="preserve"> </w:t>
      </w:r>
      <w:r w:rsidRPr="00612EED">
        <w:rPr>
          <w:rFonts w:ascii="Book Antiqua" w:hAnsi="Book Antiqua" w:cs="Arial"/>
          <w:sz w:val="24"/>
          <w:szCs w:val="24"/>
        </w:rPr>
        <w:t>Exchangers of the SLC26 family, including SLC26A6, SLC26A7, SLC26A8, and SLC26A9, have been identified on the plasma membrane of cells that transport oxalate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76, 77]</w:t>
      </w:r>
      <w:r w:rsidRPr="00BF4292">
        <w:rPr>
          <w:rFonts w:ascii="Book Antiqua" w:hAnsi="Book Antiqua" w:cs="Arial"/>
          <w:sz w:val="24"/>
          <w:szCs w:val="24"/>
        </w:rPr>
        <w:t>.</w:t>
      </w:r>
      <w:r w:rsidR="0077323C" w:rsidRPr="00BF4292">
        <w:rPr>
          <w:rFonts w:ascii="Book Antiqua" w:hAnsi="Book Antiqua" w:cs="Arial"/>
          <w:sz w:val="24"/>
          <w:szCs w:val="24"/>
        </w:rPr>
        <w:t xml:space="preserve"> </w:t>
      </w:r>
      <w:r w:rsidRPr="00612EED">
        <w:rPr>
          <w:rFonts w:ascii="Book Antiqua" w:hAnsi="Book Antiqua" w:cs="Arial"/>
          <w:sz w:val="24"/>
          <w:szCs w:val="24"/>
        </w:rPr>
        <w:t xml:space="preserve">The SLC26A6 transporter has also been </w:t>
      </w:r>
      <w:r w:rsidRPr="00612EED">
        <w:rPr>
          <w:rFonts w:ascii="Book Antiqua" w:hAnsi="Book Antiqua" w:cs="Arial"/>
          <w:sz w:val="24"/>
          <w:szCs w:val="24"/>
        </w:rPr>
        <w:lastRenderedPageBreak/>
        <w:t>localized to the brush border of proximal tubular cells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78]</w:t>
      </w:r>
      <w:r w:rsidRPr="00BF4292">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Holmes and Assimos hypothesized that increases in plasma concentration of oxalate activate the basolateral SLC26A1 transporter which facilitates entry of oxalate into proximal tubular cells, which is then followed by oxalate efflux into the tubular lumen</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79]</w:t>
      </w:r>
      <w:r w:rsidRPr="005807D1">
        <w:rPr>
          <w:rFonts w:ascii="Book Antiqua" w:hAnsi="Book Antiqua" w:cs="Arial"/>
          <w:sz w:val="24"/>
          <w:szCs w:val="24"/>
        </w:rPr>
        <w:t>.</w:t>
      </w:r>
      <w:r w:rsidR="0077323C" w:rsidRPr="005807D1">
        <w:rPr>
          <w:rFonts w:ascii="Book Antiqua" w:hAnsi="Book Antiqua" w:cs="Arial"/>
          <w:sz w:val="24"/>
          <w:szCs w:val="24"/>
        </w:rPr>
        <w:t xml:space="preserve"> </w:t>
      </w:r>
      <w:r w:rsidRPr="00612EED">
        <w:rPr>
          <w:rFonts w:ascii="Book Antiqua" w:hAnsi="Book Antiqua" w:cs="Arial"/>
          <w:sz w:val="24"/>
          <w:szCs w:val="24"/>
        </w:rPr>
        <w:t>Tubular secretion of oxalate may have clinical significance.</w:t>
      </w:r>
      <w:r w:rsidR="0077323C">
        <w:rPr>
          <w:rFonts w:ascii="Book Antiqua" w:hAnsi="Book Antiqua" w:cs="Arial"/>
          <w:sz w:val="24"/>
          <w:szCs w:val="24"/>
        </w:rPr>
        <w:t xml:space="preserve"> </w:t>
      </w:r>
      <w:r w:rsidRPr="00612EED">
        <w:rPr>
          <w:rFonts w:ascii="Book Antiqua" w:hAnsi="Book Antiqua" w:cs="Arial"/>
          <w:sz w:val="24"/>
          <w:szCs w:val="24"/>
        </w:rPr>
        <w:t>One study found enhanced tubular secretion of oxalate in hyperoxaluric patients compared to controls with normal oxalate excretion</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4]</w:t>
      </w:r>
      <w:r w:rsidRPr="005807D1">
        <w:rPr>
          <w:rFonts w:ascii="Book Antiqua" w:hAnsi="Book Antiqua" w:cs="Arial"/>
          <w:sz w:val="24"/>
          <w:szCs w:val="24"/>
        </w:rPr>
        <w:t>.</w:t>
      </w:r>
      <w:r w:rsidR="0077323C">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Oxalate transfer in the enteric epithelial cells gut is similar to that in the renal tubular cells.</w:t>
      </w:r>
      <w:r w:rsidR="0077323C">
        <w:rPr>
          <w:rFonts w:ascii="Book Antiqua" w:hAnsi="Book Antiqua" w:cs="Arial"/>
          <w:sz w:val="24"/>
          <w:szCs w:val="24"/>
        </w:rPr>
        <w:t xml:space="preserve"> </w:t>
      </w:r>
      <w:r w:rsidRPr="00612EED">
        <w:rPr>
          <w:rFonts w:ascii="Book Antiqua" w:hAnsi="Book Antiqua" w:cs="Arial"/>
          <w:sz w:val="24"/>
          <w:szCs w:val="24"/>
        </w:rPr>
        <w:t>Oxalate transfer through the enteric tight junction is driven by a lumen-to blood concentration gradient and by water absorption.</w:t>
      </w:r>
      <w:r w:rsidR="004F2EFF">
        <w:rPr>
          <w:rFonts w:ascii="Book Antiqua" w:hAnsi="Book Antiqua" w:cs="Arial"/>
          <w:sz w:val="24"/>
          <w:szCs w:val="24"/>
        </w:rPr>
        <w:t xml:space="preserve"> </w:t>
      </w:r>
      <w:r w:rsidRPr="00612EED">
        <w:rPr>
          <w:rFonts w:ascii="Book Antiqua" w:hAnsi="Book Antiqua" w:cs="Arial"/>
          <w:sz w:val="24"/>
          <w:szCs w:val="24"/>
        </w:rPr>
        <w:t>Soluble oxalate is secreted back into the enteric lumen through SLC26A1 and SLC26A6.</w:t>
      </w:r>
      <w:r w:rsidR="004F2EFF">
        <w:rPr>
          <w:rFonts w:ascii="Book Antiqua" w:hAnsi="Book Antiqua" w:cs="Arial"/>
          <w:sz w:val="24"/>
          <w:szCs w:val="24"/>
        </w:rPr>
        <w:t xml:space="preserve"> </w:t>
      </w:r>
      <w:r w:rsidRPr="00612EED">
        <w:rPr>
          <w:rFonts w:ascii="Book Antiqua" w:hAnsi="Book Antiqua" w:cs="Arial"/>
          <w:sz w:val="24"/>
          <w:szCs w:val="24"/>
        </w:rPr>
        <w:t>SLC26A1 is located in the basolateral membrane and transfers oxalate from the paracellular space to the intracellular compartment.</w:t>
      </w:r>
      <w:r w:rsidR="004F2EFF">
        <w:rPr>
          <w:rFonts w:ascii="Book Antiqua" w:hAnsi="Book Antiqua" w:cs="Arial"/>
          <w:sz w:val="24"/>
          <w:szCs w:val="24"/>
        </w:rPr>
        <w:t xml:space="preserve"> </w:t>
      </w:r>
      <w:r w:rsidRPr="00612EED">
        <w:rPr>
          <w:rFonts w:ascii="Book Antiqua" w:hAnsi="Book Antiqua" w:cs="Arial"/>
          <w:sz w:val="24"/>
          <w:szCs w:val="24"/>
        </w:rPr>
        <w:t>SLC26A6 is located in the apical membrane and returns oxalate to the enteric lumen</w:t>
      </w:r>
      <w:r w:rsidRPr="00612EED">
        <w:rPr>
          <w:rFonts w:ascii="Book Antiqua" w:hAnsi="Book Antiqua" w:cs="Arial"/>
          <w:sz w:val="24"/>
          <w:szCs w:val="24"/>
          <w:vertAlign w:val="superscript"/>
        </w:rPr>
        <w:t>.</w:t>
      </w:r>
      <w:r w:rsidR="0077323C">
        <w:rPr>
          <w:rFonts w:ascii="Book Antiqua" w:hAnsi="Book Antiqua" w:cs="Arial"/>
          <w:sz w:val="24"/>
          <w:szCs w:val="24"/>
        </w:rPr>
        <w:t xml:space="preserve"> </w:t>
      </w:r>
      <w:r w:rsidRPr="00612EED">
        <w:rPr>
          <w:rFonts w:ascii="Book Antiqua" w:hAnsi="Book Antiqua" w:cs="Arial"/>
          <w:sz w:val="24"/>
          <w:szCs w:val="24"/>
        </w:rPr>
        <w:t>The transfer of oxalate through the anion transporters back into the enteric lumen modulates the absorption of this toxic compound</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59]</w:t>
      </w:r>
      <w:r w:rsidRPr="00D77939">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In renal failure, oxalate excretion decreases roughly in proportion to the decrease in renal function and serum oxalate concentration increases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80]</w:t>
      </w:r>
      <w:r w:rsidRPr="00D77939">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As a compensatory mechanism, elimination of oxalate through the gastrointestinal tract is increased in renal failure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81, 82]</w:t>
      </w:r>
      <w:r w:rsidRPr="00D77939">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A study by Hatch and colleagues provided evidence that the increased intestinal excretion of oxalate in renal failure is mediated, at least in part, by angiotensin II</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83]</w:t>
      </w:r>
      <w:r w:rsidRPr="00D77939">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Renal failure, therefore, is one condition in which oxalate is not eliminated in its entirety by the kidneys.</w:t>
      </w:r>
      <w:r w:rsidR="0077323C">
        <w:rPr>
          <w:rFonts w:ascii="Book Antiqua" w:hAnsi="Book Antiqua" w:cs="Arial"/>
          <w:sz w:val="24"/>
          <w:szCs w:val="24"/>
        </w:rPr>
        <w:t xml:space="preserve"> </w:t>
      </w:r>
      <w:r w:rsidRPr="00612EED">
        <w:rPr>
          <w:rFonts w:ascii="Book Antiqua" w:hAnsi="Book Antiqua" w:cs="Arial"/>
          <w:sz w:val="24"/>
          <w:szCs w:val="24"/>
        </w:rPr>
        <w:t>Diuresis and body size are two factors that affect urinary oxalate excretion.</w:t>
      </w:r>
      <w:r w:rsidR="0077323C">
        <w:rPr>
          <w:rFonts w:ascii="Book Antiqua" w:hAnsi="Book Antiqua" w:cs="Arial"/>
          <w:sz w:val="24"/>
          <w:szCs w:val="24"/>
        </w:rPr>
        <w:t xml:space="preserve"> </w:t>
      </w:r>
      <w:r w:rsidRPr="00612EED">
        <w:rPr>
          <w:rFonts w:ascii="Book Antiqua" w:hAnsi="Book Antiqua" w:cs="Arial"/>
          <w:sz w:val="24"/>
          <w:szCs w:val="24"/>
        </w:rPr>
        <w:t>In normal subjects, oxalate elimination in the urine increases in parallel to urinary flow rate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84, 85]</w:t>
      </w:r>
      <w:r w:rsidRPr="00D77939">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The clinical significance of this finding is obscure because urinary oxalate concentration decreases in parallel as urinary flow increases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85]</w:t>
      </w:r>
      <w:r w:rsidRPr="00D77939">
        <w:rPr>
          <w:rFonts w:ascii="Book Antiqua" w:hAnsi="Book Antiqua" w:cs="Arial"/>
          <w:sz w:val="24"/>
          <w:szCs w:val="24"/>
        </w:rPr>
        <w:t>.</w:t>
      </w:r>
      <w:r w:rsidR="0077323C" w:rsidRPr="00D77939">
        <w:rPr>
          <w:rFonts w:ascii="Book Antiqua" w:hAnsi="Book Antiqua" w:cs="Arial"/>
          <w:sz w:val="24"/>
          <w:szCs w:val="24"/>
        </w:rPr>
        <w:t xml:space="preserve"> </w:t>
      </w:r>
      <w:r w:rsidRPr="00612EED">
        <w:rPr>
          <w:rFonts w:ascii="Book Antiqua" w:hAnsi="Book Antiqua" w:cs="Arial"/>
          <w:sz w:val="24"/>
          <w:szCs w:val="24"/>
        </w:rPr>
        <w:t>Large body size is associated with a high urinary oxalate excretion rate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86, 87]</w:t>
      </w:r>
      <w:r w:rsidRPr="00935B59">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This finding is clinically relevant because obesity is a risk factor for nephrolithiasis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88]</w:t>
      </w:r>
      <w:r w:rsidRPr="00D77939">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Finally, urinary oxalate excretion shows seasonal variations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89]</w:t>
      </w:r>
      <w:r w:rsidRPr="00612EED">
        <w:rPr>
          <w:rFonts w:ascii="Book Antiqua" w:hAnsi="Book Antiqua" w:cs="Arial"/>
          <w:sz w:val="24"/>
          <w:szCs w:val="24"/>
        </w:rPr>
        <w:t xml:space="preserve"> that can have clinical importance.</w:t>
      </w:r>
      <w:r w:rsidR="0077323C">
        <w:rPr>
          <w:rFonts w:ascii="Book Antiqua" w:hAnsi="Book Antiqua" w:cs="Arial"/>
          <w:sz w:val="24"/>
          <w:szCs w:val="24"/>
        </w:rPr>
        <w:t xml:space="preserve"> </w:t>
      </w:r>
    </w:p>
    <w:p w:rsidR="00F2207B" w:rsidRPr="00612EED" w:rsidRDefault="00F2207B" w:rsidP="002A048C">
      <w:pPr>
        <w:spacing w:after="0" w:line="360" w:lineRule="auto"/>
        <w:jc w:val="both"/>
        <w:rPr>
          <w:rFonts w:ascii="Book Antiqua" w:hAnsi="Book Antiqua" w:cs="Arial"/>
          <w:sz w:val="24"/>
          <w:szCs w:val="24"/>
        </w:rPr>
      </w:pPr>
    </w:p>
    <w:p w:rsidR="00F2207B" w:rsidRPr="00612EED" w:rsidRDefault="00D77939" w:rsidP="002A048C">
      <w:pPr>
        <w:spacing w:after="0" w:line="360" w:lineRule="auto"/>
        <w:jc w:val="both"/>
        <w:rPr>
          <w:rFonts w:ascii="Book Antiqua" w:hAnsi="Book Antiqua" w:cs="Arial"/>
          <w:b/>
          <w:sz w:val="24"/>
          <w:szCs w:val="24"/>
        </w:rPr>
      </w:pPr>
      <w:r w:rsidRPr="00612EED">
        <w:rPr>
          <w:rFonts w:ascii="Book Antiqua" w:hAnsi="Book Antiqua" w:cs="Arial"/>
          <w:b/>
          <w:sz w:val="24"/>
          <w:szCs w:val="24"/>
        </w:rPr>
        <w:lastRenderedPageBreak/>
        <w:t>CLINICAL TYPES OF HYPEROXALURIA</w:t>
      </w:r>
    </w:p>
    <w:p w:rsidR="00F2207B" w:rsidRDefault="00F2207B" w:rsidP="002A048C">
      <w:pPr>
        <w:spacing w:after="0" w:line="360" w:lineRule="auto"/>
        <w:jc w:val="both"/>
        <w:rPr>
          <w:rFonts w:ascii="Book Antiqua" w:hAnsi="Book Antiqua" w:cs="Arial"/>
          <w:sz w:val="24"/>
          <w:szCs w:val="24"/>
          <w:lang w:eastAsia="zh-CN"/>
        </w:rPr>
      </w:pPr>
      <w:r w:rsidRPr="00612EED">
        <w:rPr>
          <w:rFonts w:ascii="Book Antiqua" w:hAnsi="Book Antiqua" w:cs="Arial"/>
          <w:sz w:val="24"/>
          <w:szCs w:val="24"/>
        </w:rPr>
        <w:t>Hyperoxaluria can result from excessive endogenous production of oxalate, excessive absorption of dietary oxalate, excessive dietary or parenteral intake of oxalate, or a combination of these processes.</w:t>
      </w:r>
      <w:r w:rsidR="0077323C">
        <w:rPr>
          <w:rFonts w:ascii="Book Antiqua" w:hAnsi="Book Antiqua" w:cs="Arial"/>
          <w:sz w:val="24"/>
          <w:szCs w:val="24"/>
        </w:rPr>
        <w:t xml:space="preserve"> </w:t>
      </w:r>
      <w:r w:rsidRPr="00612EED">
        <w:rPr>
          <w:rFonts w:ascii="Book Antiqua" w:hAnsi="Book Antiqua" w:cs="Arial"/>
          <w:sz w:val="24"/>
          <w:szCs w:val="24"/>
        </w:rPr>
        <w:t>Four main categories of hyperoxaluria are recognized: primary hyperoxaluria, absorptive or intestinal hyperoxaluria, idiopathic mild hyperoxaluria and dietary hyperoxaluria</w:t>
      </w:r>
      <w:r w:rsidR="00935B59">
        <w:rPr>
          <w:rFonts w:ascii="Book Antiqua" w:hAnsi="Book Antiqua" w:cs="Arial" w:hint="eastAsia"/>
          <w:sz w:val="24"/>
          <w:szCs w:val="24"/>
          <w:lang w:eastAsia="zh-CN"/>
        </w:rPr>
        <w:t>.</w:t>
      </w:r>
    </w:p>
    <w:p w:rsidR="00D77939" w:rsidRPr="00612EED" w:rsidRDefault="00D77939" w:rsidP="002A048C">
      <w:pPr>
        <w:spacing w:after="0" w:line="360" w:lineRule="auto"/>
        <w:jc w:val="both"/>
        <w:rPr>
          <w:rFonts w:ascii="Book Antiqua" w:hAnsi="Book Antiqua" w:cs="Arial"/>
          <w:sz w:val="24"/>
          <w:szCs w:val="24"/>
          <w:lang w:eastAsia="zh-CN"/>
        </w:rPr>
      </w:pPr>
    </w:p>
    <w:p w:rsidR="00F2207B" w:rsidRPr="00612EED" w:rsidRDefault="00F2207B" w:rsidP="002A048C">
      <w:pPr>
        <w:spacing w:after="0" w:line="360" w:lineRule="auto"/>
        <w:jc w:val="both"/>
        <w:rPr>
          <w:rFonts w:ascii="Book Antiqua" w:hAnsi="Book Antiqua" w:cs="Arial"/>
          <w:b/>
          <w:i/>
          <w:sz w:val="24"/>
          <w:szCs w:val="24"/>
        </w:rPr>
      </w:pPr>
      <w:r w:rsidRPr="00612EED">
        <w:rPr>
          <w:rFonts w:ascii="Book Antiqua" w:hAnsi="Book Antiqua" w:cs="Arial"/>
          <w:b/>
          <w:i/>
          <w:sz w:val="24"/>
          <w:szCs w:val="24"/>
        </w:rPr>
        <w:t xml:space="preserve">Primary hyperoxaluria </w:t>
      </w:r>
    </w:p>
    <w:p w:rsidR="00F2207B" w:rsidRPr="00612EED" w:rsidRDefault="00D77939" w:rsidP="002A048C">
      <w:pPr>
        <w:spacing w:after="0" w:line="360" w:lineRule="auto"/>
        <w:jc w:val="both"/>
        <w:rPr>
          <w:rFonts w:ascii="Book Antiqua" w:hAnsi="Book Antiqua" w:cs="Arial"/>
          <w:sz w:val="24"/>
          <w:szCs w:val="24"/>
          <w:vertAlign w:val="superscript"/>
        </w:rPr>
      </w:pPr>
      <w:r w:rsidRPr="00D77939">
        <w:rPr>
          <w:rFonts w:ascii="Book Antiqua" w:hAnsi="Book Antiqua" w:cs="Arial"/>
          <w:sz w:val="24"/>
          <w:szCs w:val="24"/>
        </w:rPr>
        <w:t>Primary hyperoxaluria (PH)</w:t>
      </w:r>
      <w:r w:rsidR="00F2207B" w:rsidRPr="00612EED">
        <w:rPr>
          <w:rFonts w:ascii="Book Antiqua" w:hAnsi="Book Antiqua" w:cs="Arial"/>
          <w:sz w:val="24"/>
          <w:szCs w:val="24"/>
        </w:rPr>
        <w:t xml:space="preserve"> consists of a family of autosomal recessive inherited disorders characterized by endogenous overproduction of oxalate</w:t>
      </w:r>
      <w:r w:rsidR="0089344C" w:rsidRPr="0089344C">
        <w:rPr>
          <w:rFonts w:ascii="Book Antiqua" w:hAnsi="Book Antiqua" w:cs="Arial"/>
          <w:sz w:val="24"/>
          <w:szCs w:val="24"/>
          <w:vertAlign w:val="superscript"/>
        </w:rPr>
        <w:t>[</w:t>
      </w:r>
      <w:r w:rsidR="00F2207B" w:rsidRPr="00612EED">
        <w:rPr>
          <w:rFonts w:ascii="Book Antiqua" w:hAnsi="Book Antiqua" w:cs="Arial"/>
          <w:sz w:val="24"/>
          <w:szCs w:val="24"/>
          <w:vertAlign w:val="superscript"/>
        </w:rPr>
        <w:t>90-94]</w:t>
      </w:r>
      <w:r w:rsidR="00F2207B" w:rsidRPr="00D77939">
        <w:rPr>
          <w:rFonts w:ascii="Book Antiqua" w:hAnsi="Book Antiqua" w:cs="Arial"/>
          <w:sz w:val="24"/>
          <w:szCs w:val="24"/>
        </w:rPr>
        <w:t>.</w:t>
      </w:r>
      <w:r w:rsidR="0077323C" w:rsidRPr="00D77939">
        <w:rPr>
          <w:rFonts w:ascii="Book Antiqua" w:hAnsi="Book Antiqua" w:cs="Arial"/>
          <w:sz w:val="24"/>
          <w:szCs w:val="24"/>
        </w:rPr>
        <w:t xml:space="preserve"> </w:t>
      </w:r>
      <w:r w:rsidR="00F2207B" w:rsidRPr="00612EED">
        <w:rPr>
          <w:rFonts w:ascii="Book Antiqua" w:hAnsi="Book Antiqua" w:cs="Arial"/>
          <w:sz w:val="24"/>
          <w:szCs w:val="24"/>
        </w:rPr>
        <w:t>Mutations in three enzymes involved in oxalate synthesis lead to three distinct PH subtypes, PH1</w:t>
      </w:r>
      <w:r w:rsidR="0089344C" w:rsidRPr="0089344C">
        <w:rPr>
          <w:rFonts w:ascii="Book Antiqua" w:hAnsi="Book Antiqua" w:cs="Arial"/>
          <w:sz w:val="24"/>
          <w:szCs w:val="24"/>
          <w:vertAlign w:val="superscript"/>
        </w:rPr>
        <w:t>[</w:t>
      </w:r>
      <w:r w:rsidR="00F2207B" w:rsidRPr="00612EED">
        <w:rPr>
          <w:rFonts w:ascii="Book Antiqua" w:hAnsi="Book Antiqua" w:cs="Arial"/>
          <w:sz w:val="24"/>
          <w:szCs w:val="24"/>
          <w:vertAlign w:val="superscript"/>
        </w:rPr>
        <w:t>95]</w:t>
      </w:r>
      <w:r w:rsidR="00F2207B" w:rsidRPr="00D77939">
        <w:rPr>
          <w:rFonts w:ascii="Book Antiqua" w:hAnsi="Book Antiqua" w:cs="Arial"/>
          <w:sz w:val="24"/>
          <w:szCs w:val="24"/>
        </w:rPr>
        <w:t xml:space="preserve">, </w:t>
      </w:r>
      <w:r w:rsidR="00F2207B" w:rsidRPr="00612EED">
        <w:rPr>
          <w:rFonts w:ascii="Book Antiqua" w:hAnsi="Book Antiqua" w:cs="Arial"/>
          <w:sz w:val="24"/>
          <w:szCs w:val="24"/>
        </w:rPr>
        <w:t>PH2</w:t>
      </w:r>
      <w:r w:rsidR="0089344C" w:rsidRPr="0089344C">
        <w:rPr>
          <w:rFonts w:ascii="Book Antiqua" w:hAnsi="Book Antiqua" w:cs="Arial"/>
          <w:sz w:val="24"/>
          <w:szCs w:val="24"/>
          <w:vertAlign w:val="superscript"/>
        </w:rPr>
        <w:t>[</w:t>
      </w:r>
      <w:r w:rsidR="00F2207B" w:rsidRPr="00612EED">
        <w:rPr>
          <w:rFonts w:ascii="Book Antiqua" w:hAnsi="Book Antiqua" w:cs="Arial"/>
          <w:sz w:val="24"/>
          <w:szCs w:val="24"/>
          <w:vertAlign w:val="superscript"/>
        </w:rPr>
        <w:t>96, 97]</w:t>
      </w:r>
      <w:r w:rsidR="00F2207B" w:rsidRPr="00612EED">
        <w:rPr>
          <w:rFonts w:ascii="Book Antiqua" w:hAnsi="Book Antiqua" w:cs="Arial"/>
          <w:sz w:val="24"/>
          <w:szCs w:val="24"/>
        </w:rPr>
        <w:t xml:space="preserve"> and PH3</w:t>
      </w:r>
      <w:r w:rsidR="0089344C" w:rsidRPr="0089344C">
        <w:rPr>
          <w:rFonts w:ascii="Book Antiqua" w:hAnsi="Book Antiqua" w:cs="Arial"/>
          <w:sz w:val="24"/>
          <w:szCs w:val="24"/>
          <w:vertAlign w:val="superscript"/>
        </w:rPr>
        <w:t>[</w:t>
      </w:r>
      <w:r w:rsidR="00F2207B" w:rsidRPr="00612EED">
        <w:rPr>
          <w:rFonts w:ascii="Book Antiqua" w:hAnsi="Book Antiqua" w:cs="Arial"/>
          <w:sz w:val="24"/>
          <w:szCs w:val="24"/>
          <w:vertAlign w:val="superscript"/>
        </w:rPr>
        <w:t>98-100]</w:t>
      </w:r>
      <w:r w:rsidR="00F2207B" w:rsidRPr="00D77939">
        <w:rPr>
          <w:rFonts w:ascii="Book Antiqua" w:hAnsi="Book Antiqua" w:cs="Arial"/>
          <w:sz w:val="24"/>
          <w:szCs w:val="24"/>
        </w:rPr>
        <w:t>.</w:t>
      </w:r>
      <w:r w:rsidR="0077323C" w:rsidRPr="00D77939">
        <w:rPr>
          <w:rFonts w:ascii="Book Antiqua" w:hAnsi="Book Antiqua" w:cs="Arial"/>
          <w:sz w:val="24"/>
          <w:szCs w:val="24"/>
        </w:rPr>
        <w:t xml:space="preserve"> </w:t>
      </w:r>
    </w:p>
    <w:p w:rsidR="00F2207B" w:rsidRPr="00612EED" w:rsidRDefault="00F2207B" w:rsidP="002A048C">
      <w:pPr>
        <w:spacing w:after="0" w:line="360" w:lineRule="auto"/>
        <w:ind w:firstLineChars="250" w:firstLine="600"/>
        <w:jc w:val="both"/>
        <w:rPr>
          <w:rFonts w:ascii="Book Antiqua" w:hAnsi="Book Antiqua" w:cs="Arial"/>
          <w:sz w:val="24"/>
          <w:szCs w:val="24"/>
        </w:rPr>
      </w:pPr>
      <w:r w:rsidRPr="00612EED">
        <w:rPr>
          <w:rFonts w:ascii="Book Antiqua" w:hAnsi="Book Antiqua" w:cs="Arial"/>
          <w:sz w:val="24"/>
          <w:szCs w:val="24"/>
        </w:rPr>
        <w:t>Primary hyperoxaluria type 1 (PH1) accounts for about 80% of all PH cases.</w:t>
      </w:r>
      <w:r w:rsidR="0077323C">
        <w:rPr>
          <w:rFonts w:ascii="Book Antiqua" w:hAnsi="Book Antiqua" w:cs="Arial"/>
          <w:sz w:val="24"/>
          <w:szCs w:val="24"/>
        </w:rPr>
        <w:t xml:space="preserve"> </w:t>
      </w:r>
      <w:r w:rsidRPr="00612EED">
        <w:rPr>
          <w:rFonts w:ascii="Book Antiqua" w:hAnsi="Book Antiqua" w:cs="Arial"/>
          <w:sz w:val="24"/>
          <w:szCs w:val="24"/>
        </w:rPr>
        <w:t>PH1 results from mutations in the hepatic peroxisomal enzyme alanine:glyoxylate amino transferase (AGT)</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93-95]</w:t>
      </w:r>
      <w:r w:rsidRPr="00D77939">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The gene encoding AGT (AGTX) is located on chromosome 2q37.3</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91]</w:t>
      </w:r>
      <w:r w:rsidRPr="00D77939">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AGT is pyridoxal-5-phosphate dependent</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93</w:t>
      </w:r>
      <w:r w:rsidR="00935B59">
        <w:rPr>
          <w:rFonts w:ascii="Book Antiqua" w:hAnsi="Book Antiqua" w:cs="Arial"/>
          <w:sz w:val="24"/>
          <w:szCs w:val="24"/>
          <w:vertAlign w:val="superscript"/>
        </w:rPr>
        <w:t>,</w:t>
      </w:r>
      <w:r w:rsidRPr="00612EED">
        <w:rPr>
          <w:rFonts w:ascii="Book Antiqua" w:hAnsi="Book Antiqua" w:cs="Arial"/>
          <w:sz w:val="24"/>
          <w:szCs w:val="24"/>
          <w:vertAlign w:val="superscript"/>
        </w:rPr>
        <w:t>94]</w:t>
      </w:r>
      <w:r w:rsidRPr="00612EED">
        <w:rPr>
          <w:rFonts w:ascii="Book Antiqua" w:hAnsi="Book Antiqua" w:cs="Arial"/>
          <w:sz w:val="24"/>
          <w:szCs w:val="24"/>
        </w:rPr>
        <w:t xml:space="preserve"> and catalyzes the transamination of glyoxylate to glycine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94, 95]</w:t>
      </w:r>
      <w:r w:rsidRPr="00D77939">
        <w:rPr>
          <w:rFonts w:ascii="Book Antiqua" w:hAnsi="Book Antiqua" w:cs="Arial"/>
          <w:sz w:val="24"/>
          <w:szCs w:val="24"/>
        </w:rPr>
        <w:t>.</w:t>
      </w:r>
      <w:r w:rsidR="004F2EFF" w:rsidRPr="00D77939">
        <w:rPr>
          <w:rFonts w:ascii="Book Antiqua" w:hAnsi="Book Antiqua" w:cs="Arial"/>
          <w:sz w:val="24"/>
          <w:szCs w:val="24"/>
        </w:rPr>
        <w:t xml:space="preserve"> </w:t>
      </w:r>
      <w:r w:rsidRPr="00612EED">
        <w:rPr>
          <w:rFonts w:ascii="Book Antiqua" w:hAnsi="Book Antiqua" w:cs="Arial"/>
          <w:sz w:val="24"/>
          <w:szCs w:val="24"/>
        </w:rPr>
        <w:t>PH1 mutations result in in accumulation of glyoxylate and excessive production of oxalate and glycolate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94]</w:t>
      </w:r>
      <w:r w:rsidRPr="00D77939">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Figure 1 illustrates these relationships.</w:t>
      </w:r>
      <w:r w:rsidR="0077323C">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As of 2013, 178 different AGT mutations had been discovered</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94]</w:t>
      </w:r>
      <w:r w:rsidRPr="00D77939">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Phenotypes vary from nephrocalcinosis, failure to thrive and advanced renal failure in early childhood to recurrent or even occasional nephrolithiasis in adulthood</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96, 97]</w:t>
      </w:r>
      <w:r w:rsidRPr="00D77939">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As renal failure progresses, high plasma levels of oxalate result in supersaturation and precipitation of calcium oxalate crystals in various organs (oxalosis).</w:t>
      </w:r>
      <w:r w:rsidR="0077323C">
        <w:rPr>
          <w:rFonts w:ascii="Book Antiqua" w:hAnsi="Book Antiqua" w:cs="Arial"/>
          <w:sz w:val="24"/>
          <w:szCs w:val="24"/>
        </w:rPr>
        <w:t xml:space="preserve"> </w:t>
      </w:r>
      <w:r w:rsidRPr="00612EED">
        <w:rPr>
          <w:rFonts w:ascii="Book Antiqua" w:hAnsi="Book Antiqua" w:cs="Arial"/>
          <w:sz w:val="24"/>
          <w:szCs w:val="24"/>
        </w:rPr>
        <w:t>Blood vessel walls, bones, joints, retinae, skin, bone marrow, cardiac tissue and the nervous system are sites affected in oxalosis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90-95]</w:t>
      </w:r>
      <w:r w:rsidRPr="00D77939">
        <w:rPr>
          <w:rFonts w:ascii="Book Antiqua" w:hAnsi="Book Antiqua" w:cs="Arial"/>
          <w:sz w:val="24"/>
          <w:szCs w:val="24"/>
        </w:rPr>
        <w:t>.</w:t>
      </w:r>
      <w:r w:rsidR="004F2EFF">
        <w:rPr>
          <w:rFonts w:ascii="Book Antiqua" w:hAnsi="Book Antiqua" w:cs="Arial"/>
          <w:sz w:val="24"/>
          <w:szCs w:val="24"/>
        </w:rPr>
        <w:t xml:space="preserve"> </w:t>
      </w:r>
      <w:r w:rsidRPr="00612EED">
        <w:rPr>
          <w:rFonts w:ascii="Book Antiqua" w:hAnsi="Book Antiqua" w:cs="Arial"/>
          <w:sz w:val="24"/>
          <w:szCs w:val="24"/>
        </w:rPr>
        <w:t>Life-threatening clinical manifestations accompany the deposition of oxalate crystals in vital organs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97]</w:t>
      </w:r>
      <w:r w:rsidRPr="00D77939">
        <w:rPr>
          <w:rFonts w:ascii="Book Antiqua" w:hAnsi="Book Antiqua" w:cs="Arial"/>
          <w:sz w:val="24"/>
          <w:szCs w:val="24"/>
        </w:rPr>
        <w:t>.</w:t>
      </w:r>
    </w:p>
    <w:p w:rsidR="00F2207B" w:rsidRPr="00612EED" w:rsidRDefault="00F2207B" w:rsidP="002A048C">
      <w:pPr>
        <w:spacing w:after="0" w:line="360" w:lineRule="auto"/>
        <w:ind w:firstLineChars="150" w:firstLine="360"/>
        <w:jc w:val="both"/>
        <w:rPr>
          <w:rFonts w:ascii="Book Antiqua" w:hAnsi="Book Antiqua" w:cs="Arial"/>
          <w:sz w:val="24"/>
          <w:szCs w:val="24"/>
        </w:rPr>
      </w:pPr>
      <w:r w:rsidRPr="00612EED">
        <w:rPr>
          <w:rFonts w:ascii="Book Antiqua" w:hAnsi="Book Antiqua" w:cs="Arial"/>
          <w:sz w:val="24"/>
          <w:szCs w:val="24"/>
        </w:rPr>
        <w:t>The diagnosis of PH1 is assisted by finding elevated levels of oxalate and glycolate in the urine.</w:t>
      </w:r>
      <w:r w:rsidR="0077323C">
        <w:rPr>
          <w:rFonts w:ascii="Book Antiqua" w:hAnsi="Book Antiqua" w:cs="Arial"/>
          <w:sz w:val="24"/>
          <w:szCs w:val="24"/>
        </w:rPr>
        <w:t xml:space="preserve"> </w:t>
      </w:r>
      <w:r w:rsidRPr="00612EED">
        <w:rPr>
          <w:rFonts w:ascii="Book Antiqua" w:hAnsi="Book Antiqua" w:cs="Arial"/>
          <w:sz w:val="24"/>
          <w:szCs w:val="24"/>
        </w:rPr>
        <w:t xml:space="preserve">It should be noted, however, that approximately one quarter of subjects </w:t>
      </w:r>
      <w:r w:rsidRPr="00612EED">
        <w:rPr>
          <w:rFonts w:ascii="Book Antiqua" w:hAnsi="Book Antiqua" w:cs="Arial"/>
          <w:sz w:val="24"/>
          <w:szCs w:val="24"/>
        </w:rPr>
        <w:lastRenderedPageBreak/>
        <w:t>with PH1 do not have elevated glycolate levels in the urine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95]</w:t>
      </w:r>
      <w:r w:rsidRPr="007B171A">
        <w:rPr>
          <w:rFonts w:ascii="Book Antiqua" w:hAnsi="Book Antiqua" w:cs="Arial"/>
          <w:sz w:val="24"/>
          <w:szCs w:val="24"/>
        </w:rPr>
        <w:t>.</w:t>
      </w:r>
      <w:r w:rsidR="0077323C" w:rsidRPr="007B171A">
        <w:rPr>
          <w:rFonts w:ascii="Book Antiqua" w:hAnsi="Book Antiqua" w:cs="Arial"/>
          <w:sz w:val="24"/>
          <w:szCs w:val="24"/>
        </w:rPr>
        <w:t xml:space="preserve"> </w:t>
      </w:r>
      <w:r w:rsidRPr="00612EED">
        <w:rPr>
          <w:rFonts w:ascii="Book Antiqua" w:hAnsi="Book Antiqua" w:cs="Arial"/>
          <w:sz w:val="24"/>
          <w:szCs w:val="24"/>
        </w:rPr>
        <w:t>Renal failure consistently decreases urinary oxalate excretion which can cause diagnostic problems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90]</w:t>
      </w:r>
      <w:r w:rsidRPr="007B171A">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In the past, liver biopsy for assessment of AGT activity was required for the diagnosis of PH1.</w:t>
      </w:r>
      <w:r w:rsidR="0077323C">
        <w:rPr>
          <w:rFonts w:ascii="Book Antiqua" w:hAnsi="Book Antiqua" w:cs="Arial"/>
          <w:sz w:val="24"/>
          <w:szCs w:val="24"/>
        </w:rPr>
        <w:t xml:space="preserve"> </w:t>
      </w:r>
      <w:r w:rsidRPr="00612EED">
        <w:rPr>
          <w:rFonts w:ascii="Book Antiqua" w:hAnsi="Book Antiqua" w:cs="Arial"/>
          <w:sz w:val="24"/>
          <w:szCs w:val="24"/>
        </w:rPr>
        <w:t>Nowadays, however, the diagnosis relies on molecular genetic testing including DNA sequencing, deletion/duplication analysis and targeted mutation analysis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95]</w:t>
      </w:r>
      <w:r w:rsidRPr="007B171A">
        <w:rPr>
          <w:rFonts w:ascii="Book Antiqua" w:hAnsi="Book Antiqua" w:cs="Arial"/>
          <w:sz w:val="24"/>
          <w:szCs w:val="24"/>
        </w:rPr>
        <w:t>.</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The management of PH1 follows some of the same principles of management of urinary stones in general.</w:t>
      </w:r>
      <w:r w:rsidR="0077323C">
        <w:rPr>
          <w:rFonts w:ascii="Book Antiqua" w:hAnsi="Book Antiqua" w:cs="Arial"/>
          <w:sz w:val="24"/>
          <w:szCs w:val="24"/>
        </w:rPr>
        <w:t xml:space="preserve"> </w:t>
      </w:r>
      <w:r w:rsidRPr="00612EED">
        <w:rPr>
          <w:rFonts w:ascii="Book Antiqua" w:hAnsi="Book Antiqua" w:cs="Arial"/>
          <w:sz w:val="24"/>
          <w:szCs w:val="24"/>
        </w:rPr>
        <w:t>Fluid intake to ensure large urinary volumes is recommended for patients without advanced renal failure.</w:t>
      </w:r>
      <w:r w:rsidR="0077323C">
        <w:rPr>
          <w:rFonts w:ascii="Book Antiqua" w:hAnsi="Book Antiqua" w:cs="Arial"/>
          <w:sz w:val="24"/>
          <w:szCs w:val="24"/>
        </w:rPr>
        <w:t xml:space="preserve"> </w:t>
      </w:r>
      <w:r w:rsidRPr="00612EED">
        <w:rPr>
          <w:rFonts w:ascii="Book Antiqua" w:hAnsi="Book Antiqua" w:cs="Arial"/>
          <w:sz w:val="24"/>
          <w:szCs w:val="24"/>
        </w:rPr>
        <w:t>Calcium supplements and other measures to reduce gastrointestinal absorption of oxalate have limited effectiveness in treating PH.</w:t>
      </w:r>
      <w:r w:rsidR="0077323C">
        <w:rPr>
          <w:rFonts w:ascii="Book Antiqua" w:hAnsi="Book Antiqua" w:cs="Arial"/>
          <w:sz w:val="24"/>
          <w:szCs w:val="24"/>
        </w:rPr>
        <w:t xml:space="preserve"> </w:t>
      </w:r>
      <w:r w:rsidRPr="00612EED">
        <w:rPr>
          <w:rFonts w:ascii="Book Antiqua" w:hAnsi="Book Antiqua" w:cs="Arial"/>
          <w:sz w:val="24"/>
          <w:szCs w:val="24"/>
        </w:rPr>
        <w:t>Potassium citrate or, in cases of advanced renal failure, sodium citrate may reduce the tendency to form stones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95]</w:t>
      </w:r>
      <w:r w:rsidRPr="005C4F97">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Pyridoxine administration reduces oxalate formation in 10% to 30% of the patients with PH1</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91]</w:t>
      </w:r>
      <w:r w:rsidRPr="005C4F97">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Effectiveness of pyridoxine has been linked to the AGT genotypes Gly170R and Phe152lle, which are associated with some residual activity of the enzyme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91, 94]</w:t>
      </w:r>
      <w:r w:rsidRPr="005C4F97">
        <w:rPr>
          <w:rFonts w:ascii="Book Antiqua" w:hAnsi="Book Antiqua" w:cs="Arial"/>
          <w:sz w:val="24"/>
          <w:szCs w:val="24"/>
        </w:rPr>
        <w:t>.</w:t>
      </w:r>
      <w:r w:rsidR="004F2EFF">
        <w:rPr>
          <w:rFonts w:ascii="Book Antiqua" w:hAnsi="Book Antiqua" w:cs="Arial"/>
          <w:sz w:val="24"/>
          <w:szCs w:val="24"/>
        </w:rPr>
        <w:t xml:space="preserve"> </w:t>
      </w:r>
      <w:r w:rsidRPr="00612EED">
        <w:rPr>
          <w:rFonts w:ascii="Book Antiqua" w:hAnsi="Book Antiqua" w:cs="Arial"/>
          <w:sz w:val="24"/>
          <w:szCs w:val="24"/>
        </w:rPr>
        <w:t>Combined liver-kidney transplantation is the method of choice for PH1 patients with advanced renal failure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95]</w:t>
      </w:r>
      <w:r w:rsidRPr="00612EED">
        <w:rPr>
          <w:rFonts w:ascii="Book Antiqua" w:hAnsi="Book Antiqua" w:cs="Arial"/>
          <w:sz w:val="24"/>
          <w:szCs w:val="24"/>
        </w:rPr>
        <w:t>.</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Primary hyperoxaluria type 2 (PH2) is found in about 10% of the PH cases.</w:t>
      </w:r>
      <w:r w:rsidR="0077323C">
        <w:rPr>
          <w:rFonts w:ascii="Book Antiqua" w:hAnsi="Book Antiqua" w:cs="Arial"/>
          <w:sz w:val="24"/>
          <w:szCs w:val="24"/>
        </w:rPr>
        <w:t xml:space="preserve"> </w:t>
      </w:r>
      <w:r w:rsidRPr="00612EED">
        <w:rPr>
          <w:rFonts w:ascii="Book Antiqua" w:hAnsi="Book Antiqua" w:cs="Arial"/>
          <w:sz w:val="24"/>
          <w:szCs w:val="24"/>
        </w:rPr>
        <w:t>PH2 results from mutations of the cytosolic enzyme glyoxylate reductase/hydroxypyruvate reductase (GRHPR)</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94, 96]</w:t>
      </w:r>
      <w:r w:rsidRPr="00612EED">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The gene for GRHPR is located on in chromosome 9p13.2</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94]</w:t>
      </w:r>
      <w:r w:rsidRPr="00D618FE">
        <w:rPr>
          <w:rFonts w:ascii="Book Antiqua" w:hAnsi="Book Antiqua" w:cs="Arial"/>
          <w:sz w:val="24"/>
          <w:szCs w:val="24"/>
        </w:rPr>
        <w:t>.</w:t>
      </w:r>
      <w:r w:rsidR="0077323C" w:rsidRPr="00D618FE">
        <w:rPr>
          <w:rFonts w:ascii="Book Antiqua" w:hAnsi="Book Antiqua" w:cs="Arial"/>
          <w:sz w:val="24"/>
          <w:szCs w:val="24"/>
        </w:rPr>
        <w:t xml:space="preserve"> </w:t>
      </w:r>
      <w:r w:rsidRPr="00612EED">
        <w:rPr>
          <w:rFonts w:ascii="Book Antiqua" w:hAnsi="Book Antiqua" w:cs="Arial"/>
          <w:sz w:val="24"/>
          <w:szCs w:val="24"/>
        </w:rPr>
        <w:t>GRHPR is present in tissues throughout the body and catalyzes the conversion of glyoxylate to glycolate and hydroxypyruvate to D-glycerate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94]</w:t>
      </w:r>
      <w:r w:rsidRPr="00D618FE">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Reduced or absent GRHPR activity leads to increased availability of lactate and hydroxypyruvate for conversion to oxalate and L-glycerate.</w:t>
      </w:r>
      <w:r w:rsidR="0077323C">
        <w:rPr>
          <w:rFonts w:ascii="Book Antiqua" w:hAnsi="Book Antiqua" w:cs="Arial"/>
          <w:sz w:val="24"/>
          <w:szCs w:val="24"/>
        </w:rPr>
        <w:t xml:space="preserve"> </w:t>
      </w:r>
      <w:r w:rsidRPr="00612EED">
        <w:rPr>
          <w:rFonts w:ascii="Book Antiqua" w:hAnsi="Book Antiqua" w:cs="Arial"/>
          <w:sz w:val="24"/>
          <w:szCs w:val="24"/>
        </w:rPr>
        <w:t>Urinary excretion of high levels of L-glycerate is a characteristic of PH2</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96]</w:t>
      </w:r>
      <w:r w:rsidRPr="00D618FE">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Nephrolithiasis, nephrocalcinosis, end-stage renal failure and oxalosis in advanced renal failure are the clinical hallmarks of PH2</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92, 96]</w:t>
      </w:r>
      <w:r w:rsidRPr="00D618FE">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The severity of these manifestations is less than in PH1:</w:t>
      </w:r>
      <w:r w:rsidR="0077323C">
        <w:rPr>
          <w:rFonts w:ascii="Book Antiqua" w:hAnsi="Book Antiqua" w:cs="Arial"/>
          <w:sz w:val="24"/>
          <w:szCs w:val="24"/>
        </w:rPr>
        <w:t xml:space="preserve"> </w:t>
      </w:r>
      <w:r w:rsidRPr="00612EED">
        <w:rPr>
          <w:rFonts w:ascii="Book Antiqua" w:hAnsi="Book Antiqua" w:cs="Arial"/>
          <w:sz w:val="24"/>
          <w:szCs w:val="24"/>
        </w:rPr>
        <w:t>nephrocalcinosis is rare and end-stage renal failure develops later in life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92]</w:t>
      </w:r>
      <w:r w:rsidRPr="00D618FE">
        <w:rPr>
          <w:rFonts w:ascii="Book Antiqua" w:hAnsi="Book Antiqua" w:cs="Arial"/>
          <w:sz w:val="24"/>
          <w:szCs w:val="24"/>
        </w:rPr>
        <w:t>.</w:t>
      </w:r>
      <w:r w:rsidR="0077323C" w:rsidRPr="00D618FE">
        <w:rPr>
          <w:rFonts w:ascii="Book Antiqua" w:hAnsi="Book Antiqua" w:cs="Arial"/>
          <w:sz w:val="24"/>
          <w:szCs w:val="24"/>
        </w:rPr>
        <w:t xml:space="preserve"> </w:t>
      </w:r>
      <w:r w:rsidRPr="00612EED">
        <w:rPr>
          <w:rFonts w:ascii="Book Antiqua" w:hAnsi="Book Antiqua" w:cs="Arial"/>
          <w:sz w:val="24"/>
          <w:szCs w:val="24"/>
        </w:rPr>
        <w:t>The diagnosis can be made by assay of GRHPR in blood mononuclear cells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97]</w:t>
      </w:r>
      <w:r w:rsidRPr="00612EED">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The treatment of PH2 is similar to that of PH1, with two exceptions:</w:t>
      </w:r>
      <w:r w:rsidR="0077323C">
        <w:rPr>
          <w:rFonts w:ascii="Book Antiqua" w:hAnsi="Book Antiqua" w:cs="Arial"/>
          <w:sz w:val="24"/>
          <w:szCs w:val="24"/>
        </w:rPr>
        <w:t xml:space="preserve"> </w:t>
      </w:r>
      <w:r w:rsidRPr="00612EED">
        <w:rPr>
          <w:rFonts w:ascii="Book Antiqua" w:hAnsi="Book Antiqua" w:cs="Arial"/>
          <w:sz w:val="24"/>
          <w:szCs w:val="24"/>
        </w:rPr>
        <w:t xml:space="preserve">pyridoxine is not effective in PH2; and renal transplantation has been used </w:t>
      </w:r>
      <w:r w:rsidRPr="00612EED">
        <w:rPr>
          <w:rFonts w:ascii="Book Antiqua" w:hAnsi="Book Antiqua" w:cs="Arial"/>
          <w:sz w:val="24"/>
          <w:szCs w:val="24"/>
        </w:rPr>
        <w:lastRenderedPageBreak/>
        <w:t>for treatment of end-stage renal failure, while combined liver-kidney transplantation has not been used in PH2</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96]</w:t>
      </w:r>
      <w:r w:rsidRPr="00643F94">
        <w:rPr>
          <w:rFonts w:ascii="Book Antiqua" w:hAnsi="Book Antiqua" w:cs="Arial"/>
          <w:sz w:val="24"/>
          <w:szCs w:val="24"/>
        </w:rPr>
        <w:t>.</w:t>
      </w:r>
      <w:r w:rsidR="0077323C" w:rsidRPr="00643F94">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Primary hyperoxaluria type 3 (PH3) accounts for 2.5% of PH cases.</w:t>
      </w:r>
      <w:r w:rsidR="0077323C">
        <w:rPr>
          <w:rFonts w:ascii="Book Antiqua" w:hAnsi="Book Antiqua" w:cs="Arial"/>
          <w:sz w:val="24"/>
          <w:szCs w:val="24"/>
        </w:rPr>
        <w:t xml:space="preserve"> </w:t>
      </w:r>
      <w:r w:rsidRPr="00612EED">
        <w:rPr>
          <w:rFonts w:ascii="Book Antiqua" w:hAnsi="Book Antiqua" w:cs="Arial"/>
          <w:sz w:val="24"/>
          <w:szCs w:val="24"/>
        </w:rPr>
        <w:t>PH3 results from mutation of the hepatic mitochondrial enzyme 4-hydroxy-2-oxoglutarate aldolase (HOGA1)</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98, 99]</w:t>
      </w:r>
      <w:r w:rsidRPr="003148DB">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HOGA1 catalyzes the last step in the conversion of hydroxyproline to oxalate.</w:t>
      </w:r>
      <w:r w:rsidR="0077323C">
        <w:rPr>
          <w:rFonts w:ascii="Book Antiqua" w:hAnsi="Book Antiqua" w:cs="Arial"/>
          <w:sz w:val="24"/>
          <w:szCs w:val="24"/>
        </w:rPr>
        <w:t xml:space="preserve"> </w:t>
      </w:r>
      <w:r w:rsidRPr="00612EED">
        <w:rPr>
          <w:rFonts w:ascii="Book Antiqua" w:hAnsi="Book Antiqua" w:cs="Arial"/>
          <w:sz w:val="24"/>
          <w:szCs w:val="24"/>
        </w:rPr>
        <w:t>The chromosomal location of the gene responsible for PH3 is in 10q242</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94]</w:t>
      </w:r>
      <w:r w:rsidRPr="003148DB">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The mechanism by which non-functioning mutations of HOGA1 lead to hyperoxaluria is an enigma.</w:t>
      </w:r>
      <w:r w:rsidR="0077323C">
        <w:rPr>
          <w:rFonts w:ascii="Book Antiqua" w:hAnsi="Book Antiqua" w:cs="Arial"/>
          <w:sz w:val="24"/>
          <w:szCs w:val="24"/>
        </w:rPr>
        <w:t xml:space="preserve"> </w:t>
      </w:r>
      <w:r w:rsidRPr="00612EED">
        <w:rPr>
          <w:rFonts w:ascii="Book Antiqua" w:hAnsi="Book Antiqua" w:cs="Arial"/>
          <w:sz w:val="24"/>
          <w:szCs w:val="24"/>
        </w:rPr>
        <w:t>Intuitively, decreased HOGA1 activity should lead to decreased production of oxalate through the hydroxyproline pathway.</w:t>
      </w:r>
      <w:r w:rsidR="0077323C">
        <w:rPr>
          <w:rFonts w:ascii="Book Antiqua" w:hAnsi="Book Antiqua" w:cs="Arial"/>
          <w:sz w:val="24"/>
          <w:szCs w:val="24"/>
        </w:rPr>
        <w:t xml:space="preserve"> </w:t>
      </w:r>
      <w:r w:rsidRPr="00612EED">
        <w:rPr>
          <w:rFonts w:ascii="Book Antiqua" w:hAnsi="Book Antiqua" w:cs="Arial"/>
          <w:sz w:val="24"/>
          <w:szCs w:val="24"/>
        </w:rPr>
        <w:t>A hypothesis for the pathogenesis of hyperoxaluria in PH3 was recently proposed by Belostotsky and associates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100]</w:t>
      </w:r>
      <w:r w:rsidRPr="003148DB">
        <w:rPr>
          <w:rFonts w:ascii="Book Antiqua" w:hAnsi="Book Antiqua" w:cs="Arial"/>
          <w:sz w:val="24"/>
          <w:szCs w:val="24"/>
        </w:rPr>
        <w:t>.</w:t>
      </w:r>
      <w:r w:rsidR="0077323C" w:rsidRPr="003148DB">
        <w:rPr>
          <w:rFonts w:ascii="Book Antiqua" w:hAnsi="Book Antiqua" w:cs="Arial"/>
          <w:sz w:val="24"/>
          <w:szCs w:val="24"/>
        </w:rPr>
        <w:t xml:space="preserve"> </w:t>
      </w:r>
      <w:r w:rsidRPr="00612EED">
        <w:rPr>
          <w:rFonts w:ascii="Book Antiqua" w:hAnsi="Book Antiqua" w:cs="Arial"/>
          <w:sz w:val="24"/>
          <w:szCs w:val="24"/>
        </w:rPr>
        <w:t>These investigators identified a cytosolic 4-hydroxy-2-oxoglutarate aldolase distinct from mitochondrial HOGA1 in human hepatocytes.</w:t>
      </w:r>
      <w:r w:rsidR="0077323C">
        <w:rPr>
          <w:rFonts w:ascii="Book Antiqua" w:hAnsi="Book Antiqua" w:cs="Arial"/>
          <w:sz w:val="24"/>
          <w:szCs w:val="24"/>
        </w:rPr>
        <w:t xml:space="preserve"> </w:t>
      </w:r>
      <w:r w:rsidRPr="00612EED">
        <w:rPr>
          <w:rFonts w:ascii="Book Antiqua" w:hAnsi="Book Antiqua" w:cs="Arial"/>
          <w:sz w:val="24"/>
          <w:szCs w:val="24"/>
        </w:rPr>
        <w:t>They speculated that individuals with PH3 accumulate 4-hydroxy-2-oxoglutarate in mitochondria and that following transfer of this compound into the cytosol it is converted to glyoxylate by the cytosolic aldolase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100]</w:t>
      </w:r>
      <w:r w:rsidRPr="003148DB">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Oxaluria is less marked in PH3 than in PH1 or PH2 and the clinical manifestations are less severe. Urolithiasis is the main clinical manifestation in PH3.</w:t>
      </w:r>
      <w:r w:rsidR="0077323C">
        <w:rPr>
          <w:rFonts w:ascii="Book Antiqua" w:hAnsi="Book Antiqua" w:cs="Arial"/>
          <w:sz w:val="24"/>
          <w:szCs w:val="24"/>
        </w:rPr>
        <w:t xml:space="preserve"> </w:t>
      </w:r>
      <w:r w:rsidRPr="00612EED">
        <w:rPr>
          <w:rFonts w:ascii="Book Antiqua" w:hAnsi="Book Antiqua" w:cs="Arial"/>
          <w:sz w:val="24"/>
          <w:szCs w:val="24"/>
        </w:rPr>
        <w:t>Furthermore, nephrocalcinosis and renal failure are uncommon, and oxalosis has not been described in PH3</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94]</w:t>
      </w:r>
      <w:r w:rsidRPr="003148DB">
        <w:rPr>
          <w:rFonts w:ascii="Book Antiqua" w:hAnsi="Book Antiqua" w:cs="Arial"/>
          <w:sz w:val="24"/>
          <w:szCs w:val="24"/>
        </w:rPr>
        <w:t>.</w:t>
      </w:r>
    </w:p>
    <w:p w:rsidR="00F2207B" w:rsidRDefault="00F2207B" w:rsidP="002A048C">
      <w:pPr>
        <w:spacing w:after="0" w:line="360" w:lineRule="auto"/>
        <w:ind w:firstLineChars="200" w:firstLine="480"/>
        <w:jc w:val="both"/>
        <w:rPr>
          <w:rFonts w:ascii="Book Antiqua" w:hAnsi="Book Antiqua" w:cs="Arial"/>
          <w:sz w:val="24"/>
          <w:szCs w:val="24"/>
          <w:lang w:eastAsia="zh-CN"/>
        </w:rPr>
      </w:pPr>
      <w:r w:rsidRPr="00612EED">
        <w:rPr>
          <w:rFonts w:ascii="Book Antiqua" w:hAnsi="Book Antiqua" w:cs="Arial"/>
          <w:sz w:val="24"/>
          <w:szCs w:val="24"/>
        </w:rPr>
        <w:t>Surveys of primary hyperoxaluria in various countries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101-105]</w:t>
      </w:r>
      <w:r w:rsidRPr="00612EED">
        <w:rPr>
          <w:rFonts w:ascii="Book Antiqua" w:hAnsi="Book Antiqua" w:cs="Arial"/>
          <w:sz w:val="24"/>
          <w:szCs w:val="24"/>
        </w:rPr>
        <w:t xml:space="preserve"> have identified prolonged delays in the diagnosis of PH.</w:t>
      </w:r>
      <w:r w:rsidR="0077323C">
        <w:rPr>
          <w:rFonts w:ascii="Book Antiqua" w:hAnsi="Book Antiqua" w:cs="Arial"/>
          <w:sz w:val="24"/>
          <w:szCs w:val="24"/>
        </w:rPr>
        <w:t xml:space="preserve"> </w:t>
      </w:r>
      <w:r w:rsidRPr="00612EED">
        <w:rPr>
          <w:rFonts w:ascii="Book Antiqua" w:hAnsi="Book Antiqua" w:cs="Arial"/>
          <w:sz w:val="24"/>
          <w:szCs w:val="24"/>
        </w:rPr>
        <w:t>Delays in the diagnosis have been observed also in enteric hyperoxaluria and could be present also in dietary hyperoxaluria (see Figure 2 below).</w:t>
      </w:r>
    </w:p>
    <w:p w:rsidR="003148DB" w:rsidRPr="00612EED" w:rsidRDefault="003148DB" w:rsidP="002A048C">
      <w:pPr>
        <w:spacing w:after="0" w:line="360" w:lineRule="auto"/>
        <w:ind w:firstLineChars="200" w:firstLine="480"/>
        <w:jc w:val="both"/>
        <w:rPr>
          <w:rFonts w:ascii="Book Antiqua" w:hAnsi="Book Antiqua" w:cs="Arial"/>
          <w:sz w:val="24"/>
          <w:szCs w:val="24"/>
          <w:lang w:eastAsia="zh-CN"/>
        </w:rPr>
      </w:pPr>
    </w:p>
    <w:p w:rsidR="00F2207B" w:rsidRPr="00612EED" w:rsidRDefault="00F2207B" w:rsidP="002A048C">
      <w:pPr>
        <w:spacing w:after="0" w:line="360" w:lineRule="auto"/>
        <w:jc w:val="both"/>
        <w:rPr>
          <w:rFonts w:ascii="Book Antiqua" w:hAnsi="Book Antiqua" w:cs="Arial"/>
          <w:b/>
          <w:i/>
          <w:sz w:val="24"/>
          <w:szCs w:val="24"/>
        </w:rPr>
      </w:pPr>
      <w:r w:rsidRPr="00612EED">
        <w:rPr>
          <w:rFonts w:ascii="Book Antiqua" w:hAnsi="Book Antiqua" w:cs="Arial"/>
          <w:b/>
          <w:i/>
          <w:sz w:val="24"/>
          <w:szCs w:val="24"/>
        </w:rPr>
        <w:t>Enteric hyperoxaluria</w:t>
      </w:r>
    </w:p>
    <w:p w:rsidR="00F2207B" w:rsidRPr="00612EED" w:rsidRDefault="00F2207B" w:rsidP="002A048C">
      <w:pPr>
        <w:spacing w:after="0" w:line="360" w:lineRule="auto"/>
        <w:jc w:val="both"/>
        <w:rPr>
          <w:rFonts w:ascii="Book Antiqua" w:hAnsi="Book Antiqua" w:cs="Arial"/>
          <w:sz w:val="24"/>
          <w:szCs w:val="24"/>
        </w:rPr>
      </w:pPr>
      <w:r w:rsidRPr="00612EED">
        <w:rPr>
          <w:rFonts w:ascii="Book Antiqua" w:hAnsi="Book Antiqua" w:cs="Arial"/>
          <w:sz w:val="24"/>
          <w:szCs w:val="24"/>
        </w:rPr>
        <w:t>Table 2 lists some of the conditions and surgical interventions in the gastrointestinal tract, including medical diseases of the gastrointestinal tract, medical or surgical conditions outside the gastrointestinal tract, and medications, that are associated with hyperoxaluria secondary to excessive intestinal absorption of oxalate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106-132]</w:t>
      </w:r>
      <w:r w:rsidRPr="00737512">
        <w:rPr>
          <w:rFonts w:ascii="Book Antiqua" w:hAnsi="Book Antiqua" w:cs="Arial"/>
          <w:sz w:val="24"/>
          <w:szCs w:val="24"/>
        </w:rPr>
        <w:t>.</w:t>
      </w:r>
      <w:r w:rsidR="004F2EFF">
        <w:rPr>
          <w:rFonts w:ascii="Book Antiqua" w:hAnsi="Book Antiqua" w:cs="Arial"/>
          <w:sz w:val="24"/>
          <w:szCs w:val="24"/>
        </w:rPr>
        <w:t xml:space="preserve"> </w:t>
      </w:r>
      <w:r w:rsidRPr="00612EED">
        <w:rPr>
          <w:rFonts w:ascii="Book Antiqua" w:hAnsi="Book Antiqua" w:cs="Arial"/>
          <w:sz w:val="24"/>
          <w:szCs w:val="24"/>
        </w:rPr>
        <w:t xml:space="preserve">A common characteristic of the conditions listed in Table 2 is the presence of steatorrhea with </w:t>
      </w:r>
      <w:r w:rsidRPr="00612EED">
        <w:rPr>
          <w:rFonts w:ascii="Book Antiqua" w:hAnsi="Book Antiqua" w:cs="Arial"/>
          <w:sz w:val="24"/>
          <w:szCs w:val="24"/>
        </w:rPr>
        <w:lastRenderedPageBreak/>
        <w:t>excessive amounts of fatty acids in the enteric lumen which bind divalent cations, especially calcium, thereby increasing the availability of the unbound oxalate for absorption</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109]</w:t>
      </w:r>
      <w:r w:rsidRPr="00737512">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In certain morbid conditions, such as cystic fibrosis, solid organ transplants or octreotide administration, frequent use of antibiotics causing alterations in the intestinal flora and lack of colonization by oxalate-consuming bacteria increases the availability of oxalate for absorption</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109, 122-129]</w:t>
      </w:r>
      <w:r w:rsidRPr="00737512">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In recipients of organ transplants, use of anti-rejection drugs (</w:t>
      </w:r>
      <w:r w:rsidR="00737512" w:rsidRPr="00737512">
        <w:rPr>
          <w:rFonts w:ascii="Book Antiqua" w:hAnsi="Book Antiqua" w:cs="Arial"/>
          <w:i/>
          <w:sz w:val="24"/>
          <w:szCs w:val="24"/>
        </w:rPr>
        <w:t>e.g.,</w:t>
      </w:r>
      <w:r w:rsidRPr="00612EED">
        <w:rPr>
          <w:rFonts w:ascii="Book Antiqua" w:hAnsi="Book Antiqua" w:cs="Arial"/>
          <w:sz w:val="24"/>
          <w:szCs w:val="24"/>
        </w:rPr>
        <w:t xml:space="preserve"> mycofenolate) that cause diarrhea and steatorrhea can contribute to hyperoxaluria</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127]</w:t>
      </w:r>
      <w:r w:rsidRPr="00737512">
        <w:rPr>
          <w:rFonts w:ascii="Book Antiqua" w:hAnsi="Book Antiqua" w:cs="Arial"/>
          <w:sz w:val="24"/>
          <w:szCs w:val="24"/>
        </w:rPr>
        <w:t>.</w:t>
      </w:r>
      <w:r w:rsidR="0077323C" w:rsidRPr="00737512">
        <w:rPr>
          <w:rFonts w:ascii="Book Antiqua" w:hAnsi="Book Antiqua" w:cs="Arial"/>
          <w:sz w:val="24"/>
          <w:szCs w:val="24"/>
        </w:rPr>
        <w:t xml:space="preserve"> </w:t>
      </w:r>
    </w:p>
    <w:p w:rsidR="00F2207B" w:rsidRPr="00612EED" w:rsidRDefault="00F2207B" w:rsidP="002A048C">
      <w:pPr>
        <w:spacing w:after="0" w:line="360" w:lineRule="auto"/>
        <w:ind w:firstLineChars="150" w:firstLine="360"/>
        <w:jc w:val="both"/>
        <w:rPr>
          <w:rFonts w:ascii="Book Antiqua" w:hAnsi="Book Antiqua" w:cs="Arial"/>
          <w:sz w:val="24"/>
          <w:szCs w:val="24"/>
        </w:rPr>
      </w:pPr>
      <w:r w:rsidRPr="00612EED">
        <w:rPr>
          <w:rFonts w:ascii="Book Antiqua" w:hAnsi="Book Antiqua" w:cs="Arial"/>
          <w:sz w:val="24"/>
          <w:szCs w:val="24"/>
        </w:rPr>
        <w:t>Studies conducted more than 30 years ago documented that the colon was the primary site of oxalate absorption and suggested that an intact colon is necessary for the development of enteric hyperoxaluria</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133, 134]</w:t>
      </w:r>
      <w:r w:rsidRPr="00737512">
        <w:rPr>
          <w:rFonts w:ascii="Book Antiqua" w:hAnsi="Book Antiqua" w:cs="Arial"/>
          <w:sz w:val="24"/>
          <w:szCs w:val="24"/>
        </w:rPr>
        <w:t>.</w:t>
      </w:r>
      <w:r w:rsidR="0077323C" w:rsidRPr="00737512">
        <w:rPr>
          <w:rFonts w:ascii="Book Antiqua" w:hAnsi="Book Antiqua" w:cs="Arial"/>
          <w:sz w:val="24"/>
          <w:szCs w:val="24"/>
        </w:rPr>
        <w:t xml:space="preserve"> </w:t>
      </w:r>
      <w:r w:rsidRPr="00612EED">
        <w:rPr>
          <w:rFonts w:ascii="Book Antiqua" w:hAnsi="Book Antiqua" w:cs="Arial"/>
          <w:sz w:val="24"/>
          <w:szCs w:val="24"/>
        </w:rPr>
        <w:t>However, enteric hyperoxaluria has also been noted in patients with partial colon resection</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119]</w:t>
      </w:r>
      <w:r w:rsidRPr="00737512">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In patients with enteric hyperoxaluria, diarrhea causes volume depletion and metabolic acidosis leading to low urinary pH and hypocitraturia.</w:t>
      </w:r>
      <w:r w:rsidR="0077323C">
        <w:rPr>
          <w:rFonts w:ascii="Book Antiqua" w:hAnsi="Book Antiqua" w:cs="Arial"/>
          <w:sz w:val="24"/>
          <w:szCs w:val="24"/>
        </w:rPr>
        <w:t xml:space="preserve"> </w:t>
      </w:r>
      <w:r w:rsidRPr="00612EED">
        <w:rPr>
          <w:rFonts w:ascii="Book Antiqua" w:hAnsi="Book Antiqua" w:cs="Arial"/>
          <w:sz w:val="24"/>
          <w:szCs w:val="24"/>
        </w:rPr>
        <w:t>In conjunction with hyperoxaluria, these conditions facilitate precipitation of calcium oxalate in renal tissues and promote the development of renal stones, nephrocalcinosis and oxalate nephropathy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109]</w:t>
      </w:r>
      <w:r w:rsidRPr="00737512">
        <w:rPr>
          <w:rFonts w:ascii="Book Antiqua" w:hAnsi="Book Antiqua" w:cs="Arial"/>
          <w:sz w:val="24"/>
          <w:szCs w:val="24"/>
        </w:rPr>
        <w:t>.</w:t>
      </w:r>
      <w:r w:rsidR="0077323C" w:rsidRPr="00737512">
        <w:rPr>
          <w:rFonts w:ascii="Book Antiqua" w:hAnsi="Book Antiqua" w:cs="Arial"/>
          <w:sz w:val="24"/>
          <w:szCs w:val="24"/>
        </w:rPr>
        <w:t xml:space="preserve"> </w:t>
      </w:r>
      <w:r w:rsidRPr="00612EED">
        <w:rPr>
          <w:rFonts w:ascii="Book Antiqua" w:hAnsi="Book Antiqua" w:cs="Arial"/>
          <w:sz w:val="24"/>
          <w:szCs w:val="24"/>
        </w:rPr>
        <w:t>In patients with primary hyperoxaluria, the renal failure that follows the development of nephrolithiasis, hydronephrosis, nephrocalcinosis and particularly parenchymal oxalate nephropathy is chronic.</w:t>
      </w:r>
      <w:r w:rsidR="0077323C">
        <w:rPr>
          <w:rFonts w:ascii="Book Antiqua" w:hAnsi="Book Antiqua" w:cs="Arial"/>
          <w:sz w:val="24"/>
          <w:szCs w:val="24"/>
        </w:rPr>
        <w:t xml:space="preserve"> </w:t>
      </w:r>
      <w:r w:rsidRPr="00612EED">
        <w:rPr>
          <w:rFonts w:ascii="Book Antiqua" w:hAnsi="Book Antiqua" w:cs="Arial"/>
          <w:sz w:val="24"/>
          <w:szCs w:val="24"/>
        </w:rPr>
        <w:t>Enteric hyperoxaluria can cause new-onset acute renal failure (acute oxalate nephropathy)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121,124-126, 129, 130, 132, 135-138, 140]</w:t>
      </w:r>
      <w:r w:rsidRPr="00737512">
        <w:rPr>
          <w:rFonts w:ascii="Book Antiqua" w:hAnsi="Book Antiqua" w:cs="Arial"/>
          <w:sz w:val="24"/>
          <w:szCs w:val="24"/>
        </w:rPr>
        <w:t>,</w:t>
      </w:r>
      <w:r w:rsidRPr="00612EED">
        <w:rPr>
          <w:rFonts w:ascii="Book Antiqua" w:hAnsi="Book Antiqua" w:cs="Arial"/>
          <w:sz w:val="24"/>
          <w:szCs w:val="24"/>
        </w:rPr>
        <w:t xml:space="preserve"> acute renal failure superimposed on pre-existing chronic kidney disease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116, 118]</w:t>
      </w:r>
      <w:r w:rsidRPr="00737512">
        <w:rPr>
          <w:rFonts w:ascii="Book Antiqua" w:hAnsi="Book Antiqua" w:cs="Arial"/>
          <w:sz w:val="24"/>
          <w:szCs w:val="24"/>
        </w:rPr>
        <w:t>,</w:t>
      </w:r>
      <w:r w:rsidRPr="00612EED">
        <w:rPr>
          <w:rFonts w:ascii="Book Antiqua" w:hAnsi="Book Antiqua" w:cs="Arial"/>
          <w:sz w:val="24"/>
          <w:szCs w:val="24"/>
          <w:vertAlign w:val="superscript"/>
        </w:rPr>
        <w:t xml:space="preserve"> </w:t>
      </w:r>
      <w:r w:rsidRPr="00612EED">
        <w:rPr>
          <w:rFonts w:ascii="Book Antiqua" w:hAnsi="Book Antiqua" w:cs="Arial"/>
          <w:sz w:val="24"/>
          <w:szCs w:val="24"/>
        </w:rPr>
        <w:t>or chronic oxalate nephropathy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110, 113, 119, 120, 128]</w:t>
      </w:r>
      <w:r w:rsidRPr="00737512">
        <w:rPr>
          <w:rFonts w:ascii="Book Antiqua" w:hAnsi="Book Antiqua" w:cs="Arial"/>
          <w:sz w:val="24"/>
          <w:szCs w:val="24"/>
        </w:rPr>
        <w:t>.</w:t>
      </w:r>
      <w:r w:rsidR="004F2EFF" w:rsidRPr="00737512">
        <w:rPr>
          <w:rFonts w:ascii="Book Antiqua" w:hAnsi="Book Antiqua" w:cs="Arial"/>
          <w:sz w:val="24"/>
          <w:szCs w:val="24"/>
        </w:rPr>
        <w:t xml:space="preserve"> </w:t>
      </w:r>
    </w:p>
    <w:p w:rsidR="00F2207B" w:rsidRPr="00612EED" w:rsidRDefault="00F2207B" w:rsidP="002A048C">
      <w:pPr>
        <w:spacing w:after="0" w:line="360" w:lineRule="auto"/>
        <w:jc w:val="both"/>
        <w:rPr>
          <w:rFonts w:ascii="Book Antiqua" w:hAnsi="Book Antiqua" w:cs="Arial"/>
          <w:b/>
          <w:i/>
          <w:sz w:val="24"/>
          <w:szCs w:val="24"/>
        </w:rPr>
      </w:pPr>
    </w:p>
    <w:p w:rsidR="00F2207B" w:rsidRPr="00612EED" w:rsidRDefault="00F2207B" w:rsidP="002A048C">
      <w:pPr>
        <w:spacing w:after="0" w:line="360" w:lineRule="auto"/>
        <w:jc w:val="both"/>
        <w:rPr>
          <w:rFonts w:ascii="Book Antiqua" w:hAnsi="Book Antiqua" w:cs="Arial"/>
          <w:b/>
          <w:i/>
          <w:sz w:val="24"/>
          <w:szCs w:val="24"/>
        </w:rPr>
      </w:pPr>
      <w:r w:rsidRPr="00612EED">
        <w:rPr>
          <w:rFonts w:ascii="Book Antiqua" w:hAnsi="Book Antiqua" w:cs="Arial"/>
          <w:b/>
          <w:i/>
          <w:sz w:val="24"/>
          <w:szCs w:val="24"/>
        </w:rPr>
        <w:t>Idiopathic (mild) hyperoxaluria</w:t>
      </w:r>
    </w:p>
    <w:p w:rsidR="00F2207B" w:rsidRDefault="00F2207B" w:rsidP="002A048C">
      <w:pPr>
        <w:spacing w:after="0" w:line="360" w:lineRule="auto"/>
        <w:jc w:val="both"/>
        <w:rPr>
          <w:rFonts w:ascii="Book Antiqua" w:hAnsi="Book Antiqua" w:cs="Arial"/>
          <w:sz w:val="24"/>
          <w:szCs w:val="24"/>
          <w:lang w:eastAsia="zh-CN"/>
        </w:rPr>
      </w:pPr>
      <w:r w:rsidRPr="00612EED">
        <w:rPr>
          <w:rFonts w:ascii="Book Antiqua" w:hAnsi="Book Antiqua" w:cs="Arial"/>
          <w:sz w:val="24"/>
          <w:szCs w:val="24"/>
        </w:rPr>
        <w:t>Idiopathic hyperoxaluria is a condition characterized by hyperoxaluria that is much less severe than primary on enteric hyperoxaluria and recurrent calcium oxalate stone formation</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5, 141, 142]</w:t>
      </w:r>
      <w:r w:rsidRPr="00FE6D6C">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This entity is encountered in subjects without any of the known types of enteric or primary hyperoxaluria.</w:t>
      </w:r>
      <w:r w:rsidR="004F2EFF">
        <w:rPr>
          <w:rFonts w:ascii="Book Antiqua" w:hAnsi="Book Antiqua" w:cs="Arial"/>
          <w:sz w:val="24"/>
          <w:szCs w:val="24"/>
        </w:rPr>
        <w:t xml:space="preserve"> </w:t>
      </w:r>
      <w:r w:rsidRPr="00612EED">
        <w:rPr>
          <w:rFonts w:ascii="Book Antiqua" w:hAnsi="Book Antiqua" w:cs="Arial"/>
          <w:sz w:val="24"/>
          <w:szCs w:val="24"/>
        </w:rPr>
        <w:t>Increased synthesis, increased gastrointestinal absorption, or increased renal tubular secretion of oxalate are the only known mechanisms of hyperoxaluria.</w:t>
      </w:r>
      <w:r w:rsidR="0077323C">
        <w:rPr>
          <w:rFonts w:ascii="Book Antiqua" w:hAnsi="Book Antiqua" w:cs="Arial"/>
          <w:sz w:val="24"/>
          <w:szCs w:val="24"/>
        </w:rPr>
        <w:t xml:space="preserve"> </w:t>
      </w:r>
      <w:r w:rsidRPr="00612EED">
        <w:rPr>
          <w:rFonts w:ascii="Book Antiqua" w:hAnsi="Book Antiqua" w:cs="Arial"/>
          <w:sz w:val="24"/>
          <w:szCs w:val="24"/>
        </w:rPr>
        <w:t xml:space="preserve">All three mechanisms have been implicated in </w:t>
      </w:r>
      <w:r w:rsidRPr="00612EED">
        <w:rPr>
          <w:rFonts w:ascii="Book Antiqua" w:hAnsi="Book Antiqua" w:cs="Arial"/>
          <w:sz w:val="24"/>
          <w:szCs w:val="24"/>
        </w:rPr>
        <w:lastRenderedPageBreak/>
        <w:t>idiopathic hyperoxaluria.</w:t>
      </w:r>
      <w:r w:rsidR="0077323C">
        <w:rPr>
          <w:rFonts w:ascii="Book Antiqua" w:hAnsi="Book Antiqua" w:cs="Arial"/>
          <w:sz w:val="24"/>
          <w:szCs w:val="24"/>
        </w:rPr>
        <w:t xml:space="preserve"> </w:t>
      </w:r>
      <w:r w:rsidRPr="00612EED">
        <w:rPr>
          <w:rFonts w:ascii="Book Antiqua" w:hAnsi="Book Antiqua" w:cs="Arial"/>
          <w:sz w:val="24"/>
          <w:szCs w:val="24"/>
        </w:rPr>
        <w:t>Increased absorption of oxalate by patients with idiopathic hyperoxaluria, especially when the dietary content of calcium is low, has been reported</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143-145]</w:t>
      </w:r>
      <w:r w:rsidRPr="00612EED">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In other studies in patients with the same entity, reduction of hyperoxaluria by large doses of pyridoxine was noted, suggesting that these subjects had excessive production of oxalate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146, 147]</w:t>
      </w:r>
      <w:r w:rsidRPr="00612EED">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In another set of studies subjects with idiopathic hyperoxaluria developed higher levels of oxaluria than control subjects after ascorbate loads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149]</w:t>
      </w:r>
      <w:r w:rsidRPr="00612EED">
        <w:rPr>
          <w:rFonts w:ascii="Book Antiqua" w:hAnsi="Book Antiqua" w:cs="Arial"/>
          <w:sz w:val="24"/>
          <w:szCs w:val="24"/>
        </w:rPr>
        <w:t xml:space="preserve"> or following meat ingestion</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12, 149]</w:t>
      </w:r>
      <w:r w:rsidRPr="00612EED">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This set of studies also pointed towards increased endogenous production of oxalate as the source of idiopathic hyperoxaluria.</w:t>
      </w:r>
      <w:r w:rsidR="0077323C">
        <w:rPr>
          <w:rFonts w:ascii="Book Antiqua" w:hAnsi="Book Antiqua" w:cs="Arial"/>
          <w:sz w:val="24"/>
          <w:szCs w:val="24"/>
        </w:rPr>
        <w:t xml:space="preserve"> </w:t>
      </w:r>
      <w:r w:rsidRPr="00612EED">
        <w:rPr>
          <w:rFonts w:ascii="Book Antiqua" w:hAnsi="Book Antiqua" w:cs="Arial"/>
          <w:sz w:val="24"/>
          <w:szCs w:val="24"/>
        </w:rPr>
        <w:t>Finally, another study found enhanced tubular secretion in idiopathic hyperoxaluria</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4]</w:t>
      </w:r>
      <w:r w:rsidRPr="00612EED">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Therefore, it is unclear whether idiopathic hyperoxaluria represents one or more types of hyperoxaluria.</w:t>
      </w:r>
      <w:r w:rsidR="0077323C">
        <w:rPr>
          <w:rFonts w:ascii="Book Antiqua" w:hAnsi="Book Antiqua" w:cs="Arial"/>
          <w:sz w:val="24"/>
          <w:szCs w:val="24"/>
        </w:rPr>
        <w:t xml:space="preserve"> </w:t>
      </w:r>
      <w:r w:rsidRPr="00612EED">
        <w:rPr>
          <w:rFonts w:ascii="Book Antiqua" w:hAnsi="Book Antiqua" w:cs="Arial"/>
          <w:sz w:val="24"/>
          <w:szCs w:val="24"/>
        </w:rPr>
        <w:t>Further research is needed to clarify the mechanism(s) of hyperoxaluria in this particular condition.</w:t>
      </w:r>
    </w:p>
    <w:p w:rsidR="00CD7009" w:rsidRPr="00612EED" w:rsidRDefault="00CD7009" w:rsidP="002A048C">
      <w:pPr>
        <w:spacing w:after="0" w:line="360" w:lineRule="auto"/>
        <w:jc w:val="both"/>
        <w:rPr>
          <w:rFonts w:ascii="Book Antiqua" w:hAnsi="Book Antiqua" w:cs="Arial"/>
          <w:sz w:val="24"/>
          <w:szCs w:val="24"/>
          <w:lang w:eastAsia="zh-CN"/>
        </w:rPr>
      </w:pPr>
    </w:p>
    <w:p w:rsidR="00F2207B" w:rsidRPr="00612EED" w:rsidRDefault="00F2207B" w:rsidP="002A048C">
      <w:pPr>
        <w:spacing w:after="0" w:line="360" w:lineRule="auto"/>
        <w:jc w:val="both"/>
        <w:rPr>
          <w:rFonts w:ascii="Book Antiqua" w:hAnsi="Book Antiqua" w:cs="Arial"/>
          <w:b/>
          <w:i/>
          <w:sz w:val="24"/>
          <w:szCs w:val="24"/>
        </w:rPr>
      </w:pPr>
      <w:r w:rsidRPr="00612EED">
        <w:rPr>
          <w:rFonts w:ascii="Book Antiqua" w:hAnsi="Book Antiqua" w:cs="Arial"/>
          <w:b/>
          <w:i/>
          <w:sz w:val="24"/>
          <w:szCs w:val="24"/>
        </w:rPr>
        <w:t>Dietary hyperoxaluria</w:t>
      </w:r>
    </w:p>
    <w:p w:rsidR="00F2207B" w:rsidRPr="00612EED" w:rsidRDefault="00F2207B" w:rsidP="002A048C">
      <w:pPr>
        <w:spacing w:after="0" w:line="360" w:lineRule="auto"/>
        <w:jc w:val="both"/>
        <w:rPr>
          <w:rFonts w:ascii="Book Antiqua" w:hAnsi="Book Antiqua" w:cs="Arial"/>
          <w:sz w:val="24"/>
          <w:szCs w:val="24"/>
        </w:rPr>
      </w:pPr>
      <w:r w:rsidRPr="00612EED">
        <w:rPr>
          <w:rFonts w:ascii="Book Antiqua" w:hAnsi="Book Antiqua" w:cs="Arial"/>
          <w:sz w:val="24"/>
          <w:szCs w:val="24"/>
        </w:rPr>
        <w:t>This section addresses dietary hyperoxaluria and hyperoxaluria secondary to medications or overdoses.</w:t>
      </w:r>
      <w:r w:rsidR="0077323C">
        <w:rPr>
          <w:rFonts w:ascii="Book Antiqua" w:hAnsi="Book Antiqua" w:cs="Arial"/>
          <w:sz w:val="24"/>
          <w:szCs w:val="24"/>
        </w:rPr>
        <w:t xml:space="preserve"> </w:t>
      </w:r>
      <w:r w:rsidRPr="00612EED">
        <w:rPr>
          <w:rFonts w:ascii="Book Antiqua" w:hAnsi="Book Antiqua" w:cs="Arial"/>
          <w:sz w:val="24"/>
          <w:szCs w:val="24"/>
        </w:rPr>
        <w:t>The clinical and histological manifestations of these three categories of hyperoxaluria are similar.</w:t>
      </w:r>
      <w:r w:rsidR="0077323C">
        <w:rPr>
          <w:rFonts w:ascii="Book Antiqua" w:hAnsi="Book Antiqua" w:cs="Arial"/>
          <w:sz w:val="24"/>
          <w:szCs w:val="24"/>
        </w:rPr>
        <w:t xml:space="preserve"> </w:t>
      </w:r>
      <w:r w:rsidRPr="00612EED">
        <w:rPr>
          <w:rFonts w:ascii="Book Antiqua" w:hAnsi="Book Antiqua" w:cs="Arial"/>
          <w:sz w:val="24"/>
          <w:szCs w:val="24"/>
        </w:rPr>
        <w:t>The reports of nephropathy from dietary hyperoxaluria, especially its chronic variety, are few and contain, in many instances, incomplete information.</w:t>
      </w:r>
      <w:r w:rsidR="0077323C">
        <w:rPr>
          <w:rFonts w:ascii="Book Antiqua" w:hAnsi="Book Antiqua" w:cs="Arial"/>
          <w:sz w:val="24"/>
          <w:szCs w:val="24"/>
        </w:rPr>
        <w:t xml:space="preserve"> </w:t>
      </w:r>
      <w:r w:rsidRPr="00612EED">
        <w:rPr>
          <w:rFonts w:ascii="Book Antiqua" w:hAnsi="Book Antiqua" w:cs="Arial"/>
          <w:sz w:val="24"/>
          <w:szCs w:val="24"/>
        </w:rPr>
        <w:t>Clinical and histological findings associated with the last two categories complete the picture of nephropathy in dietary hyperoxaluria.</w:t>
      </w:r>
      <w:r w:rsidR="004F2EFF">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Dietary hyperoxaluria should be differentiated from the other three categories of hyperoxaluria, since its treatment, which consists of reducing the dietary oxalate, is relatively simple.</w:t>
      </w:r>
      <w:r w:rsidR="0077323C">
        <w:rPr>
          <w:rFonts w:ascii="Book Antiqua" w:hAnsi="Book Antiqua" w:cs="Arial"/>
          <w:sz w:val="24"/>
          <w:szCs w:val="24"/>
        </w:rPr>
        <w:t xml:space="preserve"> </w:t>
      </w:r>
      <w:r w:rsidRPr="00612EED">
        <w:rPr>
          <w:rFonts w:ascii="Book Antiqua" w:hAnsi="Book Antiqua" w:cs="Arial"/>
          <w:sz w:val="24"/>
          <w:szCs w:val="24"/>
        </w:rPr>
        <w:t>Elimination of the diagnostic option of primary hyperoxaluria may require genetic testing, but this is usually not required.</w:t>
      </w:r>
      <w:r w:rsidR="0077323C">
        <w:rPr>
          <w:rFonts w:ascii="Book Antiqua" w:hAnsi="Book Antiqua" w:cs="Arial"/>
          <w:sz w:val="24"/>
          <w:szCs w:val="24"/>
        </w:rPr>
        <w:t xml:space="preserve"> </w:t>
      </w:r>
      <w:r w:rsidRPr="00612EED">
        <w:rPr>
          <w:rFonts w:ascii="Book Antiqua" w:hAnsi="Book Antiqua" w:cs="Arial"/>
          <w:sz w:val="24"/>
          <w:szCs w:val="24"/>
        </w:rPr>
        <w:t>A careful history should eliminate the possibility of enteric hyperoxaluria.</w:t>
      </w:r>
      <w:r w:rsidR="0077323C">
        <w:rPr>
          <w:rFonts w:ascii="Book Antiqua" w:hAnsi="Book Antiqua" w:cs="Arial"/>
          <w:sz w:val="24"/>
          <w:szCs w:val="24"/>
        </w:rPr>
        <w:t xml:space="preserve"> </w:t>
      </w:r>
      <w:r w:rsidRPr="00612EED">
        <w:rPr>
          <w:rFonts w:ascii="Book Antiqua" w:hAnsi="Book Antiqua" w:cs="Arial"/>
          <w:sz w:val="24"/>
          <w:szCs w:val="24"/>
        </w:rPr>
        <w:t>Routine laboratory findings, such as normal serum albumin and electrolyte levels, may assist in eliminating this diagnosis.</w:t>
      </w:r>
      <w:r w:rsidR="0077323C">
        <w:rPr>
          <w:rFonts w:ascii="Book Antiqua" w:hAnsi="Book Antiqua" w:cs="Arial"/>
          <w:sz w:val="24"/>
          <w:szCs w:val="24"/>
        </w:rPr>
        <w:t xml:space="preserve"> </w:t>
      </w:r>
      <w:r w:rsidRPr="00612EED">
        <w:rPr>
          <w:rFonts w:ascii="Book Antiqua" w:hAnsi="Book Antiqua" w:cs="Arial"/>
          <w:sz w:val="24"/>
          <w:szCs w:val="24"/>
        </w:rPr>
        <w:t>Differentiating between dietary and idiopathic hyperoxaluria can be difficult.</w:t>
      </w:r>
      <w:r w:rsidR="0077323C">
        <w:rPr>
          <w:rFonts w:ascii="Book Antiqua" w:hAnsi="Book Antiqua" w:cs="Arial"/>
          <w:sz w:val="24"/>
          <w:szCs w:val="24"/>
        </w:rPr>
        <w:t xml:space="preserve"> </w:t>
      </w:r>
      <w:r w:rsidRPr="00612EED">
        <w:rPr>
          <w:rFonts w:ascii="Book Antiqua" w:hAnsi="Book Antiqua" w:cs="Arial"/>
          <w:sz w:val="24"/>
          <w:szCs w:val="24"/>
        </w:rPr>
        <w:t>Features establishing the diagnosis of dietary hyperoxaluria include:</w:t>
      </w:r>
      <w:r w:rsidR="0077323C">
        <w:rPr>
          <w:rFonts w:ascii="Book Antiqua" w:hAnsi="Book Antiqua" w:cs="Arial"/>
          <w:sz w:val="24"/>
          <w:szCs w:val="24"/>
        </w:rPr>
        <w:t xml:space="preserve"> </w:t>
      </w:r>
      <w:r w:rsidRPr="00612EED">
        <w:rPr>
          <w:rFonts w:ascii="Book Antiqua" w:hAnsi="Book Antiqua" w:cs="Arial"/>
          <w:sz w:val="24"/>
          <w:szCs w:val="24"/>
        </w:rPr>
        <w:t xml:space="preserve">absence of primary or enteric hyperoxaluria; ingestion of large amounts of oxalate, usually found after the </w:t>
      </w:r>
      <w:r w:rsidRPr="00612EED">
        <w:rPr>
          <w:rFonts w:ascii="Book Antiqua" w:hAnsi="Book Antiqua" w:cs="Arial"/>
          <w:sz w:val="24"/>
          <w:szCs w:val="24"/>
        </w:rPr>
        <w:lastRenderedPageBreak/>
        <w:t>patient’s oxalate-induced end organ damage has become manifest; documented hyperoxaluria associated with a high oxalate diet; and reduction of the oxaluria to within normal levels after normalization of the dietary oxalate.</w:t>
      </w:r>
      <w:r w:rsidR="0077323C">
        <w:rPr>
          <w:rFonts w:ascii="Book Antiqua" w:hAnsi="Book Antiqua" w:cs="Arial"/>
          <w:sz w:val="24"/>
          <w:szCs w:val="24"/>
        </w:rPr>
        <w:t xml:space="preserve"> </w:t>
      </w:r>
      <w:r w:rsidRPr="00612EED">
        <w:rPr>
          <w:rFonts w:ascii="Book Antiqua" w:hAnsi="Book Antiqua" w:cs="Arial"/>
          <w:sz w:val="24"/>
          <w:szCs w:val="24"/>
        </w:rPr>
        <w:t>The evaluation of oxaluria is complicated in patients with impaired renal function, which, as noted earlier, decreases urinary oxalate excretion.</w:t>
      </w:r>
      <w:r w:rsidR="0077323C">
        <w:rPr>
          <w:rFonts w:ascii="Book Antiqua" w:hAnsi="Book Antiqua" w:cs="Arial"/>
          <w:sz w:val="24"/>
          <w:szCs w:val="24"/>
        </w:rPr>
        <w:t xml:space="preserve"> </w:t>
      </w:r>
    </w:p>
    <w:p w:rsidR="00F2207B" w:rsidRPr="00612EED" w:rsidRDefault="00F2207B" w:rsidP="002A048C">
      <w:pPr>
        <w:spacing w:after="0" w:line="360" w:lineRule="auto"/>
        <w:ind w:firstLineChars="150" w:firstLine="360"/>
        <w:jc w:val="both"/>
        <w:rPr>
          <w:rFonts w:ascii="Book Antiqua" w:hAnsi="Book Antiqua" w:cs="Arial"/>
          <w:sz w:val="24"/>
          <w:szCs w:val="24"/>
        </w:rPr>
      </w:pPr>
      <w:r w:rsidRPr="00612EED">
        <w:rPr>
          <w:rFonts w:ascii="Book Antiqua" w:hAnsi="Book Antiqua" w:cs="Arial"/>
          <w:sz w:val="24"/>
          <w:szCs w:val="24"/>
        </w:rPr>
        <w:t>Dietary hyperoxaluria can cause renal disease and systemic oxalosis.</w:t>
      </w:r>
      <w:r w:rsidR="0077323C">
        <w:rPr>
          <w:rFonts w:ascii="Book Antiqua" w:hAnsi="Book Antiqua" w:cs="Arial"/>
          <w:sz w:val="24"/>
          <w:szCs w:val="24"/>
        </w:rPr>
        <w:t xml:space="preserve"> </w:t>
      </w:r>
      <w:r w:rsidRPr="00612EED">
        <w:rPr>
          <w:rFonts w:ascii="Book Antiqua" w:hAnsi="Book Antiqua" w:cs="Arial"/>
          <w:sz w:val="24"/>
          <w:szCs w:val="24"/>
        </w:rPr>
        <w:t>Earlier studies focused mainly on the association between dietary hyperoxaluria and nephrolithiasis.</w:t>
      </w:r>
      <w:r w:rsidR="0077323C">
        <w:rPr>
          <w:rFonts w:ascii="Book Antiqua" w:hAnsi="Book Antiqua" w:cs="Arial"/>
          <w:sz w:val="24"/>
          <w:szCs w:val="24"/>
        </w:rPr>
        <w:t xml:space="preserve"> </w:t>
      </w:r>
      <w:r w:rsidRPr="00612EED">
        <w:rPr>
          <w:rFonts w:ascii="Book Antiqua" w:hAnsi="Book Antiqua" w:cs="Arial"/>
          <w:sz w:val="24"/>
          <w:szCs w:val="24"/>
        </w:rPr>
        <w:t>A study by Neuhaus and colleagues established this association</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11]</w:t>
      </w:r>
      <w:r w:rsidRPr="00D40BB8">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More recently, several case reports of renal parenchymal disease manifested as either AKI or CKD</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150-158]</w:t>
      </w:r>
      <w:r w:rsidRPr="00612EED">
        <w:rPr>
          <w:rFonts w:ascii="Book Antiqua" w:hAnsi="Book Antiqua" w:cs="Arial"/>
          <w:sz w:val="24"/>
          <w:szCs w:val="24"/>
        </w:rPr>
        <w:t xml:space="preserve"> and oxalosis with primary neurological manifestations from dietary hyperoxaluria</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159-163]</w:t>
      </w:r>
      <w:r w:rsidRPr="00612EED">
        <w:rPr>
          <w:rFonts w:ascii="Book Antiqua" w:hAnsi="Book Antiqua" w:cs="Arial"/>
          <w:sz w:val="24"/>
          <w:szCs w:val="24"/>
        </w:rPr>
        <w:t xml:space="preserve"> have been published.</w:t>
      </w:r>
      <w:r w:rsidR="0077323C">
        <w:rPr>
          <w:rFonts w:ascii="Book Antiqua" w:hAnsi="Book Antiqua" w:cs="Arial"/>
          <w:sz w:val="24"/>
          <w:szCs w:val="24"/>
        </w:rPr>
        <w:t xml:space="preserve"> </w:t>
      </w:r>
      <w:r w:rsidRPr="00612EED">
        <w:rPr>
          <w:rFonts w:ascii="Book Antiqua" w:hAnsi="Book Antiqua" w:cs="Arial"/>
          <w:sz w:val="24"/>
          <w:szCs w:val="24"/>
        </w:rPr>
        <w:t>Identified causes of dietary hyperoxaluria include ingestion of large amounts of the following: peanuts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150]</w:t>
      </w:r>
      <w:r w:rsidRPr="00612EED">
        <w:rPr>
          <w:rFonts w:ascii="Book Antiqua" w:hAnsi="Book Antiqua" w:cs="Arial"/>
          <w:sz w:val="24"/>
          <w:szCs w:val="24"/>
        </w:rPr>
        <w:t>; rhubarb</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151]</w:t>
      </w:r>
      <w:r w:rsidRPr="00612EED">
        <w:rPr>
          <w:rFonts w:ascii="Book Antiqua" w:hAnsi="Book Antiqua" w:cs="Arial"/>
          <w:sz w:val="24"/>
          <w:szCs w:val="24"/>
        </w:rPr>
        <w:t>; Chaga mushroom powder</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152]</w:t>
      </w:r>
      <w:r w:rsidRPr="00612EED">
        <w:rPr>
          <w:rFonts w:ascii="Book Antiqua" w:hAnsi="Book Antiqua" w:cs="Arial"/>
          <w:sz w:val="24"/>
          <w:szCs w:val="24"/>
        </w:rPr>
        <w:t xml:space="preserve">; </w:t>
      </w:r>
      <w:r w:rsidRPr="00612EED">
        <w:rPr>
          <w:rFonts w:ascii="Book Antiqua" w:hAnsi="Book Antiqua" w:cs="Arial"/>
          <w:i/>
          <w:sz w:val="24"/>
          <w:szCs w:val="24"/>
        </w:rPr>
        <w:t>Irumban puli</w:t>
      </w:r>
      <w:r w:rsidRPr="00612EED">
        <w:rPr>
          <w:rFonts w:ascii="Book Antiqua" w:hAnsi="Book Antiqua" w:cs="Arial"/>
          <w:sz w:val="24"/>
          <w:szCs w:val="24"/>
        </w:rPr>
        <w:t xml:space="preserve"> (</w:t>
      </w:r>
      <w:r w:rsidRPr="00612EED">
        <w:rPr>
          <w:rFonts w:ascii="Book Antiqua" w:hAnsi="Book Antiqua" w:cs="Arial"/>
          <w:i/>
          <w:sz w:val="24"/>
          <w:szCs w:val="24"/>
        </w:rPr>
        <w:t>Averrhoa bilimbi</w:t>
      </w:r>
      <w:r w:rsidRPr="00612EED">
        <w:rPr>
          <w:rFonts w:ascii="Book Antiqua" w:hAnsi="Book Antiqua" w:cs="Arial"/>
          <w:sz w:val="24"/>
          <w:szCs w:val="24"/>
        </w:rPr>
        <w:t>), which is a fruit in the same family as star fruit</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153]</w:t>
      </w:r>
      <w:r w:rsidRPr="00612EED">
        <w:rPr>
          <w:rFonts w:ascii="Book Antiqua" w:hAnsi="Book Antiqua" w:cs="Arial"/>
          <w:sz w:val="24"/>
          <w:szCs w:val="24"/>
        </w:rPr>
        <w:t>; juice made of celery, carrots, parsley, beets with greens, and spinach</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154]</w:t>
      </w:r>
      <w:r w:rsidRPr="00612EED">
        <w:rPr>
          <w:rFonts w:ascii="Book Antiqua" w:hAnsi="Book Antiqua" w:cs="Arial"/>
          <w:sz w:val="24"/>
          <w:szCs w:val="24"/>
        </w:rPr>
        <w:t>; and, ingestion of star fruit (</w:t>
      </w:r>
      <w:r w:rsidRPr="00612EED">
        <w:rPr>
          <w:rFonts w:ascii="Book Antiqua" w:hAnsi="Book Antiqua" w:cs="Arial"/>
          <w:i/>
          <w:sz w:val="24"/>
          <w:szCs w:val="24"/>
        </w:rPr>
        <w:t>Averrhoa carambola</w:t>
      </w:r>
      <w:r w:rsidRPr="00612EED">
        <w:rPr>
          <w:rFonts w:ascii="Book Antiqua" w:hAnsi="Book Antiqua" w:cs="Arial"/>
          <w:sz w:val="24"/>
          <w:szCs w:val="24"/>
        </w:rPr>
        <w:t>), which has a very high content of oxalate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155-163]</w:t>
      </w:r>
      <w:r w:rsidRPr="00612EED">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Star fruit-induced oxalate nephropathy has also been investigated in experimental animals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164, 165]</w:t>
      </w:r>
      <w:r w:rsidRPr="005A7F6C">
        <w:rPr>
          <w:rFonts w:ascii="Book Antiqua" w:hAnsi="Book Antiqua" w:cs="Arial"/>
          <w:sz w:val="24"/>
          <w:szCs w:val="24"/>
        </w:rPr>
        <w:t>.</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Table 3 shows estimates of oxalate intake and urinary excretion, type of clinical renal syndrome induced by oxalate (AKI</w:t>
      </w:r>
      <w:r w:rsidRPr="00935B59">
        <w:rPr>
          <w:rFonts w:ascii="Book Antiqua" w:hAnsi="Book Antiqua" w:cs="Arial"/>
          <w:i/>
          <w:sz w:val="24"/>
          <w:szCs w:val="24"/>
        </w:rPr>
        <w:t xml:space="preserve"> vs</w:t>
      </w:r>
      <w:r w:rsidRPr="00612EED">
        <w:rPr>
          <w:rFonts w:ascii="Book Antiqua" w:hAnsi="Book Antiqua" w:cs="Arial"/>
          <w:sz w:val="24"/>
          <w:szCs w:val="24"/>
        </w:rPr>
        <w:t xml:space="preserve"> CKD), peak serum creatinine concentration, whether dialysis was performed or not, and outcomes of patients with dietary hyperoxaluria-induced deterioration of renal function.</w:t>
      </w:r>
      <w:r w:rsidR="0077323C">
        <w:rPr>
          <w:rFonts w:ascii="Book Antiqua" w:hAnsi="Book Antiqua" w:cs="Arial"/>
          <w:sz w:val="24"/>
          <w:szCs w:val="24"/>
        </w:rPr>
        <w:t xml:space="preserve"> </w:t>
      </w:r>
      <w:r w:rsidRPr="00612EED">
        <w:rPr>
          <w:rFonts w:ascii="Book Antiqua" w:hAnsi="Book Antiqua" w:cs="Arial"/>
          <w:sz w:val="24"/>
          <w:szCs w:val="24"/>
        </w:rPr>
        <w:t>The estimates of oxalate intake are approximations because estimates of the oxalate content of the same dietary item often vary widely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27, 166-168]</w:t>
      </w:r>
      <w:r w:rsidRPr="00754D32">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We recorded in Table 3 either the oxalate intake reported in a study, or, if this intake was not reported directly, an estimate calculated from the amount of the dietary item consumed and the average oxalate content of this item.</w:t>
      </w:r>
      <w:r w:rsidR="0077323C">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Data regarding urinary oxalate excretion were missing from the majority of the published cases presented in Table 3.</w:t>
      </w:r>
      <w:r w:rsidR="0077323C">
        <w:rPr>
          <w:rFonts w:ascii="Book Antiqua" w:hAnsi="Book Antiqua" w:cs="Arial"/>
          <w:sz w:val="24"/>
          <w:szCs w:val="24"/>
        </w:rPr>
        <w:t xml:space="preserve"> </w:t>
      </w:r>
      <w:r w:rsidRPr="00612EED">
        <w:rPr>
          <w:rFonts w:ascii="Book Antiqua" w:hAnsi="Book Antiqua" w:cs="Arial"/>
          <w:sz w:val="24"/>
          <w:szCs w:val="24"/>
        </w:rPr>
        <w:t>Even when urine oxalate excretion was reported, the findings were complicated by the presence of advanced renal failure, which, as noted above, decreases urinary oxalate excretion, or by the fact that oxalate excretion was measured in the recovery period after oxalate intake had been reduced.</w:t>
      </w:r>
      <w:r w:rsidR="0077323C">
        <w:rPr>
          <w:rFonts w:ascii="Book Antiqua" w:hAnsi="Book Antiqua" w:cs="Arial"/>
          <w:sz w:val="24"/>
          <w:szCs w:val="24"/>
        </w:rPr>
        <w:t xml:space="preserve"> </w:t>
      </w:r>
      <w:r w:rsidRPr="00612EED">
        <w:rPr>
          <w:rFonts w:ascii="Book Antiqua" w:hAnsi="Book Antiqua" w:cs="Arial"/>
          <w:sz w:val="24"/>
          <w:szCs w:val="24"/>
        </w:rPr>
        <w:t xml:space="preserve">An </w:t>
      </w:r>
      <w:r w:rsidRPr="00612EED">
        <w:rPr>
          <w:rFonts w:ascii="Book Antiqua" w:hAnsi="Book Antiqua" w:cs="Arial"/>
          <w:sz w:val="24"/>
          <w:szCs w:val="24"/>
        </w:rPr>
        <w:lastRenderedPageBreak/>
        <w:t>elevation of urinary oxalate excretion rate was reported only in one patient, who also had advanced renal failure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153]</w:t>
      </w:r>
      <w:r w:rsidRPr="00A14B7A">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Urinalysis findings varied:</w:t>
      </w:r>
      <w:r w:rsidR="0077323C">
        <w:rPr>
          <w:rFonts w:ascii="Book Antiqua" w:hAnsi="Book Antiqua" w:cs="Arial"/>
          <w:sz w:val="24"/>
          <w:szCs w:val="24"/>
        </w:rPr>
        <w:t xml:space="preserve"> </w:t>
      </w:r>
      <w:r w:rsidRPr="00612EED">
        <w:rPr>
          <w:rFonts w:ascii="Book Antiqua" w:hAnsi="Book Antiqua" w:cs="Arial"/>
          <w:sz w:val="24"/>
          <w:szCs w:val="24"/>
        </w:rPr>
        <w:t>Proteinuria was absent in a few patients, modest in most patients, and as high as 3.7 gm/24 h in one patient who also had diabetes mellitus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151]</w:t>
      </w:r>
      <w:r w:rsidRPr="00A14B7A">
        <w:rPr>
          <w:rFonts w:ascii="Book Antiqua" w:hAnsi="Book Antiqua" w:cs="Arial"/>
          <w:sz w:val="24"/>
          <w:szCs w:val="24"/>
        </w:rPr>
        <w:t>.</w:t>
      </w:r>
      <w:r w:rsidR="0077323C" w:rsidRPr="00A14B7A">
        <w:rPr>
          <w:rFonts w:ascii="Book Antiqua" w:hAnsi="Book Antiqua" w:cs="Arial"/>
          <w:sz w:val="24"/>
          <w:szCs w:val="24"/>
        </w:rPr>
        <w:t xml:space="preserve"> </w:t>
      </w:r>
      <w:r w:rsidRPr="00612EED">
        <w:rPr>
          <w:rFonts w:ascii="Book Antiqua" w:hAnsi="Book Antiqua" w:cs="Arial"/>
          <w:sz w:val="24"/>
          <w:szCs w:val="24"/>
        </w:rPr>
        <w:t>Hematuria and sterile pyuria were reported in several patients.</w:t>
      </w:r>
      <w:r w:rsidR="004F2EFF">
        <w:rPr>
          <w:rFonts w:ascii="Book Antiqua" w:hAnsi="Book Antiqua" w:cs="Arial"/>
          <w:sz w:val="24"/>
          <w:szCs w:val="24"/>
        </w:rPr>
        <w:t xml:space="preserve"> </w:t>
      </w:r>
      <w:r w:rsidRPr="00612EED">
        <w:rPr>
          <w:rFonts w:ascii="Book Antiqua" w:hAnsi="Book Antiqua" w:cs="Arial"/>
          <w:sz w:val="24"/>
          <w:szCs w:val="24"/>
        </w:rPr>
        <w:t>Crystaluria was absent in several patients.</w:t>
      </w:r>
      <w:r w:rsidR="0077323C">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Oxalate nephropathy in subjects who briefly consumed food items containing very large amounts of oxalate tended to present as AKI, which was severe enough to require hemodialysis in some cases, but appeared to be reversible in all of them (Table 3).</w:t>
      </w:r>
      <w:r w:rsidR="0077323C">
        <w:rPr>
          <w:rFonts w:ascii="Book Antiqua" w:hAnsi="Book Antiqua" w:cs="Arial"/>
          <w:sz w:val="24"/>
          <w:szCs w:val="24"/>
        </w:rPr>
        <w:t xml:space="preserve"> </w:t>
      </w:r>
      <w:r w:rsidRPr="00612EED">
        <w:rPr>
          <w:rFonts w:ascii="Book Antiqua" w:hAnsi="Book Antiqua" w:cs="Arial"/>
          <w:sz w:val="24"/>
          <w:szCs w:val="24"/>
        </w:rPr>
        <w:t>A few patients with chronic intake of oxalate at levels substantially lower than those causing AKI did develop CKD; their kidney function improved but did not normalize after reducing their dietary intake of oxalate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150, 154, 156]</w:t>
      </w:r>
      <w:r w:rsidRPr="00A14B7A">
        <w:rPr>
          <w:rFonts w:ascii="Book Antiqua" w:hAnsi="Book Antiqua" w:cs="Arial"/>
          <w:sz w:val="24"/>
          <w:szCs w:val="24"/>
        </w:rPr>
        <w:t>.</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The paucity of reported cases of chronic nephropathy secondary to dietary hyperoxaluria and of measurement of urinary oxalate in those cases led us to investigate other clinical states of temporary hyperoxaluria caused by excessive intake or formation of oxalate.</w:t>
      </w:r>
      <w:r w:rsidR="0077323C">
        <w:rPr>
          <w:rFonts w:ascii="Book Antiqua" w:hAnsi="Book Antiqua" w:cs="Arial"/>
          <w:sz w:val="24"/>
          <w:szCs w:val="24"/>
        </w:rPr>
        <w:t xml:space="preserve"> </w:t>
      </w:r>
      <w:r w:rsidRPr="00612EED">
        <w:rPr>
          <w:rFonts w:ascii="Book Antiqua" w:hAnsi="Book Antiqua" w:cs="Arial"/>
          <w:sz w:val="24"/>
          <w:szCs w:val="24"/>
        </w:rPr>
        <w:t>These states include intake of ascorbic acid, drugs containing oxalate and intoxication with ethylene glycol.</w:t>
      </w:r>
      <w:r w:rsidR="0077323C">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As in dietary hyperoxaluria, excessive intake of ascorbate was initially linked to an increased risk of nephrocalcinosis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169, 170]</w:t>
      </w:r>
      <w:r w:rsidRPr="00A14B7A">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Recently, renal parenchymal disease from oxalate nephropathy causing AKI or CKD has been reported in patients with excessive oral</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171-178]</w:t>
      </w:r>
      <w:r w:rsidRPr="00612EED">
        <w:rPr>
          <w:rFonts w:ascii="Book Antiqua" w:hAnsi="Book Antiqua" w:cs="Arial"/>
          <w:sz w:val="24"/>
          <w:szCs w:val="24"/>
        </w:rPr>
        <w:t xml:space="preserve"> or parenteral</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179-183]</w:t>
      </w:r>
      <w:r w:rsidRPr="00612EED">
        <w:rPr>
          <w:rFonts w:ascii="Book Antiqua" w:hAnsi="Book Antiqua" w:cs="Arial"/>
          <w:sz w:val="24"/>
          <w:szCs w:val="24"/>
        </w:rPr>
        <w:t xml:space="preserve"> intake of ascorbate.</w:t>
      </w:r>
      <w:r w:rsidR="0077323C">
        <w:rPr>
          <w:rFonts w:ascii="Book Antiqua" w:hAnsi="Book Antiqua" w:cs="Arial"/>
          <w:sz w:val="24"/>
          <w:szCs w:val="24"/>
        </w:rPr>
        <w:t xml:space="preserve"> </w:t>
      </w:r>
      <w:r w:rsidRPr="00612EED">
        <w:rPr>
          <w:rFonts w:ascii="Book Antiqua" w:hAnsi="Book Antiqua" w:cs="Arial"/>
          <w:sz w:val="24"/>
          <w:szCs w:val="24"/>
        </w:rPr>
        <w:t>An elevated urinary oxalate excretion rate at the time of ingestion of large amounts of ascorbate and decrease in oxaluria to within or close to its normal range was reported in several cases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171, 172, 175, 179]</w:t>
      </w:r>
      <w:r w:rsidRPr="00A14B7A">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Severe AKI was present in most cases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171, 173, 174, 179-183].</w:t>
      </w:r>
      <w:r w:rsidR="0077323C">
        <w:rPr>
          <w:rFonts w:ascii="Book Antiqua" w:hAnsi="Book Antiqua" w:cs="Arial"/>
          <w:sz w:val="24"/>
          <w:szCs w:val="24"/>
        </w:rPr>
        <w:t xml:space="preserve"> </w:t>
      </w:r>
      <w:r w:rsidRPr="00612EED">
        <w:rPr>
          <w:rFonts w:ascii="Book Antiqua" w:hAnsi="Book Antiqua" w:cs="Arial"/>
          <w:sz w:val="24"/>
          <w:szCs w:val="24"/>
        </w:rPr>
        <w:t>Several of these patients required hemodialysis for various periods of time and recovery of renal function was complete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171, 174, 179-183]</w:t>
      </w:r>
      <w:r w:rsidRPr="00612EED">
        <w:rPr>
          <w:rFonts w:ascii="Book Antiqua" w:hAnsi="Book Antiqua" w:cs="Arial"/>
          <w:sz w:val="24"/>
          <w:szCs w:val="24"/>
        </w:rPr>
        <w:t xml:space="preserve"> or partial</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173]</w:t>
      </w:r>
      <w:r w:rsidRPr="00A14B7A">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CKD was noted in four patients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175-178]</w:t>
      </w:r>
      <w:r w:rsidRPr="00612EED">
        <w:rPr>
          <w:rFonts w:ascii="Book Antiqua" w:hAnsi="Book Antiqua" w:cs="Arial"/>
          <w:sz w:val="24"/>
          <w:szCs w:val="24"/>
        </w:rPr>
        <w:t>.</w:t>
      </w:r>
      <w:r w:rsidR="004F2EFF">
        <w:rPr>
          <w:rFonts w:ascii="Book Antiqua" w:hAnsi="Book Antiqua" w:cs="Arial"/>
          <w:sz w:val="24"/>
          <w:szCs w:val="24"/>
        </w:rPr>
        <w:t xml:space="preserve"> </w:t>
      </w:r>
      <w:r w:rsidRPr="00612EED">
        <w:rPr>
          <w:rFonts w:ascii="Book Antiqua" w:hAnsi="Book Antiqua" w:cs="Arial"/>
          <w:sz w:val="24"/>
          <w:szCs w:val="24"/>
        </w:rPr>
        <w:t>These patients were ingesting ascorbate chronically but usually in quantities substantially lower than the amounts of ascorbate that cause AKI.</w:t>
      </w:r>
      <w:r w:rsidR="0077323C">
        <w:rPr>
          <w:rFonts w:ascii="Book Antiqua" w:hAnsi="Book Antiqua" w:cs="Arial"/>
          <w:sz w:val="24"/>
          <w:szCs w:val="24"/>
        </w:rPr>
        <w:t xml:space="preserve"> </w:t>
      </w:r>
      <w:r w:rsidRPr="00612EED">
        <w:rPr>
          <w:rFonts w:ascii="Book Antiqua" w:hAnsi="Book Antiqua" w:cs="Arial"/>
          <w:sz w:val="24"/>
          <w:szCs w:val="24"/>
        </w:rPr>
        <w:t>Two of these patients developed ESRD</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176, 178]</w:t>
      </w:r>
      <w:r w:rsidRPr="00612EED">
        <w:rPr>
          <w:rFonts w:ascii="Book Antiqua" w:hAnsi="Book Antiqua" w:cs="Arial"/>
          <w:sz w:val="24"/>
          <w:szCs w:val="24"/>
        </w:rPr>
        <w:t xml:space="preserve"> and one of them died</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178]</w:t>
      </w:r>
      <w:r w:rsidRPr="00A14B7A">
        <w:rPr>
          <w:rFonts w:ascii="Book Antiqua" w:hAnsi="Book Antiqua" w:cs="Arial"/>
          <w:sz w:val="24"/>
          <w:szCs w:val="24"/>
        </w:rPr>
        <w:t>.</w:t>
      </w:r>
      <w:r w:rsidR="0077323C">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lastRenderedPageBreak/>
        <w:t>Many cases of severe AKI after accidental or suicidal ingestion of oxalate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 xml:space="preserve">184, 185] </w:t>
      </w:r>
      <w:r w:rsidRPr="00612EED">
        <w:rPr>
          <w:rFonts w:ascii="Book Antiqua" w:hAnsi="Book Antiqua" w:cs="Arial"/>
          <w:sz w:val="24"/>
          <w:szCs w:val="24"/>
        </w:rPr>
        <w:t>or ethylene glycol</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186-198]</w:t>
      </w:r>
      <w:r w:rsidRPr="00612EED">
        <w:rPr>
          <w:rFonts w:ascii="Book Antiqua" w:hAnsi="Book Antiqua" w:cs="Arial"/>
          <w:sz w:val="24"/>
          <w:szCs w:val="24"/>
        </w:rPr>
        <w:t xml:space="preserve"> have been reported.</w:t>
      </w:r>
      <w:r w:rsidR="0077323C">
        <w:rPr>
          <w:rFonts w:ascii="Book Antiqua" w:hAnsi="Book Antiqua" w:cs="Arial"/>
          <w:sz w:val="24"/>
          <w:szCs w:val="24"/>
        </w:rPr>
        <w:t xml:space="preserve"> </w:t>
      </w:r>
      <w:r w:rsidRPr="00612EED">
        <w:rPr>
          <w:rFonts w:ascii="Book Antiqua" w:hAnsi="Book Antiqua" w:cs="Arial"/>
          <w:sz w:val="24"/>
          <w:szCs w:val="24"/>
        </w:rPr>
        <w:t>AKI had a protracted course in many of these patients and in most instances dialysis was required.</w:t>
      </w:r>
      <w:r w:rsidR="004F2EFF">
        <w:rPr>
          <w:rFonts w:ascii="Book Antiqua" w:hAnsi="Book Antiqua" w:cs="Arial"/>
          <w:sz w:val="24"/>
          <w:szCs w:val="24"/>
        </w:rPr>
        <w:t xml:space="preserve"> </w:t>
      </w:r>
      <w:r w:rsidRPr="00612EED">
        <w:rPr>
          <w:rFonts w:ascii="Book Antiqua" w:hAnsi="Book Antiqua" w:cs="Arial"/>
          <w:sz w:val="24"/>
          <w:szCs w:val="24"/>
        </w:rPr>
        <w:t>Patients with severe ethylene glycol poisoning had significant mortality, especially in decades past</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186]</w:t>
      </w:r>
      <w:r w:rsidRPr="001917C2">
        <w:rPr>
          <w:rFonts w:ascii="Book Antiqua" w:hAnsi="Book Antiqua" w:cs="Arial"/>
          <w:sz w:val="24"/>
          <w:szCs w:val="24"/>
        </w:rPr>
        <w:t>.</w:t>
      </w:r>
      <w:r w:rsidR="0077323C" w:rsidRPr="001917C2">
        <w:rPr>
          <w:rFonts w:ascii="Book Antiqua" w:hAnsi="Book Antiqua" w:cs="Arial"/>
          <w:sz w:val="24"/>
          <w:szCs w:val="24"/>
        </w:rPr>
        <w:t xml:space="preserve"> </w:t>
      </w:r>
      <w:r w:rsidRPr="00612EED">
        <w:rPr>
          <w:rFonts w:ascii="Book Antiqua" w:hAnsi="Book Antiqua" w:cs="Arial"/>
          <w:sz w:val="24"/>
          <w:szCs w:val="24"/>
        </w:rPr>
        <w:t>Renal function did not return in several patients with AKI, although some did recover completely.</w:t>
      </w:r>
      <w:r w:rsidR="004F2EFF">
        <w:rPr>
          <w:rFonts w:ascii="Book Antiqua" w:hAnsi="Book Antiqua" w:cs="Arial"/>
          <w:sz w:val="24"/>
          <w:szCs w:val="24"/>
        </w:rPr>
        <w:t xml:space="preserve"> </w:t>
      </w:r>
      <w:r w:rsidRPr="00612EED">
        <w:rPr>
          <w:rFonts w:ascii="Book Antiqua" w:hAnsi="Book Antiqua" w:cs="Arial"/>
          <w:sz w:val="24"/>
          <w:szCs w:val="24"/>
        </w:rPr>
        <w:t>Hyperoxaluria and calcium oxalate nephrolithiasis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199]</w:t>
      </w:r>
      <w:r w:rsidRPr="00612EED">
        <w:rPr>
          <w:rFonts w:ascii="Book Antiqua" w:hAnsi="Book Antiqua" w:cs="Arial"/>
          <w:sz w:val="24"/>
          <w:szCs w:val="24"/>
        </w:rPr>
        <w:t xml:space="preserve"> or oxalate nephropathy with AKI or CKD were reported with the use of two medications used as vasodilators, namely pyridoxilate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200, 201]</w:t>
      </w:r>
      <w:r w:rsidRPr="00612EED">
        <w:rPr>
          <w:rFonts w:ascii="Book Antiqua" w:hAnsi="Book Antiqua" w:cs="Arial"/>
          <w:sz w:val="24"/>
          <w:szCs w:val="24"/>
        </w:rPr>
        <w:t xml:space="preserve"> and Praxilene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202-204]</w:t>
      </w:r>
      <w:r w:rsidRPr="001917C2">
        <w:rPr>
          <w:rFonts w:ascii="Book Antiqua" w:hAnsi="Book Antiqua" w:cs="Arial"/>
          <w:sz w:val="24"/>
          <w:szCs w:val="24"/>
        </w:rPr>
        <w:t>.</w:t>
      </w:r>
      <w:r w:rsidR="0077323C" w:rsidRPr="001917C2">
        <w:rPr>
          <w:rFonts w:ascii="Book Antiqua" w:hAnsi="Book Antiqua" w:cs="Arial"/>
          <w:sz w:val="24"/>
          <w:szCs w:val="24"/>
        </w:rPr>
        <w:t xml:space="preserve"> </w:t>
      </w:r>
      <w:r w:rsidRPr="00612EED">
        <w:rPr>
          <w:rFonts w:ascii="Book Antiqua" w:hAnsi="Book Antiqua" w:cs="Arial"/>
          <w:sz w:val="24"/>
          <w:szCs w:val="24"/>
        </w:rPr>
        <w:t>Pyridoxilate is a combination of glyoxylate with pyridoxine.</w:t>
      </w:r>
      <w:r w:rsidR="0077323C">
        <w:rPr>
          <w:rFonts w:ascii="Book Antiqua" w:hAnsi="Book Antiqua" w:cs="Arial"/>
          <w:sz w:val="24"/>
          <w:szCs w:val="24"/>
        </w:rPr>
        <w:t xml:space="preserve"> </w:t>
      </w:r>
      <w:r w:rsidRPr="00612EED">
        <w:rPr>
          <w:rFonts w:ascii="Book Antiqua" w:hAnsi="Book Antiqua" w:cs="Arial"/>
          <w:sz w:val="24"/>
          <w:szCs w:val="24"/>
        </w:rPr>
        <w:t>Pyridoxine was intended to redirect glycine formation away from glyoxylate.</w:t>
      </w:r>
      <w:r w:rsidR="004F2EFF">
        <w:rPr>
          <w:rFonts w:ascii="Book Antiqua" w:hAnsi="Book Antiqua" w:cs="Arial"/>
          <w:sz w:val="24"/>
          <w:szCs w:val="24"/>
        </w:rPr>
        <w:t xml:space="preserve"> </w:t>
      </w:r>
      <w:r w:rsidRPr="00612EED">
        <w:rPr>
          <w:rFonts w:ascii="Book Antiqua" w:hAnsi="Book Antiqua" w:cs="Arial"/>
          <w:sz w:val="24"/>
          <w:szCs w:val="24"/>
        </w:rPr>
        <w:t>Nevertheless, at least a portion of the administered glyoxylate was still metabolized to oxalate.</w:t>
      </w:r>
      <w:r w:rsidR="0077323C">
        <w:rPr>
          <w:rFonts w:ascii="Book Antiqua" w:hAnsi="Book Antiqua" w:cs="Arial"/>
          <w:sz w:val="24"/>
          <w:szCs w:val="24"/>
        </w:rPr>
        <w:t xml:space="preserve"> </w:t>
      </w:r>
      <w:r w:rsidRPr="00612EED">
        <w:rPr>
          <w:rFonts w:ascii="Book Antiqua" w:hAnsi="Book Antiqua" w:cs="Arial"/>
          <w:sz w:val="24"/>
          <w:szCs w:val="24"/>
        </w:rPr>
        <w:t>Praxilene’s common name is naftidrofyryl oxalate.</w:t>
      </w:r>
      <w:r w:rsidR="0077323C">
        <w:rPr>
          <w:rFonts w:ascii="Book Antiqua" w:hAnsi="Book Antiqua" w:cs="Arial"/>
          <w:sz w:val="24"/>
          <w:szCs w:val="24"/>
        </w:rPr>
        <w:t xml:space="preserve"> </w:t>
      </w:r>
      <w:r w:rsidRPr="00612EED">
        <w:rPr>
          <w:rFonts w:ascii="Book Antiqua" w:hAnsi="Book Antiqua" w:cs="Arial"/>
          <w:sz w:val="24"/>
          <w:szCs w:val="24"/>
        </w:rPr>
        <w:t>When this salt dissociates in the body oxalate is released.</w:t>
      </w:r>
      <w:r w:rsidR="0077323C">
        <w:rPr>
          <w:rFonts w:ascii="Book Antiqua" w:hAnsi="Book Antiqua" w:cs="Arial"/>
          <w:sz w:val="24"/>
          <w:szCs w:val="24"/>
        </w:rPr>
        <w:t xml:space="preserve"> </w:t>
      </w:r>
      <w:r w:rsidRPr="00612EED">
        <w:rPr>
          <w:rFonts w:ascii="Book Antiqua" w:hAnsi="Book Antiqua" w:cs="Arial"/>
          <w:sz w:val="24"/>
          <w:szCs w:val="24"/>
        </w:rPr>
        <w:t>Finally, hyperoxaluria and oxalate nephropathy has been seen with the use of the anesthetic agent, methoxyfluorane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205]</w:t>
      </w:r>
      <w:r w:rsidRPr="001917C2">
        <w:rPr>
          <w:rFonts w:ascii="Book Antiqua" w:hAnsi="Book Antiqua" w:cs="Arial"/>
          <w:sz w:val="24"/>
          <w:szCs w:val="24"/>
        </w:rPr>
        <w:t>.</w:t>
      </w:r>
      <w:r w:rsidR="0077323C" w:rsidRPr="001917C2">
        <w:rPr>
          <w:rFonts w:ascii="Book Antiqua" w:hAnsi="Book Antiqua" w:cs="Arial"/>
          <w:sz w:val="24"/>
          <w:szCs w:val="24"/>
        </w:rPr>
        <w:t xml:space="preserve"> </w:t>
      </w:r>
      <w:r w:rsidRPr="00612EED">
        <w:rPr>
          <w:rFonts w:ascii="Book Antiqua" w:hAnsi="Book Antiqua" w:cs="Arial"/>
          <w:sz w:val="24"/>
          <w:szCs w:val="24"/>
        </w:rPr>
        <w:t>The clinical and histologic features of drug-induced hyperoxaluria have been studied more extensively than those of dietary hyperoxaluria.</w:t>
      </w:r>
      <w:r w:rsidR="004F2EFF">
        <w:rPr>
          <w:rFonts w:ascii="Book Antiqua" w:hAnsi="Book Antiqua" w:cs="Arial"/>
          <w:sz w:val="24"/>
          <w:szCs w:val="24"/>
        </w:rPr>
        <w:t xml:space="preserve"> </w:t>
      </w:r>
    </w:p>
    <w:p w:rsidR="00F2207B" w:rsidRPr="00612EED" w:rsidRDefault="00F2207B" w:rsidP="002A048C">
      <w:pPr>
        <w:spacing w:after="0" w:line="360" w:lineRule="auto"/>
        <w:ind w:firstLineChars="150" w:firstLine="360"/>
        <w:jc w:val="both"/>
        <w:rPr>
          <w:rFonts w:ascii="Book Antiqua" w:hAnsi="Book Antiqua" w:cs="Arial"/>
          <w:sz w:val="24"/>
          <w:szCs w:val="24"/>
        </w:rPr>
      </w:pPr>
      <w:r w:rsidRPr="00612EED">
        <w:rPr>
          <w:rFonts w:ascii="Book Antiqua" w:hAnsi="Book Antiqua" w:cs="Arial"/>
          <w:sz w:val="24"/>
          <w:szCs w:val="24"/>
        </w:rPr>
        <w:t>Urinary oxalate excretion rates differ between oxaluric states and can provide clues for the differential diagnosis between these states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95]</w:t>
      </w:r>
      <w:r w:rsidRPr="001917C2">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Table 4 summarizes reported daily rates of urinary excretion of oxalate in various clinical states.</w:t>
      </w:r>
      <w:r w:rsidR="0077323C">
        <w:rPr>
          <w:rFonts w:ascii="Book Antiqua" w:hAnsi="Book Antiqua" w:cs="Arial"/>
          <w:sz w:val="24"/>
          <w:szCs w:val="24"/>
        </w:rPr>
        <w:t xml:space="preserve"> </w:t>
      </w:r>
      <w:r w:rsidRPr="00612EED">
        <w:rPr>
          <w:rFonts w:ascii="Book Antiqua" w:hAnsi="Book Antiqua" w:cs="Arial"/>
          <w:sz w:val="24"/>
          <w:szCs w:val="24"/>
        </w:rPr>
        <w:t>The table includes only representative studies for all types of hyperoxaluria, except dietary hyperoxaluria.</w:t>
      </w:r>
      <w:r w:rsidR="0077323C">
        <w:rPr>
          <w:rFonts w:ascii="Book Antiqua" w:hAnsi="Book Antiqua" w:cs="Arial"/>
          <w:sz w:val="24"/>
          <w:szCs w:val="24"/>
        </w:rPr>
        <w:t xml:space="preserve"> </w:t>
      </w:r>
      <w:r w:rsidRPr="00612EED">
        <w:rPr>
          <w:rFonts w:ascii="Book Antiqua" w:hAnsi="Book Antiqua" w:cs="Arial"/>
          <w:sz w:val="24"/>
          <w:szCs w:val="24"/>
        </w:rPr>
        <w:t>For this last category of hyperoxaluria, we included in Table 4 all the reports providing measurements of oxalate excretion in patients with oxalate nephropathy that we could find.</w:t>
      </w:r>
      <w:r w:rsidR="0077323C">
        <w:rPr>
          <w:rFonts w:ascii="Book Antiqua" w:hAnsi="Book Antiqua" w:cs="Arial"/>
          <w:sz w:val="24"/>
          <w:szCs w:val="24"/>
        </w:rPr>
        <w:t xml:space="preserve"> </w:t>
      </w:r>
      <w:r w:rsidRPr="00612EED">
        <w:rPr>
          <w:rFonts w:ascii="Book Antiqua" w:hAnsi="Book Antiqua" w:cs="Arial"/>
          <w:sz w:val="24"/>
          <w:szCs w:val="24"/>
        </w:rPr>
        <w:t>The degree of renal function has a major impact on urinary oxalate excretion.</w:t>
      </w:r>
      <w:r w:rsidR="0077323C">
        <w:rPr>
          <w:rFonts w:ascii="Book Antiqua" w:hAnsi="Book Antiqua" w:cs="Arial"/>
          <w:sz w:val="24"/>
          <w:szCs w:val="24"/>
        </w:rPr>
        <w:t xml:space="preserve"> </w:t>
      </w:r>
      <w:r w:rsidRPr="00612EED">
        <w:rPr>
          <w:rFonts w:ascii="Book Antiqua" w:hAnsi="Book Antiqua" w:cs="Arial"/>
          <w:sz w:val="24"/>
          <w:szCs w:val="24"/>
        </w:rPr>
        <w:t>Primary hyperoxaluria, particularly PH1, is associated with very high rates of urine oxalate excretion</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90, 95, 98,99]</w:t>
      </w:r>
      <w:r w:rsidRPr="001917C2">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However, even in primary hyperoxaluria, the renal oxalate excretion rate was within the normal range in patients with advanced renal failure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90, 99]</w:t>
      </w:r>
      <w:r w:rsidRPr="00612EED">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Oxalate excretion rates in enteric hyperoxaluria depend on dietary oxalate content; the rate is generally less than in the primary variety, but can be within the range seen in primary hyperoxalurias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 109, 118, 206]</w:t>
      </w:r>
      <w:r w:rsidRPr="001917C2">
        <w:rPr>
          <w:rFonts w:ascii="Book Antiqua" w:hAnsi="Book Antiqua" w:cs="Arial"/>
          <w:sz w:val="24"/>
          <w:szCs w:val="24"/>
        </w:rPr>
        <w:t>.</w:t>
      </w:r>
      <w:r w:rsidR="004F2EFF" w:rsidRPr="001917C2">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lastRenderedPageBreak/>
        <w:t>Reported excretion rates of oxalate are comparable in idiopathic</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35, 39, 95, 206]</w:t>
      </w:r>
      <w:r w:rsidRPr="00612EED">
        <w:rPr>
          <w:rFonts w:ascii="Book Antiqua" w:hAnsi="Book Antiqua" w:cs="Arial"/>
          <w:sz w:val="24"/>
          <w:szCs w:val="24"/>
        </w:rPr>
        <w:t xml:space="preserve"> and dietary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95, 150, 151, 153]</w:t>
      </w:r>
      <w:r w:rsidRPr="00612EED">
        <w:rPr>
          <w:rFonts w:ascii="Book Antiqua" w:hAnsi="Book Antiqua" w:cs="Arial"/>
          <w:sz w:val="24"/>
          <w:szCs w:val="24"/>
        </w:rPr>
        <w:t xml:space="preserve"> hyperoxaluria and substantially lower than in the primary varieties of hyperoxaluria.</w:t>
      </w:r>
      <w:r w:rsidR="0077323C">
        <w:rPr>
          <w:rFonts w:ascii="Book Antiqua" w:hAnsi="Book Antiqua" w:cs="Arial"/>
          <w:sz w:val="24"/>
          <w:szCs w:val="24"/>
        </w:rPr>
        <w:t xml:space="preserve"> </w:t>
      </w:r>
      <w:r w:rsidRPr="00612EED">
        <w:rPr>
          <w:rFonts w:ascii="Book Antiqua" w:hAnsi="Book Antiqua" w:cs="Arial"/>
          <w:sz w:val="24"/>
          <w:szCs w:val="24"/>
        </w:rPr>
        <w:t>However, the degree of renal failure differs greatly between the reports of idiopathic and those of dietary hyperoxaluria.</w:t>
      </w:r>
      <w:r w:rsidR="0077323C">
        <w:rPr>
          <w:rFonts w:ascii="Book Antiqua" w:hAnsi="Book Antiqua" w:cs="Arial"/>
          <w:sz w:val="24"/>
          <w:szCs w:val="24"/>
        </w:rPr>
        <w:t xml:space="preserve"> </w:t>
      </w:r>
      <w:r w:rsidRPr="00612EED">
        <w:rPr>
          <w:rFonts w:ascii="Book Antiqua" w:hAnsi="Book Antiqua" w:cs="Arial"/>
          <w:sz w:val="24"/>
          <w:szCs w:val="24"/>
        </w:rPr>
        <w:t>Determination of oxaluria in subjects with the dietary variety was usually performed in patients with AKI or advanced CKD whereas idiopathic hyperoxaluria was studied in the context of nephrolithiasis.</w:t>
      </w:r>
      <w:r w:rsidR="0077323C">
        <w:rPr>
          <w:rFonts w:ascii="Book Antiqua" w:hAnsi="Book Antiqua" w:cs="Arial"/>
          <w:sz w:val="24"/>
          <w:szCs w:val="24"/>
        </w:rPr>
        <w:t xml:space="preserve"> </w:t>
      </w:r>
      <w:r w:rsidRPr="00612EED">
        <w:rPr>
          <w:rFonts w:ascii="Book Antiqua" w:hAnsi="Book Antiqua" w:cs="Arial"/>
          <w:sz w:val="24"/>
          <w:szCs w:val="24"/>
        </w:rPr>
        <w:t>The urinary oxalate excretion rate of patients with dietary hyperoxaluria may be in the range of subjects with the idiopathic variety (see the legend of Figure 2).</w:t>
      </w:r>
      <w:r w:rsidR="0077323C">
        <w:rPr>
          <w:rFonts w:ascii="Book Antiqua" w:hAnsi="Book Antiqua" w:cs="Arial"/>
          <w:sz w:val="24"/>
          <w:szCs w:val="24"/>
        </w:rPr>
        <w:t xml:space="preserve"> </w:t>
      </w:r>
      <w:r w:rsidRPr="00612EED">
        <w:rPr>
          <w:rFonts w:ascii="Book Antiqua" w:hAnsi="Book Antiqua" w:cs="Arial"/>
          <w:sz w:val="24"/>
          <w:szCs w:val="24"/>
        </w:rPr>
        <w:t>Daily urinary oxalate excretion rates exceeding 90 mg (1 mmol) were considered primary or enteric hyperoxaluria</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95]</w:t>
      </w:r>
      <w:r w:rsidRPr="00C2042D">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We suggest that dietary hyperoxaluria can also cause oxalate excretion rates similar to those observed in primary hyperoxaluria.</w:t>
      </w:r>
      <w:r w:rsidR="004F2EFF">
        <w:rPr>
          <w:rFonts w:ascii="Book Antiqua" w:hAnsi="Book Antiqua" w:cs="Arial"/>
          <w:sz w:val="24"/>
          <w:szCs w:val="24"/>
        </w:rPr>
        <w:t xml:space="preserve"> </w:t>
      </w:r>
    </w:p>
    <w:p w:rsidR="00F2207B" w:rsidRPr="00612EED" w:rsidRDefault="00F2207B" w:rsidP="002A048C">
      <w:pPr>
        <w:spacing w:after="0" w:line="360" w:lineRule="auto"/>
        <w:jc w:val="both"/>
        <w:rPr>
          <w:rFonts w:ascii="Book Antiqua" w:hAnsi="Book Antiqua" w:cs="Arial"/>
          <w:b/>
          <w:sz w:val="24"/>
          <w:szCs w:val="24"/>
        </w:rPr>
      </w:pPr>
    </w:p>
    <w:p w:rsidR="00F2207B" w:rsidRPr="00612EED" w:rsidRDefault="00C2042D" w:rsidP="002A048C">
      <w:pPr>
        <w:spacing w:after="0" w:line="360" w:lineRule="auto"/>
        <w:jc w:val="both"/>
        <w:rPr>
          <w:rFonts w:ascii="Book Antiqua" w:hAnsi="Book Antiqua" w:cs="Arial"/>
          <w:b/>
          <w:sz w:val="24"/>
          <w:szCs w:val="24"/>
        </w:rPr>
      </w:pPr>
      <w:r w:rsidRPr="00612EED">
        <w:rPr>
          <w:rFonts w:ascii="Book Antiqua" w:hAnsi="Book Antiqua" w:cs="Arial"/>
          <w:b/>
          <w:sz w:val="24"/>
          <w:szCs w:val="24"/>
        </w:rPr>
        <w:t>RENAL PATHOLOGY AND PATHOPHYSIOLOGY IN HYPEROXALURIA</w:t>
      </w:r>
    </w:p>
    <w:p w:rsidR="00F2207B" w:rsidRPr="00612EED" w:rsidRDefault="00F2207B" w:rsidP="002A048C">
      <w:pPr>
        <w:spacing w:after="0" w:line="360" w:lineRule="auto"/>
        <w:jc w:val="both"/>
        <w:rPr>
          <w:rFonts w:ascii="Book Antiqua" w:hAnsi="Book Antiqua" w:cs="Arial"/>
          <w:sz w:val="24"/>
          <w:szCs w:val="24"/>
        </w:rPr>
      </w:pPr>
      <w:r w:rsidRPr="00612EED">
        <w:rPr>
          <w:rFonts w:ascii="Book Antiqua" w:hAnsi="Book Antiqua" w:cs="Arial"/>
          <w:sz w:val="24"/>
          <w:szCs w:val="24"/>
        </w:rPr>
        <w:t>The chronic histologic lesions in the kidneys are indistinguishable between all categories of hyperoxaluria.</w:t>
      </w:r>
      <w:r w:rsidR="0077323C">
        <w:rPr>
          <w:rFonts w:ascii="Book Antiqua" w:hAnsi="Book Antiqua" w:cs="Arial"/>
          <w:sz w:val="24"/>
          <w:szCs w:val="24"/>
        </w:rPr>
        <w:t xml:space="preserve"> </w:t>
      </w:r>
      <w:r w:rsidRPr="00612EED">
        <w:rPr>
          <w:rFonts w:ascii="Book Antiqua" w:hAnsi="Book Antiqua" w:cs="Arial"/>
          <w:sz w:val="24"/>
          <w:szCs w:val="24"/>
        </w:rPr>
        <w:t>Histologic lesions are also indistinguishable between AKI cases of enteric hyperoxaluria</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115, 121, 125, 126]</w:t>
      </w:r>
      <w:r w:rsidRPr="00612EED">
        <w:rPr>
          <w:rFonts w:ascii="Book Antiqua" w:hAnsi="Book Antiqua" w:cs="Arial"/>
          <w:sz w:val="24"/>
          <w:szCs w:val="24"/>
        </w:rPr>
        <w:t xml:space="preserve"> and AKI cases of hyperoxaluria that have dietary, toxic or pharmacologic causes.</w:t>
      </w:r>
      <w:r w:rsidR="004F2EFF">
        <w:rPr>
          <w:rFonts w:ascii="Book Antiqua" w:hAnsi="Book Antiqua" w:cs="Arial"/>
          <w:sz w:val="24"/>
          <w:szCs w:val="24"/>
        </w:rPr>
        <w:t xml:space="preserve"> </w:t>
      </w:r>
      <w:r w:rsidRPr="00612EED">
        <w:rPr>
          <w:rFonts w:ascii="Book Antiqua" w:hAnsi="Book Antiqua" w:cs="Arial"/>
          <w:sz w:val="24"/>
          <w:szCs w:val="24"/>
        </w:rPr>
        <w:t>Hyperoxaluric renal parenchymal disease is classified as a crystalline nephropathy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207]</w:t>
      </w:r>
      <w:r w:rsidRPr="00F95ECA">
        <w:rPr>
          <w:rFonts w:ascii="Book Antiqua" w:hAnsi="Book Antiqua" w:cs="Arial"/>
          <w:sz w:val="24"/>
          <w:szCs w:val="24"/>
        </w:rPr>
        <w:t>,</w:t>
      </w:r>
      <w:r w:rsidRPr="00612EED">
        <w:rPr>
          <w:rFonts w:ascii="Book Antiqua" w:hAnsi="Book Antiqua" w:cs="Arial"/>
          <w:sz w:val="24"/>
          <w:szCs w:val="24"/>
        </w:rPr>
        <w:t xml:space="preserve"> because</w:t>
      </w:r>
      <w:r w:rsidR="0077323C">
        <w:rPr>
          <w:rFonts w:ascii="Book Antiqua" w:hAnsi="Book Antiqua" w:cs="Arial"/>
          <w:sz w:val="24"/>
          <w:szCs w:val="24"/>
        </w:rPr>
        <w:t xml:space="preserve"> </w:t>
      </w:r>
      <w:r w:rsidRPr="00612EED">
        <w:rPr>
          <w:rFonts w:ascii="Book Antiqua" w:hAnsi="Book Antiqua" w:cs="Arial"/>
          <w:sz w:val="24"/>
          <w:szCs w:val="24"/>
        </w:rPr>
        <w:t>it is widely acknowledged that oxalate injury to renal tissues begins with the deposition of abundant calcium oxalate crystals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208]</w:t>
      </w:r>
      <w:r w:rsidRPr="00612EED">
        <w:rPr>
          <w:rFonts w:ascii="Book Antiqua" w:hAnsi="Book Antiqua" w:cs="Arial"/>
          <w:sz w:val="24"/>
          <w:szCs w:val="24"/>
        </w:rPr>
        <w:t xml:space="preserve"> in the lumen of renal tubules, the renal interstitium, and the walls of the renal vessels in all categories of hyperoxaluria</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90, 209-211]</w:t>
      </w:r>
      <w:r w:rsidRPr="00F95ECA">
        <w:rPr>
          <w:rFonts w:ascii="Book Antiqua" w:hAnsi="Book Antiqua" w:cs="Arial"/>
          <w:sz w:val="24"/>
          <w:szCs w:val="24"/>
        </w:rPr>
        <w:t>.</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Although finding calcium oxalate crystals in kidney biopsy specimens is necessary for the diagnosis of oxalate nephropathy, it is not a specific finding.</w:t>
      </w:r>
      <w:r w:rsidR="004F2EFF">
        <w:rPr>
          <w:rFonts w:ascii="Book Antiqua" w:hAnsi="Book Antiqua" w:cs="Arial"/>
          <w:sz w:val="24"/>
          <w:szCs w:val="24"/>
        </w:rPr>
        <w:t xml:space="preserve"> </w:t>
      </w:r>
      <w:r w:rsidRPr="00612EED">
        <w:rPr>
          <w:rFonts w:ascii="Book Antiqua" w:hAnsi="Book Antiqua" w:cs="Arial"/>
          <w:sz w:val="24"/>
          <w:szCs w:val="24"/>
        </w:rPr>
        <w:t>Oxalate crystals are found in the kidneys in all conditions that elevate the plasma oxalate level.</w:t>
      </w:r>
      <w:r w:rsidR="0077323C">
        <w:rPr>
          <w:rFonts w:ascii="Book Antiqua" w:hAnsi="Book Antiqua" w:cs="Arial"/>
          <w:sz w:val="24"/>
          <w:szCs w:val="24"/>
        </w:rPr>
        <w:t xml:space="preserve"> </w:t>
      </w:r>
      <w:r w:rsidRPr="00612EED">
        <w:rPr>
          <w:rFonts w:ascii="Book Antiqua" w:hAnsi="Book Antiqua" w:cs="Arial"/>
          <w:sz w:val="24"/>
          <w:szCs w:val="24"/>
        </w:rPr>
        <w:t>Principal among these conditions are all types of acute and chronic renal failure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212]</w:t>
      </w:r>
      <w:r w:rsidRPr="00F95ECA">
        <w:rPr>
          <w:rFonts w:ascii="Book Antiqua" w:hAnsi="Book Antiqua" w:cs="Arial"/>
          <w:sz w:val="24"/>
          <w:szCs w:val="24"/>
        </w:rPr>
        <w:t>.</w:t>
      </w:r>
      <w:r w:rsidR="004F2EFF" w:rsidRPr="00F95ECA">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Extensive tubular damage with epithelial necrosis and tubular dilatation is the second cardinal characteristic of both acute and chronic oxalate nephropathy, while the involvement of glomeruli is inconsistent.</w:t>
      </w:r>
      <w:r w:rsidR="0077323C">
        <w:rPr>
          <w:rFonts w:ascii="Book Antiqua" w:hAnsi="Book Antiqua" w:cs="Arial"/>
          <w:sz w:val="24"/>
          <w:szCs w:val="24"/>
        </w:rPr>
        <w:t xml:space="preserve"> </w:t>
      </w:r>
      <w:r w:rsidRPr="00612EED">
        <w:rPr>
          <w:rFonts w:ascii="Book Antiqua" w:hAnsi="Book Antiqua" w:cs="Arial"/>
          <w:sz w:val="24"/>
          <w:szCs w:val="24"/>
        </w:rPr>
        <w:t xml:space="preserve">The histologic features of renal tubules in </w:t>
      </w:r>
      <w:r w:rsidRPr="00612EED">
        <w:rPr>
          <w:rFonts w:ascii="Book Antiqua" w:hAnsi="Book Antiqua" w:cs="Arial"/>
          <w:sz w:val="24"/>
          <w:szCs w:val="24"/>
        </w:rPr>
        <w:lastRenderedPageBreak/>
        <w:t>hyperoxaluric AKI have the characteristics of acute tubular necrosis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115, 121, 151, 153, 159, 158, 164, 171, 174, 195, 213]</w:t>
      </w:r>
      <w:r w:rsidRPr="001507BD">
        <w:rPr>
          <w:rFonts w:ascii="Book Antiqua" w:hAnsi="Book Antiqua" w:cs="Arial"/>
          <w:sz w:val="24"/>
          <w:szCs w:val="24"/>
        </w:rPr>
        <w:t>.</w:t>
      </w:r>
      <w:r w:rsidR="004F2EFF">
        <w:rPr>
          <w:rFonts w:ascii="Book Antiqua" w:hAnsi="Book Antiqua" w:cs="Arial"/>
          <w:sz w:val="24"/>
          <w:szCs w:val="24"/>
        </w:rPr>
        <w:t xml:space="preserve"> </w:t>
      </w:r>
      <w:r w:rsidRPr="00612EED">
        <w:rPr>
          <w:rFonts w:ascii="Book Antiqua" w:hAnsi="Book Antiqua" w:cs="Arial"/>
          <w:sz w:val="24"/>
          <w:szCs w:val="24"/>
        </w:rPr>
        <w:t>Changes in the renal interstitium are the other histologic characteristic of oxalate nephropathy.</w:t>
      </w:r>
      <w:r w:rsidR="0077323C">
        <w:rPr>
          <w:rFonts w:ascii="Book Antiqua" w:hAnsi="Book Antiqua" w:cs="Arial"/>
          <w:sz w:val="24"/>
          <w:szCs w:val="24"/>
        </w:rPr>
        <w:t xml:space="preserve"> </w:t>
      </w:r>
      <w:r w:rsidRPr="00612EED">
        <w:rPr>
          <w:rFonts w:ascii="Book Antiqua" w:hAnsi="Book Antiqua" w:cs="Arial"/>
          <w:sz w:val="24"/>
          <w:szCs w:val="24"/>
        </w:rPr>
        <w:t>Profound interstitial fibrosis is present in chronic cases of oxalate nephropathy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90]</w:t>
      </w:r>
      <w:r w:rsidRPr="001507BD">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Tubulointerstitial nephritis with interstitial collection of mononuclear cells is a prominent characteristic of both chronic</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90]</w:t>
      </w:r>
      <w:r w:rsidRPr="00612EED">
        <w:rPr>
          <w:rFonts w:ascii="Book Antiqua" w:hAnsi="Book Antiqua" w:cs="Arial"/>
          <w:sz w:val="24"/>
          <w:szCs w:val="24"/>
        </w:rPr>
        <w:t xml:space="preserve"> and acute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175]</w:t>
      </w:r>
      <w:r w:rsidRPr="00612EED">
        <w:rPr>
          <w:rFonts w:ascii="Book Antiqua" w:hAnsi="Book Antiqua" w:cs="Arial"/>
          <w:sz w:val="24"/>
          <w:szCs w:val="24"/>
        </w:rPr>
        <w:t xml:space="preserve"> cases of oxalate nephropathy.</w:t>
      </w:r>
      <w:r w:rsidR="0077323C">
        <w:rPr>
          <w:rFonts w:ascii="Book Antiqua" w:hAnsi="Book Antiqua" w:cs="Arial"/>
          <w:sz w:val="24"/>
          <w:szCs w:val="24"/>
        </w:rPr>
        <w:t xml:space="preserve"> </w:t>
      </w:r>
      <w:r w:rsidRPr="00612EED">
        <w:rPr>
          <w:rFonts w:ascii="Book Antiqua" w:hAnsi="Book Antiqua" w:cs="Arial"/>
          <w:sz w:val="24"/>
          <w:szCs w:val="24"/>
        </w:rPr>
        <w:t>In some instances, interstitial nephritis takes the form of granuloma</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150, 214]</w:t>
      </w:r>
      <w:r w:rsidRPr="007F2AB0">
        <w:rPr>
          <w:rFonts w:ascii="Book Antiqua" w:hAnsi="Book Antiqua" w:cs="Arial"/>
          <w:sz w:val="24"/>
          <w:szCs w:val="24"/>
        </w:rPr>
        <w:t>.</w:t>
      </w:r>
      <w:r w:rsidR="004F2EFF">
        <w:rPr>
          <w:rFonts w:ascii="Book Antiqua" w:hAnsi="Book Antiqua" w:cs="Arial"/>
          <w:sz w:val="24"/>
          <w:szCs w:val="24"/>
        </w:rPr>
        <w:t xml:space="preserve"> </w:t>
      </w:r>
      <w:r w:rsidRPr="00612EED">
        <w:rPr>
          <w:rFonts w:ascii="Book Antiqua" w:hAnsi="Book Antiqua" w:cs="Arial"/>
          <w:sz w:val="24"/>
          <w:szCs w:val="24"/>
        </w:rPr>
        <w:t>Oxalate-induced AKI may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157, 164]</w:t>
      </w:r>
      <w:r w:rsidRPr="00612EED">
        <w:rPr>
          <w:rFonts w:ascii="Book Antiqua" w:hAnsi="Book Antiqua" w:cs="Arial"/>
          <w:sz w:val="24"/>
          <w:szCs w:val="24"/>
        </w:rPr>
        <w:t xml:space="preserve"> or may not</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153, 155]</w:t>
      </w:r>
      <w:r w:rsidRPr="00612EED">
        <w:rPr>
          <w:rFonts w:ascii="Book Antiqua" w:hAnsi="Book Antiqua" w:cs="Arial"/>
          <w:sz w:val="24"/>
          <w:szCs w:val="24"/>
        </w:rPr>
        <w:t xml:space="preserve"> exhibit interstitial nephritis in addition to acute tubular necrosis.</w:t>
      </w:r>
      <w:r w:rsidR="004F2EFF">
        <w:rPr>
          <w:rFonts w:ascii="Book Antiqua" w:hAnsi="Book Antiqua" w:cs="Arial"/>
          <w:sz w:val="24"/>
          <w:szCs w:val="24"/>
        </w:rPr>
        <w:t xml:space="preserve"> </w:t>
      </w:r>
      <w:r w:rsidRPr="00612EED">
        <w:rPr>
          <w:rFonts w:ascii="Book Antiqua" w:hAnsi="Book Antiqua" w:cs="Arial"/>
          <w:sz w:val="24"/>
          <w:szCs w:val="24"/>
        </w:rPr>
        <w:t>Features of acute tubular injury, namely tubular simplification, flattening of tubular epithelial cells and dilatation of the tubular lumen are the earliest histological changes observed in kidneys of animals with experimental dietary acute oxalate nephropathy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165]</w:t>
      </w:r>
      <w:r w:rsidRPr="009376E8">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In addition to the kidneys, calcium oxalate crystals can be found in bone, skin, vessels and joints in patients with oxalosis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215]</w:t>
      </w:r>
      <w:r w:rsidRPr="009376E8">
        <w:rPr>
          <w:rFonts w:ascii="Book Antiqua" w:hAnsi="Book Antiqua" w:cs="Arial"/>
          <w:sz w:val="24"/>
          <w:szCs w:val="24"/>
        </w:rPr>
        <w:t>.</w:t>
      </w:r>
      <w:r w:rsidR="004F2EFF">
        <w:rPr>
          <w:rFonts w:ascii="Book Antiqua" w:hAnsi="Book Antiqua" w:cs="Arial"/>
          <w:sz w:val="24"/>
          <w:szCs w:val="24"/>
        </w:rPr>
        <w:t xml:space="preserve"> </w:t>
      </w:r>
      <w:r w:rsidRPr="00612EED">
        <w:rPr>
          <w:rFonts w:ascii="Book Antiqua" w:hAnsi="Book Antiqua" w:cs="Arial"/>
          <w:sz w:val="24"/>
          <w:szCs w:val="24"/>
        </w:rPr>
        <w:t>Radiological and histologic features of nephropathy in a patient with dietary hyperoxaluria are shown in Figures 2 and 3 respectively.</w:t>
      </w:r>
      <w:r w:rsidR="0077323C">
        <w:rPr>
          <w:rFonts w:ascii="Book Antiqua" w:hAnsi="Book Antiqua" w:cs="Arial"/>
          <w:sz w:val="24"/>
          <w:szCs w:val="24"/>
        </w:rPr>
        <w:t xml:space="preserve"> </w:t>
      </w:r>
    </w:p>
    <w:p w:rsidR="00F2207B" w:rsidRPr="00612EED" w:rsidRDefault="00F2207B" w:rsidP="002A048C">
      <w:pPr>
        <w:spacing w:after="0" w:line="360" w:lineRule="auto"/>
        <w:ind w:firstLineChars="250" w:firstLine="600"/>
        <w:jc w:val="both"/>
        <w:rPr>
          <w:rFonts w:ascii="Book Antiqua" w:hAnsi="Book Antiqua" w:cs="Arial"/>
          <w:sz w:val="24"/>
          <w:szCs w:val="24"/>
        </w:rPr>
      </w:pPr>
      <w:r w:rsidRPr="00612EED">
        <w:rPr>
          <w:rFonts w:ascii="Book Antiqua" w:hAnsi="Book Antiqua" w:cs="Arial"/>
          <w:sz w:val="24"/>
          <w:szCs w:val="24"/>
        </w:rPr>
        <w:t>The initial event in the development of oxalate nephropathy is the formation of calcium oxalate crystals in the lumen of proximal tubules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219].</w:t>
      </w:r>
      <w:r w:rsidR="0077323C">
        <w:rPr>
          <w:rFonts w:ascii="Book Antiqua" w:hAnsi="Book Antiqua" w:cs="Arial"/>
          <w:sz w:val="24"/>
          <w:szCs w:val="24"/>
        </w:rPr>
        <w:t xml:space="preserve"> </w:t>
      </w:r>
      <w:r w:rsidRPr="00612EED">
        <w:rPr>
          <w:rFonts w:ascii="Book Antiqua" w:hAnsi="Book Antiqua" w:cs="Arial"/>
          <w:sz w:val="24"/>
          <w:szCs w:val="24"/>
        </w:rPr>
        <w:t>Details of the mechanism of crystal formation, which have been reviewed extensively in the literature on stone formation, are outside the scope of this report.</w:t>
      </w:r>
      <w:r w:rsidR="004F2EFF">
        <w:rPr>
          <w:rFonts w:ascii="Book Antiqua" w:hAnsi="Book Antiqua" w:cs="Arial"/>
          <w:sz w:val="24"/>
          <w:szCs w:val="24"/>
        </w:rPr>
        <w:t xml:space="preserve"> </w:t>
      </w:r>
      <w:r w:rsidRPr="00612EED">
        <w:rPr>
          <w:rFonts w:ascii="Book Antiqua" w:hAnsi="Book Antiqua" w:cs="Arial"/>
          <w:sz w:val="24"/>
          <w:szCs w:val="24"/>
        </w:rPr>
        <w:t>Randall’s plaque (apatite collections in the interstitium of the papillae) was noticed in abundance in several hyperoxaluric states and may play a role in stone formation</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220]</w:t>
      </w:r>
      <w:r w:rsidRPr="009376E8">
        <w:rPr>
          <w:rFonts w:ascii="Book Antiqua" w:hAnsi="Book Antiqua" w:cs="Arial"/>
          <w:sz w:val="24"/>
          <w:szCs w:val="24"/>
        </w:rPr>
        <w:t>.</w:t>
      </w:r>
      <w:r w:rsidR="004F2EFF">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Adhesion of calcium oxalate crystals to the surface of tubular epithelial cells follows formation of the crystals. The mechanisms of adhesion have been extensively studied recently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221-227]</w:t>
      </w:r>
      <w:r w:rsidRPr="00612EED">
        <w:rPr>
          <w:rFonts w:ascii="Book Antiqua" w:hAnsi="Book Antiqua" w:cs="Arial"/>
          <w:sz w:val="24"/>
          <w:szCs w:val="24"/>
        </w:rPr>
        <w:t xml:space="preserve">. </w:t>
      </w:r>
      <w:r w:rsidRPr="00612EED">
        <w:rPr>
          <w:rFonts w:ascii="Book Antiqua" w:hAnsi="Book Antiqua" w:cs="Arial"/>
          <w:sz w:val="24"/>
          <w:szCs w:val="24"/>
          <w:vertAlign w:val="superscript"/>
        </w:rPr>
        <w:t>.</w:t>
      </w:r>
      <w:r w:rsidRPr="00612EED">
        <w:rPr>
          <w:rFonts w:ascii="Book Antiqua" w:hAnsi="Book Antiqua" w:cs="Arial"/>
          <w:sz w:val="24"/>
          <w:szCs w:val="24"/>
        </w:rPr>
        <w:t xml:space="preserve"> Coating with urine proteins, facilitated by low urinary pH, was shown to reduce the attachment of calcium oxalate crystals to renal inner medullary epithelial cells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221]</w:t>
      </w:r>
      <w:r w:rsidRPr="009376E8">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Calcium oxalate binding proteins that promote oxalate nephropathy have also been identified.</w:t>
      </w:r>
      <w:r w:rsidR="004F2EFF">
        <w:rPr>
          <w:rFonts w:ascii="Book Antiqua" w:hAnsi="Book Antiqua" w:cs="Arial"/>
          <w:sz w:val="24"/>
          <w:szCs w:val="24"/>
        </w:rPr>
        <w:t xml:space="preserve"> </w:t>
      </w:r>
      <w:r w:rsidRPr="00612EED">
        <w:rPr>
          <w:rFonts w:ascii="Book Antiqua" w:hAnsi="Book Antiqua" w:cs="Arial"/>
          <w:sz w:val="24"/>
          <w:szCs w:val="24"/>
        </w:rPr>
        <w:t>Calcium oxalate monohydrate binding protein, one of these promoters, was shown to be upregulated by oxalate-induced oxidative stress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223]</w:t>
      </w:r>
      <w:r w:rsidRPr="009376E8">
        <w:rPr>
          <w:rFonts w:ascii="Book Antiqua" w:hAnsi="Book Antiqua" w:cs="Arial"/>
          <w:sz w:val="24"/>
          <w:szCs w:val="24"/>
        </w:rPr>
        <w:t>.</w:t>
      </w:r>
      <w:r w:rsidR="0077323C" w:rsidRPr="009376E8">
        <w:rPr>
          <w:rFonts w:ascii="Book Antiqua" w:hAnsi="Book Antiqua" w:cs="Arial"/>
          <w:sz w:val="24"/>
          <w:szCs w:val="24"/>
        </w:rPr>
        <w:t xml:space="preserve"> </w:t>
      </w:r>
      <w:r w:rsidRPr="00612EED">
        <w:rPr>
          <w:rFonts w:ascii="Book Antiqua" w:hAnsi="Book Antiqua" w:cs="Arial"/>
          <w:sz w:val="24"/>
          <w:szCs w:val="24"/>
        </w:rPr>
        <w:t>A dual role was suggested for osteopontin, which inhibits calcium oxalate crystal formation and tubular retention</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222]</w:t>
      </w:r>
      <w:r w:rsidRPr="009376E8">
        <w:rPr>
          <w:rFonts w:ascii="Book Antiqua" w:hAnsi="Book Antiqua" w:cs="Arial"/>
          <w:sz w:val="24"/>
          <w:szCs w:val="24"/>
        </w:rPr>
        <w:t>,</w:t>
      </w:r>
      <w:r w:rsidRPr="00612EED">
        <w:rPr>
          <w:rFonts w:ascii="Book Antiqua" w:hAnsi="Book Antiqua" w:cs="Arial"/>
          <w:sz w:val="24"/>
          <w:szCs w:val="24"/>
        </w:rPr>
        <w:t xml:space="preserve"> but also increases adhesion of these crystals to carboxylate </w:t>
      </w:r>
      <w:r w:rsidRPr="00612EED">
        <w:rPr>
          <w:rFonts w:ascii="Book Antiqua" w:hAnsi="Book Antiqua" w:cs="Arial"/>
          <w:sz w:val="24"/>
          <w:szCs w:val="24"/>
        </w:rPr>
        <w:lastRenderedPageBreak/>
        <w:t>ions that would promote oxalate-induced renal disease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225]</w:t>
      </w:r>
      <w:r w:rsidRPr="009376E8">
        <w:rPr>
          <w:rFonts w:ascii="Book Antiqua" w:hAnsi="Book Antiqua" w:cs="Arial"/>
          <w:sz w:val="24"/>
          <w:szCs w:val="24"/>
        </w:rPr>
        <w:t>.</w:t>
      </w:r>
      <w:r w:rsidR="0077323C" w:rsidRPr="009376E8">
        <w:rPr>
          <w:rFonts w:ascii="Book Antiqua" w:hAnsi="Book Antiqua" w:cs="Arial"/>
          <w:sz w:val="24"/>
          <w:szCs w:val="24"/>
        </w:rPr>
        <w:t xml:space="preserve"> </w:t>
      </w:r>
      <w:r w:rsidRPr="00612EED">
        <w:rPr>
          <w:rFonts w:ascii="Book Antiqua" w:hAnsi="Book Antiqua" w:cs="Arial"/>
          <w:sz w:val="24"/>
          <w:szCs w:val="24"/>
        </w:rPr>
        <w:t>Prostaglandin E2 inhibits binding of calcium oxalate crystals to renal epithelial cells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224, 226]</w:t>
      </w:r>
      <w:r w:rsidRPr="009376E8">
        <w:rPr>
          <w:rFonts w:ascii="Book Antiqua" w:hAnsi="Book Antiqua" w:cs="Arial"/>
          <w:sz w:val="24"/>
          <w:szCs w:val="24"/>
        </w:rPr>
        <w:t>.</w:t>
      </w:r>
      <w:r w:rsidR="004F2EFF">
        <w:rPr>
          <w:rFonts w:ascii="Book Antiqua" w:hAnsi="Book Antiqua" w:cs="Arial"/>
          <w:sz w:val="24"/>
          <w:szCs w:val="24"/>
        </w:rPr>
        <w:t xml:space="preserve"> </w:t>
      </w:r>
      <w:r w:rsidRPr="00612EED">
        <w:rPr>
          <w:rFonts w:ascii="Book Antiqua" w:hAnsi="Book Antiqua" w:cs="Arial"/>
          <w:sz w:val="24"/>
          <w:szCs w:val="24"/>
        </w:rPr>
        <w:t>In a recent report, 26 oxalate-binding proteins were identified the kidney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227]</w:t>
      </w:r>
      <w:r w:rsidRPr="009376E8">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Further studies are needed to clarify the role of each of these proteins in oxalate-induced renal disease.</w:t>
      </w:r>
    </w:p>
    <w:p w:rsidR="00F2207B" w:rsidRPr="00612EED" w:rsidRDefault="00F2207B" w:rsidP="002A048C">
      <w:pPr>
        <w:spacing w:after="0" w:line="360" w:lineRule="auto"/>
        <w:ind w:firstLineChars="150" w:firstLine="360"/>
        <w:jc w:val="both"/>
        <w:rPr>
          <w:rFonts w:ascii="Book Antiqua" w:hAnsi="Book Antiqua" w:cs="Arial"/>
          <w:sz w:val="24"/>
          <w:szCs w:val="24"/>
        </w:rPr>
      </w:pPr>
      <w:r w:rsidRPr="00612EED">
        <w:rPr>
          <w:rFonts w:ascii="Book Antiqua" w:hAnsi="Book Antiqua" w:cs="Arial"/>
          <w:sz w:val="24"/>
          <w:szCs w:val="24"/>
        </w:rPr>
        <w:t>Evidence of the direct toxicity of supraphysiologic concentrations of oxalate to renal tubular cells was found in studies using cultured cells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228]</w:t>
      </w:r>
      <w:r w:rsidRPr="00C772EB">
        <w:rPr>
          <w:rFonts w:ascii="Book Antiqua" w:hAnsi="Book Antiqua" w:cs="Arial"/>
          <w:sz w:val="24"/>
          <w:szCs w:val="24"/>
        </w:rPr>
        <w:t>.</w:t>
      </w:r>
      <w:r w:rsidR="0077323C" w:rsidRPr="00C772EB">
        <w:rPr>
          <w:rFonts w:ascii="Book Antiqua" w:hAnsi="Book Antiqua" w:cs="Arial"/>
          <w:sz w:val="24"/>
          <w:szCs w:val="24"/>
        </w:rPr>
        <w:t xml:space="preserve"> </w:t>
      </w:r>
      <w:r w:rsidRPr="00612EED">
        <w:rPr>
          <w:rFonts w:ascii="Book Antiqua" w:hAnsi="Book Antiqua" w:cs="Arial"/>
          <w:sz w:val="24"/>
          <w:szCs w:val="24"/>
        </w:rPr>
        <w:t>Both inhibition of cell proliferation and apoptosis have been identified as mechanisms of this nephrotoxicity.</w:t>
      </w:r>
      <w:r w:rsidR="0077323C">
        <w:rPr>
          <w:rFonts w:ascii="Book Antiqua" w:hAnsi="Book Antiqua" w:cs="Arial"/>
          <w:sz w:val="24"/>
          <w:szCs w:val="24"/>
        </w:rPr>
        <w:t xml:space="preserve"> </w:t>
      </w:r>
      <w:r w:rsidRPr="00612EED">
        <w:rPr>
          <w:rFonts w:ascii="Book Antiqua" w:hAnsi="Book Antiqua" w:cs="Arial"/>
          <w:sz w:val="24"/>
          <w:szCs w:val="24"/>
        </w:rPr>
        <w:t>Studies in epithelial, endothelial and interstitial renal cell cultures found that exposure to sodium oxalate leads to reduced cell survival through inhibition of cell proliferation</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229]</w:t>
      </w:r>
      <w:r w:rsidRPr="00C772EB">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Evidence of oxalate-induced toxicity to renal cells was provided by finding increased levels of protein and mRNA of kidney injury molecule-1 in both human cell cultures and experimental animals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230]</w:t>
      </w:r>
      <w:r w:rsidRPr="00C772EB">
        <w:rPr>
          <w:rFonts w:ascii="Book Antiqua" w:hAnsi="Book Antiqua" w:cs="Arial"/>
          <w:sz w:val="24"/>
          <w:szCs w:val="24"/>
        </w:rPr>
        <w:t>.</w:t>
      </w:r>
      <w:r w:rsidR="0077323C" w:rsidRPr="00C772EB">
        <w:rPr>
          <w:rFonts w:ascii="Book Antiqua" w:hAnsi="Book Antiqua" w:cs="Arial"/>
          <w:sz w:val="24"/>
          <w:szCs w:val="24"/>
        </w:rPr>
        <w:t xml:space="preserve"> </w:t>
      </w:r>
      <w:r w:rsidRPr="00612EED">
        <w:rPr>
          <w:rFonts w:ascii="Book Antiqua" w:hAnsi="Book Antiqua" w:cs="Arial"/>
          <w:sz w:val="24"/>
          <w:szCs w:val="24"/>
        </w:rPr>
        <w:t>In experimental animals hyperoxaluria increased production of TNF-a, FAS and FAS ligand, and apoptosis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231]</w:t>
      </w:r>
      <w:r w:rsidRPr="00C772EB">
        <w:rPr>
          <w:rFonts w:ascii="Book Antiqua" w:hAnsi="Book Antiqua" w:cs="Arial"/>
          <w:sz w:val="24"/>
          <w:szCs w:val="24"/>
        </w:rPr>
        <w:t>.</w:t>
      </w:r>
      <w:r w:rsidR="0077323C" w:rsidRPr="00C772EB">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Research involving the mechanisms of innate immunity has shed considerable light on the molecular mediators and histologic features of oxalate nephropathy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232-243]</w:t>
      </w:r>
      <w:r w:rsidRPr="00BE7916">
        <w:rPr>
          <w:rFonts w:ascii="Book Antiqua" w:hAnsi="Book Antiqua" w:cs="Arial"/>
          <w:sz w:val="24"/>
          <w:szCs w:val="24"/>
        </w:rPr>
        <w:t>.</w:t>
      </w:r>
      <w:r w:rsidR="0077323C" w:rsidRPr="00BE7916">
        <w:rPr>
          <w:rFonts w:ascii="Book Antiqua" w:hAnsi="Book Antiqua" w:cs="Arial"/>
          <w:sz w:val="24"/>
          <w:szCs w:val="24"/>
        </w:rPr>
        <w:t xml:space="preserve"> </w:t>
      </w:r>
      <w:r w:rsidRPr="00612EED">
        <w:rPr>
          <w:rFonts w:ascii="Book Antiqua" w:hAnsi="Book Antiqua" w:cs="Arial"/>
          <w:sz w:val="24"/>
          <w:szCs w:val="24"/>
        </w:rPr>
        <w:t>A role for toll-like receptors (TLR), NOD-like receptors (NLR) and inflammasomes in AKI secondary to ischemia and sepsis has been documented</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232]</w:t>
      </w:r>
      <w:r w:rsidRPr="00BE7916">
        <w:rPr>
          <w:rFonts w:ascii="Book Antiqua" w:hAnsi="Book Antiqua" w:cs="Arial"/>
          <w:sz w:val="24"/>
          <w:szCs w:val="24"/>
        </w:rPr>
        <w:t>.</w:t>
      </w:r>
      <w:r w:rsidR="0077323C" w:rsidRPr="00BE7916">
        <w:rPr>
          <w:rFonts w:ascii="Book Antiqua" w:hAnsi="Book Antiqua" w:cs="Arial"/>
          <w:sz w:val="24"/>
          <w:szCs w:val="24"/>
        </w:rPr>
        <w:t xml:space="preserve"> </w:t>
      </w:r>
      <w:r w:rsidRPr="00612EED">
        <w:rPr>
          <w:rFonts w:ascii="Book Antiqua" w:hAnsi="Book Antiqua" w:cs="Arial"/>
          <w:sz w:val="24"/>
          <w:szCs w:val="24"/>
        </w:rPr>
        <w:t>A growing body of evidence has given inflammasomes a central place in our understanding of complex diseases (</w:t>
      </w:r>
      <w:r w:rsidRPr="00BE7916">
        <w:rPr>
          <w:rFonts w:ascii="Book Antiqua" w:hAnsi="Book Antiqua" w:cs="Arial"/>
          <w:i/>
          <w:sz w:val="24"/>
          <w:szCs w:val="24"/>
        </w:rPr>
        <w:t>e.g</w:t>
      </w:r>
      <w:r w:rsidRPr="00612EED">
        <w:rPr>
          <w:rFonts w:ascii="Book Antiqua" w:hAnsi="Book Antiqua" w:cs="Arial"/>
          <w:sz w:val="24"/>
          <w:szCs w:val="24"/>
        </w:rPr>
        <w:t>.</w:t>
      </w:r>
      <w:r w:rsidR="00BE7916">
        <w:rPr>
          <w:rFonts w:ascii="Book Antiqua" w:hAnsi="Book Antiqua" w:cs="Arial" w:hint="eastAsia"/>
          <w:sz w:val="24"/>
          <w:szCs w:val="24"/>
          <w:lang w:eastAsia="zh-CN"/>
        </w:rPr>
        <w:t>,</w:t>
      </w:r>
      <w:r w:rsidRPr="00612EED">
        <w:rPr>
          <w:rFonts w:ascii="Book Antiqua" w:hAnsi="Book Antiqua" w:cs="Arial"/>
          <w:sz w:val="24"/>
          <w:szCs w:val="24"/>
        </w:rPr>
        <w:t xml:space="preserve"> metabolic syndromes, carcinogenesis) and physiological processes (</w:t>
      </w:r>
      <w:r w:rsidRPr="00BE7916">
        <w:rPr>
          <w:rFonts w:ascii="Book Antiqua" w:hAnsi="Book Antiqua" w:cs="Arial"/>
          <w:i/>
          <w:sz w:val="24"/>
          <w:szCs w:val="24"/>
        </w:rPr>
        <w:t>e.g</w:t>
      </w:r>
      <w:r w:rsidRPr="00612EED">
        <w:rPr>
          <w:rFonts w:ascii="Book Antiqua" w:hAnsi="Book Antiqua" w:cs="Arial"/>
          <w:sz w:val="24"/>
          <w:szCs w:val="24"/>
        </w:rPr>
        <w:t>.</w:t>
      </w:r>
      <w:r w:rsidR="00BE7916">
        <w:rPr>
          <w:rFonts w:ascii="Book Antiqua" w:hAnsi="Book Antiqua" w:cs="Arial" w:hint="eastAsia"/>
          <w:sz w:val="24"/>
          <w:szCs w:val="24"/>
          <w:lang w:eastAsia="zh-CN"/>
        </w:rPr>
        <w:t>,</w:t>
      </w:r>
      <w:r w:rsidRPr="00612EED">
        <w:rPr>
          <w:rFonts w:ascii="Book Antiqua" w:hAnsi="Book Antiqua" w:cs="Arial"/>
          <w:sz w:val="24"/>
          <w:szCs w:val="24"/>
        </w:rPr>
        <w:t xml:space="preserve"> regulation of intestinal microbiome) and has identified them as important players of the intracellular surveillance system.</w:t>
      </w:r>
      <w:r w:rsidR="0077323C">
        <w:rPr>
          <w:rFonts w:ascii="Book Antiqua" w:hAnsi="Book Antiqua" w:cs="Arial"/>
          <w:sz w:val="24"/>
          <w:szCs w:val="24"/>
        </w:rPr>
        <w:t xml:space="preserve"> </w:t>
      </w:r>
      <w:r w:rsidRPr="00612EED">
        <w:rPr>
          <w:rFonts w:ascii="Book Antiqua" w:hAnsi="Book Antiqua" w:cs="Arial"/>
          <w:sz w:val="24"/>
          <w:szCs w:val="24"/>
        </w:rPr>
        <w:t>Recent emphasis was also placed on the role of inflammasomes in various renal disease categories, including crystalline nephropathies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233]</w:t>
      </w:r>
      <w:r w:rsidRPr="007B26F3">
        <w:rPr>
          <w:rFonts w:ascii="Book Antiqua" w:hAnsi="Book Antiqua" w:cs="Arial"/>
          <w:sz w:val="24"/>
          <w:szCs w:val="24"/>
        </w:rPr>
        <w:t>.</w:t>
      </w:r>
      <w:r w:rsidRPr="00612EED">
        <w:rPr>
          <w:rFonts w:ascii="Book Antiqua" w:hAnsi="Book Antiqua" w:cs="Arial"/>
          <w:sz w:val="24"/>
          <w:szCs w:val="24"/>
        </w:rPr>
        <w:t xml:space="preserve"> </w:t>
      </w:r>
    </w:p>
    <w:p w:rsidR="00F2207B" w:rsidRPr="00612EED" w:rsidRDefault="00F2207B" w:rsidP="002A048C">
      <w:pPr>
        <w:spacing w:after="0" w:line="360" w:lineRule="auto"/>
        <w:ind w:firstLineChars="200" w:firstLine="480"/>
        <w:jc w:val="both"/>
        <w:rPr>
          <w:rFonts w:ascii="Book Antiqua" w:hAnsi="Book Antiqua" w:cs="Arial"/>
          <w:sz w:val="24"/>
          <w:szCs w:val="24"/>
        </w:rPr>
      </w:pPr>
      <w:r w:rsidRPr="00612EED">
        <w:rPr>
          <w:rFonts w:ascii="Book Antiqua" w:hAnsi="Book Antiqua" w:cs="Arial"/>
          <w:sz w:val="24"/>
          <w:szCs w:val="24"/>
        </w:rPr>
        <w:t xml:space="preserve"> Inflammasomes are part of the innate immune system.</w:t>
      </w:r>
      <w:r w:rsidR="0077323C">
        <w:rPr>
          <w:rFonts w:ascii="Book Antiqua" w:hAnsi="Book Antiqua" w:cs="Arial"/>
          <w:sz w:val="24"/>
          <w:szCs w:val="24"/>
        </w:rPr>
        <w:t xml:space="preserve"> </w:t>
      </w:r>
      <w:r w:rsidRPr="00612EED">
        <w:rPr>
          <w:rFonts w:ascii="Book Antiqua" w:hAnsi="Book Antiqua" w:cs="Arial"/>
          <w:sz w:val="24"/>
          <w:szCs w:val="24"/>
        </w:rPr>
        <w:t>As their name suggests, inflammasomes represent large multimolecular cytosolic complexes that assemble into a platform for the activation of pro-inflammatory caspase 1</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234-236]</w:t>
      </w:r>
      <w:r w:rsidRPr="00612EED">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Inflammasomes are important mediators of apoptosis, interstitial inflammation and fibrosis in various types of renal disease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237, 238]</w:t>
      </w:r>
      <w:r w:rsidRPr="00083D59">
        <w:rPr>
          <w:rFonts w:ascii="Book Antiqua" w:hAnsi="Book Antiqua" w:cs="Arial"/>
          <w:sz w:val="24"/>
          <w:szCs w:val="24"/>
        </w:rPr>
        <w:t>.</w:t>
      </w:r>
      <w:r w:rsidR="0077323C" w:rsidRPr="00083D59">
        <w:rPr>
          <w:rFonts w:ascii="Book Antiqua" w:hAnsi="Book Antiqua" w:cs="Arial"/>
          <w:sz w:val="24"/>
          <w:szCs w:val="24"/>
        </w:rPr>
        <w:t xml:space="preserve"> </w:t>
      </w:r>
      <w:r w:rsidRPr="00612EED">
        <w:rPr>
          <w:rFonts w:ascii="Book Antiqua" w:hAnsi="Book Antiqua" w:cs="Arial"/>
          <w:sz w:val="24"/>
          <w:szCs w:val="24"/>
        </w:rPr>
        <w:t>Of great importance in the context of oxalate nephropathy is the nucleotide-binding domain, leucine-rich repeat inflammasome (NALP3 or NLRP3).</w:t>
      </w:r>
      <w:r w:rsidR="0077323C">
        <w:rPr>
          <w:rFonts w:ascii="Book Antiqua" w:hAnsi="Book Antiqua" w:cs="Arial"/>
          <w:sz w:val="24"/>
          <w:szCs w:val="24"/>
        </w:rPr>
        <w:t xml:space="preserve"> </w:t>
      </w:r>
      <w:r w:rsidRPr="00612EED">
        <w:rPr>
          <w:rFonts w:ascii="Book Antiqua" w:hAnsi="Book Antiqua" w:cs="Arial"/>
          <w:sz w:val="24"/>
          <w:szCs w:val="24"/>
        </w:rPr>
        <w:lastRenderedPageBreak/>
        <w:t>When activated, NALP3 proteins oligomerize and form a protein complex with caspase-1.</w:t>
      </w:r>
      <w:r w:rsidR="0077323C">
        <w:rPr>
          <w:rFonts w:ascii="Book Antiqua" w:hAnsi="Book Antiqua" w:cs="Arial"/>
          <w:sz w:val="24"/>
          <w:szCs w:val="24"/>
        </w:rPr>
        <w:t xml:space="preserve"> </w:t>
      </w:r>
      <w:r w:rsidRPr="00612EED">
        <w:rPr>
          <w:rFonts w:ascii="Book Antiqua" w:hAnsi="Book Antiqua" w:cs="Arial"/>
          <w:sz w:val="24"/>
          <w:szCs w:val="24"/>
        </w:rPr>
        <w:t>This process activates caspase 1 which cleaves the inactive precursors of IL-1β and IL-18 to generate active cytokines that promote inflammation.</w:t>
      </w:r>
      <w:r w:rsidR="0077323C">
        <w:rPr>
          <w:rFonts w:ascii="Book Antiqua" w:hAnsi="Book Antiqua" w:cs="Arial"/>
          <w:sz w:val="24"/>
          <w:szCs w:val="24"/>
        </w:rPr>
        <w:t xml:space="preserve"> </w:t>
      </w:r>
      <w:r w:rsidRPr="00612EED">
        <w:rPr>
          <w:rFonts w:ascii="Book Antiqua" w:hAnsi="Book Antiqua" w:cs="Arial"/>
          <w:sz w:val="24"/>
          <w:szCs w:val="24"/>
        </w:rPr>
        <w:t>The NALP3 inflammasome has been implicated in the molecular mechanism of nephropathy caused by urate crystals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239]</w:t>
      </w:r>
      <w:r w:rsidRPr="003130E9">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More recent studies detail the functional significance of the inflammasome and the IL-1β/IL-18 axis as an important factor in interstitial inflammation and fibrosis, as well as progression of renal failure, in oxalate nephropathy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240-242]</w:t>
      </w:r>
      <w:r w:rsidRPr="00612EED">
        <w:rPr>
          <w:rFonts w:ascii="Book Antiqua" w:hAnsi="Book Antiqua" w:cs="Arial"/>
          <w:sz w:val="24"/>
          <w:szCs w:val="24"/>
        </w:rPr>
        <w:t xml:space="preserve"> and other kidney diseases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243]</w:t>
      </w:r>
      <w:r w:rsidRPr="003130E9">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In experimental models, genetic deletions of antagonists of the NALP3 inflammasome pathway have decreased the severity of oxalate nephropathy</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240- 242]</w:t>
      </w:r>
      <w:r w:rsidRPr="00612EED">
        <w:rPr>
          <w:rFonts w:ascii="Book Antiqua" w:hAnsi="Book Antiqua" w:cs="Arial"/>
          <w:sz w:val="24"/>
          <w:szCs w:val="24"/>
        </w:rPr>
        <w:t xml:space="preserve">. </w:t>
      </w:r>
    </w:p>
    <w:p w:rsidR="00F2207B" w:rsidRPr="00612EED" w:rsidRDefault="00F2207B" w:rsidP="002A048C">
      <w:pPr>
        <w:spacing w:after="0" w:line="360" w:lineRule="auto"/>
        <w:jc w:val="both"/>
        <w:rPr>
          <w:rFonts w:ascii="Book Antiqua" w:hAnsi="Book Antiqua" w:cs="Arial"/>
          <w:b/>
          <w:sz w:val="24"/>
          <w:szCs w:val="24"/>
        </w:rPr>
      </w:pPr>
      <w:r w:rsidRPr="00612EED">
        <w:rPr>
          <w:rFonts w:ascii="Book Antiqua" w:hAnsi="Book Antiqua" w:cs="Arial"/>
          <w:b/>
          <w:sz w:val="24"/>
          <w:szCs w:val="24"/>
        </w:rPr>
        <w:t xml:space="preserve"> </w:t>
      </w:r>
    </w:p>
    <w:p w:rsidR="00F2207B" w:rsidRPr="00612EED" w:rsidRDefault="003130E9" w:rsidP="002A048C">
      <w:pPr>
        <w:spacing w:after="0" w:line="360" w:lineRule="auto"/>
        <w:jc w:val="both"/>
        <w:rPr>
          <w:rFonts w:ascii="Book Antiqua" w:hAnsi="Book Antiqua" w:cs="Arial"/>
          <w:b/>
          <w:sz w:val="24"/>
          <w:szCs w:val="24"/>
        </w:rPr>
      </w:pPr>
      <w:r w:rsidRPr="00612EED">
        <w:rPr>
          <w:rFonts w:ascii="Book Antiqua" w:hAnsi="Book Antiqua" w:cs="Arial"/>
          <w:b/>
          <w:sz w:val="24"/>
          <w:szCs w:val="24"/>
        </w:rPr>
        <w:t>MANAGEMENT OF NEPHROPATHY IN ACQUIRED HYPEROXALURIAS</w:t>
      </w:r>
    </w:p>
    <w:p w:rsidR="00F2207B" w:rsidRPr="00612EED" w:rsidRDefault="00F2207B" w:rsidP="002A048C">
      <w:pPr>
        <w:spacing w:after="0" w:line="360" w:lineRule="auto"/>
        <w:jc w:val="both"/>
        <w:rPr>
          <w:rFonts w:ascii="Book Antiqua" w:hAnsi="Book Antiqua" w:cs="Arial"/>
          <w:sz w:val="24"/>
          <w:szCs w:val="24"/>
        </w:rPr>
      </w:pPr>
      <w:r w:rsidRPr="00612EED">
        <w:rPr>
          <w:rFonts w:ascii="Book Antiqua" w:hAnsi="Book Antiqua" w:cs="Arial"/>
          <w:sz w:val="24"/>
          <w:szCs w:val="24"/>
        </w:rPr>
        <w:t>The general principles of management of oxalate-related nephropathies are the same in all categories of acquired hyperoxaluric nephropathy and include a diet low in oxalate and relatively high in calcium, fluid intake exceeding 1.5 L per m</w:t>
      </w:r>
      <w:r w:rsidRPr="00612EED">
        <w:rPr>
          <w:rFonts w:ascii="Book Antiqua" w:hAnsi="Book Antiqua" w:cs="Arial"/>
          <w:sz w:val="24"/>
          <w:szCs w:val="24"/>
          <w:vertAlign w:val="superscript"/>
        </w:rPr>
        <w:t>2</w:t>
      </w:r>
      <w:r w:rsidRPr="00612EED">
        <w:rPr>
          <w:rFonts w:ascii="Book Antiqua" w:hAnsi="Book Antiqua" w:cs="Arial"/>
          <w:sz w:val="24"/>
          <w:szCs w:val="24"/>
        </w:rPr>
        <w:t xml:space="preserve"> body surface area per day, treatment with probiotics containing oxalate degrading bacteria, and medications to increase urinary solubility of crystals (</w:t>
      </w:r>
      <w:r w:rsidRPr="00C655D5">
        <w:rPr>
          <w:rFonts w:ascii="Book Antiqua" w:hAnsi="Book Antiqua" w:cs="Arial"/>
          <w:i/>
          <w:sz w:val="24"/>
          <w:szCs w:val="24"/>
        </w:rPr>
        <w:t>e.g.</w:t>
      </w:r>
      <w:r w:rsidR="00C655D5">
        <w:rPr>
          <w:rFonts w:ascii="Book Antiqua" w:hAnsi="Book Antiqua" w:cs="Arial" w:hint="eastAsia"/>
          <w:sz w:val="24"/>
          <w:szCs w:val="24"/>
          <w:lang w:eastAsia="zh-CN"/>
        </w:rPr>
        <w:t>,</w:t>
      </w:r>
      <w:r w:rsidRPr="00612EED">
        <w:rPr>
          <w:rFonts w:ascii="Book Antiqua" w:hAnsi="Book Antiqua" w:cs="Arial"/>
          <w:sz w:val="24"/>
          <w:szCs w:val="24"/>
        </w:rPr>
        <w:t xml:space="preserve"> potassium citrate)</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244]</w:t>
      </w:r>
      <w:r w:rsidRPr="00C655D5">
        <w:rPr>
          <w:rFonts w:ascii="Book Antiqua" w:hAnsi="Book Antiqua" w:cs="Arial"/>
          <w:sz w:val="24"/>
          <w:szCs w:val="24"/>
        </w:rPr>
        <w:t>.</w:t>
      </w:r>
      <w:r w:rsidR="004F2EFF">
        <w:rPr>
          <w:rFonts w:ascii="Book Antiqua" w:hAnsi="Book Antiqua" w:cs="Arial"/>
          <w:sz w:val="24"/>
          <w:szCs w:val="24"/>
        </w:rPr>
        <w:t xml:space="preserve"> </w:t>
      </w:r>
      <w:r w:rsidRPr="00612EED">
        <w:rPr>
          <w:rFonts w:ascii="Book Antiqua" w:hAnsi="Book Antiqua" w:cs="Arial"/>
          <w:sz w:val="24"/>
          <w:szCs w:val="24"/>
        </w:rPr>
        <w:t>Studies on the effect of probiotics on oxaluria have produced conflicting results.</w:t>
      </w:r>
      <w:r w:rsidR="0077323C">
        <w:rPr>
          <w:rFonts w:ascii="Book Antiqua" w:hAnsi="Book Antiqua" w:cs="Arial"/>
          <w:sz w:val="24"/>
          <w:szCs w:val="24"/>
        </w:rPr>
        <w:t xml:space="preserve"> </w:t>
      </w:r>
      <w:r w:rsidRPr="00612EED">
        <w:rPr>
          <w:rFonts w:ascii="Book Antiqua" w:hAnsi="Book Antiqua" w:cs="Arial"/>
          <w:sz w:val="24"/>
          <w:szCs w:val="24"/>
        </w:rPr>
        <w:t>Intake of probiotics led to significant reduction of oxaluria in some studies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245, 246]</w:t>
      </w:r>
      <w:r w:rsidRPr="00C655D5">
        <w:rPr>
          <w:rFonts w:ascii="Book Antiqua" w:hAnsi="Book Antiqua" w:cs="Arial"/>
          <w:sz w:val="24"/>
          <w:szCs w:val="24"/>
        </w:rPr>
        <w:t>,</w:t>
      </w:r>
      <w:r w:rsidRPr="00612EED">
        <w:rPr>
          <w:rFonts w:ascii="Book Antiqua" w:hAnsi="Book Antiqua" w:cs="Arial"/>
          <w:sz w:val="24"/>
          <w:szCs w:val="24"/>
        </w:rPr>
        <w:t xml:space="preserve"> but had no effect on oxaluria in several other studies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247-249]</w:t>
      </w:r>
      <w:r w:rsidRPr="00C655D5">
        <w:rPr>
          <w:rFonts w:ascii="Book Antiqua" w:hAnsi="Book Antiqua" w:cs="Arial"/>
          <w:sz w:val="24"/>
          <w:szCs w:val="24"/>
        </w:rPr>
        <w:t>.</w:t>
      </w:r>
      <w:r w:rsidR="0077323C" w:rsidRPr="00C655D5">
        <w:rPr>
          <w:rFonts w:ascii="Book Antiqua" w:hAnsi="Book Antiqua" w:cs="Arial"/>
          <w:sz w:val="24"/>
          <w:szCs w:val="24"/>
        </w:rPr>
        <w:t xml:space="preserve"> </w:t>
      </w:r>
    </w:p>
    <w:p w:rsidR="00F2207B" w:rsidRPr="00612EED" w:rsidRDefault="00F2207B" w:rsidP="002A048C">
      <w:pPr>
        <w:spacing w:after="0" w:line="360" w:lineRule="auto"/>
        <w:ind w:firstLineChars="150" w:firstLine="360"/>
        <w:jc w:val="both"/>
        <w:rPr>
          <w:rFonts w:ascii="Book Antiqua" w:hAnsi="Book Antiqua" w:cs="Arial"/>
          <w:sz w:val="24"/>
          <w:szCs w:val="24"/>
          <w:vertAlign w:val="superscript"/>
        </w:rPr>
      </w:pPr>
      <w:r w:rsidRPr="00612EED">
        <w:rPr>
          <w:rFonts w:ascii="Book Antiqua" w:hAnsi="Book Antiqua" w:cs="Arial"/>
          <w:sz w:val="24"/>
          <w:szCs w:val="24"/>
        </w:rPr>
        <w:t>Specific measures targeted to the mechanism of hypercalciuria can be effective in patients with enteric hypercalciuria</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244, 250]</w:t>
      </w:r>
      <w:r w:rsidRPr="00732C63">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It is possible that probiotics may be useful in certain categories of patients with enteric hyperoxaluria, in particular, those who have altered enteric flora because of protracted courses of antibiotics, but this will require further study.</w:t>
      </w:r>
      <w:r w:rsidR="0077323C">
        <w:rPr>
          <w:rFonts w:ascii="Book Antiqua" w:hAnsi="Book Antiqua" w:cs="Arial"/>
          <w:sz w:val="24"/>
          <w:szCs w:val="24"/>
        </w:rPr>
        <w:t xml:space="preserve"> </w:t>
      </w:r>
      <w:r w:rsidRPr="00612EED">
        <w:rPr>
          <w:rFonts w:ascii="Book Antiqua" w:hAnsi="Book Antiqua" w:cs="Arial"/>
          <w:sz w:val="24"/>
          <w:szCs w:val="24"/>
        </w:rPr>
        <w:t xml:space="preserve">A study by Toblli </w:t>
      </w:r>
      <w:r w:rsidR="00EF5300" w:rsidRPr="00EF5300">
        <w:rPr>
          <w:rFonts w:ascii="Book Antiqua" w:hAnsi="Book Antiqua" w:cs="Arial"/>
          <w:i/>
          <w:sz w:val="24"/>
          <w:szCs w:val="24"/>
        </w:rPr>
        <w:t>et al</w:t>
      </w:r>
      <w:r w:rsidR="00732C63" w:rsidRPr="0089344C">
        <w:rPr>
          <w:rFonts w:ascii="Book Antiqua" w:hAnsi="Book Antiqua" w:cs="Arial"/>
          <w:sz w:val="24"/>
          <w:szCs w:val="24"/>
          <w:vertAlign w:val="superscript"/>
        </w:rPr>
        <w:t>[</w:t>
      </w:r>
      <w:r w:rsidR="00732C63" w:rsidRPr="00612EED">
        <w:rPr>
          <w:rFonts w:ascii="Book Antiqua" w:hAnsi="Book Antiqua" w:cs="Arial"/>
          <w:sz w:val="24"/>
          <w:szCs w:val="24"/>
          <w:vertAlign w:val="superscript"/>
        </w:rPr>
        <w:t>251]</w:t>
      </w:r>
      <w:r w:rsidRPr="00612EED">
        <w:rPr>
          <w:rFonts w:ascii="Book Antiqua" w:hAnsi="Book Antiqua" w:cs="Arial"/>
          <w:sz w:val="24"/>
          <w:szCs w:val="24"/>
        </w:rPr>
        <w:t xml:space="preserve"> reported that the angiotensin-converting enzyme inhibitor enalapril had a protective effect on the formation of tubulointerstitial lesions in rats fed ethylene glycol</w:t>
      </w:r>
      <w:r w:rsidRPr="00732C63">
        <w:rPr>
          <w:rFonts w:ascii="Book Antiqua" w:hAnsi="Book Antiqua" w:cs="Arial"/>
          <w:sz w:val="24"/>
          <w:szCs w:val="24"/>
        </w:rPr>
        <w:t>.</w:t>
      </w:r>
      <w:r w:rsidR="004F2EFF">
        <w:rPr>
          <w:rFonts w:ascii="Book Antiqua" w:hAnsi="Book Antiqua" w:cs="Arial"/>
          <w:sz w:val="24"/>
          <w:szCs w:val="24"/>
        </w:rPr>
        <w:t xml:space="preserve"> </w:t>
      </w:r>
      <w:r w:rsidRPr="00612EED">
        <w:rPr>
          <w:rFonts w:ascii="Book Antiqua" w:hAnsi="Book Antiqua" w:cs="Arial"/>
          <w:sz w:val="24"/>
          <w:szCs w:val="24"/>
        </w:rPr>
        <w:t>Studies in humans with hyperoxaluria are needed to determine the effectiveness of this drug.</w:t>
      </w:r>
      <w:r w:rsidR="004F2EFF">
        <w:rPr>
          <w:rFonts w:ascii="Book Antiqua" w:hAnsi="Book Antiqua" w:cs="Arial"/>
          <w:sz w:val="24"/>
          <w:szCs w:val="24"/>
        </w:rPr>
        <w:t xml:space="preserve"> </w:t>
      </w:r>
      <w:r w:rsidRPr="00612EED">
        <w:rPr>
          <w:rFonts w:ascii="Book Antiqua" w:hAnsi="Book Antiqua" w:cs="Arial"/>
          <w:sz w:val="24"/>
          <w:szCs w:val="24"/>
        </w:rPr>
        <w:t>Further studies are also needed to objectively assess the effectiveness of traditional herbal medications used for prevention or treatment of renal stones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252, 253]</w:t>
      </w:r>
      <w:r w:rsidRPr="00456191">
        <w:rPr>
          <w:rFonts w:ascii="Book Antiqua" w:hAnsi="Book Antiqua" w:cs="Arial"/>
          <w:sz w:val="24"/>
          <w:szCs w:val="24"/>
        </w:rPr>
        <w:t>.</w:t>
      </w:r>
      <w:r w:rsidRPr="00612EED">
        <w:rPr>
          <w:rFonts w:ascii="Book Antiqua" w:hAnsi="Book Antiqua" w:cs="Arial"/>
          <w:sz w:val="24"/>
          <w:szCs w:val="24"/>
          <w:vertAlign w:val="superscript"/>
        </w:rPr>
        <w:t xml:space="preserve"> </w:t>
      </w:r>
    </w:p>
    <w:p w:rsidR="00F2207B" w:rsidRPr="00612EED" w:rsidRDefault="00F2207B" w:rsidP="002A048C">
      <w:pPr>
        <w:spacing w:after="0" w:line="360" w:lineRule="auto"/>
        <w:jc w:val="both"/>
        <w:rPr>
          <w:rFonts w:ascii="Book Antiqua" w:hAnsi="Book Antiqua" w:cs="Arial"/>
          <w:b/>
          <w:sz w:val="24"/>
          <w:szCs w:val="24"/>
        </w:rPr>
      </w:pPr>
    </w:p>
    <w:p w:rsidR="00F2207B" w:rsidRPr="00612EED" w:rsidRDefault="004836AA" w:rsidP="002A048C">
      <w:pPr>
        <w:spacing w:after="0" w:line="360" w:lineRule="auto"/>
        <w:jc w:val="both"/>
        <w:rPr>
          <w:rFonts w:ascii="Book Antiqua" w:hAnsi="Book Antiqua" w:cs="Arial"/>
          <w:b/>
          <w:sz w:val="24"/>
          <w:szCs w:val="24"/>
        </w:rPr>
      </w:pPr>
      <w:r w:rsidRPr="00612EED">
        <w:rPr>
          <w:rFonts w:ascii="Book Antiqua" w:hAnsi="Book Antiqua" w:cs="Arial"/>
          <w:b/>
          <w:sz w:val="24"/>
          <w:szCs w:val="24"/>
        </w:rPr>
        <w:t>FUTURE RESEARCH</w:t>
      </w:r>
    </w:p>
    <w:p w:rsidR="00F2207B" w:rsidRPr="00612EED" w:rsidRDefault="00F2207B" w:rsidP="002A048C">
      <w:pPr>
        <w:spacing w:after="0" w:line="360" w:lineRule="auto"/>
        <w:jc w:val="both"/>
        <w:rPr>
          <w:rFonts w:ascii="Book Antiqua" w:hAnsi="Book Antiqua" w:cs="Arial"/>
          <w:sz w:val="24"/>
          <w:szCs w:val="24"/>
        </w:rPr>
      </w:pPr>
      <w:r w:rsidRPr="00612EED">
        <w:rPr>
          <w:rFonts w:ascii="Book Antiqua" w:hAnsi="Book Antiqua" w:cs="Arial"/>
          <w:sz w:val="24"/>
          <w:szCs w:val="24"/>
        </w:rPr>
        <w:t>Our main reason for undertaking this review was to underscore the need for epidemiologic, biochemical and histologic studies of the effects of dietary hyperoxaluria on the development of CKD and end-stage renal disease (ESRD) across the globe.</w:t>
      </w:r>
      <w:r w:rsidR="004F2EFF">
        <w:rPr>
          <w:rFonts w:ascii="Book Antiqua" w:hAnsi="Book Antiqua" w:cs="Arial"/>
          <w:sz w:val="24"/>
          <w:szCs w:val="24"/>
        </w:rPr>
        <w:t xml:space="preserve"> </w:t>
      </w:r>
      <w:r w:rsidRPr="00612EED">
        <w:rPr>
          <w:rFonts w:ascii="Book Antiqua" w:hAnsi="Book Antiqua" w:cs="Arial"/>
          <w:sz w:val="24"/>
          <w:szCs w:val="24"/>
        </w:rPr>
        <w:t>Occasional intake of nutritional foods high in oxalate has been advocated</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260]</w:t>
      </w:r>
      <w:r w:rsidRPr="007123D2">
        <w:rPr>
          <w:rFonts w:ascii="Book Antiqua" w:hAnsi="Book Antiqua" w:cs="Arial"/>
          <w:sz w:val="24"/>
          <w:szCs w:val="24"/>
        </w:rPr>
        <w:t>.</w:t>
      </w:r>
      <w:r w:rsidR="0077323C">
        <w:rPr>
          <w:rFonts w:ascii="Book Antiqua" w:hAnsi="Book Antiqua" w:cs="Arial"/>
          <w:sz w:val="24"/>
          <w:szCs w:val="24"/>
        </w:rPr>
        <w:t xml:space="preserve"> </w:t>
      </w:r>
      <w:r w:rsidRPr="00612EED">
        <w:rPr>
          <w:rFonts w:ascii="Book Antiqua" w:hAnsi="Book Antiqua" w:cs="Arial"/>
          <w:sz w:val="24"/>
          <w:szCs w:val="24"/>
        </w:rPr>
        <w:t>While doing so may have merit, neither the highest “safe” dose of oxalate nor whether this dose differs between individuals has been determined.</w:t>
      </w:r>
      <w:r w:rsidR="0077323C">
        <w:rPr>
          <w:rFonts w:ascii="Book Antiqua" w:hAnsi="Book Antiqua" w:cs="Arial"/>
          <w:sz w:val="24"/>
          <w:szCs w:val="24"/>
        </w:rPr>
        <w:t xml:space="preserve"> </w:t>
      </w:r>
      <w:r w:rsidRPr="00612EED">
        <w:rPr>
          <w:rFonts w:ascii="Book Antiqua" w:hAnsi="Book Antiqua" w:cs="Arial"/>
          <w:sz w:val="24"/>
          <w:szCs w:val="24"/>
        </w:rPr>
        <w:t>However, the main concern is not with brief ingestion of a relatively high dose of oxalate, but instead with the effects of chronic ingestion of high doses of oxalate on renal function, which is common in several parts of the world (Table 1).</w:t>
      </w:r>
      <w:r w:rsidR="0077323C">
        <w:rPr>
          <w:rFonts w:ascii="Book Antiqua" w:hAnsi="Book Antiqua" w:cs="Arial"/>
          <w:sz w:val="24"/>
          <w:szCs w:val="24"/>
        </w:rPr>
        <w:t xml:space="preserve"> </w:t>
      </w:r>
      <w:r w:rsidRPr="00612EED">
        <w:rPr>
          <w:rFonts w:ascii="Book Antiqua" w:hAnsi="Book Antiqua" w:cs="Arial"/>
          <w:sz w:val="24"/>
          <w:szCs w:val="24"/>
        </w:rPr>
        <w:t>Interestingly, several patients with documented CKD due to chronic dietary hyperoxaluria had ingested amounts of oxalate comparable to or even lower than the average values reported in certain parts of the world (Tables 1 and 3).</w:t>
      </w:r>
      <w:r w:rsidR="0077323C">
        <w:rPr>
          <w:rFonts w:ascii="Book Antiqua" w:hAnsi="Book Antiqua" w:cs="Arial"/>
          <w:sz w:val="24"/>
          <w:szCs w:val="24"/>
        </w:rPr>
        <w:t xml:space="preserve"> </w:t>
      </w:r>
      <w:r w:rsidRPr="00612EED">
        <w:rPr>
          <w:rFonts w:ascii="Book Antiqua" w:hAnsi="Book Antiqua" w:cs="Arial"/>
          <w:sz w:val="24"/>
          <w:szCs w:val="24"/>
        </w:rPr>
        <w:t>Difficulties and delays with the recognition of hyperoxaluria as the cause of CKD and ESRD have been documented, even for the primary hyperoxalurias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101, 103, 105, 254]</w:t>
      </w:r>
      <w:r w:rsidRPr="00612EED">
        <w:rPr>
          <w:rFonts w:ascii="Book Antiqua" w:hAnsi="Book Antiqua" w:cs="Arial"/>
          <w:sz w:val="24"/>
          <w:szCs w:val="24"/>
        </w:rPr>
        <w:t>, where early appearance of symptoms and renal failure, oxalosis and a family history of recurrent nephrolithiasis, renal failure and oxalosis should lead one to the diagnosis.</w:t>
      </w:r>
      <w:r w:rsidR="0077323C">
        <w:rPr>
          <w:rFonts w:ascii="Book Antiqua" w:hAnsi="Book Antiqua" w:cs="Arial"/>
          <w:sz w:val="24"/>
          <w:szCs w:val="24"/>
        </w:rPr>
        <w:t xml:space="preserve"> </w:t>
      </w:r>
      <w:r w:rsidRPr="00612EED">
        <w:rPr>
          <w:rFonts w:ascii="Book Antiqua" w:hAnsi="Book Antiqua" w:cs="Arial"/>
          <w:sz w:val="24"/>
          <w:szCs w:val="24"/>
        </w:rPr>
        <w:t>That retention of oxalate in patients with CKD from any etiology may result in renal deposition of calcium oxalate, secondary deterioration of the renal function and systemic toxicities has been recognized</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255]</w:t>
      </w:r>
      <w:r w:rsidRPr="007123D2">
        <w:rPr>
          <w:rFonts w:ascii="Book Antiqua" w:hAnsi="Book Antiqua" w:cs="Arial"/>
          <w:sz w:val="24"/>
          <w:szCs w:val="24"/>
        </w:rPr>
        <w:t>.</w:t>
      </w:r>
      <w:r w:rsidR="0077323C" w:rsidRPr="007123D2">
        <w:rPr>
          <w:rFonts w:ascii="Book Antiqua" w:hAnsi="Book Antiqua" w:cs="Arial"/>
          <w:sz w:val="24"/>
          <w:szCs w:val="24"/>
        </w:rPr>
        <w:t xml:space="preserve"> </w:t>
      </w:r>
      <w:r w:rsidRPr="00612EED">
        <w:rPr>
          <w:rFonts w:ascii="Book Antiqua" w:hAnsi="Book Antiqua" w:cs="Arial"/>
          <w:sz w:val="24"/>
          <w:szCs w:val="24"/>
        </w:rPr>
        <w:t>However, in a recent comprehensive review excessive dietary oxalate intake was not listed among the primary risk factors for CKD</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256].</w:t>
      </w:r>
      <w:r w:rsidR="0077323C">
        <w:rPr>
          <w:rFonts w:ascii="Book Antiqua" w:hAnsi="Book Antiqua" w:cs="Arial"/>
          <w:sz w:val="24"/>
          <w:szCs w:val="24"/>
        </w:rPr>
        <w:t xml:space="preserve"> </w:t>
      </w:r>
      <w:r w:rsidRPr="00612EED">
        <w:rPr>
          <w:rFonts w:ascii="Book Antiqua" w:hAnsi="Book Antiqua" w:cs="Arial"/>
          <w:sz w:val="24"/>
          <w:szCs w:val="24"/>
        </w:rPr>
        <w:t>Appropriate studies in populations with high dietary oxalate intake have the potential to reduce the rates of CKD and ESRD by simple dietetic interventions (</w:t>
      </w:r>
      <w:r w:rsidRPr="007123D2">
        <w:rPr>
          <w:rFonts w:ascii="Book Antiqua" w:hAnsi="Book Antiqua" w:cs="Arial"/>
          <w:i/>
          <w:sz w:val="24"/>
          <w:szCs w:val="24"/>
        </w:rPr>
        <w:t>e.g</w:t>
      </w:r>
      <w:r w:rsidRPr="00612EED">
        <w:rPr>
          <w:rFonts w:ascii="Book Antiqua" w:hAnsi="Book Antiqua" w:cs="Arial"/>
          <w:sz w:val="24"/>
          <w:szCs w:val="24"/>
        </w:rPr>
        <w:t>.</w:t>
      </w:r>
      <w:r w:rsidR="007123D2">
        <w:rPr>
          <w:rFonts w:ascii="Book Antiqua" w:hAnsi="Book Antiqua" w:cs="Arial" w:hint="eastAsia"/>
          <w:sz w:val="24"/>
          <w:szCs w:val="24"/>
          <w:lang w:eastAsia="zh-CN"/>
        </w:rPr>
        <w:t>,</w:t>
      </w:r>
      <w:r w:rsidRPr="00612EED">
        <w:rPr>
          <w:rFonts w:ascii="Book Antiqua" w:hAnsi="Book Antiqua" w:cs="Arial"/>
          <w:sz w:val="24"/>
          <w:szCs w:val="24"/>
        </w:rPr>
        <w:t xml:space="preserve"> fluid intake, leaching of oxalate by soaking).</w:t>
      </w:r>
      <w:r w:rsidR="0077323C">
        <w:rPr>
          <w:rFonts w:ascii="Book Antiqua" w:hAnsi="Book Antiqua" w:cs="Arial"/>
          <w:sz w:val="24"/>
          <w:szCs w:val="24"/>
        </w:rPr>
        <w:t xml:space="preserve"> </w:t>
      </w:r>
      <w:r w:rsidRPr="00612EED">
        <w:rPr>
          <w:rFonts w:ascii="Book Antiqua" w:hAnsi="Book Antiqua" w:cs="Arial"/>
          <w:sz w:val="24"/>
          <w:szCs w:val="24"/>
        </w:rPr>
        <w:t>Such studies should be encouraged.</w:t>
      </w:r>
      <w:r w:rsidR="0077323C">
        <w:rPr>
          <w:rFonts w:ascii="Book Antiqua" w:hAnsi="Book Antiqua" w:cs="Arial"/>
          <w:sz w:val="24"/>
          <w:szCs w:val="24"/>
        </w:rPr>
        <w:t xml:space="preserve"> </w:t>
      </w:r>
    </w:p>
    <w:p w:rsidR="00F2207B" w:rsidRPr="00612EED" w:rsidRDefault="00F2207B" w:rsidP="002A048C">
      <w:pPr>
        <w:spacing w:after="0" w:line="360" w:lineRule="auto"/>
        <w:ind w:firstLineChars="150" w:firstLine="360"/>
        <w:jc w:val="both"/>
        <w:rPr>
          <w:rFonts w:ascii="Book Antiqua" w:hAnsi="Book Antiqua" w:cs="Arial"/>
          <w:sz w:val="24"/>
          <w:szCs w:val="24"/>
        </w:rPr>
      </w:pPr>
      <w:r w:rsidRPr="00612EED">
        <w:rPr>
          <w:rFonts w:ascii="Book Antiqua" w:hAnsi="Book Antiqua" w:cs="Arial"/>
          <w:sz w:val="24"/>
          <w:szCs w:val="24"/>
        </w:rPr>
        <w:t>Related to the need of studying the effects of oxalate intake on the development of CKD in various areas of the globe is the need to continue performing studies on genetic influences on oxalate absorption and excretion.</w:t>
      </w:r>
      <w:r w:rsidR="0077323C">
        <w:rPr>
          <w:rFonts w:ascii="Book Antiqua" w:hAnsi="Book Antiqua" w:cs="Arial"/>
          <w:sz w:val="24"/>
          <w:szCs w:val="24"/>
        </w:rPr>
        <w:t xml:space="preserve"> </w:t>
      </w:r>
      <w:r w:rsidRPr="00612EED">
        <w:rPr>
          <w:rFonts w:ascii="Book Antiqua" w:hAnsi="Book Antiqua" w:cs="Arial"/>
          <w:sz w:val="24"/>
          <w:szCs w:val="24"/>
        </w:rPr>
        <w:t>Clinical and epidemiologic studies suggested that genetic influences can affect oxalate absorption and excretion</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257-261]</w:t>
      </w:r>
      <w:r w:rsidRPr="00ED51B5">
        <w:rPr>
          <w:rFonts w:ascii="Book Antiqua" w:hAnsi="Book Antiqua" w:cs="Arial"/>
          <w:sz w:val="24"/>
          <w:szCs w:val="24"/>
        </w:rPr>
        <w:t>.</w:t>
      </w:r>
      <w:r w:rsidR="004F2EFF">
        <w:rPr>
          <w:rFonts w:ascii="Book Antiqua" w:hAnsi="Book Antiqua" w:cs="Arial"/>
          <w:sz w:val="24"/>
          <w:szCs w:val="24"/>
        </w:rPr>
        <w:t xml:space="preserve"> </w:t>
      </w:r>
      <w:r w:rsidRPr="00612EED">
        <w:rPr>
          <w:rFonts w:ascii="Book Antiqua" w:hAnsi="Book Antiqua" w:cs="Arial"/>
          <w:sz w:val="24"/>
          <w:szCs w:val="24"/>
        </w:rPr>
        <w:t>Ongoing studies of genetic differences in intestinal and renal oxalate transporters</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262-266]</w:t>
      </w:r>
      <w:r w:rsidRPr="00612EED">
        <w:rPr>
          <w:rFonts w:ascii="Book Antiqua" w:hAnsi="Book Antiqua" w:cs="Arial"/>
          <w:sz w:val="24"/>
          <w:szCs w:val="24"/>
        </w:rPr>
        <w:t xml:space="preserve"> </w:t>
      </w:r>
      <w:r w:rsidRPr="00612EED">
        <w:rPr>
          <w:rFonts w:ascii="Book Antiqua" w:hAnsi="Book Antiqua" w:cs="Arial"/>
          <w:sz w:val="24"/>
          <w:szCs w:val="24"/>
        </w:rPr>
        <w:lastRenderedPageBreak/>
        <w:t>and of factors related to calcium metabolism</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267]</w:t>
      </w:r>
      <w:r w:rsidRPr="00612EED">
        <w:rPr>
          <w:rFonts w:ascii="Book Antiqua" w:hAnsi="Book Antiqua" w:cs="Arial"/>
          <w:sz w:val="24"/>
          <w:szCs w:val="24"/>
        </w:rPr>
        <w:t xml:space="preserve"> have the potential of leading to novel preventive and therapeutic modalities.</w:t>
      </w:r>
      <w:r w:rsidR="004F2EFF">
        <w:rPr>
          <w:rFonts w:ascii="Book Antiqua" w:hAnsi="Book Antiqua" w:cs="Arial"/>
          <w:sz w:val="24"/>
          <w:szCs w:val="24"/>
        </w:rPr>
        <w:t xml:space="preserve"> </w:t>
      </w:r>
    </w:p>
    <w:p w:rsidR="00F2207B" w:rsidRPr="00612EED" w:rsidRDefault="00F2207B" w:rsidP="002A048C">
      <w:pPr>
        <w:spacing w:after="0" w:line="360" w:lineRule="auto"/>
        <w:ind w:firstLineChars="150" w:firstLine="360"/>
        <w:jc w:val="both"/>
        <w:rPr>
          <w:rFonts w:ascii="Book Antiqua" w:hAnsi="Book Antiqua" w:cs="Arial"/>
          <w:sz w:val="24"/>
          <w:szCs w:val="24"/>
        </w:rPr>
      </w:pPr>
      <w:r w:rsidRPr="00612EED">
        <w:rPr>
          <w:rFonts w:ascii="Book Antiqua" w:hAnsi="Book Antiqua" w:cs="Arial"/>
          <w:sz w:val="24"/>
          <w:szCs w:val="24"/>
        </w:rPr>
        <w:t>Future research should also include enzymologic and protein-structure studies aimed at identifying potential drugs that would either promote reductive metabolism of glyoxylate, the immediate precursor of oxalate, or inhibit oxidative enzyme-catalyzed reactions that increase oxalate production, for example the LDH reaction.</w:t>
      </w:r>
      <w:r w:rsidR="0077323C">
        <w:rPr>
          <w:rFonts w:ascii="Book Antiqua" w:hAnsi="Book Antiqua" w:cs="Arial"/>
          <w:sz w:val="24"/>
          <w:szCs w:val="24"/>
        </w:rPr>
        <w:t xml:space="preserve"> </w:t>
      </w:r>
      <w:r w:rsidRPr="00612EED">
        <w:rPr>
          <w:rFonts w:ascii="Book Antiqua" w:hAnsi="Book Antiqua" w:cs="Arial"/>
          <w:sz w:val="24"/>
          <w:szCs w:val="24"/>
        </w:rPr>
        <w:t>Inhibiting LDH activity would reduce oxalate production and increase the levels of calcium glyoxylate and calcium glycolate which are 3 to 4 orders of magnitude more soluble in water than calcium oxalate.</w:t>
      </w:r>
      <w:r w:rsidR="0077323C">
        <w:rPr>
          <w:rFonts w:ascii="Book Antiqua" w:hAnsi="Book Antiqua" w:cs="Arial"/>
          <w:sz w:val="24"/>
          <w:szCs w:val="24"/>
        </w:rPr>
        <w:t xml:space="preserve"> </w:t>
      </w:r>
      <w:r w:rsidRPr="00612EED">
        <w:rPr>
          <w:rFonts w:ascii="Book Antiqua" w:hAnsi="Book Antiqua" w:cs="Arial"/>
          <w:sz w:val="24"/>
          <w:szCs w:val="24"/>
        </w:rPr>
        <w:t>This approach is analogous to the treatment of gout where allopurinol inhibits xanthine oxidase activity, thereby reducing uric acid production and increasing the levels of much more water soluble xanthine oxidase substrates (</w:t>
      </w:r>
      <w:r w:rsidR="00737512" w:rsidRPr="00737512">
        <w:rPr>
          <w:rFonts w:ascii="Book Antiqua" w:hAnsi="Book Antiqua" w:cs="Arial"/>
          <w:i/>
          <w:sz w:val="24"/>
          <w:szCs w:val="24"/>
        </w:rPr>
        <w:t>e.g.,</w:t>
      </w:r>
      <w:r w:rsidRPr="00612EED">
        <w:rPr>
          <w:rFonts w:ascii="Book Antiqua" w:hAnsi="Book Antiqua" w:cs="Arial"/>
          <w:sz w:val="24"/>
          <w:szCs w:val="24"/>
        </w:rPr>
        <w:t xml:space="preserve"> hypoxanthine).</w:t>
      </w:r>
      <w:r w:rsidR="0077323C">
        <w:rPr>
          <w:rFonts w:ascii="Book Antiqua" w:hAnsi="Book Antiqua" w:cs="Arial"/>
          <w:sz w:val="24"/>
          <w:szCs w:val="24"/>
        </w:rPr>
        <w:t xml:space="preserve"> </w:t>
      </w:r>
      <w:r w:rsidRPr="00612EED">
        <w:rPr>
          <w:rFonts w:ascii="Book Antiqua" w:hAnsi="Book Antiqua" w:cs="Arial"/>
          <w:sz w:val="24"/>
          <w:szCs w:val="24"/>
        </w:rPr>
        <w:t>The inflammasome NLP3 is an emerging potential target for new drug development NLP3</w:t>
      </w:r>
      <w:r w:rsidR="0089344C" w:rsidRPr="0089344C">
        <w:rPr>
          <w:rFonts w:ascii="Book Antiqua" w:hAnsi="Book Antiqua" w:cs="Arial"/>
          <w:sz w:val="24"/>
          <w:szCs w:val="24"/>
          <w:vertAlign w:val="superscript"/>
        </w:rPr>
        <w:t>[</w:t>
      </w:r>
      <w:r w:rsidRPr="00612EED">
        <w:rPr>
          <w:rFonts w:ascii="Book Antiqua" w:hAnsi="Book Antiqua" w:cs="Arial"/>
          <w:sz w:val="24"/>
          <w:szCs w:val="24"/>
          <w:vertAlign w:val="superscript"/>
        </w:rPr>
        <w:t>268]</w:t>
      </w:r>
      <w:r w:rsidRPr="00067972">
        <w:rPr>
          <w:rFonts w:ascii="Book Antiqua" w:hAnsi="Book Antiqua" w:cs="Arial"/>
          <w:sz w:val="24"/>
          <w:szCs w:val="24"/>
        </w:rPr>
        <w:t>.</w:t>
      </w:r>
    </w:p>
    <w:p w:rsidR="00F2207B" w:rsidRPr="00612EED" w:rsidRDefault="00F2207B" w:rsidP="002A048C">
      <w:pPr>
        <w:spacing w:after="0" w:line="360" w:lineRule="auto"/>
        <w:jc w:val="both"/>
        <w:rPr>
          <w:rFonts w:ascii="Book Antiqua" w:hAnsi="Book Antiqua" w:cs="Arial"/>
          <w:b/>
          <w:sz w:val="24"/>
          <w:szCs w:val="24"/>
        </w:rPr>
      </w:pPr>
    </w:p>
    <w:p w:rsidR="00F2207B" w:rsidRPr="00612EED" w:rsidRDefault="00067972" w:rsidP="002A048C">
      <w:pPr>
        <w:spacing w:after="0" w:line="360" w:lineRule="auto"/>
        <w:jc w:val="both"/>
        <w:rPr>
          <w:rFonts w:ascii="Book Antiqua" w:hAnsi="Book Antiqua" w:cs="Arial"/>
          <w:b/>
          <w:sz w:val="24"/>
          <w:szCs w:val="24"/>
        </w:rPr>
      </w:pPr>
      <w:r w:rsidRPr="00612EED">
        <w:rPr>
          <w:rFonts w:ascii="Book Antiqua" w:hAnsi="Book Antiqua" w:cs="Arial"/>
          <w:b/>
          <w:sz w:val="24"/>
          <w:szCs w:val="24"/>
        </w:rPr>
        <w:t>CONCLUSION</w:t>
      </w:r>
    </w:p>
    <w:p w:rsidR="00F2207B" w:rsidRPr="00612EED" w:rsidRDefault="00F2207B" w:rsidP="002A048C">
      <w:pPr>
        <w:spacing w:after="0" w:line="360" w:lineRule="auto"/>
        <w:jc w:val="both"/>
        <w:rPr>
          <w:rFonts w:ascii="Book Antiqua" w:hAnsi="Book Antiqua" w:cs="Arial"/>
          <w:sz w:val="24"/>
          <w:szCs w:val="24"/>
        </w:rPr>
      </w:pPr>
      <w:r w:rsidRPr="00612EED">
        <w:rPr>
          <w:rFonts w:ascii="Book Antiqua" w:hAnsi="Book Antiqua" w:cs="Arial"/>
          <w:sz w:val="24"/>
          <w:szCs w:val="24"/>
        </w:rPr>
        <w:t>Hyperoxaluria, regardless of its mechanism, can cause not only nephrolithiasis and nephrocalcinosis, but also AKI, CKD and ESRD.</w:t>
      </w:r>
      <w:r w:rsidR="0077323C">
        <w:rPr>
          <w:rFonts w:ascii="Book Antiqua" w:hAnsi="Book Antiqua" w:cs="Arial"/>
          <w:sz w:val="24"/>
          <w:szCs w:val="24"/>
        </w:rPr>
        <w:t xml:space="preserve"> </w:t>
      </w:r>
      <w:r w:rsidRPr="00612EED">
        <w:rPr>
          <w:rFonts w:ascii="Book Antiqua" w:hAnsi="Book Antiqua" w:cs="Arial"/>
          <w:sz w:val="24"/>
          <w:szCs w:val="24"/>
        </w:rPr>
        <w:t>Research to verify or reject the hypothesis that chronic dietary hyperoxaluria is underrecognized as a cause of CKD and ESRD, particularly in global areas with high dietary oxalate consumption, has the potential of improving health, well-being and economy in these areas.</w:t>
      </w:r>
      <w:r w:rsidR="0077323C">
        <w:rPr>
          <w:rFonts w:ascii="Book Antiqua" w:hAnsi="Book Antiqua" w:cs="Arial"/>
          <w:sz w:val="24"/>
          <w:szCs w:val="24"/>
        </w:rPr>
        <w:t xml:space="preserve"> </w:t>
      </w:r>
      <w:r w:rsidRPr="00612EED">
        <w:rPr>
          <w:rFonts w:ascii="Book Antiqua" w:hAnsi="Book Antiqua" w:cs="Arial"/>
          <w:sz w:val="24"/>
          <w:szCs w:val="24"/>
        </w:rPr>
        <w:t>This research should be combined with research on the genetics of oxalate transport, oxalate-induced mechanisms of disease and development of medications affecting these processes.</w:t>
      </w:r>
      <w:r w:rsidR="0077323C">
        <w:rPr>
          <w:rFonts w:ascii="Book Antiqua" w:hAnsi="Book Antiqua" w:cs="Arial"/>
          <w:sz w:val="24"/>
          <w:szCs w:val="24"/>
        </w:rPr>
        <w:t xml:space="preserve"> </w:t>
      </w:r>
    </w:p>
    <w:p w:rsidR="00F2207B" w:rsidRPr="00612EED" w:rsidRDefault="00F2207B" w:rsidP="002A048C">
      <w:pPr>
        <w:spacing w:after="0" w:line="360" w:lineRule="auto"/>
        <w:jc w:val="both"/>
        <w:rPr>
          <w:rFonts w:ascii="Book Antiqua" w:hAnsi="Book Antiqua" w:cs="Arial"/>
          <w:b/>
          <w:sz w:val="24"/>
          <w:szCs w:val="24"/>
        </w:rPr>
      </w:pPr>
    </w:p>
    <w:p w:rsidR="00F2207B" w:rsidRDefault="00502ED2" w:rsidP="002A048C">
      <w:pPr>
        <w:spacing w:after="0" w:line="360" w:lineRule="auto"/>
        <w:jc w:val="both"/>
        <w:rPr>
          <w:rFonts w:ascii="Book Antiqua" w:hAnsi="Book Antiqua" w:cs="Arial"/>
          <w:b/>
          <w:sz w:val="24"/>
          <w:szCs w:val="24"/>
          <w:lang w:eastAsia="zh-CN"/>
        </w:rPr>
      </w:pPr>
      <w:r w:rsidRPr="00612EED">
        <w:rPr>
          <w:rFonts w:ascii="Book Antiqua" w:hAnsi="Book Antiqua" w:cs="Arial"/>
          <w:b/>
          <w:sz w:val="24"/>
          <w:szCs w:val="24"/>
        </w:rPr>
        <w:t>REFERENCES</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Ogilvie D</w:t>
      </w:r>
      <w:r w:rsidRPr="00007463">
        <w:rPr>
          <w:rFonts w:ascii="Book Antiqua" w:eastAsia="宋体" w:hAnsi="Book Antiqua" w:cs="宋体"/>
          <w:color w:val="000000"/>
          <w:sz w:val="24"/>
          <w:szCs w:val="24"/>
        </w:rPr>
        <w:t>, McCollum JP, Packer S, Manning J, Oyesiku J, Muller DP, Harries JT. Urinary outputs of oxalate, calcium, and magnesium in children with intestinal disorders. Potential cause of renal calculi.</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Arch Dis Child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51</w:t>
      </w:r>
      <w:r w:rsidRPr="00007463">
        <w:rPr>
          <w:rFonts w:ascii="Book Antiqua" w:eastAsia="宋体" w:hAnsi="Book Antiqua" w:cs="宋体"/>
          <w:color w:val="000000"/>
          <w:sz w:val="24"/>
          <w:szCs w:val="24"/>
        </w:rPr>
        <w:t>: 790-795 [PMID: 1008583]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Pak CY</w:t>
      </w:r>
      <w:r w:rsidRPr="00007463">
        <w:rPr>
          <w:rFonts w:ascii="Book Antiqua" w:eastAsia="宋体" w:hAnsi="Book Antiqua" w:cs="宋体"/>
          <w:color w:val="000000"/>
          <w:sz w:val="24"/>
          <w:szCs w:val="24"/>
        </w:rPr>
        <w:t>, Britton F, Peterson R, Ward D, Northcutt C, Breslau NA, McGuire J, Sakhaee K, Bush S, Nicar M, Norman DA, Peters P. Ambulatory evaluation of nephrolithiasis. Classification, clinical presentation and diagnostic criteria.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69</w:t>
      </w:r>
      <w:r w:rsidRPr="00007463">
        <w:rPr>
          <w:rFonts w:ascii="Book Antiqua" w:eastAsia="宋体" w:hAnsi="Book Antiqua" w:cs="宋体"/>
          <w:color w:val="000000"/>
          <w:sz w:val="24"/>
          <w:szCs w:val="24"/>
        </w:rPr>
        <w:t>: 19-30 [PMID: 6247914 DOI: 10.1016/0002-9343(80)90495-7]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Larking P</w:t>
      </w:r>
      <w:r w:rsidRPr="00007463">
        <w:rPr>
          <w:rFonts w:ascii="Book Antiqua" w:eastAsia="宋体" w:hAnsi="Book Antiqua" w:cs="宋体"/>
          <w:color w:val="000000"/>
          <w:sz w:val="24"/>
          <w:szCs w:val="24"/>
        </w:rPr>
        <w:t>, Lovell-Smith CJ, Hocken AG. Urine oxalate levels in a New Zealand reference population and renal stone formers.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 Z Med J</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96</w:t>
      </w:r>
      <w:r w:rsidRPr="00007463">
        <w:rPr>
          <w:rFonts w:ascii="Book Antiqua" w:eastAsia="宋体" w:hAnsi="Book Antiqua" w:cs="宋体"/>
          <w:color w:val="000000"/>
          <w:sz w:val="24"/>
          <w:szCs w:val="24"/>
        </w:rPr>
        <w:t>: 606-607 [PMID: 6575312]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Lindsjö M</w:t>
      </w:r>
      <w:r w:rsidRPr="00007463">
        <w:rPr>
          <w:rFonts w:ascii="Book Antiqua" w:eastAsia="宋体" w:hAnsi="Book Antiqua" w:cs="宋体"/>
          <w:color w:val="000000"/>
          <w:sz w:val="24"/>
          <w:szCs w:val="24"/>
        </w:rPr>
        <w:t>, Fellström B, Danielson BG, Kasidas GP, Rose GA, Ljunghall S. Hyperoxaluria or hypercalciuria in nephrolithiasis: the importance of renal tubular functions.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Eur J Clin Invest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20</w:t>
      </w:r>
      <w:r w:rsidRPr="00007463">
        <w:rPr>
          <w:rFonts w:ascii="Book Antiqua" w:eastAsia="宋体" w:hAnsi="Book Antiqua" w:cs="宋体"/>
          <w:color w:val="000000"/>
          <w:sz w:val="24"/>
          <w:szCs w:val="24"/>
        </w:rPr>
        <w:t>: 546-554 [PMID: 2124987 DOI: 10.1111/j.1365-2362.1990.tb01900.x]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Laminski NA</w:t>
      </w:r>
      <w:r w:rsidRPr="00007463">
        <w:rPr>
          <w:rFonts w:ascii="Book Antiqua" w:eastAsia="宋体" w:hAnsi="Book Antiqua" w:cs="宋体"/>
          <w:color w:val="000000"/>
          <w:sz w:val="24"/>
          <w:szCs w:val="24"/>
        </w:rPr>
        <w:t>, Meyers AM, Kruger M, Sonnekus MI, Margolius LP. Hyperoxaluria in patients with recurrent calcium oxalate calculi: dietary and other risk factors.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Br J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68</w:t>
      </w:r>
      <w:r w:rsidRPr="00007463">
        <w:rPr>
          <w:rFonts w:ascii="Book Antiqua" w:eastAsia="宋体" w:hAnsi="Book Antiqua" w:cs="宋体"/>
          <w:color w:val="000000"/>
          <w:sz w:val="24"/>
          <w:szCs w:val="24"/>
        </w:rPr>
        <w:t>: 454-458 [PMID: 1747716 DOI: 10.1111/j.146-42-410X.1991.tb1583.x]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Massey LK</w:t>
      </w:r>
      <w:r w:rsidRPr="00007463">
        <w:rPr>
          <w:rFonts w:ascii="Book Antiqua" w:eastAsia="宋体" w:hAnsi="Book Antiqua" w:cs="宋体"/>
          <w:color w:val="000000"/>
          <w:sz w:val="24"/>
          <w:szCs w:val="24"/>
        </w:rPr>
        <w:t>, Roman-Smith H, Sutton RA. Effect of dietary oxalate and calcium on urinary oxalate and risk of formation of calcium oxalate kidney stones.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Diet Assoc</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93</w:t>
      </w:r>
      <w:r w:rsidRPr="00007463">
        <w:rPr>
          <w:rFonts w:ascii="Book Antiqua" w:eastAsia="宋体" w:hAnsi="Book Antiqua" w:cs="宋体"/>
          <w:color w:val="000000"/>
          <w:sz w:val="24"/>
          <w:szCs w:val="24"/>
        </w:rPr>
        <w:t>: 901-906 [PMID: 8335871 DOI: 10.1016/0002-8223(93)91961-0]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Verkoelen CF</w:t>
      </w:r>
      <w:r w:rsidRPr="00007463">
        <w:rPr>
          <w:rFonts w:ascii="Book Antiqua" w:eastAsia="宋体" w:hAnsi="Book Antiqua" w:cs="宋体"/>
          <w:color w:val="000000"/>
          <w:sz w:val="24"/>
          <w:szCs w:val="24"/>
        </w:rPr>
        <w:t>, Romijn JC. Oxalate transport and calcium oxalate renal stone disease.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 Res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24</w:t>
      </w:r>
      <w:r w:rsidRPr="00007463">
        <w:rPr>
          <w:rFonts w:ascii="Book Antiqua" w:eastAsia="宋体" w:hAnsi="Book Antiqua" w:cs="宋体"/>
          <w:color w:val="000000"/>
          <w:sz w:val="24"/>
          <w:szCs w:val="24"/>
        </w:rPr>
        <w:t>: 183-191 [PMID: 8873376 DOI: 10.1007/BF-00295891]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Trinchieri A</w:t>
      </w:r>
      <w:r w:rsidRPr="00007463">
        <w:rPr>
          <w:rFonts w:ascii="Book Antiqua" w:eastAsia="宋体" w:hAnsi="Book Antiqua" w:cs="宋体"/>
          <w:color w:val="000000"/>
          <w:sz w:val="24"/>
          <w:szCs w:val="24"/>
        </w:rPr>
        <w:t>, Ostini F, Nespoli R, Rovera F, Zanetti G, Pisani E. Hyperoxaluria in patients with idiopathic calcium nephrolithiasis.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Nephrol</w:t>
      </w:r>
      <w:r w:rsidRPr="00417179">
        <w:rPr>
          <w:rFonts w:ascii="Book Antiqua" w:eastAsia="宋体" w:hAnsi="Book Antiqua" w:cs="宋体"/>
          <w:color w:val="000000"/>
          <w:sz w:val="24"/>
          <w:szCs w:val="24"/>
        </w:rPr>
        <w:t> </w:t>
      </w:r>
      <w:r>
        <w:rPr>
          <w:rFonts w:ascii="Book Antiqua" w:eastAsia="宋体" w:hAnsi="Book Antiqua" w:cs="宋体" w:hint="eastAsia"/>
          <w:color w:val="000000"/>
          <w:sz w:val="24"/>
          <w:szCs w:val="24"/>
        </w:rPr>
        <w:t>1998</w:t>
      </w:r>
      <w:r w:rsidRPr="00007463">
        <w:rPr>
          <w:rFonts w:ascii="Book Antiqua" w:eastAsia="宋体" w:hAnsi="Book Antiqua" w:cs="宋体"/>
          <w:color w:val="000000"/>
          <w:sz w:val="24"/>
          <w:szCs w:val="24"/>
        </w:rPr>
        <w:t>;</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 xml:space="preserve">11 </w:t>
      </w:r>
      <w:r w:rsidRPr="00007463">
        <w:rPr>
          <w:rFonts w:ascii="Book Antiqua" w:eastAsia="宋体" w:hAnsi="Book Antiqua" w:cs="宋体"/>
          <w:bCs/>
          <w:color w:val="000000"/>
          <w:sz w:val="24"/>
          <w:szCs w:val="24"/>
        </w:rPr>
        <w:t>Suppl 1</w:t>
      </w:r>
      <w:r w:rsidRPr="00007463">
        <w:rPr>
          <w:rFonts w:ascii="Book Antiqua" w:eastAsia="宋体" w:hAnsi="Book Antiqua" w:cs="宋体"/>
          <w:color w:val="000000"/>
          <w:sz w:val="24"/>
          <w:szCs w:val="24"/>
        </w:rPr>
        <w:t>: 70-72 [PMID: 9604817]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Curhan GC</w:t>
      </w:r>
      <w:r w:rsidRPr="00007463">
        <w:rPr>
          <w:rFonts w:ascii="Book Antiqua" w:eastAsia="宋体" w:hAnsi="Book Antiqua" w:cs="宋体"/>
          <w:color w:val="000000"/>
          <w:sz w:val="24"/>
          <w:szCs w:val="24"/>
        </w:rPr>
        <w:t>. Epidemiologic evidence for the role of oxalate in idiopathic nephrolithiasis.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Endourol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13</w:t>
      </w:r>
      <w:r w:rsidRPr="00007463">
        <w:rPr>
          <w:rFonts w:ascii="Book Antiqua" w:eastAsia="宋体" w:hAnsi="Book Antiqua" w:cs="宋体"/>
          <w:color w:val="000000"/>
          <w:sz w:val="24"/>
          <w:szCs w:val="24"/>
        </w:rPr>
        <w:t>: 629-631 [PMID: 10608513 DOI: 10.1089/end.1999.13.126]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Osther PJ</w:t>
      </w:r>
      <w:r w:rsidRPr="00007463">
        <w:rPr>
          <w:rFonts w:ascii="Book Antiqua" w:eastAsia="宋体" w:hAnsi="Book Antiqua" w:cs="宋体"/>
          <w:color w:val="000000"/>
          <w:sz w:val="24"/>
          <w:szCs w:val="24"/>
        </w:rPr>
        <w:t>. Hyperoxaluria in idiopathic calcium nephrolithiasis--what are the limits?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Scand J Urol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33</w:t>
      </w:r>
      <w:r w:rsidRPr="00007463">
        <w:rPr>
          <w:rFonts w:ascii="Book Antiqua" w:eastAsia="宋体" w:hAnsi="Book Antiqua" w:cs="宋体"/>
          <w:color w:val="000000"/>
          <w:sz w:val="24"/>
          <w:szCs w:val="24"/>
        </w:rPr>
        <w:t>: 368-371 [PMID: 10636575 DOI: 10.1080/003655999750017004]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Neuhaus TJ</w:t>
      </w:r>
      <w:r w:rsidRPr="00007463">
        <w:rPr>
          <w:rFonts w:ascii="Book Antiqua" w:eastAsia="宋体" w:hAnsi="Book Antiqua" w:cs="宋体"/>
          <w:color w:val="000000"/>
          <w:sz w:val="24"/>
          <w:szCs w:val="24"/>
        </w:rPr>
        <w:t>, Belzer T, Blau N, Hoppe B, Sidhu H, Leumann E. Urinary oxalate excretion in urolithiasis and nephrocalcinosis.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Arch Dis Child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82</w:t>
      </w:r>
      <w:r w:rsidRPr="00007463">
        <w:rPr>
          <w:rFonts w:ascii="Book Antiqua" w:eastAsia="宋体" w:hAnsi="Book Antiqua" w:cs="宋体"/>
          <w:color w:val="000000"/>
          <w:sz w:val="24"/>
          <w:szCs w:val="24"/>
        </w:rPr>
        <w:t>: 322-326 [PMID: 10735843 DOI: 10.1136/adc.82.4.322]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Nguyen QV</w:t>
      </w:r>
      <w:r w:rsidRPr="00007463">
        <w:rPr>
          <w:rFonts w:ascii="Book Antiqua" w:eastAsia="宋体" w:hAnsi="Book Antiqua" w:cs="宋体"/>
          <w:color w:val="000000"/>
          <w:sz w:val="24"/>
          <w:szCs w:val="24"/>
        </w:rPr>
        <w:t>, Kälin A, Drouve U, Casez JP, Jaeger P. Sensitivity to meat protein intake and hyperoxaluria in idiopathic calcium stone formers.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59</w:t>
      </w:r>
      <w:r w:rsidRPr="00007463">
        <w:rPr>
          <w:rFonts w:ascii="Book Antiqua" w:eastAsia="宋体" w:hAnsi="Book Antiqua" w:cs="宋体"/>
          <w:color w:val="000000"/>
          <w:sz w:val="24"/>
          <w:szCs w:val="24"/>
        </w:rPr>
        <w:t>: 2273-2281 [PMID: 11380831 DOI: 10.1046/j.1523-1755.2001.00744.x]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de O G Mendonça C</w:t>
      </w:r>
      <w:r w:rsidRPr="00007463">
        <w:rPr>
          <w:rFonts w:ascii="Book Antiqua" w:eastAsia="宋体" w:hAnsi="Book Antiqua" w:cs="宋体"/>
          <w:color w:val="000000"/>
          <w:sz w:val="24"/>
          <w:szCs w:val="24"/>
        </w:rPr>
        <w:t>, Martini LA, Baxmann AC, Nishiura JL, Cuppari L, Sigulem DM, Heilberg IP. Effects of an oxalate load on urinary oxalate excretion in calcium stone formers.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Ren Nutr</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13</w:t>
      </w:r>
      <w:r w:rsidRPr="00007463">
        <w:rPr>
          <w:rFonts w:ascii="Book Antiqua" w:eastAsia="宋体" w:hAnsi="Book Antiqua" w:cs="宋体"/>
          <w:color w:val="000000"/>
          <w:sz w:val="24"/>
          <w:szCs w:val="24"/>
        </w:rPr>
        <w:t>: 39-46 [PMID: 12563622 DOI: 10.1053/jren.2003.50002]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Robertson WG</w:t>
      </w:r>
      <w:r w:rsidRPr="00007463">
        <w:rPr>
          <w:rFonts w:ascii="Book Antiqua" w:eastAsia="宋体" w:hAnsi="Book Antiqua" w:cs="宋体"/>
          <w:color w:val="000000"/>
          <w:sz w:val="24"/>
          <w:szCs w:val="24"/>
        </w:rPr>
        <w:t>. Renal stones in the tropics.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Semin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23</w:t>
      </w:r>
      <w:r w:rsidRPr="00007463">
        <w:rPr>
          <w:rFonts w:ascii="Book Antiqua" w:eastAsia="宋体" w:hAnsi="Book Antiqua" w:cs="宋体"/>
          <w:color w:val="000000"/>
          <w:sz w:val="24"/>
          <w:szCs w:val="24"/>
        </w:rPr>
        <w:t>: 77-87 [PMID: 12563603 DOI: 10.1053/snep.2003.50007]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Agarwal MM</w:t>
      </w:r>
      <w:r w:rsidRPr="00007463">
        <w:rPr>
          <w:rFonts w:ascii="Book Antiqua" w:eastAsia="宋体" w:hAnsi="Book Antiqua" w:cs="宋体"/>
          <w:color w:val="000000"/>
          <w:sz w:val="24"/>
          <w:szCs w:val="24"/>
        </w:rPr>
        <w:t>, Singh SK, Mavuduru R, Mandal AK. Preventive fluid and dietary therapy for urolithiasis: An appraisal of strength, controversies and lacunae of current literature.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Indian J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27</w:t>
      </w:r>
      <w:r w:rsidRPr="00007463">
        <w:rPr>
          <w:rFonts w:ascii="Book Antiqua" w:eastAsia="宋体" w:hAnsi="Book Antiqua" w:cs="宋体"/>
          <w:color w:val="000000"/>
          <w:sz w:val="24"/>
          <w:szCs w:val="24"/>
        </w:rPr>
        <w:t>: 310-319 [PMID: 22022052 DOI: 10.4103/0970-1591.85423]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Malek RS</w:t>
      </w:r>
      <w:r w:rsidRPr="00007463">
        <w:rPr>
          <w:rFonts w:ascii="Book Antiqua" w:eastAsia="宋体" w:hAnsi="Book Antiqua" w:cs="宋体"/>
          <w:color w:val="000000"/>
          <w:sz w:val="24"/>
          <w:szCs w:val="24"/>
        </w:rPr>
        <w:t>, Kelalis PP. Nephrocalcinosis in infancy and childhood.</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114</w:t>
      </w:r>
      <w:r w:rsidRPr="00007463">
        <w:rPr>
          <w:rFonts w:ascii="Book Antiqua" w:eastAsia="宋体" w:hAnsi="Book Antiqua" w:cs="宋体"/>
          <w:color w:val="000000"/>
          <w:sz w:val="24"/>
          <w:szCs w:val="24"/>
        </w:rPr>
        <w:t>: 441-443 [PMID: 1095788]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Pyrah LN</w:t>
      </w:r>
      <w:r w:rsidRPr="00007463">
        <w:rPr>
          <w:rFonts w:ascii="Book Antiqua" w:eastAsia="宋体" w:hAnsi="Book Antiqua" w:cs="宋体"/>
          <w:color w:val="000000"/>
          <w:sz w:val="24"/>
          <w:szCs w:val="24"/>
        </w:rPr>
        <w:t>, Anderson CK, Hodgkinson A, Zarembski PM. A case of oxalate nephrocalcinosis and primary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Br J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1959;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31</w:t>
      </w:r>
      <w:r w:rsidRPr="00007463">
        <w:rPr>
          <w:rFonts w:ascii="Book Antiqua" w:eastAsia="宋体" w:hAnsi="Book Antiqua" w:cs="宋体"/>
          <w:color w:val="000000"/>
          <w:sz w:val="24"/>
          <w:szCs w:val="24"/>
        </w:rPr>
        <w:t>: 235-248 [PMID: 14435423 DOI: 10.1111/j.1464-410X.1959.tb09413.x]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Monserrat JL</w:t>
      </w:r>
      <w:r w:rsidRPr="00007463">
        <w:rPr>
          <w:rFonts w:ascii="Book Antiqua" w:eastAsia="宋体" w:hAnsi="Book Antiqua" w:cs="宋体"/>
          <w:color w:val="000000"/>
          <w:sz w:val="24"/>
          <w:szCs w:val="24"/>
        </w:rPr>
        <w:t>, Rapado A, Castrillo JM, Diaz Curiel M, Traba ML. [Nephrocalcinosis as a clinical syndrome. Study of 77 cases (author's transl)].</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Med Clin (Barc)</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73</w:t>
      </w:r>
      <w:r w:rsidRPr="00007463">
        <w:rPr>
          <w:rFonts w:ascii="Book Antiqua" w:eastAsia="宋体" w:hAnsi="Book Antiqua" w:cs="宋体"/>
          <w:color w:val="000000"/>
          <w:sz w:val="24"/>
          <w:szCs w:val="24"/>
        </w:rPr>
        <w:t>: 305-311 [PMID: 522525]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Wilson DA</w:t>
      </w:r>
      <w:r w:rsidRPr="00007463">
        <w:rPr>
          <w:rFonts w:ascii="Book Antiqua" w:eastAsia="宋体" w:hAnsi="Book Antiqua" w:cs="宋体"/>
          <w:color w:val="000000"/>
          <w:sz w:val="24"/>
          <w:szCs w:val="24"/>
        </w:rPr>
        <w:t>, Wenzl JE, Altshuler GP. Ultrasound demonstration of diffuse cortical nephrocalcinosis in a case of primary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AJR Am J Roentgenol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132</w:t>
      </w:r>
      <w:r w:rsidRPr="00007463">
        <w:rPr>
          <w:rFonts w:ascii="Book Antiqua" w:eastAsia="宋体" w:hAnsi="Book Antiqua" w:cs="宋体"/>
          <w:color w:val="000000"/>
          <w:sz w:val="24"/>
          <w:szCs w:val="24"/>
        </w:rPr>
        <w:t>: 659-661 [PMID: 106704 DOI: 10.2214/ajr.132.4.659]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Aziz S</w:t>
      </w:r>
      <w:r w:rsidRPr="00007463">
        <w:rPr>
          <w:rFonts w:ascii="Book Antiqua" w:eastAsia="宋体" w:hAnsi="Book Antiqua" w:cs="宋体"/>
          <w:color w:val="000000"/>
          <w:sz w:val="24"/>
          <w:szCs w:val="24"/>
        </w:rPr>
        <w:t xml:space="preserve">, Callen PW, Vincenti F, Hirose R. Rapidly developing nephrocalcinosis in a patient with end-stage liver disease who received a domino liver transplant from a </w:t>
      </w:r>
      <w:r w:rsidRPr="00007463">
        <w:rPr>
          <w:rFonts w:ascii="Book Antiqua" w:eastAsia="宋体" w:hAnsi="Book Antiqua" w:cs="宋体"/>
          <w:color w:val="000000"/>
          <w:sz w:val="24"/>
          <w:szCs w:val="24"/>
        </w:rPr>
        <w:lastRenderedPageBreak/>
        <w:t>patient with known congenital oxalosis.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Ultrasound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24</w:t>
      </w:r>
      <w:r w:rsidRPr="00007463">
        <w:rPr>
          <w:rFonts w:ascii="Book Antiqua" w:eastAsia="宋体" w:hAnsi="Book Antiqua" w:cs="宋体"/>
          <w:color w:val="000000"/>
          <w:sz w:val="24"/>
          <w:szCs w:val="24"/>
        </w:rPr>
        <w:t>: 1449-1452 [PMID: 16179633]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Mantan M</w:t>
      </w:r>
      <w:r w:rsidRPr="00007463">
        <w:rPr>
          <w:rFonts w:ascii="Book Antiqua" w:eastAsia="宋体" w:hAnsi="Book Antiqua" w:cs="宋体"/>
          <w:color w:val="000000"/>
          <w:sz w:val="24"/>
          <w:szCs w:val="24"/>
        </w:rPr>
        <w:t>, Bagga A, Virdi VS, Menon S, Hari P. Etiology of nephrocalcinosis in northern Indian children.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Pediatr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22</w:t>
      </w:r>
      <w:r w:rsidRPr="00007463">
        <w:rPr>
          <w:rFonts w:ascii="Book Antiqua" w:eastAsia="宋体" w:hAnsi="Book Antiqua" w:cs="宋体"/>
          <w:color w:val="000000"/>
          <w:sz w:val="24"/>
          <w:szCs w:val="24"/>
        </w:rPr>
        <w:t>: 829-833 [PMID: 17285294 DOI: 10.1007/s00467-006-0425-7]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Mandal AK</w:t>
      </w:r>
      <w:r w:rsidRPr="00007463">
        <w:rPr>
          <w:rFonts w:ascii="Book Antiqua" w:eastAsia="宋体" w:hAnsi="Book Antiqua" w:cs="宋体"/>
          <w:color w:val="000000"/>
          <w:sz w:val="24"/>
          <w:szCs w:val="24"/>
        </w:rPr>
        <w:t>. What is the purpose of launching the World Journal of Nephrology?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World J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w:t>
      </w:r>
      <w:r w:rsidRPr="00007463">
        <w:rPr>
          <w:rFonts w:ascii="Book Antiqua" w:eastAsia="宋体" w:hAnsi="Book Antiqua" w:cs="宋体"/>
          <w:color w:val="000000"/>
          <w:sz w:val="24"/>
          <w:szCs w:val="24"/>
        </w:rPr>
        <w:t>: 1-3 [PMID: 24175235 DOI: 10.5527/wjn.v1.i1.1]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Grases F</w:t>
      </w:r>
      <w:r w:rsidRPr="00007463">
        <w:rPr>
          <w:rFonts w:ascii="Book Antiqua" w:eastAsia="宋体" w:hAnsi="Book Antiqua" w:cs="宋体"/>
          <w:color w:val="000000"/>
          <w:sz w:val="24"/>
          <w:szCs w:val="24"/>
        </w:rPr>
        <w:t>, March JG, Conte A, Costa-Bauzá A. New aspects on the composition, structure and origin of calcium oxalate monohydrate calculi.</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Eur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24</w:t>
      </w:r>
      <w:r w:rsidRPr="00007463">
        <w:rPr>
          <w:rFonts w:ascii="Book Antiqua" w:eastAsia="宋体" w:hAnsi="Book Antiqua" w:cs="宋体"/>
          <w:color w:val="000000"/>
          <w:sz w:val="24"/>
          <w:szCs w:val="24"/>
        </w:rPr>
        <w:t>: 381-386 [PMID: 8262107]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Hodgkinson A</w:t>
      </w:r>
      <w:r w:rsidRPr="00007463">
        <w:rPr>
          <w:rFonts w:ascii="Book Antiqua" w:eastAsia="宋体" w:hAnsi="Book Antiqua" w:cs="宋体"/>
          <w:color w:val="000000"/>
          <w:sz w:val="24"/>
          <w:szCs w:val="24"/>
        </w:rPr>
        <w:t>, Zarembski PM. Oxalic acid metabolism in man: a review.</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Calcif Tissue Res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1968;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w:t>
      </w:r>
      <w:r w:rsidRPr="00007463">
        <w:rPr>
          <w:rFonts w:ascii="Book Antiqua" w:eastAsia="宋体" w:hAnsi="Book Antiqua" w:cs="宋体"/>
          <w:color w:val="000000"/>
          <w:sz w:val="24"/>
          <w:szCs w:val="24"/>
        </w:rPr>
        <w:t>: 115-132 [PMID: 4883922 DOI: 10.1007/BF02279201]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Isong EU</w:t>
      </w:r>
      <w:r w:rsidRPr="00007463">
        <w:rPr>
          <w:rFonts w:ascii="Book Antiqua" w:eastAsia="宋体" w:hAnsi="Book Antiqua" w:cs="宋体"/>
          <w:color w:val="000000"/>
          <w:sz w:val="24"/>
          <w:szCs w:val="24"/>
        </w:rPr>
        <w:t>, Idiong UI. Comparative studies on the nutritional and toxic composition of three varieties of Lesianthera africana.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Plant Foods Hum Nutr</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51</w:t>
      </w:r>
      <w:r w:rsidRPr="00007463">
        <w:rPr>
          <w:rFonts w:ascii="Book Antiqua" w:eastAsia="宋体" w:hAnsi="Book Antiqua" w:cs="宋体"/>
          <w:color w:val="000000"/>
          <w:sz w:val="24"/>
          <w:szCs w:val="24"/>
        </w:rPr>
        <w:t>: 79-84 [PMID: 9498697 DOI: 10.1023/A: 1007922308985]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Noonan SC</w:t>
      </w:r>
      <w:r w:rsidRPr="00007463">
        <w:rPr>
          <w:rFonts w:ascii="Book Antiqua" w:eastAsia="宋体" w:hAnsi="Book Antiqua" w:cs="宋体"/>
          <w:color w:val="000000"/>
          <w:sz w:val="24"/>
          <w:szCs w:val="24"/>
        </w:rPr>
        <w:t>, Savage GP. Oxalate content of foods and its effect on humans.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Asia Pac J Clin Nutr</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w:t>
      </w:r>
      <w:r w:rsidRPr="00007463">
        <w:rPr>
          <w:rFonts w:ascii="Book Antiqua" w:eastAsia="宋体" w:hAnsi="Book Antiqua" w:cs="宋体"/>
          <w:color w:val="000000"/>
          <w:sz w:val="24"/>
          <w:szCs w:val="24"/>
        </w:rPr>
        <w:t>: 64-74 [PMID: 24393738 DOI: 10.1046/j.1440-6047.1999.00038.x]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27</w:t>
      </w:r>
      <w:r w:rsidRPr="00007463">
        <w:rPr>
          <w:rFonts w:ascii="Book Antiqua" w:eastAsia="宋体" w:hAnsi="Book Antiqua" w:cs="宋体"/>
          <w:b/>
          <w:color w:val="000000"/>
          <w:sz w:val="24"/>
          <w:szCs w:val="24"/>
        </w:rPr>
        <w:t xml:space="preserve"> Holmes RP</w:t>
      </w:r>
      <w:r w:rsidRPr="00007463">
        <w:rPr>
          <w:rFonts w:ascii="Book Antiqua" w:eastAsia="宋体" w:hAnsi="Book Antiqua" w:cs="宋体"/>
          <w:color w:val="000000"/>
          <w:sz w:val="24"/>
          <w:szCs w:val="24"/>
        </w:rPr>
        <w:t xml:space="preserve">, Kennedy M. Estimation of oxalate content of foods and daily oxalate intake. </w:t>
      </w:r>
      <w:r w:rsidRPr="00007463">
        <w:rPr>
          <w:rFonts w:ascii="Book Antiqua" w:eastAsia="宋体" w:hAnsi="Book Antiqua" w:cs="宋体"/>
          <w:i/>
          <w:color w:val="000000"/>
          <w:sz w:val="24"/>
          <w:szCs w:val="24"/>
        </w:rPr>
        <w:t>Kidney Int</w:t>
      </w:r>
      <w:r w:rsidRPr="00007463">
        <w:rPr>
          <w:rFonts w:ascii="Book Antiqua" w:eastAsia="宋体" w:hAnsi="Book Antiqua" w:cs="宋体"/>
          <w:color w:val="000000"/>
          <w:sz w:val="24"/>
          <w:szCs w:val="24"/>
        </w:rPr>
        <w:t xml:space="preserve"> 2000; </w:t>
      </w:r>
      <w:r w:rsidRPr="00007463">
        <w:rPr>
          <w:rFonts w:ascii="Book Antiqua" w:eastAsia="宋体" w:hAnsi="Book Antiqua" w:cs="宋体"/>
          <w:b/>
          <w:color w:val="000000"/>
          <w:sz w:val="24"/>
          <w:szCs w:val="24"/>
        </w:rPr>
        <w:t>57</w:t>
      </w:r>
      <w:r w:rsidRPr="00007463">
        <w:rPr>
          <w:rFonts w:ascii="Book Antiqua" w:eastAsia="宋体" w:hAnsi="Book Antiqua" w:cs="宋体"/>
          <w:color w:val="000000"/>
          <w:sz w:val="24"/>
          <w:szCs w:val="24"/>
        </w:rPr>
        <w:t>: 1662-1667 [</w:t>
      </w:r>
      <w:r>
        <w:rPr>
          <w:rFonts w:ascii="Book Antiqua" w:eastAsia="宋体" w:hAnsi="Book Antiqua" w:cs="宋体" w:hint="eastAsia"/>
          <w:color w:val="000000"/>
          <w:sz w:val="24"/>
          <w:szCs w:val="24"/>
        </w:rPr>
        <w:t xml:space="preserve">PMID: </w:t>
      </w:r>
      <w:r w:rsidRPr="00007463">
        <w:rPr>
          <w:rFonts w:ascii="Book Antiqua" w:eastAsia="宋体" w:hAnsi="Book Antiqua" w:cs="宋体"/>
          <w:color w:val="000000"/>
          <w:sz w:val="24"/>
          <w:szCs w:val="24"/>
        </w:rPr>
        <w:t>10760101 DOI: 10.1046/j.1523-1755.2000.00010.x]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Kumar A</w:t>
      </w:r>
      <w:r w:rsidRPr="00007463">
        <w:rPr>
          <w:rFonts w:ascii="Book Antiqua" w:eastAsia="宋体" w:hAnsi="Book Antiqua" w:cs="宋体"/>
          <w:color w:val="000000"/>
          <w:sz w:val="24"/>
          <w:szCs w:val="24"/>
        </w:rPr>
        <w:t>. Influence of radish consumption on urinary calcium oxalate excretion.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Nepal Med Coll J</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w:t>
      </w:r>
      <w:r w:rsidRPr="00007463">
        <w:rPr>
          <w:rFonts w:ascii="Book Antiqua" w:eastAsia="宋体" w:hAnsi="Book Antiqua" w:cs="宋体"/>
          <w:color w:val="000000"/>
          <w:sz w:val="24"/>
          <w:szCs w:val="24"/>
        </w:rPr>
        <w:t>: 41-44 [PMID: 15449653]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Siener R</w:t>
      </w:r>
      <w:r w:rsidRPr="00007463">
        <w:rPr>
          <w:rFonts w:ascii="Book Antiqua" w:eastAsia="宋体" w:hAnsi="Book Antiqua" w:cs="宋体"/>
          <w:color w:val="000000"/>
          <w:sz w:val="24"/>
          <w:szCs w:val="24"/>
        </w:rPr>
        <w:t>, Hönow R, Voss S, Seidler A, Hesse A. Oxalate content of cereals and cereal products.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Agric Food Chem</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54</w:t>
      </w:r>
      <w:r w:rsidRPr="00007463">
        <w:rPr>
          <w:rFonts w:ascii="Book Antiqua" w:eastAsia="宋体" w:hAnsi="Book Antiqua" w:cs="宋体"/>
          <w:color w:val="000000"/>
          <w:sz w:val="24"/>
          <w:szCs w:val="24"/>
        </w:rPr>
        <w:t>: 3008-3011 [PMID: 16608223 DOI: 10.1021/jf052776v]</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30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Kynast-Gales SA</w:t>
      </w:r>
      <w:r w:rsidRPr="00007463">
        <w:rPr>
          <w:rFonts w:ascii="Book Antiqua" w:eastAsia="宋体" w:hAnsi="Book Antiqua" w:cs="宋体"/>
          <w:color w:val="000000"/>
          <w:sz w:val="24"/>
          <w:szCs w:val="24"/>
        </w:rPr>
        <w:t>, Massey LK. Food oxalate: an international database.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Diet Assoc</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107</w:t>
      </w:r>
      <w:r w:rsidRPr="00007463">
        <w:rPr>
          <w:rFonts w:ascii="Book Antiqua" w:eastAsia="宋体" w:hAnsi="Book Antiqua" w:cs="宋体"/>
          <w:color w:val="000000"/>
          <w:sz w:val="24"/>
          <w:szCs w:val="24"/>
        </w:rPr>
        <w:t>: 1099 [PMID: 17604735 DOI: 10.1016/jada.2007.05.027]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31 . Web site: www.spokane.wsu.edu/research&amp;service/HREC/FoodOxalate.asp</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32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Brogren M</w:t>
      </w:r>
      <w:r w:rsidRPr="00007463">
        <w:rPr>
          <w:rFonts w:ascii="Book Antiqua" w:eastAsia="宋体" w:hAnsi="Book Antiqua" w:cs="宋体"/>
          <w:color w:val="000000"/>
          <w:sz w:val="24"/>
          <w:szCs w:val="24"/>
        </w:rPr>
        <w:t>, Savage GP. Bioavailability of soluble oxalate from spinach eaten with and without milk products.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Asia Pac J Clin Nutr</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12</w:t>
      </w:r>
      <w:r w:rsidRPr="00007463">
        <w:rPr>
          <w:rFonts w:ascii="Book Antiqua" w:eastAsia="宋体" w:hAnsi="Book Antiqua" w:cs="宋体"/>
          <w:color w:val="000000"/>
          <w:sz w:val="24"/>
          <w:szCs w:val="24"/>
        </w:rPr>
        <w:t>: 219-224 [PMID: 12810415]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33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Meschi T</w:t>
      </w:r>
      <w:r w:rsidRPr="00007463">
        <w:rPr>
          <w:rFonts w:ascii="Book Antiqua" w:eastAsia="宋体" w:hAnsi="Book Antiqua" w:cs="宋体"/>
          <w:color w:val="000000"/>
          <w:sz w:val="24"/>
          <w:szCs w:val="24"/>
        </w:rPr>
        <w:t>, Schianchi T, Ridolo E, Adorni G, Allegri F, Guerra A, Novarini A, Borghi L. Body weight, diet and water intake in preventing stone disease.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72 Suppl 1</w:t>
      </w:r>
      <w:r w:rsidRPr="00007463">
        <w:rPr>
          <w:rFonts w:ascii="Book Antiqua" w:eastAsia="宋体" w:hAnsi="Book Antiqua" w:cs="宋体"/>
          <w:color w:val="000000"/>
          <w:sz w:val="24"/>
          <w:szCs w:val="24"/>
        </w:rPr>
        <w:t>: 29-33 [PMID: 15133330 DOI: 10.1159/000076588]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34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Hess B</w:t>
      </w:r>
      <w:r w:rsidRPr="00007463">
        <w:rPr>
          <w:rFonts w:ascii="Book Antiqua" w:eastAsia="宋体" w:hAnsi="Book Antiqua" w:cs="宋体"/>
          <w:color w:val="000000"/>
          <w:sz w:val="24"/>
          <w:szCs w:val="24"/>
        </w:rPr>
        <w:t>. 'Bad dietary habits' and recurrent calcium oxalate nephrolithiasis.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 Dial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13</w:t>
      </w:r>
      <w:r w:rsidRPr="00007463">
        <w:rPr>
          <w:rFonts w:ascii="Book Antiqua" w:eastAsia="宋体" w:hAnsi="Book Antiqua" w:cs="宋体"/>
          <w:color w:val="000000"/>
          <w:sz w:val="24"/>
          <w:szCs w:val="24"/>
        </w:rPr>
        <w:t>: 1033-1038 [PMID: 9568880 DOI: 10.1093/ndt/13.4.1033]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35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Hall WD</w:t>
      </w:r>
      <w:r w:rsidRPr="00007463">
        <w:rPr>
          <w:rFonts w:ascii="Book Antiqua" w:eastAsia="宋体" w:hAnsi="Book Antiqua" w:cs="宋体"/>
          <w:color w:val="000000"/>
          <w:sz w:val="24"/>
          <w:szCs w:val="24"/>
        </w:rPr>
        <w:t>, Pettinger M, Oberman A, Watts NB, Johnson KC, Paskett ED, Limacher MC, Hays J. Risk factors for kidney stones in older women in the southern United States.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Med Sci</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322</w:t>
      </w:r>
      <w:r w:rsidRPr="00007463">
        <w:rPr>
          <w:rFonts w:ascii="Book Antiqua" w:eastAsia="宋体" w:hAnsi="Book Antiqua" w:cs="宋体"/>
          <w:color w:val="000000"/>
          <w:sz w:val="24"/>
          <w:szCs w:val="24"/>
        </w:rPr>
        <w:t>: 12-18 [PMID: 11465241 DOI: 10.1097/00000441-200107000-0003]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36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Taylor EN</w:t>
      </w:r>
      <w:r w:rsidRPr="00007463">
        <w:rPr>
          <w:rFonts w:ascii="Book Antiqua" w:eastAsia="宋体" w:hAnsi="Book Antiqua" w:cs="宋体"/>
          <w:color w:val="000000"/>
          <w:sz w:val="24"/>
          <w:szCs w:val="24"/>
        </w:rPr>
        <w:t>, Curhan GC. Oxalate intake and the risk for nephrolithiasis.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18</w:t>
      </w:r>
      <w:r w:rsidRPr="00007463">
        <w:rPr>
          <w:rFonts w:ascii="Book Antiqua" w:eastAsia="宋体" w:hAnsi="Book Antiqua" w:cs="宋体"/>
          <w:color w:val="000000"/>
          <w:sz w:val="24"/>
          <w:szCs w:val="24"/>
        </w:rPr>
        <w:t>: 2198-2204 [PMID: 17538185 DOI: 10.1681/ASN.2007020219]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37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Alaya A</w:t>
      </w:r>
      <w:r w:rsidRPr="00007463">
        <w:rPr>
          <w:rFonts w:ascii="Book Antiqua" w:eastAsia="宋体" w:hAnsi="Book Antiqua" w:cs="宋体"/>
          <w:color w:val="000000"/>
          <w:sz w:val="24"/>
          <w:szCs w:val="24"/>
        </w:rPr>
        <w:t>, Sakly R, Nouri A, Najjar MF. Nutritional aspects of idiopathic nephrolithiasis in Tunisian children.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Arch Ital Urol Androl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83</w:t>
      </w:r>
      <w:r w:rsidRPr="00007463">
        <w:rPr>
          <w:rFonts w:ascii="Book Antiqua" w:eastAsia="宋体" w:hAnsi="Book Antiqua" w:cs="宋体"/>
          <w:color w:val="000000"/>
          <w:sz w:val="24"/>
          <w:szCs w:val="24"/>
        </w:rPr>
        <w:t>: 136-140 [PMID: 22187743]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38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Zarembski PM</w:t>
      </w:r>
      <w:r w:rsidRPr="00007463">
        <w:rPr>
          <w:rFonts w:ascii="Book Antiqua" w:eastAsia="宋体" w:hAnsi="Book Antiqua" w:cs="宋体"/>
          <w:color w:val="000000"/>
          <w:sz w:val="24"/>
          <w:szCs w:val="24"/>
        </w:rPr>
        <w:t>, Hodgkinson A. The oxalic acid content of English diets.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Br J Nutr</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1962;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16</w:t>
      </w:r>
      <w:r w:rsidRPr="00007463">
        <w:rPr>
          <w:rFonts w:ascii="Book Antiqua" w:eastAsia="宋体" w:hAnsi="Book Antiqua" w:cs="宋体"/>
          <w:color w:val="000000"/>
          <w:sz w:val="24"/>
          <w:szCs w:val="24"/>
        </w:rPr>
        <w:t>: 627-634 [PMID: 14003270 DOI: 10.1079/BJN19620061]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39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Siener R</w:t>
      </w:r>
      <w:r w:rsidRPr="00007463">
        <w:rPr>
          <w:rFonts w:ascii="Book Antiqua" w:eastAsia="宋体" w:hAnsi="Book Antiqua" w:cs="宋体"/>
          <w:color w:val="000000"/>
          <w:sz w:val="24"/>
          <w:szCs w:val="24"/>
        </w:rPr>
        <w:t>, Ebert D, Nicolay C, Hesse A. Dietary risk factors for hyperoxaluria in calcium oxalate stone formers.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63</w:t>
      </w:r>
      <w:r w:rsidRPr="00007463">
        <w:rPr>
          <w:rFonts w:ascii="Book Antiqua" w:eastAsia="宋体" w:hAnsi="Book Antiqua" w:cs="宋体"/>
          <w:color w:val="000000"/>
          <w:sz w:val="24"/>
          <w:szCs w:val="24"/>
        </w:rPr>
        <w:t>: 1037-1043 [PMID: 12631085 DOI: 10.1036/j.1523-1755.2003.00807.x]]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40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Singh PP</w:t>
      </w:r>
      <w:r w:rsidRPr="00007463">
        <w:rPr>
          <w:rFonts w:ascii="Book Antiqua" w:eastAsia="宋体" w:hAnsi="Book Antiqua" w:cs="宋体"/>
          <w:color w:val="000000"/>
          <w:sz w:val="24"/>
          <w:szCs w:val="24"/>
        </w:rPr>
        <w:t>, Kothari LK, Sharma DC, Saxena SN. Nutritional value of foods in relation to their oxalic acid content.</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Clin Nutr</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25</w:t>
      </w:r>
      <w:r w:rsidRPr="00007463">
        <w:rPr>
          <w:rFonts w:ascii="Book Antiqua" w:eastAsia="宋体" w:hAnsi="Book Antiqua" w:cs="宋体"/>
          <w:color w:val="000000"/>
          <w:sz w:val="24"/>
          <w:szCs w:val="24"/>
        </w:rPr>
        <w:t>: 1147-1152 [PMID: 5086037]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41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Sanwalka NJ</w:t>
      </w:r>
      <w:r w:rsidRPr="00007463">
        <w:rPr>
          <w:rFonts w:ascii="Book Antiqua" w:eastAsia="宋体" w:hAnsi="Book Antiqua" w:cs="宋体"/>
          <w:color w:val="000000"/>
          <w:sz w:val="24"/>
          <w:szCs w:val="24"/>
        </w:rPr>
        <w:t>, Khadilkar AV, Mughal MZ, Sayyad MG, Khadilkar VV, Shirole SC, Divate UP, Bhandari DR. A study of calcium intake and sources of calcium in adolescent boys and girls from two socioeconomic strata, in Pune, India.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Asia Pac J Clin Nutr</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19</w:t>
      </w:r>
      <w:r w:rsidRPr="00007463">
        <w:rPr>
          <w:rFonts w:ascii="Book Antiqua" w:eastAsia="宋体" w:hAnsi="Book Antiqua" w:cs="宋体"/>
          <w:color w:val="000000"/>
          <w:sz w:val="24"/>
          <w:szCs w:val="24"/>
        </w:rPr>
        <w:t>: 324-329 [PMID: 20805075]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42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Meschi T</w:t>
      </w:r>
      <w:r w:rsidRPr="00007463">
        <w:rPr>
          <w:rFonts w:ascii="Book Antiqua" w:eastAsia="宋体" w:hAnsi="Book Antiqua" w:cs="宋体"/>
          <w:color w:val="000000"/>
          <w:sz w:val="24"/>
          <w:szCs w:val="24"/>
        </w:rPr>
        <w:t xml:space="preserve">, Maggiore U, Fiaccadori E, Schianchi T, Bosi S, Adorni G, Ridolo E, Guerra A, Allegri F, Novarini A, Borghi L. The effect of fruits and vegetables on urinary stone </w:t>
      </w:r>
      <w:r w:rsidRPr="00007463">
        <w:rPr>
          <w:rFonts w:ascii="Book Antiqua" w:eastAsia="宋体" w:hAnsi="Book Antiqua" w:cs="宋体"/>
          <w:color w:val="000000"/>
          <w:sz w:val="24"/>
          <w:szCs w:val="24"/>
        </w:rPr>
        <w:lastRenderedPageBreak/>
        <w:t>risk factors.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66</w:t>
      </w:r>
      <w:r w:rsidRPr="00007463">
        <w:rPr>
          <w:rFonts w:ascii="Book Antiqua" w:eastAsia="宋体" w:hAnsi="Book Antiqua" w:cs="宋体"/>
          <w:color w:val="000000"/>
          <w:sz w:val="24"/>
          <w:szCs w:val="24"/>
        </w:rPr>
        <w:t>: 2402-2410 [PMID: 15569332 DOI: 10.1111/j.1523-1755.2004.66029.x]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43</w:t>
      </w:r>
      <w:r>
        <w:rPr>
          <w:rFonts w:ascii="Book Antiqua" w:eastAsia="宋体" w:hAnsi="Book Antiqua" w:cs="宋体" w:hint="eastAsia"/>
          <w:color w:val="000000"/>
          <w:sz w:val="24"/>
          <w:szCs w:val="24"/>
        </w:rPr>
        <w:t xml:space="preserve"> </w:t>
      </w:r>
      <w:r w:rsidRPr="00007463">
        <w:rPr>
          <w:rFonts w:ascii="Book Antiqua" w:eastAsia="宋体" w:hAnsi="Book Antiqua" w:cs="宋体"/>
          <w:color w:val="000000"/>
          <w:sz w:val="24"/>
          <w:szCs w:val="24"/>
        </w:rPr>
        <w:t>Diggers Australia PTY Limited. Material safety data Sheet oxalic acid. 2003. www.diggersaust.com.au/files/Oxalic Acid.pdf</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44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Dvorácková I</w:t>
      </w:r>
      <w:r w:rsidRPr="00007463">
        <w:rPr>
          <w:rFonts w:ascii="Book Antiqua" w:eastAsia="宋体" w:hAnsi="Book Antiqua" w:cs="宋体"/>
          <w:color w:val="000000"/>
          <w:sz w:val="24"/>
          <w:szCs w:val="24"/>
        </w:rPr>
        <w:t>. [Fatal poisoning following intravenous administration of sodium oxalate].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Arch Toxikol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1966;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22</w:t>
      </w:r>
      <w:r w:rsidRPr="00007463">
        <w:rPr>
          <w:rFonts w:ascii="Book Antiqua" w:eastAsia="宋体" w:hAnsi="Book Antiqua" w:cs="宋体"/>
          <w:color w:val="000000"/>
          <w:sz w:val="24"/>
          <w:szCs w:val="24"/>
        </w:rPr>
        <w:t>: 63-67 [PMID: 5982784]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45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Taylor EN</w:t>
      </w:r>
      <w:r w:rsidRPr="00007463">
        <w:rPr>
          <w:rFonts w:ascii="Book Antiqua" w:eastAsia="宋体" w:hAnsi="Book Antiqua" w:cs="宋体"/>
          <w:color w:val="000000"/>
          <w:sz w:val="24"/>
          <w:szCs w:val="24"/>
        </w:rPr>
        <w:t>, Fung TT, Curhan GC. DASH-style diet associates with reduced risk for kidney stones.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20</w:t>
      </w:r>
      <w:r w:rsidRPr="00007463">
        <w:rPr>
          <w:rFonts w:ascii="Book Antiqua" w:eastAsia="宋体" w:hAnsi="Book Antiqua" w:cs="宋体"/>
          <w:color w:val="000000"/>
          <w:sz w:val="24"/>
          <w:szCs w:val="24"/>
        </w:rPr>
        <w:t>: 2253-2259 [PMID: 19679672 DOI: 10.1681/ASN.2009030276]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46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Williams HE</w:t>
      </w:r>
      <w:r w:rsidRPr="00007463">
        <w:rPr>
          <w:rFonts w:ascii="Book Antiqua" w:eastAsia="宋体" w:hAnsi="Book Antiqua" w:cs="宋体"/>
          <w:color w:val="000000"/>
          <w:sz w:val="24"/>
          <w:szCs w:val="24"/>
        </w:rPr>
        <w:t>, Wandzilak TR. Oxalate synthesis, transport and the hyperoxaluric syndromes.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141</w:t>
      </w:r>
      <w:r w:rsidRPr="00007463">
        <w:rPr>
          <w:rFonts w:ascii="Book Antiqua" w:eastAsia="宋体" w:hAnsi="Book Antiqua" w:cs="宋体"/>
          <w:color w:val="000000"/>
          <w:sz w:val="24"/>
          <w:szCs w:val="24"/>
        </w:rPr>
        <w:t>: 742-749 [PMID: 2645433]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47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Ichiyama A</w:t>
      </w:r>
      <w:r w:rsidRPr="00007463">
        <w:rPr>
          <w:rFonts w:ascii="Book Antiqua" w:eastAsia="宋体" w:hAnsi="Book Antiqua" w:cs="宋体"/>
          <w:color w:val="000000"/>
          <w:sz w:val="24"/>
          <w:szCs w:val="24"/>
        </w:rPr>
        <w:t>, Xue HH, Oda T, Uchida C, Sugiyama T, Maeda-Nakai E, Sato K, Nagai E, Watanabe S, Takayama T. Oxalate synthesis in mammals: properties and subcellular distribution of serine: pyruvate/alanine: glyoxylate aminotransferase in the liver.</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Mol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w:t>
      </w:r>
      <w:r w:rsidRPr="00007463">
        <w:rPr>
          <w:rFonts w:ascii="Book Antiqua" w:eastAsia="宋体" w:hAnsi="Book Antiqua" w:cs="宋体"/>
          <w:color w:val="000000"/>
          <w:sz w:val="24"/>
          <w:szCs w:val="24"/>
        </w:rPr>
        <w:t>: 333-340 [PMID: 11156700]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48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Knight J</w:t>
      </w:r>
      <w:r w:rsidRPr="00007463">
        <w:rPr>
          <w:rFonts w:ascii="Book Antiqua" w:eastAsia="宋体" w:hAnsi="Book Antiqua" w:cs="宋体"/>
          <w:color w:val="000000"/>
          <w:sz w:val="24"/>
          <w:szCs w:val="24"/>
        </w:rPr>
        <w:t>, Jiang J, Assimos DG, Holmes RP. Hydroxyproline ingestion and urinary oxalate and glycolate excretion.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70</w:t>
      </w:r>
      <w:r w:rsidRPr="00007463">
        <w:rPr>
          <w:rFonts w:ascii="Book Antiqua" w:eastAsia="宋体" w:hAnsi="Book Antiqua" w:cs="宋体"/>
          <w:color w:val="000000"/>
          <w:sz w:val="24"/>
          <w:szCs w:val="24"/>
        </w:rPr>
        <w:t>: 1929-1934 [PMID: 17021603 DOI: 10.1038/sj.ki.5001906]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49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Urivetzky M</w:t>
      </w:r>
      <w:r w:rsidRPr="00007463">
        <w:rPr>
          <w:rFonts w:ascii="Book Antiqua" w:eastAsia="宋体" w:hAnsi="Book Antiqua" w:cs="宋体"/>
          <w:color w:val="000000"/>
          <w:sz w:val="24"/>
          <w:szCs w:val="24"/>
        </w:rPr>
        <w:t>, Kessaris D, Smith AD. Ascorbic acid overdosing: a risk factor for calcium oxalate nephrolithiasis.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147</w:t>
      </w:r>
      <w:r w:rsidRPr="00007463">
        <w:rPr>
          <w:rFonts w:ascii="Book Antiqua" w:eastAsia="宋体" w:hAnsi="Book Antiqua" w:cs="宋体"/>
          <w:color w:val="000000"/>
          <w:sz w:val="24"/>
          <w:szCs w:val="24"/>
        </w:rPr>
        <w:t>: 1215-1218 [PMID: 1569652]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50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Peña de la Vega L</w:t>
      </w:r>
      <w:r w:rsidRPr="00007463">
        <w:rPr>
          <w:rFonts w:ascii="Book Antiqua" w:eastAsia="宋体" w:hAnsi="Book Antiqua" w:cs="宋体"/>
          <w:color w:val="000000"/>
          <w:sz w:val="24"/>
          <w:szCs w:val="24"/>
        </w:rPr>
        <w:t>, Lieske JC, Milliner D, Gonyea J, Kelly DG. Urinary oxalate excretion increases in home parenteral nutrition patients on a higher intravenous ascorbic acid dose.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JPEN J Parenter Enteral Nutr</w:t>
      </w:r>
      <w:r w:rsidRPr="00417179">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2004</w:t>
      </w:r>
      <w:r w:rsidRPr="00007463">
        <w:rPr>
          <w:rFonts w:ascii="Book Antiqua" w:eastAsia="宋体" w:hAnsi="Book Antiqua" w:cs="宋体"/>
          <w:color w:val="000000"/>
          <w:sz w:val="24"/>
          <w:szCs w:val="24"/>
        </w:rPr>
        <w:t>;</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28</w:t>
      </w:r>
      <w:r w:rsidRPr="00007463">
        <w:rPr>
          <w:rFonts w:ascii="Book Antiqua" w:eastAsia="宋体" w:hAnsi="Book Antiqua" w:cs="宋体"/>
          <w:color w:val="000000"/>
          <w:sz w:val="24"/>
          <w:szCs w:val="24"/>
        </w:rPr>
        <w:t>: 435-438 [PMID: 15568291 DOI: 10.1177/0148607104028006435}]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51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Robitaille L</w:t>
      </w:r>
      <w:r w:rsidRPr="00007463">
        <w:rPr>
          <w:rFonts w:ascii="Book Antiqua" w:eastAsia="宋体" w:hAnsi="Book Antiqua" w:cs="宋体"/>
          <w:color w:val="000000"/>
          <w:sz w:val="24"/>
          <w:szCs w:val="24"/>
        </w:rPr>
        <w:t>, Mamer OA, Miller WH, Levine M, Assouline S, Melnychuk D, Rousseau C, Hoffer LJ. Oxalic acid excretion after intravenous ascorbic acid administration.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Metabolism</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58</w:t>
      </w:r>
      <w:r w:rsidRPr="00007463">
        <w:rPr>
          <w:rFonts w:ascii="Book Antiqua" w:eastAsia="宋体" w:hAnsi="Book Antiqua" w:cs="宋体"/>
          <w:color w:val="000000"/>
          <w:sz w:val="24"/>
          <w:szCs w:val="24"/>
        </w:rPr>
        <w:t>: 263-269 [PMID: 19154961 DOI: 10.1016/j.metabol.2008.09.023]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52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Taylor EN</w:t>
      </w:r>
      <w:r w:rsidRPr="00007463">
        <w:rPr>
          <w:rFonts w:ascii="Book Antiqua" w:eastAsia="宋体" w:hAnsi="Book Antiqua" w:cs="宋体"/>
          <w:color w:val="000000"/>
          <w:sz w:val="24"/>
          <w:szCs w:val="24"/>
        </w:rPr>
        <w:t>, Curhan GC. Fructose consumption and the risk of kidney stones.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73</w:t>
      </w:r>
      <w:r w:rsidRPr="00007463">
        <w:rPr>
          <w:rFonts w:ascii="Book Antiqua" w:eastAsia="宋体" w:hAnsi="Book Antiqua" w:cs="宋体"/>
          <w:color w:val="000000"/>
          <w:sz w:val="24"/>
          <w:szCs w:val="24"/>
        </w:rPr>
        <w:t>: 207-212 [PMID: 17928824 DOI: 10.1038/sj.ki.5002588]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53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Nguyen NU</w:t>
      </w:r>
      <w:r w:rsidRPr="00007463">
        <w:rPr>
          <w:rFonts w:ascii="Book Antiqua" w:eastAsia="宋体" w:hAnsi="Book Antiqua" w:cs="宋体"/>
          <w:color w:val="000000"/>
          <w:sz w:val="24"/>
          <w:szCs w:val="24"/>
        </w:rPr>
        <w:t>, Dumoulin G, Wolf JP, Berthelay S. Urinary calcium and oxalate excretion during oral fructose or glucose load in man.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Horm Metab Res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21</w:t>
      </w:r>
      <w:r w:rsidRPr="00007463">
        <w:rPr>
          <w:rFonts w:ascii="Book Antiqua" w:eastAsia="宋体" w:hAnsi="Book Antiqua" w:cs="宋体"/>
          <w:color w:val="000000"/>
          <w:sz w:val="24"/>
          <w:szCs w:val="24"/>
        </w:rPr>
        <w:t>: 96-99 [PMID: 2722135 DOI: 10.1055/s-2007-1009160]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54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Nguyen NU</w:t>
      </w:r>
      <w:r w:rsidRPr="00007463">
        <w:rPr>
          <w:rFonts w:ascii="Book Antiqua" w:eastAsia="宋体" w:hAnsi="Book Antiqua" w:cs="宋体"/>
          <w:color w:val="000000"/>
          <w:sz w:val="24"/>
          <w:szCs w:val="24"/>
        </w:rPr>
        <w:t>, Dumoulin G, Henriet MT, Regnard J. Increase in urinary calcium and oxalate after fructose infusion.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Horm Metab Res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27</w:t>
      </w:r>
      <w:r w:rsidRPr="00007463">
        <w:rPr>
          <w:rFonts w:ascii="Book Antiqua" w:eastAsia="宋体" w:hAnsi="Book Antiqua" w:cs="宋体"/>
          <w:color w:val="000000"/>
          <w:sz w:val="24"/>
          <w:szCs w:val="24"/>
        </w:rPr>
        <w:t>: 155-158 [PMID: 7607607 DOI: 10.1055/s-2007-979929]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55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Knight J</w:t>
      </w:r>
      <w:r w:rsidRPr="00007463">
        <w:rPr>
          <w:rFonts w:ascii="Book Antiqua" w:eastAsia="宋体" w:hAnsi="Book Antiqua" w:cs="宋体"/>
          <w:color w:val="000000"/>
          <w:sz w:val="24"/>
          <w:szCs w:val="24"/>
        </w:rPr>
        <w:t>, Assimos DG, Easter L, Holmes RP. Metabolism of fructose to oxalate and glycolate.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Horm Metab Res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42</w:t>
      </w:r>
      <w:r w:rsidRPr="00007463">
        <w:rPr>
          <w:rFonts w:ascii="Book Antiqua" w:eastAsia="宋体" w:hAnsi="Book Antiqua" w:cs="宋体"/>
          <w:color w:val="000000"/>
          <w:sz w:val="24"/>
          <w:szCs w:val="24"/>
        </w:rPr>
        <w:t>: 868-873 [PMID: 20842614 DOI: 10.1055/s-0030-1265145]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56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Holmes RP</w:t>
      </w:r>
      <w:r w:rsidRPr="00007463">
        <w:rPr>
          <w:rFonts w:ascii="Book Antiqua" w:eastAsia="宋体" w:hAnsi="Book Antiqua" w:cs="宋体"/>
          <w:color w:val="000000"/>
          <w:sz w:val="24"/>
          <w:szCs w:val="24"/>
        </w:rPr>
        <w:t>, Goodman HO, Assimos DG. Contribution of dietary oxalate to urinary oxalate excretion.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59</w:t>
      </w:r>
      <w:r w:rsidRPr="00007463">
        <w:rPr>
          <w:rFonts w:ascii="Book Antiqua" w:eastAsia="宋体" w:hAnsi="Book Antiqua" w:cs="宋体"/>
          <w:color w:val="000000"/>
          <w:sz w:val="24"/>
          <w:szCs w:val="24"/>
        </w:rPr>
        <w:t>: 270-276 [PMID: 11135080 DOI: 10.1046/j.1523-1755.2001.00488.x]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57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Robijn S</w:t>
      </w:r>
      <w:r w:rsidRPr="00007463">
        <w:rPr>
          <w:rFonts w:ascii="Book Antiqua" w:eastAsia="宋体" w:hAnsi="Book Antiqua" w:cs="宋体"/>
          <w:color w:val="000000"/>
          <w:sz w:val="24"/>
          <w:szCs w:val="24"/>
        </w:rPr>
        <w:t>, Hoppe B, Vervaet BA, D'Haese PC, Verhulst A. Hyperoxaluria: a gut-kidney axis?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80</w:t>
      </w:r>
      <w:r w:rsidRPr="00007463">
        <w:rPr>
          <w:rFonts w:ascii="Book Antiqua" w:eastAsia="宋体" w:hAnsi="Book Antiqua" w:cs="宋体"/>
          <w:color w:val="000000"/>
          <w:sz w:val="24"/>
          <w:szCs w:val="24"/>
        </w:rPr>
        <w:t>: 1146-1158 [PMID: 21866092 DOI: 10.1038/ki.2011.287]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58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Lien YH</w:t>
      </w:r>
      <w:r w:rsidRPr="00007463">
        <w:rPr>
          <w:rFonts w:ascii="Book Antiqua" w:eastAsia="宋体" w:hAnsi="Book Antiqua" w:cs="宋体"/>
          <w:color w:val="000000"/>
          <w:sz w:val="24"/>
          <w:szCs w:val="24"/>
        </w:rPr>
        <w:t>. Juicing is not all juicy.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126</w:t>
      </w:r>
      <w:r w:rsidRPr="00007463">
        <w:rPr>
          <w:rFonts w:ascii="Book Antiqua" w:eastAsia="宋体" w:hAnsi="Book Antiqua" w:cs="宋体"/>
          <w:color w:val="000000"/>
          <w:sz w:val="24"/>
          <w:szCs w:val="24"/>
        </w:rPr>
        <w:t>: 755-756 [PMID: 23968899 DOI: 10.10161/j.amjmed.2013.04.007]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59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Knauf F</w:t>
      </w:r>
      <w:r w:rsidRPr="00007463">
        <w:rPr>
          <w:rFonts w:ascii="Book Antiqua" w:eastAsia="宋体" w:hAnsi="Book Antiqua" w:cs="宋体"/>
          <w:color w:val="000000"/>
          <w:sz w:val="24"/>
          <w:szCs w:val="24"/>
        </w:rPr>
        <w:t>, Ko N, Jiang Z, Robertson WG, Van Itallie CM, Anderson JM, Aronson PS. Net intestinal transport of oxalate reflects passive absorption and SLC26A6-mediated secretion.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22</w:t>
      </w:r>
      <w:r w:rsidRPr="00007463">
        <w:rPr>
          <w:rFonts w:ascii="Book Antiqua" w:eastAsia="宋体" w:hAnsi="Book Antiqua" w:cs="宋体"/>
          <w:color w:val="000000"/>
          <w:sz w:val="24"/>
          <w:szCs w:val="24"/>
        </w:rPr>
        <w:t>: 2247-2255 [PMID: 22021714 DOI: 10.168/ASN.2011040433]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60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von Unruh GE</w:t>
      </w:r>
      <w:r w:rsidRPr="00007463">
        <w:rPr>
          <w:rFonts w:ascii="Book Antiqua" w:eastAsia="宋体" w:hAnsi="Book Antiqua" w:cs="宋体"/>
          <w:color w:val="000000"/>
          <w:sz w:val="24"/>
          <w:szCs w:val="24"/>
        </w:rPr>
        <w:t>, Voss S, Sauerbruch T, Hesse A. Reference range for gastrointestinal oxalate absorption measured with a standardized [13C2]oxalate absorption test.</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169</w:t>
      </w:r>
      <w:r w:rsidRPr="00007463">
        <w:rPr>
          <w:rFonts w:ascii="Book Antiqua" w:eastAsia="宋体" w:hAnsi="Book Antiqua" w:cs="宋体"/>
          <w:color w:val="000000"/>
          <w:sz w:val="24"/>
          <w:szCs w:val="24"/>
        </w:rPr>
        <w:t>: 687-690 [PMID: 12544343 DOI: 10.1097/01.ju.0000051637.63068.92]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61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Sikora P</w:t>
      </w:r>
      <w:r w:rsidRPr="00007463">
        <w:rPr>
          <w:rFonts w:ascii="Book Antiqua" w:eastAsia="宋体" w:hAnsi="Book Antiqua" w:cs="宋体"/>
          <w:color w:val="000000"/>
          <w:sz w:val="24"/>
          <w:szCs w:val="24"/>
        </w:rPr>
        <w:t>, von Unruh GE, Beck B, Feldkötter M, Zajaczkowska M, Hesse A, Hoppe B. [13C2]oxalate absorption in children with idiopathic calcium oxalate urolithiasis or primary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73</w:t>
      </w:r>
      <w:r w:rsidRPr="00007463">
        <w:rPr>
          <w:rFonts w:ascii="Book Antiqua" w:eastAsia="宋体" w:hAnsi="Book Antiqua" w:cs="宋体"/>
          <w:color w:val="000000"/>
          <w:sz w:val="24"/>
          <w:szCs w:val="24"/>
        </w:rPr>
        <w:t>: 1181-1186 [PMID: 18337715 DOI: 10.1038/ki.2008.63]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62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Zimmermann DJ</w:t>
      </w:r>
      <w:r w:rsidRPr="00007463">
        <w:rPr>
          <w:rFonts w:ascii="Book Antiqua" w:eastAsia="宋体" w:hAnsi="Book Antiqua" w:cs="宋体"/>
          <w:color w:val="000000"/>
          <w:sz w:val="24"/>
          <w:szCs w:val="24"/>
        </w:rPr>
        <w:t>, Hesse A, von Unruh GE. Influence of a high-oxalate diet on intestinal oxalate absorption.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World J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23</w:t>
      </w:r>
      <w:r w:rsidRPr="00007463">
        <w:rPr>
          <w:rFonts w:ascii="Book Antiqua" w:eastAsia="宋体" w:hAnsi="Book Antiqua" w:cs="宋体"/>
          <w:color w:val="000000"/>
          <w:sz w:val="24"/>
          <w:szCs w:val="24"/>
        </w:rPr>
        <w:t>: 324-329 [PMID: 16273416 DOI: 10.1007/s00345-005-0028-0]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63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Liebman M</w:t>
      </w:r>
      <w:r w:rsidRPr="00007463">
        <w:rPr>
          <w:rFonts w:ascii="Book Antiqua" w:eastAsia="宋体" w:hAnsi="Book Antiqua" w:cs="宋体"/>
          <w:color w:val="000000"/>
          <w:sz w:val="24"/>
          <w:szCs w:val="24"/>
        </w:rPr>
        <w:t>, Chai W. Effect of dietary calcium on urinary oxalate excretion after oxalate loads.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Clin Nutr</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65</w:t>
      </w:r>
      <w:r w:rsidRPr="00007463">
        <w:rPr>
          <w:rFonts w:ascii="Book Antiqua" w:eastAsia="宋体" w:hAnsi="Book Antiqua" w:cs="宋体"/>
          <w:color w:val="000000"/>
          <w:sz w:val="24"/>
          <w:szCs w:val="24"/>
        </w:rPr>
        <w:t>: 1453-1459 [PMID: 9129476]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64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Hess B</w:t>
      </w:r>
      <w:r w:rsidRPr="00007463">
        <w:rPr>
          <w:rFonts w:ascii="Book Antiqua" w:eastAsia="宋体" w:hAnsi="Book Antiqua" w:cs="宋体"/>
          <w:color w:val="000000"/>
          <w:sz w:val="24"/>
          <w:szCs w:val="24"/>
        </w:rPr>
        <w:t>, Jost C, Zipperle L, Takkinen R, Jaeger P. High-calcium intake abolishes hyperoxaluria and reduces urinary crystallization during a 20-fold normal oxalate load in humans.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 Dial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13</w:t>
      </w:r>
      <w:r w:rsidRPr="00007463">
        <w:rPr>
          <w:rFonts w:ascii="Book Antiqua" w:eastAsia="宋体" w:hAnsi="Book Antiqua" w:cs="宋体"/>
          <w:color w:val="000000"/>
          <w:sz w:val="24"/>
          <w:szCs w:val="24"/>
        </w:rPr>
        <w:t>: 2241-2247 [PMID: 9761503 DOI: 10.1093/ndt/13.9.2241]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65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von Unruh GE</w:t>
      </w:r>
      <w:r w:rsidRPr="00007463">
        <w:rPr>
          <w:rFonts w:ascii="Book Antiqua" w:eastAsia="宋体" w:hAnsi="Book Antiqua" w:cs="宋体"/>
          <w:color w:val="000000"/>
          <w:sz w:val="24"/>
          <w:szCs w:val="24"/>
        </w:rPr>
        <w:t>, Voss S, Sauerbruch T, Hesse A. Dependence of oxalate absorption on the daily calcium intake.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15</w:t>
      </w:r>
      <w:r w:rsidRPr="00007463">
        <w:rPr>
          <w:rFonts w:ascii="Book Antiqua" w:eastAsia="宋体" w:hAnsi="Book Antiqua" w:cs="宋体"/>
          <w:color w:val="000000"/>
          <w:sz w:val="24"/>
          <w:szCs w:val="24"/>
        </w:rPr>
        <w:t>: 1567-1573 [PMID: 15153567 DOI: 10.1097/01/ASN.0000127864.26068.7F]</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66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Zimmermann DJ</w:t>
      </w:r>
      <w:r w:rsidRPr="00007463">
        <w:rPr>
          <w:rFonts w:ascii="Book Antiqua" w:eastAsia="宋体" w:hAnsi="Book Antiqua" w:cs="宋体"/>
          <w:color w:val="000000"/>
          <w:sz w:val="24"/>
          <w:szCs w:val="24"/>
        </w:rPr>
        <w:t>, Voss S, von Unruh GE, Hesse A. Importance of magnesium in absorption and excretion of oxalate.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74</w:t>
      </w:r>
      <w:r w:rsidRPr="00007463">
        <w:rPr>
          <w:rFonts w:ascii="Book Antiqua" w:eastAsia="宋体" w:hAnsi="Book Antiqua" w:cs="宋体"/>
          <w:color w:val="000000"/>
          <w:sz w:val="24"/>
          <w:szCs w:val="24"/>
        </w:rPr>
        <w:t>: 262-267 [PMID: 15812215 DOI: 10.1159/000083560]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67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Naya Y</w:t>
      </w:r>
      <w:r w:rsidRPr="00007463">
        <w:rPr>
          <w:rFonts w:ascii="Book Antiqua" w:eastAsia="宋体" w:hAnsi="Book Antiqua" w:cs="宋体"/>
          <w:color w:val="000000"/>
          <w:sz w:val="24"/>
          <w:szCs w:val="24"/>
        </w:rPr>
        <w:t>, Ito H, Masai M, Yamaguchi K. Association of dietary fatty acids with urinary oxalate excretion in calcium oxalate stone-formers in their fourth decade.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BJU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89</w:t>
      </w:r>
      <w:r w:rsidRPr="00007463">
        <w:rPr>
          <w:rFonts w:ascii="Book Antiqua" w:eastAsia="宋体" w:hAnsi="Book Antiqua" w:cs="宋体"/>
          <w:color w:val="000000"/>
          <w:sz w:val="24"/>
          <w:szCs w:val="24"/>
        </w:rPr>
        <w:t>: 842-846 [PMID: 12010225 DOI: 10.1046/j.1464-410X.2002.02740.x]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68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Okombo J</w:t>
      </w:r>
      <w:r w:rsidRPr="00007463">
        <w:rPr>
          <w:rFonts w:ascii="Book Antiqua" w:eastAsia="宋体" w:hAnsi="Book Antiqua" w:cs="宋体"/>
          <w:color w:val="000000"/>
          <w:sz w:val="24"/>
          <w:szCs w:val="24"/>
        </w:rPr>
        <w:t>, Liebman M. Probiotic-induced reduction of gastrointestinal oxalate absorption in healthy subjects.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 Res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38</w:t>
      </w:r>
      <w:r w:rsidRPr="00007463">
        <w:rPr>
          <w:rFonts w:ascii="Book Antiqua" w:eastAsia="宋体" w:hAnsi="Book Antiqua" w:cs="宋体"/>
          <w:color w:val="000000"/>
          <w:sz w:val="24"/>
          <w:szCs w:val="24"/>
        </w:rPr>
        <w:t>: 169-178 [PMID: 20224931 DOI: 10.1007/s00240-010-0262-9]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69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Al-Wahsh I</w:t>
      </w:r>
      <w:r w:rsidRPr="00007463">
        <w:rPr>
          <w:rFonts w:ascii="Book Antiqua" w:eastAsia="宋体" w:hAnsi="Book Antiqua" w:cs="宋体"/>
          <w:color w:val="000000"/>
          <w:sz w:val="24"/>
          <w:szCs w:val="24"/>
        </w:rPr>
        <w:t>, Wu Y, Liebman M. Acute probiotic ingestion reduces gastrointestinal oxalate absorption in healthy subjects.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 Res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40</w:t>
      </w:r>
      <w:r w:rsidRPr="00007463">
        <w:rPr>
          <w:rFonts w:ascii="Book Antiqua" w:eastAsia="宋体" w:hAnsi="Book Antiqua" w:cs="宋体"/>
          <w:color w:val="000000"/>
          <w:sz w:val="24"/>
          <w:szCs w:val="24"/>
        </w:rPr>
        <w:t>: 191-196 [PMID: 21874572 DOI: 10.1007/200240-011-0421-7]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70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Hodgkinson A</w:t>
      </w:r>
      <w:r w:rsidRPr="00007463">
        <w:rPr>
          <w:rFonts w:ascii="Book Antiqua" w:eastAsia="宋体" w:hAnsi="Book Antiqua" w:cs="宋体"/>
          <w:color w:val="000000"/>
          <w:sz w:val="24"/>
          <w:szCs w:val="24"/>
        </w:rPr>
        <w:t>, Wilkinson R. Plasma oxalate concentration and renal excretion of oxalate in man.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Sci Mol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46</w:t>
      </w:r>
      <w:r w:rsidRPr="00007463">
        <w:rPr>
          <w:rFonts w:ascii="Book Antiqua" w:eastAsia="宋体" w:hAnsi="Book Antiqua" w:cs="宋体"/>
          <w:color w:val="000000"/>
          <w:sz w:val="24"/>
          <w:szCs w:val="24"/>
        </w:rPr>
        <w:t>: 61-73 [PMID: 4811877]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71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Prenen JA</w:t>
      </w:r>
      <w:r w:rsidRPr="00007463">
        <w:rPr>
          <w:rFonts w:ascii="Book Antiqua" w:eastAsia="宋体" w:hAnsi="Book Antiqua" w:cs="宋体"/>
          <w:color w:val="000000"/>
          <w:sz w:val="24"/>
          <w:szCs w:val="24"/>
        </w:rPr>
        <w:t>, Boer P, Mees EJ, Endeman HJ, Spoor SM, Oei HY. Renal clearance of [14C]oxalate: comparison of constant-infusion with single-injection techniques.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Sci (Lond)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63</w:t>
      </w:r>
      <w:r w:rsidRPr="00007463">
        <w:rPr>
          <w:rFonts w:ascii="Book Antiqua" w:eastAsia="宋体" w:hAnsi="Book Antiqua" w:cs="宋体"/>
          <w:color w:val="000000"/>
          <w:sz w:val="24"/>
          <w:szCs w:val="24"/>
        </w:rPr>
        <w:t>: 47-51 [PMID: 7083764]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72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Schwille PO</w:t>
      </w:r>
      <w:r w:rsidRPr="00007463">
        <w:rPr>
          <w:rFonts w:ascii="Book Antiqua" w:eastAsia="宋体" w:hAnsi="Book Antiqua" w:cs="宋体"/>
          <w:color w:val="000000"/>
          <w:sz w:val="24"/>
          <w:szCs w:val="24"/>
        </w:rPr>
        <w:t>, Manoharan M, Rümenapf G, Wölfel G, Berens H. Oxalate measurement in the picomol range by ion chromatography: values in fasting plasma and urine of controls and patients with idiopathic calcium urolithiasis.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Clin Chem Clin Biochem</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27</w:t>
      </w:r>
      <w:r w:rsidRPr="00007463">
        <w:rPr>
          <w:rFonts w:ascii="Book Antiqua" w:eastAsia="宋体" w:hAnsi="Book Antiqua" w:cs="宋体"/>
          <w:color w:val="000000"/>
          <w:sz w:val="24"/>
          <w:szCs w:val="24"/>
        </w:rPr>
        <w:t>: 87-96 [PMID: 2746168]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73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Williams HE</w:t>
      </w:r>
      <w:r w:rsidRPr="00007463">
        <w:rPr>
          <w:rFonts w:ascii="Book Antiqua" w:eastAsia="宋体" w:hAnsi="Book Antiqua" w:cs="宋体"/>
          <w:color w:val="000000"/>
          <w:sz w:val="24"/>
          <w:szCs w:val="24"/>
        </w:rPr>
        <w:t>, Johnson GA, Smith LH. The renal clearance of oxalate in normal subjects and patients with primary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Sci</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41</w:t>
      </w:r>
      <w:r w:rsidRPr="00007463">
        <w:rPr>
          <w:rFonts w:ascii="Book Antiqua" w:eastAsia="宋体" w:hAnsi="Book Antiqua" w:cs="宋体"/>
          <w:color w:val="000000"/>
          <w:sz w:val="24"/>
          <w:szCs w:val="24"/>
        </w:rPr>
        <w:t>: 213-218 [PMID: 5571501]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74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Knight TF</w:t>
      </w:r>
      <w:r w:rsidRPr="00007463">
        <w:rPr>
          <w:rFonts w:ascii="Book Antiqua" w:eastAsia="宋体" w:hAnsi="Book Antiqua" w:cs="宋体"/>
          <w:color w:val="000000"/>
          <w:sz w:val="24"/>
          <w:szCs w:val="24"/>
        </w:rPr>
        <w:t>, Sansom SC, Senekjian HO, Weinman EJ. Oxalate secretion in the rat proximal tubule.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Physiol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240</w:t>
      </w:r>
      <w:r w:rsidRPr="00007463">
        <w:rPr>
          <w:rFonts w:ascii="Book Antiqua" w:eastAsia="宋体" w:hAnsi="Book Antiqua" w:cs="宋体"/>
          <w:color w:val="000000"/>
          <w:sz w:val="24"/>
          <w:szCs w:val="24"/>
        </w:rPr>
        <w:t>: F295-F298 [PMID: 7223887]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75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Karniski LP</w:t>
      </w:r>
      <w:r w:rsidRPr="00007463">
        <w:rPr>
          <w:rFonts w:ascii="Book Antiqua" w:eastAsia="宋体" w:hAnsi="Book Antiqua" w:cs="宋体"/>
          <w:color w:val="000000"/>
          <w:sz w:val="24"/>
          <w:szCs w:val="24"/>
        </w:rPr>
        <w:t>, Lötscher M, Fucentese M, Hilfiker H, Biber J, Murer H. Immunolocalization of sat-1 sulfate/oxalate/bicarbonate anion exchanger in the rat kidney.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Physiol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275</w:t>
      </w:r>
      <w:r w:rsidRPr="00007463">
        <w:rPr>
          <w:rFonts w:ascii="Book Antiqua" w:eastAsia="宋体" w:hAnsi="Book Antiqua" w:cs="宋体"/>
          <w:color w:val="000000"/>
          <w:sz w:val="24"/>
          <w:szCs w:val="24"/>
        </w:rPr>
        <w:t>: F79-F87 [PMID: 9689008]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76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Lohi H</w:t>
      </w:r>
      <w:r w:rsidRPr="00007463">
        <w:rPr>
          <w:rFonts w:ascii="Book Antiqua" w:eastAsia="宋体" w:hAnsi="Book Antiqua" w:cs="宋体"/>
          <w:color w:val="000000"/>
          <w:sz w:val="24"/>
          <w:szCs w:val="24"/>
        </w:rPr>
        <w:t>, Kujala M, Makela S, Lehtonen E, Kestila M, Saarialho-Kere U, Markovich D, Kere J. Functional characterization of three novel tissue-specific anion exchangers SLC26A7, -A8, and -A9.</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Biol Chem</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277</w:t>
      </w:r>
      <w:r w:rsidRPr="00007463">
        <w:rPr>
          <w:rFonts w:ascii="Book Antiqua" w:eastAsia="宋体" w:hAnsi="Book Antiqua" w:cs="宋体"/>
          <w:color w:val="000000"/>
          <w:sz w:val="24"/>
          <w:szCs w:val="24"/>
        </w:rPr>
        <w:t>: 14246-14254 [PMID: 11834742 DOI: 10.1074/jbc.M111802200]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77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Xie Q</w:t>
      </w:r>
      <w:r w:rsidRPr="00007463">
        <w:rPr>
          <w:rFonts w:ascii="Book Antiqua" w:eastAsia="宋体" w:hAnsi="Book Antiqua" w:cs="宋体"/>
          <w:color w:val="000000"/>
          <w:sz w:val="24"/>
          <w:szCs w:val="24"/>
        </w:rPr>
        <w:t>, Welch R, Mercado A, Romero MF, Mount DB. Molecular characterization of the murine Slc26a6 anion exchanger: functional comparison with Slc26a1.</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Physiol Renal Physiol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283</w:t>
      </w:r>
      <w:r w:rsidRPr="00007463">
        <w:rPr>
          <w:rFonts w:ascii="Book Antiqua" w:eastAsia="宋体" w:hAnsi="Book Antiqua" w:cs="宋体"/>
          <w:color w:val="000000"/>
          <w:sz w:val="24"/>
          <w:szCs w:val="24"/>
        </w:rPr>
        <w:t>: F826-F838 [PMID: 12217875 DOI: 10.1152/ajprenal.00079.2002]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78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Knauf F</w:t>
      </w:r>
      <w:r w:rsidRPr="00007463">
        <w:rPr>
          <w:rFonts w:ascii="Book Antiqua" w:eastAsia="宋体" w:hAnsi="Book Antiqua" w:cs="宋体"/>
          <w:color w:val="000000"/>
          <w:sz w:val="24"/>
          <w:szCs w:val="24"/>
        </w:rPr>
        <w:t>, Yang CL, Thomson RB, Mentone SA, Giebisch G, Aronson PS. Identification of a chloride-formate exchanger expressed on the brush border membrane of renal proximal tubule cells.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Proc Natl Acad Sci U S A</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98</w:t>
      </w:r>
      <w:r w:rsidRPr="00007463">
        <w:rPr>
          <w:rFonts w:ascii="Book Antiqua" w:eastAsia="宋体" w:hAnsi="Book Antiqua" w:cs="宋体"/>
          <w:color w:val="000000"/>
          <w:sz w:val="24"/>
          <w:szCs w:val="24"/>
        </w:rPr>
        <w:t>: 9425-9430 [PMID: 11459928 DOI: 10.1073/pnas.141241098]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79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Holmes RP</w:t>
      </w:r>
      <w:r w:rsidRPr="00007463">
        <w:rPr>
          <w:rFonts w:ascii="Book Antiqua" w:eastAsia="宋体" w:hAnsi="Book Antiqua" w:cs="宋体"/>
          <w:color w:val="000000"/>
          <w:sz w:val="24"/>
          <w:szCs w:val="24"/>
        </w:rPr>
        <w:t>, Assimos DG. The impact of dietary oxalate on kidney stone formation.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 Res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32</w:t>
      </w:r>
      <w:r w:rsidRPr="00007463">
        <w:rPr>
          <w:rFonts w:ascii="Book Antiqua" w:eastAsia="宋体" w:hAnsi="Book Antiqua" w:cs="宋体"/>
          <w:color w:val="000000"/>
          <w:sz w:val="24"/>
          <w:szCs w:val="24"/>
        </w:rPr>
        <w:t>: 311-316 [PMID: 15221245 DOI: 10.1007/s00240-004-0437-3]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80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Camici M</w:t>
      </w:r>
      <w:r w:rsidRPr="00007463">
        <w:rPr>
          <w:rFonts w:ascii="Book Antiqua" w:eastAsia="宋体" w:hAnsi="Book Antiqua" w:cs="宋体"/>
          <w:color w:val="000000"/>
          <w:sz w:val="24"/>
          <w:szCs w:val="24"/>
        </w:rPr>
        <w:t>, Balestri PL, Lupetti S, Colizzi V, Falcone G. Urinary excretion of oxalate in renal failure.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Nephron</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30</w:t>
      </w:r>
      <w:r w:rsidRPr="00007463">
        <w:rPr>
          <w:rFonts w:ascii="Book Antiqua" w:eastAsia="宋体" w:hAnsi="Book Antiqua" w:cs="宋体"/>
          <w:color w:val="000000"/>
          <w:sz w:val="24"/>
          <w:szCs w:val="24"/>
        </w:rPr>
        <w:t>: 269-270 [PMID: 7099340 DOI: 10.1159/000182486]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81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Costello JF</w:t>
      </w:r>
      <w:r w:rsidRPr="00007463">
        <w:rPr>
          <w:rFonts w:ascii="Book Antiqua" w:eastAsia="宋体" w:hAnsi="Book Antiqua" w:cs="宋体"/>
          <w:color w:val="000000"/>
          <w:sz w:val="24"/>
          <w:szCs w:val="24"/>
        </w:rPr>
        <w:t>, Smith M, Stolarski C, Sadovnic MJ. Extrarenal clearance of oxalate increases with progression of renal failure in the rat.</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w:t>
      </w:r>
      <w:r w:rsidRPr="00007463">
        <w:rPr>
          <w:rFonts w:ascii="Book Antiqua" w:eastAsia="宋体" w:hAnsi="Book Antiqua" w:cs="宋体"/>
          <w:color w:val="000000"/>
          <w:sz w:val="24"/>
          <w:szCs w:val="24"/>
        </w:rPr>
        <w:t>: 1098-1104 [PMID: 1482750]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82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Hatch M</w:t>
      </w:r>
      <w:r w:rsidRPr="00007463">
        <w:rPr>
          <w:rFonts w:ascii="Book Antiqua" w:eastAsia="宋体" w:hAnsi="Book Antiqua" w:cs="宋体"/>
          <w:color w:val="000000"/>
          <w:sz w:val="24"/>
          <w:szCs w:val="24"/>
        </w:rPr>
        <w:t>, Freel RW, Vaziri ND. Intestinal excretion of oxalate in chronic renal failure.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w:t>
      </w:r>
      <w:r w:rsidRPr="00007463">
        <w:rPr>
          <w:rFonts w:ascii="Book Antiqua" w:eastAsia="宋体" w:hAnsi="Book Antiqua" w:cs="宋体"/>
          <w:color w:val="000000"/>
          <w:sz w:val="24"/>
          <w:szCs w:val="24"/>
        </w:rPr>
        <w:t>: 1339-1343 [PMID: 7893999]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83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Hatch M</w:t>
      </w:r>
      <w:r w:rsidRPr="00007463">
        <w:rPr>
          <w:rFonts w:ascii="Book Antiqua" w:eastAsia="宋体" w:hAnsi="Book Antiqua" w:cs="宋体"/>
          <w:color w:val="000000"/>
          <w:sz w:val="24"/>
          <w:szCs w:val="24"/>
        </w:rPr>
        <w:t>, Freel RW, Vaziri ND. Regulatory aspects of oxalate secretion in enteric oxalate elimination.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10 Suppl 14</w:t>
      </w:r>
      <w:r w:rsidRPr="00007463">
        <w:rPr>
          <w:rFonts w:ascii="Book Antiqua" w:eastAsia="宋体" w:hAnsi="Book Antiqua" w:cs="宋体"/>
          <w:color w:val="000000"/>
          <w:sz w:val="24"/>
          <w:szCs w:val="24"/>
        </w:rPr>
        <w:t>: S324-S328 [PMID: 10541256]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84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Oreopoulos DG</w:t>
      </w:r>
      <w:r w:rsidRPr="00007463">
        <w:rPr>
          <w:rFonts w:ascii="Book Antiqua" w:eastAsia="宋体" w:hAnsi="Book Antiqua" w:cs="宋体"/>
          <w:color w:val="000000"/>
          <w:sz w:val="24"/>
          <w:szCs w:val="24"/>
        </w:rPr>
        <w:t>, Husdan H, Leung M, Reid AD, Rapoport A. Urine oxalic acid: relation to urine flow.</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Ann Intern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85</w:t>
      </w:r>
      <w:r w:rsidRPr="00007463">
        <w:rPr>
          <w:rFonts w:ascii="Book Antiqua" w:eastAsia="宋体" w:hAnsi="Book Antiqua" w:cs="宋体"/>
          <w:color w:val="000000"/>
          <w:sz w:val="24"/>
          <w:szCs w:val="24"/>
        </w:rPr>
        <w:t>: 617-618 [PMID: 984616 DOI: 10.7326/003-4819-85-5-617]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85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Klän R</w:t>
      </w:r>
      <w:r w:rsidRPr="00007463">
        <w:rPr>
          <w:rFonts w:ascii="Book Antiqua" w:eastAsia="宋体" w:hAnsi="Book Antiqua" w:cs="宋体"/>
          <w:color w:val="000000"/>
          <w:sz w:val="24"/>
          <w:szCs w:val="24"/>
        </w:rPr>
        <w:t>, Butz M. Effect of diuresis on the oxalate excretion and the calcium-oxalate product in non-stone formers.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42</w:t>
      </w:r>
      <w:r w:rsidRPr="00007463">
        <w:rPr>
          <w:rFonts w:ascii="Book Antiqua" w:eastAsia="宋体" w:hAnsi="Book Antiqua" w:cs="宋体"/>
          <w:color w:val="000000"/>
          <w:sz w:val="24"/>
          <w:szCs w:val="24"/>
        </w:rPr>
        <w:t>: 19-22 [PMID: 3590402 DOI: 10.1159/000281844]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86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Lemann J</w:t>
      </w:r>
      <w:r w:rsidRPr="00007463">
        <w:rPr>
          <w:rFonts w:ascii="Book Antiqua" w:eastAsia="宋体" w:hAnsi="Book Antiqua" w:cs="宋体"/>
          <w:color w:val="000000"/>
          <w:sz w:val="24"/>
          <w:szCs w:val="24"/>
        </w:rPr>
        <w:t>, Pleuss JA, Worcester EM, Hornick L, Schrab D, Hoffmann RG. Urinary oxalate excretion increases with body size and decreases with increasing dietary calcium intake among healthy adults.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49</w:t>
      </w:r>
      <w:r w:rsidRPr="00007463">
        <w:rPr>
          <w:rFonts w:ascii="Book Antiqua" w:eastAsia="宋体" w:hAnsi="Book Antiqua" w:cs="宋体"/>
          <w:color w:val="000000"/>
          <w:sz w:val="24"/>
          <w:szCs w:val="24"/>
        </w:rPr>
        <w:t>: 200-208 [PMID: 8770968 DOI: 10.1038/ki.1996.27]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87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Taylor EN</w:t>
      </w:r>
      <w:r w:rsidRPr="00007463">
        <w:rPr>
          <w:rFonts w:ascii="Book Antiqua" w:eastAsia="宋体" w:hAnsi="Book Antiqua" w:cs="宋体"/>
          <w:color w:val="000000"/>
          <w:sz w:val="24"/>
          <w:szCs w:val="24"/>
        </w:rPr>
        <w:t>, Curhan GC. Body size and 24-hour urine composition.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48</w:t>
      </w:r>
      <w:r w:rsidRPr="00007463">
        <w:rPr>
          <w:rFonts w:ascii="Book Antiqua" w:eastAsia="宋体" w:hAnsi="Book Antiqua" w:cs="宋体"/>
          <w:color w:val="000000"/>
          <w:sz w:val="24"/>
          <w:szCs w:val="24"/>
        </w:rPr>
        <w:t>: 905-915 [PMID: 17162145 DOI: 10.1053/j.ajkd.2006.09.004]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88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Taylor EN</w:t>
      </w:r>
      <w:r w:rsidRPr="00007463">
        <w:rPr>
          <w:rFonts w:ascii="Book Antiqua" w:eastAsia="宋体" w:hAnsi="Book Antiqua" w:cs="宋体"/>
          <w:color w:val="000000"/>
          <w:sz w:val="24"/>
          <w:szCs w:val="24"/>
        </w:rPr>
        <w:t>, Stampfer MJ, Curhan GC. Obesity, weight gain, and the risk of kidney stones.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JAMA</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293</w:t>
      </w:r>
      <w:r w:rsidRPr="00007463">
        <w:rPr>
          <w:rFonts w:ascii="Book Antiqua" w:eastAsia="宋体" w:hAnsi="Book Antiqua" w:cs="宋体"/>
          <w:color w:val="000000"/>
          <w:sz w:val="24"/>
          <w:szCs w:val="24"/>
        </w:rPr>
        <w:t>: 455-462 [PMID: 15671430 DOI: 10.1001/jama.293.4.455]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89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Hallson PC</w:t>
      </w:r>
      <w:r w:rsidRPr="00007463">
        <w:rPr>
          <w:rFonts w:ascii="Book Antiqua" w:eastAsia="宋体" w:hAnsi="Book Antiqua" w:cs="宋体"/>
          <w:color w:val="000000"/>
          <w:sz w:val="24"/>
          <w:szCs w:val="24"/>
        </w:rPr>
        <w:t>, Kasidas GP, Rose AL. Seasonal variations in urinary excretion of calcium and oxalate in normal subjects in patients with idiopathic hyperclaciuria.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Br J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49</w:t>
      </w:r>
      <w:r w:rsidRPr="00007463">
        <w:rPr>
          <w:rFonts w:ascii="Book Antiqua" w:eastAsia="宋体" w:hAnsi="Book Antiqua" w:cs="宋体"/>
          <w:color w:val="000000"/>
          <w:sz w:val="24"/>
          <w:szCs w:val="24"/>
        </w:rPr>
        <w:t>: 1-10 [PMID: 319863 DOI: 10.1111/j.1464.-410X.1977.tb03513.x]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90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Hockaday TD</w:t>
      </w:r>
      <w:r w:rsidRPr="00007463">
        <w:rPr>
          <w:rFonts w:ascii="Book Antiqua" w:eastAsia="宋体" w:hAnsi="Book Antiqua" w:cs="宋体"/>
          <w:color w:val="000000"/>
          <w:sz w:val="24"/>
          <w:szCs w:val="24"/>
        </w:rPr>
        <w:t>, Clayton JE, Frederick EW, Smith LH. Primary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Medicine (Baltimore)</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1964;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43</w:t>
      </w:r>
      <w:r w:rsidRPr="00007463">
        <w:rPr>
          <w:rFonts w:ascii="Book Antiqua" w:eastAsia="宋体" w:hAnsi="Book Antiqua" w:cs="宋体"/>
          <w:color w:val="000000"/>
          <w:sz w:val="24"/>
          <w:szCs w:val="24"/>
        </w:rPr>
        <w:t>: 315-345 [PMID: 14170789]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91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Bobrowski AE</w:t>
      </w:r>
      <w:r w:rsidRPr="00007463">
        <w:rPr>
          <w:rFonts w:ascii="Book Antiqua" w:eastAsia="宋体" w:hAnsi="Book Antiqua" w:cs="宋体"/>
          <w:color w:val="000000"/>
          <w:sz w:val="24"/>
          <w:szCs w:val="24"/>
        </w:rPr>
        <w:t>, Langman CB. The primary hyperoxalurias.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Semin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28</w:t>
      </w:r>
      <w:r w:rsidRPr="00007463">
        <w:rPr>
          <w:rFonts w:ascii="Book Antiqua" w:eastAsia="宋体" w:hAnsi="Book Antiqua" w:cs="宋体"/>
          <w:color w:val="000000"/>
          <w:sz w:val="24"/>
          <w:szCs w:val="24"/>
        </w:rPr>
        <w:t>: 152-162 [PMID: 18359396 DOI: 10.1016/j.semnephrol.2008.01.008]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92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Hoppe B</w:t>
      </w:r>
      <w:r w:rsidRPr="00007463">
        <w:rPr>
          <w:rFonts w:ascii="Book Antiqua" w:eastAsia="宋体" w:hAnsi="Book Antiqua" w:cs="宋体"/>
          <w:color w:val="000000"/>
          <w:sz w:val="24"/>
          <w:szCs w:val="24"/>
        </w:rPr>
        <w:t>, Beck BB, Milliner DS. The primary hyperoxalurias.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75</w:t>
      </w:r>
      <w:r w:rsidRPr="00007463">
        <w:rPr>
          <w:rFonts w:ascii="Book Antiqua" w:eastAsia="宋体" w:hAnsi="Book Antiqua" w:cs="宋体"/>
          <w:color w:val="000000"/>
          <w:sz w:val="24"/>
          <w:szCs w:val="24"/>
        </w:rPr>
        <w:t>: 1264-1271 [PMID: 19225556 DOI: 10.1038/ki.2009.32]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93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Harambat J</w:t>
      </w:r>
      <w:r w:rsidRPr="00007463">
        <w:rPr>
          <w:rFonts w:ascii="Book Antiqua" w:eastAsia="宋体" w:hAnsi="Book Antiqua" w:cs="宋体"/>
          <w:color w:val="000000"/>
          <w:sz w:val="24"/>
          <w:szCs w:val="24"/>
        </w:rPr>
        <w:t>, Fargue S, Bacchetta J, Acquaviva C, Cochat P. Primary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Int J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2011</w:t>
      </w:r>
      <w:r w:rsidRPr="00007463">
        <w:rPr>
          <w:rFonts w:ascii="Book Antiqua" w:eastAsia="宋体" w:hAnsi="Book Antiqua" w:cs="宋体"/>
          <w:color w:val="000000"/>
          <w:sz w:val="24"/>
          <w:szCs w:val="24"/>
        </w:rPr>
        <w:t>: 864580 [PMID: 21748001 DOI: 10.4061/2011/864580]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94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Cochat P</w:t>
      </w:r>
      <w:r w:rsidRPr="00007463">
        <w:rPr>
          <w:rFonts w:ascii="Book Antiqua" w:eastAsia="宋体" w:hAnsi="Book Antiqua" w:cs="宋体"/>
          <w:color w:val="000000"/>
          <w:sz w:val="24"/>
          <w:szCs w:val="24"/>
        </w:rPr>
        <w:t>, Rumsby G. Primary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 Engl J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369</w:t>
      </w:r>
      <w:r w:rsidRPr="00007463">
        <w:rPr>
          <w:rFonts w:ascii="Book Antiqua" w:eastAsia="宋体" w:hAnsi="Book Antiqua" w:cs="宋体"/>
          <w:color w:val="000000"/>
          <w:sz w:val="24"/>
          <w:szCs w:val="24"/>
        </w:rPr>
        <w:t>: 649-658 [PMID: 23944302 DOI: 10.1056/NEJMra1301564]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95</w:t>
      </w:r>
      <w:r w:rsidRPr="00007463">
        <w:rPr>
          <w:rFonts w:ascii="Book Antiqua" w:eastAsia="宋体" w:hAnsi="Book Antiqua" w:cs="宋体"/>
          <w:b/>
          <w:color w:val="000000"/>
          <w:sz w:val="24"/>
          <w:szCs w:val="24"/>
        </w:rPr>
        <w:t xml:space="preserve"> Coulter-Mackie MB</w:t>
      </w:r>
      <w:r w:rsidRPr="00007463">
        <w:rPr>
          <w:rFonts w:ascii="Book Antiqua" w:eastAsia="宋体" w:hAnsi="Book Antiqua" w:cs="宋体"/>
          <w:color w:val="000000"/>
          <w:sz w:val="24"/>
          <w:szCs w:val="24"/>
        </w:rPr>
        <w:t>, White CT, Hurley RM, Chew BH, Lange D. Primary hyperoxaluria type 1. Gene ReviewsTM [Internet]. Pagon RA, Ardinger HH. Adam MP, Bird TD, Dolan CR, Fong CT, Stephens K, , editors. Seattle (Washington): University of Washington, 1993-2013 updated June 19, 2011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96</w:t>
      </w:r>
      <w:r>
        <w:rPr>
          <w:rFonts w:ascii="Book Antiqua" w:eastAsia="宋体" w:hAnsi="Book Antiqua" w:cs="宋体" w:hint="eastAsia"/>
          <w:color w:val="000000"/>
          <w:sz w:val="24"/>
          <w:szCs w:val="24"/>
        </w:rPr>
        <w:t xml:space="preserve"> </w:t>
      </w:r>
      <w:r w:rsidRPr="00007463">
        <w:rPr>
          <w:rFonts w:ascii="Book Antiqua" w:eastAsia="宋体" w:hAnsi="Book Antiqua" w:cs="宋体"/>
          <w:b/>
          <w:color w:val="000000"/>
          <w:sz w:val="24"/>
          <w:szCs w:val="24"/>
        </w:rPr>
        <w:t>Rumsby G</w:t>
      </w:r>
      <w:r w:rsidRPr="00007463">
        <w:rPr>
          <w:rFonts w:ascii="Book Antiqua" w:eastAsia="宋体" w:hAnsi="Book Antiqua" w:cs="宋体"/>
          <w:color w:val="000000"/>
          <w:sz w:val="24"/>
          <w:szCs w:val="24"/>
        </w:rPr>
        <w:t>. Primary hyperoxaluria type 2. Gene ReviewsTM [Internet]. Pagon RA, Ardinger HH, Adam MP, Bird TD, Dolan CR, Fong CT, Stephens K, , editors. Seattle (Washington): University of Washington, 1993-2013, updated May 5, 2011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97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Knight J</w:t>
      </w:r>
      <w:r w:rsidRPr="00007463">
        <w:rPr>
          <w:rFonts w:ascii="Book Antiqua" w:eastAsia="宋体" w:hAnsi="Book Antiqua" w:cs="宋体"/>
          <w:color w:val="000000"/>
          <w:sz w:val="24"/>
          <w:szCs w:val="24"/>
        </w:rPr>
        <w:t>, Holmes RP, Milliner DS, Monico CG, Cramer SD. Glyoxylate reductase activity in blood mononuclear cells and the diagnosis of primary hyperoxaluria type 2.</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 Dial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21</w:t>
      </w:r>
      <w:r w:rsidRPr="00007463">
        <w:rPr>
          <w:rFonts w:ascii="Book Antiqua" w:eastAsia="宋体" w:hAnsi="Book Antiqua" w:cs="宋体"/>
          <w:color w:val="000000"/>
          <w:sz w:val="24"/>
          <w:szCs w:val="24"/>
        </w:rPr>
        <w:t>: 2292-2295 [PMID: 16597637 DOI: 10.109/ndt/gfl/142]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98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Monico CG</w:t>
      </w:r>
      <w:r w:rsidRPr="00007463">
        <w:rPr>
          <w:rFonts w:ascii="Book Antiqua" w:eastAsia="宋体" w:hAnsi="Book Antiqua" w:cs="宋体"/>
          <w:color w:val="000000"/>
          <w:sz w:val="24"/>
          <w:szCs w:val="24"/>
        </w:rPr>
        <w:t>, Persson M, Ford GC, Rumsby G, Milliner DS. Potential mechanisms of marked hyperoxaluria not due to primary hyperoxaluria I or II.</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62</w:t>
      </w:r>
      <w:r w:rsidRPr="00007463">
        <w:rPr>
          <w:rFonts w:ascii="Book Antiqua" w:eastAsia="宋体" w:hAnsi="Book Antiqua" w:cs="宋体"/>
          <w:color w:val="000000"/>
          <w:sz w:val="24"/>
          <w:szCs w:val="24"/>
        </w:rPr>
        <w:t>: 392-400 [PMID: 12110000 DOI: 10.1046/j.1523-1755.2002.00468.x]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99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Monico CG</w:t>
      </w:r>
      <w:r w:rsidRPr="00007463">
        <w:rPr>
          <w:rFonts w:ascii="Book Antiqua" w:eastAsia="宋体" w:hAnsi="Book Antiqua" w:cs="宋体"/>
          <w:color w:val="000000"/>
          <w:sz w:val="24"/>
          <w:szCs w:val="24"/>
        </w:rPr>
        <w:t>, Rossetti S, Belostotsky R, Cogal AG, Herges RM, Seide BM, Olson JB, Bergstrahl EJ, Williams HJ, Haley WE, Frishberg Y, Milliner DS. Primary hyperoxaluria type III gene HOGA1 (formerly DHDPSL) as a possible risk factor for idiopathic calcium oxalate urolithiasis.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w:t>
      </w:r>
      <w:r w:rsidRPr="00007463">
        <w:rPr>
          <w:rFonts w:ascii="Book Antiqua" w:eastAsia="宋体" w:hAnsi="Book Antiqua" w:cs="宋体"/>
          <w:color w:val="000000"/>
          <w:sz w:val="24"/>
          <w:szCs w:val="24"/>
        </w:rPr>
        <w:t>: 2289-2295 [PMID: 21896830 DOI: 10.2215/CJN.02760311]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100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Belostotsky R</w:t>
      </w:r>
      <w:r w:rsidRPr="00007463">
        <w:rPr>
          <w:rFonts w:ascii="Book Antiqua" w:eastAsia="宋体" w:hAnsi="Book Antiqua" w:cs="宋体"/>
          <w:color w:val="000000"/>
          <w:sz w:val="24"/>
          <w:szCs w:val="24"/>
        </w:rPr>
        <w:t>, Pitt JJ, Frishberg Y. Primary hyperoxaluria type III--a model for studying perturbations in glyoxylate metabolism.</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Mol Med (Berl)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90</w:t>
      </w:r>
      <w:r w:rsidRPr="00007463">
        <w:rPr>
          <w:rFonts w:ascii="Book Antiqua" w:eastAsia="宋体" w:hAnsi="Book Antiqua" w:cs="宋体"/>
          <w:color w:val="000000"/>
          <w:sz w:val="24"/>
          <w:szCs w:val="24"/>
        </w:rPr>
        <w:t>: 1497-1504 [PMID: 22729392 DOI: 10.1007/s00109-012-0930-z]</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101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Hoppe B</w:t>
      </w:r>
      <w:r w:rsidRPr="00007463">
        <w:rPr>
          <w:rFonts w:ascii="Book Antiqua" w:eastAsia="宋体" w:hAnsi="Book Antiqua" w:cs="宋体"/>
          <w:color w:val="000000"/>
          <w:sz w:val="24"/>
          <w:szCs w:val="24"/>
        </w:rPr>
        <w:t>, Langman CB. A United States survey on diagnosis, treatment, and outcome of primary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Pediatr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18</w:t>
      </w:r>
      <w:r w:rsidRPr="00007463">
        <w:rPr>
          <w:rFonts w:ascii="Book Antiqua" w:eastAsia="宋体" w:hAnsi="Book Antiqua" w:cs="宋体"/>
          <w:color w:val="000000"/>
          <w:sz w:val="24"/>
          <w:szCs w:val="24"/>
        </w:rPr>
        <w:t>: 986-991 [PMID: 12920626 DOI: 10.1007/s00467-003-1234-x]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102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van Woerden CS</w:t>
      </w:r>
      <w:r w:rsidRPr="00007463">
        <w:rPr>
          <w:rFonts w:ascii="Book Antiqua" w:eastAsia="宋体" w:hAnsi="Book Antiqua" w:cs="宋体"/>
          <w:color w:val="000000"/>
          <w:sz w:val="24"/>
          <w:szCs w:val="24"/>
        </w:rPr>
        <w:t>, Groothoff JW, Wanders RJ, Davin JC, Wijburg FA. Primary hyperoxaluria type 1 in The Netherlands: prevalence and outcome.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 Dial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18</w:t>
      </w:r>
      <w:r w:rsidRPr="00007463">
        <w:rPr>
          <w:rFonts w:ascii="Book Antiqua" w:eastAsia="宋体" w:hAnsi="Book Antiqua" w:cs="宋体"/>
          <w:color w:val="000000"/>
          <w:sz w:val="24"/>
          <w:szCs w:val="24"/>
        </w:rPr>
        <w:t>: 273-279 [PMID: 12543880 DOI: 10.1093/ndt/18.2.273]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Hoppe B</w:t>
      </w:r>
      <w:r w:rsidRPr="00007463">
        <w:rPr>
          <w:rFonts w:ascii="Book Antiqua" w:eastAsia="宋体" w:hAnsi="Book Antiqua" w:cs="宋体"/>
          <w:color w:val="000000"/>
          <w:sz w:val="24"/>
          <w:szCs w:val="24"/>
        </w:rPr>
        <w:t>, Latta K, von Schnakenburg C, Kemper MJ. Primary hyperoxaluria--the German experience.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Nephrol</w:t>
      </w:r>
      <w:r w:rsidRPr="00417179">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2005</w:t>
      </w:r>
      <w:r w:rsidRPr="00007463">
        <w:rPr>
          <w:rFonts w:ascii="Book Antiqua" w:eastAsia="宋体" w:hAnsi="Book Antiqua" w:cs="宋体"/>
          <w:color w:val="000000"/>
          <w:sz w:val="24"/>
          <w:szCs w:val="24"/>
        </w:rPr>
        <w:t>;</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25</w:t>
      </w:r>
      <w:r w:rsidRPr="00007463">
        <w:rPr>
          <w:rFonts w:ascii="Book Antiqua" w:eastAsia="宋体" w:hAnsi="Book Antiqua" w:cs="宋体"/>
          <w:color w:val="000000"/>
          <w:sz w:val="24"/>
          <w:szCs w:val="24"/>
        </w:rPr>
        <w:t>: 276-281 [PMID: 15961947 DOI: 10.1159/000086358]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104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Hoppe B</w:t>
      </w:r>
      <w:r w:rsidRPr="00007463">
        <w:rPr>
          <w:rFonts w:ascii="Book Antiqua" w:eastAsia="宋体" w:hAnsi="Book Antiqua" w:cs="宋体"/>
          <w:color w:val="000000"/>
          <w:sz w:val="24"/>
          <w:szCs w:val="24"/>
        </w:rPr>
        <w:t>. An update on primary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Nat Rev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w:t>
      </w:r>
      <w:r w:rsidRPr="00007463">
        <w:rPr>
          <w:rFonts w:ascii="Book Antiqua" w:eastAsia="宋体" w:hAnsi="Book Antiqua" w:cs="宋体"/>
          <w:color w:val="000000"/>
          <w:sz w:val="24"/>
          <w:szCs w:val="24"/>
        </w:rPr>
        <w:t>: 467-475 [PMID: 22688746 DOI: 10.1038/nrneph.2012.113]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105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van der Hoeven SM</w:t>
      </w:r>
      <w:r w:rsidRPr="00007463">
        <w:rPr>
          <w:rFonts w:ascii="Book Antiqua" w:eastAsia="宋体" w:hAnsi="Book Antiqua" w:cs="宋体"/>
          <w:color w:val="000000"/>
          <w:sz w:val="24"/>
          <w:szCs w:val="24"/>
        </w:rPr>
        <w:t>, van Woerden CS, Groothoff JW. Primary hyperoxaluria type 1, a too often missed diagnosis and potentially treatable cause of end-stage renal disease in adults: results of the Dutch cohort.</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 Dial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27</w:t>
      </w:r>
      <w:r w:rsidRPr="00007463">
        <w:rPr>
          <w:rFonts w:ascii="Book Antiqua" w:eastAsia="宋体" w:hAnsi="Book Antiqua" w:cs="宋体"/>
          <w:color w:val="000000"/>
          <w:sz w:val="24"/>
          <w:szCs w:val="24"/>
        </w:rPr>
        <w:t>: 3855-3862 [PMID: 22844106 DOI: 10.1093/ndt/gfs320]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106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Earnest DL</w:t>
      </w:r>
      <w:r w:rsidRPr="00007463">
        <w:rPr>
          <w:rFonts w:ascii="Book Antiqua" w:eastAsia="宋体" w:hAnsi="Book Antiqua" w:cs="宋体"/>
          <w:color w:val="000000"/>
          <w:sz w:val="24"/>
          <w:szCs w:val="24"/>
        </w:rPr>
        <w:t>. Perspectives on incidence, etiology, and treatment of enteric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Clin Nutr</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30</w:t>
      </w:r>
      <w:r w:rsidRPr="00007463">
        <w:rPr>
          <w:rFonts w:ascii="Book Antiqua" w:eastAsia="宋体" w:hAnsi="Book Antiqua" w:cs="宋体"/>
          <w:color w:val="000000"/>
          <w:sz w:val="24"/>
          <w:szCs w:val="24"/>
        </w:rPr>
        <w:t>: 72-75 [PMID: 831441]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107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Parks JH</w:t>
      </w:r>
      <w:r w:rsidRPr="00007463">
        <w:rPr>
          <w:rFonts w:ascii="Book Antiqua" w:eastAsia="宋体" w:hAnsi="Book Antiqua" w:cs="宋体"/>
          <w:color w:val="000000"/>
          <w:sz w:val="24"/>
          <w:szCs w:val="24"/>
        </w:rPr>
        <w:t>, Worcester EM, O'Connor RC, Coe FL. Urine stone risk factors in nephrolithiasis patients with and without bowel disease.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63</w:t>
      </w:r>
      <w:r w:rsidRPr="00007463">
        <w:rPr>
          <w:rFonts w:ascii="Book Antiqua" w:eastAsia="宋体" w:hAnsi="Book Antiqua" w:cs="宋体"/>
          <w:color w:val="000000"/>
          <w:sz w:val="24"/>
          <w:szCs w:val="24"/>
        </w:rPr>
        <w:t>: 255-265 [PMID: 12472791 DOI: 10.1046/j.1523-1755.2003.00725.x]]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Canos HJ</w:t>
      </w:r>
      <w:r w:rsidRPr="00007463">
        <w:rPr>
          <w:rFonts w:ascii="Book Antiqua" w:eastAsia="宋体" w:hAnsi="Book Antiqua" w:cs="宋体"/>
          <w:color w:val="000000"/>
          <w:sz w:val="24"/>
          <w:szCs w:val="24"/>
        </w:rPr>
        <w:t>, Hogg GA, Jeffery JR. Oxalate nephropathy due to gastrointestinal disorders.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Can Med Assoc J</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124</w:t>
      </w:r>
      <w:r w:rsidRPr="00007463">
        <w:rPr>
          <w:rFonts w:ascii="Book Antiqua" w:eastAsia="宋体" w:hAnsi="Book Antiqua" w:cs="宋体"/>
          <w:color w:val="000000"/>
          <w:sz w:val="24"/>
          <w:szCs w:val="24"/>
        </w:rPr>
        <w:t>: 729-733 [PMID: 7471017]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109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Siener R</w:t>
      </w:r>
      <w:r w:rsidRPr="00007463">
        <w:rPr>
          <w:rFonts w:ascii="Book Antiqua" w:eastAsia="宋体" w:hAnsi="Book Antiqua" w:cs="宋体"/>
          <w:color w:val="000000"/>
          <w:sz w:val="24"/>
          <w:szCs w:val="24"/>
        </w:rPr>
        <w:t>, Petzold J, Bitterlich N, Alteheld B, Metzner C. Determinants of urolithiasis in patients with intestinal fat malabsorption.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Urology</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81</w:t>
      </w:r>
      <w:r w:rsidRPr="00007463">
        <w:rPr>
          <w:rFonts w:ascii="Book Antiqua" w:eastAsia="宋体" w:hAnsi="Book Antiqua" w:cs="宋体"/>
          <w:color w:val="000000"/>
          <w:sz w:val="24"/>
          <w:szCs w:val="24"/>
        </w:rPr>
        <w:t>: 17-24 [PMID: 23200965 DOI: 10.1016/j.urology2012.07.107]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110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Hassan I</w:t>
      </w:r>
      <w:r w:rsidRPr="00007463">
        <w:rPr>
          <w:rFonts w:ascii="Book Antiqua" w:eastAsia="宋体" w:hAnsi="Book Antiqua" w:cs="宋体"/>
          <w:color w:val="000000"/>
          <w:sz w:val="24"/>
          <w:szCs w:val="24"/>
        </w:rPr>
        <w:t>, Juncos LA, Milliner DS, Sarmiento JM, Sarr MG. Chronic renal failure secondary to oxalate nephropathy: a preventable complication after jejunoileal bypass.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Mayo Clin Proc</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76</w:t>
      </w:r>
      <w:r w:rsidRPr="00007463">
        <w:rPr>
          <w:rFonts w:ascii="Book Antiqua" w:eastAsia="宋体" w:hAnsi="Book Antiqua" w:cs="宋体"/>
          <w:color w:val="000000"/>
          <w:sz w:val="24"/>
          <w:szCs w:val="24"/>
        </w:rPr>
        <w:t>: 758-760 [PMID: 11444411 DOI: 10.4065/76.7.758]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111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Whitson JM</w:t>
      </w:r>
      <w:r w:rsidRPr="00007463">
        <w:rPr>
          <w:rFonts w:ascii="Book Antiqua" w:eastAsia="宋体" w:hAnsi="Book Antiqua" w:cs="宋体"/>
          <w:color w:val="000000"/>
          <w:sz w:val="24"/>
          <w:szCs w:val="24"/>
        </w:rPr>
        <w:t>, Stackhouse GB, Stoller ML. Hyperoxaluria after modern bariatric surgery: case series and literature review.</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Int Urol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42</w:t>
      </w:r>
      <w:r w:rsidRPr="00007463">
        <w:rPr>
          <w:rFonts w:ascii="Book Antiqua" w:eastAsia="宋体" w:hAnsi="Book Antiqua" w:cs="宋体"/>
          <w:color w:val="000000"/>
          <w:sz w:val="24"/>
          <w:szCs w:val="24"/>
        </w:rPr>
        <w:t>: 369-374 [PMID: 19572208 DOI: 10.1007/s11255-009-9602-5]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Froeder L</w:t>
      </w:r>
      <w:r w:rsidRPr="00007463">
        <w:rPr>
          <w:rFonts w:ascii="Book Antiqua" w:eastAsia="宋体" w:hAnsi="Book Antiqua" w:cs="宋体"/>
          <w:color w:val="000000"/>
          <w:sz w:val="24"/>
          <w:szCs w:val="24"/>
        </w:rPr>
        <w:t>, Arasaki CH, Malheiros CA, Baxmann AC, Heilberg IP. Response to dietary oxalate after bariatric surgery.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w:t>
      </w:r>
      <w:r w:rsidRPr="00007463">
        <w:rPr>
          <w:rFonts w:ascii="Book Antiqua" w:eastAsia="宋体" w:hAnsi="Book Antiqua" w:cs="宋体"/>
          <w:color w:val="000000"/>
          <w:sz w:val="24"/>
          <w:szCs w:val="24"/>
        </w:rPr>
        <w:t>: 2033-2040 [PMID: 23024163 DOI: 10.2215/CJN.02560312]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Nelson WK</w:t>
      </w:r>
      <w:r w:rsidRPr="00007463">
        <w:rPr>
          <w:rFonts w:ascii="Book Antiqua" w:eastAsia="宋体" w:hAnsi="Book Antiqua" w:cs="宋体"/>
          <w:color w:val="000000"/>
          <w:sz w:val="24"/>
          <w:szCs w:val="24"/>
        </w:rPr>
        <w:t>, Houghton SG, Milliner DS, Lieske JC, Sarr MG. Enteric hyperoxaluria, nephrolithiasis, and oxalate nephropathy: potentially serious and unappreciated complications of Roux-en-Y gastric bypass.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Surg Obes Relat Dis</w:t>
      </w:r>
      <w:r w:rsidRPr="00417179">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2005</w:t>
      </w:r>
      <w:r w:rsidRPr="00007463">
        <w:rPr>
          <w:rFonts w:ascii="Book Antiqua" w:eastAsia="宋体" w:hAnsi="Book Antiqua" w:cs="宋体"/>
          <w:color w:val="000000"/>
          <w:sz w:val="24"/>
          <w:szCs w:val="24"/>
        </w:rPr>
        <w:t>;</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w:t>
      </w:r>
      <w:r w:rsidRPr="00007463">
        <w:rPr>
          <w:rFonts w:ascii="Book Antiqua" w:eastAsia="宋体" w:hAnsi="Book Antiqua" w:cs="宋体"/>
          <w:color w:val="000000"/>
          <w:sz w:val="24"/>
          <w:szCs w:val="24"/>
        </w:rPr>
        <w:t>: 481-485 [PMID: 16925274 DOI: 10.1016/j.soard.2005.07.002]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114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Kaye MC</w:t>
      </w:r>
      <w:r w:rsidRPr="00007463">
        <w:rPr>
          <w:rFonts w:ascii="Book Antiqua" w:eastAsia="宋体" w:hAnsi="Book Antiqua" w:cs="宋体"/>
          <w:color w:val="000000"/>
          <w:sz w:val="24"/>
          <w:szCs w:val="24"/>
        </w:rPr>
        <w:t>, Streem SB, Hall PM. Enteric hyperoxaluria associated with external biliary drainage.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151</w:t>
      </w:r>
      <w:r w:rsidRPr="00007463">
        <w:rPr>
          <w:rFonts w:ascii="Book Antiqua" w:eastAsia="宋体" w:hAnsi="Book Antiqua" w:cs="宋体"/>
          <w:color w:val="000000"/>
          <w:sz w:val="24"/>
          <w:szCs w:val="24"/>
        </w:rPr>
        <w:t>: 396-397 [PMID: 8283533]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115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Crook ED</w:t>
      </w:r>
      <w:r w:rsidRPr="00007463">
        <w:rPr>
          <w:rFonts w:ascii="Book Antiqua" w:eastAsia="宋体" w:hAnsi="Book Antiqua" w:cs="宋体"/>
          <w:color w:val="000000"/>
          <w:sz w:val="24"/>
          <w:szCs w:val="24"/>
        </w:rPr>
        <w:t>, Cook WJ, Bergman SM. Rapid renal deterioration secondary to oxalate in a patient with diabetic gastroenteropathy.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26</w:t>
      </w:r>
      <w:r w:rsidRPr="00007463">
        <w:rPr>
          <w:rFonts w:ascii="Book Antiqua" w:eastAsia="宋体" w:hAnsi="Book Antiqua" w:cs="宋体"/>
          <w:color w:val="000000"/>
          <w:sz w:val="24"/>
          <w:szCs w:val="24"/>
        </w:rPr>
        <w:t>: 68-71 [PMID: 7611271 DOI: 10.1016/0272-6386(95)90156-6]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116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Moutzouris DA</w:t>
      </w:r>
      <w:r w:rsidRPr="00007463">
        <w:rPr>
          <w:rFonts w:ascii="Book Antiqua" w:eastAsia="宋体" w:hAnsi="Book Antiqua" w:cs="宋体"/>
          <w:color w:val="000000"/>
          <w:sz w:val="24"/>
          <w:szCs w:val="24"/>
        </w:rPr>
        <w:t>, Skaneli G, Margellos V, Apostolou T, Petraki C, Nikolopoulou N. Oxalate nephropathy in a diabetic patient after gastric by-pass.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75 Suppl 1</w:t>
      </w:r>
      <w:r w:rsidRPr="00007463">
        <w:rPr>
          <w:rFonts w:ascii="Book Antiqua" w:eastAsia="宋体" w:hAnsi="Book Antiqua" w:cs="宋体"/>
          <w:color w:val="000000"/>
          <w:sz w:val="24"/>
          <w:szCs w:val="24"/>
        </w:rPr>
        <w:t>: 16-19 [PMID: 21269587 DOI: 10.2379/CNX06513]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117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McDonald GB</w:t>
      </w:r>
      <w:r w:rsidRPr="00007463">
        <w:rPr>
          <w:rFonts w:ascii="Book Antiqua" w:eastAsia="宋体" w:hAnsi="Book Antiqua" w:cs="宋体"/>
          <w:color w:val="000000"/>
          <w:sz w:val="24"/>
          <w:szCs w:val="24"/>
        </w:rPr>
        <w:t>, Earnest DL, Admirand WH. Hyperoxaluria correlates with fat malabsorption in patients with sprue.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Gut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18</w:t>
      </w:r>
      <w:r w:rsidRPr="00007463">
        <w:rPr>
          <w:rFonts w:ascii="Book Antiqua" w:eastAsia="宋体" w:hAnsi="Book Antiqua" w:cs="宋体"/>
          <w:color w:val="000000"/>
          <w:sz w:val="24"/>
          <w:szCs w:val="24"/>
        </w:rPr>
        <w:t>: 561-566 [PMID: 873337 DOI: 10.1136/gut.18.7.561]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118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Cartery C</w:t>
      </w:r>
      <w:r w:rsidRPr="00007463">
        <w:rPr>
          <w:rFonts w:ascii="Book Antiqua" w:eastAsia="宋体" w:hAnsi="Book Antiqua" w:cs="宋体"/>
          <w:color w:val="000000"/>
          <w:sz w:val="24"/>
          <w:szCs w:val="24"/>
        </w:rPr>
        <w:t>, Faguer S, Karras A, Cointault O, Buscail L, Modesto A, Ribes D, Rostaing L, Chauveau D, Giraud P. Oxalate nephropathy associated with chronic pancreatitis.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w:t>
      </w:r>
      <w:r w:rsidRPr="00007463">
        <w:rPr>
          <w:rFonts w:ascii="Book Antiqua" w:eastAsia="宋体" w:hAnsi="Book Antiqua" w:cs="宋体"/>
          <w:color w:val="000000"/>
          <w:sz w:val="24"/>
          <w:szCs w:val="24"/>
        </w:rPr>
        <w:t>: 1895-1902 [PMID: 21737848 DOI: 10.2215/CJN.00010111]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119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Hueppelshaeuser R</w:t>
      </w:r>
      <w:r w:rsidRPr="00007463">
        <w:rPr>
          <w:rFonts w:ascii="Book Antiqua" w:eastAsia="宋体" w:hAnsi="Book Antiqua" w:cs="宋体"/>
          <w:color w:val="000000"/>
          <w:sz w:val="24"/>
          <w:szCs w:val="24"/>
        </w:rPr>
        <w:t>, von Unruh GE, Habbig S, Beck BB, Buderus S, Hesse A, Hoppe B. Enteric hyperoxaluria, recurrent urolithiasis, and systemic oxalosis in patients with Crohn's disease.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Pediatr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27</w:t>
      </w:r>
      <w:r w:rsidRPr="00007463">
        <w:rPr>
          <w:rFonts w:ascii="Book Antiqua" w:eastAsia="宋体" w:hAnsi="Book Antiqua" w:cs="宋体"/>
          <w:color w:val="000000"/>
          <w:sz w:val="24"/>
          <w:szCs w:val="24"/>
        </w:rPr>
        <w:t>: 1103-1109 [PMID: 22366809 DOI: 10.1007/s00467-012-2126-8]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120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Allen A</w:t>
      </w:r>
      <w:r w:rsidRPr="00007463">
        <w:rPr>
          <w:rFonts w:ascii="Book Antiqua" w:eastAsia="宋体" w:hAnsi="Book Antiqua" w:cs="宋体"/>
          <w:color w:val="000000"/>
          <w:sz w:val="24"/>
          <w:szCs w:val="24"/>
        </w:rPr>
        <w:t>, Clutterbuck E, Maidment G, Thompson E, Watts R, Pusey C. Enteric hyperoxaluria and renal failure associated with lymphangiectasia.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 Dial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12</w:t>
      </w:r>
      <w:r w:rsidRPr="00007463">
        <w:rPr>
          <w:rFonts w:ascii="Book Antiqua" w:eastAsia="宋体" w:hAnsi="Book Antiqua" w:cs="宋体"/>
          <w:color w:val="000000"/>
          <w:sz w:val="24"/>
          <w:szCs w:val="24"/>
        </w:rPr>
        <w:t>: 802-806 [PMID: 9141019 DOI: 10.1093/ndt/12.4.802]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121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Cohen-Bucay A</w:t>
      </w:r>
      <w:r w:rsidRPr="00007463">
        <w:rPr>
          <w:rFonts w:ascii="Book Antiqua" w:eastAsia="宋体" w:hAnsi="Book Antiqua" w:cs="宋体"/>
          <w:color w:val="000000"/>
          <w:sz w:val="24"/>
          <w:szCs w:val="24"/>
        </w:rPr>
        <w:t>, Garimella P, Ezeokonkwo C, Bijol V, Strom JA, Jaber BL. Acute oxalate nephropathy associated with Clostridium difficile colitis.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63</w:t>
      </w:r>
      <w:r w:rsidRPr="00007463">
        <w:rPr>
          <w:rFonts w:ascii="Book Antiqua" w:eastAsia="宋体" w:hAnsi="Book Antiqua" w:cs="宋体"/>
          <w:color w:val="000000"/>
          <w:sz w:val="24"/>
          <w:szCs w:val="24"/>
        </w:rPr>
        <w:t>: 113-118 [PMID: 24183111 DOI: 10.1053/j.ajkd.2013.09.10]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122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Gibney EM</w:t>
      </w:r>
      <w:r w:rsidRPr="00007463">
        <w:rPr>
          <w:rFonts w:ascii="Book Antiqua" w:eastAsia="宋体" w:hAnsi="Book Antiqua" w:cs="宋体"/>
          <w:color w:val="000000"/>
          <w:sz w:val="24"/>
          <w:szCs w:val="24"/>
        </w:rPr>
        <w:t>, Goldfarb DS. The association of nephrolithiasis with cystic fibrosis.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42</w:t>
      </w:r>
      <w:r w:rsidRPr="00007463">
        <w:rPr>
          <w:rFonts w:ascii="Book Antiqua" w:eastAsia="宋体" w:hAnsi="Book Antiqua" w:cs="宋体"/>
          <w:color w:val="000000"/>
          <w:sz w:val="24"/>
          <w:szCs w:val="24"/>
        </w:rPr>
        <w:t>: 1-11 [PMID: 12830451 DOI: 10.1016/S0272-6386(03)00403-7]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123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Hoppe B</w:t>
      </w:r>
      <w:r w:rsidRPr="00007463">
        <w:rPr>
          <w:rFonts w:ascii="Book Antiqua" w:eastAsia="宋体" w:hAnsi="Book Antiqua" w:cs="宋体"/>
          <w:color w:val="000000"/>
          <w:sz w:val="24"/>
          <w:szCs w:val="24"/>
        </w:rPr>
        <w:t>, von Unruh GE, Blank G, Rietschel E, Sidhu H, Laube N, Hesse A. Absorptive hyperoxaluria leads to an increased risk for urolithiasis or nephrocalcinosis in cystic fibrosis.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46</w:t>
      </w:r>
      <w:r w:rsidRPr="00007463">
        <w:rPr>
          <w:rFonts w:ascii="Book Antiqua" w:eastAsia="宋体" w:hAnsi="Book Antiqua" w:cs="宋体"/>
          <w:color w:val="000000"/>
          <w:sz w:val="24"/>
          <w:szCs w:val="24"/>
        </w:rPr>
        <w:t>: 440-445 [PMID: 16129205 DOI: 10.1053/j.ajkd.2005.06.003]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124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Cuvelier C</w:t>
      </w:r>
      <w:r w:rsidRPr="00007463">
        <w:rPr>
          <w:rFonts w:ascii="Book Antiqua" w:eastAsia="宋体" w:hAnsi="Book Antiqua" w:cs="宋体"/>
          <w:color w:val="000000"/>
          <w:sz w:val="24"/>
          <w:szCs w:val="24"/>
        </w:rPr>
        <w:t>, Goffin E, Cosyns JP, Wauthier M, de Strihou Cv. Enteric hyperoxaluria: a hidden cause of early renal graft failure in two successive transplants: spontaneous late graft recovery.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40</w:t>
      </w:r>
      <w:r w:rsidRPr="00007463">
        <w:rPr>
          <w:rFonts w:ascii="Book Antiqua" w:eastAsia="宋体" w:hAnsi="Book Antiqua" w:cs="宋体"/>
          <w:color w:val="000000"/>
          <w:sz w:val="24"/>
          <w:szCs w:val="24"/>
        </w:rPr>
        <w:t>: E3 [PMID: 12087589 DOI: 10.1053/ajkd.2002.33934]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125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Lefaucheur C</w:t>
      </w:r>
      <w:r w:rsidRPr="00007463">
        <w:rPr>
          <w:rFonts w:ascii="Book Antiqua" w:eastAsia="宋体" w:hAnsi="Book Antiqua" w:cs="宋体"/>
          <w:color w:val="000000"/>
          <w:sz w:val="24"/>
          <w:szCs w:val="24"/>
        </w:rPr>
        <w:t>, Hill GS, Amrein C, Haymann JP, Jacquot C, Glotz D, Nochy D. Acute oxalate nephropathy: A new etiology for acute renal failure following nonrenal solid organ transplantation.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w:t>
      </w:r>
      <w:r w:rsidRPr="00007463">
        <w:rPr>
          <w:rFonts w:ascii="Book Antiqua" w:eastAsia="宋体" w:hAnsi="Book Antiqua" w:cs="宋体"/>
          <w:color w:val="000000"/>
          <w:sz w:val="24"/>
          <w:szCs w:val="24"/>
        </w:rPr>
        <w:t>: 2516-2521 [PMID: 16889602 DOI: 10.1111/j.1600-6143.2006.01485.x]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126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Rankin AC</w:t>
      </w:r>
      <w:r w:rsidRPr="00007463">
        <w:rPr>
          <w:rFonts w:ascii="Book Antiqua" w:eastAsia="宋体" w:hAnsi="Book Antiqua" w:cs="宋体"/>
          <w:color w:val="000000"/>
          <w:sz w:val="24"/>
          <w:szCs w:val="24"/>
        </w:rPr>
        <w:t>, Walsh SB, Summers SA, Owen MP, Mansell MA. Acute oxalate nephropathy causing late renal transplant dysfunction due to enteric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w:t>
      </w:r>
      <w:r w:rsidRPr="00007463">
        <w:rPr>
          <w:rFonts w:ascii="Book Antiqua" w:eastAsia="宋体" w:hAnsi="Book Antiqua" w:cs="宋体"/>
          <w:color w:val="000000"/>
          <w:sz w:val="24"/>
          <w:szCs w:val="24"/>
        </w:rPr>
        <w:t>: 1755-1758 [PMID: 18557738 DOI: 10.1111/j.1600-6143.2008.02288.x]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127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Parasuraman R</w:t>
      </w:r>
      <w:r w:rsidRPr="00007463">
        <w:rPr>
          <w:rFonts w:ascii="Book Antiqua" w:eastAsia="宋体" w:hAnsi="Book Antiqua" w:cs="宋体"/>
          <w:color w:val="000000"/>
          <w:sz w:val="24"/>
          <w:szCs w:val="24"/>
        </w:rPr>
        <w:t>, Venkat KK. Crystal-induced kidney disease in 2 kidney transplant recipients.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55</w:t>
      </w:r>
      <w:r w:rsidRPr="00007463">
        <w:rPr>
          <w:rFonts w:ascii="Book Antiqua" w:eastAsia="宋体" w:hAnsi="Book Antiqua" w:cs="宋体"/>
          <w:color w:val="000000"/>
          <w:sz w:val="24"/>
          <w:szCs w:val="24"/>
        </w:rPr>
        <w:t>: 192-197 [PMID: 19880229 DOI: 10.1053/j.ajkd.2009.08.012]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128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Beloncle F</w:t>
      </w:r>
      <w:r w:rsidRPr="00007463">
        <w:rPr>
          <w:rFonts w:ascii="Book Antiqua" w:eastAsia="宋体" w:hAnsi="Book Antiqua" w:cs="宋体"/>
          <w:color w:val="000000"/>
          <w:sz w:val="24"/>
          <w:szCs w:val="24"/>
        </w:rPr>
        <w:t xml:space="preserve">, Sayegh J, Duveau A, Besson V, Croue A, Subra JF, Augusto JF. An unexpected cause of progressive renal failure in a 66-year-old male after liver </w:t>
      </w:r>
      <w:r w:rsidRPr="00007463">
        <w:rPr>
          <w:rFonts w:ascii="Book Antiqua" w:eastAsia="宋体" w:hAnsi="Book Antiqua" w:cs="宋体"/>
          <w:color w:val="000000"/>
          <w:sz w:val="24"/>
          <w:szCs w:val="24"/>
        </w:rPr>
        <w:lastRenderedPageBreak/>
        <w:t>transplantation: secondary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Int Urol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45</w:t>
      </w:r>
      <w:r w:rsidRPr="00007463">
        <w:rPr>
          <w:rFonts w:ascii="Book Antiqua" w:eastAsia="宋体" w:hAnsi="Book Antiqua" w:cs="宋体"/>
          <w:color w:val="000000"/>
          <w:sz w:val="24"/>
          <w:szCs w:val="24"/>
        </w:rPr>
        <w:t>: 1209-1213 [PMID: 22395848 DOI: 10.1007/s11255-012-0140-1]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129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Dheda S</w:t>
      </w:r>
      <w:r w:rsidRPr="00007463">
        <w:rPr>
          <w:rFonts w:ascii="Book Antiqua" w:eastAsia="宋体" w:hAnsi="Book Antiqua" w:cs="宋体"/>
          <w:color w:val="000000"/>
          <w:sz w:val="24"/>
          <w:szCs w:val="24"/>
        </w:rPr>
        <w:t>, Swaminathan R, Musk M, Sinniah R, Lawrence S, Irish A. Acute irreversible oxalate nephropathy in a lung transplant recipient treated successfully with a renal transplant.</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Nephrology (Carlton)</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17 Suppl 1</w:t>
      </w:r>
      <w:r w:rsidRPr="00007463">
        <w:rPr>
          <w:rFonts w:ascii="Book Antiqua" w:eastAsia="宋体" w:hAnsi="Book Antiqua" w:cs="宋体"/>
          <w:color w:val="000000"/>
          <w:sz w:val="24"/>
          <w:szCs w:val="24"/>
        </w:rPr>
        <w:t>: 12-15 [PMID: 22497648 DOI: 10.1111/j.1440-1797.2012.01585.x.]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130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Singh A</w:t>
      </w:r>
      <w:r w:rsidRPr="00007463">
        <w:rPr>
          <w:rFonts w:ascii="Book Antiqua" w:eastAsia="宋体" w:hAnsi="Book Antiqua" w:cs="宋体"/>
          <w:color w:val="000000"/>
          <w:sz w:val="24"/>
          <w:szCs w:val="24"/>
        </w:rPr>
        <w:t>, Sarkar SR, Gaber LW, Perazella MA. Acute oxalate nephropathy associated with orlistat, a gastrointestinal lipase inhibitor.</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49</w:t>
      </w:r>
      <w:r w:rsidRPr="00007463">
        <w:rPr>
          <w:rFonts w:ascii="Book Antiqua" w:eastAsia="宋体" w:hAnsi="Book Antiqua" w:cs="宋体"/>
          <w:color w:val="000000"/>
          <w:sz w:val="24"/>
          <w:szCs w:val="24"/>
        </w:rPr>
        <w:t>: 153-157 [PMID: 17185156 DOI: 10.1053.j.ajkd.2006.10.004]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131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Dossabhoy NR</w:t>
      </w:r>
      <w:r w:rsidRPr="00007463">
        <w:rPr>
          <w:rFonts w:ascii="Book Antiqua" w:eastAsia="宋体" w:hAnsi="Book Antiqua" w:cs="宋体"/>
          <w:color w:val="000000"/>
          <w:sz w:val="24"/>
          <w:szCs w:val="24"/>
        </w:rPr>
        <w:t>, McRight S, Sangha B, Khan S, Adgeh C. Orlistat-induced oxalate nephropathy may be dose-independent and present as a late manifestation.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La State Med Soc</w:t>
      </w:r>
      <w:r w:rsidRPr="00417179">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2013</w:t>
      </w:r>
      <w:r w:rsidRPr="00007463">
        <w:rPr>
          <w:rFonts w:ascii="Book Antiqua" w:eastAsia="宋体" w:hAnsi="Book Antiqua" w:cs="宋体"/>
          <w:color w:val="000000"/>
          <w:sz w:val="24"/>
          <w:szCs w:val="24"/>
        </w:rPr>
        <w:t>;</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165</w:t>
      </w:r>
      <w:r w:rsidRPr="00007463">
        <w:rPr>
          <w:rFonts w:ascii="Book Antiqua" w:eastAsia="宋体" w:hAnsi="Book Antiqua" w:cs="宋体"/>
          <w:color w:val="000000"/>
          <w:sz w:val="24"/>
          <w:szCs w:val="24"/>
        </w:rPr>
        <w:t>: 283-285 [PMID: 24350530]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132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Gariani K</w:t>
      </w:r>
      <w:r w:rsidRPr="00007463">
        <w:rPr>
          <w:rFonts w:ascii="Book Antiqua" w:eastAsia="宋体" w:hAnsi="Book Antiqua" w:cs="宋体"/>
          <w:color w:val="000000"/>
          <w:sz w:val="24"/>
          <w:szCs w:val="24"/>
        </w:rPr>
        <w:t>, de Seigneux S, Courbebaisse M, Lévy M, Moll S, Martin PY. Oxalate nephropathy induced by octreotide treatment for acromegaly: a case report.</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Med Case Rep</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w:t>
      </w:r>
      <w:r w:rsidRPr="00007463">
        <w:rPr>
          <w:rFonts w:ascii="Book Antiqua" w:eastAsia="宋体" w:hAnsi="Book Antiqua" w:cs="宋体"/>
          <w:color w:val="000000"/>
          <w:sz w:val="24"/>
          <w:szCs w:val="24"/>
        </w:rPr>
        <w:t>: 215 [PMID: 22823940 DOI: 10.1186/1752-1947-6-215]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133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Dobbins JW</w:t>
      </w:r>
      <w:r w:rsidRPr="00007463">
        <w:rPr>
          <w:rFonts w:ascii="Book Antiqua" w:eastAsia="宋体" w:hAnsi="Book Antiqua" w:cs="宋体"/>
          <w:color w:val="000000"/>
          <w:sz w:val="24"/>
          <w:szCs w:val="24"/>
        </w:rPr>
        <w:t>, Binder HJ. Importance of the colon in enteric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 Engl J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296</w:t>
      </w:r>
      <w:r w:rsidRPr="00007463">
        <w:rPr>
          <w:rFonts w:ascii="Book Antiqua" w:eastAsia="宋体" w:hAnsi="Book Antiqua" w:cs="宋体"/>
          <w:color w:val="000000"/>
          <w:sz w:val="24"/>
          <w:szCs w:val="24"/>
        </w:rPr>
        <w:t>: 298-301 [PMID: 831127 DOI: 10.1056/NEJM197702102960602]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134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Modigliani R</w:t>
      </w:r>
      <w:r w:rsidRPr="00007463">
        <w:rPr>
          <w:rFonts w:ascii="Book Antiqua" w:eastAsia="宋体" w:hAnsi="Book Antiqua" w:cs="宋体"/>
          <w:color w:val="000000"/>
          <w:sz w:val="24"/>
          <w:szCs w:val="24"/>
        </w:rPr>
        <w:t>, Labayle D, Aymes C, Denvil R. Evidence for excessive absorption of oxalate by the colon in enteric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Scand J Gastroenterol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13</w:t>
      </w:r>
      <w:r w:rsidRPr="00007463">
        <w:rPr>
          <w:rFonts w:ascii="Book Antiqua" w:eastAsia="宋体" w:hAnsi="Book Antiqua" w:cs="宋体"/>
          <w:color w:val="000000"/>
          <w:sz w:val="24"/>
          <w:szCs w:val="24"/>
        </w:rPr>
        <w:t>: 187-192 [PMID: 635458 DOI: 10.3109/10036552.780.9.181746]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135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Mandell I</w:t>
      </w:r>
      <w:r w:rsidRPr="00007463">
        <w:rPr>
          <w:rFonts w:ascii="Book Antiqua" w:eastAsia="宋体" w:hAnsi="Book Antiqua" w:cs="宋体"/>
          <w:color w:val="000000"/>
          <w:sz w:val="24"/>
          <w:szCs w:val="24"/>
        </w:rPr>
        <w:t>, Krauss E, Millan JC. Oxalate-induced acute renal failure in Crohn's disease.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69</w:t>
      </w:r>
      <w:r w:rsidRPr="00007463">
        <w:rPr>
          <w:rFonts w:ascii="Book Antiqua" w:eastAsia="宋体" w:hAnsi="Book Antiqua" w:cs="宋体"/>
          <w:color w:val="000000"/>
          <w:sz w:val="24"/>
          <w:szCs w:val="24"/>
        </w:rPr>
        <w:t>: 628-632 [PMID: 7424952 DOI: 10.1016/0002-9343(80)90479-9]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136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Wharton R</w:t>
      </w:r>
      <w:r w:rsidRPr="00007463">
        <w:rPr>
          <w:rFonts w:ascii="Book Antiqua" w:eastAsia="宋体" w:hAnsi="Book Antiqua" w:cs="宋体"/>
          <w:color w:val="000000"/>
          <w:sz w:val="24"/>
          <w:szCs w:val="24"/>
        </w:rPr>
        <w:t>, D'Agati V, Magun AM, Whitlock R, Kunis CL, Appel GB. Acute deterioration of renal function associated with enteric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34</w:t>
      </w:r>
      <w:r w:rsidRPr="00007463">
        <w:rPr>
          <w:rFonts w:ascii="Book Antiqua" w:eastAsia="宋体" w:hAnsi="Book Antiqua" w:cs="宋体"/>
          <w:color w:val="000000"/>
          <w:sz w:val="24"/>
          <w:szCs w:val="24"/>
        </w:rPr>
        <w:t>: 116-121 [PMID: 2225562]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137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Sentís A</w:t>
      </w:r>
      <w:r w:rsidRPr="00007463">
        <w:rPr>
          <w:rFonts w:ascii="Book Antiqua" w:eastAsia="宋体" w:hAnsi="Book Antiqua" w:cs="宋体"/>
          <w:color w:val="000000"/>
          <w:sz w:val="24"/>
          <w:szCs w:val="24"/>
        </w:rPr>
        <w:t>, Quintana LF, Massó E, Peréz NS, Botey Puig A, Campistol Plana JM. Acute renal failure due to oxalate crystal deposition and enteric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Nefrologia</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31</w:t>
      </w:r>
      <w:r w:rsidRPr="00007463">
        <w:rPr>
          <w:rFonts w:ascii="Book Antiqua" w:eastAsia="宋体" w:hAnsi="Book Antiqua" w:cs="宋体"/>
          <w:color w:val="000000"/>
          <w:sz w:val="24"/>
          <w:szCs w:val="24"/>
        </w:rPr>
        <w:t>: 121-123 [PMID: 21270931 DOI: 10.3265/Nefrologia.pre2010.Oct.10644]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138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Chaudhari D</w:t>
      </w:r>
      <w:r w:rsidRPr="00007463">
        <w:rPr>
          <w:rFonts w:ascii="Book Antiqua" w:eastAsia="宋体" w:hAnsi="Book Antiqua" w:cs="宋体"/>
          <w:color w:val="000000"/>
          <w:sz w:val="24"/>
          <w:szCs w:val="24"/>
        </w:rPr>
        <w:t>, Crisostomo C, Ganote C, Youngberg G. Acute oxalate nephropathy associated with orlistat: a case report with a review of the literature.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Case Rep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2013</w:t>
      </w:r>
      <w:r w:rsidRPr="00007463">
        <w:rPr>
          <w:rFonts w:ascii="Book Antiqua" w:eastAsia="宋体" w:hAnsi="Book Antiqua" w:cs="宋体"/>
          <w:color w:val="000000"/>
          <w:sz w:val="24"/>
          <w:szCs w:val="24"/>
        </w:rPr>
        <w:t>: 124604 [PMID: 24527242 DOI: 101155/2013/124604]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139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Kwan TK</w:t>
      </w:r>
      <w:r w:rsidRPr="00007463">
        <w:rPr>
          <w:rFonts w:ascii="Book Antiqua" w:eastAsia="宋体" w:hAnsi="Book Antiqua" w:cs="宋体"/>
          <w:color w:val="000000"/>
          <w:sz w:val="24"/>
          <w:szCs w:val="24"/>
        </w:rPr>
        <w:t>, Chadban SJ, McKenzie PR, Saunders JR. Acute oxalate nephropathy secondary to orlistat-induced enteric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Nephrology (Carlton)</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18</w:t>
      </w:r>
      <w:r w:rsidRPr="00007463">
        <w:rPr>
          <w:rFonts w:ascii="Book Antiqua" w:eastAsia="宋体" w:hAnsi="Book Antiqua" w:cs="宋体"/>
          <w:color w:val="000000"/>
          <w:sz w:val="24"/>
          <w:szCs w:val="24"/>
        </w:rPr>
        <w:t>: 241-242 [PMID: 23432752 DOI: 10.1111/j.1440-1797.2012.01639.x.]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140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Tintillier M</w:t>
      </w:r>
      <w:r w:rsidRPr="00007463">
        <w:rPr>
          <w:rFonts w:ascii="Book Antiqua" w:eastAsia="宋体" w:hAnsi="Book Antiqua" w:cs="宋体"/>
          <w:color w:val="000000"/>
          <w:sz w:val="24"/>
          <w:szCs w:val="24"/>
        </w:rPr>
        <w:t>, Pochet JM, Blackburn D, Delgrange E, Donckier JE. Hyperoxaluria: an underestimated cause of rapidly progressive renal failure.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Acta Clin Belg</w:t>
      </w:r>
      <w:r w:rsidRPr="00417179">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2001</w:t>
      </w:r>
      <w:r w:rsidRPr="00007463">
        <w:rPr>
          <w:rFonts w:ascii="Book Antiqua" w:eastAsia="宋体" w:hAnsi="Book Antiqua" w:cs="宋体"/>
          <w:color w:val="000000"/>
          <w:sz w:val="24"/>
          <w:szCs w:val="24"/>
        </w:rPr>
        <w:t>;</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56</w:t>
      </w:r>
      <w:r w:rsidRPr="00007463">
        <w:rPr>
          <w:rFonts w:ascii="Book Antiqua" w:eastAsia="宋体" w:hAnsi="Book Antiqua" w:cs="宋体"/>
          <w:color w:val="000000"/>
          <w:sz w:val="24"/>
          <w:szCs w:val="24"/>
        </w:rPr>
        <w:t>: 360-363 [PMID: 11881321 DOI: 10.1179/acb.2001.054]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141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Sutton RA</w:t>
      </w:r>
      <w:r w:rsidRPr="00007463">
        <w:rPr>
          <w:rFonts w:ascii="Book Antiqua" w:eastAsia="宋体" w:hAnsi="Book Antiqua" w:cs="宋体"/>
          <w:color w:val="000000"/>
          <w:sz w:val="24"/>
          <w:szCs w:val="24"/>
        </w:rPr>
        <w:t>, Walker VR. Enteric and mild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Miner Electrolyte Metab</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20</w:t>
      </w:r>
      <w:r w:rsidRPr="00007463">
        <w:rPr>
          <w:rFonts w:ascii="Book Antiqua" w:eastAsia="宋体" w:hAnsi="Book Antiqua" w:cs="宋体"/>
          <w:color w:val="000000"/>
          <w:sz w:val="24"/>
          <w:szCs w:val="24"/>
        </w:rPr>
        <w:t>: 352-360 [PMID: 7783697]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142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Rendina D</w:t>
      </w:r>
      <w:r w:rsidRPr="00007463">
        <w:rPr>
          <w:rFonts w:ascii="Book Antiqua" w:eastAsia="宋体" w:hAnsi="Book Antiqua" w:cs="宋体"/>
          <w:color w:val="000000"/>
          <w:sz w:val="24"/>
          <w:szCs w:val="24"/>
        </w:rPr>
        <w:t>, De Filippo G, Zampa G, Muscariello R, Mossetti G, Strazzullo P. Characteristic clinical and biochemical profile of recurrent calcium-oxalate nephrolithiasis in patients with metabolic syndrome.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 Dial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26</w:t>
      </w:r>
      <w:r w:rsidRPr="00007463">
        <w:rPr>
          <w:rFonts w:ascii="Book Antiqua" w:eastAsia="宋体" w:hAnsi="Book Antiqua" w:cs="宋体"/>
          <w:color w:val="000000"/>
          <w:sz w:val="24"/>
          <w:szCs w:val="24"/>
        </w:rPr>
        <w:t>: 2256-2263 [PMID: 21051502 DOI: 10.193/ndt/gfg664]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143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Marangella M</w:t>
      </w:r>
      <w:r w:rsidRPr="00007463">
        <w:rPr>
          <w:rFonts w:ascii="Book Antiqua" w:eastAsia="宋体" w:hAnsi="Book Antiqua" w:cs="宋体"/>
          <w:color w:val="000000"/>
          <w:sz w:val="24"/>
          <w:szCs w:val="24"/>
        </w:rPr>
        <w:t>, Fruttero B, Bruno M, Linari F. Hyperoxaluria in idiopathic calcium stone disease: further evidence of intestinal hyperabsorption of oxalate.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Sci (Lond)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63</w:t>
      </w:r>
      <w:r w:rsidRPr="00007463">
        <w:rPr>
          <w:rFonts w:ascii="Book Antiqua" w:eastAsia="宋体" w:hAnsi="Book Antiqua" w:cs="宋体"/>
          <w:color w:val="000000"/>
          <w:sz w:val="24"/>
          <w:szCs w:val="24"/>
        </w:rPr>
        <w:t>: 381-385 [PMID: 7105633]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144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Krishnamurthy MS</w:t>
      </w:r>
      <w:r w:rsidRPr="00007463">
        <w:rPr>
          <w:rFonts w:ascii="Book Antiqua" w:eastAsia="宋体" w:hAnsi="Book Antiqua" w:cs="宋体"/>
          <w:color w:val="000000"/>
          <w:sz w:val="24"/>
          <w:szCs w:val="24"/>
        </w:rPr>
        <w:t>, Hruska KA, Chandhoke PS. The urinary response to an oral oxalate load in recurrent calcium stone formers.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169</w:t>
      </w:r>
      <w:r w:rsidRPr="00007463">
        <w:rPr>
          <w:rFonts w:ascii="Book Antiqua" w:eastAsia="宋体" w:hAnsi="Book Antiqua" w:cs="宋体"/>
          <w:color w:val="000000"/>
          <w:sz w:val="24"/>
          <w:szCs w:val="24"/>
        </w:rPr>
        <w:t>: 2030-2033 [PMID: 12771711 DOI: 10.1097/01.ju.0000062527.37578.49]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145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Jaeger P</w:t>
      </w:r>
      <w:r w:rsidRPr="00007463">
        <w:rPr>
          <w:rFonts w:ascii="Book Antiqua" w:eastAsia="宋体" w:hAnsi="Book Antiqua" w:cs="宋体"/>
          <w:color w:val="000000"/>
          <w:sz w:val="24"/>
          <w:szCs w:val="24"/>
        </w:rPr>
        <w:t>, Portmann L, Jacquet AF, Burckhardt P. Influence of the calcium content of the diet on the incidence of mild hyperoxaluria in idiopathic renal stone formers.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w:t>
      </w:r>
      <w:r w:rsidRPr="00007463">
        <w:rPr>
          <w:rFonts w:ascii="Book Antiqua" w:eastAsia="宋体" w:hAnsi="Book Antiqua" w:cs="宋体"/>
          <w:color w:val="000000"/>
          <w:sz w:val="24"/>
          <w:szCs w:val="24"/>
        </w:rPr>
        <w:t>: 40-44 [PMID: 3970077 DOI: 10.1159/000166901]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146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Mitwalli A</w:t>
      </w:r>
      <w:r w:rsidRPr="00007463">
        <w:rPr>
          <w:rFonts w:ascii="Book Antiqua" w:eastAsia="宋体" w:hAnsi="Book Antiqua" w:cs="宋体"/>
          <w:color w:val="000000"/>
          <w:sz w:val="24"/>
          <w:szCs w:val="24"/>
        </w:rPr>
        <w:t>, Ayiomamitis A, Grass L, Oreopoulos DG. Control of hyperoxaluria with large doses of pyridoxine in patients with kidney stones.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Int Urol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20</w:t>
      </w:r>
      <w:r w:rsidRPr="00007463">
        <w:rPr>
          <w:rFonts w:ascii="Book Antiqua" w:eastAsia="宋体" w:hAnsi="Book Antiqua" w:cs="宋体"/>
          <w:color w:val="000000"/>
          <w:sz w:val="24"/>
          <w:szCs w:val="24"/>
        </w:rPr>
        <w:t>: 353-359 [PMID: 3170105 DOI: 10.1007/BF02549567]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147</w:t>
      </w:r>
      <w:r w:rsidRPr="00BD3013">
        <w:rPr>
          <w:rFonts w:ascii="Book Antiqua" w:hAnsi="Book Antiqua" w:cs="Arial"/>
          <w:b/>
          <w:sz w:val="24"/>
          <w:szCs w:val="24"/>
        </w:rPr>
        <w:t xml:space="preserve"> </w:t>
      </w:r>
      <w:r w:rsidRPr="00612EED">
        <w:rPr>
          <w:rFonts w:ascii="Book Antiqua" w:hAnsi="Book Antiqua" w:cs="Arial"/>
          <w:b/>
          <w:sz w:val="24"/>
          <w:szCs w:val="24"/>
        </w:rPr>
        <w:t>Ortiz-Alvarado O</w:t>
      </w:r>
      <w:r w:rsidRPr="00612EED">
        <w:rPr>
          <w:rFonts w:ascii="Book Antiqua" w:hAnsi="Book Antiqua" w:cs="Arial"/>
          <w:sz w:val="24"/>
          <w:szCs w:val="24"/>
        </w:rPr>
        <w:t>, Miyaoka R, Kriedberg C, Moeding A, Stessman M, Monga M.</w:t>
      </w:r>
      <w:r>
        <w:rPr>
          <w:rFonts w:ascii="Book Antiqua" w:hAnsi="Book Antiqua" w:cs="Arial"/>
          <w:sz w:val="24"/>
          <w:szCs w:val="24"/>
        </w:rPr>
        <w:t xml:space="preserve"> </w:t>
      </w:r>
      <w:r w:rsidRPr="00612EED">
        <w:rPr>
          <w:rFonts w:ascii="Book Antiqua" w:hAnsi="Book Antiqua" w:cs="Arial"/>
          <w:sz w:val="24"/>
          <w:szCs w:val="24"/>
        </w:rPr>
        <w:t>Pyridoxine and dietary counseling for the management of idiopathic hyperoxaluria in stone-forming patients.</w:t>
      </w:r>
      <w:r>
        <w:rPr>
          <w:rFonts w:ascii="Book Antiqua" w:hAnsi="Book Antiqua" w:cs="Arial"/>
          <w:sz w:val="24"/>
          <w:szCs w:val="24"/>
        </w:rPr>
        <w:t xml:space="preserve"> </w:t>
      </w:r>
      <w:r w:rsidRPr="00612EED">
        <w:rPr>
          <w:rFonts w:ascii="Book Antiqua" w:hAnsi="Book Antiqua" w:cs="Arial"/>
          <w:i/>
          <w:sz w:val="24"/>
          <w:szCs w:val="24"/>
        </w:rPr>
        <w:t>Urology</w:t>
      </w:r>
      <w:r w:rsidRPr="00612EED">
        <w:rPr>
          <w:rFonts w:ascii="Book Antiqua" w:hAnsi="Book Antiqua" w:cs="Arial"/>
          <w:sz w:val="24"/>
          <w:szCs w:val="24"/>
        </w:rPr>
        <w:t xml:space="preserve">. 2011; </w:t>
      </w:r>
      <w:r w:rsidRPr="00612EED">
        <w:rPr>
          <w:rFonts w:ascii="Book Antiqua" w:hAnsi="Book Antiqua" w:cs="Arial"/>
          <w:b/>
          <w:sz w:val="24"/>
          <w:szCs w:val="24"/>
        </w:rPr>
        <w:t>77</w:t>
      </w:r>
      <w:r w:rsidRPr="00612EED">
        <w:rPr>
          <w:rFonts w:ascii="Book Antiqua" w:hAnsi="Book Antiqua" w:cs="Arial"/>
          <w:sz w:val="24"/>
          <w:szCs w:val="24"/>
        </w:rPr>
        <w:t>: 1054-1058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148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Chai W</w:t>
      </w:r>
      <w:r w:rsidRPr="00007463">
        <w:rPr>
          <w:rFonts w:ascii="Book Antiqua" w:eastAsia="宋体" w:hAnsi="Book Antiqua" w:cs="宋体"/>
          <w:color w:val="000000"/>
          <w:sz w:val="24"/>
          <w:szCs w:val="24"/>
        </w:rPr>
        <w:t>, Liebman M, Kynast-Gales S, Massey L. Oxalate absorption and endogenous oxalate synthesis from ascorbate in calcium oxalate stone formers and non-stone formers.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44</w:t>
      </w:r>
      <w:r w:rsidRPr="00007463">
        <w:rPr>
          <w:rFonts w:ascii="Book Antiqua" w:eastAsia="宋体" w:hAnsi="Book Antiqua" w:cs="宋体"/>
          <w:color w:val="000000"/>
          <w:sz w:val="24"/>
          <w:szCs w:val="24"/>
        </w:rPr>
        <w:t>: 1060-1069 [PMID: 15558527 DOI: 10.1053/j.ajkd.2004.08.028]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149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Nouvenne A</w:t>
      </w:r>
      <w:r w:rsidRPr="00007463">
        <w:rPr>
          <w:rFonts w:ascii="Book Antiqua" w:eastAsia="宋体" w:hAnsi="Book Antiqua" w:cs="宋体"/>
          <w:color w:val="000000"/>
          <w:sz w:val="24"/>
          <w:szCs w:val="24"/>
        </w:rPr>
        <w:t>, Meschi T, Guerra A, Allegri F, Prati B, Fiaccadori E, Maggiore U, Borghi L. Diet to reduce mild hyperoxaluria in patients with idiopathic calcium oxalate stone formation: a pilot study.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Urology</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73</w:t>
      </w:r>
      <w:r w:rsidRPr="00007463">
        <w:rPr>
          <w:rFonts w:ascii="Book Antiqua" w:eastAsia="宋体" w:hAnsi="Book Antiqua" w:cs="宋体"/>
          <w:color w:val="000000"/>
          <w:sz w:val="24"/>
          <w:szCs w:val="24"/>
        </w:rPr>
        <w:t>: 725-30, 730.e1 [PMID: 19193409 DOI: 10.1016/j.urology.2008.11.006.]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150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Sasaki M</w:t>
      </w:r>
      <w:r w:rsidRPr="00007463">
        <w:rPr>
          <w:rFonts w:ascii="Book Antiqua" w:eastAsia="宋体" w:hAnsi="Book Antiqua" w:cs="宋体"/>
          <w:color w:val="000000"/>
          <w:sz w:val="24"/>
          <w:szCs w:val="24"/>
        </w:rPr>
        <w:t>, Murakami M, Matsuo K, Matsuo Y, Tanaka S, Ono T, Mori N. Oxalate nephropathy with a granulomatous lesion due to excessive intake of peanuts.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Exp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12</w:t>
      </w:r>
      <w:r w:rsidRPr="00007463">
        <w:rPr>
          <w:rFonts w:ascii="Book Antiqua" w:eastAsia="宋体" w:hAnsi="Book Antiqua" w:cs="宋体"/>
          <w:color w:val="000000"/>
          <w:sz w:val="24"/>
          <w:szCs w:val="24"/>
        </w:rPr>
        <w:t>: 305-308 [PMID: 18335167 DOI: 10.1007/s10157-008-0046-5]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151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Albersmeyer M</w:t>
      </w:r>
      <w:r w:rsidRPr="00007463">
        <w:rPr>
          <w:rFonts w:ascii="Book Antiqua" w:eastAsia="宋体" w:hAnsi="Book Antiqua" w:cs="宋体"/>
          <w:color w:val="000000"/>
          <w:sz w:val="24"/>
          <w:szCs w:val="24"/>
        </w:rPr>
        <w:t>, Hilge R, Schröttle A, Weiss M, Sitter T, Vielhauer V. Acute kidney injury after ingestion of rhubarb: secondary oxalate nephropathy in a patient with type 1 diabetes.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BMC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13</w:t>
      </w:r>
      <w:r w:rsidRPr="00007463">
        <w:rPr>
          <w:rFonts w:ascii="Book Antiqua" w:eastAsia="宋体" w:hAnsi="Book Antiqua" w:cs="宋体"/>
          <w:color w:val="000000"/>
          <w:sz w:val="24"/>
          <w:szCs w:val="24"/>
        </w:rPr>
        <w:t>: 141 [PMID: 23110375 DOI: 10.1186/1471-2369-13-141]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152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Kikuchi Y</w:t>
      </w:r>
      <w:r w:rsidRPr="00007463">
        <w:rPr>
          <w:rFonts w:ascii="Book Antiqua" w:eastAsia="宋体" w:hAnsi="Book Antiqua" w:cs="宋体"/>
          <w:color w:val="000000"/>
          <w:sz w:val="24"/>
          <w:szCs w:val="24"/>
        </w:rPr>
        <w:t>, Seta K, Ogawa Y, Takayama T, Nagata M, Taguchi T, Yahata K. Chaga mushroom-induced oxalate nephropathy.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81</w:t>
      </w:r>
      <w:r w:rsidRPr="00007463">
        <w:rPr>
          <w:rFonts w:ascii="Book Antiqua" w:eastAsia="宋体" w:hAnsi="Book Antiqua" w:cs="宋体"/>
          <w:color w:val="000000"/>
          <w:sz w:val="24"/>
          <w:szCs w:val="24"/>
        </w:rPr>
        <w:t>: 440-444 [PMID: 23149251]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153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Bakul G</w:t>
      </w:r>
      <w:r w:rsidRPr="00007463">
        <w:rPr>
          <w:rFonts w:ascii="Book Antiqua" w:eastAsia="宋体" w:hAnsi="Book Antiqua" w:cs="宋体"/>
          <w:color w:val="000000"/>
          <w:sz w:val="24"/>
          <w:szCs w:val="24"/>
        </w:rPr>
        <w:t>, Unni VN, Seethaleksmy NV, Mathew A, Rajesh R, Kurien G, Rajesh J, Jayaraj PM, Kishore DS, Jose PP. Acute oxalate nephropathy due to 'Averrhoa bilimbi' fruit juice ingestion.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Indian J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23</w:t>
      </w:r>
      <w:r w:rsidRPr="00007463">
        <w:rPr>
          <w:rFonts w:ascii="Book Antiqua" w:eastAsia="宋体" w:hAnsi="Book Antiqua" w:cs="宋体"/>
          <w:color w:val="000000"/>
          <w:sz w:val="24"/>
          <w:szCs w:val="24"/>
        </w:rPr>
        <w:t>: 297-300 [PMID: 23960349 DOI: 10.4103/0971-4065.114481]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154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Getting JE</w:t>
      </w:r>
      <w:r w:rsidRPr="00007463">
        <w:rPr>
          <w:rFonts w:ascii="Book Antiqua" w:eastAsia="宋体" w:hAnsi="Book Antiqua" w:cs="宋体"/>
          <w:color w:val="000000"/>
          <w:sz w:val="24"/>
          <w:szCs w:val="24"/>
        </w:rPr>
        <w:t>, Gregoire JR, Phul A, Kasten MJ. Oxalate nephropathy due to 'juicing': case report and review.</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126</w:t>
      </w:r>
      <w:r w:rsidRPr="00007463">
        <w:rPr>
          <w:rFonts w:ascii="Book Antiqua" w:eastAsia="宋体" w:hAnsi="Book Antiqua" w:cs="宋体"/>
          <w:color w:val="000000"/>
          <w:sz w:val="24"/>
          <w:szCs w:val="24"/>
        </w:rPr>
        <w:t>: 768-772 [PMID: 23830537 DOI: 10.1016/j.amjmed.2013.03.019]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155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Chen CL</w:t>
      </w:r>
      <w:r w:rsidRPr="00007463">
        <w:rPr>
          <w:rFonts w:ascii="Book Antiqua" w:eastAsia="宋体" w:hAnsi="Book Antiqua" w:cs="宋体"/>
          <w:color w:val="000000"/>
          <w:sz w:val="24"/>
          <w:szCs w:val="24"/>
        </w:rPr>
        <w:t>, Fang HC, Chou KJ, Wang JS, Chung HM. Acute oxalate nephropathy after ingestion of star fruit.</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37</w:t>
      </w:r>
      <w:r w:rsidRPr="00007463">
        <w:rPr>
          <w:rFonts w:ascii="Book Antiqua" w:eastAsia="宋体" w:hAnsi="Book Antiqua" w:cs="宋体"/>
          <w:color w:val="000000"/>
          <w:sz w:val="24"/>
          <w:szCs w:val="24"/>
        </w:rPr>
        <w:t>: 418-422 [PMID: 11157385 DOI: 10.1053.ajkd.2001.21333]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156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Niticharoenpong K</w:t>
      </w:r>
      <w:r w:rsidRPr="00007463">
        <w:rPr>
          <w:rFonts w:ascii="Book Antiqua" w:eastAsia="宋体" w:hAnsi="Book Antiqua" w:cs="宋体"/>
          <w:color w:val="000000"/>
          <w:sz w:val="24"/>
          <w:szCs w:val="24"/>
        </w:rPr>
        <w:t>, Chalermsanyakorn P, Panvichian R, Kitiyakara C. Acute deterioration of renal function induced by star fruit ingestion in a patient with chronic kidney disease.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Nephrol</w:t>
      </w:r>
      <w:r w:rsidRPr="00417179">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2006</w:t>
      </w:r>
      <w:r w:rsidRPr="00007463">
        <w:rPr>
          <w:rFonts w:ascii="Book Antiqua" w:eastAsia="宋体" w:hAnsi="Book Antiqua" w:cs="宋体"/>
          <w:color w:val="000000"/>
          <w:sz w:val="24"/>
          <w:szCs w:val="24"/>
        </w:rPr>
        <w:t>;</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19</w:t>
      </w:r>
      <w:r w:rsidRPr="00007463">
        <w:rPr>
          <w:rFonts w:ascii="Book Antiqua" w:eastAsia="宋体" w:hAnsi="Book Antiqua" w:cs="宋体"/>
          <w:color w:val="000000"/>
          <w:sz w:val="24"/>
          <w:szCs w:val="24"/>
        </w:rPr>
        <w:t>: 682-686 [PMID: 17136702]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157</w:t>
      </w:r>
      <w:r>
        <w:rPr>
          <w:rFonts w:ascii="Book Antiqua" w:eastAsia="宋体" w:hAnsi="Book Antiqua" w:cs="宋体" w:hint="eastAsia"/>
          <w:color w:val="000000"/>
          <w:sz w:val="24"/>
          <w:szCs w:val="24"/>
        </w:rPr>
        <w:t xml:space="preserve"> </w:t>
      </w:r>
      <w:r w:rsidRPr="00007463">
        <w:rPr>
          <w:rFonts w:ascii="Book Antiqua" w:eastAsia="宋体" w:hAnsi="Book Antiqua" w:cs="宋体"/>
          <w:b/>
          <w:color w:val="000000"/>
          <w:sz w:val="24"/>
          <w:szCs w:val="24"/>
        </w:rPr>
        <w:t>Neto MM</w:t>
      </w:r>
      <w:r w:rsidRPr="00007463">
        <w:rPr>
          <w:rFonts w:ascii="Book Antiqua" w:eastAsia="宋体" w:hAnsi="Book Antiqua" w:cs="宋体"/>
          <w:color w:val="000000"/>
          <w:sz w:val="24"/>
          <w:szCs w:val="24"/>
        </w:rPr>
        <w:t xml:space="preserve">, Silva GEB, Costa RS, Osvaldo M, Neto V, Garcia-Cairasco N, Lopez NB, Haendchen PFC, Silveira C, Mendes AR, Filho RR, Pantes M. Star fruit: simultaneous neurotoxic and nephrotoxic effects in people with previously normal renal function. </w:t>
      </w:r>
      <w:r w:rsidRPr="00007463">
        <w:rPr>
          <w:rFonts w:ascii="Book Antiqua" w:eastAsia="宋体" w:hAnsi="Book Antiqua" w:cs="宋体"/>
          <w:i/>
          <w:color w:val="000000"/>
          <w:sz w:val="24"/>
          <w:szCs w:val="24"/>
        </w:rPr>
        <w:t>NDT Plus</w:t>
      </w:r>
      <w:r w:rsidRPr="00007463">
        <w:rPr>
          <w:rFonts w:ascii="Book Antiqua" w:eastAsia="宋体" w:hAnsi="Book Antiqua" w:cs="宋体"/>
          <w:color w:val="000000"/>
          <w:sz w:val="24"/>
          <w:szCs w:val="24"/>
        </w:rPr>
        <w:t xml:space="preserve"> 2009; </w:t>
      </w:r>
      <w:r w:rsidRPr="00007463">
        <w:rPr>
          <w:rFonts w:ascii="Book Antiqua" w:eastAsia="宋体" w:hAnsi="Book Antiqua" w:cs="宋体"/>
          <w:b/>
          <w:color w:val="000000"/>
          <w:sz w:val="24"/>
          <w:szCs w:val="24"/>
        </w:rPr>
        <w:t>2</w:t>
      </w:r>
      <w:r w:rsidRPr="00007463">
        <w:rPr>
          <w:rFonts w:ascii="Book Antiqua" w:eastAsia="宋体" w:hAnsi="Book Antiqua" w:cs="宋体"/>
          <w:color w:val="000000"/>
          <w:sz w:val="24"/>
          <w:szCs w:val="24"/>
        </w:rPr>
        <w:t>: 485-488. [DOI: 10.1093ndtplus/sfp108]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158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Su YJ</w:t>
      </w:r>
      <w:r w:rsidRPr="00007463">
        <w:rPr>
          <w:rFonts w:ascii="Book Antiqua" w:eastAsia="宋体" w:hAnsi="Book Antiqua" w:cs="宋体"/>
          <w:color w:val="000000"/>
          <w:sz w:val="24"/>
          <w:szCs w:val="24"/>
        </w:rPr>
        <w:t>, Lee CH, Huang SC, Chuang FR. Quiz page April 2011. A woman with oliguria. Acute oxalate nephropathy caused by excess intake of pure carambola juice.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57</w:t>
      </w:r>
      <w:r w:rsidRPr="00007463">
        <w:rPr>
          <w:rFonts w:ascii="Book Antiqua" w:eastAsia="宋体" w:hAnsi="Book Antiqua" w:cs="宋体"/>
          <w:color w:val="000000"/>
          <w:sz w:val="24"/>
          <w:szCs w:val="24"/>
        </w:rPr>
        <w:t>: A23-A25 [PMID: 21421133 DOI: 10.1053/j.ajkd.2010.11.023]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159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Chang JM</w:t>
      </w:r>
      <w:r w:rsidRPr="00007463">
        <w:rPr>
          <w:rFonts w:ascii="Book Antiqua" w:eastAsia="宋体" w:hAnsi="Book Antiqua" w:cs="宋体"/>
          <w:color w:val="000000"/>
          <w:sz w:val="24"/>
          <w:szCs w:val="24"/>
        </w:rPr>
        <w:t>, Hwang SJ, Kuo HT, Tsai JC, Guh JY, Chen HC, Tsai JH, Lai YH. Fatal outcome after ingestion of star fruit (Averrhoa carambola) in uremic patients.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35</w:t>
      </w:r>
      <w:r w:rsidRPr="00007463">
        <w:rPr>
          <w:rFonts w:ascii="Book Antiqua" w:eastAsia="宋体" w:hAnsi="Book Antiqua" w:cs="宋体"/>
          <w:color w:val="000000"/>
          <w:sz w:val="24"/>
          <w:szCs w:val="24"/>
        </w:rPr>
        <w:t>: 189-193 [PMID: 10676715 DOI: 10.1016/S0272-6386(00)70325-8]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160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Tse KC</w:t>
      </w:r>
      <w:r w:rsidRPr="00007463">
        <w:rPr>
          <w:rFonts w:ascii="Book Antiqua" w:eastAsia="宋体" w:hAnsi="Book Antiqua" w:cs="宋体"/>
          <w:color w:val="000000"/>
          <w:sz w:val="24"/>
          <w:szCs w:val="24"/>
        </w:rPr>
        <w:t>, Yip PS, Lam MF, Choy BY, Li FK, Lui SL, Lo WK, Chan TM, Lai KN. Star fruit intoxication in uraemic patients: case series and review of the literature.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Intern Med J</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33</w:t>
      </w:r>
      <w:r w:rsidRPr="00007463">
        <w:rPr>
          <w:rFonts w:ascii="Book Antiqua" w:eastAsia="宋体" w:hAnsi="Book Antiqua" w:cs="宋体"/>
          <w:color w:val="000000"/>
          <w:sz w:val="24"/>
          <w:szCs w:val="24"/>
        </w:rPr>
        <w:t>: 314-316 [PMID: 12823678 DOI: 10.1046/j.1445-5994.2003.00402.x]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161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Neto MM</w:t>
      </w:r>
      <w:r w:rsidRPr="00007463">
        <w:rPr>
          <w:rFonts w:ascii="Book Antiqua" w:eastAsia="宋体" w:hAnsi="Book Antiqua" w:cs="宋体"/>
          <w:color w:val="000000"/>
          <w:sz w:val="24"/>
          <w:szCs w:val="24"/>
        </w:rPr>
        <w:t>, da Costa JA, Garcia-Cairasco N, Netto JC, Nakagawa B, Dantas M. Intoxication by star fruit (Averrhoa carambola) in 32 uraemic patients: treatment and outcome.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 Dial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18</w:t>
      </w:r>
      <w:r w:rsidRPr="00007463">
        <w:rPr>
          <w:rFonts w:ascii="Book Antiqua" w:eastAsia="宋体" w:hAnsi="Book Antiqua" w:cs="宋体"/>
          <w:color w:val="000000"/>
          <w:sz w:val="24"/>
          <w:szCs w:val="24"/>
        </w:rPr>
        <w:t>: 120-125 [PMID: 12480969 DOI: 1093/ndt.18.1.120]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162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Signaté A</w:t>
      </w:r>
      <w:r w:rsidRPr="00007463">
        <w:rPr>
          <w:rFonts w:ascii="Book Antiqua" w:eastAsia="宋体" w:hAnsi="Book Antiqua" w:cs="宋体"/>
          <w:color w:val="000000"/>
          <w:sz w:val="24"/>
          <w:szCs w:val="24"/>
        </w:rPr>
        <w:t>, Olindo S, Chausson N, Cassinoto C, Edimo Nana M, Saint Vil M, Cabre P, Smadja D. [Star fruit (Averrhoa carambola) toxic encephalopathy].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Rev Neurol (Paris)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165</w:t>
      </w:r>
      <w:r w:rsidRPr="00007463">
        <w:rPr>
          <w:rFonts w:ascii="Book Antiqua" w:eastAsia="宋体" w:hAnsi="Book Antiqua" w:cs="宋体"/>
          <w:color w:val="000000"/>
          <w:sz w:val="24"/>
          <w:szCs w:val="24"/>
        </w:rPr>
        <w:t>: 268-272 [PMID: 18755486 DOI: 10.1016/j.neurol.2008.06.011]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163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Auxiliadora-Martins M</w:t>
      </w:r>
      <w:r w:rsidRPr="00007463">
        <w:rPr>
          <w:rFonts w:ascii="Book Antiqua" w:eastAsia="宋体" w:hAnsi="Book Antiqua" w:cs="宋体"/>
          <w:color w:val="000000"/>
          <w:sz w:val="24"/>
          <w:szCs w:val="24"/>
        </w:rPr>
        <w:t xml:space="preserve">, Alkmin Teixeira GC, da Silva GS, Viana JM, Nicolini EA, Martins-Filho OA, Basile-Filho A. Severe encephalopathy after ingestion of star fruit </w:t>
      </w:r>
      <w:r w:rsidRPr="00007463">
        <w:rPr>
          <w:rFonts w:ascii="Book Antiqua" w:eastAsia="宋体" w:hAnsi="Book Antiqua" w:cs="宋体"/>
          <w:color w:val="000000"/>
          <w:sz w:val="24"/>
          <w:szCs w:val="24"/>
        </w:rPr>
        <w:lastRenderedPageBreak/>
        <w:t>juice in a patient with chronic renal failure admitted to the intensive care unit.</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Heart Lung</w:t>
      </w:r>
      <w:r w:rsidRPr="00417179">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2010</w:t>
      </w:r>
      <w:r w:rsidRPr="00007463">
        <w:rPr>
          <w:rFonts w:ascii="Book Antiqua" w:eastAsia="宋体" w:hAnsi="Book Antiqua" w:cs="宋体"/>
          <w:color w:val="000000"/>
          <w:sz w:val="24"/>
          <w:szCs w:val="24"/>
        </w:rPr>
        <w:t>;</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39</w:t>
      </w:r>
      <w:r w:rsidRPr="00007463">
        <w:rPr>
          <w:rFonts w:ascii="Book Antiqua" w:eastAsia="宋体" w:hAnsi="Book Antiqua" w:cs="宋体"/>
          <w:color w:val="000000"/>
          <w:sz w:val="24"/>
          <w:szCs w:val="24"/>
        </w:rPr>
        <w:t>: 448-452 [PMID: 20561840 DOI: 10.1016/j.hrtlng.2009.09.003]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164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Fang HC</w:t>
      </w:r>
      <w:r w:rsidRPr="00007463">
        <w:rPr>
          <w:rFonts w:ascii="Book Antiqua" w:eastAsia="宋体" w:hAnsi="Book Antiqua" w:cs="宋体"/>
          <w:color w:val="000000"/>
          <w:sz w:val="24"/>
          <w:szCs w:val="24"/>
        </w:rPr>
        <w:t>, Chen CL, Wang JS, Chou KJ, Chiou YS, Lee PT, Yeh JH, Yeh MY, Chung HM. Acute oxalate nephropathy induced by star fruit in rats.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38</w:t>
      </w:r>
      <w:r w:rsidRPr="00007463">
        <w:rPr>
          <w:rFonts w:ascii="Book Antiqua" w:eastAsia="宋体" w:hAnsi="Book Antiqua" w:cs="宋体"/>
          <w:color w:val="000000"/>
          <w:sz w:val="24"/>
          <w:szCs w:val="24"/>
        </w:rPr>
        <w:t>: 876-880 [PMID: 11576894 DOI: 10.1053/ajkd.2001.27710]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165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Fang HC</w:t>
      </w:r>
      <w:r w:rsidRPr="00007463">
        <w:rPr>
          <w:rFonts w:ascii="Book Antiqua" w:eastAsia="宋体" w:hAnsi="Book Antiqua" w:cs="宋体"/>
          <w:color w:val="000000"/>
          <w:sz w:val="24"/>
          <w:szCs w:val="24"/>
        </w:rPr>
        <w:t>, Lee PT, Lu PJ, Chen CL, Chang TY, Hsu CY, Chung HM, Chou KJ. Mechanisms of star fruit-induced acute renal failure.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Food Chem Toxicol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46</w:t>
      </w:r>
      <w:r w:rsidRPr="00007463">
        <w:rPr>
          <w:rFonts w:ascii="Book Antiqua" w:eastAsia="宋体" w:hAnsi="Book Antiqua" w:cs="宋体"/>
          <w:color w:val="000000"/>
          <w:sz w:val="24"/>
          <w:szCs w:val="24"/>
        </w:rPr>
        <w:t>: 1744-1752 [PMID: 18294746 DOI: 10.1016/j.fct.2008.01.016]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166</w:t>
      </w:r>
      <w:r w:rsidRPr="00007463">
        <w:rPr>
          <w:rFonts w:ascii="Book Antiqua" w:eastAsia="宋体" w:hAnsi="Book Antiqua" w:cs="宋体"/>
          <w:b/>
          <w:color w:val="000000"/>
          <w:sz w:val="24"/>
          <w:szCs w:val="24"/>
        </w:rPr>
        <w:t xml:space="preserve"> Chai W</w:t>
      </w:r>
      <w:r w:rsidRPr="00007463">
        <w:rPr>
          <w:rFonts w:ascii="Book Antiqua" w:eastAsia="宋体" w:hAnsi="Book Antiqua" w:cs="宋体"/>
          <w:color w:val="000000"/>
          <w:sz w:val="24"/>
          <w:szCs w:val="24"/>
        </w:rPr>
        <w:t xml:space="preserve">, Liebman M. Oxalate content of legumes, nuts, and grain-based flours. </w:t>
      </w:r>
      <w:r w:rsidRPr="00007463">
        <w:rPr>
          <w:rFonts w:ascii="Book Antiqua" w:eastAsia="宋体" w:hAnsi="Book Antiqua" w:cs="宋体"/>
          <w:i/>
          <w:color w:val="000000"/>
          <w:sz w:val="24"/>
          <w:szCs w:val="24"/>
        </w:rPr>
        <w:t>J Food Comp Analysis</w:t>
      </w:r>
      <w:r w:rsidRPr="00007463">
        <w:rPr>
          <w:rFonts w:ascii="Book Antiqua" w:eastAsia="宋体" w:hAnsi="Book Antiqua" w:cs="宋体"/>
          <w:color w:val="000000"/>
          <w:sz w:val="24"/>
          <w:szCs w:val="24"/>
        </w:rPr>
        <w:t xml:space="preserve"> 2005; </w:t>
      </w:r>
      <w:r w:rsidRPr="00007463">
        <w:rPr>
          <w:rFonts w:ascii="Book Antiqua" w:eastAsia="宋体" w:hAnsi="Book Antiqua" w:cs="宋体"/>
          <w:b/>
          <w:color w:val="000000"/>
          <w:sz w:val="24"/>
          <w:szCs w:val="24"/>
        </w:rPr>
        <w:t>18</w:t>
      </w:r>
      <w:r w:rsidRPr="00007463">
        <w:rPr>
          <w:rFonts w:ascii="Book Antiqua" w:eastAsia="宋体" w:hAnsi="Book Antiqua" w:cs="宋体"/>
          <w:color w:val="000000"/>
          <w:sz w:val="24"/>
          <w:szCs w:val="24"/>
        </w:rPr>
        <w:t>: 723-729 [DOI: 10.1016/j.jfca.2004.07.001]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167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Massey LK</w:t>
      </w:r>
      <w:r w:rsidRPr="00007463">
        <w:rPr>
          <w:rFonts w:ascii="Book Antiqua" w:eastAsia="宋体" w:hAnsi="Book Antiqua" w:cs="宋体"/>
          <w:color w:val="000000"/>
          <w:sz w:val="24"/>
          <w:szCs w:val="24"/>
        </w:rPr>
        <w:t>. Food oxalate: factors affecting measurement, biological variation, and bioavailability.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Diet Assoc</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107</w:t>
      </w:r>
      <w:r w:rsidRPr="00007463">
        <w:rPr>
          <w:rFonts w:ascii="Book Antiqua" w:eastAsia="宋体" w:hAnsi="Book Antiqua" w:cs="宋体"/>
          <w:color w:val="000000"/>
          <w:sz w:val="24"/>
          <w:szCs w:val="24"/>
        </w:rPr>
        <w:t>: 1191-114; quiz 1191-114; [PMID: 17604750 DOI: 10.1016/j/jada.2007.04.007]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168</w:t>
      </w:r>
      <w:r w:rsidRPr="00443C9B">
        <w:rPr>
          <w:rFonts w:ascii="Book Antiqua" w:eastAsia="宋体" w:hAnsi="Book Antiqua" w:cs="宋体" w:hint="eastAsia"/>
          <w:b/>
          <w:color w:val="000000"/>
          <w:sz w:val="24"/>
          <w:szCs w:val="24"/>
        </w:rPr>
        <w:t xml:space="preserve"> </w:t>
      </w:r>
      <w:r w:rsidRPr="00007463">
        <w:rPr>
          <w:rFonts w:ascii="Book Antiqua" w:eastAsia="宋体" w:hAnsi="Book Antiqua" w:cs="宋体"/>
          <w:b/>
          <w:color w:val="000000"/>
          <w:sz w:val="24"/>
          <w:szCs w:val="24"/>
        </w:rPr>
        <w:t>Nguy</w:t>
      </w:r>
      <w:r w:rsidRPr="00443C9B">
        <w:rPr>
          <w:rFonts w:ascii="Book Antiqua" w:hAnsi="Book Antiqua" w:cs="Arial"/>
          <w:b/>
          <w:sz w:val="24"/>
          <w:szCs w:val="24"/>
        </w:rPr>
        <w:t>ê</w:t>
      </w:r>
      <w:r w:rsidRPr="00007463">
        <w:rPr>
          <w:rFonts w:ascii="Book Antiqua" w:eastAsia="宋体" w:hAnsi="Book Antiqua" w:cs="宋体"/>
          <w:b/>
          <w:color w:val="000000"/>
          <w:sz w:val="24"/>
          <w:szCs w:val="24"/>
        </w:rPr>
        <w:t>n HVH</w:t>
      </w:r>
      <w:r w:rsidRPr="00007463">
        <w:rPr>
          <w:rFonts w:ascii="Book Antiqua" w:eastAsia="宋体" w:hAnsi="Book Antiqua" w:cs="宋体"/>
          <w:color w:val="000000"/>
          <w:sz w:val="24"/>
          <w:szCs w:val="24"/>
        </w:rPr>
        <w:t xml:space="preserve">, Savage GP. Oxalate content of New Zealand grown and imported fruits. </w:t>
      </w:r>
      <w:r w:rsidRPr="00007463">
        <w:rPr>
          <w:rFonts w:ascii="Book Antiqua" w:eastAsia="宋体" w:hAnsi="Book Antiqua" w:cs="宋体"/>
          <w:i/>
          <w:color w:val="000000"/>
          <w:sz w:val="24"/>
          <w:szCs w:val="24"/>
        </w:rPr>
        <w:t>J Food Comp Analysis</w:t>
      </w:r>
      <w:r w:rsidRPr="00007463">
        <w:rPr>
          <w:rFonts w:ascii="Book Antiqua" w:eastAsia="宋体" w:hAnsi="Book Antiqua" w:cs="宋体"/>
          <w:color w:val="000000"/>
          <w:sz w:val="24"/>
          <w:szCs w:val="24"/>
        </w:rPr>
        <w:t xml:space="preserve"> 2013; </w:t>
      </w:r>
      <w:r w:rsidRPr="00007463">
        <w:rPr>
          <w:rFonts w:ascii="Book Antiqua" w:eastAsia="宋体" w:hAnsi="Book Antiqua" w:cs="宋体"/>
          <w:b/>
          <w:color w:val="000000"/>
          <w:sz w:val="24"/>
          <w:szCs w:val="24"/>
        </w:rPr>
        <w:t>31</w:t>
      </w:r>
      <w:r w:rsidRPr="00007463">
        <w:rPr>
          <w:rFonts w:ascii="Book Antiqua" w:eastAsia="宋体" w:hAnsi="Book Antiqua" w:cs="宋体"/>
          <w:color w:val="000000"/>
          <w:sz w:val="24"/>
          <w:szCs w:val="24"/>
        </w:rPr>
        <w:t>: 180-184 [DOI: 10.1016/j.fca.2013.06.001]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169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Chalmers AH</w:t>
      </w:r>
      <w:r w:rsidRPr="00007463">
        <w:rPr>
          <w:rFonts w:ascii="Book Antiqua" w:eastAsia="宋体" w:hAnsi="Book Antiqua" w:cs="宋体"/>
          <w:color w:val="000000"/>
          <w:sz w:val="24"/>
          <w:szCs w:val="24"/>
        </w:rPr>
        <w:t>, Cowley DM, Brown JM. A possible etiological role for ascorbate in calculi formation.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Chem</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32</w:t>
      </w:r>
      <w:r w:rsidRPr="00007463">
        <w:rPr>
          <w:rFonts w:ascii="Book Antiqua" w:eastAsia="宋体" w:hAnsi="Book Antiqua" w:cs="宋体"/>
          <w:color w:val="000000"/>
          <w:sz w:val="24"/>
          <w:szCs w:val="24"/>
        </w:rPr>
        <w:t>: 333-336 [PMID: 3943193]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170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Curhan GC</w:t>
      </w:r>
      <w:r w:rsidRPr="00007463">
        <w:rPr>
          <w:rFonts w:ascii="Book Antiqua" w:eastAsia="宋体" w:hAnsi="Book Antiqua" w:cs="宋体"/>
          <w:color w:val="000000"/>
          <w:sz w:val="24"/>
          <w:szCs w:val="24"/>
        </w:rPr>
        <w:t>, Willett WC, Speizer FE, Stampfer MJ. Intake of vitamins B6 and C and the risk of kidney stones in women.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10</w:t>
      </w:r>
      <w:r w:rsidRPr="00007463">
        <w:rPr>
          <w:rFonts w:ascii="Book Antiqua" w:eastAsia="宋体" w:hAnsi="Book Antiqua" w:cs="宋体"/>
          <w:color w:val="000000"/>
          <w:sz w:val="24"/>
          <w:szCs w:val="24"/>
        </w:rPr>
        <w:t>: 840-845 [PMID: 10203369]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171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Ramaswamy CR</w:t>
      </w:r>
      <w:r w:rsidRPr="00007463">
        <w:rPr>
          <w:rFonts w:ascii="Book Antiqua" w:eastAsia="宋体" w:hAnsi="Book Antiqua" w:cs="宋体"/>
          <w:color w:val="000000"/>
          <w:sz w:val="24"/>
          <w:szCs w:val="24"/>
        </w:rPr>
        <w:t>, Williams JD, Griffiths DF. Reversible acute renal failure with calcium oxalate cast nephropathy--possible role of ascorbic acid.</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 Dial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w:t>
      </w:r>
      <w:r w:rsidRPr="00007463">
        <w:rPr>
          <w:rFonts w:ascii="Book Antiqua" w:eastAsia="宋体" w:hAnsi="Book Antiqua" w:cs="宋体"/>
          <w:color w:val="000000"/>
          <w:sz w:val="24"/>
          <w:szCs w:val="24"/>
        </w:rPr>
        <w:t>: 1387-1389 [PMID: 8159311]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172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Auer BL</w:t>
      </w:r>
      <w:r w:rsidRPr="00007463">
        <w:rPr>
          <w:rFonts w:ascii="Book Antiqua" w:eastAsia="宋体" w:hAnsi="Book Antiqua" w:cs="宋体"/>
          <w:color w:val="000000"/>
          <w:sz w:val="24"/>
          <w:szCs w:val="24"/>
        </w:rPr>
        <w:t>, Auer D, Rodgers AL. Relative hyperoxaluria, crystalluria and haematuria after megadose ingestion of vitamin C.</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Eur J Clin Invest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28</w:t>
      </w:r>
      <w:r w:rsidRPr="00007463">
        <w:rPr>
          <w:rFonts w:ascii="Book Antiqua" w:eastAsia="宋体" w:hAnsi="Book Antiqua" w:cs="宋体"/>
          <w:color w:val="000000"/>
          <w:sz w:val="24"/>
          <w:szCs w:val="24"/>
        </w:rPr>
        <w:t>: 695-700 [PMID: 9767367 DOI: 10.1046/j.1365-2362.1998.0349x]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173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Mashour S</w:t>
      </w:r>
      <w:r w:rsidRPr="00007463">
        <w:rPr>
          <w:rFonts w:ascii="Book Antiqua" w:eastAsia="宋体" w:hAnsi="Book Antiqua" w:cs="宋体"/>
          <w:color w:val="000000"/>
          <w:sz w:val="24"/>
          <w:szCs w:val="24"/>
        </w:rPr>
        <w:t>, Turner JF, Merrell R. Acute renal failure, oxalosis, and vitamin C supplementation: a case report and review of the literature.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Chest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118</w:t>
      </w:r>
      <w:r w:rsidRPr="00007463">
        <w:rPr>
          <w:rFonts w:ascii="Book Antiqua" w:eastAsia="宋体" w:hAnsi="Book Antiqua" w:cs="宋体"/>
          <w:color w:val="000000"/>
          <w:sz w:val="24"/>
          <w:szCs w:val="24"/>
        </w:rPr>
        <w:t>: 561-563 [PMID: 10936161 DOI: 10.1378/chest.1182.561]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174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Nasr SH</w:t>
      </w:r>
      <w:r w:rsidRPr="00007463">
        <w:rPr>
          <w:rFonts w:ascii="Book Antiqua" w:eastAsia="宋体" w:hAnsi="Book Antiqua" w:cs="宋体"/>
          <w:color w:val="000000"/>
          <w:sz w:val="24"/>
          <w:szCs w:val="24"/>
        </w:rPr>
        <w:t>, Kashtanova Y, Levchuk V, Markowitz GS. Secondary oxalosis due to excess vitamin C intake.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70</w:t>
      </w:r>
      <w:r w:rsidRPr="00007463">
        <w:rPr>
          <w:rFonts w:ascii="Book Antiqua" w:eastAsia="宋体" w:hAnsi="Book Antiqua" w:cs="宋体"/>
          <w:color w:val="000000"/>
          <w:sz w:val="24"/>
          <w:szCs w:val="24"/>
        </w:rPr>
        <w:t>: 1672 [PMID: 17080154 DOI: 10.1038/sj.ki.5001724]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175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Rathi S</w:t>
      </w:r>
      <w:r w:rsidRPr="00007463">
        <w:rPr>
          <w:rFonts w:ascii="Book Antiqua" w:eastAsia="宋体" w:hAnsi="Book Antiqua" w:cs="宋体"/>
          <w:color w:val="000000"/>
          <w:sz w:val="24"/>
          <w:szCs w:val="24"/>
        </w:rPr>
        <w:t>, Kern W, Lau K. Vitamin C-induced hyperoxaluria causing reversible tubulointerstitial nephritis and chronic renal failure: a case report.</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Med Case Rep</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w:t>
      </w:r>
      <w:r w:rsidRPr="00007463">
        <w:rPr>
          <w:rFonts w:ascii="Book Antiqua" w:eastAsia="宋体" w:hAnsi="Book Antiqua" w:cs="宋体"/>
          <w:color w:val="000000"/>
          <w:sz w:val="24"/>
          <w:szCs w:val="24"/>
        </w:rPr>
        <w:t>: 155 [PMID: 18042297 DOI: 10.1186/1752-1947-1-155]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176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McHugh GJ</w:t>
      </w:r>
      <w:r w:rsidRPr="00007463">
        <w:rPr>
          <w:rFonts w:ascii="Book Antiqua" w:eastAsia="宋体" w:hAnsi="Book Antiqua" w:cs="宋体"/>
          <w:color w:val="000000"/>
          <w:sz w:val="24"/>
          <w:szCs w:val="24"/>
        </w:rPr>
        <w:t>, Graber ML, Freebairn RC. Fatal vitamin C-associated acute renal failure.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Anaesth Intensive Care</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36</w:t>
      </w:r>
      <w:r w:rsidRPr="00007463">
        <w:rPr>
          <w:rFonts w:ascii="Book Antiqua" w:eastAsia="宋体" w:hAnsi="Book Antiqua" w:cs="宋体"/>
          <w:color w:val="000000"/>
          <w:sz w:val="24"/>
          <w:szCs w:val="24"/>
        </w:rPr>
        <w:t>: 585-588 [PMID: 18714631]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177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Lamarche J</w:t>
      </w:r>
      <w:r w:rsidRPr="00007463">
        <w:rPr>
          <w:rFonts w:ascii="Book Antiqua" w:eastAsia="宋体" w:hAnsi="Book Antiqua" w:cs="宋体"/>
          <w:color w:val="000000"/>
          <w:sz w:val="24"/>
          <w:szCs w:val="24"/>
        </w:rPr>
        <w:t>, Nair R, Peguero A, Courville C. Vitamin C-induced oxalate nephropathy.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Int J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2011</w:t>
      </w:r>
      <w:r w:rsidRPr="00007463">
        <w:rPr>
          <w:rFonts w:ascii="Book Antiqua" w:eastAsia="宋体" w:hAnsi="Book Antiqua" w:cs="宋体"/>
          <w:color w:val="000000"/>
          <w:sz w:val="24"/>
          <w:szCs w:val="24"/>
        </w:rPr>
        <w:t>: 146927 [PMID: 21603151 DOI: 10.4061/2011/146927]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178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Gurm H</w:t>
      </w:r>
      <w:r w:rsidRPr="00007463">
        <w:rPr>
          <w:rFonts w:ascii="Book Antiqua" w:eastAsia="宋体" w:hAnsi="Book Antiqua" w:cs="宋体"/>
          <w:color w:val="000000"/>
          <w:sz w:val="24"/>
          <w:szCs w:val="24"/>
        </w:rPr>
        <w:t>, Sheta MA, Nivera N, Tunkel A. Vitamin C-induced oxalate nephropathy: a case report.</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Community Hosp Intern Med Perspect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w:t>
      </w:r>
      <w:r w:rsidRPr="00007463">
        <w:rPr>
          <w:rFonts w:ascii="Book Antiqua" w:eastAsia="宋体" w:hAnsi="Book Antiqua" w:cs="宋体"/>
          <w:color w:val="000000"/>
          <w:sz w:val="24"/>
          <w:szCs w:val="24"/>
        </w:rPr>
        <w:t>: [PMID: 23882371 DOI: 10.3402/jchimp.v2i2.17718]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179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Swartz RD</w:t>
      </w:r>
      <w:r w:rsidRPr="00007463">
        <w:rPr>
          <w:rFonts w:ascii="Book Antiqua" w:eastAsia="宋体" w:hAnsi="Book Antiqua" w:cs="宋体"/>
          <w:color w:val="000000"/>
          <w:sz w:val="24"/>
          <w:szCs w:val="24"/>
        </w:rPr>
        <w:t>, Wesley JR, Somermeyer MG, Lau K. Hyperoxaluria and renal insufficiency due to ascorbic acid administration during total parenteral nutrition.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Ann Intern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100</w:t>
      </w:r>
      <w:r w:rsidRPr="00007463">
        <w:rPr>
          <w:rFonts w:ascii="Book Antiqua" w:eastAsia="宋体" w:hAnsi="Book Antiqua" w:cs="宋体"/>
          <w:color w:val="000000"/>
          <w:sz w:val="24"/>
          <w:szCs w:val="24"/>
        </w:rPr>
        <w:t>: 530-531 [PMID: 6422817 DOI: 10.7326/003-4819-100-4-530]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180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Lawton JM</w:t>
      </w:r>
      <w:r w:rsidRPr="00007463">
        <w:rPr>
          <w:rFonts w:ascii="Book Antiqua" w:eastAsia="宋体" w:hAnsi="Book Antiqua" w:cs="宋体"/>
          <w:color w:val="000000"/>
          <w:sz w:val="24"/>
          <w:szCs w:val="24"/>
        </w:rPr>
        <w:t>, Conway LT, Crosson JT, Smith CL, Abraham PA. Acute oxalate nephropathy after massive ascorbic acid administration.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Arch Intern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145</w:t>
      </w:r>
      <w:r w:rsidRPr="00007463">
        <w:rPr>
          <w:rFonts w:ascii="Book Antiqua" w:eastAsia="宋体" w:hAnsi="Book Antiqua" w:cs="宋体"/>
          <w:color w:val="000000"/>
          <w:sz w:val="24"/>
          <w:szCs w:val="24"/>
        </w:rPr>
        <w:t>: 950-951 [PMID: 3994472 DOI: 10.1001/archinte.1985.00360050220044]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181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Wong K</w:t>
      </w:r>
      <w:r w:rsidRPr="00007463">
        <w:rPr>
          <w:rFonts w:ascii="Book Antiqua" w:eastAsia="宋体" w:hAnsi="Book Antiqua" w:cs="宋体"/>
          <w:color w:val="000000"/>
          <w:sz w:val="24"/>
          <w:szCs w:val="24"/>
        </w:rPr>
        <w:t>, Thomson C, Bailey RR, McDiarmid S, Gardner J. Acute oxalate nephropathy after a massive intravenous dose of vitamin C.</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Aust N Z J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24</w:t>
      </w:r>
      <w:r w:rsidRPr="00007463">
        <w:rPr>
          <w:rFonts w:ascii="Book Antiqua" w:eastAsia="宋体" w:hAnsi="Book Antiqua" w:cs="宋体"/>
          <w:color w:val="000000"/>
          <w:sz w:val="24"/>
          <w:szCs w:val="24"/>
        </w:rPr>
        <w:t>: 410-411 [PMID: 7980244 DOI: 10.1111/j.1445-5994.1994.tb601477.x]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182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Alkhunaizi AM</w:t>
      </w:r>
      <w:r w:rsidRPr="00007463">
        <w:rPr>
          <w:rFonts w:ascii="Book Antiqua" w:eastAsia="宋体" w:hAnsi="Book Antiqua" w:cs="宋体"/>
          <w:color w:val="000000"/>
          <w:sz w:val="24"/>
          <w:szCs w:val="24"/>
        </w:rPr>
        <w:t>, Chan L. Secondary oxalosis: a cause of delayed recovery of renal function in the setting of acute renal failure.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w:t>
      </w:r>
      <w:r w:rsidRPr="00007463">
        <w:rPr>
          <w:rFonts w:ascii="Book Antiqua" w:eastAsia="宋体" w:hAnsi="Book Antiqua" w:cs="宋体"/>
          <w:color w:val="000000"/>
          <w:sz w:val="24"/>
          <w:szCs w:val="24"/>
        </w:rPr>
        <w:t>: 2320-2326 [PMID: 8959621]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183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Cossey LN</w:t>
      </w:r>
      <w:r w:rsidRPr="00007463">
        <w:rPr>
          <w:rFonts w:ascii="Book Antiqua" w:eastAsia="宋体" w:hAnsi="Book Antiqua" w:cs="宋体"/>
          <w:color w:val="000000"/>
          <w:sz w:val="24"/>
          <w:szCs w:val="24"/>
        </w:rPr>
        <w:t>, Rahim F, Larsen CP. Oxalate nephropathy and intravenous vitamin C.</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61</w:t>
      </w:r>
      <w:r w:rsidRPr="00007463">
        <w:rPr>
          <w:rFonts w:ascii="Book Antiqua" w:eastAsia="宋体" w:hAnsi="Book Antiqua" w:cs="宋体"/>
          <w:color w:val="000000"/>
          <w:sz w:val="24"/>
          <w:szCs w:val="24"/>
        </w:rPr>
        <w:t>: 1032-1035 [PMID: 23548555 DOI: 10.1053/j.ajkd.2013.01.025]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184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Konta T</w:t>
      </w:r>
      <w:r w:rsidRPr="00007463">
        <w:rPr>
          <w:rFonts w:ascii="Book Antiqua" w:eastAsia="宋体" w:hAnsi="Book Antiqua" w:cs="宋体"/>
          <w:color w:val="000000"/>
          <w:sz w:val="24"/>
          <w:szCs w:val="24"/>
        </w:rPr>
        <w:t>, Yamaoka M, Tanida H, Matsunaga T, Tomoike H. Acute renal failure due to oxalate ingestion.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Intern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37</w:t>
      </w:r>
      <w:r w:rsidRPr="00007463">
        <w:rPr>
          <w:rFonts w:ascii="Book Antiqua" w:eastAsia="宋体" w:hAnsi="Book Antiqua" w:cs="宋体"/>
          <w:color w:val="000000"/>
          <w:sz w:val="24"/>
          <w:szCs w:val="24"/>
        </w:rPr>
        <w:t>: 762-765 [PMID: 9804084 DOI: 10.2169/internalmedicine.37.762]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185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Yamamoto R</w:t>
      </w:r>
      <w:r w:rsidRPr="00007463">
        <w:rPr>
          <w:rFonts w:ascii="Book Antiqua" w:eastAsia="宋体" w:hAnsi="Book Antiqua" w:cs="宋体"/>
          <w:color w:val="000000"/>
          <w:sz w:val="24"/>
          <w:szCs w:val="24"/>
        </w:rPr>
        <w:t>, Morita S, Aoki H, Nakagawa Y, Yamamoto I, Inokuchi S. Acute renal failure and metabolic acidosis due to oxalic acid intoxication: a case report.</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Tokai J Exp Clin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36</w:t>
      </w:r>
      <w:r w:rsidRPr="00007463">
        <w:rPr>
          <w:rFonts w:ascii="Book Antiqua" w:eastAsia="宋体" w:hAnsi="Book Antiqua" w:cs="宋体"/>
          <w:color w:val="000000"/>
          <w:sz w:val="24"/>
          <w:szCs w:val="24"/>
        </w:rPr>
        <w:t>: 116-119 [PMID: 22167493]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186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PONS CA</w:t>
      </w:r>
      <w:r w:rsidRPr="00007463">
        <w:rPr>
          <w:rFonts w:ascii="Book Antiqua" w:eastAsia="宋体" w:hAnsi="Book Antiqua" w:cs="宋体"/>
          <w:color w:val="000000"/>
          <w:sz w:val="24"/>
          <w:szCs w:val="24"/>
        </w:rPr>
        <w:t>, CUSTER RP. Acute ethylene glycol poisoning; a clinico-pathologic report of eighteen fatal cases.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Med Sci</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1946;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211</w:t>
      </w:r>
      <w:r w:rsidRPr="00007463">
        <w:rPr>
          <w:rFonts w:ascii="Book Antiqua" w:eastAsia="宋体" w:hAnsi="Book Antiqua" w:cs="宋体"/>
          <w:color w:val="000000"/>
          <w:sz w:val="24"/>
          <w:szCs w:val="24"/>
        </w:rPr>
        <w:t>: 544-552 [PMID: 21026491 DOI: 10.1097/000004418-194621150-0004]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187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Levy RI</w:t>
      </w:r>
      <w:r w:rsidRPr="00007463">
        <w:rPr>
          <w:rFonts w:ascii="Book Antiqua" w:eastAsia="宋体" w:hAnsi="Book Antiqua" w:cs="宋体"/>
          <w:color w:val="000000"/>
          <w:sz w:val="24"/>
          <w:szCs w:val="24"/>
        </w:rPr>
        <w:t>. Renal failure secondary to ethylene glycol intoxication.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JAMA</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1960;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173</w:t>
      </w:r>
      <w:r w:rsidRPr="00007463">
        <w:rPr>
          <w:rFonts w:ascii="Book Antiqua" w:eastAsia="宋体" w:hAnsi="Book Antiqua" w:cs="宋体"/>
          <w:color w:val="000000"/>
          <w:sz w:val="24"/>
          <w:szCs w:val="24"/>
        </w:rPr>
        <w:t>: 1210-1213 [PMID: 14416437 DOI: 10.1001/jama.1960.03020290036007]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188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Friedman EA</w:t>
      </w:r>
      <w:r w:rsidRPr="00007463">
        <w:rPr>
          <w:rFonts w:ascii="Book Antiqua" w:eastAsia="宋体" w:hAnsi="Book Antiqua" w:cs="宋体"/>
          <w:color w:val="000000"/>
          <w:sz w:val="24"/>
          <w:szCs w:val="24"/>
        </w:rPr>
        <w:t>, Greenberg JB, Merrill JP, Dammin GJ. Consequences of ethylene glycol poisoning. Report of four cases and review of the literature.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1962;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32</w:t>
      </w:r>
      <w:r w:rsidRPr="00007463">
        <w:rPr>
          <w:rFonts w:ascii="Book Antiqua" w:eastAsia="宋体" w:hAnsi="Book Antiqua" w:cs="宋体"/>
          <w:color w:val="000000"/>
          <w:sz w:val="24"/>
          <w:szCs w:val="24"/>
        </w:rPr>
        <w:t>: 891-902 [PMID: 13895244 DOI: 10.1016/0002-9343(62)90035-9]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189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Collins JM</w:t>
      </w:r>
      <w:r w:rsidRPr="00007463">
        <w:rPr>
          <w:rFonts w:ascii="Book Antiqua" w:eastAsia="宋体" w:hAnsi="Book Antiqua" w:cs="宋体"/>
          <w:color w:val="000000"/>
          <w:sz w:val="24"/>
          <w:szCs w:val="24"/>
        </w:rPr>
        <w:t>, Hennes DM, Holzgang CR, Gourley RT, Porter GA. Recovery after prolonged oliguria due to ethylene glycol intoxication. The prognostic value of serial, percutaneous renal biopsy.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Arch Intern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125</w:t>
      </w:r>
      <w:r w:rsidRPr="00007463">
        <w:rPr>
          <w:rFonts w:ascii="Book Antiqua" w:eastAsia="宋体" w:hAnsi="Book Antiqua" w:cs="宋体"/>
          <w:color w:val="000000"/>
          <w:sz w:val="24"/>
          <w:szCs w:val="24"/>
        </w:rPr>
        <w:t>: 1059-1062 [PMID: 4951935 DOI: 10.1001/archinte.1970.00310060137019]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190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Parry MF</w:t>
      </w:r>
      <w:r w:rsidRPr="00007463">
        <w:rPr>
          <w:rFonts w:ascii="Book Antiqua" w:eastAsia="宋体" w:hAnsi="Book Antiqua" w:cs="宋体"/>
          <w:color w:val="000000"/>
          <w:sz w:val="24"/>
          <w:szCs w:val="24"/>
        </w:rPr>
        <w:t>, Wallach R. Ethylene glycol poisoning.</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57</w:t>
      </w:r>
      <w:r w:rsidRPr="00007463">
        <w:rPr>
          <w:rFonts w:ascii="Book Antiqua" w:eastAsia="宋体" w:hAnsi="Book Antiqua" w:cs="宋体"/>
          <w:color w:val="000000"/>
          <w:sz w:val="24"/>
          <w:szCs w:val="24"/>
        </w:rPr>
        <w:t>: 143-150 [PMID: 4834513 DOI: 10.1016/002-9343(74)90780-3]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191 . Case records of the Massachusetts General Hospital. Weekly clinicopathological exercises. Case 38-1979.</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 Engl J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301</w:t>
      </w:r>
      <w:r w:rsidRPr="00007463">
        <w:rPr>
          <w:rFonts w:ascii="Book Antiqua" w:eastAsia="宋体" w:hAnsi="Book Antiqua" w:cs="宋体"/>
          <w:color w:val="000000"/>
          <w:sz w:val="24"/>
          <w:szCs w:val="24"/>
        </w:rPr>
        <w:t>: 650-657 [PMID: 471004 DOI: 10.1056/NEJM197909203011208]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192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Frommer JP</w:t>
      </w:r>
      <w:r w:rsidRPr="00007463">
        <w:rPr>
          <w:rFonts w:ascii="Book Antiqua" w:eastAsia="宋体" w:hAnsi="Book Antiqua" w:cs="宋体"/>
          <w:color w:val="000000"/>
          <w:sz w:val="24"/>
          <w:szCs w:val="24"/>
        </w:rPr>
        <w:t>, Ayus JC. Acute ethylene glycol intoxication.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w:t>
      </w:r>
      <w:r w:rsidRPr="00007463">
        <w:rPr>
          <w:rFonts w:ascii="Book Antiqua" w:eastAsia="宋体" w:hAnsi="Book Antiqua" w:cs="宋体"/>
          <w:color w:val="000000"/>
          <w:sz w:val="24"/>
          <w:szCs w:val="24"/>
        </w:rPr>
        <w:t>: 1-5 [PMID: 7180899 DOI: 10.1159/000166574]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193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Meier M</w:t>
      </w:r>
      <w:r w:rsidRPr="00007463">
        <w:rPr>
          <w:rFonts w:ascii="Book Antiqua" w:eastAsia="宋体" w:hAnsi="Book Antiqua" w:cs="宋体"/>
          <w:color w:val="000000"/>
          <w:sz w:val="24"/>
          <w:szCs w:val="24"/>
        </w:rPr>
        <w:t>, Nitschke M, Perras B, Steinhoff J. Ethylene glycol intoxication and xylitol infusion--metabolic steps of oxalate-induced acute renal failure.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63</w:t>
      </w:r>
      <w:r w:rsidRPr="00007463">
        <w:rPr>
          <w:rFonts w:ascii="Book Antiqua" w:eastAsia="宋体" w:hAnsi="Book Antiqua" w:cs="宋体"/>
          <w:color w:val="000000"/>
          <w:sz w:val="24"/>
          <w:szCs w:val="24"/>
        </w:rPr>
        <w:t>: 225-228 [PMID: 15786825]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194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Stokes MB</w:t>
      </w:r>
      <w:r w:rsidRPr="00007463">
        <w:rPr>
          <w:rFonts w:ascii="Book Antiqua" w:eastAsia="宋体" w:hAnsi="Book Antiqua" w:cs="宋体"/>
          <w:color w:val="000000"/>
          <w:sz w:val="24"/>
          <w:szCs w:val="24"/>
        </w:rPr>
        <w:t>. Acute oxalate nephropathy due to ethylene glycol ingestion.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69</w:t>
      </w:r>
      <w:r w:rsidRPr="00007463">
        <w:rPr>
          <w:rFonts w:ascii="Book Antiqua" w:eastAsia="宋体" w:hAnsi="Book Antiqua" w:cs="宋体"/>
          <w:color w:val="000000"/>
          <w:sz w:val="24"/>
          <w:szCs w:val="24"/>
        </w:rPr>
        <w:t>: 203 [PMID: 16408105 DOI: 10.1038/sj.ki.50000107]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195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Stapenhorst L</w:t>
      </w:r>
      <w:r w:rsidRPr="00007463">
        <w:rPr>
          <w:rFonts w:ascii="Book Antiqua" w:eastAsia="宋体" w:hAnsi="Book Antiqua" w:cs="宋体"/>
          <w:color w:val="000000"/>
          <w:sz w:val="24"/>
          <w:szCs w:val="24"/>
        </w:rPr>
        <w:t>, Hesse A, Hoppe B. Hyperoxaluria after ethylene glycol poisoning.</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Pediatr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23</w:t>
      </w:r>
      <w:r w:rsidRPr="00007463">
        <w:rPr>
          <w:rFonts w:ascii="Book Antiqua" w:eastAsia="宋体" w:hAnsi="Book Antiqua" w:cs="宋体"/>
          <w:color w:val="000000"/>
          <w:sz w:val="24"/>
          <w:szCs w:val="24"/>
        </w:rPr>
        <w:t>: 2277-2279 [PMID: 18696123 DOI: 10.1007/s00467-008-0917-8]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196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Desilva MB</w:t>
      </w:r>
      <w:r w:rsidRPr="00007463">
        <w:rPr>
          <w:rFonts w:ascii="Book Antiqua" w:eastAsia="宋体" w:hAnsi="Book Antiqua" w:cs="宋体"/>
          <w:color w:val="000000"/>
          <w:sz w:val="24"/>
          <w:szCs w:val="24"/>
        </w:rPr>
        <w:t>, Mueller PS. Renal consequences of long-term, low-dose intentional ingestion of ethylene glycol.</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Ren Fail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31</w:t>
      </w:r>
      <w:r w:rsidRPr="00007463">
        <w:rPr>
          <w:rFonts w:ascii="Book Antiqua" w:eastAsia="宋体" w:hAnsi="Book Antiqua" w:cs="宋体"/>
          <w:color w:val="000000"/>
          <w:sz w:val="24"/>
          <w:szCs w:val="24"/>
        </w:rPr>
        <w:t>: 586-588 [PMID: 19839855 DOI: 10.1080/08860220903003362]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197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Ting SM</w:t>
      </w:r>
      <w:r w:rsidRPr="00007463">
        <w:rPr>
          <w:rFonts w:ascii="Book Antiqua" w:eastAsia="宋体" w:hAnsi="Book Antiqua" w:cs="宋体"/>
          <w:color w:val="000000"/>
          <w:sz w:val="24"/>
          <w:szCs w:val="24"/>
        </w:rPr>
        <w:t>, Ching I, Nair H, Langman G, Suresh V, Temple RM. Early and late presentations of ethylene glycol poisoning.</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53</w:t>
      </w:r>
      <w:r w:rsidRPr="00007463">
        <w:rPr>
          <w:rFonts w:ascii="Book Antiqua" w:eastAsia="宋体" w:hAnsi="Book Antiqua" w:cs="宋体"/>
          <w:color w:val="000000"/>
          <w:sz w:val="24"/>
          <w:szCs w:val="24"/>
        </w:rPr>
        <w:t>: 1091-1097 [PMID: 19272685 DOI: 10.1053/j.ajkd.2008.12.019]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198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Alhamad T</w:t>
      </w:r>
      <w:r w:rsidRPr="00007463">
        <w:rPr>
          <w:rFonts w:ascii="Book Antiqua" w:eastAsia="宋体" w:hAnsi="Book Antiqua" w:cs="宋体"/>
          <w:color w:val="000000"/>
          <w:sz w:val="24"/>
          <w:szCs w:val="24"/>
        </w:rPr>
        <w:t>, Blandon J, Meza AT, Bilbao JE, Hernandez GT. Acute kidney injury with oxalate deposition in a patient with a high anion gap metabolic acidosis and a normal osmolal gap.</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Nephropathol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w:t>
      </w:r>
      <w:r w:rsidRPr="00007463">
        <w:rPr>
          <w:rFonts w:ascii="Book Antiqua" w:eastAsia="宋体" w:hAnsi="Book Antiqua" w:cs="宋体"/>
          <w:color w:val="000000"/>
          <w:sz w:val="24"/>
          <w:szCs w:val="24"/>
        </w:rPr>
        <w:t>: 139-143 [PMID: 24475441 DOI: 10.12860/JNP.2013.23]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199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Daudon M</w:t>
      </w:r>
      <w:r w:rsidRPr="00007463">
        <w:rPr>
          <w:rFonts w:ascii="Book Antiqua" w:eastAsia="宋体" w:hAnsi="Book Antiqua" w:cs="宋体"/>
          <w:color w:val="000000"/>
          <w:sz w:val="24"/>
          <w:szCs w:val="24"/>
        </w:rPr>
        <w:t>, Reveillaud RJ, Jungers P. Piridoxilate-associated calcium oxalate urinary calculi: a new metabolic drug-induced nephrolithiasis.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Lancet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w:t>
      </w:r>
      <w:r w:rsidRPr="00007463">
        <w:rPr>
          <w:rFonts w:ascii="Book Antiqua" w:eastAsia="宋体" w:hAnsi="Book Antiqua" w:cs="宋体"/>
          <w:color w:val="000000"/>
          <w:sz w:val="24"/>
          <w:szCs w:val="24"/>
        </w:rPr>
        <w:t>: 1338 [PMID: 2860529]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200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Vigeral P</w:t>
      </w:r>
      <w:r w:rsidRPr="00007463">
        <w:rPr>
          <w:rFonts w:ascii="Book Antiqua" w:eastAsia="宋体" w:hAnsi="Book Antiqua" w:cs="宋体"/>
          <w:color w:val="000000"/>
          <w:sz w:val="24"/>
          <w:szCs w:val="24"/>
        </w:rPr>
        <w:t>, Kenouch S, Chauveau D, Mougenot B, Méry JP. Piridoxilate-associated nephrocalcinosis: a new form of chronic oxalate nephropathy.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 Dial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w:t>
      </w:r>
      <w:r w:rsidRPr="00007463">
        <w:rPr>
          <w:rFonts w:ascii="Book Antiqua" w:eastAsia="宋体" w:hAnsi="Book Antiqua" w:cs="宋体"/>
          <w:color w:val="000000"/>
          <w:sz w:val="24"/>
          <w:szCs w:val="24"/>
        </w:rPr>
        <w:t>: 275-278 [PMID: 3118272]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201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Mousson C</w:t>
      </w:r>
      <w:r w:rsidRPr="00007463">
        <w:rPr>
          <w:rFonts w:ascii="Book Antiqua" w:eastAsia="宋体" w:hAnsi="Book Antiqua" w:cs="宋体"/>
          <w:color w:val="000000"/>
          <w:sz w:val="24"/>
          <w:szCs w:val="24"/>
        </w:rPr>
        <w:t>, Justrabo E, Rifle G, Sgro C, Chalopin JM, Gérard C. Piridoxilate-induced oxalate nephropathy can lead to end-stage renal failure.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Nephron</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63</w:t>
      </w:r>
      <w:r w:rsidRPr="00007463">
        <w:rPr>
          <w:rFonts w:ascii="Book Antiqua" w:eastAsia="宋体" w:hAnsi="Book Antiqua" w:cs="宋体"/>
          <w:color w:val="000000"/>
          <w:sz w:val="24"/>
          <w:szCs w:val="24"/>
        </w:rPr>
        <w:t>: 104-106 [PMID: 8446234 DOI: 10.1159/000187151]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202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Cuvelier C</w:t>
      </w:r>
      <w:r w:rsidRPr="00007463">
        <w:rPr>
          <w:rFonts w:ascii="Book Antiqua" w:eastAsia="宋体" w:hAnsi="Book Antiqua" w:cs="宋体"/>
          <w:color w:val="000000"/>
          <w:sz w:val="24"/>
          <w:szCs w:val="24"/>
        </w:rPr>
        <w:t>, Goffin E, Cosyns JP, Claeys N, Squifflet JP, Pirson Y, de Strihou CV. Acute renal failure due to naftidrofuryl oxalate Praxilène overdose in a kidney transplant recipient.</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 Dial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10</w:t>
      </w:r>
      <w:r w:rsidRPr="00007463">
        <w:rPr>
          <w:rFonts w:ascii="Book Antiqua" w:eastAsia="宋体" w:hAnsi="Book Antiqua" w:cs="宋体"/>
          <w:color w:val="000000"/>
          <w:sz w:val="24"/>
          <w:szCs w:val="24"/>
        </w:rPr>
        <w:t>: 1756-1758 [PMID: 8559501]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203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Le Meur Y</w:t>
      </w:r>
      <w:r w:rsidRPr="00007463">
        <w:rPr>
          <w:rFonts w:ascii="Book Antiqua" w:eastAsia="宋体" w:hAnsi="Book Antiqua" w:cs="宋体"/>
          <w:color w:val="000000"/>
          <w:sz w:val="24"/>
          <w:szCs w:val="24"/>
        </w:rPr>
        <w:t>, Moesch C, Rincé M, Aldigier JC, Leroux-Robert C. Potential nephrotoxicity of intravenous infusions of naftidrofuryl oxalate.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 Dial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10</w:t>
      </w:r>
      <w:r w:rsidRPr="00007463">
        <w:rPr>
          <w:rFonts w:ascii="Book Antiqua" w:eastAsia="宋体" w:hAnsi="Book Antiqua" w:cs="宋体"/>
          <w:color w:val="000000"/>
          <w:sz w:val="24"/>
          <w:szCs w:val="24"/>
        </w:rPr>
        <w:t>: 1751-1755 [PMID: 8559500]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204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Kim MJ</w:t>
      </w:r>
      <w:r w:rsidRPr="00007463">
        <w:rPr>
          <w:rFonts w:ascii="Book Antiqua" w:eastAsia="宋体" w:hAnsi="Book Antiqua" w:cs="宋体"/>
          <w:color w:val="000000"/>
          <w:sz w:val="24"/>
          <w:szCs w:val="24"/>
        </w:rPr>
        <w:t>, Lee JS, Kim SW. Acute kidney injury associated with nafronyl oxalate overdose.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Exp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17</w:t>
      </w:r>
      <w:r w:rsidRPr="00007463">
        <w:rPr>
          <w:rFonts w:ascii="Book Antiqua" w:eastAsia="宋体" w:hAnsi="Book Antiqua" w:cs="宋体"/>
          <w:color w:val="000000"/>
          <w:sz w:val="24"/>
          <w:szCs w:val="24"/>
        </w:rPr>
        <w:t>: 437-438 [PMID: 23254471 DOI: 10.007/s10157-012-0752-x]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205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Frascino JA</w:t>
      </w:r>
      <w:r w:rsidRPr="00007463">
        <w:rPr>
          <w:rFonts w:ascii="Book Antiqua" w:eastAsia="宋体" w:hAnsi="Book Antiqua" w:cs="宋体"/>
          <w:color w:val="000000"/>
          <w:sz w:val="24"/>
          <w:szCs w:val="24"/>
        </w:rPr>
        <w:t>, Vanamee P, Rosen PP. Renal oxalosis and azotemia after methoxyflurane anesthesia.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 Engl J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283</w:t>
      </w:r>
      <w:r w:rsidRPr="00007463">
        <w:rPr>
          <w:rFonts w:ascii="Book Antiqua" w:eastAsia="宋体" w:hAnsi="Book Antiqua" w:cs="宋体"/>
          <w:color w:val="000000"/>
          <w:sz w:val="24"/>
          <w:szCs w:val="24"/>
        </w:rPr>
        <w:t>: 676-679 [PMID: 5454752 DOI: 10.1056/NEJM197009242831304]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 xml:space="preserve">206 </w:t>
      </w:r>
      <w:r w:rsidRPr="00612EED">
        <w:rPr>
          <w:rFonts w:ascii="Book Antiqua" w:hAnsi="Book Antiqua"/>
          <w:b/>
          <w:sz w:val="24"/>
          <w:szCs w:val="24"/>
        </w:rPr>
        <w:t>Antonelli JA</w:t>
      </w:r>
      <w:r w:rsidRPr="00612EED">
        <w:rPr>
          <w:rFonts w:ascii="Book Antiqua" w:hAnsi="Book Antiqua"/>
          <w:sz w:val="24"/>
          <w:szCs w:val="24"/>
        </w:rPr>
        <w:t>, Langman CB, Odom C, Poindexter J, Huet B, Pearle MS</w:t>
      </w:r>
      <w:r>
        <w:rPr>
          <w:rFonts w:ascii="Book Antiqua" w:hAnsi="Book Antiqua" w:hint="eastAsia"/>
          <w:sz w:val="24"/>
          <w:szCs w:val="24"/>
        </w:rPr>
        <w:t>.</w:t>
      </w:r>
      <w:r w:rsidRPr="00007463">
        <w:rPr>
          <w:rFonts w:ascii="Book Antiqua" w:eastAsia="宋体" w:hAnsi="Book Antiqua" w:cs="宋体"/>
          <w:color w:val="000000"/>
          <w:sz w:val="24"/>
          <w:szCs w:val="24"/>
        </w:rPr>
        <w:t xml:space="preserve"> Defining variation in urinary oxalate in hyperoxaluric stone-formers.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Endourol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 [PMID: 23998658]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207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Herlitz LC</w:t>
      </w:r>
      <w:r w:rsidRPr="00007463">
        <w:rPr>
          <w:rFonts w:ascii="Book Antiqua" w:eastAsia="宋体" w:hAnsi="Book Antiqua" w:cs="宋体"/>
          <w:color w:val="000000"/>
          <w:sz w:val="24"/>
          <w:szCs w:val="24"/>
        </w:rPr>
        <w:t>, D'Agati VD, Markowitz GS. Crystalline nephropathies.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Arch Pathol Lab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136</w:t>
      </w:r>
      <w:r w:rsidRPr="00007463">
        <w:rPr>
          <w:rFonts w:ascii="Book Antiqua" w:eastAsia="宋体" w:hAnsi="Book Antiqua" w:cs="宋体"/>
          <w:color w:val="000000"/>
          <w:sz w:val="24"/>
          <w:szCs w:val="24"/>
        </w:rPr>
        <w:t>: 713-720 [PMID: 22742545 DOI: 10.5858/arpa.2011-0565-RA]</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de Water R</w:t>
      </w:r>
      <w:r w:rsidRPr="00007463">
        <w:rPr>
          <w:rFonts w:ascii="Book Antiqua" w:eastAsia="宋体" w:hAnsi="Book Antiqua" w:cs="宋体"/>
          <w:color w:val="000000"/>
          <w:sz w:val="24"/>
          <w:szCs w:val="24"/>
        </w:rPr>
        <w:t>, Boevé ER, van Miert PP, Vermaire CP, van Run PR, Cao LC, de Bruijn WC, Schröder FH. Pathological and immunocytochemical changes in chronic calcium oxalate nephrolithiasis in the rat.</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Scanning Microsc</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10</w:t>
      </w:r>
      <w:r w:rsidRPr="00007463">
        <w:rPr>
          <w:rFonts w:ascii="Book Antiqua" w:eastAsia="宋体" w:hAnsi="Book Antiqua" w:cs="宋体"/>
          <w:color w:val="000000"/>
          <w:sz w:val="24"/>
          <w:szCs w:val="24"/>
        </w:rPr>
        <w:t>: 577-87; discussion 587-90 [PMID: 9813633]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209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SMITH DE</w:t>
      </w:r>
      <w:r w:rsidRPr="00007463">
        <w:rPr>
          <w:rFonts w:ascii="Book Antiqua" w:eastAsia="宋体" w:hAnsi="Book Antiqua" w:cs="宋体"/>
          <w:color w:val="000000"/>
          <w:sz w:val="24"/>
          <w:szCs w:val="24"/>
        </w:rPr>
        <w:t>. Morphologic lesions due to acute and subacute poisoning with antifreeze (ethylene glycol).</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AMA Arch Pathol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1951;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51</w:t>
      </w:r>
      <w:r w:rsidRPr="00007463">
        <w:rPr>
          <w:rFonts w:ascii="Book Antiqua" w:eastAsia="宋体" w:hAnsi="Book Antiqua" w:cs="宋体"/>
          <w:color w:val="000000"/>
          <w:sz w:val="24"/>
          <w:szCs w:val="24"/>
        </w:rPr>
        <w:t>: 423-433 [PMID: 14810332]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210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Flanagan P</w:t>
      </w:r>
      <w:r w:rsidRPr="00007463">
        <w:rPr>
          <w:rFonts w:ascii="Book Antiqua" w:eastAsia="宋体" w:hAnsi="Book Antiqua" w:cs="宋体"/>
          <w:color w:val="000000"/>
          <w:sz w:val="24"/>
          <w:szCs w:val="24"/>
        </w:rPr>
        <w:t>, Libcke JH. Renal biopsy observations following recovery from ethylene glycol nephrosis.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Clin Pathol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1964;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41</w:t>
      </w:r>
      <w:r w:rsidRPr="00007463">
        <w:rPr>
          <w:rFonts w:ascii="Book Antiqua" w:eastAsia="宋体" w:hAnsi="Book Antiqua" w:cs="宋体"/>
          <w:color w:val="000000"/>
          <w:sz w:val="24"/>
          <w:szCs w:val="24"/>
        </w:rPr>
        <w:t>: 171-175 [PMID: 14129241]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Bove KE</w:t>
      </w:r>
      <w:r w:rsidRPr="00007463">
        <w:rPr>
          <w:rFonts w:ascii="Book Antiqua" w:eastAsia="宋体" w:hAnsi="Book Antiqua" w:cs="宋体"/>
          <w:color w:val="000000"/>
          <w:sz w:val="24"/>
          <w:szCs w:val="24"/>
        </w:rPr>
        <w:t>. Ethylene glycol toxicity.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Clin Pathol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1966;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45</w:t>
      </w:r>
      <w:r w:rsidRPr="00007463">
        <w:rPr>
          <w:rFonts w:ascii="Book Antiqua" w:eastAsia="宋体" w:hAnsi="Book Antiqua" w:cs="宋体"/>
          <w:color w:val="000000"/>
          <w:sz w:val="24"/>
          <w:szCs w:val="24"/>
        </w:rPr>
        <w:t>: 46-50 [PMID: 5904203]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Mori S</w:t>
      </w:r>
      <w:r w:rsidRPr="00007463">
        <w:rPr>
          <w:rFonts w:ascii="Book Antiqua" w:eastAsia="宋体" w:hAnsi="Book Antiqua" w:cs="宋体"/>
          <w:color w:val="000000"/>
          <w:sz w:val="24"/>
          <w:szCs w:val="24"/>
        </w:rPr>
        <w:t>, Beppu T. Secondary renal oxalosis. A statistical analysis of its possible causes.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Acta Pathol Jpn</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33</w:t>
      </w:r>
      <w:r w:rsidRPr="00007463">
        <w:rPr>
          <w:rFonts w:ascii="Book Antiqua" w:eastAsia="宋体" w:hAnsi="Book Antiqua" w:cs="宋体"/>
          <w:color w:val="000000"/>
          <w:sz w:val="24"/>
          <w:szCs w:val="24"/>
        </w:rPr>
        <w:t>: 661-669 [PMID: 6624448 DOI: 10.1111/j.1440-1827.1983.tb02115.x]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Chintanaboina J</w:t>
      </w:r>
      <w:r w:rsidRPr="00007463">
        <w:rPr>
          <w:rFonts w:ascii="Book Antiqua" w:eastAsia="宋体" w:hAnsi="Book Antiqua" w:cs="宋体"/>
          <w:color w:val="000000"/>
          <w:sz w:val="24"/>
          <w:szCs w:val="24"/>
        </w:rPr>
        <w:t>, Nadasdy T, Manahan F, Muppidi V. Acute oxalate nephropathy diagnosed by renal biopsy.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Intern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51</w:t>
      </w:r>
      <w:r w:rsidRPr="00007463">
        <w:rPr>
          <w:rFonts w:ascii="Book Antiqua" w:eastAsia="宋体" w:hAnsi="Book Antiqua" w:cs="宋体"/>
          <w:color w:val="000000"/>
          <w:sz w:val="24"/>
          <w:szCs w:val="24"/>
        </w:rPr>
        <w:t>: 2249 [PMID: 22892515 DOI: 10.2169/internalmedicine.51.8183]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214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Hoorens A</w:t>
      </w:r>
      <w:r w:rsidRPr="00007463">
        <w:rPr>
          <w:rFonts w:ascii="Book Antiqua" w:eastAsia="宋体" w:hAnsi="Book Antiqua" w:cs="宋体"/>
          <w:color w:val="000000"/>
          <w:sz w:val="24"/>
          <w:szCs w:val="24"/>
        </w:rPr>
        <w:t>, Van Der Niepen P, Keuppens F, Vanden Houte K, Klöppel G. Pseudotuberculous pyelonephritis associated with nephrolithiasis.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Surg Pathol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16</w:t>
      </w:r>
      <w:r w:rsidRPr="00007463">
        <w:rPr>
          <w:rFonts w:ascii="Book Antiqua" w:eastAsia="宋体" w:hAnsi="Book Antiqua" w:cs="宋体"/>
          <w:color w:val="000000"/>
          <w:sz w:val="24"/>
          <w:szCs w:val="24"/>
        </w:rPr>
        <w:t>: 522-525 [PMID: 1599029 DOI: 10.1097/00000478-199205000-00012]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215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Maldonado I</w:t>
      </w:r>
      <w:r w:rsidRPr="00007463">
        <w:rPr>
          <w:rFonts w:ascii="Book Antiqua" w:eastAsia="宋体" w:hAnsi="Book Antiqua" w:cs="宋体"/>
          <w:color w:val="000000"/>
          <w:sz w:val="24"/>
          <w:szCs w:val="24"/>
        </w:rPr>
        <w:t>, Prasad V, Reginato AJ. Oxalate crystal deposition disease.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Curr Rheumatol Rep</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w:t>
      </w:r>
      <w:r w:rsidRPr="00007463">
        <w:rPr>
          <w:rFonts w:ascii="Book Antiqua" w:eastAsia="宋体" w:hAnsi="Book Antiqua" w:cs="宋体"/>
          <w:color w:val="000000"/>
          <w:sz w:val="24"/>
          <w:szCs w:val="24"/>
        </w:rPr>
        <w:t>: 257-264 [PMID: 12010612 DOI: 10.1007/s11926-002-0074-1]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216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Bell EG</w:t>
      </w:r>
      <w:r w:rsidRPr="00007463">
        <w:rPr>
          <w:rFonts w:ascii="Book Antiqua" w:eastAsia="宋体" w:hAnsi="Book Antiqua" w:cs="宋体"/>
          <w:color w:val="000000"/>
          <w:sz w:val="24"/>
          <w:szCs w:val="24"/>
        </w:rPr>
        <w:t>, McAfee JG, Makhuli ZN. Medical imaging of renal diseases-suggested indication for different modalities.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Semin Nucl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1981;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11</w:t>
      </w:r>
      <w:r w:rsidRPr="00007463">
        <w:rPr>
          <w:rFonts w:ascii="Book Antiqua" w:eastAsia="宋体" w:hAnsi="Book Antiqua" w:cs="宋体"/>
          <w:color w:val="000000"/>
          <w:sz w:val="24"/>
          <w:szCs w:val="24"/>
        </w:rPr>
        <w:t>: 105-127 [PMID: 7244659 DOI: 10.1016/S0001-2998(81)80041-4]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217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Helms E</w:t>
      </w:r>
      <w:r w:rsidRPr="00007463">
        <w:rPr>
          <w:rFonts w:ascii="Book Antiqua" w:eastAsia="宋体" w:hAnsi="Book Antiqua" w:cs="宋体"/>
          <w:color w:val="000000"/>
          <w:sz w:val="24"/>
          <w:szCs w:val="24"/>
        </w:rPr>
        <w:t>, Servilla KS, Hartshorne MF, Harris A, Nichols MJ, Tzamaloukas AH. Tubulointerstitial nephritis and uveitis syndrome: use of gallium scintigraphy in its diagnosis and treatment.</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Int Urol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37</w:t>
      </w:r>
      <w:r w:rsidRPr="00007463">
        <w:rPr>
          <w:rFonts w:ascii="Book Antiqua" w:eastAsia="宋体" w:hAnsi="Book Antiqua" w:cs="宋体"/>
          <w:color w:val="000000"/>
          <w:sz w:val="24"/>
          <w:szCs w:val="24"/>
        </w:rPr>
        <w:t>: 119-122 [PMID: 16132773 DOI: 10.1007/s11255-004-2356-1]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218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Joaquim AI</w:t>
      </w:r>
      <w:r w:rsidRPr="00007463">
        <w:rPr>
          <w:rFonts w:ascii="Book Antiqua" w:eastAsia="宋体" w:hAnsi="Book Antiqua" w:cs="宋体"/>
          <w:color w:val="000000"/>
          <w:sz w:val="24"/>
          <w:szCs w:val="24"/>
        </w:rPr>
        <w:t>, Mendes GE, Ribeiro PF, Baptista MA, Burdmann EA. Ga-67 scintigraphy in the differential diagnosis between acute interstitial nephritis and acute tubular necrosis: an experimental study.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 Dial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25</w:t>
      </w:r>
      <w:r w:rsidRPr="00007463">
        <w:rPr>
          <w:rFonts w:ascii="Book Antiqua" w:eastAsia="宋体" w:hAnsi="Book Antiqua" w:cs="宋体"/>
          <w:color w:val="000000"/>
          <w:sz w:val="24"/>
          <w:szCs w:val="24"/>
        </w:rPr>
        <w:t>: 3277-3282 [PMID: 20348147 DOI: 10.1093/ndt/gfq152]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219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Khan SR</w:t>
      </w:r>
      <w:r w:rsidRPr="00007463">
        <w:rPr>
          <w:rFonts w:ascii="Book Antiqua" w:eastAsia="宋体" w:hAnsi="Book Antiqua" w:cs="宋体"/>
          <w:color w:val="000000"/>
          <w:sz w:val="24"/>
          <w:szCs w:val="24"/>
        </w:rPr>
        <w:t>, Finlayson B, Hackett RL. Histologic study of the early events in oxalate induced intranephronic calculosis.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Invest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1979;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17</w:t>
      </w:r>
      <w:r w:rsidRPr="00007463">
        <w:rPr>
          <w:rFonts w:ascii="Book Antiqua" w:eastAsia="宋体" w:hAnsi="Book Antiqua" w:cs="宋体"/>
          <w:color w:val="000000"/>
          <w:sz w:val="24"/>
          <w:szCs w:val="24"/>
        </w:rPr>
        <w:t>: 199-202 [PMID: 500316]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220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Evan AP</w:t>
      </w:r>
      <w:r w:rsidRPr="00007463">
        <w:rPr>
          <w:rFonts w:ascii="Book Antiqua" w:eastAsia="宋体" w:hAnsi="Book Antiqua" w:cs="宋体"/>
          <w:color w:val="000000"/>
          <w:sz w:val="24"/>
          <w:szCs w:val="24"/>
        </w:rPr>
        <w:t>, Lingeman JE, Worcester EM, Bledsoe SB, Sommer AJ, Williams JC, Krambeck AE, Philips CL, Coe FL. Renal histopathology and crystal deposits in patients with small bowel resection and calcium oxalate stone disease.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78</w:t>
      </w:r>
      <w:r w:rsidRPr="00007463">
        <w:rPr>
          <w:rFonts w:ascii="Book Antiqua" w:eastAsia="宋体" w:hAnsi="Book Antiqua" w:cs="宋体"/>
          <w:color w:val="000000"/>
          <w:sz w:val="24"/>
          <w:szCs w:val="24"/>
        </w:rPr>
        <w:t>: 310-317 [PMID: 20428098 DOI: 10.1038/ki.2010.131]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221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Wiessner JH</w:t>
      </w:r>
      <w:r w:rsidRPr="00007463">
        <w:rPr>
          <w:rFonts w:ascii="Book Antiqua" w:eastAsia="宋体" w:hAnsi="Book Antiqua" w:cs="宋体"/>
          <w:color w:val="000000"/>
          <w:sz w:val="24"/>
          <w:szCs w:val="24"/>
        </w:rPr>
        <w:t>, Hung LY, Mandel NS. Crystal attachment to injured renal collecting duct cells: influence of urine proteins and pH.</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63</w:t>
      </w:r>
      <w:r w:rsidRPr="00007463">
        <w:rPr>
          <w:rFonts w:ascii="Book Antiqua" w:eastAsia="宋体" w:hAnsi="Book Antiqua" w:cs="宋体"/>
          <w:color w:val="000000"/>
          <w:sz w:val="24"/>
          <w:szCs w:val="24"/>
        </w:rPr>
        <w:t>: 1313-1320 [PMID: 12631348 DOI: 10.1046/j.1523-1755.2003.00866.x]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222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Wesson JA</w:t>
      </w:r>
      <w:r w:rsidRPr="00007463">
        <w:rPr>
          <w:rFonts w:ascii="Book Antiqua" w:eastAsia="宋体" w:hAnsi="Book Antiqua" w:cs="宋体"/>
          <w:color w:val="000000"/>
          <w:sz w:val="24"/>
          <w:szCs w:val="24"/>
        </w:rPr>
        <w:t>, Johnson RJ, Mazzali M, Beshensky AM, Stietz S, Giachelli C, Liaw L, Alpers CE, Couser WG, Kleinman JG, Hughes J. Osteopontin is a critical inhibitor of calcium oxalate crystal formation and retention in renal tubules.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14</w:t>
      </w:r>
      <w:r w:rsidRPr="00007463">
        <w:rPr>
          <w:rFonts w:ascii="Book Antiqua" w:eastAsia="宋体" w:hAnsi="Book Antiqua" w:cs="宋体"/>
          <w:color w:val="000000"/>
          <w:sz w:val="24"/>
          <w:szCs w:val="24"/>
        </w:rPr>
        <w:t>: 139-147 [PMID: 12506146 DOI: 10.1097/01.ASN.0000040593.93815.9D]</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223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Asokan D</w:t>
      </w:r>
      <w:r w:rsidRPr="00007463">
        <w:rPr>
          <w:rFonts w:ascii="Book Antiqua" w:eastAsia="宋体" w:hAnsi="Book Antiqua" w:cs="宋体"/>
          <w:color w:val="000000"/>
          <w:sz w:val="24"/>
          <w:szCs w:val="24"/>
        </w:rPr>
        <w:t>, Kalaiselvi P, Muhammed Farooq S, Varalakshmi P. Calcium oxalate monohydrate binding protein: a diagnostic biomarker for calcium oxalate kidney stone formers.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 Res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32</w:t>
      </w:r>
      <w:r w:rsidRPr="00007463">
        <w:rPr>
          <w:rFonts w:ascii="Book Antiqua" w:eastAsia="宋体" w:hAnsi="Book Antiqua" w:cs="宋体"/>
          <w:color w:val="000000"/>
          <w:sz w:val="24"/>
          <w:szCs w:val="24"/>
        </w:rPr>
        <w:t>: 357-361 [PMID: 15365653 DOI: 10.1007/s00240-004-0430-x]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224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Farell G</w:t>
      </w:r>
      <w:r w:rsidRPr="00007463">
        <w:rPr>
          <w:rFonts w:ascii="Book Antiqua" w:eastAsia="宋体" w:hAnsi="Book Antiqua" w:cs="宋体"/>
          <w:color w:val="000000"/>
          <w:sz w:val="24"/>
          <w:szCs w:val="24"/>
        </w:rPr>
        <w:t>, Huang E, Kim SY, Horstkorte R, Lieske JC. Modulation of proliferating renal epithelial cell affinity for calcium oxalate monohydrate crystals.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15</w:t>
      </w:r>
      <w:r w:rsidRPr="00007463">
        <w:rPr>
          <w:rFonts w:ascii="Book Antiqua" w:eastAsia="宋体" w:hAnsi="Book Antiqua" w:cs="宋体"/>
          <w:color w:val="000000"/>
          <w:sz w:val="24"/>
          <w:szCs w:val="24"/>
        </w:rPr>
        <w:t>: 3052-3062 [PMID: 15579508 DOI: 10.1097/01.ASN.0000144205.49134.64]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225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Sheng X</w:t>
      </w:r>
      <w:r w:rsidRPr="00007463">
        <w:rPr>
          <w:rFonts w:ascii="Book Antiqua" w:eastAsia="宋体" w:hAnsi="Book Antiqua" w:cs="宋体"/>
          <w:color w:val="000000"/>
          <w:sz w:val="24"/>
          <w:szCs w:val="24"/>
        </w:rPr>
        <w:t>, Jung T, Wesson JA, Ward MD. Adhesion at calcium oxalate crystal surfaces and the effect of urinary constituents.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Proc Natl Acad Sci U S A</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102</w:t>
      </w:r>
      <w:r w:rsidRPr="00007463">
        <w:rPr>
          <w:rFonts w:ascii="Book Antiqua" w:eastAsia="宋体" w:hAnsi="Book Antiqua" w:cs="宋体"/>
          <w:color w:val="000000"/>
          <w:sz w:val="24"/>
          <w:szCs w:val="24"/>
        </w:rPr>
        <w:t>: 267-272 [PMID: 15625112 DOI: 10.1073/pnas.0406835101]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226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Miyazawa K</w:t>
      </w:r>
      <w:r w:rsidRPr="00007463">
        <w:rPr>
          <w:rFonts w:ascii="Book Antiqua" w:eastAsia="宋体" w:hAnsi="Book Antiqua" w:cs="宋体"/>
          <w:color w:val="000000"/>
          <w:sz w:val="24"/>
          <w:szCs w:val="24"/>
        </w:rPr>
        <w:t>, Takahashi Y, Morita N, Moriyama MT, Kosaka T, Nishio M, Yoshimoto T, Suzuki K. Cyclooxygenase 2 and prostaglandin E2 regulate the attachment of calcium oxalate crystals to renal epithelial cells.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Int J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19</w:t>
      </w:r>
      <w:r w:rsidRPr="00007463">
        <w:rPr>
          <w:rFonts w:ascii="Book Antiqua" w:eastAsia="宋体" w:hAnsi="Book Antiqua" w:cs="宋体"/>
          <w:color w:val="000000"/>
          <w:sz w:val="24"/>
          <w:szCs w:val="24"/>
        </w:rPr>
        <w:t>: 936-943 [PMID: 22640700 DOI: 10.1111/j.1442-2042.2012.0300.x]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227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Roop-ngam P</w:t>
      </w:r>
      <w:r w:rsidRPr="00007463">
        <w:rPr>
          <w:rFonts w:ascii="Book Antiqua" w:eastAsia="宋体" w:hAnsi="Book Antiqua" w:cs="宋体"/>
          <w:color w:val="000000"/>
          <w:sz w:val="24"/>
          <w:szCs w:val="24"/>
        </w:rPr>
        <w:t>, Chaiyarit S, Pongsakul N, Thongboonkerd V. Isolation and characterizations of oxalate-binding proteins in the kidney.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Biochem Biophys Res Commun</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424</w:t>
      </w:r>
      <w:r w:rsidRPr="00007463">
        <w:rPr>
          <w:rFonts w:ascii="Book Antiqua" w:eastAsia="宋体" w:hAnsi="Book Antiqua" w:cs="宋体"/>
          <w:color w:val="000000"/>
          <w:sz w:val="24"/>
          <w:szCs w:val="24"/>
        </w:rPr>
        <w:t>: 629-634 [PMID: 22796524 DOI: 10.1016/j/bbrc.2012.07.015]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228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Schepers MS</w:t>
      </w:r>
      <w:r w:rsidRPr="00007463">
        <w:rPr>
          <w:rFonts w:ascii="Book Antiqua" w:eastAsia="宋体" w:hAnsi="Book Antiqua" w:cs="宋体"/>
          <w:color w:val="000000"/>
          <w:sz w:val="24"/>
          <w:szCs w:val="24"/>
        </w:rPr>
        <w:t>, van Ballegooijen ES, Bangma CH, Verkoelen CF. Oxalate is toxic to renal tubular cells only at supraphysiologic concentrations.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68</w:t>
      </w:r>
      <w:r w:rsidRPr="00007463">
        <w:rPr>
          <w:rFonts w:ascii="Book Antiqua" w:eastAsia="宋体" w:hAnsi="Book Antiqua" w:cs="宋体"/>
          <w:color w:val="000000"/>
          <w:sz w:val="24"/>
          <w:szCs w:val="24"/>
        </w:rPr>
        <w:t>: 1660-1669 [PMID: 16164643 DOI: 10.1111/j.1523-1755.2005.00576.x}]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229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Knoll T</w:t>
      </w:r>
      <w:r w:rsidRPr="00007463">
        <w:rPr>
          <w:rFonts w:ascii="Book Antiqua" w:eastAsia="宋体" w:hAnsi="Book Antiqua" w:cs="宋体"/>
          <w:color w:val="000000"/>
          <w:sz w:val="24"/>
          <w:szCs w:val="24"/>
        </w:rPr>
        <w:t>, Steidler A, Trojan L, Sagi S, Schaaf A, Yard B, Michel MS, Alken P. The influence of oxalate on renal epithelial and interstitial cells.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 Res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32</w:t>
      </w:r>
      <w:r w:rsidRPr="00007463">
        <w:rPr>
          <w:rFonts w:ascii="Book Antiqua" w:eastAsia="宋体" w:hAnsi="Book Antiqua" w:cs="宋体"/>
          <w:color w:val="000000"/>
          <w:sz w:val="24"/>
          <w:szCs w:val="24"/>
        </w:rPr>
        <w:t>: 304-309 [PMID: 15197515 DOI: 10.1007/s00240-004-0429-3]</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230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Khandrika L</w:t>
      </w:r>
      <w:r w:rsidRPr="00007463">
        <w:rPr>
          <w:rFonts w:ascii="Book Antiqua" w:eastAsia="宋体" w:hAnsi="Book Antiqua" w:cs="宋体"/>
          <w:color w:val="000000"/>
          <w:sz w:val="24"/>
          <w:szCs w:val="24"/>
        </w:rPr>
        <w:t>, Koul S, Meacham RB, Koul HK. Kidney injury molecule-1 is up-regulated in renal epithelial cells in response to oxalate in vitro and in renal tissues in response to hyperoxaluria in vivo.</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PLoS One</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w:t>
      </w:r>
      <w:r w:rsidRPr="00007463">
        <w:rPr>
          <w:rFonts w:ascii="Book Antiqua" w:eastAsia="宋体" w:hAnsi="Book Antiqua" w:cs="宋体"/>
          <w:color w:val="000000"/>
          <w:sz w:val="24"/>
          <w:szCs w:val="24"/>
        </w:rPr>
        <w:t>: e44174 [PMID: 22984472 DOI: 10.1371/journal.pone.0044174]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231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Horuz R</w:t>
      </w:r>
      <w:r w:rsidRPr="00007463">
        <w:rPr>
          <w:rFonts w:ascii="Book Antiqua" w:eastAsia="宋体" w:hAnsi="Book Antiqua" w:cs="宋体"/>
          <w:color w:val="000000"/>
          <w:sz w:val="24"/>
          <w:szCs w:val="24"/>
        </w:rPr>
        <w:t xml:space="preserve">, Göktaş C, Çetinel CA, Akça O, Aydın H, Ekici ID, Albayrak S, Sarıca K. Role of TNF-associated cytokines in renal tubular cell apoptosis induced by </w:t>
      </w:r>
      <w:r w:rsidRPr="00007463">
        <w:rPr>
          <w:rFonts w:ascii="Book Antiqua" w:eastAsia="宋体" w:hAnsi="Book Antiqua" w:cs="宋体"/>
          <w:color w:val="000000"/>
          <w:sz w:val="24"/>
          <w:szCs w:val="24"/>
        </w:rPr>
        <w:lastRenderedPageBreak/>
        <w:t>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Urolithiasis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41</w:t>
      </w:r>
      <w:r w:rsidRPr="00007463">
        <w:rPr>
          <w:rFonts w:ascii="Book Antiqua" w:eastAsia="宋体" w:hAnsi="Book Antiqua" w:cs="宋体"/>
          <w:color w:val="000000"/>
          <w:sz w:val="24"/>
          <w:szCs w:val="24"/>
        </w:rPr>
        <w:t>: 197-203 [PMID: 23595894 DOI: 10.1007/s00240-013-0559-6]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232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Gonçalves GM</w:t>
      </w:r>
      <w:r w:rsidRPr="00007463">
        <w:rPr>
          <w:rFonts w:ascii="Book Antiqua" w:eastAsia="宋体" w:hAnsi="Book Antiqua" w:cs="宋体"/>
          <w:color w:val="000000"/>
          <w:sz w:val="24"/>
          <w:szCs w:val="24"/>
        </w:rPr>
        <w:t>, Castoldi A, Braga TT, Câmara NO. New roles for innate immune response in acute and chronic kidney injuries.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Scand J Immunol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73</w:t>
      </w:r>
      <w:r w:rsidRPr="00007463">
        <w:rPr>
          <w:rFonts w:ascii="Book Antiqua" w:eastAsia="宋体" w:hAnsi="Book Antiqua" w:cs="宋体"/>
          <w:color w:val="000000"/>
          <w:sz w:val="24"/>
          <w:szCs w:val="24"/>
        </w:rPr>
        <w:t>: 428-435 [PMID: 21272051 DOI: 10.1111/j.1365-3083.2011.02523.x]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233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Mulay SR</w:t>
      </w:r>
      <w:r w:rsidRPr="00007463">
        <w:rPr>
          <w:rFonts w:ascii="Book Antiqua" w:eastAsia="宋体" w:hAnsi="Book Antiqua" w:cs="宋体"/>
          <w:color w:val="000000"/>
          <w:sz w:val="24"/>
          <w:szCs w:val="24"/>
        </w:rPr>
        <w:t>, Evan A, Anders HJ. Molecular mechanisms of crystal-related kidney inflammation and injury. Implications for cholesterol embolism, crystalline nephropathies and kidney stone disease.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 Dial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29</w:t>
      </w:r>
      <w:r w:rsidRPr="00007463">
        <w:rPr>
          <w:rFonts w:ascii="Book Antiqua" w:eastAsia="宋体" w:hAnsi="Book Antiqua" w:cs="宋体"/>
          <w:color w:val="000000"/>
          <w:sz w:val="24"/>
          <w:szCs w:val="24"/>
        </w:rPr>
        <w:t>: 507-514 [PMID: 24163269 DOI: 10.1093/ndt/gft248]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234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Gross O</w:t>
      </w:r>
      <w:r w:rsidRPr="00007463">
        <w:rPr>
          <w:rFonts w:ascii="Book Antiqua" w:eastAsia="宋体" w:hAnsi="Book Antiqua" w:cs="宋体"/>
          <w:color w:val="000000"/>
          <w:sz w:val="24"/>
          <w:szCs w:val="24"/>
        </w:rPr>
        <w:t>, Thomas CJ, Guarda G, Tschopp J. The inflammasome: an integrated view.</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Immunol Rev</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243</w:t>
      </w:r>
      <w:r w:rsidRPr="00007463">
        <w:rPr>
          <w:rFonts w:ascii="Book Antiqua" w:eastAsia="宋体" w:hAnsi="Book Antiqua" w:cs="宋体"/>
          <w:color w:val="000000"/>
          <w:sz w:val="24"/>
          <w:szCs w:val="24"/>
        </w:rPr>
        <w:t>: 136-151 [PMID: 21884173 DOI: 10.1111/j.1600-065X.2011.01046.x]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235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Dowling JK</w:t>
      </w:r>
      <w:r w:rsidRPr="00007463">
        <w:rPr>
          <w:rFonts w:ascii="Book Antiqua" w:eastAsia="宋体" w:hAnsi="Book Antiqua" w:cs="宋体"/>
          <w:color w:val="000000"/>
          <w:sz w:val="24"/>
          <w:szCs w:val="24"/>
        </w:rPr>
        <w:t>, O'Neill LA. Biochemical regulation of the inflammasome.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Crit Rev Biochem Mol Biol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47</w:t>
      </w:r>
      <w:r w:rsidRPr="00007463">
        <w:rPr>
          <w:rFonts w:ascii="Book Antiqua" w:eastAsia="宋体" w:hAnsi="Book Antiqua" w:cs="宋体"/>
          <w:color w:val="000000"/>
          <w:sz w:val="24"/>
          <w:szCs w:val="24"/>
        </w:rPr>
        <w:t>: 424-443 [PMID: 22681257 DOI: 10.3109/10409238.2012.694844]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 xml:space="preserve">236 </w:t>
      </w:r>
      <w:r w:rsidRPr="00007463">
        <w:rPr>
          <w:rFonts w:ascii="Book Antiqua" w:eastAsia="宋体" w:hAnsi="Book Antiqua" w:cs="宋体"/>
          <w:b/>
          <w:color w:val="000000"/>
          <w:sz w:val="24"/>
          <w:szCs w:val="24"/>
        </w:rPr>
        <w:t>Chai J</w:t>
      </w:r>
      <w:r w:rsidRPr="00007463">
        <w:rPr>
          <w:rFonts w:ascii="Book Antiqua" w:eastAsia="宋体" w:hAnsi="Book Antiqua" w:cs="宋体"/>
          <w:color w:val="000000"/>
          <w:sz w:val="24"/>
          <w:szCs w:val="24"/>
        </w:rPr>
        <w:t xml:space="preserve">, Shi Y. Apoptosome and inflammasome: conserved machineries for caspase activation. </w:t>
      </w:r>
      <w:r w:rsidRPr="00573EAB">
        <w:rPr>
          <w:rFonts w:ascii="Book Antiqua" w:eastAsia="宋体" w:hAnsi="Book Antiqua" w:cs="宋体"/>
          <w:i/>
          <w:color w:val="000000"/>
          <w:sz w:val="24"/>
          <w:szCs w:val="24"/>
        </w:rPr>
        <w:t>Natl Sci Rev</w:t>
      </w:r>
      <w:r w:rsidRPr="00007463">
        <w:rPr>
          <w:rFonts w:ascii="Book Antiqua" w:eastAsia="宋体" w:hAnsi="Book Antiqua" w:cs="宋体"/>
          <w:color w:val="000000"/>
          <w:sz w:val="24"/>
          <w:szCs w:val="24"/>
        </w:rPr>
        <w:t xml:space="preserve"> 2014; </w:t>
      </w:r>
      <w:r w:rsidRPr="00007463">
        <w:rPr>
          <w:rFonts w:ascii="Book Antiqua" w:eastAsia="宋体" w:hAnsi="Book Antiqua" w:cs="宋体"/>
          <w:b/>
          <w:color w:val="000000"/>
          <w:sz w:val="24"/>
          <w:szCs w:val="24"/>
        </w:rPr>
        <w:t>1:</w:t>
      </w:r>
      <w:r w:rsidRPr="00007463">
        <w:rPr>
          <w:rFonts w:ascii="Book Antiqua" w:eastAsia="宋体" w:hAnsi="Book Antiqua" w:cs="宋体"/>
          <w:color w:val="000000"/>
          <w:sz w:val="24"/>
          <w:szCs w:val="24"/>
        </w:rPr>
        <w:t xml:space="preserve"> 101-118 [DOI: 10.1093/nsr/nwt025]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237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Anders HJ</w:t>
      </w:r>
      <w:r w:rsidRPr="00007463">
        <w:rPr>
          <w:rFonts w:ascii="Book Antiqua" w:eastAsia="宋体" w:hAnsi="Book Antiqua" w:cs="宋体"/>
          <w:color w:val="000000"/>
          <w:sz w:val="24"/>
          <w:szCs w:val="24"/>
        </w:rPr>
        <w:t>, Muruve DA. The inflammasomes in kidney disease.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22</w:t>
      </w:r>
      <w:r w:rsidRPr="00007463">
        <w:rPr>
          <w:rFonts w:ascii="Book Antiqua" w:eastAsia="宋体" w:hAnsi="Book Antiqua" w:cs="宋体"/>
          <w:color w:val="000000"/>
          <w:sz w:val="24"/>
          <w:szCs w:val="24"/>
        </w:rPr>
        <w:t>: 1007-1018 [PMID: 21566058 DOI: 10.1681/ASN.2010080798]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238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Wang W</w:t>
      </w:r>
      <w:r w:rsidRPr="00007463">
        <w:rPr>
          <w:rFonts w:ascii="Book Antiqua" w:eastAsia="宋体" w:hAnsi="Book Antiqua" w:cs="宋体"/>
          <w:color w:val="000000"/>
          <w:sz w:val="24"/>
          <w:szCs w:val="24"/>
        </w:rPr>
        <w:t>, Wang X, Chun J, Vilaysane A, Clark S, French G, Bracey NA, Trpkov K, Bonni S, Duff HJ, Beck PL, Muruve DA. Inflammasome-independent NLRP3 augments TGF-β signaling in kidney epithelium.</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Immunol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190</w:t>
      </w:r>
      <w:r w:rsidRPr="00007463">
        <w:rPr>
          <w:rFonts w:ascii="Book Antiqua" w:eastAsia="宋体" w:hAnsi="Book Antiqua" w:cs="宋体"/>
          <w:color w:val="000000"/>
          <w:sz w:val="24"/>
          <w:szCs w:val="24"/>
        </w:rPr>
        <w:t>: 1239-1249 [PMID: 23264657 DOI: 10.4049/jimmunol.1201959]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239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Martinon F</w:t>
      </w:r>
      <w:r w:rsidRPr="00007463">
        <w:rPr>
          <w:rFonts w:ascii="Book Antiqua" w:eastAsia="宋体" w:hAnsi="Book Antiqua" w:cs="宋体"/>
          <w:color w:val="000000"/>
          <w:sz w:val="24"/>
          <w:szCs w:val="24"/>
        </w:rPr>
        <w:t>, Pétrilli V, Mayor A, Tardivel A, Tschopp J. Gout-associated uric acid crystals activate the NALP3 inflammasome.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Nature</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440</w:t>
      </w:r>
      <w:r w:rsidRPr="00007463">
        <w:rPr>
          <w:rFonts w:ascii="Book Antiqua" w:eastAsia="宋体" w:hAnsi="Book Antiqua" w:cs="宋体"/>
          <w:color w:val="000000"/>
          <w:sz w:val="24"/>
          <w:szCs w:val="24"/>
        </w:rPr>
        <w:t>: 237-241 [PMID: 16407889 DOI: 10.1038/nature04516]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240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Knauf F</w:t>
      </w:r>
      <w:r w:rsidRPr="00007463">
        <w:rPr>
          <w:rFonts w:ascii="Book Antiqua" w:eastAsia="宋体" w:hAnsi="Book Antiqua" w:cs="宋体"/>
          <w:color w:val="000000"/>
          <w:sz w:val="24"/>
          <w:szCs w:val="24"/>
        </w:rPr>
        <w:t>, Asplin JR, Granja I, Schmidt IM, Moeckel GW, David RJ, Flavell RA, Aronson PS. NALP3-mediated inflammation is a principal cause of progressive renal failure in oxalate nephropathy.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84</w:t>
      </w:r>
      <w:r w:rsidRPr="00007463">
        <w:rPr>
          <w:rFonts w:ascii="Book Antiqua" w:eastAsia="宋体" w:hAnsi="Book Antiqua" w:cs="宋体"/>
          <w:color w:val="000000"/>
          <w:sz w:val="24"/>
          <w:szCs w:val="24"/>
        </w:rPr>
        <w:t>: 895-901 [PMID: 23739234 DOI: 10.1038/ki.2013.207]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241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Kurts C</w:t>
      </w:r>
      <w:r w:rsidRPr="00007463">
        <w:rPr>
          <w:rFonts w:ascii="Book Antiqua" w:eastAsia="宋体" w:hAnsi="Book Antiqua" w:cs="宋体"/>
          <w:color w:val="000000"/>
          <w:sz w:val="24"/>
          <w:szCs w:val="24"/>
        </w:rPr>
        <w:t>. A crystal-clear mechanism of chronic kidney disease.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84</w:t>
      </w:r>
      <w:r w:rsidRPr="00007463">
        <w:rPr>
          <w:rFonts w:ascii="Book Antiqua" w:eastAsia="宋体" w:hAnsi="Book Antiqua" w:cs="宋体"/>
          <w:color w:val="000000"/>
          <w:sz w:val="24"/>
          <w:szCs w:val="24"/>
        </w:rPr>
        <w:t>: 859-861 [PMID: 24172728 DOI: 10.1038/ki.2013.251]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242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Mulay SR</w:t>
      </w:r>
      <w:r w:rsidRPr="00007463">
        <w:rPr>
          <w:rFonts w:ascii="Book Antiqua" w:eastAsia="宋体" w:hAnsi="Book Antiqua" w:cs="宋体"/>
          <w:color w:val="000000"/>
          <w:sz w:val="24"/>
          <w:szCs w:val="24"/>
        </w:rPr>
        <w:t>, Kulkarni OP, Rupanagudi KV, Migliorini A, Darisipudi MN, Vilaysane A, Muruve D, Shi Y, Munro F, Liapis H, Anders HJ. Calcium oxalate crystals induce renal inflammation by NLRP3-mediated IL-1β secretion.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Clin Invest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123</w:t>
      </w:r>
      <w:r w:rsidRPr="00007463">
        <w:rPr>
          <w:rFonts w:ascii="Book Antiqua" w:eastAsia="宋体" w:hAnsi="Book Antiqua" w:cs="宋体"/>
          <w:color w:val="000000"/>
          <w:sz w:val="24"/>
          <w:szCs w:val="24"/>
        </w:rPr>
        <w:t>: 236-246 [PMID: 23221343 DOI: 10.1172/JCI636679]</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243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Lorenz G</w:t>
      </w:r>
      <w:r w:rsidRPr="00007463">
        <w:rPr>
          <w:rFonts w:ascii="Book Antiqua" w:eastAsia="宋体" w:hAnsi="Book Antiqua" w:cs="宋体"/>
          <w:color w:val="000000"/>
          <w:sz w:val="24"/>
          <w:szCs w:val="24"/>
        </w:rPr>
        <w:t>, Darisipudi MN, Anders HJ. Canonical and non-canonical effects of the NLRP3 inflammasome in kidney inflammation and fibrosis.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Nephrol Dial Transplant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29</w:t>
      </w:r>
      <w:r w:rsidRPr="00007463">
        <w:rPr>
          <w:rFonts w:ascii="Book Antiqua" w:eastAsia="宋体" w:hAnsi="Book Antiqua" w:cs="宋体"/>
          <w:color w:val="000000"/>
          <w:sz w:val="24"/>
          <w:szCs w:val="24"/>
        </w:rPr>
        <w:t>: 41-48 [PMID: 24026244 DOI: 10.1093/ndt/gft332]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244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Hoppe B</w:t>
      </w:r>
      <w:r w:rsidRPr="00007463">
        <w:rPr>
          <w:rFonts w:ascii="Book Antiqua" w:eastAsia="宋体" w:hAnsi="Book Antiqua" w:cs="宋体"/>
          <w:color w:val="000000"/>
          <w:sz w:val="24"/>
          <w:szCs w:val="24"/>
        </w:rPr>
        <w:t>, Leumann E, von Unruh G, Laube N, Hesse A. Diagnostic and therapeutic approaches in patients with secondary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Front Biosci</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w:t>
      </w:r>
      <w:r w:rsidRPr="00007463">
        <w:rPr>
          <w:rFonts w:ascii="Book Antiqua" w:eastAsia="宋体" w:hAnsi="Book Antiqua" w:cs="宋体"/>
          <w:color w:val="000000"/>
          <w:sz w:val="24"/>
          <w:szCs w:val="24"/>
        </w:rPr>
        <w:t>: e437-e443 [PMID: 12957811]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245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Ferraz RR</w:t>
      </w:r>
      <w:r w:rsidRPr="00007463">
        <w:rPr>
          <w:rFonts w:ascii="Book Antiqua" w:eastAsia="宋体" w:hAnsi="Book Antiqua" w:cs="宋体"/>
          <w:color w:val="000000"/>
          <w:sz w:val="24"/>
          <w:szCs w:val="24"/>
        </w:rPr>
        <w:t>, Marques NC, Froeder L, Menon VB, Siliano PR, Baxmann AC, Heilberg IP. Effects of Lactobacillus casei and Bifidobacterium breve on urinary oxalate excretion in nephrolithiasis patients.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 Res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37</w:t>
      </w:r>
      <w:r w:rsidRPr="00007463">
        <w:rPr>
          <w:rFonts w:ascii="Book Antiqua" w:eastAsia="宋体" w:hAnsi="Book Antiqua" w:cs="宋体"/>
          <w:color w:val="000000"/>
          <w:sz w:val="24"/>
          <w:szCs w:val="24"/>
        </w:rPr>
        <w:t>: 95-100 [PMID: 19214493 DOI: 10.1007/s00240-009-0177-5]</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246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Jiang J</w:t>
      </w:r>
      <w:r w:rsidRPr="00007463">
        <w:rPr>
          <w:rFonts w:ascii="Book Antiqua" w:eastAsia="宋体" w:hAnsi="Book Antiqua" w:cs="宋体"/>
          <w:color w:val="000000"/>
          <w:sz w:val="24"/>
          <w:szCs w:val="24"/>
        </w:rPr>
        <w:t>, Knight J, Easter LH, Neiberg R, Holmes RP, Assimos DG. Impact of dietary calcium and oxalate, and Oxalobacter formigenes colonization on urinary oxalate excretion.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186</w:t>
      </w:r>
      <w:r w:rsidRPr="00007463">
        <w:rPr>
          <w:rFonts w:ascii="Book Antiqua" w:eastAsia="宋体" w:hAnsi="Book Antiqua" w:cs="宋体"/>
          <w:color w:val="000000"/>
          <w:sz w:val="24"/>
          <w:szCs w:val="24"/>
        </w:rPr>
        <w:t>: 135-139 [PMID: 21575973 DOI: 10.1016/j.juro.2011.03.006]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247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Goldfarb DS</w:t>
      </w:r>
      <w:r w:rsidRPr="00007463">
        <w:rPr>
          <w:rFonts w:ascii="Book Antiqua" w:eastAsia="宋体" w:hAnsi="Book Antiqua" w:cs="宋体"/>
          <w:color w:val="000000"/>
          <w:sz w:val="24"/>
          <w:szCs w:val="24"/>
        </w:rPr>
        <w:t>, Modersitzki F, Asplin JR. A randomized, controlled trial of lactic acid bacteria for idiopathic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w:t>
      </w:r>
      <w:r w:rsidRPr="00007463">
        <w:rPr>
          <w:rFonts w:ascii="Book Antiqua" w:eastAsia="宋体" w:hAnsi="Book Antiqua" w:cs="宋体"/>
          <w:color w:val="000000"/>
          <w:sz w:val="24"/>
          <w:szCs w:val="24"/>
        </w:rPr>
        <w:t>: 745-749 [PMID: 17699491 DOI: 10.2215/CJN.00600207]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248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Lieske JC</w:t>
      </w:r>
      <w:r w:rsidRPr="00007463">
        <w:rPr>
          <w:rFonts w:ascii="Book Antiqua" w:eastAsia="宋体" w:hAnsi="Book Antiqua" w:cs="宋体"/>
          <w:color w:val="000000"/>
          <w:sz w:val="24"/>
          <w:szCs w:val="24"/>
        </w:rPr>
        <w:t>, Tremaine WJ, De Simone C, O'Connor HM, Li X, Bergstralh EJ, Goldfarb DS. Diet, but not oral probiotics, effectively reduces urinary oxalate excretion and calcium oxalate supersaturation.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Kidney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78</w:t>
      </w:r>
      <w:r w:rsidRPr="00007463">
        <w:rPr>
          <w:rFonts w:ascii="Book Antiqua" w:eastAsia="宋体" w:hAnsi="Book Antiqua" w:cs="宋体"/>
          <w:color w:val="000000"/>
          <w:sz w:val="24"/>
          <w:szCs w:val="24"/>
        </w:rPr>
        <w:t>: 1178-1185 [PMID: 20736987 DOI: 10.1038/ki.2010.310]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249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Siener R</w:t>
      </w:r>
      <w:r w:rsidRPr="00007463">
        <w:rPr>
          <w:rFonts w:ascii="Book Antiqua" w:eastAsia="宋体" w:hAnsi="Book Antiqua" w:cs="宋体"/>
          <w:color w:val="000000"/>
          <w:sz w:val="24"/>
          <w:szCs w:val="24"/>
        </w:rPr>
        <w:t>, Bade DJ, Hesse A, Hoppe B. Dietary hyperoxaluria is not reduced by treatment with lactic acid bacteria.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Transl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11</w:t>
      </w:r>
      <w:r w:rsidRPr="00007463">
        <w:rPr>
          <w:rFonts w:ascii="Book Antiqua" w:eastAsia="宋体" w:hAnsi="Book Antiqua" w:cs="宋体"/>
          <w:color w:val="000000"/>
          <w:sz w:val="24"/>
          <w:szCs w:val="24"/>
        </w:rPr>
        <w:t>: 306 [PMID: 24330782 DOI: 10.1186/1479-5876-11-306]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250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Emmett M</w:t>
      </w:r>
      <w:r w:rsidRPr="00007463">
        <w:rPr>
          <w:rFonts w:ascii="Book Antiqua" w:eastAsia="宋体" w:hAnsi="Book Antiqua" w:cs="宋体"/>
          <w:color w:val="000000"/>
          <w:sz w:val="24"/>
          <w:szCs w:val="24"/>
        </w:rPr>
        <w:t>, Guirl MJ, Santa Ana CA, Porter JL, Neimark S, Hofmann AF, Fordtran JS. Conjugated bile acid replacement therapy reduces urinary oxalate excretion in short bowel syndrome.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41</w:t>
      </w:r>
      <w:r w:rsidRPr="00007463">
        <w:rPr>
          <w:rFonts w:ascii="Book Antiqua" w:eastAsia="宋体" w:hAnsi="Book Antiqua" w:cs="宋体"/>
          <w:color w:val="000000"/>
          <w:sz w:val="24"/>
          <w:szCs w:val="24"/>
        </w:rPr>
        <w:t>: 230-237 [PMID: 12500242 DOI: 10.1053/ajkd.2003.50012]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251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Toblli JE</w:t>
      </w:r>
      <w:r w:rsidRPr="00007463">
        <w:rPr>
          <w:rFonts w:ascii="Book Antiqua" w:eastAsia="宋体" w:hAnsi="Book Antiqua" w:cs="宋体"/>
          <w:color w:val="000000"/>
          <w:sz w:val="24"/>
          <w:szCs w:val="24"/>
        </w:rPr>
        <w:t>, Ferder L, Stella I, Angerosa M, Inserra F. Protective role of enalapril for chronic tubulointerstitial lesions of hyperoxaluria.</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Urol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166</w:t>
      </w:r>
      <w:r w:rsidRPr="00007463">
        <w:rPr>
          <w:rFonts w:ascii="Book Antiqua" w:eastAsia="宋体" w:hAnsi="Book Antiqua" w:cs="宋体"/>
          <w:color w:val="000000"/>
          <w:sz w:val="24"/>
          <w:szCs w:val="24"/>
        </w:rPr>
        <w:t>: 275-280 [PMID: 11435885 DOI: 10.1016/S0022-5347(05)66144-7]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252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Tsai CH</w:t>
      </w:r>
      <w:r w:rsidRPr="00007463">
        <w:rPr>
          <w:rFonts w:ascii="Book Antiqua" w:eastAsia="宋体" w:hAnsi="Book Antiqua" w:cs="宋体"/>
          <w:color w:val="000000"/>
          <w:sz w:val="24"/>
          <w:szCs w:val="24"/>
        </w:rPr>
        <w:t>, Chen YC, Chen LD, Pan TC, Ho CY, Lai MT, Tsai FJ, Chen WC. A traditional Chinese herbal antilithic formula, Wulingsan, effectively prevents the renal deposition of calcium oxalate crystal in ethylene glycol-fed rats.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 Res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36</w:t>
      </w:r>
      <w:r w:rsidRPr="00007463">
        <w:rPr>
          <w:rFonts w:ascii="Book Antiqua" w:eastAsia="宋体" w:hAnsi="Book Antiqua" w:cs="宋体"/>
          <w:color w:val="000000"/>
          <w:sz w:val="24"/>
          <w:szCs w:val="24"/>
        </w:rPr>
        <w:t>: 17-24 [PMID: 18040675 DOI: 10.1007/s00240-007-0122-4]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253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Vanachayangkul P</w:t>
      </w:r>
      <w:r w:rsidRPr="00007463">
        <w:rPr>
          <w:rFonts w:ascii="Book Antiqua" w:eastAsia="宋体" w:hAnsi="Book Antiqua" w:cs="宋体"/>
          <w:color w:val="000000"/>
          <w:sz w:val="24"/>
          <w:szCs w:val="24"/>
        </w:rPr>
        <w:t>, Byer K, Khan S, Butterweck V. An aqueous extract of Ammi visnaga fruits and its constituents khellin and visnagin prevent cell damage caused by oxalate in renal epithelial cells.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Phytomedicine</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17</w:t>
      </w:r>
      <w:r w:rsidRPr="00007463">
        <w:rPr>
          <w:rFonts w:ascii="Book Antiqua" w:eastAsia="宋体" w:hAnsi="Book Antiqua" w:cs="宋体"/>
          <w:color w:val="000000"/>
          <w:sz w:val="24"/>
          <w:szCs w:val="24"/>
        </w:rPr>
        <w:t>: 653-658 [PMID: 20036111 DOI: 10.1016/j.phymed.2009.10.011]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254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Chung TT</w:t>
      </w:r>
      <w:r w:rsidRPr="00007463">
        <w:rPr>
          <w:rFonts w:ascii="Book Antiqua" w:eastAsia="宋体" w:hAnsi="Book Antiqua" w:cs="宋体"/>
          <w:color w:val="000000"/>
          <w:sz w:val="24"/>
          <w:szCs w:val="24"/>
        </w:rPr>
        <w:t>, Summers S, Sheaff M, Cunningham J. Always look beyond the stones: hyperoxaluria overlooked.</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Clin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62</w:t>
      </w:r>
      <w:r w:rsidRPr="00007463">
        <w:rPr>
          <w:rFonts w:ascii="Book Antiqua" w:eastAsia="宋体" w:hAnsi="Book Antiqua" w:cs="宋体"/>
          <w:color w:val="000000"/>
          <w:sz w:val="24"/>
          <w:szCs w:val="24"/>
        </w:rPr>
        <w:t>: 58-61 [PMID: 15267015 DOI: 10.5414/CNP62058]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255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Mydlík M</w:t>
      </w:r>
      <w:r w:rsidRPr="00007463">
        <w:rPr>
          <w:rFonts w:ascii="Book Antiqua" w:eastAsia="宋体" w:hAnsi="Book Antiqua" w:cs="宋体"/>
          <w:color w:val="000000"/>
          <w:sz w:val="24"/>
          <w:szCs w:val="24"/>
        </w:rPr>
        <w:t>, Derzsiová K. Oxalic Acid as a uremic toxin.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Ren Nutr</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18</w:t>
      </w:r>
      <w:r w:rsidRPr="00007463">
        <w:rPr>
          <w:rFonts w:ascii="Book Antiqua" w:eastAsia="宋体" w:hAnsi="Book Antiqua" w:cs="宋体"/>
          <w:color w:val="000000"/>
          <w:sz w:val="24"/>
          <w:szCs w:val="24"/>
        </w:rPr>
        <w:t>: 33-39 [PMID: 18089441 DOI: 10.1053/j/jrn.2007.10.008]</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256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Tangri N</w:t>
      </w:r>
      <w:r w:rsidRPr="00007463">
        <w:rPr>
          <w:rFonts w:ascii="Book Antiqua" w:eastAsia="宋体" w:hAnsi="Book Antiqua" w:cs="宋体"/>
          <w:color w:val="000000"/>
          <w:sz w:val="24"/>
          <w:szCs w:val="24"/>
        </w:rPr>
        <w:t>, Kitsios GD, Inker LA, Griffith J, Naimark DM, Walker S, Rigatto C, Uhlig K, Kent DM, Levey AS. Risk prediction models for patients with chronic kidney disease: a systematic review.</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Ann Intern Med</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158</w:t>
      </w:r>
      <w:r w:rsidRPr="00007463">
        <w:rPr>
          <w:rFonts w:ascii="Book Antiqua" w:eastAsia="宋体" w:hAnsi="Book Antiqua" w:cs="宋体"/>
          <w:color w:val="000000"/>
          <w:sz w:val="24"/>
          <w:szCs w:val="24"/>
        </w:rPr>
        <w:t>: 596-603 [PMID: 23588748 DOI: ]10.7326/0003-4819-158-8-201304160-00004]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257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Holmes RP</w:t>
      </w:r>
      <w:r w:rsidRPr="00007463">
        <w:rPr>
          <w:rFonts w:ascii="Book Antiqua" w:eastAsia="宋体" w:hAnsi="Book Antiqua" w:cs="宋体"/>
          <w:color w:val="000000"/>
          <w:sz w:val="24"/>
          <w:szCs w:val="24"/>
        </w:rPr>
        <w:t>, Assimos DG, Goodman HO. Genetic and dietary influences on urinary oxalate excretion.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 Res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1998;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26</w:t>
      </w:r>
      <w:r w:rsidRPr="00007463">
        <w:rPr>
          <w:rFonts w:ascii="Book Antiqua" w:eastAsia="宋体" w:hAnsi="Book Antiqua" w:cs="宋体"/>
          <w:color w:val="000000"/>
          <w:sz w:val="24"/>
          <w:szCs w:val="24"/>
        </w:rPr>
        <w:t>: 195-200 [PMID: 9694602 DOI: 10.1007/s002400050046]</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258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Lewandowski S</w:t>
      </w:r>
      <w:r w:rsidRPr="00007463">
        <w:rPr>
          <w:rFonts w:ascii="Book Antiqua" w:eastAsia="宋体" w:hAnsi="Book Antiqua" w:cs="宋体"/>
          <w:color w:val="000000"/>
          <w:sz w:val="24"/>
          <w:szCs w:val="24"/>
        </w:rPr>
        <w:t xml:space="preserve">, Rodgers A, Schloss I. The influence of a high-oxalate/low-calcium diet on calcium oxalate renal stone risk factors in non-stone-forming black and white </w:t>
      </w:r>
      <w:r w:rsidRPr="00007463">
        <w:rPr>
          <w:rFonts w:ascii="Book Antiqua" w:eastAsia="宋体" w:hAnsi="Book Antiqua" w:cs="宋体"/>
          <w:color w:val="000000"/>
          <w:sz w:val="24"/>
          <w:szCs w:val="24"/>
        </w:rPr>
        <w:lastRenderedPageBreak/>
        <w:t>South African subjects.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BJU Int</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87</w:t>
      </w:r>
      <w:r w:rsidRPr="00007463">
        <w:rPr>
          <w:rFonts w:ascii="Book Antiqua" w:eastAsia="宋体" w:hAnsi="Book Antiqua" w:cs="宋体"/>
          <w:color w:val="000000"/>
          <w:sz w:val="24"/>
          <w:szCs w:val="24"/>
        </w:rPr>
        <w:t>: 307-311 [PMID: 11251520 DOI: 10.1046/j.1464-410x.2001.00064.x]</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259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Rodgers A</w:t>
      </w:r>
      <w:r w:rsidRPr="00007463">
        <w:rPr>
          <w:rFonts w:ascii="Book Antiqua" w:eastAsia="宋体" w:hAnsi="Book Antiqua" w:cs="宋体"/>
          <w:color w:val="000000"/>
          <w:sz w:val="24"/>
          <w:szCs w:val="24"/>
        </w:rPr>
        <w:t>, Allie-Hamdulay S, Pinnock D, Baretta G, Trinchieri A. Risk factors for renal calcium stone formation in South African and European young adults.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Arch Ital Urol Androl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2009;</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81</w:t>
      </w:r>
      <w:r w:rsidRPr="00007463">
        <w:rPr>
          <w:rFonts w:ascii="Book Antiqua" w:eastAsia="宋体" w:hAnsi="Book Antiqua" w:cs="宋体"/>
          <w:color w:val="000000"/>
          <w:sz w:val="24"/>
          <w:szCs w:val="24"/>
        </w:rPr>
        <w:t>: 171-174 [PMID: 19911680]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260</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Theka T</w:t>
      </w:r>
      <w:r w:rsidRPr="00007463">
        <w:rPr>
          <w:rFonts w:ascii="Book Antiqua" w:eastAsia="宋体" w:hAnsi="Book Antiqua" w:cs="宋体"/>
          <w:color w:val="000000"/>
          <w:sz w:val="24"/>
          <w:szCs w:val="24"/>
        </w:rPr>
        <w:t>, Rodgers A, Ravenscroft N, Lewandowski S. Intestinal permeability in subjects from two different race groups with diverse stone-risk profiles.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Urolithiasis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41</w:t>
      </w:r>
      <w:r w:rsidRPr="00007463">
        <w:rPr>
          <w:rFonts w:ascii="Book Antiqua" w:eastAsia="宋体" w:hAnsi="Book Antiqua" w:cs="宋体"/>
          <w:color w:val="000000"/>
          <w:sz w:val="24"/>
          <w:szCs w:val="24"/>
        </w:rPr>
        <w:t>: 111-117 [PMID: 23503872 DOI: 10.1007/s00240-013-0543-1]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261</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Taylor EN</w:t>
      </w:r>
      <w:r w:rsidRPr="00007463">
        <w:rPr>
          <w:rFonts w:ascii="Book Antiqua" w:eastAsia="宋体" w:hAnsi="Book Antiqua" w:cs="宋体"/>
          <w:color w:val="000000"/>
          <w:sz w:val="24"/>
          <w:szCs w:val="24"/>
        </w:rPr>
        <w:t>, Curhan GC. Differences in 24-hour urine composition between black and white women.</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Am Soc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18</w:t>
      </w:r>
      <w:r w:rsidRPr="00007463">
        <w:rPr>
          <w:rFonts w:ascii="Book Antiqua" w:eastAsia="宋体" w:hAnsi="Book Antiqua" w:cs="宋体"/>
          <w:color w:val="000000"/>
          <w:sz w:val="24"/>
          <w:szCs w:val="24"/>
        </w:rPr>
        <w:t>: 654-659 [PMID: 17215441 DOI: 10.1681/ASN.2006080854]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262</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Clark JS</w:t>
      </w:r>
      <w:r w:rsidRPr="00007463">
        <w:rPr>
          <w:rFonts w:ascii="Book Antiqua" w:eastAsia="宋体" w:hAnsi="Book Antiqua" w:cs="宋体"/>
          <w:color w:val="000000"/>
          <w:sz w:val="24"/>
          <w:szCs w:val="24"/>
        </w:rPr>
        <w:t>, Vandorpe DH, Chernova MN, Heneghan JF, Stewart AK, Alper SL. Species differences in Cl- affinity and in electrogenicity of SLC26A6-mediated oxalate/Cl- exchange correlate with the distinct human and mouse susceptibilities to nephrolithiasis.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Physiol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586</w:t>
      </w:r>
      <w:r w:rsidRPr="00007463">
        <w:rPr>
          <w:rFonts w:ascii="Book Antiqua" w:eastAsia="宋体" w:hAnsi="Book Antiqua" w:cs="宋体"/>
          <w:color w:val="000000"/>
          <w:sz w:val="24"/>
          <w:szCs w:val="24"/>
        </w:rPr>
        <w:t>: 1291-1306 [PMID: 18174209 DOI: 10.1113/jphysiol.2007.143222]</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263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Monico CG</w:t>
      </w:r>
      <w:r w:rsidRPr="00007463">
        <w:rPr>
          <w:rFonts w:ascii="Book Antiqua" w:eastAsia="宋体" w:hAnsi="Book Antiqua" w:cs="宋体"/>
          <w:color w:val="000000"/>
          <w:sz w:val="24"/>
          <w:szCs w:val="24"/>
        </w:rPr>
        <w:t>, Weinstein A, Jiang Z, Rohlinger AL, Cogal AG, Bjornson BB, Olson JB, Bergstralh EJ, Milliner DS, Aronson PS. Phenotypic and functional analysis of human SLC26A6 variants in patients with familial hyperoxaluria and calcium oxalate nephrolithiasis.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52</w:t>
      </w:r>
      <w:r w:rsidRPr="00007463">
        <w:rPr>
          <w:rFonts w:ascii="Book Antiqua" w:eastAsia="宋体" w:hAnsi="Book Antiqua" w:cs="宋体"/>
          <w:color w:val="000000"/>
          <w:sz w:val="24"/>
          <w:szCs w:val="24"/>
        </w:rPr>
        <w:t>: 1096-1103 [PMID: 18951670 DOI: 10.1053/j.ajkd.2008.07.041]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264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Rumsby G</w:t>
      </w:r>
      <w:r w:rsidRPr="00007463">
        <w:rPr>
          <w:rFonts w:ascii="Book Antiqua" w:eastAsia="宋体" w:hAnsi="Book Antiqua" w:cs="宋体"/>
          <w:color w:val="000000"/>
          <w:sz w:val="24"/>
          <w:szCs w:val="24"/>
        </w:rPr>
        <w:t>. Oxalate transport as contributor to primary hyperoxaluria: the jury is still out.</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Am J Kidney Dis</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52</w:t>
      </w:r>
      <w:r w:rsidRPr="00007463">
        <w:rPr>
          <w:rFonts w:ascii="Book Antiqua" w:eastAsia="宋体" w:hAnsi="Book Antiqua" w:cs="宋体"/>
          <w:color w:val="000000"/>
          <w:sz w:val="24"/>
          <w:szCs w:val="24"/>
        </w:rPr>
        <w:t>: 1031-1034 [PMID: 19026355 DOI: 10.1053/j.ajkd.2008.10.004]</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265</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Hatch M</w:t>
      </w:r>
      <w:r w:rsidRPr="00007463">
        <w:rPr>
          <w:rFonts w:ascii="Book Antiqua" w:eastAsia="宋体" w:hAnsi="Book Antiqua" w:cs="宋体"/>
          <w:color w:val="000000"/>
          <w:sz w:val="24"/>
          <w:szCs w:val="24"/>
        </w:rPr>
        <w:t>, Freel RW. The roles and mechanisms of intestinal oxalate transport in oxalate homeostasis.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Semin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2008;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28</w:t>
      </w:r>
      <w:r w:rsidRPr="00007463">
        <w:rPr>
          <w:rFonts w:ascii="Book Antiqua" w:eastAsia="宋体" w:hAnsi="Book Antiqua" w:cs="宋体"/>
          <w:color w:val="000000"/>
          <w:sz w:val="24"/>
          <w:szCs w:val="24"/>
        </w:rPr>
        <w:t>: 143-151 [PMID: 18359395 DOI: 10.1016.j.semnephrol.2008.01.007]</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lastRenderedPageBreak/>
        <w:t>266</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Dawson PA</w:t>
      </w:r>
      <w:r w:rsidRPr="00007463">
        <w:rPr>
          <w:rFonts w:ascii="Book Antiqua" w:eastAsia="宋体" w:hAnsi="Book Antiqua" w:cs="宋体"/>
          <w:color w:val="000000"/>
          <w:sz w:val="24"/>
          <w:szCs w:val="24"/>
        </w:rPr>
        <w:t>, Sim P, Mudge DW, Cowley D. Human SLC26A1 gene variants: a pilot study.</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ScientificWorldJournal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2013;</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2013</w:t>
      </w:r>
      <w:r w:rsidRPr="00007463">
        <w:rPr>
          <w:rFonts w:ascii="Book Antiqua" w:eastAsia="宋体" w:hAnsi="Book Antiqua" w:cs="宋体"/>
          <w:color w:val="000000"/>
          <w:sz w:val="24"/>
          <w:szCs w:val="24"/>
        </w:rPr>
        <w:t>: 541710 [PMID: 24250268 DOI: 10.1155/2013/541710]</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267</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Bid HK</w:t>
      </w:r>
      <w:r w:rsidRPr="00007463">
        <w:rPr>
          <w:rFonts w:ascii="Book Antiqua" w:eastAsia="宋体" w:hAnsi="Book Antiqua" w:cs="宋体"/>
          <w:color w:val="000000"/>
          <w:sz w:val="24"/>
          <w:szCs w:val="24"/>
        </w:rPr>
        <w:t>, Kumar A, Kapoor R, Mittal RD. Association of vitamin D receptor-gene (FokI) polymorphism with calcium oxalate nephrolithiasis.</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J Endourol</w:t>
      </w:r>
      <w:r w:rsidRPr="00417179">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2005</w:t>
      </w:r>
      <w:r w:rsidRPr="00007463">
        <w:rPr>
          <w:rFonts w:ascii="Book Antiqua" w:eastAsia="宋体" w:hAnsi="Book Antiqua" w:cs="宋体"/>
          <w:color w:val="000000"/>
          <w:sz w:val="24"/>
          <w:szCs w:val="24"/>
        </w:rPr>
        <w:t>;</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19</w:t>
      </w:r>
      <w:r w:rsidRPr="00007463">
        <w:rPr>
          <w:rFonts w:ascii="Book Antiqua" w:eastAsia="宋体" w:hAnsi="Book Antiqua" w:cs="宋体"/>
          <w:color w:val="000000"/>
          <w:sz w:val="24"/>
          <w:szCs w:val="24"/>
        </w:rPr>
        <w:t>: 111-115 [PMID: 15735395 DOI: 10.1089/end.2005.19.111]</w:t>
      </w:r>
    </w:p>
    <w:p w:rsidR="002A048C" w:rsidRPr="00007463" w:rsidRDefault="002A048C" w:rsidP="002A048C">
      <w:pPr>
        <w:spacing w:after="0" w:line="360" w:lineRule="auto"/>
        <w:jc w:val="both"/>
        <w:rPr>
          <w:rFonts w:ascii="Book Antiqua" w:eastAsia="宋体" w:hAnsi="Book Antiqua" w:cs="宋体"/>
          <w:color w:val="000000"/>
          <w:sz w:val="24"/>
          <w:szCs w:val="24"/>
        </w:rPr>
      </w:pPr>
      <w:r w:rsidRPr="00007463">
        <w:rPr>
          <w:rFonts w:ascii="Book Antiqua" w:eastAsia="宋体" w:hAnsi="Book Antiqua" w:cs="宋体"/>
          <w:color w:val="000000"/>
          <w:sz w:val="24"/>
          <w:szCs w:val="24"/>
        </w:rPr>
        <w:t>268</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Turner CM</w:t>
      </w:r>
      <w:r w:rsidRPr="00007463">
        <w:rPr>
          <w:rFonts w:ascii="Book Antiqua" w:eastAsia="宋体" w:hAnsi="Book Antiqua" w:cs="宋体"/>
          <w:color w:val="000000"/>
          <w:sz w:val="24"/>
          <w:szCs w:val="24"/>
        </w:rPr>
        <w:t>, Arulkumaran N, Singer M, Unwin RJ, Tam FW. Is the inflammasome a potential therapeutic target in renal disease?</w:t>
      </w:r>
      <w:r w:rsidRPr="00417179">
        <w:rPr>
          <w:rFonts w:ascii="Book Antiqua" w:eastAsia="宋体" w:hAnsi="Book Antiqua" w:cs="宋体"/>
          <w:color w:val="000000"/>
          <w:sz w:val="24"/>
          <w:szCs w:val="24"/>
        </w:rPr>
        <w:t> </w:t>
      </w:r>
      <w:r w:rsidRPr="00007463">
        <w:rPr>
          <w:rFonts w:ascii="Book Antiqua" w:eastAsia="宋体" w:hAnsi="Book Antiqua" w:cs="宋体"/>
          <w:i/>
          <w:iCs/>
          <w:color w:val="000000"/>
          <w:sz w:val="24"/>
          <w:szCs w:val="24"/>
        </w:rPr>
        <w:t>BMC Nephrol</w:t>
      </w:r>
      <w:r w:rsidRPr="00417179">
        <w:rPr>
          <w:rFonts w:ascii="Book Antiqua" w:eastAsia="宋体" w:hAnsi="Book Antiqua" w:cs="宋体"/>
          <w:color w:val="000000"/>
          <w:sz w:val="24"/>
          <w:szCs w:val="24"/>
        </w:rPr>
        <w:t> </w:t>
      </w:r>
      <w:r w:rsidRPr="00007463">
        <w:rPr>
          <w:rFonts w:ascii="Book Antiqua" w:eastAsia="宋体" w:hAnsi="Book Antiqua" w:cs="宋体"/>
          <w:color w:val="000000"/>
          <w:sz w:val="24"/>
          <w:szCs w:val="24"/>
        </w:rPr>
        <w:t>2014;</w:t>
      </w:r>
      <w:r w:rsidRPr="00417179">
        <w:rPr>
          <w:rFonts w:ascii="Book Antiqua" w:eastAsia="宋体" w:hAnsi="Book Antiqua" w:cs="宋体"/>
          <w:color w:val="000000"/>
          <w:sz w:val="24"/>
          <w:szCs w:val="24"/>
        </w:rPr>
        <w:t> </w:t>
      </w:r>
      <w:r w:rsidRPr="00007463">
        <w:rPr>
          <w:rFonts w:ascii="Book Antiqua" w:eastAsia="宋体" w:hAnsi="Book Antiqua" w:cs="宋体"/>
          <w:b/>
          <w:bCs/>
          <w:color w:val="000000"/>
          <w:sz w:val="24"/>
          <w:szCs w:val="24"/>
        </w:rPr>
        <w:t>15</w:t>
      </w:r>
      <w:r w:rsidRPr="00007463">
        <w:rPr>
          <w:rFonts w:ascii="Book Antiqua" w:eastAsia="宋体" w:hAnsi="Book Antiqua" w:cs="宋体"/>
          <w:color w:val="000000"/>
          <w:sz w:val="24"/>
          <w:szCs w:val="24"/>
        </w:rPr>
        <w:t>: 21 [PMID: 24450291 DOI: 10.1186/1471-2369-15-21]</w:t>
      </w:r>
    </w:p>
    <w:p w:rsidR="002A048C" w:rsidRPr="00417179" w:rsidRDefault="002A048C" w:rsidP="002A048C">
      <w:pPr>
        <w:spacing w:after="0" w:line="360" w:lineRule="auto"/>
        <w:jc w:val="both"/>
        <w:rPr>
          <w:rFonts w:ascii="Book Antiqua" w:hAnsi="Book Antiqua"/>
          <w:sz w:val="24"/>
          <w:szCs w:val="24"/>
        </w:rPr>
      </w:pPr>
    </w:p>
    <w:p w:rsidR="002A048C" w:rsidRPr="00CE4867" w:rsidRDefault="002A048C" w:rsidP="002A048C">
      <w:pPr>
        <w:wordWrap w:val="0"/>
        <w:spacing w:line="360" w:lineRule="auto"/>
        <w:jc w:val="right"/>
        <w:rPr>
          <w:rFonts w:ascii="Book Antiqua" w:hAnsi="Book Antiqua"/>
          <w:b/>
          <w:bCs/>
          <w:color w:val="000000"/>
          <w:sz w:val="24"/>
        </w:rPr>
      </w:pPr>
      <w:bookmarkStart w:id="142" w:name="OLE_LINK11"/>
      <w:bookmarkStart w:id="143" w:name="OLE_LINK12"/>
      <w:bookmarkStart w:id="144" w:name="OLE_LINK36"/>
      <w:bookmarkStart w:id="145" w:name="OLE_LINK37"/>
      <w:bookmarkStart w:id="146" w:name="OLE_LINK20"/>
      <w:bookmarkStart w:id="147" w:name="OLE_LINK80"/>
      <w:bookmarkStart w:id="148" w:name="OLE_LINK85"/>
      <w:bookmarkStart w:id="149" w:name="OLE_LINK194"/>
      <w:bookmarkStart w:id="150" w:name="OLE_LINK118"/>
      <w:bookmarkStart w:id="151" w:name="OLE_LINK159"/>
      <w:bookmarkStart w:id="152" w:name="OLE_LINK200"/>
      <w:bookmarkStart w:id="153" w:name="OLE_LINK310"/>
      <w:bookmarkStart w:id="154" w:name="OLE_LINK225"/>
      <w:bookmarkStart w:id="155" w:name="OLE_LINK344"/>
      <w:bookmarkStart w:id="156" w:name="OLE_LINK397"/>
      <w:bookmarkStart w:id="157" w:name="OLE_LINK229"/>
      <w:bookmarkStart w:id="158" w:name="OLE_LINK471"/>
      <w:bookmarkStart w:id="159" w:name="OLE_LINK234"/>
      <w:bookmarkStart w:id="160" w:name="OLE_LINK251"/>
      <w:bookmarkStart w:id="161" w:name="OLE_LINK474"/>
      <w:bookmarkStart w:id="162" w:name="OLE_LINK235"/>
      <w:bookmarkStart w:id="163" w:name="OLE_LINK466"/>
      <w:bookmarkStart w:id="164" w:name="OLE_LINK481"/>
      <w:bookmarkStart w:id="165" w:name="OLE_LINK501"/>
      <w:bookmarkStart w:id="166" w:name="OLE_LINK515"/>
      <w:bookmarkStart w:id="167" w:name="OLE_LINK516"/>
      <w:bookmarkStart w:id="168" w:name="OLE_LINK532"/>
      <w:bookmarkStart w:id="169" w:name="OLE_LINK549"/>
      <w:bookmarkStart w:id="170" w:name="OLE_LINK518"/>
      <w:bookmarkStart w:id="171" w:name="OLE_LINK616"/>
      <w:bookmarkStart w:id="172" w:name="OLE_LINK494"/>
      <w:bookmarkStart w:id="173" w:name="OLE_LINK244"/>
      <w:bookmarkStart w:id="174" w:name="OLE_LINK249"/>
      <w:bookmarkStart w:id="175" w:name="OLE_LINK254"/>
      <w:bookmarkStart w:id="176" w:name="OLE_LINK507"/>
      <w:bookmarkStart w:id="177" w:name="OLE_LINK520"/>
      <w:bookmarkStart w:id="178" w:name="OLE_LINK488"/>
      <w:bookmarkStart w:id="179" w:name="OLE_LINK506"/>
      <w:bookmarkStart w:id="180" w:name="OLE_LINK530"/>
      <w:bookmarkStart w:id="181" w:name="OLE_LINK539"/>
      <w:bookmarkStart w:id="182" w:name="OLE_LINK545"/>
      <w:bookmarkStart w:id="183" w:name="OLE_LINK636"/>
      <w:r w:rsidRPr="00CE4867">
        <w:rPr>
          <w:rStyle w:val="a9"/>
          <w:rFonts w:ascii="Book Antiqua" w:hAnsi="Book Antiqua"/>
          <w:noProof/>
          <w:color w:val="000000"/>
          <w:sz w:val="24"/>
          <w:szCs w:val="24"/>
        </w:rPr>
        <w:t>P-Reviewer</w:t>
      </w:r>
      <w:bookmarkEnd w:id="142"/>
      <w:bookmarkEnd w:id="143"/>
      <w:r>
        <w:rPr>
          <w:rStyle w:val="a9"/>
          <w:rFonts w:ascii="Book Antiqua" w:hAnsi="Book Antiqua" w:hint="eastAsia"/>
          <w:noProof/>
          <w:color w:val="000000"/>
          <w:sz w:val="24"/>
          <w:szCs w:val="24"/>
        </w:rPr>
        <w:t>:</w:t>
      </w:r>
      <w:r w:rsidRPr="00CE4867">
        <w:rPr>
          <w:rFonts w:ascii="Book Antiqua" w:hAnsi="Book Antiqua"/>
          <w:b/>
          <w:bCs/>
          <w:color w:val="000000"/>
          <w:sz w:val="24"/>
        </w:rPr>
        <w:t xml:space="preserve"> </w:t>
      </w:r>
      <w:r w:rsidRPr="002A048C">
        <w:rPr>
          <w:rFonts w:ascii="Book Antiqua" w:hAnsi="Book Antiqua"/>
          <w:bCs/>
          <w:color w:val="000000"/>
          <w:sz w:val="24"/>
        </w:rPr>
        <w:t>Lehtonen</w:t>
      </w:r>
      <w:r>
        <w:rPr>
          <w:rFonts w:ascii="Book Antiqua" w:hAnsi="Book Antiqua" w:hint="eastAsia"/>
          <w:bCs/>
          <w:color w:val="000000"/>
          <w:sz w:val="24"/>
          <w:lang w:eastAsia="zh-CN"/>
        </w:rPr>
        <w:t xml:space="preserve"> </w:t>
      </w:r>
      <w:r w:rsidRPr="002A048C">
        <w:rPr>
          <w:rFonts w:ascii="Book Antiqua" w:hAnsi="Book Antiqua"/>
          <w:bCs/>
          <w:color w:val="000000"/>
          <w:sz w:val="24"/>
        </w:rPr>
        <w:t>S</w:t>
      </w:r>
      <w:r>
        <w:rPr>
          <w:rFonts w:ascii="Book Antiqua" w:hAnsi="Book Antiqua" w:hint="eastAsia"/>
          <w:bCs/>
          <w:color w:val="000000"/>
          <w:sz w:val="24"/>
          <w:lang w:eastAsia="zh-CN"/>
        </w:rPr>
        <w:t xml:space="preserve">H, </w:t>
      </w:r>
      <w:r w:rsidRPr="002A048C">
        <w:rPr>
          <w:rFonts w:ascii="Book Antiqua" w:hAnsi="Book Antiqua"/>
          <w:bCs/>
          <w:color w:val="000000"/>
          <w:sz w:val="24"/>
          <w:lang w:eastAsia="zh-CN"/>
        </w:rPr>
        <w:t>Sakhaee</w:t>
      </w:r>
      <w:r>
        <w:rPr>
          <w:rFonts w:ascii="Book Antiqua" w:hAnsi="Book Antiqua" w:hint="eastAsia"/>
          <w:bCs/>
          <w:color w:val="000000"/>
          <w:sz w:val="24"/>
          <w:lang w:eastAsia="zh-CN"/>
        </w:rPr>
        <w:t xml:space="preserve"> </w:t>
      </w:r>
      <w:r w:rsidRPr="002A048C">
        <w:rPr>
          <w:rFonts w:ascii="Book Antiqua" w:hAnsi="Book Antiqua"/>
          <w:bCs/>
          <w:color w:val="000000"/>
          <w:sz w:val="24"/>
          <w:lang w:eastAsia="zh-CN"/>
        </w:rPr>
        <w:t>K</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rsidR="00F2207B" w:rsidRDefault="00F2207B" w:rsidP="002A048C">
      <w:pPr>
        <w:spacing w:after="0" w:line="360" w:lineRule="auto"/>
        <w:jc w:val="both"/>
        <w:rPr>
          <w:rFonts w:ascii="Book Antiqua" w:hAnsi="Book Antiqua" w:cs="Arial"/>
          <w:sz w:val="24"/>
          <w:szCs w:val="24"/>
          <w:lang w:eastAsia="zh-CN"/>
        </w:rPr>
      </w:pPr>
    </w:p>
    <w:p w:rsidR="00B72270" w:rsidRPr="00612EED" w:rsidRDefault="00B72270" w:rsidP="00B72270">
      <w:pPr>
        <w:spacing w:after="0" w:line="360" w:lineRule="auto"/>
        <w:jc w:val="both"/>
        <w:rPr>
          <w:rFonts w:ascii="Book Antiqua" w:hAnsi="Book Antiqua" w:cs="Times New Roman"/>
          <w:sz w:val="24"/>
          <w:szCs w:val="24"/>
        </w:rPr>
      </w:pPr>
    </w:p>
    <w:p w:rsidR="00B72270" w:rsidRPr="00612EED" w:rsidRDefault="00B72270" w:rsidP="00B72270">
      <w:pPr>
        <w:spacing w:after="0" w:line="360" w:lineRule="auto"/>
        <w:jc w:val="both"/>
        <w:rPr>
          <w:rFonts w:ascii="Book Antiqua" w:hAnsi="Book Antiqua"/>
          <w:sz w:val="24"/>
          <w:szCs w:val="24"/>
        </w:rPr>
      </w:pPr>
    </w:p>
    <w:p w:rsidR="00B72270" w:rsidRPr="00612EED" w:rsidRDefault="00B72270" w:rsidP="00B72270">
      <w:pPr>
        <w:spacing w:after="0" w:line="360" w:lineRule="auto"/>
        <w:jc w:val="both"/>
        <w:rPr>
          <w:rFonts w:ascii="Book Antiqua" w:hAnsi="Book Antiqua"/>
          <w:sz w:val="24"/>
          <w:szCs w:val="24"/>
        </w:rPr>
      </w:pPr>
      <w:r>
        <w:rPr>
          <w:rFonts w:ascii="Book Antiqua" w:hAnsi="Book Antiqua"/>
          <w:sz w:val="24"/>
          <w:szCs w:val="24"/>
        </w:rPr>
        <w:t xml:space="preserve">  </w:t>
      </w:r>
      <w:r w:rsidRPr="00612EED">
        <w:rPr>
          <w:rFonts w:ascii="Book Antiqua" w:hAnsi="Book Antiqua"/>
          <w:sz w:val="24"/>
          <w:szCs w:val="24"/>
        </w:rPr>
        <w:t xml:space="preserve"> </w:t>
      </w:r>
      <w:r w:rsidRPr="00612EED">
        <w:rPr>
          <w:rFonts w:ascii="Book Antiqua" w:hAnsi="Book Antiqua"/>
          <w:sz w:val="24"/>
          <w:szCs w:val="24"/>
        </w:rPr>
        <w:object w:dxaOrig="8123" w:dyaOrig="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271.5pt" o:ole="">
            <v:imagedata r:id="rId9" o:title=""/>
          </v:shape>
          <o:OLEObject Type="Embed" ProgID="ChemDraw.Document.6.0" ShapeID="_x0000_i1025" DrawAspect="Content" ObjectID="_1470722559" r:id="rId10"/>
        </w:object>
      </w:r>
    </w:p>
    <w:p w:rsidR="00B72270" w:rsidRPr="00612EED" w:rsidRDefault="00B72270" w:rsidP="00B72270">
      <w:pPr>
        <w:spacing w:after="0" w:line="360" w:lineRule="auto"/>
        <w:jc w:val="both"/>
        <w:rPr>
          <w:rFonts w:ascii="Book Antiqua" w:hAnsi="Book Antiqua" w:cs="Times New Roman"/>
          <w:b/>
          <w:sz w:val="24"/>
          <w:szCs w:val="24"/>
        </w:rPr>
      </w:pPr>
    </w:p>
    <w:p w:rsidR="00B72270" w:rsidRPr="00612EED" w:rsidRDefault="00B72270" w:rsidP="00B72270">
      <w:pPr>
        <w:spacing w:after="0" w:line="360" w:lineRule="auto"/>
        <w:jc w:val="both"/>
        <w:rPr>
          <w:rFonts w:ascii="Book Antiqua" w:hAnsi="Book Antiqua" w:cs="Times New Roman"/>
          <w:sz w:val="24"/>
          <w:szCs w:val="24"/>
        </w:rPr>
      </w:pPr>
      <w:r w:rsidRPr="003D42A7">
        <w:rPr>
          <w:rFonts w:ascii="Book Antiqua" w:hAnsi="Book Antiqua" w:cs="Times New Roman"/>
          <w:b/>
          <w:sz w:val="24"/>
          <w:szCs w:val="24"/>
        </w:rPr>
        <w:lastRenderedPageBreak/>
        <w:t xml:space="preserve">Figure 1 Biosynthesis of calcium oxalate. </w:t>
      </w:r>
      <w:r w:rsidRPr="00612EED">
        <w:rPr>
          <w:rFonts w:ascii="Book Antiqua" w:hAnsi="Book Antiqua" w:cs="Times New Roman"/>
          <w:sz w:val="24"/>
          <w:szCs w:val="24"/>
        </w:rPr>
        <w:t>Glyoxylate is the main precursor of oxalate which combines spontaneously with calcium ions to form calcium oxalate.</w:t>
      </w:r>
      <w:r>
        <w:rPr>
          <w:rFonts w:ascii="Book Antiqua" w:hAnsi="Book Antiqua" w:cs="Times New Roman"/>
          <w:sz w:val="24"/>
          <w:szCs w:val="24"/>
        </w:rPr>
        <w:t xml:space="preserve"> </w:t>
      </w:r>
      <w:r w:rsidRPr="00612EED">
        <w:rPr>
          <w:rFonts w:ascii="Book Antiqua" w:hAnsi="Book Antiqua" w:cs="Times New Roman"/>
          <w:sz w:val="24"/>
          <w:szCs w:val="24"/>
        </w:rPr>
        <w:t>Names of enzymes: 1, serine hydroxymethyltransferase; 2, D-amino acid oxidase; 3, alanine:glyoxylate aminotransferase (AGT); 4, glyoxylate reductase-hydroxypyruvate reductase (GRHPR); 5, glycolate oxidase; 6, alcohol dehydrogenase; 7, aldehyde dehydrogenase; 8, lactate dehydrogenase; 9, five enzyme-catalyzed reactions.</w:t>
      </w:r>
      <w:r>
        <w:rPr>
          <w:rFonts w:ascii="Book Antiqua" w:hAnsi="Book Antiqua" w:cs="Times New Roman"/>
          <w:sz w:val="24"/>
          <w:szCs w:val="24"/>
        </w:rPr>
        <w:t xml:space="preserve"> </w:t>
      </w:r>
      <w:r w:rsidRPr="00612EED">
        <w:rPr>
          <w:rFonts w:ascii="Book Antiqua" w:hAnsi="Book Antiqua" w:cs="Times New Roman"/>
          <w:sz w:val="24"/>
          <w:szCs w:val="24"/>
        </w:rPr>
        <w:t>PH1 results from mutations in AGT which is a hepatic peroxisomal enzyme.</w:t>
      </w:r>
      <w:r>
        <w:rPr>
          <w:rFonts w:ascii="Book Antiqua" w:hAnsi="Book Antiqua" w:cs="Times New Roman"/>
          <w:sz w:val="24"/>
          <w:szCs w:val="24"/>
        </w:rPr>
        <w:t xml:space="preserve"> </w:t>
      </w:r>
      <w:r w:rsidRPr="00612EED">
        <w:rPr>
          <w:rFonts w:ascii="Book Antiqua" w:hAnsi="Book Antiqua" w:cs="Times New Roman"/>
          <w:sz w:val="24"/>
          <w:szCs w:val="24"/>
        </w:rPr>
        <w:t>PH2 results from mutations in GRHPR which is a cytosolic enzyme found in several tissues, but primarily the liver.</w:t>
      </w:r>
      <w:r>
        <w:rPr>
          <w:rFonts w:ascii="Book Antiqua" w:hAnsi="Book Antiqua" w:cs="Times New Roman"/>
          <w:sz w:val="24"/>
          <w:szCs w:val="24"/>
        </w:rPr>
        <w:t xml:space="preserve"> </w:t>
      </w:r>
      <w:r w:rsidRPr="00612EED">
        <w:rPr>
          <w:rFonts w:ascii="Book Antiqua" w:hAnsi="Book Antiqua" w:cs="Times New Roman"/>
          <w:sz w:val="24"/>
          <w:szCs w:val="24"/>
        </w:rPr>
        <w:t>PH3 results from defects in the hepatic mitochondrial enzyme 4-hydroxy-2-oxoglutarate (HOG) aldolase which converts HOG and glyoxylate to pyruvate (reaction not shown), the last step in hydroxyproline catabolism.</w:t>
      </w:r>
      <w:r>
        <w:rPr>
          <w:rFonts w:ascii="Book Antiqua" w:hAnsi="Book Antiqua" w:cs="Times New Roman"/>
          <w:sz w:val="24"/>
          <w:szCs w:val="24"/>
        </w:rPr>
        <w:t xml:space="preserve"> </w:t>
      </w:r>
      <w:r w:rsidRPr="00612EED">
        <w:rPr>
          <w:rFonts w:ascii="Book Antiqua" w:hAnsi="Book Antiqua" w:cs="Times New Roman"/>
          <w:sz w:val="24"/>
          <w:szCs w:val="24"/>
        </w:rPr>
        <w:t xml:space="preserve">The reason why a deficiency of HOG aldolase activity increases oxalate production is obscure. </w:t>
      </w:r>
    </w:p>
    <w:p w:rsidR="00B72270" w:rsidRPr="00612EED" w:rsidRDefault="00B72270" w:rsidP="00B72270">
      <w:pPr>
        <w:spacing w:after="0" w:line="360" w:lineRule="auto"/>
        <w:jc w:val="both"/>
        <w:rPr>
          <w:rFonts w:ascii="Book Antiqua" w:hAnsi="Book Antiqua" w:cs="Times New Roman"/>
          <w:sz w:val="24"/>
          <w:szCs w:val="24"/>
        </w:rPr>
      </w:pPr>
    </w:p>
    <w:p w:rsidR="00B72270" w:rsidRPr="00612EED" w:rsidRDefault="00B72270" w:rsidP="00B72270">
      <w:pPr>
        <w:spacing w:after="0" w:line="360" w:lineRule="auto"/>
        <w:jc w:val="both"/>
        <w:rPr>
          <w:rFonts w:ascii="Book Antiqua" w:hAnsi="Book Antiqua" w:cs="Times New Roman"/>
          <w:b/>
          <w:sz w:val="24"/>
          <w:szCs w:val="24"/>
        </w:rPr>
      </w:pPr>
      <w:r w:rsidRPr="00612EED">
        <w:rPr>
          <w:rFonts w:ascii="Book Antiqua" w:hAnsi="Book Antiqua" w:cs="Times New Roman"/>
          <w:b/>
          <w:noProof/>
          <w:sz w:val="24"/>
          <w:szCs w:val="24"/>
          <w:lang w:eastAsia="zh-CN"/>
        </w:rPr>
        <w:lastRenderedPageBreak/>
        <w:drawing>
          <wp:inline distT="0" distB="0" distL="0" distR="0" wp14:anchorId="295C8D2A" wp14:editId="5EA04F7C">
            <wp:extent cx="5943600" cy="6616460"/>
            <wp:effectExtent l="0" t="0" r="0" b="0"/>
            <wp:docPr id="1" name="Picture 1" descr="\\R01DVRHSMABQ.R01.MED.VA.GOV\homedir$\vhaabqtzamaa\Dietary hyperoxaluria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1DVRHSMABQ.R01.MED.VA.GOV\homedir$\vhaabqtzamaa\Dietary hyperoxaluriaFig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616460"/>
                    </a:xfrm>
                    <a:prstGeom prst="rect">
                      <a:avLst/>
                    </a:prstGeom>
                    <a:noFill/>
                    <a:ln>
                      <a:noFill/>
                    </a:ln>
                  </pic:spPr>
                </pic:pic>
              </a:graphicData>
            </a:graphic>
          </wp:inline>
        </w:drawing>
      </w:r>
    </w:p>
    <w:p w:rsidR="00B72270" w:rsidRPr="00612EED" w:rsidRDefault="00B72270" w:rsidP="00B72270">
      <w:pPr>
        <w:spacing w:after="0" w:line="360" w:lineRule="auto"/>
        <w:jc w:val="both"/>
        <w:rPr>
          <w:rFonts w:ascii="Book Antiqua" w:hAnsi="Book Antiqua"/>
          <w:sz w:val="24"/>
          <w:szCs w:val="24"/>
        </w:rPr>
      </w:pPr>
      <w:r w:rsidRPr="00612EED">
        <w:rPr>
          <w:rFonts w:ascii="Book Antiqua" w:hAnsi="Book Antiqua" w:cs="Times New Roman"/>
          <w:b/>
          <w:sz w:val="24"/>
          <w:szCs w:val="24"/>
        </w:rPr>
        <w:t>Figure 2</w:t>
      </w:r>
      <w:r>
        <w:rPr>
          <w:rFonts w:ascii="Book Antiqua" w:hAnsi="Book Antiqua" w:cs="Times New Roman"/>
          <w:sz w:val="24"/>
          <w:szCs w:val="24"/>
        </w:rPr>
        <w:t xml:space="preserve"> </w:t>
      </w:r>
      <w:r w:rsidRPr="0056664B">
        <w:rPr>
          <w:rFonts w:ascii="Book Antiqua" w:hAnsi="Book Antiqua" w:cs="Times New Roman"/>
          <w:b/>
          <w:sz w:val="24"/>
          <w:szCs w:val="24"/>
        </w:rPr>
        <w:t xml:space="preserve">Sequential imaging studies of a not yet reported patient with </w:t>
      </w:r>
      <w:r w:rsidR="006D4560" w:rsidRPr="0056664B">
        <w:rPr>
          <w:rFonts w:ascii="Book Antiqua" w:hAnsi="Book Antiqua" w:cs="Times New Roman"/>
          <w:b/>
          <w:sz w:val="24"/>
          <w:szCs w:val="24"/>
        </w:rPr>
        <w:t>chronic kidney disease</w:t>
      </w:r>
      <w:r w:rsidRPr="0056664B">
        <w:rPr>
          <w:rFonts w:ascii="Book Antiqua" w:hAnsi="Book Antiqua" w:cs="Times New Roman"/>
          <w:b/>
          <w:sz w:val="24"/>
          <w:szCs w:val="24"/>
        </w:rPr>
        <w:t xml:space="preserve"> from dietary hyperoxaluria</w:t>
      </w:r>
      <w:r w:rsidR="0056664B">
        <w:rPr>
          <w:rFonts w:ascii="Book Antiqua" w:hAnsi="Book Antiqua" w:hint="eastAsia"/>
          <w:sz w:val="24"/>
          <w:szCs w:val="24"/>
          <w:lang w:eastAsia="zh-CN"/>
        </w:rPr>
        <w:t xml:space="preserve">. </w:t>
      </w:r>
      <w:r w:rsidRPr="00612EED">
        <w:rPr>
          <w:rFonts w:ascii="Book Antiqua" w:hAnsi="Book Antiqua"/>
          <w:sz w:val="24"/>
          <w:szCs w:val="24"/>
        </w:rPr>
        <w:t xml:space="preserve">Axial </w:t>
      </w:r>
      <w:bookmarkStart w:id="184" w:name="OLE_LINK23"/>
      <w:bookmarkStart w:id="185" w:name="OLE_LINK24"/>
      <w:bookmarkStart w:id="186" w:name="OLE_LINK246"/>
      <w:r w:rsidR="006C4831" w:rsidRPr="00262EBF">
        <w:rPr>
          <w:rFonts w:ascii="Book Antiqua" w:hAnsi="Book Antiqua"/>
          <w:sz w:val="24"/>
          <w:szCs w:val="24"/>
        </w:rPr>
        <w:t>computed tomography</w:t>
      </w:r>
      <w:bookmarkEnd w:id="184"/>
      <w:bookmarkEnd w:id="185"/>
      <w:bookmarkEnd w:id="186"/>
      <w:r w:rsidR="006C4831" w:rsidRPr="00612EED">
        <w:rPr>
          <w:rFonts w:ascii="Book Antiqua" w:hAnsi="Book Antiqua"/>
          <w:sz w:val="24"/>
          <w:szCs w:val="24"/>
        </w:rPr>
        <w:t xml:space="preserve"> </w:t>
      </w:r>
      <w:r w:rsidR="006C4831">
        <w:rPr>
          <w:rFonts w:ascii="Book Antiqua" w:hAnsi="Book Antiqua" w:hint="eastAsia"/>
          <w:sz w:val="24"/>
          <w:szCs w:val="24"/>
          <w:lang w:eastAsia="zh-CN"/>
        </w:rPr>
        <w:t>(</w:t>
      </w:r>
      <w:r w:rsidRPr="00612EED">
        <w:rPr>
          <w:rFonts w:ascii="Book Antiqua" w:hAnsi="Book Antiqua"/>
          <w:sz w:val="24"/>
          <w:szCs w:val="24"/>
        </w:rPr>
        <w:t>CT</w:t>
      </w:r>
      <w:r w:rsidR="006C4831">
        <w:rPr>
          <w:rFonts w:ascii="Book Antiqua" w:hAnsi="Book Antiqua" w:hint="eastAsia"/>
          <w:sz w:val="24"/>
          <w:szCs w:val="24"/>
          <w:lang w:eastAsia="zh-CN"/>
        </w:rPr>
        <w:t>)</w:t>
      </w:r>
      <w:r w:rsidRPr="00612EED">
        <w:rPr>
          <w:rFonts w:ascii="Book Antiqua" w:hAnsi="Book Antiqua"/>
          <w:sz w:val="24"/>
          <w:szCs w:val="24"/>
        </w:rPr>
        <w:t xml:space="preserve"> images obtained two years before the hyperoxaluria diagnosis show (A) mild left hydronephrosis (arrowheads) caused by (B) a left distal ureteral calculus (arrow).</w:t>
      </w:r>
      <w:r>
        <w:rPr>
          <w:rFonts w:ascii="Book Antiqua" w:hAnsi="Book Antiqua"/>
          <w:sz w:val="24"/>
          <w:szCs w:val="24"/>
        </w:rPr>
        <w:t xml:space="preserve"> </w:t>
      </w:r>
      <w:r w:rsidRPr="00612EED">
        <w:rPr>
          <w:rFonts w:ascii="Book Antiqua" w:hAnsi="Book Antiqua"/>
          <w:sz w:val="24"/>
          <w:szCs w:val="24"/>
        </w:rPr>
        <w:t xml:space="preserve">Axial CT image obtained around the time of the hyperoxaluria diagnosis shows (C) bilateral </w:t>
      </w:r>
      <w:r w:rsidRPr="00612EED">
        <w:rPr>
          <w:rFonts w:ascii="Book Antiqua" w:hAnsi="Book Antiqua"/>
          <w:sz w:val="24"/>
          <w:szCs w:val="24"/>
        </w:rPr>
        <w:lastRenderedPageBreak/>
        <w:t>nephrolithiasis (arrows).</w:t>
      </w:r>
      <w:r>
        <w:rPr>
          <w:rFonts w:ascii="Book Antiqua" w:hAnsi="Book Antiqua"/>
          <w:sz w:val="24"/>
          <w:szCs w:val="24"/>
        </w:rPr>
        <w:t xml:space="preserve"> </w:t>
      </w:r>
      <w:r w:rsidRPr="00612EED">
        <w:rPr>
          <w:rFonts w:ascii="Book Antiqua" w:hAnsi="Book Antiqua"/>
          <w:sz w:val="24"/>
          <w:szCs w:val="24"/>
        </w:rPr>
        <w:t>Nuclear medicine gallium-67 citrate scan images were also obtained around the time of diagnosis, including (D) 4-, (E) 24-, and (F) 48</w:t>
      </w:r>
      <w:r w:rsidR="00800029">
        <w:rPr>
          <w:rFonts w:ascii="Book Antiqua" w:hAnsi="Book Antiqua" w:hint="eastAsia"/>
          <w:sz w:val="24"/>
          <w:szCs w:val="24"/>
          <w:lang w:eastAsia="zh-CN"/>
        </w:rPr>
        <w:t xml:space="preserve"> </w:t>
      </w:r>
      <w:r w:rsidRPr="00612EED">
        <w:rPr>
          <w:rFonts w:ascii="Book Antiqua" w:hAnsi="Book Antiqua"/>
          <w:sz w:val="24"/>
          <w:szCs w:val="24"/>
        </w:rPr>
        <w:t>h after administration.</w:t>
      </w:r>
      <w:r>
        <w:rPr>
          <w:rFonts w:ascii="Book Antiqua" w:hAnsi="Book Antiqua"/>
          <w:sz w:val="24"/>
          <w:szCs w:val="24"/>
        </w:rPr>
        <w:t xml:space="preserve"> </w:t>
      </w:r>
      <w:r w:rsidRPr="00612EED">
        <w:rPr>
          <w:rFonts w:ascii="Book Antiqua" w:hAnsi="Book Antiqua"/>
          <w:sz w:val="24"/>
          <w:szCs w:val="24"/>
        </w:rPr>
        <w:t>These show abnormal, persistent bilateral renal activity at all time points, indicative of interstitial nephritis.</w:t>
      </w:r>
      <w:r>
        <w:rPr>
          <w:rFonts w:ascii="Book Antiqua" w:hAnsi="Book Antiqua"/>
          <w:sz w:val="24"/>
          <w:szCs w:val="24"/>
        </w:rPr>
        <w:t xml:space="preserve"> </w:t>
      </w:r>
      <w:r w:rsidRPr="00612EED">
        <w:rPr>
          <w:rFonts w:ascii="Book Antiqua" w:hAnsi="Book Antiqua"/>
          <w:sz w:val="24"/>
          <w:szCs w:val="24"/>
        </w:rPr>
        <w:t>Gallium scanning has classically been used to distinguish acute interstitial nephritis from acute tubular necrosis and other causes of acute renal failure</w:t>
      </w:r>
      <w:r w:rsidRPr="0089344C">
        <w:rPr>
          <w:rFonts w:ascii="Book Antiqua" w:hAnsi="Book Antiqua"/>
          <w:sz w:val="24"/>
          <w:szCs w:val="24"/>
          <w:vertAlign w:val="superscript"/>
        </w:rPr>
        <w:t>[</w:t>
      </w:r>
      <w:r w:rsidRPr="00612EED">
        <w:rPr>
          <w:rFonts w:ascii="Book Antiqua" w:hAnsi="Book Antiqua"/>
          <w:sz w:val="24"/>
          <w:szCs w:val="24"/>
          <w:vertAlign w:val="superscript"/>
        </w:rPr>
        <w:t>216-218]</w:t>
      </w:r>
      <w:r w:rsidRPr="00612EED">
        <w:rPr>
          <w:rFonts w:ascii="Book Antiqua" w:hAnsi="Book Antiqua"/>
          <w:sz w:val="24"/>
          <w:szCs w:val="24"/>
        </w:rPr>
        <w:t>.</w:t>
      </w:r>
      <w:r>
        <w:rPr>
          <w:rFonts w:ascii="Book Antiqua" w:hAnsi="Book Antiqua"/>
          <w:sz w:val="24"/>
          <w:szCs w:val="24"/>
        </w:rPr>
        <w:t xml:space="preserve"> </w:t>
      </w:r>
      <w:r w:rsidRPr="00612EED">
        <w:rPr>
          <w:rFonts w:ascii="Book Antiqua" w:hAnsi="Book Antiqua"/>
          <w:sz w:val="24"/>
          <w:szCs w:val="24"/>
        </w:rPr>
        <w:t>In this patient chronic interstitial nephritis associated with hyperoxaluria led to this positive scan. The patient’s diet for several years was based on nuts with estimated oxalate consumption ≥ 800 mg daily.</w:t>
      </w:r>
      <w:r>
        <w:rPr>
          <w:rFonts w:ascii="Book Antiqua" w:hAnsi="Book Antiqua"/>
          <w:sz w:val="24"/>
          <w:szCs w:val="24"/>
        </w:rPr>
        <w:t xml:space="preserve"> </w:t>
      </w:r>
      <w:r w:rsidRPr="00612EED">
        <w:rPr>
          <w:rFonts w:ascii="Book Antiqua" w:hAnsi="Book Antiqua"/>
          <w:sz w:val="24"/>
          <w:szCs w:val="24"/>
        </w:rPr>
        <w:t>During high oxalate intake, urine oxalate excretion was &gt;</w:t>
      </w:r>
      <w:r w:rsidR="000D1657">
        <w:rPr>
          <w:rFonts w:ascii="Book Antiqua" w:hAnsi="Book Antiqua" w:hint="eastAsia"/>
          <w:sz w:val="24"/>
          <w:szCs w:val="24"/>
          <w:lang w:eastAsia="zh-CN"/>
        </w:rPr>
        <w:t xml:space="preserve"> </w:t>
      </w:r>
      <w:r w:rsidRPr="00612EED">
        <w:rPr>
          <w:rFonts w:ascii="Book Antiqua" w:hAnsi="Book Antiqua"/>
          <w:sz w:val="24"/>
          <w:szCs w:val="24"/>
        </w:rPr>
        <w:t>200 mg/24-h in several measurements obtained at serum creatinine levels &gt;</w:t>
      </w:r>
      <w:r w:rsidR="00A610A7">
        <w:rPr>
          <w:rFonts w:ascii="Book Antiqua" w:hAnsi="Book Antiqua" w:hint="eastAsia"/>
          <w:sz w:val="24"/>
          <w:szCs w:val="24"/>
          <w:lang w:eastAsia="zh-CN"/>
        </w:rPr>
        <w:t xml:space="preserve"> </w:t>
      </w:r>
      <w:r w:rsidRPr="00612EED">
        <w:rPr>
          <w:rFonts w:ascii="Book Antiqua" w:hAnsi="Book Antiqua"/>
          <w:sz w:val="24"/>
          <w:szCs w:val="24"/>
        </w:rPr>
        <w:t>3.5 mg/dL.</w:t>
      </w:r>
      <w:r>
        <w:rPr>
          <w:rFonts w:ascii="Book Antiqua" w:hAnsi="Book Antiqua"/>
          <w:sz w:val="24"/>
          <w:szCs w:val="24"/>
        </w:rPr>
        <w:t xml:space="preserve"> </w:t>
      </w:r>
      <w:r w:rsidRPr="00612EED">
        <w:rPr>
          <w:rFonts w:ascii="Book Antiqua" w:hAnsi="Book Antiqua"/>
          <w:sz w:val="24"/>
          <w:szCs w:val="24"/>
        </w:rPr>
        <w:t>After resumption of a diet low in oxalate and improvement of renal function to serum creatinine levels &lt;</w:t>
      </w:r>
      <w:r w:rsidR="00A610A7">
        <w:rPr>
          <w:rFonts w:ascii="Book Antiqua" w:hAnsi="Book Antiqua" w:hint="eastAsia"/>
          <w:sz w:val="24"/>
          <w:szCs w:val="24"/>
          <w:lang w:eastAsia="zh-CN"/>
        </w:rPr>
        <w:t xml:space="preserve"> </w:t>
      </w:r>
      <w:r w:rsidRPr="00612EED">
        <w:rPr>
          <w:rFonts w:ascii="Book Antiqua" w:hAnsi="Book Antiqua"/>
          <w:sz w:val="24"/>
          <w:szCs w:val="24"/>
        </w:rPr>
        <w:t>3.0 mg/dL, urine oxalate excretion decreased to normal levels.</w:t>
      </w:r>
      <w:r>
        <w:rPr>
          <w:rFonts w:ascii="Book Antiqua" w:hAnsi="Book Antiqua"/>
          <w:sz w:val="24"/>
          <w:szCs w:val="24"/>
        </w:rPr>
        <w:t xml:space="preserve"> </w:t>
      </w:r>
      <w:r w:rsidRPr="00612EED">
        <w:rPr>
          <w:rFonts w:ascii="Book Antiqua" w:hAnsi="Book Antiqua"/>
          <w:sz w:val="24"/>
          <w:szCs w:val="24"/>
        </w:rPr>
        <w:t>.</w:t>
      </w:r>
      <w:r>
        <w:rPr>
          <w:rFonts w:ascii="Book Antiqua" w:hAnsi="Book Antiqua"/>
          <w:sz w:val="24"/>
          <w:szCs w:val="24"/>
        </w:rPr>
        <w:t xml:space="preserve"> </w:t>
      </w:r>
    </w:p>
    <w:p w:rsidR="00565818" w:rsidRDefault="00565818" w:rsidP="00B72270">
      <w:pPr>
        <w:tabs>
          <w:tab w:val="left" w:pos="6370"/>
        </w:tabs>
        <w:spacing w:after="0" w:line="360" w:lineRule="auto"/>
        <w:jc w:val="both"/>
        <w:rPr>
          <w:rFonts w:ascii="Book Antiqua" w:hAnsi="Book Antiqua"/>
          <w:sz w:val="24"/>
          <w:szCs w:val="24"/>
          <w:lang w:eastAsia="zh-CN"/>
        </w:rPr>
      </w:pPr>
    </w:p>
    <w:p w:rsidR="00B72270" w:rsidRPr="00612EED" w:rsidRDefault="00B72270" w:rsidP="00B72270">
      <w:pPr>
        <w:tabs>
          <w:tab w:val="left" w:pos="6370"/>
        </w:tabs>
        <w:spacing w:after="0" w:line="360" w:lineRule="auto"/>
        <w:jc w:val="both"/>
        <w:rPr>
          <w:rFonts w:ascii="Book Antiqua" w:hAnsi="Book Antiqua"/>
          <w:sz w:val="24"/>
          <w:szCs w:val="24"/>
        </w:rPr>
      </w:pPr>
      <w:r w:rsidRPr="00612EED">
        <w:rPr>
          <w:rFonts w:ascii="Book Antiqua" w:hAnsi="Book Antiqua"/>
          <w:sz w:val="24"/>
          <w:szCs w:val="24"/>
        </w:rPr>
        <w:tab/>
      </w:r>
    </w:p>
    <w:p w:rsidR="00B72270" w:rsidRPr="00612EED" w:rsidRDefault="00B72270" w:rsidP="00B72270">
      <w:pPr>
        <w:spacing w:after="0" w:line="360" w:lineRule="auto"/>
        <w:jc w:val="both"/>
        <w:rPr>
          <w:rFonts w:ascii="Book Antiqua" w:hAnsi="Book Antiqua" w:cs="Times New Roman"/>
          <w:b/>
          <w:sz w:val="24"/>
          <w:szCs w:val="24"/>
        </w:rPr>
      </w:pPr>
      <w:r w:rsidRPr="00612EED">
        <w:rPr>
          <w:rFonts w:ascii="Book Antiqua" w:hAnsi="Book Antiqua" w:cs="Times New Roman"/>
          <w:b/>
          <w:noProof/>
          <w:sz w:val="24"/>
          <w:szCs w:val="24"/>
          <w:lang w:eastAsia="zh-CN"/>
        </w:rPr>
        <w:lastRenderedPageBreak/>
        <w:drawing>
          <wp:inline distT="0" distB="0" distL="0" distR="0" wp14:anchorId="47162FF9" wp14:editId="393B3AD3">
            <wp:extent cx="5943600" cy="4496195"/>
            <wp:effectExtent l="0" t="0" r="0" b="0"/>
            <wp:docPr id="2" name="Picture 2" descr="\\R01DVRHSMABQ.R01.MED.VA.GOV\homedir$\vhaabqtzamaa\DietaryHyperoxaluriaFigure 3 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1DVRHSMABQ.R01.MED.VA.GOV\homedir$\vhaabqtzamaa\DietaryHyperoxaluriaFigure 3 Revi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496195"/>
                    </a:xfrm>
                    <a:prstGeom prst="rect">
                      <a:avLst/>
                    </a:prstGeom>
                    <a:noFill/>
                    <a:ln>
                      <a:noFill/>
                    </a:ln>
                  </pic:spPr>
                </pic:pic>
              </a:graphicData>
            </a:graphic>
          </wp:inline>
        </w:drawing>
      </w:r>
    </w:p>
    <w:p w:rsidR="00B72270" w:rsidRPr="00612EED" w:rsidRDefault="00B72270" w:rsidP="00B72270">
      <w:pPr>
        <w:spacing w:after="0" w:line="360" w:lineRule="auto"/>
        <w:jc w:val="both"/>
        <w:rPr>
          <w:rFonts w:ascii="Book Antiqua" w:hAnsi="Book Antiqua"/>
          <w:sz w:val="24"/>
          <w:szCs w:val="24"/>
        </w:rPr>
      </w:pPr>
      <w:r w:rsidRPr="00565818">
        <w:rPr>
          <w:rFonts w:ascii="Book Antiqua" w:hAnsi="Book Antiqua" w:cs="Times New Roman"/>
          <w:b/>
          <w:sz w:val="24"/>
          <w:szCs w:val="24"/>
        </w:rPr>
        <w:t xml:space="preserve">Figure 3 Renal histology in the patient depicted in Figure 2. </w:t>
      </w:r>
      <w:r w:rsidRPr="00612EED">
        <w:rPr>
          <w:rFonts w:ascii="Book Antiqua" w:hAnsi="Book Antiqua"/>
          <w:sz w:val="24"/>
          <w:szCs w:val="24"/>
        </w:rPr>
        <w:t>A</w:t>
      </w:r>
      <w:r w:rsidR="00502960">
        <w:rPr>
          <w:rFonts w:ascii="Book Antiqua" w:hAnsi="Book Antiqua" w:hint="eastAsia"/>
          <w:sz w:val="24"/>
          <w:szCs w:val="24"/>
          <w:lang w:eastAsia="zh-CN"/>
        </w:rPr>
        <w:t>:</w:t>
      </w:r>
      <w:r w:rsidRPr="00612EED">
        <w:rPr>
          <w:rFonts w:ascii="Book Antiqua" w:hAnsi="Book Antiqua"/>
          <w:sz w:val="24"/>
          <w:szCs w:val="24"/>
        </w:rPr>
        <w:t xml:space="preserve"> Low power view of kidney showing two complete glomeruli and expansion of the interstitium by lymphocytes and edema. </w:t>
      </w:r>
      <w:bookmarkStart w:id="187" w:name="OLE_LINK525"/>
      <w:bookmarkStart w:id="188" w:name="OLE_LINK526"/>
      <w:r w:rsidR="009C6B40" w:rsidRPr="009C6B40">
        <w:rPr>
          <w:rFonts w:ascii="Book Antiqua" w:hAnsi="Book Antiqua"/>
          <w:sz w:val="24"/>
          <w:szCs w:val="24"/>
        </w:rPr>
        <w:t>Periodic acid-Schiff (PAS)</w:t>
      </w:r>
      <w:r w:rsidRPr="00612EED">
        <w:rPr>
          <w:rFonts w:ascii="Book Antiqua" w:hAnsi="Book Antiqua"/>
          <w:sz w:val="24"/>
          <w:szCs w:val="24"/>
        </w:rPr>
        <w:t xml:space="preserve"> stain highlights the basement membranes</w:t>
      </w:r>
      <w:bookmarkEnd w:id="187"/>
      <w:bookmarkEnd w:id="188"/>
      <w:r w:rsidRPr="00612EED">
        <w:rPr>
          <w:rFonts w:ascii="Book Antiqua" w:hAnsi="Book Antiqua"/>
          <w:sz w:val="24"/>
          <w:szCs w:val="24"/>
        </w:rPr>
        <w:t xml:space="preserve"> of the tubules and Bowman’s capsule. PAS stain</w:t>
      </w:r>
      <w:r w:rsidR="00502960">
        <w:rPr>
          <w:rFonts w:ascii="Book Antiqua" w:hAnsi="Book Antiqua" w:hint="eastAsia"/>
          <w:sz w:val="24"/>
          <w:szCs w:val="24"/>
          <w:lang w:eastAsia="zh-CN"/>
        </w:rPr>
        <w:t>;</w:t>
      </w:r>
      <w:r>
        <w:rPr>
          <w:rFonts w:ascii="Book Antiqua" w:hAnsi="Book Antiqua"/>
          <w:sz w:val="24"/>
          <w:szCs w:val="24"/>
        </w:rPr>
        <w:t xml:space="preserve"> </w:t>
      </w:r>
      <w:r w:rsidRPr="00612EED">
        <w:rPr>
          <w:rFonts w:ascii="Book Antiqua" w:hAnsi="Book Antiqua"/>
          <w:sz w:val="24"/>
          <w:szCs w:val="24"/>
        </w:rPr>
        <w:t>B</w:t>
      </w:r>
      <w:r w:rsidR="00502960">
        <w:rPr>
          <w:rFonts w:ascii="Book Antiqua" w:hAnsi="Book Antiqua" w:hint="eastAsia"/>
          <w:sz w:val="24"/>
          <w:szCs w:val="24"/>
          <w:lang w:eastAsia="zh-CN"/>
        </w:rPr>
        <w:t>:</w:t>
      </w:r>
      <w:r>
        <w:rPr>
          <w:rFonts w:ascii="Book Antiqua" w:hAnsi="Book Antiqua"/>
          <w:sz w:val="24"/>
          <w:szCs w:val="24"/>
        </w:rPr>
        <w:t xml:space="preserve"> </w:t>
      </w:r>
      <w:r w:rsidRPr="00612EED">
        <w:rPr>
          <w:rFonts w:ascii="Book Antiqua" w:hAnsi="Book Antiqua"/>
          <w:sz w:val="24"/>
          <w:szCs w:val="24"/>
        </w:rPr>
        <w:t>Low power view of renal parenchyma showing tubulointerstitial nephritis (solid arrow) and oxalate crystal within tubule (open arrow).</w:t>
      </w:r>
      <w:r>
        <w:rPr>
          <w:rFonts w:ascii="Book Antiqua" w:hAnsi="Book Antiqua"/>
          <w:sz w:val="24"/>
          <w:szCs w:val="24"/>
        </w:rPr>
        <w:t xml:space="preserve"> </w:t>
      </w:r>
      <w:r w:rsidRPr="00612EED">
        <w:rPr>
          <w:rFonts w:ascii="Book Antiqua" w:hAnsi="Book Antiqua"/>
          <w:sz w:val="24"/>
          <w:szCs w:val="24"/>
        </w:rPr>
        <w:t>H</w:t>
      </w:r>
      <w:r w:rsidR="00502960">
        <w:rPr>
          <w:rFonts w:ascii="Book Antiqua" w:hAnsi="Book Antiqua" w:hint="eastAsia"/>
          <w:sz w:val="24"/>
          <w:szCs w:val="24"/>
          <w:lang w:eastAsia="zh-CN"/>
        </w:rPr>
        <w:t xml:space="preserve"> and </w:t>
      </w:r>
      <w:r w:rsidRPr="00612EED">
        <w:rPr>
          <w:rFonts w:ascii="Book Antiqua" w:hAnsi="Book Antiqua"/>
          <w:sz w:val="24"/>
          <w:szCs w:val="24"/>
        </w:rPr>
        <w:t>E stain</w:t>
      </w:r>
      <w:r w:rsidR="00502960">
        <w:rPr>
          <w:rFonts w:ascii="Book Antiqua" w:hAnsi="Book Antiqua" w:hint="eastAsia"/>
          <w:sz w:val="24"/>
          <w:szCs w:val="24"/>
          <w:lang w:eastAsia="zh-CN"/>
        </w:rPr>
        <w:t>;</w:t>
      </w:r>
      <w:r>
        <w:rPr>
          <w:rFonts w:ascii="Book Antiqua" w:hAnsi="Book Antiqua"/>
          <w:sz w:val="24"/>
          <w:szCs w:val="24"/>
        </w:rPr>
        <w:t xml:space="preserve"> </w:t>
      </w:r>
      <w:r w:rsidRPr="00612EED">
        <w:rPr>
          <w:rFonts w:ascii="Book Antiqua" w:hAnsi="Book Antiqua"/>
          <w:sz w:val="24"/>
          <w:szCs w:val="24"/>
        </w:rPr>
        <w:t>C</w:t>
      </w:r>
      <w:r w:rsidR="00502960">
        <w:rPr>
          <w:rFonts w:ascii="Book Antiqua" w:hAnsi="Book Antiqua" w:hint="eastAsia"/>
          <w:sz w:val="24"/>
          <w:szCs w:val="24"/>
          <w:lang w:eastAsia="zh-CN"/>
        </w:rPr>
        <w:t>:</w:t>
      </w:r>
      <w:r>
        <w:rPr>
          <w:rFonts w:ascii="Book Antiqua" w:hAnsi="Book Antiqua"/>
          <w:sz w:val="24"/>
          <w:szCs w:val="24"/>
        </w:rPr>
        <w:t xml:space="preserve"> </w:t>
      </w:r>
      <w:r w:rsidRPr="00612EED">
        <w:rPr>
          <w:rFonts w:ascii="Book Antiqua" w:hAnsi="Book Antiqua"/>
          <w:sz w:val="24"/>
          <w:szCs w:val="24"/>
        </w:rPr>
        <w:t>High power view showing interstitium expanded by lymphocytic infiltrates and tubular atrophy. PAS stain</w:t>
      </w:r>
      <w:r w:rsidR="00502960">
        <w:rPr>
          <w:rFonts w:ascii="Book Antiqua" w:hAnsi="Book Antiqua" w:hint="eastAsia"/>
          <w:sz w:val="24"/>
          <w:szCs w:val="24"/>
          <w:lang w:eastAsia="zh-CN"/>
        </w:rPr>
        <w:t>;</w:t>
      </w:r>
      <w:r>
        <w:rPr>
          <w:rFonts w:ascii="Book Antiqua" w:hAnsi="Book Antiqua"/>
          <w:sz w:val="24"/>
          <w:szCs w:val="24"/>
        </w:rPr>
        <w:t xml:space="preserve"> </w:t>
      </w:r>
      <w:r w:rsidRPr="00612EED">
        <w:rPr>
          <w:rFonts w:ascii="Book Antiqua" w:hAnsi="Book Antiqua"/>
          <w:sz w:val="24"/>
          <w:szCs w:val="24"/>
        </w:rPr>
        <w:t>D</w:t>
      </w:r>
      <w:r w:rsidR="00502960">
        <w:rPr>
          <w:rFonts w:ascii="Book Antiqua" w:hAnsi="Book Antiqua" w:hint="eastAsia"/>
          <w:sz w:val="24"/>
          <w:szCs w:val="24"/>
          <w:lang w:eastAsia="zh-CN"/>
        </w:rPr>
        <w:t>:</w:t>
      </w:r>
      <w:r>
        <w:rPr>
          <w:rFonts w:ascii="Book Antiqua" w:hAnsi="Book Antiqua"/>
          <w:sz w:val="24"/>
          <w:szCs w:val="24"/>
        </w:rPr>
        <w:t xml:space="preserve"> </w:t>
      </w:r>
      <w:r w:rsidRPr="00612EED">
        <w:rPr>
          <w:rFonts w:ascii="Book Antiqua" w:hAnsi="Book Antiqua"/>
          <w:sz w:val="24"/>
          <w:szCs w:val="24"/>
        </w:rPr>
        <w:t>High power view of calcium oxalate crystal under polarized light. H</w:t>
      </w:r>
      <w:r w:rsidR="00502960">
        <w:rPr>
          <w:rFonts w:ascii="Book Antiqua" w:hAnsi="Book Antiqua" w:hint="eastAsia"/>
          <w:sz w:val="24"/>
          <w:szCs w:val="24"/>
          <w:lang w:eastAsia="zh-CN"/>
        </w:rPr>
        <w:t xml:space="preserve"> and E</w:t>
      </w:r>
      <w:r w:rsidRPr="00612EED">
        <w:rPr>
          <w:rFonts w:ascii="Book Antiqua" w:hAnsi="Book Antiqua"/>
          <w:sz w:val="24"/>
          <w:szCs w:val="24"/>
        </w:rPr>
        <w:t xml:space="preserve"> stain.</w:t>
      </w:r>
    </w:p>
    <w:p w:rsidR="00B72270" w:rsidRDefault="00B72270" w:rsidP="00B72270">
      <w:pPr>
        <w:spacing w:after="0" w:line="360" w:lineRule="auto"/>
        <w:jc w:val="both"/>
        <w:rPr>
          <w:rFonts w:ascii="Book Antiqua" w:hAnsi="Book Antiqua"/>
          <w:sz w:val="24"/>
          <w:szCs w:val="24"/>
          <w:lang w:eastAsia="zh-CN"/>
        </w:rPr>
      </w:pPr>
    </w:p>
    <w:p w:rsidR="001F34BB" w:rsidRDefault="001F34BB" w:rsidP="00B72270">
      <w:pPr>
        <w:spacing w:after="0" w:line="360" w:lineRule="auto"/>
        <w:jc w:val="both"/>
        <w:rPr>
          <w:rFonts w:ascii="Book Antiqua" w:hAnsi="Book Antiqua"/>
          <w:sz w:val="24"/>
          <w:szCs w:val="24"/>
          <w:lang w:eastAsia="zh-CN"/>
        </w:rPr>
      </w:pPr>
    </w:p>
    <w:p w:rsidR="001F34BB" w:rsidRDefault="001F34BB" w:rsidP="00B72270">
      <w:pPr>
        <w:spacing w:after="0" w:line="360" w:lineRule="auto"/>
        <w:jc w:val="both"/>
        <w:rPr>
          <w:rFonts w:ascii="Book Antiqua" w:hAnsi="Book Antiqua"/>
          <w:sz w:val="24"/>
          <w:szCs w:val="24"/>
          <w:lang w:eastAsia="zh-CN"/>
        </w:rPr>
      </w:pPr>
    </w:p>
    <w:p w:rsidR="001F34BB" w:rsidRPr="00612EED" w:rsidRDefault="001F34BB" w:rsidP="00B72270">
      <w:pPr>
        <w:spacing w:after="0" w:line="360" w:lineRule="auto"/>
        <w:jc w:val="both"/>
        <w:rPr>
          <w:rFonts w:ascii="Book Antiqua" w:hAnsi="Book Antiqua"/>
          <w:sz w:val="24"/>
          <w:szCs w:val="24"/>
          <w:lang w:eastAsia="zh-CN"/>
        </w:rPr>
      </w:pPr>
    </w:p>
    <w:p w:rsidR="00B72270" w:rsidRPr="00612EED" w:rsidRDefault="00B72270" w:rsidP="002A048C">
      <w:pPr>
        <w:spacing w:after="0" w:line="360" w:lineRule="auto"/>
        <w:jc w:val="both"/>
        <w:rPr>
          <w:rFonts w:ascii="Book Antiqua" w:hAnsi="Book Antiqua" w:cs="Arial"/>
          <w:sz w:val="24"/>
          <w:szCs w:val="24"/>
          <w:lang w:eastAsia="zh-CN"/>
        </w:rPr>
      </w:pPr>
    </w:p>
    <w:p w:rsidR="00F2207B" w:rsidRPr="00C444DC" w:rsidRDefault="00F2207B" w:rsidP="002A048C">
      <w:pPr>
        <w:spacing w:after="0" w:line="360" w:lineRule="auto"/>
        <w:jc w:val="both"/>
        <w:rPr>
          <w:rFonts w:ascii="Book Antiqua" w:hAnsi="Book Antiqua" w:cs="Arial"/>
          <w:b/>
          <w:sz w:val="24"/>
          <w:szCs w:val="24"/>
        </w:rPr>
      </w:pPr>
      <w:r w:rsidRPr="00C444DC">
        <w:rPr>
          <w:rFonts w:ascii="Book Antiqua" w:hAnsi="Book Antiqua" w:cs="Arial"/>
          <w:b/>
          <w:sz w:val="24"/>
          <w:szCs w:val="24"/>
        </w:rPr>
        <w:lastRenderedPageBreak/>
        <w:t>Table 1</w:t>
      </w:r>
      <w:r w:rsidR="00C444DC" w:rsidRPr="00C444DC">
        <w:rPr>
          <w:rFonts w:ascii="Book Antiqua" w:hAnsi="Book Antiqua" w:cs="Arial" w:hint="eastAsia"/>
          <w:b/>
          <w:sz w:val="24"/>
          <w:szCs w:val="24"/>
          <w:lang w:eastAsia="zh-CN"/>
        </w:rPr>
        <w:t xml:space="preserve"> </w:t>
      </w:r>
      <w:r w:rsidRPr="00C444DC">
        <w:rPr>
          <w:rFonts w:ascii="Book Antiqua" w:hAnsi="Book Antiqua" w:cs="Arial"/>
          <w:b/>
          <w:sz w:val="24"/>
          <w:szCs w:val="24"/>
        </w:rPr>
        <w:t>Daily dietary oxalate intake in various countries and regions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508"/>
        <w:gridCol w:w="1969"/>
        <w:gridCol w:w="1809"/>
        <w:gridCol w:w="663"/>
      </w:tblGrid>
      <w:tr w:rsidR="00F2207B" w:rsidRPr="006E5D91" w:rsidTr="005132F6">
        <w:tc>
          <w:tcPr>
            <w:tcW w:w="0" w:type="auto"/>
            <w:tcBorders>
              <w:top w:val="single" w:sz="4" w:space="0" w:color="auto"/>
              <w:bottom w:val="single" w:sz="4" w:space="0" w:color="auto"/>
            </w:tcBorders>
          </w:tcPr>
          <w:p w:rsidR="00F2207B" w:rsidRPr="006E5D91" w:rsidRDefault="00F2207B" w:rsidP="002A048C">
            <w:pPr>
              <w:spacing w:line="360" w:lineRule="auto"/>
              <w:jc w:val="both"/>
              <w:rPr>
                <w:rFonts w:ascii="Book Antiqua" w:hAnsi="Book Antiqua" w:cs="Times New Roman"/>
                <w:b/>
                <w:sz w:val="24"/>
                <w:szCs w:val="24"/>
              </w:rPr>
            </w:pPr>
            <w:r w:rsidRPr="006E5D91">
              <w:rPr>
                <w:rFonts w:ascii="Book Antiqua" w:hAnsi="Book Antiqua" w:cs="Times New Roman"/>
                <w:b/>
                <w:sz w:val="24"/>
                <w:szCs w:val="24"/>
              </w:rPr>
              <w:t>Country</w:t>
            </w:r>
            <w:r w:rsidR="005132F6" w:rsidRPr="006E5D91">
              <w:rPr>
                <w:rFonts w:ascii="Book Antiqua" w:hAnsi="Book Antiqua" w:cs="Times New Roman"/>
                <w:b/>
                <w:sz w:val="24"/>
                <w:szCs w:val="24"/>
              </w:rPr>
              <w:t>-r</w:t>
            </w:r>
            <w:r w:rsidRPr="006E5D91">
              <w:rPr>
                <w:rFonts w:ascii="Book Antiqua" w:hAnsi="Book Antiqua" w:cs="Times New Roman"/>
                <w:b/>
                <w:sz w:val="24"/>
                <w:szCs w:val="24"/>
              </w:rPr>
              <w:t>egion</w:t>
            </w:r>
          </w:p>
        </w:tc>
        <w:tc>
          <w:tcPr>
            <w:tcW w:w="0" w:type="auto"/>
            <w:tcBorders>
              <w:top w:val="single" w:sz="4" w:space="0" w:color="auto"/>
              <w:bottom w:val="single" w:sz="4" w:space="0" w:color="auto"/>
            </w:tcBorders>
          </w:tcPr>
          <w:p w:rsidR="00F2207B" w:rsidRPr="006E5D91" w:rsidRDefault="00F2207B" w:rsidP="002A048C">
            <w:pPr>
              <w:spacing w:line="360" w:lineRule="auto"/>
              <w:jc w:val="both"/>
              <w:rPr>
                <w:rFonts w:ascii="Book Antiqua" w:hAnsi="Book Antiqua" w:cs="Times New Roman"/>
                <w:b/>
                <w:sz w:val="24"/>
                <w:szCs w:val="24"/>
              </w:rPr>
            </w:pPr>
            <w:r w:rsidRPr="006E5D91">
              <w:rPr>
                <w:rFonts w:ascii="Book Antiqua" w:hAnsi="Book Antiqua" w:cs="Times New Roman"/>
                <w:b/>
                <w:sz w:val="24"/>
                <w:szCs w:val="24"/>
              </w:rPr>
              <w:t>Subjects</w:t>
            </w:r>
          </w:p>
        </w:tc>
        <w:tc>
          <w:tcPr>
            <w:tcW w:w="0" w:type="auto"/>
            <w:tcBorders>
              <w:top w:val="single" w:sz="4" w:space="0" w:color="auto"/>
              <w:bottom w:val="single" w:sz="4" w:space="0" w:color="auto"/>
            </w:tcBorders>
          </w:tcPr>
          <w:p w:rsidR="00F2207B" w:rsidRPr="006E5D91" w:rsidRDefault="00F2207B" w:rsidP="002A048C">
            <w:pPr>
              <w:spacing w:line="360" w:lineRule="auto"/>
              <w:jc w:val="both"/>
              <w:rPr>
                <w:rFonts w:ascii="Book Antiqua" w:hAnsi="Book Antiqua" w:cs="Times New Roman"/>
                <w:b/>
                <w:sz w:val="24"/>
                <w:szCs w:val="24"/>
              </w:rPr>
            </w:pPr>
            <w:r w:rsidRPr="006E5D91">
              <w:rPr>
                <w:rFonts w:ascii="Book Antiqua" w:hAnsi="Book Antiqua" w:cs="Times New Roman"/>
                <w:b/>
                <w:sz w:val="24"/>
                <w:szCs w:val="24"/>
              </w:rPr>
              <w:t xml:space="preserve">Subject </w:t>
            </w:r>
            <w:r w:rsidR="005132F6" w:rsidRPr="006E5D91">
              <w:rPr>
                <w:rFonts w:ascii="Book Antiqua" w:hAnsi="Book Antiqua" w:cs="Times New Roman"/>
                <w:b/>
                <w:sz w:val="24"/>
                <w:szCs w:val="24"/>
              </w:rPr>
              <w:t>n</w:t>
            </w:r>
            <w:r w:rsidRPr="006E5D91">
              <w:rPr>
                <w:rFonts w:ascii="Book Antiqua" w:hAnsi="Book Antiqua" w:cs="Times New Roman"/>
                <w:b/>
                <w:sz w:val="24"/>
                <w:szCs w:val="24"/>
              </w:rPr>
              <w:t>umber</w:t>
            </w:r>
          </w:p>
        </w:tc>
        <w:tc>
          <w:tcPr>
            <w:tcW w:w="0" w:type="auto"/>
            <w:tcBorders>
              <w:top w:val="single" w:sz="4" w:space="0" w:color="auto"/>
              <w:bottom w:val="single" w:sz="4" w:space="0" w:color="auto"/>
            </w:tcBorders>
          </w:tcPr>
          <w:p w:rsidR="00F2207B" w:rsidRPr="006E5D91" w:rsidRDefault="00F2207B" w:rsidP="002A048C">
            <w:pPr>
              <w:spacing w:line="360" w:lineRule="auto"/>
              <w:jc w:val="both"/>
              <w:rPr>
                <w:rFonts w:ascii="Book Antiqua" w:hAnsi="Book Antiqua" w:cs="Times New Roman"/>
                <w:b/>
                <w:sz w:val="24"/>
                <w:szCs w:val="24"/>
              </w:rPr>
            </w:pPr>
            <w:r w:rsidRPr="006E5D91">
              <w:rPr>
                <w:rFonts w:ascii="Book Antiqua" w:hAnsi="Book Antiqua" w:cs="Times New Roman"/>
                <w:b/>
                <w:sz w:val="24"/>
                <w:szCs w:val="24"/>
              </w:rPr>
              <w:t>Oxalate</w:t>
            </w:r>
            <w:r w:rsidR="005132F6" w:rsidRPr="006E5D91">
              <w:rPr>
                <w:rFonts w:ascii="Book Antiqua" w:hAnsi="Book Antiqua" w:cs="Times New Roman"/>
                <w:b/>
                <w:sz w:val="24"/>
                <w:szCs w:val="24"/>
              </w:rPr>
              <w:t xml:space="preserve"> i</w:t>
            </w:r>
            <w:r w:rsidRPr="006E5D91">
              <w:rPr>
                <w:rFonts w:ascii="Book Antiqua" w:hAnsi="Book Antiqua" w:cs="Times New Roman"/>
                <w:b/>
                <w:sz w:val="24"/>
                <w:szCs w:val="24"/>
              </w:rPr>
              <w:t>ntake</w:t>
            </w:r>
          </w:p>
          <w:p w:rsidR="00F2207B" w:rsidRPr="006E5D91" w:rsidRDefault="00F2207B" w:rsidP="002A048C">
            <w:pPr>
              <w:spacing w:line="360" w:lineRule="auto"/>
              <w:jc w:val="both"/>
              <w:rPr>
                <w:rFonts w:ascii="Book Antiqua" w:hAnsi="Book Antiqua" w:cs="Times New Roman"/>
                <w:b/>
                <w:sz w:val="24"/>
                <w:szCs w:val="24"/>
              </w:rPr>
            </w:pPr>
            <w:r w:rsidRPr="006E5D91">
              <w:rPr>
                <w:rFonts w:ascii="Book Antiqua" w:hAnsi="Book Antiqua" w:cs="Times New Roman"/>
                <w:b/>
                <w:sz w:val="24"/>
                <w:szCs w:val="24"/>
              </w:rPr>
              <w:t>mg/24-h</w:t>
            </w:r>
          </w:p>
        </w:tc>
        <w:tc>
          <w:tcPr>
            <w:tcW w:w="0" w:type="auto"/>
            <w:tcBorders>
              <w:top w:val="single" w:sz="4" w:space="0" w:color="auto"/>
              <w:bottom w:val="single" w:sz="4" w:space="0" w:color="auto"/>
            </w:tcBorders>
          </w:tcPr>
          <w:p w:rsidR="00F2207B" w:rsidRPr="006E5D91" w:rsidRDefault="00F2207B" w:rsidP="005329F5">
            <w:pPr>
              <w:spacing w:line="360" w:lineRule="auto"/>
              <w:jc w:val="both"/>
              <w:rPr>
                <w:rFonts w:ascii="Book Antiqua" w:hAnsi="Book Antiqua" w:cs="Times New Roman"/>
                <w:b/>
                <w:sz w:val="24"/>
                <w:szCs w:val="24"/>
                <w:lang w:eastAsia="zh-CN"/>
              </w:rPr>
            </w:pPr>
            <w:r w:rsidRPr="006E5D91">
              <w:rPr>
                <w:rFonts w:ascii="Book Antiqua" w:hAnsi="Book Antiqua" w:cs="Times New Roman"/>
                <w:b/>
                <w:sz w:val="24"/>
                <w:szCs w:val="24"/>
              </w:rPr>
              <w:t>Re</w:t>
            </w:r>
            <w:r w:rsidR="006E5D91">
              <w:rPr>
                <w:rFonts w:ascii="Book Antiqua" w:hAnsi="Book Antiqua" w:cs="Times New Roman"/>
                <w:b/>
                <w:sz w:val="24"/>
                <w:szCs w:val="24"/>
                <w:lang w:eastAsia="zh-CN"/>
              </w:rPr>
              <w:t>f</w:t>
            </w:r>
            <w:r w:rsidR="005329F5" w:rsidRPr="006E5D91">
              <w:rPr>
                <w:rFonts w:ascii="Book Antiqua" w:hAnsi="Book Antiqua" w:cs="Times New Roman" w:hint="eastAsia"/>
                <w:b/>
                <w:sz w:val="24"/>
                <w:szCs w:val="24"/>
                <w:lang w:eastAsia="zh-CN"/>
              </w:rPr>
              <w:t>.</w:t>
            </w:r>
          </w:p>
        </w:tc>
      </w:tr>
      <w:tr w:rsidR="00F2207B" w:rsidRPr="00612EED" w:rsidTr="005132F6">
        <w:tc>
          <w:tcPr>
            <w:tcW w:w="0" w:type="auto"/>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Brazil, Sao Paolo</w:t>
            </w:r>
          </w:p>
        </w:tc>
        <w:tc>
          <w:tcPr>
            <w:tcW w:w="0" w:type="auto"/>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+Stones</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Healthy controls</w:t>
            </w:r>
          </w:p>
        </w:tc>
        <w:tc>
          <w:tcPr>
            <w:tcW w:w="0" w:type="auto"/>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70</w:t>
            </w:r>
            <w:r w:rsidR="0077323C">
              <w:rPr>
                <w:rFonts w:ascii="Book Antiqua" w:hAnsi="Book Antiqua" w:cs="Times New Roman"/>
                <w:sz w:val="24"/>
                <w:szCs w:val="24"/>
              </w:rPr>
              <w:t xml:space="preserve"> </w:t>
            </w:r>
            <w:r w:rsidRPr="00612EED">
              <w:rPr>
                <w:rFonts w:ascii="Book Antiqua" w:hAnsi="Book Antiqua" w:cs="Times New Roman"/>
                <w:sz w:val="24"/>
                <w:szCs w:val="24"/>
              </w:rPr>
              <w:t>(M:42, F:28)</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41</w:t>
            </w:r>
            <w:r w:rsidR="0077323C">
              <w:rPr>
                <w:rFonts w:ascii="Book Antiqua" w:hAnsi="Book Antiqua" w:cs="Times New Roman"/>
                <w:sz w:val="24"/>
                <w:szCs w:val="24"/>
              </w:rPr>
              <w:t xml:space="preserve"> </w:t>
            </w:r>
            <w:r w:rsidRPr="00612EED">
              <w:rPr>
                <w:rFonts w:ascii="Book Antiqua" w:hAnsi="Book Antiqua" w:cs="Times New Roman"/>
                <w:sz w:val="24"/>
                <w:szCs w:val="24"/>
              </w:rPr>
              <w:t>(M:14, F:27)</w:t>
            </w:r>
          </w:p>
        </w:tc>
        <w:tc>
          <w:tcPr>
            <w:tcW w:w="0" w:type="auto"/>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98±137</w:t>
            </w:r>
            <w:r w:rsidR="006136CD" w:rsidRPr="006136CD">
              <w:rPr>
                <w:rFonts w:ascii="Book Antiqua" w:hAnsi="Book Antiqua" w:cs="Times New Roman"/>
                <w:sz w:val="24"/>
                <w:szCs w:val="24"/>
                <w:vertAlign w:val="superscript"/>
              </w:rPr>
              <w:t>3</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108±133</w:t>
            </w:r>
            <w:r w:rsidR="006136CD" w:rsidRPr="006136CD">
              <w:rPr>
                <w:rFonts w:ascii="Book Antiqua" w:hAnsi="Book Antiqua" w:cs="Times New Roman"/>
                <w:sz w:val="24"/>
                <w:szCs w:val="24"/>
                <w:vertAlign w:val="superscript"/>
              </w:rPr>
              <w:t>3</w:t>
            </w:r>
          </w:p>
        </w:tc>
        <w:tc>
          <w:tcPr>
            <w:tcW w:w="0" w:type="auto"/>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13</w:t>
            </w:r>
          </w:p>
        </w:tc>
      </w:tr>
      <w:tr w:rsidR="00F2207B" w:rsidRPr="00612EED" w:rsidTr="005132F6">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England</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Hospital diet</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Not reported</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118</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38</w:t>
            </w:r>
          </w:p>
        </w:tc>
      </w:tr>
      <w:tr w:rsidR="00F2207B" w:rsidRPr="00612EED" w:rsidTr="005132F6">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Germany</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+Stones, ↑oxaluria</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+Stones, →oxaluria</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93</w:t>
            </w:r>
            <w:r w:rsidR="0077323C">
              <w:rPr>
                <w:rFonts w:ascii="Book Antiqua" w:hAnsi="Book Antiqua" w:cs="Times New Roman"/>
                <w:sz w:val="24"/>
                <w:szCs w:val="24"/>
              </w:rPr>
              <w:t xml:space="preserve"> </w:t>
            </w:r>
            <w:r w:rsidRPr="00612EED">
              <w:rPr>
                <w:rFonts w:ascii="Book Antiqua" w:hAnsi="Book Antiqua" w:cs="Times New Roman"/>
                <w:sz w:val="24"/>
                <w:szCs w:val="24"/>
              </w:rPr>
              <w:t>(M:73, F:20)</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93</w:t>
            </w:r>
            <w:r w:rsidR="0077323C">
              <w:rPr>
                <w:rFonts w:ascii="Book Antiqua" w:hAnsi="Book Antiqua" w:cs="Times New Roman"/>
                <w:sz w:val="24"/>
                <w:szCs w:val="24"/>
              </w:rPr>
              <w:t xml:space="preserve"> </w:t>
            </w:r>
            <w:r w:rsidRPr="00612EED">
              <w:rPr>
                <w:rFonts w:ascii="Book Antiqua" w:hAnsi="Book Antiqua" w:cs="Times New Roman"/>
                <w:sz w:val="24"/>
                <w:szCs w:val="24"/>
              </w:rPr>
              <w:t>(M:73, F:20)</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130±181</w:t>
            </w:r>
            <w:r w:rsidR="006136CD" w:rsidRPr="006136CD">
              <w:rPr>
                <w:rFonts w:ascii="Book Antiqua" w:hAnsi="Book Antiqua" w:cs="Times New Roman"/>
                <w:sz w:val="24"/>
                <w:szCs w:val="24"/>
                <w:vertAlign w:val="superscript"/>
              </w:rPr>
              <w:t>3</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101±145</w:t>
            </w:r>
            <w:r w:rsidR="006136CD" w:rsidRPr="006136CD">
              <w:rPr>
                <w:rFonts w:ascii="Book Antiqua" w:hAnsi="Book Antiqua" w:cs="Times New Roman"/>
                <w:sz w:val="24"/>
                <w:szCs w:val="24"/>
                <w:vertAlign w:val="superscript"/>
              </w:rPr>
              <w:t>3</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39</w:t>
            </w:r>
          </w:p>
        </w:tc>
      </w:tr>
      <w:tr w:rsidR="00F2207B" w:rsidRPr="00612EED" w:rsidTr="005132F6">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India, Rajasthan</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Rural “common” diet</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Rural rainy season</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Urban, upper income</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Urban, lower income</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Hospital diet</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Not reported</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Not reported</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Not reported</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Not reported</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Not reported</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78</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2,045</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606</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169</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139</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40</w:t>
            </w:r>
          </w:p>
        </w:tc>
      </w:tr>
      <w:tr w:rsidR="00F2207B" w:rsidRPr="00612EED" w:rsidTr="005132F6">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India, Pune</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Boys, upper income</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Boys, lower income</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Girls, upper income</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Girls, lower income</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100</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100</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100</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100</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193 (116-309)</w:t>
            </w:r>
            <w:r w:rsidR="006136CD">
              <w:rPr>
                <w:rFonts w:ascii="Book Antiqua" w:hAnsi="Book Antiqua" w:cs="Times New Roman" w:hint="eastAsia"/>
                <w:sz w:val="24"/>
                <w:szCs w:val="24"/>
                <w:vertAlign w:val="superscript"/>
                <w:lang w:eastAsia="zh-CN"/>
              </w:rPr>
              <w:t>4</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169 (102-354)</w:t>
            </w:r>
            <w:r w:rsidR="006136CD">
              <w:rPr>
                <w:rFonts w:ascii="Book Antiqua" w:hAnsi="Book Antiqua" w:cs="Times New Roman" w:hint="eastAsia"/>
                <w:sz w:val="24"/>
                <w:szCs w:val="24"/>
                <w:vertAlign w:val="superscript"/>
                <w:lang w:eastAsia="zh-CN"/>
              </w:rPr>
              <w:t>4</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168 (115-209)</w:t>
            </w:r>
            <w:r w:rsidR="006136CD">
              <w:rPr>
                <w:rFonts w:ascii="Book Antiqua" w:hAnsi="Book Antiqua" w:cs="Times New Roman" w:hint="eastAsia"/>
                <w:sz w:val="24"/>
                <w:szCs w:val="24"/>
                <w:vertAlign w:val="superscript"/>
                <w:lang w:eastAsia="zh-CN"/>
              </w:rPr>
              <w:t>4</w:t>
            </w:r>
          </w:p>
          <w:p w:rsidR="00F2207B" w:rsidRPr="00612EED" w:rsidRDefault="00F2207B" w:rsidP="006136CD">
            <w:pPr>
              <w:spacing w:line="360" w:lineRule="auto"/>
              <w:jc w:val="both"/>
              <w:rPr>
                <w:rFonts w:ascii="Book Antiqua" w:hAnsi="Book Antiqua" w:cs="Times New Roman"/>
                <w:sz w:val="24"/>
                <w:szCs w:val="24"/>
              </w:rPr>
            </w:pPr>
            <w:r w:rsidRPr="00612EED">
              <w:rPr>
                <w:rFonts w:ascii="Book Antiqua" w:hAnsi="Book Antiqua" w:cs="Times New Roman"/>
                <w:sz w:val="24"/>
                <w:szCs w:val="24"/>
              </w:rPr>
              <w:t>133 (87-209)</w:t>
            </w:r>
            <w:r w:rsidR="006136CD">
              <w:rPr>
                <w:rFonts w:ascii="Book Antiqua" w:hAnsi="Book Antiqua" w:cs="Times New Roman" w:hint="eastAsia"/>
                <w:sz w:val="24"/>
                <w:szCs w:val="24"/>
                <w:vertAlign w:val="superscript"/>
                <w:lang w:eastAsia="zh-CN"/>
              </w:rPr>
              <w:t>4</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41</w:t>
            </w:r>
          </w:p>
        </w:tc>
      </w:tr>
      <w:tr w:rsidR="00F2207B" w:rsidRPr="00612EED" w:rsidTr="005132F6">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Italy</w:t>
            </w:r>
          </w:p>
        </w:tc>
        <w:tc>
          <w:tcPr>
            <w:tcW w:w="0" w:type="auto"/>
          </w:tcPr>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rPr>
              <w:t>Normal subjects</w:t>
            </w:r>
            <w:r w:rsidRPr="00612EED">
              <w:rPr>
                <w:rFonts w:ascii="Book Antiqua" w:hAnsi="Book Antiqua" w:cs="Times New Roman"/>
                <w:sz w:val="24"/>
                <w:szCs w:val="24"/>
                <w:vertAlign w:val="superscript"/>
              </w:rPr>
              <w:t>1</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Normal subjects</w:t>
            </w:r>
            <w:r w:rsidRPr="00612EED">
              <w:rPr>
                <w:rFonts w:ascii="Book Antiqua" w:hAnsi="Book Antiqua" w:cs="Times New Roman"/>
                <w:sz w:val="24"/>
                <w:szCs w:val="24"/>
                <w:vertAlign w:val="superscript"/>
              </w:rPr>
              <w:t>2</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12</w:t>
            </w:r>
            <w:r w:rsidR="004F2EFF">
              <w:rPr>
                <w:rFonts w:ascii="Book Antiqua" w:hAnsi="Book Antiqua" w:cs="Times New Roman"/>
                <w:sz w:val="24"/>
                <w:szCs w:val="24"/>
              </w:rPr>
              <w:t xml:space="preserve"> </w:t>
            </w:r>
            <w:r w:rsidRPr="00612EED">
              <w:rPr>
                <w:rFonts w:ascii="Book Antiqua" w:hAnsi="Book Antiqua" w:cs="Times New Roman"/>
                <w:sz w:val="24"/>
                <w:szCs w:val="24"/>
              </w:rPr>
              <w:t>(M:8, F:4)</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12</w:t>
            </w:r>
            <w:r w:rsidR="0077323C">
              <w:rPr>
                <w:rFonts w:ascii="Book Antiqua" w:hAnsi="Book Antiqua" w:cs="Times New Roman"/>
                <w:sz w:val="24"/>
                <w:szCs w:val="24"/>
              </w:rPr>
              <w:t xml:space="preserve"> </w:t>
            </w:r>
            <w:r w:rsidRPr="00612EED">
              <w:rPr>
                <w:rFonts w:ascii="Book Antiqua" w:hAnsi="Book Antiqua" w:cs="Times New Roman"/>
                <w:sz w:val="24"/>
                <w:szCs w:val="24"/>
              </w:rPr>
              <w:t>(M:8, F:4)</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335</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18</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42</w:t>
            </w:r>
          </w:p>
        </w:tc>
      </w:tr>
      <w:tr w:rsidR="00F2207B" w:rsidRPr="00612EED" w:rsidTr="005132F6">
        <w:tc>
          <w:tcPr>
            <w:tcW w:w="0" w:type="auto"/>
          </w:tcPr>
          <w:p w:rsidR="00F2207B" w:rsidRPr="00612EED" w:rsidRDefault="0037793E" w:rsidP="002A048C">
            <w:pPr>
              <w:spacing w:line="360" w:lineRule="auto"/>
              <w:jc w:val="both"/>
              <w:rPr>
                <w:rFonts w:ascii="Book Antiqua" w:hAnsi="Book Antiqua" w:cs="Times New Roman"/>
                <w:sz w:val="24"/>
                <w:szCs w:val="24"/>
              </w:rPr>
            </w:pPr>
            <w:r w:rsidRPr="00506C76">
              <w:rPr>
                <w:rFonts w:ascii="Book Antiqua" w:hAnsi="Book Antiqua" w:cs="Garamond"/>
                <w:sz w:val="24"/>
                <w:szCs w:val="24"/>
              </w:rPr>
              <w:t>United States</w:t>
            </w:r>
            <w:r w:rsidR="00F2207B" w:rsidRPr="00612EED">
              <w:rPr>
                <w:rFonts w:ascii="Book Antiqua" w:hAnsi="Book Antiqua" w:cs="Times New Roman"/>
                <w:sz w:val="24"/>
                <w:szCs w:val="24"/>
              </w:rPr>
              <w:t>, South</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F, 50-79 y</w:t>
            </w:r>
            <w:r w:rsidR="00276328">
              <w:rPr>
                <w:rFonts w:ascii="Book Antiqua" w:hAnsi="Book Antiqua" w:cs="Times New Roman" w:hint="eastAsia"/>
                <w:sz w:val="24"/>
                <w:szCs w:val="24"/>
                <w:lang w:eastAsia="zh-CN"/>
              </w:rPr>
              <w:t>r</w:t>
            </w:r>
            <w:r w:rsidRPr="00612EED">
              <w:rPr>
                <w:rFonts w:ascii="Book Antiqua" w:hAnsi="Book Antiqua" w:cs="Times New Roman"/>
                <w:sz w:val="24"/>
                <w:szCs w:val="24"/>
              </w:rPr>
              <w:t>, +Stones</w:t>
            </w:r>
          </w:p>
          <w:p w:rsidR="00F2207B" w:rsidRPr="00612EED" w:rsidRDefault="00F2207B" w:rsidP="00276328">
            <w:pPr>
              <w:spacing w:line="360" w:lineRule="auto"/>
              <w:jc w:val="both"/>
              <w:rPr>
                <w:rFonts w:ascii="Book Antiqua" w:hAnsi="Book Antiqua" w:cs="Times New Roman"/>
                <w:sz w:val="24"/>
                <w:szCs w:val="24"/>
              </w:rPr>
            </w:pPr>
            <w:r w:rsidRPr="00612EED">
              <w:rPr>
                <w:rFonts w:ascii="Book Antiqua" w:hAnsi="Book Antiqua" w:cs="Times New Roman"/>
                <w:sz w:val="24"/>
                <w:szCs w:val="24"/>
              </w:rPr>
              <w:t>F, 50-79 y</w:t>
            </w:r>
            <w:r w:rsidR="00276328">
              <w:rPr>
                <w:rFonts w:ascii="Book Antiqua" w:hAnsi="Book Antiqua" w:cs="Times New Roman" w:hint="eastAsia"/>
                <w:sz w:val="24"/>
                <w:szCs w:val="24"/>
                <w:lang w:eastAsia="zh-CN"/>
              </w:rPr>
              <w:t>r</w:t>
            </w:r>
            <w:r w:rsidRPr="00612EED">
              <w:rPr>
                <w:rFonts w:ascii="Book Antiqua" w:hAnsi="Book Antiqua" w:cs="Times New Roman"/>
                <w:sz w:val="24"/>
                <w:szCs w:val="24"/>
              </w:rPr>
              <w:t>. –Stones</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w:t>
            </w:r>
            <w:r w:rsidR="0037793E">
              <w:rPr>
                <w:rFonts w:ascii="Book Antiqua" w:hAnsi="Book Antiqua" w:cs="Times New Roman" w:hint="eastAsia"/>
                <w:sz w:val="24"/>
                <w:szCs w:val="24"/>
                <w:lang w:eastAsia="zh-CN"/>
              </w:rPr>
              <w:t>.</w:t>
            </w:r>
            <w:r w:rsidRPr="00612EED">
              <w:rPr>
                <w:rFonts w:ascii="Book Antiqua" w:hAnsi="Book Antiqua" w:cs="Times New Roman"/>
                <w:sz w:val="24"/>
                <w:szCs w:val="24"/>
              </w:rPr>
              <w:t>179</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1.179</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330±161</w:t>
            </w:r>
            <w:r w:rsidR="006136CD" w:rsidRPr="006136CD">
              <w:rPr>
                <w:rFonts w:ascii="Book Antiqua" w:hAnsi="Book Antiqua" w:cs="Times New Roman"/>
                <w:sz w:val="24"/>
                <w:szCs w:val="24"/>
                <w:vertAlign w:val="superscript"/>
              </w:rPr>
              <w:t>3</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345±166</w:t>
            </w:r>
            <w:r w:rsidR="006136CD" w:rsidRPr="006136CD">
              <w:rPr>
                <w:rFonts w:ascii="Book Antiqua" w:hAnsi="Book Antiqua" w:cs="Times New Roman"/>
                <w:sz w:val="24"/>
                <w:szCs w:val="24"/>
                <w:vertAlign w:val="superscript"/>
              </w:rPr>
              <w:t>3</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35</w:t>
            </w:r>
          </w:p>
        </w:tc>
      </w:tr>
      <w:tr w:rsidR="00F2207B" w:rsidRPr="00612EED" w:rsidTr="005132F6">
        <w:tc>
          <w:tcPr>
            <w:tcW w:w="0" w:type="auto"/>
          </w:tcPr>
          <w:p w:rsidR="00F2207B" w:rsidRPr="00612EED" w:rsidRDefault="0037793E" w:rsidP="002A048C">
            <w:pPr>
              <w:spacing w:line="360" w:lineRule="auto"/>
              <w:jc w:val="both"/>
              <w:rPr>
                <w:rFonts w:ascii="Book Antiqua" w:hAnsi="Book Antiqua" w:cs="Times New Roman"/>
                <w:sz w:val="24"/>
                <w:szCs w:val="24"/>
              </w:rPr>
            </w:pPr>
            <w:r w:rsidRPr="00506C76">
              <w:rPr>
                <w:rFonts w:ascii="Book Antiqua" w:hAnsi="Book Antiqua" w:cs="Garamond"/>
                <w:sz w:val="24"/>
                <w:szCs w:val="24"/>
              </w:rPr>
              <w:t>United States</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M, +Stones</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M, -Stones</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F, older, +Stones</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F, older, -Stones</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F, younger, +Stones</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F, younger, -Stones</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w:t>
            </w:r>
            <w:r w:rsidR="0037793E">
              <w:rPr>
                <w:rFonts w:ascii="Book Antiqua" w:hAnsi="Book Antiqua" w:cs="Times New Roman" w:hint="eastAsia"/>
                <w:sz w:val="24"/>
                <w:szCs w:val="24"/>
                <w:lang w:eastAsia="zh-CN"/>
              </w:rPr>
              <w:t>.</w:t>
            </w:r>
            <w:r w:rsidRPr="00612EED">
              <w:rPr>
                <w:rFonts w:ascii="Book Antiqua" w:hAnsi="Book Antiqua" w:cs="Times New Roman"/>
                <w:sz w:val="24"/>
                <w:szCs w:val="24"/>
              </w:rPr>
              <w:t>627</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44</w:t>
            </w:r>
            <w:r w:rsidR="0037793E">
              <w:rPr>
                <w:rFonts w:ascii="Book Antiqua" w:hAnsi="Book Antiqua" w:cs="Times New Roman" w:hint="eastAsia"/>
                <w:sz w:val="24"/>
                <w:szCs w:val="24"/>
                <w:lang w:eastAsia="zh-CN"/>
              </w:rPr>
              <w:t>.</w:t>
            </w:r>
            <w:r w:rsidRPr="00612EED">
              <w:rPr>
                <w:rFonts w:ascii="Book Antiqua" w:hAnsi="Book Antiqua" w:cs="Times New Roman"/>
                <w:sz w:val="24"/>
                <w:szCs w:val="24"/>
              </w:rPr>
              <w:t>358</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w:t>
            </w:r>
            <w:r w:rsidR="0037793E">
              <w:rPr>
                <w:rFonts w:ascii="Book Antiqua" w:hAnsi="Book Antiqua" w:cs="Times New Roman" w:hint="eastAsia"/>
                <w:sz w:val="24"/>
                <w:szCs w:val="24"/>
                <w:lang w:eastAsia="zh-CN"/>
              </w:rPr>
              <w:t>.</w:t>
            </w:r>
            <w:r w:rsidRPr="00612EED">
              <w:rPr>
                <w:rFonts w:ascii="Book Antiqua" w:hAnsi="Book Antiqua" w:cs="Times New Roman"/>
                <w:sz w:val="24"/>
                <w:szCs w:val="24"/>
              </w:rPr>
              <w:t>414</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91</w:t>
            </w:r>
            <w:r w:rsidR="0037793E">
              <w:rPr>
                <w:rFonts w:ascii="Book Antiqua" w:hAnsi="Book Antiqua" w:cs="Times New Roman" w:hint="eastAsia"/>
                <w:sz w:val="24"/>
                <w:szCs w:val="24"/>
                <w:lang w:eastAsia="zh-CN"/>
              </w:rPr>
              <w:t>.</w:t>
            </w:r>
            <w:r w:rsidRPr="00612EED">
              <w:rPr>
                <w:rFonts w:ascii="Book Antiqua" w:hAnsi="Book Antiqua" w:cs="Times New Roman"/>
                <w:sz w:val="24"/>
                <w:szCs w:val="24"/>
              </w:rPr>
              <w:t>358</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w:t>
            </w:r>
            <w:r w:rsidR="0037793E">
              <w:rPr>
                <w:rFonts w:ascii="Book Antiqua" w:hAnsi="Book Antiqua" w:cs="Times New Roman" w:hint="eastAsia"/>
                <w:sz w:val="24"/>
                <w:szCs w:val="24"/>
                <w:lang w:eastAsia="zh-CN"/>
              </w:rPr>
              <w:t>.</w:t>
            </w:r>
            <w:r w:rsidRPr="00612EED">
              <w:rPr>
                <w:rFonts w:ascii="Book Antiqua" w:hAnsi="Book Antiqua" w:cs="Times New Roman"/>
                <w:sz w:val="24"/>
                <w:szCs w:val="24"/>
              </w:rPr>
              <w:t>564</w:t>
            </w:r>
          </w:p>
          <w:p w:rsidR="00F2207B" w:rsidRPr="00612EED" w:rsidRDefault="00F2207B" w:rsidP="0037793E">
            <w:pPr>
              <w:spacing w:line="360" w:lineRule="auto"/>
              <w:jc w:val="both"/>
              <w:rPr>
                <w:rFonts w:ascii="Book Antiqua" w:hAnsi="Book Antiqua" w:cs="Times New Roman"/>
                <w:sz w:val="24"/>
                <w:szCs w:val="24"/>
              </w:rPr>
            </w:pPr>
            <w:r w:rsidRPr="00612EED">
              <w:rPr>
                <w:rFonts w:ascii="Book Antiqua" w:hAnsi="Book Antiqua" w:cs="Times New Roman"/>
                <w:sz w:val="24"/>
                <w:szCs w:val="24"/>
              </w:rPr>
              <w:t>100</w:t>
            </w:r>
            <w:r w:rsidR="0037793E">
              <w:rPr>
                <w:rFonts w:ascii="Book Antiqua" w:hAnsi="Book Antiqua" w:cs="Times New Roman" w:hint="eastAsia"/>
                <w:sz w:val="24"/>
                <w:szCs w:val="24"/>
                <w:lang w:eastAsia="zh-CN"/>
              </w:rPr>
              <w:t>.</w:t>
            </w:r>
            <w:r w:rsidRPr="00612EED">
              <w:rPr>
                <w:rFonts w:ascii="Book Antiqua" w:hAnsi="Book Antiqua" w:cs="Times New Roman"/>
                <w:sz w:val="24"/>
                <w:szCs w:val="24"/>
              </w:rPr>
              <w:t>260</w:t>
            </w:r>
          </w:p>
        </w:tc>
        <w:tc>
          <w:tcPr>
            <w:tcW w:w="0" w:type="auto"/>
          </w:tcPr>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rPr>
              <w:t>214±117</w:t>
            </w:r>
            <w:r w:rsidR="006136CD" w:rsidRPr="006136CD">
              <w:rPr>
                <w:rFonts w:ascii="Book Antiqua" w:hAnsi="Book Antiqua" w:cs="Times New Roman"/>
                <w:sz w:val="24"/>
                <w:szCs w:val="24"/>
                <w:vertAlign w:val="superscript"/>
              </w:rPr>
              <w:t>3</w:t>
            </w:r>
          </w:p>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rPr>
              <w:t>214±121</w:t>
            </w:r>
            <w:r w:rsidR="006136CD" w:rsidRPr="006136CD">
              <w:rPr>
                <w:rFonts w:ascii="Book Antiqua" w:hAnsi="Book Antiqua" w:cs="Times New Roman"/>
                <w:sz w:val="24"/>
                <w:szCs w:val="24"/>
                <w:vertAlign w:val="superscript"/>
              </w:rPr>
              <w:t>3</w:t>
            </w:r>
          </w:p>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rPr>
              <w:t>184±109</w:t>
            </w:r>
            <w:r w:rsidR="006136CD" w:rsidRPr="006136CD">
              <w:rPr>
                <w:rFonts w:ascii="Book Antiqua" w:hAnsi="Book Antiqua" w:cs="Times New Roman"/>
                <w:sz w:val="24"/>
                <w:szCs w:val="24"/>
                <w:vertAlign w:val="superscript"/>
              </w:rPr>
              <w:t>3</w:t>
            </w:r>
          </w:p>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rPr>
              <w:t>185±112</w:t>
            </w:r>
            <w:r w:rsidR="006136CD" w:rsidRPr="006136CD">
              <w:rPr>
                <w:rFonts w:ascii="Book Antiqua" w:hAnsi="Book Antiqua" w:cs="Times New Roman"/>
                <w:sz w:val="24"/>
                <w:szCs w:val="24"/>
                <w:vertAlign w:val="superscript"/>
              </w:rPr>
              <w:t>3</w:t>
            </w:r>
          </w:p>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rPr>
              <w:t>179±121</w:t>
            </w:r>
            <w:r w:rsidR="006136CD" w:rsidRPr="006136CD">
              <w:rPr>
                <w:rFonts w:ascii="Book Antiqua" w:hAnsi="Book Antiqua" w:cs="Times New Roman"/>
                <w:sz w:val="24"/>
                <w:szCs w:val="24"/>
                <w:vertAlign w:val="superscript"/>
              </w:rPr>
              <w:t>3</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183±121</w:t>
            </w:r>
            <w:r w:rsidR="006136CD" w:rsidRPr="006136CD">
              <w:rPr>
                <w:rFonts w:ascii="Book Antiqua" w:hAnsi="Book Antiqua" w:cs="Times New Roman"/>
                <w:sz w:val="24"/>
                <w:szCs w:val="24"/>
                <w:vertAlign w:val="superscript"/>
              </w:rPr>
              <w:t>3</w:t>
            </w:r>
          </w:p>
        </w:tc>
        <w:tc>
          <w:tcPr>
            <w:tcW w:w="0" w:type="auto"/>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36</w:t>
            </w:r>
          </w:p>
        </w:tc>
      </w:tr>
    </w:tbl>
    <w:p w:rsidR="00F2207B" w:rsidRPr="00612EED" w:rsidRDefault="00F2207B" w:rsidP="002A048C">
      <w:pPr>
        <w:spacing w:after="0" w:line="360" w:lineRule="auto"/>
        <w:jc w:val="both"/>
        <w:rPr>
          <w:rFonts w:ascii="Book Antiqua" w:hAnsi="Book Antiqua" w:cs="Times New Roman"/>
          <w:sz w:val="24"/>
          <w:szCs w:val="24"/>
        </w:rPr>
      </w:pPr>
    </w:p>
    <w:p w:rsidR="00F2207B" w:rsidRPr="00612EED" w:rsidRDefault="00F2207B" w:rsidP="002A048C">
      <w:pPr>
        <w:spacing w:after="0" w:line="360" w:lineRule="auto"/>
        <w:jc w:val="both"/>
        <w:rPr>
          <w:rFonts w:ascii="Book Antiqua" w:hAnsi="Book Antiqua" w:cs="Times New Roman"/>
          <w:sz w:val="24"/>
          <w:szCs w:val="24"/>
          <w:lang w:eastAsia="zh-CN"/>
        </w:rPr>
      </w:pPr>
      <w:r w:rsidRPr="00612EED">
        <w:rPr>
          <w:rFonts w:ascii="Book Antiqua" w:hAnsi="Book Antiqua" w:cs="Times New Roman"/>
          <w:sz w:val="24"/>
          <w:szCs w:val="24"/>
        </w:rPr>
        <w:lastRenderedPageBreak/>
        <w:t>+Stones</w:t>
      </w:r>
      <w:r w:rsidR="006136CD">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6136CD" w:rsidRPr="00612EED">
        <w:rPr>
          <w:rFonts w:ascii="Book Antiqua" w:hAnsi="Book Antiqua" w:cs="Times New Roman"/>
          <w:sz w:val="24"/>
          <w:szCs w:val="24"/>
        </w:rPr>
        <w:t>H</w:t>
      </w:r>
      <w:r w:rsidRPr="00612EED">
        <w:rPr>
          <w:rFonts w:ascii="Book Antiqua" w:hAnsi="Book Antiqua" w:cs="Times New Roman"/>
          <w:sz w:val="24"/>
          <w:szCs w:val="24"/>
        </w:rPr>
        <w:t>istory of urinary stones; -Stones</w:t>
      </w:r>
      <w:r w:rsidR="006136CD">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6136CD" w:rsidRPr="00612EED">
        <w:rPr>
          <w:rFonts w:ascii="Book Antiqua" w:hAnsi="Book Antiqua" w:cs="Times New Roman"/>
          <w:sz w:val="24"/>
          <w:szCs w:val="24"/>
        </w:rPr>
        <w:t>A</w:t>
      </w:r>
      <w:r w:rsidRPr="00612EED">
        <w:rPr>
          <w:rFonts w:ascii="Book Antiqua" w:hAnsi="Book Antiqua" w:cs="Times New Roman"/>
          <w:sz w:val="24"/>
          <w:szCs w:val="24"/>
        </w:rPr>
        <w:t>bsence of history of urinary stones; M</w:t>
      </w:r>
      <w:r w:rsidR="006136CD">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6136CD" w:rsidRPr="00612EED">
        <w:rPr>
          <w:rFonts w:ascii="Book Antiqua" w:hAnsi="Book Antiqua" w:cs="Times New Roman"/>
          <w:sz w:val="24"/>
          <w:szCs w:val="24"/>
        </w:rPr>
        <w:t>M</w:t>
      </w:r>
      <w:r w:rsidRPr="00612EED">
        <w:rPr>
          <w:rFonts w:ascii="Book Antiqua" w:hAnsi="Book Antiqua" w:cs="Times New Roman"/>
          <w:sz w:val="24"/>
          <w:szCs w:val="24"/>
        </w:rPr>
        <w:t>ale; F</w:t>
      </w:r>
      <w:r w:rsidR="006136CD">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6136CD" w:rsidRPr="00612EED">
        <w:rPr>
          <w:rFonts w:ascii="Book Antiqua" w:hAnsi="Book Antiqua" w:cs="Times New Roman"/>
          <w:sz w:val="24"/>
          <w:szCs w:val="24"/>
        </w:rPr>
        <w:t>F</w:t>
      </w:r>
      <w:r w:rsidRPr="00612EED">
        <w:rPr>
          <w:rFonts w:ascii="Book Antiqua" w:hAnsi="Book Antiqua" w:cs="Times New Roman"/>
          <w:sz w:val="24"/>
          <w:szCs w:val="24"/>
        </w:rPr>
        <w:t xml:space="preserve">emale; </w:t>
      </w:r>
      <w:r w:rsidRPr="00612EED">
        <w:rPr>
          <w:rFonts w:ascii="Book Antiqua" w:hAnsi="Book Antiqua" w:cs="Times New Roman"/>
          <w:sz w:val="24"/>
          <w:szCs w:val="24"/>
          <w:vertAlign w:val="superscript"/>
        </w:rPr>
        <w:t>1</w:t>
      </w:r>
      <w:r w:rsidRPr="00612EED">
        <w:rPr>
          <w:rFonts w:ascii="Book Antiqua" w:hAnsi="Book Antiqua" w:cs="Times New Roman"/>
          <w:sz w:val="24"/>
          <w:szCs w:val="24"/>
        </w:rPr>
        <w:t>Diet containing fruits and vegetables</w:t>
      </w:r>
      <w:r w:rsidR="00551101">
        <w:rPr>
          <w:rFonts w:ascii="Book Antiqua" w:hAnsi="Book Antiqua" w:cs="Times New Roman" w:hint="eastAsia"/>
          <w:sz w:val="24"/>
          <w:szCs w:val="24"/>
          <w:lang w:eastAsia="zh-CN"/>
        </w:rPr>
        <w:t>;</w:t>
      </w:r>
      <w:r w:rsidR="004F2EFF">
        <w:rPr>
          <w:rFonts w:ascii="Book Antiqua" w:hAnsi="Book Antiqua" w:cs="Times New Roman"/>
          <w:sz w:val="24"/>
          <w:szCs w:val="24"/>
        </w:rPr>
        <w:t xml:space="preserve"> </w:t>
      </w:r>
      <w:r w:rsidRPr="00612EED">
        <w:rPr>
          <w:rFonts w:ascii="Book Antiqua" w:hAnsi="Book Antiqua" w:cs="Times New Roman"/>
          <w:sz w:val="24"/>
          <w:szCs w:val="24"/>
          <w:vertAlign w:val="superscript"/>
        </w:rPr>
        <w:t>2</w:t>
      </w:r>
      <w:r w:rsidRPr="00612EED">
        <w:rPr>
          <w:rFonts w:ascii="Book Antiqua" w:hAnsi="Book Antiqua" w:cs="Times New Roman"/>
          <w:sz w:val="24"/>
          <w:szCs w:val="24"/>
        </w:rPr>
        <w:t>Diet without fruits and vegetables</w:t>
      </w:r>
      <w:r w:rsidR="00551101">
        <w:rPr>
          <w:rFonts w:ascii="Book Antiqua" w:hAnsi="Book Antiqua" w:cs="Times New Roman" w:hint="eastAsia"/>
          <w:sz w:val="24"/>
          <w:szCs w:val="24"/>
          <w:lang w:eastAsia="zh-CN"/>
        </w:rPr>
        <w:t xml:space="preserve">; </w:t>
      </w:r>
      <w:r w:rsidR="00551101" w:rsidRPr="006136CD">
        <w:rPr>
          <w:rFonts w:ascii="Book Antiqua" w:hAnsi="Book Antiqua" w:cs="Times New Roman"/>
          <w:sz w:val="24"/>
          <w:szCs w:val="24"/>
          <w:vertAlign w:val="superscript"/>
        </w:rPr>
        <w:t>3</w:t>
      </w:r>
      <w:r w:rsidR="00551101" w:rsidRPr="00612EED">
        <w:rPr>
          <w:rFonts w:ascii="Book Antiqua" w:hAnsi="Book Antiqua" w:cs="Times New Roman"/>
          <w:sz w:val="24"/>
          <w:szCs w:val="24"/>
        </w:rPr>
        <w:t>Mean ± S</w:t>
      </w:r>
      <w:r w:rsidR="00551101">
        <w:rPr>
          <w:rFonts w:ascii="Book Antiqua" w:hAnsi="Book Antiqua" w:cs="Times New Roman" w:hint="eastAsia"/>
          <w:sz w:val="24"/>
          <w:szCs w:val="24"/>
          <w:lang w:eastAsia="zh-CN"/>
        </w:rPr>
        <w:t>D</w:t>
      </w:r>
      <w:r w:rsidR="00551101" w:rsidRPr="00612EED">
        <w:rPr>
          <w:rFonts w:ascii="Book Antiqua" w:hAnsi="Book Antiqua" w:cs="Times New Roman"/>
          <w:sz w:val="24"/>
          <w:szCs w:val="24"/>
        </w:rPr>
        <w:t xml:space="preserve">; </w:t>
      </w:r>
      <w:r w:rsidR="00551101">
        <w:rPr>
          <w:rFonts w:ascii="Book Antiqua" w:hAnsi="Book Antiqua" w:cs="Times New Roman" w:hint="eastAsia"/>
          <w:sz w:val="24"/>
          <w:szCs w:val="24"/>
          <w:vertAlign w:val="superscript"/>
          <w:lang w:eastAsia="zh-CN"/>
        </w:rPr>
        <w:t>4</w:t>
      </w:r>
      <w:r w:rsidR="00551101" w:rsidRPr="00612EED">
        <w:rPr>
          <w:rFonts w:ascii="Book Antiqua" w:hAnsi="Book Antiqua" w:cs="Times New Roman"/>
          <w:sz w:val="24"/>
          <w:szCs w:val="24"/>
        </w:rPr>
        <w:t>Mean (25</w:t>
      </w:r>
      <w:r w:rsidR="00551101" w:rsidRPr="006136CD">
        <w:rPr>
          <w:rFonts w:ascii="Book Antiqua" w:hAnsi="Book Antiqua" w:cs="Times New Roman"/>
          <w:sz w:val="24"/>
          <w:szCs w:val="24"/>
          <w:vertAlign w:val="superscript"/>
        </w:rPr>
        <w:t>th</w:t>
      </w:r>
      <w:r w:rsidR="00551101" w:rsidRPr="00612EED">
        <w:rPr>
          <w:rFonts w:ascii="Book Antiqua" w:hAnsi="Book Antiqua" w:cs="Times New Roman"/>
          <w:sz w:val="24"/>
          <w:szCs w:val="24"/>
        </w:rPr>
        <w:t>-75</w:t>
      </w:r>
      <w:r w:rsidR="00551101" w:rsidRPr="00612EED">
        <w:rPr>
          <w:rFonts w:ascii="Book Antiqua" w:hAnsi="Book Antiqua" w:cs="Times New Roman"/>
          <w:sz w:val="24"/>
          <w:szCs w:val="24"/>
          <w:vertAlign w:val="superscript"/>
        </w:rPr>
        <w:t>th</w:t>
      </w:r>
      <w:r w:rsidR="00551101" w:rsidRPr="00612EED">
        <w:rPr>
          <w:rFonts w:ascii="Book Antiqua" w:hAnsi="Book Antiqua" w:cs="Times New Roman"/>
          <w:sz w:val="24"/>
          <w:szCs w:val="24"/>
        </w:rPr>
        <w:t xml:space="preserve"> percentile).</w:t>
      </w:r>
      <w:r w:rsidR="00551101">
        <w:rPr>
          <w:rFonts w:ascii="Book Antiqua" w:hAnsi="Book Antiqua" w:cs="Times New Roman"/>
          <w:sz w:val="24"/>
          <w:szCs w:val="24"/>
        </w:rPr>
        <w:t xml:space="preserve"> </w:t>
      </w:r>
    </w:p>
    <w:p w:rsidR="00F2207B" w:rsidRPr="00612EED" w:rsidRDefault="00F2207B" w:rsidP="002A048C">
      <w:pPr>
        <w:spacing w:after="0" w:line="360" w:lineRule="auto"/>
        <w:jc w:val="both"/>
        <w:rPr>
          <w:rFonts w:ascii="Book Antiqua" w:hAnsi="Book Antiqua" w:cs="Times New Roman"/>
          <w:sz w:val="24"/>
          <w:szCs w:val="24"/>
        </w:rPr>
      </w:pPr>
    </w:p>
    <w:p w:rsidR="00F2207B" w:rsidRPr="00634AE4" w:rsidRDefault="00F2207B" w:rsidP="002A048C">
      <w:pPr>
        <w:spacing w:after="0" w:line="360" w:lineRule="auto"/>
        <w:jc w:val="both"/>
        <w:rPr>
          <w:rFonts w:ascii="Book Antiqua" w:hAnsi="Book Antiqua" w:cs="Times New Roman"/>
          <w:b/>
          <w:sz w:val="24"/>
          <w:szCs w:val="24"/>
        </w:rPr>
      </w:pPr>
      <w:r w:rsidRPr="00612EED">
        <w:rPr>
          <w:rFonts w:ascii="Book Antiqua" w:hAnsi="Book Antiqua" w:cs="Times New Roman"/>
          <w:b/>
          <w:sz w:val="24"/>
          <w:szCs w:val="24"/>
        </w:rPr>
        <w:t>Table 2</w:t>
      </w:r>
      <w:r w:rsidR="0077323C">
        <w:rPr>
          <w:rFonts w:ascii="Book Antiqua" w:hAnsi="Book Antiqua" w:cs="Times New Roman"/>
          <w:sz w:val="24"/>
          <w:szCs w:val="24"/>
        </w:rPr>
        <w:t xml:space="preserve"> </w:t>
      </w:r>
      <w:r w:rsidRPr="00634AE4">
        <w:rPr>
          <w:rFonts w:ascii="Book Antiqua" w:hAnsi="Book Antiqua" w:cs="Times New Roman"/>
          <w:b/>
          <w:sz w:val="24"/>
          <w:szCs w:val="24"/>
        </w:rPr>
        <w:t>Surgical procedures and medical conditions associated with enteric hyperoxaluria</w:t>
      </w:r>
      <w:r w:rsidR="0077323C" w:rsidRPr="00634AE4">
        <w:rPr>
          <w:rFonts w:ascii="Book Antiqua" w:hAnsi="Book Antiqua" w:cs="Times New Roman"/>
          <w:b/>
          <w:sz w:val="24"/>
          <w:szCs w:val="24"/>
        </w:rPr>
        <w:t xml:space="preserve"> </w:t>
      </w:r>
    </w:p>
    <w:tbl>
      <w:tblPr>
        <w:tblStyle w:val="a7"/>
        <w:tblW w:w="11430" w:type="dxa"/>
        <w:tblInd w:w="-8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600"/>
        <w:gridCol w:w="2430"/>
        <w:gridCol w:w="2070"/>
      </w:tblGrid>
      <w:tr w:rsidR="00F2207B" w:rsidRPr="006A41B2" w:rsidTr="006A41B2">
        <w:tc>
          <w:tcPr>
            <w:tcW w:w="3330" w:type="dxa"/>
            <w:tcBorders>
              <w:top w:val="single" w:sz="4" w:space="0" w:color="auto"/>
              <w:bottom w:val="single" w:sz="4" w:space="0" w:color="auto"/>
            </w:tcBorders>
          </w:tcPr>
          <w:p w:rsidR="00F2207B" w:rsidRPr="006A41B2" w:rsidRDefault="00F2207B" w:rsidP="002A048C">
            <w:pPr>
              <w:spacing w:line="360" w:lineRule="auto"/>
              <w:jc w:val="both"/>
              <w:rPr>
                <w:rFonts w:ascii="Book Antiqua" w:hAnsi="Book Antiqua" w:cs="Times New Roman"/>
                <w:b/>
                <w:sz w:val="24"/>
                <w:szCs w:val="24"/>
              </w:rPr>
            </w:pPr>
            <w:r w:rsidRPr="006A41B2">
              <w:rPr>
                <w:rFonts w:ascii="Book Antiqua" w:hAnsi="Book Antiqua" w:cs="Times New Roman"/>
                <w:b/>
                <w:sz w:val="24"/>
                <w:szCs w:val="24"/>
              </w:rPr>
              <w:t xml:space="preserve">Surgical </w:t>
            </w:r>
          </w:p>
          <w:p w:rsidR="00F2207B" w:rsidRPr="006A41B2" w:rsidRDefault="006A41B2" w:rsidP="002A048C">
            <w:pPr>
              <w:spacing w:line="360" w:lineRule="auto"/>
              <w:jc w:val="both"/>
              <w:rPr>
                <w:rFonts w:ascii="Book Antiqua" w:hAnsi="Book Antiqua" w:cs="Times New Roman"/>
                <w:b/>
                <w:sz w:val="24"/>
                <w:szCs w:val="24"/>
              </w:rPr>
            </w:pPr>
            <w:r w:rsidRPr="006A41B2">
              <w:rPr>
                <w:rFonts w:ascii="Book Antiqua" w:hAnsi="Book Antiqua" w:cs="Times New Roman"/>
                <w:b/>
                <w:sz w:val="24"/>
                <w:szCs w:val="24"/>
              </w:rPr>
              <w:t>c</w:t>
            </w:r>
            <w:r w:rsidR="00F2207B" w:rsidRPr="006A41B2">
              <w:rPr>
                <w:rFonts w:ascii="Book Antiqua" w:hAnsi="Book Antiqua" w:cs="Times New Roman"/>
                <w:b/>
                <w:sz w:val="24"/>
                <w:szCs w:val="24"/>
              </w:rPr>
              <w:t>onditions</w:t>
            </w:r>
          </w:p>
        </w:tc>
        <w:tc>
          <w:tcPr>
            <w:tcW w:w="3600" w:type="dxa"/>
            <w:tcBorders>
              <w:top w:val="single" w:sz="4" w:space="0" w:color="auto"/>
              <w:bottom w:val="single" w:sz="4" w:space="0" w:color="auto"/>
            </w:tcBorders>
          </w:tcPr>
          <w:p w:rsidR="00F2207B" w:rsidRPr="006A41B2" w:rsidRDefault="00F2207B" w:rsidP="002A048C">
            <w:pPr>
              <w:spacing w:line="360" w:lineRule="auto"/>
              <w:jc w:val="both"/>
              <w:rPr>
                <w:rFonts w:ascii="Book Antiqua" w:hAnsi="Book Antiqua" w:cs="Times New Roman"/>
                <w:b/>
                <w:sz w:val="24"/>
                <w:szCs w:val="24"/>
              </w:rPr>
            </w:pPr>
            <w:r w:rsidRPr="006A41B2">
              <w:rPr>
                <w:rFonts w:ascii="Book Antiqua" w:hAnsi="Book Antiqua" w:cs="Times New Roman"/>
                <w:b/>
                <w:sz w:val="24"/>
                <w:szCs w:val="24"/>
              </w:rPr>
              <w:t xml:space="preserve">Medical </w:t>
            </w:r>
            <w:r w:rsidR="006A41B2" w:rsidRPr="006A41B2">
              <w:rPr>
                <w:rFonts w:ascii="Book Antiqua" w:hAnsi="Book Antiqua" w:cs="Times New Roman"/>
                <w:b/>
                <w:sz w:val="24"/>
                <w:szCs w:val="24"/>
              </w:rPr>
              <w:t>gastrointestinal</w:t>
            </w:r>
          </w:p>
          <w:p w:rsidR="00F2207B" w:rsidRPr="006A41B2" w:rsidRDefault="006A41B2" w:rsidP="002A048C">
            <w:pPr>
              <w:spacing w:line="360" w:lineRule="auto"/>
              <w:jc w:val="both"/>
              <w:rPr>
                <w:rFonts w:ascii="Book Antiqua" w:hAnsi="Book Antiqua" w:cs="Times New Roman"/>
                <w:b/>
                <w:sz w:val="24"/>
                <w:szCs w:val="24"/>
              </w:rPr>
            </w:pPr>
            <w:r w:rsidRPr="006A41B2">
              <w:rPr>
                <w:rFonts w:ascii="Book Antiqua" w:hAnsi="Book Antiqua" w:cs="Times New Roman"/>
                <w:b/>
                <w:sz w:val="24"/>
                <w:szCs w:val="24"/>
              </w:rPr>
              <w:t>condition</w:t>
            </w:r>
            <w:r w:rsidR="00F2207B" w:rsidRPr="006A41B2">
              <w:rPr>
                <w:rFonts w:ascii="Book Antiqua" w:hAnsi="Book Antiqua" w:cs="Times New Roman"/>
                <w:b/>
                <w:sz w:val="24"/>
                <w:szCs w:val="24"/>
              </w:rPr>
              <w:t>s</w:t>
            </w:r>
          </w:p>
        </w:tc>
        <w:tc>
          <w:tcPr>
            <w:tcW w:w="2430" w:type="dxa"/>
            <w:tcBorders>
              <w:top w:val="single" w:sz="4" w:space="0" w:color="auto"/>
              <w:bottom w:val="single" w:sz="4" w:space="0" w:color="auto"/>
            </w:tcBorders>
          </w:tcPr>
          <w:p w:rsidR="00F2207B" w:rsidRPr="006A41B2" w:rsidRDefault="00F2207B" w:rsidP="002A048C">
            <w:pPr>
              <w:spacing w:line="360" w:lineRule="auto"/>
              <w:jc w:val="both"/>
              <w:rPr>
                <w:rFonts w:ascii="Book Antiqua" w:hAnsi="Book Antiqua" w:cs="Times New Roman"/>
                <w:b/>
                <w:sz w:val="24"/>
                <w:szCs w:val="24"/>
              </w:rPr>
            </w:pPr>
            <w:r w:rsidRPr="006A41B2">
              <w:rPr>
                <w:rFonts w:ascii="Book Antiqua" w:hAnsi="Book Antiqua" w:cs="Times New Roman"/>
                <w:b/>
                <w:sz w:val="24"/>
                <w:szCs w:val="24"/>
              </w:rPr>
              <w:t xml:space="preserve">Other </w:t>
            </w:r>
            <w:r w:rsidR="006A41B2" w:rsidRPr="006A41B2">
              <w:rPr>
                <w:rFonts w:ascii="Book Antiqua" w:hAnsi="Book Antiqua" w:cs="Times New Roman"/>
                <w:b/>
                <w:sz w:val="24"/>
                <w:szCs w:val="24"/>
              </w:rPr>
              <w:t>medical/surgical</w:t>
            </w:r>
          </w:p>
          <w:p w:rsidR="00F2207B" w:rsidRPr="006A41B2" w:rsidRDefault="006A41B2" w:rsidP="002A048C">
            <w:pPr>
              <w:spacing w:line="360" w:lineRule="auto"/>
              <w:jc w:val="both"/>
              <w:rPr>
                <w:rFonts w:ascii="Book Antiqua" w:hAnsi="Book Antiqua" w:cs="Times New Roman"/>
                <w:b/>
                <w:sz w:val="24"/>
                <w:szCs w:val="24"/>
              </w:rPr>
            </w:pPr>
            <w:r w:rsidRPr="006A41B2">
              <w:rPr>
                <w:rFonts w:ascii="Book Antiqua" w:hAnsi="Book Antiqua" w:cs="Times New Roman"/>
                <w:b/>
                <w:sz w:val="24"/>
                <w:szCs w:val="24"/>
              </w:rPr>
              <w:t>co</w:t>
            </w:r>
            <w:r w:rsidR="00F2207B" w:rsidRPr="006A41B2">
              <w:rPr>
                <w:rFonts w:ascii="Book Antiqua" w:hAnsi="Book Antiqua" w:cs="Times New Roman"/>
                <w:b/>
                <w:sz w:val="24"/>
                <w:szCs w:val="24"/>
              </w:rPr>
              <w:t>nditions</w:t>
            </w:r>
          </w:p>
        </w:tc>
        <w:tc>
          <w:tcPr>
            <w:tcW w:w="2070" w:type="dxa"/>
            <w:tcBorders>
              <w:top w:val="single" w:sz="4" w:space="0" w:color="auto"/>
              <w:bottom w:val="single" w:sz="4" w:space="0" w:color="auto"/>
            </w:tcBorders>
          </w:tcPr>
          <w:p w:rsidR="00F2207B" w:rsidRPr="006A41B2" w:rsidRDefault="00F2207B" w:rsidP="002A048C">
            <w:pPr>
              <w:spacing w:line="360" w:lineRule="auto"/>
              <w:jc w:val="both"/>
              <w:rPr>
                <w:rFonts w:ascii="Book Antiqua" w:hAnsi="Book Antiqua" w:cs="Times New Roman"/>
                <w:b/>
                <w:sz w:val="24"/>
                <w:szCs w:val="24"/>
              </w:rPr>
            </w:pPr>
            <w:r w:rsidRPr="006A41B2">
              <w:rPr>
                <w:rFonts w:ascii="Book Antiqua" w:hAnsi="Book Antiqua" w:cs="Times New Roman"/>
                <w:b/>
                <w:sz w:val="24"/>
                <w:szCs w:val="24"/>
              </w:rPr>
              <w:t>Drugs</w:t>
            </w:r>
          </w:p>
        </w:tc>
      </w:tr>
      <w:tr w:rsidR="00F2207B" w:rsidRPr="00612EED" w:rsidTr="006A41B2">
        <w:tc>
          <w:tcPr>
            <w:tcW w:w="3330" w:type="dxa"/>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rPr>
              <w:t>Jejunoileal bypass</w:t>
            </w:r>
            <w:r w:rsidRPr="00612EED">
              <w:rPr>
                <w:rFonts w:ascii="Book Antiqua" w:hAnsi="Book Antiqua" w:cs="Times New Roman"/>
                <w:sz w:val="24"/>
                <w:szCs w:val="24"/>
                <w:vertAlign w:val="superscript"/>
              </w:rPr>
              <w:t>[106, 108, 110]</w:t>
            </w:r>
          </w:p>
          <w:p w:rsidR="00F2207B" w:rsidRPr="00612EED" w:rsidRDefault="00F2207B" w:rsidP="002A048C">
            <w:pPr>
              <w:spacing w:line="360" w:lineRule="auto"/>
              <w:jc w:val="both"/>
              <w:rPr>
                <w:rFonts w:ascii="Book Antiqua" w:hAnsi="Book Antiqua" w:cs="Times New Roman"/>
                <w:sz w:val="24"/>
                <w:szCs w:val="24"/>
                <w:vertAlign w:val="superscript"/>
              </w:rPr>
            </w:pPr>
          </w:p>
        </w:tc>
        <w:tc>
          <w:tcPr>
            <w:tcW w:w="3600" w:type="dxa"/>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Crohn’s disease</w:t>
            </w:r>
            <w:r w:rsidRPr="00612EED">
              <w:rPr>
                <w:rFonts w:ascii="Book Antiqua" w:hAnsi="Book Antiqua" w:cs="Times New Roman"/>
                <w:sz w:val="24"/>
                <w:szCs w:val="24"/>
                <w:vertAlign w:val="superscript"/>
              </w:rPr>
              <w:t>[109, 119]</w:t>
            </w:r>
          </w:p>
        </w:tc>
        <w:tc>
          <w:tcPr>
            <w:tcW w:w="2430" w:type="dxa"/>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Morbid obesity</w:t>
            </w:r>
            <w:r w:rsidRPr="00612EED">
              <w:rPr>
                <w:rFonts w:ascii="Book Antiqua" w:hAnsi="Book Antiqua" w:cs="Times New Roman"/>
                <w:sz w:val="24"/>
                <w:szCs w:val="24"/>
                <w:vertAlign w:val="superscript"/>
              </w:rPr>
              <w:t>[112]</w:t>
            </w:r>
          </w:p>
        </w:tc>
        <w:tc>
          <w:tcPr>
            <w:tcW w:w="2070" w:type="dxa"/>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Orlistat</w:t>
            </w:r>
            <w:r w:rsidRPr="00612EED">
              <w:rPr>
                <w:rFonts w:ascii="Book Antiqua" w:hAnsi="Book Antiqua" w:cs="Times New Roman"/>
                <w:sz w:val="24"/>
                <w:szCs w:val="24"/>
                <w:vertAlign w:val="superscript"/>
              </w:rPr>
              <w:t>[130, 131]</w:t>
            </w:r>
          </w:p>
        </w:tc>
      </w:tr>
      <w:tr w:rsidR="00F2207B" w:rsidRPr="00612EED" w:rsidTr="006A41B2">
        <w:tc>
          <w:tcPr>
            <w:tcW w:w="333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Roux-en-y gastric bypass</w:t>
            </w:r>
            <w:r w:rsidRPr="00612EED">
              <w:rPr>
                <w:rFonts w:ascii="Book Antiqua" w:hAnsi="Book Antiqua" w:cs="Times New Roman"/>
                <w:sz w:val="24"/>
                <w:szCs w:val="24"/>
                <w:vertAlign w:val="superscript"/>
              </w:rPr>
              <w:t>[111, 113]</w:t>
            </w:r>
          </w:p>
        </w:tc>
        <w:tc>
          <w:tcPr>
            <w:tcW w:w="36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Diabetic gastroenteropathy</w:t>
            </w:r>
            <w:r w:rsidRPr="00612EED">
              <w:rPr>
                <w:rFonts w:ascii="Book Antiqua" w:hAnsi="Book Antiqua" w:cs="Times New Roman"/>
                <w:sz w:val="24"/>
                <w:szCs w:val="24"/>
                <w:vertAlign w:val="superscript"/>
              </w:rPr>
              <w:t>[115, 116]</w:t>
            </w:r>
          </w:p>
        </w:tc>
        <w:tc>
          <w:tcPr>
            <w:tcW w:w="243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Cystic fibrosis</w:t>
            </w:r>
            <w:r w:rsidRPr="00612EED">
              <w:rPr>
                <w:rFonts w:ascii="Book Antiqua" w:hAnsi="Book Antiqua" w:cs="Times New Roman"/>
                <w:sz w:val="24"/>
                <w:szCs w:val="24"/>
                <w:vertAlign w:val="superscript"/>
              </w:rPr>
              <w:t>[122, 123]</w:t>
            </w:r>
          </w:p>
        </w:tc>
        <w:tc>
          <w:tcPr>
            <w:tcW w:w="207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Octreotide</w:t>
            </w:r>
            <w:r w:rsidRPr="00612EED">
              <w:rPr>
                <w:rFonts w:ascii="Book Antiqua" w:hAnsi="Book Antiqua" w:cs="Times New Roman"/>
                <w:sz w:val="24"/>
                <w:szCs w:val="24"/>
                <w:vertAlign w:val="superscript"/>
              </w:rPr>
              <w:t>[132]</w:t>
            </w:r>
          </w:p>
        </w:tc>
      </w:tr>
      <w:tr w:rsidR="00F2207B" w:rsidRPr="00612EED" w:rsidTr="006A41B2">
        <w:tc>
          <w:tcPr>
            <w:tcW w:w="333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Small bowel resection</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108, 109]</w:t>
            </w:r>
          </w:p>
        </w:tc>
        <w:tc>
          <w:tcPr>
            <w:tcW w:w="36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Sprue</w:t>
            </w:r>
            <w:r w:rsidRPr="00612EED">
              <w:rPr>
                <w:rFonts w:ascii="Book Antiqua" w:hAnsi="Book Antiqua" w:cs="Times New Roman"/>
                <w:sz w:val="24"/>
                <w:szCs w:val="24"/>
                <w:vertAlign w:val="superscript"/>
              </w:rPr>
              <w:t>[117]</w:t>
            </w:r>
          </w:p>
        </w:tc>
        <w:tc>
          <w:tcPr>
            <w:tcW w:w="243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Organ transplants</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124-129]</w:t>
            </w:r>
          </w:p>
        </w:tc>
        <w:tc>
          <w:tcPr>
            <w:tcW w:w="2070" w:type="dxa"/>
          </w:tcPr>
          <w:p w:rsidR="00F2207B" w:rsidRPr="00612EED" w:rsidRDefault="00F2207B" w:rsidP="002A048C">
            <w:pPr>
              <w:spacing w:line="360" w:lineRule="auto"/>
              <w:jc w:val="both"/>
              <w:rPr>
                <w:rFonts w:ascii="Book Antiqua" w:hAnsi="Book Antiqua" w:cs="Times New Roman"/>
                <w:sz w:val="24"/>
                <w:szCs w:val="24"/>
              </w:rPr>
            </w:pPr>
          </w:p>
        </w:tc>
      </w:tr>
      <w:tr w:rsidR="00F2207B" w:rsidRPr="00612EED" w:rsidTr="006A41B2">
        <w:tc>
          <w:tcPr>
            <w:tcW w:w="3330" w:type="dxa"/>
          </w:tcPr>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rPr>
              <w:t>Partial gastrectomy</w:t>
            </w:r>
            <w:r w:rsidRPr="00612EED">
              <w:rPr>
                <w:rFonts w:ascii="Book Antiqua" w:hAnsi="Book Antiqua" w:cs="Times New Roman"/>
                <w:sz w:val="24"/>
                <w:szCs w:val="24"/>
                <w:vertAlign w:val="superscript"/>
              </w:rPr>
              <w:t>[108]</w:t>
            </w:r>
          </w:p>
          <w:p w:rsidR="00F2207B" w:rsidRPr="00612EED" w:rsidRDefault="00F2207B" w:rsidP="002A048C">
            <w:pPr>
              <w:spacing w:line="360" w:lineRule="auto"/>
              <w:jc w:val="both"/>
              <w:rPr>
                <w:rFonts w:ascii="Book Antiqua" w:hAnsi="Book Antiqua" w:cs="Times New Roman"/>
                <w:sz w:val="24"/>
                <w:szCs w:val="24"/>
              </w:rPr>
            </w:pPr>
          </w:p>
        </w:tc>
        <w:tc>
          <w:tcPr>
            <w:tcW w:w="36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Primary biliary cirrhosis</w:t>
            </w:r>
            <w:r w:rsidRPr="00612EED">
              <w:rPr>
                <w:rFonts w:ascii="Book Antiqua" w:hAnsi="Book Antiqua" w:cs="Times New Roman"/>
                <w:sz w:val="24"/>
                <w:szCs w:val="24"/>
                <w:vertAlign w:val="superscript"/>
              </w:rPr>
              <w:t>[109]</w:t>
            </w:r>
          </w:p>
        </w:tc>
        <w:tc>
          <w:tcPr>
            <w:tcW w:w="2430" w:type="dxa"/>
          </w:tcPr>
          <w:p w:rsidR="00F2207B" w:rsidRPr="00612EED" w:rsidRDefault="00F2207B" w:rsidP="002A048C">
            <w:pPr>
              <w:spacing w:line="360" w:lineRule="auto"/>
              <w:jc w:val="both"/>
              <w:rPr>
                <w:rFonts w:ascii="Book Antiqua" w:hAnsi="Book Antiqua" w:cs="Times New Roman"/>
                <w:sz w:val="24"/>
                <w:szCs w:val="24"/>
              </w:rPr>
            </w:pPr>
          </w:p>
        </w:tc>
        <w:tc>
          <w:tcPr>
            <w:tcW w:w="2070" w:type="dxa"/>
          </w:tcPr>
          <w:p w:rsidR="00F2207B" w:rsidRPr="00612EED" w:rsidRDefault="00F2207B" w:rsidP="002A048C">
            <w:pPr>
              <w:spacing w:line="360" w:lineRule="auto"/>
              <w:jc w:val="both"/>
              <w:rPr>
                <w:rFonts w:ascii="Book Antiqua" w:hAnsi="Book Antiqua" w:cs="Times New Roman"/>
                <w:sz w:val="24"/>
                <w:szCs w:val="24"/>
              </w:rPr>
            </w:pPr>
          </w:p>
        </w:tc>
      </w:tr>
      <w:tr w:rsidR="00F2207B" w:rsidRPr="00612EED" w:rsidTr="006A41B2">
        <w:tc>
          <w:tcPr>
            <w:tcW w:w="3330" w:type="dxa"/>
          </w:tcPr>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rPr>
              <w:t>Pancreatectomy</w:t>
            </w:r>
            <w:r w:rsidRPr="00612EED">
              <w:rPr>
                <w:rFonts w:ascii="Book Antiqua" w:hAnsi="Book Antiqua" w:cs="Times New Roman"/>
                <w:sz w:val="24"/>
                <w:szCs w:val="24"/>
                <w:vertAlign w:val="superscript"/>
              </w:rPr>
              <w:t>[109]</w:t>
            </w:r>
          </w:p>
          <w:p w:rsidR="00F2207B" w:rsidRPr="00612EED" w:rsidRDefault="00F2207B" w:rsidP="002A048C">
            <w:pPr>
              <w:spacing w:line="360" w:lineRule="auto"/>
              <w:jc w:val="both"/>
              <w:rPr>
                <w:rFonts w:ascii="Book Antiqua" w:hAnsi="Book Antiqua" w:cs="Times New Roman"/>
                <w:sz w:val="24"/>
                <w:szCs w:val="24"/>
              </w:rPr>
            </w:pPr>
          </w:p>
        </w:tc>
        <w:tc>
          <w:tcPr>
            <w:tcW w:w="36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Chronic pancreatitis</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118]</w:t>
            </w:r>
          </w:p>
        </w:tc>
        <w:tc>
          <w:tcPr>
            <w:tcW w:w="2430" w:type="dxa"/>
          </w:tcPr>
          <w:p w:rsidR="00F2207B" w:rsidRPr="00612EED" w:rsidRDefault="00F2207B" w:rsidP="002A048C">
            <w:pPr>
              <w:spacing w:line="360" w:lineRule="auto"/>
              <w:jc w:val="both"/>
              <w:rPr>
                <w:rFonts w:ascii="Book Antiqua" w:hAnsi="Book Antiqua" w:cs="Times New Roman"/>
                <w:sz w:val="24"/>
                <w:szCs w:val="24"/>
              </w:rPr>
            </w:pPr>
          </w:p>
        </w:tc>
        <w:tc>
          <w:tcPr>
            <w:tcW w:w="2070" w:type="dxa"/>
          </w:tcPr>
          <w:p w:rsidR="00F2207B" w:rsidRPr="00612EED" w:rsidRDefault="00F2207B" w:rsidP="002A048C">
            <w:pPr>
              <w:spacing w:line="360" w:lineRule="auto"/>
              <w:jc w:val="both"/>
              <w:rPr>
                <w:rFonts w:ascii="Book Antiqua" w:hAnsi="Book Antiqua" w:cs="Times New Roman"/>
                <w:sz w:val="24"/>
                <w:szCs w:val="24"/>
              </w:rPr>
            </w:pPr>
          </w:p>
        </w:tc>
      </w:tr>
      <w:tr w:rsidR="00F2207B" w:rsidRPr="00612EED" w:rsidTr="006A41B2">
        <w:tc>
          <w:tcPr>
            <w:tcW w:w="3330" w:type="dxa"/>
          </w:tcPr>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rPr>
              <w:t>External biliary drainage</w:t>
            </w:r>
            <w:r w:rsidRPr="00612EED">
              <w:rPr>
                <w:rFonts w:ascii="Book Antiqua" w:hAnsi="Book Antiqua" w:cs="Times New Roman"/>
                <w:sz w:val="24"/>
                <w:szCs w:val="24"/>
                <w:vertAlign w:val="superscript"/>
              </w:rPr>
              <w:t>[114]</w:t>
            </w:r>
          </w:p>
          <w:p w:rsidR="00F2207B" w:rsidRPr="00612EED" w:rsidRDefault="00F2207B" w:rsidP="002A048C">
            <w:pPr>
              <w:spacing w:line="360" w:lineRule="auto"/>
              <w:jc w:val="both"/>
              <w:rPr>
                <w:rFonts w:ascii="Book Antiqua" w:hAnsi="Book Antiqua" w:cs="Times New Roman"/>
                <w:sz w:val="24"/>
                <w:szCs w:val="24"/>
              </w:rPr>
            </w:pPr>
          </w:p>
        </w:tc>
        <w:tc>
          <w:tcPr>
            <w:tcW w:w="36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Intestinal lymphagiectasia</w:t>
            </w:r>
            <w:r w:rsidRPr="00612EED">
              <w:rPr>
                <w:rFonts w:ascii="Book Antiqua" w:hAnsi="Book Antiqua" w:cs="Times New Roman"/>
                <w:sz w:val="24"/>
                <w:szCs w:val="24"/>
                <w:vertAlign w:val="superscript"/>
              </w:rPr>
              <w:t>[120]</w:t>
            </w:r>
          </w:p>
        </w:tc>
        <w:tc>
          <w:tcPr>
            <w:tcW w:w="2430" w:type="dxa"/>
          </w:tcPr>
          <w:p w:rsidR="00F2207B" w:rsidRPr="00612EED" w:rsidRDefault="00F2207B" w:rsidP="002A048C">
            <w:pPr>
              <w:spacing w:line="360" w:lineRule="auto"/>
              <w:jc w:val="both"/>
              <w:rPr>
                <w:rFonts w:ascii="Book Antiqua" w:hAnsi="Book Antiqua" w:cs="Times New Roman"/>
                <w:sz w:val="24"/>
                <w:szCs w:val="24"/>
              </w:rPr>
            </w:pPr>
          </w:p>
        </w:tc>
        <w:tc>
          <w:tcPr>
            <w:tcW w:w="2070" w:type="dxa"/>
          </w:tcPr>
          <w:p w:rsidR="00F2207B" w:rsidRPr="00612EED" w:rsidRDefault="00F2207B" w:rsidP="002A048C">
            <w:pPr>
              <w:spacing w:line="360" w:lineRule="auto"/>
              <w:jc w:val="both"/>
              <w:rPr>
                <w:rFonts w:ascii="Book Antiqua" w:hAnsi="Book Antiqua" w:cs="Times New Roman"/>
                <w:sz w:val="24"/>
                <w:szCs w:val="24"/>
              </w:rPr>
            </w:pPr>
          </w:p>
        </w:tc>
      </w:tr>
      <w:tr w:rsidR="00F2207B" w:rsidRPr="00612EED" w:rsidTr="006A41B2">
        <w:tc>
          <w:tcPr>
            <w:tcW w:w="3330" w:type="dxa"/>
          </w:tcPr>
          <w:p w:rsidR="00F2207B" w:rsidRPr="00612EED" w:rsidRDefault="00F2207B" w:rsidP="002A048C">
            <w:pPr>
              <w:spacing w:line="360" w:lineRule="auto"/>
              <w:jc w:val="both"/>
              <w:rPr>
                <w:rFonts w:ascii="Book Antiqua" w:hAnsi="Book Antiqua" w:cs="Times New Roman"/>
                <w:sz w:val="24"/>
                <w:szCs w:val="24"/>
              </w:rPr>
            </w:pPr>
          </w:p>
          <w:p w:rsidR="00F2207B" w:rsidRPr="00612EED" w:rsidRDefault="00F2207B" w:rsidP="002A048C">
            <w:pPr>
              <w:spacing w:line="360" w:lineRule="auto"/>
              <w:jc w:val="both"/>
              <w:rPr>
                <w:rFonts w:ascii="Book Antiqua" w:hAnsi="Book Antiqua" w:cs="Times New Roman"/>
                <w:sz w:val="24"/>
                <w:szCs w:val="24"/>
              </w:rPr>
            </w:pPr>
          </w:p>
        </w:tc>
        <w:tc>
          <w:tcPr>
            <w:tcW w:w="36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i/>
                <w:sz w:val="24"/>
                <w:szCs w:val="24"/>
              </w:rPr>
              <w:t>Clostridium difficile</w:t>
            </w:r>
            <w:r w:rsidRPr="00612EED">
              <w:rPr>
                <w:rFonts w:ascii="Book Antiqua" w:hAnsi="Book Antiqua" w:cs="Times New Roman"/>
                <w:sz w:val="24"/>
                <w:szCs w:val="24"/>
              </w:rPr>
              <w:t xml:space="preserve"> colitis</w:t>
            </w:r>
            <w:r w:rsidRPr="00612EED">
              <w:rPr>
                <w:rFonts w:ascii="Book Antiqua" w:hAnsi="Book Antiqua" w:cs="Times New Roman"/>
                <w:sz w:val="24"/>
                <w:szCs w:val="24"/>
                <w:vertAlign w:val="superscript"/>
              </w:rPr>
              <w:t>[121]</w:t>
            </w:r>
          </w:p>
        </w:tc>
        <w:tc>
          <w:tcPr>
            <w:tcW w:w="2430" w:type="dxa"/>
          </w:tcPr>
          <w:p w:rsidR="00F2207B" w:rsidRPr="00612EED" w:rsidRDefault="00F2207B" w:rsidP="002A048C">
            <w:pPr>
              <w:spacing w:line="360" w:lineRule="auto"/>
              <w:jc w:val="both"/>
              <w:rPr>
                <w:rFonts w:ascii="Book Antiqua" w:hAnsi="Book Antiqua" w:cs="Times New Roman"/>
                <w:sz w:val="24"/>
                <w:szCs w:val="24"/>
              </w:rPr>
            </w:pPr>
          </w:p>
        </w:tc>
        <w:tc>
          <w:tcPr>
            <w:tcW w:w="2070" w:type="dxa"/>
          </w:tcPr>
          <w:p w:rsidR="00F2207B" w:rsidRPr="00612EED" w:rsidRDefault="00F2207B" w:rsidP="002A048C">
            <w:pPr>
              <w:spacing w:line="360" w:lineRule="auto"/>
              <w:jc w:val="both"/>
              <w:rPr>
                <w:rFonts w:ascii="Book Antiqua" w:hAnsi="Book Antiqua" w:cs="Times New Roman"/>
                <w:sz w:val="24"/>
                <w:szCs w:val="24"/>
              </w:rPr>
            </w:pPr>
          </w:p>
        </w:tc>
      </w:tr>
    </w:tbl>
    <w:p w:rsidR="00F2207B" w:rsidRPr="00612EED" w:rsidRDefault="00F2207B" w:rsidP="002A048C">
      <w:pPr>
        <w:spacing w:after="0" w:line="360" w:lineRule="auto"/>
        <w:jc w:val="both"/>
        <w:rPr>
          <w:rFonts w:ascii="Book Antiqua" w:hAnsi="Book Antiqua" w:cs="Times New Roman"/>
          <w:sz w:val="24"/>
          <w:szCs w:val="24"/>
        </w:rPr>
      </w:pPr>
    </w:p>
    <w:p w:rsidR="00F2207B" w:rsidRPr="00612EED" w:rsidRDefault="00F2207B" w:rsidP="002A048C">
      <w:pPr>
        <w:spacing w:after="0" w:line="360" w:lineRule="auto"/>
        <w:jc w:val="both"/>
        <w:rPr>
          <w:rFonts w:ascii="Book Antiqua" w:hAnsi="Book Antiqua" w:cs="Times New Roman"/>
          <w:sz w:val="24"/>
          <w:szCs w:val="24"/>
        </w:rPr>
      </w:pPr>
    </w:p>
    <w:p w:rsidR="00F2207B" w:rsidRPr="00612EED" w:rsidRDefault="00F2207B" w:rsidP="002A048C">
      <w:pPr>
        <w:spacing w:after="0" w:line="360" w:lineRule="auto"/>
        <w:jc w:val="both"/>
        <w:rPr>
          <w:rFonts w:ascii="Book Antiqua" w:hAnsi="Book Antiqua" w:cs="Times New Roman"/>
          <w:sz w:val="24"/>
          <w:szCs w:val="24"/>
        </w:rPr>
      </w:pPr>
    </w:p>
    <w:p w:rsidR="00F2207B" w:rsidRPr="00612EED" w:rsidRDefault="00F2207B" w:rsidP="002A048C">
      <w:pPr>
        <w:spacing w:after="0" w:line="360" w:lineRule="auto"/>
        <w:jc w:val="both"/>
        <w:rPr>
          <w:rFonts w:ascii="Book Antiqua" w:hAnsi="Book Antiqua" w:cs="Times New Roman"/>
          <w:sz w:val="24"/>
          <w:szCs w:val="24"/>
        </w:rPr>
      </w:pPr>
    </w:p>
    <w:p w:rsidR="00F2207B" w:rsidRPr="00612EED" w:rsidRDefault="00F2207B" w:rsidP="002A048C">
      <w:pPr>
        <w:spacing w:after="0" w:line="360" w:lineRule="auto"/>
        <w:jc w:val="both"/>
        <w:rPr>
          <w:rFonts w:ascii="Book Antiqua" w:hAnsi="Book Antiqua" w:cs="Times New Roman"/>
          <w:sz w:val="24"/>
          <w:szCs w:val="24"/>
        </w:rPr>
      </w:pPr>
    </w:p>
    <w:p w:rsidR="00F2207B" w:rsidRPr="00612EED" w:rsidRDefault="00F2207B" w:rsidP="002A048C">
      <w:pPr>
        <w:spacing w:after="0" w:line="360" w:lineRule="auto"/>
        <w:jc w:val="both"/>
        <w:rPr>
          <w:rFonts w:ascii="Book Antiqua" w:hAnsi="Book Antiqua" w:cs="Times New Roman"/>
          <w:sz w:val="24"/>
          <w:szCs w:val="24"/>
        </w:rPr>
      </w:pPr>
    </w:p>
    <w:p w:rsidR="00F2207B" w:rsidRPr="003B2BC9" w:rsidRDefault="00F2207B" w:rsidP="002A048C">
      <w:pPr>
        <w:spacing w:after="0" w:line="360" w:lineRule="auto"/>
        <w:jc w:val="both"/>
        <w:rPr>
          <w:rFonts w:ascii="Book Antiqua" w:hAnsi="Book Antiqua" w:cs="Times New Roman"/>
          <w:b/>
          <w:sz w:val="24"/>
          <w:szCs w:val="24"/>
        </w:rPr>
      </w:pPr>
      <w:r w:rsidRPr="003B2BC9">
        <w:rPr>
          <w:rFonts w:ascii="Book Antiqua" w:hAnsi="Book Antiqua" w:cs="Times New Roman"/>
          <w:b/>
          <w:sz w:val="24"/>
          <w:szCs w:val="24"/>
        </w:rPr>
        <w:lastRenderedPageBreak/>
        <w:t>Table 3</w:t>
      </w:r>
      <w:r w:rsidR="0077323C" w:rsidRPr="003B2BC9">
        <w:rPr>
          <w:rFonts w:ascii="Book Antiqua" w:hAnsi="Book Antiqua" w:cs="Times New Roman"/>
          <w:b/>
          <w:sz w:val="24"/>
          <w:szCs w:val="24"/>
        </w:rPr>
        <w:t xml:space="preserve"> </w:t>
      </w:r>
      <w:r w:rsidRPr="003B2BC9">
        <w:rPr>
          <w:rFonts w:ascii="Book Antiqua" w:hAnsi="Book Antiqua" w:cs="Times New Roman"/>
          <w:b/>
          <w:sz w:val="24"/>
          <w:szCs w:val="24"/>
        </w:rPr>
        <w:t>Reports of parenchymal renal disease induced by dietary hyperoxaluria</w:t>
      </w:r>
    </w:p>
    <w:tbl>
      <w:tblPr>
        <w:tblStyle w:val="a7"/>
        <w:tblW w:w="11340" w:type="dxa"/>
        <w:tblInd w:w="-8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430"/>
        <w:gridCol w:w="1440"/>
        <w:gridCol w:w="1170"/>
        <w:gridCol w:w="5400"/>
      </w:tblGrid>
      <w:tr w:rsidR="00F2207B" w:rsidRPr="00741F03" w:rsidTr="00741F03">
        <w:tc>
          <w:tcPr>
            <w:tcW w:w="900" w:type="dxa"/>
            <w:tcBorders>
              <w:top w:val="single" w:sz="4" w:space="0" w:color="auto"/>
              <w:bottom w:val="single" w:sz="4" w:space="0" w:color="auto"/>
            </w:tcBorders>
          </w:tcPr>
          <w:p w:rsidR="00F2207B" w:rsidRPr="00741F03" w:rsidRDefault="00F2207B" w:rsidP="002A048C">
            <w:pPr>
              <w:spacing w:line="360" w:lineRule="auto"/>
              <w:jc w:val="both"/>
              <w:rPr>
                <w:rFonts w:ascii="Book Antiqua" w:hAnsi="Book Antiqua" w:cs="Times New Roman"/>
                <w:b/>
                <w:sz w:val="24"/>
                <w:szCs w:val="24"/>
              </w:rPr>
            </w:pPr>
            <w:r w:rsidRPr="00741F03">
              <w:rPr>
                <w:rFonts w:ascii="Book Antiqua" w:hAnsi="Book Antiqua" w:cs="Times New Roman"/>
                <w:b/>
                <w:sz w:val="24"/>
                <w:szCs w:val="24"/>
              </w:rPr>
              <w:t>Ref.</w:t>
            </w:r>
          </w:p>
          <w:p w:rsidR="00F2207B" w:rsidRPr="00741F03" w:rsidRDefault="00F2207B" w:rsidP="002A048C">
            <w:pPr>
              <w:spacing w:line="360" w:lineRule="auto"/>
              <w:jc w:val="both"/>
              <w:rPr>
                <w:rFonts w:ascii="Book Antiqua" w:hAnsi="Book Antiqua" w:cs="Times New Roman"/>
                <w:b/>
                <w:sz w:val="24"/>
                <w:szCs w:val="24"/>
              </w:rPr>
            </w:pPr>
          </w:p>
        </w:tc>
        <w:tc>
          <w:tcPr>
            <w:tcW w:w="2430" w:type="dxa"/>
            <w:tcBorders>
              <w:top w:val="single" w:sz="4" w:space="0" w:color="auto"/>
              <w:bottom w:val="single" w:sz="4" w:space="0" w:color="auto"/>
            </w:tcBorders>
          </w:tcPr>
          <w:p w:rsidR="00F2207B" w:rsidRPr="00741F03" w:rsidRDefault="00F2207B" w:rsidP="002A048C">
            <w:pPr>
              <w:spacing w:line="360" w:lineRule="auto"/>
              <w:jc w:val="both"/>
              <w:rPr>
                <w:rFonts w:ascii="Book Antiqua" w:hAnsi="Book Antiqua" w:cs="Times New Roman"/>
                <w:b/>
                <w:sz w:val="24"/>
                <w:szCs w:val="24"/>
              </w:rPr>
            </w:pPr>
            <w:r w:rsidRPr="00741F03">
              <w:rPr>
                <w:rFonts w:ascii="Book Antiqua" w:hAnsi="Book Antiqua" w:cs="Times New Roman"/>
                <w:b/>
                <w:sz w:val="24"/>
                <w:szCs w:val="24"/>
              </w:rPr>
              <w:t xml:space="preserve">Daily </w:t>
            </w:r>
            <w:r w:rsidR="00741F03" w:rsidRPr="00741F03">
              <w:rPr>
                <w:rFonts w:ascii="Book Antiqua" w:hAnsi="Book Antiqua" w:cs="Times New Roman"/>
                <w:b/>
                <w:sz w:val="24"/>
                <w:szCs w:val="24"/>
              </w:rPr>
              <w:t>oxalate i</w:t>
            </w:r>
            <w:r w:rsidRPr="00741F03">
              <w:rPr>
                <w:rFonts w:ascii="Book Antiqua" w:hAnsi="Book Antiqua" w:cs="Times New Roman"/>
                <w:b/>
                <w:sz w:val="24"/>
                <w:szCs w:val="24"/>
              </w:rPr>
              <w:t>ntake</w:t>
            </w:r>
            <w:r w:rsidRPr="00741F03">
              <w:rPr>
                <w:rFonts w:ascii="Book Antiqua" w:hAnsi="Book Antiqua" w:cs="Times New Roman"/>
                <w:b/>
                <w:sz w:val="24"/>
                <w:szCs w:val="24"/>
                <w:vertAlign w:val="superscript"/>
              </w:rPr>
              <w:t xml:space="preserve"> </w:t>
            </w:r>
            <w:r w:rsidRPr="00741F03">
              <w:rPr>
                <w:rFonts w:ascii="Book Antiqua" w:hAnsi="Book Antiqua" w:cs="Times New Roman"/>
                <w:b/>
                <w:sz w:val="24"/>
                <w:szCs w:val="24"/>
              </w:rPr>
              <w:t xml:space="preserve">(mg), </w:t>
            </w:r>
          </w:p>
          <w:p w:rsidR="00F2207B" w:rsidRPr="00741F03" w:rsidRDefault="00741F03" w:rsidP="002A048C">
            <w:pPr>
              <w:spacing w:line="360" w:lineRule="auto"/>
              <w:jc w:val="both"/>
              <w:rPr>
                <w:rFonts w:ascii="Book Antiqua" w:hAnsi="Book Antiqua" w:cs="Times New Roman"/>
                <w:b/>
                <w:sz w:val="24"/>
                <w:szCs w:val="24"/>
              </w:rPr>
            </w:pPr>
            <w:r w:rsidRPr="00741F03">
              <w:rPr>
                <w:rFonts w:ascii="Book Antiqua" w:hAnsi="Book Antiqua" w:cs="Times New Roman"/>
                <w:b/>
                <w:sz w:val="24"/>
                <w:szCs w:val="24"/>
              </w:rPr>
              <w:t>d</w:t>
            </w:r>
            <w:r w:rsidR="00F2207B" w:rsidRPr="00741F03">
              <w:rPr>
                <w:rFonts w:ascii="Book Antiqua" w:hAnsi="Book Antiqua" w:cs="Times New Roman"/>
                <w:b/>
                <w:sz w:val="24"/>
                <w:szCs w:val="24"/>
              </w:rPr>
              <w:t>uration</w:t>
            </w:r>
          </w:p>
        </w:tc>
        <w:tc>
          <w:tcPr>
            <w:tcW w:w="1440" w:type="dxa"/>
            <w:tcBorders>
              <w:top w:val="single" w:sz="4" w:space="0" w:color="auto"/>
              <w:bottom w:val="single" w:sz="4" w:space="0" w:color="auto"/>
            </w:tcBorders>
          </w:tcPr>
          <w:p w:rsidR="00F2207B" w:rsidRPr="00741F03" w:rsidRDefault="00F2207B" w:rsidP="002A048C">
            <w:pPr>
              <w:spacing w:line="360" w:lineRule="auto"/>
              <w:jc w:val="both"/>
              <w:rPr>
                <w:rFonts w:ascii="Book Antiqua" w:hAnsi="Book Antiqua" w:cs="Times New Roman"/>
                <w:b/>
                <w:sz w:val="24"/>
                <w:szCs w:val="24"/>
              </w:rPr>
            </w:pPr>
            <w:r w:rsidRPr="00741F03">
              <w:rPr>
                <w:rFonts w:ascii="Book Antiqua" w:hAnsi="Book Antiqua" w:cs="Times New Roman"/>
                <w:b/>
                <w:sz w:val="24"/>
                <w:szCs w:val="24"/>
              </w:rPr>
              <w:t>Urine</w:t>
            </w:r>
          </w:p>
          <w:p w:rsidR="00F2207B" w:rsidRPr="00741F03" w:rsidRDefault="00741F03" w:rsidP="002A048C">
            <w:pPr>
              <w:spacing w:line="360" w:lineRule="auto"/>
              <w:jc w:val="both"/>
              <w:rPr>
                <w:rFonts w:ascii="Book Antiqua" w:hAnsi="Book Antiqua" w:cs="Times New Roman"/>
                <w:b/>
                <w:sz w:val="24"/>
                <w:szCs w:val="24"/>
              </w:rPr>
            </w:pPr>
            <w:r w:rsidRPr="00741F03">
              <w:rPr>
                <w:rFonts w:ascii="Book Antiqua" w:hAnsi="Book Antiqua" w:cs="Times New Roman"/>
                <w:b/>
                <w:sz w:val="24"/>
                <w:szCs w:val="24"/>
              </w:rPr>
              <w:t>o</w:t>
            </w:r>
            <w:r w:rsidR="00F2207B" w:rsidRPr="00741F03">
              <w:rPr>
                <w:rFonts w:ascii="Book Antiqua" w:hAnsi="Book Antiqua" w:cs="Times New Roman"/>
                <w:b/>
                <w:sz w:val="24"/>
                <w:szCs w:val="24"/>
              </w:rPr>
              <w:t>xalate</w:t>
            </w:r>
          </w:p>
          <w:p w:rsidR="00F2207B" w:rsidRPr="00741F03" w:rsidRDefault="00F2207B" w:rsidP="002A048C">
            <w:pPr>
              <w:spacing w:line="360" w:lineRule="auto"/>
              <w:jc w:val="both"/>
              <w:rPr>
                <w:rFonts w:ascii="Book Antiqua" w:hAnsi="Book Antiqua" w:cs="Times New Roman"/>
                <w:b/>
                <w:sz w:val="24"/>
                <w:szCs w:val="24"/>
              </w:rPr>
            </w:pPr>
            <w:r w:rsidRPr="00741F03">
              <w:rPr>
                <w:rFonts w:ascii="Book Antiqua" w:hAnsi="Book Antiqua" w:cs="Times New Roman"/>
                <w:b/>
                <w:sz w:val="24"/>
                <w:szCs w:val="24"/>
              </w:rPr>
              <w:t>(mg/24/h)</w:t>
            </w:r>
          </w:p>
        </w:tc>
        <w:tc>
          <w:tcPr>
            <w:tcW w:w="1170" w:type="dxa"/>
            <w:tcBorders>
              <w:top w:val="single" w:sz="4" w:space="0" w:color="auto"/>
              <w:bottom w:val="single" w:sz="4" w:space="0" w:color="auto"/>
            </w:tcBorders>
          </w:tcPr>
          <w:p w:rsidR="00F2207B" w:rsidRPr="00741F03" w:rsidRDefault="00F2207B" w:rsidP="002A048C">
            <w:pPr>
              <w:spacing w:line="360" w:lineRule="auto"/>
              <w:jc w:val="both"/>
              <w:rPr>
                <w:rFonts w:ascii="Book Antiqua" w:hAnsi="Book Antiqua" w:cs="Times New Roman"/>
                <w:b/>
                <w:sz w:val="24"/>
                <w:szCs w:val="24"/>
              </w:rPr>
            </w:pPr>
            <w:r w:rsidRPr="00741F03">
              <w:rPr>
                <w:rFonts w:ascii="Book Antiqua" w:hAnsi="Book Antiqua" w:cs="Times New Roman"/>
                <w:b/>
                <w:sz w:val="24"/>
                <w:szCs w:val="24"/>
              </w:rPr>
              <w:t>Peak SCr</w:t>
            </w:r>
          </w:p>
          <w:p w:rsidR="00F2207B" w:rsidRPr="00741F03" w:rsidRDefault="00F2207B" w:rsidP="002A048C">
            <w:pPr>
              <w:spacing w:line="360" w:lineRule="auto"/>
              <w:jc w:val="both"/>
              <w:rPr>
                <w:rFonts w:ascii="Book Antiqua" w:hAnsi="Book Antiqua" w:cs="Times New Roman"/>
                <w:b/>
                <w:sz w:val="24"/>
                <w:szCs w:val="24"/>
              </w:rPr>
            </w:pPr>
            <w:r w:rsidRPr="00741F03">
              <w:rPr>
                <w:rFonts w:ascii="Book Antiqua" w:hAnsi="Book Antiqua" w:cs="Times New Roman"/>
                <w:b/>
                <w:sz w:val="24"/>
                <w:szCs w:val="24"/>
              </w:rPr>
              <w:t>(mg/dL)</w:t>
            </w:r>
          </w:p>
        </w:tc>
        <w:tc>
          <w:tcPr>
            <w:tcW w:w="5400" w:type="dxa"/>
            <w:tcBorders>
              <w:top w:val="single" w:sz="4" w:space="0" w:color="auto"/>
              <w:bottom w:val="single" w:sz="4" w:space="0" w:color="auto"/>
            </w:tcBorders>
          </w:tcPr>
          <w:p w:rsidR="00F2207B" w:rsidRPr="00741F03" w:rsidRDefault="00F2207B" w:rsidP="002A048C">
            <w:pPr>
              <w:spacing w:line="360" w:lineRule="auto"/>
              <w:jc w:val="both"/>
              <w:rPr>
                <w:rFonts w:ascii="Book Antiqua" w:hAnsi="Book Antiqua" w:cs="Times New Roman"/>
                <w:b/>
                <w:sz w:val="24"/>
                <w:szCs w:val="24"/>
              </w:rPr>
            </w:pPr>
            <w:r w:rsidRPr="00741F03">
              <w:rPr>
                <w:rFonts w:ascii="Book Antiqua" w:hAnsi="Book Antiqua" w:cs="Times New Roman"/>
                <w:b/>
                <w:sz w:val="24"/>
                <w:szCs w:val="24"/>
              </w:rPr>
              <w:t>Clinical</w:t>
            </w:r>
            <w:r w:rsidR="00741F03" w:rsidRPr="00741F03">
              <w:rPr>
                <w:rFonts w:ascii="Book Antiqua" w:hAnsi="Book Antiqua" w:cs="Times New Roman"/>
                <w:b/>
                <w:sz w:val="24"/>
                <w:szCs w:val="24"/>
              </w:rPr>
              <w:t xml:space="preserve"> diagnosis, course, outcome,</w:t>
            </w:r>
          </w:p>
          <w:p w:rsidR="00F2207B" w:rsidRPr="00741F03" w:rsidRDefault="00741F03" w:rsidP="002A048C">
            <w:pPr>
              <w:spacing w:line="360" w:lineRule="auto"/>
              <w:jc w:val="both"/>
              <w:rPr>
                <w:rFonts w:ascii="Book Antiqua" w:hAnsi="Book Antiqua" w:cs="Times New Roman"/>
                <w:b/>
                <w:sz w:val="24"/>
                <w:szCs w:val="24"/>
              </w:rPr>
            </w:pPr>
            <w:r w:rsidRPr="00741F03">
              <w:rPr>
                <w:rFonts w:ascii="Book Antiqua" w:hAnsi="Book Antiqua" w:cs="Times New Roman"/>
                <w:b/>
                <w:sz w:val="24"/>
                <w:szCs w:val="24"/>
              </w:rPr>
              <w:t>fin</w:t>
            </w:r>
            <w:r w:rsidR="00F2207B" w:rsidRPr="00741F03">
              <w:rPr>
                <w:rFonts w:ascii="Book Antiqua" w:hAnsi="Book Antiqua" w:cs="Times New Roman"/>
                <w:b/>
                <w:sz w:val="24"/>
                <w:szCs w:val="24"/>
              </w:rPr>
              <w:t>al SCr</w:t>
            </w:r>
          </w:p>
          <w:p w:rsidR="00F2207B" w:rsidRPr="00741F03" w:rsidRDefault="00F2207B" w:rsidP="002A048C">
            <w:pPr>
              <w:spacing w:line="360" w:lineRule="auto"/>
              <w:jc w:val="both"/>
              <w:rPr>
                <w:rFonts w:ascii="Book Antiqua" w:hAnsi="Book Antiqua" w:cs="Times New Roman"/>
                <w:b/>
                <w:sz w:val="24"/>
                <w:szCs w:val="24"/>
              </w:rPr>
            </w:pPr>
            <w:r w:rsidRPr="00741F03">
              <w:rPr>
                <w:rFonts w:ascii="Book Antiqua" w:hAnsi="Book Antiqua" w:cs="Times New Roman"/>
                <w:b/>
                <w:sz w:val="24"/>
                <w:szCs w:val="24"/>
              </w:rPr>
              <w:t>(mg/dL)</w:t>
            </w:r>
          </w:p>
        </w:tc>
      </w:tr>
      <w:tr w:rsidR="00F2207B" w:rsidRPr="00612EED" w:rsidTr="00741F03">
        <w:tc>
          <w:tcPr>
            <w:tcW w:w="900" w:type="dxa"/>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150</w:t>
            </w:r>
          </w:p>
        </w:tc>
        <w:tc>
          <w:tcPr>
            <w:tcW w:w="2430" w:type="dxa"/>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 xml:space="preserve">310, many </w:t>
            </w:r>
            <w:r w:rsidR="00E72AEA">
              <w:rPr>
                <w:rFonts w:ascii="Book Antiqua" w:hAnsi="Book Antiqua" w:cs="Times New Roman"/>
                <w:sz w:val="24"/>
                <w:szCs w:val="24"/>
              </w:rPr>
              <w:t>mo</w:t>
            </w:r>
          </w:p>
        </w:tc>
        <w:tc>
          <w:tcPr>
            <w:tcW w:w="1440" w:type="dxa"/>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16.6</w:t>
            </w:r>
            <w:r w:rsidRPr="00612EED">
              <w:rPr>
                <w:rFonts w:ascii="Book Antiqua" w:hAnsi="Book Antiqua" w:cs="Times New Roman"/>
                <w:sz w:val="24"/>
                <w:szCs w:val="24"/>
                <w:vertAlign w:val="superscript"/>
              </w:rPr>
              <w:t>1</w:t>
            </w:r>
          </w:p>
        </w:tc>
        <w:tc>
          <w:tcPr>
            <w:tcW w:w="1170" w:type="dxa"/>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1.8</w:t>
            </w:r>
          </w:p>
        </w:tc>
        <w:tc>
          <w:tcPr>
            <w:tcW w:w="5400" w:type="dxa"/>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CKD with SCr 1.7-1.8</w:t>
            </w:r>
          </w:p>
        </w:tc>
      </w:tr>
      <w:tr w:rsidR="00F2207B" w:rsidRPr="00612EED" w:rsidTr="00741F03">
        <w:tc>
          <w:tcPr>
            <w:tcW w:w="9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151</w:t>
            </w:r>
          </w:p>
        </w:tc>
        <w:tc>
          <w:tcPr>
            <w:tcW w:w="243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 xml:space="preserve">1880, 4 </w:t>
            </w:r>
            <w:r w:rsidR="00A93D52">
              <w:rPr>
                <w:rFonts w:ascii="Book Antiqua" w:hAnsi="Book Antiqua" w:cs="Times New Roman"/>
                <w:sz w:val="24"/>
                <w:szCs w:val="24"/>
              </w:rPr>
              <w:t>wk</w:t>
            </w:r>
          </w:p>
        </w:tc>
        <w:tc>
          <w:tcPr>
            <w:tcW w:w="144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34.2</w:t>
            </w:r>
            <w:r w:rsidRPr="00612EED">
              <w:rPr>
                <w:rFonts w:ascii="Book Antiqua" w:hAnsi="Book Antiqua" w:cs="Times New Roman"/>
                <w:sz w:val="24"/>
                <w:szCs w:val="24"/>
                <w:vertAlign w:val="superscript"/>
              </w:rPr>
              <w:t>2</w:t>
            </w:r>
          </w:p>
        </w:tc>
        <w:tc>
          <w:tcPr>
            <w:tcW w:w="1170" w:type="dxa"/>
          </w:tcPr>
          <w:p w:rsidR="00F2207B" w:rsidRPr="00612EED" w:rsidRDefault="00F2207B" w:rsidP="002A048C">
            <w:pPr>
              <w:spacing w:line="360" w:lineRule="auto"/>
              <w:jc w:val="both"/>
              <w:rPr>
                <w:rFonts w:ascii="Book Antiqua" w:hAnsi="Book Antiqua" w:cs="Times New Roman"/>
                <w:sz w:val="24"/>
                <w:szCs w:val="24"/>
              </w:rPr>
            </w:pPr>
          </w:p>
        </w:tc>
        <w:tc>
          <w:tcPr>
            <w:tcW w:w="54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AKI on diabetic CKD.</w:t>
            </w:r>
            <w:r w:rsidR="0077323C">
              <w:rPr>
                <w:rFonts w:ascii="Book Antiqua" w:hAnsi="Book Antiqua" w:cs="Times New Roman"/>
                <w:sz w:val="24"/>
                <w:szCs w:val="24"/>
              </w:rPr>
              <w:t xml:space="preserve"> </w:t>
            </w:r>
            <w:r w:rsidRPr="00612EED">
              <w:rPr>
                <w:rFonts w:ascii="Book Antiqua" w:hAnsi="Book Antiqua" w:cs="Times New Roman"/>
                <w:sz w:val="24"/>
                <w:szCs w:val="24"/>
              </w:rPr>
              <w:t>Progression to ESRD</w:t>
            </w:r>
          </w:p>
        </w:tc>
      </w:tr>
      <w:tr w:rsidR="00F2207B" w:rsidRPr="00612EED" w:rsidTr="00741F03">
        <w:tc>
          <w:tcPr>
            <w:tcW w:w="9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152</w:t>
            </w:r>
          </w:p>
        </w:tc>
        <w:tc>
          <w:tcPr>
            <w:tcW w:w="243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 xml:space="preserve">2240-2800, 6 </w:t>
            </w:r>
            <w:r w:rsidR="00E72AEA">
              <w:rPr>
                <w:rFonts w:ascii="Book Antiqua" w:hAnsi="Book Antiqua" w:cs="Times New Roman"/>
                <w:sz w:val="24"/>
                <w:szCs w:val="24"/>
              </w:rPr>
              <w:t>mo</w:t>
            </w:r>
          </w:p>
        </w:tc>
        <w:tc>
          <w:tcPr>
            <w:tcW w:w="144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w:t>
            </w:r>
          </w:p>
        </w:tc>
        <w:tc>
          <w:tcPr>
            <w:tcW w:w="117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8.08</w:t>
            </w:r>
          </w:p>
        </w:tc>
        <w:tc>
          <w:tcPr>
            <w:tcW w:w="54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CKD. Progression to ESRD</w:t>
            </w:r>
          </w:p>
        </w:tc>
      </w:tr>
      <w:tr w:rsidR="00F2207B" w:rsidRPr="00612EED" w:rsidTr="00741F03">
        <w:tc>
          <w:tcPr>
            <w:tcW w:w="9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153a</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153b</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153c</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153d</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153e</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153f</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153g</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153h</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153i</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153jj</w:t>
            </w:r>
          </w:p>
        </w:tc>
        <w:tc>
          <w:tcPr>
            <w:tcW w:w="243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9000, 4 d</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4500, 5 d</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3600, NS</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1800, NS</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5400-6300, NS</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6300-7200, NS.</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 xml:space="preserve">4500-5400, NS </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6300, NS</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2700-3600, NS</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7200 NS</w:t>
            </w:r>
          </w:p>
        </w:tc>
        <w:tc>
          <w:tcPr>
            <w:tcW w:w="1440" w:type="dxa"/>
          </w:tcPr>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rPr>
              <w:t>60</w:t>
            </w:r>
            <w:r w:rsidRPr="00612EED">
              <w:rPr>
                <w:rFonts w:ascii="Book Antiqua" w:hAnsi="Book Antiqua" w:cs="Times New Roman"/>
                <w:sz w:val="24"/>
                <w:szCs w:val="24"/>
                <w:vertAlign w:val="superscript"/>
              </w:rPr>
              <w:t>3</w:t>
            </w:r>
          </w:p>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vertAlign w:val="superscript"/>
              </w:rPr>
              <w:t>-</w:t>
            </w:r>
          </w:p>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vertAlign w:val="superscript"/>
              </w:rPr>
              <w:t>-</w:t>
            </w:r>
          </w:p>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vertAlign w:val="superscript"/>
              </w:rPr>
              <w:t>-</w:t>
            </w:r>
          </w:p>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vertAlign w:val="superscript"/>
              </w:rPr>
              <w:t>-</w:t>
            </w:r>
          </w:p>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vertAlign w:val="superscript"/>
              </w:rPr>
              <w:t>-</w:t>
            </w:r>
          </w:p>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vertAlign w:val="superscript"/>
              </w:rPr>
              <w:t>-</w:t>
            </w:r>
          </w:p>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vertAlign w:val="superscript"/>
              </w:rPr>
              <w:t>-</w:t>
            </w:r>
          </w:p>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vertAlign w:val="superscript"/>
              </w:rPr>
              <w:t>-</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vertAlign w:val="superscript"/>
              </w:rPr>
              <w:t>-</w:t>
            </w:r>
          </w:p>
        </w:tc>
        <w:tc>
          <w:tcPr>
            <w:tcW w:w="117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6.4</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9.3</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6.0</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5.5</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12.3</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6.7</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9.8</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6.6</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5.2</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10.4</w:t>
            </w:r>
          </w:p>
        </w:tc>
        <w:tc>
          <w:tcPr>
            <w:tcW w:w="54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AKI, HDx10 days. SCr</w:t>
            </w:r>
            <w:r w:rsidR="0077323C">
              <w:rPr>
                <w:rFonts w:ascii="Book Antiqua" w:hAnsi="Book Antiqua" w:cs="Times New Roman"/>
                <w:sz w:val="24"/>
                <w:szCs w:val="24"/>
              </w:rPr>
              <w:t xml:space="preserve"> </w:t>
            </w:r>
            <w:r w:rsidRPr="00612EED">
              <w:rPr>
                <w:rFonts w:ascii="Book Antiqua" w:hAnsi="Book Antiqua" w:cs="Times New Roman"/>
                <w:sz w:val="24"/>
                <w:szCs w:val="24"/>
              </w:rPr>
              <w:t xml:space="preserve">0.9 in 6 </w:t>
            </w:r>
            <w:r w:rsidR="00A93D52">
              <w:rPr>
                <w:rFonts w:ascii="Book Antiqua" w:hAnsi="Book Antiqua" w:cs="Times New Roman"/>
                <w:sz w:val="24"/>
                <w:szCs w:val="24"/>
              </w:rPr>
              <w:t>wk</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 xml:space="preserve">AKI, HDx6 times. SCr 1.3 in 5 </w:t>
            </w:r>
            <w:r w:rsidR="00A93D52">
              <w:rPr>
                <w:rFonts w:ascii="Book Antiqua" w:hAnsi="Book Antiqua" w:cs="Times New Roman"/>
                <w:sz w:val="24"/>
                <w:szCs w:val="24"/>
              </w:rPr>
              <w:t>wk</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 xml:space="preserve">AKI, No HD. SCr 1.0 in 4 </w:t>
            </w:r>
            <w:r w:rsidR="00A93D52">
              <w:rPr>
                <w:rFonts w:ascii="Book Antiqua" w:hAnsi="Book Antiqua" w:cs="Times New Roman"/>
                <w:sz w:val="24"/>
                <w:szCs w:val="24"/>
              </w:rPr>
              <w:t>wk</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 xml:space="preserve">AKI, No HD. SCr 0.8 in 2 </w:t>
            </w:r>
            <w:r w:rsidR="00A93D52">
              <w:rPr>
                <w:rFonts w:ascii="Book Antiqua" w:hAnsi="Book Antiqua" w:cs="Times New Roman"/>
                <w:sz w:val="24"/>
                <w:szCs w:val="24"/>
              </w:rPr>
              <w:t>wk</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 xml:space="preserve">AKI, HD. SCr 2.1 in 4 </w:t>
            </w:r>
            <w:r w:rsidR="00A93D52">
              <w:rPr>
                <w:rFonts w:ascii="Book Antiqua" w:hAnsi="Book Antiqua" w:cs="Times New Roman"/>
                <w:sz w:val="24"/>
                <w:szCs w:val="24"/>
              </w:rPr>
              <w:t>wk</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 xml:space="preserve">AKI, no HD. SCr 1.1 in 6 </w:t>
            </w:r>
            <w:r w:rsidR="00A93D52">
              <w:rPr>
                <w:rFonts w:ascii="Book Antiqua" w:hAnsi="Book Antiqua" w:cs="Times New Roman"/>
                <w:sz w:val="24"/>
                <w:szCs w:val="24"/>
              </w:rPr>
              <w:t>wk</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AKI, HD.</w:t>
            </w:r>
            <w:r w:rsidR="0077323C">
              <w:rPr>
                <w:rFonts w:ascii="Book Antiqua" w:hAnsi="Book Antiqua" w:cs="Times New Roman"/>
                <w:sz w:val="24"/>
                <w:szCs w:val="24"/>
              </w:rPr>
              <w:t xml:space="preserve"> </w:t>
            </w:r>
            <w:r w:rsidRPr="00612EED">
              <w:rPr>
                <w:rFonts w:ascii="Book Antiqua" w:hAnsi="Book Antiqua" w:cs="Times New Roman"/>
                <w:sz w:val="24"/>
                <w:szCs w:val="24"/>
              </w:rPr>
              <w:t xml:space="preserve">SCr 1.2 in 6 </w:t>
            </w:r>
            <w:r w:rsidR="00A93D52">
              <w:rPr>
                <w:rFonts w:ascii="Book Antiqua" w:hAnsi="Book Antiqua" w:cs="Times New Roman"/>
                <w:sz w:val="24"/>
                <w:szCs w:val="24"/>
              </w:rPr>
              <w:t>wk</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 xml:space="preserve">AKI, HD. SCr 1.1 in 4 </w:t>
            </w:r>
            <w:r w:rsidR="00A93D52">
              <w:rPr>
                <w:rFonts w:ascii="Book Antiqua" w:hAnsi="Book Antiqua" w:cs="Times New Roman"/>
                <w:sz w:val="24"/>
                <w:szCs w:val="24"/>
              </w:rPr>
              <w:t>wk</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 xml:space="preserve">AKI, HD. SCr 0.8 in 2 </w:t>
            </w:r>
            <w:r w:rsidR="00A93D52">
              <w:rPr>
                <w:rFonts w:ascii="Book Antiqua" w:hAnsi="Book Antiqua" w:cs="Times New Roman"/>
                <w:sz w:val="24"/>
                <w:szCs w:val="24"/>
              </w:rPr>
              <w:t>wk</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AKI, HD.</w:t>
            </w:r>
            <w:r w:rsidR="0077323C">
              <w:rPr>
                <w:rFonts w:ascii="Book Antiqua" w:hAnsi="Book Antiqua" w:cs="Times New Roman"/>
                <w:sz w:val="24"/>
                <w:szCs w:val="24"/>
              </w:rPr>
              <w:t xml:space="preserve"> </w:t>
            </w:r>
            <w:r w:rsidRPr="00612EED">
              <w:rPr>
                <w:rFonts w:ascii="Book Antiqua" w:hAnsi="Book Antiqua" w:cs="Times New Roman"/>
                <w:sz w:val="24"/>
                <w:szCs w:val="24"/>
              </w:rPr>
              <w:t xml:space="preserve">SCr 1.5 in 6 </w:t>
            </w:r>
            <w:r w:rsidR="00A93D52">
              <w:rPr>
                <w:rFonts w:ascii="Book Antiqua" w:hAnsi="Book Antiqua" w:cs="Times New Roman"/>
                <w:sz w:val="24"/>
                <w:szCs w:val="24"/>
              </w:rPr>
              <w:t>wk</w:t>
            </w:r>
          </w:p>
        </w:tc>
      </w:tr>
      <w:tr w:rsidR="00F2207B" w:rsidRPr="00612EED" w:rsidTr="00741F03">
        <w:tc>
          <w:tcPr>
            <w:tcW w:w="9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154</w:t>
            </w:r>
          </w:p>
        </w:tc>
        <w:tc>
          <w:tcPr>
            <w:tcW w:w="243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 xml:space="preserve">1260, 6 </w:t>
            </w:r>
            <w:r w:rsidR="00A93D52">
              <w:rPr>
                <w:rFonts w:ascii="Book Antiqua" w:hAnsi="Book Antiqua" w:cs="Times New Roman"/>
                <w:sz w:val="24"/>
                <w:szCs w:val="24"/>
              </w:rPr>
              <w:t>wk</w:t>
            </w:r>
          </w:p>
        </w:tc>
        <w:tc>
          <w:tcPr>
            <w:tcW w:w="144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w:t>
            </w:r>
          </w:p>
        </w:tc>
        <w:tc>
          <w:tcPr>
            <w:tcW w:w="117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7.9</w:t>
            </w:r>
          </w:p>
        </w:tc>
        <w:tc>
          <w:tcPr>
            <w:tcW w:w="54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 xml:space="preserve">CKD on CKD from HTN. SCr 1.9 in 4 </w:t>
            </w:r>
            <w:r w:rsidR="00E72AEA">
              <w:rPr>
                <w:rFonts w:ascii="Book Antiqua" w:hAnsi="Book Antiqua" w:cs="Times New Roman"/>
                <w:sz w:val="24"/>
                <w:szCs w:val="24"/>
              </w:rPr>
              <w:t>mo</w:t>
            </w:r>
          </w:p>
        </w:tc>
      </w:tr>
      <w:tr w:rsidR="00F2207B" w:rsidRPr="00612EED" w:rsidTr="00741F03">
        <w:tc>
          <w:tcPr>
            <w:tcW w:w="9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155a</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155b</w:t>
            </w:r>
          </w:p>
        </w:tc>
        <w:tc>
          <w:tcPr>
            <w:tcW w:w="243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13120, once</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9240, once</w:t>
            </w:r>
          </w:p>
        </w:tc>
        <w:tc>
          <w:tcPr>
            <w:tcW w:w="1440" w:type="dxa"/>
          </w:tcPr>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rPr>
              <w:t>7</w:t>
            </w:r>
            <w:r w:rsidRPr="00612EED">
              <w:rPr>
                <w:rFonts w:ascii="Book Antiqua" w:hAnsi="Book Antiqua" w:cs="Times New Roman"/>
                <w:sz w:val="24"/>
                <w:szCs w:val="24"/>
                <w:vertAlign w:val="superscript"/>
              </w:rPr>
              <w:t>4</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7</w:t>
            </w:r>
            <w:r w:rsidRPr="00612EED">
              <w:rPr>
                <w:rFonts w:ascii="Book Antiqua" w:hAnsi="Book Antiqua" w:cs="Times New Roman"/>
                <w:sz w:val="24"/>
                <w:szCs w:val="24"/>
                <w:vertAlign w:val="superscript"/>
              </w:rPr>
              <w:t>4</w:t>
            </w:r>
          </w:p>
        </w:tc>
        <w:tc>
          <w:tcPr>
            <w:tcW w:w="117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12.0</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11.7</w:t>
            </w:r>
          </w:p>
        </w:tc>
        <w:tc>
          <w:tcPr>
            <w:tcW w:w="5400" w:type="dxa"/>
          </w:tcPr>
          <w:p w:rsidR="00F2207B" w:rsidRPr="00612EED" w:rsidRDefault="00F2207B" w:rsidP="002A048C">
            <w:pPr>
              <w:spacing w:line="360" w:lineRule="auto"/>
              <w:jc w:val="both"/>
              <w:rPr>
                <w:rFonts w:ascii="Book Antiqua" w:hAnsi="Book Antiqua" w:cs="Times New Roman"/>
                <w:sz w:val="24"/>
                <w:szCs w:val="24"/>
                <w:lang w:eastAsia="zh-CN"/>
              </w:rPr>
            </w:pPr>
            <w:r w:rsidRPr="00612EED">
              <w:rPr>
                <w:rFonts w:ascii="Book Antiqua" w:hAnsi="Book Antiqua" w:cs="Times New Roman"/>
                <w:sz w:val="24"/>
                <w:szCs w:val="24"/>
              </w:rPr>
              <w:t>AKI, HDx2 times. SCr 1.3 in 1 y</w:t>
            </w:r>
            <w:r w:rsidR="007617E2">
              <w:rPr>
                <w:rFonts w:ascii="Book Antiqua" w:hAnsi="Book Antiqua" w:cs="Times New Roman" w:hint="eastAsia"/>
                <w:sz w:val="24"/>
                <w:szCs w:val="24"/>
                <w:lang w:eastAsia="zh-CN"/>
              </w:rPr>
              <w:t>r</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AKI, no HD.</w:t>
            </w:r>
            <w:r w:rsidR="0077323C">
              <w:rPr>
                <w:rFonts w:ascii="Book Antiqua" w:hAnsi="Book Antiqua" w:cs="Times New Roman"/>
                <w:sz w:val="24"/>
                <w:szCs w:val="24"/>
              </w:rPr>
              <w:t xml:space="preserve"> </w:t>
            </w:r>
            <w:r w:rsidRPr="00612EED">
              <w:rPr>
                <w:rFonts w:ascii="Book Antiqua" w:hAnsi="Book Antiqua" w:cs="Times New Roman"/>
                <w:sz w:val="24"/>
                <w:szCs w:val="24"/>
              </w:rPr>
              <w:t xml:space="preserve">SCr 1.3 in 4 </w:t>
            </w:r>
            <w:r w:rsidR="00E72AEA">
              <w:rPr>
                <w:rFonts w:ascii="Book Antiqua" w:hAnsi="Book Antiqua" w:cs="Times New Roman"/>
                <w:sz w:val="24"/>
                <w:szCs w:val="24"/>
              </w:rPr>
              <w:t>mo</w:t>
            </w:r>
          </w:p>
        </w:tc>
      </w:tr>
      <w:tr w:rsidR="00F2207B" w:rsidRPr="00612EED" w:rsidTr="00741F03">
        <w:tc>
          <w:tcPr>
            <w:tcW w:w="9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156</w:t>
            </w:r>
          </w:p>
        </w:tc>
        <w:tc>
          <w:tcPr>
            <w:tcW w:w="2430" w:type="dxa"/>
          </w:tcPr>
          <w:p w:rsidR="00F2207B" w:rsidRPr="00612EED" w:rsidRDefault="00F2207B" w:rsidP="00276328">
            <w:pPr>
              <w:spacing w:line="360" w:lineRule="auto"/>
              <w:jc w:val="both"/>
              <w:rPr>
                <w:rFonts w:ascii="Book Antiqua" w:hAnsi="Book Antiqua" w:cs="Times New Roman"/>
                <w:sz w:val="24"/>
                <w:szCs w:val="24"/>
                <w:lang w:eastAsia="zh-CN"/>
              </w:rPr>
            </w:pPr>
            <w:r w:rsidRPr="00612EED">
              <w:rPr>
                <w:rFonts w:ascii="Book Antiqua" w:hAnsi="Book Antiqua" w:cs="Times New Roman"/>
                <w:sz w:val="24"/>
                <w:szCs w:val="24"/>
              </w:rPr>
              <w:t>450-660, &gt; 3</w:t>
            </w:r>
            <w:r w:rsidR="00276328">
              <w:rPr>
                <w:rFonts w:ascii="Book Antiqua" w:hAnsi="Book Antiqua" w:cs="Times New Roman" w:hint="eastAsia"/>
                <w:sz w:val="24"/>
                <w:szCs w:val="24"/>
                <w:lang w:eastAsia="zh-CN"/>
              </w:rPr>
              <w:t xml:space="preserve"> </w:t>
            </w:r>
            <w:r w:rsidRPr="00612EED">
              <w:rPr>
                <w:rFonts w:ascii="Book Antiqua" w:hAnsi="Book Antiqua" w:cs="Times New Roman"/>
                <w:sz w:val="24"/>
                <w:szCs w:val="24"/>
              </w:rPr>
              <w:t>y</w:t>
            </w:r>
            <w:r w:rsidR="00276328">
              <w:rPr>
                <w:rFonts w:ascii="Book Antiqua" w:hAnsi="Book Antiqua" w:cs="Times New Roman" w:hint="eastAsia"/>
                <w:sz w:val="24"/>
                <w:szCs w:val="24"/>
                <w:lang w:eastAsia="zh-CN"/>
              </w:rPr>
              <w:t>r</w:t>
            </w:r>
          </w:p>
        </w:tc>
        <w:tc>
          <w:tcPr>
            <w:tcW w:w="144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w:t>
            </w:r>
          </w:p>
        </w:tc>
        <w:tc>
          <w:tcPr>
            <w:tcW w:w="117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6.9</w:t>
            </w:r>
          </w:p>
        </w:tc>
        <w:tc>
          <w:tcPr>
            <w:tcW w:w="54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 xml:space="preserve">CKD on other CKD, no HD. SCr 3.4 in 3 </w:t>
            </w:r>
            <w:r w:rsidR="00E72AEA">
              <w:rPr>
                <w:rFonts w:ascii="Book Antiqua" w:hAnsi="Book Antiqua" w:cs="Times New Roman"/>
                <w:sz w:val="24"/>
                <w:szCs w:val="24"/>
              </w:rPr>
              <w:t>mo</w:t>
            </w:r>
          </w:p>
        </w:tc>
      </w:tr>
      <w:tr w:rsidR="00F2207B" w:rsidRPr="00612EED" w:rsidTr="00741F03">
        <w:tc>
          <w:tcPr>
            <w:tcW w:w="9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157a</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157b</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157c</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157d</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157e</w:t>
            </w:r>
          </w:p>
        </w:tc>
        <w:tc>
          <w:tcPr>
            <w:tcW w:w="2430" w:type="dxa"/>
          </w:tcPr>
          <w:p w:rsidR="00F2207B" w:rsidRPr="00612EED" w:rsidRDefault="00F2207B" w:rsidP="002A048C">
            <w:pPr>
              <w:spacing w:line="360" w:lineRule="auto"/>
              <w:jc w:val="both"/>
              <w:rPr>
                <w:rFonts w:ascii="Book Antiqua" w:hAnsi="Book Antiqua" w:cs="Times New Roman"/>
                <w:sz w:val="24"/>
                <w:szCs w:val="24"/>
                <w:vertAlign w:val="superscript"/>
              </w:rPr>
            </w:pPr>
            <w:r w:rsidRPr="00612EED">
              <w:rPr>
                <w:rFonts w:ascii="Book Antiqua" w:hAnsi="Book Antiqua" w:cs="Times New Roman"/>
                <w:sz w:val="24"/>
                <w:szCs w:val="24"/>
              </w:rPr>
              <w:t>3725, once</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4360, once</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7545, once</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1300, once</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2170</w:t>
            </w:r>
            <w:r w:rsidRPr="00DD07D1">
              <w:rPr>
                <w:rFonts w:ascii="Book Antiqua" w:hAnsi="Book Antiqua" w:cs="Times New Roman"/>
                <w:sz w:val="24"/>
                <w:szCs w:val="24"/>
              </w:rPr>
              <w:t>,</w:t>
            </w:r>
            <w:r w:rsidRPr="00612EED">
              <w:rPr>
                <w:rFonts w:ascii="Book Antiqua" w:hAnsi="Book Antiqua" w:cs="Times New Roman"/>
                <w:sz w:val="24"/>
                <w:szCs w:val="24"/>
                <w:vertAlign w:val="superscript"/>
              </w:rPr>
              <w:t xml:space="preserve"> </w:t>
            </w:r>
            <w:r w:rsidRPr="00612EED">
              <w:rPr>
                <w:rFonts w:ascii="Book Antiqua" w:hAnsi="Book Antiqua" w:cs="Times New Roman"/>
                <w:sz w:val="24"/>
                <w:szCs w:val="24"/>
              </w:rPr>
              <w:t>once</w:t>
            </w:r>
          </w:p>
        </w:tc>
        <w:tc>
          <w:tcPr>
            <w:tcW w:w="144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w:t>
            </w:r>
          </w:p>
        </w:tc>
        <w:tc>
          <w:tcPr>
            <w:tcW w:w="117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6.3</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6.1</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5.7</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4.5</w:t>
            </w:r>
          </w:p>
        </w:tc>
        <w:tc>
          <w:tcPr>
            <w:tcW w:w="54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AKI, no HD.</w:t>
            </w:r>
            <w:r w:rsidR="0077323C">
              <w:rPr>
                <w:rFonts w:ascii="Book Antiqua" w:hAnsi="Book Antiqua" w:cs="Times New Roman"/>
                <w:sz w:val="24"/>
                <w:szCs w:val="24"/>
              </w:rPr>
              <w:t xml:space="preserve"> </w:t>
            </w:r>
            <w:r w:rsidRPr="00612EED">
              <w:rPr>
                <w:rFonts w:ascii="Book Antiqua" w:hAnsi="Book Antiqua" w:cs="Times New Roman"/>
                <w:sz w:val="24"/>
                <w:szCs w:val="24"/>
              </w:rPr>
              <w:t>Final SCr 1.1</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AKI, no HD.</w:t>
            </w:r>
            <w:r w:rsidR="0077323C">
              <w:rPr>
                <w:rFonts w:ascii="Book Antiqua" w:hAnsi="Book Antiqua" w:cs="Times New Roman"/>
                <w:sz w:val="24"/>
                <w:szCs w:val="24"/>
              </w:rPr>
              <w:t xml:space="preserve"> </w:t>
            </w:r>
            <w:r w:rsidRPr="00612EED">
              <w:rPr>
                <w:rFonts w:ascii="Book Antiqua" w:hAnsi="Book Antiqua" w:cs="Times New Roman"/>
                <w:sz w:val="24"/>
                <w:szCs w:val="24"/>
              </w:rPr>
              <w:t>Final SCr 1.1 NS</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AKI, no HD.</w:t>
            </w:r>
            <w:r w:rsidR="0077323C">
              <w:rPr>
                <w:rFonts w:ascii="Book Antiqua" w:hAnsi="Book Antiqua" w:cs="Times New Roman"/>
                <w:sz w:val="24"/>
                <w:szCs w:val="24"/>
              </w:rPr>
              <w:t xml:space="preserve"> </w:t>
            </w:r>
            <w:r w:rsidRPr="00612EED">
              <w:rPr>
                <w:rFonts w:ascii="Book Antiqua" w:hAnsi="Book Antiqua" w:cs="Times New Roman"/>
                <w:sz w:val="24"/>
                <w:szCs w:val="24"/>
              </w:rPr>
              <w:t>Final SCr 1.2</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AKI, no HD.</w:t>
            </w:r>
            <w:r w:rsidR="0077323C">
              <w:rPr>
                <w:rFonts w:ascii="Book Antiqua" w:hAnsi="Book Antiqua" w:cs="Times New Roman"/>
                <w:sz w:val="24"/>
                <w:szCs w:val="24"/>
              </w:rPr>
              <w:t xml:space="preserve"> </w:t>
            </w:r>
            <w:r w:rsidRPr="00612EED">
              <w:rPr>
                <w:rFonts w:ascii="Book Antiqua" w:hAnsi="Book Antiqua" w:cs="Times New Roman"/>
                <w:sz w:val="24"/>
                <w:szCs w:val="24"/>
              </w:rPr>
              <w:t>Final SCr 1.0</w:t>
            </w:r>
          </w:p>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AKI, no HD.</w:t>
            </w:r>
            <w:r w:rsidR="0077323C">
              <w:rPr>
                <w:rFonts w:ascii="Book Antiqua" w:hAnsi="Book Antiqua" w:cs="Times New Roman"/>
                <w:sz w:val="24"/>
                <w:szCs w:val="24"/>
              </w:rPr>
              <w:t xml:space="preserve"> </w:t>
            </w:r>
            <w:r w:rsidRPr="00612EED">
              <w:rPr>
                <w:rFonts w:ascii="Book Antiqua" w:hAnsi="Book Antiqua" w:cs="Times New Roman"/>
                <w:sz w:val="24"/>
                <w:szCs w:val="24"/>
              </w:rPr>
              <w:t>Final SCr 1.1</w:t>
            </w:r>
          </w:p>
        </w:tc>
      </w:tr>
      <w:tr w:rsidR="00F2207B" w:rsidRPr="00612EED" w:rsidTr="00741F03">
        <w:tc>
          <w:tcPr>
            <w:tcW w:w="9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158</w:t>
            </w:r>
          </w:p>
        </w:tc>
        <w:tc>
          <w:tcPr>
            <w:tcW w:w="243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6830</w:t>
            </w:r>
            <w:r w:rsidRPr="00612EED">
              <w:rPr>
                <w:rFonts w:ascii="Book Antiqua" w:hAnsi="Book Antiqua" w:cs="Times New Roman"/>
                <w:sz w:val="24"/>
                <w:szCs w:val="24"/>
                <w:vertAlign w:val="superscript"/>
              </w:rPr>
              <w:t xml:space="preserve">, </w:t>
            </w:r>
            <w:r w:rsidRPr="00612EED">
              <w:rPr>
                <w:rFonts w:ascii="Book Antiqua" w:hAnsi="Book Antiqua" w:cs="Times New Roman"/>
                <w:sz w:val="24"/>
                <w:szCs w:val="24"/>
              </w:rPr>
              <w:t>once</w:t>
            </w:r>
          </w:p>
        </w:tc>
        <w:tc>
          <w:tcPr>
            <w:tcW w:w="1440" w:type="dxa"/>
          </w:tcPr>
          <w:p w:rsidR="00F2207B" w:rsidRPr="00612EED" w:rsidRDefault="00F2207B" w:rsidP="002A048C">
            <w:pPr>
              <w:spacing w:line="360" w:lineRule="auto"/>
              <w:jc w:val="both"/>
              <w:rPr>
                <w:rFonts w:ascii="Book Antiqua" w:hAnsi="Book Antiqua" w:cs="Times New Roman"/>
                <w:sz w:val="24"/>
                <w:szCs w:val="24"/>
              </w:rPr>
            </w:pPr>
          </w:p>
        </w:tc>
        <w:tc>
          <w:tcPr>
            <w:tcW w:w="117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16.4</w:t>
            </w:r>
          </w:p>
        </w:tc>
        <w:tc>
          <w:tcPr>
            <w:tcW w:w="5400"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AKI, no HD.</w:t>
            </w:r>
            <w:r w:rsidR="0077323C">
              <w:rPr>
                <w:rFonts w:ascii="Book Antiqua" w:hAnsi="Book Antiqua" w:cs="Times New Roman"/>
                <w:sz w:val="24"/>
                <w:szCs w:val="24"/>
              </w:rPr>
              <w:t xml:space="preserve"> </w:t>
            </w:r>
            <w:r w:rsidRPr="00612EED">
              <w:rPr>
                <w:rFonts w:ascii="Book Antiqua" w:hAnsi="Book Antiqua" w:cs="Times New Roman"/>
                <w:sz w:val="24"/>
                <w:szCs w:val="24"/>
              </w:rPr>
              <w:t xml:space="preserve">SCr 0.9 mg/dL in 1 </w:t>
            </w:r>
            <w:r w:rsidR="00E72AEA">
              <w:rPr>
                <w:rFonts w:ascii="Book Antiqua" w:hAnsi="Book Antiqua" w:cs="Times New Roman"/>
                <w:sz w:val="24"/>
                <w:szCs w:val="24"/>
              </w:rPr>
              <w:t>mo</w:t>
            </w:r>
          </w:p>
        </w:tc>
      </w:tr>
    </w:tbl>
    <w:p w:rsidR="00F2207B" w:rsidRPr="00612EED" w:rsidRDefault="00F2207B" w:rsidP="002A048C">
      <w:pPr>
        <w:spacing w:after="0" w:line="360" w:lineRule="auto"/>
        <w:jc w:val="both"/>
        <w:rPr>
          <w:rFonts w:ascii="Book Antiqua" w:hAnsi="Book Antiqua" w:cs="Times New Roman"/>
          <w:sz w:val="24"/>
          <w:szCs w:val="24"/>
        </w:rPr>
      </w:pPr>
    </w:p>
    <w:p w:rsidR="00F2207B" w:rsidRPr="00612EED" w:rsidRDefault="00F2207B" w:rsidP="002A048C">
      <w:pPr>
        <w:spacing w:after="0" w:line="360" w:lineRule="auto"/>
        <w:jc w:val="both"/>
        <w:rPr>
          <w:rFonts w:ascii="Book Antiqua" w:hAnsi="Book Antiqua" w:cs="Times New Roman"/>
          <w:sz w:val="24"/>
          <w:szCs w:val="24"/>
        </w:rPr>
      </w:pPr>
      <w:r w:rsidRPr="00612EED">
        <w:rPr>
          <w:rFonts w:ascii="Book Antiqua" w:hAnsi="Book Antiqua" w:cs="Times New Roman"/>
          <w:sz w:val="24"/>
          <w:szCs w:val="24"/>
        </w:rPr>
        <w:lastRenderedPageBreak/>
        <w:t>SCr</w:t>
      </w:r>
      <w:r w:rsidR="00DF056C">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DF056C" w:rsidRPr="00612EED">
        <w:rPr>
          <w:rFonts w:ascii="Book Antiqua" w:hAnsi="Book Antiqua" w:cs="Times New Roman"/>
          <w:sz w:val="24"/>
          <w:szCs w:val="24"/>
        </w:rPr>
        <w:t>S</w:t>
      </w:r>
      <w:r w:rsidRPr="00612EED">
        <w:rPr>
          <w:rFonts w:ascii="Book Antiqua" w:hAnsi="Book Antiqua" w:cs="Times New Roman"/>
          <w:sz w:val="24"/>
          <w:szCs w:val="24"/>
        </w:rPr>
        <w:t>erum creatinine</w:t>
      </w:r>
      <w:r w:rsidR="00DF056C">
        <w:rPr>
          <w:rFonts w:ascii="Book Antiqua" w:hAnsi="Book Antiqua" w:cs="Times New Roman" w:hint="eastAsia"/>
          <w:sz w:val="24"/>
          <w:szCs w:val="24"/>
          <w:lang w:eastAsia="zh-CN"/>
        </w:rPr>
        <w:t xml:space="preserve">; </w:t>
      </w:r>
      <w:r w:rsidRPr="00612EED">
        <w:rPr>
          <w:rFonts w:ascii="Book Antiqua" w:hAnsi="Book Antiqua" w:cs="Times New Roman"/>
          <w:sz w:val="24"/>
          <w:szCs w:val="24"/>
        </w:rPr>
        <w:t>AKI</w:t>
      </w:r>
      <w:r w:rsidR="00DF056C">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DF056C" w:rsidRPr="00612EED">
        <w:rPr>
          <w:rFonts w:ascii="Book Antiqua" w:hAnsi="Book Antiqua" w:cs="Times New Roman"/>
          <w:sz w:val="24"/>
          <w:szCs w:val="24"/>
        </w:rPr>
        <w:t>A</w:t>
      </w:r>
      <w:r w:rsidRPr="00612EED">
        <w:rPr>
          <w:rFonts w:ascii="Book Antiqua" w:hAnsi="Book Antiqua" w:cs="Times New Roman"/>
          <w:sz w:val="24"/>
          <w:szCs w:val="24"/>
        </w:rPr>
        <w:t>cute kidney injury</w:t>
      </w:r>
      <w:r w:rsidR="00DF056C">
        <w:rPr>
          <w:rFonts w:ascii="Book Antiqua" w:hAnsi="Book Antiqua" w:cs="Times New Roman" w:hint="eastAsia"/>
          <w:sz w:val="24"/>
          <w:szCs w:val="24"/>
          <w:lang w:eastAsia="zh-CN"/>
        </w:rPr>
        <w:t>;</w:t>
      </w:r>
      <w:r w:rsidR="0077323C">
        <w:rPr>
          <w:rFonts w:ascii="Book Antiqua" w:hAnsi="Book Antiqua" w:cs="Times New Roman"/>
          <w:sz w:val="24"/>
          <w:szCs w:val="24"/>
        </w:rPr>
        <w:t xml:space="preserve"> </w:t>
      </w:r>
      <w:r w:rsidRPr="00612EED">
        <w:rPr>
          <w:rFonts w:ascii="Book Antiqua" w:hAnsi="Book Antiqua" w:cs="Times New Roman"/>
          <w:sz w:val="24"/>
          <w:szCs w:val="24"/>
        </w:rPr>
        <w:t>CKD</w:t>
      </w:r>
      <w:r w:rsidR="00DF056C">
        <w:rPr>
          <w:rFonts w:ascii="Book Antiqua" w:hAnsi="Book Antiqua" w:cs="Times New Roman" w:hint="eastAsia"/>
          <w:sz w:val="24"/>
          <w:szCs w:val="24"/>
          <w:lang w:eastAsia="zh-CN"/>
        </w:rPr>
        <w:t xml:space="preserve">: </w:t>
      </w:r>
      <w:r w:rsidR="00DF056C" w:rsidRPr="00612EED">
        <w:rPr>
          <w:rFonts w:ascii="Book Antiqua" w:hAnsi="Book Antiqua" w:cs="Times New Roman"/>
          <w:sz w:val="24"/>
          <w:szCs w:val="24"/>
        </w:rPr>
        <w:t>C</w:t>
      </w:r>
      <w:r w:rsidRPr="00612EED">
        <w:rPr>
          <w:rFonts w:ascii="Book Antiqua" w:hAnsi="Book Antiqua" w:cs="Times New Roman"/>
          <w:sz w:val="24"/>
          <w:szCs w:val="24"/>
        </w:rPr>
        <w:t>hronic kidney disease</w:t>
      </w:r>
      <w:r w:rsidR="00DF056C">
        <w:rPr>
          <w:rFonts w:ascii="Book Antiqua" w:hAnsi="Book Antiqua" w:cs="Times New Roman" w:hint="eastAsia"/>
          <w:sz w:val="24"/>
          <w:szCs w:val="24"/>
          <w:lang w:eastAsia="zh-CN"/>
        </w:rPr>
        <w:t>;</w:t>
      </w:r>
      <w:r w:rsidR="0077323C">
        <w:rPr>
          <w:rFonts w:ascii="Book Antiqua" w:hAnsi="Book Antiqua" w:cs="Times New Roman"/>
          <w:sz w:val="24"/>
          <w:szCs w:val="24"/>
        </w:rPr>
        <w:t xml:space="preserve"> </w:t>
      </w:r>
      <w:r w:rsidRPr="00612EED">
        <w:rPr>
          <w:rFonts w:ascii="Book Antiqua" w:hAnsi="Book Antiqua" w:cs="Times New Roman"/>
          <w:sz w:val="24"/>
          <w:szCs w:val="24"/>
        </w:rPr>
        <w:t>ESRD</w:t>
      </w:r>
      <w:r w:rsidR="00DF056C">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DF056C" w:rsidRPr="00612EED">
        <w:rPr>
          <w:rFonts w:ascii="Book Antiqua" w:hAnsi="Book Antiqua" w:cs="Times New Roman"/>
          <w:sz w:val="24"/>
          <w:szCs w:val="24"/>
        </w:rPr>
        <w:t>E</w:t>
      </w:r>
      <w:r w:rsidRPr="00612EED">
        <w:rPr>
          <w:rFonts w:ascii="Book Antiqua" w:hAnsi="Book Antiqua" w:cs="Times New Roman"/>
          <w:sz w:val="24"/>
          <w:szCs w:val="24"/>
        </w:rPr>
        <w:t>nd-stage renal disease</w:t>
      </w:r>
      <w:r w:rsidR="00DF056C">
        <w:rPr>
          <w:rFonts w:ascii="Book Antiqua" w:hAnsi="Book Antiqua" w:cs="Times New Roman" w:hint="eastAsia"/>
          <w:sz w:val="24"/>
          <w:szCs w:val="24"/>
          <w:lang w:eastAsia="zh-CN"/>
        </w:rPr>
        <w:t>;</w:t>
      </w:r>
      <w:r w:rsidR="0077323C">
        <w:rPr>
          <w:rFonts w:ascii="Book Antiqua" w:hAnsi="Book Antiqua" w:cs="Times New Roman"/>
          <w:sz w:val="24"/>
          <w:szCs w:val="24"/>
        </w:rPr>
        <w:t xml:space="preserve"> </w:t>
      </w:r>
      <w:r w:rsidRPr="00612EED">
        <w:rPr>
          <w:rFonts w:ascii="Book Antiqua" w:hAnsi="Book Antiqua" w:cs="Times New Roman"/>
          <w:sz w:val="24"/>
          <w:szCs w:val="24"/>
        </w:rPr>
        <w:t>HD</w:t>
      </w:r>
      <w:r w:rsidR="00DF056C">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DF056C" w:rsidRPr="00612EED">
        <w:rPr>
          <w:rFonts w:ascii="Book Antiqua" w:hAnsi="Book Antiqua" w:cs="Times New Roman"/>
          <w:sz w:val="24"/>
          <w:szCs w:val="24"/>
        </w:rPr>
        <w:t>H</w:t>
      </w:r>
      <w:r w:rsidRPr="00612EED">
        <w:rPr>
          <w:rFonts w:ascii="Book Antiqua" w:hAnsi="Book Antiqua" w:cs="Times New Roman"/>
          <w:sz w:val="24"/>
          <w:szCs w:val="24"/>
        </w:rPr>
        <w:t>emodialysis</w:t>
      </w:r>
      <w:r w:rsidR="00DF056C">
        <w:rPr>
          <w:rFonts w:ascii="Book Antiqua" w:hAnsi="Book Antiqua" w:cs="Times New Roman" w:hint="eastAsia"/>
          <w:sz w:val="24"/>
          <w:szCs w:val="24"/>
          <w:lang w:eastAsia="zh-CN"/>
        </w:rPr>
        <w:t>;</w:t>
      </w:r>
      <w:r w:rsidR="0077323C">
        <w:rPr>
          <w:rFonts w:ascii="Book Antiqua" w:hAnsi="Book Antiqua" w:cs="Times New Roman"/>
          <w:sz w:val="24"/>
          <w:szCs w:val="24"/>
        </w:rPr>
        <w:t xml:space="preserve"> </w:t>
      </w:r>
      <w:r w:rsidRPr="00612EED">
        <w:rPr>
          <w:rFonts w:ascii="Book Antiqua" w:hAnsi="Book Antiqua" w:cs="Times New Roman"/>
          <w:sz w:val="24"/>
          <w:szCs w:val="24"/>
        </w:rPr>
        <w:t>NS</w:t>
      </w:r>
      <w:r w:rsidR="00DF056C">
        <w:rPr>
          <w:rFonts w:ascii="Book Antiqua" w:hAnsi="Book Antiqua" w:cs="Times New Roman" w:hint="eastAsia"/>
          <w:sz w:val="24"/>
          <w:szCs w:val="24"/>
          <w:lang w:eastAsia="zh-CN"/>
        </w:rPr>
        <w:t>:</w:t>
      </w:r>
      <w:r w:rsidRPr="00612EED">
        <w:rPr>
          <w:rFonts w:ascii="Book Antiqua" w:hAnsi="Book Antiqua" w:cs="Times New Roman"/>
          <w:sz w:val="24"/>
          <w:szCs w:val="24"/>
        </w:rPr>
        <w:t xml:space="preserve"> </w:t>
      </w:r>
      <w:r w:rsidR="00DF056C" w:rsidRPr="00612EED">
        <w:rPr>
          <w:rFonts w:ascii="Book Antiqua" w:hAnsi="Book Antiqua" w:cs="Times New Roman"/>
          <w:sz w:val="24"/>
          <w:szCs w:val="24"/>
        </w:rPr>
        <w:t>N</w:t>
      </w:r>
      <w:r w:rsidRPr="00612EED">
        <w:rPr>
          <w:rFonts w:ascii="Book Antiqua" w:hAnsi="Book Antiqua" w:cs="Times New Roman"/>
          <w:sz w:val="24"/>
          <w:szCs w:val="24"/>
        </w:rPr>
        <w:t xml:space="preserve">ot specified duration of intake. </w:t>
      </w:r>
      <w:r w:rsidRPr="00612EED">
        <w:rPr>
          <w:rFonts w:ascii="Book Antiqua" w:hAnsi="Book Antiqua" w:cs="Times New Roman"/>
          <w:sz w:val="24"/>
          <w:szCs w:val="24"/>
          <w:vertAlign w:val="superscript"/>
        </w:rPr>
        <w:t>1</w:t>
      </w:r>
      <w:r w:rsidRPr="00612EED">
        <w:rPr>
          <w:rFonts w:ascii="Book Antiqua" w:hAnsi="Book Antiqua" w:cs="Times New Roman"/>
          <w:sz w:val="24"/>
          <w:szCs w:val="24"/>
        </w:rPr>
        <w:t>During recovery.</w:t>
      </w:r>
      <w:r w:rsidR="0077323C">
        <w:rPr>
          <w:rFonts w:ascii="Book Antiqua" w:hAnsi="Book Antiqua" w:cs="Times New Roman"/>
          <w:sz w:val="24"/>
          <w:szCs w:val="24"/>
        </w:rPr>
        <w:t xml:space="preserve"> </w:t>
      </w:r>
      <w:r w:rsidRPr="00612EED">
        <w:rPr>
          <w:rFonts w:ascii="Book Antiqua" w:hAnsi="Book Antiqua" w:cs="Times New Roman"/>
          <w:sz w:val="24"/>
          <w:szCs w:val="24"/>
        </w:rPr>
        <w:t xml:space="preserve">SCr </w:t>
      </w:r>
      <w:bookmarkStart w:id="189" w:name="OLE_LINK170"/>
      <w:bookmarkStart w:id="190" w:name="OLE_LINK171"/>
      <w:r w:rsidR="00BA3E3B" w:rsidRPr="00C2412E">
        <w:rPr>
          <w:rFonts w:ascii="Book Antiqua" w:hAnsi="Book Antiqua" w:cs="宋体"/>
          <w:color w:val="000000"/>
          <w:sz w:val="24"/>
          <w:szCs w:val="24"/>
        </w:rPr>
        <w:t>approximately</w:t>
      </w:r>
      <w:bookmarkEnd w:id="189"/>
      <w:bookmarkEnd w:id="190"/>
      <w:r w:rsidRPr="00612EED">
        <w:rPr>
          <w:rFonts w:ascii="Book Antiqua" w:hAnsi="Book Antiqua" w:cs="Times New Roman"/>
          <w:sz w:val="24"/>
          <w:szCs w:val="24"/>
        </w:rPr>
        <w:t xml:space="preserve"> 1.7-1.8 mg/dL. </w:t>
      </w:r>
      <w:r w:rsidRPr="00612EED">
        <w:rPr>
          <w:rFonts w:ascii="Book Antiqua" w:hAnsi="Book Antiqua" w:cs="Times New Roman"/>
          <w:sz w:val="24"/>
          <w:szCs w:val="24"/>
          <w:vertAlign w:val="superscript"/>
        </w:rPr>
        <w:t>2</w:t>
      </w:r>
      <w:r w:rsidRPr="00612EED">
        <w:rPr>
          <w:rFonts w:ascii="Book Antiqua" w:hAnsi="Book Antiqua" w:cs="Times New Roman"/>
          <w:sz w:val="24"/>
          <w:szCs w:val="24"/>
        </w:rPr>
        <w:t>Post-ingestion.</w:t>
      </w:r>
      <w:r w:rsidR="0077323C">
        <w:rPr>
          <w:rFonts w:ascii="Book Antiqua" w:hAnsi="Book Antiqua" w:cs="Times New Roman"/>
          <w:sz w:val="24"/>
          <w:szCs w:val="24"/>
        </w:rPr>
        <w:t xml:space="preserve"> </w:t>
      </w:r>
      <w:r w:rsidRPr="00612EED">
        <w:rPr>
          <w:rFonts w:ascii="Book Antiqua" w:hAnsi="Book Antiqua" w:cs="Times New Roman"/>
          <w:sz w:val="24"/>
          <w:szCs w:val="24"/>
        </w:rPr>
        <w:t xml:space="preserve">SCr </w:t>
      </w:r>
      <w:r w:rsidR="00BA3E3B" w:rsidRPr="00C2412E">
        <w:rPr>
          <w:rFonts w:ascii="Book Antiqua" w:hAnsi="Book Antiqua" w:cs="宋体"/>
          <w:color w:val="000000"/>
          <w:sz w:val="24"/>
          <w:szCs w:val="24"/>
        </w:rPr>
        <w:t>approximately</w:t>
      </w:r>
      <w:r w:rsidR="00BA3E3B">
        <w:rPr>
          <w:rFonts w:ascii="Book Antiqua" w:hAnsi="Book Antiqua" w:cs="宋体" w:hint="eastAsia"/>
          <w:color w:val="000000"/>
          <w:sz w:val="24"/>
          <w:szCs w:val="24"/>
        </w:rPr>
        <w:t xml:space="preserve"> </w:t>
      </w:r>
      <w:r w:rsidRPr="00612EED">
        <w:rPr>
          <w:rFonts w:ascii="Book Antiqua" w:hAnsi="Book Antiqua" w:cs="Times New Roman"/>
          <w:sz w:val="24"/>
          <w:szCs w:val="24"/>
        </w:rPr>
        <w:t xml:space="preserve">3.6 mg/dL. </w:t>
      </w:r>
      <w:r w:rsidRPr="00612EED">
        <w:rPr>
          <w:rFonts w:ascii="Book Antiqua" w:hAnsi="Book Antiqua" w:cs="Times New Roman"/>
          <w:sz w:val="24"/>
          <w:szCs w:val="24"/>
          <w:vertAlign w:val="superscript"/>
        </w:rPr>
        <w:t>3</w:t>
      </w:r>
      <w:r w:rsidRPr="00612EED">
        <w:rPr>
          <w:rFonts w:ascii="Book Antiqua" w:hAnsi="Book Antiqua" w:cs="Times New Roman"/>
          <w:sz w:val="24"/>
          <w:szCs w:val="24"/>
        </w:rPr>
        <w:t>During AKI.</w:t>
      </w:r>
      <w:r w:rsidR="0077323C">
        <w:rPr>
          <w:rFonts w:ascii="Book Antiqua" w:hAnsi="Book Antiqua" w:cs="Times New Roman"/>
          <w:sz w:val="24"/>
          <w:szCs w:val="24"/>
        </w:rPr>
        <w:t xml:space="preserve"> </w:t>
      </w:r>
      <w:r w:rsidRPr="00612EED">
        <w:rPr>
          <w:rFonts w:ascii="Book Antiqua" w:hAnsi="Book Antiqua" w:cs="Times New Roman"/>
          <w:sz w:val="24"/>
          <w:szCs w:val="24"/>
        </w:rPr>
        <w:t xml:space="preserve">SCr </w:t>
      </w:r>
      <w:r w:rsidR="00BA3E3B" w:rsidRPr="00C2412E">
        <w:rPr>
          <w:rFonts w:ascii="Book Antiqua" w:hAnsi="Book Antiqua" w:cs="宋体"/>
          <w:color w:val="000000"/>
          <w:sz w:val="24"/>
          <w:szCs w:val="24"/>
        </w:rPr>
        <w:t>approximately</w:t>
      </w:r>
      <w:r w:rsidR="00BA3E3B">
        <w:rPr>
          <w:rFonts w:ascii="Book Antiqua" w:hAnsi="Book Antiqua" w:cs="Times New Roman" w:hint="eastAsia"/>
          <w:sz w:val="24"/>
          <w:szCs w:val="24"/>
          <w:lang w:eastAsia="zh-CN"/>
        </w:rPr>
        <w:t xml:space="preserve"> </w:t>
      </w:r>
      <w:r w:rsidRPr="00612EED">
        <w:rPr>
          <w:rFonts w:ascii="Book Antiqua" w:hAnsi="Book Antiqua" w:cs="Times New Roman"/>
          <w:sz w:val="24"/>
          <w:szCs w:val="24"/>
        </w:rPr>
        <w:t xml:space="preserve">6.4 mg/dL. </w:t>
      </w:r>
      <w:r w:rsidRPr="00612EED">
        <w:rPr>
          <w:rFonts w:ascii="Book Antiqua" w:hAnsi="Book Antiqua" w:cs="Times New Roman"/>
          <w:sz w:val="24"/>
          <w:szCs w:val="24"/>
          <w:vertAlign w:val="superscript"/>
        </w:rPr>
        <w:t>4</w:t>
      </w:r>
      <w:r w:rsidRPr="00612EED">
        <w:rPr>
          <w:rFonts w:ascii="Book Antiqua" w:hAnsi="Book Antiqua" w:cs="Times New Roman"/>
          <w:sz w:val="24"/>
          <w:szCs w:val="24"/>
        </w:rPr>
        <w:t>Post recovery. SCr 1.3 mg/dL.</w:t>
      </w:r>
    </w:p>
    <w:p w:rsidR="00F2207B" w:rsidRPr="00612EED" w:rsidRDefault="00F2207B" w:rsidP="002A048C">
      <w:pPr>
        <w:spacing w:after="0" w:line="360" w:lineRule="auto"/>
        <w:jc w:val="both"/>
        <w:rPr>
          <w:rFonts w:ascii="Book Antiqua" w:hAnsi="Book Antiqua" w:cs="Times New Roman"/>
          <w:sz w:val="24"/>
          <w:szCs w:val="24"/>
        </w:rPr>
      </w:pPr>
    </w:p>
    <w:p w:rsidR="00F2207B" w:rsidRPr="00CB1053" w:rsidRDefault="00F2207B" w:rsidP="002A048C">
      <w:pPr>
        <w:spacing w:after="0" w:line="360" w:lineRule="auto"/>
        <w:jc w:val="both"/>
        <w:rPr>
          <w:rFonts w:ascii="Book Antiqua" w:hAnsi="Book Antiqua" w:cs="Times New Roman"/>
          <w:b/>
          <w:sz w:val="24"/>
          <w:szCs w:val="24"/>
        </w:rPr>
      </w:pPr>
      <w:r w:rsidRPr="00CB1053">
        <w:rPr>
          <w:rFonts w:ascii="Book Antiqua" w:hAnsi="Book Antiqua" w:cs="Times New Roman"/>
          <w:b/>
          <w:sz w:val="24"/>
          <w:szCs w:val="24"/>
        </w:rPr>
        <w:t>Table 4</w:t>
      </w:r>
      <w:r w:rsidR="0077323C" w:rsidRPr="00CB1053">
        <w:rPr>
          <w:rFonts w:ascii="Book Antiqua" w:hAnsi="Book Antiqua" w:cs="Times New Roman"/>
          <w:b/>
          <w:sz w:val="24"/>
          <w:szCs w:val="24"/>
        </w:rPr>
        <w:t xml:space="preserve"> </w:t>
      </w:r>
      <w:r w:rsidRPr="00CB1053">
        <w:rPr>
          <w:rFonts w:ascii="Book Antiqua" w:hAnsi="Book Antiqua" w:cs="Times New Roman"/>
          <w:b/>
          <w:sz w:val="24"/>
          <w:szCs w:val="24"/>
        </w:rPr>
        <w:t>Daily urinary oxalate excretion in various hyperoxaluric states</w:t>
      </w:r>
    </w:p>
    <w:tbl>
      <w:tblPr>
        <w:tblStyle w:val="a7"/>
        <w:tblW w:w="11520" w:type="dxa"/>
        <w:tblInd w:w="-106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8752"/>
      </w:tblGrid>
      <w:tr w:rsidR="00F2207B" w:rsidRPr="00B6343E" w:rsidTr="00B6343E">
        <w:tc>
          <w:tcPr>
            <w:tcW w:w="2768" w:type="dxa"/>
            <w:tcBorders>
              <w:top w:val="single" w:sz="4" w:space="0" w:color="auto"/>
              <w:bottom w:val="single" w:sz="4" w:space="0" w:color="auto"/>
            </w:tcBorders>
          </w:tcPr>
          <w:p w:rsidR="00F2207B" w:rsidRPr="00B6343E" w:rsidRDefault="00F2207B" w:rsidP="002A048C">
            <w:pPr>
              <w:spacing w:line="360" w:lineRule="auto"/>
              <w:jc w:val="both"/>
              <w:rPr>
                <w:rFonts w:ascii="Book Antiqua" w:hAnsi="Book Antiqua" w:cs="Times New Roman"/>
                <w:b/>
                <w:sz w:val="24"/>
                <w:szCs w:val="24"/>
              </w:rPr>
            </w:pPr>
            <w:r w:rsidRPr="00B6343E">
              <w:rPr>
                <w:rFonts w:ascii="Book Antiqua" w:hAnsi="Book Antiqua" w:cs="Times New Roman"/>
                <w:b/>
                <w:sz w:val="24"/>
                <w:szCs w:val="24"/>
              </w:rPr>
              <w:t>Oxaluric state</w:t>
            </w:r>
          </w:p>
        </w:tc>
        <w:tc>
          <w:tcPr>
            <w:tcW w:w="8752" w:type="dxa"/>
            <w:tcBorders>
              <w:top w:val="single" w:sz="4" w:space="0" w:color="auto"/>
              <w:bottom w:val="single" w:sz="4" w:space="0" w:color="auto"/>
            </w:tcBorders>
          </w:tcPr>
          <w:p w:rsidR="00F2207B" w:rsidRPr="00B6343E" w:rsidRDefault="00F2207B" w:rsidP="002A048C">
            <w:pPr>
              <w:spacing w:line="360" w:lineRule="auto"/>
              <w:jc w:val="both"/>
              <w:rPr>
                <w:rFonts w:ascii="Book Antiqua" w:hAnsi="Book Antiqua" w:cs="Times New Roman"/>
                <w:b/>
                <w:sz w:val="24"/>
                <w:szCs w:val="24"/>
              </w:rPr>
            </w:pPr>
            <w:r w:rsidRPr="00B6343E">
              <w:rPr>
                <w:rFonts w:ascii="Book Antiqua" w:hAnsi="Book Antiqua" w:cs="Times New Roman"/>
                <w:b/>
                <w:sz w:val="24"/>
                <w:szCs w:val="24"/>
              </w:rPr>
              <w:t>Urinary oxalate, mg/24-h</w:t>
            </w:r>
          </w:p>
        </w:tc>
      </w:tr>
      <w:tr w:rsidR="00F2207B" w:rsidRPr="00612EED" w:rsidTr="00B6343E">
        <w:tc>
          <w:tcPr>
            <w:tcW w:w="2768" w:type="dxa"/>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Normal range</w:t>
            </w:r>
          </w:p>
          <w:p w:rsidR="00F2207B" w:rsidRPr="00612EED" w:rsidRDefault="00F2207B" w:rsidP="002A048C">
            <w:pPr>
              <w:spacing w:line="360" w:lineRule="auto"/>
              <w:jc w:val="both"/>
              <w:rPr>
                <w:rFonts w:ascii="Book Antiqua" w:hAnsi="Book Antiqua" w:cs="Times New Roman"/>
                <w:sz w:val="24"/>
                <w:szCs w:val="24"/>
              </w:rPr>
            </w:pPr>
          </w:p>
        </w:tc>
        <w:tc>
          <w:tcPr>
            <w:tcW w:w="8752" w:type="dxa"/>
            <w:tcBorders>
              <w:top w:val="single" w:sz="4" w:space="0" w:color="auto"/>
            </w:tcBorders>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&lt;45,</w:t>
            </w:r>
            <w:r w:rsidR="004F2EFF">
              <w:rPr>
                <w:rFonts w:ascii="Book Antiqua" w:hAnsi="Book Antiqua" w:cs="Times New Roman"/>
                <w:sz w:val="24"/>
                <w:szCs w:val="24"/>
              </w:rPr>
              <w:t xml:space="preserve"> </w:t>
            </w:r>
            <w:r w:rsidRPr="00612EED">
              <w:rPr>
                <w:rFonts w:ascii="Book Antiqua" w:hAnsi="Book Antiqua" w:cs="Times New Roman"/>
                <w:sz w:val="24"/>
                <w:szCs w:val="24"/>
              </w:rPr>
              <w:t>&lt;30</w:t>
            </w:r>
            <w:r w:rsidR="00FD33E3">
              <w:rPr>
                <w:rFonts w:ascii="Book Antiqua" w:hAnsi="Book Antiqua" w:cs="Times New Roman" w:hint="eastAsia"/>
                <w:sz w:val="24"/>
                <w:szCs w:val="24"/>
                <w:vertAlign w:val="superscript"/>
                <w:lang w:eastAsia="zh-CN"/>
              </w:rPr>
              <w:t>1</w:t>
            </w:r>
          </w:p>
        </w:tc>
      </w:tr>
      <w:tr w:rsidR="00F2207B" w:rsidRPr="00612EED" w:rsidTr="00B6343E">
        <w:tc>
          <w:tcPr>
            <w:tcW w:w="2768"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PH1</w:t>
            </w:r>
          </w:p>
          <w:p w:rsidR="00F2207B" w:rsidRPr="00612EED" w:rsidRDefault="00F2207B" w:rsidP="002A048C">
            <w:pPr>
              <w:spacing w:line="360" w:lineRule="auto"/>
              <w:jc w:val="both"/>
              <w:rPr>
                <w:rFonts w:ascii="Book Antiqua" w:hAnsi="Book Antiqua" w:cs="Times New Roman"/>
                <w:sz w:val="24"/>
                <w:szCs w:val="24"/>
              </w:rPr>
            </w:pPr>
          </w:p>
        </w:tc>
        <w:tc>
          <w:tcPr>
            <w:tcW w:w="8752"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&gt;90</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95]</w:t>
            </w:r>
            <w:r w:rsidRPr="00612EED">
              <w:rPr>
                <w:rFonts w:ascii="Book Antiqua" w:hAnsi="Book Antiqua" w:cs="Times New Roman"/>
                <w:sz w:val="24"/>
                <w:szCs w:val="24"/>
              </w:rPr>
              <w:t>,</w:t>
            </w:r>
            <w:r w:rsidR="004F2EFF">
              <w:rPr>
                <w:rFonts w:ascii="Book Antiqua" w:hAnsi="Book Antiqua" w:cs="Times New Roman"/>
                <w:sz w:val="24"/>
                <w:szCs w:val="24"/>
              </w:rPr>
              <w:t xml:space="preserve"> </w:t>
            </w:r>
            <w:r w:rsidRPr="00612EED">
              <w:rPr>
                <w:rFonts w:ascii="Book Antiqua" w:hAnsi="Book Antiqua" w:cs="Times New Roman"/>
                <w:sz w:val="24"/>
                <w:szCs w:val="24"/>
              </w:rPr>
              <w:t>&gt;63</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94]</w:t>
            </w:r>
            <w:r w:rsidRPr="00612EED">
              <w:rPr>
                <w:rFonts w:ascii="Book Antiqua" w:hAnsi="Book Antiqua" w:cs="Times New Roman"/>
                <w:sz w:val="24"/>
                <w:szCs w:val="24"/>
              </w:rPr>
              <w:t>,</w:t>
            </w:r>
            <w:r w:rsidR="0077323C">
              <w:rPr>
                <w:rFonts w:ascii="Book Antiqua" w:hAnsi="Book Antiqua" w:cs="Times New Roman"/>
                <w:sz w:val="24"/>
                <w:szCs w:val="24"/>
              </w:rPr>
              <w:t xml:space="preserve"> </w:t>
            </w:r>
            <w:r w:rsidRPr="00612EED">
              <w:rPr>
                <w:rFonts w:ascii="Book Antiqua" w:hAnsi="Book Antiqua" w:cs="Times New Roman"/>
                <w:sz w:val="24"/>
                <w:szCs w:val="24"/>
              </w:rPr>
              <w:t>25-492</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90]</w:t>
            </w:r>
            <w:r w:rsidRPr="00612EED">
              <w:rPr>
                <w:rFonts w:ascii="Book Antiqua" w:hAnsi="Book Antiqua" w:cs="Times New Roman"/>
                <w:sz w:val="24"/>
                <w:szCs w:val="24"/>
              </w:rPr>
              <w:t>,</w:t>
            </w:r>
            <w:r w:rsidR="0077323C">
              <w:rPr>
                <w:rFonts w:ascii="Book Antiqua" w:hAnsi="Book Antiqua" w:cs="Times New Roman"/>
                <w:sz w:val="24"/>
                <w:szCs w:val="24"/>
              </w:rPr>
              <w:t xml:space="preserve"> </w:t>
            </w:r>
            <w:r w:rsidRPr="00612EED">
              <w:rPr>
                <w:rFonts w:ascii="Book Antiqua" w:hAnsi="Book Antiqua" w:cs="Times New Roman"/>
                <w:sz w:val="24"/>
                <w:szCs w:val="24"/>
              </w:rPr>
              <w:t>26-530</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99]</w:t>
            </w:r>
          </w:p>
        </w:tc>
      </w:tr>
      <w:tr w:rsidR="00F2207B" w:rsidRPr="00612EED" w:rsidTr="00B6343E">
        <w:trPr>
          <w:trHeight w:val="278"/>
        </w:trPr>
        <w:tc>
          <w:tcPr>
            <w:tcW w:w="2768"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PH2</w:t>
            </w:r>
          </w:p>
          <w:p w:rsidR="00F2207B" w:rsidRPr="00612EED" w:rsidRDefault="00F2207B" w:rsidP="002A048C">
            <w:pPr>
              <w:spacing w:line="360" w:lineRule="auto"/>
              <w:jc w:val="both"/>
              <w:rPr>
                <w:rFonts w:ascii="Book Antiqua" w:hAnsi="Book Antiqua" w:cs="Times New Roman"/>
                <w:sz w:val="24"/>
                <w:szCs w:val="24"/>
              </w:rPr>
            </w:pPr>
          </w:p>
        </w:tc>
        <w:tc>
          <w:tcPr>
            <w:tcW w:w="8752"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&gt;42</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95]</w:t>
            </w:r>
            <w:r w:rsidRPr="00612EED">
              <w:rPr>
                <w:rFonts w:ascii="Book Antiqua" w:hAnsi="Book Antiqua" w:cs="Times New Roman"/>
                <w:sz w:val="24"/>
                <w:szCs w:val="24"/>
              </w:rPr>
              <w:t>,</w:t>
            </w:r>
            <w:r w:rsidR="0077323C">
              <w:rPr>
                <w:rFonts w:ascii="Book Antiqua" w:hAnsi="Book Antiqua" w:cs="Times New Roman"/>
                <w:sz w:val="24"/>
                <w:szCs w:val="24"/>
              </w:rPr>
              <w:t xml:space="preserve"> </w:t>
            </w:r>
            <w:r w:rsidRPr="00612EED">
              <w:rPr>
                <w:rFonts w:ascii="Book Antiqua" w:hAnsi="Book Antiqua" w:cs="Times New Roman"/>
                <w:sz w:val="24"/>
                <w:szCs w:val="24"/>
              </w:rPr>
              <w:t>44-520</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99]</w:t>
            </w:r>
          </w:p>
        </w:tc>
      </w:tr>
      <w:tr w:rsidR="00F2207B" w:rsidRPr="00612EED" w:rsidTr="00B6343E">
        <w:tc>
          <w:tcPr>
            <w:tcW w:w="2768"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PH3</w:t>
            </w:r>
          </w:p>
          <w:p w:rsidR="00F2207B" w:rsidRPr="00612EED" w:rsidRDefault="00F2207B" w:rsidP="002A048C">
            <w:pPr>
              <w:spacing w:line="360" w:lineRule="auto"/>
              <w:jc w:val="both"/>
              <w:rPr>
                <w:rFonts w:ascii="Book Antiqua" w:hAnsi="Book Antiqua" w:cs="Times New Roman"/>
                <w:sz w:val="24"/>
                <w:szCs w:val="24"/>
              </w:rPr>
            </w:pPr>
          </w:p>
        </w:tc>
        <w:tc>
          <w:tcPr>
            <w:tcW w:w="8752" w:type="dxa"/>
          </w:tcPr>
          <w:p w:rsidR="00F2207B" w:rsidRPr="00612EED" w:rsidRDefault="0089344C" w:rsidP="002A048C">
            <w:pPr>
              <w:pStyle w:val="a5"/>
              <w:numPr>
                <w:ilvl w:val="1"/>
                <w:numId w:val="4"/>
              </w:numPr>
              <w:spacing w:line="360" w:lineRule="auto"/>
              <w:jc w:val="both"/>
              <w:rPr>
                <w:rFonts w:ascii="Book Antiqua" w:hAnsi="Book Antiqua"/>
                <w:sz w:val="24"/>
                <w:szCs w:val="24"/>
              </w:rPr>
            </w:pPr>
            <w:r w:rsidRPr="0089344C">
              <w:rPr>
                <w:rFonts w:ascii="Book Antiqua" w:hAnsi="Book Antiqua"/>
                <w:sz w:val="24"/>
                <w:szCs w:val="24"/>
                <w:vertAlign w:val="superscript"/>
              </w:rPr>
              <w:t>[</w:t>
            </w:r>
            <w:r w:rsidR="00F2207B" w:rsidRPr="00612EED">
              <w:rPr>
                <w:rFonts w:ascii="Book Antiqua" w:hAnsi="Book Antiqua"/>
                <w:sz w:val="24"/>
                <w:szCs w:val="24"/>
                <w:vertAlign w:val="superscript"/>
              </w:rPr>
              <w:t>98]</w:t>
            </w:r>
            <w:r w:rsidR="00F2207B" w:rsidRPr="00612EED">
              <w:rPr>
                <w:rFonts w:ascii="Book Antiqua" w:hAnsi="Book Antiqua"/>
                <w:sz w:val="24"/>
                <w:szCs w:val="24"/>
              </w:rPr>
              <w:t>,</w:t>
            </w:r>
            <w:r w:rsidR="004F2EFF">
              <w:rPr>
                <w:rFonts w:ascii="Book Antiqua" w:hAnsi="Book Antiqua"/>
                <w:sz w:val="24"/>
                <w:szCs w:val="24"/>
              </w:rPr>
              <w:t xml:space="preserve"> </w:t>
            </w:r>
            <w:r w:rsidR="00F2207B" w:rsidRPr="00612EED">
              <w:rPr>
                <w:rFonts w:ascii="Book Antiqua" w:hAnsi="Book Antiqua"/>
                <w:sz w:val="24"/>
                <w:szCs w:val="24"/>
              </w:rPr>
              <w:t>35-120</w:t>
            </w:r>
            <w:r w:rsidRPr="0089344C">
              <w:rPr>
                <w:rFonts w:ascii="Book Antiqua" w:hAnsi="Book Antiqua"/>
                <w:sz w:val="24"/>
                <w:szCs w:val="24"/>
                <w:vertAlign w:val="superscript"/>
              </w:rPr>
              <w:t>[</w:t>
            </w:r>
            <w:r w:rsidR="00F2207B" w:rsidRPr="00612EED">
              <w:rPr>
                <w:rFonts w:ascii="Book Antiqua" w:hAnsi="Book Antiqua"/>
                <w:sz w:val="24"/>
                <w:szCs w:val="24"/>
                <w:vertAlign w:val="superscript"/>
              </w:rPr>
              <w:t>99]</w:t>
            </w:r>
          </w:p>
        </w:tc>
      </w:tr>
      <w:tr w:rsidR="00F2207B" w:rsidRPr="00612EED" w:rsidTr="00B6343E">
        <w:tc>
          <w:tcPr>
            <w:tcW w:w="2768"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Enteric</w:t>
            </w:r>
          </w:p>
          <w:p w:rsidR="00F2207B" w:rsidRPr="00612EED" w:rsidRDefault="00F2207B" w:rsidP="002A048C">
            <w:pPr>
              <w:spacing w:line="360" w:lineRule="auto"/>
              <w:jc w:val="both"/>
              <w:rPr>
                <w:rFonts w:ascii="Book Antiqua" w:hAnsi="Book Antiqua" w:cs="Times New Roman"/>
                <w:sz w:val="24"/>
                <w:szCs w:val="24"/>
              </w:rPr>
            </w:pPr>
          </w:p>
        </w:tc>
        <w:tc>
          <w:tcPr>
            <w:tcW w:w="8752" w:type="dxa"/>
          </w:tcPr>
          <w:p w:rsidR="00F2207B" w:rsidRPr="00612EED" w:rsidRDefault="00F2207B" w:rsidP="002A048C">
            <w:pPr>
              <w:spacing w:line="360" w:lineRule="auto"/>
              <w:jc w:val="both"/>
              <w:rPr>
                <w:rFonts w:ascii="Book Antiqua" w:hAnsi="Book Antiqua"/>
                <w:sz w:val="24"/>
                <w:szCs w:val="24"/>
              </w:rPr>
            </w:pPr>
            <w:r w:rsidRPr="00612EED">
              <w:rPr>
                <w:rFonts w:ascii="Book Antiqua" w:hAnsi="Book Antiqua"/>
                <w:sz w:val="24"/>
                <w:szCs w:val="24"/>
              </w:rPr>
              <w:t>&gt;90</w:t>
            </w:r>
            <w:r w:rsidR="0089344C" w:rsidRPr="0089344C">
              <w:rPr>
                <w:rFonts w:ascii="Book Antiqua" w:hAnsi="Book Antiqua"/>
                <w:sz w:val="24"/>
                <w:szCs w:val="24"/>
                <w:vertAlign w:val="superscript"/>
              </w:rPr>
              <w:t>[</w:t>
            </w:r>
            <w:r w:rsidRPr="00612EED">
              <w:rPr>
                <w:rFonts w:ascii="Book Antiqua" w:hAnsi="Book Antiqua"/>
                <w:sz w:val="24"/>
                <w:szCs w:val="24"/>
                <w:vertAlign w:val="superscript"/>
              </w:rPr>
              <w:t>95]</w:t>
            </w:r>
            <w:r w:rsidRPr="00612EED">
              <w:rPr>
                <w:rFonts w:ascii="Book Antiqua" w:hAnsi="Book Antiqua"/>
                <w:sz w:val="24"/>
                <w:szCs w:val="24"/>
              </w:rPr>
              <w:t>,</w:t>
            </w:r>
            <w:r w:rsidR="004F2EFF">
              <w:rPr>
                <w:rFonts w:ascii="Book Antiqua" w:hAnsi="Book Antiqua"/>
                <w:sz w:val="24"/>
                <w:szCs w:val="24"/>
              </w:rPr>
              <w:t xml:space="preserve"> </w:t>
            </w:r>
            <w:r w:rsidRPr="00612EED">
              <w:rPr>
                <w:rFonts w:ascii="Book Antiqua" w:hAnsi="Book Antiqua"/>
                <w:sz w:val="24"/>
                <w:szCs w:val="24"/>
              </w:rPr>
              <w:t xml:space="preserve"> 30-110</w:t>
            </w:r>
            <w:r w:rsidR="0089344C" w:rsidRPr="0089344C">
              <w:rPr>
                <w:rFonts w:ascii="Book Antiqua" w:hAnsi="Book Antiqua"/>
                <w:sz w:val="24"/>
                <w:szCs w:val="24"/>
                <w:vertAlign w:val="superscript"/>
              </w:rPr>
              <w:t>[</w:t>
            </w:r>
            <w:r w:rsidRPr="00612EED">
              <w:rPr>
                <w:rFonts w:ascii="Book Antiqua" w:hAnsi="Book Antiqua"/>
                <w:sz w:val="24"/>
                <w:szCs w:val="24"/>
                <w:vertAlign w:val="superscript"/>
              </w:rPr>
              <w:t>1]</w:t>
            </w:r>
            <w:r w:rsidR="00F2181A">
              <w:rPr>
                <w:rFonts w:ascii="Book Antiqua" w:hAnsi="Book Antiqua" w:cs="Times New Roman" w:hint="eastAsia"/>
                <w:sz w:val="24"/>
                <w:szCs w:val="24"/>
                <w:vertAlign w:val="superscript"/>
                <w:lang w:eastAsia="zh-CN"/>
              </w:rPr>
              <w:t xml:space="preserve"> 1</w:t>
            </w:r>
            <w:r w:rsidRPr="00612EED">
              <w:rPr>
                <w:rFonts w:ascii="Book Antiqua" w:hAnsi="Book Antiqua"/>
                <w:sz w:val="24"/>
                <w:szCs w:val="24"/>
              </w:rPr>
              <w:t>,</w:t>
            </w:r>
            <w:r w:rsidR="004F2EFF">
              <w:rPr>
                <w:rFonts w:ascii="Book Antiqua" w:hAnsi="Book Antiqua"/>
                <w:sz w:val="24"/>
                <w:szCs w:val="24"/>
              </w:rPr>
              <w:t xml:space="preserve"> </w:t>
            </w:r>
            <w:r w:rsidRPr="00612EED">
              <w:rPr>
                <w:rFonts w:ascii="Book Antiqua" w:hAnsi="Book Antiqua"/>
                <w:sz w:val="24"/>
                <w:szCs w:val="24"/>
              </w:rPr>
              <w:t>63±13</w:t>
            </w:r>
            <w:r w:rsidR="0089344C" w:rsidRPr="0089344C">
              <w:rPr>
                <w:rFonts w:ascii="Book Antiqua" w:hAnsi="Book Antiqua"/>
                <w:sz w:val="24"/>
                <w:szCs w:val="24"/>
                <w:vertAlign w:val="superscript"/>
              </w:rPr>
              <w:t>[</w:t>
            </w:r>
            <w:r w:rsidRPr="00612EED">
              <w:rPr>
                <w:rFonts w:ascii="Book Antiqua" w:hAnsi="Book Antiqua"/>
                <w:sz w:val="24"/>
                <w:szCs w:val="24"/>
                <w:vertAlign w:val="superscript"/>
              </w:rPr>
              <w:t>2]</w:t>
            </w:r>
            <w:r w:rsidRPr="00612EED">
              <w:rPr>
                <w:rFonts w:ascii="Book Antiqua" w:hAnsi="Book Antiqua"/>
                <w:sz w:val="24"/>
                <w:szCs w:val="24"/>
              </w:rPr>
              <w:t>,</w:t>
            </w:r>
            <w:r w:rsidR="0077323C">
              <w:rPr>
                <w:rFonts w:ascii="Book Antiqua" w:hAnsi="Book Antiqua"/>
                <w:sz w:val="24"/>
                <w:szCs w:val="24"/>
              </w:rPr>
              <w:t xml:space="preserve"> </w:t>
            </w:r>
            <w:r w:rsidRPr="00612EED">
              <w:rPr>
                <w:rFonts w:ascii="Book Antiqua" w:hAnsi="Book Antiqua"/>
                <w:sz w:val="24"/>
                <w:szCs w:val="24"/>
              </w:rPr>
              <w:t>130</w:t>
            </w:r>
            <w:r w:rsidR="0089344C" w:rsidRPr="0089344C">
              <w:rPr>
                <w:rFonts w:ascii="Book Antiqua" w:hAnsi="Book Antiqua"/>
                <w:sz w:val="24"/>
                <w:szCs w:val="24"/>
                <w:vertAlign w:val="superscript"/>
              </w:rPr>
              <w:t>[</w:t>
            </w:r>
            <w:r w:rsidRPr="00612EED">
              <w:rPr>
                <w:rFonts w:ascii="Book Antiqua" w:hAnsi="Book Antiqua"/>
                <w:sz w:val="24"/>
                <w:szCs w:val="24"/>
                <w:vertAlign w:val="superscript"/>
              </w:rPr>
              <w:t>109]</w:t>
            </w:r>
            <w:r w:rsidRPr="00612EED">
              <w:rPr>
                <w:rFonts w:ascii="Book Antiqua" w:hAnsi="Book Antiqua"/>
                <w:sz w:val="24"/>
                <w:szCs w:val="24"/>
              </w:rPr>
              <w:t>,</w:t>
            </w:r>
            <w:r w:rsidR="004F2EFF">
              <w:rPr>
                <w:rFonts w:ascii="Book Antiqua" w:hAnsi="Book Antiqua"/>
                <w:sz w:val="24"/>
                <w:szCs w:val="24"/>
              </w:rPr>
              <w:t xml:space="preserve"> </w:t>
            </w:r>
            <w:r w:rsidRPr="00612EED">
              <w:rPr>
                <w:rFonts w:ascii="Book Antiqua" w:hAnsi="Book Antiqua"/>
                <w:sz w:val="24"/>
                <w:szCs w:val="24"/>
              </w:rPr>
              <w:t>52-92</w:t>
            </w:r>
            <w:r w:rsidR="0089344C" w:rsidRPr="0089344C">
              <w:rPr>
                <w:rFonts w:ascii="Book Antiqua" w:hAnsi="Book Antiqua"/>
                <w:sz w:val="24"/>
                <w:szCs w:val="24"/>
                <w:vertAlign w:val="superscript"/>
              </w:rPr>
              <w:t>[</w:t>
            </w:r>
            <w:r w:rsidRPr="00612EED">
              <w:rPr>
                <w:rFonts w:ascii="Book Antiqua" w:hAnsi="Book Antiqua"/>
                <w:sz w:val="24"/>
                <w:szCs w:val="24"/>
                <w:vertAlign w:val="superscript"/>
              </w:rPr>
              <w:t>118]</w:t>
            </w:r>
            <w:r w:rsidRPr="00612EED">
              <w:rPr>
                <w:rFonts w:ascii="Book Antiqua" w:hAnsi="Book Antiqua"/>
                <w:sz w:val="24"/>
                <w:szCs w:val="24"/>
              </w:rPr>
              <w:t>,</w:t>
            </w:r>
            <w:r w:rsidR="0077323C">
              <w:rPr>
                <w:rFonts w:ascii="Book Antiqua" w:hAnsi="Book Antiqua"/>
                <w:sz w:val="24"/>
                <w:szCs w:val="24"/>
              </w:rPr>
              <w:t xml:space="preserve"> </w:t>
            </w:r>
            <w:r w:rsidRPr="00612EED">
              <w:rPr>
                <w:rFonts w:ascii="Book Antiqua" w:hAnsi="Book Antiqua"/>
                <w:sz w:val="24"/>
                <w:szCs w:val="24"/>
              </w:rPr>
              <w:t>77±44</w:t>
            </w:r>
            <w:r w:rsidR="0089344C" w:rsidRPr="0089344C">
              <w:rPr>
                <w:rFonts w:ascii="Book Antiqua" w:hAnsi="Book Antiqua"/>
                <w:sz w:val="24"/>
                <w:szCs w:val="24"/>
                <w:vertAlign w:val="superscript"/>
              </w:rPr>
              <w:t>[</w:t>
            </w:r>
            <w:r w:rsidRPr="00612EED">
              <w:rPr>
                <w:rFonts w:ascii="Book Antiqua" w:hAnsi="Book Antiqua"/>
                <w:sz w:val="24"/>
                <w:szCs w:val="24"/>
                <w:vertAlign w:val="superscript"/>
              </w:rPr>
              <w:t>123]</w:t>
            </w:r>
            <w:r w:rsidRPr="00612EED">
              <w:rPr>
                <w:rFonts w:ascii="Book Antiqua" w:hAnsi="Book Antiqua"/>
                <w:sz w:val="24"/>
                <w:szCs w:val="24"/>
              </w:rPr>
              <w:t>,</w:t>
            </w:r>
            <w:r w:rsidR="0077323C">
              <w:rPr>
                <w:rFonts w:ascii="Book Antiqua" w:hAnsi="Book Antiqua"/>
                <w:sz w:val="24"/>
                <w:szCs w:val="24"/>
              </w:rPr>
              <w:t xml:space="preserve"> </w:t>
            </w:r>
            <w:r w:rsidRPr="00612EED">
              <w:rPr>
                <w:rFonts w:ascii="Book Antiqua" w:hAnsi="Book Antiqua"/>
                <w:sz w:val="24"/>
                <w:szCs w:val="24"/>
              </w:rPr>
              <w:t>48-90</w:t>
            </w:r>
            <w:r w:rsidR="0089344C" w:rsidRPr="0089344C">
              <w:rPr>
                <w:rFonts w:ascii="Book Antiqua" w:hAnsi="Book Antiqua"/>
                <w:sz w:val="24"/>
                <w:szCs w:val="24"/>
                <w:vertAlign w:val="superscript"/>
              </w:rPr>
              <w:t>[</w:t>
            </w:r>
            <w:r w:rsidRPr="00612EED">
              <w:rPr>
                <w:rFonts w:ascii="Book Antiqua" w:hAnsi="Book Antiqua"/>
                <w:sz w:val="24"/>
                <w:szCs w:val="24"/>
                <w:vertAlign w:val="superscript"/>
              </w:rPr>
              <w:t>206]</w:t>
            </w:r>
          </w:p>
        </w:tc>
      </w:tr>
      <w:tr w:rsidR="00F2207B" w:rsidRPr="00612EED" w:rsidTr="00B6343E">
        <w:tc>
          <w:tcPr>
            <w:tcW w:w="2768"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Oral ascorbic acid</w:t>
            </w:r>
          </w:p>
          <w:p w:rsidR="00F2207B" w:rsidRPr="00612EED" w:rsidRDefault="00F2207B" w:rsidP="002A048C">
            <w:pPr>
              <w:spacing w:line="360" w:lineRule="auto"/>
              <w:jc w:val="both"/>
              <w:rPr>
                <w:rFonts w:ascii="Book Antiqua" w:hAnsi="Book Antiqua" w:cs="Times New Roman"/>
                <w:sz w:val="24"/>
                <w:szCs w:val="24"/>
              </w:rPr>
            </w:pPr>
          </w:p>
        </w:tc>
        <w:tc>
          <w:tcPr>
            <w:tcW w:w="8752"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98</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171]</w:t>
            </w:r>
            <w:r w:rsidRPr="00612EED">
              <w:rPr>
                <w:rFonts w:ascii="Book Antiqua" w:hAnsi="Book Antiqua" w:cs="Times New Roman"/>
                <w:sz w:val="24"/>
                <w:szCs w:val="24"/>
              </w:rPr>
              <w:t>,</w:t>
            </w:r>
            <w:r w:rsidR="0077323C">
              <w:rPr>
                <w:rFonts w:ascii="Book Antiqua" w:hAnsi="Book Antiqua" w:cs="Times New Roman"/>
                <w:sz w:val="24"/>
                <w:szCs w:val="24"/>
              </w:rPr>
              <w:t xml:space="preserve"> </w:t>
            </w:r>
            <w:r w:rsidRPr="00612EED">
              <w:rPr>
                <w:rFonts w:ascii="Book Antiqua" w:hAnsi="Book Antiqua" w:cs="Times New Roman"/>
                <w:sz w:val="24"/>
                <w:szCs w:val="24"/>
              </w:rPr>
              <w:t>37</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172]</w:t>
            </w:r>
            <w:r w:rsidRPr="00612EED">
              <w:rPr>
                <w:rFonts w:ascii="Book Antiqua" w:hAnsi="Book Antiqua" w:cs="Times New Roman"/>
                <w:sz w:val="24"/>
                <w:szCs w:val="24"/>
              </w:rPr>
              <w:t>,</w:t>
            </w:r>
            <w:r w:rsidR="004F2EFF">
              <w:rPr>
                <w:rFonts w:ascii="Book Antiqua" w:hAnsi="Book Antiqua" w:cs="Times New Roman"/>
                <w:sz w:val="24"/>
                <w:szCs w:val="24"/>
              </w:rPr>
              <w:t xml:space="preserve"> </w:t>
            </w:r>
            <w:r w:rsidRPr="00612EED">
              <w:rPr>
                <w:rFonts w:ascii="Book Antiqua" w:hAnsi="Book Antiqua" w:cs="Times New Roman"/>
                <w:sz w:val="24"/>
                <w:szCs w:val="24"/>
              </w:rPr>
              <w:t>84</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175]</w:t>
            </w:r>
          </w:p>
        </w:tc>
      </w:tr>
      <w:tr w:rsidR="00F2207B" w:rsidRPr="00612EED" w:rsidTr="00B6343E">
        <w:tc>
          <w:tcPr>
            <w:tcW w:w="2768"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Parenteral ascorbic acid</w:t>
            </w:r>
          </w:p>
          <w:p w:rsidR="00F2207B" w:rsidRPr="00612EED" w:rsidRDefault="00F2207B" w:rsidP="002A048C">
            <w:pPr>
              <w:spacing w:line="360" w:lineRule="auto"/>
              <w:jc w:val="both"/>
              <w:rPr>
                <w:rFonts w:ascii="Book Antiqua" w:hAnsi="Book Antiqua" w:cs="Times New Roman"/>
                <w:sz w:val="24"/>
                <w:szCs w:val="24"/>
              </w:rPr>
            </w:pPr>
          </w:p>
        </w:tc>
        <w:tc>
          <w:tcPr>
            <w:tcW w:w="8752"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76</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179]</w:t>
            </w:r>
            <w:r w:rsidRPr="00612EED">
              <w:rPr>
                <w:rFonts w:ascii="Book Antiqua" w:hAnsi="Book Antiqua" w:cs="Times New Roman"/>
                <w:sz w:val="24"/>
                <w:szCs w:val="24"/>
              </w:rPr>
              <w:t>,</w:t>
            </w:r>
            <w:r w:rsidR="0077323C">
              <w:rPr>
                <w:rFonts w:ascii="Book Antiqua" w:hAnsi="Book Antiqua" w:cs="Times New Roman"/>
                <w:sz w:val="24"/>
                <w:szCs w:val="24"/>
              </w:rPr>
              <w:t xml:space="preserve"> </w:t>
            </w:r>
            <w:r w:rsidRPr="00612EED">
              <w:rPr>
                <w:rFonts w:ascii="Book Antiqua" w:hAnsi="Book Antiqua" w:cs="Times New Roman"/>
                <w:sz w:val="24"/>
                <w:szCs w:val="24"/>
              </w:rPr>
              <w:t>100</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180]</w:t>
            </w:r>
            <w:r w:rsidRPr="00612EED">
              <w:rPr>
                <w:rFonts w:ascii="Book Antiqua" w:hAnsi="Book Antiqua" w:cs="Times New Roman"/>
                <w:sz w:val="24"/>
                <w:szCs w:val="24"/>
              </w:rPr>
              <w:t>,</w:t>
            </w:r>
            <w:r w:rsidR="0077323C">
              <w:rPr>
                <w:rFonts w:ascii="Book Antiqua" w:hAnsi="Book Antiqua" w:cs="Times New Roman"/>
                <w:sz w:val="24"/>
                <w:szCs w:val="24"/>
              </w:rPr>
              <w:t xml:space="preserve"> </w:t>
            </w:r>
            <w:r w:rsidRPr="00612EED">
              <w:rPr>
                <w:rFonts w:ascii="Book Antiqua" w:hAnsi="Book Antiqua" w:cs="Times New Roman"/>
                <w:sz w:val="24"/>
                <w:szCs w:val="24"/>
              </w:rPr>
              <w:t>176</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181]</w:t>
            </w:r>
            <w:r w:rsidRPr="00612EED">
              <w:rPr>
                <w:rFonts w:ascii="Book Antiqua" w:hAnsi="Book Antiqua" w:cs="Times New Roman"/>
                <w:sz w:val="24"/>
                <w:szCs w:val="24"/>
              </w:rPr>
              <w:t>,</w:t>
            </w:r>
            <w:r w:rsidR="004F2EFF">
              <w:rPr>
                <w:rFonts w:ascii="Book Antiqua" w:hAnsi="Book Antiqua" w:cs="Times New Roman"/>
                <w:sz w:val="24"/>
                <w:szCs w:val="24"/>
              </w:rPr>
              <w:t xml:space="preserve"> </w:t>
            </w:r>
            <w:r w:rsidRPr="00612EED">
              <w:rPr>
                <w:rFonts w:ascii="Book Antiqua" w:hAnsi="Book Antiqua" w:cs="Times New Roman"/>
                <w:sz w:val="24"/>
                <w:szCs w:val="24"/>
              </w:rPr>
              <w:t>88</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182]</w:t>
            </w:r>
          </w:p>
        </w:tc>
      </w:tr>
      <w:tr w:rsidR="00F2207B" w:rsidRPr="00612EED" w:rsidTr="00B6343E">
        <w:tc>
          <w:tcPr>
            <w:tcW w:w="2768"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Ethylene glycol</w:t>
            </w:r>
          </w:p>
          <w:p w:rsidR="00F2207B" w:rsidRPr="00612EED" w:rsidRDefault="00F2207B" w:rsidP="002A048C">
            <w:pPr>
              <w:spacing w:line="360" w:lineRule="auto"/>
              <w:jc w:val="both"/>
              <w:rPr>
                <w:rFonts w:ascii="Book Antiqua" w:hAnsi="Book Antiqua" w:cs="Times New Roman"/>
                <w:sz w:val="24"/>
                <w:szCs w:val="24"/>
              </w:rPr>
            </w:pPr>
          </w:p>
        </w:tc>
        <w:tc>
          <w:tcPr>
            <w:tcW w:w="8752"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29</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190]</w:t>
            </w:r>
            <w:r w:rsidRPr="00612EED">
              <w:rPr>
                <w:rFonts w:ascii="Book Antiqua" w:hAnsi="Book Antiqua" w:cs="Times New Roman"/>
                <w:sz w:val="24"/>
                <w:szCs w:val="24"/>
              </w:rPr>
              <w:t>,</w:t>
            </w:r>
            <w:r w:rsidR="004F2EFF">
              <w:rPr>
                <w:rFonts w:ascii="Book Antiqua" w:hAnsi="Book Antiqua" w:cs="Times New Roman"/>
                <w:sz w:val="24"/>
                <w:szCs w:val="24"/>
              </w:rPr>
              <w:t xml:space="preserve"> </w:t>
            </w:r>
            <w:r w:rsidRPr="00612EED">
              <w:rPr>
                <w:rFonts w:ascii="Book Antiqua" w:hAnsi="Book Antiqua" w:cs="Times New Roman"/>
                <w:sz w:val="24"/>
                <w:szCs w:val="24"/>
              </w:rPr>
              <w:t>10</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195]</w:t>
            </w:r>
          </w:p>
        </w:tc>
      </w:tr>
      <w:tr w:rsidR="00F2207B" w:rsidRPr="00612EED" w:rsidTr="00B6343E">
        <w:tc>
          <w:tcPr>
            <w:tcW w:w="2768"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Methoxyfluorane</w:t>
            </w:r>
          </w:p>
          <w:p w:rsidR="00F2207B" w:rsidRPr="00612EED" w:rsidRDefault="00F2207B" w:rsidP="002A048C">
            <w:pPr>
              <w:spacing w:line="360" w:lineRule="auto"/>
              <w:jc w:val="both"/>
              <w:rPr>
                <w:rFonts w:ascii="Book Antiqua" w:hAnsi="Book Antiqua" w:cs="Times New Roman"/>
                <w:sz w:val="24"/>
                <w:szCs w:val="24"/>
              </w:rPr>
            </w:pPr>
          </w:p>
        </w:tc>
        <w:tc>
          <w:tcPr>
            <w:tcW w:w="8752"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96-480</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205]</w:t>
            </w:r>
          </w:p>
        </w:tc>
      </w:tr>
      <w:tr w:rsidR="00F2207B" w:rsidRPr="00612EED" w:rsidTr="00B6343E">
        <w:tc>
          <w:tcPr>
            <w:tcW w:w="2768"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Idiopathic</w:t>
            </w:r>
          </w:p>
          <w:p w:rsidR="00F2207B" w:rsidRPr="00612EED" w:rsidRDefault="00F2207B" w:rsidP="002A048C">
            <w:pPr>
              <w:spacing w:line="360" w:lineRule="auto"/>
              <w:jc w:val="both"/>
              <w:rPr>
                <w:rFonts w:ascii="Book Antiqua" w:hAnsi="Book Antiqua" w:cs="Times New Roman"/>
                <w:sz w:val="24"/>
                <w:szCs w:val="24"/>
              </w:rPr>
            </w:pPr>
          </w:p>
        </w:tc>
        <w:tc>
          <w:tcPr>
            <w:tcW w:w="8752"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t>&lt;63</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95]</w:t>
            </w:r>
            <w:r w:rsidRPr="00612EED">
              <w:rPr>
                <w:rFonts w:ascii="Book Antiqua" w:hAnsi="Book Antiqua" w:cs="Times New Roman"/>
                <w:sz w:val="24"/>
                <w:szCs w:val="24"/>
              </w:rPr>
              <w:t>,</w:t>
            </w:r>
            <w:r w:rsidR="004F2EFF">
              <w:rPr>
                <w:rFonts w:ascii="Book Antiqua" w:hAnsi="Book Antiqua" w:cs="Times New Roman"/>
                <w:sz w:val="24"/>
                <w:szCs w:val="24"/>
              </w:rPr>
              <w:t xml:space="preserve"> </w:t>
            </w:r>
            <w:r w:rsidRPr="00612EED">
              <w:rPr>
                <w:rFonts w:ascii="Book Antiqua" w:hAnsi="Book Antiqua" w:cs="Times New Roman"/>
                <w:sz w:val="24"/>
                <w:szCs w:val="24"/>
              </w:rPr>
              <w:t>56±15</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39]</w:t>
            </w:r>
            <w:r w:rsidRPr="00612EED">
              <w:rPr>
                <w:rFonts w:ascii="Book Antiqua" w:hAnsi="Book Antiqua" w:cs="Times New Roman"/>
                <w:sz w:val="24"/>
                <w:szCs w:val="24"/>
              </w:rPr>
              <w:t>,</w:t>
            </w:r>
            <w:r w:rsidR="0077323C">
              <w:rPr>
                <w:rFonts w:ascii="Book Antiqua" w:hAnsi="Book Antiqua" w:cs="Times New Roman"/>
                <w:sz w:val="24"/>
                <w:szCs w:val="24"/>
              </w:rPr>
              <w:t xml:space="preserve"> </w:t>
            </w:r>
            <w:r w:rsidRPr="00612EED">
              <w:rPr>
                <w:rFonts w:ascii="Book Antiqua" w:hAnsi="Book Antiqua" w:cs="Times New Roman"/>
                <w:sz w:val="24"/>
                <w:szCs w:val="24"/>
              </w:rPr>
              <w:t>38-50</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206]</w:t>
            </w:r>
            <w:r w:rsidRPr="00612EED">
              <w:rPr>
                <w:rFonts w:ascii="Book Antiqua" w:hAnsi="Book Antiqua" w:cs="Times New Roman"/>
                <w:sz w:val="24"/>
                <w:szCs w:val="24"/>
              </w:rPr>
              <w:t>,</w:t>
            </w:r>
            <w:r w:rsidR="0077323C">
              <w:rPr>
                <w:rFonts w:ascii="Book Antiqua" w:hAnsi="Book Antiqua" w:cs="Times New Roman"/>
                <w:sz w:val="24"/>
                <w:szCs w:val="24"/>
              </w:rPr>
              <w:t xml:space="preserve"> </w:t>
            </w:r>
            <w:r w:rsidRPr="00612EED">
              <w:rPr>
                <w:rFonts w:ascii="Book Antiqua" w:hAnsi="Book Antiqua" w:cs="Times New Roman"/>
                <w:sz w:val="24"/>
                <w:szCs w:val="24"/>
              </w:rPr>
              <w:t>48</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207]</w:t>
            </w:r>
          </w:p>
        </w:tc>
      </w:tr>
      <w:tr w:rsidR="00F2207B" w:rsidRPr="00612EED" w:rsidTr="00B6343E">
        <w:tc>
          <w:tcPr>
            <w:tcW w:w="2768" w:type="dxa"/>
          </w:tcPr>
          <w:p w:rsidR="00F2207B" w:rsidRPr="00612EED" w:rsidRDefault="00F2207B" w:rsidP="002A048C">
            <w:pPr>
              <w:spacing w:line="360" w:lineRule="auto"/>
              <w:jc w:val="both"/>
              <w:rPr>
                <w:rFonts w:ascii="Book Antiqua" w:hAnsi="Book Antiqua" w:cs="Times New Roman"/>
                <w:sz w:val="24"/>
                <w:szCs w:val="24"/>
              </w:rPr>
            </w:pPr>
            <w:r w:rsidRPr="00612EED">
              <w:rPr>
                <w:rFonts w:ascii="Book Antiqua" w:hAnsi="Book Antiqua" w:cs="Times New Roman"/>
                <w:sz w:val="24"/>
                <w:szCs w:val="24"/>
              </w:rPr>
              <w:lastRenderedPageBreak/>
              <w:t>Dietary</w:t>
            </w:r>
          </w:p>
          <w:p w:rsidR="00F2207B" w:rsidRPr="00612EED" w:rsidRDefault="00F2207B" w:rsidP="002A048C">
            <w:pPr>
              <w:spacing w:line="360" w:lineRule="auto"/>
              <w:jc w:val="both"/>
              <w:rPr>
                <w:rFonts w:ascii="Book Antiqua" w:hAnsi="Book Antiqua" w:cs="Times New Roman"/>
                <w:sz w:val="24"/>
                <w:szCs w:val="24"/>
              </w:rPr>
            </w:pPr>
          </w:p>
        </w:tc>
        <w:tc>
          <w:tcPr>
            <w:tcW w:w="8752" w:type="dxa"/>
          </w:tcPr>
          <w:p w:rsidR="00F2207B" w:rsidRPr="00612EED" w:rsidRDefault="00F2207B" w:rsidP="00E67941">
            <w:pPr>
              <w:spacing w:line="360" w:lineRule="auto"/>
              <w:jc w:val="both"/>
              <w:rPr>
                <w:rFonts w:ascii="Book Antiqua" w:hAnsi="Book Antiqua" w:cs="Times New Roman"/>
                <w:sz w:val="24"/>
                <w:szCs w:val="24"/>
              </w:rPr>
            </w:pPr>
            <w:r w:rsidRPr="00612EED">
              <w:rPr>
                <w:rFonts w:ascii="Book Antiqua" w:hAnsi="Book Antiqua" w:cs="Times New Roman"/>
                <w:sz w:val="24"/>
                <w:szCs w:val="24"/>
              </w:rPr>
              <w:t>&lt;54</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95]</w:t>
            </w:r>
            <w:r w:rsidRPr="00612EED">
              <w:rPr>
                <w:rFonts w:ascii="Book Antiqua" w:hAnsi="Book Antiqua" w:cs="Times New Roman"/>
                <w:sz w:val="24"/>
                <w:szCs w:val="24"/>
              </w:rPr>
              <w:t>,</w:t>
            </w:r>
            <w:r w:rsidR="0077323C">
              <w:rPr>
                <w:rFonts w:ascii="Book Antiqua" w:hAnsi="Book Antiqua" w:cs="Times New Roman"/>
                <w:sz w:val="24"/>
                <w:szCs w:val="24"/>
              </w:rPr>
              <w:t xml:space="preserve"> </w:t>
            </w:r>
            <w:r w:rsidRPr="00612EED">
              <w:rPr>
                <w:rFonts w:ascii="Book Antiqua" w:hAnsi="Book Antiqua" w:cs="Times New Roman"/>
                <w:sz w:val="24"/>
                <w:szCs w:val="24"/>
              </w:rPr>
              <w:t>16.6</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150]</w:t>
            </w:r>
            <w:r w:rsidRPr="00612EED">
              <w:rPr>
                <w:rFonts w:ascii="Book Antiqua" w:hAnsi="Book Antiqua" w:cs="Times New Roman"/>
                <w:sz w:val="24"/>
                <w:szCs w:val="24"/>
              </w:rPr>
              <w:t>,</w:t>
            </w:r>
            <w:r w:rsidR="004F2EFF">
              <w:rPr>
                <w:rFonts w:ascii="Book Antiqua" w:hAnsi="Book Antiqua" w:cs="Times New Roman"/>
                <w:sz w:val="24"/>
                <w:szCs w:val="24"/>
              </w:rPr>
              <w:t xml:space="preserve"> </w:t>
            </w:r>
            <w:r w:rsidRPr="00612EED">
              <w:rPr>
                <w:rFonts w:ascii="Book Antiqua" w:hAnsi="Book Antiqua" w:cs="Times New Roman"/>
                <w:sz w:val="24"/>
                <w:szCs w:val="24"/>
              </w:rPr>
              <w:t>34.2</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151]</w:t>
            </w:r>
            <w:r w:rsidRPr="00612EED">
              <w:rPr>
                <w:rFonts w:ascii="Book Antiqua" w:hAnsi="Book Antiqua" w:cs="Times New Roman"/>
                <w:sz w:val="24"/>
                <w:szCs w:val="24"/>
              </w:rPr>
              <w:t>,</w:t>
            </w:r>
            <w:r w:rsidR="004F2EFF">
              <w:rPr>
                <w:rFonts w:ascii="Book Antiqua" w:hAnsi="Book Antiqua" w:cs="Times New Roman"/>
                <w:sz w:val="24"/>
                <w:szCs w:val="24"/>
              </w:rPr>
              <w:t xml:space="preserve"> </w:t>
            </w:r>
            <w:r w:rsidRPr="00612EED">
              <w:rPr>
                <w:rFonts w:ascii="Book Antiqua" w:hAnsi="Book Antiqua" w:cs="Times New Roman"/>
                <w:sz w:val="24"/>
                <w:szCs w:val="24"/>
              </w:rPr>
              <w:t>60</w:t>
            </w:r>
            <w:r w:rsidR="0089344C" w:rsidRPr="0089344C">
              <w:rPr>
                <w:rFonts w:ascii="Book Antiqua" w:hAnsi="Book Antiqua" w:cs="Times New Roman"/>
                <w:sz w:val="24"/>
                <w:szCs w:val="24"/>
                <w:vertAlign w:val="superscript"/>
              </w:rPr>
              <w:t>[</w:t>
            </w:r>
            <w:r w:rsidRPr="00612EED">
              <w:rPr>
                <w:rFonts w:ascii="Book Antiqua" w:hAnsi="Book Antiqua" w:cs="Times New Roman"/>
                <w:sz w:val="24"/>
                <w:szCs w:val="24"/>
                <w:vertAlign w:val="superscript"/>
              </w:rPr>
              <w:t>153]</w:t>
            </w:r>
          </w:p>
        </w:tc>
      </w:tr>
    </w:tbl>
    <w:p w:rsidR="00F2207B" w:rsidRPr="00612EED" w:rsidRDefault="00F2207B" w:rsidP="002A048C">
      <w:pPr>
        <w:spacing w:after="0" w:line="360" w:lineRule="auto"/>
        <w:jc w:val="both"/>
        <w:rPr>
          <w:rFonts w:ascii="Book Antiqua" w:hAnsi="Book Antiqua" w:cs="Times New Roman"/>
          <w:sz w:val="24"/>
          <w:szCs w:val="24"/>
        </w:rPr>
      </w:pPr>
    </w:p>
    <w:p w:rsidR="00F2207B" w:rsidRPr="00612EED" w:rsidRDefault="00F2207B" w:rsidP="002A048C">
      <w:pPr>
        <w:spacing w:after="0" w:line="360" w:lineRule="auto"/>
        <w:jc w:val="both"/>
        <w:rPr>
          <w:rFonts w:ascii="Book Antiqua" w:hAnsi="Book Antiqua" w:cs="Times New Roman"/>
          <w:sz w:val="24"/>
          <w:szCs w:val="24"/>
        </w:rPr>
      </w:pPr>
      <w:r w:rsidRPr="00612EED">
        <w:rPr>
          <w:rFonts w:ascii="Book Antiqua" w:hAnsi="Book Antiqua" w:cs="Times New Roman"/>
          <w:sz w:val="24"/>
          <w:szCs w:val="24"/>
        </w:rPr>
        <w:t>Oxalate excretion is presented as a single number representing the mean or median of the study (not specified in several studies), range (interquartile range in reference 120), or mean ± standard deviation.</w:t>
      </w:r>
      <w:r w:rsidR="0077323C">
        <w:rPr>
          <w:rFonts w:ascii="Book Antiqua" w:hAnsi="Book Antiqua" w:cs="Times New Roman"/>
          <w:sz w:val="24"/>
          <w:szCs w:val="24"/>
        </w:rPr>
        <w:t xml:space="preserve"> </w:t>
      </w:r>
      <w:r w:rsidRPr="00612EED">
        <w:rPr>
          <w:rFonts w:ascii="Book Antiqua" w:hAnsi="Book Antiqua" w:cs="Times New Roman"/>
          <w:sz w:val="24"/>
          <w:szCs w:val="24"/>
        </w:rPr>
        <w:t xml:space="preserve">For patients with two or more sequential measurements of urinary oxalate excretion rate, the Table reports the highest oxalate excretion. </w:t>
      </w:r>
      <w:r w:rsidR="00E67941">
        <w:rPr>
          <w:rFonts w:ascii="Book Antiqua" w:hAnsi="Book Antiqua" w:cs="Times New Roman" w:hint="eastAsia"/>
          <w:sz w:val="24"/>
          <w:szCs w:val="24"/>
          <w:vertAlign w:val="superscript"/>
          <w:lang w:eastAsia="zh-CN"/>
        </w:rPr>
        <w:t>1</w:t>
      </w:r>
      <w:r w:rsidRPr="00612EED">
        <w:rPr>
          <w:rFonts w:ascii="Book Antiqua" w:hAnsi="Book Antiqua" w:cs="Times New Roman"/>
          <w:sz w:val="24"/>
          <w:szCs w:val="24"/>
        </w:rPr>
        <w:t>Pediatric values.</w:t>
      </w:r>
      <w:r w:rsidR="0077323C">
        <w:rPr>
          <w:rFonts w:ascii="Book Antiqua" w:hAnsi="Book Antiqua" w:cs="Times New Roman"/>
          <w:sz w:val="24"/>
          <w:szCs w:val="24"/>
        </w:rPr>
        <w:t xml:space="preserve"> </w:t>
      </w:r>
      <w:r w:rsidRPr="00612EED">
        <w:rPr>
          <w:rFonts w:ascii="Book Antiqua" w:hAnsi="Book Antiqua" w:cs="Times New Roman"/>
          <w:sz w:val="24"/>
          <w:szCs w:val="24"/>
        </w:rPr>
        <w:t>PH1: Primary hyperoxaluria, type 1</w:t>
      </w:r>
      <w:r w:rsidR="00E67941">
        <w:rPr>
          <w:rFonts w:ascii="Book Antiqua" w:hAnsi="Book Antiqua" w:cs="Times New Roman" w:hint="eastAsia"/>
          <w:sz w:val="24"/>
          <w:szCs w:val="24"/>
          <w:lang w:eastAsia="zh-CN"/>
        </w:rPr>
        <w:t>;</w:t>
      </w:r>
      <w:r w:rsidR="0077323C">
        <w:rPr>
          <w:rFonts w:ascii="Book Antiqua" w:hAnsi="Book Antiqua" w:cs="Times New Roman"/>
          <w:sz w:val="24"/>
          <w:szCs w:val="24"/>
        </w:rPr>
        <w:t xml:space="preserve"> </w:t>
      </w:r>
      <w:r w:rsidRPr="00612EED">
        <w:rPr>
          <w:rFonts w:ascii="Book Antiqua" w:hAnsi="Book Antiqua" w:cs="Times New Roman"/>
          <w:sz w:val="24"/>
          <w:szCs w:val="24"/>
        </w:rPr>
        <w:t>PH2:</w:t>
      </w:r>
      <w:r w:rsidR="0077323C">
        <w:rPr>
          <w:rFonts w:ascii="Book Antiqua" w:hAnsi="Book Antiqua" w:cs="Times New Roman"/>
          <w:sz w:val="24"/>
          <w:szCs w:val="24"/>
        </w:rPr>
        <w:t xml:space="preserve"> </w:t>
      </w:r>
      <w:r w:rsidRPr="00612EED">
        <w:rPr>
          <w:rFonts w:ascii="Book Antiqua" w:hAnsi="Book Antiqua" w:cs="Times New Roman"/>
          <w:sz w:val="24"/>
          <w:szCs w:val="24"/>
        </w:rPr>
        <w:t>Primary hyperoxaluria type 2</w:t>
      </w:r>
      <w:r w:rsidR="00E67941">
        <w:rPr>
          <w:rFonts w:ascii="Book Antiqua" w:hAnsi="Book Antiqua" w:cs="Times New Roman" w:hint="eastAsia"/>
          <w:sz w:val="24"/>
          <w:szCs w:val="24"/>
          <w:lang w:eastAsia="zh-CN"/>
        </w:rPr>
        <w:t>;</w:t>
      </w:r>
      <w:r w:rsidR="0077323C">
        <w:rPr>
          <w:rFonts w:ascii="Book Antiqua" w:hAnsi="Book Antiqua" w:cs="Times New Roman"/>
          <w:sz w:val="24"/>
          <w:szCs w:val="24"/>
        </w:rPr>
        <w:t xml:space="preserve"> </w:t>
      </w:r>
      <w:r w:rsidRPr="00612EED">
        <w:rPr>
          <w:rFonts w:ascii="Book Antiqua" w:hAnsi="Book Antiqua" w:cs="Times New Roman"/>
          <w:sz w:val="24"/>
          <w:szCs w:val="24"/>
        </w:rPr>
        <w:t>PH3:</w:t>
      </w:r>
      <w:r w:rsidR="0077323C">
        <w:rPr>
          <w:rFonts w:ascii="Book Antiqua" w:hAnsi="Book Antiqua" w:cs="Times New Roman"/>
          <w:sz w:val="24"/>
          <w:szCs w:val="24"/>
        </w:rPr>
        <w:t xml:space="preserve"> </w:t>
      </w:r>
      <w:r w:rsidRPr="00612EED">
        <w:rPr>
          <w:rFonts w:ascii="Book Antiqua" w:hAnsi="Book Antiqua" w:cs="Times New Roman"/>
          <w:sz w:val="24"/>
          <w:szCs w:val="24"/>
        </w:rPr>
        <w:t>Primary hyperoxaluria type 3.</w:t>
      </w:r>
      <w:r w:rsidR="0077323C">
        <w:rPr>
          <w:rFonts w:ascii="Book Antiqua" w:hAnsi="Book Antiqua" w:cs="Times New Roman"/>
          <w:sz w:val="24"/>
          <w:szCs w:val="24"/>
        </w:rPr>
        <w:t xml:space="preserve"> </w:t>
      </w:r>
    </w:p>
    <w:p w:rsidR="00F2207B" w:rsidRPr="00612EED" w:rsidRDefault="00F2207B" w:rsidP="002A048C">
      <w:pPr>
        <w:spacing w:after="0" w:line="360" w:lineRule="auto"/>
        <w:jc w:val="both"/>
        <w:rPr>
          <w:rFonts w:ascii="Book Antiqua" w:hAnsi="Book Antiqua" w:cs="Times New Roman"/>
          <w:sz w:val="24"/>
          <w:szCs w:val="24"/>
        </w:rPr>
      </w:pPr>
    </w:p>
    <w:p w:rsidR="00CC24F2" w:rsidRPr="00612EED" w:rsidRDefault="00CC24F2" w:rsidP="002A048C">
      <w:pPr>
        <w:spacing w:after="0" w:line="360" w:lineRule="auto"/>
        <w:jc w:val="both"/>
        <w:rPr>
          <w:rFonts w:ascii="Book Antiqua" w:hAnsi="Book Antiqua" w:cs="Times New Roman"/>
          <w:sz w:val="24"/>
          <w:szCs w:val="24"/>
        </w:rPr>
      </w:pPr>
    </w:p>
    <w:sectPr w:rsidR="00CC24F2" w:rsidRPr="00612EE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BF0" w:rsidRDefault="00DF4BF0" w:rsidP="001851DC">
      <w:pPr>
        <w:spacing w:after="0" w:line="240" w:lineRule="auto"/>
      </w:pPr>
      <w:r>
        <w:separator/>
      </w:r>
    </w:p>
  </w:endnote>
  <w:endnote w:type="continuationSeparator" w:id="0">
    <w:p w:rsidR="00DF4BF0" w:rsidRDefault="00DF4BF0" w:rsidP="0018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41890"/>
      <w:docPartObj>
        <w:docPartGallery w:val="Page Numbers (Bottom of Page)"/>
        <w:docPartUnique/>
      </w:docPartObj>
    </w:sdtPr>
    <w:sdtEndPr>
      <w:rPr>
        <w:noProof/>
      </w:rPr>
    </w:sdtEndPr>
    <w:sdtContent>
      <w:p w:rsidR="008F0BB5" w:rsidRDefault="008F0BB5">
        <w:pPr>
          <w:pStyle w:val="a4"/>
          <w:jc w:val="center"/>
        </w:pPr>
        <w:r>
          <w:fldChar w:fldCharType="begin"/>
        </w:r>
        <w:r>
          <w:instrText xml:space="preserve"> PAGE   \* MERGEFORMAT </w:instrText>
        </w:r>
        <w:r>
          <w:fldChar w:fldCharType="separate"/>
        </w:r>
        <w:r w:rsidR="007872F8">
          <w:rPr>
            <w:noProof/>
          </w:rPr>
          <w:t>64</w:t>
        </w:r>
        <w:r>
          <w:rPr>
            <w:noProof/>
          </w:rPr>
          <w:fldChar w:fldCharType="end"/>
        </w:r>
      </w:p>
    </w:sdtContent>
  </w:sdt>
  <w:p w:rsidR="008F0BB5" w:rsidRDefault="008F0B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BF0" w:rsidRDefault="00DF4BF0" w:rsidP="001851DC">
      <w:pPr>
        <w:spacing w:after="0" w:line="240" w:lineRule="auto"/>
      </w:pPr>
      <w:r>
        <w:separator/>
      </w:r>
    </w:p>
  </w:footnote>
  <w:footnote w:type="continuationSeparator" w:id="0">
    <w:p w:rsidR="00DF4BF0" w:rsidRDefault="00DF4BF0" w:rsidP="00185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AEC"/>
    <w:multiLevelType w:val="hybridMultilevel"/>
    <w:tmpl w:val="D4CACFEA"/>
    <w:lvl w:ilvl="0" w:tplc="E96683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1156B"/>
    <w:multiLevelType w:val="hybridMultilevel"/>
    <w:tmpl w:val="D4CACFEA"/>
    <w:lvl w:ilvl="0" w:tplc="E9668318">
      <w:start w:val="1"/>
      <w:numFmt w:val="decimal"/>
      <w:lvlText w:val="%1."/>
      <w:lvlJc w:val="left"/>
      <w:pPr>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229CF"/>
    <w:multiLevelType w:val="hybridMultilevel"/>
    <w:tmpl w:val="0D1C42FC"/>
    <w:lvl w:ilvl="0" w:tplc="88E2D788">
      <w:start w:val="3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E5747"/>
    <w:multiLevelType w:val="hybridMultilevel"/>
    <w:tmpl w:val="5C9667C6"/>
    <w:lvl w:ilvl="0" w:tplc="ABEE7560">
      <w:start w:val="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42182"/>
    <w:multiLevelType w:val="multilevel"/>
    <w:tmpl w:val="546640E8"/>
    <w:lvl w:ilvl="0">
      <w:start w:val="80"/>
      <w:numFmt w:val="decimal"/>
      <w:lvlText w:val="%1"/>
      <w:lvlJc w:val="left"/>
      <w:pPr>
        <w:ind w:left="675" w:hanging="675"/>
      </w:pPr>
      <w:rPr>
        <w:rFonts w:hint="default"/>
      </w:rPr>
    </w:lvl>
    <w:lvl w:ilvl="1">
      <w:start w:val="19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CF"/>
    <w:rsid w:val="00002951"/>
    <w:rsid w:val="00007DDC"/>
    <w:rsid w:val="00012F48"/>
    <w:rsid w:val="000150AB"/>
    <w:rsid w:val="00017E0F"/>
    <w:rsid w:val="00025C99"/>
    <w:rsid w:val="00030DD2"/>
    <w:rsid w:val="000323A2"/>
    <w:rsid w:val="000332B2"/>
    <w:rsid w:val="00037AE6"/>
    <w:rsid w:val="00051360"/>
    <w:rsid w:val="00055716"/>
    <w:rsid w:val="00060B27"/>
    <w:rsid w:val="00060FAD"/>
    <w:rsid w:val="00065CAF"/>
    <w:rsid w:val="0006642D"/>
    <w:rsid w:val="00067972"/>
    <w:rsid w:val="0007321D"/>
    <w:rsid w:val="00077E05"/>
    <w:rsid w:val="00077FC8"/>
    <w:rsid w:val="00082350"/>
    <w:rsid w:val="00083D59"/>
    <w:rsid w:val="00084026"/>
    <w:rsid w:val="000901D6"/>
    <w:rsid w:val="0009355D"/>
    <w:rsid w:val="000A04BB"/>
    <w:rsid w:val="000A1574"/>
    <w:rsid w:val="000A2B9A"/>
    <w:rsid w:val="000A5878"/>
    <w:rsid w:val="000B03BC"/>
    <w:rsid w:val="000B0536"/>
    <w:rsid w:val="000B391E"/>
    <w:rsid w:val="000B4113"/>
    <w:rsid w:val="000B7C87"/>
    <w:rsid w:val="000B7DB6"/>
    <w:rsid w:val="000C1AD1"/>
    <w:rsid w:val="000C71A9"/>
    <w:rsid w:val="000D0793"/>
    <w:rsid w:val="000D1657"/>
    <w:rsid w:val="000D6AF9"/>
    <w:rsid w:val="000F0F98"/>
    <w:rsid w:val="000F442E"/>
    <w:rsid w:val="000F4BAF"/>
    <w:rsid w:val="000F56BA"/>
    <w:rsid w:val="00103B7F"/>
    <w:rsid w:val="00104347"/>
    <w:rsid w:val="00125BC9"/>
    <w:rsid w:val="00126ACE"/>
    <w:rsid w:val="001345B2"/>
    <w:rsid w:val="001366D1"/>
    <w:rsid w:val="0014248E"/>
    <w:rsid w:val="00146F2D"/>
    <w:rsid w:val="001507BD"/>
    <w:rsid w:val="00160EB2"/>
    <w:rsid w:val="00162026"/>
    <w:rsid w:val="001655D5"/>
    <w:rsid w:val="00167561"/>
    <w:rsid w:val="001720C0"/>
    <w:rsid w:val="0017219D"/>
    <w:rsid w:val="00173973"/>
    <w:rsid w:val="0017461D"/>
    <w:rsid w:val="00177B16"/>
    <w:rsid w:val="00180F0F"/>
    <w:rsid w:val="001849D5"/>
    <w:rsid w:val="001851DC"/>
    <w:rsid w:val="00186517"/>
    <w:rsid w:val="00186B0A"/>
    <w:rsid w:val="0019036D"/>
    <w:rsid w:val="001917C2"/>
    <w:rsid w:val="0019462E"/>
    <w:rsid w:val="001A15B1"/>
    <w:rsid w:val="001A4797"/>
    <w:rsid w:val="001A6775"/>
    <w:rsid w:val="001B1930"/>
    <w:rsid w:val="001B28A2"/>
    <w:rsid w:val="001B5C59"/>
    <w:rsid w:val="001C0EC0"/>
    <w:rsid w:val="001D279C"/>
    <w:rsid w:val="001D3EAA"/>
    <w:rsid w:val="001E3774"/>
    <w:rsid w:val="001E7DF9"/>
    <w:rsid w:val="001F00D6"/>
    <w:rsid w:val="001F34BB"/>
    <w:rsid w:val="001F3B5B"/>
    <w:rsid w:val="001F523F"/>
    <w:rsid w:val="001F57A8"/>
    <w:rsid w:val="001F77AF"/>
    <w:rsid w:val="0021291F"/>
    <w:rsid w:val="00212C59"/>
    <w:rsid w:val="00216DC7"/>
    <w:rsid w:val="00217517"/>
    <w:rsid w:val="002209B7"/>
    <w:rsid w:val="00221201"/>
    <w:rsid w:val="002264D9"/>
    <w:rsid w:val="00227A2A"/>
    <w:rsid w:val="00227AC8"/>
    <w:rsid w:val="00230E44"/>
    <w:rsid w:val="002313CC"/>
    <w:rsid w:val="0024115B"/>
    <w:rsid w:val="002417E2"/>
    <w:rsid w:val="00251B9F"/>
    <w:rsid w:val="00253023"/>
    <w:rsid w:val="00255B7A"/>
    <w:rsid w:val="0025733C"/>
    <w:rsid w:val="00270C2B"/>
    <w:rsid w:val="00270D53"/>
    <w:rsid w:val="0027360A"/>
    <w:rsid w:val="00276328"/>
    <w:rsid w:val="00287E96"/>
    <w:rsid w:val="00292256"/>
    <w:rsid w:val="002A01E7"/>
    <w:rsid w:val="002A048C"/>
    <w:rsid w:val="002A1EBC"/>
    <w:rsid w:val="002A6C0D"/>
    <w:rsid w:val="002B4D27"/>
    <w:rsid w:val="002B577D"/>
    <w:rsid w:val="002C3BF0"/>
    <w:rsid w:val="002D737B"/>
    <w:rsid w:val="002E51B5"/>
    <w:rsid w:val="002F0E35"/>
    <w:rsid w:val="002F3D90"/>
    <w:rsid w:val="0030544E"/>
    <w:rsid w:val="003130E9"/>
    <w:rsid w:val="003148DB"/>
    <w:rsid w:val="00323899"/>
    <w:rsid w:val="00327D77"/>
    <w:rsid w:val="00336DCB"/>
    <w:rsid w:val="00336FCF"/>
    <w:rsid w:val="00342C08"/>
    <w:rsid w:val="00344151"/>
    <w:rsid w:val="00351848"/>
    <w:rsid w:val="00352913"/>
    <w:rsid w:val="0035340E"/>
    <w:rsid w:val="00353B8D"/>
    <w:rsid w:val="00356189"/>
    <w:rsid w:val="00356804"/>
    <w:rsid w:val="00357DB5"/>
    <w:rsid w:val="00360143"/>
    <w:rsid w:val="00362E69"/>
    <w:rsid w:val="0037500E"/>
    <w:rsid w:val="0037793E"/>
    <w:rsid w:val="00381363"/>
    <w:rsid w:val="0038451A"/>
    <w:rsid w:val="003A23C7"/>
    <w:rsid w:val="003A4AEC"/>
    <w:rsid w:val="003A6321"/>
    <w:rsid w:val="003B2500"/>
    <w:rsid w:val="003B2BC9"/>
    <w:rsid w:val="003C015B"/>
    <w:rsid w:val="003D1716"/>
    <w:rsid w:val="003D2A61"/>
    <w:rsid w:val="003D42A7"/>
    <w:rsid w:val="003D451B"/>
    <w:rsid w:val="003D6CA5"/>
    <w:rsid w:val="003E6362"/>
    <w:rsid w:val="003E7F2A"/>
    <w:rsid w:val="003F1506"/>
    <w:rsid w:val="00404607"/>
    <w:rsid w:val="004062C9"/>
    <w:rsid w:val="0042016C"/>
    <w:rsid w:val="00420ACB"/>
    <w:rsid w:val="00426F0F"/>
    <w:rsid w:val="00431B13"/>
    <w:rsid w:val="00432726"/>
    <w:rsid w:val="004330E6"/>
    <w:rsid w:val="00435B61"/>
    <w:rsid w:val="0043670D"/>
    <w:rsid w:val="00437775"/>
    <w:rsid w:val="004408AE"/>
    <w:rsid w:val="00442D78"/>
    <w:rsid w:val="00442EEF"/>
    <w:rsid w:val="00443C44"/>
    <w:rsid w:val="00455F79"/>
    <w:rsid w:val="00456191"/>
    <w:rsid w:val="00460259"/>
    <w:rsid w:val="00460280"/>
    <w:rsid w:val="0046119F"/>
    <w:rsid w:val="00463F28"/>
    <w:rsid w:val="00464B6B"/>
    <w:rsid w:val="00464B9A"/>
    <w:rsid w:val="00470432"/>
    <w:rsid w:val="00473FC7"/>
    <w:rsid w:val="00474068"/>
    <w:rsid w:val="00477E65"/>
    <w:rsid w:val="00482A44"/>
    <w:rsid w:val="004836AA"/>
    <w:rsid w:val="0048371A"/>
    <w:rsid w:val="00485F21"/>
    <w:rsid w:val="004939BE"/>
    <w:rsid w:val="004A1CC0"/>
    <w:rsid w:val="004A2B11"/>
    <w:rsid w:val="004A37B2"/>
    <w:rsid w:val="004A4A27"/>
    <w:rsid w:val="004C1234"/>
    <w:rsid w:val="004C177B"/>
    <w:rsid w:val="004C7699"/>
    <w:rsid w:val="004D346C"/>
    <w:rsid w:val="004E72D0"/>
    <w:rsid w:val="004F1326"/>
    <w:rsid w:val="004F1CB9"/>
    <w:rsid w:val="004F2EFF"/>
    <w:rsid w:val="00502960"/>
    <w:rsid w:val="00502ED2"/>
    <w:rsid w:val="005116EA"/>
    <w:rsid w:val="00511BBD"/>
    <w:rsid w:val="005132F6"/>
    <w:rsid w:val="00513FE8"/>
    <w:rsid w:val="00520743"/>
    <w:rsid w:val="00532375"/>
    <w:rsid w:val="005329F5"/>
    <w:rsid w:val="0053344F"/>
    <w:rsid w:val="00535AEC"/>
    <w:rsid w:val="00540025"/>
    <w:rsid w:val="0054302E"/>
    <w:rsid w:val="0054461F"/>
    <w:rsid w:val="00547EC3"/>
    <w:rsid w:val="00551101"/>
    <w:rsid w:val="005515F8"/>
    <w:rsid w:val="00560745"/>
    <w:rsid w:val="005630A9"/>
    <w:rsid w:val="0056447F"/>
    <w:rsid w:val="005647FC"/>
    <w:rsid w:val="00565818"/>
    <w:rsid w:val="0056664B"/>
    <w:rsid w:val="00572D86"/>
    <w:rsid w:val="00577347"/>
    <w:rsid w:val="005807D1"/>
    <w:rsid w:val="00580A84"/>
    <w:rsid w:val="0058238F"/>
    <w:rsid w:val="00590208"/>
    <w:rsid w:val="00592049"/>
    <w:rsid w:val="00596B09"/>
    <w:rsid w:val="005A1B1E"/>
    <w:rsid w:val="005A42B9"/>
    <w:rsid w:val="005A64E0"/>
    <w:rsid w:val="005A7F6C"/>
    <w:rsid w:val="005B0321"/>
    <w:rsid w:val="005B1955"/>
    <w:rsid w:val="005B246F"/>
    <w:rsid w:val="005B29DE"/>
    <w:rsid w:val="005B3FFC"/>
    <w:rsid w:val="005C2243"/>
    <w:rsid w:val="005C317C"/>
    <w:rsid w:val="005C4F97"/>
    <w:rsid w:val="005E070D"/>
    <w:rsid w:val="005E1F21"/>
    <w:rsid w:val="005E2927"/>
    <w:rsid w:val="005E3E41"/>
    <w:rsid w:val="005F0AF8"/>
    <w:rsid w:val="005F0CEE"/>
    <w:rsid w:val="005F72D0"/>
    <w:rsid w:val="006011D6"/>
    <w:rsid w:val="0061072A"/>
    <w:rsid w:val="0061221D"/>
    <w:rsid w:val="00612395"/>
    <w:rsid w:val="00612EED"/>
    <w:rsid w:val="006136CD"/>
    <w:rsid w:val="00616CCF"/>
    <w:rsid w:val="00616F7E"/>
    <w:rsid w:val="00624A21"/>
    <w:rsid w:val="00627474"/>
    <w:rsid w:val="00627950"/>
    <w:rsid w:val="0063295E"/>
    <w:rsid w:val="00633981"/>
    <w:rsid w:val="006340D1"/>
    <w:rsid w:val="00634AE4"/>
    <w:rsid w:val="006355ED"/>
    <w:rsid w:val="00643F94"/>
    <w:rsid w:val="00644068"/>
    <w:rsid w:val="00652783"/>
    <w:rsid w:val="00660E62"/>
    <w:rsid w:val="0066125A"/>
    <w:rsid w:val="006626CB"/>
    <w:rsid w:val="006649E9"/>
    <w:rsid w:val="00672241"/>
    <w:rsid w:val="00672C6D"/>
    <w:rsid w:val="0067439A"/>
    <w:rsid w:val="0068144D"/>
    <w:rsid w:val="00692D5E"/>
    <w:rsid w:val="0069323F"/>
    <w:rsid w:val="00695851"/>
    <w:rsid w:val="0069770A"/>
    <w:rsid w:val="006A22A6"/>
    <w:rsid w:val="006A41B2"/>
    <w:rsid w:val="006C4831"/>
    <w:rsid w:val="006C644A"/>
    <w:rsid w:val="006C69D6"/>
    <w:rsid w:val="006D0146"/>
    <w:rsid w:val="006D08DF"/>
    <w:rsid w:val="006D4560"/>
    <w:rsid w:val="006E0B32"/>
    <w:rsid w:val="006E1977"/>
    <w:rsid w:val="006E5D91"/>
    <w:rsid w:val="006F2955"/>
    <w:rsid w:val="006F5FE8"/>
    <w:rsid w:val="006F68A7"/>
    <w:rsid w:val="00707569"/>
    <w:rsid w:val="00711D0E"/>
    <w:rsid w:val="007123D2"/>
    <w:rsid w:val="0071307F"/>
    <w:rsid w:val="007160E4"/>
    <w:rsid w:val="007213BC"/>
    <w:rsid w:val="00723484"/>
    <w:rsid w:val="00726DEB"/>
    <w:rsid w:val="0073138B"/>
    <w:rsid w:val="00732C63"/>
    <w:rsid w:val="00733D01"/>
    <w:rsid w:val="00734E1C"/>
    <w:rsid w:val="00737512"/>
    <w:rsid w:val="00740E30"/>
    <w:rsid w:val="007417FB"/>
    <w:rsid w:val="00741F03"/>
    <w:rsid w:val="0074578B"/>
    <w:rsid w:val="00747592"/>
    <w:rsid w:val="007519E4"/>
    <w:rsid w:val="00754D32"/>
    <w:rsid w:val="00755A15"/>
    <w:rsid w:val="007617E2"/>
    <w:rsid w:val="00770110"/>
    <w:rsid w:val="0077323C"/>
    <w:rsid w:val="007754A7"/>
    <w:rsid w:val="0077681D"/>
    <w:rsid w:val="00777D45"/>
    <w:rsid w:val="00781E02"/>
    <w:rsid w:val="0078392C"/>
    <w:rsid w:val="00784228"/>
    <w:rsid w:val="007872F8"/>
    <w:rsid w:val="007927A9"/>
    <w:rsid w:val="00792E3B"/>
    <w:rsid w:val="00793448"/>
    <w:rsid w:val="007949ED"/>
    <w:rsid w:val="007A4390"/>
    <w:rsid w:val="007A4CBC"/>
    <w:rsid w:val="007A70A6"/>
    <w:rsid w:val="007B171A"/>
    <w:rsid w:val="007B26F3"/>
    <w:rsid w:val="007B4513"/>
    <w:rsid w:val="007C0458"/>
    <w:rsid w:val="007C11E5"/>
    <w:rsid w:val="007C120B"/>
    <w:rsid w:val="007D02D9"/>
    <w:rsid w:val="007D26C8"/>
    <w:rsid w:val="007D7798"/>
    <w:rsid w:val="007E0F88"/>
    <w:rsid w:val="007E4F21"/>
    <w:rsid w:val="007E694D"/>
    <w:rsid w:val="007F2AB0"/>
    <w:rsid w:val="007F2F47"/>
    <w:rsid w:val="007F68DE"/>
    <w:rsid w:val="00800029"/>
    <w:rsid w:val="0080146A"/>
    <w:rsid w:val="00801AAF"/>
    <w:rsid w:val="008119AF"/>
    <w:rsid w:val="00820AB0"/>
    <w:rsid w:val="00821306"/>
    <w:rsid w:val="008225E1"/>
    <w:rsid w:val="00832CC8"/>
    <w:rsid w:val="00833E82"/>
    <w:rsid w:val="00834318"/>
    <w:rsid w:val="00837B50"/>
    <w:rsid w:val="00837EF8"/>
    <w:rsid w:val="00845156"/>
    <w:rsid w:val="008508C2"/>
    <w:rsid w:val="008527F3"/>
    <w:rsid w:val="00855A8A"/>
    <w:rsid w:val="0086030B"/>
    <w:rsid w:val="0086100D"/>
    <w:rsid w:val="00862F4C"/>
    <w:rsid w:val="008633AE"/>
    <w:rsid w:val="0087172A"/>
    <w:rsid w:val="008742FA"/>
    <w:rsid w:val="008827D0"/>
    <w:rsid w:val="00885DD7"/>
    <w:rsid w:val="008866F8"/>
    <w:rsid w:val="00887037"/>
    <w:rsid w:val="0088778F"/>
    <w:rsid w:val="00890DD7"/>
    <w:rsid w:val="0089344C"/>
    <w:rsid w:val="008A053D"/>
    <w:rsid w:val="008A3C69"/>
    <w:rsid w:val="008B0C14"/>
    <w:rsid w:val="008B1E1C"/>
    <w:rsid w:val="008B674D"/>
    <w:rsid w:val="008C0DBC"/>
    <w:rsid w:val="008C504D"/>
    <w:rsid w:val="008C78AA"/>
    <w:rsid w:val="008D45B0"/>
    <w:rsid w:val="008D6302"/>
    <w:rsid w:val="008E0D3F"/>
    <w:rsid w:val="008E13A1"/>
    <w:rsid w:val="008E6C4B"/>
    <w:rsid w:val="008E7C01"/>
    <w:rsid w:val="008F0BB5"/>
    <w:rsid w:val="008F362B"/>
    <w:rsid w:val="008F54D2"/>
    <w:rsid w:val="008F5DE8"/>
    <w:rsid w:val="008F6A40"/>
    <w:rsid w:val="00902345"/>
    <w:rsid w:val="00912AB6"/>
    <w:rsid w:val="00913B2E"/>
    <w:rsid w:val="0091409A"/>
    <w:rsid w:val="00917786"/>
    <w:rsid w:val="0092042F"/>
    <w:rsid w:val="009208C4"/>
    <w:rsid w:val="009305CD"/>
    <w:rsid w:val="00930B38"/>
    <w:rsid w:val="00931D12"/>
    <w:rsid w:val="00935B59"/>
    <w:rsid w:val="009374AB"/>
    <w:rsid w:val="009376E8"/>
    <w:rsid w:val="009430E1"/>
    <w:rsid w:val="009478C0"/>
    <w:rsid w:val="00957DF1"/>
    <w:rsid w:val="0096089C"/>
    <w:rsid w:val="009652A7"/>
    <w:rsid w:val="00970CEC"/>
    <w:rsid w:val="00973D8F"/>
    <w:rsid w:val="009778DE"/>
    <w:rsid w:val="009814DF"/>
    <w:rsid w:val="00993E83"/>
    <w:rsid w:val="009A08A6"/>
    <w:rsid w:val="009A25C4"/>
    <w:rsid w:val="009A29E2"/>
    <w:rsid w:val="009B13E2"/>
    <w:rsid w:val="009B4098"/>
    <w:rsid w:val="009B7414"/>
    <w:rsid w:val="009C0108"/>
    <w:rsid w:val="009C35D2"/>
    <w:rsid w:val="009C3602"/>
    <w:rsid w:val="009C46F2"/>
    <w:rsid w:val="009C4D2A"/>
    <w:rsid w:val="009C5BC1"/>
    <w:rsid w:val="009C6B40"/>
    <w:rsid w:val="009C6E33"/>
    <w:rsid w:val="009C7DC3"/>
    <w:rsid w:val="009D3BF9"/>
    <w:rsid w:val="009D4675"/>
    <w:rsid w:val="009E4591"/>
    <w:rsid w:val="009E64E8"/>
    <w:rsid w:val="009F088F"/>
    <w:rsid w:val="009F404A"/>
    <w:rsid w:val="00A001AF"/>
    <w:rsid w:val="00A036E2"/>
    <w:rsid w:val="00A10F46"/>
    <w:rsid w:val="00A12280"/>
    <w:rsid w:val="00A125FB"/>
    <w:rsid w:val="00A14B7A"/>
    <w:rsid w:val="00A22CD6"/>
    <w:rsid w:val="00A2347D"/>
    <w:rsid w:val="00A312E3"/>
    <w:rsid w:val="00A37CD5"/>
    <w:rsid w:val="00A40C08"/>
    <w:rsid w:val="00A4100C"/>
    <w:rsid w:val="00A42D5E"/>
    <w:rsid w:val="00A44879"/>
    <w:rsid w:val="00A45437"/>
    <w:rsid w:val="00A45E48"/>
    <w:rsid w:val="00A50047"/>
    <w:rsid w:val="00A52D7F"/>
    <w:rsid w:val="00A55A62"/>
    <w:rsid w:val="00A610A7"/>
    <w:rsid w:val="00A616B4"/>
    <w:rsid w:val="00A644C9"/>
    <w:rsid w:val="00A7321F"/>
    <w:rsid w:val="00A75023"/>
    <w:rsid w:val="00A76F27"/>
    <w:rsid w:val="00A82E2C"/>
    <w:rsid w:val="00A83E1F"/>
    <w:rsid w:val="00A87E79"/>
    <w:rsid w:val="00A93D52"/>
    <w:rsid w:val="00AA1E26"/>
    <w:rsid w:val="00AA3B2C"/>
    <w:rsid w:val="00AA4C75"/>
    <w:rsid w:val="00AA6866"/>
    <w:rsid w:val="00AB51E7"/>
    <w:rsid w:val="00AC088F"/>
    <w:rsid w:val="00AC3B0A"/>
    <w:rsid w:val="00AD03AB"/>
    <w:rsid w:val="00AD4272"/>
    <w:rsid w:val="00AE3FDE"/>
    <w:rsid w:val="00AE6FD8"/>
    <w:rsid w:val="00AE7D42"/>
    <w:rsid w:val="00AF298C"/>
    <w:rsid w:val="00AF2D4B"/>
    <w:rsid w:val="00AF370D"/>
    <w:rsid w:val="00AF6ABA"/>
    <w:rsid w:val="00B02515"/>
    <w:rsid w:val="00B03340"/>
    <w:rsid w:val="00B03420"/>
    <w:rsid w:val="00B07DC6"/>
    <w:rsid w:val="00B11184"/>
    <w:rsid w:val="00B233A5"/>
    <w:rsid w:val="00B23FC8"/>
    <w:rsid w:val="00B3276C"/>
    <w:rsid w:val="00B33B3A"/>
    <w:rsid w:val="00B33E7D"/>
    <w:rsid w:val="00B628C6"/>
    <w:rsid w:val="00B6335F"/>
    <w:rsid w:val="00B6343E"/>
    <w:rsid w:val="00B65465"/>
    <w:rsid w:val="00B6585E"/>
    <w:rsid w:val="00B71048"/>
    <w:rsid w:val="00B72270"/>
    <w:rsid w:val="00B76B27"/>
    <w:rsid w:val="00B77303"/>
    <w:rsid w:val="00B806C8"/>
    <w:rsid w:val="00B81899"/>
    <w:rsid w:val="00B81DA5"/>
    <w:rsid w:val="00B90DAB"/>
    <w:rsid w:val="00B926DB"/>
    <w:rsid w:val="00B92924"/>
    <w:rsid w:val="00B97421"/>
    <w:rsid w:val="00BA2A62"/>
    <w:rsid w:val="00BA3E3B"/>
    <w:rsid w:val="00BB5E79"/>
    <w:rsid w:val="00BB7BD3"/>
    <w:rsid w:val="00BC125E"/>
    <w:rsid w:val="00BC68EC"/>
    <w:rsid w:val="00BD68C2"/>
    <w:rsid w:val="00BE70B1"/>
    <w:rsid w:val="00BE7916"/>
    <w:rsid w:val="00BF0A12"/>
    <w:rsid w:val="00BF1A2B"/>
    <w:rsid w:val="00BF4292"/>
    <w:rsid w:val="00BF5E0B"/>
    <w:rsid w:val="00C0264F"/>
    <w:rsid w:val="00C04C3A"/>
    <w:rsid w:val="00C109C1"/>
    <w:rsid w:val="00C2042D"/>
    <w:rsid w:val="00C2419D"/>
    <w:rsid w:val="00C271B8"/>
    <w:rsid w:val="00C3132B"/>
    <w:rsid w:val="00C414F5"/>
    <w:rsid w:val="00C444DC"/>
    <w:rsid w:val="00C57A88"/>
    <w:rsid w:val="00C63FAE"/>
    <w:rsid w:val="00C6431E"/>
    <w:rsid w:val="00C647C2"/>
    <w:rsid w:val="00C655D5"/>
    <w:rsid w:val="00C70BFF"/>
    <w:rsid w:val="00C772EB"/>
    <w:rsid w:val="00C81624"/>
    <w:rsid w:val="00C9016F"/>
    <w:rsid w:val="00C9074D"/>
    <w:rsid w:val="00C93E89"/>
    <w:rsid w:val="00CA32C8"/>
    <w:rsid w:val="00CB1053"/>
    <w:rsid w:val="00CB1924"/>
    <w:rsid w:val="00CB1E66"/>
    <w:rsid w:val="00CB6AA7"/>
    <w:rsid w:val="00CC24F2"/>
    <w:rsid w:val="00CC3AA3"/>
    <w:rsid w:val="00CC4E9A"/>
    <w:rsid w:val="00CD690C"/>
    <w:rsid w:val="00CD7009"/>
    <w:rsid w:val="00CE452C"/>
    <w:rsid w:val="00CE4B89"/>
    <w:rsid w:val="00CF7EE4"/>
    <w:rsid w:val="00D0148D"/>
    <w:rsid w:val="00D01D1E"/>
    <w:rsid w:val="00D021AB"/>
    <w:rsid w:val="00D11C88"/>
    <w:rsid w:val="00D13858"/>
    <w:rsid w:val="00D15321"/>
    <w:rsid w:val="00D21FB8"/>
    <w:rsid w:val="00D2223F"/>
    <w:rsid w:val="00D22959"/>
    <w:rsid w:val="00D25DA6"/>
    <w:rsid w:val="00D3656D"/>
    <w:rsid w:val="00D37E43"/>
    <w:rsid w:val="00D40BB8"/>
    <w:rsid w:val="00D43BC9"/>
    <w:rsid w:val="00D53B9C"/>
    <w:rsid w:val="00D600D9"/>
    <w:rsid w:val="00D618FE"/>
    <w:rsid w:val="00D62C15"/>
    <w:rsid w:val="00D6518D"/>
    <w:rsid w:val="00D6637B"/>
    <w:rsid w:val="00D73829"/>
    <w:rsid w:val="00D77939"/>
    <w:rsid w:val="00D80CC2"/>
    <w:rsid w:val="00D81E1E"/>
    <w:rsid w:val="00D82903"/>
    <w:rsid w:val="00D8408A"/>
    <w:rsid w:val="00D84401"/>
    <w:rsid w:val="00D91B05"/>
    <w:rsid w:val="00D9407F"/>
    <w:rsid w:val="00DA08FF"/>
    <w:rsid w:val="00DA4B0E"/>
    <w:rsid w:val="00DA57C3"/>
    <w:rsid w:val="00DA689E"/>
    <w:rsid w:val="00DB17EF"/>
    <w:rsid w:val="00DB27D1"/>
    <w:rsid w:val="00DB380C"/>
    <w:rsid w:val="00DC2783"/>
    <w:rsid w:val="00DC2CA8"/>
    <w:rsid w:val="00DC6B4B"/>
    <w:rsid w:val="00DC6B60"/>
    <w:rsid w:val="00DD07D1"/>
    <w:rsid w:val="00DD0B5C"/>
    <w:rsid w:val="00DD6357"/>
    <w:rsid w:val="00DE072F"/>
    <w:rsid w:val="00DE5421"/>
    <w:rsid w:val="00DE5B2B"/>
    <w:rsid w:val="00DF056C"/>
    <w:rsid w:val="00DF0B93"/>
    <w:rsid w:val="00DF2377"/>
    <w:rsid w:val="00DF367B"/>
    <w:rsid w:val="00DF4BF0"/>
    <w:rsid w:val="00DF4F3C"/>
    <w:rsid w:val="00DF7652"/>
    <w:rsid w:val="00E079D3"/>
    <w:rsid w:val="00E07EEE"/>
    <w:rsid w:val="00E12128"/>
    <w:rsid w:val="00E14ABF"/>
    <w:rsid w:val="00E246D0"/>
    <w:rsid w:val="00E33049"/>
    <w:rsid w:val="00E42171"/>
    <w:rsid w:val="00E4247F"/>
    <w:rsid w:val="00E43CD9"/>
    <w:rsid w:val="00E44FB3"/>
    <w:rsid w:val="00E50156"/>
    <w:rsid w:val="00E52B69"/>
    <w:rsid w:val="00E551A1"/>
    <w:rsid w:val="00E55F42"/>
    <w:rsid w:val="00E6368B"/>
    <w:rsid w:val="00E63CD0"/>
    <w:rsid w:val="00E65A2E"/>
    <w:rsid w:val="00E67941"/>
    <w:rsid w:val="00E72AEA"/>
    <w:rsid w:val="00E743EA"/>
    <w:rsid w:val="00E744F3"/>
    <w:rsid w:val="00E77188"/>
    <w:rsid w:val="00E871E5"/>
    <w:rsid w:val="00E913B8"/>
    <w:rsid w:val="00E95CC9"/>
    <w:rsid w:val="00E975C9"/>
    <w:rsid w:val="00EA04AC"/>
    <w:rsid w:val="00EA27E7"/>
    <w:rsid w:val="00EA42B4"/>
    <w:rsid w:val="00EA5210"/>
    <w:rsid w:val="00EB5266"/>
    <w:rsid w:val="00EB6F14"/>
    <w:rsid w:val="00EC07CC"/>
    <w:rsid w:val="00EC3FDA"/>
    <w:rsid w:val="00EC6890"/>
    <w:rsid w:val="00EC79CC"/>
    <w:rsid w:val="00ED1BF2"/>
    <w:rsid w:val="00ED467F"/>
    <w:rsid w:val="00ED51B5"/>
    <w:rsid w:val="00EE10D4"/>
    <w:rsid w:val="00EE2BFC"/>
    <w:rsid w:val="00EE5F46"/>
    <w:rsid w:val="00EE64A8"/>
    <w:rsid w:val="00EE7D19"/>
    <w:rsid w:val="00EF151C"/>
    <w:rsid w:val="00EF5300"/>
    <w:rsid w:val="00EF5941"/>
    <w:rsid w:val="00F0332E"/>
    <w:rsid w:val="00F043CF"/>
    <w:rsid w:val="00F061B4"/>
    <w:rsid w:val="00F211E9"/>
    <w:rsid w:val="00F2181A"/>
    <w:rsid w:val="00F2207B"/>
    <w:rsid w:val="00F2288E"/>
    <w:rsid w:val="00F237CB"/>
    <w:rsid w:val="00F27BDF"/>
    <w:rsid w:val="00F3234E"/>
    <w:rsid w:val="00F3252E"/>
    <w:rsid w:val="00F40F38"/>
    <w:rsid w:val="00F41D15"/>
    <w:rsid w:val="00F430E6"/>
    <w:rsid w:val="00F479D3"/>
    <w:rsid w:val="00F556A1"/>
    <w:rsid w:val="00F6518E"/>
    <w:rsid w:val="00F674A0"/>
    <w:rsid w:val="00F73F0B"/>
    <w:rsid w:val="00F7446A"/>
    <w:rsid w:val="00F75026"/>
    <w:rsid w:val="00F75919"/>
    <w:rsid w:val="00F8333C"/>
    <w:rsid w:val="00F8611A"/>
    <w:rsid w:val="00F95ECA"/>
    <w:rsid w:val="00FA12DC"/>
    <w:rsid w:val="00FA49FF"/>
    <w:rsid w:val="00FA7736"/>
    <w:rsid w:val="00FA7E87"/>
    <w:rsid w:val="00FB231B"/>
    <w:rsid w:val="00FB4669"/>
    <w:rsid w:val="00FC142F"/>
    <w:rsid w:val="00FC153B"/>
    <w:rsid w:val="00FC2EA6"/>
    <w:rsid w:val="00FC43E5"/>
    <w:rsid w:val="00FC708E"/>
    <w:rsid w:val="00FD1A01"/>
    <w:rsid w:val="00FD33E3"/>
    <w:rsid w:val="00FD4160"/>
    <w:rsid w:val="00FD746E"/>
    <w:rsid w:val="00FE4A81"/>
    <w:rsid w:val="00FE54B4"/>
    <w:rsid w:val="00FE6D6C"/>
    <w:rsid w:val="00FF2B2A"/>
    <w:rsid w:val="00FF4E8E"/>
    <w:rsid w:val="00FF6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51DC"/>
    <w:pPr>
      <w:tabs>
        <w:tab w:val="center" w:pos="4680"/>
        <w:tab w:val="right" w:pos="9360"/>
      </w:tabs>
      <w:spacing w:after="0" w:line="240" w:lineRule="auto"/>
    </w:pPr>
  </w:style>
  <w:style w:type="character" w:customStyle="1" w:styleId="Char">
    <w:name w:val="页眉 Char"/>
    <w:basedOn w:val="a0"/>
    <w:link w:val="a3"/>
    <w:uiPriority w:val="99"/>
    <w:rsid w:val="001851DC"/>
  </w:style>
  <w:style w:type="paragraph" w:styleId="a4">
    <w:name w:val="footer"/>
    <w:basedOn w:val="a"/>
    <w:link w:val="Char0"/>
    <w:uiPriority w:val="99"/>
    <w:unhideWhenUsed/>
    <w:rsid w:val="001851DC"/>
    <w:pPr>
      <w:tabs>
        <w:tab w:val="center" w:pos="4680"/>
        <w:tab w:val="right" w:pos="9360"/>
      </w:tabs>
      <w:spacing w:after="0" w:line="240" w:lineRule="auto"/>
    </w:pPr>
  </w:style>
  <w:style w:type="character" w:customStyle="1" w:styleId="Char0">
    <w:name w:val="页脚 Char"/>
    <w:basedOn w:val="a0"/>
    <w:link w:val="a4"/>
    <w:uiPriority w:val="99"/>
    <w:rsid w:val="001851DC"/>
  </w:style>
  <w:style w:type="paragraph" w:styleId="a5">
    <w:name w:val="List Paragraph"/>
    <w:basedOn w:val="a"/>
    <w:uiPriority w:val="34"/>
    <w:qFormat/>
    <w:rsid w:val="008C504D"/>
    <w:pPr>
      <w:spacing w:after="0" w:line="240" w:lineRule="auto"/>
      <w:ind w:left="720"/>
      <w:contextualSpacing/>
    </w:pPr>
    <w:rPr>
      <w:rFonts w:ascii="Calibri" w:eastAsia="Calibri" w:hAnsi="Calibri" w:cs="Times New Roman"/>
    </w:rPr>
  </w:style>
  <w:style w:type="character" w:styleId="a6">
    <w:name w:val="Hyperlink"/>
    <w:basedOn w:val="a0"/>
    <w:uiPriority w:val="99"/>
    <w:unhideWhenUsed/>
    <w:rsid w:val="00723484"/>
    <w:rPr>
      <w:color w:val="0000FF" w:themeColor="hyperlink"/>
      <w:u w:val="single"/>
    </w:rPr>
  </w:style>
  <w:style w:type="table" w:styleId="a7">
    <w:name w:val="Table Grid"/>
    <w:basedOn w:val="a1"/>
    <w:uiPriority w:val="59"/>
    <w:rsid w:val="0066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060FAD"/>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060FAD"/>
    <w:rPr>
      <w:rFonts w:ascii="Tahoma" w:hAnsi="Tahoma" w:cs="Tahoma"/>
      <w:sz w:val="16"/>
      <w:szCs w:val="16"/>
    </w:rPr>
  </w:style>
  <w:style w:type="character" w:customStyle="1" w:styleId="apple-converted-space">
    <w:name w:val="apple-converted-space"/>
    <w:basedOn w:val="a0"/>
    <w:rsid w:val="002A048C"/>
  </w:style>
  <w:style w:type="character" w:styleId="a9">
    <w:name w:val="Strong"/>
    <w:uiPriority w:val="22"/>
    <w:qFormat/>
    <w:rsid w:val="002A04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51DC"/>
    <w:pPr>
      <w:tabs>
        <w:tab w:val="center" w:pos="4680"/>
        <w:tab w:val="right" w:pos="9360"/>
      </w:tabs>
      <w:spacing w:after="0" w:line="240" w:lineRule="auto"/>
    </w:pPr>
  </w:style>
  <w:style w:type="character" w:customStyle="1" w:styleId="Char">
    <w:name w:val="页眉 Char"/>
    <w:basedOn w:val="a0"/>
    <w:link w:val="a3"/>
    <w:uiPriority w:val="99"/>
    <w:rsid w:val="001851DC"/>
  </w:style>
  <w:style w:type="paragraph" w:styleId="a4">
    <w:name w:val="footer"/>
    <w:basedOn w:val="a"/>
    <w:link w:val="Char0"/>
    <w:uiPriority w:val="99"/>
    <w:unhideWhenUsed/>
    <w:rsid w:val="001851DC"/>
    <w:pPr>
      <w:tabs>
        <w:tab w:val="center" w:pos="4680"/>
        <w:tab w:val="right" w:pos="9360"/>
      </w:tabs>
      <w:spacing w:after="0" w:line="240" w:lineRule="auto"/>
    </w:pPr>
  </w:style>
  <w:style w:type="character" w:customStyle="1" w:styleId="Char0">
    <w:name w:val="页脚 Char"/>
    <w:basedOn w:val="a0"/>
    <w:link w:val="a4"/>
    <w:uiPriority w:val="99"/>
    <w:rsid w:val="001851DC"/>
  </w:style>
  <w:style w:type="paragraph" w:styleId="a5">
    <w:name w:val="List Paragraph"/>
    <w:basedOn w:val="a"/>
    <w:uiPriority w:val="34"/>
    <w:qFormat/>
    <w:rsid w:val="008C504D"/>
    <w:pPr>
      <w:spacing w:after="0" w:line="240" w:lineRule="auto"/>
      <w:ind w:left="720"/>
      <w:contextualSpacing/>
    </w:pPr>
    <w:rPr>
      <w:rFonts w:ascii="Calibri" w:eastAsia="Calibri" w:hAnsi="Calibri" w:cs="Times New Roman"/>
    </w:rPr>
  </w:style>
  <w:style w:type="character" w:styleId="a6">
    <w:name w:val="Hyperlink"/>
    <w:basedOn w:val="a0"/>
    <w:uiPriority w:val="99"/>
    <w:unhideWhenUsed/>
    <w:rsid w:val="00723484"/>
    <w:rPr>
      <w:color w:val="0000FF" w:themeColor="hyperlink"/>
      <w:u w:val="single"/>
    </w:rPr>
  </w:style>
  <w:style w:type="table" w:styleId="a7">
    <w:name w:val="Table Grid"/>
    <w:basedOn w:val="a1"/>
    <w:uiPriority w:val="59"/>
    <w:rsid w:val="0066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060FAD"/>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060FAD"/>
    <w:rPr>
      <w:rFonts w:ascii="Tahoma" w:hAnsi="Tahoma" w:cs="Tahoma"/>
      <w:sz w:val="16"/>
      <w:szCs w:val="16"/>
    </w:rPr>
  </w:style>
  <w:style w:type="character" w:customStyle="1" w:styleId="apple-converted-space">
    <w:name w:val="apple-converted-space"/>
    <w:basedOn w:val="a0"/>
    <w:rsid w:val="002A048C"/>
  </w:style>
  <w:style w:type="character" w:styleId="a9">
    <w:name w:val="Strong"/>
    <w:uiPriority w:val="22"/>
    <w:qFormat/>
    <w:rsid w:val="002A0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76138">
      <w:bodyDiv w:val="1"/>
      <w:marLeft w:val="0"/>
      <w:marRight w:val="0"/>
      <w:marTop w:val="0"/>
      <w:marBottom w:val="0"/>
      <w:divBdr>
        <w:top w:val="none" w:sz="0" w:space="0" w:color="auto"/>
        <w:left w:val="none" w:sz="0" w:space="0" w:color="auto"/>
        <w:bottom w:val="none" w:sz="0" w:space="0" w:color="auto"/>
        <w:right w:val="none" w:sz="0" w:space="0" w:color="auto"/>
      </w:divBdr>
    </w:div>
    <w:div w:id="994915607">
      <w:bodyDiv w:val="1"/>
      <w:marLeft w:val="0"/>
      <w:marRight w:val="0"/>
      <w:marTop w:val="0"/>
      <w:marBottom w:val="0"/>
      <w:divBdr>
        <w:top w:val="none" w:sz="0" w:space="0" w:color="auto"/>
        <w:left w:val="none" w:sz="0" w:space="0" w:color="auto"/>
        <w:bottom w:val="none" w:sz="0" w:space="0" w:color="auto"/>
        <w:right w:val="none" w:sz="0" w:space="0" w:color="auto"/>
      </w:divBdr>
    </w:div>
    <w:div w:id="13416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s.Tzamaloukas@va.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17947</Words>
  <Characters>102301</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120008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Tzamaloukas, Antonios H</dc:creator>
  <cp:lastModifiedBy>LS Ma</cp:lastModifiedBy>
  <cp:revision>2</cp:revision>
  <cp:lastPrinted>2014-06-05T16:49:00Z</cp:lastPrinted>
  <dcterms:created xsi:type="dcterms:W3CDTF">2014-08-28T01:15:00Z</dcterms:created>
  <dcterms:modified xsi:type="dcterms:W3CDTF">2014-08-28T01:15:00Z</dcterms:modified>
</cp:coreProperties>
</file>