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9F" w:rsidRPr="00014BD1" w:rsidRDefault="00DD549F" w:rsidP="00E163AB">
      <w:pPr>
        <w:pStyle w:val="p0"/>
        <w:widowControl w:val="0"/>
        <w:adjustRightInd w:val="0"/>
        <w:snapToGrid w:val="0"/>
        <w:spacing w:line="360" w:lineRule="auto"/>
        <w:ind w:rightChars="-15" w:right="-31"/>
        <w:jc w:val="both"/>
        <w:rPr>
          <w:rFonts w:ascii="Book Antiqua" w:hAnsi="Book Antiqua"/>
          <w:color w:val="000000"/>
          <w:sz w:val="24"/>
          <w:szCs w:val="24"/>
        </w:rPr>
      </w:pPr>
      <w:bookmarkStart w:id="0" w:name="OLE_LINK1896"/>
      <w:r w:rsidRPr="00014BD1">
        <w:rPr>
          <w:rFonts w:ascii="Book Antiqua" w:hAnsi="Book Antiqua"/>
          <w:b/>
          <w:color w:val="0033CC"/>
          <w:sz w:val="24"/>
          <w:szCs w:val="24"/>
        </w:rPr>
        <w:t>Name of journal:</w:t>
      </w:r>
      <w:r w:rsidRPr="00014BD1">
        <w:rPr>
          <w:rFonts w:ascii="Book Antiqua" w:hAnsi="Book Antiqua"/>
          <w:b/>
          <w:color w:val="000000"/>
          <w:sz w:val="24"/>
          <w:szCs w:val="24"/>
        </w:rPr>
        <w:t xml:space="preserve"> </w:t>
      </w:r>
      <w:bookmarkStart w:id="1" w:name="OLE_LINK718"/>
      <w:bookmarkStart w:id="2" w:name="OLE_LINK719"/>
      <w:bookmarkEnd w:id="0"/>
      <w:r w:rsidRPr="00014BD1">
        <w:rPr>
          <w:rFonts w:ascii="Book Antiqua" w:hAnsi="Book Antiqua"/>
          <w:i/>
          <w:color w:val="000000"/>
          <w:sz w:val="24"/>
          <w:szCs w:val="24"/>
        </w:rPr>
        <w:t xml:space="preserve">World Journal of </w:t>
      </w:r>
      <w:r w:rsidR="009929E3" w:rsidRPr="00014BD1">
        <w:rPr>
          <w:rFonts w:ascii="Book Antiqua" w:hAnsi="Book Antiqua"/>
          <w:i/>
          <w:color w:val="000000"/>
          <w:sz w:val="24"/>
          <w:szCs w:val="24"/>
        </w:rPr>
        <w:t>G</w:t>
      </w:r>
      <w:r w:rsidRPr="00014BD1">
        <w:rPr>
          <w:rFonts w:ascii="Book Antiqua" w:hAnsi="Book Antiqua"/>
          <w:i/>
          <w:color w:val="000000"/>
          <w:sz w:val="24"/>
          <w:szCs w:val="24"/>
        </w:rPr>
        <w:t>astroenterology</w:t>
      </w:r>
      <w:bookmarkEnd w:id="1"/>
      <w:bookmarkEnd w:id="2"/>
    </w:p>
    <w:p w:rsidR="00DD549F" w:rsidRPr="00014BD1" w:rsidRDefault="00DD549F" w:rsidP="00147C77">
      <w:pPr>
        <w:pStyle w:val="Default"/>
        <w:snapToGrid w:val="0"/>
        <w:spacing w:line="360" w:lineRule="auto"/>
        <w:ind w:rightChars="-15" w:right="-31"/>
        <w:jc w:val="both"/>
        <w:rPr>
          <w:rFonts w:ascii="Book Antiqua" w:hAnsi="Book Antiqua" w:cs="宋体"/>
          <w:b/>
          <w:i/>
        </w:rPr>
      </w:pPr>
      <w:r w:rsidRPr="00014BD1">
        <w:rPr>
          <w:rFonts w:ascii="Book Antiqua" w:hAnsi="Book Antiqua" w:cs="Arial"/>
          <w:b/>
          <w:color w:val="0033CC"/>
          <w:lang/>
        </w:rPr>
        <w:t>E</w:t>
      </w:r>
      <w:r w:rsidR="009929E3" w:rsidRPr="00014BD1">
        <w:rPr>
          <w:rFonts w:ascii="Book Antiqua" w:hAnsi="Book Antiqua" w:cs="Arial"/>
          <w:b/>
          <w:color w:val="0033CC"/>
          <w:lang/>
        </w:rPr>
        <w:t>S</w:t>
      </w:r>
      <w:r w:rsidRPr="00014BD1">
        <w:rPr>
          <w:rFonts w:ascii="Book Antiqua" w:hAnsi="Book Antiqua" w:cs="Arial"/>
          <w:b/>
          <w:color w:val="0033CC"/>
          <w:lang/>
        </w:rPr>
        <w:t>P</w:t>
      </w:r>
      <w:r w:rsidR="009929E3" w:rsidRPr="00014BD1">
        <w:rPr>
          <w:rFonts w:ascii="Book Antiqua" w:hAnsi="Book Antiqua" w:cs="Arial"/>
          <w:b/>
          <w:color w:val="0033CC"/>
          <w:lang/>
        </w:rPr>
        <w:t>S</w:t>
      </w:r>
      <w:r w:rsidRPr="00014BD1">
        <w:rPr>
          <w:rFonts w:ascii="Book Antiqua" w:hAnsi="Book Antiqua" w:cs="Arial"/>
          <w:b/>
          <w:color w:val="0033CC"/>
          <w:lang/>
        </w:rPr>
        <w:t xml:space="preserve"> Manuscript NO:</w:t>
      </w:r>
      <w:r w:rsidRPr="00014BD1">
        <w:rPr>
          <w:rFonts w:ascii="Book Antiqua" w:hAnsi="Book Antiqua" w:cs="Arial"/>
          <w:b/>
          <w:color w:val="222222"/>
          <w:lang/>
        </w:rPr>
        <w:t xml:space="preserve"> 11101</w:t>
      </w:r>
    </w:p>
    <w:p w:rsidR="00DD549F" w:rsidRPr="00014BD1" w:rsidRDefault="00DD549F" w:rsidP="00E163AB">
      <w:pPr>
        <w:autoSpaceDE w:val="0"/>
        <w:autoSpaceDN w:val="0"/>
        <w:adjustRightInd w:val="0"/>
        <w:snapToGrid w:val="0"/>
        <w:spacing w:line="360" w:lineRule="auto"/>
        <w:ind w:rightChars="-15" w:right="-31"/>
        <w:rPr>
          <w:rFonts w:ascii="Book Antiqua" w:hAnsi="Book Antiqua"/>
          <w:b/>
          <w:color w:val="000000"/>
          <w:kern w:val="0"/>
          <w:sz w:val="24"/>
          <w:szCs w:val="24"/>
        </w:rPr>
      </w:pPr>
      <w:r w:rsidRPr="00014BD1">
        <w:rPr>
          <w:rFonts w:ascii="Book Antiqua" w:hAnsi="Book Antiqua"/>
          <w:b/>
          <w:color w:val="0033CC"/>
          <w:kern w:val="0"/>
          <w:sz w:val="24"/>
          <w:szCs w:val="24"/>
        </w:rPr>
        <w:t>Columns:</w:t>
      </w:r>
      <w:r w:rsidRPr="00014BD1">
        <w:rPr>
          <w:rFonts w:ascii="Book Antiqua" w:hAnsi="Book Antiqua"/>
          <w:b/>
          <w:color w:val="000000"/>
          <w:kern w:val="0"/>
          <w:sz w:val="24"/>
          <w:szCs w:val="24"/>
        </w:rPr>
        <w:t xml:space="preserve"> ORI</w:t>
      </w:r>
      <w:r w:rsidR="009929E3" w:rsidRPr="00014BD1">
        <w:rPr>
          <w:rFonts w:ascii="Book Antiqua" w:hAnsi="Book Antiqua"/>
          <w:b/>
          <w:color w:val="000000"/>
          <w:kern w:val="0"/>
          <w:sz w:val="24"/>
          <w:szCs w:val="24"/>
        </w:rPr>
        <w:t>G</w:t>
      </w:r>
      <w:r w:rsidRPr="00014BD1">
        <w:rPr>
          <w:rFonts w:ascii="Book Antiqua" w:hAnsi="Book Antiqua"/>
          <w:b/>
          <w:color w:val="000000"/>
          <w:kern w:val="0"/>
          <w:sz w:val="24"/>
          <w:szCs w:val="24"/>
        </w:rPr>
        <w:t>INAL ARTICLE</w:t>
      </w:r>
    </w:p>
    <w:p w:rsidR="009929E3" w:rsidRPr="00014BD1" w:rsidRDefault="009929E3"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Default"/>
        <w:snapToGrid w:val="0"/>
        <w:spacing w:line="360" w:lineRule="auto"/>
        <w:ind w:rightChars="-15" w:right="-31"/>
        <w:jc w:val="both"/>
        <w:rPr>
          <w:rFonts w:ascii="Book Antiqua" w:hAnsi="Book Antiqua"/>
          <w:b/>
          <w:bCs/>
        </w:rPr>
      </w:pPr>
      <w:r w:rsidRPr="00014BD1">
        <w:rPr>
          <w:rFonts w:ascii="Book Antiqua" w:hAnsi="Book Antiqua"/>
          <w:b/>
          <w:bCs/>
        </w:rPr>
        <w:t xml:space="preserve">Differential gene-expression profiling of gastric intraepithelial neoplasia and early-stage adenocarcinoma </w:t>
      </w:r>
    </w:p>
    <w:p w:rsidR="00DD549F" w:rsidRPr="00014BD1" w:rsidRDefault="00DD549F" w:rsidP="00E163AB">
      <w:pPr>
        <w:pStyle w:val="Default"/>
        <w:snapToGrid w:val="0"/>
        <w:spacing w:line="360" w:lineRule="auto"/>
        <w:ind w:rightChars="-15" w:right="-31"/>
        <w:jc w:val="both"/>
        <w:rPr>
          <w:rFonts w:ascii="Book Antiqua" w:hAnsi="Book Antiqua"/>
        </w:rPr>
      </w:pPr>
    </w:p>
    <w:p w:rsidR="009929E3" w:rsidRPr="00014BD1" w:rsidRDefault="00DD549F" w:rsidP="00E163AB">
      <w:pPr>
        <w:pStyle w:val="CM1"/>
        <w:snapToGrid w:val="0"/>
        <w:spacing w:line="360" w:lineRule="auto"/>
        <w:ind w:rightChars="-15" w:right="-31"/>
        <w:jc w:val="both"/>
        <w:rPr>
          <w:rFonts w:ascii="Book Antiqua" w:hAnsi="Book Antiqua"/>
          <w:bCs/>
          <w:color w:val="000000"/>
        </w:rPr>
      </w:pPr>
      <w:r w:rsidRPr="00014BD1">
        <w:rPr>
          <w:rFonts w:ascii="Book Antiqua" w:hAnsi="Book Antiqua"/>
          <w:color w:val="000000"/>
        </w:rPr>
        <w:t>Xu</w:t>
      </w:r>
      <w:r w:rsidRPr="00014BD1">
        <w:rPr>
          <w:rFonts w:ascii="Book Antiqua" w:hAnsi="Book Antiqua"/>
          <w:bCs/>
          <w:color w:val="000000"/>
        </w:rPr>
        <w:t xml:space="preserve"> X </w:t>
      </w:r>
      <w:r w:rsidRPr="00014BD1">
        <w:rPr>
          <w:rFonts w:ascii="Book Antiqua" w:hAnsi="Book Antiqua"/>
          <w:bCs/>
          <w:i/>
          <w:color w:val="000000"/>
        </w:rPr>
        <w:t>et al</w:t>
      </w:r>
      <w:r w:rsidRPr="00014BD1">
        <w:rPr>
          <w:rFonts w:ascii="Book Antiqua" w:hAnsi="Book Antiqua"/>
          <w:bCs/>
          <w:color w:val="000000"/>
        </w:rPr>
        <w:t xml:space="preserve">. </w:t>
      </w:r>
      <w:r w:rsidR="0049432E" w:rsidRPr="00014BD1">
        <w:rPr>
          <w:rFonts w:ascii="Book Antiqua" w:hAnsi="Book Antiqua"/>
          <w:bCs/>
          <w:color w:val="000000"/>
        </w:rPr>
        <w:t>Expression-differentiated gastric precancerous/cancerous lesions</w:t>
      </w:r>
      <w:r w:rsidR="009929E3" w:rsidRPr="00014BD1">
        <w:rPr>
          <w:rFonts w:ascii="Book Antiqua" w:hAnsi="Book Antiqua"/>
          <w:bCs/>
          <w:color w:val="000000"/>
        </w:rPr>
        <w:t xml:space="preserve"> </w:t>
      </w:r>
    </w:p>
    <w:p w:rsidR="00DD549F" w:rsidRPr="00014BD1" w:rsidRDefault="00DD549F" w:rsidP="00E163AB">
      <w:pPr>
        <w:pStyle w:val="Default"/>
        <w:snapToGrid w:val="0"/>
        <w:spacing w:line="360" w:lineRule="auto"/>
        <w:ind w:rightChars="-15" w:right="-31"/>
        <w:jc w:val="both"/>
        <w:rPr>
          <w:rFonts w:ascii="Book Antiqua" w:hAnsi="Book Antiqua"/>
        </w:rPr>
      </w:pPr>
    </w:p>
    <w:p w:rsidR="00717A4B" w:rsidRPr="00014BD1" w:rsidRDefault="00717A4B" w:rsidP="00E163AB">
      <w:pPr>
        <w:pStyle w:val="CM16"/>
        <w:snapToGrid w:val="0"/>
        <w:spacing w:line="360" w:lineRule="auto"/>
        <w:ind w:rightChars="-15" w:right="-31"/>
        <w:jc w:val="both"/>
        <w:rPr>
          <w:rFonts w:ascii="Book Antiqua" w:hAnsi="Book Antiqua"/>
          <w:color w:val="000000"/>
        </w:rPr>
      </w:pPr>
      <w:r w:rsidRPr="00014BD1">
        <w:rPr>
          <w:rFonts w:ascii="Book Antiqua" w:hAnsi="Book Antiqua"/>
          <w:color w:val="000000"/>
        </w:rPr>
        <w:t xml:space="preserve">Xue Xu, Yu Liu, Wei-Xun Zhou, Ying-Cai Ma, Gui-Jun Fei, Ning An, Yuan Li, Xi Wu, Fang Yao, Shu-Jun Cheng, Lin Feng, Xing-Hua Lu </w:t>
      </w:r>
      <w:r w:rsidR="00F17F90">
        <w:rPr>
          <w:rFonts w:ascii="Book Antiqua" w:hAnsi="Book Antiqua"/>
          <w:color w:val="000000"/>
        </w:rPr>
        <w:t xml:space="preserve"> </w:t>
      </w:r>
    </w:p>
    <w:p w:rsidR="00DD549F" w:rsidRPr="00014BD1" w:rsidRDefault="00DD549F"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6"/>
        <w:snapToGrid w:val="0"/>
        <w:spacing w:line="360" w:lineRule="auto"/>
        <w:ind w:rightChars="-15" w:right="-31"/>
        <w:jc w:val="both"/>
        <w:rPr>
          <w:rFonts w:ascii="Book Antiqua" w:hAnsi="Book Antiqua"/>
          <w:color w:val="000000"/>
        </w:rPr>
      </w:pPr>
      <w:r w:rsidRPr="00014BD1">
        <w:rPr>
          <w:rFonts w:ascii="Book Antiqua" w:hAnsi="Book Antiqua"/>
          <w:b/>
          <w:bCs/>
          <w:color w:val="000000"/>
        </w:rPr>
        <w:t>Xue Xu</w:t>
      </w:r>
      <w:r w:rsidR="00923BAC" w:rsidRPr="00014BD1">
        <w:rPr>
          <w:rFonts w:ascii="Book Antiqua" w:hAnsi="Book Antiqua"/>
          <w:b/>
          <w:bCs/>
          <w:color w:val="000000"/>
        </w:rPr>
        <w:t xml:space="preserve">, </w:t>
      </w:r>
      <w:r w:rsidRPr="00014BD1">
        <w:rPr>
          <w:rFonts w:ascii="Book Antiqua" w:hAnsi="Book Antiqua"/>
          <w:b/>
          <w:bCs/>
          <w:color w:val="000000"/>
        </w:rPr>
        <w:t>Gui</w:t>
      </w:r>
      <w:r w:rsidR="00923BAC" w:rsidRPr="00014BD1">
        <w:rPr>
          <w:rFonts w:ascii="Book Antiqua" w:hAnsi="Book Antiqua"/>
          <w:b/>
          <w:bCs/>
          <w:color w:val="000000"/>
        </w:rPr>
        <w:t xml:space="preserve">-Jun </w:t>
      </w:r>
      <w:r w:rsidRPr="00014BD1">
        <w:rPr>
          <w:rFonts w:ascii="Book Antiqua" w:hAnsi="Book Antiqua"/>
          <w:b/>
          <w:bCs/>
          <w:color w:val="000000"/>
        </w:rPr>
        <w:t>Fei</w:t>
      </w:r>
      <w:r w:rsidR="00923BAC" w:rsidRPr="00014BD1">
        <w:rPr>
          <w:rFonts w:ascii="Book Antiqua" w:hAnsi="Book Antiqua"/>
          <w:b/>
          <w:bCs/>
          <w:color w:val="000000"/>
        </w:rPr>
        <w:t xml:space="preserve">, </w:t>
      </w:r>
      <w:r w:rsidRPr="00014BD1">
        <w:rPr>
          <w:rFonts w:ascii="Book Antiqua" w:hAnsi="Book Antiqua"/>
          <w:b/>
          <w:bCs/>
          <w:color w:val="000000"/>
        </w:rPr>
        <w:t>Xi Wu</w:t>
      </w:r>
      <w:r w:rsidR="00923BAC" w:rsidRPr="00014BD1">
        <w:rPr>
          <w:rFonts w:ascii="Book Antiqua" w:hAnsi="Book Antiqua"/>
          <w:b/>
          <w:bCs/>
          <w:color w:val="000000"/>
        </w:rPr>
        <w:t xml:space="preserve">, </w:t>
      </w:r>
      <w:r w:rsidRPr="00014BD1">
        <w:rPr>
          <w:rFonts w:ascii="Book Antiqua" w:hAnsi="Book Antiqua"/>
          <w:b/>
          <w:bCs/>
          <w:color w:val="000000"/>
        </w:rPr>
        <w:t>Fang Yao</w:t>
      </w:r>
      <w:r w:rsidR="00923BAC" w:rsidRPr="00014BD1">
        <w:rPr>
          <w:rFonts w:ascii="Book Antiqua" w:hAnsi="Book Antiqua"/>
          <w:b/>
          <w:bCs/>
          <w:color w:val="000000"/>
        </w:rPr>
        <w:t xml:space="preserve">, </w:t>
      </w:r>
      <w:r w:rsidRPr="00014BD1">
        <w:rPr>
          <w:rFonts w:ascii="Book Antiqua" w:hAnsi="Book Antiqua"/>
          <w:b/>
          <w:bCs/>
          <w:color w:val="000000"/>
        </w:rPr>
        <w:t>Xing</w:t>
      </w:r>
      <w:r w:rsidR="00923BAC" w:rsidRPr="00014BD1">
        <w:rPr>
          <w:rFonts w:ascii="Book Antiqua" w:hAnsi="Book Antiqua"/>
          <w:b/>
          <w:bCs/>
          <w:color w:val="000000"/>
        </w:rPr>
        <w:t xml:space="preserve">-Hua </w:t>
      </w:r>
      <w:r w:rsidRPr="00014BD1">
        <w:rPr>
          <w:rFonts w:ascii="Book Antiqua" w:hAnsi="Book Antiqua"/>
          <w:b/>
          <w:bCs/>
          <w:color w:val="000000"/>
        </w:rPr>
        <w:t>Lu</w:t>
      </w:r>
      <w:r w:rsidR="00923BAC" w:rsidRPr="00014BD1">
        <w:rPr>
          <w:rFonts w:ascii="Book Antiqua" w:hAnsi="Book Antiqua"/>
          <w:color w:val="000000"/>
        </w:rPr>
        <w:t xml:space="preserve">, </w:t>
      </w:r>
      <w:r w:rsidRPr="00014BD1">
        <w:rPr>
          <w:rFonts w:ascii="Book Antiqua" w:hAnsi="Book Antiqua"/>
          <w:color w:val="000000"/>
        </w:rPr>
        <w:t xml:space="preserve">Department of Gastroenterology, Peking Union Medical College Hospital, Chinese Academy of Medical Science and Peking Union Medical College, Beijing 100730, China </w:t>
      </w:r>
    </w:p>
    <w:p w:rsidR="00DD549F" w:rsidRPr="00014BD1" w:rsidRDefault="00DD549F"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6"/>
        <w:snapToGrid w:val="0"/>
        <w:spacing w:line="360" w:lineRule="auto"/>
        <w:ind w:rightChars="-15" w:right="-31"/>
        <w:jc w:val="both"/>
        <w:rPr>
          <w:rFonts w:ascii="Book Antiqua" w:hAnsi="Book Antiqua"/>
          <w:color w:val="000000"/>
        </w:rPr>
      </w:pPr>
      <w:r w:rsidRPr="00014BD1">
        <w:rPr>
          <w:rFonts w:ascii="Book Antiqua" w:hAnsi="Book Antiqua"/>
          <w:b/>
          <w:bCs/>
          <w:color w:val="000000"/>
        </w:rPr>
        <w:t>Yu Liu</w:t>
      </w:r>
      <w:r w:rsidR="00923BAC" w:rsidRPr="00014BD1">
        <w:rPr>
          <w:rFonts w:ascii="Book Antiqua" w:hAnsi="Book Antiqua"/>
          <w:b/>
          <w:bCs/>
          <w:color w:val="000000"/>
        </w:rPr>
        <w:t xml:space="preserve">, </w:t>
      </w:r>
      <w:r w:rsidRPr="00014BD1">
        <w:rPr>
          <w:rFonts w:ascii="Book Antiqua" w:hAnsi="Book Antiqua"/>
          <w:b/>
          <w:bCs/>
          <w:color w:val="000000"/>
        </w:rPr>
        <w:t>Ning An</w:t>
      </w:r>
      <w:r w:rsidR="00923BAC" w:rsidRPr="00014BD1">
        <w:rPr>
          <w:rFonts w:ascii="Book Antiqua" w:hAnsi="Book Antiqua"/>
          <w:b/>
          <w:bCs/>
          <w:color w:val="000000"/>
        </w:rPr>
        <w:t xml:space="preserve">, </w:t>
      </w:r>
      <w:r w:rsidRPr="00014BD1">
        <w:rPr>
          <w:rFonts w:ascii="Book Antiqua" w:hAnsi="Book Antiqua"/>
          <w:b/>
          <w:bCs/>
          <w:color w:val="000000"/>
        </w:rPr>
        <w:t>Shu</w:t>
      </w:r>
      <w:r w:rsidR="00923BAC" w:rsidRPr="00014BD1">
        <w:rPr>
          <w:rFonts w:ascii="Book Antiqua" w:hAnsi="Book Antiqua"/>
          <w:b/>
          <w:bCs/>
          <w:color w:val="000000"/>
        </w:rPr>
        <w:t xml:space="preserve">-Jun </w:t>
      </w:r>
      <w:r w:rsidRPr="00014BD1">
        <w:rPr>
          <w:rFonts w:ascii="Book Antiqua" w:hAnsi="Book Antiqua"/>
          <w:b/>
          <w:bCs/>
          <w:color w:val="000000"/>
        </w:rPr>
        <w:t>Cheng</w:t>
      </w:r>
      <w:r w:rsidR="00923BAC" w:rsidRPr="00014BD1">
        <w:rPr>
          <w:rFonts w:ascii="Book Antiqua" w:hAnsi="Book Antiqua"/>
          <w:b/>
          <w:bCs/>
          <w:color w:val="000000"/>
        </w:rPr>
        <w:t xml:space="preserve">, </w:t>
      </w:r>
      <w:r w:rsidRPr="00014BD1">
        <w:rPr>
          <w:rFonts w:ascii="Book Antiqua" w:hAnsi="Book Antiqua"/>
          <w:b/>
          <w:bCs/>
          <w:color w:val="000000"/>
        </w:rPr>
        <w:t>Lin Feng</w:t>
      </w:r>
      <w:r w:rsidR="00923BAC" w:rsidRPr="00014BD1">
        <w:rPr>
          <w:rFonts w:ascii="Book Antiqua" w:hAnsi="Book Antiqua"/>
          <w:color w:val="000000"/>
        </w:rPr>
        <w:t xml:space="preserve">, </w:t>
      </w:r>
      <w:r w:rsidRPr="00014BD1">
        <w:rPr>
          <w:rFonts w:ascii="Book Antiqua" w:hAnsi="Book Antiqua"/>
          <w:color w:val="000000"/>
        </w:rPr>
        <w:t>State Key Laboratory of Molecular Oncology, Cancer Institute Hospital, Peking Union Medical College, Chinese Academy of Medical Sciences, Beijing 100021</w:t>
      </w:r>
      <w:r w:rsidR="00923BAC" w:rsidRPr="00014BD1">
        <w:rPr>
          <w:rFonts w:ascii="Book Antiqua" w:hAnsi="Book Antiqua"/>
          <w:color w:val="000000"/>
        </w:rPr>
        <w:t xml:space="preserve">, </w:t>
      </w:r>
      <w:r w:rsidRPr="00014BD1">
        <w:rPr>
          <w:rFonts w:ascii="Book Antiqua" w:hAnsi="Book Antiqua"/>
          <w:color w:val="000000"/>
        </w:rPr>
        <w:t xml:space="preserve">China </w:t>
      </w:r>
    </w:p>
    <w:p w:rsidR="00DD549F" w:rsidRPr="00014BD1" w:rsidRDefault="00DD549F" w:rsidP="00E163AB">
      <w:pPr>
        <w:pStyle w:val="Default"/>
        <w:snapToGrid w:val="0"/>
        <w:spacing w:line="360" w:lineRule="auto"/>
        <w:ind w:rightChars="-15" w:right="-31"/>
        <w:jc w:val="both"/>
        <w:rPr>
          <w:rFonts w:ascii="Book Antiqua" w:hAnsi="Book Antiqua"/>
        </w:rPr>
      </w:pPr>
    </w:p>
    <w:p w:rsidR="009929E3" w:rsidRPr="00014BD1" w:rsidRDefault="00923BAC" w:rsidP="00E163AB">
      <w:pPr>
        <w:pStyle w:val="CM5"/>
        <w:snapToGrid w:val="0"/>
        <w:spacing w:line="360" w:lineRule="auto"/>
        <w:ind w:rightChars="-15" w:right="-31"/>
        <w:jc w:val="both"/>
        <w:rPr>
          <w:rFonts w:ascii="Book Antiqua" w:hAnsi="Book Antiqua"/>
          <w:color w:val="000000"/>
        </w:rPr>
      </w:pPr>
      <w:r w:rsidRPr="00014BD1">
        <w:rPr>
          <w:rFonts w:ascii="Book Antiqua" w:hAnsi="Book Antiqua"/>
          <w:b/>
          <w:bCs/>
          <w:color w:val="000000"/>
        </w:rPr>
        <w:t>Wei-Xun Zhou, Yuan Li</w:t>
      </w:r>
      <w:r w:rsidRPr="00014BD1">
        <w:rPr>
          <w:rFonts w:ascii="Book Antiqua" w:hAnsi="Book Antiqua"/>
          <w:color w:val="000000"/>
        </w:rPr>
        <w:t xml:space="preserve">, </w:t>
      </w:r>
      <w:r w:rsidR="009929E3" w:rsidRPr="00014BD1">
        <w:rPr>
          <w:rFonts w:ascii="Book Antiqua" w:hAnsi="Book Antiqua"/>
          <w:color w:val="000000"/>
        </w:rPr>
        <w:t xml:space="preserve">Department of Pathology, Peking Union Medical College Hospital, Chinese Academy of Medical Science and Peking Union Medical College, Beijing 100730, China </w:t>
      </w:r>
    </w:p>
    <w:p w:rsidR="00DD549F" w:rsidRPr="00014BD1" w:rsidRDefault="00DD549F" w:rsidP="00E163AB">
      <w:pPr>
        <w:pStyle w:val="Default"/>
        <w:snapToGrid w:val="0"/>
        <w:spacing w:line="360" w:lineRule="auto"/>
        <w:ind w:rightChars="-15" w:right="-31"/>
        <w:jc w:val="both"/>
        <w:rPr>
          <w:rFonts w:ascii="Book Antiqua" w:hAnsi="Book Antiqua"/>
        </w:rPr>
      </w:pPr>
    </w:p>
    <w:p w:rsidR="009929E3" w:rsidRPr="00014BD1" w:rsidRDefault="00923BAC" w:rsidP="00E163AB">
      <w:pPr>
        <w:pStyle w:val="CM16"/>
        <w:snapToGrid w:val="0"/>
        <w:spacing w:line="360" w:lineRule="auto"/>
        <w:ind w:rightChars="-15" w:right="-31"/>
        <w:jc w:val="both"/>
        <w:rPr>
          <w:rFonts w:ascii="Book Antiqua" w:hAnsi="Book Antiqua"/>
          <w:color w:val="000000"/>
        </w:rPr>
      </w:pPr>
      <w:r w:rsidRPr="00014BD1">
        <w:rPr>
          <w:rFonts w:ascii="Book Antiqua" w:hAnsi="Book Antiqua"/>
          <w:b/>
          <w:bCs/>
          <w:color w:val="000000"/>
        </w:rPr>
        <w:t>Ying-Cai Ma</w:t>
      </w:r>
      <w:r w:rsidRPr="00014BD1">
        <w:rPr>
          <w:rFonts w:ascii="Book Antiqua" w:hAnsi="Book Antiqua"/>
          <w:color w:val="000000"/>
        </w:rPr>
        <w:t xml:space="preserve">, </w:t>
      </w:r>
      <w:r w:rsidR="009929E3" w:rsidRPr="00014BD1">
        <w:rPr>
          <w:rFonts w:ascii="Book Antiqua" w:hAnsi="Book Antiqua"/>
          <w:color w:val="000000"/>
        </w:rPr>
        <w:t xml:space="preserve">Department of Gastroenterology, Qinghai </w:t>
      </w:r>
      <w:r w:rsidRPr="00014BD1">
        <w:rPr>
          <w:rFonts w:ascii="Book Antiqua" w:hAnsi="Book Antiqua"/>
          <w:color w:val="000000"/>
        </w:rPr>
        <w:t>P</w:t>
      </w:r>
      <w:r w:rsidR="009929E3" w:rsidRPr="00014BD1">
        <w:rPr>
          <w:rFonts w:ascii="Book Antiqua" w:hAnsi="Book Antiqua"/>
          <w:color w:val="000000"/>
        </w:rPr>
        <w:t xml:space="preserve">rovincial </w:t>
      </w:r>
      <w:r w:rsidRPr="00014BD1">
        <w:rPr>
          <w:rFonts w:ascii="Book Antiqua" w:hAnsi="Book Antiqua"/>
          <w:color w:val="000000"/>
        </w:rPr>
        <w:t>P</w:t>
      </w:r>
      <w:r w:rsidR="009929E3" w:rsidRPr="00014BD1">
        <w:rPr>
          <w:rFonts w:ascii="Book Antiqua" w:hAnsi="Book Antiqua"/>
          <w:color w:val="000000"/>
        </w:rPr>
        <w:t xml:space="preserve">eople’s </w:t>
      </w:r>
      <w:r w:rsidRPr="00014BD1">
        <w:rPr>
          <w:rFonts w:ascii="Book Antiqua" w:hAnsi="Book Antiqua"/>
          <w:color w:val="000000"/>
        </w:rPr>
        <w:t>H</w:t>
      </w:r>
      <w:r w:rsidR="009929E3" w:rsidRPr="00014BD1">
        <w:rPr>
          <w:rFonts w:ascii="Book Antiqua" w:hAnsi="Book Antiqua"/>
          <w:color w:val="000000"/>
        </w:rPr>
        <w:t xml:space="preserve">ospital, </w:t>
      </w:r>
      <w:r w:rsidR="00000BE7" w:rsidRPr="00014BD1">
        <w:rPr>
          <w:rFonts w:ascii="Book Antiqua" w:hAnsi="Book Antiqua"/>
          <w:color w:val="000000"/>
        </w:rPr>
        <w:t xml:space="preserve">Xining </w:t>
      </w:r>
      <w:r w:rsidR="009929E3" w:rsidRPr="00014BD1">
        <w:rPr>
          <w:rFonts w:ascii="Book Antiqua" w:hAnsi="Book Antiqua"/>
          <w:color w:val="000000"/>
        </w:rPr>
        <w:t xml:space="preserve">810007, </w:t>
      </w:r>
      <w:r w:rsidR="00000BE7" w:rsidRPr="00014BD1">
        <w:rPr>
          <w:rFonts w:ascii="Book Antiqua" w:hAnsi="Book Antiqua"/>
          <w:color w:val="000000"/>
        </w:rPr>
        <w:t xml:space="preserve">Qinghai Province, </w:t>
      </w:r>
      <w:r w:rsidR="009929E3" w:rsidRPr="00014BD1">
        <w:rPr>
          <w:rFonts w:ascii="Book Antiqua" w:hAnsi="Book Antiqua"/>
          <w:color w:val="000000"/>
        </w:rPr>
        <w:t xml:space="preserve">China </w:t>
      </w:r>
    </w:p>
    <w:p w:rsidR="00DD549F" w:rsidRPr="00014BD1" w:rsidRDefault="00DD549F"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6"/>
        <w:snapToGrid w:val="0"/>
        <w:spacing w:line="360" w:lineRule="auto"/>
        <w:ind w:rightChars="-15" w:right="-31"/>
        <w:jc w:val="both"/>
        <w:rPr>
          <w:rFonts w:ascii="Book Antiqua" w:hAnsi="Book Antiqua"/>
          <w:color w:val="000000"/>
        </w:rPr>
      </w:pPr>
      <w:r w:rsidRPr="00014BD1">
        <w:rPr>
          <w:rFonts w:ascii="Book Antiqua" w:hAnsi="Book Antiqua"/>
          <w:b/>
          <w:bCs/>
          <w:color w:val="000000"/>
        </w:rPr>
        <w:t>Xue Xu, Ning An</w:t>
      </w:r>
      <w:r w:rsidRPr="00014BD1">
        <w:rPr>
          <w:rFonts w:ascii="Book Antiqua" w:hAnsi="Book Antiqua"/>
          <w:color w:val="000000"/>
        </w:rPr>
        <w:t>, Graduate School of Peking Union Medical College and Chinese Academy of Medical Science, Beijing</w:t>
      </w:r>
      <w:r w:rsidR="00000BE7" w:rsidRPr="00014BD1">
        <w:rPr>
          <w:rFonts w:ascii="Book Antiqua" w:hAnsi="Book Antiqua"/>
          <w:color w:val="000000"/>
        </w:rPr>
        <w:t xml:space="preserve"> 100730</w:t>
      </w:r>
      <w:r w:rsidRPr="00014BD1">
        <w:rPr>
          <w:rFonts w:ascii="Book Antiqua" w:hAnsi="Book Antiqua"/>
          <w:color w:val="000000"/>
        </w:rPr>
        <w:t xml:space="preserve">, China </w:t>
      </w:r>
    </w:p>
    <w:p w:rsidR="00000BE7" w:rsidRPr="00014BD1" w:rsidRDefault="00000BE7"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b/>
          <w:bCs/>
          <w:color w:val="000000"/>
        </w:rPr>
        <w:t>Author contributions</w:t>
      </w:r>
      <w:r w:rsidR="00000BE7" w:rsidRPr="00014BD1">
        <w:rPr>
          <w:rFonts w:ascii="Book Antiqua" w:hAnsi="Book Antiqua"/>
          <w:b/>
          <w:bCs/>
          <w:color w:val="000000"/>
        </w:rPr>
        <w:t xml:space="preserve">: </w:t>
      </w:r>
      <w:r w:rsidRPr="00014BD1">
        <w:rPr>
          <w:rFonts w:ascii="Book Antiqua" w:hAnsi="Book Antiqua"/>
          <w:color w:val="000000"/>
        </w:rPr>
        <w:t xml:space="preserve">Xu X carried out most of the experiments and participated in drafting </w:t>
      </w:r>
      <w:r w:rsidRPr="00014BD1">
        <w:rPr>
          <w:rFonts w:ascii="Book Antiqua" w:hAnsi="Book Antiqua"/>
          <w:color w:val="000000"/>
        </w:rPr>
        <w:lastRenderedPageBreak/>
        <w:t>the manuscript</w:t>
      </w:r>
      <w:r w:rsidR="00000BE7" w:rsidRPr="00014BD1">
        <w:rPr>
          <w:rFonts w:ascii="Book Antiqua" w:hAnsi="Book Antiqua"/>
          <w:color w:val="000000"/>
        </w:rPr>
        <w:t>;</w:t>
      </w:r>
      <w:r w:rsidRPr="00014BD1">
        <w:rPr>
          <w:rFonts w:ascii="Book Antiqua" w:hAnsi="Book Antiqua"/>
          <w:color w:val="000000"/>
        </w:rPr>
        <w:t xml:space="preserve"> Lu XH and Cheng SJ were leaders of the project, who conceived, initiated, and designed the study</w:t>
      </w:r>
      <w:r w:rsidR="00000BE7" w:rsidRPr="00014BD1">
        <w:rPr>
          <w:rFonts w:ascii="Book Antiqua" w:hAnsi="Book Antiqua"/>
          <w:color w:val="000000"/>
        </w:rPr>
        <w:t>;</w:t>
      </w:r>
      <w:r w:rsidRPr="00014BD1">
        <w:rPr>
          <w:rFonts w:ascii="Book Antiqua" w:hAnsi="Book Antiqua"/>
          <w:color w:val="000000"/>
        </w:rPr>
        <w:t xml:space="preserve"> Feng L contributed to the designation of all experiments and revised the manuscript</w:t>
      </w:r>
      <w:r w:rsidR="00000BE7" w:rsidRPr="00014BD1">
        <w:rPr>
          <w:rFonts w:ascii="Book Antiqua" w:hAnsi="Book Antiqua"/>
          <w:color w:val="000000"/>
        </w:rPr>
        <w:t>;</w:t>
      </w:r>
      <w:r w:rsidRPr="00014BD1">
        <w:rPr>
          <w:rFonts w:ascii="Book Antiqua" w:hAnsi="Book Antiqua"/>
          <w:color w:val="000000"/>
        </w:rPr>
        <w:t xml:space="preserve"> Wu X, Yao F, Lu XH, Ma YC and Fei GJ collected all of the patient samples and contributed to the designation of the experiments</w:t>
      </w:r>
      <w:r w:rsidR="00000BE7" w:rsidRPr="00014BD1">
        <w:rPr>
          <w:rFonts w:ascii="Book Antiqua" w:hAnsi="Book Antiqua"/>
          <w:color w:val="000000"/>
        </w:rPr>
        <w:t>;</w:t>
      </w:r>
      <w:r w:rsidRPr="00014BD1">
        <w:rPr>
          <w:rFonts w:ascii="Book Antiqua" w:hAnsi="Book Antiqua"/>
          <w:color w:val="000000"/>
        </w:rPr>
        <w:t xml:space="preserve"> Fei GJ and Xu X collected patient clinical data</w:t>
      </w:r>
      <w:r w:rsidR="00000BE7" w:rsidRPr="00014BD1">
        <w:rPr>
          <w:rFonts w:ascii="Book Antiqua" w:hAnsi="Book Antiqua"/>
          <w:color w:val="000000"/>
        </w:rPr>
        <w:t>;</w:t>
      </w:r>
      <w:r w:rsidRPr="00014BD1">
        <w:rPr>
          <w:rFonts w:ascii="Book Antiqua" w:hAnsi="Book Antiqua"/>
          <w:color w:val="000000"/>
        </w:rPr>
        <w:t xml:space="preserve"> An N and Xu X contributed to the RNA preparation</w:t>
      </w:r>
      <w:r w:rsidR="00000BE7" w:rsidRPr="00014BD1">
        <w:rPr>
          <w:rFonts w:ascii="Book Antiqua" w:hAnsi="Book Antiqua"/>
          <w:color w:val="000000"/>
        </w:rPr>
        <w:t>;</w:t>
      </w:r>
      <w:r w:rsidRPr="00014BD1">
        <w:rPr>
          <w:rFonts w:ascii="Book Antiqua" w:hAnsi="Book Antiqua"/>
          <w:color w:val="000000"/>
        </w:rPr>
        <w:t xml:space="preserve"> Feng L performed array hybridization with assistance from Xu X and An N</w:t>
      </w:r>
      <w:r w:rsidR="00000BE7" w:rsidRPr="00014BD1">
        <w:rPr>
          <w:rFonts w:ascii="Book Antiqua" w:hAnsi="Book Antiqua"/>
          <w:color w:val="000000"/>
        </w:rPr>
        <w:t>;</w:t>
      </w:r>
      <w:r w:rsidRPr="00014BD1">
        <w:rPr>
          <w:rFonts w:ascii="Book Antiqua" w:hAnsi="Book Antiqua"/>
          <w:color w:val="000000"/>
        </w:rPr>
        <w:t xml:space="preserve"> Xu X participated in the bioinformatics analyses with the guidance of Feng L and Liu Y</w:t>
      </w:r>
      <w:r w:rsidR="00000BE7" w:rsidRPr="00014BD1">
        <w:rPr>
          <w:rFonts w:ascii="Book Antiqua" w:hAnsi="Book Antiqua"/>
          <w:color w:val="000000"/>
        </w:rPr>
        <w:t xml:space="preserve">; </w:t>
      </w:r>
      <w:r w:rsidRPr="00014BD1">
        <w:rPr>
          <w:rFonts w:ascii="Book Antiqua" w:hAnsi="Book Antiqua"/>
          <w:color w:val="000000"/>
        </w:rPr>
        <w:t>Xu X performed the real time qPCR and immunohistochemical staining experiments and statistical analysis with assistance from Feng L and Liu Y</w:t>
      </w:r>
      <w:r w:rsidR="00000BE7" w:rsidRPr="00014BD1">
        <w:rPr>
          <w:rFonts w:ascii="Book Antiqua" w:hAnsi="Book Antiqua"/>
          <w:color w:val="000000"/>
        </w:rPr>
        <w:t>;</w:t>
      </w:r>
      <w:r w:rsidRPr="00014BD1">
        <w:rPr>
          <w:rFonts w:ascii="Book Antiqua" w:hAnsi="Book Antiqua"/>
          <w:color w:val="000000"/>
        </w:rPr>
        <w:t xml:space="preserve"> Zhou WX and Li Y carried out most of the pathological diagnosis and immunohistochemical evaluation</w:t>
      </w:r>
      <w:r w:rsidR="00000BE7" w:rsidRPr="00014BD1">
        <w:rPr>
          <w:rFonts w:ascii="Book Antiqua" w:hAnsi="Book Antiqua"/>
          <w:color w:val="000000"/>
        </w:rPr>
        <w:t>;</w:t>
      </w:r>
      <w:r w:rsidRPr="00014BD1">
        <w:rPr>
          <w:rFonts w:ascii="Book Antiqua" w:hAnsi="Book Antiqua"/>
          <w:color w:val="000000"/>
        </w:rPr>
        <w:t xml:space="preserve"> Lu XH and Cheng SJ supervised the project. All of the authors read and approved the final manuscript. </w:t>
      </w:r>
    </w:p>
    <w:p w:rsidR="00EF3F71" w:rsidRPr="00014BD1" w:rsidRDefault="00EF3F71"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b/>
          <w:bCs/>
          <w:color w:val="000000"/>
        </w:rPr>
        <w:t xml:space="preserve">Supported </w:t>
      </w:r>
      <w:r w:rsidRPr="00014BD1">
        <w:rPr>
          <w:rFonts w:ascii="Book Antiqua" w:hAnsi="Book Antiqua"/>
          <w:b/>
          <w:color w:val="000000"/>
        </w:rPr>
        <w:t>by</w:t>
      </w:r>
      <w:r w:rsidRPr="00014BD1">
        <w:rPr>
          <w:rFonts w:ascii="Book Antiqua" w:hAnsi="Book Antiqua"/>
          <w:color w:val="000000"/>
        </w:rPr>
        <w:t xml:space="preserve"> the specific grants of </w:t>
      </w:r>
      <w:r w:rsidR="00EF3F71" w:rsidRPr="00014BD1">
        <w:rPr>
          <w:rFonts w:ascii="Book Antiqua" w:hAnsi="Book Antiqua"/>
          <w:color w:val="000000"/>
        </w:rPr>
        <w:t>P</w:t>
      </w:r>
      <w:r w:rsidRPr="00014BD1">
        <w:rPr>
          <w:rFonts w:ascii="Book Antiqua" w:hAnsi="Book Antiqua"/>
          <w:color w:val="000000"/>
        </w:rPr>
        <w:t>ublic-</w:t>
      </w:r>
      <w:r w:rsidR="00EF3F71" w:rsidRPr="00014BD1">
        <w:rPr>
          <w:rFonts w:ascii="Book Antiqua" w:hAnsi="Book Antiqua"/>
          <w:color w:val="000000"/>
        </w:rPr>
        <w:t>F</w:t>
      </w:r>
      <w:r w:rsidRPr="00014BD1">
        <w:rPr>
          <w:rFonts w:ascii="Book Antiqua" w:hAnsi="Book Antiqua"/>
          <w:color w:val="000000"/>
        </w:rPr>
        <w:t xml:space="preserve">unded </w:t>
      </w:r>
      <w:r w:rsidR="00EF3F71" w:rsidRPr="00014BD1">
        <w:rPr>
          <w:rFonts w:ascii="Book Antiqua" w:hAnsi="Book Antiqua"/>
          <w:color w:val="000000"/>
        </w:rPr>
        <w:t>P</w:t>
      </w:r>
      <w:r w:rsidRPr="00014BD1">
        <w:rPr>
          <w:rFonts w:ascii="Book Antiqua" w:hAnsi="Book Antiqua"/>
          <w:color w:val="000000"/>
        </w:rPr>
        <w:t xml:space="preserve">rojects in the </w:t>
      </w:r>
      <w:r w:rsidR="00EF3F71" w:rsidRPr="00014BD1">
        <w:rPr>
          <w:rFonts w:ascii="Book Antiqua" w:hAnsi="Book Antiqua"/>
          <w:color w:val="000000"/>
        </w:rPr>
        <w:t>H</w:t>
      </w:r>
      <w:r w:rsidRPr="00014BD1">
        <w:rPr>
          <w:rFonts w:ascii="Book Antiqua" w:hAnsi="Book Antiqua"/>
          <w:color w:val="000000"/>
        </w:rPr>
        <w:t>ea</w:t>
      </w:r>
      <w:r w:rsidR="00EF3F71" w:rsidRPr="00014BD1">
        <w:rPr>
          <w:rFonts w:ascii="Book Antiqua" w:hAnsi="Book Antiqua"/>
          <w:color w:val="000000"/>
        </w:rPr>
        <w:t xml:space="preserve">lth Industry, </w:t>
      </w:r>
      <w:r w:rsidRPr="00014BD1">
        <w:rPr>
          <w:rFonts w:ascii="Book Antiqua" w:hAnsi="Book Antiqua"/>
          <w:color w:val="000000"/>
        </w:rPr>
        <w:t>G</w:t>
      </w:r>
      <w:r w:rsidR="00EF3F71" w:rsidRPr="00014BD1">
        <w:rPr>
          <w:rFonts w:ascii="Book Antiqua" w:hAnsi="Book Antiqua"/>
          <w:color w:val="000000"/>
        </w:rPr>
        <w:t>rant 200902002</w:t>
      </w:r>
    </w:p>
    <w:p w:rsidR="00EF3F71" w:rsidRPr="00014BD1" w:rsidRDefault="00EF3F71" w:rsidP="00E163AB">
      <w:pPr>
        <w:pStyle w:val="Default"/>
        <w:snapToGrid w:val="0"/>
        <w:spacing w:line="360" w:lineRule="auto"/>
        <w:ind w:rightChars="-15" w:right="-31"/>
        <w:jc w:val="both"/>
        <w:rPr>
          <w:rFonts w:ascii="Book Antiqua" w:hAnsi="Book Antiqua"/>
        </w:rPr>
      </w:pPr>
    </w:p>
    <w:p w:rsidR="00EF3F71" w:rsidRPr="00014BD1" w:rsidRDefault="009929E3" w:rsidP="00E163AB">
      <w:pPr>
        <w:pStyle w:val="CM5"/>
        <w:snapToGrid w:val="0"/>
        <w:spacing w:line="360" w:lineRule="auto"/>
        <w:ind w:rightChars="-15" w:right="-31"/>
        <w:jc w:val="both"/>
        <w:rPr>
          <w:rFonts w:ascii="Book Antiqua" w:hAnsi="Book Antiqua"/>
          <w:color w:val="000000"/>
        </w:rPr>
      </w:pPr>
      <w:r w:rsidRPr="00014BD1">
        <w:rPr>
          <w:rFonts w:ascii="Book Antiqua" w:hAnsi="Book Antiqua"/>
          <w:b/>
          <w:bCs/>
          <w:color w:val="000000"/>
        </w:rPr>
        <w:t>Correspondence to</w:t>
      </w:r>
      <w:r w:rsidRPr="00014BD1">
        <w:rPr>
          <w:rFonts w:ascii="Book Antiqua" w:hAnsi="Book Antiqua"/>
          <w:color w:val="000000"/>
        </w:rPr>
        <w:t xml:space="preserve">: </w:t>
      </w:r>
      <w:r w:rsidRPr="00014BD1">
        <w:rPr>
          <w:rFonts w:ascii="Book Antiqua" w:hAnsi="Book Antiqua"/>
          <w:b/>
          <w:color w:val="000000"/>
        </w:rPr>
        <w:t>Xing-</w:t>
      </w:r>
      <w:r w:rsidR="00EF3F71" w:rsidRPr="00014BD1">
        <w:rPr>
          <w:rFonts w:ascii="Book Antiqua" w:hAnsi="Book Antiqua"/>
          <w:b/>
          <w:color w:val="000000"/>
        </w:rPr>
        <w:t>H</w:t>
      </w:r>
      <w:r w:rsidRPr="00014BD1">
        <w:rPr>
          <w:rFonts w:ascii="Book Antiqua" w:hAnsi="Book Antiqua"/>
          <w:b/>
          <w:color w:val="000000"/>
        </w:rPr>
        <w:t>ua Lu,</w:t>
      </w:r>
      <w:r w:rsidRPr="00014BD1">
        <w:rPr>
          <w:rFonts w:ascii="Book Antiqua" w:hAnsi="Book Antiqua"/>
          <w:color w:val="000000"/>
        </w:rPr>
        <w:t xml:space="preserve"> </w:t>
      </w:r>
      <w:r w:rsidR="00EF3F71" w:rsidRPr="00014BD1">
        <w:rPr>
          <w:rFonts w:ascii="Book Antiqua" w:hAnsi="Book Antiqua"/>
          <w:color w:val="000000"/>
        </w:rPr>
        <w:t xml:space="preserve">Department of </w:t>
      </w:r>
      <w:r w:rsidRPr="00014BD1">
        <w:rPr>
          <w:rFonts w:ascii="Book Antiqua" w:hAnsi="Book Antiqua"/>
          <w:color w:val="000000"/>
        </w:rPr>
        <w:t>G</w:t>
      </w:r>
      <w:r w:rsidR="00EF3F71" w:rsidRPr="00014BD1">
        <w:rPr>
          <w:rFonts w:ascii="Book Antiqua" w:hAnsi="Book Antiqua"/>
          <w:color w:val="000000"/>
        </w:rPr>
        <w:t xml:space="preserve">astroenterology, Peking Union Medical College Hospital, Chinese Academy of Medical </w:t>
      </w:r>
      <w:r w:rsidRPr="00014BD1">
        <w:rPr>
          <w:rFonts w:ascii="Book Antiqua" w:hAnsi="Book Antiqua"/>
          <w:color w:val="000000"/>
        </w:rPr>
        <w:t>S</w:t>
      </w:r>
      <w:r w:rsidR="00EF3F71" w:rsidRPr="00014BD1">
        <w:rPr>
          <w:rFonts w:ascii="Book Antiqua" w:hAnsi="Book Antiqua"/>
          <w:color w:val="000000"/>
        </w:rPr>
        <w:t xml:space="preserve">cience and Peking Union Medical College, </w:t>
      </w:r>
      <w:r w:rsidRPr="00014BD1">
        <w:rPr>
          <w:rFonts w:ascii="Book Antiqua" w:hAnsi="Book Antiqua"/>
          <w:color w:val="000000"/>
        </w:rPr>
        <w:t xml:space="preserve">Shuai Fu Yuan 1, Dongcheng District, Beijing 100730, </w:t>
      </w:r>
      <w:r w:rsidR="00EF3F71" w:rsidRPr="00014BD1">
        <w:rPr>
          <w:rFonts w:ascii="Book Antiqua" w:hAnsi="Book Antiqua"/>
          <w:color w:val="000000"/>
        </w:rPr>
        <w:t>China. lxhbj2000@aliyun.com</w:t>
      </w:r>
      <w:r w:rsidRPr="00014BD1">
        <w:rPr>
          <w:rFonts w:ascii="Book Antiqua" w:hAnsi="Book Antiqua"/>
          <w:color w:val="000000"/>
        </w:rPr>
        <w:t xml:space="preserve"> </w:t>
      </w:r>
    </w:p>
    <w:p w:rsidR="00EF3F71" w:rsidRPr="00014BD1" w:rsidRDefault="00EF3F71" w:rsidP="00E163AB">
      <w:pPr>
        <w:pStyle w:val="CM5"/>
        <w:snapToGrid w:val="0"/>
        <w:spacing w:line="360" w:lineRule="auto"/>
        <w:ind w:rightChars="-15" w:right="-31"/>
        <w:jc w:val="both"/>
        <w:rPr>
          <w:rFonts w:ascii="Book Antiqua" w:hAnsi="Book Antiqua"/>
          <w:color w:val="000000"/>
        </w:rPr>
      </w:pPr>
    </w:p>
    <w:p w:rsidR="00EF3F71" w:rsidRPr="00014BD1" w:rsidRDefault="00EF3F71" w:rsidP="00E163AB">
      <w:pPr>
        <w:autoSpaceDE w:val="0"/>
        <w:autoSpaceDN w:val="0"/>
        <w:adjustRightInd w:val="0"/>
        <w:snapToGrid w:val="0"/>
        <w:spacing w:line="360" w:lineRule="auto"/>
        <w:ind w:rightChars="-15" w:right="-31"/>
        <w:rPr>
          <w:rFonts w:ascii="Book Antiqua" w:hAnsi="Book Antiqua"/>
          <w:color w:val="000000"/>
          <w:sz w:val="24"/>
          <w:szCs w:val="24"/>
        </w:rPr>
      </w:pPr>
      <w:r w:rsidRPr="00014BD1">
        <w:rPr>
          <w:rFonts w:ascii="Book Antiqua" w:hAnsi="Book Antiqua"/>
          <w:b/>
          <w:bCs/>
          <w:color w:val="000000"/>
          <w:kern w:val="0"/>
          <w:sz w:val="24"/>
          <w:szCs w:val="24"/>
        </w:rPr>
        <w:t xml:space="preserve">Telephone: </w:t>
      </w:r>
      <w:bookmarkStart w:id="3" w:name="OLE_LINK1415"/>
      <w:bookmarkStart w:id="4" w:name="OLE_LINK1416"/>
      <w:bookmarkStart w:id="5" w:name="OLE_LINK1417"/>
      <w:r w:rsidRPr="00014BD1">
        <w:rPr>
          <w:rFonts w:ascii="Book Antiqua" w:hAnsi="Book Antiqua"/>
          <w:color w:val="000000"/>
          <w:kern w:val="0"/>
          <w:sz w:val="24"/>
          <w:szCs w:val="24"/>
        </w:rPr>
        <w:t>+</w:t>
      </w:r>
      <w:bookmarkStart w:id="6" w:name="OLE_LINK42"/>
      <w:bookmarkStart w:id="7" w:name="OLE_LINK128"/>
      <w:bookmarkStart w:id="8" w:name="OLE_LINK440"/>
      <w:bookmarkStart w:id="9" w:name="OLE_LINK951"/>
      <w:bookmarkStart w:id="10" w:name="OLE_LINK955"/>
      <w:bookmarkEnd w:id="3"/>
      <w:bookmarkEnd w:id="4"/>
      <w:bookmarkEnd w:id="5"/>
      <w:r w:rsidRPr="00014BD1">
        <w:rPr>
          <w:rFonts w:ascii="Book Antiqua" w:hAnsi="Book Antiqua"/>
          <w:color w:val="000000"/>
          <w:sz w:val="24"/>
          <w:szCs w:val="24"/>
        </w:rPr>
        <w:t>86-10-69155016</w:t>
      </w:r>
      <w:r w:rsidR="00496898" w:rsidRPr="00014BD1">
        <w:rPr>
          <w:rFonts w:ascii="Book Antiqua" w:hAnsi="Book Antiqua"/>
          <w:color w:val="000000"/>
          <w:sz w:val="24"/>
          <w:szCs w:val="24"/>
        </w:rPr>
        <w:t xml:space="preserve"> </w:t>
      </w:r>
      <w:r w:rsidRPr="00014BD1">
        <w:rPr>
          <w:rFonts w:ascii="Book Antiqua" w:hAnsi="Book Antiqua"/>
          <w:b/>
          <w:bCs/>
          <w:color w:val="000000"/>
          <w:kern w:val="0"/>
          <w:sz w:val="24"/>
          <w:szCs w:val="24"/>
        </w:rPr>
        <w:t>Fax:</w:t>
      </w:r>
      <w:r w:rsidRPr="00014BD1">
        <w:rPr>
          <w:rFonts w:ascii="Book Antiqua" w:hAnsi="Book Antiqua"/>
          <w:color w:val="000000"/>
          <w:kern w:val="0"/>
          <w:sz w:val="24"/>
          <w:szCs w:val="24"/>
        </w:rPr>
        <w:t xml:space="preserve"> +</w:t>
      </w:r>
      <w:bookmarkEnd w:id="6"/>
      <w:bookmarkEnd w:id="7"/>
      <w:bookmarkEnd w:id="8"/>
      <w:r w:rsidRPr="00014BD1">
        <w:rPr>
          <w:rFonts w:ascii="Book Antiqua" w:hAnsi="Book Antiqua"/>
          <w:color w:val="000000"/>
          <w:sz w:val="24"/>
          <w:szCs w:val="24"/>
        </w:rPr>
        <w:t>86-10-69155016</w:t>
      </w:r>
    </w:p>
    <w:p w:rsidR="00EF3F71" w:rsidRPr="00014BD1" w:rsidRDefault="00EF3F71" w:rsidP="00E163AB">
      <w:pPr>
        <w:adjustRightInd w:val="0"/>
        <w:snapToGrid w:val="0"/>
        <w:spacing w:line="360" w:lineRule="auto"/>
        <w:ind w:rightChars="-15" w:right="-31"/>
        <w:rPr>
          <w:rFonts w:ascii="Book Antiqua" w:hAnsi="Book Antiqua"/>
          <w:b/>
          <w:sz w:val="24"/>
          <w:szCs w:val="24"/>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r w:rsidRPr="00014BD1">
        <w:rPr>
          <w:rFonts w:ascii="Book Antiqua" w:hAnsi="Book Antiqua"/>
          <w:b/>
          <w:sz w:val="24"/>
          <w:szCs w:val="24"/>
        </w:rPr>
        <w:t>Received:</w:t>
      </w:r>
      <w:r w:rsidR="00003567" w:rsidRPr="00014BD1">
        <w:rPr>
          <w:rFonts w:ascii="Book Antiqua" w:hAnsi="Book Antiqua"/>
          <w:b/>
          <w:sz w:val="24"/>
          <w:szCs w:val="24"/>
        </w:rPr>
        <w:t xml:space="preserve"> </w:t>
      </w:r>
      <w:r w:rsidR="00003567" w:rsidRPr="00014BD1">
        <w:rPr>
          <w:rFonts w:ascii="Book Antiqua" w:hAnsi="Book Antiqua"/>
          <w:sz w:val="24"/>
          <w:szCs w:val="24"/>
        </w:rPr>
        <w:t>May 4, 2014</w:t>
      </w:r>
      <w:r w:rsidR="00496898" w:rsidRPr="00014BD1">
        <w:rPr>
          <w:rFonts w:ascii="Book Antiqua" w:hAnsi="Book Antiqua"/>
          <w:b/>
          <w:sz w:val="24"/>
          <w:szCs w:val="24"/>
        </w:rPr>
        <w:t xml:space="preserve"> </w:t>
      </w:r>
      <w:r w:rsidR="000E670C">
        <w:rPr>
          <w:rFonts w:ascii="Book Antiqua" w:hAnsi="Book Antiqua"/>
          <w:b/>
          <w:sz w:val="24"/>
          <w:szCs w:val="24"/>
        </w:rPr>
        <w:t xml:space="preserve">    </w:t>
      </w:r>
      <w:r w:rsidR="00496898" w:rsidRPr="00014BD1">
        <w:rPr>
          <w:rFonts w:ascii="Book Antiqua" w:hAnsi="Book Antiqua"/>
          <w:b/>
          <w:sz w:val="24"/>
          <w:szCs w:val="24"/>
        </w:rPr>
        <w:t xml:space="preserve"> </w:t>
      </w:r>
      <w:r w:rsidRPr="00014BD1">
        <w:rPr>
          <w:rFonts w:ascii="Book Antiqua" w:hAnsi="Book Antiqua"/>
          <w:b/>
          <w:sz w:val="24"/>
          <w:szCs w:val="24"/>
        </w:rPr>
        <w:t>Revised:</w:t>
      </w:r>
      <w:bookmarkEnd w:id="11"/>
      <w:bookmarkEnd w:id="12"/>
      <w:r w:rsidR="00190EC8" w:rsidRPr="00014BD1">
        <w:rPr>
          <w:rFonts w:ascii="Book Antiqua" w:hAnsi="Book Antiqua"/>
          <w:b/>
          <w:sz w:val="24"/>
          <w:szCs w:val="24"/>
        </w:rPr>
        <w:t xml:space="preserve"> </w:t>
      </w:r>
      <w:bookmarkStart w:id="56" w:name="OLE_LINK103"/>
      <w:bookmarkStart w:id="57" w:name="OLE_LINK104"/>
      <w:bookmarkStart w:id="58" w:name="OLE_LINK69"/>
      <w:bookmarkStart w:id="59" w:name="OLE_LINK70"/>
      <w:r w:rsidR="00003567" w:rsidRPr="00014BD1">
        <w:rPr>
          <w:rFonts w:ascii="Book Antiqua" w:hAnsi="Book Antiqua"/>
          <w:sz w:val="24"/>
          <w:szCs w:val="24"/>
        </w:rPr>
        <w:t>June 5, 2014</w:t>
      </w:r>
    </w:p>
    <w:p w:rsidR="00453CA8" w:rsidRDefault="00EF3F71" w:rsidP="00453CA8">
      <w:pPr>
        <w:rPr>
          <w:rFonts w:ascii="Book Antiqua" w:hAnsi="Book Antiqua"/>
          <w:color w:val="000000"/>
          <w:sz w:val="24"/>
        </w:rPr>
      </w:pPr>
      <w:bookmarkStart w:id="60" w:name="OLE_LINK303"/>
      <w:bookmarkStart w:id="61" w:name="OLE_LINK304"/>
      <w:bookmarkStart w:id="62" w:name="OLE_LINK1382"/>
      <w:bookmarkStart w:id="63" w:name="OLE_LINK2188"/>
      <w:bookmarkStart w:id="64" w:name="OLE_LINK2189"/>
      <w:bookmarkStart w:id="65" w:name="OLE_LINK2615"/>
      <w:r w:rsidRPr="00014BD1">
        <w:rPr>
          <w:rFonts w:ascii="Book Antiqua" w:hAnsi="Book Antiqua"/>
          <w:b/>
          <w:sz w:val="24"/>
          <w:szCs w:val="24"/>
        </w:rPr>
        <w:t>Accepted:</w:t>
      </w:r>
      <w:bookmarkStart w:id="66" w:name="OLE_LINK1"/>
      <w:bookmarkStart w:id="67" w:name="OLE_LINK2"/>
      <w:bookmarkStart w:id="68" w:name="OLE_LINK3"/>
      <w:bookmarkStart w:id="69" w:name="OLE_LINK4"/>
      <w:bookmarkStart w:id="70" w:name="OLE_LINK5"/>
      <w:bookmarkStart w:id="71" w:name="OLE_LINK6"/>
      <w:bookmarkStart w:id="72" w:name="OLE_LINK7"/>
      <w:bookmarkStart w:id="73" w:name="OLE_LINK9"/>
      <w:bookmarkStart w:id="74" w:name="OLE_LINK10"/>
      <w:bookmarkStart w:id="75" w:name="OLE_LINK13"/>
      <w:bookmarkStart w:id="76" w:name="OLE_LINK14"/>
      <w:bookmarkStart w:id="77" w:name="OLE_LINK17"/>
      <w:bookmarkStart w:id="78" w:name="OLE_LINK18"/>
      <w:bookmarkStart w:id="79" w:name="OLE_LINK19"/>
      <w:bookmarkStart w:id="80" w:name="OLE_LINK22"/>
      <w:bookmarkStart w:id="81" w:name="OLE_LINK24"/>
      <w:r w:rsidR="00453CA8" w:rsidRPr="00453CA8">
        <w:rPr>
          <w:rFonts w:ascii="Book Antiqua" w:hAnsi="Book Antiqua"/>
          <w:color w:val="000000"/>
          <w:sz w:val="24"/>
        </w:rPr>
        <w:t xml:space="preserve"> </w:t>
      </w:r>
      <w:r w:rsidR="00453CA8">
        <w:rPr>
          <w:rFonts w:ascii="Book Antiqua" w:hAnsi="Book Antiqua"/>
          <w:color w:val="000000"/>
          <w:sz w:val="24"/>
        </w:rPr>
        <w:t>June 14, 2014</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rsidR="00EF3F71" w:rsidRPr="00014BD1" w:rsidRDefault="00190EC8" w:rsidP="00E163AB">
      <w:pPr>
        <w:adjustRightInd w:val="0"/>
        <w:snapToGrid w:val="0"/>
        <w:spacing w:line="360" w:lineRule="auto"/>
        <w:ind w:rightChars="-15" w:right="-31"/>
        <w:rPr>
          <w:rFonts w:ascii="Book Antiqua" w:hAnsi="Book Antiqua"/>
          <w:b/>
          <w:sz w:val="24"/>
          <w:szCs w:val="24"/>
        </w:rPr>
      </w:pPr>
      <w:r w:rsidRPr="00014BD1">
        <w:rPr>
          <w:rFonts w:ascii="Book Antiqua" w:hAnsi="Book Antiqua"/>
          <w:b/>
          <w:sz w:val="24"/>
          <w:szCs w:val="24"/>
        </w:rPr>
        <w:t xml:space="preserve"> </w:t>
      </w:r>
    </w:p>
    <w:p w:rsidR="00EF3F71" w:rsidRPr="00014BD1" w:rsidRDefault="00EF3F71" w:rsidP="00E163AB">
      <w:pPr>
        <w:adjustRightInd w:val="0"/>
        <w:snapToGrid w:val="0"/>
        <w:spacing w:line="360" w:lineRule="auto"/>
        <w:ind w:rightChars="-15" w:right="-31"/>
        <w:rPr>
          <w:rFonts w:ascii="Book Antiqua" w:hAnsi="Book Antiqua"/>
          <w:b/>
          <w:sz w:val="24"/>
          <w:szCs w:val="24"/>
        </w:rPr>
      </w:pPr>
      <w:r w:rsidRPr="00014BD1">
        <w:rPr>
          <w:rFonts w:ascii="Book Antiqua" w:hAnsi="Book Antiqua"/>
          <w:b/>
          <w:sz w:val="24"/>
          <w:szCs w:val="24"/>
        </w:rPr>
        <w:t xml:space="preserve">Published online: </w:t>
      </w:r>
      <w:bookmarkEnd w:id="56"/>
      <w:bookmarkEnd w:id="57"/>
    </w:p>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EF3F71" w:rsidRPr="00014BD1" w:rsidRDefault="00EF3F71" w:rsidP="00E163AB">
      <w:pPr>
        <w:pStyle w:val="Default"/>
        <w:snapToGrid w:val="0"/>
        <w:spacing w:line="360" w:lineRule="auto"/>
        <w:ind w:rightChars="-15" w:right="-31"/>
        <w:jc w:val="both"/>
        <w:rPr>
          <w:rFonts w:ascii="Book Antiqua" w:hAnsi="Book Antiqua"/>
        </w:rPr>
      </w:pPr>
    </w:p>
    <w:p w:rsidR="00EF3F71" w:rsidRPr="00014BD1" w:rsidRDefault="00EF3F71" w:rsidP="00E163AB">
      <w:pPr>
        <w:pStyle w:val="Default"/>
        <w:snapToGrid w:val="0"/>
        <w:spacing w:line="360" w:lineRule="auto"/>
        <w:ind w:rightChars="-15" w:right="-31"/>
        <w:jc w:val="both"/>
        <w:rPr>
          <w:rFonts w:ascii="Book Antiqua" w:hAnsi="Book Antiqua"/>
        </w:rPr>
      </w:pPr>
    </w:p>
    <w:p w:rsidR="009929E3" w:rsidRPr="00014BD1" w:rsidRDefault="00EF3F71"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b/>
          <w:bCs/>
          <w:color w:val="000000"/>
        </w:rPr>
        <w:br w:type="page"/>
      </w:r>
      <w:r w:rsidR="009929E3" w:rsidRPr="00014BD1">
        <w:rPr>
          <w:rFonts w:ascii="Book Antiqua" w:hAnsi="Book Antiqua"/>
          <w:b/>
          <w:bCs/>
          <w:color w:val="000000"/>
        </w:rPr>
        <w:lastRenderedPageBreak/>
        <w:t xml:space="preserve">Abstract </w:t>
      </w: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b/>
          <w:bCs/>
          <w:color w:val="000000"/>
        </w:rPr>
        <w:t xml:space="preserve">AIM: </w:t>
      </w:r>
      <w:r w:rsidRPr="00014BD1">
        <w:rPr>
          <w:rFonts w:ascii="Book Antiqua" w:hAnsi="Book Antiqua"/>
          <w:color w:val="000000"/>
        </w:rPr>
        <w:t xml:space="preserve">To </w:t>
      </w:r>
      <w:r w:rsidR="00835999" w:rsidRPr="00014BD1">
        <w:rPr>
          <w:rFonts w:ascii="Book Antiqua" w:hAnsi="Book Antiqua"/>
          <w:color w:val="000000"/>
        </w:rPr>
        <w:t xml:space="preserve">investigate the differentiated whole genome expression profilings of gastric high- and low-grade intraepithelial neoplasia and early-stage adenocarcinoma. </w:t>
      </w:r>
    </w:p>
    <w:p w:rsidR="00FF6790" w:rsidRPr="00014BD1" w:rsidRDefault="00FF6790"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b/>
          <w:bCs/>
          <w:color w:val="000000"/>
        </w:rPr>
        <w:t xml:space="preserve">METHODS: </w:t>
      </w:r>
      <w:r w:rsidR="009C235C" w:rsidRPr="00014BD1">
        <w:rPr>
          <w:rFonts w:ascii="Book Antiqua" w:hAnsi="Book Antiqua"/>
          <w:color w:val="000000"/>
        </w:rPr>
        <w:t xml:space="preserve">Gastric specimens from an upper magnifying chromoendoscopic targeted biopsy were collected </w:t>
      </w:r>
      <w:r w:rsidR="00BD3DCC" w:rsidRPr="00014BD1">
        <w:rPr>
          <w:rFonts w:ascii="Book Antiqua" w:hAnsi="Book Antiqua"/>
          <w:color w:val="000000"/>
        </w:rPr>
        <w:t>from</w:t>
      </w:r>
      <w:r w:rsidR="009C235C" w:rsidRPr="00014BD1">
        <w:rPr>
          <w:rFonts w:ascii="Book Antiqua" w:hAnsi="Book Antiqua"/>
          <w:color w:val="000000"/>
        </w:rPr>
        <w:t xml:space="preserve"> March 2010 </w:t>
      </w:r>
      <w:r w:rsidR="00BD3DCC" w:rsidRPr="00014BD1">
        <w:rPr>
          <w:rFonts w:ascii="Book Antiqua" w:hAnsi="Book Antiqua"/>
          <w:color w:val="000000"/>
        </w:rPr>
        <w:t>to</w:t>
      </w:r>
      <w:r w:rsidR="009C235C" w:rsidRPr="00014BD1">
        <w:rPr>
          <w:rFonts w:ascii="Book Antiqua" w:hAnsi="Book Antiqua"/>
          <w:color w:val="000000"/>
        </w:rPr>
        <w:t xml:space="preserve"> May 2013. The whole genome</w:t>
      </w:r>
      <w:r w:rsidRPr="00014BD1">
        <w:rPr>
          <w:rFonts w:ascii="Book Antiqua" w:hAnsi="Book Antiqua"/>
          <w:color w:val="000000"/>
        </w:rPr>
        <w:t xml:space="preserve"> expression profiling was performed on 19 </w:t>
      </w:r>
      <w:r w:rsidR="00FF6790" w:rsidRPr="00014BD1">
        <w:rPr>
          <w:rFonts w:ascii="Book Antiqua" w:hAnsi="Book Antiqua"/>
          <w:color w:val="000000"/>
        </w:rPr>
        <w:t>low-grade intraepithelial neoplasia (</w:t>
      </w:r>
      <w:r w:rsidRPr="00014BD1">
        <w:rPr>
          <w:rFonts w:ascii="Book Antiqua" w:hAnsi="Book Antiqua"/>
          <w:color w:val="000000"/>
        </w:rPr>
        <w:t>LGIN</w:t>
      </w:r>
      <w:r w:rsidR="00FF6790" w:rsidRPr="00014BD1">
        <w:rPr>
          <w:rFonts w:ascii="Book Antiqua" w:hAnsi="Book Antiqua"/>
          <w:color w:val="000000"/>
        </w:rPr>
        <w:t>)</w:t>
      </w:r>
      <w:r w:rsidRPr="00014BD1">
        <w:rPr>
          <w:rFonts w:ascii="Book Antiqua" w:hAnsi="Book Antiqua"/>
          <w:color w:val="000000"/>
        </w:rPr>
        <w:t xml:space="preserve">, 20 </w:t>
      </w:r>
      <w:r w:rsidR="00FF6790" w:rsidRPr="00014BD1">
        <w:rPr>
          <w:rFonts w:ascii="Book Antiqua" w:hAnsi="Book Antiqua"/>
          <w:color w:val="000000"/>
        </w:rPr>
        <w:t>high-grade intraepithelial neoplasia (</w:t>
      </w:r>
      <w:r w:rsidRPr="00014BD1">
        <w:rPr>
          <w:rFonts w:ascii="Book Antiqua" w:hAnsi="Book Antiqua"/>
          <w:color w:val="000000"/>
        </w:rPr>
        <w:t>HGIN</w:t>
      </w:r>
      <w:r w:rsidR="00FF6790" w:rsidRPr="00014BD1">
        <w:rPr>
          <w:rFonts w:ascii="Book Antiqua" w:hAnsi="Book Antiqua"/>
          <w:color w:val="000000"/>
        </w:rPr>
        <w:t>)</w:t>
      </w:r>
      <w:r w:rsidRPr="00014BD1">
        <w:rPr>
          <w:rFonts w:ascii="Book Antiqua" w:hAnsi="Book Antiqua"/>
          <w:color w:val="000000"/>
        </w:rPr>
        <w:t xml:space="preserve">, 19 </w:t>
      </w:r>
      <w:r w:rsidR="00FF6790" w:rsidRPr="00014BD1">
        <w:rPr>
          <w:rFonts w:ascii="Book Antiqua" w:hAnsi="Book Antiqua"/>
          <w:color w:val="000000"/>
        </w:rPr>
        <w:t>early-stage adenocarcinoma (</w:t>
      </w:r>
      <w:r w:rsidRPr="00014BD1">
        <w:rPr>
          <w:rFonts w:ascii="Book Antiqua" w:hAnsi="Book Antiqua"/>
          <w:color w:val="000000"/>
        </w:rPr>
        <w:t>EGC</w:t>
      </w:r>
      <w:r w:rsidR="00FF6790" w:rsidRPr="00014BD1">
        <w:rPr>
          <w:rFonts w:ascii="Book Antiqua" w:hAnsi="Book Antiqua"/>
          <w:color w:val="000000"/>
        </w:rPr>
        <w:t>)</w:t>
      </w:r>
      <w:r w:rsidRPr="00014BD1">
        <w:rPr>
          <w:rFonts w:ascii="Book Antiqua" w:hAnsi="Book Antiqua"/>
          <w:color w:val="000000"/>
        </w:rPr>
        <w:t xml:space="preserve">, and 19 chronic gastritis tissue samples using </w:t>
      </w:r>
      <w:r w:rsidR="00B01EFF" w:rsidRPr="00014BD1">
        <w:rPr>
          <w:rFonts w:ascii="Book Antiqua" w:hAnsi="Book Antiqua"/>
          <w:color w:val="000000"/>
        </w:rPr>
        <w:t xml:space="preserve">Agilent 4 × 44K Whole Human Genome </w:t>
      </w:r>
      <w:r w:rsidRPr="00014BD1">
        <w:rPr>
          <w:rFonts w:ascii="Book Antiqua" w:hAnsi="Book Antiqua"/>
          <w:color w:val="000000"/>
        </w:rPr>
        <w:t xml:space="preserve">microarrays. </w:t>
      </w:r>
      <w:r w:rsidR="00535CBD" w:rsidRPr="00014BD1">
        <w:rPr>
          <w:rFonts w:ascii="Book Antiqua" w:hAnsi="Book Antiqua"/>
          <w:color w:val="000000"/>
        </w:rPr>
        <w:t xml:space="preserve">Differentially expressed genes between different types of lesions were identified using an unpaired </w:t>
      </w:r>
      <w:r w:rsidR="00535CBD" w:rsidRPr="00014BD1">
        <w:rPr>
          <w:rFonts w:ascii="Book Antiqua" w:hAnsi="Book Antiqua"/>
          <w:i/>
          <w:color w:val="000000"/>
        </w:rPr>
        <w:t>t</w:t>
      </w:r>
      <w:r w:rsidR="00535CBD" w:rsidRPr="00014BD1">
        <w:rPr>
          <w:rFonts w:ascii="Book Antiqua" w:hAnsi="Book Antiqua"/>
          <w:color w:val="000000"/>
        </w:rPr>
        <w:t xml:space="preserve">-test and corrected with the Benjamini </w:t>
      </w:r>
      <w:r w:rsidR="006A4B18" w:rsidRPr="00014BD1">
        <w:rPr>
          <w:rFonts w:ascii="Book Antiqua" w:hAnsi="Book Antiqua"/>
          <w:color w:val="000000"/>
        </w:rPr>
        <w:t>and</w:t>
      </w:r>
      <w:r w:rsidR="00535CBD" w:rsidRPr="00014BD1">
        <w:rPr>
          <w:rFonts w:ascii="Book Antiqua" w:hAnsi="Book Antiqua"/>
          <w:color w:val="000000"/>
        </w:rPr>
        <w:t xml:space="preserve"> Hochberg </w:t>
      </w:r>
      <w:r w:rsidR="00CA38FA" w:rsidRPr="00014BD1">
        <w:rPr>
          <w:rFonts w:ascii="Book Antiqua" w:hAnsi="Book Antiqua"/>
          <w:color w:val="000000"/>
        </w:rPr>
        <w:t xml:space="preserve">false discovery rate </w:t>
      </w:r>
      <w:r w:rsidR="00535CBD" w:rsidRPr="00014BD1">
        <w:rPr>
          <w:rFonts w:ascii="Book Antiqua" w:hAnsi="Book Antiqua"/>
          <w:color w:val="000000"/>
        </w:rPr>
        <w:t xml:space="preserve">algorithm. A gene ontology (GO) enrichment analysis was performed using the GeneSpring software GX 12.6. </w:t>
      </w:r>
      <w:r w:rsidRPr="00014BD1">
        <w:rPr>
          <w:rFonts w:ascii="Book Antiqua" w:hAnsi="Book Antiqua"/>
          <w:color w:val="000000"/>
        </w:rPr>
        <w:t>The differentially expressed gene was verified using a real-time TaqMan® PCR assay with independent tissue samples, including 26 LGIN, 15 HGIN, 14 EGC, and 20 chronic gastritis. The expression of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were further validated by immunohistochemical staining</w:t>
      </w:r>
      <w:r w:rsidR="00391255" w:rsidRPr="00014BD1">
        <w:rPr>
          <w:rFonts w:ascii="Book Antiqua" w:hAnsi="Book Antiqua"/>
          <w:color w:val="000000"/>
        </w:rPr>
        <w:t xml:space="preserve"> </w:t>
      </w:r>
      <w:r w:rsidRPr="00014BD1">
        <w:rPr>
          <w:rFonts w:ascii="Book Antiqua" w:hAnsi="Book Antiqua"/>
          <w:color w:val="000000"/>
        </w:rPr>
        <w:t xml:space="preserve">(IHC) in 24 LGIN, 40 HGIN, 30 EGC and 61 chronic gastritis specimens. </w:t>
      </w:r>
    </w:p>
    <w:p w:rsidR="00391255" w:rsidRPr="00014BD1" w:rsidRDefault="00391255"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8"/>
        <w:snapToGrid w:val="0"/>
        <w:spacing w:line="360" w:lineRule="auto"/>
        <w:ind w:rightChars="-15" w:right="-31"/>
        <w:jc w:val="both"/>
        <w:rPr>
          <w:rFonts w:ascii="Book Antiqua" w:hAnsi="Book Antiqua"/>
          <w:color w:val="000000"/>
        </w:rPr>
      </w:pPr>
      <w:r w:rsidRPr="00014BD1">
        <w:rPr>
          <w:rFonts w:ascii="Book Antiqua" w:hAnsi="Book Antiqua"/>
          <w:b/>
          <w:bCs/>
          <w:color w:val="000000"/>
        </w:rPr>
        <w:t xml:space="preserve">RESULTS: </w:t>
      </w:r>
      <w:r w:rsidRPr="00014BD1">
        <w:rPr>
          <w:rFonts w:ascii="Book Antiqua" w:hAnsi="Book Antiqua"/>
          <w:color w:val="000000"/>
        </w:rPr>
        <w:t xml:space="preserve">The gene expression patterns of the LGIN and HGIN tissues were distinct. There were 2521 significantly differentially expressed transcripts in HGIN, with 951 upregulated and 1570 downregulated. A GO enrichment analysis demonstrated that the most striking overexpressed transcripts in HGIN compared with LGIN were in the category of metabolism, defense response, and </w:t>
      </w:r>
      <w:r w:rsidR="006A4B18" w:rsidRPr="00014BD1">
        <w:rPr>
          <w:rFonts w:ascii="Book Antiqua" w:hAnsi="Book Antiqua"/>
          <w:color w:val="000000"/>
        </w:rPr>
        <w:t xml:space="preserve">nuclear factor </w:t>
      </w:r>
      <w:r w:rsidR="00402058" w:rsidRPr="00014BD1">
        <w:rPr>
          <w:rFonts w:ascii="Book Antiqua" w:hAnsi="Book Antiqua"/>
          <w:color w:val="000000"/>
        </w:rPr>
        <w:t>κB (</w:t>
      </w:r>
      <w:r w:rsidRPr="00014BD1">
        <w:rPr>
          <w:rFonts w:ascii="Book Antiqua" w:hAnsi="Book Antiqua"/>
          <w:color w:val="000000"/>
        </w:rPr>
        <w:t>NF-κB</w:t>
      </w:r>
      <w:r w:rsidR="00402058" w:rsidRPr="00014BD1">
        <w:rPr>
          <w:rFonts w:ascii="Book Antiqua" w:hAnsi="Book Antiqua"/>
          <w:color w:val="000000"/>
        </w:rPr>
        <w:t>)</w:t>
      </w:r>
      <w:r w:rsidRPr="00014BD1">
        <w:rPr>
          <w:rFonts w:ascii="Book Antiqua" w:hAnsi="Book Antiqua"/>
          <w:color w:val="000000"/>
        </w:rPr>
        <w:t xml:space="preserve"> cascade. While the vast majority of transcripts barely altered the expression in HGIN and EGC tissues, only 38 transcripts were upregulated in EGC. A GO enrichment analysis revealed that the alterations of the immune response were most prominent in the progression from HGIN to EGC. It is worth noting that compared with LGIN, 289 transcripts expressed at higher levels both in HGIN and EGC. A characteristic gene, G</w:t>
      </w:r>
      <w:r w:rsidRPr="00014BD1">
        <w:rPr>
          <w:rFonts w:ascii="Book Antiqua" w:hAnsi="Book Antiqua"/>
          <w:color w:val="000000"/>
          <w:vertAlign w:val="subscript"/>
        </w:rPr>
        <w:t>0</w:t>
      </w:r>
      <w:r w:rsidRPr="00014BD1">
        <w:rPr>
          <w:rFonts w:ascii="Book Antiqua" w:hAnsi="Book Antiqua"/>
          <w:color w:val="000000"/>
        </w:rPr>
        <w:t>/G</w:t>
      </w:r>
      <w:r w:rsidRPr="00014BD1">
        <w:rPr>
          <w:rFonts w:ascii="Book Antiqua" w:hAnsi="Book Antiqua"/>
          <w:color w:val="000000"/>
          <w:vertAlign w:val="subscript"/>
        </w:rPr>
        <w:t>1</w:t>
      </w:r>
      <w:r w:rsidRPr="00014BD1">
        <w:rPr>
          <w:rFonts w:ascii="Book Antiqua" w:hAnsi="Book Antiqua"/>
          <w:color w:val="000000"/>
        </w:rPr>
        <w:t xml:space="preserve"> switch 2</w:t>
      </w:r>
      <w:r w:rsidR="0043291C" w:rsidRPr="00014BD1">
        <w:rPr>
          <w:rFonts w:ascii="Book Antiqua" w:hAnsi="Book Antiqua"/>
          <w:color w:val="000000"/>
        </w:rPr>
        <w:t xml:space="preserve"> </w:t>
      </w:r>
      <w:r w:rsidRPr="00014BD1">
        <w:rPr>
          <w:rFonts w:ascii="Book Antiqua" w:hAnsi="Book Antiqua"/>
          <w:color w:val="000000"/>
        </w:rPr>
        <w:t>(G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was one of the 289 transcripts and related to metabolism, the immune response, and the NF-κB cascade and whose expression was validated in independent samples through real-time TaqMan® PCR and immunohistochemical staining. In real-time PCR analysis, the expression of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was elevated both in HGIN and EGC compared with that in LGIN</w:t>
      </w:r>
      <w:r w:rsidR="0043291C" w:rsidRPr="00014BD1">
        <w:rPr>
          <w:rFonts w:ascii="Book Antiqua" w:hAnsi="Book Antiqua"/>
          <w:color w:val="000000"/>
        </w:rPr>
        <w:t xml:space="preserve"> </w:t>
      </w:r>
      <w:r w:rsidRPr="00014BD1">
        <w:rPr>
          <w:rFonts w:ascii="Book Antiqua" w:hAnsi="Book Antiqua"/>
          <w:color w:val="000000"/>
        </w:rPr>
        <w:t>(</w:t>
      </w:r>
      <w:r w:rsidR="00E163AB" w:rsidRPr="00014BD1">
        <w:rPr>
          <w:rFonts w:ascii="Book Antiqua" w:hAnsi="Book Antiqua"/>
          <w:i/>
          <w:color w:val="000000"/>
        </w:rPr>
        <w:t>P</w:t>
      </w:r>
      <w:r w:rsidR="0043291C" w:rsidRPr="00014BD1">
        <w:rPr>
          <w:rFonts w:ascii="Book Antiqua" w:hAnsi="Book Antiqua"/>
          <w:color w:val="000000"/>
        </w:rPr>
        <w:t xml:space="preserve"> &lt; </w:t>
      </w:r>
      <w:r w:rsidRPr="00014BD1">
        <w:rPr>
          <w:rFonts w:ascii="Book Antiqua" w:hAnsi="Book Antiqua"/>
          <w:color w:val="000000"/>
        </w:rPr>
        <w:t xml:space="preserve">0.01 and </w:t>
      </w:r>
      <w:r w:rsidR="00E163AB" w:rsidRPr="00014BD1">
        <w:rPr>
          <w:rFonts w:ascii="Book Antiqua" w:hAnsi="Book Antiqua"/>
          <w:i/>
          <w:color w:val="000000"/>
        </w:rPr>
        <w:t>P</w:t>
      </w:r>
      <w:r w:rsidR="0043291C" w:rsidRPr="00014BD1">
        <w:rPr>
          <w:rFonts w:ascii="Book Antiqua" w:hAnsi="Book Antiqua"/>
          <w:color w:val="000000"/>
        </w:rPr>
        <w:t xml:space="preserve"> &lt; </w:t>
      </w:r>
      <w:r w:rsidRPr="00014BD1">
        <w:rPr>
          <w:rFonts w:ascii="Book Antiqua" w:hAnsi="Book Antiqua"/>
          <w:color w:val="000000"/>
        </w:rPr>
        <w:t xml:space="preserve">0.001, </w:t>
      </w:r>
      <w:r w:rsidRPr="00014BD1">
        <w:rPr>
          <w:rFonts w:ascii="Book Antiqua" w:hAnsi="Book Antiqua"/>
          <w:color w:val="000000"/>
        </w:rPr>
        <w:lastRenderedPageBreak/>
        <w:t>respectively). In IHC analysis,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immunoreactivity was detected in the cytoplasmic of neoplastic cells, but was undetectable in chronic gastritis cells. The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expression in HGIN was higher than that of LGIN</w:t>
      </w:r>
      <w:r w:rsidR="0043291C" w:rsidRPr="00014BD1">
        <w:rPr>
          <w:rFonts w:ascii="Book Antiqua" w:hAnsi="Book Antiqua"/>
          <w:color w:val="000000"/>
        </w:rPr>
        <w:t xml:space="preserve"> </w:t>
      </w:r>
      <w:r w:rsidRPr="00014BD1">
        <w:rPr>
          <w:rFonts w:ascii="Book Antiqua" w:hAnsi="Book Antiqua"/>
          <w:color w:val="000000"/>
        </w:rPr>
        <w:t>(</w:t>
      </w:r>
      <w:r w:rsidR="00E163AB" w:rsidRPr="00014BD1">
        <w:rPr>
          <w:rFonts w:ascii="Book Antiqua" w:hAnsi="Book Antiqua"/>
          <w:i/>
          <w:color w:val="000000"/>
        </w:rPr>
        <w:t>P</w:t>
      </w:r>
      <w:r w:rsidR="0043291C" w:rsidRPr="00014BD1">
        <w:rPr>
          <w:rFonts w:ascii="Book Antiqua" w:hAnsi="Book Antiqua"/>
          <w:color w:val="000000"/>
        </w:rPr>
        <w:t xml:space="preserve"> = </w:t>
      </w:r>
      <w:r w:rsidRPr="00014BD1">
        <w:rPr>
          <w:rFonts w:ascii="Book Antiqua" w:hAnsi="Book Antiqua"/>
          <w:color w:val="000000"/>
        </w:rPr>
        <w:t xml:space="preserve">0.012, </w:t>
      </w:r>
      <w:r w:rsidR="0043291C" w:rsidRPr="00014BD1">
        <w:rPr>
          <w:rFonts w:ascii="Book Antiqua" w:hAnsi="Book Antiqua"/>
          <w:i/>
          <w:color w:val="000000"/>
        </w:rPr>
        <w:t>χ</w:t>
      </w:r>
      <w:r w:rsidR="0043291C" w:rsidRPr="00014BD1">
        <w:rPr>
          <w:rFonts w:ascii="Book Antiqua" w:hAnsi="Book Antiqua"/>
          <w:color w:val="000000"/>
          <w:vertAlign w:val="superscript"/>
        </w:rPr>
        <w:t>2</w:t>
      </w:r>
      <w:r w:rsidR="0043291C" w:rsidRPr="00014BD1">
        <w:rPr>
          <w:rFonts w:ascii="Book Antiqua" w:hAnsi="Book Antiqua"/>
          <w:color w:val="000000"/>
        </w:rPr>
        <w:t xml:space="preserve"> = </w:t>
      </w:r>
      <w:r w:rsidRPr="00014BD1">
        <w:rPr>
          <w:rFonts w:ascii="Book Antiqua" w:hAnsi="Book Antiqua"/>
          <w:color w:val="000000"/>
        </w:rPr>
        <w:t>6.28) and EGC</w:t>
      </w:r>
      <w:r w:rsidR="00284A73" w:rsidRPr="00014BD1">
        <w:rPr>
          <w:rFonts w:ascii="Book Antiqua" w:hAnsi="Book Antiqua"/>
          <w:color w:val="000000"/>
        </w:rPr>
        <w:t xml:space="preserve"> </w:t>
      </w:r>
      <w:r w:rsidRPr="00014BD1">
        <w:rPr>
          <w:rFonts w:ascii="Book Antiqua" w:hAnsi="Book Antiqua"/>
          <w:color w:val="000000"/>
        </w:rPr>
        <w:t>(</w:t>
      </w:r>
      <w:r w:rsidR="00E163AB" w:rsidRPr="00014BD1">
        <w:rPr>
          <w:rFonts w:ascii="Book Antiqua" w:hAnsi="Book Antiqua"/>
          <w:i/>
          <w:color w:val="000000"/>
        </w:rPr>
        <w:t>P</w:t>
      </w:r>
      <w:r w:rsidR="0043291C" w:rsidRPr="00014BD1">
        <w:rPr>
          <w:rFonts w:ascii="Book Antiqua" w:hAnsi="Book Antiqua"/>
          <w:color w:val="000000"/>
        </w:rPr>
        <w:t xml:space="preserve"> = </w:t>
      </w:r>
      <w:r w:rsidRPr="00014BD1">
        <w:rPr>
          <w:rFonts w:ascii="Book Antiqua" w:hAnsi="Book Antiqua"/>
          <w:color w:val="000000"/>
        </w:rPr>
        <w:t xml:space="preserve">0.008, </w:t>
      </w:r>
      <w:r w:rsidR="00284A73" w:rsidRPr="00014BD1">
        <w:rPr>
          <w:rFonts w:ascii="Book Antiqua" w:hAnsi="Book Antiqua"/>
          <w:i/>
          <w:color w:val="000000"/>
        </w:rPr>
        <w:t>χ</w:t>
      </w:r>
      <w:r w:rsidR="00284A73" w:rsidRPr="00014BD1">
        <w:rPr>
          <w:rFonts w:ascii="Book Antiqua" w:hAnsi="Book Antiqua"/>
          <w:color w:val="000000"/>
          <w:vertAlign w:val="superscript"/>
        </w:rPr>
        <w:t>2</w:t>
      </w:r>
      <w:r w:rsidR="0043291C" w:rsidRPr="00014BD1">
        <w:rPr>
          <w:rFonts w:ascii="Book Antiqua" w:hAnsi="Book Antiqua"/>
          <w:color w:val="000000"/>
        </w:rPr>
        <w:t xml:space="preserve"> = </w:t>
      </w:r>
      <w:r w:rsidRPr="00014BD1">
        <w:rPr>
          <w:rFonts w:ascii="Book Antiqua" w:hAnsi="Book Antiqua"/>
          <w:color w:val="000000"/>
        </w:rPr>
        <w:t xml:space="preserve">6.94). </w:t>
      </w:r>
    </w:p>
    <w:p w:rsidR="00391255" w:rsidRPr="00014BD1" w:rsidRDefault="00391255"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
        <w:snapToGrid w:val="0"/>
        <w:spacing w:line="360" w:lineRule="auto"/>
        <w:ind w:rightChars="-15" w:right="-31"/>
        <w:jc w:val="both"/>
        <w:rPr>
          <w:rFonts w:ascii="Book Antiqua" w:hAnsi="Book Antiqua"/>
          <w:color w:val="000000"/>
        </w:rPr>
      </w:pPr>
      <w:r w:rsidRPr="00014BD1">
        <w:rPr>
          <w:rFonts w:ascii="Book Antiqua" w:hAnsi="Book Antiqua"/>
          <w:b/>
          <w:bCs/>
          <w:color w:val="000000"/>
        </w:rPr>
        <w:t xml:space="preserve">CONCLUSION: </w:t>
      </w:r>
      <w:r w:rsidRPr="00014BD1">
        <w:rPr>
          <w:rFonts w:ascii="Book Antiqua" w:hAnsi="Book Antiqua"/>
          <w:color w:val="000000"/>
        </w:rPr>
        <w:t xml:space="preserve">The clear biological distinction between gastric high-and low-grade intraepithelial neoplasia are identified, which provides molecular evidence for their clinical application. </w:t>
      </w:r>
    </w:p>
    <w:p w:rsidR="00284A73" w:rsidRPr="00014BD1" w:rsidRDefault="00284A73" w:rsidP="00E163AB">
      <w:pPr>
        <w:pStyle w:val="Default"/>
        <w:snapToGrid w:val="0"/>
        <w:spacing w:line="360" w:lineRule="auto"/>
        <w:ind w:rightChars="-15" w:right="-31"/>
        <w:jc w:val="both"/>
        <w:rPr>
          <w:rFonts w:ascii="Book Antiqua" w:hAnsi="Book Antiqua"/>
        </w:rPr>
      </w:pPr>
    </w:p>
    <w:p w:rsidR="00284A73" w:rsidRPr="00014BD1" w:rsidRDefault="00284A73" w:rsidP="00E163AB">
      <w:pPr>
        <w:adjustRightInd w:val="0"/>
        <w:snapToGrid w:val="0"/>
        <w:spacing w:line="360" w:lineRule="auto"/>
        <w:ind w:rightChars="-15" w:right="-31"/>
        <w:rPr>
          <w:rFonts w:ascii="Book Antiqua" w:hAnsi="Book Antiqua"/>
          <w:sz w:val="24"/>
          <w:szCs w:val="24"/>
        </w:rPr>
      </w:pPr>
      <w:bookmarkStart w:id="82" w:name="OLE_LINK98"/>
      <w:bookmarkStart w:id="83" w:name="OLE_LINK156"/>
      <w:bookmarkStart w:id="84" w:name="OLE_LINK196"/>
      <w:bookmarkStart w:id="85" w:name="OLE_LINK217"/>
      <w:bookmarkStart w:id="86" w:name="OLE_LINK242"/>
      <w:bookmarkStart w:id="87" w:name="OLE_LINK247"/>
      <w:bookmarkStart w:id="88" w:name="OLE_LINK311"/>
      <w:bookmarkStart w:id="89" w:name="OLE_LINK312"/>
      <w:bookmarkStart w:id="90" w:name="OLE_LINK325"/>
      <w:bookmarkStart w:id="91" w:name="OLE_LINK330"/>
      <w:bookmarkStart w:id="92" w:name="OLE_LINK513"/>
      <w:bookmarkStart w:id="93" w:name="OLE_LINK514"/>
      <w:bookmarkStart w:id="94" w:name="OLE_LINK464"/>
      <w:bookmarkStart w:id="95" w:name="OLE_LINK465"/>
      <w:bookmarkStart w:id="96" w:name="OLE_LINK466"/>
      <w:bookmarkStart w:id="97" w:name="OLE_LINK470"/>
      <w:bookmarkStart w:id="98" w:name="OLE_LINK471"/>
      <w:bookmarkStart w:id="99" w:name="OLE_LINK472"/>
      <w:bookmarkStart w:id="100" w:name="OLE_LINK474"/>
      <w:bookmarkStart w:id="101" w:name="OLE_LINK512"/>
      <w:bookmarkStart w:id="102" w:name="OLE_LINK800"/>
      <w:bookmarkStart w:id="103" w:name="OLE_LINK982"/>
      <w:bookmarkStart w:id="104" w:name="OLE_LINK1027"/>
      <w:bookmarkStart w:id="105" w:name="OLE_LINK504"/>
      <w:bookmarkStart w:id="106" w:name="OLE_LINK546"/>
      <w:bookmarkStart w:id="107" w:name="OLE_LINK547"/>
      <w:bookmarkStart w:id="108" w:name="OLE_LINK575"/>
      <w:bookmarkStart w:id="109" w:name="OLE_LINK640"/>
      <w:bookmarkStart w:id="110" w:name="OLE_LINK672"/>
      <w:bookmarkStart w:id="111" w:name="OLE_LINK714"/>
      <w:bookmarkStart w:id="112" w:name="OLE_LINK651"/>
      <w:bookmarkStart w:id="113" w:name="OLE_LINK652"/>
      <w:bookmarkStart w:id="114" w:name="OLE_LINK744"/>
      <w:bookmarkStart w:id="115" w:name="OLE_LINK758"/>
      <w:bookmarkStart w:id="116" w:name="OLE_LINK787"/>
      <w:bookmarkStart w:id="117" w:name="OLE_LINK807"/>
      <w:bookmarkStart w:id="118" w:name="OLE_LINK820"/>
      <w:bookmarkStart w:id="119" w:name="OLE_LINK862"/>
      <w:bookmarkStart w:id="120" w:name="OLE_LINK879"/>
      <w:bookmarkStart w:id="121" w:name="OLE_LINK906"/>
      <w:bookmarkStart w:id="122" w:name="OLE_LINK928"/>
      <w:bookmarkStart w:id="123" w:name="OLE_LINK960"/>
      <w:bookmarkStart w:id="124" w:name="OLE_LINK861"/>
      <w:bookmarkStart w:id="125" w:name="OLE_LINK983"/>
      <w:bookmarkStart w:id="126" w:name="OLE_LINK1334"/>
      <w:bookmarkStart w:id="127" w:name="OLE_LINK1029"/>
      <w:bookmarkStart w:id="128" w:name="OLE_LINK1060"/>
      <w:bookmarkStart w:id="129" w:name="OLE_LINK1061"/>
      <w:bookmarkStart w:id="130" w:name="OLE_LINK1348"/>
      <w:bookmarkStart w:id="131" w:name="OLE_LINK1086"/>
      <w:bookmarkStart w:id="132" w:name="OLE_LINK1100"/>
      <w:bookmarkStart w:id="133" w:name="OLE_LINK1125"/>
      <w:bookmarkStart w:id="134" w:name="OLE_LINK1163"/>
      <w:bookmarkStart w:id="135" w:name="OLE_LINK1193"/>
      <w:bookmarkStart w:id="136" w:name="OLE_LINK1219"/>
      <w:bookmarkStart w:id="137" w:name="OLE_LINK1247"/>
      <w:bookmarkStart w:id="138" w:name="OLE_LINK1284"/>
      <w:bookmarkStart w:id="139" w:name="OLE_LINK1313"/>
      <w:bookmarkStart w:id="140" w:name="OLE_LINK1361"/>
      <w:bookmarkStart w:id="141" w:name="OLE_LINK1384"/>
      <w:bookmarkStart w:id="142" w:name="OLE_LINK1403"/>
      <w:bookmarkStart w:id="143" w:name="OLE_LINK1437"/>
      <w:bookmarkStart w:id="144" w:name="OLE_LINK1454"/>
      <w:bookmarkStart w:id="145" w:name="OLE_LINK1480"/>
      <w:bookmarkStart w:id="146" w:name="OLE_LINK1504"/>
      <w:bookmarkStart w:id="147" w:name="OLE_LINK1516"/>
      <w:bookmarkStart w:id="148" w:name="OLE_LINK135"/>
      <w:bookmarkStart w:id="149" w:name="OLE_LINK216"/>
      <w:bookmarkStart w:id="150" w:name="OLE_LINK259"/>
      <w:bookmarkStart w:id="151" w:name="OLE_LINK1186"/>
      <w:bookmarkStart w:id="152" w:name="OLE_LINK1265"/>
      <w:bookmarkStart w:id="153" w:name="OLE_LINK1373"/>
      <w:bookmarkStart w:id="154" w:name="OLE_LINK1478"/>
      <w:bookmarkStart w:id="155" w:name="OLE_LINK1644"/>
      <w:bookmarkStart w:id="156" w:name="OLE_LINK1884"/>
      <w:bookmarkStart w:id="157" w:name="OLE_LINK1885"/>
      <w:bookmarkStart w:id="158" w:name="OLE_LINK1538"/>
      <w:bookmarkStart w:id="159" w:name="OLE_LINK1539"/>
      <w:bookmarkStart w:id="160" w:name="OLE_LINK1543"/>
      <w:bookmarkStart w:id="161" w:name="OLE_LINK1549"/>
      <w:bookmarkStart w:id="162" w:name="OLE_LINK1778"/>
      <w:bookmarkStart w:id="163" w:name="OLE_LINK1756"/>
      <w:bookmarkStart w:id="164" w:name="OLE_LINK1776"/>
      <w:bookmarkStart w:id="165" w:name="OLE_LINK1777"/>
      <w:bookmarkStart w:id="166" w:name="OLE_LINK1868"/>
      <w:bookmarkStart w:id="167" w:name="OLE_LINK1744"/>
      <w:bookmarkStart w:id="168" w:name="OLE_LINK1817"/>
      <w:bookmarkStart w:id="169" w:name="OLE_LINK1835"/>
      <w:bookmarkStart w:id="170" w:name="OLE_LINK1866"/>
      <w:bookmarkStart w:id="171" w:name="OLE_LINK1882"/>
      <w:bookmarkStart w:id="172" w:name="OLE_LINK1901"/>
      <w:bookmarkStart w:id="173" w:name="OLE_LINK1902"/>
      <w:bookmarkStart w:id="174" w:name="OLE_LINK2013"/>
      <w:bookmarkStart w:id="175" w:name="OLE_LINK1894"/>
      <w:bookmarkStart w:id="176" w:name="OLE_LINK1929"/>
      <w:bookmarkStart w:id="177" w:name="OLE_LINK1941"/>
      <w:bookmarkStart w:id="178" w:name="OLE_LINK1995"/>
      <w:bookmarkStart w:id="179" w:name="OLE_LINK1938"/>
      <w:bookmarkStart w:id="180" w:name="OLE_LINK2081"/>
      <w:bookmarkStart w:id="181" w:name="OLE_LINK2082"/>
      <w:bookmarkStart w:id="182" w:name="OLE_LINK2292"/>
      <w:bookmarkStart w:id="183" w:name="OLE_LINK1931"/>
      <w:bookmarkStart w:id="184" w:name="OLE_LINK1964"/>
      <w:bookmarkStart w:id="185" w:name="OLE_LINK2020"/>
      <w:bookmarkStart w:id="186" w:name="OLE_LINK2071"/>
      <w:bookmarkStart w:id="187" w:name="OLE_LINK2134"/>
      <w:bookmarkStart w:id="188" w:name="OLE_LINK2265"/>
      <w:bookmarkStart w:id="189" w:name="OLE_LINK2562"/>
      <w:bookmarkStart w:id="190" w:name="OLE_LINK1923"/>
      <w:bookmarkStart w:id="191" w:name="OLE_LINK2192"/>
      <w:bookmarkStart w:id="192" w:name="OLE_LINK2110"/>
      <w:bookmarkStart w:id="193" w:name="OLE_LINK2445"/>
      <w:bookmarkStart w:id="194" w:name="OLE_LINK2446"/>
      <w:bookmarkStart w:id="195" w:name="OLE_LINK2169"/>
      <w:bookmarkStart w:id="196" w:name="OLE_LINK2190"/>
      <w:bookmarkStart w:id="197" w:name="OLE_LINK2331"/>
      <w:bookmarkStart w:id="198" w:name="OLE_LINK2345"/>
      <w:bookmarkStart w:id="199" w:name="OLE_LINK2467"/>
      <w:bookmarkStart w:id="200" w:name="OLE_LINK2484"/>
      <w:bookmarkStart w:id="201" w:name="OLE_LINK2157"/>
      <w:bookmarkStart w:id="202" w:name="OLE_LINK2221"/>
      <w:bookmarkStart w:id="203" w:name="OLE_LINK2252"/>
      <w:bookmarkStart w:id="204" w:name="OLE_LINK2348"/>
      <w:bookmarkStart w:id="205" w:name="OLE_LINK2451"/>
      <w:bookmarkStart w:id="206" w:name="OLE_LINK2627"/>
      <w:bookmarkStart w:id="207" w:name="OLE_LINK2482"/>
      <w:bookmarkStart w:id="208" w:name="OLE_LINK2663"/>
      <w:bookmarkStart w:id="209" w:name="OLE_LINK2761"/>
      <w:bookmarkStart w:id="210" w:name="OLE_LINK2856"/>
      <w:bookmarkStart w:id="211" w:name="OLE_LINK2993"/>
      <w:bookmarkStart w:id="212" w:name="OLE_LINK2643"/>
      <w:bookmarkStart w:id="213" w:name="OLE_LINK2583"/>
      <w:bookmarkStart w:id="214" w:name="OLE_LINK2762"/>
      <w:bookmarkStart w:id="215" w:name="OLE_LINK2962"/>
      <w:bookmarkStart w:id="216" w:name="OLE_LINK2582"/>
      <w:r w:rsidRPr="00014BD1">
        <w:rPr>
          <w:rFonts w:ascii="Book Antiqua" w:hAnsi="Book Antiqua"/>
          <w:sz w:val="24"/>
          <w:szCs w:val="24"/>
        </w:rPr>
        <w:t xml:space="preserve">© 2014 Baishideng Publishing </w:t>
      </w:r>
      <w:r w:rsidR="009929E3" w:rsidRPr="00014BD1">
        <w:rPr>
          <w:rFonts w:ascii="Book Antiqua" w:hAnsi="Book Antiqua"/>
          <w:sz w:val="24"/>
          <w:szCs w:val="24"/>
        </w:rPr>
        <w:t>G</w:t>
      </w:r>
      <w:r w:rsidRPr="00014BD1">
        <w:rPr>
          <w:rFonts w:ascii="Book Antiqua" w:hAnsi="Book Antiqua"/>
          <w:sz w:val="24"/>
          <w:szCs w:val="24"/>
        </w:rPr>
        <w:t>roup Inc. All rights reserved.</w:t>
      </w:r>
      <w:r w:rsidR="00190EC8" w:rsidRPr="00014BD1">
        <w:rPr>
          <w:rFonts w:ascii="Book Antiqua" w:hAnsi="Book Antiqua"/>
          <w:sz w:val="24"/>
          <w:szCs w:val="24"/>
        </w:rPr>
        <w:t xml:space="preserve"> </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rsidR="00284A73" w:rsidRPr="00014BD1" w:rsidRDefault="00284A73"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b/>
          <w:bCs/>
          <w:color w:val="000000"/>
        </w:rPr>
        <w:t>Key</w:t>
      </w:r>
      <w:r w:rsidR="00284A73" w:rsidRPr="00014BD1">
        <w:rPr>
          <w:rFonts w:ascii="Book Antiqua" w:hAnsi="Book Antiqua"/>
          <w:b/>
          <w:bCs/>
          <w:color w:val="000000"/>
        </w:rPr>
        <w:t xml:space="preserve"> </w:t>
      </w:r>
      <w:r w:rsidRPr="00014BD1">
        <w:rPr>
          <w:rFonts w:ascii="Book Antiqua" w:hAnsi="Book Antiqua"/>
          <w:b/>
          <w:bCs/>
          <w:color w:val="000000"/>
        </w:rPr>
        <w:t xml:space="preserve">words: </w:t>
      </w:r>
      <w:r w:rsidRPr="00014BD1">
        <w:rPr>
          <w:rFonts w:ascii="Book Antiqua" w:hAnsi="Book Antiqua"/>
          <w:color w:val="000000"/>
        </w:rPr>
        <w:t>Gastric early-stage adenocarcinoma</w:t>
      </w:r>
      <w:r w:rsidR="00284A73" w:rsidRPr="00014BD1">
        <w:rPr>
          <w:rFonts w:ascii="Book Antiqua" w:hAnsi="Book Antiqua"/>
          <w:color w:val="000000"/>
        </w:rPr>
        <w:t>;</w:t>
      </w:r>
      <w:r w:rsidRPr="00014BD1">
        <w:rPr>
          <w:rFonts w:ascii="Book Antiqua" w:hAnsi="Book Antiqua"/>
          <w:color w:val="000000"/>
        </w:rPr>
        <w:t xml:space="preserve"> </w:t>
      </w:r>
      <w:r w:rsidR="00284A73" w:rsidRPr="00014BD1">
        <w:rPr>
          <w:rFonts w:ascii="Book Antiqua" w:hAnsi="Book Antiqua"/>
          <w:color w:val="000000"/>
        </w:rPr>
        <w:t>H</w:t>
      </w:r>
      <w:r w:rsidRPr="00014BD1">
        <w:rPr>
          <w:rFonts w:ascii="Book Antiqua" w:hAnsi="Book Antiqua"/>
          <w:color w:val="000000"/>
        </w:rPr>
        <w:t>igh-and low-grade intraepithelial neoplasia</w:t>
      </w:r>
      <w:r w:rsidR="00284A73" w:rsidRPr="00014BD1">
        <w:rPr>
          <w:rFonts w:ascii="Book Antiqua" w:hAnsi="Book Antiqua"/>
          <w:color w:val="000000"/>
        </w:rPr>
        <w:t>;</w:t>
      </w:r>
      <w:r w:rsidRPr="00014BD1">
        <w:rPr>
          <w:rFonts w:ascii="Book Antiqua" w:hAnsi="Book Antiqua"/>
          <w:color w:val="000000"/>
        </w:rPr>
        <w:t xml:space="preserve"> G</w:t>
      </w:r>
      <w:r w:rsidRPr="00014BD1">
        <w:rPr>
          <w:rFonts w:ascii="Book Antiqua" w:hAnsi="Book Antiqua"/>
          <w:color w:val="000000"/>
          <w:vertAlign w:val="subscript"/>
        </w:rPr>
        <w:t>0</w:t>
      </w:r>
      <w:r w:rsidRPr="00014BD1">
        <w:rPr>
          <w:rFonts w:ascii="Book Antiqua" w:hAnsi="Book Antiqua"/>
          <w:color w:val="000000"/>
        </w:rPr>
        <w:t>/G</w:t>
      </w:r>
      <w:r w:rsidRPr="00014BD1">
        <w:rPr>
          <w:rFonts w:ascii="Book Antiqua" w:hAnsi="Book Antiqua"/>
          <w:color w:val="000000"/>
          <w:vertAlign w:val="subscript"/>
        </w:rPr>
        <w:t>1</w:t>
      </w:r>
      <w:r w:rsidRPr="00014BD1">
        <w:rPr>
          <w:rFonts w:ascii="Book Antiqua" w:hAnsi="Book Antiqua"/>
          <w:color w:val="000000"/>
        </w:rPr>
        <w:t xml:space="preserve"> switch 2</w:t>
      </w:r>
      <w:r w:rsidR="00284A73" w:rsidRPr="00014BD1">
        <w:rPr>
          <w:rFonts w:ascii="Book Antiqua" w:hAnsi="Book Antiqua"/>
          <w:color w:val="000000"/>
        </w:rPr>
        <w:t>; W</w:t>
      </w:r>
      <w:r w:rsidRPr="00014BD1">
        <w:rPr>
          <w:rFonts w:ascii="Book Antiqua" w:hAnsi="Book Antiqua"/>
          <w:color w:val="000000"/>
        </w:rPr>
        <w:t>hole genome expression microarray</w:t>
      </w:r>
      <w:r w:rsidR="00284A73" w:rsidRPr="00014BD1">
        <w:rPr>
          <w:rFonts w:ascii="Book Antiqua" w:hAnsi="Book Antiqua"/>
          <w:color w:val="000000"/>
        </w:rPr>
        <w:t>;</w:t>
      </w:r>
      <w:r w:rsidRPr="00014BD1">
        <w:rPr>
          <w:rFonts w:ascii="Book Antiqua" w:hAnsi="Book Antiqua"/>
          <w:color w:val="000000"/>
        </w:rPr>
        <w:t xml:space="preserve"> </w:t>
      </w:r>
      <w:r w:rsidR="00284A73" w:rsidRPr="00014BD1">
        <w:rPr>
          <w:rFonts w:ascii="Book Antiqua" w:hAnsi="Book Antiqua"/>
          <w:color w:val="000000"/>
        </w:rPr>
        <w:t>Q</w:t>
      </w:r>
      <w:r w:rsidRPr="00014BD1">
        <w:rPr>
          <w:rFonts w:ascii="Book Antiqua" w:hAnsi="Book Antiqua"/>
          <w:color w:val="000000"/>
        </w:rPr>
        <w:t>uantitative real-time PCR</w:t>
      </w:r>
      <w:r w:rsidR="00284A73" w:rsidRPr="00014BD1">
        <w:rPr>
          <w:rFonts w:ascii="Book Antiqua" w:hAnsi="Book Antiqua"/>
          <w:color w:val="000000"/>
        </w:rPr>
        <w:t>;</w:t>
      </w:r>
      <w:r w:rsidRPr="00014BD1">
        <w:rPr>
          <w:rFonts w:ascii="Book Antiqua" w:hAnsi="Book Antiqua"/>
          <w:color w:val="000000"/>
        </w:rPr>
        <w:t xml:space="preserve"> </w:t>
      </w:r>
      <w:r w:rsidR="00284A73" w:rsidRPr="00014BD1">
        <w:rPr>
          <w:rFonts w:ascii="Book Antiqua" w:hAnsi="Book Antiqua"/>
          <w:color w:val="000000"/>
        </w:rPr>
        <w:t>I</w:t>
      </w:r>
      <w:r w:rsidRPr="00014BD1">
        <w:rPr>
          <w:rFonts w:ascii="Book Antiqua" w:hAnsi="Book Antiqua"/>
          <w:color w:val="000000"/>
        </w:rPr>
        <w:t xml:space="preserve">mmunohistochemical staining </w:t>
      </w:r>
    </w:p>
    <w:p w:rsidR="009929E3" w:rsidRPr="00014BD1" w:rsidRDefault="009929E3" w:rsidP="00E163AB">
      <w:pPr>
        <w:pStyle w:val="Default"/>
        <w:snapToGrid w:val="0"/>
        <w:spacing w:line="360" w:lineRule="auto"/>
        <w:ind w:rightChars="-15" w:right="-31"/>
        <w:jc w:val="both"/>
        <w:rPr>
          <w:rFonts w:ascii="Book Antiqua" w:hAnsi="Book Antiqua"/>
        </w:rPr>
      </w:pPr>
    </w:p>
    <w:p w:rsidR="00284A73" w:rsidRPr="00014BD1" w:rsidRDefault="009929E3" w:rsidP="00E163AB">
      <w:pPr>
        <w:pStyle w:val="Default"/>
        <w:snapToGrid w:val="0"/>
        <w:spacing w:line="360" w:lineRule="auto"/>
        <w:ind w:rightChars="-15" w:right="-31"/>
        <w:jc w:val="both"/>
        <w:rPr>
          <w:rFonts w:ascii="Book Antiqua" w:hAnsi="Book Antiqua"/>
        </w:rPr>
      </w:pPr>
      <w:bookmarkStart w:id="217" w:name="OLE_LINK576"/>
      <w:bookmarkStart w:id="218" w:name="OLE_LINK579"/>
      <w:bookmarkStart w:id="219" w:name="OLE_LINK580"/>
      <w:bookmarkStart w:id="220" w:name="OLE_LINK521"/>
      <w:bookmarkStart w:id="221" w:name="OLE_LINK1196"/>
      <w:bookmarkStart w:id="222" w:name="OLE_LINK1154"/>
      <w:bookmarkStart w:id="223" w:name="OLE_LINK1155"/>
      <w:bookmarkStart w:id="224" w:name="OLE_LINK1043"/>
      <w:bookmarkStart w:id="225" w:name="OLE_LINK1322"/>
      <w:bookmarkStart w:id="226" w:name="OLE_LINK1044"/>
      <w:bookmarkStart w:id="227" w:name="OLE_LINK1224"/>
      <w:bookmarkStart w:id="228" w:name="OLE_LINK1225"/>
      <w:bookmarkStart w:id="229" w:name="OLE_LINK1886"/>
      <w:bookmarkStart w:id="230" w:name="OLE_LINK1887"/>
      <w:bookmarkStart w:id="231" w:name="OLE_LINK1888"/>
      <w:bookmarkStart w:id="232" w:name="OLE_LINK1889"/>
      <w:bookmarkStart w:id="233" w:name="OLE_LINK1634"/>
      <w:bookmarkStart w:id="234" w:name="OLE_LINK1635"/>
      <w:bookmarkStart w:id="235" w:name="OLE_LINK1762"/>
      <w:bookmarkStart w:id="236" w:name="OLE_LINK1763"/>
      <w:bookmarkStart w:id="237" w:name="OLE_LINK1764"/>
      <w:bookmarkStart w:id="238" w:name="OLE_LINK1903"/>
      <w:bookmarkStart w:id="239" w:name="OLE_LINK1939"/>
      <w:bookmarkStart w:id="240" w:name="OLE_LINK2083"/>
      <w:bookmarkStart w:id="241" w:name="OLE_LINK2084"/>
      <w:bookmarkStart w:id="242" w:name="OLE_LINK1977"/>
      <w:bookmarkStart w:id="243" w:name="OLE_LINK2194"/>
      <w:bookmarkStart w:id="244" w:name="OLE_LINK3258"/>
      <w:bookmarkStart w:id="245" w:name="OLE_LINK2878"/>
      <w:r w:rsidRPr="00014BD1">
        <w:rPr>
          <w:rFonts w:ascii="Book Antiqua" w:hAnsi="Book Antiqua" w:cs="宋体"/>
          <w:b/>
        </w:rPr>
        <w:t>Core tip:</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014BD1">
        <w:rPr>
          <w:rFonts w:ascii="Book Antiqua" w:hAnsi="Book Antiqua"/>
          <w:shd w:val="clear" w:color="auto" w:fill="EAF4F4"/>
        </w:rPr>
        <w:t xml:space="preserve"> </w:t>
      </w:r>
      <w:r w:rsidRPr="00014BD1">
        <w:rPr>
          <w:rFonts w:ascii="Book Antiqua" w:hAnsi="Book Antiqua"/>
        </w:rPr>
        <w:t xml:space="preserve">This is the first study to perform a comprehensive detection of the gene expression profilings of gastric low-grade and high-grade intraepithelial neoplasia and early-stage adenocarcinoma. This study collected precious samples to report the clear distinction of the gene expression profiles between gastric low-grade and high-grade intraepithelial neoplasia, thus providing molecular evidence for their different clinical application. The characteristic upregulated genes during gastric early carcinogenesis were involved in metabolism and the immune </w:t>
      </w:r>
      <w:r w:rsidR="009700ED" w:rsidRPr="00014BD1">
        <w:rPr>
          <w:rFonts w:ascii="Book Antiqua" w:hAnsi="Book Antiqua"/>
        </w:rPr>
        <w:t xml:space="preserve">response and nuclear factor-κB </w:t>
      </w:r>
      <w:r w:rsidRPr="00014BD1">
        <w:rPr>
          <w:rFonts w:ascii="Book Antiqua" w:hAnsi="Book Antiqua"/>
        </w:rPr>
        <w:t xml:space="preserve">pathway, whose expression was validated in independent samples through real-time TaqMan® </w:t>
      </w:r>
      <w:r w:rsidR="009700ED" w:rsidRPr="00014BD1">
        <w:rPr>
          <w:rFonts w:ascii="Book Antiqua" w:hAnsi="Book Antiqua"/>
        </w:rPr>
        <w:t>polymerase chain reaction</w:t>
      </w:r>
      <w:r w:rsidRPr="00014BD1">
        <w:rPr>
          <w:rFonts w:ascii="Book Antiqua" w:hAnsi="Book Antiqua"/>
        </w:rPr>
        <w:t xml:space="preserve"> and immunohistochemical staining.</w:t>
      </w:r>
    </w:p>
    <w:p w:rsidR="009929E3" w:rsidRPr="00014BD1" w:rsidRDefault="009929E3" w:rsidP="00E163AB">
      <w:pPr>
        <w:pStyle w:val="Default"/>
        <w:snapToGrid w:val="0"/>
        <w:spacing w:line="360" w:lineRule="auto"/>
        <w:ind w:rightChars="-15" w:right="-31"/>
        <w:jc w:val="both"/>
        <w:rPr>
          <w:rFonts w:ascii="Book Antiqua" w:hAnsi="Book Antiqua"/>
        </w:rPr>
      </w:pPr>
    </w:p>
    <w:p w:rsidR="009700ED" w:rsidRPr="00014BD1" w:rsidRDefault="009700ED" w:rsidP="00E163AB">
      <w:pPr>
        <w:pStyle w:val="CM16"/>
        <w:snapToGrid w:val="0"/>
        <w:spacing w:line="360" w:lineRule="auto"/>
        <w:ind w:rightChars="-15" w:right="-31"/>
        <w:jc w:val="both"/>
        <w:rPr>
          <w:rFonts w:ascii="Book Antiqua" w:hAnsi="Book Antiqua"/>
          <w:color w:val="000000"/>
        </w:rPr>
      </w:pPr>
      <w:r w:rsidRPr="00014BD1">
        <w:rPr>
          <w:rFonts w:ascii="Book Antiqua" w:hAnsi="Book Antiqua"/>
          <w:color w:val="000000"/>
        </w:rPr>
        <w:t>Xu X, Liu Y, Zhou WX, Ma</w:t>
      </w:r>
      <w:r w:rsidR="00717A4B" w:rsidRPr="00014BD1">
        <w:rPr>
          <w:rFonts w:ascii="Book Antiqua" w:hAnsi="Book Antiqua"/>
          <w:color w:val="000000"/>
        </w:rPr>
        <w:t xml:space="preserve"> YC</w:t>
      </w:r>
      <w:r w:rsidRPr="00014BD1">
        <w:rPr>
          <w:rFonts w:ascii="Book Antiqua" w:hAnsi="Book Antiqua"/>
          <w:color w:val="000000"/>
        </w:rPr>
        <w:t>, Fei</w:t>
      </w:r>
      <w:r w:rsidR="00717A4B" w:rsidRPr="00014BD1">
        <w:rPr>
          <w:rFonts w:ascii="Book Antiqua" w:hAnsi="Book Antiqua"/>
          <w:color w:val="000000"/>
        </w:rPr>
        <w:t xml:space="preserve"> GJ</w:t>
      </w:r>
      <w:r w:rsidRPr="00014BD1">
        <w:rPr>
          <w:rFonts w:ascii="Book Antiqua" w:hAnsi="Book Antiqua"/>
          <w:color w:val="000000"/>
        </w:rPr>
        <w:t>, An</w:t>
      </w:r>
      <w:r w:rsidR="00717A4B" w:rsidRPr="00014BD1">
        <w:rPr>
          <w:rFonts w:ascii="Book Antiqua" w:hAnsi="Book Antiqua"/>
          <w:color w:val="000000"/>
        </w:rPr>
        <w:t xml:space="preserve"> N</w:t>
      </w:r>
      <w:r w:rsidRPr="00014BD1">
        <w:rPr>
          <w:rFonts w:ascii="Book Antiqua" w:hAnsi="Book Antiqua"/>
          <w:color w:val="000000"/>
        </w:rPr>
        <w:t>, Li</w:t>
      </w:r>
      <w:r w:rsidR="00717A4B" w:rsidRPr="00014BD1">
        <w:rPr>
          <w:rFonts w:ascii="Book Antiqua" w:hAnsi="Book Antiqua"/>
          <w:color w:val="000000"/>
        </w:rPr>
        <w:t xml:space="preserve"> Y</w:t>
      </w:r>
      <w:r w:rsidRPr="00014BD1">
        <w:rPr>
          <w:rFonts w:ascii="Book Antiqua" w:hAnsi="Book Antiqua"/>
          <w:color w:val="000000"/>
        </w:rPr>
        <w:t>, Wu</w:t>
      </w:r>
      <w:r w:rsidR="00717A4B" w:rsidRPr="00014BD1">
        <w:rPr>
          <w:rFonts w:ascii="Book Antiqua" w:hAnsi="Book Antiqua"/>
          <w:color w:val="000000"/>
        </w:rPr>
        <w:t xml:space="preserve"> X</w:t>
      </w:r>
      <w:r w:rsidRPr="00014BD1">
        <w:rPr>
          <w:rFonts w:ascii="Book Antiqua" w:hAnsi="Book Antiqua"/>
          <w:color w:val="000000"/>
        </w:rPr>
        <w:t>, Yao</w:t>
      </w:r>
      <w:r w:rsidR="00717A4B" w:rsidRPr="00014BD1">
        <w:rPr>
          <w:rFonts w:ascii="Book Antiqua" w:hAnsi="Book Antiqua"/>
          <w:color w:val="000000"/>
        </w:rPr>
        <w:t xml:space="preserve"> F</w:t>
      </w:r>
      <w:r w:rsidRPr="00014BD1">
        <w:rPr>
          <w:rFonts w:ascii="Book Antiqua" w:hAnsi="Book Antiqua"/>
          <w:color w:val="000000"/>
        </w:rPr>
        <w:t>, Cheng</w:t>
      </w:r>
      <w:r w:rsidR="00717A4B" w:rsidRPr="00014BD1">
        <w:rPr>
          <w:rFonts w:ascii="Book Antiqua" w:hAnsi="Book Antiqua"/>
          <w:color w:val="000000"/>
        </w:rPr>
        <w:t xml:space="preserve"> SJ</w:t>
      </w:r>
      <w:r w:rsidRPr="00014BD1">
        <w:rPr>
          <w:rFonts w:ascii="Book Antiqua" w:hAnsi="Book Antiqua"/>
          <w:color w:val="000000"/>
        </w:rPr>
        <w:t>, Feng</w:t>
      </w:r>
      <w:r w:rsidR="00717A4B" w:rsidRPr="00014BD1">
        <w:rPr>
          <w:rFonts w:ascii="Book Antiqua" w:hAnsi="Book Antiqua"/>
          <w:color w:val="000000"/>
        </w:rPr>
        <w:t xml:space="preserve"> L</w:t>
      </w:r>
      <w:r w:rsidRPr="00014BD1">
        <w:rPr>
          <w:rFonts w:ascii="Book Antiqua" w:hAnsi="Book Antiqua"/>
          <w:color w:val="000000"/>
        </w:rPr>
        <w:t xml:space="preserve">, Lu </w:t>
      </w:r>
      <w:r w:rsidR="00717A4B" w:rsidRPr="00014BD1">
        <w:rPr>
          <w:rFonts w:ascii="Book Antiqua" w:hAnsi="Book Antiqua"/>
          <w:color w:val="000000"/>
        </w:rPr>
        <w:t xml:space="preserve">XH. </w:t>
      </w:r>
      <w:r w:rsidRPr="00014BD1">
        <w:rPr>
          <w:rFonts w:ascii="Book Antiqua" w:hAnsi="Book Antiqua"/>
          <w:bCs/>
        </w:rPr>
        <w:t>Differential gene-expression profiling of gastric intraepithelial neoplasia and early-stage adenocarcinoma</w:t>
      </w:r>
      <w:r w:rsidR="00717A4B" w:rsidRPr="00014BD1">
        <w:rPr>
          <w:rFonts w:ascii="Book Antiqua" w:hAnsi="Book Antiqua"/>
          <w:bCs/>
        </w:rPr>
        <w:t>.</w:t>
      </w:r>
      <w:r w:rsidR="00717A4B" w:rsidRPr="00014BD1">
        <w:rPr>
          <w:rFonts w:ascii="Book Antiqua" w:hAnsi="Book Antiqua"/>
          <w:i/>
        </w:rPr>
        <w:t xml:space="preserve"> World J Gastroenterol</w:t>
      </w:r>
      <w:r w:rsidR="00717A4B" w:rsidRPr="00014BD1">
        <w:rPr>
          <w:rFonts w:ascii="Book Antiqua" w:hAnsi="Book Antiqua"/>
        </w:rPr>
        <w:t xml:space="preserve"> 2014; In press</w:t>
      </w:r>
    </w:p>
    <w:p w:rsidR="009929E3" w:rsidRPr="00014BD1" w:rsidRDefault="009929E3" w:rsidP="00E163AB">
      <w:pPr>
        <w:pStyle w:val="Default"/>
        <w:snapToGrid w:val="0"/>
        <w:spacing w:line="360" w:lineRule="auto"/>
        <w:ind w:rightChars="-15" w:right="-31"/>
        <w:jc w:val="both"/>
        <w:rPr>
          <w:rFonts w:ascii="Book Antiqua" w:hAnsi="Book Antiqua"/>
        </w:rPr>
      </w:pPr>
    </w:p>
    <w:p w:rsidR="009929E3" w:rsidRPr="00014BD1" w:rsidRDefault="009929E3" w:rsidP="00E163AB">
      <w:pPr>
        <w:adjustRightInd w:val="0"/>
        <w:snapToGrid w:val="0"/>
        <w:spacing w:line="360" w:lineRule="auto"/>
        <w:ind w:rightChars="-15" w:right="-31"/>
        <w:rPr>
          <w:rFonts w:ascii="Book Antiqua" w:hAnsi="Book Antiqua"/>
          <w:color w:val="FF0000"/>
          <w:sz w:val="24"/>
          <w:szCs w:val="24"/>
        </w:rPr>
      </w:pPr>
      <w:bookmarkStart w:id="246" w:name="OLE_LINK389"/>
      <w:bookmarkStart w:id="247" w:name="OLE_LINK391"/>
      <w:bookmarkStart w:id="248" w:name="OLE_LINK432"/>
      <w:bookmarkStart w:id="249" w:name="OLE_LINK1087"/>
      <w:bookmarkStart w:id="250" w:name="OLE_LINK1418"/>
      <w:bookmarkStart w:id="251" w:name="OLE_LINK1267"/>
      <w:bookmarkStart w:id="252" w:name="OLE_LINK2426"/>
    </w:p>
    <w:bookmarkEnd w:id="246"/>
    <w:bookmarkEnd w:id="247"/>
    <w:bookmarkEnd w:id="248"/>
    <w:bookmarkEnd w:id="249"/>
    <w:bookmarkEnd w:id="250"/>
    <w:bookmarkEnd w:id="251"/>
    <w:bookmarkEnd w:id="252"/>
    <w:p w:rsidR="00284A73" w:rsidRPr="00014BD1" w:rsidRDefault="00284A73" w:rsidP="00E163AB">
      <w:pPr>
        <w:pStyle w:val="Default"/>
        <w:snapToGrid w:val="0"/>
        <w:spacing w:line="360" w:lineRule="auto"/>
        <w:ind w:rightChars="-15" w:right="-31"/>
        <w:jc w:val="both"/>
        <w:rPr>
          <w:rFonts w:ascii="Book Antiqua" w:hAnsi="Book Antiqua"/>
        </w:rPr>
      </w:pPr>
    </w:p>
    <w:p w:rsidR="00D20544" w:rsidRPr="00014BD1" w:rsidRDefault="00D20544" w:rsidP="00E163AB">
      <w:pPr>
        <w:pStyle w:val="Default"/>
        <w:snapToGrid w:val="0"/>
        <w:spacing w:line="360" w:lineRule="auto"/>
        <w:ind w:rightChars="-15" w:right="-31"/>
        <w:jc w:val="both"/>
        <w:rPr>
          <w:rFonts w:ascii="Book Antiqua" w:hAnsi="Book Antiqua"/>
        </w:rPr>
      </w:pPr>
    </w:p>
    <w:p w:rsidR="00D20544" w:rsidRPr="00014BD1" w:rsidRDefault="00D20544" w:rsidP="00E163AB">
      <w:pPr>
        <w:pStyle w:val="Default"/>
        <w:snapToGrid w:val="0"/>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b/>
          <w:bCs/>
          <w:color w:val="000000"/>
        </w:rPr>
        <w:t xml:space="preserve">INTRODUCTION </w:t>
      </w: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color w:val="000000"/>
        </w:rPr>
        <w:t>Gastric cancer is the fourth most prevalent malignant disease and the second most common cause of cancer-related deaths worldwide. Early gastric cancer (EGC) is confined to the mucosa and submucosa of the stomach with or without lymph node metastasis. The 5-year survival rates between advanced-stage and early-stage gastric cancer are extremely different (10% and 90%, respec</w:t>
      </w:r>
      <w:r w:rsidR="000C0142" w:rsidRPr="00014BD1">
        <w:rPr>
          <w:rFonts w:ascii="Book Antiqua" w:hAnsi="Book Antiqua"/>
          <w:color w:val="000000"/>
        </w:rPr>
        <w:t>tively)</w:t>
      </w:r>
      <w:r w:rsidRPr="00014BD1">
        <w:rPr>
          <w:rFonts w:ascii="Book Antiqua" w:hAnsi="Book Antiqua"/>
          <w:color w:val="000000"/>
          <w:vertAlign w:val="superscript"/>
        </w:rPr>
        <w:t>[1]</w:t>
      </w:r>
      <w:r w:rsidRPr="00014BD1">
        <w:rPr>
          <w:rFonts w:ascii="Book Antiqua" w:hAnsi="Book Antiqua"/>
          <w:color w:val="000000"/>
        </w:rPr>
        <w:t>. Unlike advanced-stage patients, patients with early-stage gastric cancer and precancerous lesions usually have no symptoms. Precancerous lesions are histological abnormalities and are more likely to occur with cancer. According to the WHO Classification of tumors of the digestive system</w:t>
      </w:r>
      <w:r w:rsidRPr="00014BD1">
        <w:rPr>
          <w:rFonts w:ascii="Book Antiqua" w:hAnsi="Book Antiqua"/>
          <w:color w:val="000000"/>
          <w:vertAlign w:val="superscript"/>
        </w:rPr>
        <w:t>[2]</w:t>
      </w:r>
      <w:r w:rsidRPr="00014BD1">
        <w:rPr>
          <w:rFonts w:ascii="Book Antiqua" w:hAnsi="Book Antiqua"/>
          <w:color w:val="000000"/>
        </w:rPr>
        <w:t>, the terminology of low-grade intraepithelial neoplasia/dysplasia (LGIN) and high-grade intraepithelial neoplasia/</w:t>
      </w:r>
      <w:r w:rsidR="000C0142" w:rsidRPr="00014BD1">
        <w:rPr>
          <w:rFonts w:ascii="Book Antiqua" w:hAnsi="Book Antiqua"/>
          <w:color w:val="000000"/>
        </w:rPr>
        <w:t xml:space="preserve"> </w:t>
      </w:r>
      <w:r w:rsidRPr="00014BD1">
        <w:rPr>
          <w:rFonts w:ascii="Book Antiqua" w:hAnsi="Book Antiqua"/>
          <w:color w:val="000000"/>
        </w:rPr>
        <w:t>dysplasia (HGIN) is recommended for gastric precancerous lesions. Enhanced endoscopy increases the detection of asymptomatic gastric cancer or precancerous lesions for early intervention. Though they have a high incidence, Japan and South Korea have a low mortality-to-incidence ratio (0.43/0.35) that benefits from a population-based screening program</w:t>
      </w:r>
      <w:r w:rsidRPr="00014BD1">
        <w:rPr>
          <w:rFonts w:ascii="Book Antiqua" w:hAnsi="Book Antiqua"/>
          <w:color w:val="000000"/>
          <w:vertAlign w:val="superscript"/>
        </w:rPr>
        <w:t>[3]</w:t>
      </w:r>
      <w:r w:rsidRPr="00014BD1">
        <w:rPr>
          <w:rFonts w:ascii="Book Antiqua" w:hAnsi="Book Antiqua"/>
          <w:color w:val="000000"/>
        </w:rPr>
        <w:t xml:space="preserve">. Therefore, early detection and an appropriate diagnosis of gastric intraepithelial neoplasia and early-stage cancer are associated with improved outcomes for patients. Furthermore, it is important to understand more about these stages both clinically and biologically. </w:t>
      </w:r>
    </w:p>
    <w:p w:rsidR="009929E3" w:rsidRPr="00014BD1" w:rsidRDefault="009929E3" w:rsidP="00E163AB">
      <w:pPr>
        <w:pStyle w:val="CM19"/>
        <w:snapToGrid w:val="0"/>
        <w:spacing w:line="360" w:lineRule="auto"/>
        <w:ind w:rightChars="-15" w:right="-31" w:firstLine="477"/>
        <w:jc w:val="both"/>
        <w:rPr>
          <w:rFonts w:ascii="Book Antiqua" w:hAnsi="Book Antiqua"/>
          <w:color w:val="000000"/>
        </w:rPr>
      </w:pPr>
      <w:r w:rsidRPr="00014BD1">
        <w:rPr>
          <w:rFonts w:ascii="Book Antiqua" w:hAnsi="Book Antiqua"/>
          <w:color w:val="000000"/>
        </w:rPr>
        <w:t>In the Correa cascade of multi-step gastric carcinogenesis</w:t>
      </w:r>
      <w:r w:rsidRPr="00014BD1">
        <w:rPr>
          <w:rFonts w:ascii="Book Antiqua" w:hAnsi="Book Antiqua"/>
          <w:color w:val="000000"/>
          <w:vertAlign w:val="superscript"/>
        </w:rPr>
        <w:t>[4]</w:t>
      </w:r>
      <w:r w:rsidRPr="00014BD1">
        <w:rPr>
          <w:rFonts w:ascii="Book Antiqua" w:hAnsi="Book Antiqua"/>
          <w:color w:val="000000"/>
        </w:rPr>
        <w:t>, an inflammation-metaplasia-dysplasia-carcinoma sequence indicates that dysplasia may be a critical point for malignant transformation. A cohort study demonstrated that 24.9% of patients with severe dysplasia and 2.1% of patients with mild-to-moderate dysplasia received a diagnosis of gastric cancer within 1 year of follow-up after the initial diagnosis</w:t>
      </w:r>
      <w:r w:rsidRPr="00014BD1">
        <w:rPr>
          <w:rFonts w:ascii="Book Antiqua" w:hAnsi="Book Antiqua"/>
          <w:color w:val="000000"/>
          <w:vertAlign w:val="superscript"/>
        </w:rPr>
        <w:t>[5]</w:t>
      </w:r>
      <w:r w:rsidRPr="00014BD1">
        <w:rPr>
          <w:rFonts w:ascii="Book Antiqua" w:hAnsi="Book Antiqua"/>
          <w:color w:val="000000"/>
        </w:rPr>
        <w:t>. Most patients harboring lesions that are classified as high-grade dysplasia are at high risk of either synchronous invasive carcinoma or its rapid development</w:t>
      </w:r>
      <w:r w:rsidRPr="00014BD1">
        <w:rPr>
          <w:rFonts w:ascii="Book Antiqua" w:hAnsi="Book Antiqua"/>
          <w:color w:val="000000"/>
          <w:vertAlign w:val="superscript"/>
        </w:rPr>
        <w:t>[6]</w:t>
      </w:r>
      <w:r w:rsidRPr="00014BD1">
        <w:rPr>
          <w:rFonts w:ascii="Book Antiqua" w:hAnsi="Book Antiqua"/>
          <w:color w:val="000000"/>
        </w:rPr>
        <w:t>. Based on the potential transition between and morphological similarity of dysplasia and carcinoma, the hypothesis that they are biologically related is reasonable. Previous studies of the genomic copy number aberration (CNAs) of gastric precancerous lesions and carcinoma in situ (CIS) have provided the most prominent 8q gain, which was detected most frequently in both HGIN and CIS but was undetected in the LGIN using array comparative genomic hybridization</w:t>
      </w:r>
      <w:r w:rsidRPr="00014BD1">
        <w:rPr>
          <w:rFonts w:ascii="Book Antiqua" w:hAnsi="Book Antiqua"/>
          <w:color w:val="000000"/>
          <w:vertAlign w:val="superscript"/>
        </w:rPr>
        <w:t>[7]</w:t>
      </w:r>
      <w:r w:rsidRPr="00014BD1">
        <w:rPr>
          <w:rFonts w:ascii="Book Antiqua" w:hAnsi="Book Antiqua"/>
          <w:color w:val="000000"/>
        </w:rPr>
        <w:t xml:space="preserve">. Therefore, </w:t>
      </w:r>
      <w:r w:rsidRPr="00014BD1">
        <w:rPr>
          <w:rFonts w:ascii="Book Antiqua" w:hAnsi="Book Antiqua"/>
          <w:color w:val="000000"/>
        </w:rPr>
        <w:lastRenderedPageBreak/>
        <w:t xml:space="preserve">evidence has shown that molecular variations in gastric carcinogenesis have already appeared in precancerous lesions or EGC. </w:t>
      </w:r>
    </w:p>
    <w:p w:rsidR="009929E3" w:rsidRPr="00014BD1" w:rsidRDefault="009929E3" w:rsidP="00E163AB">
      <w:pPr>
        <w:pStyle w:val="CM17"/>
        <w:snapToGrid w:val="0"/>
        <w:spacing w:line="360" w:lineRule="auto"/>
        <w:ind w:rightChars="-15" w:right="-31" w:firstLineChars="50" w:firstLine="120"/>
        <w:jc w:val="both"/>
        <w:rPr>
          <w:rFonts w:ascii="Book Antiqua" w:hAnsi="Book Antiqua"/>
          <w:color w:val="000000"/>
        </w:rPr>
      </w:pPr>
      <w:r w:rsidRPr="00014BD1">
        <w:rPr>
          <w:rFonts w:ascii="Book Antiqua" w:hAnsi="Book Antiqua"/>
          <w:color w:val="000000"/>
        </w:rPr>
        <w:t xml:space="preserve">According to the revised Vienna classification of gastrointestinal epithelial neoplasia, the clinical management of endoscopic follow up is recommended for category 3 (LGIN), while endoscopic or surgical local resection is recommended for category 4 (HGIN). LGIN and HGIN apparently have different clinicopathological characteristics; however, little is known about their biological characteristics. Previous gene expression profiling studies on gastric precancerous lesions did not detail the differences between LGIN and HGIN. </w:t>
      </w:r>
    </w:p>
    <w:p w:rsidR="009929E3" w:rsidRPr="00014BD1" w:rsidRDefault="009929E3" w:rsidP="00E163AB">
      <w:pPr>
        <w:pStyle w:val="CM17"/>
        <w:snapToGrid w:val="0"/>
        <w:spacing w:line="360" w:lineRule="auto"/>
        <w:ind w:rightChars="-15" w:right="-31" w:firstLineChars="50" w:firstLine="120"/>
        <w:jc w:val="both"/>
        <w:rPr>
          <w:rFonts w:ascii="Book Antiqua" w:hAnsi="Book Antiqua"/>
          <w:color w:val="000000"/>
        </w:rPr>
      </w:pPr>
      <w:r w:rsidRPr="00014BD1">
        <w:rPr>
          <w:rFonts w:ascii="Book Antiqua" w:hAnsi="Book Antiqua"/>
          <w:color w:val="000000"/>
        </w:rPr>
        <w:t>In this study, the gene expression profiling of gastric high-and low-grade intraepithelial neoplasia and early-stage adenocarcinoma are investigated to explore the molecular alteration in the malignant progression of gastric neoplasia. The clear distinction of the gene expression profiles between HGIN and LGIN are identified, thus providing molecular evidence for their different clinical application. The microarray data were validated by quantitative real-time PCR in an independent group of patients, and followed by immunohistochemical staining. Interestingly, characteristic upregulated genes during gastric early carcinogenesis were involved in metabolism and the imm</w:t>
      </w:r>
      <w:r w:rsidR="004D4569" w:rsidRPr="00014BD1">
        <w:rPr>
          <w:rFonts w:ascii="Book Antiqua" w:hAnsi="Book Antiqua"/>
          <w:color w:val="000000"/>
        </w:rPr>
        <w:t xml:space="preserve">une response and nuclear factor </w:t>
      </w:r>
      <w:r w:rsidRPr="00014BD1">
        <w:rPr>
          <w:rFonts w:ascii="Book Antiqua" w:hAnsi="Book Antiqua"/>
          <w:color w:val="000000"/>
        </w:rPr>
        <w:t xml:space="preserve">κB (NF-κB) pathway. </w:t>
      </w:r>
    </w:p>
    <w:p w:rsidR="00F77922" w:rsidRPr="00014BD1" w:rsidRDefault="00F77922" w:rsidP="00E163AB">
      <w:pPr>
        <w:pStyle w:val="Default"/>
        <w:snapToGrid w:val="0"/>
        <w:spacing w:line="360" w:lineRule="auto"/>
        <w:ind w:rightChars="-15" w:right="-31"/>
        <w:jc w:val="both"/>
        <w:rPr>
          <w:rFonts w:ascii="Book Antiqua" w:hAnsi="Book Antiqua"/>
        </w:rPr>
      </w:pPr>
    </w:p>
    <w:p w:rsidR="009929E3" w:rsidRPr="00014BD1" w:rsidRDefault="00F77922"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b/>
          <w:bCs/>
          <w:color w:val="000000"/>
        </w:rPr>
        <w:t xml:space="preserve">MATERIALS AND METHODS </w:t>
      </w:r>
    </w:p>
    <w:p w:rsidR="009929E3" w:rsidRPr="00014BD1" w:rsidRDefault="009929E3" w:rsidP="00E163AB">
      <w:pPr>
        <w:pStyle w:val="CM17"/>
        <w:snapToGrid w:val="0"/>
        <w:spacing w:line="360" w:lineRule="auto"/>
        <w:ind w:rightChars="-15" w:right="-31"/>
        <w:jc w:val="both"/>
        <w:rPr>
          <w:rFonts w:ascii="Book Antiqua" w:hAnsi="Book Antiqua"/>
          <w:i/>
          <w:color w:val="000000"/>
        </w:rPr>
      </w:pPr>
      <w:r w:rsidRPr="00014BD1">
        <w:rPr>
          <w:rFonts w:ascii="Book Antiqua" w:hAnsi="Book Antiqua"/>
          <w:b/>
          <w:bCs/>
          <w:i/>
          <w:color w:val="000000"/>
        </w:rPr>
        <w:t xml:space="preserve">Patients and frozen tissue samples </w:t>
      </w:r>
    </w:p>
    <w:p w:rsidR="009929E3" w:rsidRPr="00014BD1" w:rsidRDefault="009929E3" w:rsidP="00E163AB">
      <w:pPr>
        <w:pStyle w:val="CM2"/>
        <w:snapToGrid w:val="0"/>
        <w:spacing w:line="360" w:lineRule="auto"/>
        <w:ind w:rightChars="-15" w:right="-31"/>
        <w:jc w:val="both"/>
        <w:rPr>
          <w:rFonts w:ascii="Book Antiqua" w:hAnsi="Book Antiqua"/>
          <w:color w:val="000000"/>
        </w:rPr>
      </w:pPr>
      <w:r w:rsidRPr="00014BD1">
        <w:rPr>
          <w:rFonts w:ascii="Book Antiqua" w:hAnsi="Book Antiqua"/>
          <w:color w:val="000000"/>
        </w:rPr>
        <w:t xml:space="preserve">The subjects were recruited from Peking Union Medical College Hospital (PUMCH) and Qinghai Provincial People’s Hospital, totaling 137 samples and 15 samples, respectively, between March 2010 and May 2013. Gastric specimens from an upper magnifying chromoendoscopic targeted biopsy were collected. The samples used for pathological diagnosis and for this experiment in each patient were very similar. According to the WHO Classification of Tumors of the Digestive System, the samples can be grouped into 4 categories: LGIN (8148/0), HGIN (8148/2), EGC (8140/3), and the chronic gastritis group. </w:t>
      </w:r>
    </w:p>
    <w:p w:rsidR="009929E3" w:rsidRPr="00014BD1" w:rsidRDefault="009929E3" w:rsidP="00E163AB">
      <w:pPr>
        <w:pStyle w:val="CM20"/>
        <w:snapToGrid w:val="0"/>
        <w:spacing w:line="360" w:lineRule="auto"/>
        <w:ind w:rightChars="-15" w:right="-31" w:firstLineChars="50" w:firstLine="120"/>
        <w:jc w:val="both"/>
        <w:rPr>
          <w:rFonts w:ascii="Book Antiqua" w:hAnsi="Book Antiqua"/>
          <w:color w:val="000000"/>
        </w:rPr>
      </w:pPr>
      <w:r w:rsidRPr="00014BD1">
        <w:rPr>
          <w:rFonts w:ascii="Book Antiqua" w:hAnsi="Book Antiqua"/>
          <w:color w:val="000000"/>
        </w:rPr>
        <w:t>The pathological diagnosis of chronic gastritis was based on the Sydney classification</w:t>
      </w:r>
      <w:r w:rsidR="00C343FE" w:rsidRPr="00014BD1">
        <w:rPr>
          <w:rFonts w:ascii="Book Antiqua" w:hAnsi="Book Antiqua"/>
          <w:color w:val="000000"/>
        </w:rPr>
        <w:t xml:space="preserve"> and considered as controls</w:t>
      </w:r>
      <w:r w:rsidRPr="00014BD1">
        <w:rPr>
          <w:rFonts w:ascii="Book Antiqua" w:hAnsi="Book Antiqua"/>
          <w:color w:val="000000"/>
        </w:rPr>
        <w:t xml:space="preserve">. EGC are confined to the mucosa or submucosa by surgery or ESD (endoscopic submucosal dissection) after the biopsy. This study consisted of a discovery phase and a validation phase with 77 and 75 tissue samples, respectively. In the discovery </w:t>
      </w:r>
      <w:r w:rsidRPr="00014BD1">
        <w:rPr>
          <w:rFonts w:ascii="Book Antiqua" w:hAnsi="Book Antiqua"/>
          <w:color w:val="000000"/>
        </w:rPr>
        <w:lastRenderedPageBreak/>
        <w:t xml:space="preserve">phase, gene expression profiling was performed on 19 LGIN, 20 HGIN, 19 EGC, and 19 chronic gastritis tissue samples using microarrays. In the validation phase, independent tissue samples from 26 LGIN, 15 HGIN, 14 EGC, and 20 chronic gastritis patients were used in a real-time TaqMan® PCR assay (Applied Biosystems, CA, </w:t>
      </w:r>
      <w:r w:rsidR="00F01758" w:rsidRPr="00014BD1">
        <w:rPr>
          <w:rFonts w:ascii="Book Antiqua" w:hAnsi="Book Antiqua"/>
          <w:color w:val="000000"/>
        </w:rPr>
        <w:t>United States</w:t>
      </w:r>
      <w:r w:rsidRPr="00014BD1">
        <w:rPr>
          <w:rFonts w:ascii="Book Antiqua" w:hAnsi="Book Antiqua"/>
          <w:color w:val="000000"/>
        </w:rPr>
        <w:t xml:space="preserve">). The clinicopathological characteristics of the patients in the different groups were evaluated in terms of gender and age. The inclusion criteria included voluntary participation in this study with informed consent and a definite pathological diagnosis by two pathologists. </w:t>
      </w:r>
      <w:r w:rsidR="002E18BC" w:rsidRPr="00014BD1">
        <w:rPr>
          <w:rFonts w:ascii="Book Antiqua" w:hAnsi="Book Antiqua"/>
          <w:color w:val="000000"/>
        </w:rPr>
        <w:t xml:space="preserve">The two pathologists review all cases from two different hospitals </w:t>
      </w:r>
      <w:r w:rsidR="00F408E0" w:rsidRPr="00014BD1">
        <w:rPr>
          <w:rFonts w:ascii="Book Antiqua" w:hAnsi="Book Antiqua"/>
          <w:color w:val="000000"/>
        </w:rPr>
        <w:t xml:space="preserve">according to the same criterion </w:t>
      </w:r>
      <w:r w:rsidR="002E18BC" w:rsidRPr="00014BD1">
        <w:rPr>
          <w:rFonts w:ascii="Book Antiqua" w:hAnsi="Book Antiqua"/>
          <w:color w:val="000000"/>
        </w:rPr>
        <w:t>and agree with all the diagnosis</w:t>
      </w:r>
      <w:r w:rsidR="00F668C8" w:rsidRPr="00014BD1">
        <w:rPr>
          <w:rFonts w:ascii="Book Antiqua" w:hAnsi="Book Antiqua"/>
          <w:color w:val="000000"/>
        </w:rPr>
        <w:t>.</w:t>
      </w:r>
      <w:r w:rsidR="002E18BC" w:rsidRPr="00014BD1">
        <w:rPr>
          <w:rFonts w:ascii="Book Antiqua" w:hAnsi="Book Antiqua"/>
          <w:color w:val="000000"/>
        </w:rPr>
        <w:t xml:space="preserve"> </w:t>
      </w:r>
      <w:r w:rsidRPr="00014BD1">
        <w:rPr>
          <w:rFonts w:ascii="Book Antiqua" w:hAnsi="Book Antiqua"/>
          <w:color w:val="000000"/>
        </w:rPr>
        <w:t xml:space="preserve">This study was approved by Ethics Committee of PUMCH and also received institutional approval; the experiments were carried out in accordance with the World Medical Association Declaration of Helsinki Ethical Principles for Medical </w:t>
      </w:r>
      <w:r w:rsidR="00F62410" w:rsidRPr="00014BD1">
        <w:rPr>
          <w:rFonts w:ascii="Book Antiqua" w:hAnsi="Book Antiqua"/>
          <w:color w:val="000000"/>
        </w:rPr>
        <w:t>Research</w:t>
      </w:r>
      <w:r w:rsidR="00F62410" w:rsidRPr="00014BD1">
        <w:rPr>
          <w:rFonts w:ascii="Book Antiqua" w:hAnsi="Book Antiqua"/>
          <w:color w:val="000000"/>
          <w:vertAlign w:val="superscript"/>
        </w:rPr>
        <w:t>[8]</w:t>
      </w:r>
      <w:r w:rsidRPr="00014BD1">
        <w:rPr>
          <w:rFonts w:ascii="Book Antiqua" w:hAnsi="Book Antiqua"/>
          <w:color w:val="000000"/>
        </w:rPr>
        <w:t xml:space="preserve">. </w:t>
      </w:r>
    </w:p>
    <w:p w:rsidR="00F62410" w:rsidRPr="00014BD1" w:rsidRDefault="00F62410"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i/>
          <w:color w:val="000000"/>
        </w:rPr>
      </w:pPr>
      <w:r w:rsidRPr="00014BD1">
        <w:rPr>
          <w:rFonts w:ascii="Book Antiqua" w:hAnsi="Book Antiqua"/>
          <w:b/>
          <w:bCs/>
          <w:i/>
          <w:color w:val="000000"/>
        </w:rPr>
        <w:t xml:space="preserve">Formalin-fixed tissue samples </w:t>
      </w: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color w:val="000000"/>
        </w:rPr>
        <w:t>Formalin-fixed paraffin-embedded blocks of 155 specimens were obtained from patients who underwent endoscopic submucosal dissection</w:t>
      </w:r>
      <w:r w:rsidR="00F62410" w:rsidRPr="00014BD1">
        <w:rPr>
          <w:rFonts w:ascii="Book Antiqua" w:hAnsi="Book Antiqua"/>
          <w:color w:val="000000"/>
        </w:rPr>
        <w:t xml:space="preserve"> </w:t>
      </w:r>
      <w:r w:rsidRPr="00014BD1">
        <w:rPr>
          <w:rFonts w:ascii="Book Antiqua" w:hAnsi="Book Antiqua"/>
          <w:color w:val="000000"/>
        </w:rPr>
        <w:t>(ESD) in the department of gastroenterology or underwent gastrectomy in the department of general surgery at PUMCH between September 2010 to September 2013. The patients’ ages ranged from 39-78 years with a mean of 56 years. The patients’ male-to-female</w:t>
      </w:r>
      <w:r w:rsidR="00F62410" w:rsidRPr="00014BD1">
        <w:rPr>
          <w:rFonts w:ascii="Book Antiqua" w:hAnsi="Book Antiqua"/>
          <w:color w:val="000000"/>
        </w:rPr>
        <w:t xml:space="preserve"> </w:t>
      </w:r>
      <w:r w:rsidRPr="00014BD1">
        <w:rPr>
          <w:rFonts w:ascii="Book Antiqua" w:hAnsi="Book Antiqua"/>
          <w:color w:val="000000"/>
        </w:rPr>
        <w:t>(M/F) ratio was 1.47. The pathological diagnosis of 61 chronic gastritis was based on the Sydney classification. A total of 94 neoplasia were diagnosed on hematoxylin and eosin</w:t>
      </w:r>
      <w:r w:rsidR="00F62410" w:rsidRPr="00014BD1">
        <w:rPr>
          <w:rFonts w:ascii="Book Antiqua" w:hAnsi="Book Antiqua"/>
          <w:color w:val="000000"/>
        </w:rPr>
        <w:t xml:space="preserve"> </w:t>
      </w:r>
      <w:r w:rsidRPr="00014BD1">
        <w:rPr>
          <w:rFonts w:ascii="Book Antiqua" w:hAnsi="Book Antiqua"/>
          <w:color w:val="000000"/>
        </w:rPr>
        <w:t xml:space="preserve">(HE) according to the WHO Classification of Tumors of the Digestive System, with 24 specimens were classified as LGIN, 40 specimens were classified as HGIN, and 30 specimens were classified as EGC. </w:t>
      </w:r>
    </w:p>
    <w:p w:rsidR="00F62410" w:rsidRPr="00014BD1" w:rsidRDefault="00F62410"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i/>
          <w:color w:val="000000"/>
        </w:rPr>
      </w:pPr>
      <w:r w:rsidRPr="00014BD1">
        <w:rPr>
          <w:rFonts w:ascii="Book Antiqua" w:hAnsi="Book Antiqua"/>
          <w:b/>
          <w:bCs/>
          <w:i/>
          <w:color w:val="000000"/>
        </w:rPr>
        <w:t xml:space="preserve">RNA preparation </w:t>
      </w:r>
    </w:p>
    <w:p w:rsidR="009929E3" w:rsidRPr="00014BD1" w:rsidRDefault="009929E3" w:rsidP="00E163AB">
      <w:pPr>
        <w:pStyle w:val="CM5"/>
        <w:snapToGrid w:val="0"/>
        <w:spacing w:line="360" w:lineRule="auto"/>
        <w:ind w:rightChars="-15" w:right="-31"/>
        <w:jc w:val="both"/>
        <w:rPr>
          <w:rFonts w:ascii="Book Antiqua" w:hAnsi="Book Antiqua"/>
          <w:color w:val="000000"/>
        </w:rPr>
      </w:pPr>
      <w:r w:rsidRPr="00014BD1">
        <w:rPr>
          <w:rFonts w:ascii="Book Antiqua" w:hAnsi="Book Antiqua"/>
          <w:color w:val="000000"/>
        </w:rPr>
        <w:t xml:space="preserve">The samples were stored in RNAlater® Solution immediately after biopsy during the upper endoscopy. The samples were incubated in RNAlater® Solution overnight at 4°C and then transferred to -80°C. The total RNA was extracted using the RNeasy Mini Kit (Qiagen, MD, </w:t>
      </w:r>
      <w:r w:rsidR="00F01758" w:rsidRPr="00014BD1">
        <w:rPr>
          <w:rFonts w:ascii="Book Antiqua" w:hAnsi="Book Antiqua"/>
          <w:color w:val="000000"/>
        </w:rPr>
        <w:t>United States</w:t>
      </w:r>
      <w:r w:rsidRPr="00014BD1">
        <w:rPr>
          <w:rFonts w:ascii="Book Antiqua" w:hAnsi="Book Antiqua"/>
          <w:color w:val="000000"/>
        </w:rPr>
        <w:t xml:space="preserve">). The concentration was measured by ND-1000 UV-VIS spectrophotometry (NanoDrop Technologies, DE, </w:t>
      </w:r>
      <w:r w:rsidR="00F01758" w:rsidRPr="00014BD1">
        <w:rPr>
          <w:rFonts w:ascii="Book Antiqua" w:hAnsi="Book Antiqua"/>
          <w:color w:val="000000"/>
        </w:rPr>
        <w:t>United States</w:t>
      </w:r>
      <w:r w:rsidRPr="00014BD1">
        <w:rPr>
          <w:rFonts w:ascii="Book Antiqua" w:hAnsi="Book Antiqua"/>
          <w:color w:val="000000"/>
        </w:rPr>
        <w:t xml:space="preserve">). The quality of the purified RNA (RNA integrity number, RIN) was detected using the RNA 6000 LabChip Kit and Agilent 2100 Bioanalyzer (Agilent, CA, </w:t>
      </w:r>
      <w:r w:rsidR="00F01758" w:rsidRPr="00014BD1">
        <w:rPr>
          <w:rFonts w:ascii="Book Antiqua" w:hAnsi="Book Antiqua"/>
          <w:color w:val="000000"/>
        </w:rPr>
        <w:t>United States</w:t>
      </w:r>
      <w:r w:rsidRPr="00014BD1">
        <w:rPr>
          <w:rFonts w:ascii="Book Antiqua" w:hAnsi="Book Antiqua"/>
          <w:color w:val="000000"/>
        </w:rPr>
        <w:t xml:space="preserve">). The RNA samples with an </w:t>
      </w:r>
      <w:r w:rsidR="00CF1B7D" w:rsidRPr="00014BD1">
        <w:rPr>
          <w:rFonts w:ascii="Book Antiqua" w:hAnsi="Book Antiqua"/>
          <w:i/>
          <w:color w:val="000000"/>
        </w:rPr>
        <w:t>A</w:t>
      </w:r>
      <w:r w:rsidRPr="00014BD1">
        <w:rPr>
          <w:rFonts w:ascii="Book Antiqua" w:hAnsi="Book Antiqua"/>
          <w:color w:val="000000"/>
          <w:vertAlign w:val="subscript"/>
        </w:rPr>
        <w:t xml:space="preserve">260/280 </w:t>
      </w:r>
      <w:r w:rsidRPr="00014BD1">
        <w:rPr>
          <w:rFonts w:ascii="Book Antiqua" w:hAnsi="Book Antiqua"/>
          <w:color w:val="000000"/>
        </w:rPr>
        <w:t xml:space="preserve">ratio greater than </w:t>
      </w:r>
      <w:r w:rsidRPr="00014BD1">
        <w:rPr>
          <w:rFonts w:ascii="Book Antiqua" w:hAnsi="Book Antiqua"/>
          <w:color w:val="000000"/>
        </w:rPr>
        <w:lastRenderedPageBreak/>
        <w:t xml:space="preserve">1.8 and an RIN greater than 6.5 were included. </w:t>
      </w:r>
    </w:p>
    <w:p w:rsidR="00CF1B7D" w:rsidRPr="00014BD1" w:rsidRDefault="00CF1B7D"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i/>
          <w:color w:val="000000"/>
        </w:rPr>
      </w:pPr>
      <w:r w:rsidRPr="00014BD1">
        <w:rPr>
          <w:rFonts w:ascii="Book Antiqua" w:hAnsi="Book Antiqua"/>
          <w:b/>
          <w:bCs/>
          <w:i/>
          <w:color w:val="000000"/>
        </w:rPr>
        <w:t xml:space="preserve">Gene expression microarray analysis </w:t>
      </w:r>
    </w:p>
    <w:p w:rsidR="009929E3" w:rsidRPr="00014BD1" w:rsidRDefault="009929E3" w:rsidP="00E163AB">
      <w:pPr>
        <w:pStyle w:val="CM4"/>
        <w:snapToGrid w:val="0"/>
        <w:spacing w:line="360" w:lineRule="auto"/>
        <w:ind w:rightChars="-15" w:right="-31"/>
        <w:jc w:val="both"/>
        <w:rPr>
          <w:rFonts w:ascii="Book Antiqua" w:hAnsi="Book Antiqua"/>
          <w:color w:val="000000"/>
        </w:rPr>
      </w:pPr>
      <w:r w:rsidRPr="00014BD1">
        <w:rPr>
          <w:rFonts w:ascii="Book Antiqua" w:hAnsi="Book Antiqua"/>
          <w:color w:val="000000"/>
        </w:rPr>
        <w:t>The sample labeling, hybridization, washing, and scanning steps were performed at the Cancer Institute and Chinese Academy of Medical Science according to the manufacturer’s instructions. Initially, 100 ng total RNA was added to the reaction to generate 1.65</w:t>
      </w:r>
      <w:r w:rsidR="00CF1B7D" w:rsidRPr="00014BD1">
        <w:rPr>
          <w:rFonts w:ascii="Book Antiqua" w:hAnsi="Book Antiqua"/>
          <w:color w:val="000000"/>
        </w:rPr>
        <w:t xml:space="preserve"> μ</w:t>
      </w:r>
      <w:r w:rsidRPr="00014BD1">
        <w:rPr>
          <w:rFonts w:ascii="Book Antiqua" w:hAnsi="Book Antiqua"/>
          <w:color w:val="000000"/>
        </w:rPr>
        <w:t>g Cy3-labeled cRNA using the Low Input Quick Amp Labeling Kit (Agilent). Then, the cRNA was hybridized to an Agilent 4</w:t>
      </w:r>
      <w:r w:rsidR="00CF1B7D" w:rsidRPr="00014BD1">
        <w:rPr>
          <w:rFonts w:ascii="Book Antiqua" w:hAnsi="Book Antiqua"/>
          <w:color w:val="000000"/>
        </w:rPr>
        <w:t xml:space="preserve"> </w:t>
      </w:r>
      <w:r w:rsidRPr="00014BD1">
        <w:rPr>
          <w:rFonts w:ascii="Book Antiqua" w:hAnsi="Book Antiqua"/>
          <w:color w:val="000000"/>
        </w:rPr>
        <w:t>×</w:t>
      </w:r>
      <w:r w:rsidR="00CF1B7D" w:rsidRPr="00014BD1">
        <w:rPr>
          <w:rFonts w:ascii="Book Antiqua" w:hAnsi="Book Antiqua"/>
          <w:color w:val="000000"/>
        </w:rPr>
        <w:t xml:space="preserve"> </w:t>
      </w:r>
      <w:r w:rsidRPr="00014BD1">
        <w:rPr>
          <w:rFonts w:ascii="Book Antiqua" w:hAnsi="Book Antiqua"/>
          <w:color w:val="000000"/>
        </w:rPr>
        <w:t>44K Whole Human Genome microarray. After hybridization, the slides were washed and then scanned with the Agilent G2505B Microarray Scanner System. The fluorescent intensities of the scanned images were extracted and preprocessed with the Agilent Feature Extraction Software (v. 9.1). The microarray data were submitted to NCBI’s Gene Expression Omnibus database (GSE55696). Data normalization, quality control, pr</w:t>
      </w:r>
      <w:r w:rsidR="00A71E2C" w:rsidRPr="00014BD1">
        <w:rPr>
          <w:rFonts w:ascii="Book Antiqua" w:hAnsi="Book Antiqua"/>
          <w:color w:val="000000"/>
        </w:rPr>
        <w:t>incipal component analysis</w:t>
      </w:r>
      <w:r w:rsidRPr="00014BD1">
        <w:rPr>
          <w:rFonts w:ascii="Book Antiqua" w:hAnsi="Book Antiqua"/>
          <w:color w:val="000000"/>
        </w:rPr>
        <w:t xml:space="preserve">, and filter by flags were performed using the GeneSpring software GX 12.6 (Agilent Technologies), and only the detected flags were acceptable. </w:t>
      </w:r>
    </w:p>
    <w:p w:rsidR="00CF1B7D" w:rsidRPr="00014BD1" w:rsidRDefault="00CF1B7D"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i/>
          <w:color w:val="000000"/>
        </w:rPr>
      </w:pPr>
      <w:r w:rsidRPr="00014BD1">
        <w:rPr>
          <w:rFonts w:ascii="Book Antiqua" w:hAnsi="Book Antiqua"/>
          <w:b/>
          <w:bCs/>
          <w:i/>
          <w:color w:val="000000"/>
        </w:rPr>
        <w:t>Rea</w:t>
      </w:r>
      <w:r w:rsidR="00190EC8" w:rsidRPr="00014BD1">
        <w:rPr>
          <w:rFonts w:ascii="Book Antiqua" w:hAnsi="Book Antiqua"/>
          <w:b/>
          <w:bCs/>
          <w:i/>
          <w:color w:val="000000"/>
        </w:rPr>
        <w:t>l-time quantitative PCR</w:t>
      </w:r>
      <w:r w:rsidR="00496898" w:rsidRPr="00014BD1">
        <w:rPr>
          <w:rFonts w:ascii="Book Antiqua" w:hAnsi="Book Antiqua"/>
          <w:b/>
          <w:bCs/>
          <w:i/>
          <w:color w:val="000000"/>
        </w:rPr>
        <w:t xml:space="preserve"> </w:t>
      </w:r>
    </w:p>
    <w:p w:rsidR="009929E3" w:rsidRPr="00014BD1" w:rsidRDefault="009929E3" w:rsidP="00E163AB">
      <w:pPr>
        <w:pStyle w:val="CM17"/>
        <w:snapToGrid w:val="0"/>
        <w:spacing w:line="360" w:lineRule="auto"/>
        <w:ind w:rightChars="-15" w:right="-31"/>
        <w:jc w:val="both"/>
        <w:rPr>
          <w:rFonts w:ascii="Book Antiqua" w:hAnsi="Book Antiqua"/>
          <w:color w:val="000000"/>
        </w:rPr>
      </w:pPr>
      <w:r w:rsidRPr="00014BD1">
        <w:rPr>
          <w:rFonts w:ascii="Book Antiqua" w:hAnsi="Book Antiqua"/>
          <w:color w:val="000000"/>
        </w:rPr>
        <w:t>First, 500 ng total RNA was reverse transcribed using SuperScript™ IIReverse Transcriptase, and cDNA was produced. The gene expression was analyzed on the MX3005P™ QPCR System (Stratagene) using TaqMan® Gene Expression Assay probes for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(Hs00274783_s1) and POLR2A (Hs00172187_m1) according to the manufacturer’s protocol (Applied Biosystems, CA, </w:t>
      </w:r>
      <w:r w:rsidR="00F01758" w:rsidRPr="00014BD1">
        <w:rPr>
          <w:rFonts w:ascii="Book Antiqua" w:hAnsi="Book Antiqua"/>
          <w:color w:val="000000"/>
        </w:rPr>
        <w:t>United States</w:t>
      </w:r>
      <w:r w:rsidRPr="00014BD1">
        <w:rPr>
          <w:rFonts w:ascii="Book Antiqua" w:hAnsi="Book Antiqua"/>
          <w:color w:val="000000"/>
        </w:rPr>
        <w:t>). The PCR program was initiated for 2 min at 50°C and 10 min at 95°C before 45 thermal cycles, each for 15 seconds at 95°C and 1 min at 60°C. The gene expression levels of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were assessed relative to those of POLR2A. The equation -</w:t>
      </w:r>
      <w:r w:rsidRPr="00014BD1">
        <w:rPr>
          <w:rFonts w:ascii="Book Antiqua" w:hAnsi="Book Antiqua"/>
          <w:color w:val="000000"/>
          <w:vertAlign w:val="superscript"/>
        </w:rPr>
        <w:t>ΔCT</w:t>
      </w:r>
      <w:r w:rsidRPr="00014BD1">
        <w:rPr>
          <w:rFonts w:ascii="Book Antiqua" w:hAnsi="Book Antiqua"/>
          <w:color w:val="000000"/>
        </w:rPr>
        <w:t>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00190EC8" w:rsidRPr="00014BD1">
        <w:rPr>
          <w:rFonts w:ascii="Book Antiqua" w:hAnsi="Book Antiqua"/>
          <w:color w:val="000000"/>
        </w:rPr>
        <w:t xml:space="preserve"> </w:t>
      </w:r>
      <w:r w:rsidR="0043291C" w:rsidRPr="00014BD1">
        <w:rPr>
          <w:rFonts w:ascii="Book Antiqua" w:hAnsi="Book Antiqua"/>
          <w:color w:val="000000"/>
        </w:rPr>
        <w:t>=</w:t>
      </w:r>
      <w:r w:rsidR="00190EC8" w:rsidRPr="00014BD1">
        <w:rPr>
          <w:rFonts w:ascii="Book Antiqua" w:hAnsi="Book Antiqua"/>
          <w:color w:val="000000"/>
        </w:rPr>
        <w:t xml:space="preserve"> </w:t>
      </w:r>
      <w:r w:rsidRPr="00014BD1">
        <w:rPr>
          <w:rFonts w:ascii="Book Antiqua" w:hAnsi="Book Antiqua"/>
          <w:color w:val="000000"/>
        </w:rPr>
        <w:t>–(</w:t>
      </w:r>
      <w:r w:rsidRPr="00014BD1">
        <w:rPr>
          <w:rFonts w:ascii="Book Antiqua" w:hAnsi="Book Antiqua"/>
          <w:color w:val="000000"/>
          <w:vertAlign w:val="superscript"/>
        </w:rPr>
        <w:t>CT</w:t>
      </w:r>
      <w:r w:rsidRPr="00014BD1">
        <w:rPr>
          <w:rFonts w:ascii="Book Antiqua" w:hAnsi="Book Antiqua"/>
          <w:color w:val="000000"/>
        </w:rPr>
        <w:t>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00A71E2C" w:rsidRPr="00014BD1">
        <w:rPr>
          <w:rFonts w:ascii="Book Antiqua" w:hAnsi="Book Antiqua"/>
          <w:color w:val="000000"/>
          <w:vertAlign w:val="subscript"/>
        </w:rPr>
        <w:t xml:space="preserve"> </w:t>
      </w:r>
      <w:r w:rsidRPr="00014BD1">
        <w:rPr>
          <w:rFonts w:ascii="Book Antiqua" w:hAnsi="Book Antiqua"/>
          <w:color w:val="000000"/>
        </w:rPr>
        <w:t>-</w:t>
      </w:r>
      <w:r w:rsidR="00A71E2C" w:rsidRPr="00014BD1">
        <w:rPr>
          <w:rFonts w:ascii="Book Antiqua" w:hAnsi="Book Antiqua"/>
          <w:color w:val="000000"/>
        </w:rPr>
        <w:t xml:space="preserve"> </w:t>
      </w:r>
      <w:r w:rsidRPr="00014BD1">
        <w:rPr>
          <w:rFonts w:ascii="Book Antiqua" w:hAnsi="Book Antiqua"/>
          <w:color w:val="000000"/>
          <w:vertAlign w:val="superscript"/>
        </w:rPr>
        <w:t>CT</w:t>
      </w:r>
      <w:r w:rsidRPr="00014BD1">
        <w:rPr>
          <w:rFonts w:ascii="Book Antiqua" w:hAnsi="Book Antiqua"/>
          <w:color w:val="000000"/>
        </w:rPr>
        <w:t>POLR2A) represents the expression level of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That is, a greater -</w:t>
      </w:r>
      <w:r w:rsidRPr="00014BD1">
        <w:rPr>
          <w:rFonts w:ascii="Book Antiqua" w:hAnsi="Book Antiqua"/>
          <w:color w:val="000000"/>
          <w:vertAlign w:val="superscript"/>
        </w:rPr>
        <w:t>ΔCT</w:t>
      </w:r>
      <w:r w:rsidRPr="00014BD1">
        <w:rPr>
          <w:rFonts w:ascii="Book Antiqua" w:hAnsi="Book Antiqua"/>
          <w:color w:val="000000"/>
        </w:rPr>
        <w:t>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values indicates a higher level of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expression. </w:t>
      </w:r>
    </w:p>
    <w:p w:rsidR="00A71E2C" w:rsidRPr="00014BD1" w:rsidRDefault="00A71E2C" w:rsidP="00E163AB">
      <w:pPr>
        <w:pStyle w:val="Default"/>
        <w:spacing w:line="360" w:lineRule="auto"/>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i/>
          <w:color w:val="000000"/>
        </w:rPr>
      </w:pPr>
      <w:r w:rsidRPr="00014BD1">
        <w:rPr>
          <w:rFonts w:ascii="Book Antiqua" w:hAnsi="Book Antiqua"/>
          <w:b/>
          <w:bCs/>
          <w:i/>
          <w:color w:val="000000"/>
        </w:rPr>
        <w:t>Immunohistochemical staining</w:t>
      </w:r>
      <w:r w:rsidR="00190EC8" w:rsidRPr="00014BD1">
        <w:rPr>
          <w:rFonts w:ascii="Book Antiqua" w:hAnsi="Book Antiqua"/>
          <w:b/>
          <w:bCs/>
          <w:i/>
          <w:color w:val="000000"/>
        </w:rPr>
        <w:t xml:space="preserve"> </w:t>
      </w:r>
    </w:p>
    <w:p w:rsidR="009929E3" w:rsidRPr="00014BD1" w:rsidRDefault="009929E3" w:rsidP="00E163AB">
      <w:pPr>
        <w:pStyle w:val="CM5"/>
        <w:snapToGrid w:val="0"/>
        <w:spacing w:line="360" w:lineRule="auto"/>
        <w:ind w:rightChars="-15" w:right="-31"/>
        <w:jc w:val="both"/>
        <w:rPr>
          <w:rFonts w:ascii="Book Antiqua" w:hAnsi="Book Antiqua"/>
          <w:color w:val="000000"/>
        </w:rPr>
      </w:pPr>
      <w:r w:rsidRPr="00014BD1">
        <w:rPr>
          <w:rFonts w:ascii="Book Antiqua" w:hAnsi="Book Antiqua"/>
          <w:color w:val="000000"/>
        </w:rPr>
        <w:t>Immunohistochemical analysis included polyclonal antibody for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(Novus, CO, </w:t>
      </w:r>
      <w:r w:rsidR="00F01758" w:rsidRPr="00014BD1">
        <w:rPr>
          <w:rFonts w:ascii="Book Antiqua" w:hAnsi="Book Antiqua"/>
          <w:color w:val="000000"/>
        </w:rPr>
        <w:t>United States</w:t>
      </w:r>
      <w:r w:rsidRPr="00014BD1">
        <w:rPr>
          <w:rFonts w:ascii="Book Antiqua" w:hAnsi="Book Antiqua"/>
          <w:color w:val="000000"/>
        </w:rPr>
        <w:t>; dilution 1:100). Briefly, paraffin blocks were cut into 3-</w:t>
      </w:r>
      <w:r w:rsidR="00CF1B7D" w:rsidRPr="00014BD1">
        <w:rPr>
          <w:rFonts w:ascii="Book Antiqua" w:hAnsi="Book Antiqua"/>
          <w:color w:val="000000"/>
        </w:rPr>
        <w:t>μ</w:t>
      </w:r>
      <w:r w:rsidRPr="00014BD1">
        <w:rPr>
          <w:rFonts w:ascii="Book Antiqua" w:hAnsi="Book Antiqua"/>
          <w:color w:val="000000"/>
        </w:rPr>
        <w:t xml:space="preserve">m thickness sections. These sections were deparaffinized in xylene and rehydrated in a descending ethanol-to-water </w:t>
      </w:r>
      <w:r w:rsidRPr="00014BD1">
        <w:rPr>
          <w:rFonts w:ascii="Book Antiqua" w:hAnsi="Book Antiqua"/>
          <w:color w:val="000000"/>
        </w:rPr>
        <w:lastRenderedPageBreak/>
        <w:t>gradient series. Endogenous peroxidase was blocked by exposure to 3% H</w:t>
      </w:r>
      <w:r w:rsidRPr="00014BD1">
        <w:rPr>
          <w:rFonts w:ascii="Book Antiqua" w:hAnsi="Book Antiqua"/>
          <w:color w:val="000000"/>
          <w:vertAlign w:val="subscript"/>
        </w:rPr>
        <w:t>2</w:t>
      </w:r>
      <w:r w:rsidRPr="00014BD1">
        <w:rPr>
          <w:rFonts w:ascii="Book Antiqua" w:hAnsi="Book Antiqua"/>
          <w:color w:val="000000"/>
        </w:rPr>
        <w:t>O</w:t>
      </w:r>
      <w:r w:rsidRPr="00014BD1">
        <w:rPr>
          <w:rFonts w:ascii="Book Antiqua" w:hAnsi="Book Antiqua"/>
          <w:color w:val="000000"/>
          <w:vertAlign w:val="subscript"/>
        </w:rPr>
        <w:t>2</w:t>
      </w:r>
      <w:r w:rsidRPr="00014BD1">
        <w:rPr>
          <w:rFonts w:ascii="Book Antiqua" w:hAnsi="Book Antiqua"/>
          <w:color w:val="000000"/>
        </w:rPr>
        <w:t xml:space="preserve"> for 10 min. For antigen retrieval, sections were subjected to microwave heat in citrate buffer (pH 9.0) with ebullition for 5 min. After cooling to room temperature, sections were incubated with a polyclonal antibody for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at room temperature for 2 h. Anti-rabbit immunoglobulin G labeled with biotin</w:t>
      </w:r>
      <w:r w:rsidR="00190EC8" w:rsidRPr="00014BD1">
        <w:rPr>
          <w:rFonts w:ascii="Book Antiqua" w:hAnsi="Book Antiqua"/>
          <w:color w:val="000000"/>
        </w:rPr>
        <w:t xml:space="preserve"> </w:t>
      </w:r>
      <w:r w:rsidRPr="00014BD1">
        <w:rPr>
          <w:rFonts w:ascii="Book Antiqua" w:hAnsi="Book Antiqua"/>
          <w:color w:val="000000"/>
        </w:rPr>
        <w:t xml:space="preserve">(OriGene Technologies, Beijing, China) was used as a secondary antibody for the detection of primary antibodies and was incubated for 30 min at room temperature. The tissue sections were ready for chromogen reaction with 0.02% diaminobenzidine, and then were counterstained with hematoxylin. All samples were processed under the same conditions. Human seminiferous ducts cells in testis tissue served as positive control following the manufacturer’s protocol. </w:t>
      </w:r>
    </w:p>
    <w:p w:rsidR="009929E3" w:rsidRPr="00014BD1" w:rsidRDefault="009929E3" w:rsidP="00E163AB">
      <w:pPr>
        <w:pStyle w:val="CM17"/>
        <w:snapToGrid w:val="0"/>
        <w:spacing w:line="360" w:lineRule="auto"/>
        <w:ind w:rightChars="-15" w:right="-31" w:firstLineChars="50" w:firstLine="120"/>
        <w:jc w:val="both"/>
        <w:rPr>
          <w:rFonts w:ascii="Book Antiqua" w:hAnsi="Book Antiqua"/>
          <w:color w:val="000000"/>
        </w:rPr>
      </w:pPr>
      <w:r w:rsidRPr="00014BD1">
        <w:rPr>
          <w:rFonts w:ascii="Book Antiqua" w:hAnsi="Book Antiqua"/>
          <w:color w:val="000000"/>
        </w:rPr>
        <w:t>All immunostained slides were evaluated independently by two pathologists</w:t>
      </w:r>
      <w:r w:rsidR="00190EC8" w:rsidRPr="00014BD1">
        <w:rPr>
          <w:rFonts w:ascii="Book Antiqua" w:hAnsi="Book Antiqua"/>
          <w:color w:val="000000"/>
        </w:rPr>
        <w:t xml:space="preserve"> </w:t>
      </w:r>
      <w:r w:rsidRPr="00014BD1">
        <w:rPr>
          <w:rFonts w:ascii="Book Antiqua" w:hAnsi="Book Antiqua"/>
          <w:color w:val="000000"/>
        </w:rPr>
        <w:t>(Zhou WX and Li Y). The percentage of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positive cells was calculated and scored as follows: score 0</w:t>
      </w:r>
      <w:r w:rsidR="0043291C" w:rsidRPr="00014BD1">
        <w:rPr>
          <w:rFonts w:ascii="Book Antiqua" w:hAnsi="Book Antiqua"/>
          <w:color w:val="000000"/>
        </w:rPr>
        <w:t xml:space="preserve"> =</w:t>
      </w:r>
      <w:r w:rsidR="00190EC8" w:rsidRPr="00014BD1">
        <w:rPr>
          <w:rFonts w:ascii="Book Antiqua" w:hAnsi="Book Antiqua"/>
          <w:color w:val="000000"/>
        </w:rPr>
        <w:t xml:space="preserve"> </w:t>
      </w:r>
      <w:r w:rsidRPr="00014BD1">
        <w:rPr>
          <w:rFonts w:ascii="Book Antiqua" w:hAnsi="Book Antiqua"/>
          <w:color w:val="000000"/>
        </w:rPr>
        <w:t>undetectable staining and from 1% to 29% of positive cells; 1</w:t>
      </w:r>
      <w:r w:rsidR="0043291C" w:rsidRPr="00014BD1">
        <w:rPr>
          <w:rFonts w:ascii="Book Antiqua" w:hAnsi="Book Antiqua"/>
          <w:color w:val="000000"/>
        </w:rPr>
        <w:t xml:space="preserve"> =</w:t>
      </w:r>
      <w:r w:rsidR="00190EC8" w:rsidRPr="00014BD1">
        <w:rPr>
          <w:rFonts w:ascii="Book Antiqua" w:hAnsi="Book Antiqua"/>
          <w:color w:val="000000"/>
        </w:rPr>
        <w:t xml:space="preserve"> </w:t>
      </w:r>
      <w:r w:rsidRPr="00014BD1">
        <w:rPr>
          <w:rFonts w:ascii="Book Antiqua" w:hAnsi="Book Antiqua"/>
          <w:color w:val="000000"/>
        </w:rPr>
        <w:t>from 30% to 59% of positive cells; 2</w:t>
      </w:r>
      <w:r w:rsidR="0043291C" w:rsidRPr="00014BD1">
        <w:rPr>
          <w:rFonts w:ascii="Book Antiqua" w:hAnsi="Book Antiqua"/>
          <w:color w:val="000000"/>
        </w:rPr>
        <w:t xml:space="preserve"> =</w:t>
      </w:r>
      <w:r w:rsidR="00190EC8" w:rsidRPr="00014BD1">
        <w:rPr>
          <w:rFonts w:ascii="Book Antiqua" w:hAnsi="Book Antiqua"/>
          <w:color w:val="000000"/>
        </w:rPr>
        <w:t xml:space="preserve"> </w:t>
      </w:r>
      <w:r w:rsidRPr="00014BD1">
        <w:rPr>
          <w:rFonts w:ascii="Book Antiqua" w:hAnsi="Book Antiqua"/>
          <w:color w:val="000000"/>
        </w:rPr>
        <w:t>from 60% to 89% of positive cells; 3</w:t>
      </w:r>
      <w:r w:rsidR="0043291C" w:rsidRPr="00014BD1">
        <w:rPr>
          <w:rFonts w:ascii="Book Antiqua" w:hAnsi="Book Antiqua"/>
          <w:color w:val="000000"/>
        </w:rPr>
        <w:t xml:space="preserve"> </w:t>
      </w:r>
      <w:r w:rsidR="008F3779" w:rsidRPr="00014BD1">
        <w:rPr>
          <w:rFonts w:ascii="Book Antiqua" w:hAnsi="Book Antiqua"/>
          <w:color w:val="000000"/>
        </w:rPr>
        <w:t xml:space="preserve">≥ </w:t>
      </w:r>
      <w:r w:rsidRPr="00014BD1">
        <w:rPr>
          <w:rFonts w:ascii="Book Antiqua" w:hAnsi="Book Antiqua"/>
          <w:color w:val="000000"/>
        </w:rPr>
        <w:t>89% of positive cells. The intensity of cytoplasmic staining was also evaluated for G</w:t>
      </w:r>
      <w:r w:rsidRPr="00014BD1">
        <w:rPr>
          <w:rFonts w:ascii="Book Antiqua" w:hAnsi="Book Antiqua"/>
          <w:color w:val="000000"/>
          <w:vertAlign w:val="subscript"/>
        </w:rPr>
        <w:t>0</w:t>
      </w:r>
      <w:r w:rsidRPr="00014BD1">
        <w:rPr>
          <w:rFonts w:ascii="Book Antiqua" w:hAnsi="Book Antiqua"/>
          <w:color w:val="000000"/>
        </w:rPr>
        <w:t>S</w:t>
      </w:r>
      <w:r w:rsidRPr="00014BD1">
        <w:rPr>
          <w:rFonts w:ascii="Book Antiqua" w:hAnsi="Book Antiqua"/>
          <w:color w:val="000000"/>
          <w:vertAlign w:val="subscript"/>
        </w:rPr>
        <w:t>2</w:t>
      </w:r>
      <w:r w:rsidRPr="00014BD1">
        <w:rPr>
          <w:rFonts w:ascii="Book Antiqua" w:hAnsi="Book Antiqua"/>
          <w:color w:val="000000"/>
        </w:rPr>
        <w:t xml:space="preserve"> and scored from 1 to 3</w:t>
      </w:r>
      <w:r w:rsidR="008F3779" w:rsidRPr="00014BD1">
        <w:rPr>
          <w:rFonts w:ascii="Book Antiqua" w:hAnsi="Book Antiqua"/>
          <w:color w:val="000000"/>
        </w:rPr>
        <w:t xml:space="preserve"> </w:t>
      </w:r>
      <w:r w:rsidRPr="00014BD1">
        <w:rPr>
          <w:rFonts w:ascii="Book Antiqua" w:hAnsi="Book Antiqua"/>
          <w:color w:val="000000"/>
        </w:rPr>
        <w:t xml:space="preserve">(from low, through medium to high). For statistical analysis, multipling the percentage and intensity scores provided a composite expression score (0-9). A composite score of 1-4 was classified as negative and 5-9 was ranked as positive. </w:t>
      </w:r>
    </w:p>
    <w:p w:rsidR="008F3779" w:rsidRPr="00014BD1" w:rsidRDefault="008F3779"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hAnsi="Book Antiqua"/>
          <w:i/>
          <w:color w:val="000000"/>
        </w:rPr>
      </w:pPr>
      <w:r w:rsidRPr="00014BD1">
        <w:rPr>
          <w:rFonts w:ascii="Book Antiqua" w:hAnsi="Book Antiqua"/>
          <w:b/>
          <w:bCs/>
          <w:i/>
          <w:color w:val="000000"/>
        </w:rPr>
        <w:t xml:space="preserve">Statistical analysis </w:t>
      </w:r>
    </w:p>
    <w:p w:rsidR="009929E3" w:rsidRPr="00014BD1" w:rsidRDefault="009929E3" w:rsidP="00E163AB">
      <w:pPr>
        <w:pStyle w:val="CM17"/>
        <w:snapToGrid w:val="0"/>
        <w:spacing w:line="360" w:lineRule="auto"/>
        <w:ind w:rightChars="-15" w:right="-31"/>
        <w:jc w:val="both"/>
        <w:rPr>
          <w:rFonts w:ascii="Book Antiqua" w:eastAsia="宋体" w:hAnsi="Book Antiqua"/>
          <w:color w:val="000000"/>
        </w:rPr>
      </w:pPr>
      <w:r w:rsidRPr="00014BD1">
        <w:rPr>
          <w:rFonts w:ascii="Book Antiqua" w:hAnsi="Book Antiqua"/>
          <w:color w:val="000000"/>
        </w:rPr>
        <w:t xml:space="preserve">The statistical analyses of the gene expression microarray data were performed using an unpaired </w:t>
      </w:r>
      <w:r w:rsidRPr="00014BD1">
        <w:rPr>
          <w:rFonts w:ascii="Book Antiqua" w:hAnsi="Book Antiqua"/>
          <w:i/>
          <w:color w:val="000000"/>
        </w:rPr>
        <w:t>t</w:t>
      </w:r>
      <w:r w:rsidRPr="00014BD1">
        <w:rPr>
          <w:rFonts w:ascii="Book Antiqua" w:hAnsi="Book Antiqua"/>
          <w:color w:val="000000"/>
        </w:rPr>
        <w:t xml:space="preserve">-test and </w:t>
      </w:r>
      <w:r w:rsidR="00BF0BE2" w:rsidRPr="00014BD1">
        <w:rPr>
          <w:rFonts w:ascii="Book Antiqua" w:hAnsi="Book Antiqua"/>
          <w:color w:val="000000"/>
        </w:rPr>
        <w:t>corr</w:t>
      </w:r>
      <w:r w:rsidRPr="00014BD1">
        <w:rPr>
          <w:rFonts w:ascii="Book Antiqua" w:hAnsi="Book Antiqua"/>
          <w:color w:val="000000"/>
        </w:rPr>
        <w:t xml:space="preserve">ected with the Benjamini </w:t>
      </w:r>
      <w:r w:rsidR="000834F0" w:rsidRPr="00014BD1">
        <w:rPr>
          <w:rFonts w:ascii="Book Antiqua" w:hAnsi="Book Antiqua"/>
          <w:color w:val="000000"/>
        </w:rPr>
        <w:t>and</w:t>
      </w:r>
      <w:r w:rsidRPr="00014BD1">
        <w:rPr>
          <w:rFonts w:ascii="Book Antiqua" w:hAnsi="Book Antiqua"/>
          <w:color w:val="000000"/>
        </w:rPr>
        <w:t xml:space="preserve"> Hochberg FDR (false discovery rate) algorithm. The statistical significance was assessed at </w:t>
      </w:r>
      <w:r w:rsidR="00E163AB" w:rsidRPr="00014BD1">
        <w:rPr>
          <w:rFonts w:ascii="Book Antiqua" w:hAnsi="Book Antiqua"/>
          <w:i/>
          <w:color w:val="000000"/>
        </w:rPr>
        <w:t>P</w:t>
      </w:r>
      <w:r w:rsidR="00D403E7" w:rsidRPr="00014BD1">
        <w:rPr>
          <w:rFonts w:ascii="Book Antiqua" w:hAnsi="Book Antiqua"/>
          <w:color w:val="000000"/>
        </w:rPr>
        <w:t xml:space="preserve"> &lt; </w:t>
      </w:r>
      <w:r w:rsidRPr="00014BD1">
        <w:rPr>
          <w:rFonts w:ascii="Book Antiqua" w:hAnsi="Book Antiqua"/>
          <w:color w:val="000000"/>
        </w:rPr>
        <w:t xml:space="preserve">0.05 to identify genes that were differentially expressed between different types of lesions and to perform a gene ontology (GO) enrichment analysis using the GeneSpring software GX 12.6. Hierarchical clustering was performed using R (http://www.r-project.org/). The SPSS (v. 18.0) software was used for the statistical analysis of the clinical features, of the qPCR results, and of the IHC results. The chi-square test was used to compare the categorical variables. Regarding the numerical variables, comparisons of parameters between the 2 groups were made using an unpaired t-test, and those among 4 groups were performed using one-way ANOVA followed by LSD (least significant difference). </w:t>
      </w:r>
      <w:r w:rsidR="00E163AB" w:rsidRPr="00014BD1">
        <w:rPr>
          <w:rFonts w:ascii="Book Antiqua" w:eastAsia="宋体" w:hAnsi="Book Antiqua" w:cs="宋体"/>
          <w:i/>
          <w:color w:val="000000"/>
        </w:rPr>
        <w:t>P</w:t>
      </w:r>
      <w:r w:rsidR="0043291C" w:rsidRPr="00014BD1">
        <w:rPr>
          <w:rFonts w:ascii="Book Antiqua" w:eastAsia="宋体" w:hAnsi="Book Antiqua"/>
          <w:color w:val="000000"/>
        </w:rPr>
        <w:t xml:space="preserve"> </w:t>
      </w:r>
      <w:r w:rsidR="009773B8" w:rsidRPr="00014BD1">
        <w:rPr>
          <w:rFonts w:ascii="Book Antiqua" w:eastAsia="宋体" w:hAnsi="Book Antiqua"/>
          <w:color w:val="000000"/>
        </w:rPr>
        <w:t>&lt;</w:t>
      </w:r>
      <w:r w:rsidR="00190EC8" w:rsidRPr="00014BD1">
        <w:rPr>
          <w:rFonts w:ascii="Book Antiqua" w:eastAsia="宋体" w:hAnsi="Book Antiqua"/>
          <w:color w:val="000000"/>
        </w:rPr>
        <w:t xml:space="preserve"> </w:t>
      </w:r>
      <w:r w:rsidRPr="00014BD1">
        <w:rPr>
          <w:rFonts w:ascii="Book Antiqua" w:eastAsia="宋体" w:hAnsi="Book Antiqua"/>
          <w:color w:val="000000"/>
        </w:rPr>
        <w:t xml:space="preserve">0.05 was considered statistically significant. </w:t>
      </w:r>
    </w:p>
    <w:p w:rsidR="008F3779" w:rsidRPr="00014BD1" w:rsidRDefault="008F3779" w:rsidP="00E163AB">
      <w:pPr>
        <w:pStyle w:val="Default"/>
        <w:spacing w:line="360" w:lineRule="auto"/>
        <w:ind w:rightChars="-15" w:right="-31"/>
        <w:jc w:val="both"/>
        <w:rPr>
          <w:rFonts w:ascii="Book Antiqua" w:hAnsi="Book Antiqua"/>
        </w:rPr>
      </w:pPr>
    </w:p>
    <w:p w:rsidR="008F3779" w:rsidRPr="00014BD1" w:rsidRDefault="008F3779" w:rsidP="00E163AB">
      <w:pPr>
        <w:pStyle w:val="CM17"/>
        <w:snapToGrid w:val="0"/>
        <w:spacing w:line="360" w:lineRule="auto"/>
        <w:ind w:rightChars="-15" w:right="-31"/>
        <w:jc w:val="both"/>
        <w:rPr>
          <w:rFonts w:ascii="Book Antiqua" w:eastAsia="宋体" w:hAnsi="Book Antiqua"/>
          <w:b/>
          <w:bCs/>
          <w:color w:val="000000"/>
        </w:rPr>
      </w:pPr>
      <w:r w:rsidRPr="00014BD1">
        <w:rPr>
          <w:rFonts w:ascii="Book Antiqua" w:eastAsia="宋体" w:hAnsi="Book Antiqua"/>
          <w:b/>
          <w:bCs/>
          <w:color w:val="000000"/>
        </w:rPr>
        <w:t xml:space="preserve">RESULTS </w:t>
      </w:r>
    </w:p>
    <w:p w:rsidR="009929E3" w:rsidRPr="00014BD1" w:rsidRDefault="009929E3" w:rsidP="00E163AB">
      <w:pPr>
        <w:pStyle w:val="CM17"/>
        <w:snapToGrid w:val="0"/>
        <w:spacing w:line="360" w:lineRule="auto"/>
        <w:ind w:rightChars="-15" w:right="-31"/>
        <w:jc w:val="both"/>
        <w:rPr>
          <w:rFonts w:ascii="Book Antiqua" w:eastAsia="宋体" w:hAnsi="Book Antiqua"/>
          <w:i/>
          <w:color w:val="000000"/>
        </w:rPr>
      </w:pPr>
      <w:r w:rsidRPr="00014BD1">
        <w:rPr>
          <w:rFonts w:ascii="Book Antiqua" w:eastAsia="宋体" w:hAnsi="Book Antiqua"/>
          <w:b/>
          <w:bCs/>
          <w:i/>
          <w:color w:val="000000"/>
        </w:rPr>
        <w:t xml:space="preserve">Clinical characteristics of enrolled patients </w:t>
      </w:r>
    </w:p>
    <w:p w:rsidR="009929E3" w:rsidRPr="00014BD1" w:rsidRDefault="009929E3"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color w:val="000000"/>
        </w:rPr>
        <w:t>In total, 152 tissue samples were randomly divided into 2 sets, with no significant differences with respect to age (</w:t>
      </w:r>
      <w:r w:rsidR="00E163AB" w:rsidRPr="00014BD1">
        <w:rPr>
          <w:rFonts w:ascii="Book Antiqua" w:eastAsia="宋体" w:hAnsi="Book Antiqua"/>
          <w:i/>
          <w:color w:val="000000"/>
        </w:rPr>
        <w:t>P</w:t>
      </w:r>
      <w:r w:rsidR="0043291C" w:rsidRPr="00014BD1">
        <w:rPr>
          <w:rFonts w:ascii="Book Antiqua" w:eastAsia="宋体" w:hAnsi="Book Antiqua"/>
          <w:color w:val="000000"/>
        </w:rPr>
        <w:t xml:space="preserve"> = </w:t>
      </w:r>
      <w:r w:rsidRPr="00014BD1">
        <w:rPr>
          <w:rFonts w:ascii="Book Antiqua" w:eastAsia="宋体" w:hAnsi="Book Antiqua"/>
          <w:color w:val="000000"/>
        </w:rPr>
        <w:t>0.14), gender (</w:t>
      </w:r>
      <w:r w:rsidR="00E163AB" w:rsidRPr="00014BD1">
        <w:rPr>
          <w:rFonts w:ascii="Book Antiqua" w:eastAsia="宋体" w:hAnsi="Book Antiqua"/>
          <w:i/>
          <w:color w:val="000000"/>
        </w:rPr>
        <w:t>P</w:t>
      </w:r>
      <w:r w:rsidR="0043291C" w:rsidRPr="00014BD1">
        <w:rPr>
          <w:rFonts w:ascii="Book Antiqua" w:eastAsia="宋体" w:hAnsi="Book Antiqua"/>
          <w:color w:val="000000"/>
        </w:rPr>
        <w:t xml:space="preserve"> = </w:t>
      </w:r>
      <w:r w:rsidRPr="00014BD1">
        <w:rPr>
          <w:rFonts w:ascii="Book Antiqua" w:eastAsia="宋体" w:hAnsi="Book Antiqua"/>
          <w:color w:val="000000"/>
        </w:rPr>
        <w:t>0.48), or other clinicopathological features; the sets were used in the discovery and validation phases. The clinical characteristics of all patients are summarized in Table 1. The average age of the patients was 57.76</w:t>
      </w:r>
      <w:r w:rsidR="00973F16" w:rsidRPr="00014BD1">
        <w:rPr>
          <w:rFonts w:ascii="Book Antiqua" w:eastAsia="宋体" w:hAnsi="Book Antiqua"/>
          <w:color w:val="000000"/>
        </w:rPr>
        <w:t xml:space="preserve"> ± </w:t>
      </w:r>
      <w:r w:rsidRPr="00014BD1">
        <w:rPr>
          <w:rFonts w:ascii="Book Antiqua" w:eastAsia="宋体" w:hAnsi="Book Antiqua"/>
          <w:color w:val="000000"/>
        </w:rPr>
        <w:t>9.30 years. Regarding the EGC group, the 2 sets show no significant differences in terms of the depth of invasion (</w:t>
      </w:r>
      <w:r w:rsidR="00E163AB" w:rsidRPr="00014BD1">
        <w:rPr>
          <w:rFonts w:ascii="Book Antiqua" w:eastAsia="宋体" w:hAnsi="Book Antiqua"/>
          <w:i/>
          <w:color w:val="000000"/>
        </w:rPr>
        <w:t>P</w:t>
      </w:r>
      <w:r w:rsidR="0043291C" w:rsidRPr="00014BD1">
        <w:rPr>
          <w:rFonts w:ascii="Book Antiqua" w:eastAsia="宋体" w:hAnsi="Book Antiqua"/>
          <w:color w:val="000000"/>
        </w:rPr>
        <w:t xml:space="preserve"> = </w:t>
      </w:r>
      <w:r w:rsidRPr="00014BD1">
        <w:rPr>
          <w:rFonts w:ascii="Book Antiqua" w:eastAsia="宋体" w:hAnsi="Book Antiqua"/>
          <w:color w:val="000000"/>
        </w:rPr>
        <w:t>0.31) or differentiation (</w:t>
      </w:r>
      <w:r w:rsidR="00E163AB" w:rsidRPr="00014BD1">
        <w:rPr>
          <w:rFonts w:ascii="Book Antiqua" w:eastAsia="宋体" w:hAnsi="Book Antiqua"/>
          <w:i/>
          <w:color w:val="000000"/>
        </w:rPr>
        <w:t>P</w:t>
      </w:r>
      <w:r w:rsidR="0043291C" w:rsidRPr="00014BD1">
        <w:rPr>
          <w:rFonts w:ascii="Book Antiqua" w:eastAsia="宋体" w:hAnsi="Book Antiqua"/>
          <w:color w:val="000000"/>
        </w:rPr>
        <w:t xml:space="preserve"> = </w:t>
      </w:r>
      <w:r w:rsidRPr="00014BD1">
        <w:rPr>
          <w:rFonts w:ascii="Book Antiqua" w:eastAsia="宋体" w:hAnsi="Book Antiqua"/>
          <w:color w:val="000000"/>
        </w:rPr>
        <w:t xml:space="preserve">0.56) (Table 2). </w:t>
      </w:r>
    </w:p>
    <w:p w:rsidR="00973F16" w:rsidRPr="00014BD1" w:rsidRDefault="00973F16"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eastAsia="宋体" w:hAnsi="Book Antiqua"/>
          <w:i/>
          <w:color w:val="000000"/>
        </w:rPr>
      </w:pPr>
      <w:r w:rsidRPr="00014BD1">
        <w:rPr>
          <w:rFonts w:ascii="Book Antiqua" w:eastAsia="宋体" w:hAnsi="Book Antiqua"/>
          <w:b/>
          <w:bCs/>
          <w:i/>
          <w:color w:val="000000"/>
        </w:rPr>
        <w:t xml:space="preserve">HGIN and LGIN are biologically distinct </w:t>
      </w:r>
    </w:p>
    <w:p w:rsidR="009929E3" w:rsidRPr="00014BD1" w:rsidRDefault="009929E3"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color w:val="000000"/>
        </w:rPr>
        <w:t xml:space="preserve">The whole genomic expression profiles of 19 LGIN and 20 HGIN were analyzed. The transcripts whose expression level differed significantly between LGIN and HGIN were explored. In total, 2521 significantly differentially expressed transcripts (951 upregulated and 1570 downregulated in HGIN) were identified and may be involved in the development of HGIN. </w:t>
      </w:r>
    </w:p>
    <w:p w:rsidR="009929E3" w:rsidRPr="00014BD1" w:rsidRDefault="009929E3" w:rsidP="00E163AB">
      <w:pPr>
        <w:pStyle w:val="CM17"/>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 xml:space="preserve">To identify the functionally relevant gene clusters, a GO enrichment analysis of the 951 and 1570 above-mentioned transcripts was performed. There were no enriched GO terms among the 1570 downregulated transcripts. The enriched GO terms in the 951 upregulated transcripts were associated with metabolism, the defense response, and the NF-κB cascade, which are shown in Table 3. It was hypothesized that the upregulated transcripts contributed the most relevant functions and processes. The biological distinctions between HGIN and LGIN were primarily involved in metabolism, the defense response, and the NF-κB cascade (Table 3). </w:t>
      </w:r>
    </w:p>
    <w:p w:rsidR="00973F16" w:rsidRPr="00014BD1" w:rsidRDefault="00973F16"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eastAsia="宋体" w:hAnsi="Book Antiqua"/>
          <w:i/>
          <w:color w:val="000000"/>
        </w:rPr>
      </w:pPr>
      <w:r w:rsidRPr="00014BD1">
        <w:rPr>
          <w:rFonts w:ascii="Book Antiqua" w:eastAsia="宋体" w:hAnsi="Book Antiqua"/>
          <w:b/>
          <w:bCs/>
          <w:i/>
          <w:color w:val="000000"/>
        </w:rPr>
        <w:t xml:space="preserve">The molecular differences between HGIN and EGC are not significant </w:t>
      </w:r>
    </w:p>
    <w:p w:rsidR="009929E3" w:rsidRPr="00014BD1" w:rsidRDefault="009929E3" w:rsidP="00E163AB">
      <w:pPr>
        <w:pStyle w:val="CM5"/>
        <w:snapToGrid w:val="0"/>
        <w:spacing w:line="360" w:lineRule="auto"/>
        <w:ind w:rightChars="-15" w:right="-31"/>
        <w:jc w:val="both"/>
        <w:rPr>
          <w:rFonts w:ascii="Book Antiqua" w:eastAsia="宋体" w:hAnsi="Book Antiqua"/>
          <w:color w:val="000000"/>
        </w:rPr>
      </w:pPr>
      <w:r w:rsidRPr="00014BD1">
        <w:rPr>
          <w:rFonts w:ascii="Book Antiqua" w:eastAsia="宋体" w:hAnsi="Book Antiqua"/>
          <w:color w:val="000000"/>
        </w:rPr>
        <w:t xml:space="preserve">Gene expression analyses were performed in 20 HGIN and 19 EGC to reveal the molecular differences between these tissues. Unlike the remarkable distinction between HGIN and LGIN, there were only 58 differentially expressed transcripts between HGIN and EGC, including 38 upregulated and 20 downregulated transcripts in EGC. No GO term was enriched based on the 20 downregulated transcripts. Although the expression differences </w:t>
      </w:r>
      <w:r w:rsidRPr="00014BD1">
        <w:rPr>
          <w:rFonts w:ascii="Book Antiqua" w:eastAsia="宋体" w:hAnsi="Book Antiqua"/>
          <w:color w:val="000000"/>
        </w:rPr>
        <w:lastRenderedPageBreak/>
        <w:t xml:space="preserve">between HGIN and EGC were not great, it is worth noting that the GO enrichment analysis result of 38 upregulated transcripts was relatively prominent in the progression from HGIN to EGC. The molecular differences between HGIN and EGC mainly focused on the immune response, as shown in Table 4. </w:t>
      </w:r>
    </w:p>
    <w:p w:rsidR="00973F16" w:rsidRPr="00014BD1" w:rsidRDefault="00973F16" w:rsidP="00E163AB">
      <w:pPr>
        <w:pStyle w:val="Default"/>
        <w:spacing w:line="360" w:lineRule="auto"/>
        <w:ind w:rightChars="-15" w:right="-31"/>
        <w:jc w:val="both"/>
        <w:rPr>
          <w:rFonts w:ascii="Book Antiqua" w:hAnsi="Book Antiqua"/>
        </w:rPr>
      </w:pPr>
    </w:p>
    <w:p w:rsidR="009929E3" w:rsidRPr="00014BD1" w:rsidRDefault="009929E3" w:rsidP="00E163AB">
      <w:pPr>
        <w:pStyle w:val="CM1"/>
        <w:snapToGrid w:val="0"/>
        <w:spacing w:line="360" w:lineRule="auto"/>
        <w:ind w:rightChars="-15" w:right="-31"/>
        <w:jc w:val="both"/>
        <w:rPr>
          <w:rFonts w:ascii="Book Antiqua" w:eastAsia="宋体" w:hAnsi="Book Antiqua"/>
          <w:i/>
          <w:color w:val="000000"/>
        </w:rPr>
      </w:pPr>
      <w:r w:rsidRPr="00014BD1">
        <w:rPr>
          <w:rFonts w:ascii="Book Antiqua" w:eastAsia="宋体" w:hAnsi="Book Antiqua"/>
          <w:b/>
          <w:bCs/>
          <w:i/>
          <w:color w:val="000000"/>
        </w:rPr>
        <w:t xml:space="preserve">Comparison with LGIN indicates that some of the alterations associated with HGIN are retained in EGC </w:t>
      </w:r>
    </w:p>
    <w:p w:rsidR="009929E3" w:rsidRPr="00014BD1" w:rsidRDefault="009929E3"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color w:val="000000"/>
        </w:rPr>
        <w:t xml:space="preserve">When compared with LGIN, among the 951 upregulated genes in HGIN, 289 transcripts (Figure 1) were expressed at a similarly high level in EGC and were involved in the GO enrichment analysis. Indeed, the 289 transcripts could separate both HGIN and EGC from the LGIN class. The heat map in Figure 2 shows their clear separation. These transcripts that were overexpressed compared with LGIN were not only so in HGIN but were also overexpressed at similar or even higher levels in EGC. In terms of the GO enrichment, some of the alterations associated with HGIN compared with LGIN, such as metabolism, the defense response, and the NF-κB cascade, are still retained in EGC. </w:t>
      </w:r>
    </w:p>
    <w:p w:rsidR="00973F16" w:rsidRPr="00014BD1" w:rsidRDefault="00973F16"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eastAsia="宋体" w:hAnsi="Book Antiqua"/>
          <w:i/>
          <w:color w:val="000000"/>
        </w:rPr>
      </w:pPr>
      <w:r w:rsidRPr="00014BD1">
        <w:rPr>
          <w:rFonts w:ascii="Book Antiqua" w:eastAsia="宋体" w:hAnsi="Book Antiqua"/>
          <w:b/>
          <w:bCs/>
          <w:i/>
          <w:color w:val="000000"/>
        </w:rPr>
        <w:t>Significant variation of G</w:t>
      </w:r>
      <w:r w:rsidRPr="00014BD1">
        <w:rPr>
          <w:rFonts w:ascii="Book Antiqua" w:eastAsia="宋体" w:hAnsi="Book Antiqua"/>
          <w:b/>
          <w:bCs/>
          <w:i/>
          <w:color w:val="000000"/>
          <w:vertAlign w:val="subscript"/>
        </w:rPr>
        <w:t>0</w:t>
      </w:r>
      <w:r w:rsidRPr="00014BD1">
        <w:rPr>
          <w:rFonts w:ascii="Book Antiqua" w:eastAsia="宋体" w:hAnsi="Book Antiqua"/>
          <w:b/>
          <w:bCs/>
          <w:i/>
          <w:color w:val="000000"/>
        </w:rPr>
        <w:t>S</w:t>
      </w:r>
      <w:r w:rsidRPr="00014BD1">
        <w:rPr>
          <w:rFonts w:ascii="Book Antiqua" w:eastAsia="宋体" w:hAnsi="Book Antiqua"/>
          <w:b/>
          <w:bCs/>
          <w:i/>
          <w:color w:val="000000"/>
          <w:vertAlign w:val="subscript"/>
        </w:rPr>
        <w:t>2</w:t>
      </w:r>
      <w:r w:rsidRPr="00014BD1">
        <w:rPr>
          <w:rFonts w:ascii="Book Antiqua" w:eastAsia="宋体" w:hAnsi="Book Antiqua"/>
          <w:b/>
          <w:bCs/>
          <w:i/>
          <w:color w:val="000000"/>
        </w:rPr>
        <w:t xml:space="preserve"> in HGIN and </w:t>
      </w:r>
      <w:r w:rsidR="00973F16" w:rsidRPr="00014BD1">
        <w:rPr>
          <w:rFonts w:ascii="Book Antiqua" w:eastAsia="宋体" w:hAnsi="Book Antiqua"/>
          <w:b/>
          <w:bCs/>
          <w:i/>
          <w:color w:val="000000"/>
        </w:rPr>
        <w:t>e</w:t>
      </w:r>
      <w:r w:rsidRPr="00014BD1">
        <w:rPr>
          <w:rFonts w:ascii="Book Antiqua" w:eastAsia="宋体" w:hAnsi="Book Antiqua"/>
          <w:b/>
          <w:bCs/>
          <w:i/>
          <w:color w:val="000000"/>
        </w:rPr>
        <w:t xml:space="preserve">arly-stage adenocarcinoma </w:t>
      </w:r>
      <w:r w:rsidR="00825926" w:rsidRPr="00014BD1">
        <w:rPr>
          <w:rFonts w:ascii="Book Antiqua" w:eastAsia="宋体" w:hAnsi="Book Antiqua"/>
          <w:b/>
          <w:bCs/>
          <w:i/>
          <w:color w:val="000000"/>
        </w:rPr>
        <w:t>vs</w:t>
      </w:r>
      <w:r w:rsidRPr="00014BD1">
        <w:rPr>
          <w:rFonts w:ascii="Book Antiqua" w:eastAsia="宋体" w:hAnsi="Book Antiqua"/>
          <w:b/>
          <w:bCs/>
          <w:i/>
          <w:color w:val="000000"/>
        </w:rPr>
        <w:t xml:space="preserve"> LGIN within a microarray analysis </w:t>
      </w:r>
    </w:p>
    <w:p w:rsidR="009929E3" w:rsidRPr="00014BD1" w:rsidRDefault="009929E3"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color w:val="000000"/>
        </w:rPr>
        <w:t>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 was related to metabolism, the defense response, and the NF-κB cascade and was overexpressed in both HGIN and EGC compared with LGIN. </w:t>
      </w:r>
    </w:p>
    <w:p w:rsidR="009929E3" w:rsidRPr="00014BD1" w:rsidRDefault="009929E3" w:rsidP="00E163AB">
      <w:pPr>
        <w:pStyle w:val="CM17"/>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As shown in Table 5, the expression level of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 in gastric EGC tissue was 6.00-fold higher than that in gastric LGIN tissue (unpaired </w:t>
      </w:r>
      <w:r w:rsidRPr="00014BD1">
        <w:rPr>
          <w:rFonts w:ascii="Book Antiqua" w:eastAsia="宋体" w:hAnsi="Book Antiqua"/>
          <w:i/>
          <w:color w:val="000000"/>
        </w:rPr>
        <w:t>t</w:t>
      </w:r>
      <w:r w:rsidRPr="00014BD1">
        <w:rPr>
          <w:rFonts w:ascii="Book Antiqua" w:eastAsia="宋体" w:hAnsi="Book Antiqua"/>
          <w:color w:val="000000"/>
        </w:rPr>
        <w:t xml:space="preserve">-test with FDR </w:t>
      </w:r>
      <w:r w:rsidR="00BF0BE2" w:rsidRPr="00014BD1">
        <w:rPr>
          <w:rFonts w:ascii="Book Antiqua" w:eastAsia="宋体" w:hAnsi="Book Antiqua"/>
          <w:color w:val="000000"/>
        </w:rPr>
        <w:t>corr</w:t>
      </w:r>
      <w:r w:rsidRPr="00014BD1">
        <w:rPr>
          <w:rFonts w:ascii="Book Antiqua" w:eastAsia="宋体" w:hAnsi="Book Antiqua"/>
          <w:color w:val="000000"/>
        </w:rPr>
        <w:t xml:space="preserve">ection </w:t>
      </w:r>
      <w:r w:rsidR="00BF0BE2" w:rsidRPr="00014BD1">
        <w:rPr>
          <w:rFonts w:ascii="Book Antiqua" w:eastAsia="宋体" w:hAnsi="Book Antiqua"/>
          <w:i/>
          <w:color w:val="000000"/>
        </w:rPr>
        <w:t>P</w:t>
      </w:r>
      <w:r w:rsidR="00BF0BE2" w:rsidRPr="00014BD1">
        <w:rPr>
          <w:rFonts w:ascii="Book Antiqua" w:eastAsia="宋体" w:hAnsi="Book Antiqua"/>
          <w:color w:val="000000"/>
        </w:rPr>
        <w:t>corr</w:t>
      </w:r>
      <w:r w:rsidR="0043291C" w:rsidRPr="00014BD1">
        <w:rPr>
          <w:rFonts w:ascii="Book Antiqua" w:eastAsia="宋体" w:hAnsi="Book Antiqua"/>
          <w:color w:val="000000"/>
        </w:rPr>
        <w:t xml:space="preserve"> &lt; </w:t>
      </w:r>
      <w:r w:rsidRPr="00014BD1">
        <w:rPr>
          <w:rFonts w:ascii="Book Antiqua" w:eastAsia="宋体" w:hAnsi="Book Antiqua"/>
          <w:color w:val="000000"/>
        </w:rPr>
        <w:t>0.001) (Table 5). The expression level of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 in gastric HGIN tissue was 3.28-fold higher than that in gastric LGIN tissue (</w:t>
      </w:r>
      <w:r w:rsidR="00BF0BE2" w:rsidRPr="00014BD1">
        <w:rPr>
          <w:rFonts w:ascii="Book Antiqua" w:eastAsia="宋体" w:hAnsi="Book Antiqua"/>
          <w:i/>
          <w:color w:val="000000"/>
        </w:rPr>
        <w:t>P</w:t>
      </w:r>
      <w:r w:rsidR="00BF0BE2" w:rsidRPr="00014BD1">
        <w:rPr>
          <w:rFonts w:ascii="Book Antiqua" w:eastAsia="宋体" w:hAnsi="Book Antiqua"/>
          <w:color w:val="000000"/>
        </w:rPr>
        <w:t>corr</w:t>
      </w:r>
      <w:r w:rsidR="0043291C" w:rsidRPr="00014BD1">
        <w:rPr>
          <w:rFonts w:ascii="Book Antiqua" w:eastAsia="宋体" w:hAnsi="Book Antiqua"/>
          <w:color w:val="000000"/>
        </w:rPr>
        <w:t xml:space="preserve"> &lt; </w:t>
      </w:r>
      <w:r w:rsidRPr="00014BD1">
        <w:rPr>
          <w:rFonts w:ascii="Book Antiqua" w:eastAsia="宋体" w:hAnsi="Book Antiqua"/>
          <w:color w:val="000000"/>
        </w:rPr>
        <w:t xml:space="preserve">0.05). </w:t>
      </w:r>
    </w:p>
    <w:p w:rsidR="009929E3" w:rsidRPr="00014BD1" w:rsidRDefault="009929E3" w:rsidP="00E163AB">
      <w:pPr>
        <w:pStyle w:val="CM17"/>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Between HGIN and early-stage adenocarcinoma, the expression differences of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 were not statistically significant (</w:t>
      </w:r>
      <w:r w:rsidR="00BF0BE2" w:rsidRPr="00014BD1">
        <w:rPr>
          <w:rFonts w:ascii="Book Antiqua" w:eastAsia="宋体" w:hAnsi="Book Antiqua"/>
          <w:i/>
          <w:color w:val="000000"/>
        </w:rPr>
        <w:t>P</w:t>
      </w:r>
      <w:r w:rsidR="00BF0BE2" w:rsidRPr="00014BD1">
        <w:rPr>
          <w:rFonts w:ascii="Book Antiqua" w:eastAsia="宋体" w:hAnsi="Book Antiqua"/>
          <w:color w:val="000000"/>
        </w:rPr>
        <w:t xml:space="preserve">corr </w:t>
      </w:r>
      <w:r w:rsidRPr="00014BD1">
        <w:rPr>
          <w:rFonts w:ascii="Book Antiqua" w:eastAsia="宋体" w:hAnsi="Book Antiqua"/>
          <w:color w:val="000000"/>
        </w:rPr>
        <w:t>&gt;</w:t>
      </w:r>
      <w:r w:rsidR="00BF0BE2" w:rsidRPr="00014BD1">
        <w:rPr>
          <w:rFonts w:ascii="Book Antiqua" w:eastAsia="宋体" w:hAnsi="Book Antiqua"/>
          <w:color w:val="000000"/>
        </w:rPr>
        <w:t xml:space="preserve"> </w:t>
      </w:r>
      <w:r w:rsidRPr="00014BD1">
        <w:rPr>
          <w:rFonts w:ascii="Book Antiqua" w:eastAsia="宋体" w:hAnsi="Book Antiqua"/>
          <w:color w:val="000000"/>
        </w:rPr>
        <w:t xml:space="preserve">0.05). However, the expression of EGC was 1.83 fold higher than that of HGIN (Figure 3). </w:t>
      </w:r>
    </w:p>
    <w:p w:rsidR="009929E3" w:rsidRPr="00014BD1" w:rsidRDefault="009929E3" w:rsidP="00E163AB">
      <w:pPr>
        <w:pStyle w:val="CM17"/>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Compared with gastritis, the overexpression of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 in HGIN and EGC was statistically significant (</w:t>
      </w:r>
      <w:r w:rsidR="00BF0BE2" w:rsidRPr="00014BD1">
        <w:rPr>
          <w:rFonts w:ascii="Book Antiqua" w:eastAsia="宋体" w:hAnsi="Book Antiqua"/>
          <w:i/>
          <w:color w:val="000000"/>
        </w:rPr>
        <w:t>P</w:t>
      </w:r>
      <w:r w:rsidR="00BF0BE2" w:rsidRPr="00014BD1">
        <w:rPr>
          <w:rFonts w:ascii="Book Antiqua" w:eastAsia="宋体" w:hAnsi="Book Antiqua"/>
          <w:color w:val="000000"/>
        </w:rPr>
        <w:t>corr</w:t>
      </w:r>
      <w:r w:rsidR="0043291C" w:rsidRPr="00014BD1">
        <w:rPr>
          <w:rFonts w:ascii="Book Antiqua" w:eastAsia="宋体" w:hAnsi="Book Antiqua"/>
          <w:color w:val="000000"/>
        </w:rPr>
        <w:t xml:space="preserve"> &lt; </w:t>
      </w:r>
      <w:r w:rsidRPr="00014BD1">
        <w:rPr>
          <w:rFonts w:ascii="Book Antiqua" w:eastAsia="宋体" w:hAnsi="Book Antiqua"/>
          <w:color w:val="000000"/>
        </w:rPr>
        <w:t xml:space="preserve">0.01). The difference between LGIN and gastritis was not statistically significant. </w:t>
      </w:r>
    </w:p>
    <w:p w:rsidR="009929E3" w:rsidRPr="00014BD1" w:rsidRDefault="009929E3" w:rsidP="00E163AB">
      <w:pPr>
        <w:pStyle w:val="CM17"/>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The expression of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 was relatively increased in the malignant lesions than in the</w:t>
      </w:r>
      <w:r w:rsidR="00086E51" w:rsidRPr="00014BD1">
        <w:rPr>
          <w:rFonts w:ascii="Book Antiqua" w:eastAsia="宋体" w:hAnsi="Book Antiqua"/>
          <w:color w:val="000000"/>
        </w:rPr>
        <w:t xml:space="preserve"> </w:t>
      </w:r>
      <w:r w:rsidRPr="00014BD1">
        <w:rPr>
          <w:rFonts w:ascii="Book Antiqua" w:eastAsia="宋体" w:hAnsi="Book Antiqua"/>
          <w:color w:val="000000"/>
        </w:rPr>
        <w:t xml:space="preserve">benign </w:t>
      </w:r>
      <w:r w:rsidRPr="00014BD1">
        <w:rPr>
          <w:rFonts w:ascii="Book Antiqua" w:eastAsia="宋体" w:hAnsi="Book Antiqua"/>
          <w:color w:val="000000"/>
        </w:rPr>
        <w:lastRenderedPageBreak/>
        <w:t xml:space="preserve">lesions (Figure 3). </w:t>
      </w:r>
    </w:p>
    <w:p w:rsidR="00086E51" w:rsidRPr="00014BD1" w:rsidRDefault="00086E51" w:rsidP="00E163AB">
      <w:pPr>
        <w:pStyle w:val="Default"/>
        <w:spacing w:line="360" w:lineRule="auto"/>
        <w:ind w:rightChars="-15" w:right="-31"/>
        <w:jc w:val="both"/>
        <w:rPr>
          <w:rFonts w:ascii="Book Antiqua" w:hAnsi="Book Antiqua"/>
        </w:rPr>
      </w:pPr>
    </w:p>
    <w:p w:rsidR="009929E3" w:rsidRPr="00014BD1" w:rsidRDefault="009929E3" w:rsidP="00E163AB">
      <w:pPr>
        <w:pStyle w:val="CM17"/>
        <w:snapToGrid w:val="0"/>
        <w:spacing w:line="360" w:lineRule="auto"/>
        <w:ind w:rightChars="-15" w:right="-31"/>
        <w:jc w:val="both"/>
        <w:rPr>
          <w:rFonts w:ascii="Book Antiqua" w:eastAsia="宋体" w:hAnsi="Book Antiqua"/>
          <w:i/>
          <w:color w:val="000000"/>
        </w:rPr>
      </w:pPr>
      <w:r w:rsidRPr="00014BD1">
        <w:rPr>
          <w:rFonts w:ascii="Book Antiqua" w:eastAsia="宋体" w:hAnsi="Book Antiqua"/>
          <w:b/>
          <w:bCs/>
          <w:i/>
          <w:color w:val="000000"/>
        </w:rPr>
        <w:t xml:space="preserve">Independent validation in </w:t>
      </w:r>
      <w:r w:rsidR="00086E51" w:rsidRPr="00014BD1">
        <w:rPr>
          <w:rFonts w:ascii="Book Antiqua" w:eastAsia="宋体" w:hAnsi="Book Antiqua"/>
          <w:b/>
          <w:bCs/>
          <w:i/>
          <w:color w:val="000000"/>
        </w:rPr>
        <w:t xml:space="preserve">quantitative real-time </w:t>
      </w:r>
      <w:r w:rsidRPr="00014BD1">
        <w:rPr>
          <w:rFonts w:ascii="Book Antiqua" w:eastAsia="宋体" w:hAnsi="Book Antiqua"/>
          <w:b/>
          <w:bCs/>
          <w:i/>
          <w:color w:val="000000"/>
        </w:rPr>
        <w:t>PCR</w:t>
      </w:r>
      <w:r w:rsidR="00086E51" w:rsidRPr="00014BD1">
        <w:rPr>
          <w:rFonts w:ascii="Book Antiqua" w:eastAsia="宋体" w:hAnsi="Book Antiqua"/>
          <w:b/>
          <w:bCs/>
          <w:i/>
          <w:color w:val="000000"/>
        </w:rPr>
        <w:t xml:space="preserve"> analysis </w:t>
      </w:r>
    </w:p>
    <w:p w:rsidR="009929E3" w:rsidRPr="00014BD1" w:rsidRDefault="009929E3" w:rsidP="00E163AB">
      <w:pPr>
        <w:pStyle w:val="Default"/>
        <w:snapToGrid w:val="0"/>
        <w:spacing w:line="360" w:lineRule="auto"/>
        <w:ind w:rightChars="-15" w:right="-31"/>
        <w:jc w:val="both"/>
        <w:rPr>
          <w:rFonts w:ascii="Book Antiqua" w:eastAsia="宋体" w:hAnsi="Book Antiqua"/>
        </w:rPr>
      </w:pPr>
      <w:r w:rsidRPr="00014BD1">
        <w:rPr>
          <w:rFonts w:ascii="Book Antiqua" w:eastAsia="宋体" w:hAnsi="Book Antiqua"/>
        </w:rPr>
        <w:t>To validate the above results, qPCR of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was performed to quantify the RNA levels in independent tissue samples. The expression of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was elevated in HGIN and early-stage adenocarcinoma compared with that in LGIN, which was identical to the microarray results (Figure 4). Compared with LGIN, the difference in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expression was significant both in EGC and HGIN (</w:t>
      </w:r>
      <w:r w:rsidR="00E163AB" w:rsidRPr="00014BD1">
        <w:rPr>
          <w:rFonts w:ascii="Book Antiqua" w:eastAsia="宋体" w:hAnsi="Book Antiqua"/>
          <w:i/>
        </w:rPr>
        <w:t>P</w:t>
      </w:r>
      <w:r w:rsidR="0043291C" w:rsidRPr="00014BD1">
        <w:rPr>
          <w:rFonts w:ascii="Book Antiqua" w:eastAsia="宋体" w:hAnsi="Book Antiqua"/>
        </w:rPr>
        <w:t xml:space="preserve"> &lt; </w:t>
      </w:r>
      <w:r w:rsidRPr="00014BD1">
        <w:rPr>
          <w:rFonts w:ascii="Book Antiqua" w:eastAsia="宋体" w:hAnsi="Book Antiqua"/>
        </w:rPr>
        <w:t xml:space="preserve">0.001 and </w:t>
      </w:r>
      <w:r w:rsidR="00E163AB" w:rsidRPr="00014BD1">
        <w:rPr>
          <w:rFonts w:ascii="Book Antiqua" w:eastAsia="宋体" w:hAnsi="Book Antiqua"/>
          <w:i/>
        </w:rPr>
        <w:t>P</w:t>
      </w:r>
      <w:r w:rsidR="0043291C" w:rsidRPr="00014BD1">
        <w:rPr>
          <w:rFonts w:ascii="Book Antiqua" w:eastAsia="宋体" w:hAnsi="Book Antiqua"/>
        </w:rPr>
        <w:t xml:space="preserve"> &lt; </w:t>
      </w:r>
      <w:r w:rsidRPr="00014BD1">
        <w:rPr>
          <w:rFonts w:ascii="Book Antiqua" w:eastAsia="宋体" w:hAnsi="Book Antiqua"/>
        </w:rPr>
        <w:t>0.01, respectively) (Figure 4). Similarly, compared with gastritis, the difference in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expression was significant in EGC and HGIN (</w:t>
      </w:r>
      <w:r w:rsidR="00E163AB" w:rsidRPr="00014BD1">
        <w:rPr>
          <w:rFonts w:ascii="Book Antiqua" w:eastAsia="宋体" w:hAnsi="Book Antiqua"/>
          <w:i/>
        </w:rPr>
        <w:t>P</w:t>
      </w:r>
      <w:r w:rsidR="0043291C" w:rsidRPr="00014BD1">
        <w:rPr>
          <w:rFonts w:ascii="Book Antiqua" w:eastAsia="宋体" w:hAnsi="Book Antiqua"/>
        </w:rPr>
        <w:t xml:space="preserve"> &lt; </w:t>
      </w:r>
      <w:r w:rsidRPr="00014BD1">
        <w:rPr>
          <w:rFonts w:ascii="Book Antiqua" w:eastAsia="宋体" w:hAnsi="Book Antiqua"/>
        </w:rPr>
        <w:t xml:space="preserve">0.001 and </w:t>
      </w:r>
      <w:r w:rsidR="00E163AB" w:rsidRPr="00014BD1">
        <w:rPr>
          <w:rFonts w:ascii="Book Antiqua" w:eastAsia="宋体" w:hAnsi="Book Antiqua"/>
          <w:i/>
        </w:rPr>
        <w:t>P</w:t>
      </w:r>
      <w:r w:rsidR="0043291C" w:rsidRPr="00014BD1">
        <w:rPr>
          <w:rFonts w:ascii="Book Antiqua" w:eastAsia="宋体" w:hAnsi="Book Antiqua"/>
        </w:rPr>
        <w:t xml:space="preserve"> &lt; </w:t>
      </w:r>
      <w:r w:rsidRPr="00014BD1">
        <w:rPr>
          <w:rFonts w:ascii="Book Antiqua" w:eastAsia="宋体" w:hAnsi="Book Antiqua"/>
        </w:rPr>
        <w:t xml:space="preserve">0.05, respectively). </w:t>
      </w:r>
    </w:p>
    <w:p w:rsidR="00086E51" w:rsidRPr="00014BD1" w:rsidRDefault="00086E51" w:rsidP="00E163AB">
      <w:pPr>
        <w:pStyle w:val="Default"/>
        <w:snapToGrid w:val="0"/>
        <w:spacing w:line="360" w:lineRule="auto"/>
        <w:ind w:rightChars="-15" w:right="-31"/>
        <w:jc w:val="both"/>
        <w:rPr>
          <w:rFonts w:ascii="Book Antiqua" w:eastAsia="宋体" w:hAnsi="Book Antiqua"/>
        </w:rPr>
      </w:pPr>
    </w:p>
    <w:p w:rsidR="009929E3" w:rsidRPr="00014BD1" w:rsidRDefault="009929E3" w:rsidP="00E163AB">
      <w:pPr>
        <w:pStyle w:val="CM12"/>
        <w:snapToGrid w:val="0"/>
        <w:spacing w:line="360" w:lineRule="auto"/>
        <w:ind w:rightChars="-15" w:right="-31"/>
        <w:jc w:val="both"/>
        <w:rPr>
          <w:rFonts w:ascii="Book Antiqua" w:eastAsia="宋体" w:hAnsi="Book Antiqua"/>
          <w:i/>
          <w:color w:val="000000"/>
        </w:rPr>
      </w:pPr>
      <w:r w:rsidRPr="00014BD1">
        <w:rPr>
          <w:rFonts w:ascii="Book Antiqua" w:eastAsia="宋体" w:hAnsi="Book Antiqua"/>
          <w:b/>
          <w:bCs/>
          <w:i/>
          <w:color w:val="000000"/>
        </w:rPr>
        <w:t xml:space="preserve">Validation in IHC </w:t>
      </w:r>
      <w:r w:rsidR="00086E51" w:rsidRPr="00014BD1">
        <w:rPr>
          <w:rFonts w:ascii="Book Antiqua" w:eastAsia="宋体" w:hAnsi="Book Antiqua"/>
          <w:b/>
          <w:bCs/>
          <w:i/>
          <w:color w:val="000000"/>
        </w:rPr>
        <w:t>a</w:t>
      </w:r>
      <w:r w:rsidRPr="00014BD1">
        <w:rPr>
          <w:rFonts w:ascii="Book Antiqua" w:eastAsia="宋体" w:hAnsi="Book Antiqua"/>
          <w:b/>
          <w:bCs/>
          <w:i/>
          <w:color w:val="000000"/>
        </w:rPr>
        <w:t xml:space="preserve">nalysis </w:t>
      </w:r>
    </w:p>
    <w:p w:rsidR="009929E3" w:rsidRPr="00014BD1" w:rsidRDefault="009929E3" w:rsidP="00E163AB">
      <w:pPr>
        <w:pStyle w:val="Default"/>
        <w:snapToGrid w:val="0"/>
        <w:spacing w:line="360" w:lineRule="auto"/>
        <w:ind w:rightChars="-15" w:right="-31"/>
        <w:jc w:val="both"/>
        <w:rPr>
          <w:rFonts w:ascii="Book Antiqua" w:eastAsia="宋体" w:hAnsi="Book Antiqua"/>
        </w:rPr>
      </w:pPr>
      <w:r w:rsidRPr="00014BD1">
        <w:rPr>
          <w:rFonts w:ascii="Book Antiqua" w:eastAsia="宋体" w:hAnsi="Book Antiqua"/>
        </w:rPr>
        <w:t>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immunoreactivity was detected in the cytoplasmic of neoplastic cells, but was undetectable</w:t>
      </w:r>
      <w:r w:rsidR="00F41248" w:rsidRPr="00014BD1">
        <w:rPr>
          <w:rFonts w:ascii="Book Antiqua" w:eastAsia="宋体" w:hAnsi="Book Antiqua"/>
        </w:rPr>
        <w:t xml:space="preserve"> </w:t>
      </w:r>
      <w:r w:rsidRPr="00014BD1">
        <w:rPr>
          <w:rFonts w:ascii="Book Antiqua" w:eastAsia="宋体" w:hAnsi="Book Antiqua"/>
        </w:rPr>
        <w:t>(Figure 5A) in chronic gastritis cells</w:t>
      </w:r>
      <w:r w:rsidR="00F41248" w:rsidRPr="00014BD1">
        <w:rPr>
          <w:rFonts w:ascii="Book Antiqua" w:eastAsia="宋体" w:hAnsi="Book Antiqua"/>
        </w:rPr>
        <w:t xml:space="preserve"> </w:t>
      </w:r>
      <w:r w:rsidRPr="00014BD1">
        <w:rPr>
          <w:rFonts w:ascii="Book Antiqua" w:eastAsia="宋体" w:hAnsi="Book Antiqua"/>
        </w:rPr>
        <w:t xml:space="preserve">(gastritis </w:t>
      </w:r>
      <w:r w:rsidR="00825926" w:rsidRPr="00014BD1">
        <w:rPr>
          <w:rFonts w:ascii="Book Antiqua" w:eastAsia="宋体" w:hAnsi="Book Antiqua"/>
          <w:i/>
        </w:rPr>
        <w:t>vs</w:t>
      </w:r>
      <w:r w:rsidRPr="00014BD1">
        <w:rPr>
          <w:rFonts w:ascii="Book Antiqua" w:eastAsia="宋体" w:hAnsi="Book Antiqua"/>
        </w:rPr>
        <w:t xml:space="preserve"> LGIN, </w:t>
      </w:r>
      <w:r w:rsidR="00E163AB" w:rsidRPr="00014BD1">
        <w:rPr>
          <w:rFonts w:ascii="Book Antiqua" w:eastAsia="宋体" w:hAnsi="Book Antiqua"/>
          <w:i/>
        </w:rPr>
        <w:t>P</w:t>
      </w:r>
      <w:r w:rsidR="0043291C" w:rsidRPr="00014BD1">
        <w:rPr>
          <w:rFonts w:ascii="Book Antiqua" w:eastAsia="宋体" w:hAnsi="Book Antiqua"/>
        </w:rPr>
        <w:t xml:space="preserve"> = </w:t>
      </w:r>
      <w:r w:rsidRPr="00014BD1">
        <w:rPr>
          <w:rFonts w:ascii="Book Antiqua" w:eastAsia="宋体" w:hAnsi="Book Antiqua"/>
        </w:rPr>
        <w:t xml:space="preserve">0.005; gastritis </w:t>
      </w:r>
      <w:r w:rsidR="00825926" w:rsidRPr="00014BD1">
        <w:rPr>
          <w:rFonts w:ascii="Book Antiqua" w:eastAsia="宋体" w:hAnsi="Book Antiqua"/>
          <w:i/>
        </w:rPr>
        <w:t>vs</w:t>
      </w:r>
      <w:r w:rsidRPr="00014BD1">
        <w:rPr>
          <w:rFonts w:ascii="Book Antiqua" w:eastAsia="宋体" w:hAnsi="Book Antiqua"/>
        </w:rPr>
        <w:t xml:space="preserve"> HGIN, </w:t>
      </w:r>
      <w:r w:rsidR="00E163AB" w:rsidRPr="00014BD1">
        <w:rPr>
          <w:rFonts w:ascii="Book Antiqua" w:eastAsia="宋体" w:hAnsi="Book Antiqua"/>
          <w:i/>
        </w:rPr>
        <w:t>P</w:t>
      </w:r>
      <w:r w:rsidR="0043291C" w:rsidRPr="00014BD1">
        <w:rPr>
          <w:rFonts w:ascii="Book Antiqua" w:eastAsia="宋体" w:hAnsi="Book Antiqua"/>
        </w:rPr>
        <w:t xml:space="preserve"> &lt; </w:t>
      </w:r>
      <w:r w:rsidRPr="00014BD1">
        <w:rPr>
          <w:rFonts w:ascii="Book Antiqua" w:eastAsia="宋体" w:hAnsi="Book Antiqua"/>
        </w:rPr>
        <w:t xml:space="preserve">0.001; gastritis </w:t>
      </w:r>
      <w:r w:rsidR="00825926" w:rsidRPr="00014BD1">
        <w:rPr>
          <w:rFonts w:ascii="Book Antiqua" w:eastAsia="宋体" w:hAnsi="Book Antiqua"/>
          <w:i/>
        </w:rPr>
        <w:t>vs</w:t>
      </w:r>
      <w:r w:rsidRPr="00014BD1">
        <w:rPr>
          <w:rFonts w:ascii="Book Antiqua" w:eastAsia="宋体" w:hAnsi="Book Antiqua"/>
        </w:rPr>
        <w:t xml:space="preserve"> EGC, </w:t>
      </w:r>
      <w:r w:rsidR="00E163AB" w:rsidRPr="00014BD1">
        <w:rPr>
          <w:rFonts w:ascii="Book Antiqua" w:eastAsia="宋体" w:hAnsi="Book Antiqua"/>
          <w:i/>
        </w:rPr>
        <w:t>P</w:t>
      </w:r>
      <w:r w:rsidR="0043291C" w:rsidRPr="00014BD1">
        <w:rPr>
          <w:rFonts w:ascii="Book Antiqua" w:eastAsia="宋体" w:hAnsi="Book Antiqua"/>
        </w:rPr>
        <w:t xml:space="preserve"> = </w:t>
      </w:r>
      <w:r w:rsidRPr="00014BD1">
        <w:rPr>
          <w:rFonts w:ascii="Book Antiqua" w:eastAsia="宋体" w:hAnsi="Book Antiqua"/>
        </w:rPr>
        <w:t>0.004). The expression rates of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were 12.5% in LGIN</w:t>
      </w:r>
      <w:r w:rsidR="00F41248" w:rsidRPr="00014BD1">
        <w:rPr>
          <w:rFonts w:ascii="Book Antiqua" w:eastAsia="宋体" w:hAnsi="Book Antiqua"/>
        </w:rPr>
        <w:t xml:space="preserve"> </w:t>
      </w:r>
      <w:r w:rsidRPr="00014BD1">
        <w:rPr>
          <w:rFonts w:ascii="Book Antiqua" w:eastAsia="宋体" w:hAnsi="Book Antiqua"/>
        </w:rPr>
        <w:t>(Figure 5B), 42.5% in HGIN</w:t>
      </w:r>
      <w:r w:rsidR="00F41248" w:rsidRPr="00014BD1">
        <w:rPr>
          <w:rFonts w:ascii="Book Antiqua" w:eastAsia="宋体" w:hAnsi="Book Antiqua"/>
        </w:rPr>
        <w:t xml:space="preserve"> </w:t>
      </w:r>
      <w:r w:rsidRPr="00014BD1">
        <w:rPr>
          <w:rFonts w:ascii="Book Antiqua" w:eastAsia="宋体" w:hAnsi="Book Antiqua"/>
        </w:rPr>
        <w:t>(Figure 5C)</w:t>
      </w:r>
      <w:r w:rsidR="00F41248" w:rsidRPr="00014BD1">
        <w:rPr>
          <w:rFonts w:ascii="Book Antiqua" w:eastAsia="宋体" w:hAnsi="Book Antiqua" w:cs="宋体"/>
        </w:rPr>
        <w:t xml:space="preserve">, </w:t>
      </w:r>
      <w:r w:rsidRPr="00014BD1">
        <w:rPr>
          <w:rFonts w:ascii="Book Antiqua" w:eastAsia="宋体" w:hAnsi="Book Antiqua"/>
        </w:rPr>
        <w:t>and 13.3% in EGC</w:t>
      </w:r>
      <w:r w:rsidR="00F41248" w:rsidRPr="00014BD1">
        <w:rPr>
          <w:rFonts w:ascii="Book Antiqua" w:eastAsia="宋体" w:hAnsi="Book Antiqua"/>
        </w:rPr>
        <w:t xml:space="preserve"> </w:t>
      </w:r>
      <w:r w:rsidRPr="00014BD1">
        <w:rPr>
          <w:rFonts w:ascii="Book Antiqua" w:eastAsia="宋体" w:hAnsi="Book Antiqua"/>
        </w:rPr>
        <w:t>(Figure 5D). The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expression in HGIN was higher than that of LGIN</w:t>
      </w:r>
      <w:r w:rsidR="00F41248" w:rsidRPr="00014BD1">
        <w:rPr>
          <w:rFonts w:ascii="Book Antiqua" w:eastAsia="宋体" w:hAnsi="Book Antiqua"/>
        </w:rPr>
        <w:t xml:space="preserve"> </w:t>
      </w:r>
      <w:r w:rsidRPr="00014BD1">
        <w:rPr>
          <w:rFonts w:ascii="Book Antiqua" w:eastAsia="宋体" w:hAnsi="Book Antiqua"/>
        </w:rPr>
        <w:t>(</w:t>
      </w:r>
      <w:r w:rsidR="00E163AB" w:rsidRPr="00014BD1">
        <w:rPr>
          <w:rFonts w:ascii="Book Antiqua" w:eastAsia="宋体" w:hAnsi="Book Antiqua"/>
          <w:i/>
        </w:rPr>
        <w:t>P</w:t>
      </w:r>
      <w:r w:rsidR="0043291C" w:rsidRPr="00014BD1">
        <w:rPr>
          <w:rFonts w:ascii="Book Antiqua" w:eastAsia="宋体" w:hAnsi="Book Antiqua"/>
        </w:rPr>
        <w:t xml:space="preserve"> = </w:t>
      </w:r>
      <w:r w:rsidRPr="00014BD1">
        <w:rPr>
          <w:rFonts w:ascii="Book Antiqua" w:eastAsia="宋体" w:hAnsi="Book Antiqua"/>
        </w:rPr>
        <w:t xml:space="preserve">0.012, </w:t>
      </w:r>
      <w:r w:rsidR="00F41248" w:rsidRPr="00014BD1">
        <w:rPr>
          <w:rFonts w:ascii="Book Antiqua" w:eastAsia="宋体" w:hAnsi="Book Antiqua"/>
          <w:i/>
        </w:rPr>
        <w:t>χ</w:t>
      </w:r>
      <w:r w:rsidR="00F41248" w:rsidRPr="00014BD1">
        <w:rPr>
          <w:rFonts w:ascii="Book Antiqua" w:eastAsia="宋体" w:hAnsi="Book Antiqua"/>
          <w:vertAlign w:val="superscript"/>
        </w:rPr>
        <w:t>2</w:t>
      </w:r>
      <w:r w:rsidR="00F41248" w:rsidRPr="00014BD1">
        <w:rPr>
          <w:rFonts w:ascii="Book Antiqua" w:eastAsia="宋体" w:hAnsi="Book Antiqua"/>
        </w:rPr>
        <w:t xml:space="preserve"> </w:t>
      </w:r>
      <w:r w:rsidR="0043291C" w:rsidRPr="00014BD1">
        <w:rPr>
          <w:rFonts w:ascii="Book Antiqua" w:eastAsia="宋体" w:hAnsi="Book Antiqua"/>
        </w:rPr>
        <w:t xml:space="preserve">= </w:t>
      </w:r>
      <w:r w:rsidRPr="00014BD1">
        <w:rPr>
          <w:rFonts w:ascii="Book Antiqua" w:eastAsia="宋体" w:hAnsi="Book Antiqua"/>
        </w:rPr>
        <w:t>6.28) and EGC</w:t>
      </w:r>
      <w:r w:rsidR="00F41248" w:rsidRPr="00014BD1">
        <w:rPr>
          <w:rFonts w:ascii="Book Antiqua" w:eastAsia="宋体" w:hAnsi="Book Antiqua"/>
        </w:rPr>
        <w:t xml:space="preserve"> </w:t>
      </w:r>
      <w:r w:rsidRPr="00014BD1">
        <w:rPr>
          <w:rFonts w:ascii="Book Antiqua" w:eastAsia="宋体" w:hAnsi="Book Antiqua"/>
        </w:rPr>
        <w:t>(</w:t>
      </w:r>
      <w:r w:rsidR="00E163AB" w:rsidRPr="00014BD1">
        <w:rPr>
          <w:rFonts w:ascii="Book Antiqua" w:eastAsia="宋体" w:hAnsi="Book Antiqua"/>
          <w:i/>
        </w:rPr>
        <w:t>P</w:t>
      </w:r>
      <w:r w:rsidR="0043291C" w:rsidRPr="00014BD1">
        <w:rPr>
          <w:rFonts w:ascii="Book Antiqua" w:eastAsia="宋体" w:hAnsi="Book Antiqua"/>
        </w:rPr>
        <w:t xml:space="preserve"> = </w:t>
      </w:r>
      <w:r w:rsidRPr="00014BD1">
        <w:rPr>
          <w:rFonts w:ascii="Book Antiqua" w:eastAsia="宋体" w:hAnsi="Book Antiqua"/>
        </w:rPr>
        <w:t xml:space="preserve">0.008, </w:t>
      </w:r>
      <w:r w:rsidR="00F41248" w:rsidRPr="00014BD1">
        <w:rPr>
          <w:rFonts w:ascii="Book Antiqua" w:eastAsia="宋体" w:hAnsi="Book Antiqua"/>
          <w:i/>
        </w:rPr>
        <w:t>χ</w:t>
      </w:r>
      <w:r w:rsidR="00F41248" w:rsidRPr="00014BD1">
        <w:rPr>
          <w:rFonts w:ascii="Book Antiqua" w:eastAsia="宋体" w:hAnsi="Book Antiqua"/>
          <w:vertAlign w:val="superscript"/>
        </w:rPr>
        <w:t>2</w:t>
      </w:r>
      <w:r w:rsidR="0043291C" w:rsidRPr="00014BD1">
        <w:rPr>
          <w:rFonts w:ascii="Book Antiqua" w:eastAsia="宋体" w:hAnsi="Book Antiqua"/>
        </w:rPr>
        <w:t xml:space="preserve"> = </w:t>
      </w:r>
      <w:r w:rsidRPr="00014BD1">
        <w:rPr>
          <w:rFonts w:ascii="Book Antiqua" w:eastAsia="宋体" w:hAnsi="Book Antiqua"/>
        </w:rPr>
        <w:t xml:space="preserve">6.94)(Table 6). </w:t>
      </w:r>
    </w:p>
    <w:p w:rsidR="009929E3" w:rsidRPr="00014BD1" w:rsidRDefault="009929E3" w:rsidP="00E163AB">
      <w:pPr>
        <w:pStyle w:val="Default"/>
        <w:snapToGrid w:val="0"/>
        <w:spacing w:line="360" w:lineRule="auto"/>
        <w:ind w:rightChars="-15" w:right="-31" w:firstLineChars="50" w:firstLine="120"/>
        <w:jc w:val="both"/>
        <w:rPr>
          <w:rFonts w:ascii="Book Antiqua" w:eastAsia="宋体" w:hAnsi="Book Antiqua"/>
        </w:rPr>
      </w:pPr>
      <w:r w:rsidRPr="00014BD1">
        <w:rPr>
          <w:rFonts w:ascii="Book Antiqua" w:eastAsia="宋体" w:hAnsi="Book Antiqua"/>
        </w:rPr>
        <w:t>In conclusion, HGIN and LGIN are biologically distinct, the expression of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is significantly elevated in HGIN and EGC compared with that in LGIN. As a NF-κB cascade-and metabolism-related gene,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may be of considerable interest in the malignant transformation of gastric intraepithelial neoplasia. </w:t>
      </w:r>
    </w:p>
    <w:p w:rsidR="00F41248" w:rsidRPr="00014BD1" w:rsidRDefault="00F41248" w:rsidP="00E163AB">
      <w:pPr>
        <w:pStyle w:val="Default"/>
        <w:snapToGrid w:val="0"/>
        <w:spacing w:line="360" w:lineRule="auto"/>
        <w:ind w:rightChars="-15" w:right="-31" w:firstLineChars="50" w:firstLine="120"/>
        <w:jc w:val="both"/>
        <w:rPr>
          <w:rFonts w:ascii="Book Antiqua" w:eastAsia="宋体" w:hAnsi="Book Antiqua"/>
        </w:rPr>
      </w:pPr>
    </w:p>
    <w:p w:rsidR="009929E3" w:rsidRPr="00014BD1" w:rsidRDefault="00F41248"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b/>
          <w:bCs/>
          <w:color w:val="000000"/>
        </w:rPr>
        <w:t xml:space="preserve">DISCUSSION </w:t>
      </w:r>
    </w:p>
    <w:p w:rsidR="009929E3" w:rsidRPr="00014BD1" w:rsidRDefault="009929E3"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color w:val="000000"/>
        </w:rPr>
        <w:t>According to the Vienna classification of gastrointestinal epithelial neoplasia, patients with HGIN or carcinoma (CIS, suspicious, intramucosal, or submucosal invasion) should receive resection (endoscopic or surgical). For patients with LGIN, endoscopic resection or follow up is indicated</w:t>
      </w:r>
      <w:r w:rsidRPr="00014BD1">
        <w:rPr>
          <w:rFonts w:ascii="Book Antiqua" w:eastAsia="宋体" w:hAnsi="Book Antiqua"/>
          <w:color w:val="000000"/>
          <w:vertAlign w:val="superscript"/>
        </w:rPr>
        <w:t>[9]</w:t>
      </w:r>
      <w:r w:rsidRPr="00014BD1">
        <w:rPr>
          <w:rFonts w:ascii="Book Antiqua" w:eastAsia="宋体" w:hAnsi="Book Antiqua"/>
          <w:color w:val="000000"/>
        </w:rPr>
        <w:t>. There is evidence that genetic factors are related to gastric cancer and relevant precancerous lesions</w:t>
      </w:r>
      <w:r w:rsidRPr="00014BD1">
        <w:rPr>
          <w:rFonts w:ascii="Book Antiqua" w:eastAsia="宋体" w:hAnsi="Book Antiqua"/>
          <w:color w:val="000000"/>
          <w:vertAlign w:val="superscript"/>
        </w:rPr>
        <w:t>[10]</w:t>
      </w:r>
      <w:r w:rsidRPr="00014BD1">
        <w:rPr>
          <w:rFonts w:ascii="Book Antiqua" w:eastAsia="宋体" w:hAnsi="Book Antiqua"/>
          <w:color w:val="000000"/>
        </w:rPr>
        <w:t xml:space="preserve">. Gastric precancerous lesions are currently distinguished into LGIN and HGIN. Several large-scale follow-up studies have revealed that patients with HGIN are at a higher risk for developing gastric carcinoma than are patients with LGIN. In this study, </w:t>
      </w:r>
      <w:r w:rsidRPr="00014BD1">
        <w:rPr>
          <w:rFonts w:ascii="Book Antiqua" w:eastAsia="宋体" w:hAnsi="Book Antiqua"/>
          <w:color w:val="000000"/>
        </w:rPr>
        <w:lastRenderedPageBreak/>
        <w:t xml:space="preserve">the gene expression profiles of gastric LGIN, HGIN, and EGC tissue were analyzed. There were 951 significantly upregulated transcripts and 1570 significantly downregulated transcripts in HGIN compared with LGIN. However, there were no enriched GO terms among the 1570 downregulated transcripts when a GO enrichment analysis was performed. Similarly, there were 38 upregulated and 20 downregulated transcripts in EGC compared with HGIN and no GO term was enriched based on the 20 downregulated transcripts. It was supposed that the transcripts contributed most to gastric early carcinogenesis were upregulated along with the progress from LGIN, through HGIN to EGC. The gene expression patterns between HGIN and LGIN were distinct, and the enriched GO terms in the above-mentioned 951 differentially expressed transcripts were associated with metabolism, the defense response, and the NF-κB cascade. Similarly, the differences of gene expression profiling between EGC and LGIN were significant with the parallel enriched GO terms. Presumably, the biological similarities between HGIN and EGC were prominent when compared with LGIN. However, the molecular differences between HGIN and EGC was not significant and the involved function of their differentially expressed transcripts were mainly focused on the immune response. </w:t>
      </w:r>
    </w:p>
    <w:p w:rsidR="00E2458F" w:rsidRPr="00014BD1" w:rsidRDefault="009929E3" w:rsidP="00E163AB">
      <w:pPr>
        <w:pStyle w:val="CM20"/>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The genes that are involved in metabolism, the defense response, and the NF-κB cascade were not only upregulated in HGIN compared with LGIN but were also upregulated at similar or even higher expression levels in EGC. A characteristic gene related to metabolism, the immune response, and the NF-κB cascade,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 was subsequently validated in independent samples using a qPCR test </w:t>
      </w:r>
      <w:r w:rsidR="000834F0" w:rsidRPr="00014BD1">
        <w:rPr>
          <w:rFonts w:ascii="Book Antiqua" w:eastAsia="宋体" w:hAnsi="Book Antiqua"/>
          <w:color w:val="000000"/>
        </w:rPr>
        <w:t>and</w:t>
      </w:r>
      <w:r w:rsidRPr="00014BD1">
        <w:rPr>
          <w:rFonts w:ascii="Book Antiqua" w:eastAsia="宋体" w:hAnsi="Book Antiqua"/>
          <w:color w:val="000000"/>
        </w:rPr>
        <w:t xml:space="preserve"> an IHC test. </w:t>
      </w:r>
      <w:r w:rsidR="00364E68" w:rsidRPr="00014BD1">
        <w:rPr>
          <w:rFonts w:ascii="Book Antiqua" w:eastAsia="宋体" w:hAnsi="Book Antiqua"/>
          <w:color w:val="000000"/>
        </w:rPr>
        <w:t>Although the microarray analysis and qPCR analysis showed the G</w:t>
      </w:r>
      <w:r w:rsidR="00364E68" w:rsidRPr="00014BD1">
        <w:rPr>
          <w:rFonts w:ascii="Book Antiqua" w:eastAsia="宋体" w:hAnsi="Book Antiqua"/>
          <w:color w:val="000000"/>
          <w:vertAlign w:val="subscript"/>
        </w:rPr>
        <w:t>0</w:t>
      </w:r>
      <w:r w:rsidR="00364E68" w:rsidRPr="00014BD1">
        <w:rPr>
          <w:rFonts w:ascii="Book Antiqua" w:eastAsia="宋体" w:hAnsi="Book Antiqua"/>
          <w:color w:val="000000"/>
        </w:rPr>
        <w:t>S</w:t>
      </w:r>
      <w:r w:rsidR="00364E68" w:rsidRPr="00014BD1">
        <w:rPr>
          <w:rFonts w:ascii="Book Antiqua" w:eastAsia="宋体" w:hAnsi="Book Antiqua"/>
          <w:color w:val="000000"/>
          <w:vertAlign w:val="subscript"/>
        </w:rPr>
        <w:t>2</w:t>
      </w:r>
      <w:r w:rsidR="00364E68" w:rsidRPr="00014BD1">
        <w:rPr>
          <w:rFonts w:ascii="Book Antiqua" w:eastAsia="宋体" w:hAnsi="Book Antiqua"/>
          <w:color w:val="000000"/>
        </w:rPr>
        <w:t xml:space="preserve"> expression was higher in EGC and HGIN than in LGIN, the immunohistochemical staining results showed the expression rate of G</w:t>
      </w:r>
      <w:r w:rsidR="00364E68" w:rsidRPr="00014BD1">
        <w:rPr>
          <w:rFonts w:ascii="Book Antiqua" w:eastAsia="宋体" w:hAnsi="Book Antiqua"/>
          <w:color w:val="000000"/>
          <w:vertAlign w:val="subscript"/>
        </w:rPr>
        <w:t>0</w:t>
      </w:r>
      <w:r w:rsidR="00364E68" w:rsidRPr="00014BD1">
        <w:rPr>
          <w:rFonts w:ascii="Book Antiqua" w:eastAsia="宋体" w:hAnsi="Book Antiqua"/>
          <w:color w:val="000000"/>
        </w:rPr>
        <w:t>S</w:t>
      </w:r>
      <w:r w:rsidR="00364E68" w:rsidRPr="00014BD1">
        <w:rPr>
          <w:rFonts w:ascii="Book Antiqua" w:eastAsia="宋体" w:hAnsi="Book Antiqua"/>
          <w:color w:val="000000"/>
          <w:vertAlign w:val="subscript"/>
        </w:rPr>
        <w:t>2</w:t>
      </w:r>
      <w:r w:rsidR="00364E68" w:rsidRPr="00014BD1">
        <w:rPr>
          <w:rFonts w:ascii="Book Antiqua" w:eastAsia="宋体" w:hAnsi="Book Antiqua"/>
          <w:color w:val="000000"/>
        </w:rPr>
        <w:t xml:space="preserve"> was higher in HGIN but similar in LGIN and EGC. The </w:t>
      </w:r>
      <w:r w:rsidR="00E91023" w:rsidRPr="00014BD1">
        <w:rPr>
          <w:rFonts w:ascii="Book Antiqua" w:eastAsia="宋体" w:hAnsi="Book Antiqua"/>
          <w:color w:val="000000"/>
        </w:rPr>
        <w:t>expression level of</w:t>
      </w:r>
      <w:r w:rsidR="00364E68" w:rsidRPr="00014BD1">
        <w:rPr>
          <w:rFonts w:ascii="Book Antiqua" w:eastAsia="宋体" w:hAnsi="Book Antiqua"/>
          <w:color w:val="000000"/>
        </w:rPr>
        <w:t xml:space="preserve"> mRNA and immunohistochemical </w:t>
      </w:r>
      <w:r w:rsidR="00E91023" w:rsidRPr="00014BD1">
        <w:rPr>
          <w:rFonts w:ascii="Book Antiqua" w:eastAsia="宋体" w:hAnsi="Book Antiqua"/>
          <w:color w:val="000000"/>
        </w:rPr>
        <w:t>staining may be not the same</w:t>
      </w:r>
      <w:r w:rsidR="00364E68" w:rsidRPr="00014BD1">
        <w:rPr>
          <w:rFonts w:ascii="Book Antiqua" w:eastAsia="宋体" w:hAnsi="Book Antiqua"/>
          <w:color w:val="000000"/>
        </w:rPr>
        <w:t xml:space="preserve">. </w:t>
      </w:r>
    </w:p>
    <w:p w:rsidR="009929E3" w:rsidRPr="00014BD1" w:rsidRDefault="009E2F9A" w:rsidP="00E163AB">
      <w:pPr>
        <w:pStyle w:val="CM20"/>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 is located on chromosome 1 of the genome and encodes a small basic protein of 103 amino acids. </w:t>
      </w:r>
      <w:r w:rsidR="009929E3" w:rsidRPr="00014BD1">
        <w:rPr>
          <w:rFonts w:ascii="Book Antiqua" w:eastAsia="宋体" w:hAnsi="Book Antiqua"/>
          <w:color w:val="000000"/>
        </w:rPr>
        <w:t>G</w:t>
      </w:r>
      <w:r w:rsidR="009929E3" w:rsidRPr="00014BD1">
        <w:rPr>
          <w:rFonts w:ascii="Book Antiqua" w:eastAsia="宋体" w:hAnsi="Book Antiqua"/>
          <w:color w:val="000000"/>
          <w:vertAlign w:val="subscript"/>
        </w:rPr>
        <w:t>0</w:t>
      </w:r>
      <w:r w:rsidR="009929E3" w:rsidRPr="00014BD1">
        <w:rPr>
          <w:rFonts w:ascii="Book Antiqua" w:eastAsia="宋体" w:hAnsi="Book Antiqua"/>
          <w:color w:val="000000"/>
        </w:rPr>
        <w:t>S</w:t>
      </w:r>
      <w:r w:rsidR="009929E3" w:rsidRPr="00014BD1">
        <w:rPr>
          <w:rFonts w:ascii="Book Antiqua" w:eastAsia="宋体" w:hAnsi="Book Antiqua"/>
          <w:color w:val="000000"/>
          <w:vertAlign w:val="subscript"/>
        </w:rPr>
        <w:t>2</w:t>
      </w:r>
      <w:r w:rsidR="009929E3" w:rsidRPr="00014BD1">
        <w:rPr>
          <w:rFonts w:ascii="Book Antiqua" w:eastAsia="宋体" w:hAnsi="Book Antiqua"/>
          <w:color w:val="000000"/>
        </w:rPr>
        <w:t xml:space="preserve"> is related to the re-entry of cells from the G</w:t>
      </w:r>
      <w:r w:rsidR="009929E3" w:rsidRPr="00014BD1">
        <w:rPr>
          <w:rFonts w:ascii="Book Antiqua" w:eastAsia="宋体" w:hAnsi="Book Antiqua"/>
          <w:color w:val="000000"/>
          <w:vertAlign w:val="subscript"/>
        </w:rPr>
        <w:t>0</w:t>
      </w:r>
      <w:r w:rsidR="009929E3" w:rsidRPr="00014BD1">
        <w:rPr>
          <w:rFonts w:ascii="Book Antiqua" w:eastAsia="宋体" w:hAnsi="Book Antiqua"/>
          <w:color w:val="000000"/>
        </w:rPr>
        <w:t xml:space="preserve"> phase to the G</w:t>
      </w:r>
      <w:r w:rsidR="009929E3" w:rsidRPr="00014BD1">
        <w:rPr>
          <w:rFonts w:ascii="Book Antiqua" w:eastAsia="宋体" w:hAnsi="Book Antiqua"/>
          <w:color w:val="000000"/>
          <w:vertAlign w:val="subscript"/>
        </w:rPr>
        <w:t>1</w:t>
      </w:r>
      <w:r w:rsidR="009929E3" w:rsidRPr="00014BD1">
        <w:rPr>
          <w:rFonts w:ascii="Book Antiqua" w:eastAsia="宋体" w:hAnsi="Book Antiqua"/>
          <w:color w:val="000000"/>
        </w:rPr>
        <w:t xml:space="preserve"> phase of the cell cycle, implying that the G</w:t>
      </w:r>
      <w:r w:rsidR="009929E3" w:rsidRPr="00014BD1">
        <w:rPr>
          <w:rFonts w:ascii="Book Antiqua" w:eastAsia="宋体" w:hAnsi="Book Antiqua"/>
          <w:color w:val="000000"/>
          <w:vertAlign w:val="subscript"/>
        </w:rPr>
        <w:t>0</w:t>
      </w:r>
      <w:r w:rsidR="009929E3" w:rsidRPr="00014BD1">
        <w:rPr>
          <w:rFonts w:ascii="Book Antiqua" w:eastAsia="宋体" w:hAnsi="Book Antiqua"/>
          <w:color w:val="000000"/>
        </w:rPr>
        <w:t>S</w:t>
      </w:r>
      <w:r w:rsidR="009929E3" w:rsidRPr="00014BD1">
        <w:rPr>
          <w:rFonts w:ascii="Book Antiqua" w:eastAsia="宋体" w:hAnsi="Book Antiqua"/>
          <w:color w:val="000000"/>
          <w:vertAlign w:val="subscript"/>
        </w:rPr>
        <w:t>2</w:t>
      </w:r>
      <w:r w:rsidR="009929E3" w:rsidRPr="00014BD1">
        <w:rPr>
          <w:rFonts w:ascii="Book Antiqua" w:eastAsia="宋体" w:hAnsi="Book Antiqua"/>
          <w:color w:val="000000"/>
        </w:rPr>
        <w:t xml:space="preserve"> gene has a cell proliferative function. Previous studies have indicated that G</w:t>
      </w:r>
      <w:r w:rsidR="009929E3" w:rsidRPr="00014BD1">
        <w:rPr>
          <w:rFonts w:ascii="Book Antiqua" w:eastAsia="宋体" w:hAnsi="Book Antiqua"/>
          <w:color w:val="000000"/>
          <w:vertAlign w:val="subscript"/>
        </w:rPr>
        <w:t>0</w:t>
      </w:r>
      <w:r w:rsidR="009929E3" w:rsidRPr="00014BD1">
        <w:rPr>
          <w:rFonts w:ascii="Book Antiqua" w:eastAsia="宋体" w:hAnsi="Book Antiqua"/>
          <w:color w:val="000000"/>
        </w:rPr>
        <w:t>S</w:t>
      </w:r>
      <w:r w:rsidR="009929E3" w:rsidRPr="00014BD1">
        <w:rPr>
          <w:rFonts w:ascii="Book Antiqua" w:eastAsia="宋体" w:hAnsi="Book Antiqua"/>
          <w:color w:val="000000"/>
          <w:vertAlign w:val="subscript"/>
        </w:rPr>
        <w:t>2</w:t>
      </w:r>
      <w:r w:rsidR="009929E3" w:rsidRPr="00014BD1">
        <w:rPr>
          <w:rFonts w:ascii="Book Antiqua" w:eastAsia="宋体" w:hAnsi="Book Antiqua"/>
          <w:color w:val="000000"/>
        </w:rPr>
        <w:t xml:space="preserve"> is highly induced through NF-κB following </w:t>
      </w:r>
      <w:r w:rsidR="000314A9" w:rsidRPr="00014BD1">
        <w:rPr>
          <w:rFonts w:ascii="Book Antiqua" w:eastAsia="宋体" w:hAnsi="Book Antiqua"/>
          <w:color w:val="000000"/>
        </w:rPr>
        <w:t>tumor necrosis factor</w:t>
      </w:r>
      <w:r w:rsidR="009929E3" w:rsidRPr="00014BD1">
        <w:rPr>
          <w:rFonts w:ascii="Book Antiqua" w:eastAsia="宋体" w:hAnsi="Book Antiqua"/>
          <w:color w:val="000000"/>
        </w:rPr>
        <w:t>-α treatment</w:t>
      </w:r>
      <w:r w:rsidR="009929E3" w:rsidRPr="00014BD1">
        <w:rPr>
          <w:rFonts w:ascii="Book Antiqua" w:eastAsia="宋体" w:hAnsi="Book Antiqua"/>
          <w:color w:val="000000"/>
          <w:vertAlign w:val="superscript"/>
        </w:rPr>
        <w:t>[11]</w:t>
      </w:r>
      <w:r w:rsidR="009929E3" w:rsidRPr="00014BD1">
        <w:rPr>
          <w:rFonts w:ascii="Book Antiqua" w:eastAsia="宋体" w:hAnsi="Book Antiqua"/>
          <w:color w:val="000000"/>
        </w:rPr>
        <w:t>. G</w:t>
      </w:r>
      <w:r w:rsidR="009929E3" w:rsidRPr="00014BD1">
        <w:rPr>
          <w:rFonts w:ascii="Book Antiqua" w:eastAsia="宋体" w:hAnsi="Book Antiqua"/>
          <w:color w:val="000000"/>
          <w:vertAlign w:val="subscript"/>
        </w:rPr>
        <w:t>0</w:t>
      </w:r>
      <w:r w:rsidR="009929E3" w:rsidRPr="00014BD1">
        <w:rPr>
          <w:rFonts w:ascii="Book Antiqua" w:eastAsia="宋体" w:hAnsi="Book Antiqua"/>
          <w:color w:val="000000"/>
        </w:rPr>
        <w:t>S</w:t>
      </w:r>
      <w:r w:rsidR="009929E3" w:rsidRPr="00014BD1">
        <w:rPr>
          <w:rFonts w:ascii="Book Antiqua" w:eastAsia="宋体" w:hAnsi="Book Antiqua"/>
          <w:color w:val="000000"/>
          <w:vertAlign w:val="subscript"/>
        </w:rPr>
        <w:t>2</w:t>
      </w:r>
      <w:r w:rsidR="009929E3" w:rsidRPr="00014BD1">
        <w:rPr>
          <w:rFonts w:ascii="Book Antiqua" w:eastAsia="宋体" w:hAnsi="Book Antiqua"/>
          <w:color w:val="000000"/>
        </w:rPr>
        <w:t xml:space="preserve"> is a novel target gene of PPARs (peroxisome proliferator-activated receptors, α, β/β, and γ), which are main</w:t>
      </w:r>
      <w:r w:rsidR="00122DB5" w:rsidRPr="00014BD1">
        <w:rPr>
          <w:rFonts w:ascii="Book Antiqua" w:eastAsia="宋体" w:hAnsi="Book Antiqua"/>
          <w:color w:val="000000"/>
        </w:rPr>
        <w:t>ly involved in lipid metabolism</w:t>
      </w:r>
      <w:r w:rsidR="00122DB5" w:rsidRPr="00014BD1">
        <w:rPr>
          <w:rFonts w:ascii="Book Antiqua" w:eastAsia="宋体" w:hAnsi="Book Antiqua"/>
          <w:color w:val="000000"/>
          <w:vertAlign w:val="superscript"/>
        </w:rPr>
        <w:t>[12,</w:t>
      </w:r>
      <w:r w:rsidR="009929E3" w:rsidRPr="00014BD1">
        <w:rPr>
          <w:rFonts w:ascii="Book Antiqua" w:eastAsia="宋体" w:hAnsi="Book Antiqua"/>
          <w:color w:val="000000"/>
          <w:vertAlign w:val="superscript"/>
        </w:rPr>
        <w:t>13]</w:t>
      </w:r>
      <w:r w:rsidR="009929E3" w:rsidRPr="00014BD1">
        <w:rPr>
          <w:rFonts w:ascii="Book Antiqua" w:eastAsia="宋体" w:hAnsi="Book Antiqua"/>
          <w:color w:val="000000"/>
        </w:rPr>
        <w:t xml:space="preserve">. </w:t>
      </w:r>
      <w:r w:rsidR="00E2458F" w:rsidRPr="00014BD1">
        <w:rPr>
          <w:rFonts w:ascii="Book Antiqua" w:eastAsia="宋体" w:hAnsi="Book Antiqua"/>
          <w:color w:val="000000"/>
        </w:rPr>
        <w:t xml:space="preserve">Activation of </w:t>
      </w:r>
      <w:r w:rsidR="00E2458F" w:rsidRPr="00014BD1">
        <w:rPr>
          <w:rFonts w:ascii="Book Antiqua" w:eastAsia="宋体" w:hAnsi="Book Antiqua"/>
          <w:color w:val="000000"/>
        </w:rPr>
        <w:lastRenderedPageBreak/>
        <w:t xml:space="preserve">PPARγ inhibits cell growth and induces apoptosis in gastric cancer cells. </w:t>
      </w:r>
      <w:r w:rsidR="009929E3" w:rsidRPr="00014BD1">
        <w:rPr>
          <w:rFonts w:ascii="Book Antiqua" w:eastAsia="宋体" w:hAnsi="Book Antiqua"/>
          <w:color w:val="000000"/>
        </w:rPr>
        <w:t>G</w:t>
      </w:r>
      <w:r w:rsidR="009929E3" w:rsidRPr="00014BD1">
        <w:rPr>
          <w:rFonts w:ascii="Book Antiqua" w:eastAsia="宋体" w:hAnsi="Book Antiqua"/>
          <w:color w:val="000000"/>
          <w:vertAlign w:val="subscript"/>
        </w:rPr>
        <w:t>0</w:t>
      </w:r>
      <w:r w:rsidR="009929E3" w:rsidRPr="00014BD1">
        <w:rPr>
          <w:rFonts w:ascii="Book Antiqua" w:eastAsia="宋体" w:hAnsi="Book Antiqua"/>
          <w:color w:val="000000"/>
        </w:rPr>
        <w:t>S</w:t>
      </w:r>
      <w:r w:rsidR="009929E3" w:rsidRPr="00014BD1">
        <w:rPr>
          <w:rFonts w:ascii="Book Antiqua" w:eastAsia="宋体" w:hAnsi="Book Antiqua"/>
          <w:color w:val="000000"/>
          <w:vertAlign w:val="subscript"/>
        </w:rPr>
        <w:t>2</w:t>
      </w:r>
      <w:r w:rsidR="009929E3" w:rsidRPr="00014BD1">
        <w:rPr>
          <w:rFonts w:ascii="Book Antiqua" w:eastAsia="宋体" w:hAnsi="Book Antiqua"/>
          <w:color w:val="000000"/>
        </w:rPr>
        <w:t xml:space="preserve"> is an inhibitor </w:t>
      </w:r>
      <w:r w:rsidR="000834F0" w:rsidRPr="00014BD1">
        <w:rPr>
          <w:rFonts w:ascii="Book Antiqua" w:eastAsia="宋体" w:hAnsi="Book Antiqua"/>
          <w:color w:val="000000"/>
        </w:rPr>
        <w:t xml:space="preserve">of adipose triglyceride lipase </w:t>
      </w:r>
      <w:r w:rsidR="009929E3" w:rsidRPr="00014BD1">
        <w:rPr>
          <w:rFonts w:ascii="Book Antiqua" w:eastAsia="宋体" w:hAnsi="Book Antiqua"/>
          <w:color w:val="000000"/>
        </w:rPr>
        <w:t>and d</w:t>
      </w:r>
      <w:r w:rsidR="00122DB5" w:rsidRPr="00014BD1">
        <w:rPr>
          <w:rFonts w:ascii="Book Antiqua" w:eastAsia="宋体" w:hAnsi="Book Antiqua"/>
          <w:color w:val="000000"/>
        </w:rPr>
        <w:t>ecreases lipolysis</w:t>
      </w:r>
      <w:r w:rsidR="009929E3" w:rsidRPr="00014BD1">
        <w:rPr>
          <w:rFonts w:ascii="Book Antiqua" w:eastAsia="宋体" w:hAnsi="Book Antiqua"/>
          <w:color w:val="000000"/>
          <w:vertAlign w:val="superscript"/>
        </w:rPr>
        <w:t>[14-17]</w:t>
      </w:r>
      <w:r w:rsidR="009929E3" w:rsidRPr="00014BD1">
        <w:rPr>
          <w:rFonts w:ascii="Book Antiqua" w:eastAsia="宋体" w:hAnsi="Book Antiqua"/>
          <w:color w:val="000000"/>
        </w:rPr>
        <w:t xml:space="preserve">. </w:t>
      </w:r>
      <w:r w:rsidR="000366C9" w:rsidRPr="00014BD1">
        <w:rPr>
          <w:rFonts w:ascii="Book Antiqua" w:eastAsia="宋体" w:hAnsi="Book Antiqua"/>
          <w:color w:val="000000"/>
        </w:rPr>
        <w:t>G</w:t>
      </w:r>
      <w:r w:rsidR="000366C9" w:rsidRPr="00014BD1">
        <w:rPr>
          <w:rFonts w:ascii="Book Antiqua" w:eastAsia="宋体" w:hAnsi="Book Antiqua"/>
          <w:color w:val="000000"/>
          <w:vertAlign w:val="subscript"/>
        </w:rPr>
        <w:t>0</w:t>
      </w:r>
      <w:r w:rsidR="000366C9" w:rsidRPr="00014BD1">
        <w:rPr>
          <w:rFonts w:ascii="Book Antiqua" w:eastAsia="宋体" w:hAnsi="Book Antiqua"/>
          <w:color w:val="000000"/>
        </w:rPr>
        <w:t>S</w:t>
      </w:r>
      <w:r w:rsidR="000366C9" w:rsidRPr="00014BD1">
        <w:rPr>
          <w:rFonts w:ascii="Book Antiqua" w:eastAsia="宋体" w:hAnsi="Book Antiqua"/>
          <w:color w:val="000000"/>
          <w:vertAlign w:val="subscript"/>
        </w:rPr>
        <w:t>2</w:t>
      </w:r>
      <w:r w:rsidR="000366C9" w:rsidRPr="00014BD1">
        <w:rPr>
          <w:rFonts w:ascii="Book Antiqua" w:eastAsia="宋体" w:hAnsi="Book Antiqua"/>
          <w:color w:val="000000"/>
        </w:rPr>
        <w:t xml:space="preserve"> is a positive regulator of oxidative phosphorylation</w:t>
      </w:r>
      <w:r w:rsidR="000366C9" w:rsidRPr="00014BD1">
        <w:rPr>
          <w:rFonts w:ascii="Book Antiqua" w:eastAsia="宋体" w:hAnsi="Book Antiqua"/>
          <w:color w:val="000000"/>
          <w:vertAlign w:val="superscript"/>
        </w:rPr>
        <w:t>[18]</w:t>
      </w:r>
      <w:r w:rsidR="000366C9" w:rsidRPr="00014BD1">
        <w:rPr>
          <w:rFonts w:ascii="Book Antiqua" w:eastAsia="宋体" w:hAnsi="Book Antiqua"/>
          <w:color w:val="000000"/>
        </w:rPr>
        <w:t xml:space="preserve">. </w:t>
      </w:r>
      <w:r w:rsidR="009929E3" w:rsidRPr="00014BD1">
        <w:rPr>
          <w:rFonts w:ascii="Book Antiqua" w:eastAsia="宋体" w:hAnsi="Book Antiqua"/>
          <w:color w:val="000000"/>
        </w:rPr>
        <w:t>G</w:t>
      </w:r>
      <w:r w:rsidR="009929E3" w:rsidRPr="00014BD1">
        <w:rPr>
          <w:rFonts w:ascii="Book Antiqua" w:eastAsia="宋体" w:hAnsi="Book Antiqua"/>
          <w:color w:val="000000"/>
          <w:vertAlign w:val="subscript"/>
        </w:rPr>
        <w:t>0</w:t>
      </w:r>
      <w:r w:rsidR="009929E3" w:rsidRPr="00014BD1">
        <w:rPr>
          <w:rFonts w:ascii="Book Antiqua" w:eastAsia="宋体" w:hAnsi="Book Antiqua"/>
          <w:color w:val="000000"/>
        </w:rPr>
        <w:t>S</w:t>
      </w:r>
      <w:r w:rsidR="009929E3" w:rsidRPr="00014BD1">
        <w:rPr>
          <w:rFonts w:ascii="Book Antiqua" w:eastAsia="宋体" w:hAnsi="Book Antiqua"/>
          <w:color w:val="000000"/>
          <w:vertAlign w:val="subscript"/>
        </w:rPr>
        <w:t>2</w:t>
      </w:r>
      <w:r w:rsidR="009929E3" w:rsidRPr="00014BD1">
        <w:rPr>
          <w:rFonts w:ascii="Book Antiqua" w:eastAsia="宋体" w:hAnsi="Book Antiqua"/>
          <w:color w:val="000000"/>
        </w:rPr>
        <w:t xml:space="preserve"> was upregulated in inflammatory processes, was involved in T cell quiescence, and inhibited proliferation of T cells. Inhibition of MAPK, PI3K, mTOR and Ca</w:t>
      </w:r>
      <w:r w:rsidR="009929E3" w:rsidRPr="00014BD1">
        <w:rPr>
          <w:rFonts w:ascii="Book Antiqua" w:eastAsia="宋体" w:hAnsi="Book Antiqua"/>
          <w:color w:val="000000"/>
          <w:vertAlign w:val="superscript"/>
        </w:rPr>
        <w:t>2+</w:t>
      </w:r>
      <w:r w:rsidR="009929E3" w:rsidRPr="00014BD1">
        <w:rPr>
          <w:rFonts w:ascii="Book Antiqua" w:eastAsia="宋体" w:hAnsi="Book Antiqua"/>
          <w:color w:val="000000"/>
        </w:rPr>
        <w:t>/calcineurin pathways abrogated G</w:t>
      </w:r>
      <w:r w:rsidR="009929E3" w:rsidRPr="00014BD1">
        <w:rPr>
          <w:rFonts w:ascii="Book Antiqua" w:eastAsia="宋体" w:hAnsi="Book Antiqua"/>
          <w:color w:val="000000"/>
          <w:vertAlign w:val="subscript"/>
        </w:rPr>
        <w:t>0</w:t>
      </w:r>
      <w:r w:rsidR="009929E3" w:rsidRPr="00014BD1">
        <w:rPr>
          <w:rFonts w:ascii="Book Antiqua" w:eastAsia="宋体" w:hAnsi="Book Antiqua"/>
          <w:color w:val="000000"/>
        </w:rPr>
        <w:t>S</w:t>
      </w:r>
      <w:r w:rsidR="009929E3" w:rsidRPr="00014BD1">
        <w:rPr>
          <w:rFonts w:ascii="Book Antiqua" w:eastAsia="宋体" w:hAnsi="Book Antiqua"/>
          <w:color w:val="000000"/>
          <w:vertAlign w:val="subscript"/>
        </w:rPr>
        <w:t>2</w:t>
      </w:r>
      <w:r w:rsidR="009929E3" w:rsidRPr="00014BD1">
        <w:rPr>
          <w:rFonts w:ascii="Book Antiqua" w:eastAsia="宋体" w:hAnsi="Book Antiqua"/>
          <w:color w:val="000000"/>
        </w:rPr>
        <w:t xml:space="preserve"> gene suppression</w:t>
      </w:r>
      <w:r w:rsidR="009929E3" w:rsidRPr="00014BD1">
        <w:rPr>
          <w:rFonts w:ascii="Book Antiqua" w:eastAsia="宋体" w:hAnsi="Book Antiqua"/>
          <w:color w:val="000000"/>
          <w:vertAlign w:val="superscript"/>
        </w:rPr>
        <w:t>[1</w:t>
      </w:r>
      <w:r w:rsidR="000366C9" w:rsidRPr="00014BD1">
        <w:rPr>
          <w:rFonts w:ascii="Book Antiqua" w:eastAsia="宋体" w:hAnsi="Book Antiqua"/>
          <w:color w:val="000000"/>
          <w:vertAlign w:val="superscript"/>
        </w:rPr>
        <w:t>9</w:t>
      </w:r>
      <w:r w:rsidR="00BD59B6" w:rsidRPr="00014BD1">
        <w:rPr>
          <w:rFonts w:ascii="Book Antiqua" w:eastAsia="宋体" w:hAnsi="Book Antiqua"/>
          <w:color w:val="000000"/>
          <w:vertAlign w:val="superscript"/>
        </w:rPr>
        <w:t>-21</w:t>
      </w:r>
      <w:r w:rsidR="009929E3" w:rsidRPr="00014BD1">
        <w:rPr>
          <w:rFonts w:ascii="Book Antiqua" w:eastAsia="宋体" w:hAnsi="Book Antiqua"/>
          <w:color w:val="000000"/>
          <w:vertAlign w:val="superscript"/>
        </w:rPr>
        <w:t>]</w:t>
      </w:r>
      <w:r w:rsidR="009929E3" w:rsidRPr="00014BD1">
        <w:rPr>
          <w:rFonts w:ascii="Book Antiqua" w:eastAsia="宋体" w:hAnsi="Book Antiqua"/>
          <w:color w:val="000000"/>
        </w:rPr>
        <w:t xml:space="preserve"> . </w:t>
      </w:r>
    </w:p>
    <w:p w:rsidR="009929E3" w:rsidRPr="00014BD1" w:rsidRDefault="009929E3" w:rsidP="00E163AB">
      <w:pPr>
        <w:pStyle w:val="CM17"/>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NF-κB transcription factors and its signaling pathway play a key role in controlling the immune response</w:t>
      </w:r>
      <w:r w:rsidRPr="00014BD1">
        <w:rPr>
          <w:rFonts w:ascii="Book Antiqua" w:eastAsia="宋体" w:hAnsi="Book Antiqua"/>
          <w:color w:val="000000"/>
          <w:vertAlign w:val="superscript"/>
        </w:rPr>
        <w:t>[</w:t>
      </w:r>
      <w:r w:rsidR="003A12E8" w:rsidRPr="00014BD1">
        <w:rPr>
          <w:rFonts w:ascii="Book Antiqua" w:eastAsia="宋体" w:hAnsi="Book Antiqua"/>
          <w:color w:val="000000"/>
          <w:vertAlign w:val="superscript"/>
        </w:rPr>
        <w:t>22-24</w:t>
      </w:r>
      <w:r w:rsidRPr="00014BD1">
        <w:rPr>
          <w:rFonts w:ascii="Book Antiqua" w:eastAsia="宋体" w:hAnsi="Book Antiqua"/>
          <w:color w:val="000000"/>
          <w:vertAlign w:val="superscript"/>
        </w:rPr>
        <w:t>]</w:t>
      </w:r>
      <w:r w:rsidRPr="00014BD1">
        <w:rPr>
          <w:rFonts w:ascii="Book Antiqua" w:eastAsia="宋体" w:hAnsi="Book Antiqua"/>
          <w:color w:val="000000"/>
        </w:rPr>
        <w:t>. NF-κB provides a mechanistic link between inflammation and cancer</w:t>
      </w:r>
      <w:r w:rsidR="003A12E8" w:rsidRPr="00014BD1">
        <w:rPr>
          <w:rFonts w:ascii="Book Antiqua" w:eastAsia="宋体" w:hAnsi="Book Antiqua"/>
          <w:color w:val="000000"/>
          <w:vertAlign w:val="superscript"/>
        </w:rPr>
        <w:t>[25-27]</w:t>
      </w:r>
      <w:r w:rsidRPr="00014BD1">
        <w:rPr>
          <w:rFonts w:ascii="Book Antiqua" w:eastAsia="宋体" w:hAnsi="Book Antiqua"/>
          <w:color w:val="000000"/>
        </w:rPr>
        <w:t>. NF-κB controls the ability of pre-neoplastic and malignant cells to resist apoptosis-based tumor-surveillance mechanisms, which is crucial for the clinical development of NF-κB inhibitors as cancer therapeutics</w:t>
      </w:r>
      <w:r w:rsidRPr="00014BD1">
        <w:rPr>
          <w:rFonts w:ascii="Book Antiqua" w:eastAsia="宋体" w:hAnsi="Book Antiqua"/>
          <w:color w:val="000000"/>
          <w:vertAlign w:val="superscript"/>
        </w:rPr>
        <w:t>[2</w:t>
      </w:r>
      <w:r w:rsidR="00514ABE" w:rsidRPr="00014BD1">
        <w:rPr>
          <w:rFonts w:ascii="Book Antiqua" w:eastAsia="宋体" w:hAnsi="Book Antiqua"/>
          <w:color w:val="000000"/>
          <w:vertAlign w:val="superscript"/>
        </w:rPr>
        <w:t>8</w:t>
      </w:r>
      <w:r w:rsidRPr="00014BD1">
        <w:rPr>
          <w:rFonts w:ascii="Book Antiqua" w:eastAsia="宋体" w:hAnsi="Book Antiqua"/>
          <w:color w:val="000000"/>
          <w:vertAlign w:val="superscript"/>
        </w:rPr>
        <w:t>]</w:t>
      </w:r>
      <w:r w:rsidRPr="00014BD1">
        <w:rPr>
          <w:rFonts w:ascii="Book Antiqua" w:eastAsia="宋体" w:hAnsi="Book Antiqua"/>
          <w:color w:val="000000"/>
        </w:rPr>
        <w:t>. The alterations in certain aspects of lipid metabolism were involved in tumorigenesis, including the synthesis and degradation of lipids that contribute to energy homeostasis and the abundance of lipids with signaling functions</w:t>
      </w:r>
      <w:r w:rsidRPr="00014BD1">
        <w:rPr>
          <w:rFonts w:ascii="Book Antiqua" w:eastAsia="宋体" w:hAnsi="Book Antiqua"/>
          <w:color w:val="000000"/>
          <w:vertAlign w:val="superscript"/>
        </w:rPr>
        <w:t>[2</w:t>
      </w:r>
      <w:r w:rsidR="00514ABE" w:rsidRPr="00014BD1">
        <w:rPr>
          <w:rFonts w:ascii="Book Antiqua" w:eastAsia="宋体" w:hAnsi="Book Antiqua"/>
          <w:color w:val="000000"/>
          <w:vertAlign w:val="superscript"/>
        </w:rPr>
        <w:t>9-32</w:t>
      </w:r>
      <w:r w:rsidRPr="00014BD1">
        <w:rPr>
          <w:rFonts w:ascii="Book Antiqua" w:eastAsia="宋体" w:hAnsi="Book Antiqua"/>
          <w:color w:val="000000"/>
          <w:vertAlign w:val="superscript"/>
        </w:rPr>
        <w:t>]</w:t>
      </w:r>
      <w:r w:rsidRPr="00014BD1">
        <w:rPr>
          <w:rFonts w:ascii="Book Antiqua" w:eastAsia="宋体" w:hAnsi="Book Antiqua"/>
          <w:color w:val="000000"/>
        </w:rPr>
        <w:t xml:space="preserve"> . </w:t>
      </w:r>
    </w:p>
    <w:p w:rsidR="009929E3" w:rsidRPr="00014BD1" w:rsidRDefault="009929E3" w:rsidP="00E163AB">
      <w:pPr>
        <w:pStyle w:val="CM8"/>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Previous studies with HGIN and LGIN were mostly based on several known genes</w:t>
      </w:r>
      <w:r w:rsidRPr="00014BD1">
        <w:rPr>
          <w:rFonts w:ascii="Book Antiqua" w:eastAsia="宋体" w:hAnsi="Book Antiqua"/>
          <w:color w:val="000000"/>
          <w:vertAlign w:val="superscript"/>
        </w:rPr>
        <w:t>[</w:t>
      </w:r>
      <w:r w:rsidR="00514ABE" w:rsidRPr="00014BD1">
        <w:rPr>
          <w:rFonts w:ascii="Book Antiqua" w:eastAsia="宋体" w:hAnsi="Book Antiqua"/>
          <w:color w:val="000000"/>
          <w:vertAlign w:val="superscript"/>
        </w:rPr>
        <w:t>33</w:t>
      </w:r>
      <w:r w:rsidR="000314A9" w:rsidRPr="00014BD1">
        <w:rPr>
          <w:rFonts w:ascii="Book Antiqua" w:eastAsia="宋体" w:hAnsi="Book Antiqua"/>
          <w:color w:val="000000"/>
          <w:vertAlign w:val="superscript"/>
        </w:rPr>
        <w:t>,</w:t>
      </w:r>
      <w:r w:rsidR="00514ABE" w:rsidRPr="00014BD1">
        <w:rPr>
          <w:rFonts w:ascii="Book Antiqua" w:eastAsia="宋体" w:hAnsi="Book Antiqua"/>
          <w:color w:val="000000"/>
          <w:vertAlign w:val="superscript"/>
        </w:rPr>
        <w:t>34</w:t>
      </w:r>
      <w:r w:rsidRPr="00014BD1">
        <w:rPr>
          <w:rFonts w:ascii="Book Antiqua" w:eastAsia="宋体" w:hAnsi="Book Antiqua"/>
          <w:color w:val="000000"/>
          <w:vertAlign w:val="superscript"/>
        </w:rPr>
        <w:t>]</w:t>
      </w:r>
      <w:r w:rsidRPr="00014BD1">
        <w:rPr>
          <w:rFonts w:ascii="Book Antiqua" w:eastAsia="宋体" w:hAnsi="Book Antiqua"/>
          <w:color w:val="000000"/>
        </w:rPr>
        <w:t>, such as p53, Her-2, and E-cadherin</w:t>
      </w:r>
      <w:r w:rsidRPr="00014BD1">
        <w:rPr>
          <w:rFonts w:ascii="Book Antiqua" w:eastAsia="宋体" w:hAnsi="Book Antiqua"/>
          <w:color w:val="000000"/>
          <w:vertAlign w:val="superscript"/>
        </w:rPr>
        <w:t>[</w:t>
      </w:r>
      <w:r w:rsidR="00514ABE" w:rsidRPr="00014BD1">
        <w:rPr>
          <w:rFonts w:ascii="Book Antiqua" w:eastAsia="宋体" w:hAnsi="Book Antiqua"/>
          <w:color w:val="000000"/>
          <w:vertAlign w:val="superscript"/>
        </w:rPr>
        <w:t>35</w:t>
      </w:r>
      <w:r w:rsidRPr="00014BD1">
        <w:rPr>
          <w:rFonts w:ascii="Book Antiqua" w:eastAsia="宋体" w:hAnsi="Book Antiqua"/>
          <w:color w:val="000000"/>
          <w:vertAlign w:val="superscript"/>
        </w:rPr>
        <w:t>]</w:t>
      </w:r>
      <w:r w:rsidRPr="00014BD1">
        <w:rPr>
          <w:rFonts w:ascii="Book Antiqua" w:eastAsia="宋体" w:hAnsi="Book Antiqua"/>
          <w:color w:val="000000"/>
        </w:rPr>
        <w:t xml:space="preserve">. Until now, few studies have focused on gastric intraepithelial neoplasia, especially from the aspect of the whole genome expression profile. </w:t>
      </w:r>
    </w:p>
    <w:p w:rsidR="009929E3" w:rsidRPr="00014BD1" w:rsidRDefault="009929E3"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color w:val="000000"/>
        </w:rPr>
        <w:t>The microarray approach has been widely applied to the investigation of advanced gastric cancer. However, advanced gastric cancer has a worse prognosis and greater heterogeneity with its progression. Several studies have revealed that genetic alterations begin in the early stages of cancer and even in precancerous lesions. Early studies using CGH arrays suggested that an 8q gain in HGIN may play a pivotal role in the development of gastric carcinoma</w:t>
      </w:r>
      <w:r w:rsidRPr="00014BD1">
        <w:rPr>
          <w:rFonts w:ascii="Book Antiqua" w:eastAsia="宋体" w:hAnsi="Book Antiqua"/>
          <w:color w:val="000000"/>
          <w:vertAlign w:val="superscript"/>
        </w:rPr>
        <w:t>[7]</w:t>
      </w:r>
      <w:r w:rsidRPr="00014BD1">
        <w:rPr>
          <w:rFonts w:ascii="Book Antiqua" w:eastAsia="宋体" w:hAnsi="Book Antiqua"/>
          <w:color w:val="000000"/>
        </w:rPr>
        <w:t xml:space="preserve">. However, the gene expression levels and functions associated with the copy number status of 8q were not detailed. Much less is known in terms of a comparison among the expression profiles of LGIN, HGIN, and EGC due to the difficulties of early detection and biopsy. Based on the clinicopathological finding and a clear research design, this study collected samples of LGIN, HGIN, and EGC to perform a comprehensive detection of their expression profiles at a whole-genome level. Through this study of gene expression profiles, the biological basis of the clinical differences between HGIN and LGIN was determined. </w:t>
      </w:r>
    </w:p>
    <w:p w:rsidR="009929E3" w:rsidRPr="00014BD1" w:rsidRDefault="009929E3" w:rsidP="00E163AB">
      <w:pPr>
        <w:pStyle w:val="CM20"/>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Despite the limitation that including more samples in each group would be better, this large-scale experiment opens the door for further research into precancerous lesions. The asymptomatic characteristics, atypical histology, and</w:t>
      </w:r>
      <w:r w:rsidR="00F76B13" w:rsidRPr="00014BD1">
        <w:rPr>
          <w:rFonts w:ascii="Book Antiqua" w:eastAsia="宋体" w:hAnsi="Book Antiqua"/>
          <w:color w:val="000000"/>
        </w:rPr>
        <w:t xml:space="preserve"> lack of specific biomarkers in</w:t>
      </w:r>
      <w:r w:rsidR="000314A9" w:rsidRPr="00014BD1">
        <w:rPr>
          <w:rFonts w:ascii="Book Antiqua" w:eastAsia="宋体" w:hAnsi="Book Antiqua"/>
          <w:color w:val="000000"/>
          <w:vertAlign w:val="superscript"/>
        </w:rPr>
        <w:t>[10,</w:t>
      </w:r>
      <w:r w:rsidR="002804CE" w:rsidRPr="00014BD1">
        <w:rPr>
          <w:rFonts w:ascii="Book Antiqua" w:eastAsia="宋体" w:hAnsi="Book Antiqua"/>
          <w:color w:val="000000"/>
          <w:vertAlign w:val="superscript"/>
        </w:rPr>
        <w:t>36</w:t>
      </w:r>
      <w:r w:rsidRPr="00014BD1">
        <w:rPr>
          <w:rFonts w:ascii="Book Antiqua" w:eastAsia="宋体" w:hAnsi="Book Antiqua"/>
          <w:color w:val="000000"/>
          <w:vertAlign w:val="superscript"/>
        </w:rPr>
        <w:t>]</w:t>
      </w:r>
      <w:r w:rsidR="00F76B13" w:rsidRPr="00014BD1">
        <w:rPr>
          <w:rFonts w:ascii="Book Antiqua" w:eastAsia="宋体" w:hAnsi="Book Antiqua"/>
          <w:color w:val="000000"/>
          <w:vertAlign w:val="superscript"/>
        </w:rPr>
        <w:t xml:space="preserve"> </w:t>
      </w:r>
      <w:r w:rsidRPr="00014BD1">
        <w:rPr>
          <w:rFonts w:ascii="Book Antiqua" w:eastAsia="宋体" w:hAnsi="Book Antiqua"/>
          <w:color w:val="000000"/>
        </w:rPr>
        <w:lastRenderedPageBreak/>
        <w:t>precancerous lesions make them difficult to diagnose early and</w:t>
      </w:r>
      <w:r w:rsidR="00F76B13" w:rsidRPr="00014BD1">
        <w:rPr>
          <w:rFonts w:ascii="Book Antiqua" w:eastAsia="宋体" w:hAnsi="Book Antiqua"/>
          <w:color w:val="000000"/>
        </w:rPr>
        <w:t xml:space="preserve"> accurately</w:t>
      </w:r>
      <w:r w:rsidRPr="00014BD1">
        <w:rPr>
          <w:rFonts w:ascii="Book Antiqua" w:eastAsia="宋体" w:hAnsi="Book Antiqua"/>
          <w:color w:val="000000"/>
        </w:rPr>
        <w:t xml:space="preserve">. Moreover, the performance of the gene in immunohistochemistry experiments may be useful for early detection of gastric epithelial neoplasia, and the clinical application for the auxiliary diagnosis of atypical lesions is promising. Furthermore, the gene function-related research requires future study. </w:t>
      </w:r>
    </w:p>
    <w:p w:rsidR="009929E3" w:rsidRPr="00014BD1" w:rsidRDefault="009929E3" w:rsidP="00E163AB">
      <w:pPr>
        <w:pStyle w:val="CM17"/>
        <w:snapToGrid w:val="0"/>
        <w:spacing w:line="360" w:lineRule="auto"/>
        <w:ind w:rightChars="-15" w:right="-31" w:firstLineChars="50" w:firstLine="120"/>
        <w:jc w:val="both"/>
        <w:rPr>
          <w:rFonts w:ascii="Book Antiqua" w:eastAsia="宋体" w:hAnsi="Book Antiqua"/>
          <w:color w:val="000000"/>
        </w:rPr>
      </w:pPr>
      <w:r w:rsidRPr="00014BD1">
        <w:rPr>
          <w:rFonts w:ascii="Book Antiqua" w:eastAsia="宋体" w:hAnsi="Book Antiqua"/>
          <w:color w:val="000000"/>
        </w:rPr>
        <w:t xml:space="preserve">In summary, the microarray analysis in this study identified differences in the gene expression between LGIN and HGIN. The obvious molecular distinction between LGIN and HGIN was almost identical with the clinical practice. Metabolism, the immune response, and the NF-κB cascade appear to be important processes underlying malignant transformation. </w:t>
      </w:r>
    </w:p>
    <w:p w:rsidR="00F76B13" w:rsidRPr="00014BD1" w:rsidRDefault="00F76B13" w:rsidP="00E163AB">
      <w:pPr>
        <w:pStyle w:val="Default"/>
        <w:spacing w:line="360" w:lineRule="auto"/>
        <w:ind w:rightChars="-15" w:right="-31"/>
        <w:jc w:val="both"/>
        <w:rPr>
          <w:rFonts w:ascii="Book Antiqua" w:hAnsi="Book Antiqua"/>
        </w:rPr>
      </w:pPr>
    </w:p>
    <w:p w:rsidR="009929E3" w:rsidRPr="00014BD1" w:rsidRDefault="00F76B13"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b/>
          <w:bCs/>
          <w:color w:val="000000"/>
        </w:rPr>
        <w:t xml:space="preserve">ACKNOWLEDGEMENTS </w:t>
      </w:r>
    </w:p>
    <w:p w:rsidR="009929E3" w:rsidRPr="00014BD1" w:rsidRDefault="009929E3" w:rsidP="00E163AB">
      <w:pPr>
        <w:pStyle w:val="CM17"/>
        <w:snapToGrid w:val="0"/>
        <w:spacing w:line="360" w:lineRule="auto"/>
        <w:ind w:rightChars="-15" w:right="-31"/>
        <w:jc w:val="both"/>
        <w:rPr>
          <w:rFonts w:ascii="Book Antiqua" w:eastAsia="宋体" w:hAnsi="Book Antiqua"/>
          <w:color w:val="000000"/>
        </w:rPr>
      </w:pPr>
      <w:r w:rsidRPr="00014BD1">
        <w:rPr>
          <w:rFonts w:ascii="Book Antiqua" w:eastAsia="宋体" w:hAnsi="Book Antiqua"/>
          <w:color w:val="000000"/>
        </w:rPr>
        <w:t xml:space="preserve">We are grateful to all of the patients for their participation and to the physicians at the Peking Union Medical College Hospital and the Qinghai Provincial People’s Hospital for their cooperation. </w:t>
      </w:r>
    </w:p>
    <w:p w:rsidR="000314A9" w:rsidRPr="00014BD1" w:rsidRDefault="000314A9" w:rsidP="00E163AB">
      <w:pPr>
        <w:pStyle w:val="Default"/>
        <w:spacing w:line="360" w:lineRule="auto"/>
        <w:jc w:val="both"/>
        <w:rPr>
          <w:rFonts w:ascii="Book Antiqua" w:hAnsi="Book Antiqua"/>
        </w:rPr>
      </w:pPr>
    </w:p>
    <w:p w:rsidR="000314A9" w:rsidRPr="00014BD1" w:rsidRDefault="000314A9" w:rsidP="00E163AB">
      <w:pPr>
        <w:autoSpaceDE w:val="0"/>
        <w:autoSpaceDN w:val="0"/>
        <w:adjustRightInd w:val="0"/>
        <w:snapToGrid w:val="0"/>
        <w:spacing w:line="360" w:lineRule="auto"/>
        <w:ind w:rightChars="-15" w:right="-31"/>
        <w:rPr>
          <w:rFonts w:ascii="Book Antiqua" w:hAnsi="Book Antiqua"/>
          <w:b/>
          <w:bCs/>
          <w:color w:val="000000"/>
          <w:sz w:val="24"/>
          <w:szCs w:val="24"/>
        </w:rPr>
      </w:pPr>
      <w:bookmarkStart w:id="253" w:name="OLE_LINK685"/>
      <w:bookmarkStart w:id="254" w:name="OLE_LINK849"/>
      <w:bookmarkStart w:id="255" w:name="OLE_LINK936"/>
      <w:bookmarkStart w:id="256" w:name="OLE_LINK937"/>
      <w:bookmarkStart w:id="257" w:name="OLE_LINK938"/>
      <w:bookmarkStart w:id="258" w:name="OLE_LINK939"/>
      <w:bookmarkStart w:id="259" w:name="OLE_LINK940"/>
      <w:bookmarkStart w:id="260" w:name="OLE_LINK941"/>
      <w:bookmarkStart w:id="261" w:name="OLE_LINK1153"/>
      <w:bookmarkStart w:id="262" w:name="OLE_LINK1001"/>
      <w:bookmarkStart w:id="263" w:name="OLE_LINK1166"/>
      <w:bookmarkStart w:id="264" w:name="OLE_LINK1167"/>
      <w:bookmarkStart w:id="265" w:name="OLE_LINK1233"/>
      <w:bookmarkStart w:id="266" w:name="OLE_LINK1234"/>
      <w:bookmarkStart w:id="267" w:name="OLE_LINK1253"/>
      <w:bookmarkStart w:id="268" w:name="OLE_LINK1275"/>
      <w:bookmarkStart w:id="269" w:name="OLE_LINK1345"/>
      <w:bookmarkStart w:id="270" w:name="OLE_LINK1067"/>
      <w:bookmarkStart w:id="271" w:name="OLE_LINK1069"/>
      <w:bookmarkStart w:id="272" w:name="OLE_LINK1557"/>
      <w:bookmarkStart w:id="273" w:name="OLE_LINK1591"/>
      <w:bookmarkStart w:id="274" w:name="OLE_LINK1592"/>
      <w:bookmarkStart w:id="275" w:name="OLE_LINK1605"/>
      <w:bookmarkStart w:id="276" w:name="OLE_LINK1645"/>
      <w:bookmarkStart w:id="277" w:name="OLE_LINK1659"/>
      <w:bookmarkStart w:id="278" w:name="OLE_LINK1692"/>
      <w:bookmarkStart w:id="279" w:name="OLE_LINK1693"/>
      <w:bookmarkStart w:id="280" w:name="OLE_LINK1702"/>
      <w:bookmarkStart w:id="281" w:name="OLE_LINK1703"/>
      <w:bookmarkStart w:id="282" w:name="OLE_LINK1785"/>
      <w:bookmarkStart w:id="283" w:name="OLE_LINK1806"/>
      <w:bookmarkStart w:id="284" w:name="OLE_LINK1932"/>
      <w:bookmarkStart w:id="285" w:name="OLE_LINK1934"/>
      <w:bookmarkStart w:id="286" w:name="OLE_LINK2037"/>
      <w:bookmarkStart w:id="287" w:name="OLE_LINK2073"/>
      <w:bookmarkStart w:id="288" w:name="OLE_LINK2089"/>
      <w:bookmarkStart w:id="289" w:name="OLE_LINK2172"/>
      <w:bookmarkStart w:id="290" w:name="OLE_LINK2173"/>
      <w:bookmarkStart w:id="291" w:name="OLE_LINK2257"/>
      <w:bookmarkStart w:id="292" w:name="OLE_LINK2534"/>
      <w:bookmarkStart w:id="293" w:name="OLE_LINK2480"/>
      <w:bookmarkStart w:id="294" w:name="OLE_LINK2498"/>
      <w:bookmarkStart w:id="295" w:name="OLE_LINK2500"/>
      <w:bookmarkStart w:id="296" w:name="OLE_LINK2501"/>
      <w:bookmarkStart w:id="297" w:name="OLE_LINK2561"/>
      <w:bookmarkStart w:id="298" w:name="OLE_LINK902"/>
      <w:bookmarkStart w:id="299" w:name="OLE_LINK903"/>
      <w:bookmarkStart w:id="300" w:name="OLE_LINK904"/>
      <w:bookmarkStart w:id="301" w:name="OLE_LINK905"/>
      <w:bookmarkStart w:id="302" w:name="OLE_LINK1827"/>
      <w:bookmarkStart w:id="303" w:name="OLE_LINK1828"/>
      <w:bookmarkStart w:id="304" w:name="OLE_LINK1829"/>
      <w:bookmarkStart w:id="305" w:name="OLE_LINK2351"/>
      <w:bookmarkStart w:id="306" w:name="OLE_LINK2353"/>
      <w:bookmarkStart w:id="307" w:name="OLE_LINK2354"/>
      <w:bookmarkStart w:id="308" w:name="OLE_LINK2355"/>
      <w:r w:rsidRPr="00014BD1">
        <w:rPr>
          <w:rFonts w:ascii="Book Antiqua" w:hAnsi="Book Antiqua"/>
          <w:b/>
          <w:bCs/>
          <w:color w:val="000000"/>
          <w:sz w:val="24"/>
          <w:szCs w:val="24"/>
        </w:rPr>
        <w:t>COMMENTS</w:t>
      </w:r>
    </w:p>
    <w:p w:rsidR="000314A9" w:rsidRPr="00014BD1" w:rsidRDefault="000314A9" w:rsidP="00E163AB">
      <w:pPr>
        <w:adjustRightInd w:val="0"/>
        <w:snapToGrid w:val="0"/>
        <w:spacing w:line="360" w:lineRule="auto"/>
        <w:ind w:rightChars="-15" w:right="-31"/>
        <w:rPr>
          <w:rFonts w:ascii="Book Antiqua" w:hAnsi="Book Antiqua"/>
          <w:b/>
          <w:bCs/>
          <w:i/>
          <w:sz w:val="24"/>
          <w:szCs w:val="24"/>
        </w:rPr>
      </w:pPr>
      <w:bookmarkStart w:id="309" w:name="OLE_LINK614"/>
      <w:bookmarkStart w:id="310" w:name="OLE_LINK615"/>
      <w:bookmarkStart w:id="311" w:name="OLE_LINK843"/>
      <w:bookmarkStart w:id="312" w:name="OLE_LINK844"/>
      <w:r w:rsidRPr="00014BD1">
        <w:rPr>
          <w:rFonts w:ascii="Book Antiqua" w:hAnsi="Book Antiqua"/>
          <w:b/>
          <w:bCs/>
          <w:i/>
          <w:sz w:val="24"/>
          <w:szCs w:val="24"/>
        </w:rPr>
        <w:t>Background</w:t>
      </w:r>
    </w:p>
    <w:bookmarkEnd w:id="309"/>
    <w:bookmarkEnd w:id="310"/>
    <w:p w:rsidR="000314A9" w:rsidRPr="00014BD1" w:rsidRDefault="000314A9" w:rsidP="00E163AB">
      <w:pPr>
        <w:adjustRightInd w:val="0"/>
        <w:snapToGrid w:val="0"/>
        <w:spacing w:line="360" w:lineRule="auto"/>
        <w:ind w:rightChars="-15" w:right="-31"/>
        <w:rPr>
          <w:rFonts w:ascii="Book Antiqua" w:hAnsi="Book Antiqua"/>
          <w:sz w:val="24"/>
          <w:szCs w:val="24"/>
        </w:rPr>
      </w:pPr>
      <w:r w:rsidRPr="00014BD1">
        <w:rPr>
          <w:rFonts w:ascii="Book Antiqua" w:hAnsi="Book Antiqua"/>
          <w:sz w:val="24"/>
          <w:szCs w:val="24"/>
        </w:rPr>
        <w:t>Early detection and an appropriate diagnosis of gastric intraepithelial neoplasia and early-stage cancer are associated with improved outcomes for patients. It is important to understand more about these stages both clinically and biologically.</w:t>
      </w:r>
      <w:r w:rsidRPr="00014BD1">
        <w:rPr>
          <w:rFonts w:ascii="Book Antiqua" w:hAnsi="Book Antiqua"/>
          <w:color w:val="00B050"/>
          <w:sz w:val="24"/>
          <w:szCs w:val="24"/>
        </w:rPr>
        <w:t xml:space="preserve"> </w:t>
      </w:r>
      <w:r w:rsidRPr="00014BD1">
        <w:rPr>
          <w:rFonts w:ascii="Book Antiqua" w:hAnsi="Book Antiqua"/>
          <w:sz w:val="24"/>
          <w:szCs w:val="24"/>
        </w:rPr>
        <w:t>However, little is known about their biological characteristics</w:t>
      </w:r>
      <w:r w:rsidRPr="00014BD1">
        <w:rPr>
          <w:rFonts w:ascii="Book Antiqua" w:eastAsia="宋体" w:hAnsi="Book Antiqua"/>
          <w:sz w:val="24"/>
          <w:szCs w:val="24"/>
        </w:rPr>
        <w:t xml:space="preserve"> due to the difficulties of early detection and biopsy.</w:t>
      </w:r>
      <w:r w:rsidRPr="00014BD1">
        <w:rPr>
          <w:rFonts w:ascii="Book Antiqua" w:hAnsi="Book Antiqua"/>
          <w:sz w:val="24"/>
          <w:szCs w:val="24"/>
        </w:rPr>
        <w:t xml:space="preserve"> </w:t>
      </w:r>
    </w:p>
    <w:p w:rsidR="000314A9" w:rsidRPr="00014BD1" w:rsidRDefault="000314A9" w:rsidP="00E163AB">
      <w:pPr>
        <w:adjustRightInd w:val="0"/>
        <w:snapToGrid w:val="0"/>
        <w:spacing w:line="360" w:lineRule="auto"/>
        <w:ind w:rightChars="-15" w:right="-31"/>
        <w:rPr>
          <w:rFonts w:ascii="Book Antiqua" w:hAnsi="Book Antiqua"/>
          <w:color w:val="00B050"/>
          <w:sz w:val="24"/>
          <w:szCs w:val="24"/>
        </w:rPr>
      </w:pPr>
    </w:p>
    <w:p w:rsidR="000314A9" w:rsidRPr="00014BD1" w:rsidRDefault="000314A9" w:rsidP="00E163AB">
      <w:pPr>
        <w:adjustRightInd w:val="0"/>
        <w:snapToGrid w:val="0"/>
        <w:spacing w:line="360" w:lineRule="auto"/>
        <w:ind w:rightChars="-15" w:right="-31"/>
        <w:rPr>
          <w:rFonts w:ascii="Book Antiqua" w:hAnsi="Book Antiqua"/>
          <w:b/>
          <w:bCs/>
          <w:i/>
          <w:sz w:val="24"/>
          <w:szCs w:val="24"/>
        </w:rPr>
      </w:pPr>
      <w:r w:rsidRPr="00014BD1">
        <w:rPr>
          <w:rFonts w:ascii="Book Antiqua" w:hAnsi="Book Antiqua"/>
          <w:b/>
          <w:bCs/>
          <w:i/>
          <w:sz w:val="24"/>
          <w:szCs w:val="24"/>
        </w:rPr>
        <w:t>Research frontiers</w:t>
      </w:r>
    </w:p>
    <w:p w:rsidR="000314A9" w:rsidRPr="00014BD1" w:rsidRDefault="004B465A" w:rsidP="00E163AB">
      <w:pPr>
        <w:adjustRightInd w:val="0"/>
        <w:snapToGrid w:val="0"/>
        <w:spacing w:line="360" w:lineRule="auto"/>
        <w:ind w:rightChars="-15" w:right="-31"/>
        <w:rPr>
          <w:rFonts w:ascii="Book Antiqua" w:hAnsi="Book Antiqua"/>
          <w:sz w:val="24"/>
          <w:szCs w:val="24"/>
        </w:rPr>
      </w:pPr>
      <w:r w:rsidRPr="00014BD1">
        <w:rPr>
          <w:rFonts w:ascii="Book Antiqua" w:hAnsi="Book Antiqua"/>
          <w:color w:val="000000"/>
          <w:sz w:val="24"/>
          <w:szCs w:val="24"/>
        </w:rPr>
        <w:t xml:space="preserve">Low-grade intraepithelial neoplasia (LGIN), high-grade intraepithelial neoplasia (HGIN) </w:t>
      </w:r>
      <w:r w:rsidR="000314A9" w:rsidRPr="00014BD1">
        <w:rPr>
          <w:rFonts w:ascii="Book Antiqua" w:hAnsi="Book Antiqua"/>
          <w:sz w:val="24"/>
          <w:szCs w:val="24"/>
        </w:rPr>
        <w:t xml:space="preserve">apparently have different clinicopathological characteristics. Previous gene expression profiling studies on gastric precancerous lesions did not detail the differences between LGIN and HGIN. Based on the potential transition between and morphological similarity of dysplasia and carcinoma, the hypothesis that they are biologically related is reasonable. </w:t>
      </w:r>
    </w:p>
    <w:p w:rsidR="000314A9" w:rsidRPr="00014BD1" w:rsidRDefault="000314A9" w:rsidP="00E163AB">
      <w:pPr>
        <w:adjustRightInd w:val="0"/>
        <w:snapToGrid w:val="0"/>
        <w:spacing w:line="360" w:lineRule="auto"/>
        <w:ind w:rightChars="-15" w:right="-31"/>
        <w:rPr>
          <w:rFonts w:ascii="Book Antiqua" w:hAnsi="Book Antiqua"/>
          <w:color w:val="00B050"/>
          <w:sz w:val="24"/>
          <w:szCs w:val="24"/>
        </w:rPr>
      </w:pPr>
    </w:p>
    <w:p w:rsidR="000314A9" w:rsidRPr="00014BD1" w:rsidRDefault="000314A9" w:rsidP="00E163AB">
      <w:pPr>
        <w:adjustRightInd w:val="0"/>
        <w:snapToGrid w:val="0"/>
        <w:spacing w:line="360" w:lineRule="auto"/>
        <w:ind w:rightChars="-15" w:right="-31"/>
        <w:rPr>
          <w:rFonts w:ascii="Book Antiqua" w:hAnsi="Book Antiqua"/>
          <w:i/>
          <w:sz w:val="24"/>
          <w:szCs w:val="24"/>
        </w:rPr>
      </w:pPr>
      <w:r w:rsidRPr="00014BD1">
        <w:rPr>
          <w:rFonts w:ascii="Book Antiqua" w:hAnsi="Book Antiqua"/>
          <w:b/>
          <w:bCs/>
          <w:i/>
          <w:sz w:val="24"/>
          <w:szCs w:val="24"/>
        </w:rPr>
        <w:t>Innovations and breakthroughs</w:t>
      </w:r>
    </w:p>
    <w:p w:rsidR="000314A9" w:rsidRPr="00014BD1" w:rsidRDefault="000314A9" w:rsidP="00E163AB">
      <w:pPr>
        <w:adjustRightInd w:val="0"/>
        <w:snapToGrid w:val="0"/>
        <w:spacing w:line="360" w:lineRule="auto"/>
        <w:ind w:rightChars="-15" w:right="-31"/>
        <w:rPr>
          <w:rFonts w:ascii="Book Antiqua" w:eastAsia="宋体" w:hAnsi="Book Antiqua"/>
          <w:sz w:val="24"/>
          <w:szCs w:val="24"/>
        </w:rPr>
      </w:pPr>
      <w:r w:rsidRPr="00014BD1">
        <w:rPr>
          <w:rFonts w:ascii="Book Antiqua" w:eastAsia="宋体" w:hAnsi="Book Antiqua"/>
          <w:sz w:val="24"/>
          <w:szCs w:val="24"/>
        </w:rPr>
        <w:t xml:space="preserve">This is the first study to perform a comprehensive detection of the gene expression profilings </w:t>
      </w:r>
      <w:r w:rsidRPr="00014BD1">
        <w:rPr>
          <w:rFonts w:ascii="Book Antiqua" w:eastAsia="宋体" w:hAnsi="Book Antiqua"/>
          <w:sz w:val="24"/>
          <w:szCs w:val="24"/>
        </w:rPr>
        <w:lastRenderedPageBreak/>
        <w:t xml:space="preserve">of gastric low-grade and high-grade intraepithelial neoplasia and early-stage adenocarcinoma. The characteristic upregulated genes during gastric early carcinogenesis were involved in metabolism and the immune response and nuclear factor-κB (NF-κB) pathway, whose expression was validated in independent samples through real-time TaqMan® PCR and immunohistochemical staining. </w:t>
      </w:r>
    </w:p>
    <w:p w:rsidR="000314A9" w:rsidRPr="00014BD1" w:rsidRDefault="000314A9" w:rsidP="00E163AB">
      <w:pPr>
        <w:adjustRightInd w:val="0"/>
        <w:snapToGrid w:val="0"/>
        <w:spacing w:line="360" w:lineRule="auto"/>
        <w:ind w:rightChars="-15" w:right="-31"/>
        <w:rPr>
          <w:rFonts w:ascii="Book Antiqua" w:hAnsi="Book Antiqua"/>
          <w:color w:val="00B050"/>
          <w:sz w:val="24"/>
          <w:szCs w:val="24"/>
        </w:rPr>
      </w:pPr>
    </w:p>
    <w:p w:rsidR="000314A9" w:rsidRPr="00014BD1" w:rsidRDefault="000314A9" w:rsidP="00E163AB">
      <w:pPr>
        <w:adjustRightInd w:val="0"/>
        <w:snapToGrid w:val="0"/>
        <w:spacing w:line="360" w:lineRule="auto"/>
        <w:ind w:rightChars="-15" w:right="-31"/>
        <w:rPr>
          <w:rFonts w:ascii="Book Antiqua" w:hAnsi="Book Antiqua"/>
          <w:b/>
          <w:bCs/>
          <w:i/>
          <w:sz w:val="24"/>
          <w:szCs w:val="24"/>
        </w:rPr>
      </w:pPr>
      <w:bookmarkStart w:id="313" w:name="OLE_LINK1860"/>
      <w:bookmarkStart w:id="314" w:name="OLE_LINK1861"/>
      <w:r w:rsidRPr="00014BD1">
        <w:rPr>
          <w:rFonts w:ascii="Book Antiqua" w:hAnsi="Book Antiqua"/>
          <w:b/>
          <w:bCs/>
          <w:i/>
          <w:sz w:val="24"/>
          <w:szCs w:val="24"/>
        </w:rPr>
        <w:t xml:space="preserve">Applications </w:t>
      </w:r>
    </w:p>
    <w:bookmarkEnd w:id="313"/>
    <w:bookmarkEnd w:id="314"/>
    <w:p w:rsidR="000314A9" w:rsidRPr="00014BD1" w:rsidRDefault="000314A9" w:rsidP="00E163AB">
      <w:pPr>
        <w:adjustRightInd w:val="0"/>
        <w:snapToGrid w:val="0"/>
        <w:spacing w:line="360" w:lineRule="auto"/>
        <w:ind w:rightChars="-15" w:right="-31"/>
        <w:rPr>
          <w:rFonts w:ascii="Book Antiqua" w:hAnsi="Book Antiqua"/>
          <w:color w:val="00B050"/>
          <w:sz w:val="24"/>
          <w:szCs w:val="24"/>
        </w:rPr>
      </w:pPr>
      <w:r w:rsidRPr="00014BD1">
        <w:rPr>
          <w:rFonts w:ascii="Book Antiqua" w:eastAsia="宋体" w:hAnsi="Book Antiqua"/>
          <w:sz w:val="24"/>
          <w:szCs w:val="24"/>
        </w:rPr>
        <w:t>This study collected precious samples to report the clear distinction of the gene expression profiles between gastric low-grade and high-grade intraepithelial neoplasia, thus providing molecular evidence for their different clinical application. G</w:t>
      </w:r>
      <w:r w:rsidRPr="00014BD1">
        <w:rPr>
          <w:rFonts w:ascii="Book Antiqua" w:eastAsia="宋体" w:hAnsi="Book Antiqua"/>
          <w:sz w:val="24"/>
          <w:szCs w:val="24"/>
          <w:vertAlign w:val="subscript"/>
        </w:rPr>
        <w:t>0</w:t>
      </w:r>
      <w:r w:rsidRPr="00014BD1">
        <w:rPr>
          <w:rFonts w:ascii="Book Antiqua" w:eastAsia="宋体" w:hAnsi="Book Antiqua"/>
          <w:sz w:val="24"/>
          <w:szCs w:val="24"/>
        </w:rPr>
        <w:t>S</w:t>
      </w:r>
      <w:r w:rsidRPr="00014BD1">
        <w:rPr>
          <w:rFonts w:ascii="Book Antiqua" w:eastAsia="宋体" w:hAnsi="Book Antiqua"/>
          <w:sz w:val="24"/>
          <w:szCs w:val="24"/>
          <w:vertAlign w:val="subscript"/>
        </w:rPr>
        <w:t>2</w:t>
      </w:r>
      <w:r w:rsidRPr="00014BD1">
        <w:rPr>
          <w:rFonts w:ascii="Book Antiqua" w:eastAsia="宋体" w:hAnsi="Book Antiqua"/>
          <w:sz w:val="24"/>
          <w:szCs w:val="24"/>
        </w:rPr>
        <w:t xml:space="preserve"> was identified as a potential marker to differentiate gastric low-grade and high-grade intraepithelial neoplasia.</w:t>
      </w:r>
      <w:r w:rsidRPr="00014BD1">
        <w:rPr>
          <w:rFonts w:ascii="Book Antiqua" w:hAnsi="Book Antiqua"/>
          <w:color w:val="00B050"/>
          <w:sz w:val="24"/>
          <w:szCs w:val="24"/>
        </w:rPr>
        <w:t xml:space="preserve"> </w:t>
      </w:r>
    </w:p>
    <w:p w:rsidR="000314A9" w:rsidRPr="00014BD1" w:rsidRDefault="000314A9" w:rsidP="00E163AB">
      <w:pPr>
        <w:adjustRightInd w:val="0"/>
        <w:snapToGrid w:val="0"/>
        <w:spacing w:line="360" w:lineRule="auto"/>
        <w:ind w:rightChars="-15" w:right="-31"/>
        <w:rPr>
          <w:rFonts w:ascii="Book Antiqua" w:hAnsi="Book Antiqua"/>
          <w:color w:val="00B050"/>
          <w:sz w:val="24"/>
          <w:szCs w:val="24"/>
        </w:rPr>
      </w:pPr>
    </w:p>
    <w:p w:rsidR="000314A9" w:rsidRPr="00014BD1" w:rsidRDefault="000314A9" w:rsidP="00E163AB">
      <w:pPr>
        <w:adjustRightInd w:val="0"/>
        <w:snapToGrid w:val="0"/>
        <w:spacing w:line="360" w:lineRule="auto"/>
        <w:ind w:rightChars="-15" w:right="-31"/>
        <w:rPr>
          <w:rFonts w:ascii="Book Antiqua" w:hAnsi="Book Antiqua"/>
          <w:b/>
          <w:bCs/>
          <w:i/>
          <w:sz w:val="24"/>
          <w:szCs w:val="24"/>
        </w:rPr>
      </w:pPr>
      <w:r w:rsidRPr="00014BD1">
        <w:rPr>
          <w:rFonts w:ascii="Book Antiqua" w:hAnsi="Book Antiqua"/>
          <w:b/>
          <w:bCs/>
          <w:i/>
          <w:sz w:val="24"/>
          <w:szCs w:val="24"/>
        </w:rPr>
        <w:t>Terminology</w:t>
      </w:r>
    </w:p>
    <w:p w:rsidR="000314A9" w:rsidRPr="00014BD1" w:rsidRDefault="000314A9" w:rsidP="00E163AB">
      <w:pPr>
        <w:adjustRightInd w:val="0"/>
        <w:snapToGrid w:val="0"/>
        <w:spacing w:line="360" w:lineRule="auto"/>
        <w:ind w:rightChars="-15" w:right="-31"/>
        <w:rPr>
          <w:rFonts w:ascii="Book Antiqua" w:hAnsi="Book Antiqua"/>
          <w:sz w:val="24"/>
          <w:szCs w:val="24"/>
        </w:rPr>
      </w:pPr>
      <w:r w:rsidRPr="00014BD1">
        <w:rPr>
          <w:rFonts w:ascii="Book Antiqua" w:hAnsi="Book Antiqua"/>
          <w:sz w:val="24"/>
          <w:szCs w:val="24"/>
        </w:rPr>
        <w:t>NF-κB transcription factors and its signaling pathway play a key role in controlling the immune response. NF-κB provides a mechanistic link between inflammation and cancer. NF-κB controls the ability of pre-neoplastic and malignant cells to resist apoptosis-based tumor-surveillance mechanisms, which is crucial for the clinical development of NF-κB inhibitors as cancer therapeutics. G</w:t>
      </w:r>
      <w:r w:rsidRPr="00014BD1">
        <w:rPr>
          <w:rFonts w:ascii="Book Antiqua" w:hAnsi="Book Antiqua"/>
          <w:sz w:val="24"/>
          <w:szCs w:val="24"/>
          <w:vertAlign w:val="subscript"/>
        </w:rPr>
        <w:t>0</w:t>
      </w:r>
      <w:r w:rsidRPr="00014BD1">
        <w:rPr>
          <w:rFonts w:ascii="Book Antiqua" w:hAnsi="Book Antiqua"/>
          <w:sz w:val="24"/>
          <w:szCs w:val="24"/>
        </w:rPr>
        <w:t>S</w:t>
      </w:r>
      <w:r w:rsidRPr="00014BD1">
        <w:rPr>
          <w:rFonts w:ascii="Book Antiqua" w:hAnsi="Book Antiqua"/>
          <w:sz w:val="24"/>
          <w:szCs w:val="24"/>
          <w:vertAlign w:val="subscript"/>
        </w:rPr>
        <w:t xml:space="preserve">2 </w:t>
      </w:r>
      <w:r w:rsidRPr="00014BD1">
        <w:rPr>
          <w:rFonts w:ascii="Book Antiqua" w:hAnsi="Book Antiqua"/>
          <w:sz w:val="24"/>
          <w:szCs w:val="24"/>
        </w:rPr>
        <w:t>is related to the re-entry of cells from the G</w:t>
      </w:r>
      <w:r w:rsidRPr="00014BD1">
        <w:rPr>
          <w:rFonts w:ascii="Book Antiqua" w:hAnsi="Book Antiqua"/>
          <w:sz w:val="24"/>
          <w:szCs w:val="24"/>
          <w:vertAlign w:val="subscript"/>
        </w:rPr>
        <w:t>0</w:t>
      </w:r>
      <w:r w:rsidRPr="00014BD1">
        <w:rPr>
          <w:rFonts w:ascii="Book Antiqua" w:hAnsi="Book Antiqua"/>
          <w:sz w:val="24"/>
          <w:szCs w:val="24"/>
        </w:rPr>
        <w:t xml:space="preserve"> phase to the G</w:t>
      </w:r>
      <w:r w:rsidRPr="00014BD1">
        <w:rPr>
          <w:rFonts w:ascii="Book Antiqua" w:hAnsi="Book Antiqua"/>
          <w:sz w:val="24"/>
          <w:szCs w:val="24"/>
          <w:vertAlign w:val="subscript"/>
        </w:rPr>
        <w:t>1</w:t>
      </w:r>
      <w:r w:rsidRPr="00014BD1">
        <w:rPr>
          <w:rFonts w:ascii="Book Antiqua" w:hAnsi="Book Antiqua"/>
          <w:sz w:val="24"/>
          <w:szCs w:val="24"/>
        </w:rPr>
        <w:t xml:space="preserve"> phase of the cell cycle. G</w:t>
      </w:r>
      <w:r w:rsidRPr="00014BD1">
        <w:rPr>
          <w:rFonts w:ascii="Book Antiqua" w:hAnsi="Book Antiqua"/>
          <w:sz w:val="24"/>
          <w:szCs w:val="24"/>
          <w:vertAlign w:val="subscript"/>
        </w:rPr>
        <w:t>0</w:t>
      </w:r>
      <w:r w:rsidRPr="00014BD1">
        <w:rPr>
          <w:rFonts w:ascii="Book Antiqua" w:hAnsi="Book Antiqua"/>
          <w:sz w:val="24"/>
          <w:szCs w:val="24"/>
        </w:rPr>
        <w:t>S</w:t>
      </w:r>
      <w:r w:rsidRPr="00014BD1">
        <w:rPr>
          <w:rFonts w:ascii="Book Antiqua" w:hAnsi="Book Antiqua"/>
          <w:sz w:val="24"/>
          <w:szCs w:val="24"/>
          <w:vertAlign w:val="subscript"/>
        </w:rPr>
        <w:t>2</w:t>
      </w:r>
      <w:r w:rsidRPr="00014BD1">
        <w:rPr>
          <w:rFonts w:ascii="Book Antiqua" w:hAnsi="Book Antiqua"/>
          <w:sz w:val="24"/>
          <w:szCs w:val="24"/>
        </w:rPr>
        <w:t xml:space="preserve"> is an inhibitor of adipose triglyceride lipase and decreases lipolysis, and is a positive regulator of oxidative phosphorylation. </w:t>
      </w:r>
    </w:p>
    <w:p w:rsidR="000314A9" w:rsidRPr="00014BD1" w:rsidRDefault="000314A9" w:rsidP="00E163AB">
      <w:pPr>
        <w:adjustRightInd w:val="0"/>
        <w:snapToGrid w:val="0"/>
        <w:spacing w:line="360" w:lineRule="auto"/>
        <w:ind w:rightChars="-15" w:right="-31"/>
        <w:rPr>
          <w:rFonts w:ascii="Book Antiqua" w:hAnsi="Book Antiqua"/>
          <w:sz w:val="24"/>
          <w:szCs w:val="24"/>
        </w:rPr>
      </w:pPr>
    </w:p>
    <w:p w:rsidR="000314A9" w:rsidRPr="00014BD1" w:rsidRDefault="000314A9" w:rsidP="00E163AB">
      <w:pPr>
        <w:adjustRightInd w:val="0"/>
        <w:snapToGrid w:val="0"/>
        <w:spacing w:line="360" w:lineRule="auto"/>
        <w:ind w:rightChars="-15" w:right="-31"/>
        <w:rPr>
          <w:rFonts w:ascii="Book Antiqua" w:hAnsi="Book Antiqua"/>
          <w:b/>
          <w:bCs/>
          <w:i/>
          <w:sz w:val="24"/>
          <w:szCs w:val="24"/>
        </w:rPr>
      </w:pPr>
      <w:bookmarkStart w:id="315" w:name="OLE_LINK2204"/>
      <w:bookmarkStart w:id="316" w:name="OLE_LINK2135"/>
      <w:bookmarkStart w:id="317" w:name="OLE_LINK2585"/>
      <w:bookmarkStart w:id="318" w:name="OLE_LINK2586"/>
      <w:bookmarkStart w:id="319" w:name="OLE_LINK2709"/>
      <w:bookmarkStart w:id="320" w:name="OLE_LINK2926"/>
      <w:r w:rsidRPr="00014BD1">
        <w:rPr>
          <w:rFonts w:ascii="Book Antiqua" w:hAnsi="Book Antiqua"/>
          <w:b/>
          <w:bCs/>
          <w:i/>
          <w:sz w:val="24"/>
          <w:szCs w:val="24"/>
        </w:rPr>
        <w:t>Peer review</w:t>
      </w:r>
    </w:p>
    <w:bookmarkEnd w:id="315"/>
    <w:bookmarkEnd w:id="316"/>
    <w:bookmarkEnd w:id="317"/>
    <w:bookmarkEnd w:id="318"/>
    <w:bookmarkEnd w:id="319"/>
    <w:bookmarkEnd w:id="320"/>
    <w:p w:rsidR="000314A9" w:rsidRPr="00014BD1" w:rsidRDefault="000314A9" w:rsidP="00E163AB">
      <w:pPr>
        <w:pStyle w:val="CM20"/>
        <w:snapToGrid w:val="0"/>
        <w:spacing w:line="360" w:lineRule="auto"/>
        <w:ind w:rightChars="-15" w:right="-31"/>
        <w:jc w:val="both"/>
        <w:rPr>
          <w:rFonts w:ascii="Book Antiqua" w:eastAsia="宋体" w:hAnsi="Book Antiqua"/>
        </w:rPr>
      </w:pPr>
      <w:r w:rsidRPr="00014BD1">
        <w:rPr>
          <w:rFonts w:ascii="Book Antiqua" w:eastAsia="宋体" w:hAnsi="Book Antiqua"/>
        </w:rPr>
        <w:t xml:space="preserve">This manuscript presents an interesting differential gene expression profiling of gastric </w:t>
      </w:r>
      <w:r w:rsidR="00825926" w:rsidRPr="00014BD1">
        <w:rPr>
          <w:rFonts w:ascii="Book Antiqua" w:eastAsia="宋体" w:hAnsi="Book Antiqua"/>
        </w:rPr>
        <w:t>LGIN</w:t>
      </w:r>
      <w:r w:rsidRPr="00014BD1">
        <w:rPr>
          <w:rFonts w:ascii="Book Antiqua" w:eastAsia="宋体" w:hAnsi="Book Antiqua"/>
        </w:rPr>
        <w:t>, HGIN and early gastric cancer</w:t>
      </w:r>
      <w:r w:rsidRPr="00014BD1">
        <w:rPr>
          <w:rFonts w:ascii="Book Antiqua" w:hAnsi="Book Antiqua"/>
        </w:rPr>
        <w:t>, and try to explore the molecular alteration in the malignant progression of gastric neoplasia</w:t>
      </w:r>
      <w:r w:rsidRPr="00014BD1">
        <w:rPr>
          <w:rFonts w:ascii="Book Antiqua" w:eastAsia="宋体" w:hAnsi="Book Antiqua"/>
        </w:rPr>
        <w:t>. From their microarray data, authors identified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a putative lymphocyte G</w:t>
      </w:r>
      <w:r w:rsidRPr="00014BD1">
        <w:rPr>
          <w:rFonts w:ascii="Book Antiqua" w:eastAsia="宋体" w:hAnsi="Book Antiqua"/>
          <w:vertAlign w:val="subscript"/>
        </w:rPr>
        <w:t>0</w:t>
      </w:r>
      <w:r w:rsidRPr="00014BD1">
        <w:rPr>
          <w:rFonts w:ascii="Book Antiqua" w:eastAsia="宋体" w:hAnsi="Book Antiqua"/>
        </w:rPr>
        <w:t>/G</w:t>
      </w:r>
      <w:r w:rsidRPr="00014BD1">
        <w:rPr>
          <w:rFonts w:ascii="Book Antiqua" w:eastAsia="宋体" w:hAnsi="Book Antiqua"/>
          <w:vertAlign w:val="subscript"/>
        </w:rPr>
        <w:t>1</w:t>
      </w:r>
      <w:r w:rsidRPr="00014BD1">
        <w:rPr>
          <w:rFonts w:ascii="Book Antiqua" w:eastAsia="宋体" w:hAnsi="Book Antiqua"/>
        </w:rPr>
        <w:t xml:space="preserve"> switch gene product as a potential marker to differentiate low grade neoplastic lesion from high grade lesion in the stomach.</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11"/>
      <w:bookmarkEnd w:id="312"/>
    </w:p>
    <w:p w:rsidR="000314A9" w:rsidRPr="00014BD1" w:rsidRDefault="000314A9" w:rsidP="00E163AB">
      <w:pPr>
        <w:pStyle w:val="Default"/>
        <w:spacing w:line="360" w:lineRule="auto"/>
        <w:jc w:val="both"/>
        <w:rPr>
          <w:rFonts w:ascii="Book Antiqua" w:hAnsi="Book Antiqua"/>
        </w:rPr>
      </w:pPr>
    </w:p>
    <w:p w:rsidR="00825926" w:rsidRPr="00014BD1" w:rsidRDefault="00F76B13" w:rsidP="00E163AB">
      <w:pPr>
        <w:pStyle w:val="CM20"/>
        <w:snapToGrid w:val="0"/>
        <w:spacing w:line="360" w:lineRule="auto"/>
        <w:ind w:rightChars="-15" w:right="-31"/>
        <w:jc w:val="both"/>
        <w:rPr>
          <w:rFonts w:ascii="Book Antiqua" w:eastAsia="宋体" w:hAnsi="Book Antiqua" w:cs="Tahoma"/>
          <w:color w:val="000000"/>
        </w:rPr>
      </w:pPr>
      <w:r w:rsidRPr="00014BD1">
        <w:rPr>
          <w:rFonts w:ascii="Book Antiqua" w:eastAsia="宋体" w:hAnsi="Book Antiqua"/>
          <w:b/>
          <w:bCs/>
          <w:color w:val="000000"/>
        </w:rPr>
        <w:t xml:space="preserve">REFERENCES </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1</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Butte JM</w:t>
      </w:r>
      <w:r w:rsidRPr="00E17FA6">
        <w:rPr>
          <w:rFonts w:ascii="Book Antiqua" w:eastAsia="宋体" w:hAnsi="Book Antiqua" w:cs="宋体"/>
          <w:kern w:val="0"/>
          <w:sz w:val="24"/>
          <w:szCs w:val="24"/>
        </w:rPr>
        <w:t>, Torres J, Viviani P, Duarte I, Crovari F, Guzmán S, Cabrera R, Pedemonte J, Llanos O. [Long term survival of patients operated for early gastric cancer].</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Rev Med Chil</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2008;</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136</w:t>
      </w:r>
      <w:r w:rsidRPr="00E17FA6">
        <w:rPr>
          <w:rFonts w:ascii="Book Antiqua" w:eastAsia="宋体" w:hAnsi="Book Antiqua" w:cs="宋体"/>
          <w:kern w:val="0"/>
          <w:sz w:val="24"/>
          <w:szCs w:val="24"/>
        </w:rPr>
        <w:t>: 1424-1430 [PMID: 19301773]</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lastRenderedPageBreak/>
        <w:t xml:space="preserve">2 </w:t>
      </w:r>
      <w:r w:rsidRPr="00E17FA6">
        <w:rPr>
          <w:rFonts w:ascii="Book Antiqua" w:eastAsia="宋体" w:hAnsi="Book Antiqua" w:cs="宋体"/>
          <w:b/>
          <w:kern w:val="0"/>
          <w:sz w:val="24"/>
          <w:szCs w:val="24"/>
        </w:rPr>
        <w:t>Bosman FT</w:t>
      </w:r>
      <w:r w:rsidRPr="00E17FA6">
        <w:rPr>
          <w:rFonts w:ascii="Book Antiqua" w:eastAsia="宋体" w:hAnsi="Book Antiqua" w:cs="宋体"/>
          <w:kern w:val="0"/>
          <w:sz w:val="24"/>
          <w:szCs w:val="24"/>
        </w:rPr>
        <w:t>, Carneiro F, Hruban RH, Theise ND. WHO classification of tumours of the digestive system: World Health Organization, 2010</w:t>
      </w:r>
    </w:p>
    <w:p w:rsidR="00B10FFF" w:rsidRPr="00014BD1" w:rsidRDefault="00E17FA6" w:rsidP="00B10FFF">
      <w:pPr>
        <w:rPr>
          <w:rFonts w:ascii="Book Antiqua" w:eastAsia="宋体" w:hAnsi="Book Antiqua" w:cs="宋体"/>
          <w:kern w:val="0"/>
          <w:sz w:val="24"/>
          <w:szCs w:val="24"/>
        </w:rPr>
      </w:pPr>
      <w:r w:rsidRPr="00E17FA6">
        <w:rPr>
          <w:rFonts w:ascii="Book Antiqua" w:eastAsia="宋体" w:hAnsi="Book Antiqua" w:cs="宋体"/>
          <w:kern w:val="0"/>
          <w:sz w:val="24"/>
          <w:szCs w:val="24"/>
        </w:rPr>
        <w:t xml:space="preserve">3 </w:t>
      </w:r>
      <w:r w:rsidR="00B10FFF" w:rsidRPr="00014BD1">
        <w:rPr>
          <w:rFonts w:ascii="Book Antiqua" w:eastAsia="宋体" w:hAnsi="Book Antiqua" w:cs="宋体"/>
          <w:b/>
          <w:bCs/>
          <w:kern w:val="0"/>
          <w:sz w:val="24"/>
          <w:szCs w:val="24"/>
        </w:rPr>
        <w:t>Shen L</w:t>
      </w:r>
      <w:r w:rsidR="00B10FFF" w:rsidRPr="00014BD1">
        <w:rPr>
          <w:rFonts w:ascii="Book Antiqua" w:eastAsia="宋体" w:hAnsi="Book Antiqua" w:cs="宋体"/>
          <w:kern w:val="0"/>
          <w:sz w:val="24"/>
          <w:szCs w:val="24"/>
        </w:rPr>
        <w:t>, Shan YS, Hu HM, Price TJ, Sirohi B, Yeh KH, Yang YH, Sano T, Yang HK, Zhang X, Park SR, Fujii M, Kang YK, Chen LT. Management of gastric cancer in Asia: resource-stratified guidelines. </w:t>
      </w:r>
      <w:r w:rsidR="00B10FFF" w:rsidRPr="00014BD1">
        <w:rPr>
          <w:rFonts w:ascii="Book Antiqua" w:eastAsia="宋体" w:hAnsi="Book Antiqua" w:cs="宋体"/>
          <w:i/>
          <w:iCs/>
          <w:kern w:val="0"/>
          <w:sz w:val="24"/>
          <w:szCs w:val="24"/>
        </w:rPr>
        <w:t>Lancet Oncol</w:t>
      </w:r>
      <w:r w:rsidR="00B10FFF" w:rsidRPr="00014BD1">
        <w:rPr>
          <w:rFonts w:ascii="Book Antiqua" w:eastAsia="宋体" w:hAnsi="Book Antiqua" w:cs="宋体"/>
          <w:kern w:val="0"/>
          <w:sz w:val="24"/>
          <w:szCs w:val="24"/>
        </w:rPr>
        <w:t> 2013; </w:t>
      </w:r>
      <w:r w:rsidR="00B10FFF" w:rsidRPr="00014BD1">
        <w:rPr>
          <w:rFonts w:ascii="Book Antiqua" w:eastAsia="宋体" w:hAnsi="Book Antiqua" w:cs="宋体"/>
          <w:b/>
          <w:bCs/>
          <w:kern w:val="0"/>
          <w:sz w:val="24"/>
          <w:szCs w:val="24"/>
        </w:rPr>
        <w:t>14</w:t>
      </w:r>
      <w:r w:rsidR="00B10FFF" w:rsidRPr="00014BD1">
        <w:rPr>
          <w:rFonts w:ascii="Book Antiqua" w:eastAsia="宋体" w:hAnsi="Book Antiqua" w:cs="宋体"/>
          <w:kern w:val="0"/>
          <w:sz w:val="24"/>
          <w:szCs w:val="24"/>
        </w:rPr>
        <w:t>: e535-e547 [PMID: 24176572 DOI: 10.1016/s1470-2045(13)70436-4]</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 xml:space="preserve">4 </w:t>
      </w:r>
      <w:r w:rsidR="00C70D65" w:rsidRPr="00014BD1">
        <w:rPr>
          <w:rFonts w:ascii="Book Antiqua" w:hAnsi="Book Antiqua"/>
          <w:b/>
          <w:bCs/>
          <w:color w:val="000000"/>
          <w:sz w:val="24"/>
          <w:szCs w:val="24"/>
        </w:rPr>
        <w:t>Correa P</w:t>
      </w:r>
      <w:r w:rsidR="00C70D65" w:rsidRPr="00014BD1">
        <w:rPr>
          <w:rFonts w:ascii="Book Antiqua" w:hAnsi="Book Antiqua"/>
          <w:color w:val="000000"/>
          <w:sz w:val="24"/>
          <w:szCs w:val="24"/>
        </w:rPr>
        <w:t>. A human model of gastric carcinogenesis.</w:t>
      </w:r>
      <w:r w:rsidR="00C70D65" w:rsidRPr="00014BD1">
        <w:rPr>
          <w:rStyle w:val="apple-converted-space"/>
          <w:rFonts w:ascii="Book Antiqua" w:hAnsi="Book Antiqua"/>
          <w:color w:val="000000"/>
          <w:sz w:val="24"/>
          <w:szCs w:val="24"/>
        </w:rPr>
        <w:t> </w:t>
      </w:r>
      <w:r w:rsidR="00C70D65" w:rsidRPr="00014BD1">
        <w:rPr>
          <w:rFonts w:ascii="Book Antiqua" w:hAnsi="Book Antiqua"/>
          <w:i/>
          <w:iCs/>
          <w:color w:val="000000"/>
          <w:sz w:val="24"/>
          <w:szCs w:val="24"/>
        </w:rPr>
        <w:t>Cancer Res</w:t>
      </w:r>
      <w:r w:rsidR="00C70D65" w:rsidRPr="00014BD1">
        <w:rPr>
          <w:rStyle w:val="apple-converted-space"/>
          <w:rFonts w:ascii="Book Antiqua" w:hAnsi="Book Antiqua"/>
          <w:color w:val="000000"/>
          <w:sz w:val="24"/>
          <w:szCs w:val="24"/>
        </w:rPr>
        <w:t> </w:t>
      </w:r>
      <w:r w:rsidR="00C70D65" w:rsidRPr="00014BD1">
        <w:rPr>
          <w:rFonts w:ascii="Book Antiqua" w:hAnsi="Book Antiqua"/>
          <w:color w:val="000000"/>
          <w:sz w:val="24"/>
          <w:szCs w:val="24"/>
        </w:rPr>
        <w:t>1988;</w:t>
      </w:r>
      <w:r w:rsidR="00C70D65" w:rsidRPr="00014BD1">
        <w:rPr>
          <w:rStyle w:val="apple-converted-space"/>
          <w:rFonts w:ascii="Book Antiqua" w:hAnsi="Book Antiqua"/>
          <w:color w:val="000000"/>
          <w:sz w:val="24"/>
          <w:szCs w:val="24"/>
        </w:rPr>
        <w:t> </w:t>
      </w:r>
      <w:r w:rsidR="00C70D65" w:rsidRPr="00014BD1">
        <w:rPr>
          <w:rFonts w:ascii="Book Antiqua" w:hAnsi="Book Antiqua"/>
          <w:b/>
          <w:bCs/>
          <w:color w:val="000000"/>
          <w:sz w:val="24"/>
          <w:szCs w:val="24"/>
        </w:rPr>
        <w:t>48</w:t>
      </w:r>
      <w:r w:rsidR="00C70D65" w:rsidRPr="00014BD1">
        <w:rPr>
          <w:rFonts w:ascii="Book Antiqua" w:hAnsi="Book Antiqua"/>
          <w:color w:val="000000"/>
          <w:sz w:val="24"/>
          <w:szCs w:val="24"/>
        </w:rPr>
        <w:t>: 3554-3560 [PMID: 3288329]</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5</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de Vries AC</w:t>
      </w:r>
      <w:r w:rsidRPr="00E17FA6">
        <w:rPr>
          <w:rFonts w:ascii="Book Antiqua" w:eastAsia="宋体" w:hAnsi="Book Antiqua" w:cs="宋体"/>
          <w:kern w:val="0"/>
          <w:sz w:val="24"/>
          <w:szCs w:val="24"/>
        </w:rPr>
        <w:t>, van Grieken NC, Looman CW, Casparie MK, de Vries E, Meijer GA, Kuipers EJ. Gastric cancer risk in patients with premalignant gastric lesions: a nationwide cohort study in the Netherlands.</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Gastroenterology</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2008;</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134</w:t>
      </w:r>
      <w:r w:rsidRPr="00E17FA6">
        <w:rPr>
          <w:rFonts w:ascii="Book Antiqua" w:eastAsia="宋体" w:hAnsi="Book Antiqua" w:cs="宋体"/>
          <w:kern w:val="0"/>
          <w:sz w:val="24"/>
          <w:szCs w:val="24"/>
        </w:rPr>
        <w:t>: 945-952 [PMID: 18395075 DOI: 10.1053/j.gastro.2008.01.071]</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6</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Dinis-Ribeiro M</w:t>
      </w:r>
      <w:r w:rsidRPr="00E17FA6">
        <w:rPr>
          <w:rFonts w:ascii="Book Antiqua" w:eastAsia="宋体" w:hAnsi="Book Antiqua" w:cs="宋体"/>
          <w:kern w:val="0"/>
          <w:sz w:val="24"/>
          <w:szCs w:val="24"/>
        </w:rPr>
        <w:t>, Areia M, de Vries AC, Marcos-Pinto R, Monteiro-Soares M, O'Connor A, Pereira C, Pimentel-Nunes P, Correia R, Ensari A, Dumonceau JM, Machado JC, Macedo G, Malfertheiner P, Matysiak-Budnik T, Megraud F, Miki K, O'Morain C, Peek RM, Ponchon T, Ristimaki A, Rembacken B, Carneiro F, Kuipers EJ. Management of precancerous conditions and lesions in the stomach (MAPS): guideline from the European Society of Gastrointestinal Endoscopy (ESGE), European Helicobacter Study Group (EHSG), European Society of Pathology (ESP), and the Sociedade Portuguesa de Endoscopia Digestiva (SPED).</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Endoscopy</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44</w:t>
      </w:r>
      <w:r w:rsidRPr="00E17FA6">
        <w:rPr>
          <w:rFonts w:ascii="Book Antiqua" w:eastAsia="宋体" w:hAnsi="Book Antiqua" w:cs="宋体"/>
          <w:kern w:val="0"/>
          <w:sz w:val="24"/>
          <w:szCs w:val="24"/>
        </w:rPr>
        <w:t>: 74-94 [PMID: 22198778 DOI: 10.1055/s-0031-1291491]</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7</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Uchida M</w:t>
      </w:r>
      <w:r w:rsidRPr="00E17FA6">
        <w:rPr>
          <w:rFonts w:ascii="Book Antiqua" w:eastAsia="宋体" w:hAnsi="Book Antiqua" w:cs="宋体"/>
          <w:kern w:val="0"/>
          <w:sz w:val="24"/>
          <w:szCs w:val="24"/>
        </w:rPr>
        <w:t>, Tsukamoto Y, Uchida T, Ishikawa Y, Nagai T, Hijiya N, Nguyen LT, Nakada C, Kuroda A, Okimoto T, Kodama M, Murakami K, Noguchi T, Matsuura K, Tanigawa M, Seto M, Ito H, Fujioka T, Takeuchi I, Moriyama M. Genomic profiling of gastric carcinoma in situ and adenomas by array-based comparative genomic hybridization.</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J Pathol</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2010;</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221</w:t>
      </w:r>
      <w:r w:rsidRPr="00E17FA6">
        <w:rPr>
          <w:rFonts w:ascii="Book Antiqua" w:eastAsia="宋体" w:hAnsi="Book Antiqua" w:cs="宋体"/>
          <w:kern w:val="0"/>
          <w:sz w:val="24"/>
          <w:szCs w:val="24"/>
        </w:rPr>
        <w:t>: 96-105 [PMID: 20217874 DOI: 10.1002/path.2686]</w:t>
      </w:r>
    </w:p>
    <w:p w:rsidR="00E17FA6" w:rsidRPr="00E17FA6" w:rsidRDefault="00C70D65" w:rsidP="00E17FA6">
      <w:pPr>
        <w:widowControl/>
        <w:jc w:val="left"/>
        <w:rPr>
          <w:rFonts w:ascii="Book Antiqua" w:eastAsia="宋体" w:hAnsi="Book Antiqua" w:cs="宋体"/>
          <w:kern w:val="0"/>
          <w:sz w:val="24"/>
          <w:szCs w:val="24"/>
        </w:rPr>
      </w:pPr>
      <w:r w:rsidRPr="00014BD1">
        <w:rPr>
          <w:rFonts w:ascii="Book Antiqua" w:eastAsia="宋体" w:hAnsi="Book Antiqua" w:cs="宋体"/>
          <w:kern w:val="0"/>
          <w:sz w:val="24"/>
          <w:szCs w:val="24"/>
        </w:rPr>
        <w:t xml:space="preserve">8 </w:t>
      </w:r>
      <w:r w:rsidR="00E17FA6" w:rsidRPr="00E17FA6">
        <w:rPr>
          <w:rFonts w:ascii="Book Antiqua" w:eastAsia="宋体" w:hAnsi="Book Antiqua" w:cs="宋体"/>
          <w:kern w:val="0"/>
          <w:sz w:val="24"/>
          <w:szCs w:val="24"/>
        </w:rPr>
        <w:t>World Medical Association Declaration of Helsinki: ethical principles for medical research involving human subjects.</w:t>
      </w:r>
      <w:r w:rsidR="00E17FA6" w:rsidRPr="00014BD1">
        <w:rPr>
          <w:rFonts w:ascii="Book Antiqua" w:eastAsia="宋体" w:hAnsi="Book Antiqua" w:cs="宋体"/>
          <w:kern w:val="0"/>
          <w:sz w:val="24"/>
          <w:szCs w:val="24"/>
        </w:rPr>
        <w:t> </w:t>
      </w:r>
      <w:r w:rsidR="00E17FA6" w:rsidRPr="00E17FA6">
        <w:rPr>
          <w:rFonts w:ascii="Book Antiqua" w:eastAsia="宋体" w:hAnsi="Book Antiqua" w:cs="宋体"/>
          <w:i/>
          <w:iCs/>
          <w:kern w:val="0"/>
          <w:sz w:val="24"/>
          <w:szCs w:val="24"/>
        </w:rPr>
        <w:t>JAMA</w:t>
      </w:r>
      <w:r w:rsidR="00E17FA6" w:rsidRPr="00014BD1">
        <w:rPr>
          <w:rFonts w:ascii="Book Antiqua" w:eastAsia="宋体" w:hAnsi="Book Antiqua" w:cs="宋体"/>
          <w:kern w:val="0"/>
          <w:sz w:val="24"/>
          <w:szCs w:val="24"/>
        </w:rPr>
        <w:t> </w:t>
      </w:r>
      <w:r w:rsidR="00E17FA6" w:rsidRPr="00E17FA6">
        <w:rPr>
          <w:rFonts w:ascii="Book Antiqua" w:eastAsia="宋体" w:hAnsi="Book Antiqua" w:cs="宋体"/>
          <w:kern w:val="0"/>
          <w:sz w:val="24"/>
          <w:szCs w:val="24"/>
        </w:rPr>
        <w:t>2013;</w:t>
      </w:r>
      <w:r w:rsidR="00E17FA6" w:rsidRPr="00014BD1">
        <w:rPr>
          <w:rFonts w:ascii="Book Antiqua" w:eastAsia="宋体" w:hAnsi="Book Antiqua" w:cs="宋体"/>
          <w:kern w:val="0"/>
          <w:sz w:val="24"/>
          <w:szCs w:val="24"/>
        </w:rPr>
        <w:t> </w:t>
      </w:r>
      <w:r w:rsidR="00E17FA6" w:rsidRPr="00E17FA6">
        <w:rPr>
          <w:rFonts w:ascii="Book Antiqua" w:eastAsia="宋体" w:hAnsi="Book Antiqua" w:cs="宋体"/>
          <w:b/>
          <w:bCs/>
          <w:kern w:val="0"/>
          <w:sz w:val="24"/>
          <w:szCs w:val="24"/>
        </w:rPr>
        <w:t>310</w:t>
      </w:r>
      <w:r w:rsidR="00E17FA6" w:rsidRPr="00E17FA6">
        <w:rPr>
          <w:rFonts w:ascii="Book Antiqua" w:eastAsia="宋体" w:hAnsi="Book Antiqua" w:cs="宋体"/>
          <w:kern w:val="0"/>
          <w:sz w:val="24"/>
          <w:szCs w:val="24"/>
        </w:rPr>
        <w:t>: 2191-2194 [PMID: 24141714 DOI: 10.1001/jama.2013.281053]</w:t>
      </w:r>
    </w:p>
    <w:p w:rsidR="00C70D65" w:rsidRPr="00014BD1" w:rsidRDefault="00E17FA6" w:rsidP="00E17FA6">
      <w:pPr>
        <w:widowControl/>
        <w:jc w:val="left"/>
        <w:rPr>
          <w:rFonts w:ascii="Book Antiqua" w:hAnsi="Book Antiqua"/>
          <w:color w:val="000000"/>
          <w:sz w:val="24"/>
          <w:szCs w:val="24"/>
        </w:rPr>
      </w:pPr>
      <w:r w:rsidRPr="00E17FA6">
        <w:rPr>
          <w:rFonts w:ascii="Book Antiqua" w:eastAsia="宋体" w:hAnsi="Book Antiqua" w:cs="宋体"/>
          <w:kern w:val="0"/>
          <w:sz w:val="24"/>
          <w:szCs w:val="24"/>
        </w:rPr>
        <w:t xml:space="preserve">9 </w:t>
      </w:r>
      <w:r w:rsidR="00C70D65" w:rsidRPr="00014BD1">
        <w:rPr>
          <w:rFonts w:ascii="Book Antiqua" w:hAnsi="Book Antiqua"/>
          <w:b/>
          <w:bCs/>
          <w:color w:val="000000"/>
          <w:sz w:val="24"/>
          <w:szCs w:val="24"/>
        </w:rPr>
        <w:t>Dixon MF</w:t>
      </w:r>
      <w:r w:rsidR="00C70D65" w:rsidRPr="00014BD1">
        <w:rPr>
          <w:rFonts w:ascii="Book Antiqua" w:hAnsi="Book Antiqua"/>
          <w:color w:val="000000"/>
          <w:sz w:val="24"/>
          <w:szCs w:val="24"/>
        </w:rPr>
        <w:t>. Gastrointestinal epithelial neoplasia: Vienna revisited.</w:t>
      </w:r>
      <w:r w:rsidR="00C70D65" w:rsidRPr="00014BD1">
        <w:rPr>
          <w:rStyle w:val="apple-converted-space"/>
          <w:rFonts w:ascii="Book Antiqua" w:hAnsi="Book Antiqua"/>
          <w:color w:val="000000"/>
          <w:sz w:val="24"/>
          <w:szCs w:val="24"/>
        </w:rPr>
        <w:t> </w:t>
      </w:r>
      <w:r w:rsidR="00C70D65" w:rsidRPr="00014BD1">
        <w:rPr>
          <w:rFonts w:ascii="Book Antiqua" w:hAnsi="Book Antiqua"/>
          <w:i/>
          <w:iCs/>
          <w:color w:val="000000"/>
          <w:sz w:val="24"/>
          <w:szCs w:val="24"/>
        </w:rPr>
        <w:t>Gut</w:t>
      </w:r>
      <w:r w:rsidR="00C70D65" w:rsidRPr="00014BD1">
        <w:rPr>
          <w:rStyle w:val="apple-converted-space"/>
          <w:rFonts w:ascii="Book Antiqua" w:hAnsi="Book Antiqua"/>
          <w:color w:val="000000"/>
          <w:sz w:val="24"/>
          <w:szCs w:val="24"/>
        </w:rPr>
        <w:t> </w:t>
      </w:r>
      <w:r w:rsidR="00C70D65" w:rsidRPr="00014BD1">
        <w:rPr>
          <w:rFonts w:ascii="Book Antiqua" w:hAnsi="Book Antiqua"/>
          <w:color w:val="000000"/>
          <w:sz w:val="24"/>
          <w:szCs w:val="24"/>
        </w:rPr>
        <w:t>2002;</w:t>
      </w:r>
      <w:r w:rsidR="00C70D65" w:rsidRPr="00014BD1">
        <w:rPr>
          <w:rStyle w:val="apple-converted-space"/>
          <w:rFonts w:ascii="Book Antiqua" w:hAnsi="Book Antiqua"/>
          <w:color w:val="000000"/>
          <w:sz w:val="24"/>
          <w:szCs w:val="24"/>
        </w:rPr>
        <w:t> </w:t>
      </w:r>
      <w:r w:rsidR="00C70D65" w:rsidRPr="00014BD1">
        <w:rPr>
          <w:rFonts w:ascii="Book Antiqua" w:hAnsi="Book Antiqua"/>
          <w:b/>
          <w:bCs/>
          <w:color w:val="000000"/>
          <w:sz w:val="24"/>
          <w:szCs w:val="24"/>
        </w:rPr>
        <w:t>51</w:t>
      </w:r>
      <w:r w:rsidR="00C70D65" w:rsidRPr="00014BD1">
        <w:rPr>
          <w:rFonts w:ascii="Book Antiqua" w:hAnsi="Book Antiqua"/>
          <w:color w:val="000000"/>
          <w:sz w:val="24"/>
          <w:szCs w:val="24"/>
        </w:rPr>
        <w:t>: 130-131 [PMID: 12077106]</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10</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Leja M</w:t>
      </w:r>
      <w:r w:rsidRPr="00E17FA6">
        <w:rPr>
          <w:rFonts w:ascii="Book Antiqua" w:eastAsia="宋体" w:hAnsi="Book Antiqua" w:cs="宋体"/>
          <w:kern w:val="0"/>
          <w:sz w:val="24"/>
          <w:szCs w:val="24"/>
        </w:rPr>
        <w:t>, Wex T, Malfertheiner P. Markers for gastric cancer premalignant lesions: where do we go?</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Dig Dis</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30</w:t>
      </w:r>
      <w:r w:rsidRPr="00E17FA6">
        <w:rPr>
          <w:rFonts w:ascii="Book Antiqua" w:eastAsia="宋体" w:hAnsi="Book Antiqua" w:cs="宋体"/>
          <w:kern w:val="0"/>
          <w:sz w:val="24"/>
          <w:szCs w:val="24"/>
        </w:rPr>
        <w:t>: 268-276 [PMID: 22722551 DOI: 10.1159/000336990]</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11</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Welch C</w:t>
      </w:r>
      <w:r w:rsidRPr="00E17FA6">
        <w:rPr>
          <w:rFonts w:ascii="Book Antiqua" w:eastAsia="宋体" w:hAnsi="Book Antiqua" w:cs="宋体"/>
          <w:kern w:val="0"/>
          <w:sz w:val="24"/>
          <w:szCs w:val="24"/>
        </w:rPr>
        <w:t>, Santra MK, El-Assaad W, Zhu X, Huber WE, Keys RA, Teodoro JG, Green MR. Identification of a protein, G0S2, that lacks Bcl-2 homology domains and interacts with and antagonizes Bcl-2.</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Cancer Res</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2009;</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69</w:t>
      </w:r>
      <w:r w:rsidRPr="00E17FA6">
        <w:rPr>
          <w:rFonts w:ascii="Book Antiqua" w:eastAsia="宋体" w:hAnsi="Book Antiqua" w:cs="宋体"/>
          <w:kern w:val="0"/>
          <w:sz w:val="24"/>
          <w:szCs w:val="24"/>
        </w:rPr>
        <w:t>: 6782-6789 [PMID: 19706769 DOI: 10.1158/0008-5472.CAN-09-0128]</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12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Fucci A</w:t>
      </w:r>
      <w:r w:rsidRPr="00E17FA6">
        <w:rPr>
          <w:rFonts w:ascii="Book Antiqua" w:eastAsia="宋体" w:hAnsi="Book Antiqua" w:cs="宋体"/>
          <w:kern w:val="0"/>
          <w:sz w:val="24"/>
          <w:szCs w:val="24"/>
        </w:rPr>
        <w:t>, Colangelo T, Votino C, Pancione M, Sabatino L, Colantuoni V. The role of peroxisome proliferator-activated receptors in the esophageal, gastric, and colorectal cancer.</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PPAR Res</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2012</w:t>
      </w:r>
      <w:r w:rsidRPr="00E17FA6">
        <w:rPr>
          <w:rFonts w:ascii="Book Antiqua" w:eastAsia="宋体" w:hAnsi="Book Antiqua" w:cs="宋体"/>
          <w:kern w:val="0"/>
          <w:sz w:val="24"/>
          <w:szCs w:val="24"/>
        </w:rPr>
        <w:t>: 242498 [PMID: 22991505 DOI: 10.1155/2012/242498]</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 xml:space="preserve">13 </w:t>
      </w:r>
      <w:r w:rsidR="00ED0D1A" w:rsidRPr="00014BD1">
        <w:rPr>
          <w:rFonts w:ascii="Book Antiqua" w:hAnsi="Book Antiqua"/>
          <w:b/>
          <w:bCs/>
          <w:color w:val="000000"/>
          <w:sz w:val="24"/>
          <w:szCs w:val="24"/>
        </w:rPr>
        <w:t>Takahashi N</w:t>
      </w:r>
      <w:r w:rsidR="00ED0D1A" w:rsidRPr="00014BD1">
        <w:rPr>
          <w:rFonts w:ascii="Book Antiqua" w:hAnsi="Book Antiqua"/>
          <w:color w:val="000000"/>
          <w:sz w:val="24"/>
          <w:szCs w:val="24"/>
        </w:rPr>
        <w:t>, Okumura T, Motomura W, Fujimoto Y, Kawabata I, Kohgo Y. Activation of PPARgamma inhibits cell growth and induces apoptosis in human gastric cancer cells.</w:t>
      </w:r>
      <w:r w:rsidR="00ED0D1A" w:rsidRPr="00014BD1">
        <w:rPr>
          <w:rStyle w:val="apple-converted-space"/>
          <w:rFonts w:ascii="Book Antiqua" w:hAnsi="Book Antiqua"/>
          <w:color w:val="000000"/>
          <w:sz w:val="24"/>
          <w:szCs w:val="24"/>
        </w:rPr>
        <w:t> </w:t>
      </w:r>
      <w:r w:rsidR="00ED0D1A" w:rsidRPr="00014BD1">
        <w:rPr>
          <w:rFonts w:ascii="Book Antiqua" w:hAnsi="Book Antiqua"/>
          <w:i/>
          <w:iCs/>
          <w:color w:val="000000"/>
          <w:sz w:val="24"/>
          <w:szCs w:val="24"/>
        </w:rPr>
        <w:t>FEBS Lett</w:t>
      </w:r>
      <w:r w:rsidR="00ED0D1A" w:rsidRPr="00014BD1">
        <w:rPr>
          <w:rStyle w:val="apple-converted-space"/>
          <w:rFonts w:ascii="Book Antiqua" w:hAnsi="Book Antiqua"/>
          <w:color w:val="000000"/>
          <w:sz w:val="24"/>
          <w:szCs w:val="24"/>
        </w:rPr>
        <w:t> </w:t>
      </w:r>
      <w:r w:rsidR="00ED0D1A" w:rsidRPr="00014BD1">
        <w:rPr>
          <w:rFonts w:ascii="Book Antiqua" w:hAnsi="Book Antiqua"/>
          <w:color w:val="000000"/>
          <w:sz w:val="24"/>
          <w:szCs w:val="24"/>
        </w:rPr>
        <w:t>1999;</w:t>
      </w:r>
      <w:r w:rsidR="00ED0D1A" w:rsidRPr="00014BD1">
        <w:rPr>
          <w:rStyle w:val="apple-converted-space"/>
          <w:rFonts w:ascii="Book Antiqua" w:hAnsi="Book Antiqua"/>
          <w:color w:val="000000"/>
          <w:sz w:val="24"/>
          <w:szCs w:val="24"/>
        </w:rPr>
        <w:t> </w:t>
      </w:r>
      <w:r w:rsidR="00ED0D1A" w:rsidRPr="00014BD1">
        <w:rPr>
          <w:rFonts w:ascii="Book Antiqua" w:hAnsi="Book Antiqua"/>
          <w:b/>
          <w:bCs/>
          <w:color w:val="000000"/>
          <w:sz w:val="24"/>
          <w:szCs w:val="24"/>
        </w:rPr>
        <w:t>455</w:t>
      </w:r>
      <w:r w:rsidR="00ED0D1A" w:rsidRPr="00014BD1">
        <w:rPr>
          <w:rFonts w:ascii="Book Antiqua" w:hAnsi="Book Antiqua"/>
          <w:color w:val="000000"/>
          <w:sz w:val="24"/>
          <w:szCs w:val="24"/>
        </w:rPr>
        <w:t>: 135-139 [PMID: 10428487]</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14</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Schweiger M</w:t>
      </w:r>
      <w:r w:rsidRPr="00E17FA6">
        <w:rPr>
          <w:rFonts w:ascii="Book Antiqua" w:eastAsia="宋体" w:hAnsi="Book Antiqua" w:cs="宋体"/>
          <w:kern w:val="0"/>
          <w:sz w:val="24"/>
          <w:szCs w:val="24"/>
        </w:rPr>
        <w:t>, Paar M, Eder C, Brandis J, Moser E, Gorkiewicz G, Grond S, Radner FP, Cerk I, Cornaciu I, Oberer M, Kersten S, Zechner R, Zimmermann R, Lass A. G0/G1 switch gene-2 regulates human adipocyte lipolysis by affecting activity and localization of adipose triglyceride lipase.</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J Lipid Res</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53</w:t>
      </w:r>
      <w:r w:rsidRPr="00E17FA6">
        <w:rPr>
          <w:rFonts w:ascii="Book Antiqua" w:eastAsia="宋体" w:hAnsi="Book Antiqua" w:cs="宋体"/>
          <w:kern w:val="0"/>
          <w:sz w:val="24"/>
          <w:szCs w:val="24"/>
        </w:rPr>
        <w:t>: 2307-2317 [PMID: 22891293 DOI: 10.1194/jlr.M027409]</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lastRenderedPageBreak/>
        <w:t>15</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Das SK</w:t>
      </w:r>
      <w:r w:rsidRPr="00E17FA6">
        <w:rPr>
          <w:rFonts w:ascii="Book Antiqua" w:eastAsia="宋体" w:hAnsi="Book Antiqua" w:cs="宋体"/>
          <w:kern w:val="0"/>
          <w:sz w:val="24"/>
          <w:szCs w:val="24"/>
        </w:rPr>
        <w:t>, Eder S, Schauer S, Diwoky C, Temmel H, Guertl B, Gorkiewicz G, Tamilarasan KP, Kumari P, Trauner M, Zimmermann R, Vesely P, Haemmerle G, Zechner R, Hoefler G. Adipose triglyceride lipase contributes to cancer-associated cachexia.</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Science</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2011;</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333</w:t>
      </w:r>
      <w:r w:rsidRPr="00E17FA6">
        <w:rPr>
          <w:rFonts w:ascii="Book Antiqua" w:eastAsia="宋体" w:hAnsi="Book Antiqua" w:cs="宋体"/>
          <w:kern w:val="0"/>
          <w:sz w:val="24"/>
          <w:szCs w:val="24"/>
        </w:rPr>
        <w:t>: 233-238 [PMID: 21680814 DOI: 10.1126/science.1198973]</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16</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Kusakabe M</w:t>
      </w:r>
      <w:r w:rsidRPr="00E17FA6">
        <w:rPr>
          <w:rFonts w:ascii="Book Antiqua" w:eastAsia="宋体" w:hAnsi="Book Antiqua" w:cs="宋体"/>
          <w:kern w:val="0"/>
          <w:sz w:val="24"/>
          <w:szCs w:val="24"/>
        </w:rPr>
        <w:t>, Kutomi T, Watanabe K, Emoto N, Aki N, Kage H, Hamano E, Kitagawa H, Nagase T, Sano A, Yoshida Y, Fukami T, Murakawa T, Nakajima J, Takamoto S, Ota S, Fukayama M, Yatomi Y, Ohishi N, Takai D. Identification of G0S2 as a gene frequently methylated in squamous lung cancer by combination of in silico and experimental approaches.</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Int J Cancer</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2010;</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126</w:t>
      </w:r>
      <w:r w:rsidRPr="00E17FA6">
        <w:rPr>
          <w:rFonts w:ascii="Book Antiqua" w:eastAsia="宋体" w:hAnsi="Book Antiqua" w:cs="宋体"/>
          <w:kern w:val="0"/>
          <w:sz w:val="24"/>
          <w:szCs w:val="24"/>
        </w:rPr>
        <w:t>: 1895-1902 [PMID: 19816938 DOI: 10.1002/ijc.24947]</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17</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Kusakabe M</w:t>
      </w:r>
      <w:r w:rsidRPr="00E17FA6">
        <w:rPr>
          <w:rFonts w:ascii="Book Antiqua" w:eastAsia="宋体" w:hAnsi="Book Antiqua" w:cs="宋体"/>
          <w:kern w:val="0"/>
          <w:sz w:val="24"/>
          <w:szCs w:val="24"/>
        </w:rPr>
        <w:t>, Watanabe K, Emoto N, Aki N, Kage H, Nagase T, Nakajima J, Yatomi Y, Ohishi N, Takai D. Impact of DNA demethylation of the G0S2 gene on the transcription of G0S2 in squamous lung cancer cell lines with or without nuclear receptor agonists.</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Biochem Biophys Res Commun</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2009;</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390</w:t>
      </w:r>
      <w:r w:rsidRPr="00E17FA6">
        <w:rPr>
          <w:rFonts w:ascii="Book Antiqua" w:eastAsia="宋体" w:hAnsi="Book Antiqua" w:cs="宋体"/>
          <w:kern w:val="0"/>
          <w:sz w:val="24"/>
          <w:szCs w:val="24"/>
        </w:rPr>
        <w:t>: 1283-1287 [PMID: 19878646 DOI: 10.1016/j.bbrc.2009.10.137]</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18</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Kioka H</w:t>
      </w:r>
      <w:r w:rsidRPr="00E17FA6">
        <w:rPr>
          <w:rFonts w:ascii="Book Antiqua" w:eastAsia="宋体" w:hAnsi="Book Antiqua" w:cs="宋体"/>
          <w:kern w:val="0"/>
          <w:sz w:val="24"/>
          <w:szCs w:val="24"/>
        </w:rPr>
        <w:t>, Kato H, Fujikawa M, Tsukamoto O, Suzuki T, Imamura H, Nakano A, Higo S, Yamazaki S, Matsuzaki T, Takafuji K, Asanuma H, Asakura M, Minamino T, Shintani Y, Yoshida M, Noji H, Kitakaze M, Komuro I, Asano Y, Takashima S. Evaluation of intramitochondrial ATP levels identifies G0/G1 switch gene 2 as a positive regulator of oxidative phosphorylation.</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Proc Natl Acad Sci U S A</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2014;</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111</w:t>
      </w:r>
      <w:r w:rsidRPr="00E17FA6">
        <w:rPr>
          <w:rFonts w:ascii="Book Antiqua" w:eastAsia="宋体" w:hAnsi="Book Antiqua" w:cs="宋体"/>
          <w:kern w:val="0"/>
          <w:sz w:val="24"/>
          <w:szCs w:val="24"/>
        </w:rPr>
        <w:t>: 273-278 [PMID: 24344269 DOI: 10.1073/pnas.1318547111]</w:t>
      </w:r>
    </w:p>
    <w:p w:rsidR="00E17FA6" w:rsidRPr="00E17FA6" w:rsidRDefault="00014BD1" w:rsidP="00E17FA6">
      <w:pPr>
        <w:widowControl/>
        <w:jc w:val="left"/>
        <w:rPr>
          <w:rFonts w:ascii="Book Antiqua" w:eastAsia="宋体" w:hAnsi="Book Antiqua" w:cs="宋体"/>
          <w:kern w:val="0"/>
          <w:sz w:val="24"/>
          <w:szCs w:val="24"/>
        </w:rPr>
      </w:pPr>
      <w:r w:rsidRPr="00014BD1">
        <w:rPr>
          <w:rFonts w:ascii="Book Antiqua" w:eastAsia="宋体" w:hAnsi="Book Antiqua" w:cs="宋体"/>
          <w:kern w:val="0"/>
          <w:sz w:val="24"/>
          <w:szCs w:val="24"/>
        </w:rPr>
        <w:t xml:space="preserve">19 </w:t>
      </w:r>
      <w:r w:rsidRPr="00014BD1">
        <w:rPr>
          <w:rFonts w:ascii="Book Antiqua" w:eastAsia="宋体" w:hAnsi="Book Antiqua" w:cs="宋体"/>
          <w:b/>
          <w:kern w:val="0"/>
          <w:sz w:val="24"/>
          <w:szCs w:val="24"/>
        </w:rPr>
        <w:t>Yamada T</w:t>
      </w:r>
      <w:r w:rsidRPr="00014BD1">
        <w:rPr>
          <w:rFonts w:ascii="Book Antiqua" w:eastAsia="宋体" w:hAnsi="Book Antiqua" w:cs="宋体"/>
          <w:kern w:val="0"/>
          <w:sz w:val="24"/>
          <w:szCs w:val="24"/>
        </w:rPr>
        <w:t>, Lee P</w:t>
      </w:r>
      <w:r w:rsidR="00E17FA6" w:rsidRPr="00E17FA6">
        <w:rPr>
          <w:rFonts w:ascii="Book Antiqua" w:eastAsia="宋体" w:hAnsi="Book Antiqua" w:cs="宋体"/>
          <w:kern w:val="0"/>
          <w:sz w:val="24"/>
          <w:szCs w:val="24"/>
        </w:rPr>
        <w:t>H, Burns A, Lacorazza D. G0S2, an early response gene, regulates quiescence in na</w:t>
      </w:r>
      <w:r w:rsidRPr="00014BD1">
        <w:rPr>
          <w:rFonts w:ascii="Book Antiqua" w:eastAsia="宋体" w:hAnsi="Book Antiqua" w:cs="Arial Unicode MS"/>
          <w:kern w:val="0"/>
          <w:sz w:val="24"/>
          <w:szCs w:val="24"/>
        </w:rPr>
        <w:t>i</w:t>
      </w:r>
      <w:r w:rsidR="00E17FA6" w:rsidRPr="00E17FA6">
        <w:rPr>
          <w:rFonts w:ascii="Book Antiqua" w:eastAsia="宋体" w:hAnsi="Book Antiqua" w:cs="宋体"/>
          <w:kern w:val="0"/>
          <w:sz w:val="24"/>
          <w:szCs w:val="24"/>
        </w:rPr>
        <w:t>ve T cells</w:t>
      </w:r>
      <w:r w:rsidR="00E17FA6" w:rsidRPr="00E17FA6">
        <w:rPr>
          <w:rFonts w:ascii="Book Antiqua" w:eastAsia="宋体" w:hAnsi="Book Antiqua" w:cs="宋体"/>
          <w:i/>
          <w:kern w:val="0"/>
          <w:sz w:val="24"/>
          <w:szCs w:val="24"/>
        </w:rPr>
        <w:t>.</w:t>
      </w:r>
      <w:r w:rsidRPr="00014BD1">
        <w:rPr>
          <w:rFonts w:ascii="Book Antiqua" w:eastAsia="宋体" w:hAnsi="Book Antiqua" w:cs="宋体"/>
          <w:i/>
          <w:kern w:val="0"/>
          <w:sz w:val="24"/>
          <w:szCs w:val="24"/>
        </w:rPr>
        <w:t xml:space="preserve"> J </w:t>
      </w:r>
      <w:r w:rsidR="00E17FA6" w:rsidRPr="00E17FA6">
        <w:rPr>
          <w:rFonts w:ascii="Book Antiqua" w:eastAsia="宋体" w:hAnsi="Book Antiqua" w:cs="宋体"/>
          <w:i/>
          <w:kern w:val="0"/>
          <w:sz w:val="24"/>
          <w:szCs w:val="24"/>
        </w:rPr>
        <w:t>Immunol</w:t>
      </w:r>
      <w:r w:rsidRPr="00014BD1">
        <w:rPr>
          <w:rFonts w:ascii="Book Antiqua" w:eastAsia="宋体" w:hAnsi="Book Antiqua" w:cs="宋体"/>
          <w:kern w:val="0"/>
          <w:sz w:val="24"/>
          <w:szCs w:val="24"/>
        </w:rPr>
        <w:t xml:space="preserve"> </w:t>
      </w:r>
      <w:r w:rsidR="00E17FA6" w:rsidRPr="00E17FA6">
        <w:rPr>
          <w:rFonts w:ascii="Book Antiqua" w:eastAsia="宋体" w:hAnsi="Book Antiqua" w:cs="宋体"/>
          <w:kern w:val="0"/>
          <w:sz w:val="24"/>
          <w:szCs w:val="24"/>
        </w:rPr>
        <w:t xml:space="preserve">2011; </w:t>
      </w:r>
      <w:r w:rsidR="00E17FA6" w:rsidRPr="00E17FA6">
        <w:rPr>
          <w:rFonts w:ascii="Book Antiqua" w:eastAsia="宋体" w:hAnsi="Book Antiqua" w:cs="宋体"/>
          <w:b/>
          <w:kern w:val="0"/>
          <w:sz w:val="24"/>
          <w:szCs w:val="24"/>
        </w:rPr>
        <w:t>186</w:t>
      </w:r>
      <w:r w:rsidR="00E17FA6" w:rsidRPr="00E17FA6">
        <w:rPr>
          <w:rFonts w:ascii="Book Antiqua" w:eastAsia="宋体" w:hAnsi="Book Antiqua" w:cs="宋体"/>
          <w:kern w:val="0"/>
          <w:sz w:val="24"/>
          <w:szCs w:val="24"/>
        </w:rPr>
        <w:t>: 104</w:t>
      </w:r>
      <w:r w:rsidRPr="00014BD1">
        <w:rPr>
          <w:rFonts w:ascii="Book Antiqua" w:eastAsia="宋体" w:hAnsi="Book Antiqua" w:cs="宋体"/>
          <w:kern w:val="0"/>
          <w:sz w:val="24"/>
          <w:szCs w:val="24"/>
        </w:rPr>
        <w:t>-</w:t>
      </w:r>
      <w:r w:rsidR="00E17FA6" w:rsidRPr="00E17FA6">
        <w:rPr>
          <w:rFonts w:ascii="Book Antiqua" w:eastAsia="宋体" w:hAnsi="Book Antiqua" w:cs="宋体"/>
          <w:kern w:val="0"/>
          <w:sz w:val="24"/>
          <w:szCs w:val="24"/>
        </w:rPr>
        <w:t>110</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20</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Heckmann BL</w:t>
      </w:r>
      <w:r w:rsidRPr="00E17FA6">
        <w:rPr>
          <w:rFonts w:ascii="Book Antiqua" w:eastAsia="宋体" w:hAnsi="Book Antiqua" w:cs="宋体"/>
          <w:kern w:val="0"/>
          <w:sz w:val="24"/>
          <w:szCs w:val="24"/>
        </w:rPr>
        <w:t>, Zhang X, Xie X, Liu J. The G0/G1 switch gene 2 (G0S2): regulating metabolism and beyond.</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Biochim Biophys Acta</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2013;</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1831</w:t>
      </w:r>
      <w:r w:rsidRPr="00E17FA6">
        <w:rPr>
          <w:rFonts w:ascii="Book Antiqua" w:eastAsia="宋体" w:hAnsi="Book Antiqua" w:cs="宋体"/>
          <w:kern w:val="0"/>
          <w:sz w:val="24"/>
          <w:szCs w:val="24"/>
        </w:rPr>
        <w:t>: 276-281 [PMID: 23032787 DOI: 10.1016/j.bbalip.2012.09.016]</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21</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Kim JY</w:t>
      </w:r>
      <w:r w:rsidRPr="00E17FA6">
        <w:rPr>
          <w:rFonts w:ascii="Book Antiqua" w:eastAsia="宋体" w:hAnsi="Book Antiqua" w:cs="宋体"/>
          <w:kern w:val="0"/>
          <w:sz w:val="24"/>
          <w:szCs w:val="24"/>
        </w:rPr>
        <w:t>, Tillison K, Lee JH, Rearick DA, Smas CM. The adipose tissue triglyceride lipase ATGL/PNPLA2 is downregulated by insulin and TNF-alpha in 3T3-L1 adipocytes and is a target for transactivation by PPARgamma.</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Am J Physiol Endocrinol Metab</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2006;</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291</w:t>
      </w:r>
      <w:r w:rsidRPr="00E17FA6">
        <w:rPr>
          <w:rFonts w:ascii="Book Antiqua" w:eastAsia="宋体" w:hAnsi="Book Antiqua" w:cs="宋体"/>
          <w:kern w:val="0"/>
          <w:sz w:val="24"/>
          <w:szCs w:val="24"/>
        </w:rPr>
        <w:t>: E115-E127 [PMID: 16705060 DOI: 10.1152/ajpendo.00317.2005]</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Li Q</w:t>
      </w:r>
      <w:r w:rsidRPr="00E17FA6">
        <w:rPr>
          <w:rFonts w:ascii="Book Antiqua" w:eastAsia="宋体" w:hAnsi="Book Antiqua" w:cs="宋体"/>
          <w:kern w:val="0"/>
          <w:sz w:val="24"/>
          <w:szCs w:val="24"/>
        </w:rPr>
        <w:t>, Verma IM. NF-kappaB regulation in the immune system.</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Nat Rev Immunol</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2</w:t>
      </w:r>
      <w:r w:rsidRPr="00E17FA6">
        <w:rPr>
          <w:rFonts w:ascii="Book Antiqua" w:eastAsia="宋体" w:hAnsi="Book Antiqua" w:cs="宋体"/>
          <w:kern w:val="0"/>
          <w:sz w:val="24"/>
          <w:szCs w:val="24"/>
        </w:rPr>
        <w:t>: 725-734 [PMID: 12360211 DOI: 10.1038/nri910]</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23</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Karin M</w:t>
      </w:r>
      <w:r w:rsidRPr="00E17FA6">
        <w:rPr>
          <w:rFonts w:ascii="Book Antiqua" w:eastAsia="宋体" w:hAnsi="Book Antiqua" w:cs="宋体"/>
          <w:kern w:val="0"/>
          <w:sz w:val="24"/>
          <w:szCs w:val="24"/>
        </w:rPr>
        <w:t>, Greten FR. NF-kappaB: linking inflammation and immunity to cancer development and progression.</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Nat Rev Immunol</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2005;</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5</w:t>
      </w:r>
      <w:r w:rsidRPr="00E17FA6">
        <w:rPr>
          <w:rFonts w:ascii="Book Antiqua" w:eastAsia="宋体" w:hAnsi="Book Antiqua" w:cs="宋体"/>
          <w:kern w:val="0"/>
          <w:sz w:val="24"/>
          <w:szCs w:val="24"/>
        </w:rPr>
        <w:t>: 749-759 [PMID: 16175180 DOI: 10.1038/nri1703]</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24</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Naugler WE</w:t>
      </w:r>
      <w:r w:rsidRPr="00E17FA6">
        <w:rPr>
          <w:rFonts w:ascii="Book Antiqua" w:eastAsia="宋体" w:hAnsi="Book Antiqua" w:cs="宋体"/>
          <w:kern w:val="0"/>
          <w:sz w:val="24"/>
          <w:szCs w:val="24"/>
        </w:rPr>
        <w:t>, Karin M. NF-kappaB and cancer-identifying targets and mechanisms.</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Curr Opin Genet Dev</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2008;</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18</w:t>
      </w:r>
      <w:r w:rsidRPr="00E17FA6">
        <w:rPr>
          <w:rFonts w:ascii="Book Antiqua" w:eastAsia="宋体" w:hAnsi="Book Antiqua" w:cs="宋体"/>
          <w:kern w:val="0"/>
          <w:sz w:val="24"/>
          <w:szCs w:val="24"/>
        </w:rPr>
        <w:t>: 19-26 [PMID: 18440219 DOI: 10.1016/j.gde.2008.01.020]</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25</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Bollrath J</w:t>
      </w:r>
      <w:r w:rsidRPr="00E17FA6">
        <w:rPr>
          <w:rFonts w:ascii="Book Antiqua" w:eastAsia="宋体" w:hAnsi="Book Antiqua" w:cs="宋体"/>
          <w:kern w:val="0"/>
          <w:sz w:val="24"/>
          <w:szCs w:val="24"/>
        </w:rPr>
        <w:t>, Greten FR. IKK/NF-kappaB and STAT3 pathways: central signalling hubs in inflammation-mediated tumour promotion and metastasis.</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EMBO Rep</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2009;</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10</w:t>
      </w:r>
      <w:r w:rsidRPr="00E17FA6">
        <w:rPr>
          <w:rFonts w:ascii="Book Antiqua" w:eastAsia="宋体" w:hAnsi="Book Antiqua" w:cs="宋体"/>
          <w:kern w:val="0"/>
          <w:sz w:val="24"/>
          <w:szCs w:val="24"/>
        </w:rPr>
        <w:t>: 1314-1319 [PMID: 19893576 DOI: 10.1038/embor.2009.243]</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26</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Baud V</w:t>
      </w:r>
      <w:r w:rsidRPr="00E17FA6">
        <w:rPr>
          <w:rFonts w:ascii="Book Antiqua" w:eastAsia="宋体" w:hAnsi="Book Antiqua" w:cs="宋体"/>
          <w:kern w:val="0"/>
          <w:sz w:val="24"/>
          <w:szCs w:val="24"/>
        </w:rPr>
        <w:t>, Karin M. Is NF-kappaB a good target for cancer therapy? Hopes and pitfalls.</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Nat Rev Drug Discov</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2009;</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8</w:t>
      </w:r>
      <w:r w:rsidRPr="00E17FA6">
        <w:rPr>
          <w:rFonts w:ascii="Book Antiqua" w:eastAsia="宋体" w:hAnsi="Book Antiqua" w:cs="宋体"/>
          <w:kern w:val="0"/>
          <w:sz w:val="24"/>
          <w:szCs w:val="24"/>
        </w:rPr>
        <w:t>: 33-40 [PMID: 19116625 DOI: 10.1038/nrd2781]</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27</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Grivennikov SI</w:t>
      </w:r>
      <w:r w:rsidRPr="00E17FA6">
        <w:rPr>
          <w:rFonts w:ascii="Book Antiqua" w:eastAsia="宋体" w:hAnsi="Book Antiqua" w:cs="宋体"/>
          <w:kern w:val="0"/>
          <w:sz w:val="24"/>
          <w:szCs w:val="24"/>
        </w:rPr>
        <w:t>, Greten FR, Karin M. Immunity, inflammation, and cancer.</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Cell</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2010;</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140</w:t>
      </w:r>
      <w:r w:rsidRPr="00E17FA6">
        <w:rPr>
          <w:rFonts w:ascii="Book Antiqua" w:eastAsia="宋体" w:hAnsi="Book Antiqua" w:cs="宋体"/>
          <w:kern w:val="0"/>
          <w:sz w:val="24"/>
          <w:szCs w:val="24"/>
        </w:rPr>
        <w:t>: 883-899 [PMID: 20303878 DOI: 10.1016/j.cell.2010.01.025]</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28</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Karin M</w:t>
      </w:r>
      <w:r w:rsidRPr="00E17FA6">
        <w:rPr>
          <w:rFonts w:ascii="Book Antiqua" w:eastAsia="宋体" w:hAnsi="Book Antiqua" w:cs="宋体"/>
          <w:kern w:val="0"/>
          <w:sz w:val="24"/>
          <w:szCs w:val="24"/>
        </w:rPr>
        <w:t>. Nuclear factor-kappaB in cancer development and progression.</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Nature</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2006;</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441</w:t>
      </w:r>
      <w:r w:rsidRPr="00E17FA6">
        <w:rPr>
          <w:rFonts w:ascii="Book Antiqua" w:eastAsia="宋体" w:hAnsi="Book Antiqua" w:cs="宋体"/>
          <w:kern w:val="0"/>
          <w:sz w:val="24"/>
          <w:szCs w:val="24"/>
        </w:rPr>
        <w:t>: 431-436 [PMID: 16724054 DOI: 10.1038/nature04870]</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29</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Santos CR</w:t>
      </w:r>
      <w:r w:rsidRPr="00E17FA6">
        <w:rPr>
          <w:rFonts w:ascii="Book Antiqua" w:eastAsia="宋体" w:hAnsi="Book Antiqua" w:cs="宋体"/>
          <w:kern w:val="0"/>
          <w:sz w:val="24"/>
          <w:szCs w:val="24"/>
        </w:rPr>
        <w:t>, Schulze A. Lipid metabolism in cancer.</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FEBS J</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279</w:t>
      </w:r>
      <w:r w:rsidRPr="00E17FA6">
        <w:rPr>
          <w:rFonts w:ascii="Book Antiqua" w:eastAsia="宋体" w:hAnsi="Book Antiqua" w:cs="宋体"/>
          <w:kern w:val="0"/>
          <w:sz w:val="24"/>
          <w:szCs w:val="24"/>
        </w:rPr>
        <w:t>: 2610-2623 [PMID: 22621751 DOI: 10.1111/j.1742-4658.2012.08644.x]</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lastRenderedPageBreak/>
        <w:t>30</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Hanahan D</w:t>
      </w:r>
      <w:r w:rsidRPr="00E17FA6">
        <w:rPr>
          <w:rFonts w:ascii="Book Antiqua" w:eastAsia="宋体" w:hAnsi="Book Antiqua" w:cs="宋体"/>
          <w:kern w:val="0"/>
          <w:sz w:val="24"/>
          <w:szCs w:val="24"/>
        </w:rPr>
        <w:t>, Weinberg RA. Hallmarks of cancer: the next generation.</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Cell</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2011;</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144</w:t>
      </w:r>
      <w:r w:rsidRPr="00E17FA6">
        <w:rPr>
          <w:rFonts w:ascii="Book Antiqua" w:eastAsia="宋体" w:hAnsi="Book Antiqua" w:cs="宋体"/>
          <w:kern w:val="0"/>
          <w:sz w:val="24"/>
          <w:szCs w:val="24"/>
        </w:rPr>
        <w:t>: 646-674 [PMID: 21376230 DOI: 10.1016/j.cell.2011.02.013]</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31</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Cairns RA</w:t>
      </w:r>
      <w:r w:rsidRPr="00E17FA6">
        <w:rPr>
          <w:rFonts w:ascii="Book Antiqua" w:eastAsia="宋体" w:hAnsi="Book Antiqua" w:cs="宋体"/>
          <w:kern w:val="0"/>
          <w:sz w:val="24"/>
          <w:szCs w:val="24"/>
        </w:rPr>
        <w:t>, Harris IS, Mak TW. Regulation of cancer cell metabolism.</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Nat Rev Cancer</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2011;</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11</w:t>
      </w:r>
      <w:r w:rsidRPr="00E17FA6">
        <w:rPr>
          <w:rFonts w:ascii="Book Antiqua" w:eastAsia="宋体" w:hAnsi="Book Antiqua" w:cs="宋体"/>
          <w:kern w:val="0"/>
          <w:sz w:val="24"/>
          <w:szCs w:val="24"/>
        </w:rPr>
        <w:t>: 85-95 [PMID: 21258394 DOI: 10.1038/nrc2981]</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32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Muñoz-Pinedo C</w:t>
      </w:r>
      <w:r w:rsidRPr="00E17FA6">
        <w:rPr>
          <w:rFonts w:ascii="Book Antiqua" w:eastAsia="宋体" w:hAnsi="Book Antiqua" w:cs="宋体"/>
          <w:kern w:val="0"/>
          <w:sz w:val="24"/>
          <w:szCs w:val="24"/>
        </w:rPr>
        <w:t>, El Mjiyad N, Ricci JE. Cancer metabolism: current perspectives and future directions.</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Cell Death Dis</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3</w:t>
      </w:r>
      <w:r w:rsidRPr="00E17FA6">
        <w:rPr>
          <w:rFonts w:ascii="Book Antiqua" w:eastAsia="宋体" w:hAnsi="Book Antiqua" w:cs="宋体"/>
          <w:kern w:val="0"/>
          <w:sz w:val="24"/>
          <w:szCs w:val="24"/>
        </w:rPr>
        <w:t>: e248 [PMID: 22237205 DOI: 10.1038/cddis.2011.123]</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33</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Testino G</w:t>
      </w:r>
      <w:r w:rsidRPr="00E17FA6">
        <w:rPr>
          <w:rFonts w:ascii="Book Antiqua" w:eastAsia="宋体" w:hAnsi="Book Antiqua" w:cs="宋体"/>
          <w:kern w:val="0"/>
          <w:sz w:val="24"/>
          <w:szCs w:val="24"/>
        </w:rPr>
        <w:t>. Gastric precancerous changes: carcinogenesis, clinical behaviour immunophenotype study and surveillance.</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Panminerva Med</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2006;</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48</w:t>
      </w:r>
      <w:r w:rsidRPr="00E17FA6">
        <w:rPr>
          <w:rFonts w:ascii="Book Antiqua" w:eastAsia="宋体" w:hAnsi="Book Antiqua" w:cs="宋体"/>
          <w:kern w:val="0"/>
          <w:sz w:val="24"/>
          <w:szCs w:val="24"/>
        </w:rPr>
        <w:t>: 109-118 [PMID: 16953148]</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34</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Lin LL</w:t>
      </w:r>
      <w:r w:rsidRPr="00E17FA6">
        <w:rPr>
          <w:rFonts w:ascii="Book Antiqua" w:eastAsia="宋体" w:hAnsi="Book Antiqua" w:cs="宋体"/>
          <w:kern w:val="0"/>
          <w:sz w:val="24"/>
          <w:szCs w:val="24"/>
        </w:rPr>
        <w:t>, Huang HC, Juan HF. Discovery of biomarkers for gastric cancer: a proteomics approach.</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J Proteomics</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2012;</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75</w:t>
      </w:r>
      <w:r w:rsidRPr="00E17FA6">
        <w:rPr>
          <w:rFonts w:ascii="Book Antiqua" w:eastAsia="宋体" w:hAnsi="Book Antiqua" w:cs="宋体"/>
          <w:kern w:val="0"/>
          <w:sz w:val="24"/>
          <w:szCs w:val="24"/>
        </w:rPr>
        <w:t>: 3081-3097 [PMID: 22498886 DOI: 10.1016/j.jprot.2012.03.046]</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35</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Zheng ZH</w:t>
      </w:r>
      <w:r w:rsidRPr="00E17FA6">
        <w:rPr>
          <w:rFonts w:ascii="Book Antiqua" w:eastAsia="宋体" w:hAnsi="Book Antiqua" w:cs="宋体"/>
          <w:kern w:val="0"/>
          <w:sz w:val="24"/>
          <w:szCs w:val="24"/>
        </w:rPr>
        <w:t>, Sun XJ, Ma MC, Hao DM, Liu YH, Sun KL. [Studies of promoter methylation status and protein expression of E-cadherin gene in associated progression stages of gastric cancer].</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Yi Chuan Xue Bao</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2003;</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30</w:t>
      </w:r>
      <w:r w:rsidRPr="00E17FA6">
        <w:rPr>
          <w:rFonts w:ascii="Book Antiqua" w:eastAsia="宋体" w:hAnsi="Book Antiqua" w:cs="宋体"/>
          <w:kern w:val="0"/>
          <w:sz w:val="24"/>
          <w:szCs w:val="24"/>
        </w:rPr>
        <w:t>: 103-108 [PMID: 12776596]</w:t>
      </w:r>
    </w:p>
    <w:p w:rsidR="00E17FA6" w:rsidRPr="00E17FA6" w:rsidRDefault="00E17FA6" w:rsidP="00E17FA6">
      <w:pPr>
        <w:widowControl/>
        <w:jc w:val="left"/>
        <w:rPr>
          <w:rFonts w:ascii="Book Antiqua" w:eastAsia="宋体" w:hAnsi="Book Antiqua" w:cs="宋体"/>
          <w:kern w:val="0"/>
          <w:sz w:val="24"/>
          <w:szCs w:val="24"/>
        </w:rPr>
      </w:pPr>
      <w:r w:rsidRPr="00E17FA6">
        <w:rPr>
          <w:rFonts w:ascii="Book Antiqua" w:eastAsia="宋体" w:hAnsi="Book Antiqua" w:cs="宋体"/>
          <w:kern w:val="0"/>
          <w:sz w:val="24"/>
          <w:szCs w:val="24"/>
        </w:rPr>
        <w:t>36</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Rugge M</w:t>
      </w:r>
      <w:r w:rsidRPr="00E17FA6">
        <w:rPr>
          <w:rFonts w:ascii="Book Antiqua" w:eastAsia="宋体" w:hAnsi="Book Antiqua" w:cs="宋体"/>
          <w:kern w:val="0"/>
          <w:sz w:val="24"/>
          <w:szCs w:val="24"/>
        </w:rPr>
        <w:t>, Capelle LG, Cappellesso R, Nitti D, Kuipers EJ. Precancerous lesions in the stomach: from biology to clinical patient management.</w:t>
      </w:r>
      <w:r w:rsidRPr="00014BD1">
        <w:rPr>
          <w:rFonts w:ascii="Book Antiqua" w:eastAsia="宋体" w:hAnsi="Book Antiqua" w:cs="宋体"/>
          <w:kern w:val="0"/>
          <w:sz w:val="24"/>
          <w:szCs w:val="24"/>
        </w:rPr>
        <w:t> </w:t>
      </w:r>
      <w:r w:rsidRPr="00E17FA6">
        <w:rPr>
          <w:rFonts w:ascii="Book Antiqua" w:eastAsia="宋体" w:hAnsi="Book Antiqua" w:cs="宋体"/>
          <w:i/>
          <w:iCs/>
          <w:kern w:val="0"/>
          <w:sz w:val="24"/>
          <w:szCs w:val="24"/>
        </w:rPr>
        <w:t>Best Pract Res Clin Gastroenterol</w:t>
      </w:r>
      <w:r w:rsidRPr="00014BD1">
        <w:rPr>
          <w:rFonts w:ascii="Book Antiqua" w:eastAsia="宋体" w:hAnsi="Book Antiqua" w:cs="宋体"/>
          <w:kern w:val="0"/>
          <w:sz w:val="24"/>
          <w:szCs w:val="24"/>
        </w:rPr>
        <w:t> </w:t>
      </w:r>
      <w:r w:rsidRPr="00E17FA6">
        <w:rPr>
          <w:rFonts w:ascii="Book Antiqua" w:eastAsia="宋体" w:hAnsi="Book Antiqua" w:cs="宋体"/>
          <w:kern w:val="0"/>
          <w:sz w:val="24"/>
          <w:szCs w:val="24"/>
        </w:rPr>
        <w:t>2013;</w:t>
      </w:r>
      <w:r w:rsidRPr="00014BD1">
        <w:rPr>
          <w:rFonts w:ascii="Book Antiqua" w:eastAsia="宋体" w:hAnsi="Book Antiqua" w:cs="宋体"/>
          <w:kern w:val="0"/>
          <w:sz w:val="24"/>
          <w:szCs w:val="24"/>
        </w:rPr>
        <w:t> </w:t>
      </w:r>
      <w:r w:rsidRPr="00E17FA6">
        <w:rPr>
          <w:rFonts w:ascii="Book Antiqua" w:eastAsia="宋体" w:hAnsi="Book Antiqua" w:cs="宋体"/>
          <w:b/>
          <w:bCs/>
          <w:kern w:val="0"/>
          <w:sz w:val="24"/>
          <w:szCs w:val="24"/>
        </w:rPr>
        <w:t>27</w:t>
      </w:r>
      <w:r w:rsidRPr="00E17FA6">
        <w:rPr>
          <w:rFonts w:ascii="Book Antiqua" w:eastAsia="宋体" w:hAnsi="Book Antiqua" w:cs="宋体"/>
          <w:kern w:val="0"/>
          <w:sz w:val="24"/>
          <w:szCs w:val="24"/>
        </w:rPr>
        <w:t>: 205-223 [PMID: 23809241 DOI: 10.1016/j.bpg.2012.12.007]</w:t>
      </w:r>
    </w:p>
    <w:p w:rsidR="009929E3" w:rsidRPr="00014BD1" w:rsidRDefault="009929E3" w:rsidP="00E163AB">
      <w:pPr>
        <w:pStyle w:val="CM9"/>
        <w:snapToGrid w:val="0"/>
        <w:spacing w:line="360" w:lineRule="auto"/>
        <w:ind w:rightChars="-15" w:right="-31"/>
        <w:jc w:val="both"/>
        <w:rPr>
          <w:rFonts w:ascii="Book Antiqua" w:eastAsia="宋体" w:hAnsi="Book Antiqua" w:cs="Tahoma"/>
          <w:color w:val="000000"/>
        </w:rPr>
      </w:pPr>
    </w:p>
    <w:p w:rsidR="00014BD1" w:rsidRPr="00C56046" w:rsidRDefault="00014BD1" w:rsidP="00014BD1">
      <w:pPr>
        <w:tabs>
          <w:tab w:val="left" w:pos="180"/>
          <w:tab w:val="left" w:pos="360"/>
        </w:tabs>
        <w:adjustRightInd w:val="0"/>
        <w:snapToGrid w:val="0"/>
        <w:spacing w:line="360" w:lineRule="auto"/>
        <w:jc w:val="right"/>
        <w:rPr>
          <w:rFonts w:ascii="Book Antiqua" w:hAnsi="Book Antiqua" w:cs="Tahoma"/>
          <w:b/>
          <w:color w:val="000000"/>
          <w:sz w:val="24"/>
        </w:rPr>
      </w:pPr>
      <w:bookmarkStart w:id="321" w:name="OLE_LINK874"/>
      <w:bookmarkStart w:id="322" w:name="OLE_LINK875"/>
      <w:bookmarkStart w:id="323" w:name="OLE_LINK347"/>
      <w:bookmarkStart w:id="324" w:name="OLE_LINK384"/>
      <w:bookmarkStart w:id="325" w:name="OLE_LINK557"/>
      <w:bookmarkStart w:id="326" w:name="OLE_LINK558"/>
      <w:bookmarkStart w:id="327" w:name="OLE_LINK631"/>
      <w:bookmarkStart w:id="328" w:name="OLE_LINK632"/>
      <w:bookmarkStart w:id="329" w:name="OLE_LINK386"/>
      <w:bookmarkStart w:id="330" w:name="OLE_LINK431"/>
      <w:bookmarkStart w:id="331" w:name="OLE_LINK564"/>
      <w:bookmarkStart w:id="332" w:name="OLE_LINK493"/>
      <w:bookmarkStart w:id="333" w:name="OLE_LINK442"/>
      <w:bookmarkStart w:id="334" w:name="OLE_LINK551"/>
      <w:bookmarkStart w:id="335" w:name="OLE_LINK668"/>
      <w:bookmarkStart w:id="336" w:name="OLE_LINK669"/>
      <w:bookmarkStart w:id="337" w:name="OLE_LINK725"/>
      <w:bookmarkStart w:id="338" w:name="OLE_LINK489"/>
      <w:bookmarkStart w:id="339" w:name="OLE_LINK602"/>
      <w:bookmarkStart w:id="340" w:name="OLE_LINK658"/>
      <w:bookmarkStart w:id="341" w:name="OLE_LINK747"/>
      <w:bookmarkStart w:id="342" w:name="OLE_LINK897"/>
      <w:bookmarkStart w:id="343" w:name="OLE_LINK1138"/>
      <w:bookmarkStart w:id="344" w:name="OLE_LINK1139"/>
      <w:bookmarkStart w:id="345" w:name="OLE_LINK882"/>
      <w:bookmarkStart w:id="346" w:name="OLE_LINK1095"/>
      <w:bookmarkStart w:id="347" w:name="OLE_LINK1305"/>
      <w:bookmarkStart w:id="348" w:name="OLE_LINK1390"/>
      <w:bookmarkStart w:id="349" w:name="OLE_LINK964"/>
      <w:bookmarkStart w:id="350" w:name="OLE_LINK1190"/>
      <w:bookmarkStart w:id="351" w:name="OLE_LINK1314"/>
      <w:bookmarkStart w:id="352" w:name="OLE_LINK1031"/>
      <w:bookmarkStart w:id="353" w:name="OLE_LINK1092"/>
      <w:bookmarkStart w:id="354" w:name="OLE_LINK1258"/>
      <w:bookmarkStart w:id="355" w:name="OLE_LINK1259"/>
      <w:bookmarkStart w:id="356" w:name="OLE_LINK1337"/>
      <w:bookmarkStart w:id="357" w:name="OLE_LINK1338"/>
      <w:bookmarkStart w:id="358" w:name="OLE_LINK1363"/>
      <w:bookmarkStart w:id="359" w:name="OLE_LINK1364"/>
      <w:bookmarkStart w:id="360" w:name="OLE_LINK86"/>
      <w:bookmarkStart w:id="361" w:name="OLE_LINK1595"/>
      <w:bookmarkStart w:id="362" w:name="OLE_LINK1613"/>
      <w:bookmarkStart w:id="363" w:name="OLE_LINK1708"/>
      <w:bookmarkStart w:id="364" w:name="OLE_LINK1774"/>
      <w:bookmarkStart w:id="365" w:name="OLE_LINK1872"/>
      <w:bookmarkStart w:id="366" w:name="OLE_LINK1899"/>
      <w:bookmarkStart w:id="367" w:name="OLE_LINK1492"/>
      <w:bookmarkStart w:id="368" w:name="OLE_LINK1497"/>
      <w:bookmarkStart w:id="369" w:name="OLE_LINK1498"/>
      <w:bookmarkStart w:id="370" w:name="OLE_LINK1589"/>
      <w:bookmarkStart w:id="371" w:name="OLE_LINK1666"/>
      <w:bookmarkStart w:id="372" w:name="OLE_LINK1752"/>
      <w:bookmarkStart w:id="373" w:name="OLE_LINK1616"/>
      <w:bookmarkStart w:id="374" w:name="OLE_LINK1696"/>
      <w:bookmarkStart w:id="375" w:name="OLE_LINK1855"/>
      <w:bookmarkStart w:id="376" w:name="OLE_LINK1942"/>
      <w:bookmarkStart w:id="377" w:name="OLE_LINK1943"/>
      <w:bookmarkStart w:id="378" w:name="OLE_LINK1573"/>
      <w:bookmarkStart w:id="379" w:name="OLE_LINK1574"/>
      <w:bookmarkStart w:id="380" w:name="OLE_LINK1575"/>
      <w:bookmarkStart w:id="381" w:name="OLE_LINK1739"/>
      <w:bookmarkStart w:id="382" w:name="OLE_LINK1761"/>
      <w:bookmarkStart w:id="383" w:name="OLE_LINK1743"/>
      <w:bookmarkStart w:id="384" w:name="OLE_LINK1841"/>
      <w:bookmarkStart w:id="385" w:name="OLE_LINK1858"/>
      <w:bookmarkStart w:id="386" w:name="OLE_LINK1890"/>
      <w:bookmarkStart w:id="387" w:name="OLE_LINK1915"/>
      <w:bookmarkStart w:id="388" w:name="OLE_LINK1980"/>
      <w:bookmarkStart w:id="389" w:name="OLE_LINK1883"/>
      <w:bookmarkStart w:id="390" w:name="OLE_LINK1935"/>
      <w:bookmarkStart w:id="391" w:name="OLE_LINK1936"/>
      <w:bookmarkStart w:id="392" w:name="OLE_LINK1952"/>
      <w:bookmarkStart w:id="393" w:name="OLE_LINK1953"/>
      <w:bookmarkStart w:id="394" w:name="OLE_LINK1999"/>
      <w:bookmarkStart w:id="395" w:name="OLE_LINK2050"/>
      <w:bookmarkStart w:id="396" w:name="OLE_LINK1862"/>
      <w:bookmarkStart w:id="397" w:name="OLE_LINK1963"/>
      <w:bookmarkStart w:id="398" w:name="OLE_LINK2052"/>
      <w:bookmarkStart w:id="399" w:name="OLE_LINK1906"/>
      <w:bookmarkStart w:id="400" w:name="OLE_LINK2031"/>
      <w:bookmarkStart w:id="401" w:name="OLE_LINK2032"/>
      <w:bookmarkStart w:id="402" w:name="OLE_LINK1907"/>
      <w:bookmarkStart w:id="403" w:name="OLE_LINK2004"/>
      <w:bookmarkStart w:id="404" w:name="OLE_LINK2238"/>
      <w:bookmarkStart w:id="405" w:name="OLE_LINK2239"/>
      <w:bookmarkStart w:id="406" w:name="OLE_LINK2163"/>
      <w:bookmarkStart w:id="407" w:name="OLE_LINK2207"/>
      <w:bookmarkStart w:id="408" w:name="OLE_LINK2341"/>
      <w:bookmarkStart w:id="409" w:name="OLE_LINK2417"/>
      <w:bookmarkStart w:id="410" w:name="OLE_LINK2509"/>
      <w:bookmarkStart w:id="411" w:name="OLE_LINK2510"/>
      <w:bookmarkStart w:id="412" w:name="OLE_LINK2511"/>
      <w:bookmarkStart w:id="413" w:name="OLE_LINK2512"/>
      <w:bookmarkStart w:id="414" w:name="OLE_LINK2513"/>
      <w:bookmarkStart w:id="415" w:name="OLE_LINK2514"/>
      <w:bookmarkStart w:id="416" w:name="OLE_LINK2515"/>
      <w:bookmarkStart w:id="417" w:name="OLE_LINK2516"/>
      <w:bookmarkStart w:id="418" w:name="OLE_LINK2517"/>
      <w:bookmarkStart w:id="419" w:name="OLE_LINK2518"/>
      <w:bookmarkStart w:id="420" w:name="OLE_LINK2519"/>
      <w:bookmarkStart w:id="421" w:name="OLE_LINK2520"/>
      <w:bookmarkStart w:id="422" w:name="OLE_LINK2521"/>
      <w:bookmarkStart w:id="423" w:name="OLE_LINK2522"/>
      <w:bookmarkStart w:id="424" w:name="OLE_LINK2523"/>
      <w:bookmarkStart w:id="425" w:name="OLE_LINK2524"/>
      <w:bookmarkStart w:id="426" w:name="OLE_LINK2051"/>
      <w:bookmarkStart w:id="427" w:name="OLE_LINK2109"/>
      <w:bookmarkStart w:id="428" w:name="OLE_LINK2165"/>
      <w:bookmarkStart w:id="429" w:name="OLE_LINK2385"/>
      <w:bookmarkStart w:id="430" w:name="OLE_LINK2593"/>
      <w:bookmarkStart w:id="431" w:name="OLE_LINK2332"/>
      <w:bookmarkStart w:id="432" w:name="OLE_LINK2448"/>
      <w:bookmarkStart w:id="433" w:name="OLE_LINK2525"/>
      <w:bookmarkStart w:id="434" w:name="OLE_LINK2506"/>
      <w:bookmarkStart w:id="435" w:name="OLE_LINK2507"/>
      <w:bookmarkStart w:id="436" w:name="OLE_LINK2291"/>
      <w:bookmarkStart w:id="437" w:name="OLE_LINK2294"/>
      <w:bookmarkStart w:id="438" w:name="OLE_LINK2298"/>
      <w:bookmarkStart w:id="439" w:name="OLE_LINK2300"/>
      <w:bookmarkStart w:id="440" w:name="OLE_LINK2301"/>
      <w:bookmarkStart w:id="441" w:name="OLE_LINK2546"/>
      <w:bookmarkStart w:id="442" w:name="OLE_LINK2756"/>
      <w:bookmarkStart w:id="443" w:name="OLE_LINK2757"/>
      <w:bookmarkStart w:id="444" w:name="OLE_LINK2736"/>
      <w:bookmarkStart w:id="445" w:name="OLE_LINK2923"/>
      <w:bookmarkStart w:id="446" w:name="OLE_LINK2974"/>
      <w:bookmarkStart w:id="447" w:name="OLE_LINK3125"/>
      <w:bookmarkStart w:id="448" w:name="OLE_LINK3218"/>
      <w:bookmarkStart w:id="449" w:name="OLE_LINK2575"/>
      <w:bookmarkStart w:id="450" w:name="OLE_LINK2687"/>
      <w:bookmarkStart w:id="451" w:name="OLE_LINK2688"/>
      <w:bookmarkStart w:id="452" w:name="OLE_LINK2700"/>
      <w:bookmarkStart w:id="453" w:name="OLE_LINK2576"/>
      <w:bookmarkStart w:id="454" w:name="OLE_LINK2674"/>
      <w:bookmarkStart w:id="455" w:name="OLE_LINK2738"/>
      <w:bookmarkStart w:id="456" w:name="OLE_LINK2983"/>
      <w:bookmarkStart w:id="457" w:name="OLE_LINK76"/>
      <w:bookmarkStart w:id="458" w:name="OLE_LINK115"/>
      <w:bookmarkStart w:id="459"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00EB5320" w:rsidRPr="00EB5320">
        <w:rPr>
          <w:rFonts w:ascii="Book Antiqua" w:hAnsi="Book Antiqua" w:cs="Tahoma"/>
          <w:color w:val="000000"/>
          <w:sz w:val="24"/>
        </w:rPr>
        <w:t>Raggi C, Shi XY, Xu R</w:t>
      </w:r>
      <w:r w:rsidR="00EB5320">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21"/>
      <w:bookmarkEnd w:id="322"/>
      <w:r w:rsidRPr="00C56046">
        <w:rPr>
          <w:rFonts w:ascii="Book Antiqua" w:hAnsi="Book Antiqua" w:cs="Tahoma"/>
          <w:b/>
          <w:color w:val="000000"/>
          <w:sz w:val="24"/>
        </w:rPr>
        <w:t>r</w:t>
      </w:r>
      <w:r>
        <w:rPr>
          <w:rFonts w:ascii="Book Antiqua" w:hAnsi="Book Antiqua" w:cs="Tahoma"/>
          <w:b/>
          <w:color w:val="000000"/>
          <w:sz w:val="24"/>
        </w:rPr>
        <w:t>:</w:t>
      </w:r>
    </w:p>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rsidR="00825926" w:rsidRPr="00014BD1" w:rsidRDefault="00825926" w:rsidP="00E163AB">
      <w:pPr>
        <w:pStyle w:val="Default"/>
        <w:spacing w:line="360" w:lineRule="auto"/>
        <w:jc w:val="both"/>
        <w:rPr>
          <w:rFonts w:ascii="Book Antiqua" w:hAnsi="Book Antiqua"/>
        </w:rPr>
      </w:pPr>
    </w:p>
    <w:p w:rsidR="00AF3847" w:rsidRPr="00014BD1" w:rsidRDefault="00AF3847" w:rsidP="00E163AB">
      <w:pPr>
        <w:pStyle w:val="Default"/>
        <w:spacing w:line="360" w:lineRule="auto"/>
        <w:ind w:rightChars="-15" w:right="-31"/>
        <w:jc w:val="both"/>
        <w:rPr>
          <w:rFonts w:ascii="Book Antiqua" w:hAnsi="Book Antiqua"/>
        </w:rPr>
      </w:pPr>
    </w:p>
    <w:p w:rsidR="00AF3847" w:rsidRPr="00014BD1" w:rsidRDefault="00AF3847" w:rsidP="00E163AB">
      <w:pPr>
        <w:pStyle w:val="Default"/>
        <w:spacing w:line="360" w:lineRule="auto"/>
        <w:ind w:rightChars="-15" w:right="-31"/>
        <w:jc w:val="both"/>
        <w:rPr>
          <w:rFonts w:ascii="Book Antiqua" w:hAnsi="Book Antiqua"/>
        </w:rPr>
      </w:pPr>
    </w:p>
    <w:p w:rsidR="00AF3847" w:rsidRPr="00014BD1" w:rsidRDefault="00AF3847" w:rsidP="00E163AB">
      <w:pPr>
        <w:pStyle w:val="Default"/>
        <w:spacing w:line="360" w:lineRule="auto"/>
        <w:ind w:rightChars="-15" w:right="-31"/>
        <w:jc w:val="both"/>
        <w:rPr>
          <w:rFonts w:ascii="Book Antiqua" w:hAnsi="Book Antiqua"/>
        </w:rPr>
      </w:pPr>
    </w:p>
    <w:p w:rsidR="00AF3847" w:rsidRPr="00014BD1" w:rsidRDefault="00AF3847" w:rsidP="00E163AB">
      <w:pPr>
        <w:pStyle w:val="Default"/>
        <w:spacing w:line="360" w:lineRule="auto"/>
        <w:ind w:rightChars="-15" w:right="-31"/>
        <w:jc w:val="both"/>
        <w:rPr>
          <w:rFonts w:ascii="Book Antiqua" w:hAnsi="Book Antiqua"/>
        </w:rPr>
      </w:pPr>
    </w:p>
    <w:p w:rsidR="00AF3847" w:rsidRPr="00014BD1" w:rsidRDefault="00AF3847" w:rsidP="00E163AB">
      <w:pPr>
        <w:pStyle w:val="Default"/>
        <w:spacing w:line="360" w:lineRule="auto"/>
        <w:ind w:rightChars="-15" w:right="-31"/>
        <w:jc w:val="both"/>
        <w:rPr>
          <w:rFonts w:ascii="Book Antiqua" w:hAnsi="Book Antiqua"/>
        </w:rPr>
      </w:pPr>
    </w:p>
    <w:p w:rsidR="00AF3847" w:rsidRPr="00014BD1" w:rsidRDefault="00AF3847" w:rsidP="00E163AB">
      <w:pPr>
        <w:pStyle w:val="Default"/>
        <w:spacing w:line="360" w:lineRule="auto"/>
        <w:ind w:rightChars="-15" w:right="-31"/>
        <w:jc w:val="both"/>
        <w:rPr>
          <w:rFonts w:ascii="Book Antiqua" w:hAnsi="Book Antiqua"/>
        </w:rPr>
      </w:pPr>
    </w:p>
    <w:p w:rsidR="00AF3847" w:rsidRPr="00014BD1" w:rsidRDefault="00AF3847" w:rsidP="00E163AB">
      <w:pPr>
        <w:pStyle w:val="Default"/>
        <w:spacing w:line="360" w:lineRule="auto"/>
        <w:ind w:rightChars="-15" w:right="-31"/>
        <w:jc w:val="both"/>
        <w:rPr>
          <w:rFonts w:ascii="Book Antiqua" w:hAnsi="Book Antiqua"/>
        </w:rPr>
      </w:pPr>
    </w:p>
    <w:p w:rsidR="001111CD" w:rsidRPr="00014BD1" w:rsidRDefault="00763EAB" w:rsidP="00E163AB">
      <w:pPr>
        <w:pStyle w:val="CM19"/>
        <w:snapToGrid w:val="0"/>
        <w:spacing w:line="360" w:lineRule="auto"/>
        <w:ind w:rightChars="-15" w:right="-31"/>
        <w:jc w:val="both"/>
        <w:rPr>
          <w:rFonts w:ascii="Book Antiqua" w:eastAsia="宋体" w:hAnsi="Book Antiqua"/>
          <w:b/>
          <w:bCs/>
          <w:color w:val="000000"/>
        </w:rPr>
      </w:pPr>
      <w:r>
        <w:rPr>
          <w:rFonts w:ascii="Book Antiqua" w:eastAsia="宋体" w:hAnsi="Book Antiqua"/>
          <w:b/>
          <w:noProof/>
        </w:rPr>
        <w:lastRenderedPageBreak/>
        <w:drawing>
          <wp:inline distT="0" distB="0" distL="0" distR="0">
            <wp:extent cx="5677535" cy="4055110"/>
            <wp:effectExtent l="1905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1"/>
                    <pic:cNvPicPr>
                      <a:picLocks noChangeAspect="1" noChangeArrowheads="1"/>
                    </pic:cNvPicPr>
                  </pic:nvPicPr>
                  <pic:blipFill>
                    <a:blip r:embed="rId7"/>
                    <a:srcRect/>
                    <a:stretch>
                      <a:fillRect/>
                    </a:stretch>
                  </pic:blipFill>
                  <pic:spPr bwMode="auto">
                    <a:xfrm>
                      <a:off x="0" y="0"/>
                      <a:ext cx="5677535" cy="4055110"/>
                    </a:xfrm>
                    <a:prstGeom prst="rect">
                      <a:avLst/>
                    </a:prstGeom>
                    <a:noFill/>
                    <a:ln w="9525">
                      <a:noFill/>
                      <a:miter lim="800000"/>
                      <a:headEnd/>
                      <a:tailEnd/>
                    </a:ln>
                  </pic:spPr>
                </pic:pic>
              </a:graphicData>
            </a:graphic>
          </wp:inline>
        </w:drawing>
      </w:r>
    </w:p>
    <w:p w:rsidR="009929E3" w:rsidRPr="00014BD1" w:rsidRDefault="009929E3" w:rsidP="00E163AB">
      <w:pPr>
        <w:pStyle w:val="CM19"/>
        <w:snapToGrid w:val="0"/>
        <w:spacing w:line="360" w:lineRule="auto"/>
        <w:ind w:rightChars="-15" w:right="-31"/>
        <w:jc w:val="both"/>
        <w:rPr>
          <w:rFonts w:ascii="Book Antiqua" w:eastAsia="宋体" w:hAnsi="Book Antiqua"/>
          <w:color w:val="000000"/>
        </w:rPr>
      </w:pPr>
      <w:r w:rsidRPr="00014BD1">
        <w:rPr>
          <w:rFonts w:ascii="Book Antiqua" w:eastAsia="宋体" w:hAnsi="Book Antiqua"/>
          <w:b/>
          <w:bCs/>
          <w:color w:val="000000"/>
        </w:rPr>
        <w:t xml:space="preserve">Figure 1 All of the transcripts that were statistically significant both in </w:t>
      </w:r>
      <w:r w:rsidR="005D4368" w:rsidRPr="00014BD1">
        <w:rPr>
          <w:rFonts w:ascii="Book Antiqua" w:eastAsia="宋体" w:hAnsi="Book Antiqua"/>
          <w:b/>
          <w:bCs/>
          <w:color w:val="000000"/>
        </w:rPr>
        <w:t>gastric early-stage adenocarcinoma</w:t>
      </w:r>
      <w:r w:rsidRPr="00014BD1">
        <w:rPr>
          <w:rFonts w:ascii="Book Antiqua" w:eastAsia="宋体" w:hAnsi="Book Antiqua"/>
          <w:b/>
          <w:bCs/>
          <w:color w:val="000000"/>
        </w:rPr>
        <w:t xml:space="preserve"> </w:t>
      </w:r>
      <w:r w:rsidR="00825926" w:rsidRPr="00014BD1">
        <w:rPr>
          <w:rFonts w:ascii="Book Antiqua" w:eastAsia="宋体" w:hAnsi="Book Antiqua"/>
          <w:b/>
          <w:bCs/>
          <w:i/>
          <w:color w:val="000000"/>
        </w:rPr>
        <w:t>vs</w:t>
      </w:r>
      <w:r w:rsidR="00AF3847" w:rsidRPr="00014BD1">
        <w:rPr>
          <w:rFonts w:ascii="Book Antiqua" w:eastAsia="宋体" w:hAnsi="Book Antiqua"/>
          <w:b/>
          <w:bCs/>
          <w:color w:val="000000"/>
        </w:rPr>
        <w:t xml:space="preserve"> </w:t>
      </w:r>
      <w:r w:rsidR="005D4368" w:rsidRPr="00014BD1">
        <w:rPr>
          <w:rFonts w:ascii="Book Antiqua" w:eastAsia="宋体" w:hAnsi="Book Antiqua"/>
          <w:b/>
          <w:bCs/>
          <w:color w:val="000000"/>
        </w:rPr>
        <w:t xml:space="preserve">low-grade intraepithelial neoplasia </w:t>
      </w:r>
      <w:r w:rsidRPr="00014BD1">
        <w:rPr>
          <w:rFonts w:ascii="Book Antiqua" w:eastAsia="宋体" w:hAnsi="Book Antiqua"/>
          <w:b/>
          <w:bCs/>
          <w:color w:val="000000"/>
        </w:rPr>
        <w:t xml:space="preserve">and </w:t>
      </w:r>
      <w:r w:rsidR="005D4368" w:rsidRPr="00014BD1">
        <w:rPr>
          <w:rFonts w:ascii="Book Antiqua" w:eastAsia="宋体" w:hAnsi="Book Antiqua"/>
          <w:b/>
          <w:bCs/>
          <w:color w:val="000000"/>
        </w:rPr>
        <w:t xml:space="preserve">high-grade intraepithelial neoplasia </w:t>
      </w:r>
      <w:r w:rsidR="00825926" w:rsidRPr="00014BD1">
        <w:rPr>
          <w:rFonts w:ascii="Book Antiqua" w:eastAsia="宋体" w:hAnsi="Book Antiqua"/>
          <w:b/>
          <w:bCs/>
          <w:i/>
          <w:color w:val="000000"/>
        </w:rPr>
        <w:t>vs</w:t>
      </w:r>
      <w:r w:rsidR="00AF3847" w:rsidRPr="00014BD1">
        <w:rPr>
          <w:rFonts w:ascii="Book Antiqua" w:eastAsia="宋体" w:hAnsi="Book Antiqua"/>
          <w:b/>
          <w:bCs/>
          <w:color w:val="000000"/>
        </w:rPr>
        <w:t xml:space="preserve"> </w:t>
      </w:r>
      <w:r w:rsidR="005D4368" w:rsidRPr="00014BD1">
        <w:rPr>
          <w:rFonts w:ascii="Book Antiqua" w:eastAsia="宋体" w:hAnsi="Book Antiqua"/>
          <w:b/>
          <w:bCs/>
          <w:color w:val="000000"/>
        </w:rPr>
        <w:t>low-grade intraepithelial neoplasia</w:t>
      </w:r>
      <w:r w:rsidRPr="00014BD1">
        <w:rPr>
          <w:rFonts w:ascii="Book Antiqua" w:eastAsia="宋体" w:hAnsi="Book Antiqua"/>
          <w:b/>
          <w:bCs/>
          <w:color w:val="000000"/>
        </w:rPr>
        <w:t xml:space="preserve"> and were involved in the G</w:t>
      </w:r>
      <w:r w:rsidR="005D4368" w:rsidRPr="00014BD1">
        <w:rPr>
          <w:rFonts w:ascii="Book Antiqua" w:eastAsia="宋体" w:hAnsi="Book Antiqua"/>
          <w:b/>
          <w:bCs/>
          <w:color w:val="000000"/>
        </w:rPr>
        <w:t xml:space="preserve">ene </w:t>
      </w:r>
      <w:r w:rsidRPr="00014BD1">
        <w:rPr>
          <w:rFonts w:ascii="Book Antiqua" w:eastAsia="宋体" w:hAnsi="Book Antiqua"/>
          <w:b/>
          <w:bCs/>
          <w:color w:val="000000"/>
        </w:rPr>
        <w:t>O</w:t>
      </w:r>
      <w:r w:rsidR="005D4368" w:rsidRPr="00014BD1">
        <w:rPr>
          <w:rFonts w:ascii="Book Antiqua" w:eastAsia="宋体" w:hAnsi="Book Antiqua"/>
          <w:b/>
          <w:bCs/>
          <w:color w:val="000000"/>
        </w:rPr>
        <w:t>ntology</w:t>
      </w:r>
      <w:r w:rsidRPr="00014BD1">
        <w:rPr>
          <w:rFonts w:ascii="Book Antiqua" w:eastAsia="宋体" w:hAnsi="Book Antiqua"/>
          <w:b/>
          <w:bCs/>
          <w:color w:val="000000"/>
        </w:rPr>
        <w:t xml:space="preserve"> enrichment analysis. </w:t>
      </w:r>
      <w:r w:rsidR="00DD3A4D" w:rsidRPr="00014BD1">
        <w:rPr>
          <w:rFonts w:ascii="Book Antiqua" w:hAnsi="Book Antiqua"/>
          <w:color w:val="000000"/>
        </w:rPr>
        <w:t>LGIN: Low-grade intraepithelial neoplasia</w:t>
      </w:r>
      <w:r w:rsidR="00DD3A4D" w:rsidRPr="00014BD1">
        <w:rPr>
          <w:rFonts w:ascii="Book Antiqua" w:eastAsia="宋体" w:hAnsi="Book Antiqua"/>
          <w:color w:val="000000"/>
        </w:rPr>
        <w:t xml:space="preserve">; </w:t>
      </w:r>
      <w:r w:rsidR="00DD3A4D" w:rsidRPr="00014BD1">
        <w:rPr>
          <w:rFonts w:ascii="Book Antiqua" w:hAnsi="Book Antiqua"/>
          <w:color w:val="000000"/>
        </w:rPr>
        <w:t>EGC: Early-stage adenocarcinoma; HGIN: High-grade intraepithelial neoplasia</w:t>
      </w:r>
      <w:r w:rsidR="00DD3A4D" w:rsidRPr="00014BD1">
        <w:rPr>
          <w:rFonts w:ascii="Book Antiqua" w:eastAsia="宋体" w:hAnsi="Book Antiqua"/>
          <w:color w:val="000000"/>
        </w:rPr>
        <w:t>.</w:t>
      </w:r>
    </w:p>
    <w:p w:rsidR="00AF3847" w:rsidRPr="00014BD1" w:rsidRDefault="00763EAB" w:rsidP="00E163AB">
      <w:pPr>
        <w:pStyle w:val="CM19"/>
        <w:snapToGrid w:val="0"/>
        <w:spacing w:line="360" w:lineRule="auto"/>
        <w:ind w:rightChars="-15" w:right="-31"/>
        <w:jc w:val="both"/>
        <w:rPr>
          <w:rFonts w:ascii="Book Antiqua" w:eastAsia="黑体" w:hAnsi="Book Antiqua"/>
          <w:b/>
          <w:noProof/>
        </w:rPr>
      </w:pPr>
      <w:r>
        <w:rPr>
          <w:rFonts w:ascii="Book Antiqua" w:eastAsia="黑体" w:hAnsi="Book Antiqua"/>
          <w:b/>
          <w:noProof/>
        </w:rPr>
        <w:lastRenderedPageBreak/>
        <w:drawing>
          <wp:inline distT="0" distB="0" distL="0" distR="0">
            <wp:extent cx="5247640" cy="3745230"/>
            <wp:effectExtent l="19050" t="0" r="0" b="0"/>
            <wp:docPr id="2" name="图片 120" descr="F:\早癌课题实验相关20130905以来\Submitted related\徐雪文章WJG\Figure 2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descr="F:\早癌课题实验相关20130905以来\Submitted related\徐雪文章WJG\Figure 2 A.jpg"/>
                    <pic:cNvPicPr>
                      <a:picLocks noChangeAspect="1" noChangeArrowheads="1"/>
                    </pic:cNvPicPr>
                  </pic:nvPicPr>
                  <pic:blipFill>
                    <a:blip r:embed="rId8"/>
                    <a:srcRect/>
                    <a:stretch>
                      <a:fillRect/>
                    </a:stretch>
                  </pic:blipFill>
                  <pic:spPr bwMode="auto">
                    <a:xfrm>
                      <a:off x="0" y="0"/>
                      <a:ext cx="5247640" cy="3745230"/>
                    </a:xfrm>
                    <a:prstGeom prst="rect">
                      <a:avLst/>
                    </a:prstGeom>
                    <a:noFill/>
                    <a:ln w="9525">
                      <a:noFill/>
                      <a:miter lim="800000"/>
                      <a:headEnd/>
                      <a:tailEnd/>
                    </a:ln>
                  </pic:spPr>
                </pic:pic>
              </a:graphicData>
            </a:graphic>
          </wp:inline>
        </w:drawing>
      </w:r>
    </w:p>
    <w:p w:rsidR="001111CD" w:rsidRPr="00014BD1" w:rsidRDefault="001111CD" w:rsidP="00E163AB">
      <w:pPr>
        <w:pStyle w:val="Default"/>
        <w:spacing w:line="360" w:lineRule="auto"/>
        <w:jc w:val="both"/>
        <w:rPr>
          <w:rFonts w:ascii="Book Antiqua" w:hAnsi="Book Antiqua"/>
        </w:rPr>
      </w:pPr>
      <w:r w:rsidRPr="00014BD1">
        <w:rPr>
          <w:rFonts w:ascii="Book Antiqua" w:hAnsi="Book Antiqua"/>
        </w:rPr>
        <w:t>A</w:t>
      </w:r>
    </w:p>
    <w:p w:rsidR="001111CD" w:rsidRPr="00014BD1" w:rsidRDefault="00763EAB" w:rsidP="00E163AB">
      <w:pPr>
        <w:pStyle w:val="Default"/>
        <w:spacing w:line="360" w:lineRule="auto"/>
        <w:jc w:val="both"/>
        <w:rPr>
          <w:rFonts w:ascii="Book Antiqua" w:eastAsia="黑体" w:hAnsi="Book Antiqua"/>
          <w:b/>
          <w:noProof/>
        </w:rPr>
      </w:pPr>
      <w:r>
        <w:rPr>
          <w:rFonts w:ascii="Book Antiqua" w:eastAsia="黑体" w:hAnsi="Book Antiqua"/>
          <w:b/>
          <w:noProof/>
        </w:rPr>
        <w:drawing>
          <wp:inline distT="0" distB="0" distL="0" distR="0">
            <wp:extent cx="5247640" cy="3745230"/>
            <wp:effectExtent l="19050" t="0" r="0" b="0"/>
            <wp:docPr id="3" name="图片 121" descr="F:\早癌课题实验相关20130905以来\Submitted related\徐雪文章WJG\Figure 2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F:\早癌课题实验相关20130905以来\Submitted related\徐雪文章WJG\Figure 2 B.jpg"/>
                    <pic:cNvPicPr>
                      <a:picLocks noChangeAspect="1" noChangeArrowheads="1"/>
                    </pic:cNvPicPr>
                  </pic:nvPicPr>
                  <pic:blipFill>
                    <a:blip r:embed="rId9"/>
                    <a:srcRect/>
                    <a:stretch>
                      <a:fillRect/>
                    </a:stretch>
                  </pic:blipFill>
                  <pic:spPr bwMode="auto">
                    <a:xfrm>
                      <a:off x="0" y="0"/>
                      <a:ext cx="5247640" cy="3745230"/>
                    </a:xfrm>
                    <a:prstGeom prst="rect">
                      <a:avLst/>
                    </a:prstGeom>
                    <a:noFill/>
                    <a:ln w="9525">
                      <a:noFill/>
                      <a:miter lim="800000"/>
                      <a:headEnd/>
                      <a:tailEnd/>
                    </a:ln>
                  </pic:spPr>
                </pic:pic>
              </a:graphicData>
            </a:graphic>
          </wp:inline>
        </w:drawing>
      </w:r>
    </w:p>
    <w:p w:rsidR="001111CD" w:rsidRPr="00014BD1" w:rsidRDefault="001111CD" w:rsidP="00E163AB">
      <w:pPr>
        <w:pStyle w:val="Default"/>
        <w:spacing w:line="360" w:lineRule="auto"/>
        <w:jc w:val="both"/>
        <w:rPr>
          <w:rFonts w:ascii="Book Antiqua" w:hAnsi="Book Antiqua"/>
        </w:rPr>
      </w:pPr>
      <w:r w:rsidRPr="00014BD1">
        <w:rPr>
          <w:rFonts w:ascii="Book Antiqua" w:eastAsia="黑体" w:hAnsi="Book Antiqua"/>
          <w:noProof/>
        </w:rPr>
        <w:t>B</w:t>
      </w:r>
    </w:p>
    <w:p w:rsidR="009929E3" w:rsidRPr="00014BD1" w:rsidRDefault="009929E3" w:rsidP="00E163AB">
      <w:pPr>
        <w:pStyle w:val="CM19"/>
        <w:snapToGrid w:val="0"/>
        <w:spacing w:line="360" w:lineRule="auto"/>
        <w:ind w:rightChars="-15" w:right="-31"/>
        <w:jc w:val="both"/>
        <w:rPr>
          <w:rFonts w:ascii="Book Antiqua" w:eastAsia="宋体" w:hAnsi="Book Antiqua"/>
          <w:color w:val="000000"/>
        </w:rPr>
      </w:pPr>
      <w:r w:rsidRPr="00014BD1">
        <w:rPr>
          <w:rFonts w:ascii="Book Antiqua" w:eastAsia="宋体" w:hAnsi="Book Antiqua"/>
          <w:b/>
          <w:bCs/>
          <w:color w:val="000000"/>
        </w:rPr>
        <w:t xml:space="preserve">Figure 2 Unsupervised cluster analysis of </w:t>
      </w:r>
      <w:r w:rsidR="00282B08" w:rsidRPr="00014BD1">
        <w:rPr>
          <w:rFonts w:ascii="Book Antiqua" w:eastAsia="宋体" w:hAnsi="Book Antiqua"/>
          <w:b/>
          <w:bCs/>
          <w:color w:val="000000"/>
        </w:rPr>
        <w:t>gastric low-grade intraepithelial neoplasia</w:t>
      </w:r>
      <w:r w:rsidRPr="00014BD1">
        <w:rPr>
          <w:rFonts w:ascii="Book Antiqua" w:eastAsia="宋体" w:hAnsi="Book Antiqua"/>
          <w:b/>
          <w:bCs/>
          <w:color w:val="000000"/>
        </w:rPr>
        <w:t xml:space="preserve"> and </w:t>
      </w:r>
      <w:r w:rsidR="00282B08" w:rsidRPr="00014BD1">
        <w:rPr>
          <w:rFonts w:ascii="Book Antiqua" w:eastAsia="宋体" w:hAnsi="Book Antiqua"/>
          <w:b/>
          <w:bCs/>
          <w:color w:val="000000"/>
        </w:rPr>
        <w:t>early-stage adenocarcinoma</w:t>
      </w:r>
      <w:r w:rsidRPr="00014BD1">
        <w:rPr>
          <w:rFonts w:ascii="Book Antiqua" w:eastAsia="宋体" w:hAnsi="Book Antiqua"/>
          <w:b/>
          <w:bCs/>
          <w:color w:val="000000"/>
        </w:rPr>
        <w:t xml:space="preserve"> (A), </w:t>
      </w:r>
      <w:r w:rsidR="00282B08" w:rsidRPr="00014BD1">
        <w:rPr>
          <w:rFonts w:ascii="Book Antiqua" w:eastAsia="宋体" w:hAnsi="Book Antiqua"/>
          <w:b/>
          <w:bCs/>
          <w:color w:val="000000"/>
        </w:rPr>
        <w:t>low-grade intraepithelial neoplasia</w:t>
      </w:r>
      <w:r w:rsidRPr="00014BD1">
        <w:rPr>
          <w:rFonts w:ascii="Book Antiqua" w:eastAsia="宋体" w:hAnsi="Book Antiqua"/>
          <w:b/>
          <w:bCs/>
          <w:color w:val="000000"/>
        </w:rPr>
        <w:t xml:space="preserve"> and </w:t>
      </w:r>
      <w:r w:rsidR="00282B08" w:rsidRPr="00014BD1">
        <w:rPr>
          <w:rFonts w:ascii="Book Antiqua" w:eastAsia="宋体" w:hAnsi="Book Antiqua"/>
          <w:b/>
          <w:bCs/>
          <w:color w:val="000000"/>
        </w:rPr>
        <w:t xml:space="preserve">high-grade </w:t>
      </w:r>
      <w:r w:rsidR="00282B08" w:rsidRPr="00014BD1">
        <w:rPr>
          <w:rFonts w:ascii="Book Antiqua" w:eastAsia="宋体" w:hAnsi="Book Antiqua"/>
          <w:b/>
          <w:bCs/>
          <w:color w:val="000000"/>
        </w:rPr>
        <w:lastRenderedPageBreak/>
        <w:t xml:space="preserve">intraepithelial neoplasia </w:t>
      </w:r>
      <w:r w:rsidRPr="00014BD1">
        <w:rPr>
          <w:rFonts w:ascii="Book Antiqua" w:eastAsia="宋体" w:hAnsi="Book Antiqua"/>
          <w:b/>
          <w:bCs/>
          <w:color w:val="000000"/>
        </w:rPr>
        <w:t xml:space="preserve">(B) tissue samples with the 289 differentially expressed transcripts. </w:t>
      </w:r>
      <w:r w:rsidRPr="00014BD1">
        <w:rPr>
          <w:rFonts w:ascii="Book Antiqua" w:eastAsia="宋体" w:hAnsi="Book Antiqua"/>
          <w:color w:val="000000"/>
        </w:rPr>
        <w:t>The transverse blue bar indicates the histopathologic</w:t>
      </w:r>
      <w:r w:rsidR="00DD3A4D" w:rsidRPr="00014BD1">
        <w:rPr>
          <w:rFonts w:ascii="Book Antiqua" w:eastAsia="宋体" w:hAnsi="Book Antiqua"/>
          <w:color w:val="000000"/>
        </w:rPr>
        <w:t xml:space="preserve">al type of the tissue samples: </w:t>
      </w:r>
      <w:r w:rsidRPr="00014BD1">
        <w:rPr>
          <w:rFonts w:ascii="Book Antiqua" w:eastAsia="宋体" w:hAnsi="Book Antiqua"/>
          <w:color w:val="000000"/>
        </w:rPr>
        <w:t>A</w:t>
      </w:r>
      <w:r w:rsidR="00DD3A4D" w:rsidRPr="00014BD1">
        <w:rPr>
          <w:rFonts w:ascii="Book Antiqua" w:eastAsia="宋体" w:hAnsi="Book Antiqua"/>
          <w:color w:val="000000"/>
        </w:rPr>
        <w:t>:</w:t>
      </w:r>
      <w:r w:rsidRPr="00014BD1">
        <w:rPr>
          <w:rFonts w:ascii="Book Antiqua" w:eastAsia="宋体" w:hAnsi="Book Antiqua"/>
          <w:color w:val="000000"/>
        </w:rPr>
        <w:t xml:space="preserve"> Light blue, </w:t>
      </w:r>
      <w:r w:rsidR="00DD3A4D" w:rsidRPr="00014BD1">
        <w:rPr>
          <w:rFonts w:ascii="Book Antiqua" w:hAnsi="Book Antiqua"/>
          <w:color w:val="000000"/>
        </w:rPr>
        <w:t>low-grade intraepithelial neoplasia (LGIN)</w:t>
      </w:r>
      <w:r w:rsidRPr="00014BD1">
        <w:rPr>
          <w:rFonts w:ascii="Book Antiqua" w:eastAsia="宋体" w:hAnsi="Book Antiqua"/>
          <w:color w:val="000000"/>
        </w:rPr>
        <w:t xml:space="preserve">; Dark blue, </w:t>
      </w:r>
      <w:r w:rsidR="00DD3A4D" w:rsidRPr="00014BD1">
        <w:rPr>
          <w:rFonts w:ascii="Book Antiqua" w:hAnsi="Book Antiqua"/>
          <w:color w:val="000000"/>
        </w:rPr>
        <w:t>early-stage adenocarcinoma (EGC)</w:t>
      </w:r>
      <w:r w:rsidR="00DD3A4D" w:rsidRPr="00014BD1">
        <w:rPr>
          <w:rFonts w:ascii="Book Antiqua" w:eastAsia="宋体" w:hAnsi="Book Antiqua"/>
          <w:color w:val="000000"/>
        </w:rPr>
        <w:t xml:space="preserve">; </w:t>
      </w:r>
      <w:r w:rsidRPr="00014BD1">
        <w:rPr>
          <w:rFonts w:ascii="Book Antiqua" w:eastAsia="宋体" w:hAnsi="Book Antiqua"/>
          <w:color w:val="000000"/>
        </w:rPr>
        <w:t>B</w:t>
      </w:r>
      <w:r w:rsidR="00DD3A4D" w:rsidRPr="00014BD1">
        <w:rPr>
          <w:rFonts w:ascii="Book Antiqua" w:eastAsia="宋体" w:hAnsi="Book Antiqua"/>
          <w:color w:val="000000"/>
        </w:rPr>
        <w:t>:</w:t>
      </w:r>
      <w:r w:rsidRPr="00014BD1">
        <w:rPr>
          <w:rFonts w:ascii="Book Antiqua" w:eastAsia="宋体" w:hAnsi="Book Antiqua"/>
          <w:color w:val="000000"/>
        </w:rPr>
        <w:t xml:space="preserve"> Light blue, LGIN; Dark blue, </w:t>
      </w:r>
      <w:r w:rsidR="00DD3A4D" w:rsidRPr="00014BD1">
        <w:rPr>
          <w:rFonts w:ascii="Book Antiqua" w:hAnsi="Book Antiqua"/>
          <w:color w:val="000000"/>
        </w:rPr>
        <w:t>high-grade intraepithelial neoplasia (HGIN)</w:t>
      </w:r>
      <w:r w:rsidRPr="00014BD1">
        <w:rPr>
          <w:rFonts w:ascii="Book Antiqua" w:eastAsia="宋体" w:hAnsi="Book Antiqua"/>
          <w:color w:val="000000"/>
        </w:rPr>
        <w:t xml:space="preserve">. Each column represents a sample, and each row represents a transcript. The expression abundance from low levels to high levels is shown in colors from blue to red. </w:t>
      </w:r>
    </w:p>
    <w:p w:rsidR="00DD3A4D" w:rsidRPr="00014BD1" w:rsidRDefault="00DD3A4D" w:rsidP="00E163AB">
      <w:pPr>
        <w:pStyle w:val="Default"/>
        <w:spacing w:line="360" w:lineRule="auto"/>
        <w:jc w:val="both"/>
        <w:rPr>
          <w:rFonts w:ascii="Book Antiqua" w:hAnsi="Book Antiqua"/>
        </w:rPr>
      </w:pPr>
    </w:p>
    <w:p w:rsidR="00DD3A4D" w:rsidRPr="00014BD1" w:rsidRDefault="00DD3A4D" w:rsidP="00E163AB">
      <w:pPr>
        <w:pStyle w:val="Default"/>
        <w:spacing w:line="360" w:lineRule="auto"/>
        <w:jc w:val="both"/>
        <w:rPr>
          <w:rFonts w:ascii="Book Antiqua" w:hAnsi="Book Antiqua"/>
        </w:rPr>
      </w:pPr>
    </w:p>
    <w:p w:rsidR="00AF3847" w:rsidRPr="00014BD1" w:rsidRDefault="00763EAB" w:rsidP="00E163AB">
      <w:pPr>
        <w:pStyle w:val="Default"/>
        <w:spacing w:line="360" w:lineRule="auto"/>
        <w:ind w:rightChars="-15" w:right="-31"/>
        <w:jc w:val="both"/>
        <w:rPr>
          <w:rFonts w:ascii="Book Antiqua" w:hAnsi="Book Antiqua"/>
        </w:rPr>
      </w:pPr>
      <w:r>
        <w:rPr>
          <w:rFonts w:ascii="Book Antiqua" w:hAnsi="Book Antiqua"/>
          <w:noProof/>
        </w:rPr>
        <w:drawing>
          <wp:inline distT="0" distB="0" distL="0" distR="0">
            <wp:extent cx="5677535" cy="4055110"/>
            <wp:effectExtent l="19050" t="0" r="0" b="0"/>
            <wp:docPr id="4"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ure 3"/>
                    <pic:cNvPicPr>
                      <a:picLocks noChangeAspect="1" noChangeArrowheads="1"/>
                    </pic:cNvPicPr>
                  </pic:nvPicPr>
                  <pic:blipFill>
                    <a:blip r:embed="rId10"/>
                    <a:srcRect/>
                    <a:stretch>
                      <a:fillRect/>
                    </a:stretch>
                  </pic:blipFill>
                  <pic:spPr bwMode="auto">
                    <a:xfrm>
                      <a:off x="0" y="0"/>
                      <a:ext cx="5677535" cy="4055110"/>
                    </a:xfrm>
                    <a:prstGeom prst="rect">
                      <a:avLst/>
                    </a:prstGeom>
                    <a:noFill/>
                    <a:ln w="9525">
                      <a:noFill/>
                      <a:miter lim="800000"/>
                      <a:headEnd/>
                      <a:tailEnd/>
                    </a:ln>
                  </pic:spPr>
                </pic:pic>
              </a:graphicData>
            </a:graphic>
          </wp:inline>
        </w:drawing>
      </w:r>
    </w:p>
    <w:p w:rsidR="00796884" w:rsidRPr="00014BD1" w:rsidRDefault="009929E3" w:rsidP="00E163AB">
      <w:pPr>
        <w:pStyle w:val="Default"/>
        <w:spacing w:line="360" w:lineRule="auto"/>
        <w:ind w:rightChars="-15" w:right="-31"/>
        <w:jc w:val="both"/>
        <w:rPr>
          <w:rFonts w:ascii="Book Antiqua" w:hAnsi="Book Antiqua"/>
        </w:rPr>
      </w:pPr>
      <w:r w:rsidRPr="00014BD1">
        <w:rPr>
          <w:rFonts w:ascii="Book Antiqua" w:eastAsia="宋体" w:hAnsi="Book Antiqua"/>
          <w:b/>
          <w:bCs/>
        </w:rPr>
        <w:t>Figure 3 G</w:t>
      </w:r>
      <w:r w:rsidRPr="00014BD1">
        <w:rPr>
          <w:rFonts w:ascii="Book Antiqua" w:eastAsia="宋体" w:hAnsi="Book Antiqua"/>
          <w:b/>
          <w:bCs/>
          <w:vertAlign w:val="subscript"/>
        </w:rPr>
        <w:t>0</w:t>
      </w:r>
      <w:r w:rsidRPr="00014BD1">
        <w:rPr>
          <w:rFonts w:ascii="Book Antiqua" w:eastAsia="宋体" w:hAnsi="Book Antiqua"/>
          <w:b/>
          <w:bCs/>
        </w:rPr>
        <w:t>S</w:t>
      </w:r>
      <w:r w:rsidRPr="00014BD1">
        <w:rPr>
          <w:rFonts w:ascii="Book Antiqua" w:eastAsia="宋体" w:hAnsi="Book Antiqua"/>
          <w:b/>
          <w:bCs/>
          <w:vertAlign w:val="subscript"/>
        </w:rPr>
        <w:t>2</w:t>
      </w:r>
      <w:r w:rsidRPr="00014BD1">
        <w:rPr>
          <w:rFonts w:ascii="Book Antiqua" w:eastAsia="宋体" w:hAnsi="Book Antiqua"/>
          <w:b/>
          <w:bCs/>
        </w:rPr>
        <w:t xml:space="preserve"> expression is increased in </w:t>
      </w:r>
      <w:r w:rsidR="00282B08" w:rsidRPr="00014BD1">
        <w:rPr>
          <w:rFonts w:ascii="Book Antiqua" w:eastAsia="宋体" w:hAnsi="Book Antiqua"/>
          <w:b/>
          <w:bCs/>
        </w:rPr>
        <w:t>gastric high-grade intraepithelial neoplasia</w:t>
      </w:r>
      <w:r w:rsidRPr="00014BD1">
        <w:rPr>
          <w:rFonts w:ascii="Book Antiqua" w:eastAsia="宋体" w:hAnsi="Book Antiqua"/>
          <w:b/>
          <w:bCs/>
        </w:rPr>
        <w:t xml:space="preserve"> and </w:t>
      </w:r>
      <w:r w:rsidR="00282B08" w:rsidRPr="00014BD1">
        <w:rPr>
          <w:rFonts w:ascii="Book Antiqua" w:eastAsia="宋体" w:hAnsi="Book Antiqua"/>
          <w:b/>
          <w:bCs/>
        </w:rPr>
        <w:t>early-stage adenocarcinoma</w:t>
      </w:r>
      <w:r w:rsidRPr="00014BD1">
        <w:rPr>
          <w:rFonts w:ascii="Book Antiqua" w:eastAsia="宋体" w:hAnsi="Book Antiqua"/>
          <w:b/>
          <w:bCs/>
        </w:rPr>
        <w:t xml:space="preserve"> in the microarray. </w:t>
      </w:r>
      <w:r w:rsidRPr="00014BD1">
        <w:rPr>
          <w:rFonts w:ascii="Book Antiqua" w:eastAsia="宋体" w:hAnsi="Book Antiqua"/>
        </w:rPr>
        <w:t>The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mRNA expression in gastric </w:t>
      </w:r>
      <w:r w:rsidR="00796884" w:rsidRPr="00014BD1">
        <w:rPr>
          <w:rFonts w:ascii="Book Antiqua" w:hAnsi="Book Antiqua"/>
        </w:rPr>
        <w:t>high-grade intraepithelial neoplasia (HGIN),</w:t>
      </w:r>
      <w:r w:rsidRPr="00014BD1">
        <w:rPr>
          <w:rFonts w:ascii="Book Antiqua" w:eastAsia="宋体" w:hAnsi="Book Antiqua"/>
        </w:rPr>
        <w:t xml:space="preserve"> tissue shows a statistically significant elevation compared with that of </w:t>
      </w:r>
      <w:r w:rsidR="00796884" w:rsidRPr="00014BD1">
        <w:rPr>
          <w:rFonts w:ascii="Book Antiqua" w:hAnsi="Book Antiqua"/>
        </w:rPr>
        <w:t>low-grade intraepithelial neoplasia (LGIN)</w:t>
      </w:r>
      <w:r w:rsidRPr="00014BD1">
        <w:rPr>
          <w:rFonts w:ascii="Book Antiqua" w:eastAsia="宋体" w:hAnsi="Book Antiqua"/>
        </w:rPr>
        <w:t>. No statistically significant difference in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expression was found between HGIN and </w:t>
      </w:r>
      <w:r w:rsidR="00796884" w:rsidRPr="00014BD1">
        <w:rPr>
          <w:rFonts w:ascii="Book Antiqua" w:hAnsi="Book Antiqua"/>
        </w:rPr>
        <w:t>early-stage adenocarcinoma (EGC)</w:t>
      </w:r>
      <w:r w:rsidRPr="00014BD1">
        <w:rPr>
          <w:rFonts w:ascii="Book Antiqua" w:eastAsia="宋体" w:hAnsi="Book Antiqua"/>
        </w:rPr>
        <w:t>. The results are expressed as the mean</w:t>
      </w:r>
      <w:r w:rsidR="00973F16" w:rsidRPr="00014BD1">
        <w:rPr>
          <w:rFonts w:ascii="Book Antiqua" w:eastAsia="宋体" w:hAnsi="Book Antiqua"/>
        </w:rPr>
        <w:t xml:space="preserve"> ± </w:t>
      </w:r>
      <w:r w:rsidRPr="00014BD1">
        <w:rPr>
          <w:rFonts w:ascii="Book Antiqua" w:eastAsia="宋体" w:hAnsi="Book Antiqua"/>
        </w:rPr>
        <w:t>SE.</w:t>
      </w:r>
      <w:r w:rsidR="00796884" w:rsidRPr="00014BD1">
        <w:rPr>
          <w:rFonts w:ascii="Book Antiqua" w:hAnsi="Book Antiqua"/>
        </w:rPr>
        <w:t xml:space="preserve"> </w:t>
      </w:r>
    </w:p>
    <w:p w:rsidR="009929E3" w:rsidRPr="00014BD1" w:rsidRDefault="009929E3" w:rsidP="00E163AB">
      <w:pPr>
        <w:pStyle w:val="CM19"/>
        <w:snapToGrid w:val="0"/>
        <w:spacing w:line="360" w:lineRule="auto"/>
        <w:ind w:rightChars="-15" w:right="-31"/>
        <w:jc w:val="both"/>
        <w:rPr>
          <w:rFonts w:ascii="Book Antiqua" w:eastAsia="宋体" w:hAnsi="Book Antiqua"/>
          <w:color w:val="000000"/>
        </w:rPr>
      </w:pPr>
    </w:p>
    <w:p w:rsidR="00AF3847" w:rsidRPr="00014BD1" w:rsidRDefault="00763EAB" w:rsidP="00E163AB">
      <w:pPr>
        <w:pStyle w:val="Default"/>
        <w:spacing w:line="360" w:lineRule="auto"/>
        <w:ind w:rightChars="-15" w:right="-31"/>
        <w:jc w:val="both"/>
        <w:rPr>
          <w:rFonts w:ascii="Book Antiqua" w:hAnsi="Book Antiqua"/>
        </w:rPr>
      </w:pPr>
      <w:r>
        <w:rPr>
          <w:rFonts w:ascii="Book Antiqua" w:hAnsi="Book Antiqua"/>
          <w:noProof/>
        </w:rPr>
        <w:lastRenderedPageBreak/>
        <w:drawing>
          <wp:inline distT="0" distB="0" distL="0" distR="0">
            <wp:extent cx="5247640" cy="4110990"/>
            <wp:effectExtent l="19050" t="0" r="0" b="0"/>
            <wp:docPr id="5" name="图片 122" descr="C:\Users\Administrator\Desktop\G0S2 qPCR 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descr="C:\Users\Administrator\Desktop\G0S2 qPCR Figure.jpg"/>
                    <pic:cNvPicPr>
                      <a:picLocks noChangeAspect="1" noChangeArrowheads="1"/>
                    </pic:cNvPicPr>
                  </pic:nvPicPr>
                  <pic:blipFill>
                    <a:blip r:embed="rId11"/>
                    <a:srcRect/>
                    <a:stretch>
                      <a:fillRect/>
                    </a:stretch>
                  </pic:blipFill>
                  <pic:spPr bwMode="auto">
                    <a:xfrm>
                      <a:off x="0" y="0"/>
                      <a:ext cx="5247640" cy="4110990"/>
                    </a:xfrm>
                    <a:prstGeom prst="rect">
                      <a:avLst/>
                    </a:prstGeom>
                    <a:noFill/>
                    <a:ln w="9525">
                      <a:noFill/>
                      <a:miter lim="800000"/>
                      <a:headEnd/>
                      <a:tailEnd/>
                    </a:ln>
                  </pic:spPr>
                </pic:pic>
              </a:graphicData>
            </a:graphic>
          </wp:inline>
        </w:drawing>
      </w:r>
    </w:p>
    <w:p w:rsidR="009929E3" w:rsidRPr="00014BD1" w:rsidRDefault="009929E3" w:rsidP="00E163AB">
      <w:pPr>
        <w:pStyle w:val="Default"/>
        <w:spacing w:line="360" w:lineRule="auto"/>
        <w:ind w:rightChars="-15" w:right="-31"/>
        <w:jc w:val="both"/>
        <w:rPr>
          <w:rFonts w:ascii="Book Antiqua" w:hAnsi="Book Antiqua"/>
        </w:rPr>
      </w:pPr>
      <w:r w:rsidRPr="00014BD1">
        <w:rPr>
          <w:rFonts w:ascii="Book Antiqua" w:eastAsia="宋体" w:hAnsi="Book Antiqua"/>
          <w:b/>
          <w:bCs/>
        </w:rPr>
        <w:t>Figure 4 G</w:t>
      </w:r>
      <w:r w:rsidRPr="00014BD1">
        <w:rPr>
          <w:rFonts w:ascii="Book Antiqua" w:eastAsia="宋体" w:hAnsi="Book Antiqua"/>
          <w:b/>
          <w:bCs/>
          <w:vertAlign w:val="subscript"/>
        </w:rPr>
        <w:t>0</w:t>
      </w:r>
      <w:r w:rsidRPr="00014BD1">
        <w:rPr>
          <w:rFonts w:ascii="Book Antiqua" w:eastAsia="宋体" w:hAnsi="Book Antiqua"/>
          <w:b/>
          <w:bCs/>
        </w:rPr>
        <w:t>S</w:t>
      </w:r>
      <w:r w:rsidRPr="00014BD1">
        <w:rPr>
          <w:rFonts w:ascii="Book Antiqua" w:eastAsia="宋体" w:hAnsi="Book Antiqua"/>
          <w:b/>
          <w:bCs/>
          <w:vertAlign w:val="subscript"/>
        </w:rPr>
        <w:t>2</w:t>
      </w:r>
      <w:r w:rsidRPr="00014BD1">
        <w:rPr>
          <w:rFonts w:ascii="Book Antiqua" w:eastAsia="宋体" w:hAnsi="Book Antiqua"/>
          <w:b/>
          <w:bCs/>
        </w:rPr>
        <w:t xml:space="preserve"> expression was validated by </w:t>
      </w:r>
      <w:r w:rsidR="00C13A68" w:rsidRPr="00014BD1">
        <w:rPr>
          <w:rFonts w:ascii="Book Antiqua" w:eastAsia="宋体" w:hAnsi="Book Antiqua"/>
          <w:b/>
          <w:bCs/>
        </w:rPr>
        <w:t xml:space="preserve">quantitative </w:t>
      </w:r>
      <w:r w:rsidR="00BB54CE" w:rsidRPr="00014BD1">
        <w:rPr>
          <w:rFonts w:ascii="Book Antiqua" w:eastAsia="宋体" w:hAnsi="Book Antiqua"/>
          <w:b/>
          <w:bCs/>
        </w:rPr>
        <w:t>polymerase chain reaction</w:t>
      </w:r>
      <w:r w:rsidRPr="00014BD1">
        <w:rPr>
          <w:rFonts w:ascii="Book Antiqua" w:eastAsia="宋体" w:hAnsi="Book Antiqua"/>
          <w:b/>
          <w:bCs/>
        </w:rPr>
        <w:t xml:space="preserve"> in the independent samples. </w:t>
      </w:r>
      <w:r w:rsidRPr="00014BD1">
        <w:rPr>
          <w:rFonts w:ascii="Book Antiqua" w:eastAsia="宋体" w:hAnsi="Book Antiqua"/>
        </w:rPr>
        <w:t>The results are shown as the mean</w:t>
      </w:r>
      <w:r w:rsidR="00AF3847" w:rsidRPr="00014BD1">
        <w:rPr>
          <w:rFonts w:ascii="Book Antiqua" w:eastAsia="宋体" w:hAnsi="Book Antiqua"/>
        </w:rPr>
        <w:t xml:space="preserve"> ±</w:t>
      </w:r>
      <w:r w:rsidRPr="00014BD1">
        <w:rPr>
          <w:rFonts w:ascii="Book Antiqua" w:eastAsia="宋体" w:hAnsi="Book Antiqua"/>
        </w:rPr>
        <w:t xml:space="preserve"> SE. -</w:t>
      </w:r>
      <w:r w:rsidRPr="00014BD1">
        <w:rPr>
          <w:rFonts w:ascii="Cambria Math" w:eastAsia="宋体" w:hAnsi="Cambria Math" w:cs="Cambria Math"/>
          <w:vertAlign w:val="superscript"/>
        </w:rPr>
        <w:t>△</w:t>
      </w:r>
      <w:r w:rsidRPr="00014BD1">
        <w:rPr>
          <w:rFonts w:ascii="Book Antiqua" w:eastAsia="宋体" w:hAnsi="Book Antiqua"/>
          <w:vertAlign w:val="superscript"/>
        </w:rPr>
        <w:t>CT</w:t>
      </w:r>
      <w:r w:rsidRPr="00014BD1">
        <w:rPr>
          <w:rFonts w:ascii="Book Antiqua" w:eastAsia="宋体" w:hAnsi="Book Antiqua"/>
        </w:rPr>
        <w:t>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represents the expression level of 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The differences of -</w:t>
      </w:r>
      <w:r w:rsidRPr="00014BD1">
        <w:rPr>
          <w:rFonts w:ascii="Cambria Math" w:eastAsia="宋体" w:hAnsi="Cambria Math" w:cs="Cambria Math"/>
          <w:vertAlign w:val="superscript"/>
        </w:rPr>
        <w:t>△</w:t>
      </w:r>
      <w:r w:rsidRPr="00014BD1">
        <w:rPr>
          <w:rFonts w:ascii="Book Antiqua" w:eastAsia="宋体" w:hAnsi="Book Antiqua"/>
          <w:vertAlign w:val="superscript"/>
        </w:rPr>
        <w:t>CT</w:t>
      </w:r>
      <w:r w:rsidRPr="00014BD1">
        <w:rPr>
          <w:rFonts w:ascii="Book Antiqua" w:eastAsia="宋体" w:hAnsi="Book Antiqua"/>
        </w:rPr>
        <w:t>G</w:t>
      </w:r>
      <w:r w:rsidRPr="00014BD1">
        <w:rPr>
          <w:rFonts w:ascii="Book Antiqua" w:eastAsia="宋体" w:hAnsi="Book Antiqua"/>
          <w:vertAlign w:val="subscript"/>
        </w:rPr>
        <w:t>0</w:t>
      </w:r>
      <w:r w:rsidRPr="00014BD1">
        <w:rPr>
          <w:rFonts w:ascii="Book Antiqua" w:eastAsia="宋体" w:hAnsi="Book Antiqua"/>
        </w:rPr>
        <w:t>S</w:t>
      </w:r>
      <w:r w:rsidRPr="00014BD1">
        <w:rPr>
          <w:rFonts w:ascii="Book Antiqua" w:eastAsia="宋体" w:hAnsi="Book Antiqua"/>
          <w:vertAlign w:val="subscript"/>
        </w:rPr>
        <w:t>2</w:t>
      </w:r>
      <w:r w:rsidRPr="00014BD1">
        <w:rPr>
          <w:rFonts w:ascii="Book Antiqua" w:eastAsia="宋体" w:hAnsi="Book Antiqua"/>
        </w:rPr>
        <w:t xml:space="preserve"> in the 4 groups </w:t>
      </w:r>
      <w:r w:rsidR="00796884" w:rsidRPr="00014BD1">
        <w:rPr>
          <w:rFonts w:ascii="Book Antiqua" w:eastAsia="宋体" w:hAnsi="Book Antiqua"/>
        </w:rPr>
        <w:t>[</w:t>
      </w:r>
      <w:r w:rsidR="00796884" w:rsidRPr="00014BD1">
        <w:rPr>
          <w:rFonts w:ascii="Book Antiqua" w:hAnsi="Book Antiqua"/>
        </w:rPr>
        <w:t xml:space="preserve">low-grade intraepithelial neoplasia (LGIN), high-grade intraepithelial neoplasia (HGIN), early-stage adenocarcinoma (EGC) </w:t>
      </w:r>
      <w:r w:rsidRPr="00014BD1">
        <w:rPr>
          <w:rFonts w:ascii="Book Antiqua" w:eastAsia="宋体" w:hAnsi="Book Antiqua"/>
        </w:rPr>
        <w:t>and gastritis</w:t>
      </w:r>
      <w:r w:rsidR="00796884" w:rsidRPr="00014BD1">
        <w:rPr>
          <w:rFonts w:ascii="Book Antiqua" w:eastAsia="宋体" w:hAnsi="Book Antiqua"/>
        </w:rPr>
        <w:t>]</w:t>
      </w:r>
      <w:r w:rsidRPr="00014BD1">
        <w:rPr>
          <w:rFonts w:ascii="Book Antiqua" w:eastAsia="宋体" w:hAnsi="Book Antiqua"/>
        </w:rPr>
        <w:t xml:space="preserve"> were compared using an analysis of variance (one-way ANOVA). A test for the homogeneity of variances shows </w:t>
      </w:r>
      <w:r w:rsidR="00E163AB" w:rsidRPr="00014BD1">
        <w:rPr>
          <w:rFonts w:ascii="Book Antiqua" w:eastAsia="宋体" w:hAnsi="Book Antiqua"/>
          <w:i/>
        </w:rPr>
        <w:t>P</w:t>
      </w:r>
      <w:r w:rsidR="0043291C" w:rsidRPr="00014BD1">
        <w:rPr>
          <w:rFonts w:ascii="Book Antiqua" w:eastAsia="宋体" w:hAnsi="Book Antiqua"/>
        </w:rPr>
        <w:t xml:space="preserve"> = </w:t>
      </w:r>
      <w:r w:rsidRPr="00014BD1">
        <w:rPr>
          <w:rFonts w:ascii="Book Antiqua" w:eastAsia="宋体" w:hAnsi="Book Antiqua"/>
        </w:rPr>
        <w:t>0.105, indicating that the variances are equal. The mean difference between LGIN and HGIN was statistically significant (</w:t>
      </w:r>
      <w:r w:rsidR="00E163AB" w:rsidRPr="00014BD1">
        <w:rPr>
          <w:rFonts w:ascii="Book Antiqua" w:eastAsia="宋体" w:hAnsi="Book Antiqua"/>
          <w:i/>
        </w:rPr>
        <w:t>P</w:t>
      </w:r>
      <w:r w:rsidR="0043291C" w:rsidRPr="00014BD1">
        <w:rPr>
          <w:rFonts w:ascii="Book Antiqua" w:eastAsia="宋体" w:hAnsi="Book Antiqua"/>
        </w:rPr>
        <w:t xml:space="preserve"> = </w:t>
      </w:r>
      <w:r w:rsidRPr="00014BD1">
        <w:rPr>
          <w:rFonts w:ascii="Book Antiqua" w:eastAsia="宋体" w:hAnsi="Book Antiqua"/>
        </w:rPr>
        <w:t>0.004). The mean difference between LGIN and EGC was statistically significant (</w:t>
      </w:r>
      <w:r w:rsidR="00E163AB" w:rsidRPr="00014BD1">
        <w:rPr>
          <w:rFonts w:ascii="Book Antiqua" w:eastAsia="宋体" w:hAnsi="Book Antiqua"/>
          <w:i/>
        </w:rPr>
        <w:t>P</w:t>
      </w:r>
      <w:r w:rsidR="0043291C" w:rsidRPr="00014BD1">
        <w:rPr>
          <w:rFonts w:ascii="Book Antiqua" w:eastAsia="宋体" w:hAnsi="Book Antiqua"/>
        </w:rPr>
        <w:t xml:space="preserve"> &lt; </w:t>
      </w:r>
      <w:r w:rsidRPr="00014BD1">
        <w:rPr>
          <w:rFonts w:ascii="Book Antiqua" w:eastAsia="宋体" w:hAnsi="Book Antiqua"/>
        </w:rPr>
        <w:t xml:space="preserve">0.001). </w:t>
      </w:r>
    </w:p>
    <w:p w:rsidR="00796884" w:rsidRPr="00014BD1" w:rsidRDefault="00796884" w:rsidP="00E163AB">
      <w:pPr>
        <w:pStyle w:val="Default"/>
        <w:spacing w:line="360" w:lineRule="auto"/>
        <w:jc w:val="both"/>
        <w:rPr>
          <w:rFonts w:ascii="Book Antiqua" w:hAnsi="Book Antiqua"/>
        </w:rPr>
      </w:pPr>
    </w:p>
    <w:p w:rsidR="00AF3847" w:rsidRPr="00014BD1" w:rsidRDefault="00763EAB" w:rsidP="00E163AB">
      <w:pPr>
        <w:pStyle w:val="Default"/>
        <w:spacing w:line="360" w:lineRule="auto"/>
        <w:ind w:rightChars="-15" w:right="-31"/>
        <w:jc w:val="both"/>
        <w:rPr>
          <w:rFonts w:ascii="Book Antiqua" w:eastAsia="宋体" w:hAnsi="Book Antiqua"/>
          <w:noProof/>
        </w:rPr>
      </w:pPr>
      <w:r>
        <w:rPr>
          <w:rFonts w:ascii="Book Antiqua" w:eastAsia="宋体" w:hAnsi="Book Antiqua"/>
          <w:noProof/>
        </w:rPr>
        <w:lastRenderedPageBreak/>
        <w:drawing>
          <wp:inline distT="0" distB="0" distL="0" distR="0">
            <wp:extent cx="5637530" cy="4197985"/>
            <wp:effectExtent l="19050" t="0" r="1270" b="0"/>
            <wp:docPr id="6" name="图片 5" descr="Figure 5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igure 5 A"/>
                    <pic:cNvPicPr>
                      <a:picLocks noChangeAspect="1" noChangeArrowheads="1"/>
                    </pic:cNvPicPr>
                  </pic:nvPicPr>
                  <pic:blipFill>
                    <a:blip r:embed="rId12"/>
                    <a:srcRect/>
                    <a:stretch>
                      <a:fillRect/>
                    </a:stretch>
                  </pic:blipFill>
                  <pic:spPr bwMode="auto">
                    <a:xfrm>
                      <a:off x="0" y="0"/>
                      <a:ext cx="5637530" cy="4197985"/>
                    </a:xfrm>
                    <a:prstGeom prst="rect">
                      <a:avLst/>
                    </a:prstGeom>
                    <a:noFill/>
                    <a:ln w="9525">
                      <a:noFill/>
                      <a:miter lim="800000"/>
                      <a:headEnd/>
                      <a:tailEnd/>
                    </a:ln>
                  </pic:spPr>
                </pic:pic>
              </a:graphicData>
            </a:graphic>
          </wp:inline>
        </w:drawing>
      </w:r>
    </w:p>
    <w:p w:rsidR="001111CD" w:rsidRPr="00014BD1" w:rsidRDefault="001111CD" w:rsidP="00E163AB">
      <w:pPr>
        <w:pStyle w:val="Default"/>
        <w:spacing w:line="360" w:lineRule="auto"/>
        <w:ind w:rightChars="-15" w:right="-31"/>
        <w:jc w:val="both"/>
        <w:rPr>
          <w:rFonts w:ascii="Book Antiqua" w:eastAsia="宋体" w:hAnsi="Book Antiqua"/>
          <w:noProof/>
        </w:rPr>
      </w:pPr>
      <w:r w:rsidRPr="00014BD1">
        <w:rPr>
          <w:rFonts w:ascii="Book Antiqua" w:eastAsia="宋体" w:hAnsi="Book Antiqua"/>
          <w:noProof/>
        </w:rPr>
        <w:t>A</w:t>
      </w:r>
    </w:p>
    <w:p w:rsidR="001111CD" w:rsidRPr="00014BD1" w:rsidRDefault="00763EAB" w:rsidP="00E163AB">
      <w:pPr>
        <w:pStyle w:val="Default"/>
        <w:spacing w:line="360" w:lineRule="auto"/>
        <w:ind w:rightChars="-15" w:right="-31"/>
        <w:jc w:val="both"/>
        <w:rPr>
          <w:rFonts w:ascii="Book Antiqua" w:eastAsia="宋体" w:hAnsi="Book Antiqua"/>
          <w:noProof/>
        </w:rPr>
      </w:pPr>
      <w:r>
        <w:rPr>
          <w:rFonts w:ascii="Book Antiqua" w:eastAsia="宋体" w:hAnsi="Book Antiqua"/>
          <w:noProof/>
        </w:rPr>
        <w:drawing>
          <wp:inline distT="0" distB="0" distL="0" distR="0">
            <wp:extent cx="5645150" cy="4230370"/>
            <wp:effectExtent l="19050" t="0" r="0" b="0"/>
            <wp:docPr id="7" name="图片 6" descr="Figure 5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Figure 5 B"/>
                    <pic:cNvPicPr>
                      <a:picLocks noChangeAspect="1" noChangeArrowheads="1"/>
                    </pic:cNvPicPr>
                  </pic:nvPicPr>
                  <pic:blipFill>
                    <a:blip r:embed="rId13"/>
                    <a:srcRect/>
                    <a:stretch>
                      <a:fillRect/>
                    </a:stretch>
                  </pic:blipFill>
                  <pic:spPr bwMode="auto">
                    <a:xfrm>
                      <a:off x="0" y="0"/>
                      <a:ext cx="5645150" cy="4230370"/>
                    </a:xfrm>
                    <a:prstGeom prst="rect">
                      <a:avLst/>
                    </a:prstGeom>
                    <a:noFill/>
                    <a:ln w="9525">
                      <a:noFill/>
                      <a:miter lim="800000"/>
                      <a:headEnd/>
                      <a:tailEnd/>
                    </a:ln>
                  </pic:spPr>
                </pic:pic>
              </a:graphicData>
            </a:graphic>
          </wp:inline>
        </w:drawing>
      </w:r>
    </w:p>
    <w:p w:rsidR="001111CD" w:rsidRPr="00014BD1" w:rsidRDefault="001111CD" w:rsidP="00E163AB">
      <w:pPr>
        <w:pStyle w:val="Default"/>
        <w:spacing w:line="360" w:lineRule="auto"/>
        <w:ind w:rightChars="-15" w:right="-31"/>
        <w:jc w:val="both"/>
        <w:rPr>
          <w:rFonts w:ascii="Book Antiqua" w:eastAsia="宋体" w:hAnsi="Book Antiqua"/>
          <w:noProof/>
        </w:rPr>
      </w:pPr>
      <w:r w:rsidRPr="00014BD1">
        <w:rPr>
          <w:rFonts w:ascii="Book Antiqua" w:eastAsia="宋体" w:hAnsi="Book Antiqua"/>
          <w:noProof/>
        </w:rPr>
        <w:lastRenderedPageBreak/>
        <w:t>B</w:t>
      </w:r>
    </w:p>
    <w:p w:rsidR="001111CD" w:rsidRPr="00014BD1" w:rsidRDefault="00763EAB" w:rsidP="00E163AB">
      <w:pPr>
        <w:pStyle w:val="Default"/>
        <w:spacing w:line="360" w:lineRule="auto"/>
        <w:ind w:rightChars="-15" w:right="-31"/>
        <w:jc w:val="both"/>
        <w:rPr>
          <w:rFonts w:ascii="Book Antiqua" w:hAnsi="Book Antiqua"/>
          <w:b/>
          <w:noProof/>
        </w:rPr>
      </w:pPr>
      <w:r>
        <w:rPr>
          <w:rFonts w:ascii="Book Antiqua" w:hAnsi="Book Antiqua"/>
          <w:b/>
          <w:noProof/>
        </w:rPr>
        <w:drawing>
          <wp:inline distT="0" distB="0" distL="0" distR="0">
            <wp:extent cx="5693410" cy="4492625"/>
            <wp:effectExtent l="19050" t="0" r="2540" b="0"/>
            <wp:docPr id="8" name="图片 7" descr="Figure 5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Figure 5 C"/>
                    <pic:cNvPicPr>
                      <a:picLocks noChangeAspect="1" noChangeArrowheads="1"/>
                    </pic:cNvPicPr>
                  </pic:nvPicPr>
                  <pic:blipFill>
                    <a:blip r:embed="rId14"/>
                    <a:srcRect/>
                    <a:stretch>
                      <a:fillRect/>
                    </a:stretch>
                  </pic:blipFill>
                  <pic:spPr bwMode="auto">
                    <a:xfrm>
                      <a:off x="0" y="0"/>
                      <a:ext cx="5693410" cy="4492625"/>
                    </a:xfrm>
                    <a:prstGeom prst="rect">
                      <a:avLst/>
                    </a:prstGeom>
                    <a:noFill/>
                    <a:ln w="9525">
                      <a:noFill/>
                      <a:miter lim="800000"/>
                      <a:headEnd/>
                      <a:tailEnd/>
                    </a:ln>
                  </pic:spPr>
                </pic:pic>
              </a:graphicData>
            </a:graphic>
          </wp:inline>
        </w:drawing>
      </w:r>
    </w:p>
    <w:p w:rsidR="001111CD" w:rsidRPr="00014BD1" w:rsidRDefault="001111CD" w:rsidP="00E163AB">
      <w:pPr>
        <w:pStyle w:val="Default"/>
        <w:spacing w:line="360" w:lineRule="auto"/>
        <w:ind w:rightChars="-15" w:right="-31"/>
        <w:jc w:val="both"/>
        <w:rPr>
          <w:rFonts w:ascii="Book Antiqua" w:hAnsi="Book Antiqua"/>
          <w:b/>
          <w:noProof/>
        </w:rPr>
      </w:pPr>
      <w:r w:rsidRPr="00014BD1">
        <w:rPr>
          <w:rFonts w:ascii="Book Antiqua" w:hAnsi="Book Antiqua"/>
          <w:b/>
          <w:noProof/>
        </w:rPr>
        <w:t>C</w:t>
      </w:r>
    </w:p>
    <w:p w:rsidR="001111CD" w:rsidRPr="00014BD1" w:rsidRDefault="00763EAB" w:rsidP="00E163AB">
      <w:pPr>
        <w:pStyle w:val="Default"/>
        <w:spacing w:line="360" w:lineRule="auto"/>
        <w:ind w:rightChars="-15" w:right="-31"/>
        <w:jc w:val="both"/>
        <w:rPr>
          <w:rFonts w:ascii="Book Antiqua" w:hAnsi="Book Antiqua"/>
          <w:b/>
          <w:noProof/>
        </w:rPr>
      </w:pPr>
      <w:r>
        <w:rPr>
          <w:rFonts w:ascii="Book Antiqua" w:hAnsi="Book Antiqua"/>
          <w:b/>
          <w:noProof/>
        </w:rPr>
        <w:lastRenderedPageBreak/>
        <w:drawing>
          <wp:inline distT="0" distB="0" distL="0" distR="0">
            <wp:extent cx="5168265" cy="3864610"/>
            <wp:effectExtent l="19050" t="0" r="0" b="0"/>
            <wp:docPr id="9" name="图片 123" descr="Figure 5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descr="Figure 5 D"/>
                    <pic:cNvPicPr>
                      <a:picLocks noChangeAspect="1" noChangeArrowheads="1"/>
                    </pic:cNvPicPr>
                  </pic:nvPicPr>
                  <pic:blipFill>
                    <a:blip r:embed="rId15"/>
                    <a:srcRect/>
                    <a:stretch>
                      <a:fillRect/>
                    </a:stretch>
                  </pic:blipFill>
                  <pic:spPr bwMode="auto">
                    <a:xfrm>
                      <a:off x="0" y="0"/>
                      <a:ext cx="5168265" cy="3864610"/>
                    </a:xfrm>
                    <a:prstGeom prst="rect">
                      <a:avLst/>
                    </a:prstGeom>
                    <a:noFill/>
                    <a:ln w="9525">
                      <a:noFill/>
                      <a:miter lim="800000"/>
                      <a:headEnd/>
                      <a:tailEnd/>
                    </a:ln>
                  </pic:spPr>
                </pic:pic>
              </a:graphicData>
            </a:graphic>
          </wp:inline>
        </w:drawing>
      </w:r>
    </w:p>
    <w:p w:rsidR="001111CD" w:rsidRPr="00014BD1" w:rsidRDefault="001111CD" w:rsidP="00E163AB">
      <w:pPr>
        <w:pStyle w:val="Default"/>
        <w:spacing w:line="360" w:lineRule="auto"/>
        <w:ind w:rightChars="-15" w:right="-31"/>
        <w:jc w:val="both"/>
        <w:rPr>
          <w:rFonts w:ascii="Book Antiqua" w:hAnsi="Book Antiqua"/>
        </w:rPr>
      </w:pPr>
      <w:r w:rsidRPr="00014BD1">
        <w:rPr>
          <w:rFonts w:ascii="Book Antiqua" w:hAnsi="Book Antiqua"/>
          <w:b/>
          <w:noProof/>
        </w:rPr>
        <w:t>D</w:t>
      </w:r>
    </w:p>
    <w:p w:rsidR="009929E3" w:rsidRPr="00014BD1" w:rsidRDefault="009929E3" w:rsidP="00E163AB">
      <w:pPr>
        <w:pStyle w:val="CM5"/>
        <w:snapToGrid w:val="0"/>
        <w:spacing w:line="360" w:lineRule="auto"/>
        <w:ind w:rightChars="-15" w:right="-31"/>
        <w:jc w:val="both"/>
        <w:rPr>
          <w:rFonts w:ascii="Book Antiqua" w:eastAsia="宋体" w:hAnsi="Book Antiqua"/>
          <w:color w:val="000000"/>
        </w:rPr>
      </w:pPr>
      <w:r w:rsidRPr="00014BD1">
        <w:rPr>
          <w:rFonts w:ascii="Book Antiqua" w:eastAsia="宋体" w:hAnsi="Book Antiqua"/>
          <w:b/>
          <w:bCs/>
          <w:color w:val="000000"/>
        </w:rPr>
        <w:t>Figure 5 Representative immunohistochemistry for G</w:t>
      </w:r>
      <w:r w:rsidRPr="00014BD1">
        <w:rPr>
          <w:rFonts w:ascii="Book Antiqua" w:eastAsia="宋体" w:hAnsi="Book Antiqua"/>
          <w:b/>
          <w:bCs/>
          <w:color w:val="000000"/>
          <w:vertAlign w:val="subscript"/>
        </w:rPr>
        <w:t>0</w:t>
      </w:r>
      <w:r w:rsidRPr="00014BD1">
        <w:rPr>
          <w:rFonts w:ascii="Book Antiqua" w:eastAsia="宋体" w:hAnsi="Book Antiqua"/>
          <w:b/>
          <w:bCs/>
          <w:color w:val="000000"/>
        </w:rPr>
        <w:t>S</w:t>
      </w:r>
      <w:r w:rsidRPr="00014BD1">
        <w:rPr>
          <w:rFonts w:ascii="Book Antiqua" w:eastAsia="宋体" w:hAnsi="Book Antiqua"/>
          <w:b/>
          <w:bCs/>
          <w:color w:val="000000"/>
          <w:vertAlign w:val="subscript"/>
        </w:rPr>
        <w:t>2</w:t>
      </w:r>
      <w:r w:rsidRPr="00014BD1">
        <w:rPr>
          <w:rFonts w:ascii="Book Antiqua" w:eastAsia="宋体" w:hAnsi="Book Antiqua"/>
          <w:b/>
          <w:bCs/>
          <w:color w:val="000000"/>
        </w:rPr>
        <w:t xml:space="preserve"> in gastric samples. </w:t>
      </w:r>
      <w:r w:rsidRPr="00014BD1">
        <w:rPr>
          <w:rFonts w:ascii="Book Antiqua" w:eastAsia="宋体" w:hAnsi="Book Antiqua"/>
          <w:color w:val="000000"/>
        </w:rPr>
        <w:t>Representative samples are shown from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00B429FA" w:rsidRPr="00014BD1">
        <w:rPr>
          <w:rFonts w:ascii="Book Antiqua" w:eastAsia="宋体" w:hAnsi="Book Antiqua"/>
          <w:color w:val="000000"/>
          <w:vertAlign w:val="subscript"/>
        </w:rPr>
        <w:t xml:space="preserve"> </w:t>
      </w:r>
      <w:r w:rsidRPr="00014BD1">
        <w:rPr>
          <w:rFonts w:ascii="Book Antiqua" w:eastAsia="宋体" w:hAnsi="Book Antiqua"/>
          <w:color w:val="000000"/>
        </w:rPr>
        <w:t>(A) chronic gastritis tissues with negative expression, and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00B429FA" w:rsidRPr="00014BD1">
        <w:rPr>
          <w:rFonts w:ascii="Book Antiqua" w:eastAsia="宋体" w:hAnsi="Book Antiqua"/>
          <w:color w:val="000000"/>
          <w:vertAlign w:val="subscript"/>
        </w:rPr>
        <w:t xml:space="preserve"> </w:t>
      </w:r>
      <w:r w:rsidRPr="00014BD1">
        <w:rPr>
          <w:rFonts w:ascii="Book Antiqua" w:eastAsia="宋体" w:hAnsi="Book Antiqua"/>
          <w:color w:val="000000"/>
        </w:rPr>
        <w:t xml:space="preserve">(B) </w:t>
      </w:r>
      <w:r w:rsidR="00BB54CE" w:rsidRPr="00014BD1">
        <w:rPr>
          <w:rFonts w:ascii="Book Antiqua" w:hAnsi="Book Antiqua"/>
          <w:color w:val="000000"/>
        </w:rPr>
        <w:t>low-grade intraepithelial neoplasia</w:t>
      </w:r>
      <w:r w:rsidRPr="00014BD1">
        <w:rPr>
          <w:rFonts w:ascii="Book Antiqua" w:eastAsia="宋体" w:hAnsi="Book Antiqua"/>
          <w:color w:val="000000"/>
        </w:rPr>
        <w:t xml:space="preserve"> tissues with low expression,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00B429FA" w:rsidRPr="00014BD1">
        <w:rPr>
          <w:rFonts w:ascii="Book Antiqua" w:eastAsia="宋体" w:hAnsi="Book Antiqua"/>
          <w:color w:val="000000"/>
          <w:vertAlign w:val="subscript"/>
        </w:rPr>
        <w:t xml:space="preserve"> </w:t>
      </w:r>
      <w:r w:rsidRPr="00014BD1">
        <w:rPr>
          <w:rFonts w:ascii="Book Antiqua" w:eastAsia="宋体" w:hAnsi="Book Antiqua"/>
          <w:color w:val="000000"/>
        </w:rPr>
        <w:t xml:space="preserve">(C) </w:t>
      </w:r>
      <w:r w:rsidR="00BB54CE" w:rsidRPr="00014BD1">
        <w:rPr>
          <w:rFonts w:ascii="Book Antiqua" w:hAnsi="Book Antiqua"/>
          <w:color w:val="000000"/>
        </w:rPr>
        <w:t>high-grade intraepithelial neoplasia</w:t>
      </w:r>
      <w:r w:rsidRPr="00014BD1">
        <w:rPr>
          <w:rFonts w:ascii="Book Antiqua" w:eastAsia="宋体" w:hAnsi="Book Antiqua"/>
          <w:color w:val="000000"/>
        </w:rPr>
        <w:t xml:space="preserve"> tissues with medium expression, and G</w:t>
      </w:r>
      <w:r w:rsidRPr="00014BD1">
        <w:rPr>
          <w:rFonts w:ascii="Book Antiqua" w:eastAsia="宋体" w:hAnsi="Book Antiqua"/>
          <w:color w:val="000000"/>
          <w:vertAlign w:val="subscript"/>
        </w:rPr>
        <w:t>0</w:t>
      </w:r>
      <w:r w:rsidRPr="00014BD1">
        <w:rPr>
          <w:rFonts w:ascii="Book Antiqua" w:eastAsia="宋体" w:hAnsi="Book Antiqua"/>
          <w:color w:val="000000"/>
        </w:rPr>
        <w:t>S</w:t>
      </w:r>
      <w:r w:rsidRPr="00014BD1">
        <w:rPr>
          <w:rFonts w:ascii="Book Antiqua" w:eastAsia="宋体" w:hAnsi="Book Antiqua"/>
          <w:color w:val="000000"/>
          <w:vertAlign w:val="subscript"/>
        </w:rPr>
        <w:t>2</w:t>
      </w:r>
      <w:r w:rsidRPr="00014BD1">
        <w:rPr>
          <w:rFonts w:ascii="Book Antiqua" w:eastAsia="宋体" w:hAnsi="Book Antiqua"/>
          <w:color w:val="000000"/>
        </w:rPr>
        <w:t xml:space="preserve">(D) </w:t>
      </w:r>
      <w:r w:rsidR="00055844" w:rsidRPr="00014BD1">
        <w:rPr>
          <w:rFonts w:ascii="Book Antiqua" w:hAnsi="Book Antiqua"/>
          <w:color w:val="000000"/>
        </w:rPr>
        <w:t>early-stage adenocarcinoma</w:t>
      </w:r>
      <w:r w:rsidRPr="00014BD1">
        <w:rPr>
          <w:rFonts w:ascii="Book Antiqua" w:eastAsia="宋体" w:hAnsi="Book Antiqua"/>
          <w:color w:val="000000"/>
        </w:rPr>
        <w:t xml:space="preserve"> tissues with high expression (Bar represents 100</w:t>
      </w:r>
      <w:r w:rsidR="00B6646C" w:rsidRPr="00014BD1">
        <w:rPr>
          <w:rFonts w:ascii="Book Antiqua" w:eastAsia="宋体" w:hAnsi="Book Antiqua"/>
          <w:color w:val="000000"/>
        </w:rPr>
        <w:t xml:space="preserve"> </w:t>
      </w:r>
      <w:r w:rsidR="00CF1B7D" w:rsidRPr="00014BD1">
        <w:rPr>
          <w:rFonts w:ascii="Book Antiqua" w:eastAsia="宋体" w:hAnsi="Book Antiqua"/>
          <w:color w:val="000000"/>
        </w:rPr>
        <w:t>μ</w:t>
      </w:r>
      <w:r w:rsidRPr="00014BD1">
        <w:rPr>
          <w:rFonts w:ascii="Book Antiqua" w:eastAsia="宋体" w:hAnsi="Book Antiqua"/>
          <w:color w:val="000000"/>
        </w:rPr>
        <w:t xml:space="preserve">m). </w:t>
      </w:r>
    </w:p>
    <w:p w:rsidR="008C7D1B" w:rsidRPr="00014BD1" w:rsidRDefault="008C7D1B" w:rsidP="00E163AB">
      <w:pPr>
        <w:pStyle w:val="Default"/>
        <w:spacing w:line="360" w:lineRule="auto"/>
        <w:jc w:val="both"/>
        <w:rPr>
          <w:rFonts w:ascii="Book Antiqua" w:hAnsi="Book Antiqua"/>
        </w:rPr>
      </w:pPr>
    </w:p>
    <w:p w:rsidR="00E163AB" w:rsidRPr="00014BD1" w:rsidRDefault="00E163AB" w:rsidP="00E163AB">
      <w:pPr>
        <w:pStyle w:val="Default"/>
        <w:spacing w:line="360" w:lineRule="auto"/>
        <w:jc w:val="both"/>
        <w:rPr>
          <w:rFonts w:ascii="Book Antiqua" w:hAnsi="Book Antiqua"/>
        </w:rPr>
      </w:pPr>
    </w:p>
    <w:p w:rsidR="008C7D1B" w:rsidRPr="00014BD1" w:rsidRDefault="008C7D1B" w:rsidP="00E163AB">
      <w:pPr>
        <w:pStyle w:val="Default"/>
        <w:spacing w:line="360" w:lineRule="auto"/>
        <w:jc w:val="both"/>
        <w:rPr>
          <w:rFonts w:ascii="Book Antiqua" w:hAnsi="Book Antiqua"/>
          <w:b/>
        </w:rPr>
      </w:pPr>
      <w:r w:rsidRPr="00014BD1">
        <w:rPr>
          <w:rFonts w:ascii="Book Antiqua" w:hAnsi="Book Antiqua"/>
          <w:b/>
        </w:rPr>
        <w:t>Table 1 Clinical characteristics of all of the patients</w:t>
      </w:r>
    </w:p>
    <w:tbl>
      <w:tblPr>
        <w:tblW w:w="7480" w:type="dxa"/>
        <w:tblInd w:w="93" w:type="dxa"/>
        <w:tblLook w:val="04A0"/>
      </w:tblPr>
      <w:tblGrid>
        <w:gridCol w:w="1540"/>
        <w:gridCol w:w="2460"/>
        <w:gridCol w:w="2400"/>
        <w:gridCol w:w="1080"/>
      </w:tblGrid>
      <w:tr w:rsidR="00055844" w:rsidRPr="00014BD1" w:rsidTr="00055844">
        <w:trPr>
          <w:trHeight w:val="585"/>
        </w:trPr>
        <w:tc>
          <w:tcPr>
            <w:tcW w:w="1540" w:type="dxa"/>
            <w:tcBorders>
              <w:top w:val="single" w:sz="8" w:space="0" w:color="000000"/>
              <w:left w:val="nil"/>
              <w:bottom w:val="single" w:sz="8" w:space="0" w:color="000000"/>
              <w:right w:val="nil"/>
            </w:tcBorders>
            <w:hideMark/>
          </w:tcPr>
          <w:p w:rsidR="00055844" w:rsidRPr="00014BD1" w:rsidRDefault="00055844" w:rsidP="00E163AB">
            <w:pPr>
              <w:widowControl/>
              <w:spacing w:line="360" w:lineRule="auto"/>
              <w:rPr>
                <w:rFonts w:ascii="Book Antiqua" w:eastAsia="宋体" w:hAnsi="Book Antiqua" w:cs="宋体"/>
                <w:b/>
                <w:bCs/>
                <w:color w:val="000000"/>
                <w:kern w:val="0"/>
                <w:sz w:val="24"/>
                <w:szCs w:val="24"/>
              </w:rPr>
            </w:pPr>
            <w:r w:rsidRPr="00014BD1">
              <w:rPr>
                <w:rFonts w:ascii="Book Antiqua" w:eastAsia="宋体" w:hAnsi="Book Antiqua" w:cs="宋体" w:hint="eastAsia"/>
                <w:b/>
                <w:bCs/>
                <w:color w:val="000000"/>
                <w:kern w:val="0"/>
                <w:sz w:val="24"/>
                <w:szCs w:val="24"/>
              </w:rPr>
              <w:t xml:space="preserve">　</w:t>
            </w:r>
          </w:p>
        </w:tc>
        <w:tc>
          <w:tcPr>
            <w:tcW w:w="2460" w:type="dxa"/>
            <w:tcBorders>
              <w:top w:val="single" w:sz="8" w:space="0" w:color="000000"/>
              <w:left w:val="nil"/>
              <w:bottom w:val="single" w:sz="8" w:space="0" w:color="000000"/>
              <w:right w:val="nil"/>
            </w:tcBorders>
            <w:hideMark/>
          </w:tcPr>
          <w:p w:rsidR="00A47220" w:rsidRPr="00014BD1" w:rsidRDefault="00055844" w:rsidP="00E163AB">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 xml:space="preserve">Discovery phase </w:t>
            </w:r>
          </w:p>
          <w:p w:rsidR="00055844" w:rsidRPr="00014BD1" w:rsidRDefault="00055844" w:rsidP="00E163AB">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w:t>
            </w:r>
            <w:r w:rsidR="00E163AB" w:rsidRPr="00014BD1">
              <w:rPr>
                <w:rFonts w:ascii="Book Antiqua" w:eastAsia="宋体" w:hAnsi="Book Antiqua" w:cs="宋体"/>
                <w:b/>
                <w:bCs/>
                <w:i/>
                <w:color w:val="000000"/>
                <w:kern w:val="0"/>
                <w:sz w:val="24"/>
                <w:szCs w:val="24"/>
              </w:rPr>
              <w:t>n</w:t>
            </w:r>
            <w:r w:rsidR="00E163AB" w:rsidRPr="00014BD1">
              <w:rPr>
                <w:rFonts w:ascii="Book Antiqua" w:eastAsia="宋体" w:hAnsi="Book Antiqua" w:cs="宋体"/>
                <w:b/>
                <w:bCs/>
                <w:color w:val="000000"/>
                <w:kern w:val="0"/>
                <w:sz w:val="24"/>
                <w:szCs w:val="24"/>
              </w:rPr>
              <w:t xml:space="preserve"> = </w:t>
            </w:r>
            <w:r w:rsidRPr="00014BD1">
              <w:rPr>
                <w:rFonts w:ascii="Book Antiqua" w:eastAsia="宋体" w:hAnsi="Book Antiqua" w:cs="宋体"/>
                <w:b/>
                <w:bCs/>
                <w:color w:val="000000"/>
                <w:kern w:val="0"/>
                <w:sz w:val="24"/>
                <w:szCs w:val="24"/>
              </w:rPr>
              <w:t>77)</w:t>
            </w:r>
          </w:p>
        </w:tc>
        <w:tc>
          <w:tcPr>
            <w:tcW w:w="2400" w:type="dxa"/>
            <w:tcBorders>
              <w:top w:val="single" w:sz="8" w:space="0" w:color="000000"/>
              <w:left w:val="nil"/>
              <w:bottom w:val="single" w:sz="8" w:space="0" w:color="000000"/>
              <w:right w:val="nil"/>
            </w:tcBorders>
            <w:hideMark/>
          </w:tcPr>
          <w:p w:rsidR="00A47220" w:rsidRPr="00014BD1" w:rsidRDefault="00055844" w:rsidP="00E163AB">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 xml:space="preserve">Validation phase </w:t>
            </w:r>
          </w:p>
          <w:p w:rsidR="00055844" w:rsidRPr="00014BD1" w:rsidRDefault="00055844" w:rsidP="00E163AB">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w:t>
            </w:r>
            <w:r w:rsidR="00E163AB" w:rsidRPr="00014BD1">
              <w:rPr>
                <w:rFonts w:ascii="Book Antiqua" w:eastAsia="宋体" w:hAnsi="Book Antiqua" w:cs="宋体"/>
                <w:b/>
                <w:bCs/>
                <w:i/>
                <w:color w:val="000000"/>
                <w:kern w:val="0"/>
                <w:sz w:val="24"/>
                <w:szCs w:val="24"/>
              </w:rPr>
              <w:t>n</w:t>
            </w:r>
            <w:r w:rsidR="00E163AB" w:rsidRPr="00014BD1">
              <w:rPr>
                <w:rFonts w:ascii="Book Antiqua" w:eastAsia="宋体" w:hAnsi="Book Antiqua" w:cs="宋体"/>
                <w:b/>
                <w:bCs/>
                <w:color w:val="000000"/>
                <w:kern w:val="0"/>
                <w:sz w:val="24"/>
                <w:szCs w:val="24"/>
              </w:rPr>
              <w:t xml:space="preserve"> = </w:t>
            </w:r>
            <w:r w:rsidRPr="00014BD1">
              <w:rPr>
                <w:rFonts w:ascii="Book Antiqua" w:eastAsia="宋体" w:hAnsi="Book Antiqua" w:cs="宋体"/>
                <w:b/>
                <w:bCs/>
                <w:color w:val="000000"/>
                <w:kern w:val="0"/>
                <w:sz w:val="24"/>
                <w:szCs w:val="24"/>
              </w:rPr>
              <w:t>75)</w:t>
            </w:r>
          </w:p>
        </w:tc>
        <w:tc>
          <w:tcPr>
            <w:tcW w:w="1080" w:type="dxa"/>
            <w:tcBorders>
              <w:top w:val="single" w:sz="8" w:space="0" w:color="000000"/>
              <w:left w:val="nil"/>
              <w:bottom w:val="single" w:sz="8" w:space="0" w:color="000000"/>
              <w:right w:val="nil"/>
            </w:tcBorders>
            <w:hideMark/>
          </w:tcPr>
          <w:p w:rsidR="00055844" w:rsidRPr="00014BD1" w:rsidRDefault="00E163AB" w:rsidP="00E163AB">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i/>
                <w:color w:val="000000"/>
                <w:kern w:val="0"/>
                <w:sz w:val="24"/>
                <w:szCs w:val="24"/>
              </w:rPr>
              <w:t>P</w:t>
            </w:r>
            <w:r w:rsidR="00055844" w:rsidRPr="00014BD1">
              <w:rPr>
                <w:rFonts w:ascii="Book Antiqua" w:eastAsia="宋体" w:hAnsi="Book Antiqua" w:cs="宋体"/>
                <w:b/>
                <w:bCs/>
                <w:color w:val="000000"/>
                <w:kern w:val="0"/>
                <w:sz w:val="24"/>
                <w:szCs w:val="24"/>
              </w:rPr>
              <w:t xml:space="preserve"> value</w:t>
            </w:r>
          </w:p>
        </w:tc>
      </w:tr>
      <w:tr w:rsidR="00055844" w:rsidRPr="00014BD1" w:rsidTr="00055844">
        <w:trPr>
          <w:trHeight w:val="285"/>
        </w:trPr>
        <w:tc>
          <w:tcPr>
            <w:tcW w:w="1540" w:type="dxa"/>
            <w:tcBorders>
              <w:top w:val="nil"/>
              <w:left w:val="nil"/>
              <w:bottom w:val="nil"/>
              <w:right w:val="nil"/>
            </w:tcBorders>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Gender</w:t>
            </w:r>
          </w:p>
        </w:tc>
        <w:tc>
          <w:tcPr>
            <w:tcW w:w="246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p>
        </w:tc>
        <w:tc>
          <w:tcPr>
            <w:tcW w:w="240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p>
        </w:tc>
        <w:tc>
          <w:tcPr>
            <w:tcW w:w="1080" w:type="dxa"/>
            <w:vMerge w:val="restart"/>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0.48</w:t>
            </w:r>
          </w:p>
        </w:tc>
      </w:tr>
      <w:tr w:rsidR="00055844" w:rsidRPr="00014BD1" w:rsidTr="00055844">
        <w:trPr>
          <w:trHeight w:val="285"/>
        </w:trPr>
        <w:tc>
          <w:tcPr>
            <w:tcW w:w="1540" w:type="dxa"/>
            <w:tcBorders>
              <w:top w:val="nil"/>
              <w:left w:val="nil"/>
              <w:bottom w:val="nil"/>
              <w:right w:val="nil"/>
            </w:tcBorders>
            <w:hideMark/>
          </w:tcPr>
          <w:p w:rsidR="00055844" w:rsidRPr="00014BD1" w:rsidRDefault="00055844" w:rsidP="00E163AB">
            <w:pPr>
              <w:widowControl/>
              <w:spacing w:line="360" w:lineRule="auto"/>
              <w:ind w:firstLineChars="100" w:firstLine="240"/>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Male</w:t>
            </w:r>
          </w:p>
        </w:tc>
        <w:tc>
          <w:tcPr>
            <w:tcW w:w="246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46</w:t>
            </w:r>
          </w:p>
        </w:tc>
        <w:tc>
          <w:tcPr>
            <w:tcW w:w="240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49</w:t>
            </w:r>
          </w:p>
        </w:tc>
        <w:tc>
          <w:tcPr>
            <w:tcW w:w="1080" w:type="dxa"/>
            <w:vMerge/>
            <w:tcBorders>
              <w:top w:val="nil"/>
              <w:left w:val="nil"/>
              <w:bottom w:val="nil"/>
              <w:right w:val="nil"/>
            </w:tcBorders>
            <w:vAlign w:val="center"/>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p>
        </w:tc>
      </w:tr>
      <w:tr w:rsidR="00055844" w:rsidRPr="00014BD1" w:rsidTr="00055844">
        <w:trPr>
          <w:trHeight w:val="285"/>
        </w:trPr>
        <w:tc>
          <w:tcPr>
            <w:tcW w:w="1540" w:type="dxa"/>
            <w:tcBorders>
              <w:top w:val="nil"/>
              <w:left w:val="nil"/>
              <w:bottom w:val="nil"/>
              <w:right w:val="nil"/>
            </w:tcBorders>
            <w:hideMark/>
          </w:tcPr>
          <w:p w:rsidR="00055844" w:rsidRPr="00014BD1" w:rsidRDefault="00055844" w:rsidP="00E163AB">
            <w:pPr>
              <w:widowControl/>
              <w:spacing w:line="360" w:lineRule="auto"/>
              <w:ind w:firstLineChars="100" w:firstLine="240"/>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Female</w:t>
            </w:r>
          </w:p>
        </w:tc>
        <w:tc>
          <w:tcPr>
            <w:tcW w:w="246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31</w:t>
            </w:r>
          </w:p>
        </w:tc>
        <w:tc>
          <w:tcPr>
            <w:tcW w:w="240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26</w:t>
            </w:r>
          </w:p>
        </w:tc>
        <w:tc>
          <w:tcPr>
            <w:tcW w:w="1080" w:type="dxa"/>
            <w:vMerge/>
            <w:tcBorders>
              <w:top w:val="nil"/>
              <w:left w:val="nil"/>
              <w:bottom w:val="nil"/>
              <w:right w:val="nil"/>
            </w:tcBorders>
            <w:vAlign w:val="center"/>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p>
        </w:tc>
      </w:tr>
      <w:tr w:rsidR="00055844" w:rsidRPr="00014BD1" w:rsidTr="00055844">
        <w:trPr>
          <w:trHeight w:val="285"/>
        </w:trPr>
        <w:tc>
          <w:tcPr>
            <w:tcW w:w="1540" w:type="dxa"/>
            <w:tcBorders>
              <w:top w:val="nil"/>
              <w:left w:val="nil"/>
              <w:bottom w:val="nil"/>
              <w:right w:val="nil"/>
            </w:tcBorders>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Age</w:t>
            </w:r>
            <w:r w:rsidR="00A47220" w:rsidRPr="00014BD1">
              <w:rPr>
                <w:rFonts w:ascii="Book Antiqua" w:eastAsia="宋体" w:hAnsi="Book Antiqua" w:cs="宋体"/>
                <w:bCs/>
                <w:color w:val="000000"/>
                <w:kern w:val="0"/>
                <w:sz w:val="24"/>
                <w:szCs w:val="24"/>
              </w:rPr>
              <w:t xml:space="preserve"> </w:t>
            </w:r>
            <w:r w:rsidRPr="00014BD1">
              <w:rPr>
                <w:rFonts w:ascii="Book Antiqua" w:eastAsia="宋体" w:hAnsi="Book Antiqua" w:cs="宋体"/>
                <w:bCs/>
                <w:color w:val="000000"/>
                <w:kern w:val="0"/>
                <w:sz w:val="24"/>
                <w:szCs w:val="24"/>
              </w:rPr>
              <w:t>(yr)</w:t>
            </w:r>
          </w:p>
        </w:tc>
        <w:tc>
          <w:tcPr>
            <w:tcW w:w="246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p>
        </w:tc>
        <w:tc>
          <w:tcPr>
            <w:tcW w:w="240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p>
        </w:tc>
        <w:tc>
          <w:tcPr>
            <w:tcW w:w="1080" w:type="dxa"/>
            <w:tcBorders>
              <w:top w:val="nil"/>
              <w:left w:val="nil"/>
              <w:bottom w:val="nil"/>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0.14</w:t>
            </w:r>
          </w:p>
        </w:tc>
      </w:tr>
      <w:tr w:rsidR="00055844" w:rsidRPr="00014BD1" w:rsidTr="00055844">
        <w:trPr>
          <w:trHeight w:val="585"/>
        </w:trPr>
        <w:tc>
          <w:tcPr>
            <w:tcW w:w="1540" w:type="dxa"/>
            <w:tcBorders>
              <w:top w:val="nil"/>
              <w:left w:val="nil"/>
              <w:bottom w:val="single" w:sz="8" w:space="0" w:color="000000"/>
              <w:right w:val="nil"/>
            </w:tcBorders>
            <w:hideMark/>
          </w:tcPr>
          <w:p w:rsidR="00055844" w:rsidRPr="00014BD1" w:rsidRDefault="00E163AB"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 xml:space="preserve">mean ± SE </w:t>
            </w:r>
            <w:r w:rsidR="00055844" w:rsidRPr="00014BD1">
              <w:rPr>
                <w:rFonts w:ascii="Book Antiqua" w:eastAsia="宋体" w:hAnsi="Book Antiqua" w:cs="宋体"/>
                <w:bCs/>
                <w:color w:val="000000"/>
                <w:kern w:val="0"/>
                <w:sz w:val="24"/>
                <w:szCs w:val="24"/>
              </w:rPr>
              <w:t>(</w:t>
            </w:r>
            <w:r w:rsidRPr="00014BD1">
              <w:rPr>
                <w:rFonts w:ascii="Book Antiqua" w:eastAsia="宋体" w:hAnsi="Book Antiqua" w:cs="宋体"/>
                <w:bCs/>
                <w:color w:val="000000"/>
                <w:kern w:val="0"/>
                <w:sz w:val="24"/>
                <w:szCs w:val="24"/>
              </w:rPr>
              <w:t>r</w:t>
            </w:r>
            <w:r w:rsidR="00055844" w:rsidRPr="00014BD1">
              <w:rPr>
                <w:rFonts w:ascii="Book Antiqua" w:eastAsia="宋体" w:hAnsi="Book Antiqua" w:cs="宋体"/>
                <w:bCs/>
                <w:color w:val="000000"/>
                <w:kern w:val="0"/>
                <w:sz w:val="24"/>
                <w:szCs w:val="24"/>
              </w:rPr>
              <w:t>ange)</w:t>
            </w:r>
          </w:p>
        </w:tc>
        <w:tc>
          <w:tcPr>
            <w:tcW w:w="2460" w:type="dxa"/>
            <w:tcBorders>
              <w:top w:val="nil"/>
              <w:left w:val="nil"/>
              <w:bottom w:val="single" w:sz="8" w:space="0" w:color="000000"/>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58.87</w:t>
            </w:r>
            <w:r w:rsidR="00E163AB" w:rsidRPr="00014BD1">
              <w:rPr>
                <w:rFonts w:ascii="Book Antiqua" w:eastAsia="宋体" w:hAnsi="Book Antiqua" w:cs="宋体"/>
                <w:color w:val="000000"/>
                <w:kern w:val="0"/>
                <w:sz w:val="24"/>
                <w:szCs w:val="24"/>
              </w:rPr>
              <w:t xml:space="preserve"> ± </w:t>
            </w:r>
            <w:r w:rsidRPr="00014BD1">
              <w:rPr>
                <w:rFonts w:ascii="Book Antiqua" w:eastAsia="宋体" w:hAnsi="Book Antiqua" w:cs="宋体"/>
                <w:color w:val="000000"/>
                <w:kern w:val="0"/>
                <w:sz w:val="24"/>
                <w:szCs w:val="24"/>
              </w:rPr>
              <w:t>9.13 (36-78)</w:t>
            </w:r>
          </w:p>
        </w:tc>
        <w:tc>
          <w:tcPr>
            <w:tcW w:w="2400" w:type="dxa"/>
            <w:tcBorders>
              <w:top w:val="nil"/>
              <w:left w:val="nil"/>
              <w:bottom w:val="single" w:sz="8" w:space="0" w:color="000000"/>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56.61</w:t>
            </w:r>
            <w:r w:rsidR="00E163AB" w:rsidRPr="00014BD1">
              <w:rPr>
                <w:rFonts w:ascii="Book Antiqua" w:eastAsia="宋体" w:hAnsi="Book Antiqua" w:cs="宋体"/>
                <w:color w:val="000000"/>
                <w:kern w:val="0"/>
                <w:sz w:val="24"/>
                <w:szCs w:val="24"/>
              </w:rPr>
              <w:t xml:space="preserve"> ± </w:t>
            </w:r>
            <w:r w:rsidRPr="00014BD1">
              <w:rPr>
                <w:rFonts w:ascii="Book Antiqua" w:eastAsia="宋体" w:hAnsi="Book Antiqua" w:cs="宋体"/>
                <w:color w:val="000000"/>
                <w:kern w:val="0"/>
                <w:sz w:val="24"/>
                <w:szCs w:val="24"/>
              </w:rPr>
              <w:t>9.39 (36-79)</w:t>
            </w:r>
          </w:p>
        </w:tc>
        <w:tc>
          <w:tcPr>
            <w:tcW w:w="1080" w:type="dxa"/>
            <w:tcBorders>
              <w:top w:val="nil"/>
              <w:left w:val="nil"/>
              <w:bottom w:val="single" w:sz="8" w:space="0" w:color="000000"/>
              <w:right w:val="nil"/>
            </w:tcBorders>
            <w:hideMark/>
          </w:tcPr>
          <w:p w:rsidR="00055844" w:rsidRPr="00014BD1" w:rsidRDefault="00055844" w:rsidP="00E163AB">
            <w:pPr>
              <w:widowControl/>
              <w:spacing w:line="360" w:lineRule="auto"/>
              <w:jc w:val="center"/>
              <w:rPr>
                <w:rFonts w:ascii="Book Antiqua" w:eastAsia="宋体" w:hAnsi="Book Antiqua" w:cs="宋体"/>
                <w:color w:val="000000"/>
                <w:kern w:val="0"/>
                <w:sz w:val="24"/>
                <w:szCs w:val="24"/>
              </w:rPr>
            </w:pPr>
          </w:p>
        </w:tc>
      </w:tr>
    </w:tbl>
    <w:p w:rsidR="00055844" w:rsidRPr="00014BD1" w:rsidRDefault="00055844" w:rsidP="00E163AB">
      <w:pPr>
        <w:pStyle w:val="Default"/>
        <w:spacing w:line="360" w:lineRule="auto"/>
        <w:jc w:val="both"/>
        <w:rPr>
          <w:rFonts w:ascii="Book Antiqua" w:hAnsi="Book Antiqua"/>
        </w:rPr>
      </w:pPr>
    </w:p>
    <w:p w:rsidR="00055844" w:rsidRPr="00014BD1" w:rsidRDefault="00055844" w:rsidP="00E163AB">
      <w:pPr>
        <w:pStyle w:val="Default"/>
        <w:spacing w:line="360" w:lineRule="auto"/>
        <w:jc w:val="both"/>
        <w:rPr>
          <w:rFonts w:ascii="Book Antiqua" w:hAnsi="Book Antiqua"/>
          <w:b/>
        </w:rPr>
      </w:pPr>
      <w:r w:rsidRPr="00014BD1">
        <w:rPr>
          <w:rFonts w:ascii="Book Antiqua" w:hAnsi="Book Antiqua"/>
          <w:b/>
        </w:rPr>
        <w:t>Table 2 Clinicopathological characteristics of early-stage gastric carcinoma</w:t>
      </w:r>
    </w:p>
    <w:tbl>
      <w:tblPr>
        <w:tblW w:w="9020" w:type="dxa"/>
        <w:tblInd w:w="93" w:type="dxa"/>
        <w:tblLook w:val="04A0"/>
      </w:tblPr>
      <w:tblGrid>
        <w:gridCol w:w="3300"/>
        <w:gridCol w:w="2260"/>
        <w:gridCol w:w="2380"/>
        <w:gridCol w:w="1080"/>
      </w:tblGrid>
      <w:tr w:rsidR="00055844" w:rsidRPr="00014BD1" w:rsidTr="00055844">
        <w:trPr>
          <w:trHeight w:val="585"/>
        </w:trPr>
        <w:tc>
          <w:tcPr>
            <w:tcW w:w="3300" w:type="dxa"/>
            <w:tcBorders>
              <w:top w:val="single" w:sz="8" w:space="0" w:color="000000"/>
              <w:left w:val="nil"/>
              <w:bottom w:val="single" w:sz="8" w:space="0" w:color="000000"/>
              <w:right w:val="nil"/>
            </w:tcBorders>
            <w:hideMark/>
          </w:tcPr>
          <w:p w:rsidR="00055844" w:rsidRPr="00014BD1" w:rsidRDefault="00055844" w:rsidP="00E163AB">
            <w:pPr>
              <w:widowControl/>
              <w:spacing w:line="360" w:lineRule="auto"/>
              <w:rPr>
                <w:rFonts w:ascii="Book Antiqua" w:eastAsia="宋体" w:hAnsi="Book Antiqua" w:cs="宋体"/>
                <w:b/>
                <w:bCs/>
                <w:color w:val="000000"/>
                <w:kern w:val="0"/>
                <w:sz w:val="24"/>
                <w:szCs w:val="24"/>
              </w:rPr>
            </w:pPr>
            <w:r w:rsidRPr="00014BD1">
              <w:rPr>
                <w:rFonts w:ascii="Book Antiqua" w:eastAsia="宋体" w:hAnsi="Book Antiqua" w:cs="宋体" w:hint="eastAsia"/>
                <w:b/>
                <w:bCs/>
                <w:color w:val="000000"/>
                <w:kern w:val="0"/>
                <w:sz w:val="24"/>
                <w:szCs w:val="24"/>
              </w:rPr>
              <w:t xml:space="preserve">　</w:t>
            </w:r>
          </w:p>
        </w:tc>
        <w:tc>
          <w:tcPr>
            <w:tcW w:w="2260" w:type="dxa"/>
            <w:tcBorders>
              <w:top w:val="single" w:sz="8" w:space="0" w:color="000000"/>
              <w:left w:val="nil"/>
              <w:bottom w:val="single" w:sz="8" w:space="0" w:color="000000"/>
              <w:right w:val="nil"/>
            </w:tcBorders>
            <w:hideMark/>
          </w:tcPr>
          <w:p w:rsidR="00055844" w:rsidRPr="00014BD1" w:rsidRDefault="00055844"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Discovery phase</w:t>
            </w:r>
            <w:r w:rsidR="00496898" w:rsidRPr="00014BD1">
              <w:rPr>
                <w:rFonts w:ascii="Book Antiqua" w:eastAsia="宋体" w:hAnsi="Book Antiqua" w:cs="宋体"/>
                <w:b/>
                <w:bCs/>
                <w:color w:val="000000"/>
                <w:kern w:val="0"/>
                <w:sz w:val="24"/>
                <w:szCs w:val="24"/>
              </w:rPr>
              <w:t xml:space="preserve"> </w:t>
            </w:r>
            <w:r w:rsidRPr="00014BD1">
              <w:rPr>
                <w:rFonts w:ascii="Book Antiqua" w:eastAsia="宋体" w:hAnsi="Book Antiqua" w:cs="宋体"/>
                <w:b/>
                <w:bCs/>
                <w:color w:val="000000"/>
                <w:kern w:val="0"/>
                <w:sz w:val="24"/>
                <w:szCs w:val="24"/>
              </w:rPr>
              <w:t>(</w:t>
            </w:r>
            <w:r w:rsidR="00E163AB" w:rsidRPr="00014BD1">
              <w:rPr>
                <w:rFonts w:ascii="Book Antiqua" w:eastAsia="宋体" w:hAnsi="Book Antiqua" w:cs="宋体"/>
                <w:b/>
                <w:bCs/>
                <w:i/>
                <w:color w:val="000000"/>
                <w:kern w:val="0"/>
                <w:sz w:val="24"/>
                <w:szCs w:val="24"/>
              </w:rPr>
              <w:t>n</w:t>
            </w:r>
            <w:r w:rsidR="00E163AB" w:rsidRPr="00014BD1">
              <w:rPr>
                <w:rFonts w:ascii="Book Antiqua" w:eastAsia="宋体" w:hAnsi="Book Antiqua" w:cs="宋体"/>
                <w:b/>
                <w:bCs/>
                <w:color w:val="000000"/>
                <w:kern w:val="0"/>
                <w:sz w:val="24"/>
                <w:szCs w:val="24"/>
              </w:rPr>
              <w:t xml:space="preserve"> = </w:t>
            </w:r>
            <w:r w:rsidRPr="00014BD1">
              <w:rPr>
                <w:rFonts w:ascii="Book Antiqua" w:eastAsia="宋体" w:hAnsi="Book Antiqua" w:cs="宋体"/>
                <w:b/>
                <w:bCs/>
                <w:color w:val="000000"/>
                <w:kern w:val="0"/>
                <w:sz w:val="24"/>
                <w:szCs w:val="24"/>
              </w:rPr>
              <w:t>19)</w:t>
            </w:r>
          </w:p>
        </w:tc>
        <w:tc>
          <w:tcPr>
            <w:tcW w:w="2380" w:type="dxa"/>
            <w:tcBorders>
              <w:top w:val="single" w:sz="8" w:space="0" w:color="000000"/>
              <w:left w:val="nil"/>
              <w:bottom w:val="single" w:sz="8" w:space="0" w:color="000000"/>
              <w:right w:val="nil"/>
            </w:tcBorders>
            <w:hideMark/>
          </w:tcPr>
          <w:p w:rsidR="00055844" w:rsidRPr="00014BD1" w:rsidRDefault="00055844"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Validation phase</w:t>
            </w:r>
            <w:r w:rsidR="00496898" w:rsidRPr="00014BD1">
              <w:rPr>
                <w:rFonts w:ascii="Book Antiqua" w:eastAsia="宋体" w:hAnsi="Book Antiqua" w:cs="宋体"/>
                <w:b/>
                <w:bCs/>
                <w:color w:val="000000"/>
                <w:kern w:val="0"/>
                <w:sz w:val="24"/>
                <w:szCs w:val="24"/>
              </w:rPr>
              <w:t xml:space="preserve"> </w:t>
            </w:r>
            <w:r w:rsidRPr="00014BD1">
              <w:rPr>
                <w:rFonts w:ascii="Book Antiqua" w:eastAsia="宋体" w:hAnsi="Book Antiqua" w:cs="宋体"/>
                <w:b/>
                <w:bCs/>
                <w:color w:val="000000"/>
                <w:kern w:val="0"/>
                <w:sz w:val="24"/>
                <w:szCs w:val="24"/>
              </w:rPr>
              <w:t>(</w:t>
            </w:r>
            <w:r w:rsidR="00E163AB" w:rsidRPr="00014BD1">
              <w:rPr>
                <w:rFonts w:ascii="Book Antiqua" w:eastAsia="宋体" w:hAnsi="Book Antiqua" w:cs="宋体"/>
                <w:b/>
                <w:bCs/>
                <w:i/>
                <w:color w:val="000000"/>
                <w:kern w:val="0"/>
                <w:sz w:val="24"/>
                <w:szCs w:val="24"/>
              </w:rPr>
              <w:t>n</w:t>
            </w:r>
            <w:r w:rsidR="00E163AB" w:rsidRPr="00014BD1">
              <w:rPr>
                <w:rFonts w:ascii="Book Antiqua" w:eastAsia="宋体" w:hAnsi="Book Antiqua" w:cs="宋体"/>
                <w:b/>
                <w:bCs/>
                <w:color w:val="000000"/>
                <w:kern w:val="0"/>
                <w:sz w:val="24"/>
                <w:szCs w:val="24"/>
              </w:rPr>
              <w:t xml:space="preserve"> = </w:t>
            </w:r>
            <w:r w:rsidRPr="00014BD1">
              <w:rPr>
                <w:rFonts w:ascii="Book Antiqua" w:eastAsia="宋体" w:hAnsi="Book Antiqua" w:cs="宋体"/>
                <w:b/>
                <w:bCs/>
                <w:color w:val="000000"/>
                <w:kern w:val="0"/>
                <w:sz w:val="24"/>
                <w:szCs w:val="24"/>
              </w:rPr>
              <w:t>14)</w:t>
            </w:r>
          </w:p>
        </w:tc>
        <w:tc>
          <w:tcPr>
            <w:tcW w:w="1080" w:type="dxa"/>
            <w:tcBorders>
              <w:top w:val="single" w:sz="8" w:space="0" w:color="000000"/>
              <w:left w:val="nil"/>
              <w:bottom w:val="single" w:sz="8" w:space="0" w:color="000000"/>
              <w:right w:val="nil"/>
            </w:tcBorders>
            <w:hideMark/>
          </w:tcPr>
          <w:p w:rsidR="00055844" w:rsidRPr="00014BD1" w:rsidRDefault="00E163AB"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i/>
                <w:color w:val="000000"/>
                <w:kern w:val="0"/>
                <w:sz w:val="24"/>
                <w:szCs w:val="24"/>
              </w:rPr>
              <w:t>P</w:t>
            </w:r>
            <w:r w:rsidR="00055844" w:rsidRPr="00014BD1">
              <w:rPr>
                <w:rFonts w:ascii="Book Antiqua" w:eastAsia="宋体" w:hAnsi="Book Antiqua" w:cs="宋体"/>
                <w:b/>
                <w:bCs/>
                <w:color w:val="000000"/>
                <w:kern w:val="0"/>
                <w:sz w:val="24"/>
                <w:szCs w:val="24"/>
              </w:rPr>
              <w:t xml:space="preserve"> value</w:t>
            </w:r>
          </w:p>
        </w:tc>
      </w:tr>
      <w:tr w:rsidR="00055844" w:rsidRPr="00014BD1" w:rsidTr="00055844">
        <w:trPr>
          <w:trHeight w:val="285"/>
        </w:trPr>
        <w:tc>
          <w:tcPr>
            <w:tcW w:w="330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Depth of invasion</w:t>
            </w:r>
            <w:r w:rsidR="00496898" w:rsidRPr="00014BD1">
              <w:rPr>
                <w:rFonts w:ascii="Book Antiqua" w:eastAsia="宋体" w:hAnsi="Book Antiqua" w:cs="宋体"/>
                <w:bCs/>
                <w:color w:val="000000"/>
                <w:kern w:val="0"/>
                <w:sz w:val="24"/>
                <w:szCs w:val="24"/>
              </w:rPr>
              <w:t xml:space="preserve"> </w:t>
            </w:r>
          </w:p>
        </w:tc>
        <w:tc>
          <w:tcPr>
            <w:tcW w:w="226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c>
          <w:tcPr>
            <w:tcW w:w="238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c>
          <w:tcPr>
            <w:tcW w:w="1080" w:type="dxa"/>
            <w:vMerge w:val="restart"/>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0.31</w:t>
            </w:r>
          </w:p>
        </w:tc>
      </w:tr>
      <w:tr w:rsidR="00055844" w:rsidRPr="00014BD1" w:rsidTr="00055844">
        <w:trPr>
          <w:trHeight w:val="285"/>
        </w:trPr>
        <w:tc>
          <w:tcPr>
            <w:tcW w:w="3300" w:type="dxa"/>
            <w:tcBorders>
              <w:top w:val="nil"/>
              <w:left w:val="nil"/>
              <w:bottom w:val="nil"/>
              <w:right w:val="nil"/>
            </w:tcBorders>
            <w:noWrap/>
            <w:hideMark/>
          </w:tcPr>
          <w:p w:rsidR="00055844" w:rsidRPr="00014BD1" w:rsidRDefault="00A47220"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Tunica mucosa</w:t>
            </w:r>
          </w:p>
        </w:tc>
        <w:tc>
          <w:tcPr>
            <w:tcW w:w="226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6</w:t>
            </w:r>
          </w:p>
        </w:tc>
        <w:tc>
          <w:tcPr>
            <w:tcW w:w="238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w:t>
            </w:r>
          </w:p>
        </w:tc>
        <w:tc>
          <w:tcPr>
            <w:tcW w:w="1080" w:type="dxa"/>
            <w:vMerge/>
            <w:tcBorders>
              <w:top w:val="nil"/>
              <w:left w:val="nil"/>
              <w:bottom w:val="nil"/>
              <w:right w:val="nil"/>
            </w:tcBorders>
            <w:vAlign w:val="center"/>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r>
      <w:tr w:rsidR="00055844" w:rsidRPr="00014BD1" w:rsidTr="00055844">
        <w:trPr>
          <w:trHeight w:val="285"/>
        </w:trPr>
        <w:tc>
          <w:tcPr>
            <w:tcW w:w="3300" w:type="dxa"/>
            <w:tcBorders>
              <w:top w:val="nil"/>
              <w:left w:val="nil"/>
              <w:bottom w:val="nil"/>
              <w:right w:val="nil"/>
            </w:tcBorders>
            <w:noWrap/>
            <w:hideMark/>
          </w:tcPr>
          <w:p w:rsidR="00055844" w:rsidRPr="00014BD1" w:rsidRDefault="00A47220"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Muscularis mucosae</w:t>
            </w:r>
          </w:p>
        </w:tc>
        <w:tc>
          <w:tcPr>
            <w:tcW w:w="226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8</w:t>
            </w:r>
          </w:p>
        </w:tc>
        <w:tc>
          <w:tcPr>
            <w:tcW w:w="238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w:t>
            </w:r>
          </w:p>
        </w:tc>
        <w:tc>
          <w:tcPr>
            <w:tcW w:w="1080" w:type="dxa"/>
            <w:vMerge/>
            <w:tcBorders>
              <w:top w:val="nil"/>
              <w:left w:val="nil"/>
              <w:bottom w:val="nil"/>
              <w:right w:val="nil"/>
            </w:tcBorders>
            <w:vAlign w:val="center"/>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r>
      <w:tr w:rsidR="00055844" w:rsidRPr="00014BD1" w:rsidTr="00055844">
        <w:trPr>
          <w:trHeight w:val="285"/>
        </w:trPr>
        <w:tc>
          <w:tcPr>
            <w:tcW w:w="330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Submucosa</w:t>
            </w:r>
          </w:p>
        </w:tc>
        <w:tc>
          <w:tcPr>
            <w:tcW w:w="226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w:t>
            </w:r>
          </w:p>
        </w:tc>
        <w:tc>
          <w:tcPr>
            <w:tcW w:w="238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7</w:t>
            </w:r>
          </w:p>
        </w:tc>
        <w:tc>
          <w:tcPr>
            <w:tcW w:w="1080" w:type="dxa"/>
            <w:vMerge/>
            <w:tcBorders>
              <w:top w:val="nil"/>
              <w:left w:val="nil"/>
              <w:bottom w:val="nil"/>
              <w:right w:val="nil"/>
            </w:tcBorders>
            <w:vAlign w:val="center"/>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r>
      <w:tr w:rsidR="00055844" w:rsidRPr="00014BD1" w:rsidTr="00055844">
        <w:trPr>
          <w:trHeight w:val="285"/>
        </w:trPr>
        <w:tc>
          <w:tcPr>
            <w:tcW w:w="330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Differentiation</w:t>
            </w:r>
            <w:r w:rsidR="00496898" w:rsidRPr="00014BD1">
              <w:rPr>
                <w:rFonts w:ascii="Book Antiqua" w:eastAsia="宋体" w:hAnsi="Book Antiqua" w:cs="宋体"/>
                <w:bCs/>
                <w:color w:val="000000"/>
                <w:kern w:val="0"/>
                <w:sz w:val="24"/>
                <w:szCs w:val="24"/>
              </w:rPr>
              <w:t xml:space="preserve"> </w:t>
            </w:r>
          </w:p>
        </w:tc>
        <w:tc>
          <w:tcPr>
            <w:tcW w:w="226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c>
          <w:tcPr>
            <w:tcW w:w="238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c>
          <w:tcPr>
            <w:tcW w:w="1080" w:type="dxa"/>
            <w:vMerge w:val="restart"/>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0.56</w:t>
            </w:r>
          </w:p>
        </w:tc>
      </w:tr>
      <w:tr w:rsidR="00055844" w:rsidRPr="00014BD1" w:rsidTr="00055844">
        <w:trPr>
          <w:trHeight w:val="285"/>
        </w:trPr>
        <w:tc>
          <w:tcPr>
            <w:tcW w:w="330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Well</w:t>
            </w:r>
          </w:p>
        </w:tc>
        <w:tc>
          <w:tcPr>
            <w:tcW w:w="226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w:t>
            </w:r>
          </w:p>
        </w:tc>
        <w:tc>
          <w:tcPr>
            <w:tcW w:w="238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w:t>
            </w:r>
          </w:p>
        </w:tc>
        <w:tc>
          <w:tcPr>
            <w:tcW w:w="1080" w:type="dxa"/>
            <w:vMerge/>
            <w:tcBorders>
              <w:top w:val="nil"/>
              <w:left w:val="nil"/>
              <w:bottom w:val="nil"/>
              <w:right w:val="nil"/>
            </w:tcBorders>
            <w:vAlign w:val="center"/>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r>
      <w:tr w:rsidR="00055844" w:rsidRPr="00014BD1" w:rsidTr="00055844">
        <w:trPr>
          <w:trHeight w:val="285"/>
        </w:trPr>
        <w:tc>
          <w:tcPr>
            <w:tcW w:w="330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Moderate</w:t>
            </w:r>
          </w:p>
        </w:tc>
        <w:tc>
          <w:tcPr>
            <w:tcW w:w="226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w:t>
            </w:r>
          </w:p>
        </w:tc>
        <w:tc>
          <w:tcPr>
            <w:tcW w:w="238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w:t>
            </w:r>
          </w:p>
        </w:tc>
        <w:tc>
          <w:tcPr>
            <w:tcW w:w="1080" w:type="dxa"/>
            <w:vMerge/>
            <w:tcBorders>
              <w:top w:val="nil"/>
              <w:left w:val="nil"/>
              <w:bottom w:val="nil"/>
              <w:right w:val="nil"/>
            </w:tcBorders>
            <w:vAlign w:val="center"/>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r>
      <w:tr w:rsidR="00055844" w:rsidRPr="00014BD1" w:rsidTr="00055844">
        <w:trPr>
          <w:trHeight w:val="285"/>
        </w:trPr>
        <w:tc>
          <w:tcPr>
            <w:tcW w:w="330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Poor</w:t>
            </w:r>
          </w:p>
        </w:tc>
        <w:tc>
          <w:tcPr>
            <w:tcW w:w="226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10</w:t>
            </w:r>
          </w:p>
        </w:tc>
        <w:tc>
          <w:tcPr>
            <w:tcW w:w="238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w:t>
            </w:r>
          </w:p>
        </w:tc>
        <w:tc>
          <w:tcPr>
            <w:tcW w:w="1080" w:type="dxa"/>
            <w:vMerge/>
            <w:tcBorders>
              <w:top w:val="nil"/>
              <w:left w:val="nil"/>
              <w:bottom w:val="nil"/>
              <w:right w:val="nil"/>
            </w:tcBorders>
            <w:vAlign w:val="center"/>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p>
        </w:tc>
      </w:tr>
    </w:tbl>
    <w:p w:rsidR="00055844" w:rsidRPr="00014BD1" w:rsidRDefault="00055844" w:rsidP="00E163AB">
      <w:pPr>
        <w:pStyle w:val="Default"/>
        <w:spacing w:line="360" w:lineRule="auto"/>
        <w:jc w:val="both"/>
        <w:rPr>
          <w:rFonts w:ascii="Book Antiqua" w:hAnsi="Book Antiqua"/>
        </w:rPr>
      </w:pPr>
    </w:p>
    <w:p w:rsidR="00A47220" w:rsidRPr="00014BD1" w:rsidRDefault="00A47220" w:rsidP="00E163AB">
      <w:pPr>
        <w:pStyle w:val="Default"/>
        <w:spacing w:line="360" w:lineRule="auto"/>
        <w:jc w:val="both"/>
        <w:rPr>
          <w:rFonts w:ascii="Book Antiqua" w:hAnsi="Book Antiqua"/>
          <w:b/>
        </w:rPr>
        <w:sectPr w:rsidR="00A47220" w:rsidRPr="00014BD1">
          <w:pgSz w:w="11906" w:h="17338"/>
          <w:pgMar w:top="1850" w:right="805" w:bottom="1440" w:left="1211" w:header="720" w:footer="720" w:gutter="0"/>
          <w:cols w:space="720"/>
          <w:noEndnote/>
        </w:sectPr>
      </w:pPr>
    </w:p>
    <w:p w:rsidR="00055844" w:rsidRPr="00014BD1" w:rsidRDefault="00055844" w:rsidP="00E163AB">
      <w:pPr>
        <w:pStyle w:val="Default"/>
        <w:spacing w:line="360" w:lineRule="auto"/>
        <w:jc w:val="both"/>
        <w:rPr>
          <w:rFonts w:ascii="Book Antiqua" w:hAnsi="Book Antiqua"/>
          <w:b/>
        </w:rPr>
      </w:pPr>
      <w:r w:rsidRPr="00014BD1">
        <w:rPr>
          <w:rFonts w:ascii="Book Antiqua" w:hAnsi="Book Antiqua"/>
          <w:b/>
        </w:rPr>
        <w:lastRenderedPageBreak/>
        <w:t>Table 3 Enriched Gene Ontology terms of the upregulated transcripts in high-grade intraepithelial neoplasia compared with low-grade intraepithelial neoplasia</w:t>
      </w:r>
    </w:p>
    <w:tbl>
      <w:tblPr>
        <w:tblW w:w="0" w:type="auto"/>
        <w:tblInd w:w="93" w:type="dxa"/>
        <w:tblLook w:val="04A0"/>
      </w:tblPr>
      <w:tblGrid>
        <w:gridCol w:w="4323"/>
        <w:gridCol w:w="5438"/>
        <w:gridCol w:w="1103"/>
        <w:gridCol w:w="1943"/>
      </w:tblGrid>
      <w:tr w:rsidR="00055844" w:rsidRPr="00014BD1" w:rsidTr="00A47220">
        <w:trPr>
          <w:trHeight w:val="300"/>
        </w:trPr>
        <w:tc>
          <w:tcPr>
            <w:tcW w:w="0" w:type="auto"/>
            <w:tcBorders>
              <w:top w:val="single" w:sz="8" w:space="0" w:color="000000"/>
              <w:left w:val="nil"/>
              <w:bottom w:val="single" w:sz="8" w:space="0" w:color="000000"/>
              <w:right w:val="nil"/>
            </w:tcBorders>
            <w:noWrap/>
            <w:hideMark/>
          </w:tcPr>
          <w:p w:rsidR="00055844" w:rsidRPr="00014BD1" w:rsidRDefault="00055844" w:rsidP="00E163AB">
            <w:pPr>
              <w:widowControl/>
              <w:spacing w:line="360" w:lineRule="auto"/>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 xml:space="preserve">GO </w:t>
            </w:r>
            <w:r w:rsidR="00A47220" w:rsidRPr="00014BD1">
              <w:rPr>
                <w:rFonts w:ascii="Book Antiqua" w:eastAsia="宋体" w:hAnsi="Book Antiqua" w:cs="宋体"/>
                <w:b/>
                <w:bCs/>
                <w:color w:val="000000"/>
                <w:kern w:val="0"/>
                <w:sz w:val="24"/>
                <w:szCs w:val="24"/>
              </w:rPr>
              <w:t>a</w:t>
            </w:r>
            <w:r w:rsidRPr="00014BD1">
              <w:rPr>
                <w:rFonts w:ascii="Book Antiqua" w:eastAsia="宋体" w:hAnsi="Book Antiqua" w:cs="宋体"/>
                <w:b/>
                <w:bCs/>
                <w:color w:val="000000"/>
                <w:kern w:val="0"/>
                <w:sz w:val="24"/>
                <w:szCs w:val="24"/>
              </w:rPr>
              <w:t>ccession</w:t>
            </w:r>
          </w:p>
        </w:tc>
        <w:tc>
          <w:tcPr>
            <w:tcW w:w="0" w:type="auto"/>
            <w:tcBorders>
              <w:top w:val="single" w:sz="8" w:space="0" w:color="000000"/>
              <w:left w:val="nil"/>
              <w:bottom w:val="single" w:sz="8" w:space="0" w:color="000000"/>
              <w:right w:val="nil"/>
            </w:tcBorders>
            <w:noWrap/>
            <w:hideMark/>
          </w:tcPr>
          <w:p w:rsidR="00055844" w:rsidRPr="00014BD1" w:rsidRDefault="00055844"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GO term</w:t>
            </w:r>
          </w:p>
        </w:tc>
        <w:tc>
          <w:tcPr>
            <w:tcW w:w="0" w:type="auto"/>
            <w:tcBorders>
              <w:top w:val="single" w:sz="8" w:space="0" w:color="000000"/>
              <w:left w:val="nil"/>
              <w:bottom w:val="single" w:sz="8" w:space="0" w:color="000000"/>
              <w:right w:val="nil"/>
            </w:tcBorders>
            <w:noWrap/>
            <w:hideMark/>
          </w:tcPr>
          <w:p w:rsidR="00055844" w:rsidRPr="00014BD1" w:rsidRDefault="00A47220"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i/>
                <w:color w:val="000000"/>
                <w:kern w:val="0"/>
                <w:sz w:val="24"/>
                <w:szCs w:val="24"/>
              </w:rPr>
              <w:t>P</w:t>
            </w:r>
            <w:r w:rsidR="00055844" w:rsidRPr="00014BD1">
              <w:rPr>
                <w:rFonts w:ascii="Book Antiqua" w:eastAsia="宋体" w:hAnsi="Book Antiqua" w:cs="宋体"/>
                <w:b/>
                <w:bCs/>
                <w:color w:val="000000"/>
                <w:kern w:val="0"/>
                <w:sz w:val="24"/>
                <w:szCs w:val="24"/>
              </w:rPr>
              <w:t xml:space="preserve"> value</w:t>
            </w:r>
          </w:p>
        </w:tc>
        <w:tc>
          <w:tcPr>
            <w:tcW w:w="0" w:type="auto"/>
            <w:tcBorders>
              <w:top w:val="single" w:sz="8" w:space="0" w:color="000000"/>
              <w:left w:val="nil"/>
              <w:bottom w:val="single" w:sz="8" w:space="0" w:color="000000"/>
              <w:right w:val="nil"/>
            </w:tcBorders>
            <w:noWrap/>
            <w:hideMark/>
          </w:tcPr>
          <w:p w:rsidR="00055844" w:rsidRPr="00014BD1" w:rsidRDefault="00055844"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Genes involved</w:t>
            </w:r>
          </w:p>
        </w:tc>
      </w:tr>
      <w:tr w:rsidR="00055844" w:rsidRPr="00014BD1" w:rsidTr="00A47220">
        <w:trPr>
          <w:trHeight w:val="285"/>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GO:0043170|GO:0043283</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Macromolecule metabolic process</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4.01E-09</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272</w:t>
            </w:r>
          </w:p>
        </w:tc>
      </w:tr>
      <w:tr w:rsidR="00055844" w:rsidRPr="00014BD1" w:rsidTr="00A47220">
        <w:trPr>
          <w:trHeight w:val="285"/>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GO:0044260|GO:0034960</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Cellular macromolecule metabolic process</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3.84E-09</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247</w:t>
            </w:r>
          </w:p>
        </w:tc>
      </w:tr>
      <w:tr w:rsidR="00055844" w:rsidRPr="00014BD1" w:rsidTr="00A47220">
        <w:trPr>
          <w:trHeight w:val="285"/>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GO:0006952|GO:0002217|GO:0042829</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Defense response</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9.44E-08</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63</w:t>
            </w:r>
          </w:p>
        </w:tc>
      </w:tr>
      <w:tr w:rsidR="00055844" w:rsidRPr="00014BD1" w:rsidTr="00A47220">
        <w:trPr>
          <w:trHeight w:val="285"/>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GO:0005515|GO:0045308</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Protein binding</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1.09E-07</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358</w:t>
            </w:r>
          </w:p>
        </w:tc>
      </w:tr>
      <w:tr w:rsidR="00055844" w:rsidRPr="00014BD1" w:rsidTr="00A47220">
        <w:trPr>
          <w:trHeight w:val="285"/>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GO:0044422</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Organelle part</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3.35E-07</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292</w:t>
            </w:r>
          </w:p>
        </w:tc>
      </w:tr>
      <w:tr w:rsidR="00055844" w:rsidRPr="00014BD1" w:rsidTr="00A47220">
        <w:trPr>
          <w:trHeight w:val="285"/>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GO:0044428</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Nuclear part</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4.51E-07</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145</w:t>
            </w:r>
          </w:p>
        </w:tc>
      </w:tr>
      <w:tr w:rsidR="00055844" w:rsidRPr="00014BD1" w:rsidTr="00A47220">
        <w:trPr>
          <w:trHeight w:val="285"/>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GO:0044446</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Intracellular organelle part</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4.17E-07</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288</w:t>
            </w:r>
          </w:p>
        </w:tc>
      </w:tr>
      <w:tr w:rsidR="00055844" w:rsidRPr="00014BD1" w:rsidTr="00A47220">
        <w:trPr>
          <w:trHeight w:val="285"/>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GO:0070013</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Intracellular organelle lumen</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5.50E-06</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144</w:t>
            </w:r>
          </w:p>
        </w:tc>
      </w:tr>
      <w:tr w:rsidR="00055844" w:rsidRPr="00014BD1" w:rsidTr="00A47220">
        <w:trPr>
          <w:trHeight w:val="80"/>
        </w:trPr>
        <w:tc>
          <w:tcPr>
            <w:tcW w:w="0" w:type="auto"/>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GO:0043122</w:t>
            </w:r>
          </w:p>
        </w:tc>
        <w:tc>
          <w:tcPr>
            <w:tcW w:w="0" w:type="auto"/>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 xml:space="preserve">Regulation </w:t>
            </w:r>
            <w:r w:rsidR="00055844" w:rsidRPr="00014BD1">
              <w:rPr>
                <w:rFonts w:ascii="Book Antiqua" w:eastAsia="宋体" w:hAnsi="Book Antiqua" w:cs="宋体"/>
                <w:color w:val="000000"/>
                <w:kern w:val="0"/>
                <w:sz w:val="24"/>
                <w:szCs w:val="24"/>
              </w:rPr>
              <w:t>of I-κB kinase/NF-κB cascade</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6.79E-06</w:t>
            </w:r>
          </w:p>
        </w:tc>
        <w:tc>
          <w:tcPr>
            <w:tcW w:w="0" w:type="auto"/>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21</w:t>
            </w:r>
          </w:p>
        </w:tc>
      </w:tr>
      <w:tr w:rsidR="00055844" w:rsidRPr="00014BD1" w:rsidTr="00A47220">
        <w:trPr>
          <w:trHeight w:val="300"/>
        </w:trPr>
        <w:tc>
          <w:tcPr>
            <w:tcW w:w="0" w:type="auto"/>
            <w:tcBorders>
              <w:top w:val="nil"/>
              <w:left w:val="nil"/>
              <w:bottom w:val="single" w:sz="8" w:space="0" w:color="000000"/>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GO:0043123</w:t>
            </w:r>
          </w:p>
        </w:tc>
        <w:tc>
          <w:tcPr>
            <w:tcW w:w="0" w:type="auto"/>
            <w:tcBorders>
              <w:top w:val="nil"/>
              <w:left w:val="nil"/>
              <w:bottom w:val="single" w:sz="8" w:space="0" w:color="000000"/>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 xml:space="preserve">Positive </w:t>
            </w:r>
            <w:r w:rsidR="00055844" w:rsidRPr="00014BD1">
              <w:rPr>
                <w:rFonts w:ascii="Book Antiqua" w:eastAsia="宋体" w:hAnsi="Book Antiqua" w:cs="宋体"/>
                <w:color w:val="000000"/>
                <w:kern w:val="0"/>
                <w:sz w:val="24"/>
                <w:szCs w:val="24"/>
              </w:rPr>
              <w:t>regulation of I-κB kinase/NF-κB cascade</w:t>
            </w:r>
          </w:p>
        </w:tc>
        <w:tc>
          <w:tcPr>
            <w:tcW w:w="0" w:type="auto"/>
            <w:tcBorders>
              <w:top w:val="nil"/>
              <w:left w:val="nil"/>
              <w:bottom w:val="single" w:sz="8" w:space="0" w:color="000000"/>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9.53E-06</w:t>
            </w:r>
          </w:p>
        </w:tc>
        <w:tc>
          <w:tcPr>
            <w:tcW w:w="0" w:type="auto"/>
            <w:tcBorders>
              <w:top w:val="nil"/>
              <w:left w:val="nil"/>
              <w:bottom w:val="single" w:sz="8" w:space="0" w:color="000000"/>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18</w:t>
            </w:r>
          </w:p>
        </w:tc>
      </w:tr>
    </w:tbl>
    <w:p w:rsidR="00055844" w:rsidRPr="00014BD1" w:rsidRDefault="00A47220" w:rsidP="00E163AB">
      <w:pPr>
        <w:pStyle w:val="Default"/>
        <w:spacing w:line="360" w:lineRule="auto"/>
        <w:jc w:val="both"/>
        <w:rPr>
          <w:rFonts w:ascii="Book Antiqua" w:hAnsi="Book Antiqua"/>
        </w:rPr>
      </w:pPr>
      <w:r w:rsidRPr="00014BD1">
        <w:rPr>
          <w:rFonts w:ascii="Book Antiqua" w:eastAsia="宋体" w:hAnsi="Book Antiqua" w:cs="宋体"/>
        </w:rPr>
        <w:t xml:space="preserve">NF-κB: </w:t>
      </w:r>
      <w:r w:rsidRPr="00014BD1">
        <w:rPr>
          <w:rFonts w:ascii="Book Antiqua" w:hAnsi="Book Antiqua"/>
        </w:rPr>
        <w:t>Nuclear factor κB.</w:t>
      </w:r>
    </w:p>
    <w:p w:rsidR="00A47220" w:rsidRPr="00014BD1" w:rsidRDefault="00A47220" w:rsidP="00E163AB">
      <w:pPr>
        <w:pStyle w:val="Default"/>
        <w:spacing w:line="360" w:lineRule="auto"/>
        <w:jc w:val="both"/>
        <w:rPr>
          <w:rFonts w:ascii="Book Antiqua" w:hAnsi="Book Antiqua"/>
          <w:b/>
        </w:rPr>
      </w:pPr>
    </w:p>
    <w:p w:rsidR="00055844" w:rsidRPr="00014BD1" w:rsidRDefault="00055844" w:rsidP="00E163AB">
      <w:pPr>
        <w:pStyle w:val="Default"/>
        <w:spacing w:line="360" w:lineRule="auto"/>
        <w:jc w:val="both"/>
        <w:rPr>
          <w:rFonts w:ascii="Book Antiqua" w:hAnsi="Book Antiqua"/>
          <w:b/>
        </w:rPr>
      </w:pPr>
      <w:r w:rsidRPr="00014BD1">
        <w:rPr>
          <w:rFonts w:ascii="Book Antiqua" w:hAnsi="Book Antiqua"/>
          <w:b/>
        </w:rPr>
        <w:t>Table 4 Enriched Gene Ontology categories of the upregulated transcripts in early-stage gastric carcinoma compared with high-grade intraepithelial neoplasia</w:t>
      </w:r>
    </w:p>
    <w:tbl>
      <w:tblPr>
        <w:tblW w:w="14260" w:type="dxa"/>
        <w:tblInd w:w="93" w:type="dxa"/>
        <w:tblLook w:val="04A0"/>
      </w:tblPr>
      <w:tblGrid>
        <w:gridCol w:w="1980"/>
        <w:gridCol w:w="8400"/>
        <w:gridCol w:w="1540"/>
        <w:gridCol w:w="2340"/>
      </w:tblGrid>
      <w:tr w:rsidR="00055844" w:rsidRPr="00014BD1" w:rsidTr="00055844">
        <w:trPr>
          <w:trHeight w:val="300"/>
        </w:trPr>
        <w:tc>
          <w:tcPr>
            <w:tcW w:w="1980" w:type="dxa"/>
            <w:tcBorders>
              <w:top w:val="single" w:sz="8" w:space="0" w:color="000000"/>
              <w:left w:val="nil"/>
              <w:bottom w:val="single" w:sz="8" w:space="0" w:color="000000"/>
              <w:right w:val="nil"/>
            </w:tcBorders>
            <w:noWrap/>
            <w:hideMark/>
          </w:tcPr>
          <w:p w:rsidR="00055844" w:rsidRPr="00014BD1" w:rsidRDefault="00055844" w:rsidP="00E163AB">
            <w:pPr>
              <w:widowControl/>
              <w:spacing w:line="360" w:lineRule="auto"/>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 xml:space="preserve">GO </w:t>
            </w:r>
            <w:r w:rsidR="00A47220" w:rsidRPr="00014BD1">
              <w:rPr>
                <w:rFonts w:ascii="Book Antiqua" w:eastAsia="宋体" w:hAnsi="Book Antiqua" w:cs="宋体"/>
                <w:b/>
                <w:bCs/>
                <w:color w:val="000000"/>
                <w:kern w:val="0"/>
                <w:sz w:val="24"/>
                <w:szCs w:val="24"/>
              </w:rPr>
              <w:t>a</w:t>
            </w:r>
            <w:r w:rsidRPr="00014BD1">
              <w:rPr>
                <w:rFonts w:ascii="Book Antiqua" w:eastAsia="宋体" w:hAnsi="Book Antiqua" w:cs="宋体"/>
                <w:b/>
                <w:bCs/>
                <w:color w:val="000000"/>
                <w:kern w:val="0"/>
                <w:sz w:val="24"/>
                <w:szCs w:val="24"/>
              </w:rPr>
              <w:t>ccession</w:t>
            </w:r>
          </w:p>
        </w:tc>
        <w:tc>
          <w:tcPr>
            <w:tcW w:w="8400" w:type="dxa"/>
            <w:tcBorders>
              <w:top w:val="single" w:sz="8" w:space="0" w:color="000000"/>
              <w:left w:val="nil"/>
              <w:bottom w:val="single" w:sz="8" w:space="0" w:color="000000"/>
              <w:right w:val="nil"/>
            </w:tcBorders>
            <w:noWrap/>
            <w:hideMark/>
          </w:tcPr>
          <w:p w:rsidR="00055844" w:rsidRPr="00014BD1" w:rsidRDefault="00055844"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GO term</w:t>
            </w:r>
          </w:p>
        </w:tc>
        <w:tc>
          <w:tcPr>
            <w:tcW w:w="1540" w:type="dxa"/>
            <w:tcBorders>
              <w:top w:val="single" w:sz="8" w:space="0" w:color="000000"/>
              <w:left w:val="nil"/>
              <w:bottom w:val="single" w:sz="8" w:space="0" w:color="000000"/>
              <w:right w:val="nil"/>
            </w:tcBorders>
            <w:noWrap/>
            <w:hideMark/>
          </w:tcPr>
          <w:p w:rsidR="00055844" w:rsidRPr="00014BD1" w:rsidRDefault="00A47220"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i/>
                <w:color w:val="000000"/>
                <w:kern w:val="0"/>
                <w:sz w:val="24"/>
                <w:szCs w:val="24"/>
              </w:rPr>
              <w:t>P</w:t>
            </w:r>
            <w:r w:rsidRPr="00014BD1">
              <w:rPr>
                <w:rFonts w:ascii="Book Antiqua" w:eastAsia="宋体" w:hAnsi="Book Antiqua" w:cs="宋体"/>
                <w:b/>
                <w:bCs/>
                <w:color w:val="000000"/>
                <w:kern w:val="0"/>
                <w:sz w:val="24"/>
                <w:szCs w:val="24"/>
              </w:rPr>
              <w:t xml:space="preserve"> </w:t>
            </w:r>
            <w:r w:rsidR="00055844" w:rsidRPr="00014BD1">
              <w:rPr>
                <w:rFonts w:ascii="Book Antiqua" w:eastAsia="宋体" w:hAnsi="Book Antiqua" w:cs="宋体"/>
                <w:b/>
                <w:bCs/>
                <w:color w:val="000000"/>
                <w:kern w:val="0"/>
                <w:sz w:val="24"/>
                <w:szCs w:val="24"/>
              </w:rPr>
              <w:t>value</w:t>
            </w:r>
          </w:p>
        </w:tc>
        <w:tc>
          <w:tcPr>
            <w:tcW w:w="2340" w:type="dxa"/>
            <w:tcBorders>
              <w:top w:val="single" w:sz="8" w:space="0" w:color="000000"/>
              <w:left w:val="nil"/>
              <w:bottom w:val="single" w:sz="8" w:space="0" w:color="000000"/>
              <w:right w:val="nil"/>
            </w:tcBorders>
            <w:noWrap/>
            <w:hideMark/>
          </w:tcPr>
          <w:p w:rsidR="00055844" w:rsidRPr="00014BD1" w:rsidRDefault="00055844" w:rsidP="00A47220">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Genes involved</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GO:0050776</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Regulation of the immune response</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2.27E-08</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9</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GO:0050851</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Antigen receptor-mediated signaling pathway</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4.24E-07</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GO:0002429</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Immune response-activating cell surface receptor signaling pathway</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5.82E-07</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GO:0050863</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 xml:space="preserve">Regulation </w:t>
            </w:r>
            <w:r w:rsidR="00055844" w:rsidRPr="00014BD1">
              <w:rPr>
                <w:rFonts w:ascii="Book Antiqua" w:eastAsia="宋体" w:hAnsi="Book Antiqua" w:cs="宋体"/>
                <w:color w:val="000000"/>
                <w:kern w:val="0"/>
                <w:sz w:val="24"/>
                <w:szCs w:val="24"/>
              </w:rPr>
              <w:t>of T cell activation</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6.90E-07</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6</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GO:0002768</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Immune response-regulating cell surface receptor signaling pathway</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7.10E-07</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GO:0050778</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Positive regulation of the immune response</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3.23E-07</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7</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GO:0002684</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Positive regulation of the immune system process</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3.92E-07</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8</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GO:0001772</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Immunological synapse</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1.95E-06</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w:t>
            </w:r>
          </w:p>
        </w:tc>
      </w:tr>
      <w:tr w:rsidR="00055844" w:rsidRPr="00014BD1" w:rsidTr="00055844">
        <w:trPr>
          <w:trHeight w:val="285"/>
        </w:trPr>
        <w:tc>
          <w:tcPr>
            <w:tcW w:w="1980" w:type="dxa"/>
            <w:tcBorders>
              <w:top w:val="nil"/>
              <w:left w:val="nil"/>
              <w:bottom w:val="nil"/>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GO:0051249</w:t>
            </w:r>
          </w:p>
        </w:tc>
        <w:tc>
          <w:tcPr>
            <w:tcW w:w="8400" w:type="dxa"/>
            <w:tcBorders>
              <w:top w:val="nil"/>
              <w:left w:val="nil"/>
              <w:bottom w:val="nil"/>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Regulation of lymphocyte activation</w:t>
            </w:r>
          </w:p>
        </w:tc>
        <w:tc>
          <w:tcPr>
            <w:tcW w:w="15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2.53E-06</w:t>
            </w:r>
          </w:p>
        </w:tc>
        <w:tc>
          <w:tcPr>
            <w:tcW w:w="2340" w:type="dxa"/>
            <w:tcBorders>
              <w:top w:val="nil"/>
              <w:left w:val="nil"/>
              <w:bottom w:val="nil"/>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6</w:t>
            </w:r>
          </w:p>
        </w:tc>
      </w:tr>
      <w:tr w:rsidR="00055844" w:rsidRPr="00014BD1" w:rsidTr="00055844">
        <w:trPr>
          <w:trHeight w:val="300"/>
        </w:trPr>
        <w:tc>
          <w:tcPr>
            <w:tcW w:w="1980" w:type="dxa"/>
            <w:tcBorders>
              <w:top w:val="nil"/>
              <w:left w:val="nil"/>
              <w:bottom w:val="single" w:sz="8" w:space="0" w:color="000000"/>
              <w:right w:val="nil"/>
            </w:tcBorders>
            <w:noWrap/>
            <w:hideMark/>
          </w:tcPr>
          <w:p w:rsidR="00055844" w:rsidRPr="00014BD1" w:rsidRDefault="00055844"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GO:0042102</w:t>
            </w:r>
          </w:p>
        </w:tc>
        <w:tc>
          <w:tcPr>
            <w:tcW w:w="8400" w:type="dxa"/>
            <w:tcBorders>
              <w:top w:val="nil"/>
              <w:left w:val="nil"/>
              <w:bottom w:val="single" w:sz="8" w:space="0" w:color="000000"/>
              <w:right w:val="nil"/>
            </w:tcBorders>
            <w:noWrap/>
            <w:hideMark/>
          </w:tcPr>
          <w:p w:rsidR="00055844" w:rsidRPr="00014BD1" w:rsidRDefault="00A47220"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 xml:space="preserve">Positive </w:t>
            </w:r>
            <w:r w:rsidR="00055844" w:rsidRPr="00014BD1">
              <w:rPr>
                <w:rFonts w:ascii="Book Antiqua" w:eastAsia="宋体" w:hAnsi="Book Antiqua" w:cs="宋体"/>
                <w:color w:val="000000"/>
                <w:kern w:val="0"/>
                <w:sz w:val="24"/>
                <w:szCs w:val="24"/>
              </w:rPr>
              <w:t>regulation of T cell proliferation</w:t>
            </w:r>
          </w:p>
        </w:tc>
        <w:tc>
          <w:tcPr>
            <w:tcW w:w="1540" w:type="dxa"/>
            <w:tcBorders>
              <w:top w:val="nil"/>
              <w:left w:val="nil"/>
              <w:bottom w:val="single" w:sz="8" w:space="0" w:color="000000"/>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2.81E-06</w:t>
            </w:r>
          </w:p>
        </w:tc>
        <w:tc>
          <w:tcPr>
            <w:tcW w:w="2340" w:type="dxa"/>
            <w:tcBorders>
              <w:top w:val="nil"/>
              <w:left w:val="nil"/>
              <w:bottom w:val="single" w:sz="8" w:space="0" w:color="000000"/>
              <w:right w:val="nil"/>
            </w:tcBorders>
            <w:noWrap/>
            <w:hideMark/>
          </w:tcPr>
          <w:p w:rsidR="00055844" w:rsidRPr="00014BD1" w:rsidRDefault="00055844" w:rsidP="00A47220">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4</w:t>
            </w:r>
          </w:p>
        </w:tc>
      </w:tr>
    </w:tbl>
    <w:p w:rsidR="00055844" w:rsidRPr="00014BD1" w:rsidRDefault="00055844" w:rsidP="00E163AB">
      <w:pPr>
        <w:pStyle w:val="Default"/>
        <w:spacing w:line="360" w:lineRule="auto"/>
        <w:jc w:val="both"/>
        <w:rPr>
          <w:rFonts w:ascii="Book Antiqua" w:hAnsi="Book Antiqua"/>
        </w:rPr>
      </w:pPr>
    </w:p>
    <w:p w:rsidR="00A47220" w:rsidRPr="00014BD1" w:rsidRDefault="00A47220" w:rsidP="00E163AB">
      <w:pPr>
        <w:pStyle w:val="Default"/>
        <w:spacing w:line="360" w:lineRule="auto"/>
        <w:jc w:val="both"/>
        <w:rPr>
          <w:rFonts w:ascii="Book Antiqua" w:hAnsi="Book Antiqua"/>
        </w:rPr>
      </w:pPr>
    </w:p>
    <w:p w:rsidR="00A47220" w:rsidRPr="00014BD1" w:rsidRDefault="00A47220" w:rsidP="00E163AB">
      <w:pPr>
        <w:pStyle w:val="Default"/>
        <w:spacing w:line="360" w:lineRule="auto"/>
        <w:jc w:val="both"/>
        <w:rPr>
          <w:rFonts w:ascii="Book Antiqua" w:hAnsi="Book Antiqua"/>
        </w:rPr>
      </w:pPr>
    </w:p>
    <w:p w:rsidR="00E163AB" w:rsidRPr="00014BD1" w:rsidRDefault="00E163AB" w:rsidP="00E163AB">
      <w:pPr>
        <w:pStyle w:val="Default"/>
        <w:spacing w:line="360" w:lineRule="auto"/>
        <w:jc w:val="both"/>
        <w:rPr>
          <w:rFonts w:ascii="Book Antiqua" w:hAnsi="Book Antiqua"/>
          <w:b/>
        </w:rPr>
      </w:pPr>
      <w:r w:rsidRPr="00014BD1">
        <w:rPr>
          <w:rFonts w:ascii="Book Antiqua" w:hAnsi="Book Antiqua"/>
          <w:b/>
        </w:rPr>
        <w:lastRenderedPageBreak/>
        <w:t>Table 5 Statistical results of the differential expression of G</w:t>
      </w:r>
      <w:r w:rsidRPr="00014BD1">
        <w:rPr>
          <w:rFonts w:ascii="Book Antiqua" w:hAnsi="Book Antiqua"/>
          <w:b/>
          <w:vertAlign w:val="subscript"/>
        </w:rPr>
        <w:t>0</w:t>
      </w:r>
      <w:r w:rsidRPr="00014BD1">
        <w:rPr>
          <w:rFonts w:ascii="Book Antiqua" w:hAnsi="Book Antiqua"/>
          <w:b/>
        </w:rPr>
        <w:t>S</w:t>
      </w:r>
      <w:r w:rsidRPr="00014BD1">
        <w:rPr>
          <w:rFonts w:ascii="Book Antiqua" w:hAnsi="Book Antiqua"/>
          <w:b/>
          <w:vertAlign w:val="subscript"/>
        </w:rPr>
        <w:t>2</w:t>
      </w:r>
      <w:r w:rsidRPr="00014BD1">
        <w:rPr>
          <w:rFonts w:ascii="Book Antiqua" w:hAnsi="Book Antiqua"/>
          <w:b/>
        </w:rPr>
        <w:t xml:space="preserve"> among tissue samples in the microarray data</w:t>
      </w:r>
    </w:p>
    <w:tbl>
      <w:tblPr>
        <w:tblW w:w="14860" w:type="dxa"/>
        <w:tblInd w:w="93" w:type="dxa"/>
        <w:tblLook w:val="04A0"/>
      </w:tblPr>
      <w:tblGrid>
        <w:gridCol w:w="3640"/>
        <w:gridCol w:w="2140"/>
        <w:gridCol w:w="1400"/>
        <w:gridCol w:w="1320"/>
        <w:gridCol w:w="2060"/>
        <w:gridCol w:w="2140"/>
        <w:gridCol w:w="2160"/>
      </w:tblGrid>
      <w:tr w:rsidR="00E163AB" w:rsidRPr="00014BD1" w:rsidTr="00E163AB">
        <w:trPr>
          <w:trHeight w:val="300"/>
        </w:trPr>
        <w:tc>
          <w:tcPr>
            <w:tcW w:w="3640" w:type="dxa"/>
            <w:tcBorders>
              <w:top w:val="single" w:sz="8" w:space="0" w:color="000000"/>
              <w:left w:val="nil"/>
              <w:bottom w:val="single" w:sz="8" w:space="0" w:color="000000"/>
              <w:right w:val="nil"/>
            </w:tcBorders>
            <w:noWrap/>
            <w:hideMark/>
          </w:tcPr>
          <w:p w:rsidR="00E163AB" w:rsidRPr="00014BD1" w:rsidRDefault="00E163AB" w:rsidP="00E163AB">
            <w:pPr>
              <w:widowControl/>
              <w:spacing w:line="360" w:lineRule="auto"/>
              <w:rPr>
                <w:rFonts w:ascii="Book Antiqua" w:eastAsia="宋体" w:hAnsi="Book Antiqua" w:cs="宋体"/>
                <w:b/>
                <w:bCs/>
                <w:color w:val="000000"/>
                <w:kern w:val="0"/>
                <w:sz w:val="24"/>
                <w:szCs w:val="24"/>
              </w:rPr>
            </w:pPr>
            <w:r w:rsidRPr="00014BD1">
              <w:rPr>
                <w:rFonts w:ascii="Book Antiqua" w:eastAsia="宋体" w:hAnsi="Book Antiqua" w:cs="宋体"/>
                <w:b/>
                <w:bCs/>
                <w:i/>
                <w:color w:val="000000"/>
                <w:kern w:val="0"/>
                <w:sz w:val="24"/>
                <w:szCs w:val="24"/>
              </w:rPr>
              <w:t>T</w:t>
            </w:r>
            <w:r w:rsidRPr="00014BD1">
              <w:rPr>
                <w:rFonts w:ascii="Book Antiqua" w:eastAsia="宋体" w:hAnsi="Book Antiqua" w:cs="宋体"/>
                <w:b/>
                <w:bCs/>
                <w:color w:val="000000"/>
                <w:kern w:val="0"/>
                <w:sz w:val="24"/>
                <w:szCs w:val="24"/>
              </w:rPr>
              <w:t xml:space="preserve"> </w:t>
            </w:r>
            <w:r w:rsidR="00397978" w:rsidRPr="00014BD1">
              <w:rPr>
                <w:rFonts w:ascii="Book Antiqua" w:eastAsia="宋体" w:hAnsi="Book Antiqua" w:cs="宋体"/>
                <w:b/>
                <w:bCs/>
                <w:color w:val="000000"/>
                <w:kern w:val="0"/>
                <w:sz w:val="24"/>
                <w:szCs w:val="24"/>
              </w:rPr>
              <w:t>t</w:t>
            </w:r>
            <w:r w:rsidRPr="00014BD1">
              <w:rPr>
                <w:rFonts w:ascii="Book Antiqua" w:eastAsia="宋体" w:hAnsi="Book Antiqua" w:cs="宋体"/>
                <w:b/>
                <w:bCs/>
                <w:color w:val="000000"/>
                <w:kern w:val="0"/>
                <w:sz w:val="24"/>
                <w:szCs w:val="24"/>
              </w:rPr>
              <w:t>est unpaired of G0S2</w:t>
            </w:r>
          </w:p>
        </w:tc>
        <w:tc>
          <w:tcPr>
            <w:tcW w:w="2140" w:type="dxa"/>
            <w:tcBorders>
              <w:top w:val="single" w:sz="8" w:space="0" w:color="000000"/>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i/>
                <w:color w:val="000000"/>
                <w:kern w:val="0"/>
                <w:sz w:val="24"/>
                <w:szCs w:val="24"/>
              </w:rPr>
              <w:t>P</w:t>
            </w:r>
            <w:r w:rsidRPr="00014BD1">
              <w:rPr>
                <w:rFonts w:ascii="Book Antiqua" w:eastAsia="宋体" w:hAnsi="Book Antiqua" w:cs="宋体"/>
                <w:b/>
                <w:bCs/>
                <w:color w:val="000000"/>
                <w:kern w:val="0"/>
                <w:sz w:val="24"/>
                <w:szCs w:val="24"/>
              </w:rPr>
              <w:t xml:space="preserve"> value (</w:t>
            </w:r>
            <w:r w:rsidR="00397978" w:rsidRPr="00014BD1">
              <w:rPr>
                <w:rFonts w:ascii="Book Antiqua" w:eastAsia="宋体" w:hAnsi="Book Antiqua" w:cs="宋体"/>
                <w:b/>
                <w:bCs/>
                <w:color w:val="000000"/>
                <w:kern w:val="0"/>
                <w:sz w:val="24"/>
                <w:szCs w:val="24"/>
              </w:rPr>
              <w:t>c</w:t>
            </w:r>
            <w:r w:rsidRPr="00014BD1">
              <w:rPr>
                <w:rFonts w:ascii="Book Antiqua" w:eastAsia="宋体" w:hAnsi="Book Antiqua" w:cs="宋体"/>
                <w:b/>
                <w:bCs/>
                <w:color w:val="000000"/>
                <w:kern w:val="0"/>
                <w:sz w:val="24"/>
                <w:szCs w:val="24"/>
              </w:rPr>
              <w:t>orr)</w:t>
            </w:r>
          </w:p>
        </w:tc>
        <w:tc>
          <w:tcPr>
            <w:tcW w:w="1400" w:type="dxa"/>
            <w:tcBorders>
              <w:top w:val="single" w:sz="8" w:space="0" w:color="000000"/>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i/>
                <w:color w:val="000000"/>
                <w:kern w:val="0"/>
                <w:sz w:val="24"/>
                <w:szCs w:val="24"/>
              </w:rPr>
              <w:t>P</w:t>
            </w:r>
            <w:r w:rsidRPr="00014BD1">
              <w:rPr>
                <w:rFonts w:ascii="Book Antiqua" w:eastAsia="宋体" w:hAnsi="Book Antiqua" w:cs="宋体"/>
                <w:b/>
                <w:bCs/>
                <w:color w:val="000000"/>
                <w:kern w:val="0"/>
                <w:sz w:val="24"/>
                <w:szCs w:val="24"/>
              </w:rPr>
              <w:t xml:space="preserve"> value</w:t>
            </w:r>
          </w:p>
        </w:tc>
        <w:tc>
          <w:tcPr>
            <w:tcW w:w="1320" w:type="dxa"/>
            <w:tcBorders>
              <w:top w:val="single" w:sz="8" w:space="0" w:color="000000"/>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FC (abs)</w:t>
            </w:r>
          </w:p>
        </w:tc>
        <w:tc>
          <w:tcPr>
            <w:tcW w:w="2060" w:type="dxa"/>
            <w:tcBorders>
              <w:top w:val="single" w:sz="8" w:space="0" w:color="000000"/>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Direction</w:t>
            </w:r>
          </w:p>
        </w:tc>
        <w:tc>
          <w:tcPr>
            <w:tcW w:w="2140" w:type="dxa"/>
            <w:tcBorders>
              <w:top w:val="single" w:sz="8" w:space="0" w:color="000000"/>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 xml:space="preserve">Probe </w:t>
            </w:r>
            <w:r w:rsidR="00A47220" w:rsidRPr="00014BD1">
              <w:rPr>
                <w:rFonts w:ascii="Book Antiqua" w:eastAsia="宋体" w:hAnsi="Book Antiqua" w:cs="宋体"/>
                <w:b/>
                <w:bCs/>
                <w:color w:val="000000"/>
                <w:kern w:val="0"/>
                <w:sz w:val="24"/>
                <w:szCs w:val="24"/>
              </w:rPr>
              <w:t>n</w:t>
            </w:r>
            <w:r w:rsidRPr="00014BD1">
              <w:rPr>
                <w:rFonts w:ascii="Book Antiqua" w:eastAsia="宋体" w:hAnsi="Book Antiqua" w:cs="宋体"/>
                <w:b/>
                <w:bCs/>
                <w:color w:val="000000"/>
                <w:kern w:val="0"/>
                <w:sz w:val="24"/>
                <w:szCs w:val="24"/>
              </w:rPr>
              <w:t>ame</w:t>
            </w:r>
          </w:p>
        </w:tc>
        <w:tc>
          <w:tcPr>
            <w:tcW w:w="2160" w:type="dxa"/>
            <w:tcBorders>
              <w:top w:val="single" w:sz="8" w:space="0" w:color="000000"/>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b/>
                <w:bCs/>
                <w:color w:val="000000"/>
                <w:kern w:val="0"/>
                <w:sz w:val="24"/>
                <w:szCs w:val="24"/>
              </w:rPr>
            </w:pPr>
            <w:r w:rsidRPr="00014BD1">
              <w:rPr>
                <w:rFonts w:ascii="Book Antiqua" w:eastAsia="宋体" w:hAnsi="Book Antiqua" w:cs="宋体"/>
                <w:b/>
                <w:bCs/>
                <w:color w:val="000000"/>
                <w:kern w:val="0"/>
                <w:sz w:val="24"/>
                <w:szCs w:val="24"/>
              </w:rPr>
              <w:t xml:space="preserve">Gene </w:t>
            </w:r>
            <w:r w:rsidR="00A47220" w:rsidRPr="00014BD1">
              <w:rPr>
                <w:rFonts w:ascii="Book Antiqua" w:eastAsia="宋体" w:hAnsi="Book Antiqua" w:cs="宋体"/>
                <w:b/>
                <w:bCs/>
                <w:color w:val="000000"/>
                <w:kern w:val="0"/>
                <w:sz w:val="24"/>
                <w:szCs w:val="24"/>
              </w:rPr>
              <w:t>symbol description</w:t>
            </w:r>
          </w:p>
        </w:tc>
      </w:tr>
      <w:tr w:rsidR="00E163AB" w:rsidRPr="00014BD1" w:rsidTr="00E163AB">
        <w:trPr>
          <w:trHeight w:val="285"/>
        </w:trPr>
        <w:tc>
          <w:tcPr>
            <w:tcW w:w="3640" w:type="dxa"/>
            <w:tcBorders>
              <w:top w:val="nil"/>
              <w:left w:val="nil"/>
              <w:bottom w:val="nil"/>
              <w:right w:val="nil"/>
            </w:tcBorders>
            <w:noWrap/>
            <w:hideMark/>
          </w:tcPr>
          <w:p w:rsidR="00E163AB" w:rsidRPr="00014BD1" w:rsidRDefault="00E163AB"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 xml:space="preserve">HGIN </w:t>
            </w:r>
            <w:r w:rsidR="00397978" w:rsidRPr="00014BD1">
              <w:rPr>
                <w:rFonts w:ascii="Book Antiqua" w:eastAsia="宋体" w:hAnsi="Book Antiqua" w:cs="宋体"/>
                <w:bCs/>
                <w:i/>
                <w:color w:val="000000"/>
                <w:kern w:val="0"/>
                <w:sz w:val="24"/>
                <w:szCs w:val="24"/>
              </w:rPr>
              <w:t>vs</w:t>
            </w:r>
            <w:r w:rsidRPr="00014BD1">
              <w:rPr>
                <w:rFonts w:ascii="Book Antiqua" w:eastAsia="宋体" w:hAnsi="Book Antiqua" w:cs="宋体"/>
                <w:bCs/>
                <w:color w:val="000000"/>
                <w:kern w:val="0"/>
                <w:sz w:val="24"/>
                <w:szCs w:val="24"/>
              </w:rPr>
              <w:t xml:space="preserve"> LGIN</w:t>
            </w:r>
          </w:p>
        </w:tc>
        <w:tc>
          <w:tcPr>
            <w:tcW w:w="214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0.021</w:t>
            </w:r>
          </w:p>
        </w:tc>
        <w:tc>
          <w:tcPr>
            <w:tcW w:w="140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0.001</w:t>
            </w:r>
          </w:p>
        </w:tc>
        <w:tc>
          <w:tcPr>
            <w:tcW w:w="132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3.28</w:t>
            </w:r>
          </w:p>
        </w:tc>
        <w:tc>
          <w:tcPr>
            <w:tcW w:w="206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Up in HGIN</w:t>
            </w:r>
          </w:p>
        </w:tc>
        <w:tc>
          <w:tcPr>
            <w:tcW w:w="2140" w:type="dxa"/>
            <w:vMerge w:val="restart"/>
            <w:tcBorders>
              <w:top w:val="nil"/>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A_23_P74609</w:t>
            </w:r>
          </w:p>
        </w:tc>
        <w:tc>
          <w:tcPr>
            <w:tcW w:w="2160" w:type="dxa"/>
            <w:vMerge w:val="restart"/>
            <w:tcBorders>
              <w:top w:val="nil"/>
              <w:left w:val="nil"/>
              <w:bottom w:val="single" w:sz="8" w:space="0" w:color="000000"/>
              <w:right w:val="nil"/>
            </w:tcBorders>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Homo sapiens G</w:t>
            </w:r>
            <w:r w:rsidRPr="00014BD1">
              <w:rPr>
                <w:rFonts w:ascii="Book Antiqua" w:eastAsia="宋体" w:hAnsi="Book Antiqua" w:cs="宋体"/>
                <w:color w:val="000000"/>
                <w:kern w:val="0"/>
                <w:sz w:val="24"/>
                <w:szCs w:val="24"/>
                <w:vertAlign w:val="subscript"/>
              </w:rPr>
              <w:t>0</w:t>
            </w:r>
            <w:r w:rsidRPr="00014BD1">
              <w:rPr>
                <w:rFonts w:ascii="Book Antiqua" w:eastAsia="宋体" w:hAnsi="Book Antiqua" w:cs="宋体"/>
                <w:color w:val="000000"/>
                <w:kern w:val="0"/>
                <w:sz w:val="24"/>
                <w:szCs w:val="24"/>
              </w:rPr>
              <w:t>/G</w:t>
            </w:r>
            <w:r w:rsidRPr="00014BD1">
              <w:rPr>
                <w:rFonts w:ascii="Book Antiqua" w:eastAsia="宋体" w:hAnsi="Book Antiqua" w:cs="宋体"/>
                <w:color w:val="000000"/>
                <w:kern w:val="0"/>
                <w:sz w:val="24"/>
                <w:szCs w:val="24"/>
                <w:vertAlign w:val="subscript"/>
              </w:rPr>
              <w:t>1</w:t>
            </w:r>
            <w:r w:rsidRPr="00014BD1">
              <w:rPr>
                <w:rFonts w:ascii="Book Antiqua" w:eastAsia="宋体" w:hAnsi="Book Antiqua" w:cs="宋体"/>
                <w:color w:val="000000"/>
                <w:kern w:val="0"/>
                <w:sz w:val="24"/>
                <w:szCs w:val="24"/>
              </w:rPr>
              <w:t xml:space="preserve"> switch 2 (G</w:t>
            </w:r>
            <w:r w:rsidRPr="00014BD1">
              <w:rPr>
                <w:rFonts w:ascii="Book Antiqua" w:eastAsia="宋体" w:hAnsi="Book Antiqua" w:cs="宋体"/>
                <w:color w:val="000000"/>
                <w:kern w:val="0"/>
                <w:sz w:val="24"/>
                <w:szCs w:val="24"/>
                <w:vertAlign w:val="subscript"/>
              </w:rPr>
              <w:t>0</w:t>
            </w:r>
            <w:r w:rsidRPr="00014BD1">
              <w:rPr>
                <w:rFonts w:ascii="Book Antiqua" w:eastAsia="宋体" w:hAnsi="Book Antiqua" w:cs="宋体"/>
                <w:color w:val="000000"/>
                <w:kern w:val="0"/>
                <w:sz w:val="24"/>
                <w:szCs w:val="24"/>
              </w:rPr>
              <w:t>S</w:t>
            </w:r>
            <w:r w:rsidRPr="00014BD1">
              <w:rPr>
                <w:rFonts w:ascii="Book Antiqua" w:eastAsia="宋体" w:hAnsi="Book Antiqua" w:cs="宋体"/>
                <w:color w:val="000000"/>
                <w:kern w:val="0"/>
                <w:sz w:val="24"/>
                <w:szCs w:val="24"/>
                <w:vertAlign w:val="subscript"/>
              </w:rPr>
              <w:t>2</w:t>
            </w:r>
            <w:r w:rsidRPr="00014BD1">
              <w:rPr>
                <w:rFonts w:ascii="Book Antiqua" w:eastAsia="宋体" w:hAnsi="Book Antiqua" w:cs="宋体"/>
                <w:color w:val="000000"/>
                <w:kern w:val="0"/>
                <w:sz w:val="24"/>
                <w:szCs w:val="24"/>
              </w:rPr>
              <w:t>), mRNA NM_015714</w:t>
            </w:r>
          </w:p>
        </w:tc>
      </w:tr>
      <w:tr w:rsidR="00E163AB" w:rsidRPr="00014BD1" w:rsidTr="00E163AB">
        <w:trPr>
          <w:trHeight w:val="285"/>
        </w:trPr>
        <w:tc>
          <w:tcPr>
            <w:tcW w:w="3640" w:type="dxa"/>
            <w:tcBorders>
              <w:top w:val="nil"/>
              <w:left w:val="nil"/>
              <w:bottom w:val="nil"/>
              <w:right w:val="nil"/>
            </w:tcBorders>
            <w:noWrap/>
            <w:hideMark/>
          </w:tcPr>
          <w:p w:rsidR="00E163AB" w:rsidRPr="00014BD1" w:rsidRDefault="00E163AB"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 xml:space="preserve">EGC </w:t>
            </w:r>
            <w:r w:rsidR="00397978" w:rsidRPr="00014BD1">
              <w:rPr>
                <w:rFonts w:ascii="Book Antiqua" w:eastAsia="宋体" w:hAnsi="Book Antiqua" w:cs="宋体"/>
                <w:bCs/>
                <w:i/>
                <w:color w:val="000000"/>
                <w:kern w:val="0"/>
                <w:sz w:val="24"/>
                <w:szCs w:val="24"/>
              </w:rPr>
              <w:t>vs</w:t>
            </w:r>
            <w:r w:rsidRPr="00014BD1">
              <w:rPr>
                <w:rFonts w:ascii="Book Antiqua" w:eastAsia="宋体" w:hAnsi="Book Antiqua" w:cs="宋体"/>
                <w:bCs/>
                <w:color w:val="000000"/>
                <w:kern w:val="0"/>
                <w:sz w:val="24"/>
                <w:szCs w:val="24"/>
              </w:rPr>
              <w:t xml:space="preserve"> LGIN</w:t>
            </w:r>
          </w:p>
        </w:tc>
        <w:tc>
          <w:tcPr>
            <w:tcW w:w="214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&lt;</w:t>
            </w:r>
            <w:r w:rsidR="00397978" w:rsidRPr="00014BD1">
              <w:rPr>
                <w:rFonts w:ascii="Book Antiqua" w:eastAsia="宋体" w:hAnsi="Book Antiqua" w:cs="宋体"/>
                <w:color w:val="000000"/>
                <w:kern w:val="0"/>
                <w:sz w:val="24"/>
                <w:szCs w:val="24"/>
              </w:rPr>
              <w:t xml:space="preserve"> </w:t>
            </w:r>
            <w:r w:rsidRPr="00014BD1">
              <w:rPr>
                <w:rFonts w:ascii="Book Antiqua" w:eastAsia="宋体" w:hAnsi="Book Antiqua" w:cs="宋体"/>
                <w:color w:val="000000"/>
                <w:kern w:val="0"/>
                <w:sz w:val="24"/>
                <w:szCs w:val="24"/>
              </w:rPr>
              <w:t>0.001</w:t>
            </w:r>
          </w:p>
        </w:tc>
        <w:tc>
          <w:tcPr>
            <w:tcW w:w="140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&lt;</w:t>
            </w:r>
            <w:r w:rsidR="00397978" w:rsidRPr="00014BD1">
              <w:rPr>
                <w:rFonts w:ascii="Book Antiqua" w:eastAsia="宋体" w:hAnsi="Book Antiqua" w:cs="宋体"/>
                <w:color w:val="000000"/>
                <w:kern w:val="0"/>
                <w:sz w:val="24"/>
                <w:szCs w:val="24"/>
              </w:rPr>
              <w:t xml:space="preserve"> </w:t>
            </w:r>
            <w:r w:rsidRPr="00014BD1">
              <w:rPr>
                <w:rFonts w:ascii="Book Antiqua" w:eastAsia="宋体" w:hAnsi="Book Antiqua" w:cs="宋体"/>
                <w:color w:val="000000"/>
                <w:kern w:val="0"/>
                <w:sz w:val="24"/>
                <w:szCs w:val="24"/>
              </w:rPr>
              <w:t>0.001</w:t>
            </w:r>
          </w:p>
        </w:tc>
        <w:tc>
          <w:tcPr>
            <w:tcW w:w="132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6</w:t>
            </w:r>
          </w:p>
        </w:tc>
        <w:tc>
          <w:tcPr>
            <w:tcW w:w="206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Up in EGC</w:t>
            </w:r>
          </w:p>
        </w:tc>
        <w:tc>
          <w:tcPr>
            <w:tcW w:w="214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c>
          <w:tcPr>
            <w:tcW w:w="216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r>
      <w:tr w:rsidR="00E163AB" w:rsidRPr="00014BD1" w:rsidTr="00E163AB">
        <w:trPr>
          <w:trHeight w:val="285"/>
        </w:trPr>
        <w:tc>
          <w:tcPr>
            <w:tcW w:w="3640" w:type="dxa"/>
            <w:tcBorders>
              <w:top w:val="nil"/>
              <w:left w:val="nil"/>
              <w:bottom w:val="nil"/>
              <w:right w:val="nil"/>
            </w:tcBorders>
            <w:noWrap/>
            <w:hideMark/>
          </w:tcPr>
          <w:p w:rsidR="00E163AB" w:rsidRPr="00014BD1" w:rsidRDefault="00E163AB"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 xml:space="preserve">HGIN </w:t>
            </w:r>
            <w:r w:rsidR="00397978" w:rsidRPr="00014BD1">
              <w:rPr>
                <w:rFonts w:ascii="Book Antiqua" w:eastAsia="宋体" w:hAnsi="Book Antiqua" w:cs="宋体"/>
                <w:bCs/>
                <w:i/>
                <w:color w:val="000000"/>
                <w:kern w:val="0"/>
                <w:sz w:val="24"/>
                <w:szCs w:val="24"/>
              </w:rPr>
              <w:t>vs</w:t>
            </w:r>
            <w:r w:rsidRPr="00014BD1">
              <w:rPr>
                <w:rFonts w:ascii="Book Antiqua" w:eastAsia="宋体" w:hAnsi="Book Antiqua" w:cs="宋体"/>
                <w:bCs/>
                <w:color w:val="000000"/>
                <w:kern w:val="0"/>
                <w:sz w:val="24"/>
                <w:szCs w:val="24"/>
              </w:rPr>
              <w:t xml:space="preserve"> Gastritis</w:t>
            </w:r>
          </w:p>
        </w:tc>
        <w:tc>
          <w:tcPr>
            <w:tcW w:w="214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0.005</w:t>
            </w:r>
          </w:p>
        </w:tc>
        <w:tc>
          <w:tcPr>
            <w:tcW w:w="140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0.001</w:t>
            </w:r>
          </w:p>
        </w:tc>
        <w:tc>
          <w:tcPr>
            <w:tcW w:w="132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3.19</w:t>
            </w:r>
          </w:p>
        </w:tc>
        <w:tc>
          <w:tcPr>
            <w:tcW w:w="206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Up in HGIN</w:t>
            </w:r>
          </w:p>
        </w:tc>
        <w:tc>
          <w:tcPr>
            <w:tcW w:w="214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c>
          <w:tcPr>
            <w:tcW w:w="216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r>
      <w:tr w:rsidR="00E163AB" w:rsidRPr="00014BD1" w:rsidTr="00E163AB">
        <w:trPr>
          <w:trHeight w:val="285"/>
        </w:trPr>
        <w:tc>
          <w:tcPr>
            <w:tcW w:w="3640" w:type="dxa"/>
            <w:tcBorders>
              <w:top w:val="nil"/>
              <w:left w:val="nil"/>
              <w:bottom w:val="nil"/>
              <w:right w:val="nil"/>
            </w:tcBorders>
            <w:noWrap/>
            <w:hideMark/>
          </w:tcPr>
          <w:p w:rsidR="00E163AB" w:rsidRPr="00014BD1" w:rsidRDefault="00E163AB"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 xml:space="preserve">EGC </w:t>
            </w:r>
            <w:r w:rsidR="00397978" w:rsidRPr="00014BD1">
              <w:rPr>
                <w:rFonts w:ascii="Book Antiqua" w:eastAsia="宋体" w:hAnsi="Book Antiqua" w:cs="宋体"/>
                <w:bCs/>
                <w:i/>
                <w:color w:val="000000"/>
                <w:kern w:val="0"/>
                <w:sz w:val="24"/>
                <w:szCs w:val="24"/>
              </w:rPr>
              <w:t>vs</w:t>
            </w:r>
            <w:r w:rsidRPr="00014BD1">
              <w:rPr>
                <w:rFonts w:ascii="Book Antiqua" w:eastAsia="宋体" w:hAnsi="Book Antiqua" w:cs="宋体"/>
                <w:bCs/>
                <w:color w:val="000000"/>
                <w:kern w:val="0"/>
                <w:sz w:val="24"/>
                <w:szCs w:val="24"/>
              </w:rPr>
              <w:t xml:space="preserve"> Gastritis</w:t>
            </w:r>
          </w:p>
        </w:tc>
        <w:tc>
          <w:tcPr>
            <w:tcW w:w="214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&lt;</w:t>
            </w:r>
            <w:r w:rsidR="00397978" w:rsidRPr="00014BD1">
              <w:rPr>
                <w:rFonts w:ascii="Book Antiqua" w:eastAsia="宋体" w:hAnsi="Book Antiqua" w:cs="宋体"/>
                <w:color w:val="000000"/>
                <w:kern w:val="0"/>
                <w:sz w:val="24"/>
                <w:szCs w:val="24"/>
              </w:rPr>
              <w:t xml:space="preserve"> </w:t>
            </w:r>
            <w:r w:rsidRPr="00014BD1">
              <w:rPr>
                <w:rFonts w:ascii="Book Antiqua" w:eastAsia="宋体" w:hAnsi="Book Antiqua" w:cs="宋体"/>
                <w:color w:val="000000"/>
                <w:kern w:val="0"/>
                <w:sz w:val="24"/>
                <w:szCs w:val="24"/>
              </w:rPr>
              <w:t>0.001</w:t>
            </w:r>
          </w:p>
        </w:tc>
        <w:tc>
          <w:tcPr>
            <w:tcW w:w="140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&lt;</w:t>
            </w:r>
            <w:r w:rsidR="00397978" w:rsidRPr="00014BD1">
              <w:rPr>
                <w:rFonts w:ascii="Book Antiqua" w:eastAsia="宋体" w:hAnsi="Book Antiqua" w:cs="宋体"/>
                <w:color w:val="000000"/>
                <w:kern w:val="0"/>
                <w:sz w:val="24"/>
                <w:szCs w:val="24"/>
              </w:rPr>
              <w:t xml:space="preserve"> </w:t>
            </w:r>
            <w:r w:rsidRPr="00014BD1">
              <w:rPr>
                <w:rFonts w:ascii="Book Antiqua" w:eastAsia="宋体" w:hAnsi="Book Antiqua" w:cs="宋体"/>
                <w:color w:val="000000"/>
                <w:kern w:val="0"/>
                <w:sz w:val="24"/>
                <w:szCs w:val="24"/>
              </w:rPr>
              <w:t>0.001</w:t>
            </w:r>
          </w:p>
        </w:tc>
        <w:tc>
          <w:tcPr>
            <w:tcW w:w="132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5.83</w:t>
            </w:r>
          </w:p>
        </w:tc>
        <w:tc>
          <w:tcPr>
            <w:tcW w:w="206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Up in EGC</w:t>
            </w:r>
          </w:p>
        </w:tc>
        <w:tc>
          <w:tcPr>
            <w:tcW w:w="214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c>
          <w:tcPr>
            <w:tcW w:w="216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r>
      <w:tr w:rsidR="00E163AB" w:rsidRPr="00014BD1" w:rsidTr="00E163AB">
        <w:trPr>
          <w:trHeight w:val="285"/>
        </w:trPr>
        <w:tc>
          <w:tcPr>
            <w:tcW w:w="3640" w:type="dxa"/>
            <w:tcBorders>
              <w:top w:val="nil"/>
              <w:left w:val="nil"/>
              <w:bottom w:val="nil"/>
              <w:right w:val="nil"/>
            </w:tcBorders>
            <w:noWrap/>
            <w:hideMark/>
          </w:tcPr>
          <w:p w:rsidR="00E163AB" w:rsidRPr="00014BD1" w:rsidRDefault="00E163AB"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 xml:space="preserve">EGC </w:t>
            </w:r>
            <w:r w:rsidR="00397978" w:rsidRPr="00014BD1">
              <w:rPr>
                <w:rFonts w:ascii="Book Antiqua" w:eastAsia="宋体" w:hAnsi="Book Antiqua" w:cs="宋体"/>
                <w:bCs/>
                <w:i/>
                <w:color w:val="000000"/>
                <w:kern w:val="0"/>
                <w:sz w:val="24"/>
                <w:szCs w:val="24"/>
              </w:rPr>
              <w:t>vs</w:t>
            </w:r>
            <w:r w:rsidRPr="00014BD1">
              <w:rPr>
                <w:rFonts w:ascii="Book Antiqua" w:eastAsia="宋体" w:hAnsi="Book Antiqua" w:cs="宋体"/>
                <w:bCs/>
                <w:color w:val="000000"/>
                <w:kern w:val="0"/>
                <w:sz w:val="24"/>
                <w:szCs w:val="24"/>
              </w:rPr>
              <w:t xml:space="preserve"> HGIN</w:t>
            </w:r>
          </w:p>
        </w:tc>
        <w:tc>
          <w:tcPr>
            <w:tcW w:w="214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0.463</w:t>
            </w:r>
          </w:p>
        </w:tc>
        <w:tc>
          <w:tcPr>
            <w:tcW w:w="140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0.103</w:t>
            </w:r>
          </w:p>
        </w:tc>
        <w:tc>
          <w:tcPr>
            <w:tcW w:w="132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1.83</w:t>
            </w:r>
          </w:p>
        </w:tc>
        <w:tc>
          <w:tcPr>
            <w:tcW w:w="2060" w:type="dxa"/>
            <w:tcBorders>
              <w:top w:val="nil"/>
              <w:left w:val="nil"/>
              <w:bottom w:val="nil"/>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Up in EGC</w:t>
            </w:r>
          </w:p>
        </w:tc>
        <w:tc>
          <w:tcPr>
            <w:tcW w:w="214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c>
          <w:tcPr>
            <w:tcW w:w="216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r>
      <w:tr w:rsidR="00E163AB" w:rsidRPr="00014BD1" w:rsidTr="00E163AB">
        <w:trPr>
          <w:trHeight w:val="300"/>
        </w:trPr>
        <w:tc>
          <w:tcPr>
            <w:tcW w:w="3640" w:type="dxa"/>
            <w:tcBorders>
              <w:top w:val="nil"/>
              <w:left w:val="nil"/>
              <w:bottom w:val="single" w:sz="8" w:space="0" w:color="000000"/>
              <w:right w:val="nil"/>
            </w:tcBorders>
            <w:noWrap/>
            <w:hideMark/>
          </w:tcPr>
          <w:p w:rsidR="00E163AB" w:rsidRPr="00014BD1" w:rsidRDefault="00E163AB" w:rsidP="00E163AB">
            <w:pPr>
              <w:widowControl/>
              <w:spacing w:line="360" w:lineRule="auto"/>
              <w:rPr>
                <w:rFonts w:ascii="Book Antiqua" w:eastAsia="宋体" w:hAnsi="Book Antiqua" w:cs="宋体"/>
                <w:bCs/>
                <w:color w:val="000000"/>
                <w:kern w:val="0"/>
                <w:sz w:val="24"/>
                <w:szCs w:val="24"/>
              </w:rPr>
            </w:pPr>
            <w:r w:rsidRPr="00014BD1">
              <w:rPr>
                <w:rFonts w:ascii="Book Antiqua" w:eastAsia="宋体" w:hAnsi="Book Antiqua" w:cs="宋体"/>
                <w:bCs/>
                <w:color w:val="000000"/>
                <w:kern w:val="0"/>
                <w:sz w:val="24"/>
                <w:szCs w:val="24"/>
              </w:rPr>
              <w:t xml:space="preserve">LGIN </w:t>
            </w:r>
            <w:r w:rsidR="00397978" w:rsidRPr="00014BD1">
              <w:rPr>
                <w:rFonts w:ascii="Book Antiqua" w:eastAsia="宋体" w:hAnsi="Book Antiqua" w:cs="宋体"/>
                <w:bCs/>
                <w:i/>
                <w:color w:val="000000"/>
                <w:kern w:val="0"/>
                <w:sz w:val="24"/>
                <w:szCs w:val="24"/>
              </w:rPr>
              <w:t>vs</w:t>
            </w:r>
            <w:r w:rsidRPr="00014BD1">
              <w:rPr>
                <w:rFonts w:ascii="Book Antiqua" w:eastAsia="宋体" w:hAnsi="Book Antiqua" w:cs="宋体"/>
                <w:bCs/>
                <w:color w:val="000000"/>
                <w:kern w:val="0"/>
                <w:sz w:val="24"/>
                <w:szCs w:val="24"/>
              </w:rPr>
              <w:t xml:space="preserve"> Gastritis</w:t>
            </w:r>
          </w:p>
        </w:tc>
        <w:tc>
          <w:tcPr>
            <w:tcW w:w="2140" w:type="dxa"/>
            <w:tcBorders>
              <w:top w:val="nil"/>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0.946</w:t>
            </w:r>
          </w:p>
        </w:tc>
        <w:tc>
          <w:tcPr>
            <w:tcW w:w="1400" w:type="dxa"/>
            <w:tcBorders>
              <w:top w:val="nil"/>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0.927</w:t>
            </w:r>
          </w:p>
        </w:tc>
        <w:tc>
          <w:tcPr>
            <w:tcW w:w="1320" w:type="dxa"/>
            <w:tcBorders>
              <w:top w:val="nil"/>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1.03</w:t>
            </w:r>
          </w:p>
        </w:tc>
        <w:tc>
          <w:tcPr>
            <w:tcW w:w="2060" w:type="dxa"/>
            <w:tcBorders>
              <w:top w:val="nil"/>
              <w:left w:val="nil"/>
              <w:bottom w:val="single" w:sz="8" w:space="0" w:color="000000"/>
              <w:right w:val="nil"/>
            </w:tcBorders>
            <w:noWrap/>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r w:rsidRPr="00014BD1">
              <w:rPr>
                <w:rFonts w:ascii="Book Antiqua" w:eastAsia="宋体" w:hAnsi="Book Antiqua" w:cs="宋体"/>
                <w:color w:val="000000"/>
                <w:kern w:val="0"/>
                <w:sz w:val="24"/>
                <w:szCs w:val="24"/>
              </w:rPr>
              <w:t>Down in LGIN</w:t>
            </w:r>
          </w:p>
        </w:tc>
        <w:tc>
          <w:tcPr>
            <w:tcW w:w="214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c>
          <w:tcPr>
            <w:tcW w:w="2160" w:type="dxa"/>
            <w:vMerge/>
            <w:tcBorders>
              <w:top w:val="nil"/>
              <w:left w:val="nil"/>
              <w:bottom w:val="single" w:sz="8" w:space="0" w:color="000000"/>
              <w:right w:val="nil"/>
            </w:tcBorders>
            <w:vAlign w:val="center"/>
            <w:hideMark/>
          </w:tcPr>
          <w:p w:rsidR="00E163AB" w:rsidRPr="00014BD1" w:rsidRDefault="00E163AB" w:rsidP="00397978">
            <w:pPr>
              <w:widowControl/>
              <w:spacing w:line="360" w:lineRule="auto"/>
              <w:jc w:val="center"/>
              <w:rPr>
                <w:rFonts w:ascii="Book Antiqua" w:eastAsia="宋体" w:hAnsi="Book Antiqua" w:cs="宋体"/>
                <w:color w:val="000000"/>
                <w:kern w:val="0"/>
                <w:sz w:val="24"/>
                <w:szCs w:val="24"/>
              </w:rPr>
            </w:pPr>
          </w:p>
        </w:tc>
      </w:tr>
    </w:tbl>
    <w:p w:rsidR="00E163AB" w:rsidRPr="00014BD1" w:rsidRDefault="00397978" w:rsidP="00E163AB">
      <w:pPr>
        <w:pStyle w:val="Default"/>
        <w:spacing w:line="360" w:lineRule="auto"/>
        <w:jc w:val="both"/>
        <w:rPr>
          <w:rFonts w:ascii="Book Antiqua" w:eastAsia="宋体" w:hAnsi="Book Antiqua"/>
        </w:rPr>
      </w:pPr>
      <w:r w:rsidRPr="00014BD1">
        <w:rPr>
          <w:rFonts w:ascii="Book Antiqua" w:hAnsi="Book Antiqua"/>
        </w:rPr>
        <w:t>LGIN: Low-grade intraepithelial neoplasia</w:t>
      </w:r>
      <w:r w:rsidRPr="00014BD1">
        <w:rPr>
          <w:rFonts w:ascii="Book Antiqua" w:eastAsia="宋体" w:hAnsi="Book Antiqua"/>
        </w:rPr>
        <w:t xml:space="preserve">; </w:t>
      </w:r>
      <w:r w:rsidRPr="00014BD1">
        <w:rPr>
          <w:rFonts w:ascii="Book Antiqua" w:hAnsi="Book Antiqua"/>
        </w:rPr>
        <w:t>EGC: Early-stage adenocarcinoma; HGIN: High-grade intraepithelial neoplasia</w:t>
      </w:r>
      <w:r w:rsidRPr="00014BD1">
        <w:rPr>
          <w:rFonts w:ascii="Book Antiqua" w:eastAsia="宋体" w:hAnsi="Book Antiqua"/>
        </w:rPr>
        <w:t>.</w:t>
      </w:r>
    </w:p>
    <w:p w:rsidR="00496898" w:rsidRPr="00014BD1" w:rsidRDefault="00496898" w:rsidP="00E163AB">
      <w:pPr>
        <w:pStyle w:val="Default"/>
        <w:spacing w:line="360" w:lineRule="auto"/>
        <w:jc w:val="both"/>
        <w:rPr>
          <w:rFonts w:ascii="Book Antiqua" w:hAnsi="Book Antiqua"/>
        </w:rPr>
      </w:pPr>
    </w:p>
    <w:p w:rsidR="00E163AB" w:rsidRPr="00014BD1" w:rsidRDefault="00E163AB" w:rsidP="00E163AB">
      <w:pPr>
        <w:pStyle w:val="Default"/>
        <w:spacing w:line="360" w:lineRule="auto"/>
        <w:jc w:val="both"/>
        <w:rPr>
          <w:rFonts w:ascii="Book Antiqua" w:hAnsi="Book Antiqua"/>
          <w:b/>
        </w:rPr>
      </w:pPr>
      <w:r w:rsidRPr="00014BD1">
        <w:rPr>
          <w:rFonts w:ascii="Book Antiqua" w:hAnsi="Book Antiqua"/>
          <w:b/>
        </w:rPr>
        <w:t>Table 6 Statistical results of the differential expression of G</w:t>
      </w:r>
      <w:r w:rsidRPr="00014BD1">
        <w:rPr>
          <w:rFonts w:ascii="Book Antiqua" w:hAnsi="Book Antiqua"/>
          <w:b/>
          <w:vertAlign w:val="subscript"/>
        </w:rPr>
        <w:t>0</w:t>
      </w:r>
      <w:r w:rsidRPr="00014BD1">
        <w:rPr>
          <w:rFonts w:ascii="Book Antiqua" w:hAnsi="Book Antiqua"/>
          <w:b/>
        </w:rPr>
        <w:t>S</w:t>
      </w:r>
      <w:r w:rsidRPr="00014BD1">
        <w:rPr>
          <w:rFonts w:ascii="Book Antiqua" w:hAnsi="Book Antiqua"/>
          <w:b/>
          <w:vertAlign w:val="subscript"/>
        </w:rPr>
        <w:t xml:space="preserve">2 </w:t>
      </w:r>
      <w:r w:rsidRPr="00014BD1">
        <w:rPr>
          <w:rFonts w:ascii="Book Antiqua" w:hAnsi="Book Antiqua"/>
          <w:b/>
        </w:rPr>
        <w:t>among tissue samples in immunohistochemical staining data</w:t>
      </w:r>
      <w:r w:rsidR="00496898" w:rsidRPr="00014BD1">
        <w:rPr>
          <w:rFonts w:ascii="Book Antiqua" w:hAnsi="Book Antiqua"/>
          <w:b/>
        </w:rPr>
        <w:t xml:space="preserve"> </w:t>
      </w:r>
      <w:r w:rsidR="00496898" w:rsidRPr="00014BD1">
        <w:rPr>
          <w:rFonts w:ascii="Book Antiqua" w:hAnsi="Book Antiqua"/>
          <w:b/>
          <w:i/>
        </w:rPr>
        <w:t>n</w:t>
      </w:r>
      <w:r w:rsidR="00496898" w:rsidRPr="00014BD1">
        <w:rPr>
          <w:rFonts w:ascii="Book Antiqua" w:hAnsi="Book Antiqua"/>
          <w:b/>
        </w:rPr>
        <w:t xml:space="preserve"> (%)</w:t>
      </w:r>
    </w:p>
    <w:tbl>
      <w:tblPr>
        <w:tblW w:w="12620" w:type="dxa"/>
        <w:tblInd w:w="93" w:type="dxa"/>
        <w:tblLook w:val="04A0"/>
      </w:tblPr>
      <w:tblGrid>
        <w:gridCol w:w="2820"/>
        <w:gridCol w:w="3460"/>
        <w:gridCol w:w="2140"/>
        <w:gridCol w:w="4200"/>
      </w:tblGrid>
      <w:tr w:rsidR="00E163AB" w:rsidRPr="00014BD1" w:rsidTr="00E163AB">
        <w:trPr>
          <w:trHeight w:val="330"/>
        </w:trPr>
        <w:tc>
          <w:tcPr>
            <w:tcW w:w="2820" w:type="dxa"/>
            <w:tcBorders>
              <w:top w:val="single" w:sz="8" w:space="0" w:color="auto"/>
              <w:left w:val="nil"/>
              <w:bottom w:val="nil"/>
              <w:right w:val="nil"/>
            </w:tcBorders>
            <w:noWrap/>
            <w:hideMark/>
          </w:tcPr>
          <w:p w:rsidR="00E163AB" w:rsidRPr="00014BD1" w:rsidRDefault="00E163AB" w:rsidP="00E163AB">
            <w:pPr>
              <w:widowControl/>
              <w:spacing w:line="360" w:lineRule="auto"/>
              <w:rPr>
                <w:rFonts w:ascii="Book Antiqua" w:eastAsia="宋体" w:hAnsi="Book Antiqua"/>
                <w:b/>
                <w:color w:val="000000"/>
                <w:kern w:val="0"/>
                <w:sz w:val="24"/>
                <w:szCs w:val="24"/>
              </w:rPr>
            </w:pPr>
            <w:r w:rsidRPr="00014BD1">
              <w:rPr>
                <w:rFonts w:ascii="Book Antiqua" w:eastAsia="宋体" w:hAnsi="Book Antiqua" w:hint="eastAsia"/>
                <w:b/>
                <w:color w:val="000000"/>
                <w:kern w:val="0"/>
                <w:sz w:val="24"/>
                <w:szCs w:val="24"/>
              </w:rPr>
              <w:t xml:space="preserve">　</w:t>
            </w:r>
          </w:p>
        </w:tc>
        <w:tc>
          <w:tcPr>
            <w:tcW w:w="3460" w:type="dxa"/>
            <w:tcBorders>
              <w:top w:val="single" w:sz="8" w:space="0" w:color="auto"/>
              <w:left w:val="nil"/>
              <w:bottom w:val="nil"/>
              <w:right w:val="nil"/>
            </w:tcBorders>
            <w:noWrap/>
            <w:hideMark/>
          </w:tcPr>
          <w:p w:rsidR="00E163AB" w:rsidRPr="00014BD1" w:rsidRDefault="00E163AB" w:rsidP="00496898">
            <w:pPr>
              <w:widowControl/>
              <w:spacing w:line="360" w:lineRule="auto"/>
              <w:jc w:val="center"/>
              <w:rPr>
                <w:rFonts w:ascii="Book Antiqua" w:eastAsia="宋体" w:hAnsi="Book Antiqua"/>
                <w:b/>
                <w:color w:val="000000"/>
                <w:kern w:val="0"/>
                <w:sz w:val="24"/>
                <w:szCs w:val="24"/>
              </w:rPr>
            </w:pPr>
            <w:r w:rsidRPr="00014BD1">
              <w:rPr>
                <w:rFonts w:ascii="Book Antiqua" w:eastAsia="宋体" w:hAnsi="Book Antiqua"/>
                <w:b/>
                <w:color w:val="000000"/>
                <w:kern w:val="0"/>
                <w:sz w:val="24"/>
                <w:szCs w:val="24"/>
              </w:rPr>
              <w:t>G</w:t>
            </w:r>
            <w:r w:rsidRPr="00014BD1">
              <w:rPr>
                <w:rFonts w:ascii="Book Antiqua" w:eastAsia="宋体" w:hAnsi="Book Antiqua"/>
                <w:b/>
                <w:color w:val="000000"/>
                <w:kern w:val="0"/>
                <w:sz w:val="24"/>
                <w:szCs w:val="24"/>
                <w:vertAlign w:val="subscript"/>
              </w:rPr>
              <w:t>0</w:t>
            </w:r>
            <w:r w:rsidRPr="00014BD1">
              <w:rPr>
                <w:rFonts w:ascii="Book Antiqua" w:eastAsia="宋体" w:hAnsi="Book Antiqua"/>
                <w:b/>
                <w:color w:val="000000"/>
                <w:kern w:val="0"/>
                <w:sz w:val="24"/>
                <w:szCs w:val="24"/>
              </w:rPr>
              <w:t>S</w:t>
            </w:r>
            <w:r w:rsidRPr="00014BD1">
              <w:rPr>
                <w:rFonts w:ascii="Book Antiqua" w:eastAsia="宋体" w:hAnsi="Book Antiqua"/>
                <w:b/>
                <w:color w:val="000000"/>
                <w:kern w:val="0"/>
                <w:sz w:val="24"/>
                <w:szCs w:val="24"/>
                <w:vertAlign w:val="subscript"/>
              </w:rPr>
              <w:t>2</w:t>
            </w:r>
            <w:r w:rsidR="00496898" w:rsidRPr="00014BD1">
              <w:rPr>
                <w:rFonts w:ascii="Book Antiqua" w:eastAsia="宋体" w:hAnsi="Book Antiqua"/>
                <w:b/>
                <w:color w:val="000000"/>
                <w:kern w:val="0"/>
                <w:sz w:val="24"/>
                <w:szCs w:val="24"/>
              </w:rPr>
              <w:t xml:space="preserve"> &lt; </w:t>
            </w:r>
            <w:r w:rsidRPr="00014BD1">
              <w:rPr>
                <w:rFonts w:ascii="Book Antiqua" w:eastAsia="宋体" w:hAnsi="Book Antiqua"/>
                <w:b/>
                <w:color w:val="000000"/>
                <w:kern w:val="0"/>
                <w:sz w:val="24"/>
                <w:szCs w:val="24"/>
              </w:rPr>
              <w:t>5 (</w:t>
            </w:r>
            <w:r w:rsidRPr="00014BD1">
              <w:rPr>
                <w:rFonts w:ascii="Book Antiqua" w:eastAsia="宋体" w:hAnsi="Book Antiqua"/>
                <w:b/>
                <w:i/>
                <w:color w:val="000000"/>
                <w:kern w:val="0"/>
                <w:sz w:val="24"/>
                <w:szCs w:val="24"/>
              </w:rPr>
              <w:t>n</w:t>
            </w:r>
            <w:r w:rsidRPr="00014BD1">
              <w:rPr>
                <w:rFonts w:ascii="Book Antiqua" w:eastAsia="宋体" w:hAnsi="Book Antiqua"/>
                <w:b/>
                <w:color w:val="000000"/>
                <w:kern w:val="0"/>
                <w:sz w:val="24"/>
                <w:szCs w:val="24"/>
              </w:rPr>
              <w:t xml:space="preserve"> = 131)</w:t>
            </w:r>
          </w:p>
        </w:tc>
        <w:tc>
          <w:tcPr>
            <w:tcW w:w="2140" w:type="dxa"/>
            <w:tcBorders>
              <w:top w:val="single" w:sz="8" w:space="0" w:color="auto"/>
              <w:left w:val="nil"/>
              <w:bottom w:val="nil"/>
              <w:right w:val="nil"/>
            </w:tcBorders>
            <w:noWrap/>
            <w:hideMark/>
          </w:tcPr>
          <w:p w:rsidR="00E163AB" w:rsidRPr="00014BD1" w:rsidRDefault="00E163AB" w:rsidP="00496898">
            <w:pPr>
              <w:widowControl/>
              <w:spacing w:line="360" w:lineRule="auto"/>
              <w:jc w:val="center"/>
              <w:rPr>
                <w:rFonts w:ascii="Book Antiqua" w:eastAsia="宋体" w:hAnsi="Book Antiqua"/>
                <w:b/>
                <w:color w:val="000000"/>
                <w:kern w:val="0"/>
                <w:sz w:val="24"/>
                <w:szCs w:val="24"/>
              </w:rPr>
            </w:pPr>
            <w:r w:rsidRPr="00014BD1">
              <w:rPr>
                <w:rFonts w:ascii="Book Antiqua" w:eastAsia="宋体" w:hAnsi="Book Antiqua"/>
                <w:b/>
                <w:color w:val="000000"/>
                <w:kern w:val="0"/>
                <w:sz w:val="24"/>
                <w:szCs w:val="24"/>
              </w:rPr>
              <w:t>G</w:t>
            </w:r>
            <w:r w:rsidRPr="00014BD1">
              <w:rPr>
                <w:rFonts w:ascii="Book Antiqua" w:eastAsia="宋体" w:hAnsi="Book Antiqua"/>
                <w:b/>
                <w:color w:val="000000"/>
                <w:kern w:val="0"/>
                <w:sz w:val="24"/>
                <w:szCs w:val="24"/>
                <w:vertAlign w:val="subscript"/>
              </w:rPr>
              <w:t>0</w:t>
            </w:r>
            <w:r w:rsidRPr="00014BD1">
              <w:rPr>
                <w:rFonts w:ascii="Book Antiqua" w:eastAsia="宋体" w:hAnsi="Book Antiqua"/>
                <w:b/>
                <w:color w:val="000000"/>
                <w:kern w:val="0"/>
                <w:sz w:val="24"/>
                <w:szCs w:val="24"/>
              </w:rPr>
              <w:t>S</w:t>
            </w:r>
            <w:r w:rsidRPr="00014BD1">
              <w:rPr>
                <w:rFonts w:ascii="Book Antiqua" w:eastAsia="宋体" w:hAnsi="Book Antiqua"/>
                <w:b/>
                <w:color w:val="000000"/>
                <w:kern w:val="0"/>
                <w:sz w:val="24"/>
                <w:szCs w:val="24"/>
                <w:vertAlign w:val="subscript"/>
              </w:rPr>
              <w:t>2</w:t>
            </w:r>
            <w:r w:rsidR="00496898" w:rsidRPr="00014BD1">
              <w:rPr>
                <w:rFonts w:ascii="Book Antiqua" w:eastAsia="宋体" w:hAnsi="Book Antiqua"/>
                <w:b/>
                <w:color w:val="000000"/>
                <w:kern w:val="0"/>
                <w:sz w:val="24"/>
                <w:szCs w:val="24"/>
                <w:vertAlign w:val="subscript"/>
              </w:rPr>
              <w:t xml:space="preserve"> </w:t>
            </w:r>
            <w:r w:rsidRPr="00014BD1">
              <w:rPr>
                <w:rFonts w:ascii="Book Antiqua" w:eastAsia="宋体" w:hAnsi="Book Antiqua"/>
                <w:b/>
                <w:color w:val="000000"/>
                <w:kern w:val="0"/>
                <w:sz w:val="24"/>
                <w:szCs w:val="24"/>
              </w:rPr>
              <w:t>≥</w:t>
            </w:r>
            <w:r w:rsidR="00496898" w:rsidRPr="00014BD1">
              <w:rPr>
                <w:rFonts w:ascii="Book Antiqua" w:eastAsia="宋体" w:hAnsi="Book Antiqua"/>
                <w:b/>
                <w:color w:val="000000"/>
                <w:kern w:val="0"/>
                <w:sz w:val="24"/>
                <w:szCs w:val="24"/>
              </w:rPr>
              <w:t xml:space="preserve"> </w:t>
            </w:r>
            <w:r w:rsidRPr="00014BD1">
              <w:rPr>
                <w:rFonts w:ascii="Book Antiqua" w:eastAsia="宋体" w:hAnsi="Book Antiqua"/>
                <w:b/>
                <w:color w:val="000000"/>
                <w:kern w:val="0"/>
                <w:sz w:val="24"/>
                <w:szCs w:val="24"/>
              </w:rPr>
              <w:t>5 (</w:t>
            </w:r>
            <w:r w:rsidRPr="00014BD1">
              <w:rPr>
                <w:rFonts w:ascii="Book Antiqua" w:eastAsia="宋体" w:hAnsi="Book Antiqua"/>
                <w:b/>
                <w:i/>
                <w:color w:val="000000"/>
                <w:kern w:val="0"/>
                <w:sz w:val="24"/>
                <w:szCs w:val="24"/>
              </w:rPr>
              <w:t>n</w:t>
            </w:r>
            <w:r w:rsidRPr="00014BD1">
              <w:rPr>
                <w:rFonts w:ascii="Book Antiqua" w:eastAsia="宋体" w:hAnsi="Book Antiqua"/>
                <w:b/>
                <w:color w:val="000000"/>
                <w:kern w:val="0"/>
                <w:sz w:val="24"/>
                <w:szCs w:val="24"/>
              </w:rPr>
              <w:t xml:space="preserve"> = 24)</w:t>
            </w:r>
          </w:p>
        </w:tc>
        <w:tc>
          <w:tcPr>
            <w:tcW w:w="4200" w:type="dxa"/>
            <w:tcBorders>
              <w:top w:val="single" w:sz="8" w:space="0" w:color="auto"/>
              <w:left w:val="nil"/>
              <w:bottom w:val="nil"/>
              <w:right w:val="nil"/>
            </w:tcBorders>
            <w:noWrap/>
            <w:hideMark/>
          </w:tcPr>
          <w:p w:rsidR="00E163AB" w:rsidRPr="00014BD1" w:rsidRDefault="00E163AB" w:rsidP="00496898">
            <w:pPr>
              <w:widowControl/>
              <w:spacing w:line="360" w:lineRule="auto"/>
              <w:jc w:val="center"/>
              <w:rPr>
                <w:rFonts w:ascii="Book Antiqua" w:eastAsia="宋体" w:hAnsi="Book Antiqua"/>
                <w:b/>
                <w:color w:val="000000"/>
                <w:kern w:val="0"/>
                <w:sz w:val="24"/>
                <w:szCs w:val="24"/>
              </w:rPr>
            </w:pPr>
            <w:r w:rsidRPr="00014BD1">
              <w:rPr>
                <w:rFonts w:ascii="Book Antiqua" w:eastAsia="宋体" w:hAnsi="Book Antiqua"/>
                <w:b/>
                <w:color w:val="000000"/>
                <w:kern w:val="0"/>
                <w:sz w:val="24"/>
                <w:szCs w:val="24"/>
              </w:rPr>
              <w:t xml:space="preserve">Pearson </w:t>
            </w:r>
            <w:r w:rsidR="00496898" w:rsidRPr="00014BD1">
              <w:rPr>
                <w:rFonts w:ascii="Book Antiqua" w:eastAsia="宋体" w:hAnsi="Book Antiqua"/>
                <w:b/>
                <w:i/>
                <w:color w:val="000000"/>
                <w:kern w:val="0"/>
                <w:sz w:val="24"/>
                <w:szCs w:val="24"/>
              </w:rPr>
              <w:t>χ</w:t>
            </w:r>
            <w:r w:rsidR="00496898" w:rsidRPr="00014BD1">
              <w:rPr>
                <w:rFonts w:ascii="Book Antiqua" w:eastAsia="宋体" w:hAnsi="Book Antiqua"/>
                <w:b/>
                <w:color w:val="000000"/>
                <w:kern w:val="0"/>
                <w:sz w:val="24"/>
                <w:szCs w:val="24"/>
                <w:vertAlign w:val="superscript"/>
              </w:rPr>
              <w:t>2</w:t>
            </w:r>
            <w:r w:rsidR="00496898" w:rsidRPr="00014BD1">
              <w:rPr>
                <w:rFonts w:ascii="Book Antiqua" w:eastAsia="宋体" w:hAnsi="Book Antiqua"/>
                <w:b/>
                <w:color w:val="000000"/>
                <w:kern w:val="0"/>
                <w:sz w:val="24"/>
                <w:szCs w:val="24"/>
              </w:rPr>
              <w:t xml:space="preserve"> </w:t>
            </w:r>
            <w:r w:rsidRPr="00014BD1">
              <w:rPr>
                <w:rFonts w:ascii="Book Antiqua" w:eastAsia="宋体" w:hAnsi="Book Antiqua"/>
                <w:b/>
                <w:color w:val="000000"/>
                <w:kern w:val="0"/>
                <w:sz w:val="24"/>
                <w:szCs w:val="24"/>
              </w:rPr>
              <w:t>of 4 groups</w:t>
            </w:r>
          </w:p>
        </w:tc>
      </w:tr>
      <w:tr w:rsidR="00E163AB" w:rsidRPr="00014BD1" w:rsidTr="00E163AB">
        <w:trPr>
          <w:trHeight w:val="375"/>
        </w:trPr>
        <w:tc>
          <w:tcPr>
            <w:tcW w:w="2820" w:type="dxa"/>
            <w:tcBorders>
              <w:top w:val="nil"/>
              <w:left w:val="nil"/>
              <w:bottom w:val="nil"/>
              <w:right w:val="nil"/>
            </w:tcBorders>
            <w:noWrap/>
            <w:hideMark/>
          </w:tcPr>
          <w:p w:rsidR="00E163AB" w:rsidRPr="00014BD1" w:rsidRDefault="00E163AB" w:rsidP="00BA6191">
            <w:pPr>
              <w:widowControl/>
              <w:spacing w:line="360" w:lineRule="auto"/>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Gastritis</w:t>
            </w:r>
            <w:r w:rsidR="00BA6191"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i/>
                <w:color w:val="000000"/>
                <w:kern w:val="0"/>
                <w:sz w:val="24"/>
                <w:szCs w:val="24"/>
              </w:rPr>
              <w:t>n</w:t>
            </w:r>
            <w:r w:rsidRPr="00014BD1">
              <w:rPr>
                <w:rFonts w:ascii="Book Antiqua" w:eastAsia="宋体" w:hAnsi="Book Antiqua"/>
                <w:color w:val="000000"/>
                <w:kern w:val="0"/>
                <w:sz w:val="24"/>
                <w:szCs w:val="24"/>
              </w:rPr>
              <w:t xml:space="preserve"> = 61)</w:t>
            </w:r>
            <w:r w:rsidR="00BA6191" w:rsidRPr="00014BD1">
              <w:rPr>
                <w:rFonts w:ascii="Book Antiqua" w:eastAsia="宋体" w:hAnsi="Book Antiqua"/>
                <w:color w:val="000000"/>
                <w:kern w:val="0"/>
                <w:sz w:val="24"/>
                <w:szCs w:val="24"/>
                <w:vertAlign w:val="superscript"/>
              </w:rPr>
              <w:t>1-3</w:t>
            </w:r>
          </w:p>
        </w:tc>
        <w:tc>
          <w:tcPr>
            <w:tcW w:w="3460" w:type="dxa"/>
            <w:tcBorders>
              <w:top w:val="nil"/>
              <w:left w:val="nil"/>
              <w:bottom w:val="nil"/>
              <w:right w:val="nil"/>
            </w:tcBorders>
            <w:noWrap/>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61</w:t>
            </w:r>
            <w:r w:rsidR="00496898"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cs="Arial"/>
                <w:color w:val="000000"/>
                <w:kern w:val="0"/>
                <w:sz w:val="24"/>
                <w:szCs w:val="24"/>
              </w:rPr>
              <w:t>100.0</w:t>
            </w:r>
            <w:r w:rsidR="00496898" w:rsidRPr="00014BD1">
              <w:rPr>
                <w:rFonts w:ascii="Book Antiqua" w:eastAsia="宋体" w:hAnsi="Book Antiqua" w:cs="Arial"/>
                <w:color w:val="000000"/>
                <w:kern w:val="0"/>
                <w:sz w:val="24"/>
                <w:szCs w:val="24"/>
              </w:rPr>
              <w:t>)</w:t>
            </w:r>
          </w:p>
        </w:tc>
        <w:tc>
          <w:tcPr>
            <w:tcW w:w="2140" w:type="dxa"/>
            <w:tcBorders>
              <w:top w:val="nil"/>
              <w:left w:val="nil"/>
              <w:bottom w:val="nil"/>
              <w:right w:val="nil"/>
            </w:tcBorders>
            <w:noWrap/>
            <w:hideMark/>
          </w:tcPr>
          <w:p w:rsidR="00E163AB" w:rsidRPr="00014BD1" w:rsidRDefault="00496898"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 xml:space="preserve">0 </w:t>
            </w:r>
            <w:r w:rsidR="00E163AB" w:rsidRPr="00014BD1">
              <w:rPr>
                <w:rFonts w:ascii="Book Antiqua" w:eastAsia="宋体" w:hAnsi="Book Antiqua"/>
                <w:color w:val="000000"/>
                <w:kern w:val="0"/>
                <w:sz w:val="24"/>
                <w:szCs w:val="24"/>
              </w:rPr>
              <w:t>(</w:t>
            </w:r>
            <w:r w:rsidR="00E163AB" w:rsidRPr="00014BD1">
              <w:rPr>
                <w:rFonts w:ascii="Book Antiqua" w:eastAsia="宋体" w:hAnsi="Book Antiqua" w:cs="Arial"/>
                <w:color w:val="000000"/>
                <w:kern w:val="0"/>
                <w:sz w:val="24"/>
                <w:szCs w:val="24"/>
              </w:rPr>
              <w:t>0</w:t>
            </w:r>
            <w:r w:rsidRPr="00014BD1">
              <w:rPr>
                <w:rFonts w:ascii="Book Antiqua" w:eastAsia="宋体" w:hAnsi="Book Antiqua" w:cs="Arial"/>
                <w:color w:val="000000"/>
                <w:kern w:val="0"/>
                <w:sz w:val="24"/>
                <w:szCs w:val="24"/>
              </w:rPr>
              <w:t>)</w:t>
            </w:r>
          </w:p>
        </w:tc>
        <w:tc>
          <w:tcPr>
            <w:tcW w:w="4200" w:type="dxa"/>
            <w:vMerge w:val="restart"/>
            <w:tcBorders>
              <w:top w:val="single" w:sz="8" w:space="0" w:color="auto"/>
              <w:left w:val="nil"/>
              <w:bottom w:val="single" w:sz="8" w:space="0" w:color="000000"/>
              <w:right w:val="nil"/>
            </w:tcBorders>
            <w:noWrap/>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i/>
                <w:color w:val="000000"/>
                <w:kern w:val="0"/>
                <w:sz w:val="24"/>
                <w:szCs w:val="24"/>
              </w:rPr>
              <w:t>P</w:t>
            </w:r>
            <w:r w:rsidR="00496898" w:rsidRPr="00014BD1">
              <w:rPr>
                <w:rFonts w:ascii="Book Antiqua" w:eastAsia="宋体" w:hAnsi="Book Antiqua"/>
                <w:i/>
                <w:color w:val="000000"/>
                <w:kern w:val="0"/>
                <w:sz w:val="24"/>
                <w:szCs w:val="24"/>
              </w:rPr>
              <w:t xml:space="preserve"> </w:t>
            </w:r>
            <w:r w:rsidRPr="00014BD1">
              <w:rPr>
                <w:rFonts w:ascii="Book Antiqua" w:eastAsia="宋体" w:hAnsi="Book Antiqua"/>
                <w:color w:val="000000"/>
                <w:kern w:val="0"/>
                <w:sz w:val="24"/>
                <w:szCs w:val="24"/>
              </w:rPr>
              <w:t>&lt;</w:t>
            </w:r>
            <w:r w:rsidR="00496898"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0.001</w:t>
            </w:r>
          </w:p>
        </w:tc>
      </w:tr>
      <w:tr w:rsidR="00E163AB" w:rsidRPr="00014BD1" w:rsidTr="00E163AB">
        <w:trPr>
          <w:trHeight w:val="315"/>
        </w:trPr>
        <w:tc>
          <w:tcPr>
            <w:tcW w:w="2820" w:type="dxa"/>
            <w:tcBorders>
              <w:top w:val="nil"/>
              <w:left w:val="nil"/>
              <w:bottom w:val="nil"/>
              <w:right w:val="nil"/>
            </w:tcBorders>
            <w:noWrap/>
            <w:hideMark/>
          </w:tcPr>
          <w:p w:rsidR="00E163AB" w:rsidRPr="00014BD1" w:rsidRDefault="00E163AB" w:rsidP="00E163AB">
            <w:pPr>
              <w:widowControl/>
              <w:spacing w:line="360" w:lineRule="auto"/>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LGIN</w:t>
            </w:r>
            <w:r w:rsidR="00BA6191"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i/>
                <w:color w:val="000000"/>
                <w:kern w:val="0"/>
                <w:sz w:val="24"/>
                <w:szCs w:val="24"/>
              </w:rPr>
              <w:t>n</w:t>
            </w:r>
            <w:r w:rsidRPr="00014BD1">
              <w:rPr>
                <w:rFonts w:ascii="Book Antiqua" w:eastAsia="宋体" w:hAnsi="Book Antiqua"/>
                <w:color w:val="000000"/>
                <w:kern w:val="0"/>
                <w:sz w:val="24"/>
                <w:szCs w:val="24"/>
              </w:rPr>
              <w:t xml:space="preserve"> = 24)</w:t>
            </w:r>
          </w:p>
        </w:tc>
        <w:tc>
          <w:tcPr>
            <w:tcW w:w="3460" w:type="dxa"/>
            <w:tcBorders>
              <w:top w:val="nil"/>
              <w:left w:val="nil"/>
              <w:bottom w:val="nil"/>
              <w:right w:val="nil"/>
            </w:tcBorders>
            <w:noWrap/>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21</w:t>
            </w:r>
            <w:r w:rsidR="00496898"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cs="Arial"/>
                <w:color w:val="000000"/>
                <w:kern w:val="0"/>
                <w:sz w:val="24"/>
                <w:szCs w:val="24"/>
              </w:rPr>
              <w:t>87.5</w:t>
            </w:r>
            <w:r w:rsidR="00496898" w:rsidRPr="00014BD1">
              <w:rPr>
                <w:rFonts w:ascii="Book Antiqua" w:eastAsia="宋体" w:hAnsi="Book Antiqua" w:cs="Arial"/>
                <w:color w:val="000000"/>
                <w:kern w:val="0"/>
                <w:sz w:val="24"/>
                <w:szCs w:val="24"/>
              </w:rPr>
              <w:t>)</w:t>
            </w:r>
          </w:p>
        </w:tc>
        <w:tc>
          <w:tcPr>
            <w:tcW w:w="2140" w:type="dxa"/>
            <w:tcBorders>
              <w:top w:val="nil"/>
              <w:left w:val="nil"/>
              <w:bottom w:val="nil"/>
              <w:right w:val="nil"/>
            </w:tcBorders>
            <w:noWrap/>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3</w:t>
            </w:r>
            <w:r w:rsidR="00496898"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cs="Arial"/>
                <w:color w:val="000000"/>
                <w:kern w:val="0"/>
                <w:sz w:val="24"/>
                <w:szCs w:val="24"/>
              </w:rPr>
              <w:t>12.5</w:t>
            </w:r>
            <w:r w:rsidR="00496898" w:rsidRPr="00014BD1">
              <w:rPr>
                <w:rFonts w:ascii="Book Antiqua" w:eastAsia="宋体" w:hAnsi="Book Antiqua" w:cs="Arial"/>
                <w:color w:val="000000"/>
                <w:kern w:val="0"/>
                <w:sz w:val="24"/>
                <w:szCs w:val="24"/>
              </w:rPr>
              <w:t>)</w:t>
            </w:r>
          </w:p>
        </w:tc>
        <w:tc>
          <w:tcPr>
            <w:tcW w:w="4200" w:type="dxa"/>
            <w:vMerge/>
            <w:tcBorders>
              <w:top w:val="single" w:sz="8" w:space="0" w:color="auto"/>
              <w:left w:val="nil"/>
              <w:bottom w:val="single" w:sz="8" w:space="0" w:color="000000"/>
              <w:right w:val="nil"/>
            </w:tcBorders>
            <w:vAlign w:val="center"/>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p>
        </w:tc>
      </w:tr>
      <w:tr w:rsidR="00E163AB" w:rsidRPr="00014BD1" w:rsidTr="00E163AB">
        <w:trPr>
          <w:trHeight w:val="375"/>
        </w:trPr>
        <w:tc>
          <w:tcPr>
            <w:tcW w:w="2820" w:type="dxa"/>
            <w:tcBorders>
              <w:top w:val="nil"/>
              <w:left w:val="nil"/>
              <w:bottom w:val="nil"/>
              <w:right w:val="nil"/>
            </w:tcBorders>
            <w:noWrap/>
            <w:hideMark/>
          </w:tcPr>
          <w:p w:rsidR="00E163AB" w:rsidRPr="00014BD1" w:rsidRDefault="00E163AB" w:rsidP="00BA6191">
            <w:pPr>
              <w:widowControl/>
              <w:spacing w:line="360" w:lineRule="auto"/>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HGIN</w:t>
            </w:r>
            <w:r w:rsidR="00BA6191"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i/>
                <w:color w:val="000000"/>
                <w:kern w:val="0"/>
                <w:sz w:val="24"/>
                <w:szCs w:val="24"/>
              </w:rPr>
              <w:t>n</w:t>
            </w:r>
            <w:r w:rsidRPr="00014BD1">
              <w:rPr>
                <w:rFonts w:ascii="Book Antiqua" w:eastAsia="宋体" w:hAnsi="Book Antiqua"/>
                <w:color w:val="000000"/>
                <w:kern w:val="0"/>
                <w:sz w:val="24"/>
                <w:szCs w:val="24"/>
              </w:rPr>
              <w:t xml:space="preserve"> = 40)</w:t>
            </w:r>
            <w:r w:rsidR="00BA6191" w:rsidRPr="00014BD1">
              <w:rPr>
                <w:rFonts w:ascii="Book Antiqua" w:eastAsia="宋体" w:hAnsi="Book Antiqua"/>
                <w:color w:val="000000"/>
                <w:kern w:val="0"/>
                <w:sz w:val="24"/>
                <w:szCs w:val="24"/>
                <w:vertAlign w:val="superscript"/>
              </w:rPr>
              <w:t>4,5</w:t>
            </w:r>
          </w:p>
        </w:tc>
        <w:tc>
          <w:tcPr>
            <w:tcW w:w="3460" w:type="dxa"/>
            <w:tcBorders>
              <w:top w:val="nil"/>
              <w:left w:val="nil"/>
              <w:bottom w:val="nil"/>
              <w:right w:val="nil"/>
            </w:tcBorders>
            <w:noWrap/>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23</w:t>
            </w:r>
            <w:r w:rsidR="00496898"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cs="Arial"/>
                <w:color w:val="000000"/>
                <w:kern w:val="0"/>
                <w:sz w:val="24"/>
                <w:szCs w:val="24"/>
              </w:rPr>
              <w:t>57.5</w:t>
            </w:r>
            <w:r w:rsidR="00496898" w:rsidRPr="00014BD1">
              <w:rPr>
                <w:rFonts w:ascii="Book Antiqua" w:eastAsia="宋体" w:hAnsi="Book Antiqua" w:cs="Arial"/>
                <w:color w:val="000000"/>
                <w:kern w:val="0"/>
                <w:sz w:val="24"/>
                <w:szCs w:val="24"/>
              </w:rPr>
              <w:t>)</w:t>
            </w:r>
          </w:p>
        </w:tc>
        <w:tc>
          <w:tcPr>
            <w:tcW w:w="2140" w:type="dxa"/>
            <w:tcBorders>
              <w:top w:val="nil"/>
              <w:left w:val="nil"/>
              <w:bottom w:val="nil"/>
              <w:right w:val="nil"/>
            </w:tcBorders>
            <w:noWrap/>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17</w:t>
            </w:r>
            <w:r w:rsidR="00496898"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cs="Arial"/>
                <w:color w:val="000000"/>
                <w:kern w:val="0"/>
                <w:sz w:val="24"/>
                <w:szCs w:val="24"/>
              </w:rPr>
              <w:t>42.5</w:t>
            </w:r>
            <w:r w:rsidR="00496898" w:rsidRPr="00014BD1">
              <w:rPr>
                <w:rFonts w:ascii="Book Antiqua" w:eastAsia="宋体" w:hAnsi="Book Antiqua" w:cs="Arial"/>
                <w:color w:val="000000"/>
                <w:kern w:val="0"/>
                <w:sz w:val="24"/>
                <w:szCs w:val="24"/>
              </w:rPr>
              <w:t>)</w:t>
            </w:r>
          </w:p>
        </w:tc>
        <w:tc>
          <w:tcPr>
            <w:tcW w:w="4200" w:type="dxa"/>
            <w:vMerge/>
            <w:tcBorders>
              <w:top w:val="single" w:sz="8" w:space="0" w:color="auto"/>
              <w:left w:val="nil"/>
              <w:bottom w:val="single" w:sz="8" w:space="0" w:color="000000"/>
              <w:right w:val="nil"/>
            </w:tcBorders>
            <w:vAlign w:val="center"/>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p>
        </w:tc>
      </w:tr>
      <w:tr w:rsidR="00E163AB" w:rsidRPr="00014BD1" w:rsidTr="00E163AB">
        <w:trPr>
          <w:trHeight w:val="330"/>
        </w:trPr>
        <w:tc>
          <w:tcPr>
            <w:tcW w:w="2820" w:type="dxa"/>
            <w:tcBorders>
              <w:top w:val="nil"/>
              <w:left w:val="nil"/>
              <w:bottom w:val="single" w:sz="8" w:space="0" w:color="auto"/>
              <w:right w:val="nil"/>
            </w:tcBorders>
            <w:noWrap/>
            <w:hideMark/>
          </w:tcPr>
          <w:p w:rsidR="00E163AB" w:rsidRPr="00014BD1" w:rsidRDefault="00E163AB" w:rsidP="00E163AB">
            <w:pPr>
              <w:widowControl/>
              <w:spacing w:line="360" w:lineRule="auto"/>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EGC</w:t>
            </w:r>
            <w:r w:rsidR="00BA6191"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i/>
                <w:color w:val="000000"/>
                <w:kern w:val="0"/>
                <w:sz w:val="24"/>
                <w:szCs w:val="24"/>
              </w:rPr>
              <w:t>n</w:t>
            </w:r>
            <w:r w:rsidRPr="00014BD1">
              <w:rPr>
                <w:rFonts w:ascii="Book Antiqua" w:eastAsia="宋体" w:hAnsi="Book Antiqua"/>
                <w:color w:val="000000"/>
                <w:kern w:val="0"/>
                <w:sz w:val="24"/>
                <w:szCs w:val="24"/>
              </w:rPr>
              <w:t xml:space="preserve"> = 30)</w:t>
            </w:r>
          </w:p>
        </w:tc>
        <w:tc>
          <w:tcPr>
            <w:tcW w:w="3460" w:type="dxa"/>
            <w:tcBorders>
              <w:top w:val="nil"/>
              <w:left w:val="nil"/>
              <w:bottom w:val="single" w:sz="8" w:space="0" w:color="auto"/>
              <w:right w:val="nil"/>
            </w:tcBorders>
            <w:noWrap/>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26</w:t>
            </w:r>
            <w:r w:rsidR="00496898"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cs="Arial"/>
                <w:color w:val="000000"/>
                <w:kern w:val="0"/>
                <w:sz w:val="24"/>
                <w:szCs w:val="24"/>
              </w:rPr>
              <w:t>86.7</w:t>
            </w:r>
            <w:r w:rsidR="00496898" w:rsidRPr="00014BD1">
              <w:rPr>
                <w:rFonts w:ascii="Book Antiqua" w:eastAsia="宋体" w:hAnsi="Book Antiqua" w:cs="Arial"/>
                <w:color w:val="000000"/>
                <w:kern w:val="0"/>
                <w:sz w:val="24"/>
                <w:szCs w:val="24"/>
              </w:rPr>
              <w:t>)</w:t>
            </w:r>
          </w:p>
        </w:tc>
        <w:tc>
          <w:tcPr>
            <w:tcW w:w="2140" w:type="dxa"/>
            <w:tcBorders>
              <w:top w:val="nil"/>
              <w:left w:val="nil"/>
              <w:bottom w:val="single" w:sz="8" w:space="0" w:color="auto"/>
              <w:right w:val="nil"/>
            </w:tcBorders>
            <w:noWrap/>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r w:rsidRPr="00014BD1">
              <w:rPr>
                <w:rFonts w:ascii="Book Antiqua" w:eastAsia="宋体" w:hAnsi="Book Antiqua"/>
                <w:color w:val="000000"/>
                <w:kern w:val="0"/>
                <w:sz w:val="24"/>
                <w:szCs w:val="24"/>
              </w:rPr>
              <w:t>4</w:t>
            </w:r>
            <w:r w:rsidR="00496898" w:rsidRPr="00014BD1">
              <w:rPr>
                <w:rFonts w:ascii="Book Antiqua" w:eastAsia="宋体" w:hAnsi="Book Antiqua"/>
                <w:color w:val="000000"/>
                <w:kern w:val="0"/>
                <w:sz w:val="24"/>
                <w:szCs w:val="24"/>
              </w:rPr>
              <w:t xml:space="preserve"> </w:t>
            </w:r>
            <w:r w:rsidRPr="00014BD1">
              <w:rPr>
                <w:rFonts w:ascii="Book Antiqua" w:eastAsia="宋体" w:hAnsi="Book Antiqua"/>
                <w:color w:val="000000"/>
                <w:kern w:val="0"/>
                <w:sz w:val="24"/>
                <w:szCs w:val="24"/>
              </w:rPr>
              <w:t>(</w:t>
            </w:r>
            <w:r w:rsidRPr="00014BD1">
              <w:rPr>
                <w:rFonts w:ascii="Book Antiqua" w:eastAsia="宋体" w:hAnsi="Book Antiqua" w:cs="Arial"/>
                <w:color w:val="000000"/>
                <w:kern w:val="0"/>
                <w:sz w:val="24"/>
                <w:szCs w:val="24"/>
              </w:rPr>
              <w:t>13.3</w:t>
            </w:r>
            <w:r w:rsidR="00496898" w:rsidRPr="00014BD1">
              <w:rPr>
                <w:rFonts w:ascii="Book Antiqua" w:eastAsia="宋体" w:hAnsi="Book Antiqua" w:cs="Arial"/>
                <w:color w:val="000000"/>
                <w:kern w:val="0"/>
                <w:sz w:val="24"/>
                <w:szCs w:val="24"/>
              </w:rPr>
              <w:t>)</w:t>
            </w:r>
          </w:p>
        </w:tc>
        <w:tc>
          <w:tcPr>
            <w:tcW w:w="4200" w:type="dxa"/>
            <w:vMerge/>
            <w:tcBorders>
              <w:top w:val="single" w:sz="8" w:space="0" w:color="auto"/>
              <w:left w:val="nil"/>
              <w:bottom w:val="single" w:sz="8" w:space="0" w:color="000000"/>
              <w:right w:val="nil"/>
            </w:tcBorders>
            <w:vAlign w:val="center"/>
            <w:hideMark/>
          </w:tcPr>
          <w:p w:rsidR="00E163AB" w:rsidRPr="00014BD1" w:rsidRDefault="00E163AB" w:rsidP="00496898">
            <w:pPr>
              <w:widowControl/>
              <w:spacing w:line="360" w:lineRule="auto"/>
              <w:jc w:val="center"/>
              <w:rPr>
                <w:rFonts w:ascii="Book Antiqua" w:eastAsia="宋体" w:hAnsi="Book Antiqua"/>
                <w:color w:val="000000"/>
                <w:kern w:val="0"/>
                <w:sz w:val="24"/>
                <w:szCs w:val="24"/>
              </w:rPr>
            </w:pPr>
          </w:p>
        </w:tc>
      </w:tr>
    </w:tbl>
    <w:p w:rsidR="00E163AB" w:rsidRPr="00014BD1" w:rsidRDefault="00BA6191" w:rsidP="00E163AB">
      <w:pPr>
        <w:pStyle w:val="Default"/>
        <w:spacing w:line="360" w:lineRule="auto"/>
        <w:jc w:val="both"/>
        <w:rPr>
          <w:rFonts w:ascii="Book Antiqua" w:hAnsi="Book Antiqua"/>
        </w:rPr>
      </w:pPr>
      <w:r w:rsidRPr="00014BD1">
        <w:rPr>
          <w:rFonts w:ascii="Book Antiqua" w:hAnsi="Book Antiqua"/>
          <w:vertAlign w:val="superscript"/>
        </w:rPr>
        <w:t>1</w:t>
      </w:r>
      <w:r w:rsidRPr="00014BD1">
        <w:rPr>
          <w:rFonts w:ascii="Book Antiqua" w:hAnsi="Book Antiqua"/>
        </w:rPr>
        <w:t>C</w:t>
      </w:r>
      <w:r w:rsidR="00E163AB" w:rsidRPr="00014BD1">
        <w:rPr>
          <w:rFonts w:ascii="Book Antiqua" w:hAnsi="Book Antiqua"/>
        </w:rPr>
        <w:t>ompared with</w:t>
      </w:r>
      <w:r w:rsidRPr="00014BD1">
        <w:rPr>
          <w:rFonts w:ascii="Book Antiqua" w:hAnsi="Book Antiqua"/>
        </w:rPr>
        <w:t xml:space="preserve"> low-grade intraepithelial neoplasia</w:t>
      </w:r>
      <w:r w:rsidR="00E163AB" w:rsidRPr="00014BD1">
        <w:rPr>
          <w:rFonts w:ascii="Book Antiqua" w:hAnsi="Book Antiqua"/>
        </w:rPr>
        <w:t xml:space="preserve"> </w:t>
      </w:r>
      <w:r w:rsidRPr="00014BD1">
        <w:rPr>
          <w:rFonts w:ascii="Book Antiqua" w:hAnsi="Book Antiqua"/>
        </w:rPr>
        <w:t>(</w:t>
      </w:r>
      <w:r w:rsidR="00E163AB" w:rsidRPr="00014BD1">
        <w:rPr>
          <w:rFonts w:ascii="Book Antiqua" w:hAnsi="Book Antiqua"/>
        </w:rPr>
        <w:t>LGIN</w:t>
      </w:r>
      <w:r w:rsidRPr="00014BD1">
        <w:rPr>
          <w:rFonts w:ascii="Book Antiqua" w:hAnsi="Book Antiqua"/>
        </w:rPr>
        <w:t>)</w:t>
      </w:r>
      <w:r w:rsidR="00E163AB" w:rsidRPr="00014BD1">
        <w:rPr>
          <w:rFonts w:ascii="Book Antiqua" w:hAnsi="Book Antiqua"/>
        </w:rPr>
        <w:t xml:space="preserve">, </w:t>
      </w:r>
      <w:r w:rsidR="00E163AB" w:rsidRPr="00014BD1">
        <w:rPr>
          <w:rFonts w:ascii="Book Antiqua" w:hAnsi="Book Antiqua"/>
          <w:i/>
        </w:rPr>
        <w:t>P</w:t>
      </w:r>
      <w:r w:rsidR="00E163AB" w:rsidRPr="00014BD1">
        <w:rPr>
          <w:rFonts w:ascii="Book Antiqua" w:hAnsi="Book Antiqua"/>
        </w:rPr>
        <w:t xml:space="preserve"> = 0.005; </w:t>
      </w:r>
      <w:r w:rsidRPr="00014BD1">
        <w:rPr>
          <w:rFonts w:ascii="Book Antiqua" w:hAnsi="Book Antiqua"/>
          <w:vertAlign w:val="superscript"/>
        </w:rPr>
        <w:t>2</w:t>
      </w:r>
      <w:r w:rsidRPr="00014BD1">
        <w:rPr>
          <w:rFonts w:ascii="Book Antiqua" w:hAnsi="Book Antiqua"/>
        </w:rPr>
        <w:t>C</w:t>
      </w:r>
      <w:r w:rsidR="00E163AB" w:rsidRPr="00014BD1">
        <w:rPr>
          <w:rFonts w:ascii="Book Antiqua" w:hAnsi="Book Antiqua"/>
        </w:rPr>
        <w:t xml:space="preserve">ompared with </w:t>
      </w:r>
      <w:r w:rsidRPr="00014BD1">
        <w:rPr>
          <w:rFonts w:ascii="Book Antiqua" w:hAnsi="Book Antiqua"/>
        </w:rPr>
        <w:t>high-grade intraepithelial neoplasia (</w:t>
      </w:r>
      <w:r w:rsidR="00E163AB" w:rsidRPr="00014BD1">
        <w:rPr>
          <w:rFonts w:ascii="Book Antiqua" w:hAnsi="Book Antiqua"/>
        </w:rPr>
        <w:t>HGIN</w:t>
      </w:r>
      <w:r w:rsidRPr="00014BD1">
        <w:rPr>
          <w:rFonts w:ascii="Book Antiqua" w:hAnsi="Book Antiqua"/>
        </w:rPr>
        <w:t>)</w:t>
      </w:r>
      <w:r w:rsidR="00E163AB" w:rsidRPr="00014BD1">
        <w:rPr>
          <w:rFonts w:ascii="Book Antiqua" w:hAnsi="Book Antiqua"/>
        </w:rPr>
        <w:t xml:space="preserve">, </w:t>
      </w:r>
      <w:r w:rsidR="00E163AB" w:rsidRPr="00014BD1">
        <w:rPr>
          <w:rFonts w:ascii="Book Antiqua" w:hAnsi="Book Antiqua"/>
          <w:i/>
        </w:rPr>
        <w:t>P</w:t>
      </w:r>
      <w:r w:rsidR="00E163AB" w:rsidRPr="00014BD1">
        <w:rPr>
          <w:rFonts w:ascii="Book Antiqua" w:hAnsi="Book Antiqua"/>
        </w:rPr>
        <w:t xml:space="preserve">&lt;0.001; </w:t>
      </w:r>
      <w:r w:rsidRPr="00014BD1">
        <w:rPr>
          <w:rFonts w:ascii="Book Antiqua" w:hAnsi="Book Antiqua"/>
          <w:vertAlign w:val="superscript"/>
        </w:rPr>
        <w:t>3</w:t>
      </w:r>
      <w:r w:rsidRPr="00014BD1">
        <w:rPr>
          <w:rFonts w:ascii="Book Antiqua" w:hAnsi="Book Antiqua"/>
        </w:rPr>
        <w:t>C</w:t>
      </w:r>
      <w:r w:rsidR="00E163AB" w:rsidRPr="00014BD1">
        <w:rPr>
          <w:rFonts w:ascii="Book Antiqua" w:hAnsi="Book Antiqua"/>
        </w:rPr>
        <w:t xml:space="preserve">ompared with </w:t>
      </w:r>
      <w:r w:rsidRPr="00014BD1">
        <w:rPr>
          <w:rFonts w:ascii="Book Antiqua" w:hAnsi="Book Antiqua"/>
        </w:rPr>
        <w:t>early-stage adenocarcinoma (</w:t>
      </w:r>
      <w:r w:rsidR="00E163AB" w:rsidRPr="00014BD1">
        <w:rPr>
          <w:rFonts w:ascii="Book Antiqua" w:hAnsi="Book Antiqua"/>
        </w:rPr>
        <w:t>EGC</w:t>
      </w:r>
      <w:r w:rsidRPr="00014BD1">
        <w:rPr>
          <w:rFonts w:ascii="Book Antiqua" w:hAnsi="Book Antiqua"/>
        </w:rPr>
        <w:t>)</w:t>
      </w:r>
      <w:r w:rsidR="00E163AB" w:rsidRPr="00014BD1">
        <w:rPr>
          <w:rFonts w:ascii="Book Antiqua" w:hAnsi="Book Antiqua"/>
        </w:rPr>
        <w:t xml:space="preserve">, </w:t>
      </w:r>
      <w:r w:rsidR="00E163AB" w:rsidRPr="00014BD1">
        <w:rPr>
          <w:rFonts w:ascii="Book Antiqua" w:hAnsi="Book Antiqua"/>
          <w:i/>
        </w:rPr>
        <w:t>P</w:t>
      </w:r>
      <w:r w:rsidR="00E163AB" w:rsidRPr="00014BD1">
        <w:rPr>
          <w:rFonts w:ascii="Book Antiqua" w:hAnsi="Book Antiqua"/>
        </w:rPr>
        <w:t xml:space="preserve"> = 0.004; </w:t>
      </w:r>
      <w:r w:rsidRPr="00014BD1">
        <w:rPr>
          <w:rFonts w:ascii="Book Antiqua" w:hAnsi="Book Antiqua"/>
          <w:vertAlign w:val="superscript"/>
        </w:rPr>
        <w:t>4</w:t>
      </w:r>
      <w:r w:rsidRPr="00014BD1">
        <w:rPr>
          <w:rFonts w:ascii="Book Antiqua" w:hAnsi="Book Antiqua"/>
        </w:rPr>
        <w:t>C</w:t>
      </w:r>
      <w:r w:rsidR="00E163AB" w:rsidRPr="00014BD1">
        <w:rPr>
          <w:rFonts w:ascii="Book Antiqua" w:hAnsi="Book Antiqua"/>
        </w:rPr>
        <w:t xml:space="preserve">ompared with LGIN, </w:t>
      </w:r>
      <w:r w:rsidR="00E163AB" w:rsidRPr="00014BD1">
        <w:rPr>
          <w:rFonts w:ascii="Book Antiqua" w:hAnsi="Book Antiqua"/>
          <w:i/>
        </w:rPr>
        <w:t>P</w:t>
      </w:r>
      <w:r w:rsidR="00E163AB" w:rsidRPr="00014BD1">
        <w:rPr>
          <w:rFonts w:ascii="Book Antiqua" w:hAnsi="Book Antiqua"/>
        </w:rPr>
        <w:t xml:space="preserve"> = 0.012; </w:t>
      </w:r>
      <w:r w:rsidRPr="00014BD1">
        <w:rPr>
          <w:rFonts w:ascii="Book Antiqua" w:hAnsi="Book Antiqua"/>
          <w:vertAlign w:val="superscript"/>
        </w:rPr>
        <w:t>5</w:t>
      </w:r>
      <w:r w:rsidRPr="00014BD1">
        <w:rPr>
          <w:rFonts w:ascii="Book Antiqua" w:hAnsi="Book Antiqua"/>
        </w:rPr>
        <w:t>C</w:t>
      </w:r>
      <w:r w:rsidR="00E163AB" w:rsidRPr="00014BD1">
        <w:rPr>
          <w:rFonts w:ascii="Book Antiqua" w:hAnsi="Book Antiqua"/>
        </w:rPr>
        <w:t xml:space="preserve">ompared with EGC, </w:t>
      </w:r>
      <w:r w:rsidR="00E163AB" w:rsidRPr="00014BD1">
        <w:rPr>
          <w:rFonts w:ascii="Book Antiqua" w:hAnsi="Book Antiqua"/>
          <w:i/>
        </w:rPr>
        <w:t>P</w:t>
      </w:r>
      <w:r w:rsidR="00E163AB" w:rsidRPr="00014BD1">
        <w:rPr>
          <w:rFonts w:ascii="Book Antiqua" w:hAnsi="Book Antiqua"/>
        </w:rPr>
        <w:t xml:space="preserve"> = 0.008</w:t>
      </w:r>
      <w:r w:rsidRPr="00014BD1">
        <w:rPr>
          <w:rFonts w:ascii="Book Antiqua" w:hAnsi="Book Antiqua"/>
        </w:rPr>
        <w:t>.</w:t>
      </w:r>
    </w:p>
    <w:sectPr w:rsidR="00E163AB" w:rsidRPr="00014BD1" w:rsidSect="00A47220">
      <w:pgSz w:w="17010" w:h="17339"/>
      <w:pgMar w:top="1848" w:right="805" w:bottom="1440" w:left="121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0E7" w:rsidRDefault="007F40E7" w:rsidP="00DD549F">
      <w:r>
        <w:separator/>
      </w:r>
    </w:p>
  </w:endnote>
  <w:endnote w:type="continuationSeparator" w:id="0">
    <w:p w:rsidR="007F40E7" w:rsidRDefault="007F40E7" w:rsidP="00DD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Cambria Math">
    <w:altName w:val="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0E7" w:rsidRDefault="007F40E7" w:rsidP="00DD549F">
      <w:r>
        <w:separator/>
      </w:r>
    </w:p>
  </w:footnote>
  <w:footnote w:type="continuationSeparator" w:id="0">
    <w:p w:rsidR="007F40E7" w:rsidRDefault="007F40E7" w:rsidP="00DD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83B"/>
    <w:rsid w:val="00000BE7"/>
    <w:rsid w:val="00003567"/>
    <w:rsid w:val="00014BD1"/>
    <w:rsid w:val="00022EFF"/>
    <w:rsid w:val="000314A9"/>
    <w:rsid w:val="000366C9"/>
    <w:rsid w:val="00040C4C"/>
    <w:rsid w:val="00055844"/>
    <w:rsid w:val="00072213"/>
    <w:rsid w:val="000834F0"/>
    <w:rsid w:val="00086E51"/>
    <w:rsid w:val="000B7FEB"/>
    <w:rsid w:val="000C0142"/>
    <w:rsid w:val="000E670C"/>
    <w:rsid w:val="001111CD"/>
    <w:rsid w:val="00122DB5"/>
    <w:rsid w:val="00132C6C"/>
    <w:rsid w:val="00147C77"/>
    <w:rsid w:val="001827A7"/>
    <w:rsid w:val="00190EC8"/>
    <w:rsid w:val="00196A74"/>
    <w:rsid w:val="001F5F45"/>
    <w:rsid w:val="00233BBC"/>
    <w:rsid w:val="00266770"/>
    <w:rsid w:val="002804CE"/>
    <w:rsid w:val="00282B08"/>
    <w:rsid w:val="00284A73"/>
    <w:rsid w:val="002A453B"/>
    <w:rsid w:val="002E18BC"/>
    <w:rsid w:val="00335746"/>
    <w:rsid w:val="00336C33"/>
    <w:rsid w:val="00364E68"/>
    <w:rsid w:val="00382E4F"/>
    <w:rsid w:val="00391255"/>
    <w:rsid w:val="00397978"/>
    <w:rsid w:val="003A12E8"/>
    <w:rsid w:val="003D6B90"/>
    <w:rsid w:val="00402058"/>
    <w:rsid w:val="0041183B"/>
    <w:rsid w:val="0043291C"/>
    <w:rsid w:val="00453CA8"/>
    <w:rsid w:val="0045683F"/>
    <w:rsid w:val="00486C40"/>
    <w:rsid w:val="0049432E"/>
    <w:rsid w:val="00496898"/>
    <w:rsid w:val="004B465A"/>
    <w:rsid w:val="004D0930"/>
    <w:rsid w:val="004D4569"/>
    <w:rsid w:val="0051354D"/>
    <w:rsid w:val="00514ABE"/>
    <w:rsid w:val="00535CBD"/>
    <w:rsid w:val="005413CE"/>
    <w:rsid w:val="005A708D"/>
    <w:rsid w:val="005D4368"/>
    <w:rsid w:val="00610F5B"/>
    <w:rsid w:val="00670580"/>
    <w:rsid w:val="006A4B18"/>
    <w:rsid w:val="006C029D"/>
    <w:rsid w:val="006C2FEA"/>
    <w:rsid w:val="006E7BA3"/>
    <w:rsid w:val="00717A4B"/>
    <w:rsid w:val="00721820"/>
    <w:rsid w:val="0075481E"/>
    <w:rsid w:val="00763EAB"/>
    <w:rsid w:val="00796884"/>
    <w:rsid w:val="007F0770"/>
    <w:rsid w:val="007F40E7"/>
    <w:rsid w:val="007F69A6"/>
    <w:rsid w:val="007F7C56"/>
    <w:rsid w:val="00825926"/>
    <w:rsid w:val="00835999"/>
    <w:rsid w:val="008A6D77"/>
    <w:rsid w:val="008C7D1B"/>
    <w:rsid w:val="008E6CF8"/>
    <w:rsid w:val="008F1F62"/>
    <w:rsid w:val="008F3779"/>
    <w:rsid w:val="008F4573"/>
    <w:rsid w:val="00923BAC"/>
    <w:rsid w:val="00934892"/>
    <w:rsid w:val="00963C0C"/>
    <w:rsid w:val="009700ED"/>
    <w:rsid w:val="00973F16"/>
    <w:rsid w:val="009773B8"/>
    <w:rsid w:val="009929E3"/>
    <w:rsid w:val="009A3F9E"/>
    <w:rsid w:val="009C235C"/>
    <w:rsid w:val="009E2F9A"/>
    <w:rsid w:val="009F6505"/>
    <w:rsid w:val="00A47220"/>
    <w:rsid w:val="00A71E2C"/>
    <w:rsid w:val="00A726C0"/>
    <w:rsid w:val="00A96636"/>
    <w:rsid w:val="00AF3847"/>
    <w:rsid w:val="00B01EFF"/>
    <w:rsid w:val="00B10FFF"/>
    <w:rsid w:val="00B406BF"/>
    <w:rsid w:val="00B429FA"/>
    <w:rsid w:val="00B6646C"/>
    <w:rsid w:val="00B66FB9"/>
    <w:rsid w:val="00BA6191"/>
    <w:rsid w:val="00BB54CE"/>
    <w:rsid w:val="00BD3DCC"/>
    <w:rsid w:val="00BD59B6"/>
    <w:rsid w:val="00BF0BE2"/>
    <w:rsid w:val="00C076CD"/>
    <w:rsid w:val="00C13A68"/>
    <w:rsid w:val="00C343FE"/>
    <w:rsid w:val="00C56046"/>
    <w:rsid w:val="00C70D65"/>
    <w:rsid w:val="00C87B29"/>
    <w:rsid w:val="00C96DA7"/>
    <w:rsid w:val="00CA38FA"/>
    <w:rsid w:val="00CD1CB0"/>
    <w:rsid w:val="00CF1B7D"/>
    <w:rsid w:val="00D20544"/>
    <w:rsid w:val="00D32C4F"/>
    <w:rsid w:val="00D403E7"/>
    <w:rsid w:val="00D724DA"/>
    <w:rsid w:val="00D8399D"/>
    <w:rsid w:val="00D84FC4"/>
    <w:rsid w:val="00D96B95"/>
    <w:rsid w:val="00DD3A4D"/>
    <w:rsid w:val="00DD549F"/>
    <w:rsid w:val="00DF7C2F"/>
    <w:rsid w:val="00E163AB"/>
    <w:rsid w:val="00E17FA6"/>
    <w:rsid w:val="00E2458F"/>
    <w:rsid w:val="00E63E6C"/>
    <w:rsid w:val="00E75756"/>
    <w:rsid w:val="00E91023"/>
    <w:rsid w:val="00EB5320"/>
    <w:rsid w:val="00ED0D1A"/>
    <w:rsid w:val="00EE254C"/>
    <w:rsid w:val="00EF23E3"/>
    <w:rsid w:val="00EF3F71"/>
    <w:rsid w:val="00F00ED6"/>
    <w:rsid w:val="00F01758"/>
    <w:rsid w:val="00F11811"/>
    <w:rsid w:val="00F17F90"/>
    <w:rsid w:val="00F408E0"/>
    <w:rsid w:val="00F41248"/>
    <w:rsid w:val="00F62410"/>
    <w:rsid w:val="00F668C8"/>
    <w:rsid w:val="00F7425C"/>
    <w:rsid w:val="00F76B13"/>
    <w:rsid w:val="00F77922"/>
    <w:rsid w:val="00F959D1"/>
    <w:rsid w:val="00FB3BC0"/>
    <w:rsid w:val="00FB7E25"/>
    <w:rsid w:val="00FE5467"/>
    <w:rsid w:val="00FF6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kern w:val="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420" w:lineRule="atLeast"/>
    </w:pPr>
    <w:rPr>
      <w:color w:val="auto"/>
    </w:rPr>
  </w:style>
  <w:style w:type="paragraph" w:customStyle="1" w:styleId="CM16">
    <w:name w:val="CM16"/>
    <w:basedOn w:val="Default"/>
    <w:next w:val="Default"/>
    <w:uiPriority w:val="99"/>
    <w:rPr>
      <w:color w:val="auto"/>
    </w:rPr>
  </w:style>
  <w:style w:type="paragraph" w:customStyle="1" w:styleId="CM3">
    <w:name w:val="CM3"/>
    <w:basedOn w:val="Default"/>
    <w:next w:val="Default"/>
    <w:uiPriority w:val="99"/>
    <w:pPr>
      <w:spacing w:line="413" w:lineRule="atLeast"/>
    </w:pPr>
    <w:rPr>
      <w:color w:val="auto"/>
    </w:rPr>
  </w:style>
  <w:style w:type="paragraph" w:customStyle="1" w:styleId="CM4">
    <w:name w:val="CM4"/>
    <w:basedOn w:val="Default"/>
    <w:next w:val="Default"/>
    <w:uiPriority w:val="99"/>
    <w:pPr>
      <w:spacing w:line="416" w:lineRule="atLeast"/>
    </w:pPr>
    <w:rPr>
      <w:color w:val="auto"/>
    </w:rPr>
  </w:style>
  <w:style w:type="paragraph" w:customStyle="1" w:styleId="CM5">
    <w:name w:val="CM5"/>
    <w:basedOn w:val="Default"/>
    <w:next w:val="Default"/>
    <w:uiPriority w:val="99"/>
    <w:pPr>
      <w:spacing w:line="416" w:lineRule="atLeast"/>
    </w:pPr>
    <w:rPr>
      <w:color w:val="auto"/>
    </w:rPr>
  </w:style>
  <w:style w:type="paragraph" w:customStyle="1" w:styleId="CM6">
    <w:name w:val="CM6"/>
    <w:basedOn w:val="Default"/>
    <w:next w:val="Default"/>
    <w:uiPriority w:val="99"/>
    <w:pPr>
      <w:spacing w:line="420" w:lineRule="atLeast"/>
    </w:pPr>
    <w:rPr>
      <w:color w:val="auto"/>
    </w:rPr>
  </w:style>
  <w:style w:type="paragraph" w:customStyle="1" w:styleId="CM17">
    <w:name w:val="CM17"/>
    <w:basedOn w:val="Default"/>
    <w:next w:val="Default"/>
    <w:uiPriority w:val="99"/>
    <w:rPr>
      <w:color w:val="auto"/>
    </w:rPr>
  </w:style>
  <w:style w:type="paragraph" w:customStyle="1" w:styleId="CM7">
    <w:name w:val="CM7"/>
    <w:basedOn w:val="Default"/>
    <w:next w:val="Default"/>
    <w:uiPriority w:val="99"/>
    <w:pPr>
      <w:spacing w:line="416" w:lineRule="atLeast"/>
    </w:pPr>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pPr>
      <w:spacing w:line="413" w:lineRule="atLeast"/>
    </w:pPr>
    <w:rPr>
      <w:color w:val="auto"/>
    </w:rPr>
  </w:style>
  <w:style w:type="paragraph" w:customStyle="1" w:styleId="CM19">
    <w:name w:val="CM19"/>
    <w:basedOn w:val="Default"/>
    <w:next w:val="Default"/>
    <w:uiPriority w:val="99"/>
    <w:rPr>
      <w:color w:val="auto"/>
    </w:rPr>
  </w:style>
  <w:style w:type="paragraph" w:customStyle="1" w:styleId="CM9">
    <w:name w:val="CM9"/>
    <w:basedOn w:val="Default"/>
    <w:next w:val="Default"/>
    <w:uiPriority w:val="99"/>
    <w:pPr>
      <w:spacing w:line="271" w:lineRule="atLeast"/>
    </w:pPr>
    <w:rPr>
      <w:color w:val="auto"/>
    </w:rPr>
  </w:style>
  <w:style w:type="paragraph" w:customStyle="1" w:styleId="CM10">
    <w:name w:val="CM10"/>
    <w:basedOn w:val="Default"/>
    <w:next w:val="Default"/>
    <w:uiPriority w:val="99"/>
    <w:pPr>
      <w:spacing w:line="416" w:lineRule="atLeast"/>
    </w:pPr>
    <w:rPr>
      <w:color w:val="auto"/>
    </w:rPr>
  </w:style>
  <w:style w:type="paragraph" w:customStyle="1" w:styleId="CM11">
    <w:name w:val="CM11"/>
    <w:basedOn w:val="Default"/>
    <w:next w:val="Default"/>
    <w:uiPriority w:val="99"/>
    <w:pPr>
      <w:spacing w:line="416" w:lineRule="atLeast"/>
    </w:pPr>
    <w:rPr>
      <w:color w:val="auto"/>
    </w:rPr>
  </w:style>
  <w:style w:type="paragraph" w:customStyle="1" w:styleId="CM20">
    <w:name w:val="CM20"/>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12">
    <w:name w:val="CM12"/>
    <w:basedOn w:val="Default"/>
    <w:next w:val="Default"/>
    <w:uiPriority w:val="99"/>
    <w:pPr>
      <w:spacing w:line="468" w:lineRule="atLeast"/>
    </w:pPr>
    <w:rPr>
      <w:color w:val="auto"/>
    </w:rPr>
  </w:style>
  <w:style w:type="paragraph" w:customStyle="1" w:styleId="CM23">
    <w:name w:val="CM23"/>
    <w:basedOn w:val="Default"/>
    <w:next w:val="Default"/>
    <w:uiPriority w:val="99"/>
    <w:rPr>
      <w:color w:val="auto"/>
    </w:rPr>
  </w:style>
  <w:style w:type="paragraph" w:customStyle="1" w:styleId="CM13">
    <w:name w:val="CM13"/>
    <w:basedOn w:val="Default"/>
    <w:next w:val="Default"/>
    <w:uiPriority w:val="99"/>
    <w:pPr>
      <w:spacing w:line="668" w:lineRule="atLeast"/>
    </w:pPr>
    <w:rPr>
      <w:color w:val="auto"/>
    </w:rPr>
  </w:style>
  <w:style w:type="paragraph" w:customStyle="1" w:styleId="CM24">
    <w:name w:val="CM24"/>
    <w:basedOn w:val="Default"/>
    <w:next w:val="Default"/>
    <w:uiPriority w:val="99"/>
    <w:rPr>
      <w:color w:val="auto"/>
    </w:rPr>
  </w:style>
  <w:style w:type="paragraph" w:customStyle="1" w:styleId="CM14">
    <w:name w:val="CM14"/>
    <w:basedOn w:val="Default"/>
    <w:next w:val="Default"/>
    <w:uiPriority w:val="99"/>
    <w:pPr>
      <w:spacing w:line="300" w:lineRule="atLeast"/>
    </w:pPr>
    <w:rPr>
      <w:color w:val="auto"/>
    </w:rPr>
  </w:style>
  <w:style w:type="paragraph" w:customStyle="1" w:styleId="CM15">
    <w:name w:val="CM15"/>
    <w:basedOn w:val="Default"/>
    <w:next w:val="Default"/>
    <w:uiPriority w:val="99"/>
    <w:pPr>
      <w:spacing w:line="300" w:lineRule="atLeast"/>
    </w:pPr>
    <w:rPr>
      <w:color w:val="auto"/>
    </w:rPr>
  </w:style>
  <w:style w:type="paragraph" w:styleId="a3">
    <w:name w:val="header"/>
    <w:basedOn w:val="a"/>
    <w:link w:val="Char"/>
    <w:uiPriority w:val="99"/>
    <w:unhideWhenUsed/>
    <w:rsid w:val="00DD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D549F"/>
    <w:rPr>
      <w:rFonts w:cs="Times New Roman"/>
      <w:sz w:val="18"/>
      <w:szCs w:val="18"/>
    </w:rPr>
  </w:style>
  <w:style w:type="paragraph" w:styleId="a4">
    <w:name w:val="footer"/>
    <w:basedOn w:val="a"/>
    <w:link w:val="Char0"/>
    <w:uiPriority w:val="99"/>
    <w:unhideWhenUsed/>
    <w:rsid w:val="00DD549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D549F"/>
    <w:rPr>
      <w:rFonts w:cs="Times New Roman"/>
      <w:sz w:val="18"/>
      <w:szCs w:val="18"/>
    </w:rPr>
  </w:style>
  <w:style w:type="paragraph" w:customStyle="1" w:styleId="p0">
    <w:name w:val="p0"/>
    <w:basedOn w:val="a"/>
    <w:rsid w:val="00DD549F"/>
    <w:pPr>
      <w:widowControl/>
      <w:spacing w:line="240" w:lineRule="atLeast"/>
      <w:jc w:val="left"/>
    </w:pPr>
    <w:rPr>
      <w:rFonts w:ascii="Century" w:eastAsia="宋体" w:hAnsi="Century" w:cs="宋体"/>
      <w:kern w:val="0"/>
      <w:szCs w:val="21"/>
    </w:rPr>
  </w:style>
  <w:style w:type="character" w:styleId="a5">
    <w:name w:val="annotation reference"/>
    <w:basedOn w:val="a0"/>
    <w:uiPriority w:val="99"/>
    <w:semiHidden/>
    <w:unhideWhenUsed/>
    <w:rsid w:val="00DD549F"/>
    <w:rPr>
      <w:rFonts w:cs="Times New Roman"/>
      <w:sz w:val="21"/>
      <w:szCs w:val="21"/>
    </w:rPr>
  </w:style>
  <w:style w:type="paragraph" w:styleId="a6">
    <w:name w:val="annotation text"/>
    <w:basedOn w:val="a"/>
    <w:link w:val="Char1"/>
    <w:uiPriority w:val="99"/>
    <w:unhideWhenUsed/>
    <w:rsid w:val="00DD549F"/>
    <w:pPr>
      <w:jc w:val="left"/>
    </w:pPr>
  </w:style>
  <w:style w:type="character" w:customStyle="1" w:styleId="Char1">
    <w:name w:val="批注文字 Char"/>
    <w:basedOn w:val="a0"/>
    <w:link w:val="a6"/>
    <w:uiPriority w:val="99"/>
    <w:semiHidden/>
    <w:locked/>
    <w:rsid w:val="00DD549F"/>
    <w:rPr>
      <w:rFonts w:cs="Times New Roman"/>
    </w:rPr>
  </w:style>
  <w:style w:type="paragraph" w:styleId="a7">
    <w:name w:val="annotation subject"/>
    <w:basedOn w:val="a6"/>
    <w:next w:val="a6"/>
    <w:link w:val="Char2"/>
    <w:uiPriority w:val="99"/>
    <w:semiHidden/>
    <w:unhideWhenUsed/>
    <w:rsid w:val="00DD549F"/>
    <w:rPr>
      <w:b/>
      <w:bCs/>
    </w:rPr>
  </w:style>
  <w:style w:type="character" w:customStyle="1" w:styleId="Char2">
    <w:name w:val="批注主题 Char"/>
    <w:basedOn w:val="Char1"/>
    <w:link w:val="a7"/>
    <w:uiPriority w:val="99"/>
    <w:semiHidden/>
    <w:locked/>
    <w:rsid w:val="00DD549F"/>
    <w:rPr>
      <w:b/>
      <w:bCs/>
    </w:rPr>
  </w:style>
  <w:style w:type="paragraph" w:styleId="a8">
    <w:name w:val="Balloon Text"/>
    <w:basedOn w:val="a"/>
    <w:link w:val="Char3"/>
    <w:uiPriority w:val="99"/>
    <w:semiHidden/>
    <w:unhideWhenUsed/>
    <w:rsid w:val="00DD549F"/>
    <w:rPr>
      <w:sz w:val="18"/>
      <w:szCs w:val="18"/>
    </w:rPr>
  </w:style>
  <w:style w:type="character" w:customStyle="1" w:styleId="Char3">
    <w:name w:val="批注框文本 Char"/>
    <w:basedOn w:val="a0"/>
    <w:link w:val="a8"/>
    <w:uiPriority w:val="99"/>
    <w:semiHidden/>
    <w:locked/>
    <w:rsid w:val="00DD549F"/>
    <w:rPr>
      <w:rFonts w:cs="Times New Roman"/>
      <w:sz w:val="18"/>
      <w:szCs w:val="18"/>
    </w:rPr>
  </w:style>
  <w:style w:type="character" w:customStyle="1" w:styleId="Char10">
    <w:name w:val="批注文字 Char1"/>
    <w:basedOn w:val="a0"/>
    <w:semiHidden/>
    <w:rsid w:val="00391255"/>
    <w:rPr>
      <w:rFonts w:eastAsia="宋体" w:cs="Times New Roman"/>
      <w:kern w:val="2"/>
      <w:sz w:val="24"/>
      <w:szCs w:val="24"/>
      <w:lang w:val="en-US" w:eastAsia="zh-CN" w:bidi="ar-SA"/>
    </w:rPr>
  </w:style>
  <w:style w:type="character" w:customStyle="1" w:styleId="warning1">
    <w:name w:val="warning1"/>
    <w:basedOn w:val="a0"/>
    <w:rsid w:val="00B429FA"/>
    <w:rPr>
      <w:rFonts w:cs="Times New Roman"/>
      <w:color w:val="CC0000"/>
    </w:rPr>
  </w:style>
  <w:style w:type="character" w:customStyle="1" w:styleId="trans">
    <w:name w:val="trans"/>
    <w:basedOn w:val="a0"/>
    <w:rsid w:val="006E7BA3"/>
    <w:rPr>
      <w:rFonts w:cs="Times New Roman"/>
    </w:rPr>
  </w:style>
  <w:style w:type="character" w:customStyle="1" w:styleId="webdict">
    <w:name w:val="webdict"/>
    <w:basedOn w:val="a0"/>
    <w:rsid w:val="006E7BA3"/>
    <w:rPr>
      <w:rFonts w:cs="Times New Roman"/>
    </w:rPr>
  </w:style>
  <w:style w:type="character" w:customStyle="1" w:styleId="apple-converted-space">
    <w:name w:val="apple-converted-space"/>
    <w:basedOn w:val="a0"/>
    <w:rsid w:val="00E17FA6"/>
    <w:rPr>
      <w:rFonts w:cs="Times New Roman"/>
    </w:rPr>
  </w:style>
</w:styles>
</file>

<file path=word/webSettings.xml><?xml version="1.0" encoding="utf-8"?>
<w:webSettings xmlns:r="http://schemas.openxmlformats.org/officeDocument/2006/relationships" xmlns:w="http://schemas.openxmlformats.org/wordprocessingml/2006/main">
  <w:divs>
    <w:div w:id="827357297">
      <w:marLeft w:val="0"/>
      <w:marRight w:val="0"/>
      <w:marTop w:val="0"/>
      <w:marBottom w:val="0"/>
      <w:divBdr>
        <w:top w:val="none" w:sz="0" w:space="0" w:color="auto"/>
        <w:left w:val="none" w:sz="0" w:space="0" w:color="auto"/>
        <w:bottom w:val="none" w:sz="0" w:space="0" w:color="auto"/>
        <w:right w:val="none" w:sz="0" w:space="0" w:color="auto"/>
      </w:divBdr>
    </w:div>
    <w:div w:id="827357300">
      <w:marLeft w:val="0"/>
      <w:marRight w:val="0"/>
      <w:marTop w:val="0"/>
      <w:marBottom w:val="0"/>
      <w:divBdr>
        <w:top w:val="none" w:sz="0" w:space="0" w:color="auto"/>
        <w:left w:val="none" w:sz="0" w:space="0" w:color="auto"/>
        <w:bottom w:val="none" w:sz="0" w:space="0" w:color="auto"/>
        <w:right w:val="none" w:sz="0" w:space="0" w:color="auto"/>
      </w:divBdr>
    </w:div>
    <w:div w:id="827357302">
      <w:marLeft w:val="0"/>
      <w:marRight w:val="0"/>
      <w:marTop w:val="0"/>
      <w:marBottom w:val="0"/>
      <w:divBdr>
        <w:top w:val="none" w:sz="0" w:space="0" w:color="auto"/>
        <w:left w:val="none" w:sz="0" w:space="0" w:color="auto"/>
        <w:bottom w:val="none" w:sz="0" w:space="0" w:color="auto"/>
        <w:right w:val="none" w:sz="0" w:space="0" w:color="auto"/>
      </w:divBdr>
    </w:div>
    <w:div w:id="827357305">
      <w:marLeft w:val="0"/>
      <w:marRight w:val="0"/>
      <w:marTop w:val="0"/>
      <w:marBottom w:val="0"/>
      <w:divBdr>
        <w:top w:val="none" w:sz="0" w:space="0" w:color="auto"/>
        <w:left w:val="none" w:sz="0" w:space="0" w:color="auto"/>
        <w:bottom w:val="none" w:sz="0" w:space="0" w:color="auto"/>
        <w:right w:val="none" w:sz="0" w:space="0" w:color="auto"/>
      </w:divBdr>
    </w:div>
    <w:div w:id="827357309">
      <w:marLeft w:val="0"/>
      <w:marRight w:val="0"/>
      <w:marTop w:val="0"/>
      <w:marBottom w:val="0"/>
      <w:divBdr>
        <w:top w:val="none" w:sz="0" w:space="0" w:color="auto"/>
        <w:left w:val="none" w:sz="0" w:space="0" w:color="auto"/>
        <w:bottom w:val="none" w:sz="0" w:space="0" w:color="auto"/>
        <w:right w:val="none" w:sz="0" w:space="0" w:color="auto"/>
      </w:divBdr>
    </w:div>
    <w:div w:id="827357311">
      <w:marLeft w:val="0"/>
      <w:marRight w:val="0"/>
      <w:marTop w:val="0"/>
      <w:marBottom w:val="0"/>
      <w:divBdr>
        <w:top w:val="none" w:sz="0" w:space="0" w:color="auto"/>
        <w:left w:val="none" w:sz="0" w:space="0" w:color="auto"/>
        <w:bottom w:val="none" w:sz="0" w:space="0" w:color="auto"/>
        <w:right w:val="none" w:sz="0" w:space="0" w:color="auto"/>
      </w:divBdr>
    </w:div>
    <w:div w:id="827357327">
      <w:marLeft w:val="0"/>
      <w:marRight w:val="0"/>
      <w:marTop w:val="0"/>
      <w:marBottom w:val="0"/>
      <w:divBdr>
        <w:top w:val="none" w:sz="0" w:space="0" w:color="auto"/>
        <w:left w:val="none" w:sz="0" w:space="0" w:color="auto"/>
        <w:bottom w:val="none" w:sz="0" w:space="0" w:color="auto"/>
        <w:right w:val="none" w:sz="0" w:space="0" w:color="auto"/>
      </w:divBdr>
      <w:divsChild>
        <w:div w:id="827357308">
          <w:marLeft w:val="0"/>
          <w:marRight w:val="0"/>
          <w:marTop w:val="0"/>
          <w:marBottom w:val="0"/>
          <w:divBdr>
            <w:top w:val="none" w:sz="0" w:space="0" w:color="auto"/>
            <w:left w:val="none" w:sz="0" w:space="0" w:color="auto"/>
            <w:bottom w:val="none" w:sz="0" w:space="0" w:color="auto"/>
            <w:right w:val="none" w:sz="0" w:space="0" w:color="auto"/>
          </w:divBdr>
          <w:divsChild>
            <w:div w:id="827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328">
      <w:marLeft w:val="0"/>
      <w:marRight w:val="0"/>
      <w:marTop w:val="0"/>
      <w:marBottom w:val="0"/>
      <w:divBdr>
        <w:top w:val="none" w:sz="0" w:space="0" w:color="auto"/>
        <w:left w:val="none" w:sz="0" w:space="0" w:color="auto"/>
        <w:bottom w:val="none" w:sz="0" w:space="0" w:color="auto"/>
        <w:right w:val="none" w:sz="0" w:space="0" w:color="auto"/>
      </w:divBdr>
      <w:divsChild>
        <w:div w:id="827357312">
          <w:marLeft w:val="0"/>
          <w:marRight w:val="0"/>
          <w:marTop w:val="0"/>
          <w:marBottom w:val="0"/>
          <w:divBdr>
            <w:top w:val="none" w:sz="0" w:space="0" w:color="auto"/>
            <w:left w:val="none" w:sz="0" w:space="0" w:color="auto"/>
            <w:bottom w:val="none" w:sz="0" w:space="0" w:color="auto"/>
            <w:right w:val="none" w:sz="0" w:space="0" w:color="auto"/>
          </w:divBdr>
          <w:divsChild>
            <w:div w:id="827357291">
              <w:marLeft w:val="0"/>
              <w:marRight w:val="0"/>
              <w:marTop w:val="0"/>
              <w:marBottom w:val="0"/>
              <w:divBdr>
                <w:top w:val="none" w:sz="0" w:space="0" w:color="auto"/>
                <w:left w:val="none" w:sz="0" w:space="0" w:color="auto"/>
                <w:bottom w:val="none" w:sz="0" w:space="0" w:color="auto"/>
                <w:right w:val="none" w:sz="0" w:space="0" w:color="auto"/>
              </w:divBdr>
            </w:div>
            <w:div w:id="827357292">
              <w:marLeft w:val="0"/>
              <w:marRight w:val="0"/>
              <w:marTop w:val="0"/>
              <w:marBottom w:val="0"/>
              <w:divBdr>
                <w:top w:val="none" w:sz="0" w:space="0" w:color="auto"/>
                <w:left w:val="none" w:sz="0" w:space="0" w:color="auto"/>
                <w:bottom w:val="none" w:sz="0" w:space="0" w:color="auto"/>
                <w:right w:val="none" w:sz="0" w:space="0" w:color="auto"/>
              </w:divBdr>
            </w:div>
            <w:div w:id="827357293">
              <w:marLeft w:val="0"/>
              <w:marRight w:val="0"/>
              <w:marTop w:val="0"/>
              <w:marBottom w:val="0"/>
              <w:divBdr>
                <w:top w:val="none" w:sz="0" w:space="0" w:color="auto"/>
                <w:left w:val="none" w:sz="0" w:space="0" w:color="auto"/>
                <w:bottom w:val="none" w:sz="0" w:space="0" w:color="auto"/>
                <w:right w:val="none" w:sz="0" w:space="0" w:color="auto"/>
              </w:divBdr>
            </w:div>
            <w:div w:id="827357294">
              <w:marLeft w:val="0"/>
              <w:marRight w:val="0"/>
              <w:marTop w:val="0"/>
              <w:marBottom w:val="0"/>
              <w:divBdr>
                <w:top w:val="none" w:sz="0" w:space="0" w:color="auto"/>
                <w:left w:val="none" w:sz="0" w:space="0" w:color="auto"/>
                <w:bottom w:val="none" w:sz="0" w:space="0" w:color="auto"/>
                <w:right w:val="none" w:sz="0" w:space="0" w:color="auto"/>
              </w:divBdr>
            </w:div>
            <w:div w:id="827357295">
              <w:marLeft w:val="0"/>
              <w:marRight w:val="0"/>
              <w:marTop w:val="0"/>
              <w:marBottom w:val="0"/>
              <w:divBdr>
                <w:top w:val="none" w:sz="0" w:space="0" w:color="auto"/>
                <w:left w:val="none" w:sz="0" w:space="0" w:color="auto"/>
                <w:bottom w:val="none" w:sz="0" w:space="0" w:color="auto"/>
                <w:right w:val="none" w:sz="0" w:space="0" w:color="auto"/>
              </w:divBdr>
            </w:div>
            <w:div w:id="827357296">
              <w:marLeft w:val="0"/>
              <w:marRight w:val="0"/>
              <w:marTop w:val="0"/>
              <w:marBottom w:val="0"/>
              <w:divBdr>
                <w:top w:val="none" w:sz="0" w:space="0" w:color="auto"/>
                <w:left w:val="none" w:sz="0" w:space="0" w:color="auto"/>
                <w:bottom w:val="none" w:sz="0" w:space="0" w:color="auto"/>
                <w:right w:val="none" w:sz="0" w:space="0" w:color="auto"/>
              </w:divBdr>
            </w:div>
            <w:div w:id="827357298">
              <w:marLeft w:val="0"/>
              <w:marRight w:val="0"/>
              <w:marTop w:val="0"/>
              <w:marBottom w:val="0"/>
              <w:divBdr>
                <w:top w:val="none" w:sz="0" w:space="0" w:color="auto"/>
                <w:left w:val="none" w:sz="0" w:space="0" w:color="auto"/>
                <w:bottom w:val="none" w:sz="0" w:space="0" w:color="auto"/>
                <w:right w:val="none" w:sz="0" w:space="0" w:color="auto"/>
              </w:divBdr>
            </w:div>
            <w:div w:id="827357299">
              <w:marLeft w:val="0"/>
              <w:marRight w:val="0"/>
              <w:marTop w:val="0"/>
              <w:marBottom w:val="0"/>
              <w:divBdr>
                <w:top w:val="none" w:sz="0" w:space="0" w:color="auto"/>
                <w:left w:val="none" w:sz="0" w:space="0" w:color="auto"/>
                <w:bottom w:val="none" w:sz="0" w:space="0" w:color="auto"/>
                <w:right w:val="none" w:sz="0" w:space="0" w:color="auto"/>
              </w:divBdr>
            </w:div>
            <w:div w:id="827357301">
              <w:marLeft w:val="0"/>
              <w:marRight w:val="0"/>
              <w:marTop w:val="0"/>
              <w:marBottom w:val="0"/>
              <w:divBdr>
                <w:top w:val="none" w:sz="0" w:space="0" w:color="auto"/>
                <w:left w:val="none" w:sz="0" w:space="0" w:color="auto"/>
                <w:bottom w:val="none" w:sz="0" w:space="0" w:color="auto"/>
                <w:right w:val="none" w:sz="0" w:space="0" w:color="auto"/>
              </w:divBdr>
            </w:div>
            <w:div w:id="827357303">
              <w:marLeft w:val="0"/>
              <w:marRight w:val="0"/>
              <w:marTop w:val="0"/>
              <w:marBottom w:val="0"/>
              <w:divBdr>
                <w:top w:val="none" w:sz="0" w:space="0" w:color="auto"/>
                <w:left w:val="none" w:sz="0" w:space="0" w:color="auto"/>
                <w:bottom w:val="none" w:sz="0" w:space="0" w:color="auto"/>
                <w:right w:val="none" w:sz="0" w:space="0" w:color="auto"/>
              </w:divBdr>
            </w:div>
            <w:div w:id="827357304">
              <w:marLeft w:val="0"/>
              <w:marRight w:val="0"/>
              <w:marTop w:val="0"/>
              <w:marBottom w:val="0"/>
              <w:divBdr>
                <w:top w:val="none" w:sz="0" w:space="0" w:color="auto"/>
                <w:left w:val="none" w:sz="0" w:space="0" w:color="auto"/>
                <w:bottom w:val="none" w:sz="0" w:space="0" w:color="auto"/>
                <w:right w:val="none" w:sz="0" w:space="0" w:color="auto"/>
              </w:divBdr>
            </w:div>
            <w:div w:id="827357306">
              <w:marLeft w:val="0"/>
              <w:marRight w:val="0"/>
              <w:marTop w:val="0"/>
              <w:marBottom w:val="0"/>
              <w:divBdr>
                <w:top w:val="none" w:sz="0" w:space="0" w:color="auto"/>
                <w:left w:val="none" w:sz="0" w:space="0" w:color="auto"/>
                <w:bottom w:val="none" w:sz="0" w:space="0" w:color="auto"/>
                <w:right w:val="none" w:sz="0" w:space="0" w:color="auto"/>
              </w:divBdr>
            </w:div>
            <w:div w:id="827357307">
              <w:marLeft w:val="0"/>
              <w:marRight w:val="0"/>
              <w:marTop w:val="0"/>
              <w:marBottom w:val="0"/>
              <w:divBdr>
                <w:top w:val="none" w:sz="0" w:space="0" w:color="auto"/>
                <w:left w:val="none" w:sz="0" w:space="0" w:color="auto"/>
                <w:bottom w:val="none" w:sz="0" w:space="0" w:color="auto"/>
                <w:right w:val="none" w:sz="0" w:space="0" w:color="auto"/>
              </w:divBdr>
            </w:div>
            <w:div w:id="827357310">
              <w:marLeft w:val="0"/>
              <w:marRight w:val="0"/>
              <w:marTop w:val="0"/>
              <w:marBottom w:val="0"/>
              <w:divBdr>
                <w:top w:val="none" w:sz="0" w:space="0" w:color="auto"/>
                <w:left w:val="none" w:sz="0" w:space="0" w:color="auto"/>
                <w:bottom w:val="none" w:sz="0" w:space="0" w:color="auto"/>
                <w:right w:val="none" w:sz="0" w:space="0" w:color="auto"/>
              </w:divBdr>
            </w:div>
            <w:div w:id="827357313">
              <w:marLeft w:val="0"/>
              <w:marRight w:val="0"/>
              <w:marTop w:val="0"/>
              <w:marBottom w:val="0"/>
              <w:divBdr>
                <w:top w:val="none" w:sz="0" w:space="0" w:color="auto"/>
                <w:left w:val="none" w:sz="0" w:space="0" w:color="auto"/>
                <w:bottom w:val="none" w:sz="0" w:space="0" w:color="auto"/>
                <w:right w:val="none" w:sz="0" w:space="0" w:color="auto"/>
              </w:divBdr>
            </w:div>
            <w:div w:id="827357314">
              <w:marLeft w:val="0"/>
              <w:marRight w:val="0"/>
              <w:marTop w:val="0"/>
              <w:marBottom w:val="0"/>
              <w:divBdr>
                <w:top w:val="none" w:sz="0" w:space="0" w:color="auto"/>
                <w:left w:val="none" w:sz="0" w:space="0" w:color="auto"/>
                <w:bottom w:val="none" w:sz="0" w:space="0" w:color="auto"/>
                <w:right w:val="none" w:sz="0" w:space="0" w:color="auto"/>
              </w:divBdr>
            </w:div>
            <w:div w:id="827357315">
              <w:marLeft w:val="0"/>
              <w:marRight w:val="0"/>
              <w:marTop w:val="0"/>
              <w:marBottom w:val="0"/>
              <w:divBdr>
                <w:top w:val="none" w:sz="0" w:space="0" w:color="auto"/>
                <w:left w:val="none" w:sz="0" w:space="0" w:color="auto"/>
                <w:bottom w:val="none" w:sz="0" w:space="0" w:color="auto"/>
                <w:right w:val="none" w:sz="0" w:space="0" w:color="auto"/>
              </w:divBdr>
            </w:div>
            <w:div w:id="827357316">
              <w:marLeft w:val="0"/>
              <w:marRight w:val="0"/>
              <w:marTop w:val="0"/>
              <w:marBottom w:val="0"/>
              <w:divBdr>
                <w:top w:val="none" w:sz="0" w:space="0" w:color="auto"/>
                <w:left w:val="none" w:sz="0" w:space="0" w:color="auto"/>
                <w:bottom w:val="none" w:sz="0" w:space="0" w:color="auto"/>
                <w:right w:val="none" w:sz="0" w:space="0" w:color="auto"/>
              </w:divBdr>
            </w:div>
            <w:div w:id="827357317">
              <w:marLeft w:val="0"/>
              <w:marRight w:val="0"/>
              <w:marTop w:val="0"/>
              <w:marBottom w:val="0"/>
              <w:divBdr>
                <w:top w:val="none" w:sz="0" w:space="0" w:color="auto"/>
                <w:left w:val="none" w:sz="0" w:space="0" w:color="auto"/>
                <w:bottom w:val="none" w:sz="0" w:space="0" w:color="auto"/>
                <w:right w:val="none" w:sz="0" w:space="0" w:color="auto"/>
              </w:divBdr>
            </w:div>
            <w:div w:id="827357318">
              <w:marLeft w:val="0"/>
              <w:marRight w:val="0"/>
              <w:marTop w:val="0"/>
              <w:marBottom w:val="0"/>
              <w:divBdr>
                <w:top w:val="none" w:sz="0" w:space="0" w:color="auto"/>
                <w:left w:val="none" w:sz="0" w:space="0" w:color="auto"/>
                <w:bottom w:val="none" w:sz="0" w:space="0" w:color="auto"/>
                <w:right w:val="none" w:sz="0" w:space="0" w:color="auto"/>
              </w:divBdr>
            </w:div>
            <w:div w:id="827357319">
              <w:marLeft w:val="0"/>
              <w:marRight w:val="0"/>
              <w:marTop w:val="0"/>
              <w:marBottom w:val="0"/>
              <w:divBdr>
                <w:top w:val="none" w:sz="0" w:space="0" w:color="auto"/>
                <w:left w:val="none" w:sz="0" w:space="0" w:color="auto"/>
                <w:bottom w:val="none" w:sz="0" w:space="0" w:color="auto"/>
                <w:right w:val="none" w:sz="0" w:space="0" w:color="auto"/>
              </w:divBdr>
            </w:div>
            <w:div w:id="827357320">
              <w:marLeft w:val="0"/>
              <w:marRight w:val="0"/>
              <w:marTop w:val="0"/>
              <w:marBottom w:val="0"/>
              <w:divBdr>
                <w:top w:val="none" w:sz="0" w:space="0" w:color="auto"/>
                <w:left w:val="none" w:sz="0" w:space="0" w:color="auto"/>
                <w:bottom w:val="none" w:sz="0" w:space="0" w:color="auto"/>
                <w:right w:val="none" w:sz="0" w:space="0" w:color="auto"/>
              </w:divBdr>
            </w:div>
            <w:div w:id="827357321">
              <w:marLeft w:val="0"/>
              <w:marRight w:val="0"/>
              <w:marTop w:val="0"/>
              <w:marBottom w:val="0"/>
              <w:divBdr>
                <w:top w:val="none" w:sz="0" w:space="0" w:color="auto"/>
                <w:left w:val="none" w:sz="0" w:space="0" w:color="auto"/>
                <w:bottom w:val="none" w:sz="0" w:space="0" w:color="auto"/>
                <w:right w:val="none" w:sz="0" w:space="0" w:color="auto"/>
              </w:divBdr>
            </w:div>
            <w:div w:id="827357322">
              <w:marLeft w:val="0"/>
              <w:marRight w:val="0"/>
              <w:marTop w:val="0"/>
              <w:marBottom w:val="0"/>
              <w:divBdr>
                <w:top w:val="none" w:sz="0" w:space="0" w:color="auto"/>
                <w:left w:val="none" w:sz="0" w:space="0" w:color="auto"/>
                <w:bottom w:val="none" w:sz="0" w:space="0" w:color="auto"/>
                <w:right w:val="none" w:sz="0" w:space="0" w:color="auto"/>
              </w:divBdr>
            </w:div>
            <w:div w:id="827357323">
              <w:marLeft w:val="0"/>
              <w:marRight w:val="0"/>
              <w:marTop w:val="0"/>
              <w:marBottom w:val="0"/>
              <w:divBdr>
                <w:top w:val="none" w:sz="0" w:space="0" w:color="auto"/>
                <w:left w:val="none" w:sz="0" w:space="0" w:color="auto"/>
                <w:bottom w:val="none" w:sz="0" w:space="0" w:color="auto"/>
                <w:right w:val="none" w:sz="0" w:space="0" w:color="auto"/>
              </w:divBdr>
            </w:div>
            <w:div w:id="827357324">
              <w:marLeft w:val="0"/>
              <w:marRight w:val="0"/>
              <w:marTop w:val="0"/>
              <w:marBottom w:val="0"/>
              <w:divBdr>
                <w:top w:val="none" w:sz="0" w:space="0" w:color="auto"/>
                <w:left w:val="none" w:sz="0" w:space="0" w:color="auto"/>
                <w:bottom w:val="none" w:sz="0" w:space="0" w:color="auto"/>
                <w:right w:val="none" w:sz="0" w:space="0" w:color="auto"/>
              </w:divBdr>
            </w:div>
            <w:div w:id="827357325">
              <w:marLeft w:val="0"/>
              <w:marRight w:val="0"/>
              <w:marTop w:val="0"/>
              <w:marBottom w:val="0"/>
              <w:divBdr>
                <w:top w:val="none" w:sz="0" w:space="0" w:color="auto"/>
                <w:left w:val="none" w:sz="0" w:space="0" w:color="auto"/>
                <w:bottom w:val="none" w:sz="0" w:space="0" w:color="auto"/>
                <w:right w:val="none" w:sz="0" w:space="0" w:color="auto"/>
              </w:divBdr>
            </w:div>
            <w:div w:id="827357326">
              <w:marLeft w:val="0"/>
              <w:marRight w:val="0"/>
              <w:marTop w:val="0"/>
              <w:marBottom w:val="0"/>
              <w:divBdr>
                <w:top w:val="none" w:sz="0" w:space="0" w:color="auto"/>
                <w:left w:val="none" w:sz="0" w:space="0" w:color="auto"/>
                <w:bottom w:val="none" w:sz="0" w:space="0" w:color="auto"/>
                <w:right w:val="none" w:sz="0" w:space="0" w:color="auto"/>
              </w:divBdr>
            </w:div>
            <w:div w:id="827357330">
              <w:marLeft w:val="0"/>
              <w:marRight w:val="0"/>
              <w:marTop w:val="0"/>
              <w:marBottom w:val="0"/>
              <w:divBdr>
                <w:top w:val="none" w:sz="0" w:space="0" w:color="auto"/>
                <w:left w:val="none" w:sz="0" w:space="0" w:color="auto"/>
                <w:bottom w:val="none" w:sz="0" w:space="0" w:color="auto"/>
                <w:right w:val="none" w:sz="0" w:space="0" w:color="auto"/>
              </w:divBdr>
            </w:div>
            <w:div w:id="827357331">
              <w:marLeft w:val="0"/>
              <w:marRight w:val="0"/>
              <w:marTop w:val="0"/>
              <w:marBottom w:val="0"/>
              <w:divBdr>
                <w:top w:val="none" w:sz="0" w:space="0" w:color="auto"/>
                <w:left w:val="none" w:sz="0" w:space="0" w:color="auto"/>
                <w:bottom w:val="none" w:sz="0" w:space="0" w:color="auto"/>
                <w:right w:val="none" w:sz="0" w:space="0" w:color="auto"/>
              </w:divBdr>
            </w:div>
            <w:div w:id="827357332">
              <w:marLeft w:val="0"/>
              <w:marRight w:val="0"/>
              <w:marTop w:val="0"/>
              <w:marBottom w:val="0"/>
              <w:divBdr>
                <w:top w:val="none" w:sz="0" w:space="0" w:color="auto"/>
                <w:left w:val="none" w:sz="0" w:space="0" w:color="auto"/>
                <w:bottom w:val="none" w:sz="0" w:space="0" w:color="auto"/>
                <w:right w:val="none" w:sz="0" w:space="0" w:color="auto"/>
              </w:divBdr>
            </w:div>
            <w:div w:id="827357333">
              <w:marLeft w:val="0"/>
              <w:marRight w:val="0"/>
              <w:marTop w:val="0"/>
              <w:marBottom w:val="0"/>
              <w:divBdr>
                <w:top w:val="none" w:sz="0" w:space="0" w:color="auto"/>
                <w:left w:val="none" w:sz="0" w:space="0" w:color="auto"/>
                <w:bottom w:val="none" w:sz="0" w:space="0" w:color="auto"/>
                <w:right w:val="none" w:sz="0" w:space="0" w:color="auto"/>
              </w:divBdr>
            </w:div>
            <w:div w:id="827357336">
              <w:marLeft w:val="0"/>
              <w:marRight w:val="0"/>
              <w:marTop w:val="0"/>
              <w:marBottom w:val="0"/>
              <w:divBdr>
                <w:top w:val="none" w:sz="0" w:space="0" w:color="auto"/>
                <w:left w:val="none" w:sz="0" w:space="0" w:color="auto"/>
                <w:bottom w:val="none" w:sz="0" w:space="0" w:color="auto"/>
                <w:right w:val="none" w:sz="0" w:space="0" w:color="auto"/>
              </w:divBdr>
            </w:div>
            <w:div w:id="827357337">
              <w:marLeft w:val="0"/>
              <w:marRight w:val="0"/>
              <w:marTop w:val="0"/>
              <w:marBottom w:val="0"/>
              <w:divBdr>
                <w:top w:val="none" w:sz="0" w:space="0" w:color="auto"/>
                <w:left w:val="none" w:sz="0" w:space="0" w:color="auto"/>
                <w:bottom w:val="none" w:sz="0" w:space="0" w:color="auto"/>
                <w:right w:val="none" w:sz="0" w:space="0" w:color="auto"/>
              </w:divBdr>
            </w:div>
            <w:div w:id="827357338">
              <w:marLeft w:val="0"/>
              <w:marRight w:val="0"/>
              <w:marTop w:val="0"/>
              <w:marBottom w:val="0"/>
              <w:divBdr>
                <w:top w:val="none" w:sz="0" w:space="0" w:color="auto"/>
                <w:left w:val="none" w:sz="0" w:space="0" w:color="auto"/>
                <w:bottom w:val="none" w:sz="0" w:space="0" w:color="auto"/>
                <w:right w:val="none" w:sz="0" w:space="0" w:color="auto"/>
              </w:divBdr>
            </w:div>
            <w:div w:id="8273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7334">
      <w:marLeft w:val="0"/>
      <w:marRight w:val="0"/>
      <w:marTop w:val="0"/>
      <w:marBottom w:val="0"/>
      <w:divBdr>
        <w:top w:val="none" w:sz="0" w:space="0" w:color="auto"/>
        <w:left w:val="none" w:sz="0" w:space="0" w:color="auto"/>
        <w:bottom w:val="none" w:sz="0" w:space="0" w:color="auto"/>
        <w:right w:val="none" w:sz="0" w:space="0" w:color="auto"/>
      </w:divBdr>
    </w:div>
    <w:div w:id="827357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80CDF-AF6C-4887-8945-1E105620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7317</Words>
  <Characters>41708</Characters>
  <Application>Microsoft Office Word</Application>
  <DocSecurity>0</DocSecurity>
  <Lines>347</Lines>
  <Paragraphs>97</Paragraphs>
  <ScaleCrop>false</ScaleCrop>
  <Company>Hewlett-Packard Company</Company>
  <LinksUpToDate>false</LinksUpToDate>
  <CharactersWithSpaces>48928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s.x.gou@wjgnet.com</cp:lastModifiedBy>
  <cp:revision>2</cp:revision>
  <dcterms:created xsi:type="dcterms:W3CDTF">2014-06-16T11:57:00Z</dcterms:created>
  <dcterms:modified xsi:type="dcterms:W3CDTF">2014-06-16T11:57:00Z</dcterms:modified>
</cp:coreProperties>
</file>