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BF1" w:rsidRPr="00457CF0" w:rsidRDefault="00C70BF1" w:rsidP="003639A6">
      <w:pPr>
        <w:adjustRightInd w:val="0"/>
        <w:snapToGrid w:val="0"/>
        <w:spacing w:after="0" w:line="360" w:lineRule="auto"/>
        <w:rPr>
          <w:rFonts w:ascii="Book Antiqua" w:hAnsi="Book Antiqua"/>
          <w:szCs w:val="21"/>
        </w:rPr>
      </w:pPr>
      <w:r w:rsidRPr="00457CF0">
        <w:rPr>
          <w:rFonts w:ascii="Book Antiqua" w:eastAsia="Times New Roman" w:hAnsi="Book Antiqua" w:cs="宋体"/>
          <w:b/>
          <w:szCs w:val="21"/>
        </w:rPr>
        <w:t xml:space="preserve">Name of journal: </w:t>
      </w:r>
      <w:bookmarkStart w:id="0" w:name="OLE_LINK718"/>
      <w:bookmarkStart w:id="1" w:name="OLE_LINK719"/>
      <w:r w:rsidRPr="00457CF0">
        <w:rPr>
          <w:rFonts w:ascii="Book Antiqua" w:eastAsia="Times New Roman" w:hAnsi="Book Antiqua" w:cs="宋体"/>
          <w:b/>
          <w:szCs w:val="21"/>
        </w:rPr>
        <w:t xml:space="preserve">World Journal of </w:t>
      </w:r>
      <w:bookmarkEnd w:id="0"/>
      <w:bookmarkEnd w:id="1"/>
      <w:r w:rsidRPr="00457CF0">
        <w:rPr>
          <w:rFonts w:ascii="Book Antiqua" w:hAnsi="Book Antiqua"/>
          <w:b/>
          <w:szCs w:val="21"/>
        </w:rPr>
        <w:t xml:space="preserve">Gastroenterology </w:t>
      </w:r>
    </w:p>
    <w:p w:rsidR="00C70BF1" w:rsidRPr="00457CF0" w:rsidRDefault="00C70BF1" w:rsidP="003639A6">
      <w:pPr>
        <w:adjustRightInd w:val="0"/>
        <w:snapToGrid w:val="0"/>
        <w:spacing w:after="0" w:line="360" w:lineRule="auto"/>
        <w:rPr>
          <w:rFonts w:ascii="Book Antiqua" w:eastAsia="Times New Roman" w:hAnsi="Book Antiqua" w:cs="宋体"/>
          <w:b/>
          <w:szCs w:val="21"/>
        </w:rPr>
      </w:pPr>
      <w:r w:rsidRPr="00457CF0">
        <w:rPr>
          <w:rFonts w:ascii="Book Antiqua" w:hAnsi="Book Antiqua" w:cs="Arial"/>
          <w:b/>
          <w:szCs w:val="21"/>
          <w:lang w:val="en"/>
        </w:rPr>
        <w:t>ESPS Manuscript NO:</w:t>
      </w:r>
      <w:r>
        <w:rPr>
          <w:rFonts w:ascii="Book Antiqua" w:hAnsi="Book Antiqua" w:cs="Arial" w:hint="eastAsia"/>
          <w:b/>
          <w:szCs w:val="21"/>
          <w:lang w:val="en"/>
        </w:rPr>
        <w:t xml:space="preserve"> 11108</w:t>
      </w:r>
    </w:p>
    <w:p w:rsidR="00C70BF1" w:rsidRPr="00C70BF1" w:rsidRDefault="00C70BF1" w:rsidP="003639A6">
      <w:pPr>
        <w:suppressAutoHyphens/>
        <w:autoSpaceDE w:val="0"/>
        <w:autoSpaceDN w:val="0"/>
        <w:adjustRightInd w:val="0"/>
        <w:snapToGrid w:val="0"/>
        <w:spacing w:after="0" w:line="360" w:lineRule="auto"/>
        <w:rPr>
          <w:rFonts w:ascii="Book Antiqua" w:hAnsi="Book Antiqua"/>
          <w:b/>
          <w:caps/>
          <w:szCs w:val="21"/>
        </w:rPr>
      </w:pPr>
      <w:r w:rsidRPr="00457CF0">
        <w:rPr>
          <w:rFonts w:ascii="Book Antiqua" w:hAnsi="Book Antiqua"/>
          <w:b/>
          <w:szCs w:val="21"/>
        </w:rPr>
        <w:t xml:space="preserve">Columns: </w:t>
      </w:r>
      <w:r w:rsidRPr="00C70BF1">
        <w:rPr>
          <w:rFonts w:ascii="Book Antiqua" w:hAnsi="Book Antiqua"/>
          <w:b/>
          <w:caps/>
          <w:szCs w:val="21"/>
        </w:rPr>
        <w:t>Case Report</w:t>
      </w:r>
    </w:p>
    <w:p w:rsidR="00C70BF1" w:rsidRPr="00A607D5" w:rsidRDefault="00C70BF1" w:rsidP="003639A6">
      <w:pPr>
        <w:spacing w:after="0" w:line="360" w:lineRule="auto"/>
        <w:rPr>
          <w:rFonts w:ascii="Book Antiqua" w:hAnsi="Book Antiqua" w:cs="Book Antiqua"/>
          <w:b/>
          <w:color w:val="000000"/>
          <w:sz w:val="24"/>
          <w:szCs w:val="24"/>
        </w:rPr>
      </w:pPr>
    </w:p>
    <w:p w:rsidR="004322DD" w:rsidRPr="00A607D5" w:rsidRDefault="00A607D5" w:rsidP="003639A6">
      <w:pPr>
        <w:spacing w:after="0" w:line="360" w:lineRule="auto"/>
        <w:rPr>
          <w:rFonts w:ascii="Book Antiqua" w:hAnsi="Book Antiqua" w:cs="Book Antiqua"/>
          <w:b/>
          <w:color w:val="000000"/>
          <w:sz w:val="24"/>
          <w:szCs w:val="24"/>
        </w:rPr>
      </w:pPr>
      <w:r w:rsidRPr="00A607D5">
        <w:rPr>
          <w:rFonts w:ascii="Book Antiqua" w:hAnsi="Book Antiqua" w:cs="Book Antiqua"/>
          <w:b/>
          <w:color w:val="000000"/>
          <w:sz w:val="24"/>
          <w:szCs w:val="24"/>
        </w:rPr>
        <w:t>Sclerosing cholangitis secondary to bleomycin-iodinated embolization for liver hemangioma</w:t>
      </w:r>
    </w:p>
    <w:p w:rsidR="00C70BF1" w:rsidRPr="00A607D5" w:rsidRDefault="00C70BF1" w:rsidP="003639A6">
      <w:pPr>
        <w:spacing w:after="0" w:line="360" w:lineRule="auto"/>
        <w:rPr>
          <w:rFonts w:ascii="Book Antiqua" w:hAnsi="Book Antiqua" w:cs="Book Antiqua"/>
          <w:b/>
          <w:color w:val="000000"/>
          <w:sz w:val="24"/>
          <w:szCs w:val="24"/>
        </w:rPr>
      </w:pPr>
    </w:p>
    <w:p w:rsidR="004322DD" w:rsidRPr="00A607D5" w:rsidRDefault="00A607D5" w:rsidP="003639A6">
      <w:pPr>
        <w:spacing w:after="0" w:line="360" w:lineRule="auto"/>
        <w:rPr>
          <w:rFonts w:ascii="Book Antiqua" w:hAnsi="Book Antiqua" w:cs="Book Antiqua"/>
          <w:bCs/>
          <w:color w:val="000000"/>
          <w:sz w:val="24"/>
          <w:szCs w:val="24"/>
        </w:rPr>
      </w:pPr>
      <w:r w:rsidRPr="00A607D5">
        <w:rPr>
          <w:rFonts w:ascii="Book Antiqua" w:hAnsi="Book Antiqua" w:cs="Book Antiqua"/>
          <w:color w:val="000000"/>
          <w:sz w:val="24"/>
          <w:szCs w:val="24"/>
        </w:rPr>
        <w:t xml:space="preserve">Jin S </w:t>
      </w:r>
      <w:r w:rsidRPr="00A607D5">
        <w:rPr>
          <w:rFonts w:ascii="Book Antiqua" w:hAnsi="Book Antiqua" w:cs="Book Antiqua"/>
          <w:i/>
          <w:color w:val="000000"/>
          <w:sz w:val="24"/>
          <w:szCs w:val="24"/>
        </w:rPr>
        <w:t>et al.</w:t>
      </w:r>
      <w:r w:rsidRPr="00A607D5">
        <w:rPr>
          <w:rFonts w:ascii="Book Antiqua" w:hAnsi="Book Antiqua" w:cs="Book Antiqua"/>
          <w:b/>
          <w:color w:val="000000"/>
          <w:sz w:val="24"/>
          <w:szCs w:val="24"/>
        </w:rPr>
        <w:t xml:space="preserve"> </w:t>
      </w:r>
      <w:r w:rsidRPr="00A607D5">
        <w:rPr>
          <w:rFonts w:ascii="Book Antiqua" w:hAnsi="Book Antiqua" w:cs="Book Antiqua"/>
          <w:bCs/>
          <w:color w:val="000000"/>
          <w:sz w:val="24"/>
          <w:szCs w:val="24"/>
        </w:rPr>
        <w:t>Sclerosing cholangitis secondary to embolization</w:t>
      </w:r>
    </w:p>
    <w:p w:rsidR="00C70BF1" w:rsidRPr="00A607D5" w:rsidRDefault="00C70BF1" w:rsidP="003639A6">
      <w:pPr>
        <w:spacing w:after="0" w:line="360" w:lineRule="auto"/>
        <w:rPr>
          <w:rFonts w:ascii="Book Antiqua" w:hAnsi="Book Antiqua" w:cs="Book Antiqua"/>
          <w:bCs/>
          <w:color w:val="000000"/>
          <w:sz w:val="24"/>
          <w:szCs w:val="24"/>
        </w:rPr>
      </w:pPr>
    </w:p>
    <w:p w:rsidR="004322DD" w:rsidRPr="00A607D5" w:rsidRDefault="00A607D5" w:rsidP="003639A6">
      <w:pPr>
        <w:spacing w:after="0" w:line="360" w:lineRule="auto"/>
        <w:rPr>
          <w:rFonts w:ascii="Book Antiqua" w:hAnsi="Book Antiqua" w:cs="Book Antiqua"/>
          <w:color w:val="000000"/>
          <w:sz w:val="24"/>
          <w:szCs w:val="24"/>
        </w:rPr>
      </w:pPr>
      <w:r w:rsidRPr="00A607D5">
        <w:rPr>
          <w:rFonts w:ascii="Book Antiqua" w:hAnsi="Book Antiqua" w:cs="Book Antiqua"/>
          <w:color w:val="000000"/>
          <w:sz w:val="24"/>
          <w:szCs w:val="24"/>
        </w:rPr>
        <w:t>Shuo Jin, Xiao</w:t>
      </w:r>
      <w:r w:rsidR="00C70BF1" w:rsidRPr="00A607D5">
        <w:rPr>
          <w:rFonts w:ascii="Book Antiqua" w:hAnsi="Book Antiqua" w:cs="Book Antiqua" w:hint="eastAsia"/>
          <w:color w:val="000000"/>
          <w:sz w:val="24"/>
          <w:szCs w:val="24"/>
        </w:rPr>
        <w:t>-</w:t>
      </w:r>
      <w:r w:rsidR="00C70BF1" w:rsidRPr="00A607D5">
        <w:rPr>
          <w:rFonts w:ascii="Book Antiqua" w:hAnsi="Book Antiqua" w:cs="Book Antiqua"/>
          <w:color w:val="000000"/>
          <w:sz w:val="24"/>
          <w:szCs w:val="24"/>
        </w:rPr>
        <w:t xml:space="preserve">Dong </w:t>
      </w:r>
      <w:r w:rsidRPr="00A607D5">
        <w:rPr>
          <w:rFonts w:ascii="Book Antiqua" w:hAnsi="Book Antiqua" w:cs="Book Antiqua"/>
          <w:color w:val="000000"/>
          <w:sz w:val="24"/>
          <w:szCs w:val="24"/>
        </w:rPr>
        <w:t>Sun, Xiao</w:t>
      </w:r>
      <w:r w:rsidR="00C70BF1" w:rsidRPr="00A607D5">
        <w:rPr>
          <w:rFonts w:ascii="Book Antiqua" w:hAnsi="Book Antiqua" w:cs="Book Antiqua" w:hint="eastAsia"/>
          <w:color w:val="000000"/>
          <w:sz w:val="24"/>
          <w:szCs w:val="24"/>
        </w:rPr>
        <w:t>-</w:t>
      </w:r>
      <w:r w:rsidR="00C70BF1" w:rsidRPr="00A607D5">
        <w:rPr>
          <w:rFonts w:ascii="Book Antiqua" w:hAnsi="Book Antiqua" w:cs="Book Antiqua"/>
          <w:color w:val="000000"/>
          <w:sz w:val="24"/>
          <w:szCs w:val="24"/>
        </w:rPr>
        <w:t xml:space="preserve">Ju </w:t>
      </w:r>
      <w:r w:rsidRPr="00A607D5">
        <w:rPr>
          <w:rFonts w:ascii="Book Antiqua" w:hAnsi="Book Antiqua" w:cs="Book Antiqua"/>
          <w:color w:val="000000"/>
          <w:sz w:val="24"/>
          <w:szCs w:val="24"/>
        </w:rPr>
        <w:t>Shi, Si</w:t>
      </w:r>
      <w:r w:rsidR="00C70BF1" w:rsidRPr="00A607D5">
        <w:rPr>
          <w:rFonts w:ascii="Book Antiqua" w:hAnsi="Book Antiqua" w:cs="Book Antiqua" w:hint="eastAsia"/>
          <w:color w:val="000000"/>
          <w:sz w:val="24"/>
          <w:szCs w:val="24"/>
        </w:rPr>
        <w:t>-</w:t>
      </w:r>
      <w:r w:rsidR="00C70BF1" w:rsidRPr="00A607D5">
        <w:rPr>
          <w:rFonts w:ascii="Book Antiqua" w:hAnsi="Book Antiqua" w:cs="Book Antiqua"/>
          <w:color w:val="000000"/>
          <w:sz w:val="24"/>
          <w:szCs w:val="24"/>
        </w:rPr>
        <w:t xml:space="preserve">Yuan </w:t>
      </w:r>
      <w:r w:rsidRPr="00A607D5">
        <w:rPr>
          <w:rFonts w:ascii="Book Antiqua" w:hAnsi="Book Antiqua" w:cs="Book Antiqua"/>
          <w:color w:val="000000"/>
          <w:sz w:val="24"/>
          <w:szCs w:val="24"/>
        </w:rPr>
        <w:t>Wang, Guang</w:t>
      </w:r>
      <w:r w:rsidR="00C70BF1" w:rsidRPr="00A607D5">
        <w:rPr>
          <w:rFonts w:ascii="Book Antiqua" w:hAnsi="Book Antiqua" w:cs="Book Antiqua" w:hint="eastAsia"/>
          <w:color w:val="000000"/>
          <w:sz w:val="24"/>
          <w:szCs w:val="24"/>
        </w:rPr>
        <w:t>-</w:t>
      </w:r>
      <w:r w:rsidR="00C70BF1" w:rsidRPr="00A607D5">
        <w:rPr>
          <w:rFonts w:ascii="Book Antiqua" w:hAnsi="Book Antiqua" w:cs="Book Antiqua"/>
          <w:color w:val="000000"/>
          <w:sz w:val="24"/>
          <w:szCs w:val="24"/>
        </w:rPr>
        <w:t xml:space="preserve">Yi </w:t>
      </w:r>
      <w:r w:rsidRPr="00A607D5">
        <w:rPr>
          <w:rFonts w:ascii="Book Antiqua" w:hAnsi="Book Antiqua" w:cs="Book Antiqua"/>
          <w:color w:val="000000"/>
          <w:sz w:val="24"/>
          <w:szCs w:val="24"/>
        </w:rPr>
        <w:t>Wang</w:t>
      </w:r>
    </w:p>
    <w:p w:rsidR="00C70BF1" w:rsidRPr="00A607D5" w:rsidRDefault="00C70BF1" w:rsidP="003639A6">
      <w:pPr>
        <w:spacing w:after="0" w:line="360" w:lineRule="auto"/>
        <w:rPr>
          <w:rFonts w:ascii="Book Antiqua" w:hAnsi="Book Antiqua" w:cs="Book Antiqua"/>
          <w:color w:val="000000"/>
          <w:sz w:val="24"/>
          <w:szCs w:val="24"/>
        </w:rPr>
      </w:pPr>
    </w:p>
    <w:p w:rsidR="004322DD" w:rsidRPr="00A607D5" w:rsidRDefault="00A607D5" w:rsidP="003639A6">
      <w:pPr>
        <w:spacing w:after="0" w:line="360" w:lineRule="auto"/>
        <w:rPr>
          <w:rStyle w:val="templatecontroltemplatectrl"/>
          <w:rFonts w:ascii="Book Antiqua" w:hAnsi="Book Antiqua" w:cs="Book Antiqua"/>
          <w:color w:val="000000"/>
          <w:sz w:val="24"/>
          <w:szCs w:val="24"/>
        </w:rPr>
      </w:pPr>
      <w:r w:rsidRPr="00A607D5">
        <w:rPr>
          <w:rFonts w:ascii="Book Antiqua" w:hAnsi="Book Antiqua" w:cs="Book Antiqua"/>
          <w:b/>
          <w:color w:val="000000"/>
          <w:sz w:val="24"/>
          <w:szCs w:val="24"/>
        </w:rPr>
        <w:t>Shuo Jin</w:t>
      </w:r>
      <w:r w:rsidR="00C70BF1" w:rsidRPr="00A607D5">
        <w:rPr>
          <w:rFonts w:ascii="Book Antiqua" w:hAnsi="Book Antiqua" w:cs="Book Antiqua"/>
          <w:b/>
          <w:color w:val="000000"/>
          <w:sz w:val="24"/>
          <w:szCs w:val="24"/>
        </w:rPr>
        <w:t xml:space="preserve">, </w:t>
      </w:r>
      <w:r w:rsidRPr="00A607D5">
        <w:rPr>
          <w:rFonts w:ascii="Book Antiqua" w:hAnsi="Book Antiqua" w:cs="Book Antiqua"/>
          <w:b/>
          <w:color w:val="000000"/>
          <w:sz w:val="24"/>
          <w:szCs w:val="24"/>
        </w:rPr>
        <w:t>Xiao</w:t>
      </w:r>
      <w:r w:rsidR="00C70BF1" w:rsidRPr="00A607D5">
        <w:rPr>
          <w:rFonts w:ascii="Book Antiqua" w:hAnsi="Book Antiqua" w:cs="Book Antiqua"/>
          <w:b/>
          <w:color w:val="000000"/>
          <w:sz w:val="24"/>
          <w:szCs w:val="24"/>
        </w:rPr>
        <w:t xml:space="preserve">-Dong </w:t>
      </w:r>
      <w:r w:rsidRPr="00A607D5">
        <w:rPr>
          <w:rFonts w:ascii="Book Antiqua" w:hAnsi="Book Antiqua" w:cs="Book Antiqua"/>
          <w:b/>
          <w:color w:val="000000"/>
          <w:sz w:val="24"/>
          <w:szCs w:val="24"/>
        </w:rPr>
        <w:t>Sun</w:t>
      </w:r>
      <w:r w:rsidR="00C70BF1" w:rsidRPr="00A607D5">
        <w:rPr>
          <w:rFonts w:ascii="Book Antiqua" w:hAnsi="Book Antiqua" w:cs="Book Antiqua"/>
          <w:b/>
          <w:color w:val="000000"/>
          <w:sz w:val="24"/>
          <w:szCs w:val="24"/>
        </w:rPr>
        <w:t xml:space="preserve">, </w:t>
      </w:r>
      <w:r w:rsidRPr="00A607D5">
        <w:rPr>
          <w:rFonts w:ascii="Book Antiqua" w:hAnsi="Book Antiqua" w:cs="Book Antiqua"/>
          <w:b/>
          <w:color w:val="000000"/>
          <w:sz w:val="24"/>
          <w:szCs w:val="24"/>
        </w:rPr>
        <w:t>Xiao</w:t>
      </w:r>
      <w:r w:rsidR="00C70BF1" w:rsidRPr="00A607D5">
        <w:rPr>
          <w:rFonts w:ascii="Book Antiqua" w:hAnsi="Book Antiqua" w:cs="Book Antiqua"/>
          <w:b/>
          <w:color w:val="000000"/>
          <w:sz w:val="24"/>
          <w:szCs w:val="24"/>
        </w:rPr>
        <w:t xml:space="preserve">-Ju </w:t>
      </w:r>
      <w:r w:rsidRPr="00A607D5">
        <w:rPr>
          <w:rFonts w:ascii="Book Antiqua" w:hAnsi="Book Antiqua" w:cs="Book Antiqua"/>
          <w:b/>
          <w:color w:val="000000"/>
          <w:sz w:val="24"/>
          <w:szCs w:val="24"/>
        </w:rPr>
        <w:t>Shi</w:t>
      </w:r>
      <w:r w:rsidR="00C70BF1" w:rsidRPr="00A607D5">
        <w:rPr>
          <w:rFonts w:ascii="Book Antiqua" w:hAnsi="Book Antiqua" w:cs="Book Antiqua"/>
          <w:b/>
          <w:color w:val="000000"/>
          <w:sz w:val="24"/>
          <w:szCs w:val="24"/>
        </w:rPr>
        <w:t xml:space="preserve">, </w:t>
      </w:r>
      <w:r w:rsidRPr="00A607D5">
        <w:rPr>
          <w:rFonts w:ascii="Book Antiqua" w:hAnsi="Book Antiqua" w:cs="Book Antiqua"/>
          <w:b/>
          <w:color w:val="000000"/>
          <w:sz w:val="24"/>
          <w:szCs w:val="24"/>
        </w:rPr>
        <w:t>Si</w:t>
      </w:r>
      <w:r w:rsidR="00C70BF1" w:rsidRPr="00A607D5">
        <w:rPr>
          <w:rFonts w:ascii="Book Antiqua" w:hAnsi="Book Antiqua" w:cs="Book Antiqua"/>
          <w:b/>
          <w:color w:val="000000"/>
          <w:sz w:val="24"/>
          <w:szCs w:val="24"/>
        </w:rPr>
        <w:t>-Yuan</w:t>
      </w:r>
      <w:r w:rsidRPr="00A607D5">
        <w:rPr>
          <w:rFonts w:ascii="Book Antiqua" w:hAnsi="Book Antiqua" w:cs="Book Antiqua"/>
          <w:b/>
          <w:color w:val="000000"/>
          <w:sz w:val="24"/>
          <w:szCs w:val="24"/>
        </w:rPr>
        <w:t xml:space="preserve"> Wang,</w:t>
      </w:r>
      <w:r w:rsidRPr="00A607D5">
        <w:rPr>
          <w:rFonts w:ascii="Book Antiqua" w:hAnsi="Book Antiqua" w:cs="Book Antiqua"/>
          <w:color w:val="000000"/>
          <w:sz w:val="24"/>
          <w:szCs w:val="24"/>
        </w:rPr>
        <w:t xml:space="preserve"> </w:t>
      </w:r>
      <w:r w:rsidRPr="00A607D5">
        <w:rPr>
          <w:rStyle w:val="templatecontroltemplatectrl"/>
          <w:rFonts w:ascii="Book Antiqua" w:hAnsi="Book Antiqua" w:cs="Book Antiqua"/>
          <w:color w:val="000000"/>
          <w:sz w:val="24"/>
          <w:szCs w:val="24"/>
        </w:rPr>
        <w:t xml:space="preserve">Department of Hepatobiliary and Pancreatic Surgery, The First Norman Bethune Hospital Affiliated to Jilin University, Changchun 130021, </w:t>
      </w:r>
      <w:r w:rsidR="00C70BF1" w:rsidRPr="00A607D5">
        <w:rPr>
          <w:rStyle w:val="templatecontroltemplatectrl"/>
          <w:rFonts w:ascii="Book Antiqua" w:hAnsi="Book Antiqua" w:cs="Book Antiqua" w:hint="eastAsia"/>
          <w:color w:val="000000"/>
          <w:sz w:val="24"/>
          <w:szCs w:val="24"/>
        </w:rPr>
        <w:t xml:space="preserve">Jilin Province, </w:t>
      </w:r>
      <w:r w:rsidRPr="00A607D5">
        <w:rPr>
          <w:rStyle w:val="templatecontroltemplatectrl"/>
          <w:rFonts w:ascii="Book Antiqua" w:hAnsi="Book Antiqua" w:cs="Book Antiqua"/>
          <w:color w:val="000000"/>
          <w:sz w:val="24"/>
          <w:szCs w:val="24"/>
        </w:rPr>
        <w:t>China</w:t>
      </w:r>
    </w:p>
    <w:p w:rsidR="003639A6" w:rsidRPr="00A607D5" w:rsidRDefault="003639A6" w:rsidP="003639A6">
      <w:pPr>
        <w:spacing w:after="0" w:line="360" w:lineRule="auto"/>
        <w:rPr>
          <w:rStyle w:val="templatecontroltemplatectrl"/>
          <w:rFonts w:ascii="Book Antiqua" w:hAnsi="Book Antiqua" w:cs="Book Antiqua"/>
          <w:color w:val="000000"/>
          <w:sz w:val="24"/>
          <w:szCs w:val="24"/>
        </w:rPr>
      </w:pPr>
    </w:p>
    <w:p w:rsidR="004322DD" w:rsidRPr="00A607D5" w:rsidRDefault="00A607D5" w:rsidP="003639A6">
      <w:pPr>
        <w:spacing w:after="0" w:line="360" w:lineRule="auto"/>
        <w:rPr>
          <w:rStyle w:val="templatecontroltemplatectrl"/>
          <w:rFonts w:ascii="Book Antiqua" w:hAnsi="Book Antiqua" w:cs="Book Antiqua"/>
          <w:color w:val="000000"/>
          <w:sz w:val="24"/>
          <w:szCs w:val="24"/>
        </w:rPr>
      </w:pPr>
      <w:bookmarkStart w:id="2" w:name="OLE_LINK17"/>
      <w:bookmarkStart w:id="3" w:name="OLE_LINK18"/>
      <w:bookmarkStart w:id="4" w:name="OLE_LINK54"/>
      <w:bookmarkStart w:id="5" w:name="OLE_LINK55"/>
      <w:r w:rsidRPr="00A607D5">
        <w:rPr>
          <w:rFonts w:ascii="Book Antiqua" w:hAnsi="Book Antiqua"/>
          <w:b/>
          <w:color w:val="000000"/>
          <w:sz w:val="24"/>
          <w:szCs w:val="24"/>
        </w:rPr>
        <w:t>Author contributions:</w:t>
      </w:r>
      <w:bookmarkEnd w:id="2"/>
      <w:bookmarkEnd w:id="3"/>
      <w:bookmarkEnd w:id="4"/>
      <w:bookmarkEnd w:id="5"/>
      <w:r w:rsidRPr="00A607D5">
        <w:rPr>
          <w:rFonts w:ascii="Book Antiqua" w:hAnsi="Book Antiqua"/>
          <w:b/>
          <w:color w:val="000000"/>
          <w:sz w:val="24"/>
          <w:szCs w:val="24"/>
        </w:rPr>
        <w:t xml:space="preserve"> </w:t>
      </w:r>
      <w:r w:rsidRPr="00A607D5">
        <w:rPr>
          <w:rStyle w:val="templatecontroltemplatectrl"/>
          <w:rFonts w:ascii="Book Antiqua" w:hAnsi="Book Antiqua" w:cs="Book Antiqua"/>
          <w:color w:val="000000"/>
          <w:sz w:val="24"/>
          <w:szCs w:val="24"/>
        </w:rPr>
        <w:t>Jin S and Wang GY designed the study; Jin S, Sun XD, Shi XJ, Wang SY and Wang GY performed the surgical procedures; and Jin S drafted the manuscript.</w:t>
      </w:r>
    </w:p>
    <w:p w:rsidR="003639A6" w:rsidRPr="00A607D5" w:rsidRDefault="003639A6" w:rsidP="003639A6">
      <w:pPr>
        <w:spacing w:after="0" w:line="360" w:lineRule="auto"/>
        <w:rPr>
          <w:rStyle w:val="templatecontroltemplatectrl"/>
          <w:rFonts w:ascii="Book Antiqua" w:hAnsi="Book Antiqua" w:cs="Book Antiqua"/>
          <w:color w:val="000000"/>
          <w:sz w:val="24"/>
          <w:szCs w:val="24"/>
        </w:rPr>
      </w:pPr>
    </w:p>
    <w:p w:rsidR="004322DD" w:rsidRPr="00A607D5" w:rsidRDefault="00A607D5" w:rsidP="003639A6">
      <w:pPr>
        <w:spacing w:after="0" w:line="360" w:lineRule="auto"/>
        <w:rPr>
          <w:rStyle w:val="templatecontroltemplatectrl"/>
          <w:rFonts w:ascii="Book Antiqua" w:hAnsi="Book Antiqua" w:cs="Book Antiqua"/>
          <w:color w:val="000000"/>
          <w:sz w:val="24"/>
          <w:szCs w:val="24"/>
        </w:rPr>
      </w:pPr>
      <w:r w:rsidRPr="00A607D5">
        <w:rPr>
          <w:rStyle w:val="templatecontroltemplatectrl"/>
          <w:rFonts w:ascii="Book Antiqua" w:hAnsi="Book Antiqua" w:cs="Book Antiqua"/>
          <w:b/>
          <w:bCs/>
          <w:color w:val="000000"/>
          <w:sz w:val="24"/>
          <w:szCs w:val="24"/>
        </w:rPr>
        <w:t>Correspondence to: Guang</w:t>
      </w:r>
      <w:r w:rsidR="003639A6" w:rsidRPr="00A607D5">
        <w:rPr>
          <w:rStyle w:val="templatecontroltemplatectrl"/>
          <w:rFonts w:ascii="Book Antiqua" w:hAnsi="Book Antiqua" w:cs="Book Antiqua" w:hint="eastAsia"/>
          <w:b/>
          <w:bCs/>
          <w:color w:val="000000"/>
          <w:sz w:val="24"/>
          <w:szCs w:val="24"/>
        </w:rPr>
        <w:t>-</w:t>
      </w:r>
      <w:r w:rsidRPr="00A607D5">
        <w:rPr>
          <w:rStyle w:val="templatecontroltemplatectrl"/>
          <w:rFonts w:ascii="Book Antiqua" w:hAnsi="Book Antiqua" w:cs="Book Antiqua"/>
          <w:b/>
          <w:bCs/>
          <w:caps/>
          <w:color w:val="000000"/>
          <w:sz w:val="24"/>
          <w:szCs w:val="24"/>
        </w:rPr>
        <w:t>y</w:t>
      </w:r>
      <w:r w:rsidRPr="00A607D5">
        <w:rPr>
          <w:rStyle w:val="templatecontroltemplatectrl"/>
          <w:rFonts w:ascii="Book Antiqua" w:hAnsi="Book Antiqua" w:cs="Book Antiqua"/>
          <w:b/>
          <w:bCs/>
          <w:color w:val="000000"/>
          <w:sz w:val="24"/>
          <w:szCs w:val="24"/>
        </w:rPr>
        <w:t>i Wang, MD, Professor,</w:t>
      </w:r>
      <w:r w:rsidRPr="00A607D5">
        <w:rPr>
          <w:rStyle w:val="templatecontroltemplatectrl"/>
          <w:rFonts w:ascii="Book Antiqua" w:hAnsi="Book Antiqua" w:cs="Book Antiqua"/>
          <w:bCs/>
          <w:color w:val="000000"/>
          <w:sz w:val="24"/>
          <w:szCs w:val="24"/>
        </w:rPr>
        <w:t xml:space="preserve"> </w:t>
      </w:r>
      <w:r w:rsidRPr="00A607D5">
        <w:rPr>
          <w:rStyle w:val="templatecontroltemplatectrl"/>
          <w:rFonts w:ascii="Book Antiqua" w:hAnsi="Book Antiqua" w:cs="Book Antiqua"/>
          <w:color w:val="000000"/>
          <w:sz w:val="24"/>
          <w:szCs w:val="24"/>
        </w:rPr>
        <w:t>Department of Hepatobiliary and Pancreatic Surgery, The First Norman Bethune Hospital Affiliated to Jilin University, 71 Xinmin Street, Changchun 130021, Jilin Province, China. wgymd@sina.com</w:t>
      </w:r>
    </w:p>
    <w:p w:rsidR="004B7995" w:rsidRPr="00A607D5" w:rsidRDefault="004B7995" w:rsidP="003639A6">
      <w:pPr>
        <w:widowControl/>
        <w:autoSpaceDE w:val="0"/>
        <w:autoSpaceDN w:val="0"/>
        <w:adjustRightInd w:val="0"/>
        <w:spacing w:after="0" w:line="360" w:lineRule="auto"/>
        <w:rPr>
          <w:rStyle w:val="templatecontroltemplatectrl"/>
          <w:rFonts w:ascii="Book Antiqua" w:hAnsi="Book Antiqua" w:cs="Book Antiqua"/>
          <w:b/>
          <w:color w:val="000000"/>
          <w:sz w:val="24"/>
          <w:szCs w:val="24"/>
        </w:rPr>
      </w:pPr>
    </w:p>
    <w:p w:rsidR="004322DD" w:rsidRPr="00A607D5" w:rsidRDefault="00A607D5" w:rsidP="003639A6">
      <w:pPr>
        <w:widowControl/>
        <w:autoSpaceDE w:val="0"/>
        <w:autoSpaceDN w:val="0"/>
        <w:adjustRightInd w:val="0"/>
        <w:spacing w:after="0" w:line="360" w:lineRule="auto"/>
        <w:rPr>
          <w:rStyle w:val="templatecontroltemplatectrl"/>
          <w:rFonts w:ascii="Book Antiqua" w:hAnsi="Book Antiqua" w:cs="Book Antiqua"/>
          <w:color w:val="000000"/>
          <w:sz w:val="24"/>
          <w:szCs w:val="24"/>
        </w:rPr>
      </w:pPr>
      <w:r w:rsidRPr="00A607D5">
        <w:rPr>
          <w:rStyle w:val="templatecontroltemplatectrl"/>
          <w:rFonts w:ascii="Book Antiqua" w:hAnsi="Book Antiqua" w:cs="Book Antiqua"/>
          <w:b/>
          <w:color w:val="000000"/>
          <w:sz w:val="24"/>
          <w:szCs w:val="24"/>
        </w:rPr>
        <w:t>Telephone:</w:t>
      </w:r>
      <w:r w:rsidRPr="00A607D5">
        <w:rPr>
          <w:rStyle w:val="templatecontroltemplatectrl"/>
          <w:rFonts w:ascii="Book Antiqua" w:hAnsi="Book Antiqua" w:cs="Book Antiqua"/>
          <w:color w:val="000000"/>
          <w:sz w:val="24"/>
          <w:szCs w:val="24"/>
        </w:rPr>
        <w:t xml:space="preserve"> +86-431-88782345</w:t>
      </w:r>
      <w:r w:rsidR="004B7995" w:rsidRPr="00A607D5">
        <w:rPr>
          <w:rStyle w:val="templatecontroltemplatectrl"/>
          <w:rFonts w:ascii="Book Antiqua" w:hAnsi="Book Antiqua" w:cs="Book Antiqua" w:hint="eastAsia"/>
          <w:color w:val="000000"/>
          <w:sz w:val="24"/>
          <w:szCs w:val="24"/>
        </w:rPr>
        <w:t xml:space="preserve">  </w:t>
      </w:r>
      <w:r w:rsidRPr="00A607D5">
        <w:rPr>
          <w:rStyle w:val="templatecontroltemplatectrl"/>
          <w:rFonts w:ascii="Book Antiqua" w:hAnsi="Book Antiqua" w:cs="Book Antiqua"/>
          <w:b/>
          <w:color w:val="000000"/>
          <w:sz w:val="24"/>
          <w:szCs w:val="24"/>
        </w:rPr>
        <w:t>Fax:</w:t>
      </w:r>
      <w:r w:rsidRPr="00A607D5">
        <w:rPr>
          <w:rStyle w:val="templatecontroltemplatectrl"/>
          <w:rFonts w:ascii="Book Antiqua" w:hAnsi="Book Antiqua" w:cs="Book Antiqua"/>
          <w:color w:val="000000"/>
          <w:sz w:val="24"/>
          <w:szCs w:val="24"/>
        </w:rPr>
        <w:t xml:space="preserve"> +86-431-88782345</w:t>
      </w:r>
    </w:p>
    <w:p w:rsidR="004322DD" w:rsidRPr="00A607D5" w:rsidRDefault="00A607D5" w:rsidP="003639A6">
      <w:pPr>
        <w:widowControl/>
        <w:autoSpaceDE w:val="0"/>
        <w:autoSpaceDN w:val="0"/>
        <w:adjustRightInd w:val="0"/>
        <w:spacing w:after="0" w:line="360" w:lineRule="auto"/>
        <w:rPr>
          <w:rStyle w:val="templatecontroltemplatectrl"/>
          <w:rFonts w:ascii="Book Antiqua" w:hAnsi="Book Antiqua" w:cs="Book Antiqua"/>
          <w:color w:val="000000"/>
          <w:sz w:val="24"/>
          <w:szCs w:val="24"/>
        </w:rPr>
      </w:pPr>
      <w:r w:rsidRPr="00A607D5">
        <w:rPr>
          <w:rStyle w:val="templatecontroltemplatectrl"/>
          <w:rFonts w:ascii="Book Antiqua" w:hAnsi="Book Antiqua" w:cs="Book Antiqua"/>
          <w:b/>
          <w:color w:val="000000"/>
          <w:sz w:val="24"/>
          <w:szCs w:val="24"/>
        </w:rPr>
        <w:t>Received:</w:t>
      </w:r>
      <w:r w:rsidRPr="00A607D5">
        <w:rPr>
          <w:rStyle w:val="templatecontroltemplatectrl"/>
          <w:rFonts w:ascii="Book Antiqua" w:hAnsi="Book Antiqua" w:cs="Book Antiqua"/>
          <w:color w:val="000000"/>
          <w:sz w:val="24"/>
          <w:szCs w:val="24"/>
        </w:rPr>
        <w:t xml:space="preserve"> </w:t>
      </w:r>
      <w:r w:rsidR="00C70BF1" w:rsidRPr="00A607D5">
        <w:rPr>
          <w:rStyle w:val="templatecontroltemplatectrl"/>
          <w:rFonts w:ascii="Book Antiqua" w:hAnsi="Book Antiqua" w:cs="Book Antiqua" w:hint="eastAsia"/>
          <w:color w:val="000000"/>
          <w:sz w:val="24"/>
          <w:szCs w:val="24"/>
        </w:rPr>
        <w:t xml:space="preserve">May 5, 2014   </w:t>
      </w:r>
      <w:r w:rsidRPr="00A607D5">
        <w:rPr>
          <w:rStyle w:val="templatecontroltemplatectrl"/>
          <w:rFonts w:ascii="Book Antiqua" w:hAnsi="Book Antiqua" w:cs="Book Antiqua"/>
          <w:b/>
          <w:color w:val="000000"/>
          <w:sz w:val="24"/>
          <w:szCs w:val="24"/>
        </w:rPr>
        <w:t>Revised:</w:t>
      </w:r>
      <w:r w:rsidRPr="00A607D5">
        <w:rPr>
          <w:rStyle w:val="templatecontroltemplatectrl"/>
          <w:rFonts w:ascii="Book Antiqua" w:hAnsi="Book Antiqua" w:cs="Book Antiqua"/>
          <w:color w:val="000000"/>
          <w:sz w:val="24"/>
          <w:szCs w:val="24"/>
        </w:rPr>
        <w:t xml:space="preserve"> </w:t>
      </w:r>
      <w:r w:rsidR="00C70BF1" w:rsidRPr="00A607D5">
        <w:rPr>
          <w:rStyle w:val="templatecontroltemplatectrl"/>
          <w:rFonts w:ascii="Book Antiqua" w:hAnsi="Book Antiqua" w:cs="Book Antiqua" w:hint="eastAsia"/>
          <w:color w:val="000000"/>
          <w:sz w:val="24"/>
          <w:szCs w:val="24"/>
        </w:rPr>
        <w:t>June 17, 2014</w:t>
      </w:r>
    </w:p>
    <w:p w:rsidR="00A81483" w:rsidRDefault="00A607D5" w:rsidP="00A81483">
      <w:pPr>
        <w:rPr>
          <w:rFonts w:ascii="Book Antiqua" w:hAnsi="Book Antiqua"/>
          <w:color w:val="000000"/>
          <w:sz w:val="24"/>
        </w:rPr>
      </w:pPr>
      <w:r w:rsidRPr="00A607D5">
        <w:rPr>
          <w:rStyle w:val="templatecontroltemplatectrl"/>
          <w:rFonts w:ascii="Book Antiqua" w:hAnsi="Book Antiqua" w:cs="Book Antiqua"/>
          <w:b/>
          <w:color w:val="000000"/>
          <w:sz w:val="24"/>
          <w:szCs w:val="24"/>
        </w:rPr>
        <w:t>Accepted:</w:t>
      </w:r>
      <w:bookmarkStart w:id="6" w:name="OLE_LINK1"/>
      <w:bookmarkStart w:id="7" w:name="OLE_LINK2"/>
      <w:bookmarkStart w:id="8" w:name="OLE_LINK3"/>
      <w:bookmarkStart w:id="9" w:name="OLE_LINK4"/>
      <w:bookmarkStart w:id="10" w:name="OLE_LINK5"/>
      <w:bookmarkStart w:id="11" w:name="OLE_LINK6"/>
      <w:bookmarkStart w:id="12" w:name="OLE_LINK7"/>
      <w:bookmarkStart w:id="13" w:name="OLE_LINK9"/>
      <w:bookmarkStart w:id="14" w:name="OLE_LINK10"/>
      <w:bookmarkStart w:id="15" w:name="OLE_LINK13"/>
      <w:bookmarkStart w:id="16" w:name="OLE_LINK14"/>
      <w:bookmarkStart w:id="17" w:name="OLE_LINK19"/>
      <w:bookmarkStart w:id="18" w:name="OLE_LINK22"/>
      <w:bookmarkStart w:id="19" w:name="OLE_LINK24"/>
      <w:bookmarkStart w:id="20" w:name="OLE_LINK25"/>
      <w:bookmarkStart w:id="21" w:name="OLE_LINK26"/>
      <w:bookmarkStart w:id="22" w:name="OLE_LINK27"/>
      <w:bookmarkStart w:id="23" w:name="OLE_LINK28"/>
      <w:bookmarkStart w:id="24" w:name="OLE_LINK29"/>
      <w:bookmarkStart w:id="25" w:name="OLE_LINK30"/>
      <w:bookmarkStart w:id="26" w:name="OLE_LINK31"/>
      <w:bookmarkStart w:id="27" w:name="OLE_LINK32"/>
      <w:bookmarkStart w:id="28" w:name="OLE_LINK34"/>
      <w:bookmarkStart w:id="29" w:name="OLE_LINK36"/>
      <w:bookmarkStart w:id="30" w:name="OLE_LINK37"/>
      <w:bookmarkStart w:id="31" w:name="OLE_LINK38"/>
      <w:bookmarkStart w:id="32" w:name="OLE_LINK41"/>
      <w:bookmarkStart w:id="33" w:name="OLE_LINK42"/>
      <w:bookmarkStart w:id="34" w:name="OLE_LINK44"/>
      <w:bookmarkStart w:id="35" w:name="OLE_LINK45"/>
      <w:bookmarkStart w:id="36" w:name="OLE_LINK46"/>
      <w:bookmarkStart w:id="37" w:name="OLE_LINK47"/>
      <w:bookmarkStart w:id="38" w:name="OLE_LINK52"/>
      <w:bookmarkStart w:id="39" w:name="OLE_LINK43"/>
      <w:bookmarkStart w:id="40" w:name="OLE_LINK57"/>
      <w:bookmarkStart w:id="41" w:name="OLE_LINK58"/>
      <w:bookmarkStart w:id="42" w:name="OLE_LINK8"/>
      <w:bookmarkStart w:id="43" w:name="OLE_LINK62"/>
      <w:bookmarkStart w:id="44" w:name="OLE_LINK66"/>
      <w:bookmarkStart w:id="45" w:name="OLE_LINK68"/>
      <w:bookmarkStart w:id="46" w:name="OLE_LINK69"/>
      <w:bookmarkStart w:id="47" w:name="OLE_LINK71"/>
      <w:bookmarkStart w:id="48" w:name="OLE_LINK74"/>
      <w:r w:rsidR="00A81483" w:rsidRPr="00A81483">
        <w:rPr>
          <w:rFonts w:ascii="Book Antiqua" w:hAnsi="Book Antiqua"/>
          <w:color w:val="000000"/>
          <w:sz w:val="24"/>
        </w:rPr>
        <w:t xml:space="preserve"> </w:t>
      </w:r>
      <w:r w:rsidR="00A81483">
        <w:rPr>
          <w:rFonts w:ascii="Book Antiqua" w:hAnsi="Book Antiqua"/>
          <w:color w:val="000000"/>
          <w:sz w:val="24"/>
        </w:rPr>
        <w:t xml:space="preserve">July </w:t>
      </w:r>
      <w:r w:rsidR="00A81483">
        <w:rPr>
          <w:rFonts w:ascii="Book Antiqua" w:hAnsi="Book Antiqua" w:hint="eastAsia"/>
          <w:color w:val="000000"/>
          <w:sz w:val="24"/>
        </w:rPr>
        <w:t>22</w:t>
      </w:r>
      <w:r w:rsidR="00A81483">
        <w:rPr>
          <w:rFonts w:ascii="Book Antiqua" w:hAnsi="Book Antiqua"/>
          <w:color w:val="000000"/>
          <w:sz w:val="24"/>
        </w:rPr>
        <w:t>, 2014</w:t>
      </w:r>
    </w:p>
    <w:p w:rsidR="004322DD" w:rsidRPr="00A607D5" w:rsidRDefault="00A607D5" w:rsidP="003639A6">
      <w:pPr>
        <w:widowControl/>
        <w:autoSpaceDE w:val="0"/>
        <w:autoSpaceDN w:val="0"/>
        <w:adjustRightInd w:val="0"/>
        <w:spacing w:after="0" w:line="360" w:lineRule="auto"/>
        <w:rPr>
          <w:rStyle w:val="templatecontroltemplatectrl"/>
          <w:rFonts w:ascii="Book Antiqua" w:hAnsi="Book Antiqua" w:cs="Book Antiqua"/>
          <w:color w:val="000000"/>
          <w:sz w:val="24"/>
          <w:szCs w:val="24"/>
        </w:rPr>
      </w:pPr>
      <w:bookmarkStart w:id="49" w:name="_GoBack"/>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A607D5">
        <w:rPr>
          <w:rStyle w:val="templatecontroltemplatectrl"/>
          <w:rFonts w:ascii="Book Antiqua" w:hAnsi="Book Antiqua" w:cs="Book Antiqua"/>
          <w:color w:val="000000"/>
          <w:sz w:val="24"/>
          <w:szCs w:val="24"/>
        </w:rPr>
        <w:t xml:space="preserve"> </w:t>
      </w:r>
    </w:p>
    <w:p w:rsidR="004322DD" w:rsidRPr="00A607D5" w:rsidRDefault="00A607D5" w:rsidP="003639A6">
      <w:pPr>
        <w:spacing w:after="0" w:line="360" w:lineRule="auto"/>
        <w:rPr>
          <w:rStyle w:val="templatecontroltemplatectrl"/>
          <w:rFonts w:ascii="Book Antiqua" w:hAnsi="Book Antiqua" w:cs="Book Antiqua"/>
          <w:b/>
          <w:color w:val="000000"/>
          <w:sz w:val="24"/>
          <w:szCs w:val="24"/>
        </w:rPr>
      </w:pPr>
      <w:r w:rsidRPr="00A607D5">
        <w:rPr>
          <w:rStyle w:val="templatecontroltemplatectrl"/>
          <w:rFonts w:ascii="Book Antiqua" w:hAnsi="Book Antiqua" w:cs="Book Antiqua"/>
          <w:b/>
          <w:color w:val="000000"/>
          <w:sz w:val="24"/>
          <w:szCs w:val="24"/>
        </w:rPr>
        <w:t xml:space="preserve">Published online: </w:t>
      </w:r>
    </w:p>
    <w:p w:rsidR="004322DD" w:rsidRPr="00A607D5" w:rsidRDefault="004322DD" w:rsidP="003639A6">
      <w:pPr>
        <w:spacing w:after="0" w:line="360" w:lineRule="auto"/>
        <w:rPr>
          <w:rStyle w:val="templatecontroltemplatectrl"/>
          <w:rFonts w:ascii="Book Antiqua" w:hAnsi="Book Antiqua" w:cs="Book Antiqua"/>
          <w:b/>
          <w:color w:val="000000"/>
          <w:sz w:val="24"/>
          <w:szCs w:val="24"/>
        </w:rPr>
      </w:pPr>
    </w:p>
    <w:p w:rsidR="004322DD" w:rsidRPr="00A607D5" w:rsidRDefault="00A607D5" w:rsidP="003639A6">
      <w:pPr>
        <w:spacing w:after="0" w:line="360" w:lineRule="auto"/>
        <w:rPr>
          <w:rFonts w:ascii="Book Antiqua" w:hAnsi="Book Antiqua" w:cs="Book Antiqua"/>
          <w:color w:val="000000"/>
          <w:sz w:val="24"/>
          <w:szCs w:val="24"/>
        </w:rPr>
      </w:pPr>
      <w:r w:rsidRPr="00A607D5">
        <w:rPr>
          <w:rFonts w:ascii="Book Antiqua" w:hAnsi="Book Antiqua" w:cs="Book Antiqua"/>
          <w:b/>
          <w:color w:val="000000"/>
          <w:sz w:val="24"/>
          <w:szCs w:val="24"/>
        </w:rPr>
        <w:t>Abstract</w:t>
      </w:r>
    </w:p>
    <w:p w:rsidR="004322DD" w:rsidRPr="00A607D5" w:rsidRDefault="00A607D5" w:rsidP="003639A6">
      <w:pPr>
        <w:spacing w:after="0" w:line="360" w:lineRule="auto"/>
        <w:rPr>
          <w:rFonts w:ascii="Book Antiqua" w:hAnsi="Book Antiqua" w:cs="Book Antiqua"/>
          <w:color w:val="000000"/>
          <w:sz w:val="24"/>
          <w:szCs w:val="24"/>
        </w:rPr>
      </w:pPr>
      <w:r w:rsidRPr="00A607D5">
        <w:rPr>
          <w:rFonts w:ascii="Book Antiqua" w:hAnsi="Book Antiqua" w:cs="Book Antiqua"/>
          <w:color w:val="000000"/>
          <w:sz w:val="24"/>
          <w:szCs w:val="24"/>
        </w:rPr>
        <w:t>Sclerosing cholangitis (SC) is a rarely reported morbidity secondary to transcatheter arterial chemoembolization (TACE) with bleomycin-iodinated oil (BIO) for liver cavernous hemangioma (LCH). This report retrospectively evaluated the diagnostic and therapeutic course of a patient with LDH who presented obstructive jaundice 6 years after TACE with BIO. Preoperative imaging identified a suspected malignant biliary stricture located at the convergence of the left and right hepatic ducts. Operative exploration demonstrated a full-thickness sclerosis of the hilar bile duct with right hepatic duct stricture and right lobe atrophy. Radical hepatic hilar resection with right-side hemihepatectomy and Roux-en-Y hepaticojejunostomy was performed because hilar cancer could not be excluded on frozen biopsy. Pathological results showed chronic pyogenic inflammation of the common and right hepatic ducts with SC in the portal area. Secondary SC is a long-term complication that may occur in LCH patients after TACE with BIO and must be differentiated from hilar malignancy. Hepatic duct plasty is a definitive but technically challenging treatment modality for secondary SC.</w:t>
      </w:r>
      <w:bookmarkStart w:id="50" w:name="OLE_LINK98"/>
      <w:bookmarkStart w:id="51" w:name="OLE_LINK156"/>
      <w:bookmarkStart w:id="52" w:name="OLE_LINK196"/>
      <w:bookmarkStart w:id="53" w:name="OLE_LINK217"/>
      <w:bookmarkStart w:id="54" w:name="OLE_LINK242"/>
      <w:bookmarkStart w:id="55" w:name="OLE_LINK247"/>
      <w:bookmarkStart w:id="56" w:name="OLE_LINK311"/>
      <w:bookmarkStart w:id="57" w:name="OLE_LINK312"/>
      <w:bookmarkStart w:id="58" w:name="OLE_LINK325"/>
      <w:bookmarkStart w:id="59" w:name="OLE_LINK330"/>
      <w:bookmarkStart w:id="60" w:name="OLE_LINK513"/>
      <w:bookmarkStart w:id="61" w:name="OLE_LINK514"/>
      <w:bookmarkStart w:id="62" w:name="OLE_LINK464"/>
      <w:bookmarkStart w:id="63" w:name="OLE_LINK465"/>
      <w:bookmarkStart w:id="64" w:name="OLE_LINK466"/>
      <w:bookmarkStart w:id="65" w:name="OLE_LINK470"/>
      <w:bookmarkStart w:id="66" w:name="OLE_LINK471"/>
      <w:bookmarkStart w:id="67" w:name="OLE_LINK472"/>
      <w:bookmarkStart w:id="68" w:name="OLE_LINK474"/>
      <w:bookmarkStart w:id="69" w:name="OLE_LINK512"/>
      <w:bookmarkStart w:id="70" w:name="OLE_LINK800"/>
      <w:bookmarkStart w:id="71" w:name="OLE_LINK982"/>
      <w:bookmarkStart w:id="72" w:name="OLE_LINK1027"/>
      <w:bookmarkStart w:id="73" w:name="OLE_LINK504"/>
      <w:bookmarkStart w:id="74" w:name="OLE_LINK546"/>
      <w:bookmarkStart w:id="75" w:name="OLE_LINK547"/>
      <w:bookmarkStart w:id="76" w:name="OLE_LINK575"/>
      <w:bookmarkStart w:id="77" w:name="OLE_LINK640"/>
      <w:bookmarkStart w:id="78" w:name="OLE_LINK672"/>
      <w:bookmarkStart w:id="79" w:name="OLE_LINK714"/>
      <w:bookmarkStart w:id="80" w:name="OLE_LINK651"/>
      <w:bookmarkStart w:id="81" w:name="OLE_LINK652"/>
      <w:bookmarkStart w:id="82" w:name="OLE_LINK744"/>
      <w:bookmarkStart w:id="83" w:name="OLE_LINK758"/>
      <w:bookmarkStart w:id="84" w:name="OLE_LINK787"/>
      <w:bookmarkStart w:id="85" w:name="OLE_LINK807"/>
      <w:bookmarkStart w:id="86" w:name="OLE_LINK820"/>
      <w:bookmarkStart w:id="87" w:name="OLE_LINK862"/>
      <w:bookmarkStart w:id="88" w:name="OLE_LINK879"/>
      <w:bookmarkStart w:id="89" w:name="OLE_LINK906"/>
      <w:bookmarkStart w:id="90" w:name="OLE_LINK928"/>
      <w:bookmarkStart w:id="91" w:name="OLE_LINK960"/>
      <w:bookmarkStart w:id="92" w:name="OLE_LINK861"/>
      <w:bookmarkStart w:id="93" w:name="OLE_LINK983"/>
      <w:bookmarkStart w:id="94" w:name="OLE_LINK1334"/>
      <w:bookmarkStart w:id="95" w:name="OLE_LINK1029"/>
      <w:bookmarkStart w:id="96" w:name="OLE_LINK1060"/>
      <w:bookmarkStart w:id="97" w:name="OLE_LINK1061"/>
      <w:bookmarkStart w:id="98" w:name="OLE_LINK1348"/>
      <w:bookmarkStart w:id="99" w:name="OLE_LINK1086"/>
      <w:bookmarkStart w:id="100" w:name="OLE_LINK1100"/>
      <w:bookmarkStart w:id="101" w:name="OLE_LINK1125"/>
      <w:bookmarkStart w:id="102" w:name="OLE_LINK1163"/>
      <w:bookmarkStart w:id="103" w:name="OLE_LINK1193"/>
      <w:bookmarkStart w:id="104" w:name="OLE_LINK1219"/>
      <w:bookmarkStart w:id="105" w:name="OLE_LINK1247"/>
      <w:bookmarkStart w:id="106" w:name="OLE_LINK1284"/>
      <w:bookmarkStart w:id="107" w:name="OLE_LINK1313"/>
      <w:bookmarkStart w:id="108" w:name="OLE_LINK1361"/>
      <w:bookmarkStart w:id="109" w:name="OLE_LINK1384"/>
      <w:bookmarkStart w:id="110" w:name="OLE_LINK1403"/>
      <w:bookmarkStart w:id="111" w:name="OLE_LINK1437"/>
      <w:bookmarkStart w:id="112" w:name="OLE_LINK1454"/>
      <w:bookmarkStart w:id="113" w:name="OLE_LINK1480"/>
      <w:bookmarkStart w:id="114" w:name="OLE_LINK1504"/>
      <w:bookmarkStart w:id="115" w:name="OLE_LINK1516"/>
      <w:bookmarkStart w:id="116" w:name="OLE_LINK135"/>
      <w:bookmarkStart w:id="117" w:name="OLE_LINK216"/>
      <w:bookmarkStart w:id="118" w:name="OLE_LINK259"/>
      <w:bookmarkStart w:id="119" w:name="OLE_LINK1186"/>
      <w:bookmarkStart w:id="120" w:name="OLE_LINK1265"/>
      <w:bookmarkStart w:id="121" w:name="OLE_LINK1373"/>
      <w:bookmarkStart w:id="122" w:name="OLE_LINK1478"/>
      <w:bookmarkStart w:id="123" w:name="OLE_LINK1644"/>
      <w:bookmarkStart w:id="124" w:name="OLE_LINK1884"/>
      <w:bookmarkStart w:id="125" w:name="OLE_LINK1885"/>
      <w:bookmarkStart w:id="126" w:name="OLE_LINK1538"/>
      <w:bookmarkStart w:id="127" w:name="OLE_LINK1539"/>
      <w:bookmarkStart w:id="128" w:name="OLE_LINK1543"/>
      <w:bookmarkStart w:id="129" w:name="OLE_LINK1549"/>
      <w:bookmarkStart w:id="130" w:name="OLE_LINK1778"/>
      <w:bookmarkStart w:id="131" w:name="OLE_LINK1756"/>
      <w:bookmarkStart w:id="132" w:name="OLE_LINK1776"/>
      <w:bookmarkStart w:id="133" w:name="OLE_LINK1777"/>
      <w:bookmarkStart w:id="134" w:name="OLE_LINK1868"/>
      <w:bookmarkStart w:id="135" w:name="OLE_LINK1744"/>
      <w:bookmarkStart w:id="136" w:name="OLE_LINK1817"/>
      <w:bookmarkStart w:id="137" w:name="OLE_LINK1835"/>
      <w:bookmarkStart w:id="138" w:name="OLE_LINK1866"/>
      <w:bookmarkStart w:id="139" w:name="OLE_LINK1882"/>
      <w:bookmarkStart w:id="140" w:name="OLE_LINK1901"/>
      <w:bookmarkStart w:id="141" w:name="OLE_LINK1902"/>
      <w:bookmarkStart w:id="142" w:name="OLE_LINK2013"/>
      <w:bookmarkStart w:id="143" w:name="OLE_LINK1894"/>
      <w:bookmarkStart w:id="144" w:name="OLE_LINK1929"/>
      <w:bookmarkStart w:id="145" w:name="OLE_LINK1911"/>
      <w:bookmarkStart w:id="146" w:name="OLE_LINK1923"/>
      <w:bookmarkStart w:id="147" w:name="OLE_LINK1924"/>
      <w:bookmarkStart w:id="148" w:name="OLE_LINK1955"/>
      <w:bookmarkStart w:id="149" w:name="OLE_LINK1977"/>
      <w:bookmarkStart w:id="150" w:name="OLE_LINK1978"/>
      <w:bookmarkStart w:id="151" w:name="OLE_LINK1979"/>
      <w:bookmarkStart w:id="152" w:name="OLE_LINK1981"/>
      <w:bookmarkStart w:id="153" w:name="OLE_LINK1982"/>
      <w:bookmarkStart w:id="154" w:name="OLE_LINK1995"/>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rsidR="00C70BF1" w:rsidRPr="00A607D5" w:rsidRDefault="00C70BF1" w:rsidP="003639A6">
      <w:pPr>
        <w:spacing w:after="0" w:line="360" w:lineRule="auto"/>
        <w:rPr>
          <w:rFonts w:ascii="Book Antiqua" w:hAnsi="Book Antiqua"/>
          <w:color w:val="000000"/>
          <w:sz w:val="24"/>
          <w:szCs w:val="24"/>
        </w:rPr>
      </w:pPr>
    </w:p>
    <w:p w:rsidR="00C70BF1" w:rsidRDefault="00C70BF1" w:rsidP="003639A6">
      <w:pPr>
        <w:spacing w:after="0" w:line="360" w:lineRule="auto"/>
        <w:rPr>
          <w:rFonts w:ascii="Book Antiqua" w:hAnsi="Book Antiqua" w:cs="Tahoma"/>
          <w:sz w:val="24"/>
        </w:rPr>
      </w:pPr>
      <w:r w:rsidRPr="00296ED3">
        <w:rPr>
          <w:rFonts w:ascii="Book Antiqua" w:hAnsi="Book Antiqua" w:cs="Tahoma" w:hint="eastAsia"/>
          <w:sz w:val="24"/>
          <w:lang w:eastAsia="ja-JP"/>
        </w:rPr>
        <w:t>©</w:t>
      </w:r>
      <w:r w:rsidRPr="00296ED3">
        <w:rPr>
          <w:rFonts w:ascii="Book Antiqua" w:hAnsi="Book Antiqua" w:cs="Tahoma"/>
          <w:sz w:val="24"/>
          <w:lang w:eastAsia="ja-JP"/>
        </w:rPr>
        <w:t xml:space="preserve"> 2014 Baishideng Publishing Group Inc. All rights reserved.</w:t>
      </w:r>
    </w:p>
    <w:p w:rsidR="00C70BF1" w:rsidRPr="00A607D5" w:rsidRDefault="00C70BF1" w:rsidP="003639A6">
      <w:pPr>
        <w:spacing w:after="0" w:line="360" w:lineRule="auto"/>
        <w:rPr>
          <w:rFonts w:ascii="Book Antiqua" w:hAnsi="Book Antiqua"/>
          <w:color w:val="000000"/>
          <w:sz w:val="24"/>
          <w:szCs w:val="24"/>
        </w:rPr>
      </w:pPr>
    </w:p>
    <w:p w:rsidR="004322DD" w:rsidRPr="00A607D5" w:rsidRDefault="00A607D5" w:rsidP="003639A6">
      <w:pPr>
        <w:spacing w:after="0" w:line="360" w:lineRule="auto"/>
        <w:rPr>
          <w:rFonts w:ascii="Book Antiqua" w:hAnsi="Book Antiqua" w:cs="Book Antiqua"/>
          <w:color w:val="000000"/>
          <w:sz w:val="24"/>
          <w:szCs w:val="24"/>
        </w:rPr>
      </w:pPr>
      <w:r w:rsidRPr="00A607D5">
        <w:rPr>
          <w:rFonts w:ascii="Book Antiqua" w:hAnsi="Book Antiqua" w:cs="Book Antiqua"/>
          <w:b/>
          <w:color w:val="000000"/>
          <w:sz w:val="24"/>
          <w:szCs w:val="24"/>
        </w:rPr>
        <w:t>Key words:</w:t>
      </w:r>
      <w:r w:rsidRPr="00A607D5">
        <w:rPr>
          <w:rFonts w:ascii="Book Antiqua" w:hAnsi="Book Antiqua" w:cs="Book Antiqua"/>
          <w:color w:val="000000"/>
          <w:sz w:val="24"/>
          <w:szCs w:val="24"/>
        </w:rPr>
        <w:t xml:space="preserve"> Sclerosing cholangitis, secondary; Transcatheter arterial chemoembolization; Bleomycin-iodinated oil; Liver cavernous hemangioma; hilar stricture; Differential diagnosis; Definitive surgery</w:t>
      </w:r>
    </w:p>
    <w:p w:rsidR="00C70BF1" w:rsidRPr="00A607D5" w:rsidRDefault="00C70BF1" w:rsidP="003639A6">
      <w:pPr>
        <w:spacing w:after="0" w:line="360" w:lineRule="auto"/>
        <w:rPr>
          <w:rFonts w:ascii="Book Antiqua" w:hAnsi="Book Antiqua" w:cs="Book Antiqua"/>
          <w:b/>
          <w:color w:val="000000"/>
          <w:sz w:val="24"/>
          <w:szCs w:val="24"/>
        </w:rPr>
      </w:pPr>
    </w:p>
    <w:p w:rsidR="004322DD" w:rsidRPr="00A607D5" w:rsidRDefault="00A607D5" w:rsidP="003639A6">
      <w:pPr>
        <w:spacing w:after="0" w:line="360" w:lineRule="auto"/>
        <w:rPr>
          <w:rFonts w:ascii="Book Antiqua" w:hAnsi="Book Antiqua" w:cs="Book Antiqua"/>
          <w:b/>
          <w:color w:val="000000"/>
          <w:sz w:val="24"/>
          <w:szCs w:val="24"/>
        </w:rPr>
      </w:pPr>
      <w:r w:rsidRPr="00A607D5">
        <w:rPr>
          <w:rFonts w:ascii="Book Antiqua" w:hAnsi="Book Antiqua" w:cs="Book Antiqua"/>
          <w:b/>
          <w:color w:val="000000"/>
          <w:sz w:val="24"/>
          <w:szCs w:val="24"/>
        </w:rPr>
        <w:t>Core tip:</w:t>
      </w:r>
      <w:r w:rsidR="00C70BF1" w:rsidRPr="00A607D5">
        <w:rPr>
          <w:rFonts w:ascii="Book Antiqua" w:hAnsi="Book Antiqua" w:cs="Book Antiqua" w:hint="eastAsia"/>
          <w:b/>
          <w:color w:val="000000"/>
          <w:sz w:val="24"/>
          <w:szCs w:val="24"/>
        </w:rPr>
        <w:t xml:space="preserve"> </w:t>
      </w:r>
      <w:r w:rsidRPr="00A607D5">
        <w:rPr>
          <w:rFonts w:ascii="Book Antiqua" w:hAnsi="Book Antiqua" w:cs="Book Antiqua"/>
          <w:color w:val="000000"/>
          <w:sz w:val="24"/>
          <w:szCs w:val="24"/>
        </w:rPr>
        <w:t xml:space="preserve">Transcatheter arterial chemoembolization (TACE) with bleomycin-iodinated oil, a minimally invasive interventional treatment modality, is generally safe for treating liver cavernous hemangioma. </w:t>
      </w:r>
      <w:r w:rsidRPr="00A607D5">
        <w:rPr>
          <w:rFonts w:ascii="Book Antiqua" w:hAnsi="Book Antiqua" w:cs="Book Antiqua"/>
          <w:color w:val="000000"/>
          <w:sz w:val="24"/>
          <w:szCs w:val="24"/>
        </w:rPr>
        <w:lastRenderedPageBreak/>
        <w:t xml:space="preserve">Sclerosing cholangitis (SC) is a rare complication occurring after TACE. Operative exploration was indicated for our patient as preoperative imaging examination could not exclude the possibility of malignant hilar biliary stricture. Diagnosis of SC depends on the presence of chronic inflammation of the bile duct with characteristic features of sclerosis after primary SC is ruled out. Definitive treatment included radical hepatic hilar resection with hepatectomy and bile duct reconstruction. </w:t>
      </w:r>
    </w:p>
    <w:p w:rsidR="00C70BF1" w:rsidRPr="00A607D5" w:rsidRDefault="00C70BF1" w:rsidP="003639A6">
      <w:pPr>
        <w:spacing w:after="0" w:line="360" w:lineRule="auto"/>
        <w:rPr>
          <w:rFonts w:ascii="Book Antiqua" w:hAnsi="Book Antiqua" w:cs="Book Antiqua"/>
          <w:b/>
          <w:color w:val="000000"/>
          <w:sz w:val="24"/>
          <w:szCs w:val="24"/>
        </w:rPr>
      </w:pPr>
    </w:p>
    <w:p w:rsidR="00C70BF1" w:rsidRPr="00C70BF1" w:rsidRDefault="00C70BF1" w:rsidP="003639A6">
      <w:pPr>
        <w:spacing w:after="0" w:line="360" w:lineRule="auto"/>
        <w:rPr>
          <w:rFonts w:ascii="Book Antiqua" w:hAnsi="Book Antiqua" w:cs="Book Antiqua"/>
          <w:color w:val="000000"/>
          <w:sz w:val="24"/>
          <w:szCs w:val="24"/>
        </w:rPr>
      </w:pPr>
      <w:r w:rsidRPr="00C70BF1">
        <w:rPr>
          <w:rFonts w:ascii="Book Antiqua" w:hAnsi="Book Antiqua" w:cs="Book Antiqua"/>
          <w:color w:val="000000"/>
          <w:sz w:val="24"/>
          <w:szCs w:val="24"/>
        </w:rPr>
        <w:t>Jin S, Sun XD, Shi XJ, Wang SY, Wang GY. Sclerosing cholangitis secondary to bleomycin-iodinated embolization for liver hemangioma.</w:t>
      </w:r>
      <w:r w:rsidRPr="00C70BF1">
        <w:rPr>
          <w:rFonts w:ascii="Book Antiqua" w:hAnsi="Book Antiqua" w:cs="Book Antiqua"/>
          <w:b/>
          <w:color w:val="000000"/>
          <w:sz w:val="24"/>
          <w:szCs w:val="24"/>
        </w:rPr>
        <w:t xml:space="preserve"> </w:t>
      </w:r>
      <w:r w:rsidRPr="00C70BF1">
        <w:rPr>
          <w:rStyle w:val="templatecontroltemplatectrl"/>
          <w:rFonts w:ascii="Book Antiqua" w:hAnsi="Book Antiqua" w:cs="Book Antiqua"/>
          <w:i/>
          <w:color w:val="000000"/>
          <w:sz w:val="24"/>
          <w:szCs w:val="24"/>
        </w:rPr>
        <w:t xml:space="preserve">World J Gastroenterol </w:t>
      </w:r>
      <w:r w:rsidRPr="00C70BF1">
        <w:rPr>
          <w:rStyle w:val="templatecontroltemplatectrl"/>
          <w:rFonts w:ascii="Book Antiqua" w:hAnsi="Book Antiqua" w:cs="Book Antiqua"/>
          <w:color w:val="000000"/>
          <w:sz w:val="24"/>
          <w:szCs w:val="24"/>
        </w:rPr>
        <w:t>2014;</w:t>
      </w:r>
      <w:r w:rsidRPr="00C70BF1">
        <w:rPr>
          <w:rStyle w:val="templatecontroltemplatectrl"/>
          <w:rFonts w:ascii="Book Antiqua" w:hAnsi="Book Antiqua" w:cs="Book Antiqua"/>
          <w:b/>
          <w:color w:val="000000"/>
          <w:sz w:val="24"/>
          <w:szCs w:val="24"/>
        </w:rPr>
        <w:t xml:space="preserve"> </w:t>
      </w:r>
      <w:r w:rsidRPr="00C70BF1">
        <w:rPr>
          <w:rStyle w:val="templatecontroltemplatectrl"/>
          <w:rFonts w:ascii="Book Antiqua" w:hAnsi="Book Antiqua" w:cs="Book Antiqua" w:hint="eastAsia"/>
          <w:color w:val="000000"/>
          <w:sz w:val="24"/>
          <w:szCs w:val="24"/>
        </w:rPr>
        <w:t>In press</w:t>
      </w:r>
    </w:p>
    <w:p w:rsidR="00C70BF1" w:rsidRDefault="00C70BF1" w:rsidP="003639A6">
      <w:pPr>
        <w:spacing w:after="0" w:line="360" w:lineRule="auto"/>
        <w:rPr>
          <w:rFonts w:ascii="Book Antiqua" w:hAnsi="Book Antiqua" w:cs="Book Antiqua"/>
          <w:b/>
          <w:color w:val="000000"/>
          <w:sz w:val="24"/>
          <w:szCs w:val="24"/>
        </w:rPr>
      </w:pPr>
    </w:p>
    <w:p w:rsidR="001A4C8E" w:rsidRPr="00A607D5" w:rsidRDefault="001A4C8E" w:rsidP="003639A6">
      <w:pPr>
        <w:spacing w:after="0" w:line="360" w:lineRule="auto"/>
        <w:rPr>
          <w:rFonts w:ascii="Book Antiqua" w:hAnsi="Book Antiqua" w:cs="Book Antiqua"/>
          <w:b/>
          <w:color w:val="000000"/>
          <w:sz w:val="24"/>
          <w:szCs w:val="24"/>
        </w:rPr>
      </w:pPr>
    </w:p>
    <w:p w:rsidR="004322DD" w:rsidRPr="00A607D5" w:rsidRDefault="00A607D5" w:rsidP="003639A6">
      <w:pPr>
        <w:spacing w:after="0" w:line="360" w:lineRule="auto"/>
        <w:rPr>
          <w:rFonts w:ascii="Book Antiqua" w:hAnsi="Book Antiqua" w:cs="Book Antiqua"/>
          <w:color w:val="000000"/>
          <w:sz w:val="24"/>
          <w:szCs w:val="24"/>
        </w:rPr>
      </w:pPr>
      <w:r w:rsidRPr="00A607D5">
        <w:rPr>
          <w:rFonts w:ascii="Book Antiqua" w:hAnsi="Book Antiqua" w:cs="Book Antiqua"/>
          <w:b/>
          <w:color w:val="000000"/>
          <w:sz w:val="24"/>
          <w:szCs w:val="24"/>
        </w:rPr>
        <w:t>INTRODUCTION</w:t>
      </w:r>
    </w:p>
    <w:p w:rsidR="004322DD" w:rsidRPr="00A607D5" w:rsidRDefault="00A607D5" w:rsidP="003639A6">
      <w:pPr>
        <w:spacing w:after="0" w:line="360" w:lineRule="auto"/>
        <w:rPr>
          <w:rFonts w:ascii="Book Antiqua" w:hAnsi="Book Antiqua" w:cs="Book Antiqua"/>
          <w:color w:val="000000"/>
          <w:sz w:val="24"/>
          <w:szCs w:val="24"/>
        </w:rPr>
      </w:pPr>
      <w:r w:rsidRPr="00A607D5">
        <w:rPr>
          <w:rFonts w:ascii="Book Antiqua" w:hAnsi="Book Antiqua" w:cs="Book Antiqua"/>
          <w:color w:val="000000"/>
          <w:sz w:val="24"/>
          <w:szCs w:val="24"/>
        </w:rPr>
        <w:t>Liver cavernous hemangioma (LCH) is the most common benign liver tumor, with a prevalence of 0.4%−7.3% in the general population based on autopsy findings</w:t>
      </w:r>
      <w:r w:rsidRPr="00A607D5">
        <w:rPr>
          <w:rFonts w:ascii="Book Antiqua" w:hAnsi="Book Antiqua" w:cs="Book Antiqua"/>
          <w:color w:val="000000"/>
          <w:sz w:val="24"/>
          <w:szCs w:val="24"/>
          <w:vertAlign w:val="superscript"/>
        </w:rPr>
        <w:t>[1]</w:t>
      </w:r>
      <w:r w:rsidRPr="00A607D5">
        <w:rPr>
          <w:rFonts w:ascii="Book Antiqua" w:hAnsi="Book Antiqua" w:cs="Book Antiqua"/>
          <w:color w:val="000000"/>
          <w:sz w:val="24"/>
          <w:szCs w:val="24"/>
        </w:rPr>
        <w:t xml:space="preserve"> and an obvious female dominance (male:female = 1:5)</w:t>
      </w:r>
      <w:r w:rsidRPr="00A607D5">
        <w:rPr>
          <w:rFonts w:ascii="Book Antiqua" w:hAnsi="Book Antiqua" w:cs="Book Antiqua"/>
          <w:color w:val="000000"/>
          <w:sz w:val="24"/>
          <w:szCs w:val="24"/>
          <w:vertAlign w:val="superscript"/>
        </w:rPr>
        <w:t>[2]</w:t>
      </w:r>
      <w:r w:rsidRPr="00A607D5">
        <w:rPr>
          <w:rFonts w:ascii="Book Antiqua" w:hAnsi="Book Antiqua" w:cs="Book Antiqua"/>
          <w:color w:val="000000"/>
          <w:sz w:val="24"/>
          <w:szCs w:val="24"/>
        </w:rPr>
        <w:t>. Treatment modalities for LCH consist mainly of observation, transcatheter arterial chemoembolization (TACE)</w:t>
      </w:r>
      <w:r w:rsidRPr="00A607D5">
        <w:rPr>
          <w:rFonts w:ascii="Book Antiqua" w:hAnsi="Book Antiqua" w:cs="Book Antiqua"/>
          <w:color w:val="000000"/>
          <w:sz w:val="24"/>
          <w:szCs w:val="24"/>
          <w:vertAlign w:val="superscript"/>
        </w:rPr>
        <w:t>[3]</w:t>
      </w:r>
      <w:r w:rsidRPr="00A607D5">
        <w:rPr>
          <w:rFonts w:ascii="Book Antiqua" w:hAnsi="Book Antiqua" w:cs="Book Antiqua"/>
          <w:color w:val="000000"/>
          <w:sz w:val="24"/>
          <w:szCs w:val="24"/>
        </w:rPr>
        <w:t>, surgical resection</w:t>
      </w:r>
      <w:r w:rsidRPr="00A607D5">
        <w:rPr>
          <w:rFonts w:ascii="Book Antiqua" w:hAnsi="Book Antiqua" w:cs="Book Antiqua"/>
          <w:color w:val="000000"/>
          <w:sz w:val="24"/>
          <w:szCs w:val="24"/>
          <w:vertAlign w:val="superscript"/>
        </w:rPr>
        <w:t>[4]</w:t>
      </w:r>
      <w:r w:rsidRPr="00A607D5">
        <w:rPr>
          <w:rFonts w:ascii="Book Antiqua" w:hAnsi="Book Antiqua" w:cs="Book Antiqua"/>
          <w:color w:val="000000"/>
          <w:sz w:val="24"/>
          <w:szCs w:val="24"/>
        </w:rPr>
        <w:t>, and even liver transplantation</w:t>
      </w:r>
      <w:r w:rsidRPr="00A607D5">
        <w:rPr>
          <w:rFonts w:ascii="Book Antiqua" w:hAnsi="Book Antiqua" w:cs="Book Antiqua"/>
          <w:color w:val="000000"/>
          <w:sz w:val="24"/>
          <w:szCs w:val="24"/>
          <w:vertAlign w:val="superscript"/>
        </w:rPr>
        <w:t>[5]</w:t>
      </w:r>
      <w:r w:rsidRPr="00A607D5">
        <w:rPr>
          <w:rFonts w:ascii="Book Antiqua" w:hAnsi="Book Antiqua" w:cs="Book Antiqua"/>
          <w:color w:val="000000"/>
          <w:sz w:val="24"/>
          <w:szCs w:val="24"/>
        </w:rPr>
        <w:t>. Surgical resection is normally indicated for patients who exhibit clinically significant symptoms, complications, or non-excludable malignancy</w:t>
      </w:r>
      <w:r w:rsidRPr="00A607D5">
        <w:rPr>
          <w:rFonts w:ascii="Book Antiqua" w:hAnsi="Book Antiqua" w:cs="Book Antiqua"/>
          <w:color w:val="000000"/>
          <w:sz w:val="24"/>
          <w:szCs w:val="24"/>
          <w:vertAlign w:val="superscript"/>
        </w:rPr>
        <w:t>[4]</w:t>
      </w:r>
      <w:r w:rsidRPr="00A607D5">
        <w:rPr>
          <w:rFonts w:ascii="Book Antiqua" w:hAnsi="Book Antiqua" w:cs="Book Antiqua"/>
          <w:color w:val="000000"/>
          <w:sz w:val="24"/>
          <w:szCs w:val="24"/>
        </w:rPr>
        <w:t xml:space="preserve">. </w:t>
      </w:r>
    </w:p>
    <w:p w:rsidR="004322DD" w:rsidRPr="00A607D5" w:rsidRDefault="00A607D5" w:rsidP="003639A6">
      <w:pPr>
        <w:spacing w:after="0" w:line="360" w:lineRule="auto"/>
        <w:ind w:firstLine="420"/>
        <w:rPr>
          <w:rFonts w:ascii="Book Antiqua" w:hAnsi="Book Antiqua" w:cs="Book Antiqua"/>
          <w:color w:val="000000"/>
          <w:sz w:val="24"/>
          <w:szCs w:val="24"/>
        </w:rPr>
      </w:pPr>
      <w:r w:rsidRPr="00A607D5">
        <w:rPr>
          <w:rFonts w:ascii="Book Antiqua" w:hAnsi="Book Antiqua" w:cs="Book Antiqua"/>
          <w:color w:val="000000"/>
          <w:sz w:val="24"/>
          <w:szCs w:val="24"/>
        </w:rPr>
        <w:t>TACE is an interventional radiology technique that has been well established in the minimally invasive treatment of benign and malignant liver tumors. This non-surgical intervention can control liver disease by interrupting the blood flow of the nourishing arteries and shows a generally favorable safety profile in the current literature</w:t>
      </w:r>
      <w:r w:rsidRPr="00A607D5">
        <w:rPr>
          <w:rFonts w:ascii="Book Antiqua" w:hAnsi="Book Antiqua" w:cs="Book Antiqua"/>
          <w:color w:val="000000"/>
          <w:sz w:val="24"/>
          <w:szCs w:val="24"/>
          <w:vertAlign w:val="superscript"/>
        </w:rPr>
        <w:t>[6]</w:t>
      </w:r>
      <w:r w:rsidRPr="00A607D5">
        <w:rPr>
          <w:rFonts w:ascii="Book Antiqua" w:hAnsi="Book Antiqua" w:cs="Book Antiqua"/>
          <w:color w:val="000000"/>
          <w:sz w:val="24"/>
          <w:szCs w:val="24"/>
        </w:rPr>
        <w:t xml:space="preserve">. Common embolic agents include morrhuate sodium, anhydrous ethanol, and bleomycin-iodinated oil </w:t>
      </w:r>
      <w:r w:rsidRPr="00A607D5">
        <w:rPr>
          <w:rFonts w:ascii="Book Antiqua" w:hAnsi="Book Antiqua" w:cs="Book Antiqua"/>
          <w:color w:val="000000"/>
          <w:sz w:val="24"/>
          <w:szCs w:val="24"/>
        </w:rPr>
        <w:lastRenderedPageBreak/>
        <w:t>(BIO). BIO is typically preferred over morrhuate sodium and anhydrous ethanol for treating LCH, because the latter two potent angiosclerotic agents can result in massive injury of vascular endothelia and secondary intravascular thrombosis</w:t>
      </w:r>
      <w:r w:rsidRPr="00A607D5">
        <w:rPr>
          <w:rFonts w:ascii="Book Antiqua" w:hAnsi="Book Antiqua" w:cs="Book Antiqua"/>
          <w:color w:val="000000"/>
          <w:sz w:val="24"/>
          <w:szCs w:val="24"/>
          <w:vertAlign w:val="superscript"/>
        </w:rPr>
        <w:t>[7,8]</w:t>
      </w:r>
      <w:r w:rsidRPr="00A607D5">
        <w:rPr>
          <w:rFonts w:ascii="Book Antiqua" w:hAnsi="Book Antiqua" w:cs="Book Antiqua"/>
          <w:color w:val="000000"/>
          <w:sz w:val="24"/>
          <w:szCs w:val="24"/>
        </w:rPr>
        <w:t>. In contrast, BIO is relatively less potent in inducing arterial embolization, and BIO embolization-associated morbidities are rarely reported</w:t>
      </w:r>
      <w:r w:rsidRPr="00A607D5">
        <w:rPr>
          <w:rFonts w:ascii="Book Antiqua" w:hAnsi="Book Antiqua" w:cs="Book Antiqua"/>
          <w:color w:val="000000"/>
          <w:sz w:val="24"/>
          <w:szCs w:val="24"/>
          <w:vertAlign w:val="superscript"/>
        </w:rPr>
        <w:t>[9]</w:t>
      </w:r>
      <w:r w:rsidRPr="00A607D5">
        <w:rPr>
          <w:rFonts w:ascii="Book Antiqua" w:hAnsi="Book Antiqua" w:cs="Book Antiqua"/>
          <w:color w:val="000000"/>
          <w:sz w:val="24"/>
          <w:szCs w:val="24"/>
        </w:rPr>
        <w:t xml:space="preserve">. </w:t>
      </w:r>
    </w:p>
    <w:p w:rsidR="004322DD" w:rsidRPr="00A607D5" w:rsidRDefault="00A607D5" w:rsidP="003639A6">
      <w:pPr>
        <w:spacing w:after="0" w:line="360" w:lineRule="auto"/>
        <w:ind w:firstLine="420"/>
        <w:rPr>
          <w:rFonts w:ascii="Book Antiqua" w:hAnsi="Book Antiqua" w:cs="Book Antiqua"/>
          <w:color w:val="000000"/>
          <w:sz w:val="24"/>
          <w:szCs w:val="24"/>
        </w:rPr>
      </w:pPr>
      <w:r w:rsidRPr="00A607D5">
        <w:rPr>
          <w:rFonts w:ascii="Book Antiqua" w:hAnsi="Book Antiqua" w:cs="Book Antiqua"/>
          <w:color w:val="000000"/>
          <w:sz w:val="24"/>
          <w:szCs w:val="24"/>
        </w:rPr>
        <w:t>Sclerosing cholangitis (SC) is a chronic biliary condition characteristic of progressive bile duct inflammation, fibrosis, destruction, and cholestasis, which may occur idiopathically in the form of primary SC in most cases but also occasionally occurs secondary to biliary calculosis, hepatobiliary surgery, malignant obstruction of bile duct, recurrent pancreatitis, or intra-arterial chemotherapy</w:t>
      </w:r>
      <w:r w:rsidRPr="00A607D5">
        <w:rPr>
          <w:rFonts w:ascii="Book Antiqua" w:hAnsi="Book Antiqua" w:cs="Book Antiqua"/>
          <w:color w:val="000000"/>
          <w:sz w:val="24"/>
          <w:szCs w:val="24"/>
          <w:vertAlign w:val="superscript"/>
        </w:rPr>
        <w:t>[10]</w:t>
      </w:r>
      <w:r w:rsidRPr="00A607D5">
        <w:rPr>
          <w:rFonts w:ascii="Book Antiqua" w:hAnsi="Book Antiqua" w:cs="Book Antiqua"/>
          <w:color w:val="000000"/>
          <w:sz w:val="24"/>
          <w:szCs w:val="24"/>
        </w:rPr>
        <w:t xml:space="preserve">. Herein, we report a case of SC secondary to TACE with BIO in a middle-aged woman with symptomatic LCH. This patient presented with progressive obstructive jaundice and concomitant intrahepatic bile duct dilation. An explorative operation along with histological findings excluded the possibility of biliary malignancy, and secondary SC resolved after hemihepatectomy with bile duct plasty. </w:t>
      </w:r>
    </w:p>
    <w:p w:rsidR="004322DD" w:rsidRPr="00A607D5" w:rsidRDefault="004322DD" w:rsidP="003639A6">
      <w:pPr>
        <w:spacing w:after="0" w:line="360" w:lineRule="auto"/>
        <w:rPr>
          <w:rFonts w:ascii="Book Antiqua" w:hAnsi="Book Antiqua" w:cs="Book Antiqua"/>
          <w:color w:val="000000"/>
          <w:sz w:val="24"/>
          <w:szCs w:val="24"/>
        </w:rPr>
      </w:pPr>
    </w:p>
    <w:p w:rsidR="004322DD" w:rsidRPr="00A607D5" w:rsidRDefault="00A607D5" w:rsidP="003639A6">
      <w:pPr>
        <w:spacing w:after="0" w:line="360" w:lineRule="auto"/>
        <w:rPr>
          <w:rFonts w:ascii="Book Antiqua" w:hAnsi="Book Antiqua" w:cs="Book Antiqua"/>
          <w:b/>
          <w:color w:val="000000"/>
          <w:sz w:val="24"/>
          <w:szCs w:val="24"/>
        </w:rPr>
      </w:pPr>
      <w:r w:rsidRPr="00A607D5">
        <w:rPr>
          <w:rFonts w:ascii="Book Antiqua" w:hAnsi="Book Antiqua" w:cs="Book Antiqua"/>
          <w:b/>
          <w:color w:val="000000"/>
          <w:sz w:val="24"/>
          <w:szCs w:val="24"/>
        </w:rPr>
        <w:t>CASE REPORT</w:t>
      </w:r>
    </w:p>
    <w:p w:rsidR="004322DD" w:rsidRPr="00A607D5" w:rsidRDefault="00A607D5" w:rsidP="003639A6">
      <w:pPr>
        <w:spacing w:after="0" w:line="360" w:lineRule="auto"/>
        <w:rPr>
          <w:rFonts w:ascii="Book Antiqua" w:hAnsi="Book Antiqua" w:cs="Book Antiqua"/>
          <w:color w:val="000000"/>
          <w:sz w:val="24"/>
          <w:szCs w:val="24"/>
        </w:rPr>
      </w:pPr>
      <w:r w:rsidRPr="00A607D5">
        <w:rPr>
          <w:rFonts w:ascii="Book Antiqua" w:hAnsi="Book Antiqua" w:cs="Book Antiqua"/>
          <w:color w:val="000000"/>
          <w:sz w:val="24"/>
          <w:szCs w:val="24"/>
        </w:rPr>
        <w:t xml:space="preserve">A 44-year-old woman complained of a 6-month history of recurrent yellowish colorization of the skin and sclera with upper abdominal distension but without fever or abdominal pain. Jaundice and abdominal distension worsened progressively with a 2-kg weight loss but without obvious causes over 1 month. Six years prior to presentation in our department, the patient had previously undergone TACE with BIO 6 years before admission for a symptomatic LCH with a size of 7 cm × 9 cm and located at segment VII. LCH-associated symptoms resolved after TACE, and the patient complained of no discomfort but was lost to follow-up. Later the patient was referred to </w:t>
      </w:r>
      <w:r w:rsidRPr="00A607D5">
        <w:rPr>
          <w:rFonts w:ascii="Book Antiqua" w:hAnsi="Book Antiqua" w:cs="Book Antiqua"/>
          <w:color w:val="000000"/>
          <w:sz w:val="24"/>
          <w:szCs w:val="24"/>
        </w:rPr>
        <w:lastRenderedPageBreak/>
        <w:t xml:space="preserve">our surgical service due to a suspected bile duct obstruction. </w:t>
      </w:r>
    </w:p>
    <w:p w:rsidR="004322DD" w:rsidRPr="00A607D5" w:rsidRDefault="00A607D5" w:rsidP="003639A6">
      <w:pPr>
        <w:spacing w:after="0" w:line="360" w:lineRule="auto"/>
        <w:ind w:firstLine="420"/>
        <w:rPr>
          <w:rFonts w:ascii="Book Antiqua" w:hAnsi="Book Antiqua" w:cs="Book Antiqua"/>
          <w:color w:val="000000"/>
          <w:sz w:val="24"/>
          <w:szCs w:val="24"/>
        </w:rPr>
      </w:pPr>
      <w:r w:rsidRPr="00A607D5">
        <w:rPr>
          <w:rFonts w:ascii="Book Antiqua" w:hAnsi="Book Antiqua" w:cs="Book Antiqua"/>
          <w:color w:val="000000"/>
          <w:sz w:val="24"/>
          <w:szCs w:val="24"/>
        </w:rPr>
        <w:t>On admission, physical examination showed that the skin and sclera were mildly jaundiced, and the abdominal wall was soft with mild upper abdominal tenderness. Clinical liver biochemistry assay results were as follows: serum alanine aminotransferase, 24 U/L (reference limit, 5−40 U/L); aspartate aminotransferase, 53 U/L (0−40 U/L); gamma-glutamyl transpeptadase, 263 U/L (5−55 U/L); alkaline phosphatase, 263 U/L (40−150 U/L); total serum bilirubin, 107 μmol/L (1.7−17.1 μmol/L); unconjugated bilirubin, 22 μmol/L (1.7−13.7 μmol/L); conjugated bilirubin, 85 μmol/L (1−4 μmol/L); serum tumor biomarker and alpha-fetal protein, 6.5 U/L (&lt;</w:t>
      </w:r>
      <w:r w:rsidR="00C70BF1" w:rsidRPr="00A607D5">
        <w:rPr>
          <w:rFonts w:ascii="Book Antiqua" w:hAnsi="Book Antiqua" w:cs="Book Antiqua" w:hint="eastAsia"/>
          <w:color w:val="000000"/>
          <w:sz w:val="24"/>
          <w:szCs w:val="24"/>
        </w:rPr>
        <w:t xml:space="preserve"> </w:t>
      </w:r>
      <w:r w:rsidRPr="00A607D5">
        <w:rPr>
          <w:rFonts w:ascii="Book Antiqua" w:hAnsi="Book Antiqua" w:cs="Book Antiqua"/>
          <w:color w:val="000000"/>
          <w:sz w:val="24"/>
          <w:szCs w:val="24"/>
        </w:rPr>
        <w:t xml:space="preserve">25 U/L); and cancer antigen 19-9 60.4 U/L (0−39 U/mL). </w:t>
      </w:r>
    </w:p>
    <w:p w:rsidR="004322DD" w:rsidRPr="00A607D5" w:rsidRDefault="00A607D5" w:rsidP="003639A6">
      <w:pPr>
        <w:spacing w:after="0" w:line="360" w:lineRule="auto"/>
        <w:ind w:firstLine="420"/>
        <w:rPr>
          <w:rFonts w:ascii="Book Antiqua" w:hAnsi="Book Antiqua" w:cs="Book Antiqua"/>
          <w:color w:val="000000"/>
          <w:sz w:val="24"/>
          <w:szCs w:val="24"/>
        </w:rPr>
      </w:pPr>
      <w:r w:rsidRPr="00A607D5">
        <w:rPr>
          <w:rFonts w:ascii="Book Antiqua" w:hAnsi="Book Antiqua" w:cs="Book Antiqua"/>
          <w:color w:val="000000"/>
          <w:sz w:val="24"/>
          <w:szCs w:val="24"/>
        </w:rPr>
        <w:t>Contrast-enhanced upper abdominal computed tomography showed BIO deposition in the right lobe without evident liver parenchymal fibrosis, significant dilation of intrahepatic bile ducts proximal to the convergence of the left and right hepatic ducts at the portal area, and calculous cholecystitis (Figure 1). Magnetic resonance cholangiopancreatography at the gastroenterology outpatient clinic showed gallstones of the common bile duct (Figure 2). Endoscopic retrograde cholangiopancreatography with nasal biliary drainage was performed, and a small amount of bile sludge was removed. However, the symptoms did not improve significantly (Figure 3).</w:t>
      </w:r>
    </w:p>
    <w:p w:rsidR="004322DD" w:rsidRPr="00A607D5" w:rsidRDefault="00A607D5" w:rsidP="003639A6">
      <w:pPr>
        <w:spacing w:after="0" w:line="360" w:lineRule="auto"/>
        <w:ind w:firstLine="420"/>
        <w:rPr>
          <w:rFonts w:ascii="Book Antiqua" w:hAnsi="Book Antiqua" w:cs="Book Antiqua"/>
          <w:color w:val="000000"/>
          <w:sz w:val="24"/>
          <w:szCs w:val="24"/>
        </w:rPr>
      </w:pPr>
      <w:r w:rsidRPr="00A607D5">
        <w:rPr>
          <w:rFonts w:ascii="Book Antiqua" w:hAnsi="Book Antiqua" w:cs="Book Antiqua"/>
          <w:color w:val="000000"/>
          <w:sz w:val="24"/>
          <w:szCs w:val="24"/>
        </w:rPr>
        <w:t xml:space="preserve">Percutaneous transhepatic biliary drainage was rejected by the patient, but operative exploration was scheduled because hilar bile duct cancer could not be excluded after the patient provided voluntary informed consent. The liver showed no sign of fibrosis or cirrhosis; the right lobe was significantly atrophic, but the left lateral and medial lobes exhibited obvious hyperplasia. The hilum showed an obvious shift towards the right side. A projecting, reddish LCH was located in the right posterior lobe involving segments VI and VII, at a size of 6 cm × 4 cm, with a rough surface and rigid contour </w:t>
      </w:r>
      <w:r w:rsidRPr="00A607D5">
        <w:rPr>
          <w:rFonts w:ascii="Book Antiqua" w:hAnsi="Book Antiqua" w:cs="Book Antiqua"/>
          <w:color w:val="000000"/>
          <w:sz w:val="24"/>
          <w:szCs w:val="24"/>
        </w:rPr>
        <w:lastRenderedPageBreak/>
        <w:t>(Figure 3A). The gallbladder was completely atrophic, at a size of 1 cm × 41 cm. Exploration of the common bile revealed that the distal hepatic ducts had a full-thickness rigid wall without any palpable lumen. The envelopment of the hilum did not allow exploration beyond the distal hepatic ducts. Cholangioscopy showed no stricture or gallstones in the distal segment of the common bile duct (CBD) but a severe regional stricture at the hilar level. After biliary dilation, repeated cholangioscopy showed that the left hepatic duct was patent but mildly dilated beyond the stricture; the right hepatic duct was severely strictured, which blocked the passage of the cholangioscope. The common hepatic duct had a greyish, rigid internal lumen. Due to a highly suspicious biliary malignancy, right-side hemihepatectomy was performed to explore and resect the hilar bile duct disease. The possibility of malignancy could not be excluded based on frozen biopsy. The common hepatic duct and the CBD were further dissected towards the duodenum until the level of the middle segment of the CBD; the left hepatic duct was further mobilized towards the liver 1 cm beyond the stricture. Repeated frozen biopsy showed a clean resection margin. Roux-en-Y hepaticojejunostomy was performed to reconstruct the biliary drainage continuity.</w:t>
      </w:r>
    </w:p>
    <w:p w:rsidR="004322DD" w:rsidRPr="00A607D5" w:rsidRDefault="00A607D5" w:rsidP="003639A6">
      <w:pPr>
        <w:spacing w:after="0" w:line="360" w:lineRule="auto"/>
        <w:ind w:firstLine="420"/>
        <w:rPr>
          <w:rFonts w:ascii="Book Antiqua" w:hAnsi="Book Antiqua" w:cs="Book Antiqua"/>
          <w:color w:val="000000"/>
          <w:sz w:val="24"/>
          <w:szCs w:val="24"/>
        </w:rPr>
      </w:pPr>
      <w:r w:rsidRPr="00A607D5">
        <w:rPr>
          <w:rFonts w:ascii="Book Antiqua" w:hAnsi="Book Antiqua" w:cs="Book Antiqua"/>
          <w:color w:val="000000"/>
          <w:sz w:val="24"/>
          <w:szCs w:val="24"/>
        </w:rPr>
        <w:t>The histological staining results showed chronic pyogenic inflammation of the bile duct, and a diagnosis of SC secondary to TACE with BIO was made (Figure 3B and C). The biopsy of the left lobe showed near normal histological results. The patient received postoperative symptom treatment and underwent an uneventful postoperative course. The liver function returned to normal on postoperative day 3. The patient was discharged home on postoperative day 8, and on follow-up examination at the outpatient clinic 4 months after operation, the patient reported no discomfort.</w:t>
      </w:r>
    </w:p>
    <w:p w:rsidR="004322DD" w:rsidRPr="00A607D5" w:rsidRDefault="004322DD" w:rsidP="003639A6">
      <w:pPr>
        <w:spacing w:after="0" w:line="360" w:lineRule="auto"/>
        <w:ind w:firstLine="420"/>
        <w:rPr>
          <w:rFonts w:ascii="Book Antiqua" w:hAnsi="Book Antiqua" w:cs="Book Antiqua"/>
          <w:color w:val="000000"/>
          <w:sz w:val="24"/>
          <w:szCs w:val="24"/>
        </w:rPr>
      </w:pPr>
    </w:p>
    <w:p w:rsidR="004322DD" w:rsidRPr="00A607D5" w:rsidRDefault="00A607D5" w:rsidP="003639A6">
      <w:pPr>
        <w:spacing w:after="0" w:line="360" w:lineRule="auto"/>
        <w:rPr>
          <w:rFonts w:ascii="Book Antiqua" w:hAnsi="Book Antiqua" w:cs="Book Antiqua"/>
          <w:b/>
          <w:color w:val="000000"/>
          <w:sz w:val="24"/>
          <w:szCs w:val="24"/>
        </w:rPr>
      </w:pPr>
      <w:r w:rsidRPr="00A607D5">
        <w:rPr>
          <w:rFonts w:ascii="Book Antiqua" w:hAnsi="Book Antiqua" w:cs="Book Antiqua"/>
          <w:b/>
          <w:color w:val="000000"/>
          <w:sz w:val="24"/>
          <w:szCs w:val="24"/>
        </w:rPr>
        <w:t>DISCUSSION</w:t>
      </w:r>
    </w:p>
    <w:p w:rsidR="004322DD" w:rsidRPr="00A607D5" w:rsidRDefault="00A607D5" w:rsidP="003639A6">
      <w:pPr>
        <w:spacing w:after="0" w:line="360" w:lineRule="auto"/>
        <w:rPr>
          <w:rFonts w:ascii="Book Antiqua" w:hAnsi="Book Antiqua" w:cs="Book Antiqua"/>
          <w:color w:val="000000"/>
          <w:sz w:val="24"/>
          <w:szCs w:val="24"/>
        </w:rPr>
      </w:pPr>
      <w:r w:rsidRPr="00A607D5">
        <w:rPr>
          <w:rFonts w:ascii="Book Antiqua" w:hAnsi="Book Antiqua" w:cs="Book Antiqua"/>
          <w:color w:val="000000"/>
          <w:sz w:val="24"/>
          <w:szCs w:val="24"/>
        </w:rPr>
        <w:lastRenderedPageBreak/>
        <w:t>Bleomycin is a cycle-nonspecific cytotoxic agent that degrades DNA through direct mechanisms. As a less potent angiosclerotic agent, bleomycin can also disrupt the tumor vascular lumen by gradually inducing a nonspecific inflammatory response around the tumor as well as in the portal area</w:t>
      </w:r>
      <w:r w:rsidRPr="00A607D5">
        <w:rPr>
          <w:rFonts w:ascii="Book Antiqua" w:hAnsi="Book Antiqua" w:cs="Book Antiqua"/>
          <w:color w:val="000000"/>
          <w:sz w:val="24"/>
          <w:szCs w:val="24"/>
          <w:vertAlign w:val="superscript"/>
        </w:rPr>
        <w:t>[11−13]</w:t>
      </w:r>
      <w:r w:rsidRPr="00A607D5">
        <w:rPr>
          <w:rFonts w:ascii="Book Antiqua" w:hAnsi="Book Antiqua" w:cs="Book Antiqua"/>
          <w:color w:val="000000"/>
          <w:sz w:val="24"/>
          <w:szCs w:val="24"/>
        </w:rPr>
        <w:t>. Iodinated oil exhibits a synergistic effect upon irradiation of the vascular wall and leads to mesenchymal hyperplasia and organization. The emulsion of BIO as an embolic agent can be retained in deformed vessels and disseminated through the microcirculation. TACE with BIO results in complete destruction of vascular endothelia and elimination of the pathologic vascular bed usually in a gradual, progressive manner. Previous studies showed that superselective embolization with BIO achieved a long-term reliable and safe treatment effect for LCH</w:t>
      </w:r>
      <w:r w:rsidRPr="00A607D5">
        <w:rPr>
          <w:rFonts w:ascii="Book Antiqua" w:hAnsi="Book Antiqua" w:cs="Book Antiqua"/>
          <w:color w:val="000000"/>
          <w:sz w:val="24"/>
          <w:szCs w:val="24"/>
          <w:vertAlign w:val="superscript"/>
        </w:rPr>
        <w:t>[9,13]</w:t>
      </w:r>
      <w:r w:rsidRPr="00A607D5">
        <w:rPr>
          <w:rFonts w:ascii="Book Antiqua" w:hAnsi="Book Antiqua" w:cs="Book Antiqua"/>
          <w:color w:val="000000"/>
          <w:sz w:val="24"/>
          <w:szCs w:val="24"/>
        </w:rPr>
        <w:t>.</w:t>
      </w:r>
    </w:p>
    <w:p w:rsidR="004322DD" w:rsidRPr="00A607D5" w:rsidRDefault="00A607D5" w:rsidP="003639A6">
      <w:pPr>
        <w:spacing w:after="0" w:line="360" w:lineRule="auto"/>
        <w:ind w:firstLine="420"/>
        <w:rPr>
          <w:rFonts w:ascii="Book Antiqua" w:hAnsi="Book Antiqua" w:cs="Book Antiqua"/>
          <w:color w:val="000000"/>
          <w:sz w:val="24"/>
          <w:szCs w:val="24"/>
        </w:rPr>
      </w:pPr>
      <w:r w:rsidRPr="00A607D5">
        <w:rPr>
          <w:rFonts w:ascii="Book Antiqua" w:hAnsi="Book Antiqua" w:cs="Book Antiqua"/>
          <w:color w:val="000000"/>
          <w:sz w:val="24"/>
          <w:szCs w:val="24"/>
        </w:rPr>
        <w:t>TACE with BIO is inevitably associated with some procedural risks, including acute liver failure, liver infarction or abscess, intrahepatic biloma, multiple intrahepatic aneurysms, cholecystitis, splenic infarction, and hepatic artery perforation or rupture</w:t>
      </w:r>
      <w:r w:rsidRPr="00A607D5">
        <w:rPr>
          <w:rFonts w:ascii="Book Antiqua" w:hAnsi="Book Antiqua" w:cs="Book Antiqua"/>
          <w:color w:val="000000"/>
          <w:sz w:val="24"/>
          <w:szCs w:val="24"/>
          <w:vertAlign w:val="superscript"/>
        </w:rPr>
        <w:t>[14]</w:t>
      </w:r>
      <w:r w:rsidRPr="00A607D5">
        <w:rPr>
          <w:rFonts w:ascii="Book Antiqua" w:hAnsi="Book Antiqua" w:cs="Book Antiqua"/>
          <w:color w:val="000000"/>
          <w:sz w:val="24"/>
          <w:szCs w:val="24"/>
        </w:rPr>
        <w:t xml:space="preserve">. However, the aforementioned complications usually occur within a short time rather than a long time after TACE. Huang </w:t>
      </w:r>
      <w:r w:rsidR="00C70BF1" w:rsidRPr="00A607D5">
        <w:rPr>
          <w:rFonts w:ascii="Book Antiqua" w:hAnsi="Book Antiqua" w:cs="Book Antiqua"/>
          <w:i/>
          <w:color w:val="000000"/>
          <w:sz w:val="24"/>
          <w:szCs w:val="24"/>
        </w:rPr>
        <w:t>et al</w:t>
      </w:r>
      <w:r w:rsidRPr="00A607D5">
        <w:rPr>
          <w:rFonts w:ascii="Book Antiqua" w:hAnsi="Book Antiqua" w:cs="Book Antiqua"/>
          <w:color w:val="000000"/>
          <w:sz w:val="24"/>
          <w:szCs w:val="24"/>
          <w:vertAlign w:val="superscript"/>
        </w:rPr>
        <w:t xml:space="preserve">[14] </w:t>
      </w:r>
      <w:r w:rsidRPr="00A607D5">
        <w:rPr>
          <w:rFonts w:ascii="Book Antiqua" w:hAnsi="Book Antiqua" w:cs="Book Antiqua"/>
          <w:color w:val="000000"/>
          <w:sz w:val="24"/>
          <w:szCs w:val="24"/>
        </w:rPr>
        <w:t>reported biliary destruction after TACE with morrhuate sodium and anhydrous ethanol, which manifested as aggressive abdominal pain, high fever, and jaundice. In contrast, our patient sought medical treatment due to clinically significant jaundice 6 years after previous TACE. Subclinical jaundice remained undetected in this patient because she had been lost to follow-up.</w:t>
      </w:r>
    </w:p>
    <w:p w:rsidR="004322DD" w:rsidRPr="00A607D5" w:rsidRDefault="00A607D5" w:rsidP="003639A6">
      <w:pPr>
        <w:spacing w:after="0" w:line="360" w:lineRule="auto"/>
        <w:ind w:firstLine="420"/>
        <w:rPr>
          <w:rFonts w:ascii="Book Antiqua" w:hAnsi="Book Antiqua" w:cs="Book Antiqua"/>
          <w:color w:val="000000"/>
          <w:sz w:val="24"/>
          <w:szCs w:val="24"/>
        </w:rPr>
      </w:pPr>
      <w:r w:rsidRPr="00A607D5">
        <w:rPr>
          <w:rFonts w:ascii="Book Antiqua" w:hAnsi="Book Antiqua" w:cs="Book Antiqua"/>
          <w:color w:val="000000"/>
          <w:sz w:val="24"/>
          <w:szCs w:val="24"/>
        </w:rPr>
        <w:t xml:space="preserve">The bile ducts almost completely depend on the hepatic artery for their blood supply. The small branches originating from the hepatic artery anastomose with each other and form a peri-duct vascular plexus along the outer layer and submucosal tissue of the bile ducts. In comparison with liver cells, which are nourished by two blood supplies, biliary endothelial cells are </w:t>
      </w:r>
      <w:r w:rsidRPr="00A607D5">
        <w:rPr>
          <w:rFonts w:ascii="Book Antiqua" w:hAnsi="Book Antiqua" w:cs="Book Antiqua"/>
          <w:color w:val="000000"/>
          <w:sz w:val="24"/>
          <w:szCs w:val="24"/>
        </w:rPr>
        <w:lastRenderedPageBreak/>
        <w:t>relatively sensitive to hepatic artery embolization</w:t>
      </w:r>
      <w:r w:rsidRPr="00A607D5">
        <w:rPr>
          <w:rFonts w:ascii="Book Antiqua" w:hAnsi="Book Antiqua" w:cs="Book Antiqua"/>
          <w:color w:val="000000"/>
          <w:sz w:val="24"/>
          <w:szCs w:val="24"/>
          <w:vertAlign w:val="superscript"/>
        </w:rPr>
        <w:t>[11,15]</w:t>
      </w:r>
      <w:r w:rsidRPr="00A607D5">
        <w:rPr>
          <w:rFonts w:ascii="Book Antiqua" w:hAnsi="Book Antiqua" w:cs="Book Antiqua"/>
          <w:color w:val="000000"/>
          <w:sz w:val="24"/>
          <w:szCs w:val="24"/>
        </w:rPr>
        <w:t>. Hepatic artery embolization will interrupt the blood supply to the bile ducts and the portal areas and lead to ischemia, degeneration, and necrosis of the bile duct wall The hilar bile duct is even more prone to ischemia from hepatic artery embolization as the middle and distal segments of the CBD have some collateral circulation from the gastroduodenal and posterior duodenal arteries. Hepatic artery embolization with BIO resulted in a chronic, nonspecific, thrombotic inflammation of the arteries in the portal area, bile ducts, and gallbladder in this patient, and interruption of blood flow and dissemination of vascularitis led to secondary SC with complicating obstructive jaundice.</w:t>
      </w:r>
    </w:p>
    <w:p w:rsidR="004322DD" w:rsidRPr="00A607D5" w:rsidRDefault="00A607D5" w:rsidP="003639A6">
      <w:pPr>
        <w:spacing w:after="0" w:line="360" w:lineRule="auto"/>
        <w:ind w:firstLine="420"/>
        <w:rPr>
          <w:rFonts w:ascii="Book Antiqua" w:hAnsi="Book Antiqua" w:cs="Book Antiqua"/>
          <w:color w:val="000000"/>
          <w:sz w:val="24"/>
          <w:szCs w:val="24"/>
        </w:rPr>
      </w:pPr>
      <w:r w:rsidRPr="00A607D5">
        <w:rPr>
          <w:rFonts w:ascii="Book Antiqua" w:hAnsi="Book Antiqua" w:cs="Book Antiqua"/>
          <w:color w:val="000000"/>
          <w:sz w:val="24"/>
          <w:szCs w:val="24"/>
        </w:rPr>
        <w:t>The differential diagnosis of secondary SC depends on delineating the etiology of SC, specifically excluding possible bile duct malignancy. This patient remained generally well except for being jaundiced; her asymptomatic jaundice showed a chronic, recurrent course with a fluctuating total bilirubin level between 37 mmol/L and 107 mmol/L, in contrast to progressive jaundice in malignant bile duct obstruction. Hepatobiliary imaging investigation showed that the suspected hilar tumor was mainly involved the right hepatic duct, whereas the left hepatic duct was relatively well preserved, unlike that seen in common hilar cancer. Mild elevation in serum cancer antigen 19-9 also can be seen in patients with chronic cholangitis. Due to the history of previous TACE, a diagnosis of SC secondary to BIO TACE was made in combination with imaging investigation and surgically explorative findings.</w:t>
      </w:r>
    </w:p>
    <w:p w:rsidR="004322DD" w:rsidRPr="00A607D5" w:rsidRDefault="00A607D5" w:rsidP="003639A6">
      <w:pPr>
        <w:spacing w:after="0" w:line="360" w:lineRule="auto"/>
        <w:ind w:firstLine="420"/>
        <w:rPr>
          <w:rFonts w:ascii="Book Antiqua" w:hAnsi="Book Antiqua" w:cs="Book Antiqua"/>
          <w:color w:val="000000"/>
          <w:sz w:val="24"/>
          <w:szCs w:val="24"/>
        </w:rPr>
      </w:pPr>
      <w:r w:rsidRPr="00A607D5">
        <w:rPr>
          <w:rFonts w:ascii="Book Antiqua" w:hAnsi="Book Antiqua" w:cs="Book Antiqua"/>
          <w:color w:val="000000"/>
          <w:sz w:val="24"/>
          <w:szCs w:val="24"/>
        </w:rPr>
        <w:t>Some authors have proposed that no hepatectomy is required for patients suffering from biliary destruction after TACE and that hepaticojejunostomy with U-tube stenting is preferred for reconstruction of biliary drainage</w:t>
      </w:r>
      <w:r w:rsidRPr="00A607D5">
        <w:rPr>
          <w:rFonts w:ascii="Book Antiqua" w:hAnsi="Book Antiqua" w:cs="Book Antiqua"/>
          <w:color w:val="000000"/>
          <w:sz w:val="24"/>
          <w:szCs w:val="24"/>
          <w:vertAlign w:val="superscript"/>
        </w:rPr>
        <w:t>[15]</w:t>
      </w:r>
      <w:r w:rsidRPr="00A607D5">
        <w:rPr>
          <w:rFonts w:ascii="Book Antiqua" w:hAnsi="Book Antiqua" w:cs="Book Antiqua"/>
          <w:color w:val="000000"/>
          <w:sz w:val="24"/>
          <w:szCs w:val="24"/>
        </w:rPr>
        <w:t xml:space="preserve">. However, right-side hemihepatectomy with biliary plasty was performed in this patient based on the following considerations. First, the presence of a </w:t>
      </w:r>
      <w:r w:rsidRPr="00A607D5">
        <w:rPr>
          <w:rFonts w:ascii="Book Antiqua" w:hAnsi="Book Antiqua" w:cs="Book Antiqua"/>
          <w:color w:val="000000"/>
          <w:sz w:val="24"/>
          <w:szCs w:val="24"/>
        </w:rPr>
        <w:lastRenderedPageBreak/>
        <w:t>large amount of residual embolic agent might continue to aggravate pre-existing injuries of biliary vessels and bile ducts. Second, the pre-existing cholangitis was refractory to medical and endoscopic treatment and likely to progress into serious ascending cholangitis and intrahepatic abscess. Lastly, simply U-tube stenting could not eliminate the cause of secondary SC and subsequently failed to improve or control pre-existing SC.</w:t>
      </w:r>
    </w:p>
    <w:p w:rsidR="004322DD" w:rsidRPr="00A607D5" w:rsidRDefault="00A607D5" w:rsidP="003639A6">
      <w:pPr>
        <w:spacing w:after="0" w:line="360" w:lineRule="auto"/>
        <w:ind w:firstLine="420"/>
        <w:rPr>
          <w:rFonts w:ascii="Book Antiqua" w:hAnsi="Book Antiqua" w:cs="Book Antiqua"/>
          <w:color w:val="000000"/>
          <w:sz w:val="24"/>
          <w:szCs w:val="24"/>
        </w:rPr>
      </w:pPr>
      <w:r w:rsidRPr="00A607D5">
        <w:rPr>
          <w:rFonts w:ascii="Book Antiqua" w:hAnsi="Book Antiqua" w:cs="Book Antiqua"/>
          <w:color w:val="000000"/>
          <w:sz w:val="24"/>
          <w:szCs w:val="24"/>
        </w:rPr>
        <w:t>Unlike primary SC, which eventually requires liver transplantation, secondary SC normally exhibits a favorable prognosis if the etiological causes are completely eliminated. Recurrence of secondary SC may occur if the underlying cause is in relapse or beyond control. Our short-term follow-up results showed that the patient returned to a good health status after the definitive surgery. However, the outcome of secondary SC reported in a retrospective case series of 31 patients was discouraging</w:t>
      </w:r>
      <w:r w:rsidRPr="00A607D5">
        <w:rPr>
          <w:rFonts w:ascii="Book Antiqua" w:hAnsi="Book Antiqua" w:cs="Book Antiqua"/>
          <w:color w:val="000000"/>
          <w:sz w:val="24"/>
          <w:szCs w:val="24"/>
          <w:vertAlign w:val="superscript"/>
        </w:rPr>
        <w:t>[16]</w:t>
      </w:r>
      <w:r w:rsidRPr="00A607D5">
        <w:rPr>
          <w:rFonts w:ascii="Book Antiqua" w:hAnsi="Book Antiqua" w:cs="Book Antiqua"/>
          <w:color w:val="000000"/>
          <w:sz w:val="24"/>
          <w:szCs w:val="24"/>
        </w:rPr>
        <w:t>. We considered that liver fibrosis or cirrhosis after secondary SC are irreversible and a patient with uncompensated liver function also requires liver transplantation with a poor transplant-free survival. Long-term follow-up is essential for our patient, although she exhibited no signs of liver fibrosis or cirrhosis 4 months after operation.</w:t>
      </w:r>
    </w:p>
    <w:p w:rsidR="004322DD" w:rsidRPr="00A607D5" w:rsidRDefault="004322DD" w:rsidP="003639A6">
      <w:pPr>
        <w:spacing w:after="0" w:line="360" w:lineRule="auto"/>
        <w:rPr>
          <w:rFonts w:ascii="Book Antiqua" w:hAnsi="Book Antiqua"/>
          <w:b/>
          <w:color w:val="000000"/>
          <w:sz w:val="24"/>
          <w:szCs w:val="24"/>
        </w:rPr>
      </w:pPr>
    </w:p>
    <w:p w:rsidR="004322DD" w:rsidRPr="00A607D5" w:rsidRDefault="00A607D5" w:rsidP="003639A6">
      <w:pPr>
        <w:spacing w:after="0" w:line="360" w:lineRule="auto"/>
        <w:rPr>
          <w:rFonts w:ascii="Book Antiqua" w:hAnsi="Book Antiqua"/>
          <w:b/>
          <w:color w:val="000000"/>
          <w:sz w:val="24"/>
          <w:szCs w:val="24"/>
        </w:rPr>
      </w:pPr>
      <w:r w:rsidRPr="00A607D5">
        <w:rPr>
          <w:rFonts w:ascii="Book Antiqua" w:hAnsi="Book Antiqua"/>
          <w:b/>
          <w:color w:val="000000"/>
          <w:sz w:val="24"/>
          <w:szCs w:val="24"/>
        </w:rPr>
        <w:t>COMMENTS</w:t>
      </w:r>
    </w:p>
    <w:p w:rsidR="004322DD" w:rsidRPr="00A607D5" w:rsidRDefault="00A607D5" w:rsidP="003639A6">
      <w:pPr>
        <w:spacing w:after="0" w:line="360" w:lineRule="auto"/>
        <w:rPr>
          <w:rFonts w:ascii="Book Antiqua" w:hAnsi="Book Antiqua"/>
          <w:i/>
          <w:color w:val="000000"/>
          <w:sz w:val="24"/>
          <w:szCs w:val="24"/>
        </w:rPr>
      </w:pPr>
      <w:r w:rsidRPr="00A607D5">
        <w:rPr>
          <w:rFonts w:ascii="Book Antiqua" w:hAnsi="Book Antiqua"/>
          <w:b/>
          <w:i/>
          <w:color w:val="000000"/>
          <w:sz w:val="24"/>
          <w:szCs w:val="24"/>
        </w:rPr>
        <w:t>Case characteristics</w:t>
      </w:r>
    </w:p>
    <w:p w:rsidR="004322DD" w:rsidRPr="00C70BF1" w:rsidRDefault="00A607D5" w:rsidP="003639A6">
      <w:pPr>
        <w:spacing w:after="0" w:line="360" w:lineRule="auto"/>
      </w:pPr>
      <w:r w:rsidRPr="00A607D5">
        <w:rPr>
          <w:rFonts w:ascii="Book Antiqua" w:hAnsi="Book Antiqua" w:cs="Arial"/>
          <w:color w:val="000000"/>
          <w:sz w:val="24"/>
          <w:szCs w:val="24"/>
        </w:rPr>
        <w:t xml:space="preserve">A 44-year-old woman with a history of </w:t>
      </w:r>
      <w:r w:rsidR="00C70BF1" w:rsidRPr="00C70BF1">
        <w:rPr>
          <w:rFonts w:ascii="Book Antiqua" w:hAnsi="Book Antiqua" w:cs="Book Antiqua"/>
          <w:color w:val="000000"/>
          <w:sz w:val="24"/>
          <w:szCs w:val="24"/>
        </w:rPr>
        <w:t>liver cavernous hemangioma (LCH)</w:t>
      </w:r>
      <w:r w:rsidR="00C70BF1">
        <w:rPr>
          <w:rFonts w:ascii="Book Antiqua" w:hAnsi="Book Antiqua" w:cs="Book Antiqua" w:hint="eastAsia"/>
          <w:color w:val="000000"/>
          <w:sz w:val="24"/>
          <w:szCs w:val="24"/>
        </w:rPr>
        <w:t xml:space="preserve"> </w:t>
      </w:r>
      <w:r w:rsidRPr="00A607D5">
        <w:rPr>
          <w:rFonts w:ascii="Book Antiqua" w:hAnsi="Book Antiqua" w:cs="Book Antiqua"/>
          <w:color w:val="000000"/>
          <w:sz w:val="24"/>
          <w:szCs w:val="24"/>
        </w:rPr>
        <w:t xml:space="preserve">presenting with obstructive jaundice 6 years after </w:t>
      </w:r>
      <w:r w:rsidR="00C70BF1" w:rsidRPr="00C70BF1">
        <w:rPr>
          <w:rFonts w:ascii="Book Antiqua" w:hAnsi="Book Antiqua" w:cs="Book Antiqua"/>
          <w:color w:val="000000"/>
          <w:sz w:val="24"/>
          <w:szCs w:val="24"/>
        </w:rPr>
        <w:t>transcatheter arterial chemoembolization (TACE)</w:t>
      </w:r>
      <w:r w:rsidR="00C70BF1">
        <w:rPr>
          <w:rFonts w:ascii="Book Antiqua" w:hAnsi="Book Antiqua" w:cs="Book Antiqua" w:hint="eastAsia"/>
          <w:color w:val="000000"/>
          <w:sz w:val="24"/>
          <w:szCs w:val="24"/>
        </w:rPr>
        <w:t xml:space="preserve"> </w:t>
      </w:r>
      <w:r w:rsidRPr="00A607D5">
        <w:rPr>
          <w:rFonts w:ascii="Book Antiqua" w:hAnsi="Book Antiqua" w:cs="Book Antiqua"/>
          <w:color w:val="000000"/>
          <w:sz w:val="24"/>
          <w:szCs w:val="24"/>
        </w:rPr>
        <w:t xml:space="preserve">with </w:t>
      </w:r>
      <w:r w:rsidR="00C70BF1" w:rsidRPr="00C70BF1">
        <w:rPr>
          <w:rFonts w:ascii="Book Antiqua" w:hAnsi="Book Antiqua" w:cs="Book Antiqua"/>
          <w:color w:val="000000"/>
          <w:sz w:val="24"/>
          <w:szCs w:val="24"/>
        </w:rPr>
        <w:t>bleomycin-iodinated oil (BIO)</w:t>
      </w:r>
      <w:r w:rsidRPr="00A607D5">
        <w:rPr>
          <w:rFonts w:ascii="Book Antiqua" w:hAnsi="Book Antiqua" w:cs="Book Antiqua"/>
          <w:color w:val="000000"/>
          <w:sz w:val="24"/>
          <w:szCs w:val="24"/>
        </w:rPr>
        <w:t>.</w:t>
      </w:r>
    </w:p>
    <w:p w:rsidR="00C70BF1" w:rsidRPr="00A607D5" w:rsidRDefault="00C70BF1" w:rsidP="003639A6">
      <w:pPr>
        <w:spacing w:after="0" w:line="360" w:lineRule="auto"/>
        <w:rPr>
          <w:rFonts w:ascii="Book Antiqua" w:hAnsi="Book Antiqua" w:cs="Arial"/>
          <w:b/>
          <w:i/>
          <w:color w:val="000000"/>
          <w:sz w:val="24"/>
          <w:szCs w:val="24"/>
        </w:rPr>
      </w:pPr>
    </w:p>
    <w:p w:rsidR="004322DD" w:rsidRPr="00A607D5" w:rsidRDefault="00A607D5" w:rsidP="003639A6">
      <w:pPr>
        <w:spacing w:after="0" w:line="360" w:lineRule="auto"/>
        <w:rPr>
          <w:rFonts w:ascii="Book Antiqua" w:hAnsi="Book Antiqua" w:cs="宋体"/>
          <w:b/>
          <w:i/>
          <w:color w:val="000000"/>
          <w:sz w:val="24"/>
          <w:szCs w:val="24"/>
        </w:rPr>
      </w:pPr>
      <w:r w:rsidRPr="00A607D5">
        <w:rPr>
          <w:rFonts w:ascii="Book Antiqua" w:hAnsi="Book Antiqua" w:cs="Arial"/>
          <w:b/>
          <w:i/>
          <w:color w:val="000000"/>
          <w:sz w:val="24"/>
          <w:szCs w:val="24"/>
        </w:rPr>
        <w:t>Clinical diagnosis</w:t>
      </w:r>
    </w:p>
    <w:p w:rsidR="004322DD" w:rsidRPr="00A607D5" w:rsidRDefault="00A607D5" w:rsidP="003639A6">
      <w:pPr>
        <w:spacing w:after="0" w:line="360" w:lineRule="auto"/>
        <w:rPr>
          <w:rFonts w:ascii="Book Antiqua" w:hAnsi="Book Antiqua" w:cs="Arial"/>
          <w:color w:val="000000"/>
          <w:sz w:val="24"/>
          <w:szCs w:val="24"/>
        </w:rPr>
      </w:pPr>
      <w:r w:rsidRPr="00A607D5">
        <w:rPr>
          <w:rFonts w:ascii="Book Antiqua" w:hAnsi="Book Antiqua" w:cs="Book Antiqua"/>
          <w:color w:val="000000"/>
          <w:sz w:val="24"/>
          <w:szCs w:val="24"/>
        </w:rPr>
        <w:t>The skin and sclera of the patient were mildly jaundiced, and the abdominal wall was soft with mild upper abdominal tenderness.</w:t>
      </w:r>
    </w:p>
    <w:p w:rsidR="00C70BF1" w:rsidRPr="00A607D5" w:rsidRDefault="00C70BF1" w:rsidP="003639A6">
      <w:pPr>
        <w:spacing w:after="0" w:line="360" w:lineRule="auto"/>
        <w:rPr>
          <w:rFonts w:ascii="Book Antiqua" w:hAnsi="Book Antiqua" w:cs="Arial"/>
          <w:b/>
          <w:i/>
          <w:color w:val="000000"/>
          <w:sz w:val="24"/>
          <w:szCs w:val="24"/>
        </w:rPr>
      </w:pPr>
    </w:p>
    <w:p w:rsidR="004322DD" w:rsidRPr="00A607D5" w:rsidRDefault="00A607D5" w:rsidP="003639A6">
      <w:pPr>
        <w:spacing w:after="0" w:line="360" w:lineRule="auto"/>
        <w:rPr>
          <w:rFonts w:ascii="Book Antiqua" w:hAnsi="Book Antiqua" w:cs="Arial"/>
          <w:b/>
          <w:i/>
          <w:color w:val="000000"/>
          <w:sz w:val="24"/>
          <w:szCs w:val="24"/>
        </w:rPr>
      </w:pPr>
      <w:r w:rsidRPr="00A607D5">
        <w:rPr>
          <w:rFonts w:ascii="Book Antiqua" w:hAnsi="Book Antiqua" w:cs="Arial"/>
          <w:b/>
          <w:i/>
          <w:color w:val="000000"/>
          <w:sz w:val="24"/>
          <w:szCs w:val="24"/>
        </w:rPr>
        <w:t>Differential diagnosis</w:t>
      </w:r>
    </w:p>
    <w:p w:rsidR="004322DD" w:rsidRPr="00A607D5" w:rsidRDefault="00A607D5" w:rsidP="003639A6">
      <w:pPr>
        <w:spacing w:after="0" w:line="360" w:lineRule="auto"/>
        <w:rPr>
          <w:rFonts w:ascii="Book Antiqua" w:hAnsi="Book Antiqua" w:cs="Book Antiqua"/>
          <w:color w:val="000000"/>
          <w:sz w:val="24"/>
          <w:szCs w:val="24"/>
        </w:rPr>
      </w:pPr>
      <w:r w:rsidRPr="00A607D5">
        <w:rPr>
          <w:rFonts w:ascii="Book Antiqua" w:hAnsi="Book Antiqua" w:cs="Book Antiqua"/>
          <w:color w:val="000000"/>
          <w:sz w:val="24"/>
          <w:szCs w:val="24"/>
        </w:rPr>
        <w:t>Hilar cholangiocarcinoma.</w:t>
      </w:r>
    </w:p>
    <w:p w:rsidR="00C70BF1" w:rsidRPr="00A607D5" w:rsidRDefault="00C70BF1" w:rsidP="003639A6">
      <w:pPr>
        <w:spacing w:after="0" w:line="360" w:lineRule="auto"/>
        <w:rPr>
          <w:rFonts w:ascii="Book Antiqua" w:hAnsi="Book Antiqua" w:cs="Arial"/>
          <w:b/>
          <w:i/>
          <w:color w:val="000000"/>
          <w:sz w:val="24"/>
          <w:szCs w:val="24"/>
        </w:rPr>
      </w:pPr>
    </w:p>
    <w:p w:rsidR="004322DD" w:rsidRPr="00A607D5" w:rsidRDefault="00A607D5" w:rsidP="003639A6">
      <w:pPr>
        <w:spacing w:after="0" w:line="360" w:lineRule="auto"/>
        <w:rPr>
          <w:rFonts w:ascii="Book Antiqua" w:hAnsi="Book Antiqua" w:cs="Arial"/>
          <w:b/>
          <w:i/>
          <w:color w:val="000000"/>
          <w:sz w:val="24"/>
          <w:szCs w:val="24"/>
        </w:rPr>
      </w:pPr>
      <w:r w:rsidRPr="00A607D5">
        <w:rPr>
          <w:rFonts w:ascii="Book Antiqua" w:hAnsi="Book Antiqua" w:cs="Arial"/>
          <w:b/>
          <w:i/>
          <w:color w:val="000000"/>
          <w:sz w:val="24"/>
          <w:szCs w:val="24"/>
        </w:rPr>
        <w:t>Laboratory diagnosis</w:t>
      </w:r>
    </w:p>
    <w:p w:rsidR="004322DD" w:rsidRPr="00A607D5" w:rsidRDefault="00A607D5" w:rsidP="003639A6">
      <w:pPr>
        <w:tabs>
          <w:tab w:val="center" w:pos="4153"/>
        </w:tabs>
        <w:spacing w:after="0" w:line="360" w:lineRule="auto"/>
        <w:rPr>
          <w:rFonts w:ascii="Book Antiqua" w:hAnsi="Book Antiqua" w:cs="Arial"/>
          <w:color w:val="000000"/>
          <w:sz w:val="24"/>
          <w:szCs w:val="24"/>
        </w:rPr>
      </w:pPr>
      <w:r w:rsidRPr="00A607D5">
        <w:rPr>
          <w:rFonts w:ascii="Book Antiqua" w:hAnsi="Book Antiqua" w:cs="Book Antiqua"/>
          <w:color w:val="000000"/>
          <w:sz w:val="24"/>
          <w:szCs w:val="24"/>
        </w:rPr>
        <w:t>Aspartate aminotransferase 53 U/L, gamma-glutamyl transpeptadase 263 U/L, total serum bilirubin 107 μmol/L, conjugated bilirubin 85 μmol/L; alpha-fetal protein 6.5 U/L (&lt;</w:t>
      </w:r>
      <w:r w:rsidR="00C70BF1" w:rsidRPr="00A607D5">
        <w:rPr>
          <w:rFonts w:ascii="Book Antiqua" w:hAnsi="Book Antiqua" w:cs="Book Antiqua" w:hint="eastAsia"/>
          <w:color w:val="000000"/>
          <w:sz w:val="24"/>
          <w:szCs w:val="24"/>
        </w:rPr>
        <w:t xml:space="preserve"> </w:t>
      </w:r>
      <w:r w:rsidRPr="00A607D5">
        <w:rPr>
          <w:rFonts w:ascii="Book Antiqua" w:hAnsi="Book Antiqua" w:cs="Book Antiqua"/>
          <w:color w:val="000000"/>
          <w:sz w:val="24"/>
          <w:szCs w:val="24"/>
        </w:rPr>
        <w:t>25 U/L) and cancer antigen 19-9 60.4 U/L (0−39 U/mL).</w:t>
      </w:r>
    </w:p>
    <w:p w:rsidR="00C70BF1" w:rsidRPr="00A607D5" w:rsidRDefault="00C70BF1" w:rsidP="003639A6">
      <w:pPr>
        <w:tabs>
          <w:tab w:val="center" w:pos="4153"/>
        </w:tabs>
        <w:spacing w:after="0" w:line="360" w:lineRule="auto"/>
        <w:rPr>
          <w:rFonts w:ascii="Book Antiqua" w:hAnsi="Book Antiqua" w:cs="Arial"/>
          <w:b/>
          <w:i/>
          <w:color w:val="000000"/>
          <w:sz w:val="24"/>
          <w:szCs w:val="24"/>
        </w:rPr>
      </w:pPr>
    </w:p>
    <w:p w:rsidR="004322DD" w:rsidRPr="00A607D5" w:rsidRDefault="00A607D5" w:rsidP="003639A6">
      <w:pPr>
        <w:tabs>
          <w:tab w:val="center" w:pos="4153"/>
        </w:tabs>
        <w:spacing w:after="0" w:line="360" w:lineRule="auto"/>
        <w:rPr>
          <w:rFonts w:ascii="Book Antiqua" w:hAnsi="Book Antiqua" w:cs="Arial"/>
          <w:b/>
          <w:i/>
          <w:color w:val="000000"/>
          <w:sz w:val="24"/>
          <w:szCs w:val="24"/>
        </w:rPr>
      </w:pPr>
      <w:r w:rsidRPr="00A607D5">
        <w:rPr>
          <w:rFonts w:ascii="Book Antiqua" w:hAnsi="Book Antiqua" w:cs="Arial"/>
          <w:b/>
          <w:i/>
          <w:color w:val="000000"/>
          <w:sz w:val="24"/>
          <w:szCs w:val="24"/>
        </w:rPr>
        <w:t>Imaging diagnosis</w:t>
      </w:r>
    </w:p>
    <w:p w:rsidR="004322DD" w:rsidRPr="00A607D5" w:rsidRDefault="00A607D5" w:rsidP="003639A6">
      <w:pPr>
        <w:spacing w:after="0" w:line="360" w:lineRule="auto"/>
        <w:rPr>
          <w:rFonts w:ascii="Book Antiqua" w:hAnsi="Book Antiqua" w:cs="Arial"/>
          <w:color w:val="000000"/>
          <w:sz w:val="24"/>
          <w:szCs w:val="24"/>
        </w:rPr>
      </w:pPr>
      <w:r w:rsidRPr="00A607D5">
        <w:rPr>
          <w:rFonts w:ascii="Book Antiqua" w:hAnsi="Book Antiqua" w:cs="Book Antiqua"/>
          <w:color w:val="000000"/>
          <w:sz w:val="24"/>
          <w:szCs w:val="24"/>
        </w:rPr>
        <w:t xml:space="preserve">3D-MRCP confirmed the dilation of the left hepatic duct and the narrowing of the right hepatic duct, and a soft tissue-like mass was located at the convergence of the left and right hepatic ducts. </w:t>
      </w:r>
    </w:p>
    <w:p w:rsidR="00C70BF1" w:rsidRPr="00A607D5" w:rsidRDefault="00C70BF1" w:rsidP="003639A6">
      <w:pPr>
        <w:spacing w:after="0" w:line="360" w:lineRule="auto"/>
        <w:rPr>
          <w:rFonts w:ascii="Book Antiqua" w:hAnsi="Book Antiqua" w:cs="Arial"/>
          <w:b/>
          <w:i/>
          <w:color w:val="000000"/>
          <w:sz w:val="24"/>
          <w:szCs w:val="24"/>
        </w:rPr>
      </w:pPr>
    </w:p>
    <w:p w:rsidR="004322DD" w:rsidRPr="00A607D5" w:rsidRDefault="00A607D5" w:rsidP="003639A6">
      <w:pPr>
        <w:spacing w:after="0" w:line="360" w:lineRule="auto"/>
        <w:rPr>
          <w:rFonts w:ascii="Book Antiqua" w:hAnsi="Book Antiqua" w:cs="Arial"/>
          <w:b/>
          <w:i/>
          <w:color w:val="000000"/>
          <w:sz w:val="24"/>
          <w:szCs w:val="24"/>
        </w:rPr>
      </w:pPr>
      <w:r w:rsidRPr="00A607D5">
        <w:rPr>
          <w:rFonts w:ascii="Book Antiqua" w:hAnsi="Book Antiqua" w:cs="Arial"/>
          <w:b/>
          <w:i/>
          <w:color w:val="000000"/>
          <w:sz w:val="24"/>
          <w:szCs w:val="24"/>
        </w:rPr>
        <w:t>Pathological diagnosis</w:t>
      </w:r>
    </w:p>
    <w:p w:rsidR="004322DD" w:rsidRPr="00A607D5" w:rsidRDefault="00A607D5" w:rsidP="003639A6">
      <w:pPr>
        <w:spacing w:after="0" w:line="360" w:lineRule="auto"/>
        <w:rPr>
          <w:rFonts w:ascii="Book Antiqua" w:hAnsi="Book Antiqua" w:cs="Arial"/>
          <w:color w:val="000000"/>
          <w:sz w:val="24"/>
          <w:szCs w:val="24"/>
        </w:rPr>
      </w:pPr>
      <w:r w:rsidRPr="00A607D5">
        <w:rPr>
          <w:rFonts w:ascii="Book Antiqua" w:hAnsi="Book Antiqua" w:cs="Book Antiqua"/>
          <w:color w:val="000000"/>
          <w:sz w:val="24"/>
          <w:szCs w:val="24"/>
        </w:rPr>
        <w:t xml:space="preserve">Histology showed chronic pyogenic inflammation of the bile duct, and a diagnosis of </w:t>
      </w:r>
      <w:r w:rsidR="00C70BF1" w:rsidRPr="00C70BF1">
        <w:rPr>
          <w:rFonts w:ascii="Book Antiqua" w:hAnsi="Book Antiqua" w:cs="Book Antiqua"/>
          <w:color w:val="000000"/>
          <w:sz w:val="24"/>
          <w:szCs w:val="24"/>
        </w:rPr>
        <w:t>sc</w:t>
      </w:r>
      <w:r w:rsidR="00C70BF1">
        <w:rPr>
          <w:rFonts w:ascii="Book Antiqua" w:hAnsi="Book Antiqua" w:cs="Book Antiqua"/>
          <w:color w:val="000000"/>
          <w:sz w:val="24"/>
          <w:szCs w:val="24"/>
        </w:rPr>
        <w:t>lerosing cholangitis (SC)</w:t>
      </w:r>
      <w:r w:rsidR="00C70BF1">
        <w:rPr>
          <w:rFonts w:ascii="Book Antiqua" w:hAnsi="Book Antiqua" w:cs="Book Antiqua" w:hint="eastAsia"/>
          <w:color w:val="000000"/>
          <w:sz w:val="24"/>
          <w:szCs w:val="24"/>
        </w:rPr>
        <w:t xml:space="preserve"> </w:t>
      </w:r>
      <w:r w:rsidRPr="00A607D5">
        <w:rPr>
          <w:rFonts w:ascii="Book Antiqua" w:hAnsi="Book Antiqua" w:cs="Book Antiqua"/>
          <w:color w:val="000000"/>
          <w:sz w:val="24"/>
          <w:szCs w:val="24"/>
        </w:rPr>
        <w:t>secondary to TACE with BIO was made</w:t>
      </w:r>
      <w:r w:rsidRPr="00A607D5">
        <w:rPr>
          <w:rFonts w:ascii="Book Antiqua" w:hAnsi="Book Antiqua" w:cs="Arial"/>
          <w:color w:val="000000"/>
          <w:sz w:val="24"/>
          <w:szCs w:val="24"/>
        </w:rPr>
        <w:t>.</w:t>
      </w:r>
    </w:p>
    <w:p w:rsidR="00C70BF1" w:rsidRPr="00A607D5" w:rsidRDefault="00C70BF1" w:rsidP="003639A6">
      <w:pPr>
        <w:spacing w:after="0" w:line="360" w:lineRule="auto"/>
        <w:rPr>
          <w:rFonts w:ascii="Book Antiqua" w:hAnsi="Book Antiqua" w:cs="Arial"/>
          <w:b/>
          <w:i/>
          <w:color w:val="000000"/>
          <w:sz w:val="24"/>
          <w:szCs w:val="24"/>
        </w:rPr>
      </w:pPr>
    </w:p>
    <w:p w:rsidR="004322DD" w:rsidRPr="00A607D5" w:rsidRDefault="00A607D5" w:rsidP="003639A6">
      <w:pPr>
        <w:spacing w:after="0" w:line="360" w:lineRule="auto"/>
        <w:rPr>
          <w:rFonts w:ascii="Book Antiqua" w:hAnsi="Book Antiqua" w:cs="Arial"/>
          <w:b/>
          <w:i/>
          <w:color w:val="000000"/>
          <w:sz w:val="24"/>
          <w:szCs w:val="24"/>
        </w:rPr>
      </w:pPr>
      <w:r w:rsidRPr="00A607D5">
        <w:rPr>
          <w:rFonts w:ascii="Book Antiqua" w:hAnsi="Book Antiqua" w:cs="Arial"/>
          <w:b/>
          <w:i/>
          <w:color w:val="000000"/>
          <w:sz w:val="24"/>
          <w:szCs w:val="24"/>
        </w:rPr>
        <w:t>Treatment</w:t>
      </w:r>
    </w:p>
    <w:p w:rsidR="004322DD" w:rsidRPr="00A607D5" w:rsidRDefault="00A607D5" w:rsidP="003639A6">
      <w:pPr>
        <w:spacing w:after="0" w:line="360" w:lineRule="auto"/>
        <w:rPr>
          <w:rFonts w:ascii="Book Antiqua" w:hAnsi="Book Antiqua" w:cs="Arial"/>
          <w:color w:val="000000"/>
          <w:sz w:val="24"/>
          <w:szCs w:val="24"/>
        </w:rPr>
      </w:pPr>
      <w:r w:rsidRPr="00A607D5">
        <w:rPr>
          <w:rFonts w:ascii="Book Antiqua" w:hAnsi="Book Antiqua" w:cs="Arial"/>
          <w:color w:val="000000"/>
          <w:sz w:val="24"/>
          <w:szCs w:val="24"/>
        </w:rPr>
        <w:t>The patient was treated with FOLFOX (5-FU, oxaliplatin and leucovorin) in combination with bevacizumab.</w:t>
      </w:r>
    </w:p>
    <w:p w:rsidR="00C70BF1" w:rsidRPr="00A607D5" w:rsidRDefault="00C70BF1" w:rsidP="003639A6">
      <w:pPr>
        <w:spacing w:after="0" w:line="360" w:lineRule="auto"/>
        <w:rPr>
          <w:rFonts w:ascii="Book Antiqua" w:hAnsi="Book Antiqua"/>
          <w:b/>
          <w:i/>
          <w:color w:val="000000"/>
          <w:sz w:val="24"/>
          <w:szCs w:val="24"/>
        </w:rPr>
      </w:pPr>
    </w:p>
    <w:p w:rsidR="004322DD" w:rsidRPr="00A607D5" w:rsidRDefault="00A607D5" w:rsidP="003639A6">
      <w:pPr>
        <w:spacing w:after="0" w:line="360" w:lineRule="auto"/>
        <w:rPr>
          <w:rFonts w:ascii="Book Antiqua" w:hAnsi="Book Antiqua" w:cs="Arial"/>
          <w:b/>
          <w:i/>
          <w:color w:val="000000"/>
          <w:sz w:val="24"/>
          <w:szCs w:val="24"/>
        </w:rPr>
      </w:pPr>
      <w:r w:rsidRPr="00A607D5">
        <w:rPr>
          <w:rFonts w:ascii="Book Antiqua" w:hAnsi="Book Antiqua"/>
          <w:b/>
          <w:i/>
          <w:color w:val="000000"/>
          <w:sz w:val="24"/>
          <w:szCs w:val="24"/>
        </w:rPr>
        <w:t>Related reports</w:t>
      </w:r>
    </w:p>
    <w:p w:rsidR="004322DD" w:rsidRPr="00A607D5" w:rsidRDefault="00A607D5" w:rsidP="003639A6">
      <w:pPr>
        <w:spacing w:after="0" w:line="360" w:lineRule="auto"/>
        <w:rPr>
          <w:rFonts w:ascii="Book Antiqua" w:hAnsi="Book Antiqua" w:cs="Arial"/>
          <w:color w:val="000000"/>
          <w:sz w:val="24"/>
          <w:szCs w:val="24"/>
        </w:rPr>
      </w:pPr>
      <w:r w:rsidRPr="00A607D5">
        <w:rPr>
          <w:rFonts w:ascii="Book Antiqua" w:hAnsi="Book Antiqua" w:cs="Book Antiqua"/>
          <w:color w:val="000000"/>
          <w:sz w:val="24"/>
          <w:szCs w:val="24"/>
        </w:rPr>
        <w:t>Roux-en-Y hepaticojejunostomy was performed to maintain biliary drainage continuity</w:t>
      </w:r>
      <w:r w:rsidRPr="00A607D5">
        <w:rPr>
          <w:rFonts w:ascii="Book Antiqua" w:hAnsi="Book Antiqua" w:cs="Arial"/>
          <w:color w:val="000000"/>
          <w:sz w:val="24"/>
          <w:szCs w:val="24"/>
        </w:rPr>
        <w:t xml:space="preserve">. </w:t>
      </w:r>
    </w:p>
    <w:p w:rsidR="00C70BF1" w:rsidRPr="00A607D5" w:rsidRDefault="00C70BF1" w:rsidP="003639A6">
      <w:pPr>
        <w:spacing w:after="0" w:line="360" w:lineRule="auto"/>
        <w:rPr>
          <w:rFonts w:ascii="Book Antiqua" w:hAnsi="Book Antiqua"/>
          <w:b/>
          <w:i/>
          <w:color w:val="000000"/>
          <w:sz w:val="24"/>
          <w:szCs w:val="24"/>
        </w:rPr>
      </w:pPr>
    </w:p>
    <w:p w:rsidR="004322DD" w:rsidRPr="00A607D5" w:rsidRDefault="00A607D5" w:rsidP="003639A6">
      <w:pPr>
        <w:spacing w:after="0" w:line="360" w:lineRule="auto"/>
        <w:rPr>
          <w:rFonts w:ascii="Book Antiqua" w:hAnsi="Book Antiqua"/>
          <w:b/>
          <w:i/>
          <w:color w:val="000000"/>
          <w:sz w:val="24"/>
          <w:szCs w:val="24"/>
        </w:rPr>
      </w:pPr>
      <w:r w:rsidRPr="00A607D5">
        <w:rPr>
          <w:rFonts w:ascii="Book Antiqua" w:hAnsi="Book Antiqua"/>
          <w:b/>
          <w:i/>
          <w:color w:val="000000"/>
          <w:sz w:val="24"/>
          <w:szCs w:val="24"/>
        </w:rPr>
        <w:lastRenderedPageBreak/>
        <w:t xml:space="preserve">Term explanation </w:t>
      </w:r>
    </w:p>
    <w:p w:rsidR="004322DD" w:rsidRPr="00C70BF1" w:rsidRDefault="00A607D5" w:rsidP="003639A6">
      <w:pPr>
        <w:spacing w:after="0" w:line="360" w:lineRule="auto"/>
      </w:pPr>
      <w:r w:rsidRPr="00A607D5">
        <w:rPr>
          <w:rFonts w:ascii="Book Antiqua" w:hAnsi="Book Antiqua" w:cs="Book Antiqua"/>
          <w:color w:val="000000"/>
          <w:sz w:val="24"/>
          <w:szCs w:val="24"/>
        </w:rPr>
        <w:t xml:space="preserve">Hepatic duct plasty is a definitive but technically challenging treatment modality for hilar secondary </w:t>
      </w:r>
      <w:r w:rsidR="00C70BF1">
        <w:rPr>
          <w:rFonts w:ascii="Book Antiqua" w:hAnsi="Book Antiqua" w:cs="Book Antiqua"/>
          <w:color w:val="000000"/>
          <w:sz w:val="24"/>
          <w:szCs w:val="24"/>
        </w:rPr>
        <w:t>SC</w:t>
      </w:r>
      <w:r w:rsidRPr="00A607D5">
        <w:rPr>
          <w:rFonts w:ascii="Book Antiqua" w:hAnsi="Book Antiqua" w:cs="Book Antiqua"/>
          <w:color w:val="000000"/>
          <w:sz w:val="24"/>
          <w:szCs w:val="24"/>
        </w:rPr>
        <w:t>.</w:t>
      </w:r>
    </w:p>
    <w:p w:rsidR="00C70BF1" w:rsidRPr="00A607D5" w:rsidRDefault="00C70BF1" w:rsidP="003639A6">
      <w:pPr>
        <w:spacing w:after="0" w:line="360" w:lineRule="auto"/>
        <w:rPr>
          <w:rFonts w:ascii="Book Antiqua" w:hAnsi="Book Antiqua" w:cs="Arial"/>
          <w:b/>
          <w:i/>
          <w:color w:val="000000"/>
          <w:sz w:val="24"/>
          <w:szCs w:val="24"/>
        </w:rPr>
      </w:pPr>
    </w:p>
    <w:p w:rsidR="004322DD" w:rsidRPr="00A607D5" w:rsidRDefault="00A607D5" w:rsidP="003639A6">
      <w:pPr>
        <w:spacing w:after="0" w:line="360" w:lineRule="auto"/>
        <w:rPr>
          <w:rFonts w:ascii="Book Antiqua" w:hAnsi="Book Antiqua" w:cs="Arial"/>
          <w:b/>
          <w:i/>
          <w:color w:val="000000"/>
          <w:sz w:val="24"/>
          <w:szCs w:val="24"/>
        </w:rPr>
      </w:pPr>
      <w:r w:rsidRPr="00A607D5">
        <w:rPr>
          <w:rFonts w:ascii="Book Antiqua" w:hAnsi="Book Antiqua" w:cs="Arial"/>
          <w:b/>
          <w:i/>
          <w:color w:val="000000"/>
          <w:sz w:val="24"/>
          <w:szCs w:val="24"/>
        </w:rPr>
        <w:t>Experiences and lessons</w:t>
      </w:r>
    </w:p>
    <w:p w:rsidR="004322DD" w:rsidRPr="00A607D5" w:rsidRDefault="00A607D5" w:rsidP="003639A6">
      <w:pPr>
        <w:spacing w:after="0" w:line="360" w:lineRule="auto"/>
        <w:rPr>
          <w:rFonts w:ascii="Book Antiqua" w:hAnsi="Book Antiqua" w:cs="Arial"/>
          <w:color w:val="000000"/>
          <w:sz w:val="24"/>
          <w:szCs w:val="24"/>
        </w:rPr>
      </w:pPr>
      <w:r w:rsidRPr="00A607D5">
        <w:rPr>
          <w:rFonts w:ascii="Book Antiqua" w:hAnsi="Book Antiqua" w:cs="Arial"/>
          <w:color w:val="000000"/>
          <w:sz w:val="24"/>
          <w:szCs w:val="24"/>
        </w:rPr>
        <w:t xml:space="preserve">This case report demonstrates </w:t>
      </w:r>
      <w:r w:rsidRPr="00A607D5">
        <w:rPr>
          <w:rFonts w:ascii="Book Antiqua" w:hAnsi="Book Antiqua" w:cs="Book Antiqua"/>
          <w:color w:val="000000"/>
          <w:sz w:val="24"/>
          <w:szCs w:val="24"/>
        </w:rPr>
        <w:t>that secondary SC after TACE, manifesting as asymptomatic obstructive jaundice, must be differentiated from hilar bile duct malignancy. Hemihepatectomy with hepaticojejunostomy is a definitive and preferred treatment option for secondary SC.</w:t>
      </w:r>
      <w:r w:rsidRPr="00A607D5">
        <w:rPr>
          <w:rFonts w:ascii="Book Antiqua" w:hAnsi="Book Antiqua" w:cs="Arial"/>
          <w:color w:val="000000"/>
          <w:sz w:val="24"/>
          <w:szCs w:val="24"/>
        </w:rPr>
        <w:t xml:space="preserve"> </w:t>
      </w:r>
    </w:p>
    <w:p w:rsidR="00C70BF1" w:rsidRPr="00A607D5" w:rsidRDefault="00C70BF1" w:rsidP="003639A6">
      <w:pPr>
        <w:spacing w:after="0" w:line="360" w:lineRule="auto"/>
        <w:rPr>
          <w:rFonts w:ascii="Book Antiqua" w:hAnsi="Book Antiqua" w:cs="Arial"/>
          <w:b/>
          <w:i/>
          <w:color w:val="000000"/>
          <w:sz w:val="24"/>
          <w:szCs w:val="24"/>
        </w:rPr>
      </w:pPr>
    </w:p>
    <w:p w:rsidR="004322DD" w:rsidRPr="00A607D5" w:rsidRDefault="00A607D5" w:rsidP="003639A6">
      <w:pPr>
        <w:spacing w:after="0" w:line="360" w:lineRule="auto"/>
        <w:rPr>
          <w:rFonts w:ascii="Book Antiqua" w:hAnsi="Book Antiqua" w:cs="Arial"/>
          <w:b/>
          <w:i/>
          <w:color w:val="000000"/>
          <w:sz w:val="24"/>
          <w:szCs w:val="24"/>
        </w:rPr>
      </w:pPr>
      <w:r w:rsidRPr="00A607D5">
        <w:rPr>
          <w:rFonts w:ascii="Book Antiqua" w:hAnsi="Book Antiqua" w:cs="Arial"/>
          <w:b/>
          <w:i/>
          <w:color w:val="000000"/>
          <w:sz w:val="24"/>
          <w:szCs w:val="24"/>
        </w:rPr>
        <w:t>Peer review</w:t>
      </w:r>
    </w:p>
    <w:p w:rsidR="00C70BF1" w:rsidRPr="00A607D5" w:rsidRDefault="00CB61DC" w:rsidP="003639A6">
      <w:pPr>
        <w:spacing w:after="0" w:line="360" w:lineRule="auto"/>
        <w:rPr>
          <w:rFonts w:ascii="Book Antiqua" w:hAnsi="Book Antiqua" w:cs="Arial"/>
          <w:color w:val="000000"/>
          <w:sz w:val="24"/>
          <w:szCs w:val="24"/>
        </w:rPr>
      </w:pPr>
      <w:r>
        <w:rPr>
          <w:rFonts w:ascii="Book Antiqua" w:hAnsi="Book Antiqua" w:cs="Arial" w:hint="eastAsia"/>
          <w:color w:val="000000"/>
          <w:sz w:val="24"/>
          <w:szCs w:val="24"/>
        </w:rPr>
        <w:t xml:space="preserve">This paper is </w:t>
      </w:r>
      <w:r w:rsidR="00C70BF1" w:rsidRPr="00CB61DC">
        <w:rPr>
          <w:rFonts w:ascii="Book Antiqua" w:hAnsi="Book Antiqua" w:cs="Arial"/>
          <w:color w:val="000000"/>
          <w:sz w:val="24"/>
          <w:szCs w:val="24"/>
        </w:rPr>
        <w:t>very interesting. There is no problem to publish the manuscript.</w:t>
      </w:r>
    </w:p>
    <w:p w:rsidR="004322DD" w:rsidRPr="00A607D5" w:rsidRDefault="00A607D5" w:rsidP="003639A6">
      <w:pPr>
        <w:spacing w:after="0" w:line="360" w:lineRule="auto"/>
        <w:rPr>
          <w:rFonts w:ascii="Book Antiqua" w:hAnsi="Book Antiqua" w:cs="Book Antiqua"/>
          <w:b/>
          <w:color w:val="000000"/>
          <w:szCs w:val="24"/>
        </w:rPr>
      </w:pPr>
      <w:r w:rsidRPr="00A607D5">
        <w:rPr>
          <w:rFonts w:ascii="Book Antiqua" w:hAnsi="Book Antiqua" w:cs="Book Antiqua"/>
          <w:color w:val="000000"/>
          <w:sz w:val="24"/>
          <w:szCs w:val="24"/>
        </w:rPr>
        <w:br w:type="page"/>
      </w:r>
      <w:r w:rsidRPr="00A607D5">
        <w:rPr>
          <w:rFonts w:ascii="Book Antiqua" w:hAnsi="Book Antiqua" w:cs="Book Antiqua"/>
          <w:b/>
          <w:color w:val="000000"/>
          <w:szCs w:val="24"/>
        </w:rPr>
        <w:lastRenderedPageBreak/>
        <w:t>REFERENCES</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1 </w:t>
      </w:r>
      <w:r w:rsidRPr="00A048FA">
        <w:rPr>
          <w:rFonts w:ascii="Book Antiqua" w:hAnsi="Book Antiqua" w:cs="宋体"/>
          <w:b/>
          <w:bCs/>
          <w:color w:val="000000"/>
          <w:kern w:val="0"/>
          <w:szCs w:val="21"/>
        </w:rPr>
        <w:t>Brouwers MA</w:t>
      </w:r>
      <w:r w:rsidRPr="00A048FA">
        <w:rPr>
          <w:rFonts w:ascii="Book Antiqua" w:hAnsi="Book Antiqua" w:cs="宋体"/>
          <w:color w:val="000000"/>
          <w:kern w:val="0"/>
          <w:szCs w:val="21"/>
        </w:rPr>
        <w:t>, Peeters PM, de Jong KP, Haagsma EB, Klompmaker IJ, Bijleveld CM, Zwaveling JH, Slooff MJ. Surgical treatment of giant haemangioma of the liver. </w:t>
      </w:r>
      <w:r w:rsidRPr="00A048FA">
        <w:rPr>
          <w:rFonts w:ascii="Book Antiqua" w:hAnsi="Book Antiqua" w:cs="宋体"/>
          <w:i/>
          <w:iCs/>
          <w:color w:val="000000"/>
          <w:kern w:val="0"/>
          <w:szCs w:val="21"/>
        </w:rPr>
        <w:t>Br J Surg</w:t>
      </w:r>
      <w:r w:rsidRPr="00A048FA">
        <w:rPr>
          <w:rFonts w:ascii="Book Antiqua" w:hAnsi="Book Antiqua" w:cs="宋体"/>
          <w:color w:val="000000"/>
          <w:kern w:val="0"/>
          <w:szCs w:val="21"/>
        </w:rPr>
        <w:t> 1997; </w:t>
      </w:r>
      <w:r w:rsidRPr="00A048FA">
        <w:rPr>
          <w:rFonts w:ascii="Book Antiqua" w:hAnsi="Book Antiqua" w:cs="宋体"/>
          <w:b/>
          <w:bCs/>
          <w:color w:val="000000"/>
          <w:kern w:val="0"/>
          <w:szCs w:val="21"/>
        </w:rPr>
        <w:t>84</w:t>
      </w:r>
      <w:r w:rsidRPr="00A048FA">
        <w:rPr>
          <w:rFonts w:ascii="Book Antiqua" w:hAnsi="Book Antiqua" w:cs="宋体"/>
          <w:color w:val="000000"/>
          <w:kern w:val="0"/>
          <w:szCs w:val="21"/>
        </w:rPr>
        <w:t>: 314-316 [PMID: 9117293 DOI: 10.1002/bjs.1800840310]</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2 </w:t>
      </w:r>
      <w:r w:rsidRPr="00A048FA">
        <w:rPr>
          <w:rFonts w:ascii="Book Antiqua" w:hAnsi="Book Antiqua" w:cs="宋体"/>
          <w:b/>
          <w:bCs/>
          <w:color w:val="000000"/>
          <w:kern w:val="0"/>
          <w:szCs w:val="21"/>
        </w:rPr>
        <w:t>van Malenstein H</w:t>
      </w:r>
      <w:r w:rsidRPr="00A048FA">
        <w:rPr>
          <w:rFonts w:ascii="Book Antiqua" w:hAnsi="Book Antiqua" w:cs="宋体"/>
          <w:color w:val="000000"/>
          <w:kern w:val="0"/>
          <w:szCs w:val="21"/>
        </w:rPr>
        <w:t>, Maleux G, Monbaliu D, Verslype C, Komuta M, Roskams T, Laleman W, Cassiman D, Fevery J, Aerts R, Pirenne J, Nevens F. Giant liver hemangioma: the role of female sex hormones and treatment. </w:t>
      </w:r>
      <w:r w:rsidRPr="00A048FA">
        <w:rPr>
          <w:rFonts w:ascii="Book Antiqua" w:hAnsi="Book Antiqua" w:cs="宋体"/>
          <w:i/>
          <w:iCs/>
          <w:color w:val="000000"/>
          <w:kern w:val="0"/>
          <w:szCs w:val="21"/>
        </w:rPr>
        <w:t>Eur J Gastroenterol Hepatol</w:t>
      </w:r>
      <w:r w:rsidRPr="00A048FA">
        <w:rPr>
          <w:rFonts w:ascii="Book Antiqua" w:hAnsi="Book Antiqua" w:cs="宋体"/>
          <w:color w:val="000000"/>
          <w:kern w:val="0"/>
          <w:szCs w:val="21"/>
        </w:rPr>
        <w:t> 2011; </w:t>
      </w:r>
      <w:r w:rsidRPr="00A048FA">
        <w:rPr>
          <w:rFonts w:ascii="Book Antiqua" w:hAnsi="Book Antiqua" w:cs="宋体"/>
          <w:b/>
          <w:bCs/>
          <w:color w:val="000000"/>
          <w:kern w:val="0"/>
          <w:szCs w:val="21"/>
        </w:rPr>
        <w:t>23</w:t>
      </w:r>
      <w:r w:rsidRPr="00A048FA">
        <w:rPr>
          <w:rFonts w:ascii="Book Antiqua" w:hAnsi="Book Antiqua" w:cs="宋体"/>
          <w:color w:val="000000"/>
          <w:kern w:val="0"/>
          <w:szCs w:val="21"/>
        </w:rPr>
        <w:t>: 438-443 [PMID: 21399504 DOI: 10.1097/MEG.0b013e328345c87d]</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3 </w:t>
      </w:r>
      <w:r w:rsidRPr="00A048FA">
        <w:rPr>
          <w:rFonts w:ascii="Book Antiqua" w:hAnsi="Book Antiqua" w:cs="宋体"/>
          <w:b/>
          <w:bCs/>
          <w:color w:val="000000"/>
          <w:kern w:val="0"/>
          <w:szCs w:val="21"/>
        </w:rPr>
        <w:t>Akamatsu N</w:t>
      </w:r>
      <w:r w:rsidRPr="00A048FA">
        <w:rPr>
          <w:rFonts w:ascii="Book Antiqua" w:hAnsi="Book Antiqua" w:cs="宋体"/>
          <w:color w:val="000000"/>
          <w:kern w:val="0"/>
          <w:szCs w:val="21"/>
        </w:rPr>
        <w:t>, Sugawara Y, Komagome M, Ishida T, Shin N, Cho N, Ozawa F, Hashimoto D. Giant liver hemangioma resected by trisectorectomy after efficient volume reduction by transcatheter arterial embolization: a case report. </w:t>
      </w:r>
      <w:r w:rsidRPr="00A048FA">
        <w:rPr>
          <w:rFonts w:ascii="Book Antiqua" w:hAnsi="Book Antiqua" w:cs="宋体"/>
          <w:i/>
          <w:iCs/>
          <w:color w:val="000000"/>
          <w:kern w:val="0"/>
          <w:szCs w:val="21"/>
        </w:rPr>
        <w:t>J Med Case Rep</w:t>
      </w:r>
      <w:r w:rsidRPr="00A048FA">
        <w:rPr>
          <w:rFonts w:ascii="Book Antiqua" w:hAnsi="Book Antiqua" w:cs="宋体"/>
          <w:color w:val="000000"/>
          <w:kern w:val="0"/>
          <w:szCs w:val="21"/>
        </w:rPr>
        <w:t> 2010; </w:t>
      </w:r>
      <w:r w:rsidRPr="00A048FA">
        <w:rPr>
          <w:rFonts w:ascii="Book Antiqua" w:hAnsi="Book Antiqua" w:cs="宋体"/>
          <w:b/>
          <w:bCs/>
          <w:color w:val="000000"/>
          <w:kern w:val="0"/>
          <w:szCs w:val="21"/>
        </w:rPr>
        <w:t>4</w:t>
      </w:r>
      <w:r w:rsidRPr="00A048FA">
        <w:rPr>
          <w:rFonts w:ascii="Book Antiqua" w:hAnsi="Book Antiqua" w:cs="宋体"/>
          <w:color w:val="000000"/>
          <w:kern w:val="0"/>
          <w:szCs w:val="21"/>
        </w:rPr>
        <w:t>: 283 [PMID: 20731839 DOI: 10.1186/1752-1947-4-283]</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4 </w:t>
      </w:r>
      <w:r w:rsidRPr="00A048FA">
        <w:rPr>
          <w:rFonts w:ascii="Book Antiqua" w:hAnsi="Book Antiqua" w:cs="宋体"/>
          <w:b/>
          <w:bCs/>
          <w:color w:val="000000"/>
          <w:kern w:val="0"/>
          <w:szCs w:val="21"/>
        </w:rPr>
        <w:t>Bioulac-Sage P</w:t>
      </w:r>
      <w:r w:rsidRPr="00A048FA">
        <w:rPr>
          <w:rFonts w:ascii="Book Antiqua" w:hAnsi="Book Antiqua" w:cs="宋体"/>
          <w:color w:val="000000"/>
          <w:kern w:val="0"/>
          <w:szCs w:val="21"/>
        </w:rPr>
        <w:t>, Laumonier H, Laurent C, Blanc JF, Balabaud C. Benign and malignant vascular tumors of the liver in adults. </w:t>
      </w:r>
      <w:r w:rsidRPr="00A048FA">
        <w:rPr>
          <w:rFonts w:ascii="Book Antiqua" w:hAnsi="Book Antiqua" w:cs="宋体"/>
          <w:i/>
          <w:iCs/>
          <w:color w:val="000000"/>
          <w:kern w:val="0"/>
          <w:szCs w:val="21"/>
        </w:rPr>
        <w:t>Semin Liver Dis</w:t>
      </w:r>
      <w:r w:rsidRPr="00A048FA">
        <w:rPr>
          <w:rFonts w:ascii="Book Antiqua" w:hAnsi="Book Antiqua" w:cs="宋体"/>
          <w:color w:val="000000"/>
          <w:kern w:val="0"/>
          <w:szCs w:val="21"/>
        </w:rPr>
        <w:t> 2008; </w:t>
      </w:r>
      <w:r w:rsidRPr="00A048FA">
        <w:rPr>
          <w:rFonts w:ascii="Book Antiqua" w:hAnsi="Book Antiqua" w:cs="宋体"/>
          <w:b/>
          <w:bCs/>
          <w:color w:val="000000"/>
          <w:kern w:val="0"/>
          <w:szCs w:val="21"/>
        </w:rPr>
        <w:t>28</w:t>
      </w:r>
      <w:r w:rsidRPr="00A048FA">
        <w:rPr>
          <w:rFonts w:ascii="Book Antiqua" w:hAnsi="Book Antiqua" w:cs="宋体"/>
          <w:color w:val="000000"/>
          <w:kern w:val="0"/>
          <w:szCs w:val="21"/>
        </w:rPr>
        <w:t>: 302-314 [PMID: 18814083 DOI: 10.1055/s-0028-1085098]</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5 </w:t>
      </w:r>
      <w:r w:rsidRPr="00A048FA">
        <w:rPr>
          <w:rFonts w:ascii="Book Antiqua" w:hAnsi="Book Antiqua" w:cs="宋体"/>
          <w:b/>
          <w:bCs/>
          <w:color w:val="000000"/>
          <w:kern w:val="0"/>
          <w:szCs w:val="21"/>
        </w:rPr>
        <w:t>Zhong L</w:t>
      </w:r>
      <w:r w:rsidRPr="00A048FA">
        <w:rPr>
          <w:rFonts w:ascii="Book Antiqua" w:hAnsi="Book Antiqua" w:cs="宋体"/>
          <w:color w:val="000000"/>
          <w:kern w:val="0"/>
          <w:szCs w:val="21"/>
        </w:rPr>
        <w:t>, Men TY, Yang GD, Gu Y, Chen G, Xing TH, Fan JW, Peng ZH. Case report: living donor liver transplantation for giant hepatic hemangioma using a right lobe graft without the middle hepatic vein. </w:t>
      </w:r>
      <w:r w:rsidRPr="00A048FA">
        <w:rPr>
          <w:rFonts w:ascii="Book Antiqua" w:hAnsi="Book Antiqua" w:cs="宋体"/>
          <w:i/>
          <w:iCs/>
          <w:color w:val="000000"/>
          <w:kern w:val="0"/>
          <w:szCs w:val="21"/>
        </w:rPr>
        <w:t>World J Surg Oncol</w:t>
      </w:r>
      <w:r w:rsidRPr="00A048FA">
        <w:rPr>
          <w:rFonts w:ascii="Book Antiqua" w:hAnsi="Book Antiqua" w:cs="宋体"/>
          <w:color w:val="000000"/>
          <w:kern w:val="0"/>
          <w:szCs w:val="21"/>
        </w:rPr>
        <w:t> 2014; </w:t>
      </w:r>
      <w:r w:rsidRPr="00A048FA">
        <w:rPr>
          <w:rFonts w:ascii="Book Antiqua" w:hAnsi="Book Antiqua" w:cs="宋体"/>
          <w:b/>
          <w:bCs/>
          <w:color w:val="000000"/>
          <w:kern w:val="0"/>
          <w:szCs w:val="21"/>
        </w:rPr>
        <w:t>12</w:t>
      </w:r>
      <w:r w:rsidRPr="00A048FA">
        <w:rPr>
          <w:rFonts w:ascii="Book Antiqua" w:hAnsi="Book Antiqua" w:cs="宋体"/>
          <w:color w:val="000000"/>
          <w:kern w:val="0"/>
          <w:szCs w:val="21"/>
        </w:rPr>
        <w:t>: 83 [PMID: 24708716 DOI: 10.1186/1477-7819-12-83]</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6 </w:t>
      </w:r>
      <w:r w:rsidRPr="00A048FA">
        <w:rPr>
          <w:rFonts w:ascii="Book Antiqua" w:hAnsi="Book Antiqua" w:cs="宋体"/>
          <w:b/>
          <w:bCs/>
          <w:color w:val="000000"/>
          <w:kern w:val="0"/>
          <w:szCs w:val="21"/>
        </w:rPr>
        <w:t>Giavroglou C</w:t>
      </w:r>
      <w:r w:rsidRPr="00A048FA">
        <w:rPr>
          <w:rFonts w:ascii="Book Antiqua" w:hAnsi="Book Antiqua" w:cs="宋体"/>
          <w:color w:val="000000"/>
          <w:kern w:val="0"/>
          <w:szCs w:val="21"/>
        </w:rPr>
        <w:t>, Economou H, Ioannidis I. Arterial embolization of giant hepatic hemangiomas. </w:t>
      </w:r>
      <w:r w:rsidRPr="00A048FA">
        <w:rPr>
          <w:rFonts w:ascii="Book Antiqua" w:hAnsi="Book Antiqua" w:cs="宋体"/>
          <w:i/>
          <w:iCs/>
          <w:color w:val="000000"/>
          <w:kern w:val="0"/>
          <w:szCs w:val="21"/>
        </w:rPr>
        <w:t>Cardiovasc Intervent Radiol</w:t>
      </w:r>
      <w:r w:rsidRPr="00A048FA">
        <w:rPr>
          <w:rFonts w:ascii="Book Antiqua" w:hAnsi="Book Antiqua" w:cs="宋体"/>
          <w:color w:val="000000"/>
          <w:kern w:val="0"/>
          <w:szCs w:val="21"/>
        </w:rPr>
        <w:t> 2003; </w:t>
      </w:r>
      <w:r w:rsidRPr="00A048FA">
        <w:rPr>
          <w:rFonts w:ascii="Book Antiqua" w:hAnsi="Book Antiqua" w:cs="宋体"/>
          <w:b/>
          <w:bCs/>
          <w:color w:val="000000"/>
          <w:kern w:val="0"/>
          <w:szCs w:val="21"/>
        </w:rPr>
        <w:t>26</w:t>
      </w:r>
      <w:r w:rsidRPr="00A048FA">
        <w:rPr>
          <w:rFonts w:ascii="Book Antiqua" w:hAnsi="Book Antiqua" w:cs="宋体"/>
          <w:color w:val="000000"/>
          <w:kern w:val="0"/>
          <w:szCs w:val="21"/>
        </w:rPr>
        <w:t>: 92-96 [PMID: 12522645 DOI: 10.1007/s00270-002-2648-8]</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7 </w:t>
      </w:r>
      <w:r w:rsidRPr="00A048FA">
        <w:rPr>
          <w:rFonts w:ascii="Book Antiqua" w:hAnsi="Book Antiqua" w:cs="宋体"/>
          <w:b/>
          <w:bCs/>
          <w:color w:val="000000"/>
          <w:kern w:val="0"/>
          <w:szCs w:val="21"/>
        </w:rPr>
        <w:t>Choi BY</w:t>
      </w:r>
      <w:r w:rsidRPr="00A048FA">
        <w:rPr>
          <w:rFonts w:ascii="Book Antiqua" w:hAnsi="Book Antiqua" w:cs="宋体"/>
          <w:color w:val="000000"/>
          <w:kern w:val="0"/>
          <w:szCs w:val="21"/>
        </w:rPr>
        <w:t>, Nguyen MH. The diagnosis and management of benign hepatic tumors. </w:t>
      </w:r>
      <w:r w:rsidRPr="00A048FA">
        <w:rPr>
          <w:rFonts w:ascii="Book Antiqua" w:hAnsi="Book Antiqua" w:cs="宋体"/>
          <w:i/>
          <w:iCs/>
          <w:color w:val="000000"/>
          <w:kern w:val="0"/>
          <w:szCs w:val="21"/>
        </w:rPr>
        <w:t>J Clin Gastroenterol</w:t>
      </w:r>
      <w:r w:rsidRPr="00A048FA">
        <w:rPr>
          <w:rFonts w:ascii="Book Antiqua" w:hAnsi="Book Antiqua" w:cs="宋体"/>
          <w:color w:val="000000"/>
          <w:kern w:val="0"/>
          <w:szCs w:val="21"/>
        </w:rPr>
        <w:t> 2005; </w:t>
      </w:r>
      <w:r w:rsidRPr="00A048FA">
        <w:rPr>
          <w:rFonts w:ascii="Book Antiqua" w:hAnsi="Book Antiqua" w:cs="宋体"/>
          <w:b/>
          <w:bCs/>
          <w:color w:val="000000"/>
          <w:kern w:val="0"/>
          <w:szCs w:val="21"/>
        </w:rPr>
        <w:t>39</w:t>
      </w:r>
      <w:r w:rsidRPr="00A048FA">
        <w:rPr>
          <w:rFonts w:ascii="Book Antiqua" w:hAnsi="Book Antiqua" w:cs="宋体"/>
          <w:color w:val="000000"/>
          <w:kern w:val="0"/>
          <w:szCs w:val="21"/>
        </w:rPr>
        <w:t>: 401-412 [PMID: 15815209 DOI: 10.1097/01.mcg.0000159226.63037.a2]</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8 </w:t>
      </w:r>
      <w:r w:rsidRPr="00A048FA">
        <w:rPr>
          <w:rFonts w:ascii="Book Antiqua" w:hAnsi="Book Antiqua" w:cs="宋体"/>
          <w:b/>
          <w:bCs/>
          <w:color w:val="000000"/>
          <w:kern w:val="0"/>
          <w:szCs w:val="21"/>
        </w:rPr>
        <w:t>Federle MP</w:t>
      </w:r>
      <w:r w:rsidRPr="00A048FA">
        <w:rPr>
          <w:rFonts w:ascii="Book Antiqua" w:hAnsi="Book Antiqua" w:cs="宋体"/>
          <w:color w:val="000000"/>
          <w:kern w:val="0"/>
          <w:szCs w:val="21"/>
        </w:rPr>
        <w:t>, Brancatelli G, Blachar A. Hepatic hemangioma. </w:t>
      </w:r>
      <w:r w:rsidRPr="00A048FA">
        <w:rPr>
          <w:rFonts w:ascii="Book Antiqua" w:hAnsi="Book Antiqua" w:cs="宋体"/>
          <w:i/>
          <w:iCs/>
          <w:color w:val="000000"/>
          <w:kern w:val="0"/>
          <w:szCs w:val="21"/>
        </w:rPr>
        <w:t>N Engl J Med</w:t>
      </w:r>
      <w:r w:rsidRPr="00A048FA">
        <w:rPr>
          <w:rFonts w:ascii="Book Antiqua" w:hAnsi="Book Antiqua" w:cs="宋体"/>
          <w:color w:val="000000"/>
          <w:kern w:val="0"/>
          <w:szCs w:val="21"/>
        </w:rPr>
        <w:t> 2000; </w:t>
      </w:r>
      <w:r w:rsidRPr="00A048FA">
        <w:rPr>
          <w:rFonts w:ascii="Book Antiqua" w:hAnsi="Book Antiqua" w:cs="宋体"/>
          <w:b/>
          <w:bCs/>
          <w:color w:val="000000"/>
          <w:kern w:val="0"/>
          <w:szCs w:val="21"/>
        </w:rPr>
        <w:t>343</w:t>
      </w:r>
      <w:r w:rsidRPr="00A048FA">
        <w:rPr>
          <w:rFonts w:ascii="Book Antiqua" w:hAnsi="Book Antiqua" w:cs="宋体"/>
          <w:color w:val="000000"/>
          <w:kern w:val="0"/>
          <w:szCs w:val="21"/>
        </w:rPr>
        <w:t>: 368-369 [PMID: 10928899 DOI: 10.1056/]</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lastRenderedPageBreak/>
        <w:t>9 </w:t>
      </w:r>
      <w:r w:rsidRPr="00A048FA">
        <w:rPr>
          <w:rFonts w:ascii="Book Antiqua" w:hAnsi="Book Antiqua" w:cs="宋体"/>
          <w:b/>
          <w:bCs/>
          <w:color w:val="000000"/>
          <w:kern w:val="0"/>
          <w:szCs w:val="21"/>
        </w:rPr>
        <w:t>Zeng Q</w:t>
      </w:r>
      <w:r w:rsidRPr="00A048FA">
        <w:rPr>
          <w:rFonts w:ascii="Book Antiqua" w:hAnsi="Book Antiqua" w:cs="宋体"/>
          <w:color w:val="000000"/>
          <w:kern w:val="0"/>
          <w:szCs w:val="21"/>
        </w:rPr>
        <w:t>, Li Y, Chen Y, Ouyang Y, He X, Zhang H. Gigantic cavernous hemangioma of the liver treated by intra-arterial embolization with pingyangmycin-lipiodol emulsion: a multi-center study. </w:t>
      </w:r>
      <w:r w:rsidRPr="00A048FA">
        <w:rPr>
          <w:rFonts w:ascii="Book Antiqua" w:hAnsi="Book Antiqua" w:cs="宋体"/>
          <w:i/>
          <w:iCs/>
          <w:color w:val="000000"/>
          <w:kern w:val="0"/>
          <w:szCs w:val="21"/>
        </w:rPr>
        <w:t>Cardiovasc Intervent Radiol</w:t>
      </w:r>
      <w:r w:rsidRPr="00A048FA">
        <w:rPr>
          <w:rFonts w:ascii="Book Antiqua" w:hAnsi="Book Antiqua" w:cs="宋体"/>
          <w:color w:val="000000"/>
          <w:kern w:val="0"/>
          <w:szCs w:val="21"/>
        </w:rPr>
        <w:t> </w:t>
      </w:r>
      <w:r>
        <w:rPr>
          <w:rFonts w:ascii="Book Antiqua" w:hAnsi="Book Antiqua" w:cs="宋体" w:hint="eastAsia"/>
          <w:color w:val="000000"/>
          <w:kern w:val="0"/>
          <w:szCs w:val="21"/>
        </w:rPr>
        <w:t>2004</w:t>
      </w:r>
      <w:r w:rsidRPr="00A048FA">
        <w:rPr>
          <w:rFonts w:ascii="Book Antiqua" w:hAnsi="Book Antiqua" w:cs="宋体"/>
          <w:color w:val="000000"/>
          <w:kern w:val="0"/>
          <w:szCs w:val="21"/>
        </w:rPr>
        <w:t>; </w:t>
      </w:r>
      <w:r w:rsidRPr="00A048FA">
        <w:rPr>
          <w:rFonts w:ascii="Book Antiqua" w:hAnsi="Book Antiqua" w:cs="宋体"/>
          <w:b/>
          <w:bCs/>
          <w:color w:val="000000"/>
          <w:kern w:val="0"/>
          <w:szCs w:val="21"/>
        </w:rPr>
        <w:t>27</w:t>
      </w:r>
      <w:r w:rsidRPr="00A048FA">
        <w:rPr>
          <w:rFonts w:ascii="Book Antiqua" w:hAnsi="Book Antiqua" w:cs="宋体"/>
          <w:color w:val="000000"/>
          <w:kern w:val="0"/>
          <w:szCs w:val="21"/>
        </w:rPr>
        <w:t>: 481-485 [PMID: 15383851 DOI: 10.1007/s00270-003-2754-2]</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10 </w:t>
      </w:r>
      <w:r w:rsidRPr="00A048FA">
        <w:rPr>
          <w:rFonts w:ascii="Book Antiqua" w:hAnsi="Book Antiqua" w:cs="宋体"/>
          <w:b/>
          <w:bCs/>
          <w:color w:val="000000"/>
          <w:kern w:val="0"/>
          <w:szCs w:val="21"/>
        </w:rPr>
        <w:t>Qu K</w:t>
      </w:r>
      <w:r w:rsidRPr="00A048FA">
        <w:rPr>
          <w:rFonts w:ascii="Book Antiqua" w:hAnsi="Book Antiqua" w:cs="宋体"/>
          <w:color w:val="000000"/>
          <w:kern w:val="0"/>
          <w:szCs w:val="21"/>
        </w:rPr>
        <w:t>, Liu C, Wu QF, Wang B, Mansoor AM, Qin H, Ma Q, Liu YM. Sclerosing cholangitis after transcatheter arterial chemoembolization: a case report. </w:t>
      </w:r>
      <w:r w:rsidRPr="00A048FA">
        <w:rPr>
          <w:rFonts w:ascii="Book Antiqua" w:hAnsi="Book Antiqua" w:cs="宋体"/>
          <w:i/>
          <w:iCs/>
          <w:color w:val="000000"/>
          <w:kern w:val="0"/>
          <w:szCs w:val="21"/>
        </w:rPr>
        <w:t>Chin Med Sci J</w:t>
      </w:r>
      <w:r w:rsidRPr="00A048FA">
        <w:rPr>
          <w:rFonts w:ascii="Book Antiqua" w:hAnsi="Book Antiqua" w:cs="宋体"/>
          <w:color w:val="000000"/>
          <w:kern w:val="0"/>
          <w:szCs w:val="21"/>
        </w:rPr>
        <w:t> 2011; </w:t>
      </w:r>
      <w:r w:rsidRPr="00A048FA">
        <w:rPr>
          <w:rFonts w:ascii="Book Antiqua" w:hAnsi="Book Antiqua" w:cs="宋体"/>
          <w:b/>
          <w:bCs/>
          <w:color w:val="000000"/>
          <w:kern w:val="0"/>
          <w:szCs w:val="21"/>
        </w:rPr>
        <w:t>26</w:t>
      </w:r>
      <w:r w:rsidRPr="00A048FA">
        <w:rPr>
          <w:rFonts w:ascii="Book Antiqua" w:hAnsi="Book Antiqua" w:cs="宋体"/>
          <w:color w:val="000000"/>
          <w:kern w:val="0"/>
          <w:szCs w:val="21"/>
        </w:rPr>
        <w:t>: 190-193 [PMID: 22207930 DOI: 10.1016/S1001-9294(11)60047-3]</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11 </w:t>
      </w:r>
      <w:r w:rsidRPr="00A048FA">
        <w:rPr>
          <w:rFonts w:ascii="Book Antiqua" w:hAnsi="Book Antiqua" w:cs="宋体"/>
          <w:b/>
          <w:bCs/>
          <w:color w:val="000000"/>
          <w:kern w:val="0"/>
          <w:szCs w:val="21"/>
        </w:rPr>
        <w:t>Schnelldorfer T</w:t>
      </w:r>
      <w:r w:rsidRPr="00A048FA">
        <w:rPr>
          <w:rFonts w:ascii="Book Antiqua" w:hAnsi="Book Antiqua" w:cs="宋体"/>
          <w:color w:val="000000"/>
          <w:kern w:val="0"/>
          <w:szCs w:val="21"/>
        </w:rPr>
        <w:t>, Ware AL, Smoot R, Schleck CD, Harmsen WS, Nagorney DM. Management of giant hemangioma of the liver: resection versus observation. </w:t>
      </w:r>
      <w:r w:rsidRPr="00A048FA">
        <w:rPr>
          <w:rFonts w:ascii="Book Antiqua" w:hAnsi="Book Antiqua" w:cs="宋体"/>
          <w:i/>
          <w:iCs/>
          <w:color w:val="000000"/>
          <w:kern w:val="0"/>
          <w:szCs w:val="21"/>
        </w:rPr>
        <w:t>J Am Coll Surg</w:t>
      </w:r>
      <w:r w:rsidRPr="00A048FA">
        <w:rPr>
          <w:rFonts w:ascii="Book Antiqua" w:hAnsi="Book Antiqua" w:cs="宋体"/>
          <w:color w:val="000000"/>
          <w:kern w:val="0"/>
          <w:szCs w:val="21"/>
        </w:rPr>
        <w:t> 2010; </w:t>
      </w:r>
      <w:r w:rsidRPr="00A048FA">
        <w:rPr>
          <w:rFonts w:ascii="Book Antiqua" w:hAnsi="Book Antiqua" w:cs="宋体"/>
          <w:b/>
          <w:bCs/>
          <w:color w:val="000000"/>
          <w:kern w:val="0"/>
          <w:szCs w:val="21"/>
        </w:rPr>
        <w:t>211</w:t>
      </w:r>
      <w:r w:rsidRPr="00A048FA">
        <w:rPr>
          <w:rFonts w:ascii="Book Antiqua" w:hAnsi="Book Antiqua" w:cs="宋体"/>
          <w:color w:val="000000"/>
          <w:kern w:val="0"/>
          <w:szCs w:val="21"/>
        </w:rPr>
        <w:t>: 724-730 [PMID: 20980175 DOI: 10.1016/j.jamcollsurg.2010.08.006]</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12 </w:t>
      </w:r>
      <w:r w:rsidRPr="00A048FA">
        <w:rPr>
          <w:rFonts w:ascii="Book Antiqua" w:hAnsi="Book Antiqua" w:cs="宋体"/>
          <w:b/>
          <w:bCs/>
          <w:color w:val="000000"/>
          <w:kern w:val="0"/>
          <w:szCs w:val="21"/>
        </w:rPr>
        <w:t>Herman P</w:t>
      </w:r>
      <w:r w:rsidRPr="00A048FA">
        <w:rPr>
          <w:rFonts w:ascii="Book Antiqua" w:hAnsi="Book Antiqua" w:cs="宋体"/>
          <w:color w:val="000000"/>
          <w:kern w:val="0"/>
          <w:szCs w:val="21"/>
        </w:rPr>
        <w:t>, Costa ML, Machado MA, Pugliese V, D'Albuquerque LA, Machado MC, Gama-Rodrigues JJ, Saad WA. Management of hepatic hemangiomas: a 14-year experience. </w:t>
      </w:r>
      <w:r w:rsidRPr="00A048FA">
        <w:rPr>
          <w:rFonts w:ascii="Book Antiqua" w:hAnsi="Book Antiqua" w:cs="宋体"/>
          <w:i/>
          <w:iCs/>
          <w:color w:val="000000"/>
          <w:kern w:val="0"/>
          <w:szCs w:val="21"/>
        </w:rPr>
        <w:t>J Gastrointest Surg</w:t>
      </w:r>
      <w:r w:rsidRPr="00A048FA">
        <w:rPr>
          <w:rFonts w:ascii="Book Antiqua" w:hAnsi="Book Antiqua" w:cs="宋体"/>
          <w:color w:val="000000"/>
          <w:kern w:val="0"/>
          <w:szCs w:val="21"/>
        </w:rPr>
        <w:t> </w:t>
      </w:r>
      <w:r>
        <w:rPr>
          <w:rFonts w:ascii="Book Antiqua" w:hAnsi="Book Antiqua" w:cs="宋体" w:hint="eastAsia"/>
          <w:color w:val="000000"/>
          <w:kern w:val="0"/>
          <w:szCs w:val="21"/>
        </w:rPr>
        <w:t>2005</w:t>
      </w:r>
      <w:r w:rsidRPr="00A048FA">
        <w:rPr>
          <w:rFonts w:ascii="Book Antiqua" w:hAnsi="Book Antiqua" w:cs="宋体"/>
          <w:color w:val="000000"/>
          <w:kern w:val="0"/>
          <w:szCs w:val="21"/>
        </w:rPr>
        <w:t>; </w:t>
      </w:r>
      <w:r w:rsidRPr="00A048FA">
        <w:rPr>
          <w:rFonts w:ascii="Book Antiqua" w:hAnsi="Book Antiqua" w:cs="宋体"/>
          <w:b/>
          <w:bCs/>
          <w:color w:val="000000"/>
          <w:kern w:val="0"/>
          <w:szCs w:val="21"/>
        </w:rPr>
        <w:t>9</w:t>
      </w:r>
      <w:r w:rsidRPr="00A048FA">
        <w:rPr>
          <w:rFonts w:ascii="Book Antiqua" w:hAnsi="Book Antiqua" w:cs="宋体"/>
          <w:color w:val="000000"/>
          <w:kern w:val="0"/>
          <w:szCs w:val="21"/>
        </w:rPr>
        <w:t>: 853-859 [PMID: 15985244 DOI: 10.1016/j.gassur.2005.01.292]</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13 </w:t>
      </w:r>
      <w:r w:rsidRPr="00A048FA">
        <w:rPr>
          <w:rFonts w:ascii="Book Antiqua" w:hAnsi="Book Antiqua" w:cs="宋体"/>
          <w:b/>
          <w:bCs/>
          <w:color w:val="000000"/>
          <w:kern w:val="0"/>
          <w:szCs w:val="21"/>
        </w:rPr>
        <w:t>Oda K</w:t>
      </w:r>
      <w:r w:rsidRPr="00A048FA">
        <w:rPr>
          <w:rFonts w:ascii="Book Antiqua" w:hAnsi="Book Antiqua" w:cs="宋体"/>
          <w:color w:val="000000"/>
          <w:kern w:val="0"/>
          <w:szCs w:val="21"/>
        </w:rPr>
        <w:t>, Matoba Y, Noda M, Kumagai T, Sugiyama M. Catalytic mechanism of bleomycin N-acetyltransferase proposed on the basis of its crystal structure. </w:t>
      </w:r>
      <w:r w:rsidRPr="00A048FA">
        <w:rPr>
          <w:rFonts w:ascii="Book Antiqua" w:hAnsi="Book Antiqua" w:cs="宋体"/>
          <w:i/>
          <w:iCs/>
          <w:color w:val="000000"/>
          <w:kern w:val="0"/>
          <w:szCs w:val="21"/>
        </w:rPr>
        <w:t>J Biol Chem</w:t>
      </w:r>
      <w:r w:rsidRPr="00A048FA">
        <w:rPr>
          <w:rFonts w:ascii="Book Antiqua" w:hAnsi="Book Antiqua" w:cs="宋体"/>
          <w:color w:val="000000"/>
          <w:kern w:val="0"/>
          <w:szCs w:val="21"/>
        </w:rPr>
        <w:t> 2010; </w:t>
      </w:r>
      <w:r w:rsidRPr="00A048FA">
        <w:rPr>
          <w:rFonts w:ascii="Book Antiqua" w:hAnsi="Book Antiqua" w:cs="宋体"/>
          <w:b/>
          <w:bCs/>
          <w:color w:val="000000"/>
          <w:kern w:val="0"/>
          <w:szCs w:val="21"/>
        </w:rPr>
        <w:t>285</w:t>
      </w:r>
      <w:r w:rsidRPr="00A048FA">
        <w:rPr>
          <w:rFonts w:ascii="Book Antiqua" w:hAnsi="Book Antiqua" w:cs="宋体"/>
          <w:color w:val="000000"/>
          <w:kern w:val="0"/>
          <w:szCs w:val="21"/>
        </w:rPr>
        <w:t>: 1446-1456 [PMID: 19889644 DOI: 10.1074/jbc.M109.022277]</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14 </w:t>
      </w:r>
      <w:r w:rsidRPr="00A048FA">
        <w:rPr>
          <w:rFonts w:ascii="Book Antiqua" w:hAnsi="Book Antiqua" w:cs="宋体"/>
          <w:b/>
          <w:bCs/>
          <w:color w:val="000000"/>
          <w:kern w:val="0"/>
          <w:szCs w:val="21"/>
        </w:rPr>
        <w:t>Huang XQ</w:t>
      </w:r>
      <w:r w:rsidRPr="00A048FA">
        <w:rPr>
          <w:rFonts w:ascii="Book Antiqua" w:hAnsi="Book Antiqua" w:cs="宋体"/>
          <w:color w:val="000000"/>
          <w:kern w:val="0"/>
          <w:szCs w:val="21"/>
        </w:rPr>
        <w:t>, Huang ZQ, Duan WD, Zhou NX, Feng YQ. Severe biliary complications after hepatic artery embolization. </w:t>
      </w:r>
      <w:r w:rsidRPr="00A048FA">
        <w:rPr>
          <w:rFonts w:ascii="Book Antiqua" w:hAnsi="Book Antiqua" w:cs="宋体"/>
          <w:i/>
          <w:iCs/>
          <w:color w:val="000000"/>
          <w:kern w:val="0"/>
          <w:szCs w:val="21"/>
        </w:rPr>
        <w:t>World J Gastroenterol</w:t>
      </w:r>
      <w:r w:rsidRPr="00A048FA">
        <w:rPr>
          <w:rFonts w:ascii="Book Antiqua" w:hAnsi="Book Antiqua" w:cs="宋体"/>
          <w:color w:val="000000"/>
          <w:kern w:val="0"/>
          <w:szCs w:val="21"/>
        </w:rPr>
        <w:t> 2002; </w:t>
      </w:r>
      <w:r w:rsidRPr="00A048FA">
        <w:rPr>
          <w:rFonts w:ascii="Book Antiqua" w:hAnsi="Book Antiqua" w:cs="宋体"/>
          <w:b/>
          <w:bCs/>
          <w:color w:val="000000"/>
          <w:kern w:val="0"/>
          <w:szCs w:val="21"/>
        </w:rPr>
        <w:t>8</w:t>
      </w:r>
      <w:r w:rsidRPr="00A048FA">
        <w:rPr>
          <w:rFonts w:ascii="Book Antiqua" w:hAnsi="Book Antiqua" w:cs="宋体"/>
          <w:color w:val="000000"/>
          <w:kern w:val="0"/>
          <w:szCs w:val="21"/>
        </w:rPr>
        <w:t>: 119-123 [PMID: 11833085]</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15 </w:t>
      </w:r>
      <w:r w:rsidRPr="00A048FA">
        <w:rPr>
          <w:rFonts w:ascii="Book Antiqua" w:hAnsi="Book Antiqua" w:cs="宋体"/>
          <w:b/>
          <w:bCs/>
          <w:color w:val="000000"/>
          <w:kern w:val="0"/>
          <w:szCs w:val="21"/>
        </w:rPr>
        <w:t>Terblanche J</w:t>
      </w:r>
      <w:r w:rsidRPr="00A048FA">
        <w:rPr>
          <w:rFonts w:ascii="Book Antiqua" w:hAnsi="Book Antiqua" w:cs="宋体"/>
          <w:color w:val="000000"/>
          <w:kern w:val="0"/>
          <w:szCs w:val="21"/>
        </w:rPr>
        <w:t>, Allison HF, Northover JM. An ischemic basis for biliary strictures. </w:t>
      </w:r>
      <w:r w:rsidRPr="00A048FA">
        <w:rPr>
          <w:rFonts w:ascii="Book Antiqua" w:hAnsi="Book Antiqua" w:cs="宋体"/>
          <w:i/>
          <w:iCs/>
          <w:color w:val="000000"/>
          <w:kern w:val="0"/>
          <w:szCs w:val="21"/>
        </w:rPr>
        <w:t>Surgery</w:t>
      </w:r>
      <w:r w:rsidRPr="00A048FA">
        <w:rPr>
          <w:rFonts w:ascii="Book Antiqua" w:hAnsi="Book Antiqua" w:cs="宋体"/>
          <w:color w:val="000000"/>
          <w:kern w:val="0"/>
          <w:szCs w:val="21"/>
        </w:rPr>
        <w:t> 1983; </w:t>
      </w:r>
      <w:r w:rsidRPr="00A048FA">
        <w:rPr>
          <w:rFonts w:ascii="Book Antiqua" w:hAnsi="Book Antiqua" w:cs="宋体"/>
          <w:b/>
          <w:bCs/>
          <w:color w:val="000000"/>
          <w:kern w:val="0"/>
          <w:szCs w:val="21"/>
        </w:rPr>
        <w:t>94</w:t>
      </w:r>
      <w:r w:rsidRPr="00A048FA">
        <w:rPr>
          <w:rFonts w:ascii="Book Antiqua" w:hAnsi="Book Antiqua" w:cs="宋体"/>
          <w:color w:val="000000"/>
          <w:kern w:val="0"/>
          <w:szCs w:val="21"/>
        </w:rPr>
        <w:t>: 52-57 [PMID: 6857512]</w:t>
      </w:r>
    </w:p>
    <w:p w:rsidR="00390B47" w:rsidRPr="00A048FA" w:rsidRDefault="00390B47" w:rsidP="003639A6">
      <w:pPr>
        <w:widowControl/>
        <w:spacing w:after="0" w:line="360" w:lineRule="auto"/>
        <w:rPr>
          <w:rFonts w:ascii="Book Antiqua" w:hAnsi="Book Antiqua" w:cs="宋体"/>
          <w:color w:val="000000"/>
          <w:kern w:val="0"/>
          <w:szCs w:val="21"/>
        </w:rPr>
      </w:pPr>
      <w:r w:rsidRPr="00A048FA">
        <w:rPr>
          <w:rFonts w:ascii="Book Antiqua" w:hAnsi="Book Antiqua" w:cs="宋体"/>
          <w:color w:val="000000"/>
          <w:kern w:val="0"/>
          <w:szCs w:val="21"/>
        </w:rPr>
        <w:t>16 </w:t>
      </w:r>
      <w:r w:rsidRPr="00A048FA">
        <w:rPr>
          <w:rFonts w:ascii="Book Antiqua" w:hAnsi="Book Antiqua" w:cs="宋体"/>
          <w:b/>
          <w:bCs/>
          <w:color w:val="000000"/>
          <w:kern w:val="0"/>
          <w:szCs w:val="21"/>
        </w:rPr>
        <w:t>Gossard AA</w:t>
      </w:r>
      <w:r w:rsidRPr="00A048FA">
        <w:rPr>
          <w:rFonts w:ascii="Book Antiqua" w:hAnsi="Book Antiqua" w:cs="宋体"/>
          <w:color w:val="000000"/>
          <w:kern w:val="0"/>
          <w:szCs w:val="21"/>
        </w:rPr>
        <w:t>, Angulo P, Lindor KD. Secondary sclerosing cholangitis: a comparison to primary sclerosing cholangitis. </w:t>
      </w:r>
      <w:r w:rsidRPr="00A048FA">
        <w:rPr>
          <w:rFonts w:ascii="Book Antiqua" w:hAnsi="Book Antiqua" w:cs="宋体"/>
          <w:i/>
          <w:iCs/>
          <w:color w:val="000000"/>
          <w:kern w:val="0"/>
          <w:szCs w:val="21"/>
        </w:rPr>
        <w:t>Am J Gastroenterol</w:t>
      </w:r>
      <w:r w:rsidRPr="00A048FA">
        <w:rPr>
          <w:rFonts w:ascii="Book Antiqua" w:hAnsi="Book Antiqua" w:cs="宋体"/>
          <w:color w:val="000000"/>
          <w:kern w:val="0"/>
          <w:szCs w:val="21"/>
        </w:rPr>
        <w:t> 2005; </w:t>
      </w:r>
      <w:r w:rsidRPr="00A048FA">
        <w:rPr>
          <w:rFonts w:ascii="Book Antiqua" w:hAnsi="Book Antiqua" w:cs="宋体"/>
          <w:b/>
          <w:bCs/>
          <w:color w:val="000000"/>
          <w:kern w:val="0"/>
          <w:szCs w:val="21"/>
        </w:rPr>
        <w:t>100</w:t>
      </w:r>
      <w:r w:rsidRPr="00A048FA">
        <w:rPr>
          <w:rFonts w:ascii="Book Antiqua" w:hAnsi="Book Antiqua" w:cs="宋体"/>
          <w:color w:val="000000"/>
          <w:kern w:val="0"/>
          <w:szCs w:val="21"/>
        </w:rPr>
        <w:t xml:space="preserve">: 1330-1333 [PMID: 15929765 DOI: </w:t>
      </w:r>
      <w:r>
        <w:rPr>
          <w:rFonts w:ascii="Book Antiqua" w:hAnsi="Book Antiqua" w:cs="宋体"/>
          <w:color w:val="000000"/>
          <w:kern w:val="0"/>
          <w:szCs w:val="21"/>
        </w:rPr>
        <w:t>10.1111/j.1572-0241.2005</w:t>
      </w:r>
      <w:r w:rsidRPr="00A048FA">
        <w:rPr>
          <w:rFonts w:ascii="Book Antiqua" w:hAnsi="Book Antiqua" w:cs="宋体"/>
          <w:color w:val="000000"/>
          <w:kern w:val="0"/>
          <w:szCs w:val="21"/>
        </w:rPr>
        <w:t>]</w:t>
      </w:r>
    </w:p>
    <w:p w:rsidR="00390B47" w:rsidRPr="00A048FA" w:rsidRDefault="00390B47" w:rsidP="003639A6">
      <w:pPr>
        <w:spacing w:after="0" w:line="360" w:lineRule="auto"/>
        <w:rPr>
          <w:rFonts w:ascii="Book Antiqua" w:hAnsi="Book Antiqua"/>
          <w:szCs w:val="21"/>
        </w:rPr>
      </w:pPr>
    </w:p>
    <w:p w:rsidR="00390B47" w:rsidRPr="00457CF0" w:rsidRDefault="00390B47" w:rsidP="003639A6">
      <w:pPr>
        <w:spacing w:after="0" w:line="360" w:lineRule="auto"/>
        <w:ind w:left="316" w:hangingChars="150" w:hanging="316"/>
        <w:jc w:val="right"/>
        <w:rPr>
          <w:rFonts w:ascii="Book Antiqua" w:hAnsi="Book Antiqua"/>
          <w:szCs w:val="21"/>
        </w:rPr>
      </w:pPr>
      <w:r w:rsidRPr="00457CF0">
        <w:rPr>
          <w:rFonts w:ascii="Book Antiqua" w:hAnsi="Book Antiqua"/>
          <w:b/>
          <w:bCs/>
          <w:szCs w:val="21"/>
        </w:rPr>
        <w:t>P-Reviewer</w:t>
      </w:r>
      <w:r w:rsidRPr="00457CF0">
        <w:rPr>
          <w:rFonts w:ascii="Book Antiqua" w:hAnsi="Book Antiqua" w:hint="eastAsia"/>
          <w:b/>
          <w:bCs/>
          <w:szCs w:val="21"/>
        </w:rPr>
        <w:t>:</w:t>
      </w:r>
      <w:r w:rsidRPr="00457CF0">
        <w:rPr>
          <w:rFonts w:ascii="Book Antiqua" w:hAnsi="Book Antiqua"/>
          <w:b/>
          <w:bCs/>
          <w:szCs w:val="21"/>
        </w:rPr>
        <w:t xml:space="preserve"> </w:t>
      </w:r>
      <w:r w:rsidRPr="00390B47">
        <w:rPr>
          <w:rFonts w:ascii="Book Antiqua" w:hAnsi="Book Antiqua"/>
          <w:bCs/>
          <w:szCs w:val="21"/>
        </w:rPr>
        <w:t>Chen</w:t>
      </w:r>
      <w:r w:rsidRPr="00390B47">
        <w:rPr>
          <w:rFonts w:ascii="Book Antiqua" w:hAnsi="Book Antiqua" w:hint="eastAsia"/>
          <w:bCs/>
          <w:szCs w:val="21"/>
        </w:rPr>
        <w:t xml:space="preserve"> YC, </w:t>
      </w:r>
      <w:r w:rsidRPr="00390B47">
        <w:rPr>
          <w:rFonts w:ascii="Book Antiqua" w:hAnsi="Book Antiqua"/>
          <w:bCs/>
          <w:szCs w:val="21"/>
        </w:rPr>
        <w:t>Yoshida H</w:t>
      </w:r>
      <w:r>
        <w:rPr>
          <w:rFonts w:ascii="Book Antiqua" w:hAnsi="Book Antiqua" w:hint="eastAsia"/>
          <w:b/>
          <w:bCs/>
          <w:szCs w:val="21"/>
        </w:rPr>
        <w:t xml:space="preserve"> </w:t>
      </w:r>
      <w:r w:rsidRPr="00457CF0">
        <w:rPr>
          <w:rFonts w:ascii="Book Antiqua" w:hAnsi="Book Antiqua"/>
          <w:b/>
          <w:bCs/>
          <w:szCs w:val="21"/>
        </w:rPr>
        <w:t>S-Editor</w:t>
      </w:r>
      <w:r w:rsidRPr="00457CF0">
        <w:rPr>
          <w:rFonts w:ascii="Book Antiqua" w:hAnsi="Book Antiqua" w:hint="eastAsia"/>
          <w:b/>
          <w:bCs/>
          <w:szCs w:val="21"/>
        </w:rPr>
        <w:t>:</w:t>
      </w:r>
      <w:r w:rsidRPr="00457CF0">
        <w:rPr>
          <w:rFonts w:ascii="Book Antiqua" w:hAnsi="Book Antiqua"/>
          <w:szCs w:val="21"/>
        </w:rPr>
        <w:t xml:space="preserve"> </w:t>
      </w:r>
      <w:r>
        <w:rPr>
          <w:rFonts w:ascii="Book Antiqua" w:hAnsi="Book Antiqua" w:hint="eastAsia"/>
          <w:szCs w:val="21"/>
        </w:rPr>
        <w:t>Ma YJ</w:t>
      </w:r>
      <w:r w:rsidRPr="00457CF0">
        <w:rPr>
          <w:rFonts w:ascii="Book Antiqua" w:hAnsi="Book Antiqua"/>
          <w:szCs w:val="21"/>
        </w:rPr>
        <w:t xml:space="preserve"> </w:t>
      </w:r>
      <w:r w:rsidRPr="00457CF0">
        <w:rPr>
          <w:rFonts w:ascii="Book Antiqua" w:hAnsi="Book Antiqua"/>
          <w:b/>
          <w:bCs/>
          <w:szCs w:val="21"/>
        </w:rPr>
        <w:t>L-Editor</w:t>
      </w:r>
      <w:r w:rsidRPr="00457CF0">
        <w:rPr>
          <w:rFonts w:ascii="Book Antiqua" w:hAnsi="Book Antiqua" w:hint="eastAsia"/>
          <w:b/>
          <w:bCs/>
          <w:szCs w:val="21"/>
        </w:rPr>
        <w:t>:</w:t>
      </w:r>
      <w:r w:rsidRPr="00457CF0">
        <w:rPr>
          <w:rFonts w:ascii="Book Antiqua" w:hAnsi="Book Antiqua"/>
          <w:szCs w:val="21"/>
        </w:rPr>
        <w:t xml:space="preserve">  </w:t>
      </w:r>
      <w:r w:rsidRPr="00457CF0">
        <w:rPr>
          <w:rFonts w:ascii="Book Antiqua" w:hAnsi="Book Antiqua"/>
          <w:b/>
          <w:bCs/>
          <w:szCs w:val="21"/>
        </w:rPr>
        <w:t>E-Editor</w:t>
      </w:r>
      <w:r w:rsidRPr="00457CF0">
        <w:rPr>
          <w:rFonts w:ascii="Book Antiqua" w:hAnsi="Book Antiqua" w:hint="eastAsia"/>
          <w:b/>
          <w:bCs/>
          <w:szCs w:val="21"/>
        </w:rPr>
        <w:t>:</w:t>
      </w:r>
    </w:p>
    <w:p w:rsidR="004322DD" w:rsidRPr="00A607D5" w:rsidRDefault="00A607D5" w:rsidP="003639A6">
      <w:pPr>
        <w:pStyle w:val="1"/>
        <w:spacing w:after="0" w:line="360" w:lineRule="auto"/>
        <w:ind w:left="0"/>
        <w:jc w:val="both"/>
        <w:rPr>
          <w:rFonts w:ascii="Book Antiqua" w:hAnsi="Book Antiqua" w:cs="Book Antiqua"/>
          <w:color w:val="000000"/>
          <w:sz w:val="24"/>
          <w:szCs w:val="24"/>
        </w:rPr>
      </w:pPr>
      <w:r w:rsidRPr="00A607D5">
        <w:rPr>
          <w:rFonts w:ascii="Book Antiqua" w:hAnsi="Book Antiqua" w:cs="Book Antiqua"/>
          <w:color w:val="000000"/>
          <w:sz w:val="24"/>
          <w:szCs w:val="24"/>
        </w:rPr>
        <w:br w:type="page"/>
      </w:r>
    </w:p>
    <w:tbl>
      <w:tblPr>
        <w:tblW w:w="8522" w:type="dxa"/>
        <w:tblLayout w:type="fixed"/>
        <w:tblLook w:val="0000" w:firstRow="0" w:lastRow="0" w:firstColumn="0" w:lastColumn="0" w:noHBand="0" w:noVBand="0"/>
      </w:tblPr>
      <w:tblGrid>
        <w:gridCol w:w="4506"/>
        <w:gridCol w:w="4016"/>
      </w:tblGrid>
      <w:tr w:rsidR="00C70BF1" w:rsidRPr="00A607D5">
        <w:tc>
          <w:tcPr>
            <w:tcW w:w="4506" w:type="dxa"/>
          </w:tcPr>
          <w:p w:rsidR="004322DD" w:rsidRPr="00A607D5" w:rsidRDefault="00A81483" w:rsidP="003639A6">
            <w:pPr>
              <w:spacing w:after="0" w:line="360" w:lineRule="auto"/>
              <w:jc w:val="center"/>
              <w:rPr>
                <w:rFonts w:ascii="Book Antiqua" w:hAnsi="Book Antiqua" w:cs="Book Antiqua"/>
                <w:color w:val="000000"/>
                <w:sz w:val="24"/>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2601595" cy="2209165"/>
                      <wp:effectExtent l="9525" t="9525" r="9525" b="9525"/>
                      <wp:wrapSquare wrapText="bothSides"/>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2209165"/>
                              </a:xfrm>
                              <a:prstGeom prst="rect">
                                <a:avLst/>
                              </a:prstGeom>
                              <a:solidFill>
                                <a:srgbClr val="FFFFFF"/>
                              </a:solidFill>
                              <a:ln w="9525">
                                <a:solidFill>
                                  <a:srgbClr val="000000"/>
                                </a:solidFill>
                                <a:miter lim="800000"/>
                                <a:headEnd/>
                                <a:tailEnd/>
                              </a:ln>
                            </wps:spPr>
                            <wps:txbx>
                              <w:txbxContent>
                                <w:p w:rsidR="00390B47" w:rsidRPr="00A607D5" w:rsidRDefault="00A81483" w:rsidP="004E0436">
                                  <w:pPr>
                                    <w:spacing w:line="480" w:lineRule="auto"/>
                                    <w:jc w:val="center"/>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409190" cy="1844675"/>
                                        <wp:effectExtent l="0" t="0" r="0" b="3175"/>
                                        <wp:docPr id="2" name="图片 1" descr="1017827352_R02052267_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17827352_R02052267_4_10"/>
                                                <pic:cNvPicPr>
                                                  <a:picLocks noChangeAspect="1" noChangeArrowheads="1"/>
                                                </pic:cNvPicPr>
                                              </pic:nvPicPr>
                                              <pic:blipFill>
                                                <a:blip r:embed="rId9">
                                                  <a:extLst>
                                                    <a:ext uri="{28A0092B-C50C-407E-A947-70E740481C1C}">
                                                      <a14:useLocalDpi xmlns:a14="http://schemas.microsoft.com/office/drawing/2010/main" val="0"/>
                                                    </a:ext>
                                                  </a:extLst>
                                                </a:blip>
                                                <a:srcRect l="4401" t="26276"/>
                                                <a:stretch>
                                                  <a:fillRect/>
                                                </a:stretch>
                                              </pic:blipFill>
                                              <pic:spPr bwMode="auto">
                                                <a:xfrm>
                                                  <a:off x="0" y="0"/>
                                                  <a:ext cx="2409190" cy="1844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0;margin-top:0;width:204.85pt;height:173.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">
                      <v:textbox style="mso-fit-shape-to-text:t">
                        <w:txbxContent>
                          <w:p w:rsidR="00390B47" w:rsidRPr="00A607D5" w:rsidRDefault="00A81483" w:rsidP="004E0436">
                            <w:pPr>
                              <w:spacing w:line="480" w:lineRule="auto"/>
                              <w:jc w:val="center"/>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409190" cy="1844675"/>
                                  <wp:effectExtent l="0" t="0" r="0" b="3175"/>
                                  <wp:docPr id="2" name="图片 1" descr="1017827352_R02052267_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17827352_R02052267_4_10"/>
                                          <pic:cNvPicPr>
                                            <a:picLocks noChangeAspect="1" noChangeArrowheads="1"/>
                                          </pic:cNvPicPr>
                                        </pic:nvPicPr>
                                        <pic:blipFill>
                                          <a:blip r:embed="rId9">
                                            <a:extLst>
                                              <a:ext uri="{28A0092B-C50C-407E-A947-70E740481C1C}">
                                                <a14:useLocalDpi xmlns:a14="http://schemas.microsoft.com/office/drawing/2010/main" val="0"/>
                                              </a:ext>
                                            </a:extLst>
                                          </a:blip>
                                          <a:srcRect l="4401" t="26276"/>
                                          <a:stretch>
                                            <a:fillRect/>
                                          </a:stretch>
                                        </pic:blipFill>
                                        <pic:spPr bwMode="auto">
                                          <a:xfrm>
                                            <a:off x="0" y="0"/>
                                            <a:ext cx="2409190" cy="1844675"/>
                                          </a:xfrm>
                                          <a:prstGeom prst="rect">
                                            <a:avLst/>
                                          </a:prstGeom>
                                          <a:noFill/>
                                          <a:ln>
                                            <a:noFill/>
                                          </a:ln>
                                        </pic:spPr>
                                      </pic:pic>
                                    </a:graphicData>
                                  </a:graphic>
                                </wp:inline>
                              </w:drawing>
                            </w:r>
                          </w:p>
                        </w:txbxContent>
                      </v:textbox>
                      <w10:wrap type="square"/>
                    </v:shape>
                  </w:pict>
                </mc:Fallback>
              </mc:AlternateContent>
            </w:r>
            <w:r w:rsidR="00390B47" w:rsidRPr="00A607D5">
              <w:rPr>
                <w:rFonts w:ascii="Book Antiqua" w:hAnsi="Book Antiqua" w:cs="Book Antiqua" w:hint="eastAsia"/>
                <w:color w:val="000000"/>
                <w:sz w:val="24"/>
                <w:szCs w:val="24"/>
              </w:rPr>
              <w:t>A</w:t>
            </w:r>
          </w:p>
        </w:tc>
        <w:tc>
          <w:tcPr>
            <w:tcW w:w="4016" w:type="dxa"/>
          </w:tcPr>
          <w:p w:rsidR="004322DD" w:rsidRPr="00A607D5" w:rsidRDefault="00A81483" w:rsidP="003639A6">
            <w:pPr>
              <w:spacing w:after="0" w:line="360" w:lineRule="auto"/>
              <w:jc w:val="center"/>
              <w:rPr>
                <w:rFonts w:ascii="Book Antiqua" w:hAnsi="Book Antiqua" w:cs="Book Antiqua"/>
                <w:color w:val="000000"/>
                <w:sz w:val="24"/>
                <w:szCs w:val="24"/>
              </w:rP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2422525" cy="2209165"/>
                      <wp:effectExtent l="9525" t="9525" r="9525" b="9525"/>
                      <wp:wrapSquare wrapText="bothSides"/>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209165"/>
                              </a:xfrm>
                              <a:prstGeom prst="rect">
                                <a:avLst/>
                              </a:prstGeom>
                              <a:solidFill>
                                <a:srgbClr val="FFFFFF"/>
                              </a:solidFill>
                              <a:ln w="9525">
                                <a:solidFill>
                                  <a:srgbClr val="000000"/>
                                </a:solidFill>
                                <a:miter lim="800000"/>
                                <a:headEnd/>
                                <a:tailEnd/>
                              </a:ln>
                            </wps:spPr>
                            <wps:txbx>
                              <w:txbxContent>
                                <w:p w:rsidR="00390B47" w:rsidRPr="00A607D5" w:rsidRDefault="00A81483" w:rsidP="00044421">
                                  <w:pPr>
                                    <w:spacing w:line="480" w:lineRule="auto"/>
                                    <w:jc w:val="center"/>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417445" cy="1844675"/>
                                        <wp:effectExtent l="0" t="0" r="1905" b="3175"/>
                                        <wp:docPr id="4" name="图片 2" descr="1_6_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1_6_10"/>
                                                <pic:cNvPicPr preferRelativeResize="0">
                                                  <a:picLocks noChangeArrowheads="1"/>
                                                </pic:cNvPicPr>
                                              </pic:nvPicPr>
                                              <pic:blipFill>
                                                <a:blip r:embed="rId10">
                                                  <a:extLst>
                                                    <a:ext uri="{28A0092B-C50C-407E-A947-70E740481C1C}">
                                                      <a14:useLocalDpi xmlns:a14="http://schemas.microsoft.com/office/drawing/2010/main" val="0"/>
                                                    </a:ext>
                                                  </a:extLst>
                                                </a:blip>
                                                <a:srcRect l="4013" t="26405"/>
                                                <a:stretch>
                                                  <a:fillRect/>
                                                </a:stretch>
                                              </pic:blipFill>
                                              <pic:spPr bwMode="auto">
                                                <a:xfrm>
                                                  <a:off x="0" y="0"/>
                                                  <a:ext cx="2417445" cy="1844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0;margin-top:0;width:190.75pt;height:173.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">
                      <v:textbox style="mso-fit-shape-to-text:t">
                        <w:txbxContent>
                          <w:p w:rsidR="00390B47" w:rsidRPr="00A607D5" w:rsidRDefault="00A81483" w:rsidP="00044421">
                            <w:pPr>
                              <w:spacing w:line="480" w:lineRule="auto"/>
                              <w:jc w:val="center"/>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417445" cy="1844675"/>
                                  <wp:effectExtent l="0" t="0" r="1905" b="3175"/>
                                  <wp:docPr id="4" name="图片 2" descr="1_6_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1_6_10"/>
                                          <pic:cNvPicPr preferRelativeResize="0">
                                            <a:picLocks noChangeArrowheads="1"/>
                                          </pic:cNvPicPr>
                                        </pic:nvPicPr>
                                        <pic:blipFill>
                                          <a:blip r:embed="rId10">
                                            <a:extLst>
                                              <a:ext uri="{28A0092B-C50C-407E-A947-70E740481C1C}">
                                                <a14:useLocalDpi xmlns:a14="http://schemas.microsoft.com/office/drawing/2010/main" val="0"/>
                                              </a:ext>
                                            </a:extLst>
                                          </a:blip>
                                          <a:srcRect l="4013" t="26405"/>
                                          <a:stretch>
                                            <a:fillRect/>
                                          </a:stretch>
                                        </pic:blipFill>
                                        <pic:spPr bwMode="auto">
                                          <a:xfrm>
                                            <a:off x="0" y="0"/>
                                            <a:ext cx="2417445" cy="1844675"/>
                                          </a:xfrm>
                                          <a:prstGeom prst="rect">
                                            <a:avLst/>
                                          </a:prstGeom>
                                          <a:noFill/>
                                          <a:ln>
                                            <a:noFill/>
                                          </a:ln>
                                        </pic:spPr>
                                      </pic:pic>
                                    </a:graphicData>
                                  </a:graphic>
                                </wp:inline>
                              </w:drawing>
                            </w:r>
                          </w:p>
                        </w:txbxContent>
                      </v:textbox>
                      <w10:wrap type="square"/>
                    </v:shape>
                  </w:pict>
                </mc:Fallback>
              </mc:AlternateContent>
            </w:r>
            <w:r w:rsidR="00390B47" w:rsidRPr="00A607D5">
              <w:rPr>
                <w:rFonts w:ascii="Book Antiqua" w:hAnsi="Book Antiqua" w:cs="Book Antiqua" w:hint="eastAsia"/>
                <w:color w:val="000000"/>
                <w:sz w:val="24"/>
                <w:szCs w:val="24"/>
              </w:rPr>
              <w:t>B</w:t>
            </w:r>
          </w:p>
        </w:tc>
      </w:tr>
      <w:tr w:rsidR="00C70BF1" w:rsidRPr="00A607D5">
        <w:tc>
          <w:tcPr>
            <w:tcW w:w="4506" w:type="dxa"/>
          </w:tcPr>
          <w:p w:rsidR="004322DD" w:rsidRPr="00A607D5" w:rsidRDefault="00A81483" w:rsidP="003639A6">
            <w:pPr>
              <w:spacing w:after="0" w:line="360" w:lineRule="auto"/>
              <w:jc w:val="center"/>
              <w:rPr>
                <w:rFonts w:ascii="Book Antiqua" w:hAnsi="Book Antiqua" w:cs="Book Antiqua"/>
                <w:color w:val="000000"/>
                <w:sz w:val="24"/>
                <w:szCs w:val="24"/>
              </w:rPr>
            </w:pPr>
            <w:r>
              <w:rPr>
                <w:rFonts w:ascii="Book Antiqua" w:hAnsi="Book Antiqua" w:cs="Book Antiqua"/>
                <w:noProof/>
                <w:color w:val="000000"/>
                <w:sz w:val="24"/>
                <w:szCs w:val="24"/>
              </w:rPr>
              <mc:AlternateContent>
                <mc:Choice Requires="wps">
                  <w:drawing>
                    <wp:anchor distT="0" distB="0" distL="114300" distR="114300" simplePos="0" relativeHeight="251651584" behindDoc="0" locked="0" layoutInCell="1" allowOverlap="1">
                      <wp:simplePos x="0" y="0"/>
                      <wp:positionH relativeFrom="column">
                        <wp:posOffset>715010</wp:posOffset>
                      </wp:positionH>
                      <wp:positionV relativeFrom="paragraph">
                        <wp:posOffset>790575</wp:posOffset>
                      </wp:positionV>
                      <wp:extent cx="180975" cy="84455"/>
                      <wp:effectExtent l="10160" t="19050" r="8890" b="10795"/>
                      <wp:wrapNone/>
                      <wp:docPr id="22" name="右箭头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0975" cy="84455"/>
                              </a:xfrm>
                              <a:prstGeom prst="rightArrow">
                                <a:avLst>
                                  <a:gd name="adj1" fmla="val 0"/>
                                  <a:gd name="adj2" fmla="val 214286"/>
                                </a:avLst>
                              </a:prstGeom>
                              <a:solidFill>
                                <a:srgbClr val="000000"/>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039" o:spid="_x0000_s1026" type="#_x0000_t13" style="position:absolute;margin-left:56.3pt;margin-top:62.25pt;width:14.25pt;height:6.6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" adj="0,10800" fillcolor="black">
                      <v:stroke miterlimit="2"/>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2601595" cy="2209165"/>
                      <wp:effectExtent l="9525" t="9525" r="9525" b="9525"/>
                      <wp:wrapSquare wrapText="bothSides"/>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2209165"/>
                              </a:xfrm>
                              <a:prstGeom prst="rect">
                                <a:avLst/>
                              </a:prstGeom>
                              <a:solidFill>
                                <a:srgbClr val="FFFFFF"/>
                              </a:solidFill>
                              <a:ln w="9525">
                                <a:solidFill>
                                  <a:srgbClr val="000000"/>
                                </a:solidFill>
                                <a:miter lim="800000"/>
                                <a:headEnd/>
                                <a:tailEnd/>
                              </a:ln>
                            </wps:spPr>
                            <wps:txbx>
                              <w:txbxContent>
                                <w:p w:rsidR="00390B47" w:rsidRPr="00A607D5" w:rsidRDefault="00A81483" w:rsidP="00D82105">
                                  <w:pPr>
                                    <w:spacing w:line="480" w:lineRule="auto"/>
                                    <w:jc w:val="center"/>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409190" cy="1837055"/>
                                        <wp:effectExtent l="0" t="0" r="0" b="0"/>
                                        <wp:docPr id="6" name="图片 3" descr="动脉"/>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动脉"/>
                                                <pic:cNvPicPr preferRelativeResize="0">
                                                  <a:picLocks noChangeArrowheads="1"/>
                                                </pic:cNvPicPr>
                                              </pic:nvPicPr>
                                              <pic:blipFill>
                                                <a:blip r:embed="rId11">
                                                  <a:extLst>
                                                    <a:ext uri="{28A0092B-C50C-407E-A947-70E740481C1C}">
                                                      <a14:useLocalDpi xmlns:a14="http://schemas.microsoft.com/office/drawing/2010/main" val="0"/>
                                                    </a:ext>
                                                  </a:extLst>
                                                </a:blip>
                                                <a:srcRect l="5048" t="25435"/>
                                                <a:stretch>
                                                  <a:fillRect/>
                                                </a:stretch>
                                              </pic:blipFill>
                                              <pic:spPr bwMode="auto">
                                                <a:xfrm>
                                                  <a:off x="0" y="0"/>
                                                  <a:ext cx="2409190" cy="183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0;margin-top:0;width:204.85pt;height:173.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">
                      <v:textbox style="mso-fit-shape-to-text:t">
                        <w:txbxContent>
                          <w:p w:rsidR="00390B47" w:rsidRPr="00A607D5" w:rsidRDefault="00A81483" w:rsidP="00D82105">
                            <w:pPr>
                              <w:spacing w:line="480" w:lineRule="auto"/>
                              <w:jc w:val="center"/>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409190" cy="1837055"/>
                                  <wp:effectExtent l="0" t="0" r="0" b="0"/>
                                  <wp:docPr id="6" name="图片 3" descr="动脉"/>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动脉"/>
                                          <pic:cNvPicPr preferRelativeResize="0">
                                            <a:picLocks noChangeArrowheads="1"/>
                                          </pic:cNvPicPr>
                                        </pic:nvPicPr>
                                        <pic:blipFill>
                                          <a:blip r:embed="rId11">
                                            <a:extLst>
                                              <a:ext uri="{28A0092B-C50C-407E-A947-70E740481C1C}">
                                                <a14:useLocalDpi xmlns:a14="http://schemas.microsoft.com/office/drawing/2010/main" val="0"/>
                                              </a:ext>
                                            </a:extLst>
                                          </a:blip>
                                          <a:srcRect l="5048" t="25435"/>
                                          <a:stretch>
                                            <a:fillRect/>
                                          </a:stretch>
                                        </pic:blipFill>
                                        <pic:spPr bwMode="auto">
                                          <a:xfrm>
                                            <a:off x="0" y="0"/>
                                            <a:ext cx="2409190" cy="1837055"/>
                                          </a:xfrm>
                                          <a:prstGeom prst="rect">
                                            <a:avLst/>
                                          </a:prstGeom>
                                          <a:noFill/>
                                          <a:ln>
                                            <a:noFill/>
                                          </a:ln>
                                        </pic:spPr>
                                      </pic:pic>
                                    </a:graphicData>
                                  </a:graphic>
                                </wp:inline>
                              </w:drawing>
                            </w:r>
                          </w:p>
                        </w:txbxContent>
                      </v:textbox>
                      <w10:wrap type="square"/>
                    </v:shape>
                  </w:pict>
                </mc:Fallback>
              </mc:AlternateContent>
            </w:r>
            <w:r w:rsidR="00390B47" w:rsidRPr="00A607D5">
              <w:rPr>
                <w:rFonts w:ascii="Book Antiqua" w:hAnsi="Book Antiqua" w:cs="Book Antiqua" w:hint="eastAsia"/>
                <w:color w:val="000000"/>
                <w:sz w:val="24"/>
                <w:szCs w:val="24"/>
              </w:rPr>
              <w:t>C</w:t>
            </w:r>
          </w:p>
        </w:tc>
        <w:tc>
          <w:tcPr>
            <w:tcW w:w="4016" w:type="dxa"/>
          </w:tcPr>
          <w:p w:rsidR="004322DD" w:rsidRPr="00A607D5" w:rsidRDefault="00A81483" w:rsidP="003639A6">
            <w:pPr>
              <w:spacing w:after="0" w:line="360" w:lineRule="auto"/>
              <w:jc w:val="center"/>
              <w:rPr>
                <w:rFonts w:ascii="Book Antiqua" w:hAnsi="Book Antiqua" w:cs="Book Antiqua"/>
                <w:color w:val="000000"/>
                <w:sz w:val="24"/>
                <w:szCs w:val="24"/>
              </w:rPr>
            </w:pPr>
            <w:r>
              <w:rPr>
                <w:rFonts w:ascii="Book Antiqua" w:hAnsi="Book Antiqua" w:cs="Book Antiqua"/>
                <w:noProof/>
                <w:color w:val="000000"/>
                <w:sz w:val="24"/>
                <w:szCs w:val="24"/>
              </w:rPr>
              <mc:AlternateContent>
                <mc:Choice Requires="wps">
                  <w:drawing>
                    <wp:anchor distT="0" distB="0" distL="114300" distR="114300" simplePos="0" relativeHeight="251652608" behindDoc="0" locked="0" layoutInCell="1" allowOverlap="1">
                      <wp:simplePos x="0" y="0"/>
                      <wp:positionH relativeFrom="column">
                        <wp:posOffset>476885</wp:posOffset>
                      </wp:positionH>
                      <wp:positionV relativeFrom="paragraph">
                        <wp:posOffset>819150</wp:posOffset>
                      </wp:positionV>
                      <wp:extent cx="180975" cy="84455"/>
                      <wp:effectExtent l="10160" t="19050" r="8890" b="10795"/>
                      <wp:wrapNone/>
                      <wp:docPr id="20" name="右箭头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0975" cy="84455"/>
                              </a:xfrm>
                              <a:prstGeom prst="rightArrow">
                                <a:avLst>
                                  <a:gd name="adj1" fmla="val 0"/>
                                  <a:gd name="adj2" fmla="val 214286"/>
                                </a:avLst>
                              </a:prstGeom>
                              <a:solidFill>
                                <a:srgbClr val="000000"/>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1041" o:spid="_x0000_s1026" type="#_x0000_t13" style="position:absolute;margin-left:37.55pt;margin-top:64.5pt;width:14.25pt;height:6.6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" adj="0,10800" fillcolor="black">
                      <v:stroke miterlimit="2"/>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2422525" cy="2209165"/>
                      <wp:effectExtent l="9525" t="9525" r="9525" b="9525"/>
                      <wp:wrapSquare wrapText="bothSides"/>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209165"/>
                              </a:xfrm>
                              <a:prstGeom prst="rect">
                                <a:avLst/>
                              </a:prstGeom>
                              <a:solidFill>
                                <a:srgbClr val="FFFFFF"/>
                              </a:solidFill>
                              <a:ln w="9525">
                                <a:solidFill>
                                  <a:srgbClr val="000000"/>
                                </a:solidFill>
                                <a:miter lim="800000"/>
                                <a:headEnd/>
                                <a:tailEnd/>
                              </a:ln>
                            </wps:spPr>
                            <wps:txbx>
                              <w:txbxContent>
                                <w:p w:rsidR="00390B47" w:rsidRPr="00A607D5" w:rsidRDefault="00A81483" w:rsidP="00631BC2">
                                  <w:pPr>
                                    <w:jc w:val="center"/>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409190" cy="1837055"/>
                                        <wp:effectExtent l="0" t="0" r="0" b="0"/>
                                        <wp:docPr id="8" name="图片 8" descr="2_6_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2_6_16"/>
                                                <pic:cNvPicPr preferRelativeResize="0">
                                                  <a:picLocks noChangeArrowheads="1"/>
                                                </pic:cNvPicPr>
                                              </pic:nvPicPr>
                                              <pic:blipFill>
                                                <a:blip r:embed="rId12">
                                                  <a:extLst>
                                                    <a:ext uri="{28A0092B-C50C-407E-A947-70E740481C1C}">
                                                      <a14:useLocalDpi xmlns:a14="http://schemas.microsoft.com/office/drawing/2010/main" val="0"/>
                                                    </a:ext>
                                                  </a:extLst>
                                                </a:blip>
                                                <a:srcRect l="5113" t="25435"/>
                                                <a:stretch>
                                                  <a:fillRect/>
                                                </a:stretch>
                                              </pic:blipFill>
                                              <pic:spPr bwMode="auto">
                                                <a:xfrm>
                                                  <a:off x="0" y="0"/>
                                                  <a:ext cx="2409190" cy="183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0;margin-top:0;width:190.75pt;height:173.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">
                      <v:textbox style="mso-fit-shape-to-text:t">
                        <w:txbxContent>
                          <w:p w:rsidR="00390B47" w:rsidRPr="00A607D5" w:rsidRDefault="00A81483" w:rsidP="00631BC2">
                            <w:pPr>
                              <w:jc w:val="center"/>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409190" cy="1837055"/>
                                  <wp:effectExtent l="0" t="0" r="0" b="0"/>
                                  <wp:docPr id="8" name="图片 8" descr="2_6_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2_6_16"/>
                                          <pic:cNvPicPr preferRelativeResize="0">
                                            <a:picLocks noChangeArrowheads="1"/>
                                          </pic:cNvPicPr>
                                        </pic:nvPicPr>
                                        <pic:blipFill>
                                          <a:blip r:embed="rId12">
                                            <a:extLst>
                                              <a:ext uri="{28A0092B-C50C-407E-A947-70E740481C1C}">
                                                <a14:useLocalDpi xmlns:a14="http://schemas.microsoft.com/office/drawing/2010/main" val="0"/>
                                              </a:ext>
                                            </a:extLst>
                                          </a:blip>
                                          <a:srcRect l="5113" t="25435"/>
                                          <a:stretch>
                                            <a:fillRect/>
                                          </a:stretch>
                                        </pic:blipFill>
                                        <pic:spPr bwMode="auto">
                                          <a:xfrm>
                                            <a:off x="0" y="0"/>
                                            <a:ext cx="2409190" cy="1837055"/>
                                          </a:xfrm>
                                          <a:prstGeom prst="rect">
                                            <a:avLst/>
                                          </a:prstGeom>
                                          <a:noFill/>
                                          <a:ln>
                                            <a:noFill/>
                                          </a:ln>
                                        </pic:spPr>
                                      </pic:pic>
                                    </a:graphicData>
                                  </a:graphic>
                                </wp:inline>
                              </w:drawing>
                            </w:r>
                          </w:p>
                        </w:txbxContent>
                      </v:textbox>
                      <w10:wrap type="square"/>
                    </v:shape>
                  </w:pict>
                </mc:Fallback>
              </mc:AlternateContent>
            </w:r>
            <w:r w:rsidR="00390B47" w:rsidRPr="00A607D5">
              <w:rPr>
                <w:rFonts w:ascii="Book Antiqua" w:hAnsi="Book Antiqua" w:cs="Book Antiqua" w:hint="eastAsia"/>
                <w:color w:val="000000"/>
                <w:sz w:val="24"/>
                <w:szCs w:val="24"/>
              </w:rPr>
              <w:t>D</w:t>
            </w:r>
          </w:p>
        </w:tc>
      </w:tr>
    </w:tbl>
    <w:p w:rsidR="004322DD" w:rsidRPr="00A607D5" w:rsidRDefault="00390B47" w:rsidP="003639A6">
      <w:pPr>
        <w:spacing w:after="0" w:line="360" w:lineRule="auto"/>
        <w:rPr>
          <w:rFonts w:ascii="Book Antiqua" w:hAnsi="Book Antiqua" w:cs="Book Antiqua"/>
          <w:color w:val="000000"/>
          <w:sz w:val="24"/>
          <w:szCs w:val="24"/>
        </w:rPr>
      </w:pPr>
      <w:r w:rsidRPr="00A607D5">
        <w:rPr>
          <w:rFonts w:ascii="Book Antiqua" w:hAnsi="Book Antiqua" w:cs="Book Antiqua"/>
          <w:b/>
          <w:color w:val="000000"/>
          <w:sz w:val="24"/>
          <w:szCs w:val="24"/>
        </w:rPr>
        <w:t>Figure 1</w:t>
      </w:r>
      <w:r w:rsidR="00A607D5" w:rsidRPr="00A607D5">
        <w:rPr>
          <w:rFonts w:ascii="Book Antiqua" w:hAnsi="Book Antiqua" w:cs="Book Antiqua"/>
          <w:b/>
          <w:color w:val="000000"/>
          <w:sz w:val="24"/>
          <w:szCs w:val="24"/>
        </w:rPr>
        <w:t xml:space="preserve"> Upper abdominal triple-phase contrast-enhanced computed tomography. </w:t>
      </w:r>
      <w:r w:rsidR="00A607D5" w:rsidRPr="00A607D5">
        <w:rPr>
          <w:rFonts w:ascii="Book Antiqua" w:hAnsi="Book Antiqua" w:cs="Book Antiqua"/>
          <w:color w:val="000000"/>
          <w:sz w:val="24"/>
          <w:szCs w:val="24"/>
        </w:rPr>
        <w:t>A</w:t>
      </w:r>
      <w:r w:rsidRPr="00A607D5">
        <w:rPr>
          <w:rFonts w:ascii="Book Antiqua" w:hAnsi="Book Antiqua" w:cs="Book Antiqua" w:hint="eastAsia"/>
          <w:color w:val="000000"/>
          <w:sz w:val="24"/>
          <w:szCs w:val="24"/>
        </w:rPr>
        <w:t xml:space="preserve">, </w:t>
      </w:r>
      <w:r w:rsidR="00A607D5" w:rsidRPr="00A607D5">
        <w:rPr>
          <w:rFonts w:ascii="Book Antiqua" w:hAnsi="Book Antiqua" w:cs="Book Antiqua"/>
          <w:color w:val="000000"/>
          <w:sz w:val="24"/>
          <w:szCs w:val="24"/>
        </w:rPr>
        <w:t xml:space="preserve">B: Arterial phase; C: Venous phase; D: </w:t>
      </w:r>
      <w:r w:rsidR="00A607D5" w:rsidRPr="00A607D5">
        <w:rPr>
          <w:rFonts w:ascii="Book Antiqua" w:hAnsi="Book Antiqua" w:cs="Book Antiqua"/>
          <w:caps/>
          <w:color w:val="000000"/>
          <w:sz w:val="24"/>
          <w:szCs w:val="24"/>
        </w:rPr>
        <w:t>d</w:t>
      </w:r>
      <w:r w:rsidR="00A607D5" w:rsidRPr="00A607D5">
        <w:rPr>
          <w:rFonts w:ascii="Book Antiqua" w:hAnsi="Book Antiqua" w:cs="Book Antiqua"/>
          <w:color w:val="000000"/>
          <w:sz w:val="24"/>
          <w:szCs w:val="24"/>
        </w:rPr>
        <w:t xml:space="preserve">elayed phase. The black arrowheads indicate the dilated left hepatic duct, while the right hepatic duct is radiologically invisible and the bile duct wall shows a delayed enhancement. </w:t>
      </w:r>
    </w:p>
    <w:p w:rsidR="004322DD" w:rsidRPr="00A607D5" w:rsidRDefault="004322DD" w:rsidP="003639A6">
      <w:pPr>
        <w:spacing w:after="0" w:line="360" w:lineRule="auto"/>
        <w:rPr>
          <w:rFonts w:ascii="Book Antiqua" w:hAnsi="Book Antiqua" w:cs="Book Antiqua"/>
          <w:color w:val="000000"/>
          <w:sz w:val="24"/>
          <w:szCs w:val="24"/>
        </w:rPr>
      </w:pPr>
    </w:p>
    <w:p w:rsidR="004322DD" w:rsidRPr="00A607D5" w:rsidRDefault="004322DD" w:rsidP="003639A6">
      <w:pPr>
        <w:spacing w:after="0" w:line="360" w:lineRule="auto"/>
        <w:rPr>
          <w:rFonts w:ascii="Book Antiqua" w:hAnsi="Book Antiqua" w:cs="Book Antiqua"/>
          <w:color w:val="000000"/>
          <w:sz w:val="24"/>
          <w:szCs w:val="24"/>
        </w:rPr>
      </w:pPr>
    </w:p>
    <w:tbl>
      <w:tblPr>
        <w:tblW w:w="6998" w:type="dxa"/>
        <w:jc w:val="center"/>
        <w:tblLayout w:type="fixed"/>
        <w:tblLook w:val="0000" w:firstRow="0" w:lastRow="0" w:firstColumn="0" w:lastColumn="0" w:noHBand="0" w:noVBand="0"/>
      </w:tblPr>
      <w:tblGrid>
        <w:gridCol w:w="3936"/>
        <w:gridCol w:w="3062"/>
      </w:tblGrid>
      <w:tr w:rsidR="00C70BF1" w:rsidRPr="00A607D5">
        <w:trPr>
          <w:jc w:val="center"/>
        </w:trPr>
        <w:tc>
          <w:tcPr>
            <w:tcW w:w="3936" w:type="dxa"/>
          </w:tcPr>
          <w:p w:rsidR="004322DD" w:rsidRPr="00A607D5" w:rsidRDefault="00A81483" w:rsidP="003639A6">
            <w:pPr>
              <w:spacing w:after="0" w:line="360" w:lineRule="auto"/>
              <w:rPr>
                <w:rFonts w:ascii="Book Antiqua" w:hAnsi="Book Antiqua" w:cs="Book Antiqua"/>
                <w:b/>
                <w:color w:val="000000"/>
                <w:sz w:val="24"/>
                <w:szCs w:val="24"/>
              </w:rPr>
            </w:pPr>
            <w:r>
              <w:rPr>
                <w:noProof/>
              </w:rPr>
              <w:lastRenderedPageBreak/>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2371725" cy="2011045"/>
                      <wp:effectExtent l="9525" t="9525" r="9525" b="9525"/>
                      <wp:wrapSquare wrapText="bothSides"/>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011045"/>
                              </a:xfrm>
                              <a:prstGeom prst="rect">
                                <a:avLst/>
                              </a:prstGeom>
                              <a:solidFill>
                                <a:srgbClr val="FFFFFF"/>
                              </a:solidFill>
                              <a:ln w="9525">
                                <a:solidFill>
                                  <a:srgbClr val="000000"/>
                                </a:solidFill>
                                <a:miter lim="800000"/>
                                <a:headEnd/>
                                <a:tailEnd/>
                              </a:ln>
                            </wps:spPr>
                            <wps:txbx>
                              <w:txbxContent>
                                <w:p w:rsidR="00390B47" w:rsidRPr="00A607D5" w:rsidRDefault="00A81483" w:rsidP="00494266">
                                  <w:pPr>
                                    <w:spacing w:line="480" w:lineRule="auto"/>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353310" cy="1621790"/>
                                        <wp:effectExtent l="0" t="0" r="8890" b="0"/>
                                        <wp:docPr id="10" name="图片 10" descr="306017569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06017569_81"/>
                                                <pic:cNvPicPr>
                                                  <a:picLocks noChangeAspect="1" noChangeArrowheads="1"/>
                                                </pic:cNvPicPr>
                                              </pic:nvPicPr>
                                              <pic:blipFill>
                                                <a:blip r:embed="rId13">
                                                  <a:extLst>
                                                    <a:ext uri="{28A0092B-C50C-407E-A947-70E740481C1C}">
                                                      <a14:useLocalDpi xmlns:a14="http://schemas.microsoft.com/office/drawing/2010/main" val="0"/>
                                                    </a:ext>
                                                  </a:extLst>
                                                </a:blip>
                                                <a:srcRect t="24438" b="24417"/>
                                                <a:stretch>
                                                  <a:fillRect/>
                                                </a:stretch>
                                              </pic:blipFill>
                                              <pic:spPr bwMode="auto">
                                                <a:xfrm>
                                                  <a:off x="0" y="0"/>
                                                  <a:ext cx="2353310" cy="16217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0;margin-top:0;width:186.75pt;height:158.3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">
                      <v:textbox style="mso-fit-shape-to-text:t">
                        <w:txbxContent>
                          <w:p w:rsidR="00390B47" w:rsidRPr="00A607D5" w:rsidRDefault="00A81483" w:rsidP="00494266">
                            <w:pPr>
                              <w:spacing w:line="480" w:lineRule="auto"/>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353310" cy="1621790"/>
                                  <wp:effectExtent l="0" t="0" r="8890" b="0"/>
                                  <wp:docPr id="10" name="图片 10" descr="306017569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06017569_81"/>
                                          <pic:cNvPicPr>
                                            <a:picLocks noChangeAspect="1" noChangeArrowheads="1"/>
                                          </pic:cNvPicPr>
                                        </pic:nvPicPr>
                                        <pic:blipFill>
                                          <a:blip r:embed="rId13">
                                            <a:extLst>
                                              <a:ext uri="{28A0092B-C50C-407E-A947-70E740481C1C}">
                                                <a14:useLocalDpi xmlns:a14="http://schemas.microsoft.com/office/drawing/2010/main" val="0"/>
                                              </a:ext>
                                            </a:extLst>
                                          </a:blip>
                                          <a:srcRect t="24438" b="24417"/>
                                          <a:stretch>
                                            <a:fillRect/>
                                          </a:stretch>
                                        </pic:blipFill>
                                        <pic:spPr bwMode="auto">
                                          <a:xfrm>
                                            <a:off x="0" y="0"/>
                                            <a:ext cx="2353310" cy="1621790"/>
                                          </a:xfrm>
                                          <a:prstGeom prst="rect">
                                            <a:avLst/>
                                          </a:prstGeom>
                                          <a:noFill/>
                                          <a:ln>
                                            <a:noFill/>
                                          </a:ln>
                                        </pic:spPr>
                                      </pic:pic>
                                    </a:graphicData>
                                  </a:graphic>
                                </wp:inline>
                              </w:drawing>
                            </w:r>
                          </w:p>
                        </w:txbxContent>
                      </v:textbox>
                      <w10:wrap type="square"/>
                    </v:shape>
                  </w:pict>
                </mc:Fallback>
              </mc:AlternateContent>
            </w:r>
            <w:r w:rsidR="00390B47" w:rsidRPr="00A607D5">
              <w:rPr>
                <w:rFonts w:ascii="Book Antiqua" w:hAnsi="Book Antiqua" w:cs="Book Antiqua" w:hint="eastAsia"/>
                <w:b/>
                <w:color w:val="000000"/>
                <w:sz w:val="24"/>
                <w:szCs w:val="24"/>
              </w:rPr>
              <w:t xml:space="preserve">A  </w:t>
            </w:r>
          </w:p>
        </w:tc>
        <w:tc>
          <w:tcPr>
            <w:tcW w:w="3062" w:type="dxa"/>
          </w:tcPr>
          <w:p w:rsidR="004322DD" w:rsidRPr="00A607D5" w:rsidRDefault="00A81483" w:rsidP="003639A6">
            <w:pPr>
              <w:spacing w:after="0" w:line="360" w:lineRule="auto"/>
              <w:rPr>
                <w:rFonts w:ascii="Book Antiqua" w:hAnsi="Book Antiqua" w:cs="Book Antiqua"/>
                <w:b/>
                <w:color w:val="000000"/>
                <w:sz w:val="24"/>
                <w:szCs w:val="24"/>
              </w:rPr>
            </w:pPr>
            <w:r>
              <w:rPr>
                <w:rFonts w:ascii="Book Antiqua" w:hAnsi="Book Antiqua" w:cs="Book Antiqua"/>
                <w:noProof/>
                <w:color w:val="000000"/>
                <w:sz w:val="24"/>
                <w:szCs w:val="24"/>
              </w:rPr>
              <mc:AlternateContent>
                <mc:Choice Requires="wps">
                  <w:drawing>
                    <wp:anchor distT="0" distB="0" distL="114300" distR="114300" simplePos="0" relativeHeight="251654656" behindDoc="0" locked="0" layoutInCell="1" allowOverlap="1">
                      <wp:simplePos x="0" y="0"/>
                      <wp:positionH relativeFrom="column">
                        <wp:posOffset>342900</wp:posOffset>
                      </wp:positionH>
                      <wp:positionV relativeFrom="paragraph">
                        <wp:posOffset>683895</wp:posOffset>
                      </wp:positionV>
                      <wp:extent cx="180975" cy="95250"/>
                      <wp:effectExtent l="9525" t="17145" r="28575" b="11430"/>
                      <wp:wrapNone/>
                      <wp:docPr id="11" name="右箭头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95250"/>
                              </a:xfrm>
                              <a:prstGeom prst="rightArrow">
                                <a:avLst>
                                  <a:gd name="adj1" fmla="val 0"/>
                                  <a:gd name="adj2" fmla="val 190000"/>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1044" o:spid="_x0000_s1026" type="#_x0000_t13" style="position:absolute;margin-left:27pt;margin-top:53.85pt;width:14.2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" adj="0,10800">
                      <v:stroke miterlimit="2"/>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1816735" cy="2011045"/>
                      <wp:effectExtent l="9525" t="9525" r="9525" b="9525"/>
                      <wp:wrapSquare wrapText="bothSides"/>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011045"/>
                              </a:xfrm>
                              <a:prstGeom prst="rect">
                                <a:avLst/>
                              </a:prstGeom>
                              <a:solidFill>
                                <a:srgbClr val="FFFFFF"/>
                              </a:solidFill>
                              <a:ln w="9525">
                                <a:solidFill>
                                  <a:srgbClr val="000000"/>
                                </a:solidFill>
                                <a:miter lim="800000"/>
                                <a:headEnd/>
                                <a:tailEnd/>
                              </a:ln>
                            </wps:spPr>
                            <wps:txbx>
                              <w:txbxContent>
                                <w:p w:rsidR="00390B47" w:rsidRPr="00A607D5" w:rsidRDefault="00A81483" w:rsidP="007353A8">
                                  <w:pPr>
                                    <w:spacing w:line="480" w:lineRule="auto"/>
                                    <w:ind w:left="-20"/>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1884680" cy="1621790"/>
                                        <wp:effectExtent l="0" t="0" r="1270" b="0"/>
                                        <wp:docPr id="12" name="图片 12" descr="MRC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RCP4"/>
                                                <pic:cNvPicPr>
                                                  <a:picLocks noChangeAspect="1" noChangeArrowheads="1"/>
                                                </pic:cNvPicPr>
                                              </pic:nvPicPr>
                                              <pic:blipFill>
                                                <a:blip r:embed="rId14">
                                                  <a:extLst>
                                                    <a:ext uri="{28A0092B-C50C-407E-A947-70E740481C1C}">
                                                      <a14:useLocalDpi xmlns:a14="http://schemas.microsoft.com/office/drawing/2010/main" val="0"/>
                                                    </a:ext>
                                                  </a:extLst>
                                                </a:blip>
                                                <a:srcRect l="18645" t="21721" r="16270" b="27298"/>
                                                <a:stretch>
                                                  <a:fillRect/>
                                                </a:stretch>
                                              </pic:blipFill>
                                              <pic:spPr bwMode="auto">
                                                <a:xfrm>
                                                  <a:off x="0" y="0"/>
                                                  <a:ext cx="1884680" cy="16217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0;margin-top:0;width:143.05pt;height:158.3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">
                      <v:textbox style="mso-fit-shape-to-text:t">
                        <w:txbxContent>
                          <w:p w:rsidR="00390B47" w:rsidRPr="00A607D5" w:rsidRDefault="00A81483" w:rsidP="007353A8">
                            <w:pPr>
                              <w:spacing w:line="480" w:lineRule="auto"/>
                              <w:ind w:left="-20"/>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1884680" cy="1621790"/>
                                  <wp:effectExtent l="0" t="0" r="1270" b="0"/>
                                  <wp:docPr id="12" name="图片 12" descr="MRC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RCP4"/>
                                          <pic:cNvPicPr>
                                            <a:picLocks noChangeAspect="1" noChangeArrowheads="1"/>
                                          </pic:cNvPicPr>
                                        </pic:nvPicPr>
                                        <pic:blipFill>
                                          <a:blip r:embed="rId14">
                                            <a:extLst>
                                              <a:ext uri="{28A0092B-C50C-407E-A947-70E740481C1C}">
                                                <a14:useLocalDpi xmlns:a14="http://schemas.microsoft.com/office/drawing/2010/main" val="0"/>
                                              </a:ext>
                                            </a:extLst>
                                          </a:blip>
                                          <a:srcRect l="18645" t="21721" r="16270" b="27298"/>
                                          <a:stretch>
                                            <a:fillRect/>
                                          </a:stretch>
                                        </pic:blipFill>
                                        <pic:spPr bwMode="auto">
                                          <a:xfrm>
                                            <a:off x="0" y="0"/>
                                            <a:ext cx="1884680" cy="1621790"/>
                                          </a:xfrm>
                                          <a:prstGeom prst="rect">
                                            <a:avLst/>
                                          </a:prstGeom>
                                          <a:noFill/>
                                          <a:ln>
                                            <a:noFill/>
                                          </a:ln>
                                        </pic:spPr>
                                      </pic:pic>
                                    </a:graphicData>
                                  </a:graphic>
                                </wp:inline>
                              </w:drawing>
                            </w:r>
                          </w:p>
                        </w:txbxContent>
                      </v:textbox>
                      <w10:wrap type="square"/>
                    </v:shape>
                  </w:pict>
                </mc:Fallback>
              </mc:AlternateContent>
            </w:r>
            <w:r w:rsidR="00390B47" w:rsidRPr="00A607D5">
              <w:rPr>
                <w:rFonts w:ascii="Book Antiqua" w:hAnsi="Book Antiqua" w:cs="Book Antiqua" w:hint="eastAsia"/>
                <w:b/>
                <w:color w:val="000000"/>
                <w:sz w:val="24"/>
                <w:szCs w:val="24"/>
              </w:rPr>
              <w:t>B</w:t>
            </w:r>
          </w:p>
        </w:tc>
      </w:tr>
      <w:tr w:rsidR="00C70BF1" w:rsidRPr="00A607D5">
        <w:trPr>
          <w:jc w:val="center"/>
        </w:trPr>
        <w:tc>
          <w:tcPr>
            <w:tcW w:w="3936" w:type="dxa"/>
          </w:tcPr>
          <w:p w:rsidR="004322DD" w:rsidRPr="00A607D5" w:rsidRDefault="00A81483" w:rsidP="003639A6">
            <w:pPr>
              <w:spacing w:after="0" w:line="360" w:lineRule="auto"/>
              <w:rPr>
                <w:rFonts w:ascii="Book Antiqua" w:hAnsi="Book Antiqua" w:cs="Book Antiqua"/>
                <w:color w:val="000000"/>
                <w:sz w:val="24"/>
                <w:szCs w:val="24"/>
              </w:rPr>
            </w:pPr>
            <w:r>
              <w:rPr>
                <w:rFonts w:ascii="Book Antiqua" w:hAnsi="Book Antiqua" w:cs="Book Antiqua"/>
                <w:noProof/>
                <w:color w:val="000000"/>
                <w:sz w:val="24"/>
                <w:szCs w:val="24"/>
              </w:rPr>
              <mc:AlternateContent>
                <mc:Choice Requires="wps">
                  <w:drawing>
                    <wp:anchor distT="0" distB="0" distL="114300" distR="114300" simplePos="0" relativeHeight="251653632" behindDoc="0" locked="0" layoutInCell="1" allowOverlap="1">
                      <wp:simplePos x="0" y="0"/>
                      <wp:positionH relativeFrom="column">
                        <wp:posOffset>523875</wp:posOffset>
                      </wp:positionH>
                      <wp:positionV relativeFrom="paragraph">
                        <wp:posOffset>445770</wp:posOffset>
                      </wp:positionV>
                      <wp:extent cx="180975" cy="95250"/>
                      <wp:effectExtent l="9525" t="17145" r="28575" b="11430"/>
                      <wp:wrapNone/>
                      <wp:docPr id="7" name="右箭头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95250"/>
                              </a:xfrm>
                              <a:prstGeom prst="rightArrow">
                                <a:avLst>
                                  <a:gd name="adj1" fmla="val 0"/>
                                  <a:gd name="adj2" fmla="val 190000"/>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1043" o:spid="_x0000_s1026" type="#_x0000_t13" style="position:absolute;margin-left:41.25pt;margin-top:35.1pt;width:14.25pt;height: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" adj="0,10800">
                      <v:stroke miterlimit="2"/>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2371725" cy="2209165"/>
                      <wp:effectExtent l="9525" t="9525" r="9525" b="9525"/>
                      <wp:wrapSquare wrapText="bothSides"/>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209165"/>
                              </a:xfrm>
                              <a:prstGeom prst="rect">
                                <a:avLst/>
                              </a:prstGeom>
                              <a:solidFill>
                                <a:srgbClr val="FFFFFF"/>
                              </a:solidFill>
                              <a:ln w="9525">
                                <a:solidFill>
                                  <a:srgbClr val="000000"/>
                                </a:solidFill>
                                <a:miter lim="800000"/>
                                <a:headEnd/>
                                <a:tailEnd/>
                              </a:ln>
                            </wps:spPr>
                            <wps:txbx>
                              <w:txbxContent>
                                <w:p w:rsidR="00390B47" w:rsidRPr="00A607D5" w:rsidRDefault="00A81483" w:rsidP="00976B9F">
                                  <w:pPr>
                                    <w:spacing w:line="480" w:lineRule="auto"/>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353310" cy="1924050"/>
                                        <wp:effectExtent l="0" t="0" r="8890" b="0"/>
                                        <wp:docPr id="14" name="图片 14" descr="MRC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RCP2"/>
                                                <pic:cNvPicPr>
                                                  <a:picLocks noChangeAspect="1" noChangeArrowheads="1"/>
                                                </pic:cNvPicPr>
                                              </pic:nvPicPr>
                                              <pic:blipFill>
                                                <a:blip r:embed="rId15">
                                                  <a:extLst>
                                                    <a:ext uri="{28A0092B-C50C-407E-A947-70E740481C1C}">
                                                      <a14:useLocalDpi xmlns:a14="http://schemas.microsoft.com/office/drawing/2010/main" val="0"/>
                                                    </a:ext>
                                                  </a:extLst>
                                                </a:blip>
                                                <a:srcRect t="18643"/>
                                                <a:stretch>
                                                  <a:fillRect/>
                                                </a:stretch>
                                              </pic:blipFill>
                                              <pic:spPr bwMode="auto">
                                                <a:xfrm>
                                                  <a:off x="0" y="0"/>
                                                  <a:ext cx="2353310" cy="1924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0;margin-top:0;width:186.75pt;height:173.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">
                      <v:textbox style="mso-fit-shape-to-text:t">
                        <w:txbxContent>
                          <w:p w:rsidR="00390B47" w:rsidRPr="00A607D5" w:rsidRDefault="00A81483" w:rsidP="00976B9F">
                            <w:pPr>
                              <w:spacing w:line="480" w:lineRule="auto"/>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353310" cy="1924050"/>
                                  <wp:effectExtent l="0" t="0" r="8890" b="0"/>
                                  <wp:docPr id="14" name="图片 14" descr="MRC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RCP2"/>
                                          <pic:cNvPicPr>
                                            <a:picLocks noChangeAspect="1" noChangeArrowheads="1"/>
                                          </pic:cNvPicPr>
                                        </pic:nvPicPr>
                                        <pic:blipFill>
                                          <a:blip r:embed="rId15">
                                            <a:extLst>
                                              <a:ext uri="{28A0092B-C50C-407E-A947-70E740481C1C}">
                                                <a14:useLocalDpi xmlns:a14="http://schemas.microsoft.com/office/drawing/2010/main" val="0"/>
                                              </a:ext>
                                            </a:extLst>
                                          </a:blip>
                                          <a:srcRect t="18643"/>
                                          <a:stretch>
                                            <a:fillRect/>
                                          </a:stretch>
                                        </pic:blipFill>
                                        <pic:spPr bwMode="auto">
                                          <a:xfrm>
                                            <a:off x="0" y="0"/>
                                            <a:ext cx="2353310" cy="1924050"/>
                                          </a:xfrm>
                                          <a:prstGeom prst="rect">
                                            <a:avLst/>
                                          </a:prstGeom>
                                          <a:noFill/>
                                          <a:ln>
                                            <a:noFill/>
                                          </a:ln>
                                        </pic:spPr>
                                      </pic:pic>
                                    </a:graphicData>
                                  </a:graphic>
                                </wp:inline>
                              </w:drawing>
                            </w:r>
                          </w:p>
                        </w:txbxContent>
                      </v:textbox>
                      <w10:wrap type="square"/>
                    </v:shape>
                  </w:pict>
                </mc:Fallback>
              </mc:AlternateContent>
            </w:r>
            <w:r w:rsidR="00390B47" w:rsidRPr="00A607D5">
              <w:rPr>
                <w:rFonts w:ascii="Book Antiqua" w:hAnsi="Book Antiqua" w:cs="Book Antiqua" w:hint="eastAsia"/>
                <w:color w:val="000000"/>
                <w:sz w:val="24"/>
                <w:szCs w:val="24"/>
              </w:rPr>
              <w:t>C</w:t>
            </w:r>
          </w:p>
        </w:tc>
        <w:tc>
          <w:tcPr>
            <w:tcW w:w="3062" w:type="dxa"/>
          </w:tcPr>
          <w:p w:rsidR="004322DD" w:rsidRPr="00A607D5" w:rsidRDefault="00A81483" w:rsidP="003639A6">
            <w:pPr>
              <w:spacing w:after="0" w:line="360" w:lineRule="auto"/>
              <w:rPr>
                <w:rFonts w:ascii="Book Antiqua" w:hAnsi="Book Antiqua" w:cs="Book Antiqua"/>
                <w:color w:val="000000"/>
                <w:sz w:val="24"/>
                <w:szCs w:val="24"/>
              </w:rPr>
            </w:pPr>
            <w:r>
              <w:rPr>
                <w:rFonts w:ascii="Book Antiqua" w:hAnsi="Book Antiqua" w:cs="Book Antiqua"/>
                <w:noProof/>
                <w:color w:val="000000"/>
                <w:sz w:val="24"/>
                <w:szCs w:val="24"/>
              </w:rPr>
              <mc:AlternateContent>
                <mc:Choice Requires="wps">
                  <w:drawing>
                    <wp:anchor distT="0" distB="0" distL="114300" distR="114300" simplePos="0" relativeHeight="251655680" behindDoc="0" locked="0" layoutInCell="1" allowOverlap="1">
                      <wp:simplePos x="0" y="0"/>
                      <wp:positionH relativeFrom="column">
                        <wp:posOffset>448310</wp:posOffset>
                      </wp:positionH>
                      <wp:positionV relativeFrom="paragraph">
                        <wp:posOffset>827405</wp:posOffset>
                      </wp:positionV>
                      <wp:extent cx="180975" cy="76200"/>
                      <wp:effectExtent l="10160" t="17780" r="8890" b="10795"/>
                      <wp:wrapNone/>
                      <wp:docPr id="3" name="右箭头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0975" cy="76200"/>
                              </a:xfrm>
                              <a:prstGeom prst="rightArrow">
                                <a:avLst>
                                  <a:gd name="adj1" fmla="val 0"/>
                                  <a:gd name="adj2" fmla="val 237500"/>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1045" o:spid="_x0000_s1026" type="#_x0000_t13" style="position:absolute;margin-left:35.3pt;margin-top:65.15pt;width:14.25pt;height:6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" adj="0,10800">
                      <v:stroke miterlimit="2"/>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1816735" cy="2209165"/>
                      <wp:effectExtent l="9525" t="9525" r="9525" b="9525"/>
                      <wp:wrapSquare wrapText="bothSides"/>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209165"/>
                              </a:xfrm>
                              <a:prstGeom prst="rect">
                                <a:avLst/>
                              </a:prstGeom>
                              <a:solidFill>
                                <a:srgbClr val="FFFFFF"/>
                              </a:solidFill>
                              <a:ln w="9525">
                                <a:solidFill>
                                  <a:srgbClr val="000000"/>
                                </a:solidFill>
                                <a:miter lim="800000"/>
                                <a:headEnd/>
                                <a:tailEnd/>
                              </a:ln>
                            </wps:spPr>
                            <wps:txbx>
                              <w:txbxContent>
                                <w:p w:rsidR="00390B47" w:rsidRPr="00A607D5" w:rsidRDefault="00A81483" w:rsidP="00A11416">
                                  <w:pPr>
                                    <w:spacing w:line="480" w:lineRule="auto"/>
                                    <w:ind w:left="-20"/>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1892300" cy="1932305"/>
                                        <wp:effectExtent l="0" t="0" r="0" b="0"/>
                                        <wp:docPr id="16" name="图片 16" descr="ER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ERCP"/>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0" cy="19323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left:0;text-align:left;margin-left:0;margin-top:0;width:143.05pt;height:173.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">
                      <v:textbox style="mso-fit-shape-to-text:t">
                        <w:txbxContent>
                          <w:p w:rsidR="00390B47" w:rsidRPr="00A607D5" w:rsidRDefault="00A81483" w:rsidP="00A11416">
                            <w:pPr>
                              <w:spacing w:line="480" w:lineRule="auto"/>
                              <w:ind w:left="-20"/>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1892300" cy="1932305"/>
                                  <wp:effectExtent l="0" t="0" r="0" b="0"/>
                                  <wp:docPr id="16" name="图片 16" descr="ER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ERCP"/>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0" cy="1932305"/>
                                          </a:xfrm>
                                          <a:prstGeom prst="rect">
                                            <a:avLst/>
                                          </a:prstGeom>
                                          <a:noFill/>
                                          <a:ln>
                                            <a:noFill/>
                                          </a:ln>
                                        </pic:spPr>
                                      </pic:pic>
                                    </a:graphicData>
                                  </a:graphic>
                                </wp:inline>
                              </w:drawing>
                            </w:r>
                          </w:p>
                        </w:txbxContent>
                      </v:textbox>
                      <w10:wrap type="square"/>
                    </v:shape>
                  </w:pict>
                </mc:Fallback>
              </mc:AlternateContent>
            </w:r>
            <w:r w:rsidR="00390B47" w:rsidRPr="00A607D5">
              <w:rPr>
                <w:rFonts w:ascii="Book Antiqua" w:hAnsi="Book Antiqua" w:cs="Book Antiqua" w:hint="eastAsia"/>
                <w:color w:val="000000"/>
                <w:sz w:val="24"/>
                <w:szCs w:val="24"/>
              </w:rPr>
              <w:t>D</w:t>
            </w:r>
          </w:p>
        </w:tc>
      </w:tr>
    </w:tbl>
    <w:p w:rsidR="004322DD" w:rsidRPr="00A607D5" w:rsidRDefault="00390B47" w:rsidP="003639A6">
      <w:pPr>
        <w:spacing w:after="0" w:line="360" w:lineRule="auto"/>
        <w:rPr>
          <w:rFonts w:ascii="Book Antiqua" w:hAnsi="Book Antiqua" w:cs="Book Antiqua"/>
          <w:color w:val="000000"/>
          <w:sz w:val="24"/>
          <w:szCs w:val="24"/>
        </w:rPr>
      </w:pPr>
      <w:r w:rsidRPr="00A607D5">
        <w:rPr>
          <w:rFonts w:ascii="Book Antiqua" w:hAnsi="Book Antiqua" w:cs="Book Antiqua"/>
          <w:b/>
          <w:color w:val="000000"/>
          <w:sz w:val="24"/>
          <w:szCs w:val="24"/>
        </w:rPr>
        <w:t>Figure 2</w:t>
      </w:r>
      <w:r w:rsidRPr="00A607D5">
        <w:rPr>
          <w:rFonts w:ascii="Book Antiqua" w:hAnsi="Book Antiqua" w:cs="Book Antiqua" w:hint="eastAsia"/>
          <w:b/>
          <w:color w:val="000000"/>
          <w:sz w:val="24"/>
          <w:szCs w:val="24"/>
        </w:rPr>
        <w:t xml:space="preserve"> </w:t>
      </w:r>
      <w:r w:rsidR="00A607D5" w:rsidRPr="00A607D5">
        <w:rPr>
          <w:rFonts w:ascii="Book Antiqua" w:hAnsi="Book Antiqua" w:cs="Book Antiqua"/>
          <w:b/>
          <w:color w:val="000000"/>
          <w:sz w:val="24"/>
          <w:szCs w:val="24"/>
        </w:rPr>
        <w:t>Three-dimensional</w:t>
      </w:r>
      <w:r w:rsidRPr="00A607D5">
        <w:rPr>
          <w:rFonts w:ascii="Book Antiqua" w:hAnsi="Book Antiqua" w:cs="Book Antiqua" w:hint="eastAsia"/>
          <w:b/>
          <w:color w:val="000000"/>
          <w:sz w:val="24"/>
          <w:szCs w:val="24"/>
        </w:rPr>
        <w:t xml:space="preserve"> </w:t>
      </w:r>
      <w:r w:rsidR="00A607D5" w:rsidRPr="00A607D5">
        <w:rPr>
          <w:rFonts w:ascii="Book Antiqua" w:hAnsi="Book Antiqua" w:cs="Book Antiqua"/>
          <w:b/>
          <w:color w:val="000000"/>
          <w:sz w:val="24"/>
          <w:szCs w:val="24"/>
        </w:rPr>
        <w:t>reconstructed computed tomography, magnetic retrog</w:t>
      </w:r>
      <w:r w:rsidRPr="00A607D5">
        <w:rPr>
          <w:rFonts w:ascii="Book Antiqua" w:hAnsi="Book Antiqua" w:cs="Book Antiqua"/>
          <w:b/>
          <w:color w:val="000000"/>
          <w:sz w:val="24"/>
          <w:szCs w:val="24"/>
        </w:rPr>
        <w:t>rade cholangio- pancreatography</w:t>
      </w:r>
      <w:r w:rsidR="00A607D5" w:rsidRPr="00A607D5">
        <w:rPr>
          <w:rFonts w:ascii="Book Antiqua" w:hAnsi="Book Antiqua" w:cs="Book Antiqua"/>
          <w:b/>
          <w:color w:val="000000"/>
          <w:sz w:val="24"/>
          <w:szCs w:val="24"/>
        </w:rPr>
        <w:t xml:space="preserve"> and endoscopic retrograde cholangio- pancreatography</w:t>
      </w:r>
      <w:r w:rsidR="00A607D5" w:rsidRPr="00A607D5">
        <w:rPr>
          <w:rFonts w:ascii="Book Antiqua" w:hAnsi="Book Antiqua" w:cs="Book Antiqua"/>
          <w:color w:val="000000"/>
          <w:sz w:val="24"/>
          <w:szCs w:val="24"/>
        </w:rPr>
        <w:t xml:space="preserve">. A: Liver </w:t>
      </w:r>
      <w:r w:rsidRPr="00390B47">
        <w:rPr>
          <w:rFonts w:ascii="Book Antiqua" w:hAnsi="Book Antiqua" w:cs="Book Antiqua"/>
          <w:color w:val="000000"/>
          <w:sz w:val="24"/>
          <w:szCs w:val="24"/>
        </w:rPr>
        <w:t>three-dimensional (3D)</w:t>
      </w:r>
      <w:r w:rsidR="00A607D5" w:rsidRPr="00A607D5">
        <w:rPr>
          <w:rFonts w:ascii="Book Antiqua" w:hAnsi="Book Antiqua" w:cs="Book Antiqua"/>
          <w:color w:val="000000"/>
          <w:sz w:val="24"/>
          <w:szCs w:val="24"/>
        </w:rPr>
        <w:t>-</w:t>
      </w:r>
      <w:r w:rsidRPr="00390B47">
        <w:rPr>
          <w:rFonts w:ascii="Book Antiqua" w:hAnsi="Book Antiqua" w:cs="Book Antiqua"/>
          <w:color w:val="000000"/>
          <w:sz w:val="24"/>
          <w:szCs w:val="24"/>
        </w:rPr>
        <w:t>computed tomography</w:t>
      </w:r>
      <w:r w:rsidR="00A607D5" w:rsidRPr="00A607D5">
        <w:rPr>
          <w:rFonts w:ascii="Book Antiqua" w:hAnsi="Book Antiqua" w:cs="Book Antiqua"/>
          <w:color w:val="000000"/>
          <w:sz w:val="24"/>
          <w:szCs w:val="24"/>
        </w:rPr>
        <w:t xml:space="preserve"> scan; B</w:t>
      </w:r>
      <w:r w:rsidRPr="00A607D5">
        <w:rPr>
          <w:rFonts w:ascii="Book Antiqua" w:hAnsi="Book Antiqua" w:cs="Book Antiqua" w:hint="eastAsia"/>
          <w:color w:val="000000"/>
          <w:sz w:val="24"/>
          <w:szCs w:val="24"/>
        </w:rPr>
        <w:t>,</w:t>
      </w:r>
      <w:r w:rsidR="00A607D5" w:rsidRPr="00A607D5">
        <w:rPr>
          <w:rFonts w:ascii="Book Antiqua" w:hAnsi="Book Antiqua" w:cs="Book Antiqua"/>
          <w:color w:val="000000"/>
          <w:sz w:val="24"/>
          <w:szCs w:val="24"/>
        </w:rPr>
        <w:t xml:space="preserve"> C: 3D-</w:t>
      </w:r>
      <w:r w:rsidRPr="00390B47">
        <w:rPr>
          <w:rFonts w:ascii="Book Antiqua" w:hAnsi="Book Antiqua" w:cs="Book Antiqua"/>
          <w:color w:val="000000"/>
          <w:sz w:val="24"/>
          <w:szCs w:val="24"/>
        </w:rPr>
        <w:t xml:space="preserve">magnetic retrograde cholangio- pancreatography </w:t>
      </w:r>
      <w:r w:rsidR="00A607D5" w:rsidRPr="00A607D5">
        <w:rPr>
          <w:rFonts w:ascii="Book Antiqua" w:hAnsi="Book Antiqua" w:cs="Book Antiqua"/>
          <w:color w:val="000000"/>
          <w:sz w:val="24"/>
          <w:szCs w:val="24"/>
        </w:rPr>
        <w:t xml:space="preserve">scan confirms the dilation of the left hepatic duct and the narrowing of the right hepatic duct (the white arrowheads indicate a soft tissue-like mass located at the convergence of the left and right hepatic ducts); D: </w:t>
      </w:r>
      <w:r w:rsidRPr="00390B47">
        <w:rPr>
          <w:rFonts w:ascii="Book Antiqua" w:hAnsi="Book Antiqua" w:cs="Book Antiqua"/>
          <w:caps/>
          <w:color w:val="000000"/>
          <w:sz w:val="24"/>
          <w:szCs w:val="24"/>
        </w:rPr>
        <w:t>e</w:t>
      </w:r>
      <w:r w:rsidRPr="00390B47">
        <w:rPr>
          <w:rFonts w:ascii="Book Antiqua" w:hAnsi="Book Antiqua" w:cs="Book Antiqua"/>
          <w:color w:val="000000"/>
          <w:sz w:val="24"/>
          <w:szCs w:val="24"/>
        </w:rPr>
        <w:t xml:space="preserve">ndoscopic retrograde cholangio- pancreatography </w:t>
      </w:r>
      <w:r w:rsidR="00A607D5" w:rsidRPr="00A607D5">
        <w:rPr>
          <w:rFonts w:ascii="Book Antiqua" w:hAnsi="Book Antiqua" w:cs="Book Antiqua"/>
          <w:color w:val="000000"/>
          <w:sz w:val="24"/>
          <w:szCs w:val="24"/>
        </w:rPr>
        <w:t xml:space="preserve">shows no visualization of the hilar bile duct and poor visualization of the intrahepatic bile ducts (white arrows). </w:t>
      </w:r>
    </w:p>
    <w:p w:rsidR="004322DD" w:rsidRPr="00A607D5" w:rsidRDefault="004322DD" w:rsidP="003639A6">
      <w:pPr>
        <w:spacing w:after="0" w:line="360" w:lineRule="auto"/>
        <w:rPr>
          <w:rFonts w:ascii="Book Antiqua" w:hAnsi="Book Antiqua" w:cs="Book Antiqua"/>
          <w:color w:val="000000"/>
          <w:sz w:val="24"/>
          <w:szCs w:val="24"/>
        </w:rPr>
      </w:pPr>
    </w:p>
    <w:tbl>
      <w:tblPr>
        <w:tblW w:w="8522" w:type="dxa"/>
        <w:tblLayout w:type="fixed"/>
        <w:tblLook w:val="0000" w:firstRow="0" w:lastRow="0" w:firstColumn="0" w:lastColumn="0" w:noHBand="0" w:noVBand="0"/>
      </w:tblPr>
      <w:tblGrid>
        <w:gridCol w:w="4219"/>
        <w:gridCol w:w="4303"/>
      </w:tblGrid>
      <w:tr w:rsidR="00C70BF1" w:rsidRPr="00A607D5">
        <w:tc>
          <w:tcPr>
            <w:tcW w:w="8522" w:type="dxa"/>
            <w:gridSpan w:val="2"/>
          </w:tcPr>
          <w:p w:rsidR="004322DD" w:rsidRPr="00A607D5" w:rsidRDefault="00A81483" w:rsidP="003639A6">
            <w:pPr>
              <w:spacing w:after="0" w:line="360" w:lineRule="auto"/>
              <w:jc w:val="center"/>
              <w:rPr>
                <w:rFonts w:ascii="Book Antiqua" w:hAnsi="Book Antiqua" w:cs="Book Antiqua"/>
                <w:color w:val="000000"/>
                <w:sz w:val="24"/>
                <w:szCs w:val="24"/>
              </w:rPr>
            </w:pPr>
            <w:r>
              <w:rPr>
                <w:rFonts w:ascii="Book Antiqua" w:hAnsi="Book Antiqua" w:cs="Book Antiqua"/>
                <w:noProof/>
                <w:color w:val="000000"/>
                <w:sz w:val="24"/>
                <w:szCs w:val="24"/>
              </w:rPr>
              <w:lastRenderedPageBreak/>
              <w:drawing>
                <wp:inline distT="0" distB="0" distL="0" distR="0">
                  <wp:extent cx="1733550" cy="1463040"/>
                  <wp:effectExtent l="0" t="0" r="0" b="3810"/>
                  <wp:docPr id="17" name="图片 4" descr="肝门胆管癌术前介入治疗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肝门胆管癌术前介入治疗 0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1463040"/>
                          </a:xfrm>
                          <a:prstGeom prst="rect">
                            <a:avLst/>
                          </a:prstGeom>
                          <a:noFill/>
                          <a:ln>
                            <a:noFill/>
                          </a:ln>
                        </pic:spPr>
                      </pic:pic>
                    </a:graphicData>
                  </a:graphic>
                </wp:inline>
              </w:drawing>
            </w:r>
          </w:p>
          <w:p w:rsidR="003639A6" w:rsidRPr="00A607D5" w:rsidRDefault="003639A6" w:rsidP="003639A6">
            <w:pPr>
              <w:spacing w:after="0" w:line="360" w:lineRule="auto"/>
              <w:jc w:val="center"/>
              <w:rPr>
                <w:rFonts w:ascii="Book Antiqua" w:hAnsi="Book Antiqua" w:cs="Book Antiqua"/>
                <w:color w:val="000000"/>
                <w:sz w:val="24"/>
                <w:szCs w:val="24"/>
              </w:rPr>
            </w:pPr>
            <w:r w:rsidRPr="00A607D5">
              <w:rPr>
                <w:rFonts w:ascii="Book Antiqua" w:hAnsi="Book Antiqua" w:cs="Book Antiqua" w:hint="eastAsia"/>
                <w:color w:val="000000"/>
                <w:sz w:val="24"/>
                <w:szCs w:val="24"/>
              </w:rPr>
              <w:t>A</w:t>
            </w:r>
          </w:p>
        </w:tc>
      </w:tr>
      <w:tr w:rsidR="00C70BF1" w:rsidRPr="00A607D5" w:rsidTr="003639A6">
        <w:tc>
          <w:tcPr>
            <w:tcW w:w="4219" w:type="dxa"/>
          </w:tcPr>
          <w:p w:rsidR="004322DD" w:rsidRPr="00A607D5" w:rsidRDefault="00A81483" w:rsidP="003639A6">
            <w:pPr>
              <w:spacing w:after="0" w:line="360" w:lineRule="auto"/>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2027555" cy="1542415"/>
                  <wp:effectExtent l="0" t="0" r="0" b="635"/>
                  <wp:docPr id="18" name="图片框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9"/>
                          <pic:cNvPicPr preferRelativeResize="0">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a:stretch>
                            <a:fillRect/>
                          </a:stretch>
                        </pic:blipFill>
                        <pic:spPr bwMode="auto">
                          <a:xfrm>
                            <a:off x="0" y="0"/>
                            <a:ext cx="2027555" cy="1542415"/>
                          </a:xfrm>
                          <a:prstGeom prst="rect">
                            <a:avLst/>
                          </a:prstGeom>
                          <a:noFill/>
                          <a:ln>
                            <a:noFill/>
                          </a:ln>
                        </pic:spPr>
                      </pic:pic>
                    </a:graphicData>
                  </a:graphic>
                </wp:inline>
              </w:drawing>
            </w:r>
          </w:p>
          <w:p w:rsidR="003639A6" w:rsidRPr="00A607D5" w:rsidRDefault="003639A6" w:rsidP="003639A6">
            <w:pPr>
              <w:spacing w:after="0" w:line="360" w:lineRule="auto"/>
              <w:rPr>
                <w:rFonts w:ascii="Book Antiqua" w:hAnsi="Book Antiqua" w:cs="Book Antiqua"/>
                <w:b/>
                <w:color w:val="000000"/>
                <w:sz w:val="24"/>
                <w:szCs w:val="24"/>
              </w:rPr>
            </w:pPr>
            <w:r w:rsidRPr="00A607D5">
              <w:rPr>
                <w:rFonts w:ascii="Book Antiqua" w:hAnsi="Book Antiqua" w:cs="Book Antiqua" w:hint="eastAsia"/>
                <w:color w:val="000000"/>
                <w:sz w:val="24"/>
                <w:szCs w:val="24"/>
              </w:rPr>
              <w:t>B</w:t>
            </w:r>
          </w:p>
        </w:tc>
        <w:tc>
          <w:tcPr>
            <w:tcW w:w="4303" w:type="dxa"/>
          </w:tcPr>
          <w:p w:rsidR="004322DD" w:rsidRPr="00A607D5" w:rsidRDefault="00A81483" w:rsidP="003639A6">
            <w:pPr>
              <w:spacing w:after="0" w:line="360" w:lineRule="auto"/>
              <w:rPr>
                <w:rFonts w:ascii="Book Antiqua" w:hAnsi="Book Antiqua" w:cs="Book Antiqua"/>
                <w:color w:val="000000"/>
                <w:sz w:val="24"/>
                <w:szCs w:val="24"/>
              </w:rPr>
            </w:pPr>
            <w:r>
              <w:rPr>
                <w:rFonts w:ascii="Book Antiqua" w:hAnsi="Book Antiqua" w:cs="Book Antiqua"/>
                <w:noProof/>
                <w:color w:val="000000"/>
                <w:sz w:val="24"/>
                <w:szCs w:val="24"/>
              </w:rPr>
              <w:drawing>
                <wp:inline distT="0" distB="0" distL="0" distR="0">
                  <wp:extent cx="1948180" cy="1542415"/>
                  <wp:effectExtent l="0" t="0" r="0" b="635"/>
                  <wp:docPr id="19"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0"/>
                          <pic:cNvPicPr preferRelativeResize="0">
                            <a:picLocks noChangeAspect="1" noChangeArrowheads="1"/>
                          </pic:cNvPicPr>
                        </pic:nvPicPr>
                        <pic:blipFill>
                          <a:blip r:embed="rId19" cstate="print">
                            <a:lum contrast="20000"/>
                            <a:extLst>
                              <a:ext uri="{28A0092B-C50C-407E-A947-70E740481C1C}">
                                <a14:useLocalDpi xmlns:a14="http://schemas.microsoft.com/office/drawing/2010/main" val="0"/>
                              </a:ext>
                            </a:extLst>
                          </a:blip>
                          <a:srcRect/>
                          <a:stretch>
                            <a:fillRect/>
                          </a:stretch>
                        </pic:blipFill>
                        <pic:spPr bwMode="auto">
                          <a:xfrm>
                            <a:off x="0" y="0"/>
                            <a:ext cx="1948180" cy="1542415"/>
                          </a:xfrm>
                          <a:prstGeom prst="rect">
                            <a:avLst/>
                          </a:prstGeom>
                          <a:noFill/>
                          <a:ln>
                            <a:noFill/>
                          </a:ln>
                        </pic:spPr>
                      </pic:pic>
                    </a:graphicData>
                  </a:graphic>
                </wp:inline>
              </w:drawing>
            </w:r>
          </w:p>
          <w:p w:rsidR="003639A6" w:rsidRPr="00A607D5" w:rsidRDefault="003639A6" w:rsidP="003639A6">
            <w:pPr>
              <w:spacing w:after="0" w:line="360" w:lineRule="auto"/>
              <w:rPr>
                <w:rFonts w:ascii="Book Antiqua" w:hAnsi="Book Antiqua" w:cs="Book Antiqua"/>
                <w:b/>
                <w:color w:val="000000"/>
                <w:sz w:val="24"/>
                <w:szCs w:val="24"/>
              </w:rPr>
            </w:pPr>
            <w:r w:rsidRPr="00A607D5">
              <w:rPr>
                <w:rFonts w:ascii="Book Antiqua" w:hAnsi="Book Antiqua" w:cs="Book Antiqua" w:hint="eastAsia"/>
                <w:color w:val="000000"/>
                <w:sz w:val="24"/>
                <w:szCs w:val="24"/>
              </w:rPr>
              <w:t>C</w:t>
            </w:r>
          </w:p>
        </w:tc>
      </w:tr>
    </w:tbl>
    <w:p w:rsidR="004322DD" w:rsidRPr="00A607D5" w:rsidRDefault="00390B47" w:rsidP="003639A6">
      <w:pPr>
        <w:spacing w:after="0" w:line="360" w:lineRule="auto"/>
        <w:rPr>
          <w:rFonts w:ascii="Book Antiqua" w:hAnsi="Book Antiqua" w:cs="Book Antiqua"/>
          <w:color w:val="000000"/>
          <w:sz w:val="24"/>
          <w:szCs w:val="24"/>
        </w:rPr>
      </w:pPr>
      <w:r w:rsidRPr="00A607D5">
        <w:rPr>
          <w:rFonts w:ascii="Book Antiqua" w:hAnsi="Book Antiqua" w:cs="Book Antiqua"/>
          <w:b/>
          <w:color w:val="000000"/>
          <w:sz w:val="24"/>
          <w:szCs w:val="24"/>
        </w:rPr>
        <w:t>Figure 3</w:t>
      </w:r>
      <w:r w:rsidRPr="00A607D5">
        <w:rPr>
          <w:rFonts w:ascii="Book Antiqua" w:hAnsi="Book Antiqua" w:cs="Book Antiqua" w:hint="eastAsia"/>
          <w:b/>
          <w:color w:val="000000"/>
          <w:sz w:val="24"/>
          <w:szCs w:val="24"/>
        </w:rPr>
        <w:t xml:space="preserve"> </w:t>
      </w:r>
      <w:r w:rsidR="00A607D5" w:rsidRPr="00A607D5">
        <w:rPr>
          <w:rFonts w:ascii="Book Antiqua" w:hAnsi="Book Antiqua" w:cs="Book Antiqua"/>
          <w:b/>
          <w:color w:val="000000"/>
          <w:sz w:val="24"/>
          <w:szCs w:val="24"/>
        </w:rPr>
        <w:t xml:space="preserve">Operative exploration finding and histology. </w:t>
      </w:r>
      <w:r w:rsidR="00A607D5" w:rsidRPr="00A607D5">
        <w:rPr>
          <w:rFonts w:ascii="Book Antiqua" w:hAnsi="Book Antiqua" w:cs="Book Antiqua"/>
          <w:color w:val="000000"/>
          <w:sz w:val="24"/>
          <w:szCs w:val="24"/>
        </w:rPr>
        <w:t xml:space="preserve">A: </w:t>
      </w:r>
      <w:r w:rsidR="009163A7" w:rsidRPr="00A607D5">
        <w:rPr>
          <w:rFonts w:ascii="Book Antiqua" w:hAnsi="Book Antiqua" w:cs="Book Antiqua" w:hint="eastAsia"/>
          <w:color w:val="000000"/>
          <w:sz w:val="24"/>
          <w:szCs w:val="24"/>
        </w:rPr>
        <w:t>S</w:t>
      </w:r>
      <w:r w:rsidR="00A607D5" w:rsidRPr="00A607D5">
        <w:rPr>
          <w:rFonts w:ascii="Book Antiqua" w:hAnsi="Book Antiqua" w:cs="Book Antiqua"/>
          <w:color w:val="000000"/>
          <w:sz w:val="24"/>
          <w:szCs w:val="24"/>
        </w:rPr>
        <w:t xml:space="preserve">clerotic </w:t>
      </w:r>
      <w:r w:rsidRPr="00390B47">
        <w:rPr>
          <w:rFonts w:ascii="Book Antiqua" w:hAnsi="Book Antiqua" w:cs="Book Antiqua"/>
          <w:color w:val="000000"/>
          <w:sz w:val="24"/>
          <w:szCs w:val="24"/>
        </w:rPr>
        <w:t xml:space="preserve">liver cavernous hemangioma </w:t>
      </w:r>
      <w:r w:rsidR="00A607D5" w:rsidRPr="00A607D5">
        <w:rPr>
          <w:rFonts w:ascii="Book Antiqua" w:hAnsi="Book Antiqua" w:cs="Book Antiqua"/>
          <w:color w:val="000000"/>
          <w:sz w:val="24"/>
          <w:szCs w:val="24"/>
        </w:rPr>
        <w:t xml:space="preserve">was located in the atrophic right lobe but the left lobe was remarkably hyperplastic with the displacement of the hilus towards the right side; B: </w:t>
      </w:r>
      <w:r w:rsidR="00A607D5" w:rsidRPr="00A607D5">
        <w:rPr>
          <w:rFonts w:ascii="Book Antiqua" w:hAnsi="Book Antiqua" w:cs="Book Antiqua"/>
          <w:caps/>
          <w:color w:val="000000"/>
          <w:sz w:val="24"/>
          <w:szCs w:val="24"/>
        </w:rPr>
        <w:t>h</w:t>
      </w:r>
      <w:r w:rsidR="003639A6" w:rsidRPr="00A607D5">
        <w:rPr>
          <w:rFonts w:ascii="Book Antiqua" w:hAnsi="Book Antiqua" w:cs="Book Antiqua"/>
          <w:color w:val="000000"/>
          <w:sz w:val="24"/>
          <w:szCs w:val="24"/>
        </w:rPr>
        <w:t>istological staining showed a</w:t>
      </w:r>
      <w:r w:rsidR="003639A6" w:rsidRPr="00A607D5">
        <w:rPr>
          <w:rFonts w:ascii="Book Antiqua" w:hAnsi="Book Antiqua" w:cs="Book Antiqua" w:hint="eastAsia"/>
          <w:color w:val="000000"/>
          <w:sz w:val="24"/>
          <w:szCs w:val="24"/>
        </w:rPr>
        <w:t xml:space="preserve"> </w:t>
      </w:r>
      <w:r w:rsidR="00A607D5" w:rsidRPr="00A607D5">
        <w:rPr>
          <w:rFonts w:ascii="Book Antiqua" w:hAnsi="Book Antiqua" w:cs="Book Antiqua"/>
          <w:color w:val="000000"/>
          <w:sz w:val="24"/>
          <w:szCs w:val="24"/>
        </w:rPr>
        <w:t>pathology of liver cavernous hemangioma [hematoxylin-eosin (HE, ×</w:t>
      </w:r>
      <w:r w:rsidRPr="00A607D5">
        <w:rPr>
          <w:rFonts w:ascii="Book Antiqua" w:hAnsi="Book Antiqua" w:cs="Book Antiqua" w:hint="eastAsia"/>
          <w:color w:val="000000"/>
          <w:sz w:val="24"/>
          <w:szCs w:val="24"/>
        </w:rPr>
        <w:t xml:space="preserve"> </w:t>
      </w:r>
      <w:r w:rsidR="00A607D5" w:rsidRPr="00A607D5">
        <w:rPr>
          <w:rFonts w:ascii="Book Antiqua" w:hAnsi="Book Antiqua" w:cs="Book Antiqua"/>
          <w:color w:val="000000"/>
          <w:sz w:val="24"/>
          <w:szCs w:val="24"/>
        </w:rPr>
        <w:t xml:space="preserve">200]; C: </w:t>
      </w:r>
      <w:r w:rsidRPr="00390B47">
        <w:rPr>
          <w:rFonts w:ascii="Book Antiqua" w:hAnsi="Book Antiqua" w:cs="Book Antiqua"/>
          <w:color w:val="000000"/>
          <w:sz w:val="24"/>
          <w:szCs w:val="24"/>
        </w:rPr>
        <w:t xml:space="preserve">Sclerosing cholangitis </w:t>
      </w:r>
      <w:r w:rsidR="00A607D5" w:rsidRPr="00A607D5">
        <w:rPr>
          <w:rFonts w:ascii="Book Antiqua" w:hAnsi="Book Antiqua" w:cs="Book Antiqua"/>
          <w:color w:val="000000"/>
          <w:sz w:val="24"/>
          <w:szCs w:val="24"/>
        </w:rPr>
        <w:t>with complicating chronic pyogenic inflammation (HE, ×</w:t>
      </w:r>
      <w:r w:rsidRPr="00A607D5">
        <w:rPr>
          <w:rFonts w:ascii="Book Antiqua" w:hAnsi="Book Antiqua" w:cs="Book Antiqua" w:hint="eastAsia"/>
          <w:color w:val="000000"/>
          <w:sz w:val="24"/>
          <w:szCs w:val="24"/>
        </w:rPr>
        <w:t xml:space="preserve"> </w:t>
      </w:r>
      <w:r w:rsidR="00A607D5" w:rsidRPr="00A607D5">
        <w:rPr>
          <w:rFonts w:ascii="Book Antiqua" w:hAnsi="Book Antiqua" w:cs="Book Antiqua"/>
          <w:color w:val="000000"/>
          <w:sz w:val="24"/>
          <w:szCs w:val="24"/>
        </w:rPr>
        <w:t xml:space="preserve">200). </w:t>
      </w:r>
    </w:p>
    <w:sectPr w:rsidR="004322DD" w:rsidRPr="00A607D5">
      <w:footerReference w:type="default" r:id="rId2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A50" w:rsidRDefault="00673A50">
      <w:pPr>
        <w:spacing w:after="0" w:line="240" w:lineRule="auto"/>
      </w:pPr>
      <w:r>
        <w:separator/>
      </w:r>
    </w:p>
  </w:endnote>
  <w:endnote w:type="continuationSeparator" w:id="0">
    <w:p w:rsidR="00673A50" w:rsidRDefault="0067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DD" w:rsidRDefault="00A607D5">
    <w:pPr>
      <w:pStyle w:val="a6"/>
      <w:tabs>
        <w:tab w:val="clear" w:pos="4252"/>
        <w:tab w:val="clear" w:pos="8504"/>
        <w:tab w:val="center" w:pos="4153"/>
        <w:tab w:val="right" w:pos="8306"/>
      </w:tabs>
      <w:jc w:val="center"/>
    </w:pPr>
    <w:r>
      <w:rPr>
        <w:rFonts w:ascii="Times New Roman" w:hAnsi="Times New Roman"/>
        <w:sz w:val="24"/>
        <w:szCs w:val="24"/>
        <w:lang w:val="zh-CN"/>
      </w:rPr>
      <w:t xml:space="preserve"> </w:t>
    </w:r>
    <w:r>
      <w:rPr>
        <w:rFonts w:ascii="Times New Roman" w:hAnsi="Times New Roman"/>
        <w:b/>
        <w:sz w:val="24"/>
        <w:szCs w:val="24"/>
      </w:rPr>
      <w:fldChar w:fldCharType="begin"/>
    </w:r>
    <w:r>
      <w:rPr>
        <w:rFonts w:ascii="Times New Roman" w:hAnsi="Times New Roman"/>
        <w:b/>
        <w:sz w:val="24"/>
        <w:szCs w:val="24"/>
      </w:rPr>
      <w:instrText>PAGE</w:instrText>
    </w:r>
    <w:r>
      <w:rPr>
        <w:rFonts w:ascii="Times New Roman" w:hAnsi="Times New Roman"/>
        <w:b/>
        <w:sz w:val="24"/>
        <w:szCs w:val="24"/>
      </w:rPr>
      <w:fldChar w:fldCharType="separate"/>
    </w:r>
    <w:r w:rsidR="00A81483">
      <w:rPr>
        <w:rFonts w:ascii="Times New Roman" w:hAnsi="Times New Roman"/>
        <w:b/>
        <w:noProof/>
        <w:sz w:val="24"/>
        <w:szCs w:val="24"/>
      </w:rPr>
      <w:t>16</w:t>
    </w:r>
    <w:r>
      <w:rPr>
        <w:rFonts w:ascii="Times New Roman" w:hAnsi="Times New Roman"/>
        <w:b/>
        <w:sz w:val="24"/>
        <w:szCs w:val="24"/>
      </w:rPr>
      <w:fldChar w:fldCharType="end"/>
    </w:r>
    <w:r>
      <w:rPr>
        <w:rFonts w:ascii="Times New Roman" w:hAnsi="Times New Roman"/>
        <w:sz w:val="24"/>
        <w:szCs w:val="24"/>
        <w:lang w:val="zh-CN"/>
      </w:rPr>
      <w:t xml:space="preserve"> / </w:t>
    </w:r>
    <w:r>
      <w:rPr>
        <w:rFonts w:ascii="Times New Roman" w:hAnsi="Times New Roman"/>
        <w:b/>
        <w:sz w:val="24"/>
        <w:szCs w:val="24"/>
      </w:rPr>
      <w:fldChar w:fldCharType="begin"/>
    </w:r>
    <w:r>
      <w:rPr>
        <w:rFonts w:ascii="Times New Roman" w:hAnsi="Times New Roman"/>
        <w:b/>
        <w:sz w:val="24"/>
        <w:szCs w:val="24"/>
      </w:rPr>
      <w:instrText>NUMPAGES</w:instrText>
    </w:r>
    <w:r>
      <w:rPr>
        <w:rFonts w:ascii="Times New Roman" w:hAnsi="Times New Roman"/>
        <w:b/>
        <w:sz w:val="24"/>
        <w:szCs w:val="24"/>
      </w:rPr>
      <w:fldChar w:fldCharType="separate"/>
    </w:r>
    <w:r w:rsidR="00A81483">
      <w:rPr>
        <w:rFonts w:ascii="Times New Roman" w:hAnsi="Times New Roman"/>
        <w:b/>
        <w:noProof/>
        <w:sz w:val="24"/>
        <w:szCs w:val="24"/>
      </w:rPr>
      <w:t>16</w:t>
    </w:r>
    <w:r>
      <w:rPr>
        <w:rFonts w:ascii="Times New Roman" w:hAnsi="Times New Roman"/>
        <w:b/>
        <w:sz w:val="24"/>
        <w:szCs w:val="24"/>
      </w:rPr>
      <w:fldChar w:fldCharType="end"/>
    </w:r>
  </w:p>
  <w:p w:rsidR="004322DD" w:rsidRDefault="004322DD">
    <w:pPr>
      <w:pStyle w:val="a6"/>
      <w:tabs>
        <w:tab w:val="clear" w:pos="4252"/>
        <w:tab w:val="clear" w:pos="8504"/>
        <w:tab w:val="center" w:pos="4153"/>
        <w:tab w:val="right"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A50" w:rsidRDefault="00673A50">
      <w:pPr>
        <w:spacing w:after="0" w:line="240" w:lineRule="auto"/>
      </w:pPr>
      <w:r>
        <w:separator/>
      </w:r>
    </w:p>
  </w:footnote>
  <w:footnote w:type="continuationSeparator" w:id="0">
    <w:p w:rsidR="00673A50" w:rsidRDefault="00673A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81477"/>
    <w:multiLevelType w:val="multilevel"/>
    <w:tmpl w:val="13281477"/>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2DD"/>
    <w:rsid w:val="000E0DBA"/>
    <w:rsid w:val="001A4C8E"/>
    <w:rsid w:val="003639A6"/>
    <w:rsid w:val="00390B47"/>
    <w:rsid w:val="004322DD"/>
    <w:rsid w:val="004B7995"/>
    <w:rsid w:val="00673A50"/>
    <w:rsid w:val="00701A0C"/>
    <w:rsid w:val="008E2BF6"/>
    <w:rsid w:val="009163A7"/>
    <w:rsid w:val="00A607D5"/>
    <w:rsid w:val="00A81483"/>
    <w:rsid w:val="00C70BF1"/>
    <w:rsid w:val="00CB61DC"/>
    <w:rsid w:val="00CC1EBF"/>
    <w:rsid w:val="00DC1BC8"/>
    <w:rsid w:val="00DD7658"/>
    <w:rsid w:val="00FC7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rPr>
      <w:sz w:val="20"/>
      <w:szCs w:val="20"/>
    </w:rPr>
  </w:style>
  <w:style w:type="paragraph" w:styleId="a5">
    <w:name w:val="Balloon Text"/>
    <w:basedOn w:val="a"/>
    <w:link w:val="Char1"/>
    <w:rPr>
      <w:rFonts w:ascii="宋体"/>
      <w:sz w:val="18"/>
      <w:szCs w:val="18"/>
    </w:rPr>
  </w:style>
  <w:style w:type="paragraph" w:styleId="a6">
    <w:name w:val="footer"/>
    <w:basedOn w:val="a"/>
    <w:link w:val="Char2"/>
    <w:uiPriority w:val="99"/>
    <w:pPr>
      <w:tabs>
        <w:tab w:val="center" w:pos="4252"/>
        <w:tab w:val="right" w:pos="8504"/>
      </w:tabs>
      <w:snapToGrid w:val="0"/>
    </w:pPr>
    <w:rPr>
      <w:sz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a8">
    <w:name w:val="Normal (Web)"/>
    <w:basedOn w:val="a"/>
    <w:uiPriority w:val="99"/>
    <w:unhideWhenUsed/>
    <w:pPr>
      <w:widowControl/>
      <w:spacing w:before="100" w:beforeAutospacing="1" w:after="100" w:afterAutospacing="1"/>
      <w:jc w:val="left"/>
    </w:pPr>
    <w:rPr>
      <w:rFonts w:ascii="Times New Roman" w:eastAsia="Times New Roman" w:hAnsi="Times New Roman"/>
      <w:kern w:val="0"/>
      <w:sz w:val="24"/>
      <w:szCs w:val="24"/>
    </w:rPr>
  </w:style>
  <w:style w:type="character" w:styleId="a9">
    <w:name w:val="Emphasis"/>
    <w:uiPriority w:val="20"/>
    <w:qFormat/>
    <w:rPr>
      <w:color w:val="DD4B39"/>
    </w:rPr>
  </w:style>
  <w:style w:type="character" w:styleId="aa">
    <w:name w:val="Hyperlink"/>
    <w:unhideWhenUsed/>
    <w:rPr>
      <w:color w:val="0000FF"/>
      <w:u w:val="single"/>
    </w:rPr>
  </w:style>
  <w:style w:type="character" w:styleId="ab">
    <w:name w:val="annotation reference"/>
    <w:rPr>
      <w:sz w:val="16"/>
      <w:szCs w:val="16"/>
    </w:rPr>
  </w:style>
  <w:style w:type="paragraph" w:customStyle="1" w:styleId="1">
    <w:name w:val="列出段落1"/>
    <w:basedOn w:val="a"/>
    <w:uiPriority w:val="34"/>
    <w:qFormat/>
    <w:pPr>
      <w:widowControl/>
      <w:ind w:left="720"/>
      <w:contextualSpacing/>
      <w:jc w:val="left"/>
    </w:pPr>
    <w:rPr>
      <w:kern w:val="0"/>
      <w:sz w:val="22"/>
    </w:rPr>
  </w:style>
  <w:style w:type="paragraph" w:customStyle="1" w:styleId="2">
    <w:name w:val="列出段落2"/>
    <w:basedOn w:val="a"/>
    <w:uiPriority w:val="34"/>
    <w:qFormat/>
    <w:pPr>
      <w:widowControl/>
      <w:ind w:left="720"/>
      <w:contextualSpacing/>
      <w:jc w:val="left"/>
    </w:pPr>
    <w:rPr>
      <w:kern w:val="0"/>
      <w:sz w:val="22"/>
    </w:rPr>
  </w:style>
  <w:style w:type="character" w:customStyle="1" w:styleId="templatecontroltemplatectrl">
    <w:name w:val="template_control_templatectrl"/>
    <w:basedOn w:val="a0"/>
  </w:style>
  <w:style w:type="character" w:customStyle="1" w:styleId="Char0">
    <w:name w:val="批注文字 Char"/>
    <w:link w:val="a4"/>
    <w:rPr>
      <w:rFonts w:ascii="Calibri" w:hAnsi="Calibri"/>
      <w:kern w:val="2"/>
      <w:lang w:val="en-US"/>
    </w:rPr>
  </w:style>
  <w:style w:type="character" w:customStyle="1" w:styleId="Char2">
    <w:name w:val="页脚 Char"/>
    <w:link w:val="a6"/>
    <w:uiPriority w:val="99"/>
    <w:rPr>
      <w:rFonts w:ascii="Calibri" w:hAnsi="Calibri"/>
      <w:kern w:val="2"/>
      <w:sz w:val="18"/>
      <w:szCs w:val="22"/>
      <w:lang w:val="en-US"/>
    </w:rPr>
  </w:style>
  <w:style w:type="character" w:customStyle="1" w:styleId="Char">
    <w:name w:val="批注主题 Char"/>
    <w:link w:val="a3"/>
    <w:rPr>
      <w:rFonts w:ascii="Calibri" w:hAnsi="Calibri"/>
      <w:b/>
      <w:bCs/>
      <w:kern w:val="2"/>
      <w:lang w:val="en-US"/>
    </w:rPr>
  </w:style>
  <w:style w:type="character" w:customStyle="1" w:styleId="Char1">
    <w:name w:val="批注框文本 Char"/>
    <w:link w:val="a5"/>
    <w:rPr>
      <w:rFonts w:ascii="宋体" w:hAnsi="Calibri"/>
      <w:kern w:val="2"/>
      <w:sz w:val="18"/>
      <w:szCs w:val="18"/>
      <w:lang w:val="en-US"/>
    </w:rPr>
  </w:style>
  <w:style w:type="character" w:customStyle="1" w:styleId="apple-converted-space">
    <w:name w:val="apple-converted-space"/>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rPr>
      <w:sz w:val="20"/>
      <w:szCs w:val="20"/>
    </w:rPr>
  </w:style>
  <w:style w:type="paragraph" w:styleId="a5">
    <w:name w:val="Balloon Text"/>
    <w:basedOn w:val="a"/>
    <w:link w:val="Char1"/>
    <w:rPr>
      <w:rFonts w:ascii="宋体"/>
      <w:sz w:val="18"/>
      <w:szCs w:val="18"/>
    </w:rPr>
  </w:style>
  <w:style w:type="paragraph" w:styleId="a6">
    <w:name w:val="footer"/>
    <w:basedOn w:val="a"/>
    <w:link w:val="Char2"/>
    <w:uiPriority w:val="99"/>
    <w:pPr>
      <w:tabs>
        <w:tab w:val="center" w:pos="4252"/>
        <w:tab w:val="right" w:pos="8504"/>
      </w:tabs>
      <w:snapToGrid w:val="0"/>
    </w:pPr>
    <w:rPr>
      <w:sz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a8">
    <w:name w:val="Normal (Web)"/>
    <w:basedOn w:val="a"/>
    <w:uiPriority w:val="99"/>
    <w:unhideWhenUsed/>
    <w:pPr>
      <w:widowControl/>
      <w:spacing w:before="100" w:beforeAutospacing="1" w:after="100" w:afterAutospacing="1"/>
      <w:jc w:val="left"/>
    </w:pPr>
    <w:rPr>
      <w:rFonts w:ascii="Times New Roman" w:eastAsia="Times New Roman" w:hAnsi="Times New Roman"/>
      <w:kern w:val="0"/>
      <w:sz w:val="24"/>
      <w:szCs w:val="24"/>
    </w:rPr>
  </w:style>
  <w:style w:type="character" w:styleId="a9">
    <w:name w:val="Emphasis"/>
    <w:uiPriority w:val="20"/>
    <w:qFormat/>
    <w:rPr>
      <w:color w:val="DD4B39"/>
    </w:rPr>
  </w:style>
  <w:style w:type="character" w:styleId="aa">
    <w:name w:val="Hyperlink"/>
    <w:unhideWhenUsed/>
    <w:rPr>
      <w:color w:val="0000FF"/>
      <w:u w:val="single"/>
    </w:rPr>
  </w:style>
  <w:style w:type="character" w:styleId="ab">
    <w:name w:val="annotation reference"/>
    <w:rPr>
      <w:sz w:val="16"/>
      <w:szCs w:val="16"/>
    </w:rPr>
  </w:style>
  <w:style w:type="paragraph" w:customStyle="1" w:styleId="1">
    <w:name w:val="列出段落1"/>
    <w:basedOn w:val="a"/>
    <w:uiPriority w:val="34"/>
    <w:qFormat/>
    <w:pPr>
      <w:widowControl/>
      <w:ind w:left="720"/>
      <w:contextualSpacing/>
      <w:jc w:val="left"/>
    </w:pPr>
    <w:rPr>
      <w:kern w:val="0"/>
      <w:sz w:val="22"/>
    </w:rPr>
  </w:style>
  <w:style w:type="paragraph" w:customStyle="1" w:styleId="2">
    <w:name w:val="列出段落2"/>
    <w:basedOn w:val="a"/>
    <w:uiPriority w:val="34"/>
    <w:qFormat/>
    <w:pPr>
      <w:widowControl/>
      <w:ind w:left="720"/>
      <w:contextualSpacing/>
      <w:jc w:val="left"/>
    </w:pPr>
    <w:rPr>
      <w:kern w:val="0"/>
      <w:sz w:val="22"/>
    </w:rPr>
  </w:style>
  <w:style w:type="character" w:customStyle="1" w:styleId="templatecontroltemplatectrl">
    <w:name w:val="template_control_templatectrl"/>
    <w:basedOn w:val="a0"/>
  </w:style>
  <w:style w:type="character" w:customStyle="1" w:styleId="Char0">
    <w:name w:val="批注文字 Char"/>
    <w:link w:val="a4"/>
    <w:rPr>
      <w:rFonts w:ascii="Calibri" w:hAnsi="Calibri"/>
      <w:kern w:val="2"/>
      <w:lang w:val="en-US"/>
    </w:rPr>
  </w:style>
  <w:style w:type="character" w:customStyle="1" w:styleId="Char2">
    <w:name w:val="页脚 Char"/>
    <w:link w:val="a6"/>
    <w:uiPriority w:val="99"/>
    <w:rPr>
      <w:rFonts w:ascii="Calibri" w:hAnsi="Calibri"/>
      <w:kern w:val="2"/>
      <w:sz w:val="18"/>
      <w:szCs w:val="22"/>
      <w:lang w:val="en-US"/>
    </w:rPr>
  </w:style>
  <w:style w:type="character" w:customStyle="1" w:styleId="Char">
    <w:name w:val="批注主题 Char"/>
    <w:link w:val="a3"/>
    <w:rPr>
      <w:rFonts w:ascii="Calibri" w:hAnsi="Calibri"/>
      <w:b/>
      <w:bCs/>
      <w:kern w:val="2"/>
      <w:lang w:val="en-US"/>
    </w:rPr>
  </w:style>
  <w:style w:type="character" w:customStyle="1" w:styleId="Char1">
    <w:name w:val="批注框文本 Char"/>
    <w:link w:val="a5"/>
    <w:rPr>
      <w:rFonts w:ascii="宋体" w:hAnsi="Calibri"/>
      <w:kern w:val="2"/>
      <w:sz w:val="18"/>
      <w:szCs w:val="18"/>
      <w:lang w:val="en-US"/>
    </w:rPr>
  </w:style>
  <w:style w:type="character" w:customStyle="1" w:styleId="apple-converted-space">
    <w:name w:val="apple-converted-spac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3336</Words>
  <Characters>19016</Characters>
  <Application>Microsoft Office Word</Application>
  <DocSecurity>0</DocSecurity>
  <Lines>158</Lines>
  <Paragraphs>44</Paragraphs>
  <ScaleCrop>false</ScaleCrop>
  <Company>Microsoft</Company>
  <LinksUpToDate>false</LinksUpToDate>
  <CharactersWithSpaces>22308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肝血管瘤介入术后导致胆管毁损性改变</dc:title>
  <dc:creator>john</dc:creator>
  <cp:lastModifiedBy>LS Ma</cp:lastModifiedBy>
  <cp:revision>2</cp:revision>
  <dcterms:created xsi:type="dcterms:W3CDTF">2014-07-22T00:35:00Z</dcterms:created>
  <dcterms:modified xsi:type="dcterms:W3CDTF">2014-07-22T00:35:00Z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