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F7" w:rsidRPr="006575F7" w:rsidRDefault="006575F7" w:rsidP="00B230CE">
      <w:pPr>
        <w:spacing w:after="0" w:line="360" w:lineRule="auto"/>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6575F7">
        <w:rPr>
          <w:rFonts w:ascii="Book Antiqua" w:hAnsi="Book Antiqua" w:cs="Tahoma"/>
          <w:b/>
          <w:color w:val="0000FF"/>
          <w:sz w:val="24"/>
          <w:szCs w:val="24"/>
        </w:rPr>
        <w:t xml:space="preserve">Name of journal: </w:t>
      </w:r>
      <w:r w:rsidRPr="006575F7">
        <w:rPr>
          <w:rFonts w:ascii="Book Antiqua" w:hAnsi="Book Antiqua" w:cs="Tahoma"/>
          <w:b/>
          <w:color w:val="000000"/>
          <w:sz w:val="24"/>
          <w:szCs w:val="24"/>
        </w:rPr>
        <w:t>World Journal of Gastroenterology</w:t>
      </w:r>
    </w:p>
    <w:p w:rsidR="006575F7" w:rsidRPr="006575F7" w:rsidRDefault="006575F7" w:rsidP="00B230CE">
      <w:pPr>
        <w:spacing w:after="0" w:line="360" w:lineRule="auto"/>
        <w:rPr>
          <w:rFonts w:ascii="Book Antiqua" w:hAnsi="Book Antiqua" w:cs="Tahoma"/>
          <w:b/>
          <w:color w:val="0000FF"/>
          <w:sz w:val="24"/>
          <w:szCs w:val="24"/>
          <w:lang w:eastAsia="zh-CN"/>
        </w:rPr>
      </w:pPr>
      <w:r w:rsidRPr="006575F7">
        <w:rPr>
          <w:rFonts w:ascii="Book Antiqua" w:hAnsi="Book Antiqua" w:cs="Tahoma"/>
          <w:b/>
          <w:color w:val="0000FF"/>
          <w:sz w:val="24"/>
          <w:szCs w:val="24"/>
        </w:rPr>
        <w:t>ESPS Manuscript NO:</w:t>
      </w:r>
      <w:r w:rsidRPr="006575F7">
        <w:rPr>
          <w:rFonts w:ascii="Book Antiqua" w:hAnsi="Book Antiqua" w:cs="Tahoma"/>
          <w:b/>
          <w:color w:val="0000FF"/>
          <w:sz w:val="24"/>
          <w:szCs w:val="24"/>
          <w:lang w:eastAsia="zh-CN"/>
        </w:rPr>
        <w:t xml:space="preserve"> 11770 </w:t>
      </w:r>
    </w:p>
    <w:p w:rsidR="006575F7" w:rsidRPr="00166521" w:rsidRDefault="006575F7" w:rsidP="00166521">
      <w:pPr>
        <w:spacing w:after="0" w:line="360" w:lineRule="auto"/>
        <w:jc w:val="both"/>
        <w:rPr>
          <w:rFonts w:ascii="Book Antiqua" w:hAnsi="Book Antiqua"/>
          <w:b/>
          <w:color w:val="000000"/>
          <w:sz w:val="24"/>
          <w:szCs w:val="24"/>
          <w:lang w:eastAsia="zh-CN"/>
        </w:rPr>
      </w:pPr>
      <w:r w:rsidRPr="006575F7">
        <w:rPr>
          <w:rFonts w:ascii="Book Antiqua" w:hAnsi="Book Antiqua" w:cs="Tahoma"/>
          <w:b/>
          <w:color w:val="0000FF"/>
          <w:sz w:val="24"/>
          <w:szCs w:val="24"/>
        </w:rPr>
        <w:t>Columns:</w:t>
      </w:r>
      <w:r w:rsidR="007B5A5E" w:rsidRPr="006575F7">
        <w:rPr>
          <w:rFonts w:ascii="Book Antiqua" w:hAnsi="Book Antiqua"/>
          <w:sz w:val="24"/>
          <w:szCs w:val="24"/>
        </w:rPr>
        <w:t xml:space="preserve"> </w:t>
      </w:r>
      <w:r w:rsidR="007B5A5E">
        <w:rPr>
          <w:rFonts w:ascii="Book Antiqua" w:hAnsi="Book Antiqua"/>
          <w:b/>
          <w:color w:val="000000"/>
          <w:sz w:val="24"/>
          <w:szCs w:val="24"/>
        </w:rPr>
        <w:t xml:space="preserve">OBSERVATIONAL STUDY </w:t>
      </w:r>
    </w:p>
    <w:p w:rsidR="006D088A" w:rsidRPr="006575F7" w:rsidRDefault="006D088A" w:rsidP="00B230CE">
      <w:pPr>
        <w:spacing w:after="0" w:line="360" w:lineRule="auto"/>
        <w:jc w:val="both"/>
        <w:rPr>
          <w:rFonts w:ascii="Book Antiqua" w:hAnsi="Book Antiqua" w:cs="Tahoma"/>
          <w:b/>
          <w:color w:val="0000FF"/>
          <w:sz w:val="24"/>
          <w:szCs w:val="24"/>
          <w:lang w:eastAsia="zh-CN"/>
        </w:rPr>
      </w:pPr>
    </w:p>
    <w:bookmarkEnd w:id="0"/>
    <w:bookmarkEnd w:id="1"/>
    <w:bookmarkEnd w:id="2"/>
    <w:bookmarkEnd w:id="3"/>
    <w:bookmarkEnd w:id="4"/>
    <w:bookmarkEnd w:id="5"/>
    <w:bookmarkEnd w:id="6"/>
    <w:p w:rsidR="006D088A" w:rsidRPr="006575F7" w:rsidRDefault="006D088A" w:rsidP="00B230CE">
      <w:pPr>
        <w:spacing w:after="0" w:line="360" w:lineRule="auto"/>
        <w:jc w:val="both"/>
        <w:rPr>
          <w:rFonts w:ascii="Book Antiqua" w:hAnsi="Book Antiqua" w:cs="Arial"/>
          <w:b/>
          <w:sz w:val="24"/>
          <w:szCs w:val="24"/>
          <w:lang w:eastAsia="zh-CN"/>
        </w:rPr>
      </w:pPr>
      <w:r w:rsidRPr="006575F7">
        <w:rPr>
          <w:rFonts w:ascii="Book Antiqua" w:hAnsi="Book Antiqua" w:cs="Arial"/>
          <w:b/>
          <w:sz w:val="24"/>
          <w:szCs w:val="24"/>
        </w:rPr>
        <w:t>Association of nonalcoholic fatty liver disease and liver cancer</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 xml:space="preserve">Schulz PO </w:t>
      </w:r>
      <w:r w:rsidRPr="006575F7">
        <w:rPr>
          <w:rFonts w:ascii="Book Antiqua" w:hAnsi="Book Antiqua" w:cs="Arial"/>
          <w:i/>
          <w:sz w:val="24"/>
          <w:szCs w:val="24"/>
        </w:rPr>
        <w:t>et al.</w:t>
      </w:r>
      <w:r w:rsidRPr="006575F7">
        <w:rPr>
          <w:rFonts w:ascii="Book Antiqua" w:hAnsi="Book Antiqua" w:cs="Arial"/>
          <w:b/>
          <w:sz w:val="24"/>
          <w:szCs w:val="24"/>
        </w:rPr>
        <w:t xml:space="preserve"> </w:t>
      </w:r>
      <w:r w:rsidRPr="006575F7">
        <w:rPr>
          <w:rFonts w:ascii="Book Antiqua" w:hAnsi="Book Antiqua" w:cs="Arial"/>
          <w:sz w:val="24"/>
          <w:szCs w:val="24"/>
        </w:rPr>
        <w:t>NAFLD and liver cancer</w:t>
      </w:r>
    </w:p>
    <w:p w:rsidR="006D088A" w:rsidRPr="006575F7" w:rsidRDefault="006D088A" w:rsidP="00B230CE">
      <w:pPr>
        <w:spacing w:after="0" w:line="360" w:lineRule="auto"/>
        <w:jc w:val="both"/>
        <w:rPr>
          <w:rFonts w:ascii="Book Antiqua" w:hAnsi="Book Antiqua" w:cs="Arial"/>
          <w:sz w:val="24"/>
          <w:szCs w:val="24"/>
        </w:rPr>
      </w:pPr>
    </w:p>
    <w:p w:rsidR="006D088A" w:rsidRDefault="006D088A" w:rsidP="00B230CE">
      <w:pPr>
        <w:spacing w:after="0" w:line="360" w:lineRule="auto"/>
        <w:jc w:val="both"/>
        <w:rPr>
          <w:rFonts w:ascii="Book Antiqua" w:hAnsi="Book Antiqua" w:cs="Arial"/>
          <w:sz w:val="24"/>
          <w:szCs w:val="24"/>
          <w:lang w:eastAsia="zh-CN"/>
        </w:rPr>
      </w:pPr>
      <w:proofErr w:type="spellStart"/>
      <w:r w:rsidRPr="006575F7">
        <w:rPr>
          <w:rFonts w:ascii="Book Antiqua" w:hAnsi="Book Antiqua" w:cs="Arial"/>
          <w:sz w:val="24"/>
          <w:szCs w:val="24"/>
        </w:rPr>
        <w:t>Perla</w:t>
      </w:r>
      <w:proofErr w:type="spellEnd"/>
      <w:r w:rsidRPr="006575F7">
        <w:rPr>
          <w:rFonts w:ascii="Book Antiqua" w:hAnsi="Book Antiqua" w:cs="Arial"/>
          <w:sz w:val="24"/>
          <w:szCs w:val="24"/>
        </w:rPr>
        <w:t xml:space="preserve"> Oliveira Schulz, Fabio </w:t>
      </w:r>
      <w:proofErr w:type="spellStart"/>
      <w:r w:rsidRPr="006575F7">
        <w:rPr>
          <w:rFonts w:ascii="Book Antiqua" w:hAnsi="Book Antiqua" w:cs="Arial"/>
          <w:sz w:val="24"/>
          <w:szCs w:val="24"/>
        </w:rPr>
        <w:t>Gonçalves</w:t>
      </w:r>
      <w:proofErr w:type="spellEnd"/>
      <w:r w:rsidRPr="006575F7">
        <w:rPr>
          <w:rFonts w:ascii="Book Antiqua" w:hAnsi="Book Antiqua" w:cs="Arial"/>
          <w:sz w:val="24"/>
          <w:szCs w:val="24"/>
        </w:rPr>
        <w:t xml:space="preserve"> Ferreira, Maria de </w:t>
      </w:r>
      <w:proofErr w:type="spellStart"/>
      <w:r w:rsidRPr="006575F7">
        <w:rPr>
          <w:rFonts w:ascii="Book Antiqua" w:hAnsi="Book Antiqua" w:cs="Arial"/>
          <w:sz w:val="24"/>
          <w:szCs w:val="24"/>
        </w:rPr>
        <w:t>Fátima</w:t>
      </w:r>
      <w:proofErr w:type="spellEnd"/>
      <w:r w:rsidRPr="006575F7">
        <w:rPr>
          <w:rFonts w:ascii="Book Antiqua" w:hAnsi="Book Antiqua" w:cs="Arial"/>
          <w:sz w:val="24"/>
          <w:szCs w:val="24"/>
        </w:rPr>
        <w:t xml:space="preserve"> </w:t>
      </w:r>
      <w:proofErr w:type="spellStart"/>
      <w:r w:rsidRPr="006575F7">
        <w:rPr>
          <w:rFonts w:ascii="Book Antiqua" w:hAnsi="Book Antiqua" w:cs="Arial"/>
          <w:sz w:val="24"/>
          <w:szCs w:val="24"/>
        </w:rPr>
        <w:t>Araújo</w:t>
      </w:r>
      <w:proofErr w:type="spellEnd"/>
      <w:r w:rsidRPr="006575F7">
        <w:rPr>
          <w:rFonts w:ascii="Book Antiqua" w:hAnsi="Book Antiqua" w:cs="Arial"/>
          <w:sz w:val="24"/>
          <w:szCs w:val="24"/>
        </w:rPr>
        <w:t xml:space="preserve"> </w:t>
      </w:r>
      <w:proofErr w:type="spellStart"/>
      <w:r w:rsidRPr="006575F7">
        <w:rPr>
          <w:rFonts w:ascii="Book Antiqua" w:hAnsi="Book Antiqua" w:cs="Arial"/>
          <w:sz w:val="24"/>
          <w:szCs w:val="24"/>
        </w:rPr>
        <w:t>Nascimento</w:t>
      </w:r>
      <w:proofErr w:type="spellEnd"/>
      <w:r w:rsidRPr="006575F7">
        <w:rPr>
          <w:rFonts w:ascii="Book Antiqua" w:hAnsi="Book Antiqua" w:cs="Arial"/>
          <w:sz w:val="24"/>
          <w:szCs w:val="24"/>
        </w:rPr>
        <w:t xml:space="preserve">, Andrea Vieira, Mauricio Alves Ribeiro, André Ibrahim David, Luiz </w:t>
      </w:r>
      <w:proofErr w:type="spellStart"/>
      <w:r w:rsidRPr="006575F7">
        <w:rPr>
          <w:rFonts w:ascii="Book Antiqua" w:hAnsi="Book Antiqua" w:cs="Arial"/>
          <w:sz w:val="24"/>
          <w:szCs w:val="24"/>
        </w:rPr>
        <w:t>Arnaldo</w:t>
      </w:r>
      <w:proofErr w:type="spellEnd"/>
      <w:r w:rsidRPr="006575F7">
        <w:rPr>
          <w:rFonts w:ascii="Book Antiqua" w:hAnsi="Book Antiqua" w:cs="Arial"/>
          <w:sz w:val="24"/>
          <w:szCs w:val="24"/>
        </w:rPr>
        <w:t xml:space="preserve"> </w:t>
      </w:r>
      <w:proofErr w:type="spellStart"/>
      <w:r w:rsidRPr="006575F7">
        <w:rPr>
          <w:rFonts w:ascii="Book Antiqua" w:hAnsi="Book Antiqua" w:cs="Arial"/>
          <w:sz w:val="24"/>
          <w:szCs w:val="24"/>
        </w:rPr>
        <w:t>Szutan</w:t>
      </w:r>
      <w:proofErr w:type="spellEnd"/>
    </w:p>
    <w:p w:rsidR="006D088A" w:rsidRPr="006575F7" w:rsidRDefault="006575F7" w:rsidP="00B230CE">
      <w:pPr>
        <w:spacing w:after="0" w:line="360" w:lineRule="auto"/>
        <w:jc w:val="both"/>
        <w:rPr>
          <w:rFonts w:ascii="Book Antiqua" w:hAnsi="Book Antiqua" w:cs="Arial"/>
          <w:b/>
          <w:sz w:val="24"/>
          <w:szCs w:val="24"/>
        </w:rPr>
      </w:pPr>
      <w:r>
        <w:rPr>
          <w:rFonts w:ascii="Book Antiqua" w:hAnsi="Book Antiqua" w:cs="Arial"/>
          <w:b/>
          <w:noProof/>
          <w:sz w:val="24"/>
          <w:szCs w:val="24"/>
          <w:lang w:eastAsia="zh-CN"/>
        </w:rPr>
        <mc:AlternateContent>
          <mc:Choice Requires="wps">
            <w:drawing>
              <wp:anchor distT="0" distB="0" distL="114300" distR="114300" simplePos="0" relativeHeight="251658240" behindDoc="0" locked="0" layoutInCell="1" allowOverlap="1" wp14:anchorId="07D49294" wp14:editId="0107FCDB">
                <wp:simplePos x="0" y="0"/>
                <wp:positionH relativeFrom="column">
                  <wp:posOffset>10633</wp:posOffset>
                </wp:positionH>
                <wp:positionV relativeFrom="paragraph">
                  <wp:posOffset>104273</wp:posOffset>
                </wp:positionV>
                <wp:extent cx="6007395" cy="0"/>
                <wp:effectExtent l="0" t="19050" r="1270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3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2pt" to="47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" strokecolor="gray" strokeweight="3pt"/>
            </w:pict>
          </mc:Fallback>
        </mc:AlternateContent>
      </w:r>
    </w:p>
    <w:p w:rsidR="006D088A" w:rsidRPr="006575F7" w:rsidRDefault="006D088A" w:rsidP="00B230CE">
      <w:pPr>
        <w:spacing w:after="0" w:line="360" w:lineRule="auto"/>
        <w:jc w:val="both"/>
        <w:rPr>
          <w:rFonts w:ascii="Book Antiqua" w:hAnsi="Book Antiqua" w:cs="Arial"/>
          <w:sz w:val="24"/>
          <w:szCs w:val="24"/>
        </w:rPr>
      </w:pPr>
      <w:proofErr w:type="spellStart"/>
      <w:r w:rsidRPr="006575F7">
        <w:rPr>
          <w:rFonts w:ascii="Book Antiqua" w:hAnsi="Book Antiqua" w:cs="Arial"/>
          <w:b/>
          <w:sz w:val="24"/>
          <w:szCs w:val="24"/>
        </w:rPr>
        <w:t>Perla</w:t>
      </w:r>
      <w:proofErr w:type="spellEnd"/>
      <w:r w:rsidRPr="006575F7">
        <w:rPr>
          <w:rFonts w:ascii="Book Antiqua" w:hAnsi="Book Antiqua" w:cs="Arial"/>
          <w:b/>
          <w:sz w:val="24"/>
          <w:szCs w:val="24"/>
        </w:rPr>
        <w:t xml:space="preserve"> Oliveira Schulz</w:t>
      </w:r>
      <w:r w:rsidRPr="006575F7">
        <w:rPr>
          <w:rFonts w:ascii="Book Antiqua" w:hAnsi="Book Antiqua" w:cs="Arial"/>
          <w:sz w:val="24"/>
          <w:szCs w:val="24"/>
        </w:rPr>
        <w:t>,</w:t>
      </w:r>
      <w:r w:rsidRPr="006575F7">
        <w:rPr>
          <w:rFonts w:ascii="Book Antiqua" w:hAnsi="Book Antiqua" w:cs="Arial"/>
          <w:b/>
          <w:sz w:val="24"/>
          <w:szCs w:val="24"/>
        </w:rPr>
        <w:t xml:space="preserve"> Andrea Vieira,</w:t>
      </w:r>
      <w:r w:rsidRPr="006575F7">
        <w:rPr>
          <w:rFonts w:ascii="Book Antiqua" w:hAnsi="Book Antiqua" w:cs="Arial"/>
          <w:sz w:val="24"/>
          <w:szCs w:val="24"/>
        </w:rPr>
        <w:t xml:space="preserve"> Gastroenterology Service, Internal Medicine Department, Santa Casa School of Medical Sciences, São Paulo 01277-900, Brazil</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b/>
          <w:sz w:val="24"/>
          <w:szCs w:val="24"/>
        </w:rPr>
        <w:t xml:space="preserve">Maria de </w:t>
      </w:r>
      <w:proofErr w:type="spellStart"/>
      <w:r w:rsidRPr="006575F7">
        <w:rPr>
          <w:rFonts w:ascii="Book Antiqua" w:hAnsi="Book Antiqua" w:cs="Arial"/>
          <w:b/>
          <w:sz w:val="24"/>
          <w:szCs w:val="24"/>
        </w:rPr>
        <w:t>Fátima</w:t>
      </w:r>
      <w:proofErr w:type="spellEnd"/>
      <w:r w:rsidRPr="006575F7">
        <w:rPr>
          <w:rFonts w:ascii="Book Antiqua" w:hAnsi="Book Antiqua" w:cs="Arial"/>
          <w:b/>
          <w:sz w:val="24"/>
          <w:szCs w:val="24"/>
        </w:rPr>
        <w:t xml:space="preserve"> </w:t>
      </w:r>
      <w:proofErr w:type="spellStart"/>
      <w:r w:rsidRPr="006575F7">
        <w:rPr>
          <w:rFonts w:ascii="Book Antiqua" w:hAnsi="Book Antiqua" w:cs="Arial"/>
          <w:b/>
          <w:sz w:val="24"/>
          <w:szCs w:val="24"/>
        </w:rPr>
        <w:t>Araújo</w:t>
      </w:r>
      <w:proofErr w:type="spellEnd"/>
      <w:r w:rsidRPr="006575F7">
        <w:rPr>
          <w:rFonts w:ascii="Book Antiqua" w:hAnsi="Book Antiqua" w:cs="Arial"/>
          <w:b/>
          <w:sz w:val="24"/>
          <w:szCs w:val="24"/>
        </w:rPr>
        <w:t xml:space="preserve"> </w:t>
      </w:r>
      <w:proofErr w:type="spellStart"/>
      <w:r w:rsidRPr="006575F7">
        <w:rPr>
          <w:rFonts w:ascii="Book Antiqua" w:hAnsi="Book Antiqua" w:cs="Arial"/>
          <w:b/>
          <w:sz w:val="24"/>
          <w:szCs w:val="24"/>
        </w:rPr>
        <w:t>Nascimento</w:t>
      </w:r>
      <w:proofErr w:type="spellEnd"/>
      <w:r w:rsidRPr="006575F7">
        <w:rPr>
          <w:rFonts w:ascii="Book Antiqua" w:hAnsi="Book Antiqua" w:cs="Arial"/>
          <w:b/>
          <w:sz w:val="24"/>
          <w:szCs w:val="24"/>
        </w:rPr>
        <w:t>,</w:t>
      </w:r>
      <w:r w:rsidRPr="006575F7">
        <w:rPr>
          <w:rFonts w:ascii="Book Antiqua" w:hAnsi="Book Antiqua" w:cs="Arial"/>
          <w:sz w:val="24"/>
          <w:szCs w:val="24"/>
        </w:rPr>
        <w:t xml:space="preserve"> Pathology Department, Santa Casa School of Medical Sciences, São Paulo 01277-900, Brazil</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b/>
          <w:sz w:val="24"/>
          <w:szCs w:val="24"/>
        </w:rPr>
        <w:t>André Ibrahim David,</w:t>
      </w:r>
      <w:r w:rsidRPr="006575F7">
        <w:rPr>
          <w:rFonts w:ascii="Book Antiqua" w:hAnsi="Book Antiqua" w:cs="Arial"/>
          <w:sz w:val="24"/>
          <w:szCs w:val="24"/>
        </w:rPr>
        <w:t xml:space="preserve"> GI Transplant Service, Gastroenterology Department, University of São Paulo, São Paulo 01246-903, Brazil</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b/>
          <w:sz w:val="24"/>
          <w:szCs w:val="24"/>
        </w:rPr>
        <w:t xml:space="preserve">Fabio </w:t>
      </w:r>
      <w:proofErr w:type="spellStart"/>
      <w:r w:rsidRPr="006575F7">
        <w:rPr>
          <w:rFonts w:ascii="Book Antiqua" w:hAnsi="Book Antiqua" w:cs="Arial"/>
          <w:b/>
          <w:sz w:val="24"/>
          <w:szCs w:val="24"/>
        </w:rPr>
        <w:t>Gonçalves</w:t>
      </w:r>
      <w:proofErr w:type="spellEnd"/>
      <w:r w:rsidRPr="006575F7">
        <w:rPr>
          <w:rFonts w:ascii="Book Antiqua" w:hAnsi="Book Antiqua" w:cs="Arial"/>
          <w:b/>
          <w:sz w:val="24"/>
          <w:szCs w:val="24"/>
        </w:rPr>
        <w:t xml:space="preserve"> Ferreira,</w:t>
      </w:r>
      <w:r w:rsidRPr="006575F7">
        <w:rPr>
          <w:rFonts w:ascii="Book Antiqua" w:hAnsi="Book Antiqua" w:cs="Arial"/>
          <w:sz w:val="24"/>
          <w:szCs w:val="24"/>
        </w:rPr>
        <w:t xml:space="preserve"> </w:t>
      </w:r>
      <w:r w:rsidRPr="006575F7">
        <w:rPr>
          <w:rFonts w:ascii="Book Antiqua" w:hAnsi="Book Antiqua" w:cs="Arial"/>
          <w:b/>
          <w:sz w:val="24"/>
          <w:szCs w:val="24"/>
        </w:rPr>
        <w:t xml:space="preserve">Mauricio </w:t>
      </w:r>
      <w:proofErr w:type="spellStart"/>
      <w:r w:rsidRPr="006575F7">
        <w:rPr>
          <w:rFonts w:ascii="Book Antiqua" w:hAnsi="Book Antiqua" w:cs="Arial"/>
          <w:b/>
          <w:sz w:val="24"/>
          <w:szCs w:val="24"/>
        </w:rPr>
        <w:t>Alves</w:t>
      </w:r>
      <w:proofErr w:type="spellEnd"/>
      <w:r w:rsidRPr="006575F7">
        <w:rPr>
          <w:rFonts w:ascii="Book Antiqua" w:hAnsi="Book Antiqua" w:cs="Arial"/>
          <w:b/>
          <w:sz w:val="24"/>
          <w:szCs w:val="24"/>
        </w:rPr>
        <w:t xml:space="preserve"> Ribeiro, Luiz </w:t>
      </w:r>
      <w:proofErr w:type="spellStart"/>
      <w:r w:rsidRPr="006575F7">
        <w:rPr>
          <w:rFonts w:ascii="Book Antiqua" w:hAnsi="Book Antiqua" w:cs="Arial"/>
          <w:b/>
          <w:sz w:val="24"/>
          <w:szCs w:val="24"/>
        </w:rPr>
        <w:t>Arnaldo</w:t>
      </w:r>
      <w:proofErr w:type="spellEnd"/>
      <w:r w:rsidRPr="006575F7">
        <w:rPr>
          <w:rFonts w:ascii="Book Antiqua" w:hAnsi="Book Antiqua" w:cs="Arial"/>
          <w:b/>
          <w:sz w:val="24"/>
          <w:szCs w:val="24"/>
        </w:rPr>
        <w:t xml:space="preserve"> </w:t>
      </w:r>
      <w:proofErr w:type="spellStart"/>
      <w:r w:rsidRPr="006575F7">
        <w:rPr>
          <w:rFonts w:ascii="Book Antiqua" w:hAnsi="Book Antiqua" w:cs="Arial"/>
          <w:b/>
          <w:sz w:val="24"/>
          <w:szCs w:val="24"/>
        </w:rPr>
        <w:t>Szutan</w:t>
      </w:r>
      <w:proofErr w:type="spellEnd"/>
      <w:r w:rsidRPr="006575F7">
        <w:rPr>
          <w:rFonts w:ascii="Book Antiqua" w:hAnsi="Book Antiqua" w:cs="Arial"/>
          <w:b/>
          <w:sz w:val="24"/>
          <w:szCs w:val="24"/>
        </w:rPr>
        <w:t xml:space="preserve">, </w:t>
      </w:r>
      <w:r w:rsidR="007B5A5E" w:rsidRPr="006575F7">
        <w:rPr>
          <w:rFonts w:ascii="Book Antiqua" w:eastAsia="Times New Roman" w:hAnsi="Book Antiqua" w:cs="Calibri"/>
          <w:sz w:val="24"/>
          <w:szCs w:val="24"/>
          <w:lang w:eastAsia="pt-BR"/>
        </w:rPr>
        <w:t>Department of Surgery,</w:t>
      </w:r>
      <w:r w:rsidR="007B5A5E">
        <w:rPr>
          <w:rFonts w:ascii="Book Antiqua" w:hAnsi="Book Antiqua" w:cs="Calibri" w:hint="eastAsia"/>
          <w:sz w:val="24"/>
          <w:szCs w:val="24"/>
          <w:lang w:eastAsia="zh-CN"/>
        </w:rPr>
        <w:t xml:space="preserve"> </w:t>
      </w:r>
      <w:r w:rsidRPr="006575F7">
        <w:rPr>
          <w:rFonts w:ascii="Book Antiqua" w:hAnsi="Book Antiqua" w:cs="Arial"/>
          <w:sz w:val="24"/>
          <w:szCs w:val="24"/>
        </w:rPr>
        <w:t>Liver and Portal Hypertension Group, Santa Casa School of Medical Sciences, São Paulo 01277-900, Brazil</w:t>
      </w:r>
      <w:r w:rsidRPr="006575F7" w:rsidDel="00037D1F">
        <w:rPr>
          <w:rFonts w:ascii="Book Antiqua" w:hAnsi="Book Antiqua" w:cs="Arial"/>
          <w:sz w:val="24"/>
          <w:szCs w:val="24"/>
        </w:rPr>
        <w:t xml:space="preserve"> </w:t>
      </w:r>
    </w:p>
    <w:p w:rsidR="006D088A" w:rsidRPr="006575F7" w:rsidRDefault="006D088A" w:rsidP="00B230CE">
      <w:pPr>
        <w:spacing w:after="0" w:line="360" w:lineRule="auto"/>
        <w:jc w:val="both"/>
        <w:rPr>
          <w:rFonts w:ascii="Book Antiqua" w:hAnsi="Book Antiqua" w:cs="Arial"/>
          <w:sz w:val="24"/>
          <w:szCs w:val="24"/>
        </w:rPr>
      </w:pPr>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hAnsi="Book Antiqua" w:cs="Arial"/>
          <w:b/>
          <w:sz w:val="24"/>
          <w:szCs w:val="24"/>
          <w:lang w:eastAsia="zh-CN"/>
        </w:rPr>
        <w:t>Author contributions:</w:t>
      </w:r>
      <w:r w:rsidRPr="006575F7">
        <w:rPr>
          <w:rFonts w:ascii="Book Antiqua" w:hAnsi="Book Antiqua" w:cs="Arial"/>
          <w:sz w:val="24"/>
          <w:szCs w:val="24"/>
          <w:lang w:eastAsia="zh-CN"/>
        </w:rPr>
        <w:t xml:space="preserve"> Schulz PO performed the research and collected and analyzed the data; Ferreira FG contributed to the design of the study</w:t>
      </w:r>
      <w:r w:rsidRPr="006575F7">
        <w:rPr>
          <w:rFonts w:ascii="Book Antiqua" w:hAnsi="Book Antiqua"/>
          <w:sz w:val="24"/>
          <w:szCs w:val="24"/>
        </w:rPr>
        <w:t xml:space="preserve">; </w:t>
      </w:r>
      <w:proofErr w:type="spellStart"/>
      <w:r w:rsidRPr="006575F7">
        <w:rPr>
          <w:rFonts w:ascii="Book Antiqua" w:hAnsi="Book Antiqua" w:cs="Arial"/>
          <w:sz w:val="24"/>
          <w:szCs w:val="24"/>
          <w:lang w:eastAsia="zh-CN"/>
        </w:rPr>
        <w:t>Nascimento</w:t>
      </w:r>
      <w:proofErr w:type="spellEnd"/>
      <w:r w:rsidRPr="006575F7">
        <w:rPr>
          <w:rFonts w:ascii="Book Antiqua" w:hAnsi="Book Antiqua" w:cs="Arial"/>
          <w:sz w:val="24"/>
          <w:szCs w:val="24"/>
          <w:lang w:eastAsia="zh-CN"/>
        </w:rPr>
        <w:t xml:space="preserve"> MFA performed the histological analysis;</w:t>
      </w:r>
      <w:r w:rsidR="006575F7">
        <w:rPr>
          <w:rFonts w:ascii="Book Antiqua" w:hAnsi="Book Antiqua" w:cs="Arial"/>
          <w:sz w:val="24"/>
          <w:szCs w:val="24"/>
          <w:lang w:eastAsia="zh-CN"/>
        </w:rPr>
        <w:t xml:space="preserve"> Vieira A, Ribeiro MA, David AI</w:t>
      </w:r>
      <w:r w:rsidRPr="006575F7">
        <w:rPr>
          <w:rFonts w:ascii="Book Antiqua" w:hAnsi="Book Antiqua" w:cs="Arial"/>
          <w:sz w:val="24"/>
          <w:szCs w:val="24"/>
          <w:lang w:eastAsia="zh-CN"/>
        </w:rPr>
        <w:t xml:space="preserve"> and </w:t>
      </w:r>
      <w:proofErr w:type="spellStart"/>
      <w:r w:rsidRPr="006575F7">
        <w:rPr>
          <w:rFonts w:ascii="Book Antiqua" w:hAnsi="Book Antiqua" w:cs="Arial"/>
          <w:sz w:val="24"/>
          <w:szCs w:val="24"/>
          <w:lang w:eastAsia="zh-CN"/>
        </w:rPr>
        <w:t>Szutan</w:t>
      </w:r>
      <w:proofErr w:type="spellEnd"/>
      <w:r w:rsidRPr="006575F7">
        <w:rPr>
          <w:rFonts w:ascii="Book Antiqua" w:hAnsi="Book Antiqua" w:cs="Arial"/>
          <w:sz w:val="24"/>
          <w:szCs w:val="24"/>
          <w:lang w:eastAsia="zh-CN"/>
        </w:rPr>
        <w:t xml:space="preserve"> LA contributed to the design of the study and analysis of the data; Schulz PO and Ferreira FG wrote the manuscript. </w:t>
      </w:r>
    </w:p>
    <w:p w:rsidR="006D088A" w:rsidRPr="006575F7" w:rsidRDefault="006D088A" w:rsidP="00B230CE">
      <w:pPr>
        <w:spacing w:after="0" w:line="360" w:lineRule="auto"/>
        <w:jc w:val="both"/>
        <w:rPr>
          <w:rFonts w:ascii="Book Antiqua" w:hAnsi="Book Antiqua" w:cs="Arial"/>
          <w:sz w:val="24"/>
          <w:szCs w:val="24"/>
          <w:lang w:eastAsia="zh-CN"/>
        </w:rPr>
      </w:pPr>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hAnsi="Book Antiqua" w:cs="Arial"/>
          <w:b/>
          <w:sz w:val="24"/>
          <w:szCs w:val="24"/>
          <w:lang w:eastAsia="zh-CN"/>
        </w:rPr>
        <w:t xml:space="preserve">Supported by </w:t>
      </w:r>
      <w:r w:rsidRPr="006575F7">
        <w:rPr>
          <w:rFonts w:ascii="Book Antiqua" w:hAnsi="Book Antiqua" w:cs="Arial"/>
          <w:sz w:val="24"/>
          <w:szCs w:val="24"/>
          <w:lang w:eastAsia="zh-CN"/>
        </w:rPr>
        <w:t>CAPES-MEC-Brazil - Grant master's thesis</w:t>
      </w:r>
    </w:p>
    <w:p w:rsidR="006D088A" w:rsidRPr="006575F7" w:rsidRDefault="006D088A" w:rsidP="00B230CE">
      <w:pPr>
        <w:spacing w:after="0" w:line="360" w:lineRule="auto"/>
        <w:jc w:val="both"/>
        <w:rPr>
          <w:rFonts w:ascii="Book Antiqua" w:hAnsi="Book Antiqua"/>
          <w:b/>
          <w:color w:val="000000"/>
          <w:sz w:val="24"/>
          <w:szCs w:val="24"/>
        </w:rPr>
      </w:pPr>
    </w:p>
    <w:p w:rsidR="006D088A" w:rsidRPr="006575F7" w:rsidRDefault="006D088A" w:rsidP="00B230CE">
      <w:pPr>
        <w:spacing w:after="0" w:line="360" w:lineRule="auto"/>
        <w:jc w:val="both"/>
        <w:rPr>
          <w:rFonts w:ascii="Book Antiqua" w:eastAsia="Times New Roman" w:hAnsi="Book Antiqua" w:cs="Calibri"/>
          <w:color w:val="0000FF"/>
          <w:sz w:val="24"/>
          <w:szCs w:val="24"/>
          <w:u w:val="single"/>
          <w:lang w:eastAsia="pt-BR"/>
        </w:rPr>
      </w:pPr>
      <w:r w:rsidRPr="006575F7">
        <w:rPr>
          <w:rFonts w:ascii="Book Antiqua" w:hAnsi="Book Antiqua"/>
          <w:b/>
          <w:color w:val="000000"/>
          <w:sz w:val="24"/>
          <w:szCs w:val="24"/>
        </w:rPr>
        <w:t>Correspondence to:</w:t>
      </w:r>
      <w:r w:rsidRPr="006575F7">
        <w:rPr>
          <w:rFonts w:ascii="Book Antiqua" w:hAnsi="Book Antiqua"/>
          <w:b/>
          <w:color w:val="000000"/>
          <w:sz w:val="24"/>
          <w:szCs w:val="24"/>
          <w:lang w:eastAsia="zh-CN"/>
        </w:rPr>
        <w:t xml:space="preserve"> </w:t>
      </w:r>
      <w:r w:rsidRPr="006575F7">
        <w:rPr>
          <w:rFonts w:ascii="Book Antiqua" w:eastAsia="Times New Roman" w:hAnsi="Book Antiqua" w:cs="Calibri"/>
          <w:b/>
          <w:sz w:val="24"/>
          <w:szCs w:val="24"/>
          <w:lang w:eastAsia="pt-BR"/>
        </w:rPr>
        <w:t xml:space="preserve">Fabio </w:t>
      </w:r>
      <w:proofErr w:type="spellStart"/>
      <w:r w:rsidRPr="006575F7">
        <w:rPr>
          <w:rFonts w:ascii="Book Antiqua" w:eastAsia="Times New Roman" w:hAnsi="Book Antiqua" w:cs="Calibri"/>
          <w:b/>
          <w:sz w:val="24"/>
          <w:szCs w:val="24"/>
          <w:lang w:eastAsia="pt-BR"/>
        </w:rPr>
        <w:t>Gonçalves</w:t>
      </w:r>
      <w:proofErr w:type="spellEnd"/>
      <w:r w:rsidRPr="006575F7">
        <w:rPr>
          <w:rFonts w:ascii="Book Antiqua" w:eastAsia="Times New Roman" w:hAnsi="Book Antiqua" w:cs="Calibri"/>
          <w:b/>
          <w:sz w:val="24"/>
          <w:szCs w:val="24"/>
          <w:lang w:eastAsia="pt-BR"/>
        </w:rPr>
        <w:t xml:space="preserve"> Ferreira, MD, PhD</w:t>
      </w:r>
      <w:r w:rsidRPr="006575F7">
        <w:rPr>
          <w:rFonts w:ascii="Book Antiqua" w:hAnsi="Book Antiqua" w:cs="Calibri"/>
          <w:b/>
          <w:sz w:val="24"/>
          <w:szCs w:val="24"/>
          <w:lang w:eastAsia="zh-CN"/>
        </w:rPr>
        <w:t>,</w:t>
      </w:r>
      <w:r w:rsidRPr="006575F7">
        <w:rPr>
          <w:rFonts w:ascii="Book Antiqua" w:hAnsi="Book Antiqua"/>
          <w:b/>
          <w:color w:val="000000"/>
          <w:sz w:val="24"/>
          <w:szCs w:val="24"/>
          <w:lang w:eastAsia="zh-CN"/>
        </w:rPr>
        <w:t xml:space="preserve"> </w:t>
      </w:r>
      <w:r w:rsidRPr="006575F7">
        <w:rPr>
          <w:rFonts w:ascii="Book Antiqua" w:eastAsia="Times New Roman" w:hAnsi="Book Antiqua" w:cs="Calibri"/>
          <w:sz w:val="24"/>
          <w:szCs w:val="24"/>
          <w:lang w:eastAsia="pt-BR"/>
        </w:rPr>
        <w:t xml:space="preserve">Department of Surgery, </w:t>
      </w:r>
      <w:r w:rsidR="007B5A5E" w:rsidRPr="007B5A5E">
        <w:rPr>
          <w:rFonts w:ascii="Book Antiqua" w:eastAsia="Times New Roman" w:hAnsi="Book Antiqua" w:cs="Calibri"/>
          <w:sz w:val="24"/>
          <w:szCs w:val="24"/>
          <w:lang w:eastAsia="pt-BR"/>
        </w:rPr>
        <w:t>Liver and Portal Hypertension Group, Santa Casa School of Medical Sciences</w:t>
      </w:r>
      <w:r w:rsidRPr="006575F7">
        <w:rPr>
          <w:rFonts w:ascii="Book Antiqua" w:eastAsia="Times New Roman" w:hAnsi="Book Antiqua" w:cs="Calibri"/>
          <w:sz w:val="24"/>
          <w:szCs w:val="24"/>
          <w:lang w:eastAsia="pt-BR"/>
        </w:rPr>
        <w:t xml:space="preserve">, R </w:t>
      </w:r>
      <w:proofErr w:type="spellStart"/>
      <w:r w:rsidRPr="006575F7">
        <w:rPr>
          <w:rFonts w:ascii="Book Antiqua" w:eastAsia="Times New Roman" w:hAnsi="Book Antiqua" w:cs="Calibri"/>
          <w:sz w:val="24"/>
          <w:szCs w:val="24"/>
          <w:lang w:eastAsia="pt-BR"/>
        </w:rPr>
        <w:t>Apinajes</w:t>
      </w:r>
      <w:proofErr w:type="spellEnd"/>
      <w:r w:rsidRPr="006575F7">
        <w:rPr>
          <w:rFonts w:ascii="Book Antiqua" w:eastAsia="Times New Roman" w:hAnsi="Book Antiqua" w:cs="Calibri"/>
          <w:sz w:val="24"/>
          <w:szCs w:val="24"/>
          <w:lang w:eastAsia="pt-BR"/>
        </w:rPr>
        <w:t xml:space="preserve">, 1060 </w:t>
      </w:r>
      <w:proofErr w:type="spellStart"/>
      <w:r w:rsidRPr="006575F7">
        <w:rPr>
          <w:rFonts w:ascii="Book Antiqua" w:eastAsia="Times New Roman" w:hAnsi="Book Antiqua" w:cs="Calibri"/>
          <w:sz w:val="24"/>
          <w:szCs w:val="24"/>
          <w:lang w:eastAsia="pt-BR"/>
        </w:rPr>
        <w:t>ap</w:t>
      </w:r>
      <w:proofErr w:type="spellEnd"/>
      <w:r w:rsidRPr="006575F7">
        <w:rPr>
          <w:rFonts w:ascii="Book Antiqua" w:eastAsia="Times New Roman" w:hAnsi="Book Antiqua" w:cs="Calibri"/>
          <w:sz w:val="24"/>
          <w:szCs w:val="24"/>
          <w:lang w:eastAsia="pt-BR"/>
        </w:rPr>
        <w:t xml:space="preserve"> 93</w:t>
      </w:r>
      <w:r w:rsidRPr="006575F7">
        <w:rPr>
          <w:rFonts w:ascii="Book Antiqua" w:hAnsi="Book Antiqua" w:cs="Calibri"/>
          <w:sz w:val="24"/>
          <w:szCs w:val="24"/>
          <w:lang w:eastAsia="zh-CN"/>
        </w:rPr>
        <w:t xml:space="preserve">, </w:t>
      </w:r>
      <w:r w:rsidR="007B5A5E" w:rsidRPr="006575F7">
        <w:rPr>
          <w:rFonts w:ascii="Book Antiqua" w:hAnsi="Book Antiqua" w:cs="Arial"/>
          <w:sz w:val="24"/>
          <w:szCs w:val="24"/>
        </w:rPr>
        <w:t>São Paulo 01277-900</w:t>
      </w:r>
      <w:r w:rsidRPr="006575F7">
        <w:rPr>
          <w:rFonts w:ascii="Book Antiqua" w:eastAsia="Times New Roman" w:hAnsi="Book Antiqua" w:cs="Calibri"/>
          <w:sz w:val="24"/>
          <w:szCs w:val="24"/>
          <w:lang w:eastAsia="pt-BR"/>
        </w:rPr>
        <w:t>, Brazil</w:t>
      </w:r>
      <w:r w:rsidRPr="006575F7">
        <w:rPr>
          <w:rFonts w:ascii="Book Antiqua" w:hAnsi="Book Antiqua" w:cs="Calibri"/>
          <w:sz w:val="24"/>
          <w:szCs w:val="24"/>
          <w:lang w:eastAsia="zh-CN"/>
        </w:rPr>
        <w:t xml:space="preserve">. </w:t>
      </w:r>
      <w:hyperlink r:id="rId8" w:history="1">
        <w:r w:rsidRPr="006575F7">
          <w:rPr>
            <w:rFonts w:ascii="Book Antiqua" w:eastAsia="Times New Roman" w:hAnsi="Book Antiqua" w:cs="Calibri"/>
            <w:sz w:val="24"/>
            <w:szCs w:val="24"/>
            <w:lang w:eastAsia="pt-BR"/>
          </w:rPr>
          <w:t>drfabioferreira@uol.com.br</w:t>
        </w:r>
      </w:hyperlink>
      <w:r w:rsidRPr="006575F7">
        <w:rPr>
          <w:rFonts w:ascii="Book Antiqua" w:eastAsia="Times New Roman" w:hAnsi="Book Antiqua" w:cs="Calibri"/>
          <w:sz w:val="24"/>
          <w:szCs w:val="24"/>
          <w:lang w:eastAsia="pt-BR"/>
        </w:rPr>
        <w:t xml:space="preserve"> </w:t>
      </w:r>
    </w:p>
    <w:p w:rsidR="006D088A" w:rsidRDefault="006D088A" w:rsidP="00B230CE">
      <w:pPr>
        <w:spacing w:after="0" w:line="360" w:lineRule="auto"/>
        <w:jc w:val="both"/>
        <w:rPr>
          <w:rFonts w:ascii="Book Antiqua" w:hAnsi="Book Antiqua" w:cs="Calibri"/>
          <w:sz w:val="24"/>
          <w:szCs w:val="24"/>
          <w:lang w:eastAsia="zh-CN"/>
        </w:rPr>
      </w:pPr>
      <w:r w:rsidRPr="006575F7">
        <w:rPr>
          <w:rFonts w:ascii="Book Antiqua" w:eastAsia="Times New Roman" w:hAnsi="Book Antiqua" w:cs="Calibri"/>
          <w:b/>
          <w:sz w:val="24"/>
          <w:szCs w:val="24"/>
          <w:lang w:eastAsia="pt-BR"/>
        </w:rPr>
        <w:t>Telephone:</w:t>
      </w:r>
      <w:r w:rsidR="006575F7">
        <w:rPr>
          <w:rFonts w:ascii="Book Antiqua" w:eastAsia="Times New Roman" w:hAnsi="Book Antiqua" w:cs="Calibri"/>
          <w:sz w:val="24"/>
          <w:szCs w:val="24"/>
          <w:lang w:eastAsia="pt-BR"/>
        </w:rPr>
        <w:t xml:space="preserve"> +55-11-99211</w:t>
      </w:r>
      <w:r w:rsidRPr="006575F7">
        <w:rPr>
          <w:rFonts w:ascii="Book Antiqua" w:eastAsia="Times New Roman" w:hAnsi="Book Antiqua" w:cs="Calibri"/>
          <w:sz w:val="24"/>
          <w:szCs w:val="24"/>
          <w:lang w:eastAsia="pt-BR"/>
        </w:rPr>
        <w:t xml:space="preserve">0057 </w:t>
      </w:r>
      <w:r w:rsidRPr="006575F7">
        <w:rPr>
          <w:rFonts w:ascii="Book Antiqua" w:hAnsi="Book Antiqua" w:cs="Calibri"/>
          <w:sz w:val="24"/>
          <w:szCs w:val="24"/>
          <w:lang w:eastAsia="zh-CN"/>
        </w:rPr>
        <w:tab/>
      </w:r>
      <w:r w:rsidRPr="006575F7">
        <w:rPr>
          <w:rFonts w:ascii="Book Antiqua" w:hAnsi="Book Antiqua" w:cs="Calibri"/>
          <w:sz w:val="24"/>
          <w:szCs w:val="24"/>
          <w:lang w:eastAsia="zh-CN"/>
        </w:rPr>
        <w:tab/>
      </w:r>
      <w:r w:rsidRPr="006575F7">
        <w:rPr>
          <w:rFonts w:ascii="Book Antiqua" w:eastAsia="Times New Roman" w:hAnsi="Book Antiqua" w:cs="Calibri"/>
          <w:b/>
          <w:sz w:val="24"/>
          <w:szCs w:val="24"/>
          <w:lang w:eastAsia="pt-BR"/>
        </w:rPr>
        <w:t>Fax:</w:t>
      </w:r>
      <w:r w:rsidR="006575F7">
        <w:rPr>
          <w:rFonts w:ascii="Book Antiqua" w:eastAsia="Times New Roman" w:hAnsi="Book Antiqua" w:cs="Calibri"/>
          <w:sz w:val="24"/>
          <w:szCs w:val="24"/>
          <w:lang w:eastAsia="pt-BR"/>
        </w:rPr>
        <w:t xml:space="preserve"> +55-11-3337</w:t>
      </w:r>
      <w:r w:rsidRPr="006575F7">
        <w:rPr>
          <w:rFonts w:ascii="Book Antiqua" w:eastAsia="Times New Roman" w:hAnsi="Book Antiqua" w:cs="Calibri"/>
          <w:sz w:val="24"/>
          <w:szCs w:val="24"/>
          <w:lang w:eastAsia="pt-BR"/>
        </w:rPr>
        <w:t>8164</w:t>
      </w:r>
    </w:p>
    <w:p w:rsidR="006575F7" w:rsidRPr="006575F7" w:rsidRDefault="006575F7" w:rsidP="00B230CE">
      <w:pPr>
        <w:spacing w:after="0" w:line="360" w:lineRule="auto"/>
        <w:jc w:val="both"/>
        <w:rPr>
          <w:rFonts w:ascii="Book Antiqua" w:hAnsi="Book Antiqua" w:cs="Calibri"/>
          <w:sz w:val="24"/>
          <w:szCs w:val="24"/>
          <w:lang w:eastAsia="zh-CN"/>
        </w:rPr>
      </w:pPr>
    </w:p>
    <w:p w:rsidR="006D088A" w:rsidRPr="006575F7" w:rsidRDefault="006D088A" w:rsidP="00B230CE">
      <w:pPr>
        <w:spacing w:after="0" w:line="360" w:lineRule="auto"/>
        <w:jc w:val="both"/>
        <w:rPr>
          <w:rFonts w:ascii="Book Antiqua" w:hAnsi="Book Antiqua"/>
          <w:color w:val="000000"/>
          <w:sz w:val="24"/>
          <w:szCs w:val="24"/>
          <w:lang w:eastAsia="zh-CN"/>
        </w:rPr>
      </w:pPr>
      <w:bookmarkStart w:id="7" w:name="OLE_LINK4"/>
      <w:bookmarkStart w:id="8" w:name="OLE_LINK5"/>
      <w:bookmarkStart w:id="9" w:name="OLE_LINK332"/>
      <w:bookmarkStart w:id="10" w:name="OLE_LINK329"/>
      <w:bookmarkStart w:id="11" w:name="OLE_LINK381"/>
      <w:bookmarkStart w:id="12" w:name="OLE_LINK407"/>
      <w:r w:rsidRPr="006575F7">
        <w:rPr>
          <w:rFonts w:ascii="Book Antiqua" w:hAnsi="Book Antiqua"/>
          <w:b/>
          <w:color w:val="000000"/>
          <w:sz w:val="24"/>
          <w:szCs w:val="24"/>
        </w:rPr>
        <w:t>Received:</w:t>
      </w:r>
      <w:r w:rsidRPr="006575F7">
        <w:rPr>
          <w:rFonts w:ascii="Book Antiqua" w:hAnsi="Book Antiqua"/>
          <w:b/>
          <w:color w:val="000000"/>
          <w:sz w:val="24"/>
          <w:szCs w:val="24"/>
        </w:rPr>
        <w:tab/>
      </w:r>
      <w:r w:rsidR="006575F7" w:rsidRPr="006575F7">
        <w:rPr>
          <w:rFonts w:ascii="Book Antiqua" w:hAnsi="Book Antiqua" w:hint="eastAsia"/>
          <w:color w:val="000000"/>
          <w:sz w:val="24"/>
          <w:szCs w:val="24"/>
          <w:lang w:eastAsia="zh-CN"/>
        </w:rPr>
        <w:t>J</w:t>
      </w:r>
      <w:r w:rsidR="006575F7" w:rsidRPr="006575F7">
        <w:rPr>
          <w:rFonts w:ascii="Book Antiqua" w:hAnsi="Book Antiqua"/>
          <w:color w:val="000000"/>
          <w:sz w:val="24"/>
          <w:szCs w:val="24"/>
          <w:lang w:eastAsia="zh-CN"/>
        </w:rPr>
        <w:t>une</w:t>
      </w:r>
      <w:r w:rsidR="006575F7" w:rsidRPr="006575F7">
        <w:rPr>
          <w:rFonts w:ascii="Book Antiqua" w:hAnsi="Book Antiqua" w:hint="eastAsia"/>
          <w:color w:val="000000"/>
          <w:sz w:val="24"/>
          <w:szCs w:val="24"/>
          <w:lang w:eastAsia="zh-CN"/>
        </w:rPr>
        <w:t xml:space="preserve"> 3, 2014</w:t>
      </w:r>
      <w:r w:rsidRPr="006575F7">
        <w:rPr>
          <w:rFonts w:ascii="Book Antiqua" w:hAnsi="Book Antiqua"/>
          <w:color w:val="000000"/>
          <w:sz w:val="24"/>
          <w:szCs w:val="24"/>
        </w:rPr>
        <w:tab/>
      </w:r>
      <w:r w:rsidRPr="006575F7">
        <w:rPr>
          <w:rFonts w:ascii="Book Antiqua" w:hAnsi="Book Antiqua"/>
          <w:b/>
          <w:color w:val="000000"/>
          <w:sz w:val="24"/>
          <w:szCs w:val="24"/>
        </w:rPr>
        <w:tab/>
      </w:r>
      <w:r w:rsidRPr="006575F7">
        <w:rPr>
          <w:rFonts w:ascii="Book Antiqua" w:hAnsi="Book Antiqua"/>
          <w:b/>
          <w:color w:val="000000"/>
          <w:sz w:val="24"/>
          <w:szCs w:val="24"/>
        </w:rPr>
        <w:tab/>
        <w:t>Revised:</w:t>
      </w:r>
      <w:r w:rsidR="006575F7">
        <w:rPr>
          <w:rFonts w:ascii="Book Antiqua" w:hAnsi="Book Antiqua" w:hint="eastAsia"/>
          <w:b/>
          <w:color w:val="000000"/>
          <w:sz w:val="24"/>
          <w:szCs w:val="24"/>
          <w:lang w:eastAsia="zh-CN"/>
        </w:rPr>
        <w:t xml:space="preserve"> </w:t>
      </w:r>
      <w:r w:rsidR="006575F7" w:rsidRPr="006575F7">
        <w:rPr>
          <w:rFonts w:ascii="Book Antiqua" w:hAnsi="Book Antiqua" w:hint="eastAsia"/>
          <w:color w:val="000000"/>
          <w:sz w:val="24"/>
          <w:szCs w:val="24"/>
          <w:lang w:eastAsia="zh-CN"/>
        </w:rPr>
        <w:t>J</w:t>
      </w:r>
      <w:r w:rsidR="006575F7" w:rsidRPr="006575F7">
        <w:rPr>
          <w:rFonts w:ascii="Book Antiqua" w:hAnsi="Book Antiqua"/>
          <w:color w:val="000000"/>
          <w:sz w:val="24"/>
          <w:szCs w:val="24"/>
          <w:lang w:eastAsia="zh-CN"/>
        </w:rPr>
        <w:t xml:space="preserve">uly </w:t>
      </w:r>
      <w:r w:rsidR="006575F7" w:rsidRPr="006575F7">
        <w:rPr>
          <w:rFonts w:ascii="Book Antiqua" w:hAnsi="Book Antiqua" w:hint="eastAsia"/>
          <w:color w:val="000000"/>
          <w:sz w:val="24"/>
          <w:szCs w:val="24"/>
          <w:lang w:eastAsia="zh-CN"/>
        </w:rPr>
        <w:t>18, 2014</w:t>
      </w:r>
    </w:p>
    <w:p w:rsidR="006575F7" w:rsidRPr="005D7BBF" w:rsidRDefault="006575F7" w:rsidP="005D7BBF">
      <w:pPr>
        <w:rPr>
          <w:rFonts w:ascii="Book Antiqua" w:hAnsi="Book Antiqua"/>
          <w:color w:val="000000"/>
          <w:sz w:val="24"/>
        </w:rPr>
      </w:pPr>
      <w:r>
        <w:rPr>
          <w:rFonts w:ascii="Book Antiqua" w:hAnsi="Book Antiqua"/>
          <w:b/>
          <w:color w:val="000000"/>
          <w:sz w:val="24"/>
          <w:szCs w:val="24"/>
        </w:rPr>
        <w:t>Accepted:</w:t>
      </w:r>
      <w:bookmarkStart w:id="13" w:name="OLE_LINK2"/>
      <w:bookmarkStart w:id="14" w:name="OLE_LINK3"/>
      <w:bookmarkStart w:id="15" w:name="OLE_LINK8"/>
      <w:bookmarkStart w:id="16" w:name="OLE_LINK9"/>
      <w:bookmarkStart w:id="17" w:name="OLE_LINK10"/>
      <w:bookmarkStart w:id="18" w:name="OLE_LINK6"/>
      <w:r w:rsidR="005D7BBF" w:rsidRPr="005D7BBF">
        <w:rPr>
          <w:rFonts w:ascii="Book Antiqua" w:hAnsi="Book Antiqua"/>
          <w:color w:val="000000"/>
          <w:sz w:val="24"/>
        </w:rPr>
        <w:t xml:space="preserve"> </w:t>
      </w:r>
      <w:r w:rsidR="005D7BBF">
        <w:rPr>
          <w:rFonts w:ascii="Book Antiqua" w:hAnsi="Book Antiqua"/>
          <w:color w:val="000000"/>
          <w:sz w:val="24"/>
        </w:rPr>
        <w:t>September 18, 2014</w:t>
      </w:r>
      <w:bookmarkStart w:id="19" w:name="_GoBack"/>
      <w:bookmarkEnd w:id="13"/>
      <w:bookmarkEnd w:id="14"/>
      <w:bookmarkEnd w:id="15"/>
      <w:bookmarkEnd w:id="16"/>
      <w:bookmarkEnd w:id="17"/>
      <w:bookmarkEnd w:id="18"/>
      <w:bookmarkEnd w:id="19"/>
      <w:r>
        <w:rPr>
          <w:rFonts w:ascii="Book Antiqua" w:hAnsi="Book Antiqua"/>
          <w:b/>
          <w:color w:val="000000"/>
          <w:sz w:val="24"/>
          <w:szCs w:val="24"/>
        </w:rPr>
        <w:tab/>
      </w:r>
      <w:r>
        <w:rPr>
          <w:rFonts w:ascii="Book Antiqua" w:hAnsi="Book Antiqua"/>
          <w:b/>
          <w:color w:val="000000"/>
          <w:sz w:val="24"/>
          <w:szCs w:val="24"/>
        </w:rPr>
        <w:tab/>
      </w:r>
    </w:p>
    <w:p w:rsidR="006D088A" w:rsidRPr="006575F7" w:rsidRDefault="006D088A" w:rsidP="00B230CE">
      <w:pPr>
        <w:spacing w:after="0" w:line="360" w:lineRule="auto"/>
        <w:jc w:val="both"/>
        <w:rPr>
          <w:rFonts w:ascii="Book Antiqua" w:hAnsi="Book Antiqua"/>
          <w:color w:val="000000"/>
          <w:sz w:val="24"/>
          <w:szCs w:val="24"/>
        </w:rPr>
      </w:pPr>
      <w:r w:rsidRPr="006575F7">
        <w:rPr>
          <w:rFonts w:ascii="Book Antiqua" w:hAnsi="Book Antiqua"/>
          <w:b/>
          <w:color w:val="000000"/>
          <w:sz w:val="24"/>
          <w:szCs w:val="24"/>
        </w:rPr>
        <w:t xml:space="preserve">Published online: </w:t>
      </w:r>
    </w:p>
    <w:bookmarkEnd w:id="7"/>
    <w:bookmarkEnd w:id="8"/>
    <w:bookmarkEnd w:id="9"/>
    <w:bookmarkEnd w:id="10"/>
    <w:bookmarkEnd w:id="11"/>
    <w:bookmarkEnd w:id="12"/>
    <w:p w:rsidR="006D088A" w:rsidRPr="006575F7" w:rsidRDefault="006D088A" w:rsidP="00B230CE">
      <w:pPr>
        <w:spacing w:after="0" w:line="360" w:lineRule="auto"/>
        <w:jc w:val="both"/>
        <w:rPr>
          <w:rFonts w:ascii="Book Antiqua" w:hAnsi="Book Antiqua" w:cs="Calibri"/>
          <w:sz w:val="24"/>
          <w:szCs w:val="24"/>
          <w:lang w:eastAsia="zh-CN"/>
        </w:rPr>
      </w:pP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br w:type="page"/>
      </w:r>
    </w:p>
    <w:p w:rsidR="006D088A" w:rsidRPr="006575F7" w:rsidRDefault="006D088A" w:rsidP="00B230CE">
      <w:pPr>
        <w:spacing w:after="0" w:line="360" w:lineRule="auto"/>
        <w:jc w:val="both"/>
        <w:rPr>
          <w:rFonts w:ascii="Book Antiqua" w:hAnsi="Book Antiqua" w:cs="Arial"/>
          <w:b/>
          <w:sz w:val="24"/>
          <w:szCs w:val="24"/>
          <w:lang w:eastAsia="zh-CN"/>
        </w:rPr>
      </w:pPr>
      <w:r w:rsidRPr="006575F7">
        <w:rPr>
          <w:rFonts w:ascii="Book Antiqua" w:hAnsi="Book Antiqua" w:cs="Arial"/>
          <w:b/>
          <w:sz w:val="24"/>
          <w:szCs w:val="24"/>
        </w:rPr>
        <w:lastRenderedPageBreak/>
        <w:t>Abstract</w:t>
      </w:r>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hAnsi="Book Antiqua" w:cs="Arial"/>
          <w:b/>
          <w:sz w:val="24"/>
          <w:szCs w:val="24"/>
        </w:rPr>
        <w:t>AIM:</w:t>
      </w:r>
      <w:r w:rsidRPr="006575F7">
        <w:rPr>
          <w:rFonts w:ascii="Book Antiqua" w:hAnsi="Book Antiqua" w:cs="Arial"/>
          <w:sz w:val="24"/>
          <w:szCs w:val="24"/>
        </w:rPr>
        <w:t xml:space="preserve"> To investigate the association between nonalcoholic fatty liver disease (NAFLD) and liver cancer, and NAFLD prevalence in different liver tumors.</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hAnsi="Book Antiqua" w:cs="Arial"/>
          <w:b/>
          <w:sz w:val="24"/>
          <w:szCs w:val="24"/>
        </w:rPr>
        <w:t>METHODS:</w:t>
      </w:r>
      <w:r w:rsidRPr="006575F7">
        <w:rPr>
          <w:rFonts w:ascii="Book Antiqua" w:hAnsi="Book Antiqua" w:cs="Arial"/>
          <w:sz w:val="24"/>
          <w:szCs w:val="24"/>
        </w:rPr>
        <w:t xml:space="preserve"> This is a retrospective study of the clinical, laboratory and histological data of 120 patients diagnosed with primary or secondary hepatic neoplasms and treated at a tertiary center where they underwent hepatic resection and/or liver transplantation, with subsequent evaluation of the explant or liver biopsy. The following criteria were used to exclude patients from the study: a history of alcohol abuse, hepatitis B or C infection, no tumor detected in the liver tissue examined by histological analysis, and the presence of chronic autoimmune hepatitis, hemochromatosis, Wilson’s disease, or </w:t>
      </w:r>
      <w:proofErr w:type="spellStart"/>
      <w:r w:rsidRPr="006575F7">
        <w:rPr>
          <w:rFonts w:ascii="Book Antiqua" w:hAnsi="Book Antiqua" w:cs="Arial"/>
          <w:sz w:val="24"/>
          <w:szCs w:val="24"/>
        </w:rPr>
        <w:t>hepatoblastoma</w:t>
      </w:r>
      <w:proofErr w:type="spellEnd"/>
      <w:r w:rsidRPr="006575F7">
        <w:rPr>
          <w:rFonts w:ascii="Book Antiqua" w:hAnsi="Book Antiqua" w:cs="Arial"/>
          <w:sz w:val="24"/>
          <w:szCs w:val="24"/>
        </w:rPr>
        <w:t xml:space="preserve">. The occurrence of NAFLD and the association with its known risk factors were studied. The risk factors considered were diabetes mellitus, impaired glucose tolerance, impaired fasting glucose, body mass index, dyslipidemia, and arterial hypertension. Presence of </w:t>
      </w:r>
      <w:proofErr w:type="spellStart"/>
      <w:r w:rsidRPr="006575F7">
        <w:rPr>
          <w:rFonts w:ascii="Book Antiqua" w:hAnsi="Book Antiqua" w:cs="Arial"/>
          <w:sz w:val="24"/>
          <w:szCs w:val="24"/>
        </w:rPr>
        <w:t>reticulin</w:t>
      </w:r>
      <w:proofErr w:type="spellEnd"/>
      <w:r w:rsidRPr="006575F7">
        <w:rPr>
          <w:rFonts w:ascii="Book Antiqua" w:hAnsi="Book Antiqua" w:cs="Arial"/>
          <w:sz w:val="24"/>
          <w:szCs w:val="24"/>
        </w:rPr>
        <w:t xml:space="preserve"> fibers in the hepatic neoplasms was assessed by histological analysis using slide-mounted specimens stained with either </w:t>
      </w:r>
      <w:proofErr w:type="spellStart"/>
      <w:r w:rsidRPr="006575F7">
        <w:rPr>
          <w:rFonts w:ascii="Book Antiqua" w:hAnsi="Book Antiqua" w:cs="Arial"/>
          <w:sz w:val="24"/>
          <w:szCs w:val="24"/>
        </w:rPr>
        <w:t>hematoxylin</w:t>
      </w:r>
      <w:proofErr w:type="spellEnd"/>
      <w:r w:rsidRPr="006575F7">
        <w:rPr>
          <w:rFonts w:ascii="Book Antiqua" w:hAnsi="Book Antiqua" w:cs="Arial"/>
          <w:sz w:val="24"/>
          <w:szCs w:val="24"/>
        </w:rPr>
        <w:t xml:space="preserve"> and eosin or Masson's </w:t>
      </w:r>
      <w:proofErr w:type="spellStart"/>
      <w:r w:rsidRPr="006575F7">
        <w:rPr>
          <w:rFonts w:ascii="Book Antiqua" w:hAnsi="Book Antiqua" w:cs="Arial"/>
          <w:sz w:val="24"/>
          <w:szCs w:val="24"/>
        </w:rPr>
        <w:t>trichrome</w:t>
      </w:r>
      <w:proofErr w:type="spellEnd"/>
      <w:r w:rsidRPr="006575F7">
        <w:rPr>
          <w:rFonts w:ascii="Book Antiqua" w:hAnsi="Book Antiqua" w:cs="Arial"/>
          <w:sz w:val="24"/>
          <w:szCs w:val="24"/>
        </w:rPr>
        <w:t xml:space="preserve"> and silver impregnation. Analysis of tumor-free liver parenchyma was carried out to determine the association between NAFLD and its histological grade.</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b/>
          <w:sz w:val="24"/>
          <w:szCs w:val="24"/>
        </w:rPr>
        <w:t>RESULTS:</w:t>
      </w:r>
      <w:r w:rsidRPr="006575F7">
        <w:rPr>
          <w:rFonts w:ascii="Book Antiqua" w:hAnsi="Book Antiqua" w:cs="Arial"/>
          <w:sz w:val="24"/>
          <w:szCs w:val="24"/>
        </w:rPr>
        <w:t xml:space="preserve"> No difference was found in the association of NAFLD with the general population (34.2% and 30.0% respectively, 95%</w:t>
      </w:r>
      <w:r w:rsidR="006575F7">
        <w:rPr>
          <w:rFonts w:ascii="Book Antiqua" w:hAnsi="Book Antiqua" w:cs="Arial"/>
          <w:sz w:val="24"/>
          <w:szCs w:val="24"/>
        </w:rPr>
        <w:t>CI</w:t>
      </w:r>
      <w:r w:rsidRPr="006575F7">
        <w:rPr>
          <w:rFonts w:ascii="Book Antiqua" w:hAnsi="Book Antiqua" w:cs="Arial"/>
          <w:sz w:val="24"/>
          <w:szCs w:val="24"/>
        </w:rPr>
        <w:t>: 25.8</w:t>
      </w:r>
      <w:r w:rsidR="006575F7">
        <w:rPr>
          <w:rFonts w:ascii="Book Antiqua" w:hAnsi="Book Antiqua" w:cs="Arial" w:hint="eastAsia"/>
          <w:sz w:val="24"/>
          <w:szCs w:val="24"/>
          <w:lang w:eastAsia="zh-CN"/>
        </w:rPr>
        <w:t>-</w:t>
      </w:r>
      <w:r w:rsidRPr="006575F7">
        <w:rPr>
          <w:rFonts w:ascii="Book Antiqua" w:hAnsi="Book Antiqua" w:cs="Arial"/>
          <w:sz w:val="24"/>
          <w:szCs w:val="24"/>
        </w:rPr>
        <w:t xml:space="preserve">43.4). Evaluation by cancer type showed that NAFLD was more prevalent in patients with liver metastasis of colorectal cancer than in patients with hepatocellular carcinoma and intrahepatic </w:t>
      </w:r>
      <w:proofErr w:type="spellStart"/>
      <w:r w:rsidRPr="006575F7">
        <w:rPr>
          <w:rFonts w:ascii="Book Antiqua" w:hAnsi="Book Antiqua" w:cs="Arial"/>
          <w:sz w:val="24"/>
          <w:szCs w:val="24"/>
        </w:rPr>
        <w:t>cholangiocarcin</w:t>
      </w:r>
      <w:r w:rsidR="00047F60">
        <w:rPr>
          <w:rFonts w:ascii="Book Antiqua" w:hAnsi="Book Antiqua" w:cs="Arial"/>
          <w:sz w:val="24"/>
          <w:szCs w:val="24"/>
        </w:rPr>
        <w:t>oma</w:t>
      </w:r>
      <w:proofErr w:type="spellEnd"/>
      <w:r w:rsidR="00047F60">
        <w:rPr>
          <w:rFonts w:ascii="Book Antiqua" w:hAnsi="Book Antiqua" w:cs="Arial"/>
          <w:sz w:val="24"/>
          <w:szCs w:val="24"/>
        </w:rPr>
        <w:t xml:space="preserve"> (odds ratio, OR = 3.99, 95%</w:t>
      </w:r>
      <w:r w:rsidRPr="006575F7">
        <w:rPr>
          <w:rFonts w:ascii="Book Antiqua" w:hAnsi="Book Antiqua" w:cs="Arial"/>
          <w:sz w:val="24"/>
          <w:szCs w:val="24"/>
        </w:rPr>
        <w:t xml:space="preserve">CI: 1.78 to 8.94, </w:t>
      </w:r>
      <w:r w:rsidRPr="006575F7">
        <w:rPr>
          <w:rFonts w:ascii="Book Antiqua" w:hAnsi="Book Antiqua" w:cs="Arial"/>
          <w:i/>
          <w:sz w:val="24"/>
          <w:szCs w:val="24"/>
        </w:rPr>
        <w:t>P</w:t>
      </w:r>
      <w:r w:rsidRPr="006575F7">
        <w:rPr>
          <w:rFonts w:ascii="Book Antiqua" w:hAnsi="Book Antiqua" w:cs="Arial"/>
          <w:sz w:val="24"/>
          <w:szCs w:val="24"/>
        </w:rPr>
        <w:t xml:space="preserve"> &lt;</w:t>
      </w:r>
      <w:r w:rsidRPr="006575F7">
        <w:rPr>
          <w:rFonts w:ascii="Book Antiqua" w:hAnsi="Book Antiqua" w:cs="Arial"/>
          <w:sz w:val="24"/>
          <w:szCs w:val="24"/>
          <w:lang w:eastAsia="zh-CN"/>
        </w:rPr>
        <w:t xml:space="preserve"> </w:t>
      </w:r>
      <w:r w:rsidRPr="006575F7">
        <w:rPr>
          <w:rFonts w:ascii="Book Antiqua" w:hAnsi="Book Antiqua" w:cs="Arial"/>
          <w:sz w:val="24"/>
          <w:szCs w:val="24"/>
        </w:rPr>
        <w:t xml:space="preserve">0.001 </w:t>
      </w:r>
      <w:r w:rsidRPr="006575F7">
        <w:rPr>
          <w:rFonts w:ascii="Book Antiqua" w:hAnsi="Book Antiqua" w:cs="Arial"/>
          <w:i/>
          <w:sz w:val="24"/>
          <w:szCs w:val="24"/>
        </w:rPr>
        <w:t>vs</w:t>
      </w:r>
      <w:r w:rsidRPr="006575F7">
        <w:rPr>
          <w:rFonts w:ascii="Book Antiqua" w:hAnsi="Book Antiqua" w:cs="Arial"/>
          <w:sz w:val="24"/>
          <w:szCs w:val="24"/>
        </w:rPr>
        <w:t xml:space="preserve"> OR = 0.6</w:t>
      </w:r>
      <w:r w:rsidR="00047F60">
        <w:rPr>
          <w:rFonts w:ascii="Book Antiqua" w:hAnsi="Book Antiqua" w:cs="Arial"/>
          <w:sz w:val="24"/>
          <w:szCs w:val="24"/>
        </w:rPr>
        <w:t>0, 95%</w:t>
      </w:r>
      <w:r w:rsidRPr="006575F7">
        <w:rPr>
          <w:rFonts w:ascii="Book Antiqua" w:hAnsi="Book Antiqua" w:cs="Arial"/>
          <w:sz w:val="24"/>
          <w:szCs w:val="24"/>
        </w:rPr>
        <w:t>CI: 0.18</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2.01, </w:t>
      </w:r>
      <w:r w:rsidRPr="006575F7">
        <w:rPr>
          <w:rFonts w:ascii="Book Antiqua" w:hAnsi="Book Antiqua" w:cs="Arial"/>
          <w:i/>
          <w:sz w:val="24"/>
          <w:szCs w:val="24"/>
        </w:rPr>
        <w:t>P</w:t>
      </w:r>
      <w:r w:rsidRPr="006575F7">
        <w:rPr>
          <w:rFonts w:ascii="Book Antiqua" w:hAnsi="Book Antiqua" w:cs="Arial"/>
          <w:sz w:val="24"/>
          <w:szCs w:val="24"/>
        </w:rPr>
        <w:t xml:space="preserve"> = 0.406 and</w:t>
      </w:r>
      <w:r w:rsidRPr="006575F7">
        <w:rPr>
          <w:rFonts w:ascii="Book Antiqua" w:hAnsi="Book Antiqua"/>
          <w:sz w:val="24"/>
          <w:szCs w:val="24"/>
        </w:rPr>
        <w:t xml:space="preserve"> </w:t>
      </w:r>
      <w:r w:rsidR="00047F60">
        <w:rPr>
          <w:rFonts w:ascii="Book Antiqua" w:hAnsi="Book Antiqua" w:cs="Arial"/>
          <w:sz w:val="24"/>
          <w:szCs w:val="24"/>
        </w:rPr>
        <w:t>OR = 0.70, 95%</w:t>
      </w:r>
      <w:r w:rsidRPr="006575F7">
        <w:rPr>
          <w:rFonts w:ascii="Book Antiqua" w:hAnsi="Book Antiqua" w:cs="Arial"/>
          <w:sz w:val="24"/>
          <w:szCs w:val="24"/>
        </w:rPr>
        <w:t>CI: 0.18</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2.80, </w:t>
      </w:r>
      <w:r w:rsidRPr="006575F7">
        <w:rPr>
          <w:rFonts w:ascii="Book Antiqua" w:hAnsi="Book Antiqua" w:cs="Arial"/>
          <w:i/>
          <w:sz w:val="24"/>
          <w:szCs w:val="24"/>
        </w:rPr>
        <w:t>P</w:t>
      </w:r>
      <w:r w:rsidRPr="006575F7">
        <w:rPr>
          <w:rFonts w:ascii="Book Antiqua" w:hAnsi="Book Antiqua" w:cs="Arial"/>
          <w:sz w:val="24"/>
          <w:szCs w:val="24"/>
        </w:rPr>
        <w:t xml:space="preserve"> = 0.613, respectively). There was a higher prevalence of liver fibrosis in patients with hepatocel</w:t>
      </w:r>
      <w:r w:rsidR="00047F60">
        <w:rPr>
          <w:rFonts w:ascii="Book Antiqua" w:hAnsi="Book Antiqua" w:cs="Arial"/>
          <w:sz w:val="24"/>
          <w:szCs w:val="24"/>
        </w:rPr>
        <w:t>lular carcinoma (OR = 3.50, 95%</w:t>
      </w:r>
      <w:r w:rsidRPr="006575F7">
        <w:rPr>
          <w:rFonts w:ascii="Book Antiqua" w:hAnsi="Book Antiqua" w:cs="Arial"/>
          <w:sz w:val="24"/>
          <w:szCs w:val="24"/>
        </w:rPr>
        <w:t>CI: 1.06</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11.57, </w:t>
      </w:r>
      <w:r w:rsidRPr="006575F7">
        <w:rPr>
          <w:rFonts w:ascii="Book Antiqua" w:hAnsi="Book Antiqua" w:cs="Arial"/>
          <w:i/>
          <w:sz w:val="24"/>
          <w:szCs w:val="24"/>
        </w:rPr>
        <w:t xml:space="preserve">P </w:t>
      </w:r>
      <w:r w:rsidRPr="006575F7">
        <w:rPr>
          <w:rFonts w:ascii="Book Antiqua" w:hAnsi="Book Antiqua" w:cs="Arial"/>
          <w:sz w:val="24"/>
          <w:szCs w:val="24"/>
        </w:rPr>
        <w:t>= 0.032). Evaluation of the relationship between the presence of NAFL</w:t>
      </w:r>
      <w:r w:rsidRPr="00047F60">
        <w:rPr>
          <w:rFonts w:ascii="Book Antiqua" w:hAnsi="Book Antiqua" w:cs="Arial"/>
          <w:sz w:val="24"/>
          <w:szCs w:val="24"/>
        </w:rPr>
        <w:t xml:space="preserve">D, nonalcoholic </w:t>
      </w:r>
      <w:proofErr w:type="spellStart"/>
      <w:r w:rsidRPr="00047F60">
        <w:rPr>
          <w:rFonts w:ascii="Book Antiqua" w:hAnsi="Book Antiqua" w:cs="Arial"/>
          <w:sz w:val="24"/>
          <w:szCs w:val="24"/>
        </w:rPr>
        <w:t>steatohepatitis</w:t>
      </w:r>
      <w:proofErr w:type="spellEnd"/>
      <w:r w:rsidRPr="00047F60">
        <w:rPr>
          <w:rFonts w:ascii="Book Antiqua" w:hAnsi="Book Antiqua" w:cs="Arial"/>
          <w:sz w:val="24"/>
          <w:szCs w:val="24"/>
        </w:rPr>
        <w:t>, an</w:t>
      </w:r>
      <w:r w:rsidRPr="006575F7">
        <w:rPr>
          <w:rFonts w:ascii="Book Antiqua" w:hAnsi="Book Antiqua" w:cs="Arial"/>
          <w:sz w:val="24"/>
          <w:szCs w:val="24"/>
        </w:rPr>
        <w:t xml:space="preserve">d liver fibrosis, and </w:t>
      </w:r>
      <w:r w:rsidRPr="006575F7">
        <w:rPr>
          <w:rFonts w:ascii="Book Antiqua" w:hAnsi="Book Antiqua" w:cs="Arial"/>
          <w:sz w:val="24"/>
          <w:szCs w:val="24"/>
        </w:rPr>
        <w:lastRenderedPageBreak/>
        <w:t>their risk factors, showed no significant statistical association for any of the tumors studied.</w:t>
      </w:r>
    </w:p>
    <w:p w:rsidR="006D088A" w:rsidRPr="006575F7" w:rsidRDefault="006D088A" w:rsidP="00B230CE">
      <w:pPr>
        <w:spacing w:after="0" w:line="360" w:lineRule="auto"/>
        <w:jc w:val="both"/>
        <w:rPr>
          <w:rFonts w:ascii="Book Antiqua" w:hAnsi="Book Antiqua" w:cs="Arial"/>
          <w:sz w:val="24"/>
          <w:szCs w:val="24"/>
          <w:lang w:eastAsia="zh-CN"/>
        </w:rPr>
      </w:pP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b/>
          <w:sz w:val="24"/>
          <w:szCs w:val="24"/>
        </w:rPr>
        <w:t>CONCLUSION:</w:t>
      </w:r>
      <w:r w:rsidRPr="006575F7">
        <w:rPr>
          <w:rFonts w:ascii="Book Antiqua" w:hAnsi="Book Antiqua" w:cs="Arial"/>
          <w:sz w:val="24"/>
          <w:szCs w:val="24"/>
        </w:rPr>
        <w:t xml:space="preserve"> NAFLD is more common in patients with liver metastases caused by colorectal cancer.</w:t>
      </w:r>
    </w:p>
    <w:p w:rsidR="006D088A" w:rsidRPr="006575F7" w:rsidRDefault="006D088A" w:rsidP="00B230CE">
      <w:pPr>
        <w:spacing w:after="0" w:line="360" w:lineRule="auto"/>
        <w:jc w:val="both"/>
        <w:rPr>
          <w:rFonts w:ascii="Book Antiqua" w:hAnsi="Book Antiqua"/>
          <w:sz w:val="24"/>
          <w:szCs w:val="24"/>
        </w:rPr>
      </w:pPr>
    </w:p>
    <w:p w:rsidR="006D088A" w:rsidRPr="006575F7" w:rsidRDefault="006D088A" w:rsidP="00B230CE">
      <w:pPr>
        <w:spacing w:after="0" w:line="360" w:lineRule="auto"/>
        <w:jc w:val="both"/>
        <w:rPr>
          <w:rFonts w:ascii="Book Antiqua" w:hAnsi="Book Antiqua" w:cs="Arial Unicode MS"/>
          <w:sz w:val="24"/>
          <w:szCs w:val="24"/>
        </w:rPr>
      </w:pPr>
      <w:r w:rsidRPr="006575F7">
        <w:rPr>
          <w:rFonts w:ascii="Book Antiqua" w:hAnsi="Book Antiqua"/>
          <w:sz w:val="24"/>
          <w:szCs w:val="24"/>
        </w:rPr>
        <w:t xml:space="preserve">© </w:t>
      </w:r>
      <w:r w:rsidRPr="006575F7">
        <w:rPr>
          <w:rFonts w:ascii="Book Antiqua" w:hAnsi="Book Antiqua" w:cs="Arial Unicode MS"/>
          <w:sz w:val="24"/>
          <w:szCs w:val="24"/>
        </w:rPr>
        <w:t xml:space="preserve">2014 </w:t>
      </w:r>
      <w:proofErr w:type="spellStart"/>
      <w:r w:rsidRPr="006575F7">
        <w:rPr>
          <w:rFonts w:ascii="Book Antiqua" w:hAnsi="Book Antiqua" w:cs="Arial Unicode MS"/>
          <w:sz w:val="24"/>
          <w:szCs w:val="24"/>
        </w:rPr>
        <w:t>Baishideng</w:t>
      </w:r>
      <w:proofErr w:type="spellEnd"/>
      <w:r w:rsidRPr="006575F7">
        <w:rPr>
          <w:rFonts w:ascii="Book Antiqua" w:hAnsi="Book Antiqua" w:cs="Arial Unicode MS"/>
          <w:sz w:val="24"/>
          <w:szCs w:val="24"/>
        </w:rPr>
        <w:t xml:space="preserve"> Publishing Group Inc. All rights reserved.</w:t>
      </w:r>
    </w:p>
    <w:p w:rsidR="006D088A" w:rsidRPr="006575F7" w:rsidRDefault="006D088A" w:rsidP="00B230CE">
      <w:pPr>
        <w:spacing w:after="0" w:line="360" w:lineRule="auto"/>
        <w:jc w:val="both"/>
        <w:rPr>
          <w:rFonts w:ascii="Book Antiqua" w:eastAsia="Times New Roman" w:hAnsi="Book Antiqua" w:cs="Arial"/>
          <w:b/>
          <w:sz w:val="24"/>
          <w:szCs w:val="24"/>
          <w:lang w:eastAsia="pt-BR"/>
        </w:rPr>
      </w:pPr>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eastAsia="Times New Roman" w:hAnsi="Book Antiqua" w:cs="Arial"/>
          <w:b/>
          <w:sz w:val="24"/>
          <w:szCs w:val="24"/>
          <w:lang w:eastAsia="pt-BR"/>
        </w:rPr>
        <w:t xml:space="preserve">Key words: </w:t>
      </w:r>
      <w:r w:rsidRPr="006575F7">
        <w:rPr>
          <w:rFonts w:ascii="Book Antiqua" w:eastAsia="Times New Roman" w:hAnsi="Book Antiqua" w:cs="Arial"/>
          <w:sz w:val="24"/>
          <w:szCs w:val="24"/>
          <w:lang w:eastAsia="pt-BR"/>
        </w:rPr>
        <w:t xml:space="preserve">Hepatocellular carcinoma; Intrahepatic </w:t>
      </w:r>
      <w:proofErr w:type="spellStart"/>
      <w:r w:rsidRPr="006575F7">
        <w:rPr>
          <w:rFonts w:ascii="Book Antiqua" w:eastAsia="Times New Roman" w:hAnsi="Book Antiqua" w:cs="Arial"/>
          <w:sz w:val="24"/>
          <w:szCs w:val="24"/>
          <w:lang w:eastAsia="pt-BR"/>
        </w:rPr>
        <w:t>cholangiocarcinoma</w:t>
      </w:r>
      <w:proofErr w:type="spellEnd"/>
      <w:r w:rsidRPr="006575F7">
        <w:rPr>
          <w:rFonts w:ascii="Book Antiqua" w:eastAsia="Times New Roman" w:hAnsi="Book Antiqua" w:cs="Arial"/>
          <w:sz w:val="24"/>
          <w:szCs w:val="24"/>
          <w:lang w:eastAsia="pt-BR"/>
        </w:rPr>
        <w:t xml:space="preserve">; Colorectal liver metastases; Nonalcoholic fatty liver disease; Nonalcoholic </w:t>
      </w:r>
      <w:proofErr w:type="spellStart"/>
      <w:r w:rsidRPr="006575F7">
        <w:rPr>
          <w:rFonts w:ascii="Book Antiqua" w:eastAsia="Times New Roman" w:hAnsi="Book Antiqua" w:cs="Arial"/>
          <w:sz w:val="24"/>
          <w:szCs w:val="24"/>
          <w:lang w:eastAsia="pt-BR"/>
        </w:rPr>
        <w:t>steatohepatitis</w:t>
      </w:r>
      <w:proofErr w:type="spellEnd"/>
      <w:r w:rsidRPr="006575F7">
        <w:rPr>
          <w:rFonts w:ascii="Book Antiqua" w:eastAsia="Times New Roman" w:hAnsi="Book Antiqua" w:cs="Arial"/>
          <w:sz w:val="24"/>
          <w:szCs w:val="24"/>
          <w:lang w:eastAsia="pt-BR"/>
        </w:rPr>
        <w:t>; Liver fibrosis</w:t>
      </w:r>
    </w:p>
    <w:p w:rsidR="006D088A" w:rsidRPr="006575F7" w:rsidRDefault="006D088A" w:rsidP="00B230CE">
      <w:pPr>
        <w:adjustRightInd w:val="0"/>
        <w:snapToGrid w:val="0"/>
        <w:spacing w:after="0" w:line="360" w:lineRule="auto"/>
        <w:jc w:val="both"/>
        <w:rPr>
          <w:rFonts w:ascii="Book Antiqua" w:hAnsi="Book Antiqua" w:cs="Tahoma"/>
          <w:sz w:val="24"/>
          <w:szCs w:val="24"/>
          <w:lang w:eastAsia="zh-CN"/>
        </w:rPr>
      </w:pPr>
      <w:bookmarkStart w:id="20" w:name="OLE_LINK350"/>
      <w:bookmarkStart w:id="21" w:name="OLE_LINK351"/>
      <w:bookmarkStart w:id="22" w:name="OLE_LINK408"/>
    </w:p>
    <w:p w:rsidR="006D088A" w:rsidRPr="006575F7" w:rsidRDefault="006D088A" w:rsidP="00B230CE">
      <w:pPr>
        <w:adjustRightInd w:val="0"/>
        <w:snapToGrid w:val="0"/>
        <w:spacing w:after="0" w:line="360" w:lineRule="auto"/>
        <w:jc w:val="both"/>
        <w:rPr>
          <w:rFonts w:ascii="Book Antiqua" w:hAnsi="Book Antiqua" w:cs="Tahoma"/>
          <w:sz w:val="24"/>
          <w:szCs w:val="24"/>
          <w:lang w:eastAsia="zh-CN"/>
        </w:rPr>
      </w:pPr>
      <w:r w:rsidRPr="006575F7">
        <w:rPr>
          <w:rFonts w:ascii="Book Antiqua" w:hAnsi="Book Antiqua" w:cs="Tahoma"/>
          <w:b/>
          <w:sz w:val="24"/>
          <w:szCs w:val="24"/>
          <w:lang w:eastAsia="zh-CN"/>
        </w:rPr>
        <w:t>Core tip:</w:t>
      </w:r>
      <w:r w:rsidRPr="006575F7">
        <w:rPr>
          <w:rFonts w:ascii="Book Antiqua" w:hAnsi="Book Antiqua" w:cs="Tahoma"/>
          <w:sz w:val="24"/>
          <w:szCs w:val="24"/>
          <w:lang w:eastAsia="zh-CN"/>
        </w:rPr>
        <w:t xml:space="preserve"> There has not been a study clearly showing a relation between the nonalcoholic </w:t>
      </w:r>
      <w:proofErr w:type="spellStart"/>
      <w:r w:rsidRPr="006575F7">
        <w:rPr>
          <w:rFonts w:ascii="Book Antiqua" w:hAnsi="Book Antiqua" w:cs="Tahoma"/>
          <w:sz w:val="24"/>
          <w:szCs w:val="24"/>
          <w:lang w:eastAsia="zh-CN"/>
        </w:rPr>
        <w:t>steatohepatitis</w:t>
      </w:r>
      <w:proofErr w:type="spellEnd"/>
      <w:r w:rsidRPr="006575F7">
        <w:rPr>
          <w:rFonts w:ascii="Book Antiqua" w:hAnsi="Book Antiqua" w:cs="Tahoma"/>
          <w:sz w:val="24"/>
          <w:szCs w:val="24"/>
          <w:lang w:eastAsia="zh-CN"/>
        </w:rPr>
        <w:t xml:space="preserve"> cirrhosis and hepatocellular carcinoma (HCC). Some studies have suggested that the early stage of hepatic </w:t>
      </w:r>
      <w:proofErr w:type="spellStart"/>
      <w:r w:rsidRPr="006575F7">
        <w:rPr>
          <w:rFonts w:ascii="Book Antiqua" w:hAnsi="Book Antiqua" w:cs="Tahoma"/>
          <w:sz w:val="24"/>
          <w:szCs w:val="24"/>
          <w:lang w:eastAsia="zh-CN"/>
        </w:rPr>
        <w:t>steatosis</w:t>
      </w:r>
      <w:proofErr w:type="spellEnd"/>
      <w:r w:rsidRPr="006575F7">
        <w:rPr>
          <w:rFonts w:ascii="Book Antiqua" w:hAnsi="Book Antiqua" w:cs="Tahoma"/>
          <w:sz w:val="24"/>
          <w:szCs w:val="24"/>
          <w:lang w:eastAsia="zh-CN"/>
        </w:rPr>
        <w:t xml:space="preserve"> can be a favorable microenvironment for the development of liver metastases of colorectal cancer (LMCC). Others have suggested that hepatic </w:t>
      </w:r>
      <w:proofErr w:type="spellStart"/>
      <w:r w:rsidRPr="006575F7">
        <w:rPr>
          <w:rFonts w:ascii="Book Antiqua" w:hAnsi="Book Antiqua" w:cs="Tahoma"/>
          <w:sz w:val="24"/>
          <w:szCs w:val="24"/>
          <w:lang w:eastAsia="zh-CN"/>
        </w:rPr>
        <w:t>steatosis</w:t>
      </w:r>
      <w:proofErr w:type="spellEnd"/>
      <w:r w:rsidRPr="006575F7">
        <w:rPr>
          <w:rFonts w:ascii="Book Antiqua" w:hAnsi="Book Antiqua" w:cs="Tahoma"/>
          <w:sz w:val="24"/>
          <w:szCs w:val="24"/>
          <w:lang w:eastAsia="zh-CN"/>
        </w:rPr>
        <w:t xml:space="preserve"> has a protective role in the development of LMCC. Our analysis of the association of nonalcoholic fatty liver disease (NAFLD) with liver primary and secondary malignancies found a statistically higher prevalence of NAFLD in patients with LMCC, but not in non-cirrhotic HCC patients.</w:t>
      </w:r>
    </w:p>
    <w:p w:rsidR="006D088A" w:rsidRPr="006575F7" w:rsidRDefault="006D088A" w:rsidP="00B230CE">
      <w:pPr>
        <w:adjustRightInd w:val="0"/>
        <w:snapToGrid w:val="0"/>
        <w:spacing w:after="0" w:line="360" w:lineRule="auto"/>
        <w:jc w:val="both"/>
        <w:rPr>
          <w:rFonts w:ascii="Book Antiqua" w:hAnsi="Book Antiqua" w:cs="Tahoma"/>
          <w:sz w:val="24"/>
          <w:szCs w:val="24"/>
        </w:rPr>
      </w:pPr>
      <w:bookmarkStart w:id="23" w:name="OLE_LINK424"/>
      <w:bookmarkStart w:id="24" w:name="OLE_LINK425"/>
      <w:bookmarkStart w:id="25" w:name="OLE_LINK456"/>
      <w:bookmarkStart w:id="26" w:name="OLE_LINK130"/>
      <w:bookmarkStart w:id="27" w:name="OLE_LINK134"/>
    </w:p>
    <w:p w:rsidR="006D088A" w:rsidRPr="006575F7" w:rsidRDefault="006D088A" w:rsidP="00B230CE">
      <w:pPr>
        <w:adjustRightInd w:val="0"/>
        <w:snapToGrid w:val="0"/>
        <w:spacing w:after="0" w:line="360" w:lineRule="auto"/>
        <w:jc w:val="both"/>
        <w:rPr>
          <w:rFonts w:ascii="Book Antiqua" w:hAnsi="Book Antiqua"/>
          <w:sz w:val="24"/>
          <w:szCs w:val="24"/>
          <w:lang w:eastAsia="zh-CN"/>
        </w:rPr>
      </w:pPr>
      <w:r w:rsidRPr="006575F7">
        <w:rPr>
          <w:rFonts w:ascii="Book Antiqua" w:hAnsi="Book Antiqua" w:cs="Tahoma"/>
          <w:sz w:val="24"/>
          <w:szCs w:val="24"/>
        </w:rPr>
        <w:t xml:space="preserve">Schulz PO, Ferreira FG, </w:t>
      </w:r>
      <w:proofErr w:type="spellStart"/>
      <w:r w:rsidRPr="006575F7">
        <w:rPr>
          <w:rFonts w:ascii="Book Antiqua" w:hAnsi="Book Antiqua" w:cs="Tahoma"/>
          <w:sz w:val="24"/>
          <w:szCs w:val="24"/>
        </w:rPr>
        <w:t>Nascimento</w:t>
      </w:r>
      <w:proofErr w:type="spellEnd"/>
      <w:r w:rsidRPr="006575F7">
        <w:rPr>
          <w:rFonts w:ascii="Book Antiqua" w:hAnsi="Book Antiqua" w:cs="Tahoma"/>
          <w:sz w:val="24"/>
          <w:szCs w:val="24"/>
        </w:rPr>
        <w:t xml:space="preserve"> MFA, Vieira A, Ribeiro MA, David AI, </w:t>
      </w:r>
      <w:proofErr w:type="spellStart"/>
      <w:r w:rsidRPr="006575F7">
        <w:rPr>
          <w:rFonts w:ascii="Book Antiqua" w:hAnsi="Book Antiqua" w:cs="Tahoma"/>
          <w:sz w:val="24"/>
          <w:szCs w:val="24"/>
        </w:rPr>
        <w:t>Szutan</w:t>
      </w:r>
      <w:proofErr w:type="spellEnd"/>
      <w:r w:rsidRPr="006575F7">
        <w:rPr>
          <w:rFonts w:ascii="Book Antiqua" w:hAnsi="Book Antiqua" w:cs="Tahoma"/>
          <w:sz w:val="24"/>
          <w:szCs w:val="24"/>
        </w:rPr>
        <w:t xml:space="preserve"> LA. </w:t>
      </w:r>
      <w:proofErr w:type="gramStart"/>
      <w:r w:rsidRPr="006575F7">
        <w:rPr>
          <w:rFonts w:ascii="Book Antiqua" w:hAnsi="Book Antiqua" w:cs="Tahoma"/>
          <w:sz w:val="24"/>
          <w:szCs w:val="24"/>
        </w:rPr>
        <w:t>Association of nonalcoholic fatty liver disease and liver cancer.</w:t>
      </w:r>
      <w:proofErr w:type="gramEnd"/>
      <w:r w:rsidRPr="006575F7">
        <w:rPr>
          <w:rFonts w:ascii="Book Antiqua" w:hAnsi="Book Antiqua" w:cs="Tahoma"/>
          <w:sz w:val="24"/>
          <w:szCs w:val="24"/>
        </w:rPr>
        <w:t xml:space="preserve"> </w:t>
      </w:r>
      <w:r w:rsidRPr="006575F7">
        <w:rPr>
          <w:rFonts w:ascii="Book Antiqua" w:hAnsi="Book Antiqua"/>
          <w:i/>
          <w:sz w:val="24"/>
          <w:szCs w:val="24"/>
        </w:rPr>
        <w:t xml:space="preserve">World J </w:t>
      </w:r>
      <w:proofErr w:type="spellStart"/>
      <w:r w:rsidRPr="006575F7">
        <w:rPr>
          <w:rFonts w:ascii="Book Antiqua" w:hAnsi="Book Antiqua"/>
          <w:i/>
          <w:sz w:val="24"/>
          <w:szCs w:val="24"/>
        </w:rPr>
        <w:t>Gastroenterol</w:t>
      </w:r>
      <w:proofErr w:type="spellEnd"/>
      <w:r w:rsidRPr="006575F7">
        <w:rPr>
          <w:rFonts w:ascii="Book Antiqua" w:hAnsi="Book Antiqua"/>
          <w:sz w:val="24"/>
          <w:szCs w:val="24"/>
        </w:rPr>
        <w:t xml:space="preserve"> 2014; </w:t>
      </w:r>
      <w:proofErr w:type="gramStart"/>
      <w:r w:rsidR="00047F60">
        <w:rPr>
          <w:rFonts w:ascii="Book Antiqua" w:hAnsi="Book Antiqua" w:hint="eastAsia"/>
          <w:sz w:val="24"/>
          <w:szCs w:val="24"/>
          <w:lang w:eastAsia="zh-CN"/>
        </w:rPr>
        <w:t>In</w:t>
      </w:r>
      <w:proofErr w:type="gramEnd"/>
      <w:r w:rsidR="00047F60">
        <w:rPr>
          <w:rFonts w:ascii="Book Antiqua" w:hAnsi="Book Antiqua" w:hint="eastAsia"/>
          <w:sz w:val="24"/>
          <w:szCs w:val="24"/>
          <w:lang w:eastAsia="zh-CN"/>
        </w:rPr>
        <w:t xml:space="preserve"> press</w:t>
      </w:r>
    </w:p>
    <w:bookmarkEnd w:id="20"/>
    <w:bookmarkEnd w:id="21"/>
    <w:bookmarkEnd w:id="22"/>
    <w:bookmarkEnd w:id="23"/>
    <w:bookmarkEnd w:id="24"/>
    <w:bookmarkEnd w:id="25"/>
    <w:bookmarkEnd w:id="26"/>
    <w:bookmarkEnd w:id="27"/>
    <w:p w:rsidR="006D088A" w:rsidRPr="006575F7" w:rsidRDefault="006D088A" w:rsidP="00B230CE">
      <w:pPr>
        <w:spacing w:after="0"/>
        <w:rPr>
          <w:rFonts w:ascii="Book Antiqua" w:hAnsi="Book Antiqua" w:cs="Arial"/>
          <w:b/>
          <w:sz w:val="24"/>
          <w:szCs w:val="24"/>
        </w:rPr>
      </w:pPr>
      <w:r w:rsidRPr="006575F7">
        <w:rPr>
          <w:rFonts w:ascii="Book Antiqua" w:hAnsi="Book Antiqua" w:cs="Arial"/>
          <w:b/>
          <w:sz w:val="24"/>
          <w:szCs w:val="24"/>
        </w:rPr>
        <w:br w:type="page"/>
      </w: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lastRenderedPageBreak/>
        <w:t>INTRODUCTION</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 xml:space="preserve">With the increasing prevalence of obesity and insulin resistance in the Western world, nonalcoholic fatty liver disease (NAFLD) has become a major cause of chronic liver </w:t>
      </w:r>
      <w:proofErr w:type="gramStart"/>
      <w:r w:rsidRPr="006575F7">
        <w:rPr>
          <w:rFonts w:ascii="Book Antiqua" w:hAnsi="Book Antiqua" w:cs="Arial"/>
          <w:sz w:val="24"/>
          <w:szCs w:val="24"/>
        </w:rPr>
        <w:t>disease</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1]</w:t>
      </w:r>
      <w:r w:rsidRPr="006575F7">
        <w:rPr>
          <w:rFonts w:ascii="Book Antiqua" w:hAnsi="Book Antiqua" w:cs="Arial"/>
          <w:sz w:val="24"/>
          <w:szCs w:val="24"/>
        </w:rPr>
        <w:t>. Based on studies using different diagnostic methods, the current estimates of NAFLD worldwide prevalence vary from 6.3% to 33.0% (average = 20%</w:t>
      </w:r>
      <w:proofErr w:type="gramStart"/>
      <w:r w:rsidRPr="006575F7">
        <w:rPr>
          <w:rFonts w:ascii="Book Antiqua" w:hAnsi="Book Antiqua" w:cs="Arial"/>
          <w:sz w:val="24"/>
          <w:szCs w:val="24"/>
        </w:rPr>
        <w:t>)</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w:t>
      </w:r>
      <w:r w:rsidRPr="006575F7">
        <w:rPr>
          <w:rFonts w:ascii="Book Antiqua" w:hAnsi="Book Antiqua" w:cs="Arial"/>
          <w:sz w:val="24"/>
          <w:szCs w:val="24"/>
        </w:rPr>
        <w:t xml:space="preserve">. Molecular and pathophysiological changes caused by NAFLD may lead to liver cancer, increasing the incidence rate and modifying the epidemiology of primary and metastatic liver </w:t>
      </w:r>
      <w:proofErr w:type="gramStart"/>
      <w:r w:rsidRPr="006575F7">
        <w:rPr>
          <w:rFonts w:ascii="Book Antiqua" w:hAnsi="Book Antiqua" w:cs="Arial"/>
          <w:sz w:val="24"/>
          <w:szCs w:val="24"/>
        </w:rPr>
        <w:t>cancer</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3-6]</w:t>
      </w:r>
      <w:r w:rsidRPr="006575F7">
        <w:rPr>
          <w:rFonts w:ascii="Book Antiqua" w:hAnsi="Book Antiqua" w:cs="Arial"/>
          <w:sz w:val="24"/>
          <w:szCs w:val="24"/>
        </w:rPr>
        <w:t>. It is predicted that NAFLD will emerge as the main risk factor for the development of hepatocellular carcinoma (HCC), which is the primary and most common liver cancer (70</w:t>
      </w:r>
      <w:r w:rsidR="00047F60">
        <w:rPr>
          <w:rFonts w:ascii="Book Antiqua" w:hAnsi="Book Antiqua" w:cs="Arial" w:hint="eastAsia"/>
          <w:sz w:val="24"/>
          <w:szCs w:val="24"/>
          <w:lang w:eastAsia="zh-CN"/>
        </w:rPr>
        <w:t>%-</w:t>
      </w:r>
      <w:r w:rsidRPr="006575F7">
        <w:rPr>
          <w:rFonts w:ascii="Book Antiqua" w:hAnsi="Book Antiqua" w:cs="Arial"/>
          <w:sz w:val="24"/>
          <w:szCs w:val="24"/>
        </w:rPr>
        <w:t>85% of cases), as the incidence of hepatitis B and C becomes reduced due to the expected development of better antiviral vaccines and drugs</w:t>
      </w:r>
      <w:r w:rsidR="00047F60">
        <w:rPr>
          <w:rFonts w:ascii="Book Antiqua" w:hAnsi="Book Antiqua" w:cs="Arial"/>
          <w:sz w:val="24"/>
          <w:szCs w:val="24"/>
          <w:vertAlign w:val="superscript"/>
        </w:rPr>
        <w:t>[7,</w:t>
      </w:r>
      <w:r w:rsidRPr="006575F7">
        <w:rPr>
          <w:rFonts w:ascii="Book Antiqua" w:hAnsi="Book Antiqua" w:cs="Arial"/>
          <w:sz w:val="24"/>
          <w:szCs w:val="24"/>
          <w:vertAlign w:val="superscript"/>
        </w:rPr>
        <w:t>8]</w:t>
      </w:r>
      <w:r w:rsidRPr="006575F7">
        <w:rPr>
          <w:rFonts w:ascii="Book Antiqua" w:hAnsi="Book Antiqua" w:cs="Arial"/>
          <w:sz w:val="24"/>
          <w:szCs w:val="24"/>
        </w:rPr>
        <w:t xml:space="preserve">. </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ab/>
        <w:t>The actual incidence rate of the NAFLD-HCC association is unknown, but it has been reported that 30%</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40% of the tumors diagnosed in patients with cryptogenic cirrhosis may be associated with obesity, insulin resistance, metabolic disorders, and </w:t>
      </w:r>
      <w:proofErr w:type="gramStart"/>
      <w:r w:rsidRPr="006575F7">
        <w:rPr>
          <w:rFonts w:ascii="Book Antiqua" w:hAnsi="Book Antiqua" w:cs="Arial"/>
          <w:sz w:val="24"/>
          <w:szCs w:val="24"/>
        </w:rPr>
        <w:t>NAFLD</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9]</w:t>
      </w:r>
      <w:r w:rsidRPr="006575F7">
        <w:rPr>
          <w:rFonts w:ascii="Book Antiqua" w:hAnsi="Book Antiqua" w:cs="Arial"/>
          <w:sz w:val="24"/>
          <w:szCs w:val="24"/>
        </w:rPr>
        <w:t xml:space="preserve">. Furthermore, an increased incidence rate of intrahepatic </w:t>
      </w:r>
      <w:proofErr w:type="spellStart"/>
      <w:r w:rsidRPr="006575F7">
        <w:rPr>
          <w:rFonts w:ascii="Book Antiqua" w:hAnsi="Book Antiqua" w:cs="Arial"/>
          <w:sz w:val="24"/>
          <w:szCs w:val="24"/>
        </w:rPr>
        <w:t>cholangiocarcinoma</w:t>
      </w:r>
      <w:proofErr w:type="spellEnd"/>
      <w:r w:rsidRPr="006575F7">
        <w:rPr>
          <w:rFonts w:ascii="Book Antiqua" w:hAnsi="Book Antiqua" w:cs="Arial"/>
          <w:sz w:val="24"/>
          <w:szCs w:val="24"/>
        </w:rPr>
        <w:t xml:space="preserve"> (IHCC), as compared to </w:t>
      </w:r>
      <w:proofErr w:type="spellStart"/>
      <w:r w:rsidRPr="006575F7">
        <w:rPr>
          <w:rFonts w:ascii="Book Antiqua" w:hAnsi="Book Antiqua" w:cs="Arial"/>
          <w:sz w:val="24"/>
          <w:szCs w:val="24"/>
        </w:rPr>
        <w:t>extrahepatic</w:t>
      </w:r>
      <w:proofErr w:type="spellEnd"/>
      <w:r w:rsidRPr="006575F7">
        <w:rPr>
          <w:rFonts w:ascii="Book Antiqua" w:hAnsi="Book Antiqua" w:cs="Arial"/>
          <w:sz w:val="24"/>
          <w:szCs w:val="24"/>
        </w:rPr>
        <w:t xml:space="preserve"> </w:t>
      </w:r>
      <w:proofErr w:type="spellStart"/>
      <w:r w:rsidRPr="006575F7">
        <w:rPr>
          <w:rFonts w:ascii="Book Antiqua" w:hAnsi="Book Antiqua" w:cs="Arial"/>
          <w:sz w:val="24"/>
          <w:szCs w:val="24"/>
        </w:rPr>
        <w:t>cholangiocarcinoma</w:t>
      </w:r>
      <w:proofErr w:type="spellEnd"/>
      <w:r w:rsidRPr="006575F7">
        <w:rPr>
          <w:rFonts w:ascii="Book Antiqua" w:hAnsi="Book Antiqua" w:cs="Arial"/>
          <w:sz w:val="24"/>
          <w:szCs w:val="24"/>
        </w:rPr>
        <w:t xml:space="preserve"> in Western </w:t>
      </w:r>
      <w:proofErr w:type="gramStart"/>
      <w:r w:rsidRPr="006575F7">
        <w:rPr>
          <w:rFonts w:ascii="Book Antiqua" w:hAnsi="Book Antiqua" w:cs="Arial"/>
          <w:sz w:val="24"/>
          <w:szCs w:val="24"/>
        </w:rPr>
        <w:t>countries</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6]</w:t>
      </w:r>
      <w:r w:rsidRPr="006575F7">
        <w:rPr>
          <w:rFonts w:ascii="Book Antiqua" w:hAnsi="Book Antiqua" w:cs="Arial"/>
          <w:sz w:val="24"/>
          <w:szCs w:val="24"/>
        </w:rPr>
        <w:t>, suggests a possible interference of NAFLD</w:t>
      </w:r>
      <w:r w:rsidR="00047F60">
        <w:rPr>
          <w:rFonts w:ascii="Book Antiqua" w:hAnsi="Book Antiqua" w:cs="Arial"/>
          <w:sz w:val="24"/>
          <w:szCs w:val="24"/>
          <w:vertAlign w:val="superscript"/>
        </w:rPr>
        <w:t>[7,</w:t>
      </w:r>
      <w:r w:rsidRPr="006575F7">
        <w:rPr>
          <w:rFonts w:ascii="Book Antiqua" w:hAnsi="Book Antiqua" w:cs="Arial"/>
          <w:sz w:val="24"/>
          <w:szCs w:val="24"/>
          <w:vertAlign w:val="superscript"/>
        </w:rPr>
        <w:t>10-12]</w:t>
      </w:r>
      <w:r w:rsidRPr="006575F7">
        <w:rPr>
          <w:rFonts w:ascii="Book Antiqua" w:hAnsi="Book Antiqua" w:cs="Arial"/>
          <w:sz w:val="24"/>
          <w:szCs w:val="24"/>
        </w:rPr>
        <w:t xml:space="preserve"> by the same pathophysiological mechanisms related to HCC and in the genesis of bile duct tumors</w:t>
      </w:r>
      <w:r w:rsidRPr="006575F7">
        <w:rPr>
          <w:rFonts w:ascii="Book Antiqua" w:hAnsi="Book Antiqua" w:cs="Arial"/>
          <w:sz w:val="24"/>
          <w:szCs w:val="24"/>
          <w:vertAlign w:val="superscript"/>
        </w:rPr>
        <w:t>[7]</w:t>
      </w:r>
      <w:r w:rsidRPr="006575F7">
        <w:rPr>
          <w:rFonts w:ascii="Book Antiqua" w:hAnsi="Book Antiqua" w:cs="Arial"/>
          <w:sz w:val="24"/>
          <w:szCs w:val="24"/>
        </w:rPr>
        <w:t xml:space="preserve">. NAFLD and colorectal cancer share some of the same risk factors, namely obesity, insulin resistance, and diabetes. One study demonstrated an increased risk of colorectal cancer in patients with </w:t>
      </w:r>
      <w:proofErr w:type="gramStart"/>
      <w:r w:rsidRPr="006575F7">
        <w:rPr>
          <w:rFonts w:ascii="Book Antiqua" w:hAnsi="Book Antiqua" w:cs="Arial"/>
          <w:sz w:val="24"/>
          <w:szCs w:val="24"/>
        </w:rPr>
        <w:t>NAFLD</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13]</w:t>
      </w:r>
      <w:r w:rsidRPr="006575F7">
        <w:rPr>
          <w:rFonts w:ascii="Book Antiqua" w:hAnsi="Book Antiqua" w:cs="Arial"/>
          <w:sz w:val="24"/>
          <w:szCs w:val="24"/>
        </w:rPr>
        <w:t>, while other studies have suggested that metabolic syndrome could be a predictor for the development of liver metastases of colorectal neoplasms</w:t>
      </w:r>
      <w:r w:rsidRPr="006575F7">
        <w:rPr>
          <w:rFonts w:ascii="Book Antiqua" w:hAnsi="Book Antiqua" w:cs="Arial"/>
          <w:sz w:val="24"/>
          <w:szCs w:val="24"/>
          <w:vertAlign w:val="superscript"/>
        </w:rPr>
        <w:t>[14]</w:t>
      </w:r>
      <w:r w:rsidRPr="006575F7">
        <w:rPr>
          <w:rFonts w:ascii="Book Antiqua" w:hAnsi="Book Antiqua" w:cs="Arial"/>
          <w:sz w:val="24"/>
          <w:szCs w:val="24"/>
        </w:rPr>
        <w:t>.</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To date, no study in the publicly available literature has shown an association between NAFLD and hepatic malignancy, either primary or secondary. The aim of this study was to evaluate the possible association of NAFLD with the most common primary and secondary liver cancers.</w:t>
      </w:r>
    </w:p>
    <w:p w:rsidR="006D088A" w:rsidRPr="006575F7" w:rsidRDefault="006D088A" w:rsidP="00B230CE">
      <w:pPr>
        <w:spacing w:after="0" w:line="360" w:lineRule="auto"/>
        <w:jc w:val="both"/>
        <w:rPr>
          <w:rFonts w:ascii="Book Antiqua" w:hAnsi="Book Antiqua" w:cs="Arial"/>
          <w:b/>
          <w:sz w:val="24"/>
          <w:szCs w:val="24"/>
          <w:u w:val="single"/>
        </w:rPr>
      </w:pP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t>MATERIALS AND METHODS</w:t>
      </w:r>
    </w:p>
    <w:p w:rsidR="006D088A" w:rsidRPr="006575F7" w:rsidRDefault="006D088A" w:rsidP="00B230CE">
      <w:pPr>
        <w:spacing w:after="0" w:line="360" w:lineRule="auto"/>
        <w:jc w:val="both"/>
        <w:rPr>
          <w:rFonts w:ascii="Book Antiqua" w:hAnsi="Book Antiqua" w:cs="Arial"/>
          <w:b/>
          <w:i/>
          <w:sz w:val="24"/>
          <w:szCs w:val="24"/>
        </w:rPr>
      </w:pPr>
      <w:r w:rsidRPr="006575F7">
        <w:rPr>
          <w:rFonts w:ascii="Book Antiqua" w:hAnsi="Book Antiqua" w:cs="Arial"/>
          <w:b/>
          <w:i/>
          <w:sz w:val="24"/>
          <w:szCs w:val="24"/>
        </w:rPr>
        <w:t>Study design</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lastRenderedPageBreak/>
        <w:t>This retrospective study encompasses clinical, laboratory and histological data of 120 patients diagnosed with either primary or secondary hepatic neoplasms. Patients were treated in the Hospital of Santa Casa Medical School of São Paulo between the dates of January 2007 and December 2011. All of the studies were conducted following approval by the local Ethics in Human Research Committee.</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All of the 120 patients underwent hepatic resection and/or liver transplantation followed by subsequent evaluation of the explant or liver biopsy. Patients were excluded from the study due to: history of alcohol abuse, defined as intake of 20 g/d or more</w:t>
      </w:r>
      <w:r w:rsidRPr="006575F7">
        <w:rPr>
          <w:rFonts w:ascii="Book Antiqua" w:hAnsi="Book Antiqua" w:cs="Arial"/>
          <w:sz w:val="24"/>
          <w:szCs w:val="24"/>
          <w:vertAlign w:val="superscript"/>
        </w:rPr>
        <w:t>[15]</w:t>
      </w:r>
      <w:r w:rsidRPr="006575F7">
        <w:rPr>
          <w:rFonts w:ascii="Book Antiqua" w:hAnsi="Book Antiqua" w:cs="Arial"/>
          <w:sz w:val="24"/>
          <w:szCs w:val="24"/>
        </w:rPr>
        <w:t xml:space="preserve">; hepatitis B or C infection; absence of tumor-free liver tissue in histological material; presence of chronic autoimmune hepatitis, hemochromatosis, or Wilson’s disease; </w:t>
      </w:r>
      <w:proofErr w:type="spellStart"/>
      <w:r w:rsidRPr="006575F7">
        <w:rPr>
          <w:rFonts w:ascii="Book Antiqua" w:hAnsi="Book Antiqua" w:cs="Arial"/>
          <w:sz w:val="24"/>
          <w:szCs w:val="24"/>
        </w:rPr>
        <w:t>hepatoblastoma</w:t>
      </w:r>
      <w:proofErr w:type="spellEnd"/>
      <w:r w:rsidRPr="006575F7">
        <w:rPr>
          <w:rFonts w:ascii="Book Antiqua" w:hAnsi="Book Antiqua" w:cs="Arial"/>
          <w:sz w:val="24"/>
          <w:szCs w:val="24"/>
        </w:rPr>
        <w:t xml:space="preserve"> cases due to very specific characteristics and </w:t>
      </w:r>
      <w:proofErr w:type="spellStart"/>
      <w:r w:rsidRPr="006575F7">
        <w:rPr>
          <w:rFonts w:ascii="Book Antiqua" w:hAnsi="Book Antiqua" w:cs="Arial"/>
          <w:sz w:val="24"/>
          <w:szCs w:val="24"/>
        </w:rPr>
        <w:t>histopathological</w:t>
      </w:r>
      <w:proofErr w:type="spellEnd"/>
      <w:r w:rsidRPr="006575F7">
        <w:rPr>
          <w:rFonts w:ascii="Book Antiqua" w:hAnsi="Book Antiqua" w:cs="Arial"/>
          <w:sz w:val="24"/>
          <w:szCs w:val="24"/>
        </w:rPr>
        <w:t xml:space="preserve"> features.</w:t>
      </w:r>
    </w:p>
    <w:p w:rsidR="006D088A" w:rsidRPr="006575F7" w:rsidRDefault="006D088A" w:rsidP="00B230CE">
      <w:pPr>
        <w:spacing w:after="0" w:line="360" w:lineRule="auto"/>
        <w:ind w:firstLine="720"/>
        <w:jc w:val="both"/>
        <w:rPr>
          <w:rFonts w:ascii="Book Antiqua" w:hAnsi="Book Antiqua" w:cs="Arial"/>
          <w:sz w:val="24"/>
          <w:szCs w:val="24"/>
          <w:lang w:eastAsia="zh-CN"/>
        </w:rPr>
      </w:pPr>
      <w:r w:rsidRPr="006575F7">
        <w:rPr>
          <w:rFonts w:ascii="Book Antiqua" w:hAnsi="Book Antiqua" w:cs="Arial"/>
          <w:sz w:val="24"/>
          <w:szCs w:val="24"/>
        </w:rPr>
        <w:t>The medical records of the included patients were reviewed for clinical data such as age, sex, and comorbidities. Comorbidities were defined as: previous diagnosis of diabetes mellitus (DM) or impaired glucose tolerance (GI) and / or impai</w:t>
      </w:r>
      <w:r w:rsidR="00047F60">
        <w:rPr>
          <w:rFonts w:ascii="Book Antiqua" w:hAnsi="Book Antiqua" w:cs="Arial"/>
          <w:sz w:val="24"/>
          <w:szCs w:val="24"/>
        </w:rPr>
        <w:t>red fasting glucose (defined as</w:t>
      </w:r>
      <w:r w:rsidRPr="006575F7">
        <w:rPr>
          <w:rFonts w:ascii="Book Antiqua" w:hAnsi="Book Antiqua" w:cs="Arial"/>
          <w:sz w:val="24"/>
          <w:szCs w:val="24"/>
        </w:rPr>
        <w:t xml:space="preserve"> ≥</w:t>
      </w:r>
      <w:r w:rsidR="007B5A5E">
        <w:rPr>
          <w:rFonts w:ascii="Book Antiqua" w:hAnsi="Book Antiqua" w:cs="Arial" w:hint="eastAsia"/>
          <w:sz w:val="24"/>
          <w:szCs w:val="24"/>
          <w:lang w:eastAsia="zh-CN"/>
        </w:rPr>
        <w:t xml:space="preserve"> </w:t>
      </w:r>
      <w:r w:rsidRPr="006575F7">
        <w:rPr>
          <w:rFonts w:ascii="Book Antiqua" w:hAnsi="Book Antiqua" w:cs="Arial"/>
          <w:sz w:val="24"/>
          <w:szCs w:val="24"/>
        </w:rPr>
        <w:t>100 mg/</w:t>
      </w:r>
      <w:proofErr w:type="spellStart"/>
      <w:r w:rsidRPr="006575F7">
        <w:rPr>
          <w:rFonts w:ascii="Book Antiqua" w:hAnsi="Book Antiqua" w:cs="Arial"/>
          <w:sz w:val="24"/>
          <w:szCs w:val="24"/>
        </w:rPr>
        <w:t>dL</w:t>
      </w:r>
      <w:proofErr w:type="spellEnd"/>
      <w:r w:rsidRPr="006575F7">
        <w:rPr>
          <w:rFonts w:ascii="Book Antiqua" w:hAnsi="Book Antiqua" w:cs="Arial"/>
          <w:sz w:val="24"/>
          <w:szCs w:val="24"/>
        </w:rPr>
        <w:t>); overweight, using the patient’s height and weight to calculate the body mass index (BMI) and with the overweight threshold set as a BMI of ≥</w:t>
      </w:r>
      <w:r w:rsidR="00047F60">
        <w:rPr>
          <w:rFonts w:ascii="Book Antiqua" w:hAnsi="Book Antiqua" w:cs="Arial" w:hint="eastAsia"/>
          <w:sz w:val="24"/>
          <w:szCs w:val="24"/>
          <w:lang w:eastAsia="zh-CN"/>
        </w:rPr>
        <w:t xml:space="preserve"> </w:t>
      </w:r>
      <w:r w:rsidRPr="006575F7">
        <w:rPr>
          <w:rFonts w:ascii="Book Antiqua" w:hAnsi="Book Antiqua" w:cs="Arial"/>
          <w:sz w:val="24"/>
          <w:szCs w:val="24"/>
        </w:rPr>
        <w:t>25 kg/m</w:t>
      </w:r>
      <w:r w:rsidRPr="006575F7">
        <w:rPr>
          <w:rFonts w:ascii="Book Antiqua" w:hAnsi="Book Antiqua" w:cs="Arial"/>
          <w:sz w:val="24"/>
          <w:szCs w:val="24"/>
          <w:vertAlign w:val="superscript"/>
        </w:rPr>
        <w:t>2</w:t>
      </w:r>
      <w:r w:rsidRPr="006575F7">
        <w:rPr>
          <w:rFonts w:ascii="Book Antiqua" w:hAnsi="Book Antiqua" w:cs="Arial"/>
          <w:sz w:val="24"/>
          <w:szCs w:val="24"/>
        </w:rPr>
        <w:t>; history of dyslipidemia or laboratory tests demonstrating low-density lipoprotein &gt;</w:t>
      </w:r>
      <w:r w:rsidR="00047F60">
        <w:rPr>
          <w:rFonts w:ascii="Book Antiqua" w:hAnsi="Book Antiqua" w:cs="Arial" w:hint="eastAsia"/>
          <w:sz w:val="24"/>
          <w:szCs w:val="24"/>
          <w:lang w:eastAsia="zh-CN"/>
        </w:rPr>
        <w:t xml:space="preserve"> </w:t>
      </w:r>
      <w:r w:rsidRPr="006575F7">
        <w:rPr>
          <w:rFonts w:ascii="Book Antiqua" w:hAnsi="Book Antiqua" w:cs="Arial"/>
          <w:sz w:val="24"/>
          <w:szCs w:val="24"/>
        </w:rPr>
        <w:t>160 mg/</w:t>
      </w:r>
      <w:proofErr w:type="spellStart"/>
      <w:r w:rsidRPr="006575F7">
        <w:rPr>
          <w:rFonts w:ascii="Book Antiqua" w:hAnsi="Book Antiqua" w:cs="Arial"/>
          <w:sz w:val="24"/>
          <w:szCs w:val="24"/>
        </w:rPr>
        <w:t>dL</w:t>
      </w:r>
      <w:proofErr w:type="spellEnd"/>
      <w:r w:rsidRPr="006575F7">
        <w:rPr>
          <w:rFonts w:ascii="Book Antiqua" w:hAnsi="Book Antiqua" w:cs="Arial"/>
          <w:sz w:val="24"/>
          <w:szCs w:val="24"/>
        </w:rPr>
        <w:t xml:space="preserve"> or triglyceride levels &gt;</w:t>
      </w:r>
      <w:r w:rsidR="00047F60">
        <w:rPr>
          <w:rFonts w:ascii="Book Antiqua" w:hAnsi="Book Antiqua" w:cs="Arial" w:hint="eastAsia"/>
          <w:sz w:val="24"/>
          <w:szCs w:val="24"/>
          <w:lang w:eastAsia="zh-CN"/>
        </w:rPr>
        <w:t xml:space="preserve"> </w:t>
      </w:r>
      <w:r w:rsidRPr="006575F7">
        <w:rPr>
          <w:rFonts w:ascii="Book Antiqua" w:hAnsi="Book Antiqua" w:cs="Arial"/>
          <w:sz w:val="24"/>
          <w:szCs w:val="24"/>
        </w:rPr>
        <w:t>150 mg/</w:t>
      </w:r>
      <w:proofErr w:type="spellStart"/>
      <w:r w:rsidRPr="006575F7">
        <w:rPr>
          <w:rFonts w:ascii="Book Antiqua" w:hAnsi="Book Antiqua" w:cs="Arial"/>
          <w:sz w:val="24"/>
          <w:szCs w:val="24"/>
        </w:rPr>
        <w:t>dL</w:t>
      </w:r>
      <w:proofErr w:type="spellEnd"/>
      <w:r w:rsidRPr="006575F7">
        <w:rPr>
          <w:rFonts w:ascii="Book Antiqua" w:hAnsi="Book Antiqua" w:cs="Arial"/>
          <w:sz w:val="24"/>
          <w:szCs w:val="24"/>
        </w:rPr>
        <w:t>; previous diagnosis of arterial hypertension, defined as systolic blood pressure ≥</w:t>
      </w:r>
      <w:r w:rsidR="00047F60">
        <w:rPr>
          <w:rFonts w:ascii="Book Antiqua" w:hAnsi="Book Antiqua" w:cs="Arial" w:hint="eastAsia"/>
          <w:sz w:val="24"/>
          <w:szCs w:val="24"/>
          <w:lang w:eastAsia="zh-CN"/>
        </w:rPr>
        <w:t xml:space="preserve"> </w:t>
      </w:r>
      <w:r w:rsidR="007B5A5E">
        <w:rPr>
          <w:rFonts w:ascii="Book Antiqua" w:hAnsi="Book Antiqua" w:cs="Arial"/>
          <w:sz w:val="24"/>
          <w:szCs w:val="24"/>
        </w:rPr>
        <w:t>140 and/</w:t>
      </w:r>
      <w:r w:rsidRPr="006575F7">
        <w:rPr>
          <w:rFonts w:ascii="Book Antiqua" w:hAnsi="Book Antiqua" w:cs="Arial"/>
          <w:sz w:val="24"/>
          <w:szCs w:val="24"/>
        </w:rPr>
        <w:t>or diastolic blood pressure ≥</w:t>
      </w:r>
      <w:r w:rsidR="00047F60">
        <w:rPr>
          <w:rFonts w:ascii="Book Antiqua" w:hAnsi="Book Antiqua" w:cs="Arial" w:hint="eastAsia"/>
          <w:sz w:val="24"/>
          <w:szCs w:val="24"/>
          <w:lang w:eastAsia="zh-CN"/>
        </w:rPr>
        <w:t xml:space="preserve"> </w:t>
      </w:r>
      <w:r w:rsidRPr="006575F7">
        <w:rPr>
          <w:rFonts w:ascii="Book Antiqua" w:hAnsi="Book Antiqua" w:cs="Arial"/>
          <w:sz w:val="24"/>
          <w:szCs w:val="24"/>
        </w:rPr>
        <w:t xml:space="preserve">90 mmHg. </w:t>
      </w:r>
    </w:p>
    <w:p w:rsidR="006D088A" w:rsidRPr="007B5A5E" w:rsidRDefault="006D088A" w:rsidP="00B230CE">
      <w:pPr>
        <w:spacing w:after="0" w:line="360" w:lineRule="auto"/>
        <w:jc w:val="both"/>
        <w:rPr>
          <w:rFonts w:ascii="Book Antiqua" w:hAnsi="Book Antiqua" w:cs="Arial"/>
          <w:sz w:val="24"/>
          <w:szCs w:val="24"/>
          <w:lang w:eastAsia="zh-CN"/>
        </w:rPr>
      </w:pPr>
    </w:p>
    <w:p w:rsidR="006D088A" w:rsidRPr="006575F7" w:rsidRDefault="006D088A" w:rsidP="00B230CE">
      <w:pPr>
        <w:keepNext/>
        <w:keepLines/>
        <w:spacing w:after="0" w:line="360" w:lineRule="auto"/>
        <w:jc w:val="both"/>
        <w:outlineLvl w:val="0"/>
        <w:rPr>
          <w:rFonts w:ascii="Book Antiqua" w:eastAsiaTheme="majorEastAsia" w:hAnsi="Book Antiqua" w:cs="Arial"/>
          <w:b/>
          <w:bCs/>
          <w:i/>
          <w:sz w:val="24"/>
          <w:szCs w:val="24"/>
        </w:rPr>
      </w:pPr>
      <w:r w:rsidRPr="006575F7">
        <w:rPr>
          <w:rFonts w:ascii="Book Antiqua" w:eastAsiaTheme="majorEastAsia" w:hAnsi="Book Antiqua" w:cs="Arial"/>
          <w:b/>
          <w:bCs/>
          <w:i/>
          <w:sz w:val="24"/>
          <w:szCs w:val="24"/>
        </w:rPr>
        <w:t>Histopathology</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 xml:space="preserve">All 120 </w:t>
      </w:r>
      <w:proofErr w:type="spellStart"/>
      <w:r w:rsidRPr="006575F7">
        <w:rPr>
          <w:rFonts w:ascii="Book Antiqua" w:hAnsi="Book Antiqua" w:cs="Arial"/>
          <w:sz w:val="24"/>
          <w:szCs w:val="24"/>
        </w:rPr>
        <w:t>histopathological</w:t>
      </w:r>
      <w:proofErr w:type="spellEnd"/>
      <w:r w:rsidRPr="006575F7">
        <w:rPr>
          <w:rFonts w:ascii="Book Antiqua" w:hAnsi="Book Antiqua" w:cs="Arial"/>
          <w:sz w:val="24"/>
          <w:szCs w:val="24"/>
        </w:rPr>
        <w:t xml:space="preserve"> examinations were reviewed by a pathologist with over 30 years of experience in liver pathology, who was blinded to the clinical, laboratory and/or patient demographics. The histological diagnosis of hepatic neoplasms was made using slide-mounted specimens stained with </w:t>
      </w:r>
      <w:proofErr w:type="spellStart"/>
      <w:r w:rsidRPr="006575F7">
        <w:rPr>
          <w:rFonts w:ascii="Book Antiqua" w:hAnsi="Book Antiqua" w:cs="Arial"/>
          <w:sz w:val="24"/>
          <w:szCs w:val="24"/>
        </w:rPr>
        <w:t>hematoxylin</w:t>
      </w:r>
      <w:proofErr w:type="spellEnd"/>
      <w:r w:rsidRPr="006575F7">
        <w:rPr>
          <w:rFonts w:ascii="Book Antiqua" w:hAnsi="Book Antiqua" w:cs="Arial"/>
          <w:sz w:val="24"/>
          <w:szCs w:val="24"/>
        </w:rPr>
        <w:t xml:space="preserve"> and eosin or Masson's </w:t>
      </w:r>
      <w:proofErr w:type="spellStart"/>
      <w:r w:rsidRPr="006575F7">
        <w:rPr>
          <w:rFonts w:ascii="Book Antiqua" w:hAnsi="Book Antiqua" w:cs="Arial"/>
          <w:sz w:val="24"/>
          <w:szCs w:val="24"/>
        </w:rPr>
        <w:t>trichrome</w:t>
      </w:r>
      <w:proofErr w:type="spellEnd"/>
      <w:r w:rsidRPr="006575F7">
        <w:rPr>
          <w:rFonts w:ascii="Book Antiqua" w:hAnsi="Book Antiqua" w:cs="Arial"/>
          <w:sz w:val="24"/>
          <w:szCs w:val="24"/>
        </w:rPr>
        <w:t xml:space="preserve"> and silver impregnation to assess </w:t>
      </w:r>
      <w:proofErr w:type="spellStart"/>
      <w:r w:rsidRPr="006575F7">
        <w:rPr>
          <w:rFonts w:ascii="Book Antiqua" w:hAnsi="Book Antiqua" w:cs="Arial"/>
          <w:sz w:val="24"/>
          <w:szCs w:val="24"/>
        </w:rPr>
        <w:t>reticulin</w:t>
      </w:r>
      <w:proofErr w:type="spellEnd"/>
      <w:r w:rsidRPr="006575F7">
        <w:rPr>
          <w:rFonts w:ascii="Book Antiqua" w:hAnsi="Book Antiqua" w:cs="Arial"/>
          <w:sz w:val="24"/>
          <w:szCs w:val="24"/>
        </w:rPr>
        <w:t xml:space="preserve"> fibers. Using the </w:t>
      </w:r>
      <w:proofErr w:type="spellStart"/>
      <w:r w:rsidRPr="006575F7">
        <w:rPr>
          <w:rFonts w:ascii="Book Antiqua" w:hAnsi="Book Antiqua" w:cs="Arial"/>
          <w:sz w:val="24"/>
          <w:szCs w:val="24"/>
        </w:rPr>
        <w:t>Kleiner</w:t>
      </w:r>
      <w:proofErr w:type="spellEnd"/>
      <w:r w:rsidRPr="006575F7">
        <w:rPr>
          <w:rFonts w:ascii="Book Antiqua" w:hAnsi="Book Antiqua" w:cs="Arial"/>
          <w:sz w:val="24"/>
          <w:szCs w:val="24"/>
        </w:rPr>
        <w:t xml:space="preserve"> </w:t>
      </w:r>
      <w:r w:rsidR="00047F60">
        <w:rPr>
          <w:rFonts w:ascii="Book Antiqua" w:hAnsi="Book Antiqua" w:cs="Arial"/>
          <w:i/>
          <w:sz w:val="24"/>
          <w:szCs w:val="24"/>
        </w:rPr>
        <w:t xml:space="preserve">et </w:t>
      </w:r>
      <w:proofErr w:type="gramStart"/>
      <w:r w:rsidR="00047F60">
        <w:rPr>
          <w:rFonts w:ascii="Book Antiqua" w:hAnsi="Book Antiqua" w:cs="Arial"/>
          <w:i/>
          <w:sz w:val="24"/>
          <w:szCs w:val="24"/>
        </w:rPr>
        <w:t>al</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 xml:space="preserve">16] </w:t>
      </w:r>
      <w:r w:rsidRPr="006575F7">
        <w:rPr>
          <w:rFonts w:ascii="Book Antiqua" w:hAnsi="Book Antiqua" w:cs="Arial"/>
          <w:sz w:val="24"/>
          <w:szCs w:val="24"/>
        </w:rPr>
        <w:lastRenderedPageBreak/>
        <w:t xml:space="preserve">classification scoring system, we assessed the histological grade of lesions in the tumor-free liver parenchyma. </w:t>
      </w:r>
    </w:p>
    <w:p w:rsidR="006D088A" w:rsidRPr="006575F7" w:rsidRDefault="006D088A" w:rsidP="00B230CE">
      <w:pPr>
        <w:spacing w:after="0" w:line="360" w:lineRule="auto"/>
        <w:jc w:val="both"/>
        <w:rPr>
          <w:rFonts w:ascii="Book Antiqua" w:hAnsi="Book Antiqua" w:cs="Arial"/>
          <w:sz w:val="24"/>
          <w:szCs w:val="24"/>
        </w:rPr>
      </w:pPr>
    </w:p>
    <w:p w:rsidR="006D088A" w:rsidRPr="006575F7" w:rsidRDefault="006D088A" w:rsidP="00B230CE">
      <w:pPr>
        <w:spacing w:after="0" w:line="360" w:lineRule="auto"/>
        <w:jc w:val="both"/>
        <w:rPr>
          <w:rFonts w:ascii="Book Antiqua" w:eastAsiaTheme="majorEastAsia" w:hAnsi="Book Antiqua" w:cs="Arial"/>
          <w:b/>
          <w:bCs/>
          <w:i/>
          <w:sz w:val="24"/>
          <w:szCs w:val="24"/>
          <w:lang w:eastAsia="zh-CN"/>
        </w:rPr>
      </w:pPr>
      <w:r w:rsidRPr="006575F7">
        <w:rPr>
          <w:rFonts w:ascii="Book Antiqua" w:eastAsiaTheme="majorEastAsia" w:hAnsi="Book Antiqua" w:cs="Arial"/>
          <w:b/>
          <w:bCs/>
          <w:i/>
          <w:sz w:val="24"/>
          <w:szCs w:val="24"/>
        </w:rPr>
        <w:t>Statistical analysis</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 xml:space="preserve">Descriptive statistics using the previously defined variables were performed to assess the results. The Statistical Package for Social Sciences version 13.0 was used for statistical calculations. </w:t>
      </w:r>
      <w:proofErr w:type="spellStart"/>
      <w:r w:rsidRPr="006575F7">
        <w:rPr>
          <w:rFonts w:ascii="Book Antiqua" w:hAnsi="Book Antiqua" w:cs="Arial"/>
          <w:sz w:val="24"/>
          <w:szCs w:val="24"/>
        </w:rPr>
        <w:t>Epi</w:t>
      </w:r>
      <w:proofErr w:type="spellEnd"/>
      <w:r w:rsidRPr="006575F7">
        <w:rPr>
          <w:rFonts w:ascii="Book Antiqua" w:hAnsi="Book Antiqua" w:cs="Arial"/>
          <w:sz w:val="24"/>
          <w:szCs w:val="24"/>
        </w:rPr>
        <w:t xml:space="preserve"> Info version 3.4.3 was used to evaluate confidence intervals (CIs) and odds ratios (ORs). Descriptive analyses were performed on the summary measures for quantitative variables. Qualitative variables were calculated, and absolute and relative frequencies were determined. The Student‘s </w:t>
      </w:r>
      <w:r w:rsidRPr="006575F7">
        <w:rPr>
          <w:rFonts w:ascii="Book Antiqua" w:hAnsi="Book Antiqua" w:cs="Arial"/>
          <w:i/>
          <w:sz w:val="24"/>
          <w:szCs w:val="24"/>
        </w:rPr>
        <w:t>t</w:t>
      </w:r>
      <w:r w:rsidRPr="006575F7">
        <w:rPr>
          <w:rFonts w:ascii="Book Antiqua" w:hAnsi="Book Antiqua" w:cs="Arial"/>
          <w:sz w:val="24"/>
          <w:szCs w:val="24"/>
        </w:rPr>
        <w:t>-test was used for comparisons of NAFLD with liver malignancy. The Mann-Whitney test was used for nonparametric variables. The Chi-square test (</w:t>
      </w:r>
      <w:r w:rsidRPr="006575F7">
        <w:rPr>
          <w:rFonts w:ascii="Book Antiqua" w:hAnsi="Book Antiqua" w:cs="Arial"/>
          <w:sz w:val="24"/>
          <w:szCs w:val="24"/>
        </w:rPr>
        <w:sym w:font="Symbol" w:char="F020"/>
      </w:r>
      <w:r w:rsidRPr="006575F7">
        <w:rPr>
          <w:rFonts w:ascii="Book Antiqua" w:hAnsi="Book Antiqua" w:cs="Arial"/>
          <w:sz w:val="24"/>
          <w:szCs w:val="24"/>
        </w:rPr>
        <w:sym w:font="Symbol" w:char="F063"/>
      </w:r>
      <w:r w:rsidRPr="006575F7">
        <w:rPr>
          <w:rFonts w:ascii="Book Antiqua" w:hAnsi="Book Antiqua" w:cs="Arial"/>
          <w:sz w:val="24"/>
          <w:szCs w:val="24"/>
          <w:vertAlign w:val="superscript"/>
        </w:rPr>
        <w:t>2</w:t>
      </w:r>
      <w:r w:rsidRPr="006575F7">
        <w:rPr>
          <w:rFonts w:ascii="Book Antiqua" w:hAnsi="Book Antiqua" w:cs="Arial"/>
          <w:sz w:val="24"/>
          <w:szCs w:val="24"/>
        </w:rPr>
        <w:t>) and Fisher’s exact test were used for statistical analysis. Significance level for all tests was defined at 5% (</w:t>
      </w:r>
      <w:r w:rsidRPr="006575F7">
        <w:rPr>
          <w:rFonts w:ascii="Book Antiqua" w:hAnsi="Book Antiqua" w:cs="Arial"/>
          <w:i/>
          <w:sz w:val="24"/>
          <w:szCs w:val="24"/>
        </w:rPr>
        <w:t>P</w:t>
      </w:r>
      <w:r w:rsidRPr="006575F7">
        <w:rPr>
          <w:rFonts w:ascii="Book Antiqua" w:hAnsi="Book Antiqua" w:cs="Arial"/>
          <w:sz w:val="24"/>
          <w:szCs w:val="24"/>
        </w:rPr>
        <w:t xml:space="preserve"> &lt; 0.05).</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t>RESULTS</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The demographic characteristics and histological features of the 120 included patients are listed in Table</w:t>
      </w:r>
      <w:r w:rsidRPr="006575F7">
        <w:rPr>
          <w:rFonts w:ascii="Book Antiqua" w:hAnsi="Book Antiqua" w:cs="Arial"/>
          <w:b/>
          <w:sz w:val="24"/>
          <w:szCs w:val="24"/>
        </w:rPr>
        <w:t xml:space="preserve"> </w:t>
      </w:r>
      <w:r w:rsidRPr="006575F7">
        <w:rPr>
          <w:rFonts w:ascii="Book Antiqua" w:hAnsi="Book Antiqua" w:cs="Arial"/>
          <w:sz w:val="24"/>
          <w:szCs w:val="24"/>
        </w:rPr>
        <w:t xml:space="preserve">1. Milder degrees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(grade 1; 39 cases) and liver fibrosis (grades 1 and 2, 51 cases) were predominant. When the association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with fibrosis</w:t>
      </w:r>
      <w:r w:rsidRPr="006575F7">
        <w:rPr>
          <w:rFonts w:ascii="Book Antiqua" w:hAnsi="Book Antiqua"/>
          <w:sz w:val="24"/>
          <w:szCs w:val="24"/>
        </w:rPr>
        <w:t xml:space="preserve"> </w:t>
      </w:r>
      <w:r w:rsidRPr="006575F7">
        <w:rPr>
          <w:rFonts w:ascii="Book Antiqua" w:hAnsi="Book Antiqua" w:cs="Arial"/>
          <w:sz w:val="24"/>
          <w:szCs w:val="24"/>
        </w:rPr>
        <w:t>was evaluated, no statistically significant difference (</w:t>
      </w:r>
      <w:r w:rsidRPr="006575F7">
        <w:rPr>
          <w:rFonts w:ascii="Book Antiqua" w:hAnsi="Book Antiqua" w:cs="Arial"/>
          <w:i/>
          <w:sz w:val="24"/>
          <w:szCs w:val="24"/>
        </w:rPr>
        <w:t>P</w:t>
      </w:r>
      <w:r w:rsidRPr="006575F7">
        <w:rPr>
          <w:rFonts w:ascii="Book Antiqua" w:hAnsi="Book Antiqua" w:cs="Arial"/>
          <w:sz w:val="24"/>
          <w:szCs w:val="24"/>
        </w:rPr>
        <w:t xml:space="preserve"> = 0.564) was observed.</w:t>
      </w:r>
    </w:p>
    <w:p w:rsidR="006D088A" w:rsidRPr="006575F7" w:rsidRDefault="006D088A" w:rsidP="00B230CE">
      <w:pPr>
        <w:spacing w:after="0" w:line="360" w:lineRule="auto"/>
        <w:ind w:firstLine="720"/>
        <w:jc w:val="both"/>
        <w:rPr>
          <w:rFonts w:ascii="Book Antiqua" w:hAnsi="Book Antiqua" w:cs="Arial"/>
          <w:sz w:val="24"/>
          <w:szCs w:val="24"/>
          <w:lang w:eastAsia="zh-CN"/>
        </w:rPr>
      </w:pPr>
      <w:r w:rsidRPr="006575F7">
        <w:rPr>
          <w:rFonts w:ascii="Book Antiqua" w:eastAsia="Times New Roman" w:hAnsi="Book Antiqua" w:cs="Arial"/>
          <w:sz w:val="24"/>
          <w:szCs w:val="24"/>
          <w:lang w:eastAsia="pt-BR"/>
        </w:rPr>
        <w:t xml:space="preserve">Neither liver fibrosis nor NAFLD showed any statistically significant relationship with their risk factors for any of the tumors studied (Table 2). Although two individuals with </w:t>
      </w:r>
      <w:proofErr w:type="spellStart"/>
      <w:r w:rsidRPr="006575F7">
        <w:rPr>
          <w:rFonts w:ascii="Book Antiqua" w:eastAsia="Times New Roman" w:hAnsi="Book Antiqua" w:cs="Arial"/>
          <w:sz w:val="24"/>
          <w:szCs w:val="24"/>
          <w:lang w:eastAsia="pt-BR"/>
        </w:rPr>
        <w:t>steatohepatitis</w:t>
      </w:r>
      <w:proofErr w:type="spellEnd"/>
      <w:r w:rsidRPr="006575F7">
        <w:rPr>
          <w:rFonts w:ascii="Book Antiqua" w:eastAsia="Times New Roman" w:hAnsi="Book Antiqua" w:cs="Arial"/>
          <w:sz w:val="24"/>
          <w:szCs w:val="24"/>
          <w:lang w:eastAsia="pt-BR"/>
        </w:rPr>
        <w:t xml:space="preserve"> had GI and/or DM, these findings were not statistically significant (</w:t>
      </w:r>
      <w:r w:rsidRPr="006575F7">
        <w:rPr>
          <w:rFonts w:ascii="Book Antiqua" w:eastAsia="Times New Roman" w:hAnsi="Book Antiqua" w:cs="Arial"/>
          <w:i/>
          <w:sz w:val="24"/>
          <w:szCs w:val="24"/>
          <w:lang w:eastAsia="pt-BR"/>
        </w:rPr>
        <w:t>P</w:t>
      </w:r>
      <w:r w:rsidRPr="006575F7">
        <w:rPr>
          <w:rFonts w:ascii="Book Antiqua" w:eastAsia="Times New Roman" w:hAnsi="Book Antiqua" w:cs="Arial"/>
          <w:sz w:val="24"/>
          <w:szCs w:val="24"/>
          <w:lang w:eastAsia="pt-BR"/>
        </w:rPr>
        <w:t xml:space="preserve"> = 0.507).</w:t>
      </w:r>
      <w:r w:rsidRPr="006575F7">
        <w:rPr>
          <w:rFonts w:ascii="Book Antiqua" w:hAnsi="Book Antiqua" w:cs="Arial"/>
          <w:sz w:val="24"/>
          <w:szCs w:val="24"/>
        </w:rPr>
        <w:t xml:space="preserve"> </w:t>
      </w:r>
      <w:r w:rsidRPr="006575F7">
        <w:rPr>
          <w:rFonts w:ascii="Book Antiqua" w:eastAsia="Times New Roman" w:hAnsi="Book Antiqua" w:cs="Arial"/>
          <w:sz w:val="24"/>
          <w:szCs w:val="24"/>
          <w:lang w:eastAsia="pt-BR"/>
        </w:rPr>
        <w:t xml:space="preserve">An analysis based on the </w:t>
      </w:r>
      <w:r w:rsidRPr="006575F7">
        <w:rPr>
          <w:rFonts w:ascii="Book Antiqua" w:hAnsi="Book Antiqua" w:cs="Arial"/>
          <w:sz w:val="24"/>
          <w:szCs w:val="24"/>
        </w:rPr>
        <w:t xml:space="preserve">type of liver cancer showed an association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only in liver metastasis due to colorectal cancer (Table 3) and fibrosis only in HCC.</w:t>
      </w:r>
    </w:p>
    <w:p w:rsidR="006D088A" w:rsidRPr="006575F7" w:rsidRDefault="006D088A" w:rsidP="00B230CE">
      <w:pPr>
        <w:spacing w:after="0" w:line="360" w:lineRule="auto"/>
        <w:jc w:val="both"/>
        <w:rPr>
          <w:rFonts w:ascii="Book Antiqua" w:hAnsi="Book Antiqua" w:cs="Arial"/>
          <w:b/>
          <w:sz w:val="24"/>
          <w:szCs w:val="24"/>
        </w:rPr>
      </w:pP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t>DISCUSSION</w:t>
      </w:r>
    </w:p>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The clinical course of NAFLD may vary according to the initial histological diagnosis and can range from a reversible benign outcome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to the development of an </w:t>
      </w:r>
      <w:r w:rsidRPr="006575F7">
        <w:rPr>
          <w:rFonts w:ascii="Book Antiqua" w:hAnsi="Book Antiqua" w:cs="Arial"/>
          <w:sz w:val="24"/>
          <w:szCs w:val="24"/>
        </w:rPr>
        <w:lastRenderedPageBreak/>
        <w:t xml:space="preserve">inﬂammatory </w:t>
      </w:r>
      <w:proofErr w:type="spellStart"/>
      <w:r w:rsidRPr="006575F7">
        <w:rPr>
          <w:rFonts w:ascii="Book Antiqua" w:hAnsi="Book Antiqua" w:cs="Arial"/>
          <w:sz w:val="24"/>
          <w:szCs w:val="24"/>
        </w:rPr>
        <w:t>steatohepatitis</w:t>
      </w:r>
      <w:proofErr w:type="spellEnd"/>
      <w:r w:rsidRPr="006575F7">
        <w:rPr>
          <w:rFonts w:ascii="Book Antiqua" w:hAnsi="Book Antiqua" w:cs="Arial"/>
          <w:sz w:val="24"/>
          <w:szCs w:val="24"/>
        </w:rPr>
        <w:t xml:space="preserve"> (NASH)</w:t>
      </w:r>
      <w:r w:rsidRPr="006575F7">
        <w:rPr>
          <w:rFonts w:ascii="Book Antiqua" w:hAnsi="Book Antiqua"/>
          <w:sz w:val="24"/>
          <w:szCs w:val="24"/>
        </w:rPr>
        <w:t xml:space="preserve"> </w:t>
      </w:r>
      <w:r w:rsidR="00047F60">
        <w:rPr>
          <w:rFonts w:ascii="Book Antiqua" w:hAnsi="Book Antiqua" w:cs="Arial"/>
          <w:sz w:val="24"/>
          <w:szCs w:val="24"/>
        </w:rPr>
        <w:t>in 10%</w:t>
      </w:r>
      <w:r w:rsidR="00047F60">
        <w:rPr>
          <w:rFonts w:ascii="Book Antiqua" w:hAnsi="Book Antiqua" w:cs="Arial" w:hint="eastAsia"/>
          <w:sz w:val="24"/>
          <w:szCs w:val="24"/>
          <w:lang w:eastAsia="zh-CN"/>
        </w:rPr>
        <w:t>-</w:t>
      </w:r>
      <w:r w:rsidRPr="006575F7">
        <w:rPr>
          <w:rFonts w:ascii="Book Antiqua" w:hAnsi="Book Antiqua" w:cs="Arial"/>
          <w:sz w:val="24"/>
          <w:szCs w:val="24"/>
        </w:rPr>
        <w:t>20% of cases. Once established, 3%</w:t>
      </w:r>
      <w:r w:rsidR="00047F60">
        <w:rPr>
          <w:rFonts w:ascii="Book Antiqua" w:hAnsi="Book Antiqua" w:cs="Arial" w:hint="eastAsia"/>
          <w:sz w:val="24"/>
          <w:szCs w:val="24"/>
          <w:lang w:eastAsia="zh-CN"/>
        </w:rPr>
        <w:t>-</w:t>
      </w:r>
      <w:r w:rsidRPr="006575F7">
        <w:rPr>
          <w:rFonts w:ascii="Book Antiqua" w:hAnsi="Book Antiqua" w:cs="Arial"/>
          <w:sz w:val="24"/>
          <w:szCs w:val="24"/>
        </w:rPr>
        <w:t>5% of NASH cases progress to cirrhosis within 15</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20 years, with an increase in risk of developing </w:t>
      </w:r>
      <w:proofErr w:type="gramStart"/>
      <w:r w:rsidRPr="006575F7">
        <w:rPr>
          <w:rFonts w:ascii="Book Antiqua" w:hAnsi="Book Antiqua" w:cs="Arial"/>
          <w:sz w:val="24"/>
          <w:szCs w:val="24"/>
        </w:rPr>
        <w:t>HCC</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2,</w:t>
      </w:r>
      <w:r w:rsidRPr="006575F7">
        <w:rPr>
          <w:rFonts w:ascii="Book Antiqua" w:hAnsi="Book Antiqua" w:cs="Arial"/>
          <w:sz w:val="24"/>
          <w:szCs w:val="24"/>
          <w:vertAlign w:val="superscript"/>
        </w:rPr>
        <w:t>17]</w:t>
      </w:r>
      <w:r w:rsidRPr="006575F7">
        <w:rPr>
          <w:rFonts w:ascii="Book Antiqua" w:hAnsi="Book Antiqua" w:cs="Arial"/>
          <w:sz w:val="24"/>
          <w:szCs w:val="24"/>
        </w:rPr>
        <w:t>. In the Western population, the cumulative annual incidence rate of HCC in patients with NASH and cirrhosis was reported as 2.6</w:t>
      </w:r>
      <w:proofErr w:type="gramStart"/>
      <w:r w:rsidRPr="006575F7">
        <w:rPr>
          <w:rFonts w:ascii="Book Antiqua" w:hAnsi="Book Antiqua" w:cs="Arial"/>
          <w:sz w:val="24"/>
          <w:szCs w:val="24"/>
        </w:rPr>
        <w:t>%</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18]</w:t>
      </w:r>
      <w:r w:rsidRPr="006575F7">
        <w:rPr>
          <w:rFonts w:ascii="Book Antiqua" w:hAnsi="Book Antiqua" w:cs="Arial"/>
          <w:sz w:val="24"/>
          <w:szCs w:val="24"/>
        </w:rPr>
        <w:t>, while in the Asian population this rate was reported as 11.3%</w:t>
      </w:r>
      <w:r w:rsidRPr="006575F7">
        <w:rPr>
          <w:rFonts w:ascii="Book Antiqua" w:hAnsi="Book Antiqua" w:cs="Arial"/>
          <w:sz w:val="24"/>
          <w:szCs w:val="24"/>
          <w:vertAlign w:val="superscript"/>
        </w:rPr>
        <w:t>[19]</w:t>
      </w:r>
      <w:r w:rsidRPr="006575F7">
        <w:rPr>
          <w:rFonts w:ascii="Book Antiqua" w:hAnsi="Book Antiqua" w:cs="Arial"/>
          <w:sz w:val="24"/>
          <w:szCs w:val="24"/>
        </w:rPr>
        <w:t>.</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Recently, </w:t>
      </w:r>
      <w:proofErr w:type="spellStart"/>
      <w:r w:rsidRPr="006575F7">
        <w:rPr>
          <w:rFonts w:ascii="Book Antiqua" w:hAnsi="Book Antiqua" w:cs="Arial"/>
          <w:sz w:val="24"/>
          <w:szCs w:val="24"/>
        </w:rPr>
        <w:t>Hamady</w:t>
      </w:r>
      <w:proofErr w:type="spellEnd"/>
      <w:r w:rsidRPr="006575F7">
        <w:rPr>
          <w:rFonts w:ascii="Book Antiqua" w:hAnsi="Book Antiqua" w:cs="Arial"/>
          <w:sz w:val="24"/>
          <w:szCs w:val="24"/>
        </w:rPr>
        <w:t xml:space="preserve"> </w:t>
      </w:r>
      <w:r w:rsidR="00047F60">
        <w:rPr>
          <w:rFonts w:ascii="Book Antiqua" w:hAnsi="Book Antiqua" w:cs="Arial"/>
          <w:i/>
          <w:sz w:val="24"/>
          <w:szCs w:val="24"/>
        </w:rPr>
        <w:t xml:space="preserve">et </w:t>
      </w:r>
      <w:proofErr w:type="gramStart"/>
      <w:r w:rsidR="00047F60">
        <w:rPr>
          <w:rFonts w:ascii="Book Antiqua" w:hAnsi="Book Antiqua" w:cs="Arial"/>
          <w:i/>
          <w:sz w:val="24"/>
          <w:szCs w:val="24"/>
        </w:rPr>
        <w:t>al</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20]</w:t>
      </w:r>
      <w:r w:rsidRPr="006575F7">
        <w:rPr>
          <w:rFonts w:ascii="Book Antiqua" w:hAnsi="Book Antiqua" w:cs="Arial"/>
          <w:sz w:val="24"/>
          <w:szCs w:val="24"/>
        </w:rPr>
        <w:t xml:space="preserve"> identified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as an independent risk factor for recurrence following curative resection of liver metastasis from colorectal cancer (LMCC) and was also associated with a worse prognosis. The biological characteristics of these metastases include bilateral distribution, lymph node involvement, and the presence of </w:t>
      </w:r>
      <w:proofErr w:type="spellStart"/>
      <w:r w:rsidRPr="006575F7">
        <w:rPr>
          <w:rFonts w:ascii="Book Antiqua" w:hAnsi="Book Antiqua" w:cs="Arial"/>
          <w:sz w:val="24"/>
          <w:szCs w:val="24"/>
        </w:rPr>
        <w:t>extrahepatic</w:t>
      </w:r>
      <w:proofErr w:type="spellEnd"/>
      <w:r w:rsidRPr="006575F7">
        <w:rPr>
          <w:rFonts w:ascii="Book Antiqua" w:hAnsi="Book Antiqua" w:cs="Arial"/>
          <w:sz w:val="24"/>
          <w:szCs w:val="24"/>
        </w:rPr>
        <w:t xml:space="preserve"> disease at diagnosis. Changes in inflammatory cytokines and extracellular matrix remodeling proteinases were associated with an increased risk of metastasis in many different organ </w:t>
      </w:r>
      <w:proofErr w:type="gramStart"/>
      <w:r w:rsidRPr="006575F7">
        <w:rPr>
          <w:rFonts w:ascii="Book Antiqua" w:hAnsi="Book Antiqua" w:cs="Arial"/>
          <w:sz w:val="24"/>
          <w:szCs w:val="24"/>
        </w:rPr>
        <w:t>systems</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21]</w:t>
      </w:r>
      <w:r w:rsidRPr="006575F7">
        <w:rPr>
          <w:rFonts w:ascii="Book Antiqua" w:hAnsi="Book Antiqua" w:cs="Arial"/>
          <w:sz w:val="24"/>
          <w:szCs w:val="24"/>
        </w:rPr>
        <w:t xml:space="preserve">. </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Significant changes that occur in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and NASH cause an increase in certain signaling molecules, such as transforming growth factor-beta (TGF-</w:t>
      </w:r>
      <w:r w:rsidR="00047F60">
        <w:rPr>
          <w:rFonts w:ascii="Symbol" w:hAnsi="Symbol" w:cs="Arial"/>
          <w:sz w:val="24"/>
          <w:szCs w:val="24"/>
        </w:rPr>
        <w:sym w:font="Symbol" w:char="F062"/>
      </w:r>
      <w:r w:rsidRPr="006575F7">
        <w:rPr>
          <w:rFonts w:ascii="Book Antiqua" w:hAnsi="Book Antiqua" w:cs="Arial"/>
          <w:sz w:val="24"/>
          <w:szCs w:val="24"/>
        </w:rPr>
        <w:t xml:space="preserve">) and some cell matrix </w:t>
      </w:r>
      <w:proofErr w:type="spellStart"/>
      <w:r w:rsidRPr="006575F7">
        <w:rPr>
          <w:rFonts w:ascii="Book Antiqua" w:hAnsi="Book Antiqua" w:cs="Arial"/>
          <w:sz w:val="24"/>
          <w:szCs w:val="24"/>
        </w:rPr>
        <w:t>metalloproteinases</w:t>
      </w:r>
      <w:proofErr w:type="spellEnd"/>
      <w:r w:rsidRPr="006575F7">
        <w:rPr>
          <w:rFonts w:ascii="Book Antiqua" w:hAnsi="Book Antiqua" w:cs="Arial"/>
          <w:sz w:val="24"/>
          <w:szCs w:val="24"/>
        </w:rPr>
        <w:t xml:space="preserve">, which may be important in tumor formation and angiogenesis </w:t>
      </w:r>
      <w:proofErr w:type="gramStart"/>
      <w:r w:rsidRPr="006575F7">
        <w:rPr>
          <w:rFonts w:ascii="Book Antiqua" w:hAnsi="Book Antiqua" w:cs="Arial"/>
          <w:sz w:val="24"/>
          <w:szCs w:val="24"/>
        </w:rPr>
        <w:t>stimulation</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21-24]</w:t>
      </w:r>
      <w:r w:rsidRPr="006575F7">
        <w:rPr>
          <w:rFonts w:ascii="Book Antiqua" w:hAnsi="Book Antiqua" w:cs="Arial"/>
          <w:sz w:val="24"/>
          <w:szCs w:val="24"/>
        </w:rPr>
        <w:t xml:space="preserve">. However, other studies indicated that LMCC is less frequent in subjects with NAFLD and suggested that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may be, in fact, an unfavorable factor for the development of </w:t>
      </w:r>
      <w:proofErr w:type="gramStart"/>
      <w:r w:rsidRPr="006575F7">
        <w:rPr>
          <w:rFonts w:ascii="Book Antiqua" w:hAnsi="Book Antiqua" w:cs="Arial"/>
          <w:sz w:val="24"/>
          <w:szCs w:val="24"/>
        </w:rPr>
        <w:t>LMCC</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25-29]</w:t>
      </w:r>
      <w:r w:rsidRPr="006575F7">
        <w:rPr>
          <w:rFonts w:ascii="Book Antiqua" w:hAnsi="Book Antiqua" w:cs="Arial"/>
          <w:sz w:val="24"/>
          <w:szCs w:val="24"/>
        </w:rPr>
        <w:t>. Therefore, it is not clear whether NAFLD influences the development of LMCC, as demonstrated in this study, or has a protective effect (blocking LMCC development).</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The incidence rate of malignant liver tumors in patients involved in the current study was similar to that reported in the </w:t>
      </w:r>
      <w:proofErr w:type="gramStart"/>
      <w:r w:rsidRPr="006575F7">
        <w:rPr>
          <w:rFonts w:ascii="Book Antiqua" w:hAnsi="Book Antiqua" w:cs="Arial"/>
          <w:sz w:val="24"/>
          <w:szCs w:val="24"/>
        </w:rPr>
        <w:t>literature</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6,</w:t>
      </w:r>
      <w:r w:rsidRPr="006575F7">
        <w:rPr>
          <w:rFonts w:ascii="Book Antiqua" w:hAnsi="Book Antiqua" w:cs="Arial"/>
          <w:sz w:val="24"/>
          <w:szCs w:val="24"/>
          <w:vertAlign w:val="superscript"/>
        </w:rPr>
        <w:t>7]</w:t>
      </w:r>
      <w:r w:rsidRPr="006575F7">
        <w:rPr>
          <w:rFonts w:ascii="Book Antiqua" w:hAnsi="Book Antiqua" w:cs="Arial"/>
          <w:sz w:val="24"/>
          <w:szCs w:val="24"/>
        </w:rPr>
        <w:t xml:space="preserve">. No statistical differences were found in the association of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neoplasms compared with the general population (34.2% in the study group </w:t>
      </w:r>
      <w:r w:rsidRPr="006575F7">
        <w:rPr>
          <w:rFonts w:ascii="Book Antiqua" w:hAnsi="Book Antiqua" w:cs="Arial"/>
          <w:i/>
          <w:sz w:val="24"/>
          <w:szCs w:val="24"/>
        </w:rPr>
        <w:t xml:space="preserve">vs </w:t>
      </w:r>
      <w:r w:rsidRPr="006575F7">
        <w:rPr>
          <w:rFonts w:ascii="Book Antiqua" w:hAnsi="Book Antiqua" w:cs="Arial"/>
          <w:sz w:val="24"/>
          <w:szCs w:val="24"/>
        </w:rPr>
        <w:t>20</w:t>
      </w:r>
      <w:r w:rsidR="00047F60">
        <w:rPr>
          <w:rFonts w:ascii="Book Antiqua" w:hAnsi="Book Antiqua" w:cs="Arial" w:hint="eastAsia"/>
          <w:sz w:val="24"/>
          <w:szCs w:val="24"/>
          <w:lang w:eastAsia="zh-CN"/>
        </w:rPr>
        <w:t>%-</w:t>
      </w:r>
      <w:r w:rsidRPr="006575F7">
        <w:rPr>
          <w:rFonts w:ascii="Book Antiqua" w:hAnsi="Book Antiqua" w:cs="Arial"/>
          <w:sz w:val="24"/>
          <w:szCs w:val="24"/>
        </w:rPr>
        <w:t xml:space="preserve">30% in the general </w:t>
      </w:r>
      <w:proofErr w:type="gramStart"/>
      <w:r w:rsidRPr="006575F7">
        <w:rPr>
          <w:rFonts w:ascii="Book Antiqua" w:hAnsi="Book Antiqua" w:cs="Arial"/>
          <w:sz w:val="24"/>
          <w:szCs w:val="24"/>
        </w:rPr>
        <w:t>population</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2]</w:t>
      </w:r>
      <w:r w:rsidRPr="006575F7">
        <w:rPr>
          <w:rFonts w:ascii="Book Antiqua" w:hAnsi="Book Antiqua" w:cs="Arial"/>
          <w:sz w:val="24"/>
          <w:szCs w:val="24"/>
        </w:rPr>
        <w:t xml:space="preserve">). However, when analysis was performed in our study according to the different cancer types, we found a higher prevalence of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in patients with LMCC, even in cases with milder liver fibrosis, suggesting that even milder degrees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may be used as predictors for the development of hepatic neoplasms.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and liver cancer share several risk factors (including obesity, </w:t>
      </w:r>
      <w:proofErr w:type="spellStart"/>
      <w:r w:rsidRPr="006575F7">
        <w:rPr>
          <w:rFonts w:ascii="Book Antiqua" w:hAnsi="Book Antiqua" w:cs="Arial"/>
          <w:sz w:val="24"/>
          <w:szCs w:val="24"/>
        </w:rPr>
        <w:t>hyperinsulinemia</w:t>
      </w:r>
      <w:proofErr w:type="spellEnd"/>
      <w:r w:rsidRPr="006575F7">
        <w:rPr>
          <w:rFonts w:ascii="Book Antiqua" w:hAnsi="Book Antiqua" w:cs="Arial"/>
          <w:sz w:val="24"/>
          <w:szCs w:val="24"/>
        </w:rPr>
        <w:t xml:space="preserve">, GI, and DM), with </w:t>
      </w:r>
      <w:r w:rsidRPr="006575F7">
        <w:rPr>
          <w:rFonts w:ascii="Book Antiqua" w:hAnsi="Book Antiqua" w:cs="Arial"/>
          <w:sz w:val="24"/>
          <w:szCs w:val="24"/>
        </w:rPr>
        <w:lastRenderedPageBreak/>
        <w:t xml:space="preserve">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directly changing the liver microcirculation and inflammatory cytokines promoting the development of liver </w:t>
      </w:r>
      <w:proofErr w:type="gramStart"/>
      <w:r w:rsidRPr="006575F7">
        <w:rPr>
          <w:rFonts w:ascii="Book Antiqua" w:hAnsi="Book Antiqua" w:cs="Arial"/>
          <w:sz w:val="24"/>
          <w:szCs w:val="24"/>
        </w:rPr>
        <w:t>metastases</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4,</w:t>
      </w:r>
      <w:r w:rsidRPr="006575F7">
        <w:rPr>
          <w:rFonts w:ascii="Book Antiqua" w:hAnsi="Book Antiqua" w:cs="Arial"/>
          <w:sz w:val="24"/>
          <w:szCs w:val="24"/>
          <w:vertAlign w:val="superscript"/>
        </w:rPr>
        <w:t>30]</w:t>
      </w:r>
      <w:r w:rsidRPr="006575F7">
        <w:rPr>
          <w:rFonts w:ascii="Book Antiqua" w:hAnsi="Book Antiqua" w:cs="Arial"/>
          <w:sz w:val="24"/>
          <w:szCs w:val="24"/>
        </w:rPr>
        <w:t xml:space="preserve">. It is also possible, however, that there is no direct relationship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with the onset of metastasis. Previous exposure to chemotherapy has been shown to result in an increase in both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and </w:t>
      </w:r>
      <w:proofErr w:type="spellStart"/>
      <w:r w:rsidRPr="006575F7">
        <w:rPr>
          <w:rFonts w:ascii="Book Antiqua" w:hAnsi="Book Antiqua" w:cs="Arial"/>
          <w:sz w:val="24"/>
          <w:szCs w:val="24"/>
        </w:rPr>
        <w:t>steatohepatitis</w:t>
      </w:r>
      <w:proofErr w:type="spellEnd"/>
      <w:r w:rsidRPr="006575F7">
        <w:rPr>
          <w:rFonts w:ascii="Book Antiqua" w:hAnsi="Book Antiqua" w:cs="Arial"/>
          <w:sz w:val="24"/>
          <w:szCs w:val="24"/>
        </w:rPr>
        <w:t xml:space="preserve">, in up to 92% of cases </w:t>
      </w:r>
      <w:proofErr w:type="gramStart"/>
      <w:r w:rsidRPr="006575F7">
        <w:rPr>
          <w:rFonts w:ascii="Book Antiqua" w:hAnsi="Book Antiqua" w:cs="Arial"/>
          <w:sz w:val="24"/>
          <w:szCs w:val="24"/>
        </w:rPr>
        <w:t>studied</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4,31,</w:t>
      </w:r>
      <w:r w:rsidRPr="006575F7">
        <w:rPr>
          <w:rFonts w:ascii="Book Antiqua" w:hAnsi="Book Antiqua" w:cs="Arial"/>
          <w:sz w:val="24"/>
          <w:szCs w:val="24"/>
          <w:vertAlign w:val="superscript"/>
        </w:rPr>
        <w:t>32]</w:t>
      </w:r>
      <w:r w:rsidRPr="006575F7">
        <w:rPr>
          <w:rFonts w:ascii="Book Antiqua" w:hAnsi="Book Antiqua" w:cs="Arial"/>
          <w:sz w:val="24"/>
          <w:szCs w:val="24"/>
        </w:rPr>
        <w:t xml:space="preserve">. Furthermore,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induced by </w:t>
      </w:r>
      <w:proofErr w:type="spellStart"/>
      <w:r w:rsidRPr="006575F7">
        <w:rPr>
          <w:rFonts w:ascii="Book Antiqua" w:hAnsi="Book Antiqua" w:cs="Arial"/>
          <w:sz w:val="24"/>
          <w:szCs w:val="24"/>
        </w:rPr>
        <w:t>neoadjuvant</w:t>
      </w:r>
      <w:proofErr w:type="spellEnd"/>
      <w:r w:rsidRPr="006575F7">
        <w:rPr>
          <w:rFonts w:ascii="Book Antiqua" w:hAnsi="Book Antiqua" w:cs="Arial"/>
          <w:sz w:val="24"/>
          <w:szCs w:val="24"/>
        </w:rPr>
        <w:t xml:space="preserve"> chemotherapy was shown to lead to greater circulation disorder with increased susceptibility to complications, such as micro–</w:t>
      </w:r>
      <w:proofErr w:type="gramStart"/>
      <w:r w:rsidRPr="006575F7">
        <w:rPr>
          <w:rFonts w:ascii="Book Antiqua" w:hAnsi="Book Antiqua" w:cs="Arial"/>
          <w:sz w:val="24"/>
          <w:szCs w:val="24"/>
        </w:rPr>
        <w:t>metastases</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31]</w:t>
      </w:r>
      <w:r w:rsidRPr="006575F7">
        <w:rPr>
          <w:rFonts w:ascii="Book Antiqua" w:hAnsi="Book Antiqua" w:cs="Arial"/>
          <w:sz w:val="24"/>
          <w:szCs w:val="24"/>
        </w:rPr>
        <w:t xml:space="preserve">. Yet another possibility is that the association of NAFLD with liver colorectal metastases may occur randomly, as suggested by the high prevalence of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in the general population, with no real relationship existing between these two diseases.</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A discrete prevalence (with no statistically </w:t>
      </w:r>
      <w:r w:rsidRPr="006575F7">
        <w:rPr>
          <w:rFonts w:ascii="Book Antiqua" w:hAnsi="Book Antiqua" w:cs="Arial"/>
          <w:bCs/>
          <w:sz w:val="24"/>
          <w:szCs w:val="24"/>
        </w:rPr>
        <w:t xml:space="preserve">significant </w:t>
      </w:r>
      <w:r w:rsidRPr="006575F7">
        <w:rPr>
          <w:rFonts w:ascii="Book Antiqua" w:hAnsi="Book Antiqua" w:cs="Arial"/>
          <w:sz w:val="24"/>
          <w:szCs w:val="24"/>
        </w:rPr>
        <w:t xml:space="preserve">association) of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was observed in the presence of GI and/or DM, hypertension, dyslipidemia, and overweight status. GI, DM and obesity are considered risk factors for the development of most of the hepatic neoplasms </w:t>
      </w:r>
      <w:proofErr w:type="gramStart"/>
      <w:r w:rsidRPr="006575F7">
        <w:rPr>
          <w:rFonts w:ascii="Book Antiqua" w:hAnsi="Book Antiqua" w:cs="Arial"/>
          <w:sz w:val="24"/>
          <w:szCs w:val="24"/>
        </w:rPr>
        <w:t>studied</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12-14,</w:t>
      </w:r>
      <w:r w:rsidRPr="006575F7">
        <w:rPr>
          <w:rFonts w:ascii="Book Antiqua" w:hAnsi="Book Antiqua" w:cs="Arial"/>
          <w:sz w:val="24"/>
          <w:szCs w:val="24"/>
          <w:vertAlign w:val="superscript"/>
        </w:rPr>
        <w:t>33-40]</w:t>
      </w:r>
      <w:r w:rsidRPr="006575F7">
        <w:rPr>
          <w:rFonts w:ascii="Book Antiqua" w:hAnsi="Book Antiqua" w:cs="Arial"/>
          <w:sz w:val="24"/>
          <w:szCs w:val="24"/>
        </w:rPr>
        <w:t xml:space="preserve">. The presence of these factors, and not that of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could contribute to the development of neoplasms. However, cases of primary and secondary hepatic neoplasms associated with the presence of NAFLD even in the absence of these metabolic risk factors have been reported in other </w:t>
      </w:r>
      <w:proofErr w:type="gramStart"/>
      <w:r w:rsidRPr="006575F7">
        <w:rPr>
          <w:rFonts w:ascii="Book Antiqua" w:hAnsi="Book Antiqua" w:cs="Arial"/>
          <w:sz w:val="24"/>
          <w:szCs w:val="24"/>
        </w:rPr>
        <w:t>studies</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41,</w:t>
      </w:r>
      <w:r w:rsidRPr="006575F7">
        <w:rPr>
          <w:rFonts w:ascii="Book Antiqua" w:hAnsi="Book Antiqua" w:cs="Arial"/>
          <w:sz w:val="24"/>
          <w:szCs w:val="24"/>
          <w:vertAlign w:val="superscript"/>
        </w:rPr>
        <w:t>42]</w:t>
      </w:r>
      <w:r w:rsidRPr="006575F7">
        <w:rPr>
          <w:rFonts w:ascii="Book Antiqua" w:hAnsi="Book Antiqua" w:cs="Arial"/>
          <w:sz w:val="24"/>
          <w:szCs w:val="24"/>
        </w:rPr>
        <w:t xml:space="preserve">, suggesting that hepatic </w:t>
      </w:r>
      <w:proofErr w:type="spellStart"/>
      <w:r w:rsidRPr="006575F7">
        <w:rPr>
          <w:rFonts w:ascii="Book Antiqua" w:hAnsi="Book Antiqua" w:cs="Arial"/>
          <w:sz w:val="24"/>
          <w:szCs w:val="24"/>
        </w:rPr>
        <w:t>steatosis</w:t>
      </w:r>
      <w:proofErr w:type="spellEnd"/>
      <w:r w:rsidRPr="006575F7">
        <w:rPr>
          <w:rFonts w:ascii="Book Antiqua" w:hAnsi="Book Antiqua" w:cs="Arial"/>
          <w:sz w:val="24"/>
          <w:szCs w:val="24"/>
        </w:rPr>
        <w:t xml:space="preserve"> could be a predictor of these neoplasms, regardless of the presence or absence of obesity, GI and/or DM</w:t>
      </w:r>
      <w:r w:rsidRPr="006575F7">
        <w:rPr>
          <w:rFonts w:ascii="Book Antiqua" w:hAnsi="Book Antiqua" w:cs="Arial"/>
          <w:sz w:val="24"/>
          <w:szCs w:val="24"/>
          <w:vertAlign w:val="superscript"/>
        </w:rPr>
        <w:t>[42]</w:t>
      </w:r>
      <w:r w:rsidRPr="006575F7">
        <w:rPr>
          <w:rFonts w:ascii="Book Antiqua" w:hAnsi="Book Antiqua" w:cs="Arial"/>
          <w:sz w:val="24"/>
          <w:szCs w:val="24"/>
        </w:rPr>
        <w:t>.</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The main limitations of the present study were its retrospective design and its use of incomplete patient medical records as the source of information, which in some cases represented an absence of demographic information, anthropometric measurements, laboratory data, and other patient details. A prospective study may have provided more accurate evidence of a causal relationship between NAFLD and hepatic neoplasms. However, such a study design is logistically very difficult to perform due to the low annual incidence rate of different cancers in non-cirrhotic </w:t>
      </w:r>
      <w:proofErr w:type="gramStart"/>
      <w:r w:rsidRPr="006575F7">
        <w:rPr>
          <w:rFonts w:ascii="Book Antiqua" w:hAnsi="Book Antiqua" w:cs="Arial"/>
          <w:sz w:val="24"/>
          <w:szCs w:val="24"/>
        </w:rPr>
        <w:t>liver</w:t>
      </w:r>
      <w:r w:rsidRPr="006575F7">
        <w:rPr>
          <w:rFonts w:ascii="Book Antiqua" w:hAnsi="Book Antiqua" w:cs="Arial"/>
          <w:sz w:val="24"/>
          <w:szCs w:val="24"/>
          <w:vertAlign w:val="superscript"/>
        </w:rPr>
        <w:t>[</w:t>
      </w:r>
      <w:proofErr w:type="gramEnd"/>
      <w:r w:rsidRPr="006575F7">
        <w:rPr>
          <w:rFonts w:ascii="Book Antiqua" w:hAnsi="Book Antiqua" w:cs="Arial"/>
          <w:sz w:val="24"/>
          <w:szCs w:val="24"/>
          <w:vertAlign w:val="superscript"/>
        </w:rPr>
        <w:t>42]</w:t>
      </w:r>
      <w:r w:rsidRPr="006575F7">
        <w:rPr>
          <w:rFonts w:ascii="Book Antiqua" w:hAnsi="Book Antiqua" w:cs="Arial"/>
          <w:sz w:val="24"/>
          <w:szCs w:val="24"/>
        </w:rPr>
        <w:t>.</w:t>
      </w:r>
    </w:p>
    <w:p w:rsidR="006D088A" w:rsidRPr="006575F7" w:rsidRDefault="006D088A" w:rsidP="00B230CE">
      <w:pPr>
        <w:spacing w:after="0" w:line="360" w:lineRule="auto"/>
        <w:ind w:firstLine="720"/>
        <w:jc w:val="both"/>
        <w:rPr>
          <w:rFonts w:ascii="Book Antiqua" w:hAnsi="Book Antiqua" w:cs="Arial"/>
          <w:sz w:val="24"/>
          <w:szCs w:val="24"/>
        </w:rPr>
      </w:pPr>
      <w:r w:rsidRPr="006575F7">
        <w:rPr>
          <w:rFonts w:ascii="Book Antiqua" w:hAnsi="Book Antiqua" w:cs="Arial"/>
          <w:sz w:val="24"/>
          <w:szCs w:val="24"/>
        </w:rPr>
        <w:t xml:space="preserve">Surveillance screening of hepatic neoplasms in every obese or diabetic non-cirrhotic individual would not be cost-effective, considering that both metabolic </w:t>
      </w:r>
      <w:r w:rsidRPr="006575F7">
        <w:rPr>
          <w:rFonts w:ascii="Book Antiqua" w:hAnsi="Book Antiqua" w:cs="Arial"/>
          <w:sz w:val="24"/>
          <w:szCs w:val="24"/>
        </w:rPr>
        <w:lastRenderedPageBreak/>
        <w:t xml:space="preserve">disorders are epidemic in Brazil and several other countries around the </w:t>
      </w:r>
      <w:proofErr w:type="gramStart"/>
      <w:r w:rsidRPr="006575F7">
        <w:rPr>
          <w:rFonts w:ascii="Book Antiqua" w:hAnsi="Book Antiqua" w:cs="Arial"/>
          <w:sz w:val="24"/>
          <w:szCs w:val="24"/>
        </w:rPr>
        <w:t>world</w:t>
      </w:r>
      <w:r w:rsidR="00047F60">
        <w:rPr>
          <w:rFonts w:ascii="Book Antiqua" w:hAnsi="Book Antiqua" w:cs="Arial"/>
          <w:sz w:val="24"/>
          <w:szCs w:val="24"/>
          <w:vertAlign w:val="superscript"/>
        </w:rPr>
        <w:t>[</w:t>
      </w:r>
      <w:proofErr w:type="gramEnd"/>
      <w:r w:rsidR="00047F60">
        <w:rPr>
          <w:rFonts w:ascii="Book Antiqua" w:hAnsi="Book Antiqua" w:cs="Arial"/>
          <w:sz w:val="24"/>
          <w:szCs w:val="24"/>
          <w:vertAlign w:val="superscript"/>
        </w:rPr>
        <w:t>37,</w:t>
      </w:r>
      <w:r w:rsidRPr="006575F7">
        <w:rPr>
          <w:rFonts w:ascii="Book Antiqua" w:hAnsi="Book Antiqua" w:cs="Arial"/>
          <w:sz w:val="24"/>
          <w:szCs w:val="24"/>
          <w:vertAlign w:val="superscript"/>
        </w:rPr>
        <w:t>43]</w:t>
      </w:r>
      <w:r w:rsidRPr="006575F7">
        <w:rPr>
          <w:rFonts w:ascii="Book Antiqua" w:hAnsi="Book Antiqua" w:cs="Arial"/>
          <w:sz w:val="24"/>
          <w:szCs w:val="24"/>
        </w:rPr>
        <w:t>. Thus, defining risk factors responsible for the development of liver cancer is crucial for increasing response rates of patients diagnosed at an early disease stage and treated with appropriate therapies for malignant tumors, which would consequently lead to a better prognosis.</w:t>
      </w:r>
    </w:p>
    <w:p w:rsidR="006D088A" w:rsidRPr="006575F7" w:rsidRDefault="006D088A" w:rsidP="00B230CE">
      <w:pPr>
        <w:spacing w:after="0" w:line="360" w:lineRule="auto"/>
        <w:ind w:firstLine="720"/>
        <w:jc w:val="both"/>
        <w:rPr>
          <w:rFonts w:ascii="Book Antiqua" w:hAnsi="Book Antiqua" w:cs="Arial"/>
          <w:sz w:val="24"/>
          <w:szCs w:val="24"/>
          <w:lang w:eastAsia="zh-CN"/>
        </w:rPr>
      </w:pPr>
      <w:r w:rsidRPr="006575F7">
        <w:rPr>
          <w:rFonts w:ascii="Book Antiqua" w:hAnsi="Book Antiqua" w:cs="Arial"/>
          <w:sz w:val="24"/>
          <w:szCs w:val="24"/>
        </w:rPr>
        <w:t xml:space="preserve">In conclusion, the present study found no statistically </w:t>
      </w:r>
      <w:r w:rsidRPr="006575F7">
        <w:rPr>
          <w:rFonts w:ascii="Book Antiqua" w:hAnsi="Book Antiqua" w:cs="Arial"/>
          <w:bCs/>
          <w:sz w:val="24"/>
          <w:szCs w:val="24"/>
        </w:rPr>
        <w:t xml:space="preserve">significant </w:t>
      </w:r>
      <w:r w:rsidRPr="006575F7">
        <w:rPr>
          <w:rFonts w:ascii="Book Antiqua" w:hAnsi="Book Antiqua" w:cs="Arial"/>
          <w:sz w:val="24"/>
          <w:szCs w:val="24"/>
        </w:rPr>
        <w:t>association of NAFLD in patients with liver neoplasms in the general population. Only liver metastasis of colorectal cancer showed a significant association with NAFLD.</w:t>
      </w:r>
    </w:p>
    <w:p w:rsidR="006D088A" w:rsidRPr="006575F7" w:rsidRDefault="006D088A" w:rsidP="00B230CE">
      <w:pPr>
        <w:spacing w:after="0" w:line="360" w:lineRule="auto"/>
        <w:jc w:val="both"/>
        <w:rPr>
          <w:rFonts w:ascii="Book Antiqua" w:hAnsi="Book Antiqua" w:cs="Arial"/>
          <w:b/>
          <w:sz w:val="24"/>
          <w:szCs w:val="24"/>
          <w:u w:val="single"/>
          <w:lang w:eastAsia="zh-CN"/>
        </w:rPr>
      </w:pPr>
      <w:bookmarkStart w:id="28" w:name="OLE_LINK14"/>
      <w:bookmarkStart w:id="29" w:name="OLE_LINK15"/>
      <w:bookmarkStart w:id="30" w:name="OLE_LINK23"/>
      <w:bookmarkStart w:id="31" w:name="OLE_LINK119"/>
    </w:p>
    <w:p w:rsidR="006D088A" w:rsidRPr="006575F7" w:rsidRDefault="006D088A" w:rsidP="00B230CE">
      <w:pPr>
        <w:spacing w:after="0" w:line="360" w:lineRule="auto"/>
        <w:jc w:val="both"/>
        <w:rPr>
          <w:rFonts w:ascii="Book Antiqua" w:hAnsi="Book Antiqua" w:cs="Arial"/>
          <w:sz w:val="24"/>
          <w:szCs w:val="24"/>
          <w:lang w:eastAsia="zh-CN"/>
        </w:rPr>
      </w:pPr>
      <w:r w:rsidRPr="006575F7">
        <w:rPr>
          <w:rFonts w:ascii="Book Antiqua" w:hAnsi="Book Antiqua" w:cs="Arial"/>
          <w:b/>
          <w:sz w:val="24"/>
          <w:szCs w:val="24"/>
          <w:lang w:eastAsia="zh-CN"/>
        </w:rPr>
        <w:t>COMMENTS</w:t>
      </w:r>
      <w:bookmarkEnd w:id="28"/>
      <w:bookmarkEnd w:id="29"/>
      <w:bookmarkEnd w:id="30"/>
      <w:bookmarkEnd w:id="31"/>
    </w:p>
    <w:p w:rsidR="006D088A" w:rsidRPr="006575F7" w:rsidRDefault="006D088A" w:rsidP="00B230CE">
      <w:pPr>
        <w:spacing w:after="0" w:line="360" w:lineRule="auto"/>
        <w:jc w:val="both"/>
        <w:rPr>
          <w:rFonts w:ascii="Book Antiqua" w:hAnsi="Book Antiqua"/>
          <w:b/>
          <w:i/>
          <w:sz w:val="24"/>
          <w:szCs w:val="24"/>
        </w:rPr>
      </w:pPr>
      <w:bookmarkStart w:id="32" w:name="OLE_LINK13"/>
      <w:bookmarkStart w:id="33" w:name="OLE_LINK323"/>
      <w:bookmarkStart w:id="34" w:name="OLE_LINK349"/>
      <w:bookmarkStart w:id="35" w:name="OLE_LINK377"/>
      <w:bookmarkStart w:id="36" w:name="OLE_LINK386"/>
      <w:bookmarkStart w:id="37" w:name="OLE_LINK400"/>
      <w:bookmarkStart w:id="38" w:name="OLE_LINK416"/>
      <w:r w:rsidRPr="006575F7">
        <w:rPr>
          <w:rFonts w:ascii="Book Antiqua" w:hAnsi="Book Antiqua"/>
          <w:b/>
          <w:i/>
          <w:sz w:val="24"/>
          <w:szCs w:val="24"/>
        </w:rPr>
        <w:t>Background</w:t>
      </w:r>
    </w:p>
    <w:p w:rsidR="006D088A" w:rsidRPr="006575F7" w:rsidRDefault="006D088A" w:rsidP="00B230CE">
      <w:pPr>
        <w:spacing w:after="0" w:line="360" w:lineRule="auto"/>
        <w:jc w:val="both"/>
        <w:rPr>
          <w:rFonts w:ascii="Book Antiqua" w:hAnsi="Book Antiqua"/>
          <w:sz w:val="24"/>
          <w:szCs w:val="24"/>
        </w:rPr>
      </w:pPr>
      <w:r w:rsidRPr="006575F7">
        <w:rPr>
          <w:rFonts w:ascii="Book Antiqua" w:hAnsi="Book Antiqua"/>
          <w:sz w:val="24"/>
          <w:szCs w:val="24"/>
        </w:rPr>
        <w:t xml:space="preserve">Some studies have suggested that early stages of hepatic </w:t>
      </w:r>
      <w:proofErr w:type="spellStart"/>
      <w:r w:rsidRPr="006575F7">
        <w:rPr>
          <w:rFonts w:ascii="Book Antiqua" w:hAnsi="Book Antiqua"/>
          <w:sz w:val="24"/>
          <w:szCs w:val="24"/>
        </w:rPr>
        <w:t>steatosis</w:t>
      </w:r>
      <w:proofErr w:type="spellEnd"/>
      <w:r w:rsidRPr="006575F7">
        <w:rPr>
          <w:rFonts w:ascii="Book Antiqua" w:hAnsi="Book Antiqua"/>
          <w:sz w:val="24"/>
          <w:szCs w:val="24"/>
        </w:rPr>
        <w:t xml:space="preserve"> can be considered a favorable microenvironment for the development of liver metastases of colorectal cancer (LMCC) as well as for the development of primary liver cancers such as hepatocellular carcinoma and intrahepatic </w:t>
      </w:r>
      <w:proofErr w:type="spellStart"/>
      <w:r w:rsidRPr="006575F7">
        <w:rPr>
          <w:rFonts w:ascii="Book Antiqua" w:hAnsi="Book Antiqua"/>
          <w:sz w:val="24"/>
          <w:szCs w:val="24"/>
        </w:rPr>
        <w:t>cholangiocarcinoma</w:t>
      </w:r>
      <w:proofErr w:type="spellEnd"/>
      <w:r w:rsidRPr="006575F7">
        <w:rPr>
          <w:rFonts w:ascii="Book Antiqua" w:hAnsi="Book Antiqua"/>
          <w:sz w:val="24"/>
          <w:szCs w:val="24"/>
        </w:rPr>
        <w:t xml:space="preserve">. Yet, other studies have suggested a protective role of hepatic </w:t>
      </w:r>
      <w:proofErr w:type="spellStart"/>
      <w:r w:rsidRPr="006575F7">
        <w:rPr>
          <w:rFonts w:ascii="Book Antiqua" w:hAnsi="Book Antiqua"/>
          <w:sz w:val="24"/>
          <w:szCs w:val="24"/>
        </w:rPr>
        <w:t>steatosis</w:t>
      </w:r>
      <w:proofErr w:type="spellEnd"/>
      <w:r w:rsidRPr="006575F7">
        <w:rPr>
          <w:rFonts w:ascii="Book Antiqua" w:hAnsi="Book Antiqua"/>
          <w:sz w:val="24"/>
          <w:szCs w:val="24"/>
        </w:rPr>
        <w:t xml:space="preserve"> in the development of LMCC.</w:t>
      </w:r>
    </w:p>
    <w:p w:rsidR="006D088A" w:rsidRPr="006575F7" w:rsidRDefault="006D088A" w:rsidP="00B230CE">
      <w:pPr>
        <w:spacing w:after="0" w:line="360" w:lineRule="auto"/>
        <w:jc w:val="both"/>
        <w:rPr>
          <w:rFonts w:ascii="Book Antiqua" w:hAnsi="Book Antiqua"/>
          <w:b/>
          <w:i/>
          <w:sz w:val="24"/>
          <w:szCs w:val="24"/>
        </w:rPr>
      </w:pPr>
    </w:p>
    <w:p w:rsidR="006D088A" w:rsidRPr="006575F7" w:rsidRDefault="006D088A" w:rsidP="00B230CE">
      <w:pPr>
        <w:spacing w:after="0" w:line="360" w:lineRule="auto"/>
        <w:jc w:val="both"/>
        <w:rPr>
          <w:rFonts w:ascii="Book Antiqua" w:hAnsi="Book Antiqua"/>
          <w:b/>
          <w:i/>
          <w:sz w:val="24"/>
          <w:szCs w:val="24"/>
        </w:rPr>
      </w:pPr>
      <w:r w:rsidRPr="006575F7">
        <w:rPr>
          <w:rFonts w:ascii="Book Antiqua" w:hAnsi="Book Antiqua"/>
          <w:b/>
          <w:i/>
          <w:sz w:val="24"/>
          <w:szCs w:val="24"/>
        </w:rPr>
        <w:t>Research frontiers</w:t>
      </w:r>
    </w:p>
    <w:p w:rsidR="006D088A" w:rsidRPr="006575F7" w:rsidRDefault="006D088A" w:rsidP="00B230CE">
      <w:pPr>
        <w:spacing w:after="0" w:line="360" w:lineRule="auto"/>
        <w:jc w:val="both"/>
        <w:rPr>
          <w:rFonts w:ascii="Book Antiqua" w:hAnsi="Book Antiqua"/>
          <w:sz w:val="24"/>
          <w:szCs w:val="24"/>
        </w:rPr>
      </w:pPr>
      <w:r w:rsidRPr="006575F7">
        <w:rPr>
          <w:rFonts w:ascii="Book Antiqua" w:hAnsi="Book Antiqua"/>
          <w:sz w:val="24"/>
          <w:szCs w:val="24"/>
        </w:rPr>
        <w:t xml:space="preserve">Nonalcoholic fatty liver disease (NAFLD) includes a spectrum of diseases starting with simple </w:t>
      </w:r>
      <w:proofErr w:type="spellStart"/>
      <w:r w:rsidRPr="006575F7">
        <w:rPr>
          <w:rFonts w:ascii="Book Antiqua" w:hAnsi="Book Antiqua"/>
          <w:sz w:val="24"/>
          <w:szCs w:val="24"/>
        </w:rPr>
        <w:t>steatosis</w:t>
      </w:r>
      <w:proofErr w:type="spellEnd"/>
      <w:r w:rsidRPr="006575F7">
        <w:rPr>
          <w:rFonts w:ascii="Book Antiqua" w:hAnsi="Book Antiqua"/>
          <w:sz w:val="24"/>
          <w:szCs w:val="24"/>
        </w:rPr>
        <w:t xml:space="preserve">, </w:t>
      </w:r>
      <w:proofErr w:type="spellStart"/>
      <w:r w:rsidRPr="006575F7">
        <w:rPr>
          <w:rFonts w:ascii="Book Antiqua" w:hAnsi="Book Antiqua"/>
          <w:sz w:val="24"/>
          <w:szCs w:val="24"/>
        </w:rPr>
        <w:t>steatohepatitis</w:t>
      </w:r>
      <w:proofErr w:type="spellEnd"/>
      <w:r w:rsidRPr="006575F7">
        <w:rPr>
          <w:rFonts w:ascii="Book Antiqua" w:hAnsi="Book Antiqua"/>
          <w:sz w:val="24"/>
          <w:szCs w:val="24"/>
        </w:rPr>
        <w:t xml:space="preserve"> (NASH), fibrosis, and finally cirrhosis. Associations of NAFLD with cirrhotic stage and primary liver cancer have already been shown. Although primary liver cancer has been extensively studied, there has not been strong scientific evidence reported for non-cirrhotic NAFLD patients. In early stages of </w:t>
      </w:r>
      <w:proofErr w:type="spellStart"/>
      <w:r w:rsidRPr="006575F7">
        <w:rPr>
          <w:rFonts w:ascii="Book Antiqua" w:hAnsi="Book Antiqua"/>
          <w:sz w:val="24"/>
          <w:szCs w:val="24"/>
        </w:rPr>
        <w:t>steatosis</w:t>
      </w:r>
      <w:proofErr w:type="spellEnd"/>
      <w:r w:rsidRPr="006575F7">
        <w:rPr>
          <w:rFonts w:ascii="Book Antiqua" w:hAnsi="Book Antiqua"/>
          <w:sz w:val="24"/>
          <w:szCs w:val="24"/>
        </w:rPr>
        <w:t>, the associations with liver cancer have ranged from protection to NAFLD as a causal factor in the development of LMCC.</w:t>
      </w:r>
    </w:p>
    <w:p w:rsidR="006D088A" w:rsidRPr="006575F7" w:rsidRDefault="006D088A" w:rsidP="00B230CE">
      <w:pPr>
        <w:spacing w:after="0" w:line="360" w:lineRule="auto"/>
        <w:jc w:val="both"/>
        <w:rPr>
          <w:rFonts w:ascii="Book Antiqua" w:hAnsi="Book Antiqua"/>
          <w:b/>
          <w:sz w:val="24"/>
          <w:szCs w:val="24"/>
        </w:rPr>
      </w:pPr>
    </w:p>
    <w:p w:rsidR="006D088A" w:rsidRPr="006575F7" w:rsidRDefault="006D088A" w:rsidP="00B230CE">
      <w:pPr>
        <w:spacing w:after="0" w:line="360" w:lineRule="auto"/>
        <w:jc w:val="both"/>
        <w:rPr>
          <w:rFonts w:ascii="Book Antiqua" w:hAnsi="Book Antiqua"/>
          <w:b/>
          <w:i/>
          <w:sz w:val="24"/>
          <w:szCs w:val="24"/>
        </w:rPr>
      </w:pPr>
      <w:r w:rsidRPr="006575F7">
        <w:rPr>
          <w:rFonts w:ascii="Book Antiqua" w:hAnsi="Book Antiqua"/>
          <w:b/>
          <w:i/>
          <w:sz w:val="24"/>
          <w:szCs w:val="24"/>
        </w:rPr>
        <w:t>Innovations and breakthroughs</w:t>
      </w:r>
    </w:p>
    <w:p w:rsidR="006D088A" w:rsidRPr="006575F7" w:rsidRDefault="006D088A" w:rsidP="00B230CE">
      <w:pPr>
        <w:spacing w:after="0" w:line="360" w:lineRule="auto"/>
        <w:jc w:val="both"/>
        <w:rPr>
          <w:rFonts w:ascii="Book Antiqua" w:hAnsi="Book Antiqua"/>
          <w:sz w:val="24"/>
          <w:szCs w:val="24"/>
        </w:rPr>
      </w:pPr>
      <w:r w:rsidRPr="006575F7">
        <w:rPr>
          <w:rFonts w:ascii="Book Antiqua" w:hAnsi="Book Antiqua"/>
          <w:sz w:val="24"/>
          <w:szCs w:val="24"/>
        </w:rPr>
        <w:t>This study found a significant association between NAFLD and liver metastasis of colorectal cancer, but not with any of the other liver neoplasms studied.</w:t>
      </w:r>
    </w:p>
    <w:p w:rsidR="006D088A" w:rsidRPr="006575F7" w:rsidRDefault="006D088A" w:rsidP="00B230CE">
      <w:pPr>
        <w:spacing w:after="0" w:line="360" w:lineRule="auto"/>
        <w:jc w:val="both"/>
        <w:rPr>
          <w:rFonts w:ascii="Book Antiqua" w:hAnsi="Book Antiqua"/>
          <w:b/>
          <w:sz w:val="24"/>
          <w:szCs w:val="24"/>
        </w:rPr>
      </w:pPr>
    </w:p>
    <w:p w:rsidR="006D088A" w:rsidRPr="006575F7" w:rsidRDefault="006D088A" w:rsidP="00B230CE">
      <w:pPr>
        <w:spacing w:after="0" w:line="360" w:lineRule="auto"/>
        <w:jc w:val="both"/>
        <w:rPr>
          <w:rFonts w:ascii="Book Antiqua" w:hAnsi="Book Antiqua"/>
          <w:b/>
          <w:i/>
          <w:sz w:val="24"/>
          <w:szCs w:val="24"/>
        </w:rPr>
      </w:pPr>
      <w:r w:rsidRPr="006575F7">
        <w:rPr>
          <w:rFonts w:ascii="Book Antiqua" w:hAnsi="Book Antiqua"/>
          <w:b/>
          <w:i/>
          <w:sz w:val="24"/>
          <w:szCs w:val="24"/>
        </w:rPr>
        <w:t>Applications</w:t>
      </w:r>
    </w:p>
    <w:p w:rsidR="006D088A" w:rsidRPr="006575F7" w:rsidRDefault="006D088A" w:rsidP="00B230CE">
      <w:pPr>
        <w:spacing w:after="0" w:line="360" w:lineRule="auto"/>
        <w:jc w:val="both"/>
        <w:rPr>
          <w:rFonts w:ascii="Book Antiqua" w:hAnsi="Book Antiqua"/>
          <w:b/>
          <w:i/>
          <w:sz w:val="24"/>
          <w:szCs w:val="24"/>
        </w:rPr>
      </w:pPr>
      <w:r w:rsidRPr="006575F7">
        <w:rPr>
          <w:rFonts w:ascii="Book Antiqua" w:hAnsi="Book Antiqua"/>
          <w:sz w:val="24"/>
          <w:szCs w:val="24"/>
        </w:rPr>
        <w:t xml:space="preserve">Surveillance screening of hepatic neoplasms in every obese or diabetic non-cirrhotic individual would be cost prohibitive since both metabolic disorders are epidemic. </w:t>
      </w:r>
      <w:r w:rsidRPr="006575F7">
        <w:rPr>
          <w:rFonts w:ascii="Book Antiqua" w:hAnsi="Book Antiqua" w:cs="Arial"/>
          <w:sz w:val="24"/>
          <w:szCs w:val="24"/>
        </w:rPr>
        <w:t>Thus, defining risk factors responsible for the development of liver cancer is crucial for increasing response rates of patients diagnosed at an early disease stage and treated with appropriate therapies for malignant tumors, which would consequently lead to a better prognosis.</w:t>
      </w:r>
    </w:p>
    <w:p w:rsidR="006D088A" w:rsidRPr="006575F7" w:rsidRDefault="006D088A" w:rsidP="00B230CE">
      <w:pPr>
        <w:spacing w:after="0" w:line="360" w:lineRule="auto"/>
        <w:jc w:val="both"/>
        <w:rPr>
          <w:rFonts w:ascii="Book Antiqua" w:hAnsi="Book Antiqua"/>
          <w:b/>
          <w:sz w:val="24"/>
          <w:szCs w:val="24"/>
          <w:lang w:eastAsia="zh-CN"/>
        </w:rPr>
      </w:pPr>
    </w:p>
    <w:p w:rsidR="006D088A" w:rsidRPr="006575F7" w:rsidRDefault="006D088A" w:rsidP="00B230CE">
      <w:pPr>
        <w:spacing w:after="0" w:line="360" w:lineRule="auto"/>
        <w:jc w:val="both"/>
        <w:rPr>
          <w:rFonts w:ascii="Book Antiqua" w:hAnsi="Book Antiqua"/>
          <w:b/>
          <w:i/>
          <w:sz w:val="24"/>
          <w:szCs w:val="24"/>
        </w:rPr>
      </w:pPr>
      <w:r w:rsidRPr="006575F7">
        <w:rPr>
          <w:rFonts w:ascii="Book Antiqua" w:hAnsi="Book Antiqua"/>
          <w:b/>
          <w:i/>
          <w:sz w:val="24"/>
          <w:szCs w:val="24"/>
        </w:rPr>
        <w:t>Peer review</w:t>
      </w: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sz w:val="24"/>
          <w:szCs w:val="24"/>
        </w:rPr>
        <w:t xml:space="preserve">The authors evaluated the role of hepatic </w:t>
      </w:r>
      <w:proofErr w:type="spellStart"/>
      <w:r w:rsidRPr="006575F7">
        <w:rPr>
          <w:rFonts w:ascii="Book Antiqua" w:hAnsi="Book Antiqua"/>
          <w:sz w:val="24"/>
          <w:szCs w:val="24"/>
        </w:rPr>
        <w:t>steatosis</w:t>
      </w:r>
      <w:proofErr w:type="spellEnd"/>
      <w:r w:rsidRPr="006575F7">
        <w:rPr>
          <w:rFonts w:ascii="Book Antiqua" w:hAnsi="Book Antiqua"/>
          <w:sz w:val="24"/>
          <w:szCs w:val="24"/>
        </w:rPr>
        <w:t xml:space="preserve"> as a risk factor in patients who underwent liver surgery for either primary liver tumors (hepatocellular carcinoma and colorectal carcinoma) or liver metastases (colorectal or other tumors). Although the study did not include a large number of patients with </w:t>
      </w:r>
      <w:proofErr w:type="spellStart"/>
      <w:r w:rsidRPr="006575F7">
        <w:rPr>
          <w:rFonts w:ascii="Book Antiqua" w:hAnsi="Book Antiqua"/>
          <w:sz w:val="24"/>
          <w:szCs w:val="24"/>
        </w:rPr>
        <w:t>steatosis</w:t>
      </w:r>
      <w:proofErr w:type="spellEnd"/>
      <w:r w:rsidRPr="006575F7">
        <w:rPr>
          <w:rFonts w:ascii="Book Antiqua" w:hAnsi="Book Antiqua"/>
          <w:sz w:val="24"/>
          <w:szCs w:val="24"/>
        </w:rPr>
        <w:t>/fibrosis and there were no patients with NASH, the study does provide important insights into the influence of NAFLD in the development of liver cancer.</w:t>
      </w:r>
      <w:bookmarkEnd w:id="32"/>
      <w:bookmarkEnd w:id="33"/>
      <w:bookmarkEnd w:id="34"/>
      <w:bookmarkEnd w:id="35"/>
      <w:bookmarkEnd w:id="36"/>
      <w:bookmarkEnd w:id="37"/>
      <w:bookmarkEnd w:id="38"/>
      <w:r w:rsidR="00862C73" w:rsidRPr="006575F7">
        <w:rPr>
          <w:rFonts w:ascii="Book Antiqua" w:hAnsi="Book Antiqua" w:cs="Arial"/>
          <w:b/>
          <w:sz w:val="24"/>
          <w:szCs w:val="24"/>
        </w:rPr>
        <w:t xml:space="preserve"> </w:t>
      </w:r>
      <w:r w:rsidRPr="006575F7">
        <w:rPr>
          <w:rFonts w:ascii="Book Antiqua" w:hAnsi="Book Antiqua" w:cs="Arial"/>
          <w:b/>
          <w:sz w:val="24"/>
          <w:szCs w:val="24"/>
        </w:rPr>
        <w:br w:type="page"/>
      </w:r>
    </w:p>
    <w:p w:rsidR="006D088A" w:rsidRPr="006575F7" w:rsidRDefault="006D088A" w:rsidP="00B230CE">
      <w:pPr>
        <w:spacing w:after="0" w:line="360" w:lineRule="auto"/>
        <w:jc w:val="both"/>
        <w:rPr>
          <w:rFonts w:ascii="Book Antiqua" w:hAnsi="Book Antiqua" w:cs="Arial"/>
          <w:b/>
          <w:sz w:val="24"/>
          <w:szCs w:val="24"/>
          <w:lang w:eastAsia="zh-CN"/>
        </w:rPr>
      </w:pPr>
      <w:r w:rsidRPr="006575F7">
        <w:rPr>
          <w:rFonts w:ascii="Book Antiqua" w:hAnsi="Book Antiqua" w:cs="Arial"/>
          <w:b/>
          <w:sz w:val="24"/>
          <w:szCs w:val="24"/>
        </w:rPr>
        <w:lastRenderedPageBreak/>
        <w:t>REFERENCES</w:t>
      </w:r>
    </w:p>
    <w:p w:rsidR="007F287B" w:rsidRPr="00013066" w:rsidRDefault="007F287B" w:rsidP="00B230CE">
      <w:pPr>
        <w:spacing w:after="0" w:line="360" w:lineRule="auto"/>
        <w:jc w:val="both"/>
        <w:rPr>
          <w:rFonts w:ascii="Book Antiqua" w:eastAsia="宋体" w:hAnsi="Book Antiqua" w:cs="宋体"/>
          <w:sz w:val="24"/>
          <w:szCs w:val="24"/>
        </w:rPr>
      </w:pPr>
      <w:bookmarkStart w:id="39" w:name="OLE_LINK277"/>
      <w:bookmarkStart w:id="40" w:name="OLE_LINK278"/>
      <w:bookmarkStart w:id="41" w:name="OLE_LINK279"/>
      <w:bookmarkStart w:id="42" w:name="OLE_LINK290"/>
      <w:bookmarkStart w:id="43" w:name="OLE_LINK301"/>
      <w:bookmarkStart w:id="44" w:name="OLE_LINK312"/>
      <w:bookmarkStart w:id="45" w:name="OLE_LINK315"/>
      <w:bookmarkStart w:id="46" w:name="OLE_LINK316"/>
      <w:bookmarkStart w:id="47" w:name="OLE_LINK317"/>
      <w:bookmarkStart w:id="48" w:name="OLE_LINK318"/>
      <w:bookmarkStart w:id="49" w:name="OLE_LINK326"/>
      <w:bookmarkStart w:id="50" w:name="OLE_LINK335"/>
      <w:bookmarkStart w:id="51" w:name="OLE_LINK339"/>
      <w:bookmarkStart w:id="52" w:name="OLE_LINK348"/>
      <w:bookmarkStart w:id="53" w:name="OLE_LINK399"/>
      <w:bookmarkStart w:id="54" w:name="OLE_LINK419"/>
      <w:bookmarkStart w:id="55" w:name="OLE_LINK420"/>
      <w:bookmarkStart w:id="56" w:name="OLE_LINK423"/>
      <w:bookmarkStart w:id="57" w:name="OLE_LINK449"/>
      <w:bookmarkStart w:id="58" w:name="OLE_LINK450"/>
      <w:bookmarkStart w:id="59" w:name="OLE_LINK454"/>
      <w:bookmarkStart w:id="60" w:name="OLE_LINK459"/>
      <w:bookmarkStart w:id="61" w:name="OLE_LINK471"/>
      <w:proofErr w:type="gramStart"/>
      <w:r w:rsidRPr="00013066">
        <w:rPr>
          <w:rFonts w:ascii="Book Antiqua" w:eastAsia="宋体" w:hAnsi="Book Antiqua" w:cs="宋体"/>
          <w:sz w:val="24"/>
          <w:szCs w:val="24"/>
        </w:rPr>
        <w:t>1 </w:t>
      </w:r>
      <w:proofErr w:type="spellStart"/>
      <w:r w:rsidRPr="00013066">
        <w:rPr>
          <w:rFonts w:ascii="Book Antiqua" w:eastAsia="宋体" w:hAnsi="Book Antiqua" w:cs="宋体"/>
          <w:b/>
          <w:bCs/>
          <w:sz w:val="24"/>
          <w:szCs w:val="24"/>
        </w:rPr>
        <w:t>Marchesini</w:t>
      </w:r>
      <w:proofErr w:type="spellEnd"/>
      <w:r w:rsidRPr="00013066">
        <w:rPr>
          <w:rFonts w:ascii="Book Antiqua" w:eastAsia="宋体" w:hAnsi="Book Antiqua" w:cs="宋体"/>
          <w:b/>
          <w:bCs/>
          <w:sz w:val="24"/>
          <w:szCs w:val="24"/>
        </w:rPr>
        <w:t xml:space="preserve"> G</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Babini</w:t>
      </w:r>
      <w:proofErr w:type="spellEnd"/>
      <w:r w:rsidRPr="00013066">
        <w:rPr>
          <w:rFonts w:ascii="Book Antiqua" w:eastAsia="宋体" w:hAnsi="Book Antiqua" w:cs="宋体"/>
          <w:sz w:val="24"/>
          <w:szCs w:val="24"/>
        </w:rPr>
        <w:t xml:space="preserve"> M. Nonalcoholic fatty liver disease and the metabolic syndrome.</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Minerva </w:t>
      </w:r>
      <w:proofErr w:type="spellStart"/>
      <w:r w:rsidRPr="00013066">
        <w:rPr>
          <w:rFonts w:ascii="Book Antiqua" w:eastAsia="宋体" w:hAnsi="Book Antiqua" w:cs="宋体"/>
          <w:i/>
          <w:iCs/>
          <w:sz w:val="24"/>
          <w:szCs w:val="24"/>
        </w:rPr>
        <w:t>Cardioangiol</w:t>
      </w:r>
      <w:proofErr w:type="spellEnd"/>
      <w:r w:rsidRPr="00013066">
        <w:rPr>
          <w:rFonts w:ascii="Book Antiqua" w:eastAsia="宋体" w:hAnsi="Book Antiqua" w:cs="宋体"/>
          <w:sz w:val="24"/>
          <w:szCs w:val="24"/>
        </w:rPr>
        <w:t> 2006; </w:t>
      </w:r>
      <w:r w:rsidRPr="00013066">
        <w:rPr>
          <w:rFonts w:ascii="Book Antiqua" w:eastAsia="宋体" w:hAnsi="Book Antiqua" w:cs="宋体"/>
          <w:b/>
          <w:bCs/>
          <w:sz w:val="24"/>
          <w:szCs w:val="24"/>
        </w:rPr>
        <w:t>54</w:t>
      </w:r>
      <w:r w:rsidRPr="00013066">
        <w:rPr>
          <w:rFonts w:ascii="Book Antiqua" w:eastAsia="宋体" w:hAnsi="Book Antiqua" w:cs="宋体"/>
          <w:sz w:val="24"/>
          <w:szCs w:val="24"/>
        </w:rPr>
        <w:t>: 229-239 [PMID: 16778754]</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2 </w:t>
      </w:r>
      <w:r w:rsidRPr="00013066">
        <w:rPr>
          <w:rFonts w:ascii="Book Antiqua" w:eastAsia="宋体" w:hAnsi="Book Antiqua" w:cs="宋体"/>
          <w:b/>
          <w:bCs/>
          <w:sz w:val="24"/>
          <w:szCs w:val="24"/>
        </w:rPr>
        <w:t>Vernon G</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Baranova</w:t>
      </w:r>
      <w:proofErr w:type="spellEnd"/>
      <w:r w:rsidRPr="00013066">
        <w:rPr>
          <w:rFonts w:ascii="Book Antiqua" w:eastAsia="宋体" w:hAnsi="Book Antiqua" w:cs="宋体"/>
          <w:sz w:val="24"/>
          <w:szCs w:val="24"/>
        </w:rPr>
        <w:t xml:space="preserve"> A, </w:t>
      </w:r>
      <w:proofErr w:type="spellStart"/>
      <w:r w:rsidRPr="00013066">
        <w:rPr>
          <w:rFonts w:ascii="Book Antiqua" w:eastAsia="宋体" w:hAnsi="Book Antiqua" w:cs="宋体"/>
          <w:sz w:val="24"/>
          <w:szCs w:val="24"/>
        </w:rPr>
        <w:t>Younossi</w:t>
      </w:r>
      <w:proofErr w:type="spellEnd"/>
      <w:r w:rsidRPr="00013066">
        <w:rPr>
          <w:rFonts w:ascii="Book Antiqua" w:eastAsia="宋体" w:hAnsi="Book Antiqua" w:cs="宋体"/>
          <w:sz w:val="24"/>
          <w:szCs w:val="24"/>
        </w:rPr>
        <w:t xml:space="preserve"> ZM.</w:t>
      </w:r>
      <w:proofErr w:type="gramEnd"/>
      <w:r w:rsidRPr="00013066">
        <w:rPr>
          <w:rFonts w:ascii="Book Antiqua" w:eastAsia="宋体" w:hAnsi="Book Antiqua" w:cs="宋体"/>
          <w:sz w:val="24"/>
          <w:szCs w:val="24"/>
        </w:rPr>
        <w:t xml:space="preserve"> Systematic review: the epidemiology and natural history of non-alcoholic fatty liver disease and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 xml:space="preserve"> in adults. </w:t>
      </w:r>
      <w:r w:rsidRPr="00013066">
        <w:rPr>
          <w:rFonts w:ascii="Book Antiqua" w:eastAsia="宋体" w:hAnsi="Book Antiqua" w:cs="宋体"/>
          <w:i/>
          <w:iCs/>
          <w:sz w:val="24"/>
          <w:szCs w:val="24"/>
        </w:rPr>
        <w:t xml:space="preserve">Aliment </w:t>
      </w:r>
      <w:proofErr w:type="spellStart"/>
      <w:r w:rsidRPr="00013066">
        <w:rPr>
          <w:rFonts w:ascii="Book Antiqua" w:eastAsia="宋体" w:hAnsi="Book Antiqua" w:cs="宋体"/>
          <w:i/>
          <w:iCs/>
          <w:sz w:val="24"/>
          <w:szCs w:val="24"/>
        </w:rPr>
        <w:t>Pharmacol</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Ther</w:t>
      </w:r>
      <w:proofErr w:type="spellEnd"/>
      <w:r w:rsidRPr="00013066">
        <w:rPr>
          <w:rFonts w:ascii="Book Antiqua" w:eastAsia="宋体" w:hAnsi="Book Antiqua" w:cs="宋体"/>
          <w:sz w:val="24"/>
          <w:szCs w:val="24"/>
        </w:rPr>
        <w:t> 2011; </w:t>
      </w:r>
      <w:r w:rsidRPr="00013066">
        <w:rPr>
          <w:rFonts w:ascii="Book Antiqua" w:eastAsia="宋体" w:hAnsi="Book Antiqua" w:cs="宋体"/>
          <w:b/>
          <w:bCs/>
          <w:sz w:val="24"/>
          <w:szCs w:val="24"/>
        </w:rPr>
        <w:t>34</w:t>
      </w:r>
      <w:r w:rsidRPr="00013066">
        <w:rPr>
          <w:rFonts w:ascii="Book Antiqua" w:eastAsia="宋体" w:hAnsi="Book Antiqua" w:cs="宋体"/>
          <w:sz w:val="24"/>
          <w:szCs w:val="24"/>
        </w:rPr>
        <w:t>: 274-285 [PMID: 21623852 DOI: 10.1111/j.1365-2036.2011.04724.x]</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3 </w:t>
      </w:r>
      <w:proofErr w:type="spellStart"/>
      <w:r w:rsidRPr="00013066">
        <w:rPr>
          <w:rFonts w:ascii="Book Antiqua" w:eastAsia="宋体" w:hAnsi="Book Antiqua" w:cs="宋体"/>
          <w:b/>
          <w:bCs/>
          <w:sz w:val="24"/>
          <w:szCs w:val="24"/>
        </w:rPr>
        <w:t>Jemal</w:t>
      </w:r>
      <w:proofErr w:type="spellEnd"/>
      <w:r w:rsidRPr="00013066">
        <w:rPr>
          <w:rFonts w:ascii="Book Antiqua" w:eastAsia="宋体" w:hAnsi="Book Antiqua" w:cs="宋体"/>
          <w:b/>
          <w:bCs/>
          <w:sz w:val="24"/>
          <w:szCs w:val="24"/>
        </w:rPr>
        <w:t xml:space="preserve"> A</w:t>
      </w:r>
      <w:r w:rsidRPr="00013066">
        <w:rPr>
          <w:rFonts w:ascii="Book Antiqua" w:eastAsia="宋体" w:hAnsi="Book Antiqua" w:cs="宋体"/>
          <w:sz w:val="24"/>
          <w:szCs w:val="24"/>
        </w:rPr>
        <w:t xml:space="preserve">, Bray F, Center MM, </w:t>
      </w:r>
      <w:proofErr w:type="spellStart"/>
      <w:r w:rsidRPr="00013066">
        <w:rPr>
          <w:rFonts w:ascii="Book Antiqua" w:eastAsia="宋体" w:hAnsi="Book Antiqua" w:cs="宋体"/>
          <w:sz w:val="24"/>
          <w:szCs w:val="24"/>
        </w:rPr>
        <w:t>Ferlay</w:t>
      </w:r>
      <w:proofErr w:type="spellEnd"/>
      <w:r w:rsidRPr="00013066">
        <w:rPr>
          <w:rFonts w:ascii="Book Antiqua" w:eastAsia="宋体" w:hAnsi="Book Antiqua" w:cs="宋体"/>
          <w:sz w:val="24"/>
          <w:szCs w:val="24"/>
        </w:rPr>
        <w:t xml:space="preserve"> J, Ward E, Forman D. Global cancer statistics. </w:t>
      </w:r>
      <w:r w:rsidRPr="00013066">
        <w:rPr>
          <w:rFonts w:ascii="Book Antiqua" w:eastAsia="宋体" w:hAnsi="Book Antiqua" w:cs="宋体"/>
          <w:i/>
          <w:iCs/>
          <w:sz w:val="24"/>
          <w:szCs w:val="24"/>
        </w:rPr>
        <w:t xml:space="preserve">CA Cancer J </w:t>
      </w:r>
      <w:proofErr w:type="spellStart"/>
      <w:r w:rsidRPr="00013066">
        <w:rPr>
          <w:rFonts w:ascii="Book Antiqua" w:eastAsia="宋体" w:hAnsi="Book Antiqua" w:cs="宋体"/>
          <w:i/>
          <w:iCs/>
          <w:sz w:val="24"/>
          <w:szCs w:val="24"/>
        </w:rPr>
        <w:t>Clin</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2011</w:t>
      </w:r>
      <w:r w:rsidRPr="00013066">
        <w:rPr>
          <w:rFonts w:ascii="Book Antiqua" w:eastAsia="宋体" w:hAnsi="Book Antiqua" w:cs="宋体"/>
          <w:sz w:val="24"/>
          <w:szCs w:val="24"/>
        </w:rPr>
        <w:t>; </w:t>
      </w:r>
      <w:r w:rsidRPr="00013066">
        <w:rPr>
          <w:rFonts w:ascii="Book Antiqua" w:eastAsia="宋体" w:hAnsi="Book Antiqua" w:cs="宋体"/>
          <w:b/>
          <w:bCs/>
          <w:sz w:val="24"/>
          <w:szCs w:val="24"/>
        </w:rPr>
        <w:t>61</w:t>
      </w:r>
      <w:r w:rsidRPr="00013066">
        <w:rPr>
          <w:rFonts w:ascii="Book Antiqua" w:eastAsia="宋体" w:hAnsi="Book Antiqua" w:cs="宋体"/>
          <w:sz w:val="24"/>
          <w:szCs w:val="24"/>
        </w:rPr>
        <w:t>: 69-90 [PMID: 21296855 DOI: 10.3322/caac.20107]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4 </w:t>
      </w:r>
      <w:r w:rsidRPr="00013066">
        <w:rPr>
          <w:rFonts w:ascii="Book Antiqua" w:eastAsia="宋体" w:hAnsi="Book Antiqua" w:cs="宋体"/>
          <w:b/>
          <w:bCs/>
          <w:sz w:val="24"/>
          <w:szCs w:val="24"/>
        </w:rPr>
        <w:t xml:space="preserve">van der </w:t>
      </w:r>
      <w:proofErr w:type="spellStart"/>
      <w:r w:rsidRPr="00013066">
        <w:rPr>
          <w:rFonts w:ascii="Book Antiqua" w:eastAsia="宋体" w:hAnsi="Book Antiqua" w:cs="宋体"/>
          <w:b/>
          <w:bCs/>
          <w:sz w:val="24"/>
          <w:szCs w:val="24"/>
        </w:rPr>
        <w:t>Bilt</w:t>
      </w:r>
      <w:proofErr w:type="spellEnd"/>
      <w:r w:rsidRPr="00013066">
        <w:rPr>
          <w:rFonts w:ascii="Book Antiqua" w:eastAsia="宋体" w:hAnsi="Book Antiqua" w:cs="宋体"/>
          <w:b/>
          <w:bCs/>
          <w:sz w:val="24"/>
          <w:szCs w:val="24"/>
        </w:rPr>
        <w:t xml:space="preserve"> JD</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Kranenburg</w:t>
      </w:r>
      <w:proofErr w:type="spellEnd"/>
      <w:r w:rsidRPr="00013066">
        <w:rPr>
          <w:rFonts w:ascii="Book Antiqua" w:eastAsia="宋体" w:hAnsi="Book Antiqua" w:cs="宋体"/>
          <w:sz w:val="24"/>
          <w:szCs w:val="24"/>
        </w:rPr>
        <w:t xml:space="preserve"> O, </w:t>
      </w:r>
      <w:proofErr w:type="spellStart"/>
      <w:r w:rsidRPr="00013066">
        <w:rPr>
          <w:rFonts w:ascii="Book Antiqua" w:eastAsia="宋体" w:hAnsi="Book Antiqua" w:cs="宋体"/>
          <w:sz w:val="24"/>
          <w:szCs w:val="24"/>
        </w:rPr>
        <w:t>Borren</w:t>
      </w:r>
      <w:proofErr w:type="spellEnd"/>
      <w:r w:rsidRPr="00013066">
        <w:rPr>
          <w:rFonts w:ascii="Book Antiqua" w:eastAsia="宋体" w:hAnsi="Book Antiqua" w:cs="宋体"/>
          <w:sz w:val="24"/>
          <w:szCs w:val="24"/>
        </w:rPr>
        <w:t xml:space="preserve"> A, van </w:t>
      </w:r>
      <w:proofErr w:type="spellStart"/>
      <w:r w:rsidRPr="00013066">
        <w:rPr>
          <w:rFonts w:ascii="Book Antiqua" w:eastAsia="宋体" w:hAnsi="Book Antiqua" w:cs="宋体"/>
          <w:sz w:val="24"/>
          <w:szCs w:val="24"/>
        </w:rPr>
        <w:t>Hillegersberg</w:t>
      </w:r>
      <w:proofErr w:type="spellEnd"/>
      <w:r w:rsidRPr="00013066">
        <w:rPr>
          <w:rFonts w:ascii="Book Antiqua" w:eastAsia="宋体" w:hAnsi="Book Antiqua" w:cs="宋体"/>
          <w:sz w:val="24"/>
          <w:szCs w:val="24"/>
        </w:rPr>
        <w:t xml:space="preserve"> R, </w:t>
      </w:r>
      <w:proofErr w:type="spellStart"/>
      <w:r w:rsidRPr="00013066">
        <w:rPr>
          <w:rFonts w:ascii="Book Antiqua" w:eastAsia="宋体" w:hAnsi="Book Antiqua" w:cs="宋体"/>
          <w:sz w:val="24"/>
          <w:szCs w:val="24"/>
        </w:rPr>
        <w:t>Borel</w:t>
      </w:r>
      <w:proofErr w:type="spellEnd"/>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Rinkes</w:t>
      </w:r>
      <w:proofErr w:type="spellEnd"/>
      <w:r w:rsidRPr="00013066">
        <w:rPr>
          <w:rFonts w:ascii="Book Antiqua" w:eastAsia="宋体" w:hAnsi="Book Antiqua" w:cs="宋体"/>
          <w:sz w:val="24"/>
          <w:szCs w:val="24"/>
        </w:rPr>
        <w:t xml:space="preserve"> IH. Ageing and hepatic </w:t>
      </w:r>
      <w:proofErr w:type="spellStart"/>
      <w:r w:rsidRPr="00013066">
        <w:rPr>
          <w:rFonts w:ascii="Book Antiqua" w:eastAsia="宋体" w:hAnsi="Book Antiqua" w:cs="宋体"/>
          <w:sz w:val="24"/>
          <w:szCs w:val="24"/>
        </w:rPr>
        <w:t>steatosis</w:t>
      </w:r>
      <w:proofErr w:type="spellEnd"/>
      <w:r w:rsidRPr="00013066">
        <w:rPr>
          <w:rFonts w:ascii="Book Antiqua" w:eastAsia="宋体" w:hAnsi="Book Antiqua" w:cs="宋体"/>
          <w:sz w:val="24"/>
          <w:szCs w:val="24"/>
        </w:rPr>
        <w:t xml:space="preserve"> exacerbate ischemia/reperfusion-accelerated outgrowth of colorectal </w:t>
      </w:r>
      <w:proofErr w:type="spellStart"/>
      <w:r w:rsidRPr="00013066">
        <w:rPr>
          <w:rFonts w:ascii="Book Antiqua" w:eastAsia="宋体" w:hAnsi="Book Antiqua" w:cs="宋体"/>
          <w:sz w:val="24"/>
          <w:szCs w:val="24"/>
        </w:rPr>
        <w:t>micrometastases</w:t>
      </w:r>
      <w:proofErr w:type="spell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Ann </w:t>
      </w:r>
      <w:proofErr w:type="spellStart"/>
      <w:r w:rsidRPr="00013066">
        <w:rPr>
          <w:rFonts w:ascii="Book Antiqua" w:eastAsia="宋体" w:hAnsi="Book Antiqua" w:cs="宋体"/>
          <w:i/>
          <w:iCs/>
          <w:sz w:val="24"/>
          <w:szCs w:val="24"/>
        </w:rPr>
        <w:t>Surg</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Oncol</w:t>
      </w:r>
      <w:proofErr w:type="spellEnd"/>
      <w:r w:rsidRPr="00013066">
        <w:rPr>
          <w:rFonts w:ascii="Book Antiqua" w:eastAsia="宋体" w:hAnsi="Book Antiqua" w:cs="宋体"/>
          <w:sz w:val="24"/>
          <w:szCs w:val="24"/>
        </w:rPr>
        <w:t> 2008; </w:t>
      </w:r>
      <w:r w:rsidRPr="00013066">
        <w:rPr>
          <w:rFonts w:ascii="Book Antiqua" w:eastAsia="宋体" w:hAnsi="Book Antiqua" w:cs="宋体"/>
          <w:b/>
          <w:bCs/>
          <w:sz w:val="24"/>
          <w:szCs w:val="24"/>
        </w:rPr>
        <w:t>15</w:t>
      </w:r>
      <w:r w:rsidRPr="00013066">
        <w:rPr>
          <w:rFonts w:ascii="Book Antiqua" w:eastAsia="宋体" w:hAnsi="Book Antiqua" w:cs="宋体"/>
          <w:sz w:val="24"/>
          <w:szCs w:val="24"/>
        </w:rPr>
        <w:t>: 1392-1398 [PMID: 18335279 DOI: 10.1245/s10434-007-9758-0]</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5 </w:t>
      </w:r>
      <w:r w:rsidRPr="00013066">
        <w:rPr>
          <w:rFonts w:ascii="Book Antiqua" w:eastAsia="宋体" w:hAnsi="Book Antiqua" w:cs="宋体"/>
          <w:b/>
          <w:bCs/>
          <w:sz w:val="24"/>
          <w:szCs w:val="24"/>
        </w:rPr>
        <w:t>El-</w:t>
      </w:r>
      <w:proofErr w:type="spellStart"/>
      <w:r w:rsidRPr="00013066">
        <w:rPr>
          <w:rFonts w:ascii="Book Antiqua" w:eastAsia="宋体" w:hAnsi="Book Antiqua" w:cs="宋体"/>
          <w:b/>
          <w:bCs/>
          <w:sz w:val="24"/>
          <w:szCs w:val="24"/>
        </w:rPr>
        <w:t>Serag</w:t>
      </w:r>
      <w:proofErr w:type="spellEnd"/>
      <w:r w:rsidRPr="00013066">
        <w:rPr>
          <w:rFonts w:ascii="Book Antiqua" w:eastAsia="宋体" w:hAnsi="Book Antiqua" w:cs="宋体"/>
          <w:b/>
          <w:bCs/>
          <w:sz w:val="24"/>
          <w:szCs w:val="24"/>
        </w:rPr>
        <w:t xml:space="preserve"> HB</w:t>
      </w:r>
      <w:r w:rsidRPr="00013066">
        <w:rPr>
          <w:rFonts w:ascii="Book Antiqua" w:eastAsia="宋体" w:hAnsi="Book Antiqua" w:cs="宋体"/>
          <w:sz w:val="24"/>
          <w:szCs w:val="24"/>
        </w:rPr>
        <w:t>, Rudolph KL.</w:t>
      </w:r>
      <w:proofErr w:type="gramEnd"/>
      <w:r w:rsidRPr="00013066">
        <w:rPr>
          <w:rFonts w:ascii="Book Antiqua" w:eastAsia="宋体" w:hAnsi="Book Antiqua" w:cs="宋体"/>
          <w:sz w:val="24"/>
          <w:szCs w:val="24"/>
        </w:rPr>
        <w:t xml:space="preserve"> Hepatocellular carcinoma: epidemiology and molecular carcinogenesis. </w:t>
      </w:r>
      <w:r w:rsidRPr="00013066">
        <w:rPr>
          <w:rFonts w:ascii="Book Antiqua" w:eastAsia="宋体" w:hAnsi="Book Antiqua" w:cs="宋体"/>
          <w:i/>
          <w:iCs/>
          <w:sz w:val="24"/>
          <w:szCs w:val="24"/>
        </w:rPr>
        <w:t>Gastroenterology</w:t>
      </w:r>
      <w:r w:rsidRPr="00013066">
        <w:rPr>
          <w:rFonts w:ascii="Book Antiqua" w:eastAsia="宋体" w:hAnsi="Book Antiqua" w:cs="宋体"/>
          <w:sz w:val="24"/>
          <w:szCs w:val="24"/>
        </w:rPr>
        <w:t> 2007; </w:t>
      </w:r>
      <w:r w:rsidRPr="00013066">
        <w:rPr>
          <w:rFonts w:ascii="Book Antiqua" w:eastAsia="宋体" w:hAnsi="Book Antiqua" w:cs="宋体"/>
          <w:b/>
          <w:bCs/>
          <w:sz w:val="24"/>
          <w:szCs w:val="24"/>
        </w:rPr>
        <w:t>132</w:t>
      </w:r>
      <w:r w:rsidRPr="00013066">
        <w:rPr>
          <w:rFonts w:ascii="Book Antiqua" w:eastAsia="宋体" w:hAnsi="Book Antiqua" w:cs="宋体"/>
          <w:sz w:val="24"/>
          <w:szCs w:val="24"/>
        </w:rPr>
        <w:t>: 2557-2576 [PMID: 17570226 DOI: 10.1053/j.gastro.2007.04.061]</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6 </w:t>
      </w:r>
      <w:r w:rsidRPr="00013066">
        <w:rPr>
          <w:rFonts w:ascii="Book Antiqua" w:eastAsia="宋体" w:hAnsi="Book Antiqua" w:cs="宋体"/>
          <w:b/>
          <w:bCs/>
          <w:sz w:val="24"/>
          <w:szCs w:val="24"/>
        </w:rPr>
        <w:t>Khan SA</w:t>
      </w:r>
      <w:r w:rsidRPr="00013066">
        <w:rPr>
          <w:rFonts w:ascii="Book Antiqua" w:eastAsia="宋体" w:hAnsi="Book Antiqua" w:cs="宋体"/>
          <w:sz w:val="24"/>
          <w:szCs w:val="24"/>
        </w:rPr>
        <w:t xml:space="preserve">, Thomas HC, Davidson BR, Taylor-Robinson SD. </w:t>
      </w:r>
      <w:proofErr w:type="spellStart"/>
      <w:r w:rsidRPr="00013066">
        <w:rPr>
          <w:rFonts w:ascii="Book Antiqua" w:eastAsia="宋体" w:hAnsi="Book Antiqua" w:cs="宋体"/>
          <w:sz w:val="24"/>
          <w:szCs w:val="24"/>
        </w:rPr>
        <w:t>Cholangiocarcinoma</w:t>
      </w:r>
      <w:proofErr w:type="spellEnd"/>
      <w:r w:rsidRPr="00013066">
        <w:rPr>
          <w:rFonts w:ascii="Book Antiqua" w:eastAsia="宋体" w:hAnsi="Book Antiqua" w:cs="宋体"/>
          <w:sz w:val="24"/>
          <w:szCs w:val="24"/>
        </w:rPr>
        <w:t>. </w:t>
      </w:r>
      <w:r w:rsidRPr="00013066">
        <w:rPr>
          <w:rFonts w:ascii="Book Antiqua" w:eastAsia="宋体" w:hAnsi="Book Antiqua" w:cs="宋体"/>
          <w:i/>
          <w:iCs/>
          <w:sz w:val="24"/>
          <w:szCs w:val="24"/>
        </w:rPr>
        <w:t>Lancet</w:t>
      </w:r>
      <w:r w:rsidRPr="00013066">
        <w:rPr>
          <w:rFonts w:ascii="Book Antiqua" w:eastAsia="宋体" w:hAnsi="Book Antiqua" w:cs="宋体"/>
          <w:sz w:val="24"/>
          <w:szCs w:val="24"/>
        </w:rPr>
        <w:t> 2005; </w:t>
      </w:r>
      <w:r w:rsidRPr="00013066">
        <w:rPr>
          <w:rFonts w:ascii="Book Antiqua" w:eastAsia="宋体" w:hAnsi="Book Antiqua" w:cs="宋体"/>
          <w:b/>
          <w:bCs/>
          <w:sz w:val="24"/>
          <w:szCs w:val="24"/>
        </w:rPr>
        <w:t>366</w:t>
      </w:r>
      <w:r w:rsidRPr="00013066">
        <w:rPr>
          <w:rFonts w:ascii="Book Antiqua" w:eastAsia="宋体" w:hAnsi="Book Antiqua" w:cs="宋体"/>
          <w:sz w:val="24"/>
          <w:szCs w:val="24"/>
        </w:rPr>
        <w:t>: 1303-1314 [PMID: 16214602 DOI: 10.1016/S0140-6736(05)67530-7]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7 </w:t>
      </w:r>
      <w:proofErr w:type="spellStart"/>
      <w:r w:rsidRPr="00013066">
        <w:rPr>
          <w:rFonts w:ascii="Book Antiqua" w:eastAsia="宋体" w:hAnsi="Book Antiqua" w:cs="宋体"/>
          <w:b/>
          <w:bCs/>
          <w:sz w:val="24"/>
          <w:szCs w:val="24"/>
        </w:rPr>
        <w:t>Michelini</w:t>
      </w:r>
      <w:proofErr w:type="spellEnd"/>
      <w:r w:rsidRPr="00013066">
        <w:rPr>
          <w:rFonts w:ascii="Book Antiqua" w:eastAsia="宋体" w:hAnsi="Book Antiqua" w:cs="宋体"/>
          <w:b/>
          <w:bCs/>
          <w:sz w:val="24"/>
          <w:szCs w:val="24"/>
        </w:rPr>
        <w:t xml:space="preserve"> E</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Lonardo</w:t>
      </w:r>
      <w:proofErr w:type="spellEnd"/>
      <w:r w:rsidRPr="00013066">
        <w:rPr>
          <w:rFonts w:ascii="Book Antiqua" w:eastAsia="宋体" w:hAnsi="Book Antiqua" w:cs="宋体"/>
          <w:sz w:val="24"/>
          <w:szCs w:val="24"/>
        </w:rPr>
        <w:t xml:space="preserve"> A, </w:t>
      </w:r>
      <w:proofErr w:type="spellStart"/>
      <w:r w:rsidRPr="00013066">
        <w:rPr>
          <w:rFonts w:ascii="Book Antiqua" w:eastAsia="宋体" w:hAnsi="Book Antiqua" w:cs="宋体"/>
          <w:sz w:val="24"/>
          <w:szCs w:val="24"/>
        </w:rPr>
        <w:t>Ballestri</w:t>
      </w:r>
      <w:proofErr w:type="spellEnd"/>
      <w:r w:rsidRPr="00013066">
        <w:rPr>
          <w:rFonts w:ascii="Book Antiqua" w:eastAsia="宋体" w:hAnsi="Book Antiqua" w:cs="宋体"/>
          <w:sz w:val="24"/>
          <w:szCs w:val="24"/>
        </w:rPr>
        <w:t xml:space="preserve"> S, </w:t>
      </w:r>
      <w:proofErr w:type="spellStart"/>
      <w:r w:rsidRPr="00013066">
        <w:rPr>
          <w:rFonts w:ascii="Book Antiqua" w:eastAsia="宋体" w:hAnsi="Book Antiqua" w:cs="宋体"/>
          <w:sz w:val="24"/>
          <w:szCs w:val="24"/>
        </w:rPr>
        <w:t>Costantini</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Caporali</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Bonati</w:t>
      </w:r>
      <w:proofErr w:type="spellEnd"/>
      <w:r w:rsidRPr="00013066">
        <w:rPr>
          <w:rFonts w:ascii="Book Antiqua" w:eastAsia="宋体" w:hAnsi="Book Antiqua" w:cs="宋体"/>
          <w:sz w:val="24"/>
          <w:szCs w:val="24"/>
        </w:rPr>
        <w:t xml:space="preserve"> ME, </w:t>
      </w:r>
      <w:proofErr w:type="spellStart"/>
      <w:r w:rsidRPr="00013066">
        <w:rPr>
          <w:rFonts w:ascii="Book Antiqua" w:eastAsia="宋体" w:hAnsi="Book Antiqua" w:cs="宋体"/>
          <w:sz w:val="24"/>
          <w:szCs w:val="24"/>
        </w:rPr>
        <w:t>Bertolotti</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Iori</w:t>
      </w:r>
      <w:proofErr w:type="spellEnd"/>
      <w:r w:rsidRPr="00013066">
        <w:rPr>
          <w:rFonts w:ascii="Book Antiqua" w:eastAsia="宋体" w:hAnsi="Book Antiqua" w:cs="宋体"/>
          <w:sz w:val="24"/>
          <w:szCs w:val="24"/>
        </w:rPr>
        <w:t xml:space="preserve"> R, </w:t>
      </w:r>
      <w:proofErr w:type="spellStart"/>
      <w:r w:rsidRPr="00013066">
        <w:rPr>
          <w:rFonts w:ascii="Book Antiqua" w:eastAsia="宋体" w:hAnsi="Book Antiqua" w:cs="宋体"/>
          <w:sz w:val="24"/>
          <w:szCs w:val="24"/>
        </w:rPr>
        <w:t>Loria</w:t>
      </w:r>
      <w:proofErr w:type="spellEnd"/>
      <w:r w:rsidRPr="00013066">
        <w:rPr>
          <w:rFonts w:ascii="Book Antiqua" w:eastAsia="宋体" w:hAnsi="Book Antiqua" w:cs="宋体"/>
          <w:sz w:val="24"/>
          <w:szCs w:val="24"/>
        </w:rPr>
        <w:t xml:space="preserve"> P. Is </w:t>
      </w:r>
      <w:proofErr w:type="spellStart"/>
      <w:r w:rsidRPr="00013066">
        <w:rPr>
          <w:rFonts w:ascii="Book Antiqua" w:eastAsia="宋体" w:hAnsi="Book Antiqua" w:cs="宋体"/>
          <w:sz w:val="24"/>
          <w:szCs w:val="24"/>
        </w:rPr>
        <w:t>cholangiocarcinoma</w:t>
      </w:r>
      <w:proofErr w:type="spellEnd"/>
      <w:r w:rsidRPr="00013066">
        <w:rPr>
          <w:rFonts w:ascii="Book Antiqua" w:eastAsia="宋体" w:hAnsi="Book Antiqua" w:cs="宋体"/>
          <w:sz w:val="24"/>
          <w:szCs w:val="24"/>
        </w:rPr>
        <w:t xml:space="preserve"> another complication of insulin resistance: a report of three </w:t>
      </w:r>
      <w:proofErr w:type="gramStart"/>
      <w:r w:rsidRPr="00013066">
        <w:rPr>
          <w:rFonts w:ascii="Book Antiqua" w:eastAsia="宋体" w:hAnsi="Book Antiqua" w:cs="宋体"/>
          <w:sz w:val="24"/>
          <w:szCs w:val="24"/>
        </w:rPr>
        <w:t>cases.</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Metab</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Syndr</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Relat</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Disord</w:t>
      </w:r>
      <w:proofErr w:type="spellEnd"/>
      <w:r w:rsidRPr="00013066">
        <w:rPr>
          <w:rFonts w:ascii="Book Antiqua" w:eastAsia="宋体" w:hAnsi="Book Antiqua" w:cs="宋体"/>
          <w:sz w:val="24"/>
          <w:szCs w:val="24"/>
        </w:rPr>
        <w:t> 2007; </w:t>
      </w:r>
      <w:r w:rsidRPr="00013066">
        <w:rPr>
          <w:rFonts w:ascii="Book Antiqua" w:eastAsia="宋体" w:hAnsi="Book Antiqua" w:cs="宋体"/>
          <w:b/>
          <w:bCs/>
          <w:sz w:val="24"/>
          <w:szCs w:val="24"/>
        </w:rPr>
        <w:t>5</w:t>
      </w:r>
      <w:r w:rsidRPr="00013066">
        <w:rPr>
          <w:rFonts w:ascii="Book Antiqua" w:eastAsia="宋体" w:hAnsi="Book Antiqua" w:cs="宋体"/>
          <w:sz w:val="24"/>
          <w:szCs w:val="24"/>
        </w:rPr>
        <w:t>: 194-202 [PMID: 18370827 DOI: 10.1089/met.2006.0018]</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8 </w:t>
      </w:r>
      <w:proofErr w:type="spellStart"/>
      <w:r w:rsidRPr="00013066">
        <w:rPr>
          <w:rFonts w:ascii="Book Antiqua" w:eastAsia="宋体" w:hAnsi="Book Antiqua" w:cs="宋体"/>
          <w:b/>
          <w:bCs/>
          <w:sz w:val="24"/>
          <w:szCs w:val="24"/>
        </w:rPr>
        <w:t>Baffy</w:t>
      </w:r>
      <w:proofErr w:type="spellEnd"/>
      <w:r w:rsidRPr="00013066">
        <w:rPr>
          <w:rFonts w:ascii="Book Antiqua" w:eastAsia="宋体" w:hAnsi="Book Antiqua" w:cs="宋体"/>
          <w:b/>
          <w:bCs/>
          <w:sz w:val="24"/>
          <w:szCs w:val="24"/>
        </w:rPr>
        <w:t xml:space="preserve"> G</w:t>
      </w:r>
      <w:r w:rsidRPr="00013066">
        <w:rPr>
          <w:rFonts w:ascii="Book Antiqua" w:eastAsia="宋体" w:hAnsi="Book Antiqua" w:cs="宋体"/>
          <w:sz w:val="24"/>
          <w:szCs w:val="24"/>
        </w:rPr>
        <w:t>, Brunt EM, Caldwell SH. Hepatocellular carcinoma in non-alcoholic fatty liver disease: an emerging menace.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2012; </w:t>
      </w:r>
      <w:r w:rsidRPr="00013066">
        <w:rPr>
          <w:rFonts w:ascii="Book Antiqua" w:eastAsia="宋体" w:hAnsi="Book Antiqua" w:cs="宋体"/>
          <w:b/>
          <w:bCs/>
          <w:sz w:val="24"/>
          <w:szCs w:val="24"/>
        </w:rPr>
        <w:t>56</w:t>
      </w:r>
      <w:r w:rsidRPr="00013066">
        <w:rPr>
          <w:rFonts w:ascii="Book Antiqua" w:eastAsia="宋体" w:hAnsi="Book Antiqua" w:cs="宋体"/>
          <w:sz w:val="24"/>
          <w:szCs w:val="24"/>
        </w:rPr>
        <w:t>: 1384-1391 [PMID: 22326465 DOI: 10.1016/j.jhep.2011.10.027]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9 </w:t>
      </w:r>
      <w:r w:rsidRPr="00013066">
        <w:rPr>
          <w:rFonts w:ascii="Book Antiqua" w:eastAsia="宋体" w:hAnsi="Book Antiqua" w:cs="宋体"/>
          <w:b/>
          <w:bCs/>
          <w:sz w:val="24"/>
          <w:szCs w:val="24"/>
        </w:rPr>
        <w:t>Hill-Baskin AE</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Markiewski</w:t>
      </w:r>
      <w:proofErr w:type="spellEnd"/>
      <w:r w:rsidRPr="00013066">
        <w:rPr>
          <w:rFonts w:ascii="Book Antiqua" w:eastAsia="宋体" w:hAnsi="Book Antiqua" w:cs="宋体"/>
          <w:sz w:val="24"/>
          <w:szCs w:val="24"/>
        </w:rPr>
        <w:t xml:space="preserve"> MM, Buchner DA, Shao H, </w:t>
      </w:r>
      <w:proofErr w:type="spellStart"/>
      <w:r w:rsidRPr="00013066">
        <w:rPr>
          <w:rFonts w:ascii="Book Antiqua" w:eastAsia="宋体" w:hAnsi="Book Antiqua" w:cs="宋体"/>
          <w:sz w:val="24"/>
          <w:szCs w:val="24"/>
        </w:rPr>
        <w:t>DeSantis</w:t>
      </w:r>
      <w:proofErr w:type="spellEnd"/>
      <w:r w:rsidRPr="00013066">
        <w:rPr>
          <w:rFonts w:ascii="Book Antiqua" w:eastAsia="宋体" w:hAnsi="Book Antiqua" w:cs="宋体"/>
          <w:sz w:val="24"/>
          <w:szCs w:val="24"/>
        </w:rPr>
        <w:t xml:space="preserve"> D, Hsiao G, </w:t>
      </w:r>
      <w:proofErr w:type="spellStart"/>
      <w:r w:rsidRPr="00013066">
        <w:rPr>
          <w:rFonts w:ascii="Book Antiqua" w:eastAsia="宋体" w:hAnsi="Book Antiqua" w:cs="宋体"/>
          <w:sz w:val="24"/>
          <w:szCs w:val="24"/>
        </w:rPr>
        <w:t>Subramaniam</w:t>
      </w:r>
      <w:proofErr w:type="spellEnd"/>
      <w:r w:rsidRPr="00013066">
        <w:rPr>
          <w:rFonts w:ascii="Book Antiqua" w:eastAsia="宋体" w:hAnsi="Book Antiqua" w:cs="宋体"/>
          <w:sz w:val="24"/>
          <w:szCs w:val="24"/>
        </w:rPr>
        <w:t xml:space="preserve"> S, Berger NA, </w:t>
      </w:r>
      <w:proofErr w:type="spellStart"/>
      <w:r w:rsidRPr="00013066">
        <w:rPr>
          <w:rFonts w:ascii="Book Antiqua" w:eastAsia="宋体" w:hAnsi="Book Antiqua" w:cs="宋体"/>
          <w:sz w:val="24"/>
          <w:szCs w:val="24"/>
        </w:rPr>
        <w:t>Croniger</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Lambris</w:t>
      </w:r>
      <w:proofErr w:type="spellEnd"/>
      <w:r w:rsidRPr="00013066">
        <w:rPr>
          <w:rFonts w:ascii="Book Antiqua" w:eastAsia="宋体" w:hAnsi="Book Antiqua" w:cs="宋体"/>
          <w:sz w:val="24"/>
          <w:szCs w:val="24"/>
        </w:rPr>
        <w:t xml:space="preserve"> JD, Nadeau JH. </w:t>
      </w:r>
      <w:proofErr w:type="gramStart"/>
      <w:r w:rsidRPr="00013066">
        <w:rPr>
          <w:rFonts w:ascii="Book Antiqua" w:eastAsia="宋体" w:hAnsi="Book Antiqua" w:cs="宋体"/>
          <w:sz w:val="24"/>
          <w:szCs w:val="24"/>
        </w:rPr>
        <w:t xml:space="preserve">Diet-induced </w:t>
      </w:r>
      <w:r w:rsidRPr="00013066">
        <w:rPr>
          <w:rFonts w:ascii="Book Antiqua" w:eastAsia="宋体" w:hAnsi="Book Antiqua" w:cs="宋体"/>
          <w:sz w:val="24"/>
          <w:szCs w:val="24"/>
        </w:rPr>
        <w:lastRenderedPageBreak/>
        <w:t>hepatocellular carcinoma in genetically predisposed mice.</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Hum </w:t>
      </w:r>
      <w:proofErr w:type="spellStart"/>
      <w:r w:rsidRPr="00013066">
        <w:rPr>
          <w:rFonts w:ascii="Book Antiqua" w:eastAsia="宋体" w:hAnsi="Book Antiqua" w:cs="宋体"/>
          <w:i/>
          <w:iCs/>
          <w:sz w:val="24"/>
          <w:szCs w:val="24"/>
        </w:rPr>
        <w:t>Mol</w:t>
      </w:r>
      <w:proofErr w:type="spellEnd"/>
      <w:r w:rsidRPr="00013066">
        <w:rPr>
          <w:rFonts w:ascii="Book Antiqua" w:eastAsia="宋体" w:hAnsi="Book Antiqua" w:cs="宋体"/>
          <w:i/>
          <w:iCs/>
          <w:sz w:val="24"/>
          <w:szCs w:val="24"/>
        </w:rPr>
        <w:t xml:space="preserve"> Genet</w:t>
      </w:r>
      <w:r w:rsidRPr="00013066">
        <w:rPr>
          <w:rFonts w:ascii="Book Antiqua" w:eastAsia="宋体" w:hAnsi="Book Antiqua" w:cs="宋体"/>
          <w:sz w:val="24"/>
          <w:szCs w:val="24"/>
        </w:rPr>
        <w:t> 2009; </w:t>
      </w:r>
      <w:r w:rsidRPr="00013066">
        <w:rPr>
          <w:rFonts w:ascii="Book Antiqua" w:eastAsia="宋体" w:hAnsi="Book Antiqua" w:cs="宋体"/>
          <w:b/>
          <w:bCs/>
          <w:sz w:val="24"/>
          <w:szCs w:val="24"/>
        </w:rPr>
        <w:t>18</w:t>
      </w:r>
      <w:r w:rsidRPr="00013066">
        <w:rPr>
          <w:rFonts w:ascii="Book Antiqua" w:eastAsia="宋体" w:hAnsi="Book Antiqua" w:cs="宋体"/>
          <w:sz w:val="24"/>
          <w:szCs w:val="24"/>
        </w:rPr>
        <w:t>: 2975-2988 [PMID: 19454484 DOI: 10.1093/</w:t>
      </w:r>
      <w:proofErr w:type="spellStart"/>
      <w:r w:rsidRPr="00013066">
        <w:rPr>
          <w:rFonts w:ascii="Book Antiqua" w:eastAsia="宋体" w:hAnsi="Book Antiqua" w:cs="宋体"/>
          <w:sz w:val="24"/>
          <w:szCs w:val="24"/>
        </w:rPr>
        <w:t>hmg</w:t>
      </w:r>
      <w:proofErr w:type="spellEnd"/>
      <w:r w:rsidRPr="00013066">
        <w:rPr>
          <w:rFonts w:ascii="Book Antiqua" w:eastAsia="宋体" w:hAnsi="Book Antiqua" w:cs="宋体"/>
          <w:sz w:val="24"/>
          <w:szCs w:val="24"/>
        </w:rPr>
        <w:t>/ddp236]</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10 </w:t>
      </w:r>
      <w:proofErr w:type="spellStart"/>
      <w:r w:rsidRPr="00013066">
        <w:rPr>
          <w:rFonts w:ascii="Book Antiqua" w:eastAsia="宋体" w:hAnsi="Book Antiqua" w:cs="宋体"/>
          <w:b/>
          <w:bCs/>
          <w:sz w:val="24"/>
          <w:szCs w:val="24"/>
        </w:rPr>
        <w:t>Shaib</w:t>
      </w:r>
      <w:proofErr w:type="spellEnd"/>
      <w:r w:rsidRPr="00013066">
        <w:rPr>
          <w:rFonts w:ascii="Book Antiqua" w:eastAsia="宋体" w:hAnsi="Book Antiqua" w:cs="宋体"/>
          <w:b/>
          <w:bCs/>
          <w:sz w:val="24"/>
          <w:szCs w:val="24"/>
        </w:rPr>
        <w:t xml:space="preserve"> Y</w:t>
      </w:r>
      <w:r w:rsidRPr="00013066">
        <w:rPr>
          <w:rFonts w:ascii="Book Antiqua" w:eastAsia="宋体" w:hAnsi="Book Antiqua" w:cs="宋体"/>
          <w:sz w:val="24"/>
          <w:szCs w:val="24"/>
        </w:rPr>
        <w:t>, El-</w:t>
      </w:r>
      <w:proofErr w:type="spellStart"/>
      <w:r w:rsidRPr="00013066">
        <w:rPr>
          <w:rFonts w:ascii="Book Antiqua" w:eastAsia="宋体" w:hAnsi="Book Antiqua" w:cs="宋体"/>
          <w:sz w:val="24"/>
          <w:szCs w:val="24"/>
        </w:rPr>
        <w:t>Serag</w:t>
      </w:r>
      <w:proofErr w:type="spellEnd"/>
      <w:r w:rsidRPr="00013066">
        <w:rPr>
          <w:rFonts w:ascii="Book Antiqua" w:eastAsia="宋体" w:hAnsi="Book Antiqua" w:cs="宋体"/>
          <w:sz w:val="24"/>
          <w:szCs w:val="24"/>
        </w:rPr>
        <w:t xml:space="preserve"> HB.</w:t>
      </w:r>
      <w:proofErr w:type="gramEnd"/>
      <w:r w:rsidRPr="00013066">
        <w:rPr>
          <w:rFonts w:ascii="Book Antiqua" w:eastAsia="宋体" w:hAnsi="Book Antiqua" w:cs="宋体"/>
          <w:sz w:val="24"/>
          <w:szCs w:val="24"/>
        </w:rPr>
        <w:t xml:space="preserve"> </w:t>
      </w:r>
      <w:proofErr w:type="gramStart"/>
      <w:r w:rsidRPr="00013066">
        <w:rPr>
          <w:rFonts w:ascii="Book Antiqua" w:eastAsia="宋体" w:hAnsi="Book Antiqua" w:cs="宋体"/>
          <w:sz w:val="24"/>
          <w:szCs w:val="24"/>
        </w:rPr>
        <w:t xml:space="preserve">The epidemiology of </w:t>
      </w:r>
      <w:proofErr w:type="spellStart"/>
      <w:r w:rsidRPr="00013066">
        <w:rPr>
          <w:rFonts w:ascii="Book Antiqua" w:eastAsia="宋体" w:hAnsi="Book Antiqua" w:cs="宋体"/>
          <w:sz w:val="24"/>
          <w:szCs w:val="24"/>
        </w:rPr>
        <w:t>cholangiocarcinoma</w:t>
      </w:r>
      <w:proofErr w:type="spellEnd"/>
      <w:r w:rsidRPr="00013066">
        <w:rPr>
          <w:rFonts w:ascii="Book Antiqua" w:eastAsia="宋体" w:hAnsi="Book Antiqua" w:cs="宋体"/>
          <w:sz w:val="24"/>
          <w:szCs w:val="24"/>
        </w:rPr>
        <w:t>.</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Semin</w:t>
      </w:r>
      <w:proofErr w:type="spellEnd"/>
      <w:r w:rsidRPr="00013066">
        <w:rPr>
          <w:rFonts w:ascii="Book Antiqua" w:eastAsia="宋体" w:hAnsi="Book Antiqua" w:cs="宋体"/>
          <w:i/>
          <w:iCs/>
          <w:sz w:val="24"/>
          <w:szCs w:val="24"/>
        </w:rPr>
        <w:t xml:space="preserve"> Liver Dis</w:t>
      </w:r>
      <w:r w:rsidRPr="00013066">
        <w:rPr>
          <w:rFonts w:ascii="Book Antiqua" w:eastAsia="宋体" w:hAnsi="Book Antiqua" w:cs="宋体"/>
          <w:sz w:val="24"/>
          <w:szCs w:val="24"/>
        </w:rPr>
        <w:t> 2004; </w:t>
      </w:r>
      <w:r w:rsidRPr="00013066">
        <w:rPr>
          <w:rFonts w:ascii="Book Antiqua" w:eastAsia="宋体" w:hAnsi="Book Antiqua" w:cs="宋体"/>
          <w:b/>
          <w:bCs/>
          <w:sz w:val="24"/>
          <w:szCs w:val="24"/>
        </w:rPr>
        <w:t>24</w:t>
      </w:r>
      <w:r w:rsidRPr="00013066">
        <w:rPr>
          <w:rFonts w:ascii="Book Antiqua" w:eastAsia="宋体" w:hAnsi="Book Antiqua" w:cs="宋体"/>
          <w:sz w:val="24"/>
          <w:szCs w:val="24"/>
        </w:rPr>
        <w:t>: 115-125 [PMID: 15192785 DOI: 10.1055/s-2004-828889]</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11 </w:t>
      </w:r>
      <w:r w:rsidRPr="00013066">
        <w:rPr>
          <w:rFonts w:ascii="Book Antiqua" w:eastAsia="宋体" w:hAnsi="Book Antiqua" w:cs="宋体"/>
          <w:b/>
          <w:bCs/>
          <w:sz w:val="24"/>
          <w:szCs w:val="24"/>
        </w:rPr>
        <w:t>Reddy SK</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Hyder</w:t>
      </w:r>
      <w:proofErr w:type="spellEnd"/>
      <w:r w:rsidRPr="00013066">
        <w:rPr>
          <w:rFonts w:ascii="Book Antiqua" w:eastAsia="宋体" w:hAnsi="Book Antiqua" w:cs="宋体"/>
          <w:sz w:val="24"/>
          <w:szCs w:val="24"/>
        </w:rPr>
        <w:t xml:space="preserve"> O, Marsh JW, </w:t>
      </w:r>
      <w:proofErr w:type="spellStart"/>
      <w:r w:rsidRPr="00013066">
        <w:rPr>
          <w:rFonts w:ascii="Book Antiqua" w:eastAsia="宋体" w:hAnsi="Book Antiqua" w:cs="宋体"/>
          <w:sz w:val="24"/>
          <w:szCs w:val="24"/>
        </w:rPr>
        <w:t>Sotiropoulos</w:t>
      </w:r>
      <w:proofErr w:type="spellEnd"/>
      <w:r w:rsidRPr="00013066">
        <w:rPr>
          <w:rFonts w:ascii="Book Antiqua" w:eastAsia="宋体" w:hAnsi="Book Antiqua" w:cs="宋体"/>
          <w:sz w:val="24"/>
          <w:szCs w:val="24"/>
        </w:rPr>
        <w:t xml:space="preserve"> GC, Paul A, </w:t>
      </w:r>
      <w:proofErr w:type="spellStart"/>
      <w:r w:rsidRPr="00013066">
        <w:rPr>
          <w:rFonts w:ascii="Book Antiqua" w:eastAsia="宋体" w:hAnsi="Book Antiqua" w:cs="宋体"/>
          <w:sz w:val="24"/>
          <w:szCs w:val="24"/>
        </w:rPr>
        <w:t>Alexandrescu</w:t>
      </w:r>
      <w:proofErr w:type="spellEnd"/>
      <w:r w:rsidRPr="00013066">
        <w:rPr>
          <w:rFonts w:ascii="Book Antiqua" w:eastAsia="宋体" w:hAnsi="Book Antiqua" w:cs="宋体"/>
          <w:sz w:val="24"/>
          <w:szCs w:val="24"/>
        </w:rPr>
        <w:t xml:space="preserve"> S, Marques H, </w:t>
      </w:r>
      <w:proofErr w:type="spellStart"/>
      <w:r w:rsidRPr="00013066">
        <w:rPr>
          <w:rFonts w:ascii="Book Antiqua" w:eastAsia="宋体" w:hAnsi="Book Antiqua" w:cs="宋体"/>
          <w:sz w:val="24"/>
          <w:szCs w:val="24"/>
        </w:rPr>
        <w:t>Pulitano</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Barroso</w:t>
      </w:r>
      <w:proofErr w:type="spellEnd"/>
      <w:r w:rsidRPr="00013066">
        <w:rPr>
          <w:rFonts w:ascii="Book Antiqua" w:eastAsia="宋体" w:hAnsi="Book Antiqua" w:cs="宋体"/>
          <w:sz w:val="24"/>
          <w:szCs w:val="24"/>
        </w:rPr>
        <w:t xml:space="preserve"> E, </w:t>
      </w:r>
      <w:proofErr w:type="spellStart"/>
      <w:r w:rsidRPr="00013066">
        <w:rPr>
          <w:rFonts w:ascii="Book Antiqua" w:eastAsia="宋体" w:hAnsi="Book Antiqua" w:cs="宋体"/>
          <w:sz w:val="24"/>
          <w:szCs w:val="24"/>
        </w:rPr>
        <w:t>Aldrighetti</w:t>
      </w:r>
      <w:proofErr w:type="spellEnd"/>
      <w:r w:rsidRPr="00013066">
        <w:rPr>
          <w:rFonts w:ascii="Book Antiqua" w:eastAsia="宋体" w:hAnsi="Book Antiqua" w:cs="宋体"/>
          <w:sz w:val="24"/>
          <w:szCs w:val="24"/>
        </w:rPr>
        <w:t xml:space="preserve"> L, Geller DA, </w:t>
      </w:r>
      <w:proofErr w:type="spellStart"/>
      <w:r w:rsidRPr="00013066">
        <w:rPr>
          <w:rFonts w:ascii="Book Antiqua" w:eastAsia="宋体" w:hAnsi="Book Antiqua" w:cs="宋体"/>
          <w:sz w:val="24"/>
          <w:szCs w:val="24"/>
        </w:rPr>
        <w:t>Sempoux</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Herlea</w:t>
      </w:r>
      <w:proofErr w:type="spellEnd"/>
      <w:r w:rsidRPr="00013066">
        <w:rPr>
          <w:rFonts w:ascii="Book Antiqua" w:eastAsia="宋体" w:hAnsi="Book Antiqua" w:cs="宋体"/>
          <w:sz w:val="24"/>
          <w:szCs w:val="24"/>
        </w:rPr>
        <w:t xml:space="preserve"> V, </w:t>
      </w:r>
      <w:proofErr w:type="spellStart"/>
      <w:r w:rsidRPr="00013066">
        <w:rPr>
          <w:rFonts w:ascii="Book Antiqua" w:eastAsia="宋体" w:hAnsi="Book Antiqua" w:cs="宋体"/>
          <w:sz w:val="24"/>
          <w:szCs w:val="24"/>
        </w:rPr>
        <w:t>Popescu</w:t>
      </w:r>
      <w:proofErr w:type="spellEnd"/>
      <w:r w:rsidRPr="00013066">
        <w:rPr>
          <w:rFonts w:ascii="Book Antiqua" w:eastAsia="宋体" w:hAnsi="Book Antiqua" w:cs="宋体"/>
          <w:sz w:val="24"/>
          <w:szCs w:val="24"/>
        </w:rPr>
        <w:t xml:space="preserve"> I, Anders R, Rubbia-Brandt L, Gigot JF, </w:t>
      </w:r>
      <w:proofErr w:type="spellStart"/>
      <w:r w:rsidRPr="00013066">
        <w:rPr>
          <w:rFonts w:ascii="Book Antiqua" w:eastAsia="宋体" w:hAnsi="Book Antiqua" w:cs="宋体"/>
          <w:sz w:val="24"/>
          <w:szCs w:val="24"/>
        </w:rPr>
        <w:t>Mentha</w:t>
      </w:r>
      <w:proofErr w:type="spellEnd"/>
      <w:r w:rsidRPr="00013066">
        <w:rPr>
          <w:rFonts w:ascii="Book Antiqua" w:eastAsia="宋体" w:hAnsi="Book Antiqua" w:cs="宋体"/>
          <w:sz w:val="24"/>
          <w:szCs w:val="24"/>
        </w:rPr>
        <w:t xml:space="preserve"> G, </w:t>
      </w:r>
      <w:proofErr w:type="spellStart"/>
      <w:r w:rsidRPr="00013066">
        <w:rPr>
          <w:rFonts w:ascii="Book Antiqua" w:eastAsia="宋体" w:hAnsi="Book Antiqua" w:cs="宋体"/>
          <w:sz w:val="24"/>
          <w:szCs w:val="24"/>
        </w:rPr>
        <w:t>Pawlik</w:t>
      </w:r>
      <w:proofErr w:type="spellEnd"/>
      <w:r w:rsidRPr="00013066">
        <w:rPr>
          <w:rFonts w:ascii="Book Antiqua" w:eastAsia="宋体" w:hAnsi="Book Antiqua" w:cs="宋体"/>
          <w:sz w:val="24"/>
          <w:szCs w:val="24"/>
        </w:rPr>
        <w:t xml:space="preserve"> TM. </w:t>
      </w:r>
      <w:proofErr w:type="gramStart"/>
      <w:r w:rsidRPr="00013066">
        <w:rPr>
          <w:rFonts w:ascii="Book Antiqua" w:eastAsia="宋体" w:hAnsi="Book Antiqua" w:cs="宋体"/>
          <w:sz w:val="24"/>
          <w:szCs w:val="24"/>
        </w:rPr>
        <w:t xml:space="preserve">Prevalence of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 xml:space="preserve"> among patients with </w:t>
      </w:r>
      <w:proofErr w:type="spellStart"/>
      <w:r w:rsidRPr="00013066">
        <w:rPr>
          <w:rFonts w:ascii="Book Antiqua" w:eastAsia="宋体" w:hAnsi="Book Antiqua" w:cs="宋体"/>
          <w:sz w:val="24"/>
          <w:szCs w:val="24"/>
        </w:rPr>
        <w:t>resectable</w:t>
      </w:r>
      <w:proofErr w:type="spellEnd"/>
      <w:r w:rsidRPr="00013066">
        <w:rPr>
          <w:rFonts w:ascii="Book Antiqua" w:eastAsia="宋体" w:hAnsi="Book Antiqua" w:cs="宋体"/>
          <w:sz w:val="24"/>
          <w:szCs w:val="24"/>
        </w:rPr>
        <w:t xml:space="preserve"> intrahepatic </w:t>
      </w:r>
      <w:proofErr w:type="spellStart"/>
      <w:r w:rsidRPr="00013066">
        <w:rPr>
          <w:rFonts w:ascii="Book Antiqua" w:eastAsia="宋体" w:hAnsi="Book Antiqua" w:cs="宋体"/>
          <w:sz w:val="24"/>
          <w:szCs w:val="24"/>
        </w:rPr>
        <w:t>cholangiocarcinoma</w:t>
      </w:r>
      <w:proofErr w:type="spellEnd"/>
      <w:r w:rsidRPr="00013066">
        <w:rPr>
          <w:rFonts w:ascii="Book Antiqua" w:eastAsia="宋体" w:hAnsi="Book Antiqua" w:cs="宋体"/>
          <w:sz w:val="24"/>
          <w:szCs w:val="24"/>
        </w:rPr>
        <w:t>.</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Gastrointest</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Surg</w:t>
      </w:r>
      <w:proofErr w:type="spellEnd"/>
      <w:r w:rsidRPr="00013066">
        <w:rPr>
          <w:rFonts w:ascii="Book Antiqua" w:eastAsia="宋体" w:hAnsi="Book Antiqua" w:cs="宋体"/>
          <w:sz w:val="24"/>
          <w:szCs w:val="24"/>
        </w:rPr>
        <w:t> 2013; </w:t>
      </w:r>
      <w:r w:rsidRPr="00013066">
        <w:rPr>
          <w:rFonts w:ascii="Book Antiqua" w:eastAsia="宋体" w:hAnsi="Book Antiqua" w:cs="宋体"/>
          <w:b/>
          <w:bCs/>
          <w:sz w:val="24"/>
          <w:szCs w:val="24"/>
        </w:rPr>
        <w:t>17</w:t>
      </w:r>
      <w:r w:rsidRPr="00013066">
        <w:rPr>
          <w:rFonts w:ascii="Book Antiqua" w:eastAsia="宋体" w:hAnsi="Book Antiqua" w:cs="宋体"/>
          <w:sz w:val="24"/>
          <w:szCs w:val="24"/>
        </w:rPr>
        <w:t>: 748-755 [PMID: 23355033 DOI: 10.1007/s11605-013-2149-x]</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12 </w:t>
      </w:r>
      <w:proofErr w:type="spellStart"/>
      <w:r w:rsidRPr="00013066">
        <w:rPr>
          <w:rFonts w:ascii="Book Antiqua" w:eastAsia="宋体" w:hAnsi="Book Antiqua" w:cs="宋体"/>
          <w:b/>
          <w:bCs/>
          <w:sz w:val="24"/>
          <w:szCs w:val="24"/>
        </w:rPr>
        <w:t>Welzel</w:t>
      </w:r>
      <w:proofErr w:type="spellEnd"/>
      <w:r w:rsidRPr="00013066">
        <w:rPr>
          <w:rFonts w:ascii="Book Antiqua" w:eastAsia="宋体" w:hAnsi="Book Antiqua" w:cs="宋体"/>
          <w:b/>
          <w:bCs/>
          <w:sz w:val="24"/>
          <w:szCs w:val="24"/>
        </w:rPr>
        <w:t xml:space="preserve"> TM</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Graubard</w:t>
      </w:r>
      <w:proofErr w:type="spellEnd"/>
      <w:r w:rsidRPr="00013066">
        <w:rPr>
          <w:rFonts w:ascii="Book Antiqua" w:eastAsia="宋体" w:hAnsi="Book Antiqua" w:cs="宋体"/>
          <w:sz w:val="24"/>
          <w:szCs w:val="24"/>
        </w:rPr>
        <w:t xml:space="preserve"> BI, </w:t>
      </w:r>
      <w:proofErr w:type="spellStart"/>
      <w:r w:rsidRPr="00013066">
        <w:rPr>
          <w:rFonts w:ascii="Book Antiqua" w:eastAsia="宋体" w:hAnsi="Book Antiqua" w:cs="宋体"/>
          <w:sz w:val="24"/>
          <w:szCs w:val="24"/>
        </w:rPr>
        <w:t>Zeuzem</w:t>
      </w:r>
      <w:proofErr w:type="spellEnd"/>
      <w:r w:rsidRPr="00013066">
        <w:rPr>
          <w:rFonts w:ascii="Book Antiqua" w:eastAsia="宋体" w:hAnsi="Book Antiqua" w:cs="宋体"/>
          <w:sz w:val="24"/>
          <w:szCs w:val="24"/>
        </w:rPr>
        <w:t xml:space="preserve"> S, El-</w:t>
      </w:r>
      <w:proofErr w:type="spellStart"/>
      <w:r w:rsidRPr="00013066">
        <w:rPr>
          <w:rFonts w:ascii="Book Antiqua" w:eastAsia="宋体" w:hAnsi="Book Antiqua" w:cs="宋体"/>
          <w:sz w:val="24"/>
          <w:szCs w:val="24"/>
        </w:rPr>
        <w:t>Serag</w:t>
      </w:r>
      <w:proofErr w:type="spellEnd"/>
      <w:r w:rsidRPr="00013066">
        <w:rPr>
          <w:rFonts w:ascii="Book Antiqua" w:eastAsia="宋体" w:hAnsi="Book Antiqua" w:cs="宋体"/>
          <w:sz w:val="24"/>
          <w:szCs w:val="24"/>
        </w:rPr>
        <w:t xml:space="preserve"> HB, Davila JA, </w:t>
      </w:r>
      <w:proofErr w:type="spellStart"/>
      <w:r w:rsidRPr="00013066">
        <w:rPr>
          <w:rFonts w:ascii="Book Antiqua" w:eastAsia="宋体" w:hAnsi="Book Antiqua" w:cs="宋体"/>
          <w:sz w:val="24"/>
          <w:szCs w:val="24"/>
        </w:rPr>
        <w:t>McGlynn</w:t>
      </w:r>
      <w:proofErr w:type="spellEnd"/>
      <w:r w:rsidRPr="00013066">
        <w:rPr>
          <w:rFonts w:ascii="Book Antiqua" w:eastAsia="宋体" w:hAnsi="Book Antiqua" w:cs="宋体"/>
          <w:sz w:val="24"/>
          <w:szCs w:val="24"/>
        </w:rPr>
        <w:t xml:space="preserve"> KA. Metabolic syndrome increases the risk of primary liver cancer in the United States: a study in the SEER-Medicare database. </w:t>
      </w:r>
      <w:proofErr w:type="spellStart"/>
      <w:r w:rsidRPr="00013066">
        <w:rPr>
          <w:rFonts w:ascii="Book Antiqua" w:eastAsia="宋体" w:hAnsi="Book Antiqua" w:cs="宋体"/>
          <w:i/>
          <w:iCs/>
          <w:sz w:val="24"/>
          <w:szCs w:val="24"/>
        </w:rPr>
        <w:t>Hepatology</w:t>
      </w:r>
      <w:proofErr w:type="spellEnd"/>
      <w:r w:rsidRPr="00013066">
        <w:rPr>
          <w:rFonts w:ascii="Book Antiqua" w:eastAsia="宋体" w:hAnsi="Book Antiqua" w:cs="宋体"/>
          <w:sz w:val="24"/>
          <w:szCs w:val="24"/>
        </w:rPr>
        <w:t> 2011; </w:t>
      </w:r>
      <w:r w:rsidRPr="00013066">
        <w:rPr>
          <w:rFonts w:ascii="Book Antiqua" w:eastAsia="宋体" w:hAnsi="Book Antiqua" w:cs="宋体"/>
          <w:b/>
          <w:bCs/>
          <w:sz w:val="24"/>
          <w:szCs w:val="24"/>
        </w:rPr>
        <w:t>54</w:t>
      </w:r>
      <w:r w:rsidRPr="00013066">
        <w:rPr>
          <w:rFonts w:ascii="Book Antiqua" w:eastAsia="宋体" w:hAnsi="Book Antiqua" w:cs="宋体"/>
          <w:sz w:val="24"/>
          <w:szCs w:val="24"/>
        </w:rPr>
        <w:t>: 463-471 [PMID: 21538440 DOI: 10.1002/hep.24397]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13 </w:t>
      </w:r>
      <w:r w:rsidRPr="00013066">
        <w:rPr>
          <w:rFonts w:ascii="Book Antiqua" w:eastAsia="宋体" w:hAnsi="Book Antiqua" w:cs="宋体"/>
          <w:b/>
          <w:bCs/>
          <w:sz w:val="24"/>
          <w:szCs w:val="24"/>
        </w:rPr>
        <w:t>Wong VW</w:t>
      </w:r>
      <w:r w:rsidRPr="00013066">
        <w:rPr>
          <w:rFonts w:ascii="Book Antiqua" w:eastAsia="宋体" w:hAnsi="Book Antiqua" w:cs="宋体"/>
          <w:sz w:val="24"/>
          <w:szCs w:val="24"/>
        </w:rPr>
        <w:t xml:space="preserve">, Wong GL, Tsang SW, Fan T, Chu WC, Woo J, Chan AW, Choi PC, </w:t>
      </w:r>
      <w:proofErr w:type="spellStart"/>
      <w:r w:rsidRPr="00013066">
        <w:rPr>
          <w:rFonts w:ascii="Book Antiqua" w:eastAsia="宋体" w:hAnsi="Book Antiqua" w:cs="宋体"/>
          <w:sz w:val="24"/>
          <w:szCs w:val="24"/>
        </w:rPr>
        <w:t>Chim</w:t>
      </w:r>
      <w:proofErr w:type="spellEnd"/>
      <w:r w:rsidRPr="00013066">
        <w:rPr>
          <w:rFonts w:ascii="Book Antiqua" w:eastAsia="宋体" w:hAnsi="Book Antiqua" w:cs="宋体"/>
          <w:sz w:val="24"/>
          <w:szCs w:val="24"/>
        </w:rPr>
        <w:t xml:space="preserve"> AM, Lau JY, Chan FK, Sung JJ, Chan HL. </w:t>
      </w:r>
      <w:proofErr w:type="gramStart"/>
      <w:r w:rsidRPr="00013066">
        <w:rPr>
          <w:rFonts w:ascii="Book Antiqua" w:eastAsia="宋体" w:hAnsi="Book Antiqua" w:cs="宋体"/>
          <w:sz w:val="24"/>
          <w:szCs w:val="24"/>
        </w:rPr>
        <w:t xml:space="preserve">High prevalence of colorectal neoplasm in patients with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Gut</w:t>
      </w:r>
      <w:r w:rsidRPr="00013066">
        <w:rPr>
          <w:rFonts w:ascii="Book Antiqua" w:eastAsia="宋体" w:hAnsi="Book Antiqua" w:cs="宋体"/>
          <w:sz w:val="24"/>
          <w:szCs w:val="24"/>
        </w:rPr>
        <w:t> 2011; </w:t>
      </w:r>
      <w:r w:rsidRPr="00013066">
        <w:rPr>
          <w:rFonts w:ascii="Book Antiqua" w:eastAsia="宋体" w:hAnsi="Book Antiqua" w:cs="宋体"/>
          <w:b/>
          <w:bCs/>
          <w:sz w:val="24"/>
          <w:szCs w:val="24"/>
        </w:rPr>
        <w:t>60</w:t>
      </w:r>
      <w:r w:rsidRPr="00013066">
        <w:rPr>
          <w:rFonts w:ascii="Book Antiqua" w:eastAsia="宋体" w:hAnsi="Book Antiqua" w:cs="宋体"/>
          <w:sz w:val="24"/>
          <w:szCs w:val="24"/>
        </w:rPr>
        <w:t>: 829-836 [PMID: 21339204 DOI: 10.1136/gut.2011.237974]</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14 </w:t>
      </w:r>
      <w:r w:rsidRPr="00013066">
        <w:rPr>
          <w:rFonts w:ascii="Book Antiqua" w:eastAsia="宋体" w:hAnsi="Book Antiqua" w:cs="宋体"/>
          <w:b/>
          <w:bCs/>
          <w:sz w:val="24"/>
          <w:szCs w:val="24"/>
        </w:rPr>
        <w:t>Shen Z</w:t>
      </w:r>
      <w:r w:rsidRPr="00013066">
        <w:rPr>
          <w:rFonts w:ascii="Book Antiqua" w:eastAsia="宋体" w:hAnsi="Book Antiqua" w:cs="宋体"/>
          <w:sz w:val="24"/>
          <w:szCs w:val="24"/>
        </w:rPr>
        <w:t>, Ye Y, Bin L, Yin M, Yang X, Jiang K, Wang S. Metabolic syndrome is an important factor for the evolution of prognosis of colorectal cancer: survival, recurrence, and liver metastasis. </w:t>
      </w:r>
      <w:r w:rsidRPr="00013066">
        <w:rPr>
          <w:rFonts w:ascii="Book Antiqua" w:eastAsia="宋体" w:hAnsi="Book Antiqua" w:cs="宋体"/>
          <w:i/>
          <w:iCs/>
          <w:sz w:val="24"/>
          <w:szCs w:val="24"/>
        </w:rPr>
        <w:t xml:space="preserve">Am J </w:t>
      </w:r>
      <w:proofErr w:type="spellStart"/>
      <w:r w:rsidRPr="00013066">
        <w:rPr>
          <w:rFonts w:ascii="Book Antiqua" w:eastAsia="宋体" w:hAnsi="Book Antiqua" w:cs="宋体"/>
          <w:i/>
          <w:iCs/>
          <w:sz w:val="24"/>
          <w:szCs w:val="24"/>
        </w:rPr>
        <w:t>Surg</w:t>
      </w:r>
      <w:proofErr w:type="spellEnd"/>
      <w:r w:rsidRPr="00013066">
        <w:rPr>
          <w:rFonts w:ascii="Book Antiqua" w:eastAsia="宋体" w:hAnsi="Book Antiqua" w:cs="宋体"/>
          <w:sz w:val="24"/>
          <w:szCs w:val="24"/>
        </w:rPr>
        <w:t> 2010; </w:t>
      </w:r>
      <w:r w:rsidRPr="00013066">
        <w:rPr>
          <w:rFonts w:ascii="Book Antiqua" w:eastAsia="宋体" w:hAnsi="Book Antiqua" w:cs="宋体"/>
          <w:b/>
          <w:bCs/>
          <w:sz w:val="24"/>
          <w:szCs w:val="24"/>
        </w:rPr>
        <w:t>200</w:t>
      </w:r>
      <w:r w:rsidRPr="00013066">
        <w:rPr>
          <w:rFonts w:ascii="Book Antiqua" w:eastAsia="宋体" w:hAnsi="Book Antiqua" w:cs="宋体"/>
          <w:sz w:val="24"/>
          <w:szCs w:val="24"/>
        </w:rPr>
        <w:t>: 59-63 [PMID: 20074697 DOI: 10.1016/j.amjsurg.2009.05.005]</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15 </w:t>
      </w:r>
      <w:proofErr w:type="spellStart"/>
      <w:r w:rsidRPr="00013066">
        <w:rPr>
          <w:rFonts w:ascii="Book Antiqua" w:eastAsia="宋体" w:hAnsi="Book Antiqua" w:cs="宋体"/>
          <w:b/>
          <w:bCs/>
          <w:sz w:val="24"/>
          <w:szCs w:val="24"/>
        </w:rPr>
        <w:t>Cotrim</w:t>
      </w:r>
      <w:proofErr w:type="spellEnd"/>
      <w:r w:rsidRPr="00013066">
        <w:rPr>
          <w:rFonts w:ascii="Book Antiqua" w:eastAsia="宋体" w:hAnsi="Book Antiqua" w:cs="宋体"/>
          <w:b/>
          <w:bCs/>
          <w:sz w:val="24"/>
          <w:szCs w:val="24"/>
        </w:rPr>
        <w:t xml:space="preserve"> HP</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Parise</w:t>
      </w:r>
      <w:proofErr w:type="spellEnd"/>
      <w:r w:rsidRPr="00013066">
        <w:rPr>
          <w:rFonts w:ascii="Book Antiqua" w:eastAsia="宋体" w:hAnsi="Book Antiqua" w:cs="宋体"/>
          <w:sz w:val="24"/>
          <w:szCs w:val="24"/>
        </w:rPr>
        <w:t xml:space="preserve"> ER, Oliveira CP, </w:t>
      </w:r>
      <w:proofErr w:type="spellStart"/>
      <w:r w:rsidRPr="00013066">
        <w:rPr>
          <w:rFonts w:ascii="Book Antiqua" w:eastAsia="宋体" w:hAnsi="Book Antiqua" w:cs="宋体"/>
          <w:sz w:val="24"/>
          <w:szCs w:val="24"/>
        </w:rPr>
        <w:t>Leite</w:t>
      </w:r>
      <w:proofErr w:type="spellEnd"/>
      <w:r w:rsidRPr="00013066">
        <w:rPr>
          <w:rFonts w:ascii="Book Antiqua" w:eastAsia="宋体" w:hAnsi="Book Antiqua" w:cs="宋体"/>
          <w:sz w:val="24"/>
          <w:szCs w:val="24"/>
        </w:rPr>
        <w:t xml:space="preserve"> N, </w:t>
      </w:r>
      <w:proofErr w:type="spellStart"/>
      <w:r w:rsidRPr="00013066">
        <w:rPr>
          <w:rFonts w:ascii="Book Antiqua" w:eastAsia="宋体" w:hAnsi="Book Antiqua" w:cs="宋体"/>
          <w:sz w:val="24"/>
          <w:szCs w:val="24"/>
        </w:rPr>
        <w:t>Martinelli</w:t>
      </w:r>
      <w:proofErr w:type="spellEnd"/>
      <w:r w:rsidRPr="00013066">
        <w:rPr>
          <w:rFonts w:ascii="Book Antiqua" w:eastAsia="宋体" w:hAnsi="Book Antiqua" w:cs="宋体"/>
          <w:sz w:val="24"/>
          <w:szCs w:val="24"/>
        </w:rPr>
        <w:t xml:space="preserve"> A, </w:t>
      </w:r>
      <w:proofErr w:type="spellStart"/>
      <w:r w:rsidRPr="00013066">
        <w:rPr>
          <w:rFonts w:ascii="Book Antiqua" w:eastAsia="宋体" w:hAnsi="Book Antiqua" w:cs="宋体"/>
          <w:sz w:val="24"/>
          <w:szCs w:val="24"/>
        </w:rPr>
        <w:t>Galizzi</w:t>
      </w:r>
      <w:proofErr w:type="spellEnd"/>
      <w:r w:rsidRPr="00013066">
        <w:rPr>
          <w:rFonts w:ascii="Book Antiqua" w:eastAsia="宋体" w:hAnsi="Book Antiqua" w:cs="宋体"/>
          <w:sz w:val="24"/>
          <w:szCs w:val="24"/>
        </w:rPr>
        <w:t xml:space="preserve"> J, Silva </w:t>
      </w:r>
      <w:proofErr w:type="spellStart"/>
      <w:r w:rsidRPr="00013066">
        <w:rPr>
          <w:rFonts w:ascii="Book Antiqua" w:eastAsia="宋体" w:hAnsi="Book Antiqua" w:cs="宋体"/>
          <w:sz w:val="24"/>
          <w:szCs w:val="24"/>
        </w:rPr>
        <w:t>Rde</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Mattos</w:t>
      </w:r>
      <w:proofErr w:type="spellEnd"/>
      <w:r w:rsidRPr="00013066">
        <w:rPr>
          <w:rFonts w:ascii="Book Antiqua" w:eastAsia="宋体" w:hAnsi="Book Antiqua" w:cs="宋体"/>
          <w:sz w:val="24"/>
          <w:szCs w:val="24"/>
        </w:rPr>
        <w:t xml:space="preserve"> A, Pereira L, </w:t>
      </w:r>
      <w:proofErr w:type="spellStart"/>
      <w:r w:rsidRPr="00013066">
        <w:rPr>
          <w:rFonts w:ascii="Book Antiqua" w:eastAsia="宋体" w:hAnsi="Book Antiqua" w:cs="宋体"/>
          <w:sz w:val="24"/>
          <w:szCs w:val="24"/>
        </w:rPr>
        <w:t>Amorim</w:t>
      </w:r>
      <w:proofErr w:type="spellEnd"/>
      <w:r w:rsidRPr="00013066">
        <w:rPr>
          <w:rFonts w:ascii="Book Antiqua" w:eastAsia="宋体" w:hAnsi="Book Antiqua" w:cs="宋体"/>
          <w:sz w:val="24"/>
          <w:szCs w:val="24"/>
        </w:rPr>
        <w:t xml:space="preserve"> W, </w:t>
      </w:r>
      <w:proofErr w:type="spellStart"/>
      <w:r w:rsidRPr="00013066">
        <w:rPr>
          <w:rFonts w:ascii="Book Antiqua" w:eastAsia="宋体" w:hAnsi="Book Antiqua" w:cs="宋体"/>
          <w:sz w:val="24"/>
          <w:szCs w:val="24"/>
        </w:rPr>
        <w:t>Ivantes</w:t>
      </w:r>
      <w:proofErr w:type="spellEnd"/>
      <w:r w:rsidRPr="00013066">
        <w:rPr>
          <w:rFonts w:ascii="Book Antiqua" w:eastAsia="宋体" w:hAnsi="Book Antiqua" w:cs="宋体"/>
          <w:sz w:val="24"/>
          <w:szCs w:val="24"/>
        </w:rPr>
        <w:t xml:space="preserve"> C, Souza F, Costa M, Maia L, Pessoa M, Oliveira F. Nonalcoholic fatty liver disease in Brazil. </w:t>
      </w:r>
      <w:proofErr w:type="gramStart"/>
      <w:r w:rsidRPr="00013066">
        <w:rPr>
          <w:rFonts w:ascii="Book Antiqua" w:eastAsia="宋体" w:hAnsi="Book Antiqua" w:cs="宋体"/>
          <w:sz w:val="24"/>
          <w:szCs w:val="24"/>
        </w:rPr>
        <w:t>Clinical and histological profile.</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Ann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2011</w:t>
      </w:r>
      <w:r w:rsidRPr="00013066">
        <w:rPr>
          <w:rFonts w:ascii="Book Antiqua" w:eastAsia="宋体" w:hAnsi="Book Antiqua" w:cs="宋体"/>
          <w:sz w:val="24"/>
          <w:szCs w:val="24"/>
        </w:rPr>
        <w:t>; </w:t>
      </w:r>
      <w:r w:rsidRPr="00013066">
        <w:rPr>
          <w:rFonts w:ascii="Book Antiqua" w:eastAsia="宋体" w:hAnsi="Book Antiqua" w:cs="宋体"/>
          <w:b/>
          <w:bCs/>
          <w:sz w:val="24"/>
          <w:szCs w:val="24"/>
        </w:rPr>
        <w:t>10</w:t>
      </w:r>
      <w:r w:rsidRPr="00013066">
        <w:rPr>
          <w:rFonts w:ascii="Book Antiqua" w:eastAsia="宋体" w:hAnsi="Book Antiqua" w:cs="宋体"/>
          <w:sz w:val="24"/>
          <w:szCs w:val="24"/>
        </w:rPr>
        <w:t>: 33-37 [PMID: 21301007]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16 </w:t>
      </w:r>
      <w:proofErr w:type="spellStart"/>
      <w:r w:rsidRPr="00013066">
        <w:rPr>
          <w:rFonts w:ascii="Book Antiqua" w:eastAsia="宋体" w:hAnsi="Book Antiqua" w:cs="宋体"/>
          <w:b/>
          <w:bCs/>
          <w:sz w:val="24"/>
          <w:szCs w:val="24"/>
        </w:rPr>
        <w:t>Kleiner</w:t>
      </w:r>
      <w:proofErr w:type="spellEnd"/>
      <w:r w:rsidRPr="00013066">
        <w:rPr>
          <w:rFonts w:ascii="Book Antiqua" w:eastAsia="宋体" w:hAnsi="Book Antiqua" w:cs="宋体"/>
          <w:b/>
          <w:bCs/>
          <w:sz w:val="24"/>
          <w:szCs w:val="24"/>
        </w:rPr>
        <w:t xml:space="preserve"> DE</w:t>
      </w:r>
      <w:r w:rsidRPr="00013066">
        <w:rPr>
          <w:rFonts w:ascii="Book Antiqua" w:eastAsia="宋体" w:hAnsi="Book Antiqua" w:cs="宋体"/>
          <w:sz w:val="24"/>
          <w:szCs w:val="24"/>
        </w:rPr>
        <w:t xml:space="preserve">, Brunt EM, Van Natta M, </w:t>
      </w:r>
      <w:proofErr w:type="spellStart"/>
      <w:r w:rsidRPr="00013066">
        <w:rPr>
          <w:rFonts w:ascii="Book Antiqua" w:eastAsia="宋体" w:hAnsi="Book Antiqua" w:cs="宋体"/>
          <w:sz w:val="24"/>
          <w:szCs w:val="24"/>
        </w:rPr>
        <w:t>Behling</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Contos</w:t>
      </w:r>
      <w:proofErr w:type="spellEnd"/>
      <w:r w:rsidRPr="00013066">
        <w:rPr>
          <w:rFonts w:ascii="Book Antiqua" w:eastAsia="宋体" w:hAnsi="Book Antiqua" w:cs="宋体"/>
          <w:sz w:val="24"/>
          <w:szCs w:val="24"/>
        </w:rPr>
        <w:t xml:space="preserve"> MJ, Cummings OW, Ferrell LD, Liu YC, </w:t>
      </w:r>
      <w:proofErr w:type="spellStart"/>
      <w:r w:rsidRPr="00013066">
        <w:rPr>
          <w:rFonts w:ascii="Book Antiqua" w:eastAsia="宋体" w:hAnsi="Book Antiqua" w:cs="宋体"/>
          <w:sz w:val="24"/>
          <w:szCs w:val="24"/>
        </w:rPr>
        <w:t>Torbenson</w:t>
      </w:r>
      <w:proofErr w:type="spellEnd"/>
      <w:r w:rsidRPr="00013066">
        <w:rPr>
          <w:rFonts w:ascii="Book Antiqua" w:eastAsia="宋体" w:hAnsi="Book Antiqua" w:cs="宋体"/>
          <w:sz w:val="24"/>
          <w:szCs w:val="24"/>
        </w:rPr>
        <w:t xml:space="preserve"> MS, </w:t>
      </w:r>
      <w:proofErr w:type="spellStart"/>
      <w:r w:rsidRPr="00013066">
        <w:rPr>
          <w:rFonts w:ascii="Book Antiqua" w:eastAsia="宋体" w:hAnsi="Book Antiqua" w:cs="宋体"/>
          <w:sz w:val="24"/>
          <w:szCs w:val="24"/>
        </w:rPr>
        <w:t>Unalp-Arida</w:t>
      </w:r>
      <w:proofErr w:type="spellEnd"/>
      <w:r w:rsidRPr="00013066">
        <w:rPr>
          <w:rFonts w:ascii="Book Antiqua" w:eastAsia="宋体" w:hAnsi="Book Antiqua" w:cs="宋体"/>
          <w:sz w:val="24"/>
          <w:szCs w:val="24"/>
        </w:rPr>
        <w:t xml:space="preserve"> A, </w:t>
      </w:r>
      <w:proofErr w:type="spellStart"/>
      <w:r w:rsidRPr="00013066">
        <w:rPr>
          <w:rFonts w:ascii="Book Antiqua" w:eastAsia="宋体" w:hAnsi="Book Antiqua" w:cs="宋体"/>
          <w:sz w:val="24"/>
          <w:szCs w:val="24"/>
        </w:rPr>
        <w:t>Yeh</w:t>
      </w:r>
      <w:proofErr w:type="spellEnd"/>
      <w:r w:rsidRPr="00013066">
        <w:rPr>
          <w:rFonts w:ascii="Book Antiqua" w:eastAsia="宋体" w:hAnsi="Book Antiqua" w:cs="宋体"/>
          <w:sz w:val="24"/>
          <w:szCs w:val="24"/>
        </w:rPr>
        <w:t xml:space="preserve"> M, McCullough AJ, </w:t>
      </w:r>
      <w:proofErr w:type="spellStart"/>
      <w:r w:rsidRPr="00013066">
        <w:rPr>
          <w:rFonts w:ascii="Book Antiqua" w:eastAsia="宋体" w:hAnsi="Book Antiqua" w:cs="宋体"/>
          <w:sz w:val="24"/>
          <w:szCs w:val="24"/>
        </w:rPr>
        <w:t>Sanyal</w:t>
      </w:r>
      <w:proofErr w:type="spellEnd"/>
      <w:r w:rsidRPr="00013066">
        <w:rPr>
          <w:rFonts w:ascii="Book Antiqua" w:eastAsia="宋体" w:hAnsi="Book Antiqua" w:cs="宋体"/>
          <w:sz w:val="24"/>
          <w:szCs w:val="24"/>
        </w:rPr>
        <w:t xml:space="preserve"> AJ. </w:t>
      </w:r>
      <w:proofErr w:type="gramStart"/>
      <w:r w:rsidRPr="00013066">
        <w:rPr>
          <w:rFonts w:ascii="Book Antiqua" w:eastAsia="宋体" w:hAnsi="Book Antiqua" w:cs="宋体"/>
          <w:sz w:val="24"/>
          <w:szCs w:val="24"/>
        </w:rPr>
        <w:t>Design and validation of a histological scoring system for nonalcoholic fatty liver disease.</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Hepatology</w:t>
      </w:r>
      <w:proofErr w:type="spellEnd"/>
      <w:r w:rsidRPr="00013066">
        <w:rPr>
          <w:rFonts w:ascii="Book Antiqua" w:eastAsia="宋体" w:hAnsi="Book Antiqua" w:cs="宋体"/>
          <w:sz w:val="24"/>
          <w:szCs w:val="24"/>
        </w:rPr>
        <w:t> 2005; </w:t>
      </w:r>
      <w:r w:rsidRPr="00013066">
        <w:rPr>
          <w:rFonts w:ascii="Book Antiqua" w:eastAsia="宋体" w:hAnsi="Book Antiqua" w:cs="宋体"/>
          <w:b/>
          <w:bCs/>
          <w:sz w:val="24"/>
          <w:szCs w:val="24"/>
        </w:rPr>
        <w:t>41</w:t>
      </w:r>
      <w:r w:rsidRPr="00013066">
        <w:rPr>
          <w:rFonts w:ascii="Book Antiqua" w:eastAsia="宋体" w:hAnsi="Book Antiqua" w:cs="宋体"/>
          <w:sz w:val="24"/>
          <w:szCs w:val="24"/>
        </w:rPr>
        <w:t>: 1313-1321 [PMID: 15915461 DOI: 10.1002/hep.20701]</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lastRenderedPageBreak/>
        <w:t>17 </w:t>
      </w:r>
      <w:r w:rsidRPr="00013066">
        <w:rPr>
          <w:rFonts w:ascii="Book Antiqua" w:eastAsia="宋体" w:hAnsi="Book Antiqua" w:cs="宋体"/>
          <w:b/>
          <w:bCs/>
          <w:sz w:val="24"/>
          <w:szCs w:val="24"/>
        </w:rPr>
        <w:t xml:space="preserve">de </w:t>
      </w:r>
      <w:proofErr w:type="spellStart"/>
      <w:r w:rsidRPr="00013066">
        <w:rPr>
          <w:rFonts w:ascii="Book Antiqua" w:eastAsia="宋体" w:hAnsi="Book Antiqua" w:cs="宋体"/>
          <w:b/>
          <w:bCs/>
          <w:sz w:val="24"/>
          <w:szCs w:val="24"/>
        </w:rPr>
        <w:t>Alwis</w:t>
      </w:r>
      <w:proofErr w:type="spellEnd"/>
      <w:r w:rsidRPr="00013066">
        <w:rPr>
          <w:rFonts w:ascii="Book Antiqua" w:eastAsia="宋体" w:hAnsi="Book Antiqua" w:cs="宋体"/>
          <w:b/>
          <w:bCs/>
          <w:sz w:val="24"/>
          <w:szCs w:val="24"/>
        </w:rPr>
        <w:t xml:space="preserve"> NM</w:t>
      </w:r>
      <w:r w:rsidRPr="00013066">
        <w:rPr>
          <w:rFonts w:ascii="Book Antiqua" w:eastAsia="宋体" w:hAnsi="Book Antiqua" w:cs="宋体"/>
          <w:sz w:val="24"/>
          <w:szCs w:val="24"/>
        </w:rPr>
        <w:t>, Day CP. Non-alcoholic fatty liver disease: the mist gradually clears.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2008; </w:t>
      </w:r>
      <w:r w:rsidRPr="00013066">
        <w:rPr>
          <w:rFonts w:ascii="Book Antiqua" w:eastAsia="宋体" w:hAnsi="Book Antiqua" w:cs="宋体"/>
          <w:b/>
          <w:bCs/>
          <w:sz w:val="24"/>
          <w:szCs w:val="24"/>
        </w:rPr>
        <w:t xml:space="preserve">48 </w:t>
      </w:r>
      <w:proofErr w:type="spellStart"/>
      <w:r w:rsidRPr="00013066">
        <w:rPr>
          <w:rFonts w:ascii="Book Antiqua" w:eastAsia="宋体" w:hAnsi="Book Antiqua" w:cs="宋体"/>
          <w:bCs/>
          <w:sz w:val="24"/>
          <w:szCs w:val="24"/>
        </w:rPr>
        <w:t>Suppl</w:t>
      </w:r>
      <w:proofErr w:type="spellEnd"/>
      <w:r w:rsidRPr="00013066">
        <w:rPr>
          <w:rFonts w:ascii="Book Antiqua" w:eastAsia="宋体" w:hAnsi="Book Antiqua" w:cs="宋体"/>
          <w:bCs/>
          <w:sz w:val="24"/>
          <w:szCs w:val="24"/>
        </w:rPr>
        <w:t xml:space="preserve"> 1</w:t>
      </w:r>
      <w:r w:rsidRPr="00013066">
        <w:rPr>
          <w:rFonts w:ascii="Book Antiqua" w:eastAsia="宋体" w:hAnsi="Book Antiqua" w:cs="宋体"/>
          <w:sz w:val="24"/>
          <w:szCs w:val="24"/>
        </w:rPr>
        <w:t>: S104-S112 [PMID: 18304679 DOI: 10.1016/j.jhep.2008.01.009]</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18 </w:t>
      </w:r>
      <w:proofErr w:type="spellStart"/>
      <w:r w:rsidRPr="00013066">
        <w:rPr>
          <w:rFonts w:ascii="Book Antiqua" w:eastAsia="宋体" w:hAnsi="Book Antiqua" w:cs="宋体"/>
          <w:b/>
          <w:bCs/>
          <w:sz w:val="24"/>
          <w:szCs w:val="24"/>
        </w:rPr>
        <w:t>Ascha</w:t>
      </w:r>
      <w:proofErr w:type="spellEnd"/>
      <w:r w:rsidRPr="00013066">
        <w:rPr>
          <w:rFonts w:ascii="Book Antiqua" w:eastAsia="宋体" w:hAnsi="Book Antiqua" w:cs="宋体"/>
          <w:b/>
          <w:bCs/>
          <w:sz w:val="24"/>
          <w:szCs w:val="24"/>
        </w:rPr>
        <w:t xml:space="preserve"> MS</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Hanouneh</w:t>
      </w:r>
      <w:proofErr w:type="spellEnd"/>
      <w:r w:rsidRPr="00013066">
        <w:rPr>
          <w:rFonts w:ascii="Book Antiqua" w:eastAsia="宋体" w:hAnsi="Book Antiqua" w:cs="宋体"/>
          <w:sz w:val="24"/>
          <w:szCs w:val="24"/>
        </w:rPr>
        <w:t xml:space="preserve"> IA, Lopez R, </w:t>
      </w:r>
      <w:proofErr w:type="spellStart"/>
      <w:r w:rsidRPr="00013066">
        <w:rPr>
          <w:rFonts w:ascii="Book Antiqua" w:eastAsia="宋体" w:hAnsi="Book Antiqua" w:cs="宋体"/>
          <w:sz w:val="24"/>
          <w:szCs w:val="24"/>
        </w:rPr>
        <w:t>Tamimi</w:t>
      </w:r>
      <w:proofErr w:type="spellEnd"/>
      <w:r w:rsidRPr="00013066">
        <w:rPr>
          <w:rFonts w:ascii="Book Antiqua" w:eastAsia="宋体" w:hAnsi="Book Antiqua" w:cs="宋体"/>
          <w:sz w:val="24"/>
          <w:szCs w:val="24"/>
        </w:rPr>
        <w:t xml:space="preserve"> TA, Feldstein AF, </w:t>
      </w:r>
      <w:proofErr w:type="spellStart"/>
      <w:r w:rsidRPr="00013066">
        <w:rPr>
          <w:rFonts w:ascii="Book Antiqua" w:eastAsia="宋体" w:hAnsi="Book Antiqua" w:cs="宋体"/>
          <w:sz w:val="24"/>
          <w:szCs w:val="24"/>
        </w:rPr>
        <w:t>Zein</w:t>
      </w:r>
      <w:proofErr w:type="spellEnd"/>
      <w:r w:rsidRPr="00013066">
        <w:rPr>
          <w:rFonts w:ascii="Book Antiqua" w:eastAsia="宋体" w:hAnsi="Book Antiqua" w:cs="宋体"/>
          <w:sz w:val="24"/>
          <w:szCs w:val="24"/>
        </w:rPr>
        <w:t xml:space="preserve"> NN.</w:t>
      </w:r>
      <w:proofErr w:type="gramEnd"/>
      <w:r w:rsidRPr="00013066">
        <w:rPr>
          <w:rFonts w:ascii="Book Antiqua" w:eastAsia="宋体" w:hAnsi="Book Antiqua" w:cs="宋体"/>
          <w:sz w:val="24"/>
          <w:szCs w:val="24"/>
        </w:rPr>
        <w:t xml:space="preserve"> </w:t>
      </w:r>
      <w:proofErr w:type="gramStart"/>
      <w:r w:rsidRPr="00013066">
        <w:rPr>
          <w:rFonts w:ascii="Book Antiqua" w:eastAsia="宋体" w:hAnsi="Book Antiqua" w:cs="宋体"/>
          <w:sz w:val="24"/>
          <w:szCs w:val="24"/>
        </w:rPr>
        <w:t xml:space="preserve">The incidence and risk factors of hepatocellular carcinoma in patients with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Hepatology</w:t>
      </w:r>
      <w:proofErr w:type="spellEnd"/>
      <w:r w:rsidRPr="00013066">
        <w:rPr>
          <w:rFonts w:ascii="Book Antiqua" w:eastAsia="宋体" w:hAnsi="Book Antiqua" w:cs="宋体"/>
          <w:sz w:val="24"/>
          <w:szCs w:val="24"/>
        </w:rPr>
        <w:t> 2010; </w:t>
      </w:r>
      <w:r w:rsidRPr="00013066">
        <w:rPr>
          <w:rFonts w:ascii="Book Antiqua" w:eastAsia="宋体" w:hAnsi="Book Antiqua" w:cs="宋体"/>
          <w:b/>
          <w:bCs/>
          <w:sz w:val="24"/>
          <w:szCs w:val="24"/>
        </w:rPr>
        <w:t>51</w:t>
      </w:r>
      <w:r w:rsidRPr="00013066">
        <w:rPr>
          <w:rFonts w:ascii="Book Antiqua" w:eastAsia="宋体" w:hAnsi="Book Antiqua" w:cs="宋体"/>
          <w:sz w:val="24"/>
          <w:szCs w:val="24"/>
        </w:rPr>
        <w:t>: 1972-1978 [PMID: 20209604 DOI: 10.1002/hep.23527]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19 </w:t>
      </w:r>
      <w:proofErr w:type="spellStart"/>
      <w:r w:rsidRPr="00013066">
        <w:rPr>
          <w:rFonts w:ascii="Book Antiqua" w:eastAsia="宋体" w:hAnsi="Book Antiqua" w:cs="宋体"/>
          <w:b/>
          <w:bCs/>
          <w:sz w:val="24"/>
          <w:szCs w:val="24"/>
        </w:rPr>
        <w:t>Yatsuji</w:t>
      </w:r>
      <w:proofErr w:type="spellEnd"/>
      <w:r w:rsidRPr="00013066">
        <w:rPr>
          <w:rFonts w:ascii="Book Antiqua" w:eastAsia="宋体" w:hAnsi="Book Antiqua" w:cs="宋体"/>
          <w:b/>
          <w:bCs/>
          <w:sz w:val="24"/>
          <w:szCs w:val="24"/>
        </w:rPr>
        <w:t xml:space="preserve"> S</w:t>
      </w:r>
      <w:r w:rsidRPr="00013066">
        <w:rPr>
          <w:rFonts w:ascii="Book Antiqua" w:eastAsia="宋体" w:hAnsi="Book Antiqua" w:cs="宋体"/>
          <w:sz w:val="24"/>
          <w:szCs w:val="24"/>
        </w:rPr>
        <w:t xml:space="preserve">, Hashimoto E, </w:t>
      </w:r>
      <w:proofErr w:type="spellStart"/>
      <w:r w:rsidRPr="00013066">
        <w:rPr>
          <w:rFonts w:ascii="Book Antiqua" w:eastAsia="宋体" w:hAnsi="Book Antiqua" w:cs="宋体"/>
          <w:sz w:val="24"/>
          <w:szCs w:val="24"/>
        </w:rPr>
        <w:t>Tobari</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Taniai</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Tokushige</w:t>
      </w:r>
      <w:proofErr w:type="spellEnd"/>
      <w:r w:rsidRPr="00013066">
        <w:rPr>
          <w:rFonts w:ascii="Book Antiqua" w:eastAsia="宋体" w:hAnsi="Book Antiqua" w:cs="宋体"/>
          <w:sz w:val="24"/>
          <w:szCs w:val="24"/>
        </w:rPr>
        <w:t xml:space="preserve"> K, </w:t>
      </w:r>
      <w:proofErr w:type="spellStart"/>
      <w:r w:rsidRPr="00013066">
        <w:rPr>
          <w:rFonts w:ascii="Book Antiqua" w:eastAsia="宋体" w:hAnsi="Book Antiqua" w:cs="宋体"/>
          <w:sz w:val="24"/>
          <w:szCs w:val="24"/>
        </w:rPr>
        <w:t>Shiratori</w:t>
      </w:r>
      <w:proofErr w:type="spellEnd"/>
      <w:r w:rsidRPr="00013066">
        <w:rPr>
          <w:rFonts w:ascii="Book Antiqua" w:eastAsia="宋体" w:hAnsi="Book Antiqua" w:cs="宋体"/>
          <w:sz w:val="24"/>
          <w:szCs w:val="24"/>
        </w:rPr>
        <w:t xml:space="preserve"> K. Clinical features and outcomes of cirrhosis due to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 xml:space="preserve"> compared with cirrhosis caused by chronic hepatitis C.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Gastroenterol</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2009; </w:t>
      </w:r>
      <w:r w:rsidRPr="00013066">
        <w:rPr>
          <w:rFonts w:ascii="Book Antiqua" w:eastAsia="宋体" w:hAnsi="Book Antiqua" w:cs="宋体"/>
          <w:b/>
          <w:bCs/>
          <w:sz w:val="24"/>
          <w:szCs w:val="24"/>
        </w:rPr>
        <w:t>24</w:t>
      </w:r>
      <w:r w:rsidRPr="00013066">
        <w:rPr>
          <w:rFonts w:ascii="Book Antiqua" w:eastAsia="宋体" w:hAnsi="Book Antiqua" w:cs="宋体"/>
          <w:sz w:val="24"/>
          <w:szCs w:val="24"/>
        </w:rPr>
        <w:t>: 248-254 [PMID: 19032450 DOI: 10.1111/j.1440-1746.2008.05640.x]</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20 </w:t>
      </w:r>
      <w:proofErr w:type="spellStart"/>
      <w:r w:rsidRPr="00013066">
        <w:rPr>
          <w:rFonts w:ascii="Book Antiqua" w:eastAsia="宋体" w:hAnsi="Book Antiqua" w:cs="宋体"/>
          <w:b/>
          <w:bCs/>
          <w:sz w:val="24"/>
          <w:szCs w:val="24"/>
        </w:rPr>
        <w:t>Hamady</w:t>
      </w:r>
      <w:proofErr w:type="spellEnd"/>
      <w:r w:rsidRPr="00013066">
        <w:rPr>
          <w:rFonts w:ascii="Book Antiqua" w:eastAsia="宋体" w:hAnsi="Book Antiqua" w:cs="宋体"/>
          <w:b/>
          <w:bCs/>
          <w:sz w:val="24"/>
          <w:szCs w:val="24"/>
        </w:rPr>
        <w:t xml:space="preserve"> ZZ</w:t>
      </w:r>
      <w:r w:rsidRPr="00013066">
        <w:rPr>
          <w:rFonts w:ascii="Book Antiqua" w:eastAsia="宋体" w:hAnsi="Book Antiqua" w:cs="宋体"/>
          <w:sz w:val="24"/>
          <w:szCs w:val="24"/>
        </w:rPr>
        <w:t xml:space="preserve">, Rees M, Welsh FK, </w:t>
      </w:r>
      <w:proofErr w:type="spellStart"/>
      <w:r w:rsidRPr="00013066">
        <w:rPr>
          <w:rFonts w:ascii="Book Antiqua" w:eastAsia="宋体" w:hAnsi="Book Antiqua" w:cs="宋体"/>
          <w:sz w:val="24"/>
          <w:szCs w:val="24"/>
        </w:rPr>
        <w:t>Toogood</w:t>
      </w:r>
      <w:proofErr w:type="spellEnd"/>
      <w:r w:rsidRPr="00013066">
        <w:rPr>
          <w:rFonts w:ascii="Book Antiqua" w:eastAsia="宋体" w:hAnsi="Book Antiqua" w:cs="宋体"/>
          <w:sz w:val="24"/>
          <w:szCs w:val="24"/>
        </w:rPr>
        <w:t xml:space="preserve"> GJ, Prasad KR, John TK, Lodge JP. </w:t>
      </w:r>
      <w:proofErr w:type="gramStart"/>
      <w:r w:rsidRPr="00013066">
        <w:rPr>
          <w:rFonts w:ascii="Book Antiqua" w:eastAsia="宋体" w:hAnsi="Book Antiqua" w:cs="宋体"/>
          <w:sz w:val="24"/>
          <w:szCs w:val="24"/>
        </w:rPr>
        <w:t>Fatty liver disease as a predictor of local recurrence following resection of colorectal liver metastases.</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Br J </w:t>
      </w:r>
      <w:proofErr w:type="spellStart"/>
      <w:r w:rsidRPr="00013066">
        <w:rPr>
          <w:rFonts w:ascii="Book Antiqua" w:eastAsia="宋体" w:hAnsi="Book Antiqua" w:cs="宋体"/>
          <w:i/>
          <w:iCs/>
          <w:sz w:val="24"/>
          <w:szCs w:val="24"/>
        </w:rPr>
        <w:t>Surg</w:t>
      </w:r>
      <w:proofErr w:type="spellEnd"/>
      <w:r w:rsidRPr="00013066">
        <w:rPr>
          <w:rFonts w:ascii="Book Antiqua" w:eastAsia="宋体" w:hAnsi="Book Antiqua" w:cs="宋体"/>
          <w:sz w:val="24"/>
          <w:szCs w:val="24"/>
        </w:rPr>
        <w:t> 2013; </w:t>
      </w:r>
      <w:r w:rsidRPr="00013066">
        <w:rPr>
          <w:rFonts w:ascii="Book Antiqua" w:eastAsia="宋体" w:hAnsi="Book Antiqua" w:cs="宋体"/>
          <w:b/>
          <w:bCs/>
          <w:sz w:val="24"/>
          <w:szCs w:val="24"/>
        </w:rPr>
        <w:t>100</w:t>
      </w:r>
      <w:r w:rsidRPr="00013066">
        <w:rPr>
          <w:rFonts w:ascii="Book Antiqua" w:eastAsia="宋体" w:hAnsi="Book Antiqua" w:cs="宋体"/>
          <w:sz w:val="24"/>
          <w:szCs w:val="24"/>
        </w:rPr>
        <w:t>: 820-826 [PMID: 23354994 DOI: 10.1002/bjs.9057]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21 </w:t>
      </w:r>
      <w:proofErr w:type="spellStart"/>
      <w:r w:rsidRPr="00013066">
        <w:rPr>
          <w:rFonts w:ascii="Book Antiqua" w:eastAsia="宋体" w:hAnsi="Book Antiqua" w:cs="宋体"/>
          <w:b/>
          <w:bCs/>
          <w:sz w:val="24"/>
          <w:szCs w:val="24"/>
        </w:rPr>
        <w:t>Fingleton</w:t>
      </w:r>
      <w:proofErr w:type="spellEnd"/>
      <w:r w:rsidRPr="00013066">
        <w:rPr>
          <w:rFonts w:ascii="Book Antiqua" w:eastAsia="宋体" w:hAnsi="Book Antiqua" w:cs="宋体"/>
          <w:b/>
          <w:bCs/>
          <w:sz w:val="24"/>
          <w:szCs w:val="24"/>
        </w:rPr>
        <w:t xml:space="preserve"> B</w:t>
      </w:r>
      <w:r w:rsidRPr="00013066">
        <w:rPr>
          <w:rFonts w:ascii="Book Antiqua" w:eastAsia="宋体" w:hAnsi="Book Antiqua" w:cs="宋体"/>
          <w:sz w:val="24"/>
          <w:szCs w:val="24"/>
        </w:rPr>
        <w:t xml:space="preserve">. Matrix </w:t>
      </w:r>
      <w:proofErr w:type="spellStart"/>
      <w:r w:rsidRPr="00013066">
        <w:rPr>
          <w:rFonts w:ascii="Book Antiqua" w:eastAsia="宋体" w:hAnsi="Book Antiqua" w:cs="宋体"/>
          <w:sz w:val="24"/>
          <w:szCs w:val="24"/>
        </w:rPr>
        <w:t>metalloproteinases</w:t>
      </w:r>
      <w:proofErr w:type="spellEnd"/>
      <w:r w:rsidRPr="00013066">
        <w:rPr>
          <w:rFonts w:ascii="Book Antiqua" w:eastAsia="宋体" w:hAnsi="Book Antiqua" w:cs="宋体"/>
          <w:sz w:val="24"/>
          <w:szCs w:val="24"/>
        </w:rPr>
        <w:t>: roles in cancer and metastasis. </w:t>
      </w:r>
      <w:r w:rsidRPr="00013066">
        <w:rPr>
          <w:rFonts w:ascii="Book Antiqua" w:eastAsia="宋体" w:hAnsi="Book Antiqua" w:cs="宋体"/>
          <w:i/>
          <w:iCs/>
          <w:sz w:val="24"/>
          <w:szCs w:val="24"/>
        </w:rPr>
        <w:t xml:space="preserve">Front </w:t>
      </w:r>
      <w:proofErr w:type="spellStart"/>
      <w:r w:rsidRPr="00013066">
        <w:rPr>
          <w:rFonts w:ascii="Book Antiqua" w:eastAsia="宋体" w:hAnsi="Book Antiqua" w:cs="宋体"/>
          <w:i/>
          <w:iCs/>
          <w:sz w:val="24"/>
          <w:szCs w:val="24"/>
        </w:rPr>
        <w:t>Biosci</w:t>
      </w:r>
      <w:proofErr w:type="spellEnd"/>
      <w:r w:rsidRPr="00013066">
        <w:rPr>
          <w:rFonts w:ascii="Book Antiqua" w:eastAsia="宋体" w:hAnsi="Book Antiqua" w:cs="宋体"/>
          <w:sz w:val="24"/>
          <w:szCs w:val="24"/>
        </w:rPr>
        <w:t> 2006; </w:t>
      </w:r>
      <w:r w:rsidRPr="00013066">
        <w:rPr>
          <w:rFonts w:ascii="Book Antiqua" w:eastAsia="宋体" w:hAnsi="Book Antiqua" w:cs="宋体"/>
          <w:b/>
          <w:bCs/>
          <w:sz w:val="24"/>
          <w:szCs w:val="24"/>
        </w:rPr>
        <w:t>11</w:t>
      </w:r>
      <w:r w:rsidRPr="00013066">
        <w:rPr>
          <w:rFonts w:ascii="Book Antiqua" w:eastAsia="宋体" w:hAnsi="Book Antiqua" w:cs="宋体"/>
          <w:sz w:val="24"/>
          <w:szCs w:val="24"/>
        </w:rPr>
        <w:t>: 479-491 [PMID: 16146745 DOI: 10.2741/1811]</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22 </w:t>
      </w:r>
      <w:r w:rsidRPr="00013066">
        <w:rPr>
          <w:rFonts w:ascii="Book Antiqua" w:eastAsia="宋体" w:hAnsi="Book Antiqua" w:cs="宋体"/>
          <w:b/>
          <w:bCs/>
          <w:sz w:val="24"/>
          <w:szCs w:val="24"/>
        </w:rPr>
        <w:t>Yu Q</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Stamenkovic</w:t>
      </w:r>
      <w:proofErr w:type="spellEnd"/>
      <w:r w:rsidRPr="00013066">
        <w:rPr>
          <w:rFonts w:ascii="Book Antiqua" w:eastAsia="宋体" w:hAnsi="Book Antiqua" w:cs="宋体"/>
          <w:sz w:val="24"/>
          <w:szCs w:val="24"/>
        </w:rPr>
        <w:t xml:space="preserve"> I. Cell surface-localized matrix metalloproteinase-9 </w:t>
      </w:r>
      <w:proofErr w:type="spellStart"/>
      <w:r w:rsidRPr="00013066">
        <w:rPr>
          <w:rFonts w:ascii="Book Antiqua" w:eastAsia="宋体" w:hAnsi="Book Antiqua" w:cs="宋体"/>
          <w:sz w:val="24"/>
          <w:szCs w:val="24"/>
        </w:rPr>
        <w:t>proteolytically</w:t>
      </w:r>
      <w:proofErr w:type="spellEnd"/>
      <w:r w:rsidRPr="00013066">
        <w:rPr>
          <w:rFonts w:ascii="Book Antiqua" w:eastAsia="宋体" w:hAnsi="Book Antiqua" w:cs="宋体"/>
          <w:sz w:val="24"/>
          <w:szCs w:val="24"/>
        </w:rPr>
        <w:t xml:space="preserve"> activates TGF-beta and promotes tumor invasion and angiogenesis. </w:t>
      </w:r>
      <w:r w:rsidRPr="00013066">
        <w:rPr>
          <w:rFonts w:ascii="Book Antiqua" w:eastAsia="宋体" w:hAnsi="Book Antiqua" w:cs="宋体"/>
          <w:i/>
          <w:iCs/>
          <w:sz w:val="24"/>
          <w:szCs w:val="24"/>
        </w:rPr>
        <w:t>Genes Dev</w:t>
      </w:r>
      <w:r w:rsidRPr="00013066">
        <w:rPr>
          <w:rFonts w:ascii="Book Antiqua" w:eastAsia="宋体" w:hAnsi="Book Antiqua" w:cs="宋体"/>
          <w:sz w:val="24"/>
          <w:szCs w:val="24"/>
        </w:rPr>
        <w:t> 2000; </w:t>
      </w:r>
      <w:r w:rsidRPr="00013066">
        <w:rPr>
          <w:rFonts w:ascii="Book Antiqua" w:eastAsia="宋体" w:hAnsi="Book Antiqua" w:cs="宋体"/>
          <w:b/>
          <w:bCs/>
          <w:sz w:val="24"/>
          <w:szCs w:val="24"/>
        </w:rPr>
        <w:t>14</w:t>
      </w:r>
      <w:r w:rsidRPr="00013066">
        <w:rPr>
          <w:rFonts w:ascii="Book Antiqua" w:eastAsia="宋体" w:hAnsi="Book Antiqua" w:cs="宋体"/>
          <w:sz w:val="24"/>
          <w:szCs w:val="24"/>
        </w:rPr>
        <w:t>: 163-176 [PMID: 10652271]</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23 </w:t>
      </w:r>
      <w:proofErr w:type="spellStart"/>
      <w:r w:rsidRPr="00013066">
        <w:rPr>
          <w:rFonts w:ascii="Book Antiqua" w:eastAsia="宋体" w:hAnsi="Book Antiqua" w:cs="宋体"/>
          <w:b/>
          <w:bCs/>
          <w:sz w:val="24"/>
          <w:szCs w:val="24"/>
        </w:rPr>
        <w:t>Kharbanda</w:t>
      </w:r>
      <w:proofErr w:type="spellEnd"/>
      <w:r w:rsidRPr="00013066">
        <w:rPr>
          <w:rFonts w:ascii="Book Antiqua" w:eastAsia="宋体" w:hAnsi="Book Antiqua" w:cs="宋体"/>
          <w:b/>
          <w:bCs/>
          <w:sz w:val="24"/>
          <w:szCs w:val="24"/>
        </w:rPr>
        <w:t xml:space="preserve"> KK</w:t>
      </w:r>
      <w:r w:rsidRPr="00013066">
        <w:rPr>
          <w:rFonts w:ascii="Book Antiqua" w:eastAsia="宋体" w:hAnsi="Book Antiqua" w:cs="宋体"/>
          <w:sz w:val="24"/>
          <w:szCs w:val="24"/>
        </w:rPr>
        <w:t xml:space="preserve">, Rogers DD, Wyatt TA, Sorrell MF, </w:t>
      </w:r>
      <w:proofErr w:type="spellStart"/>
      <w:r w:rsidRPr="00013066">
        <w:rPr>
          <w:rFonts w:ascii="Book Antiqua" w:eastAsia="宋体" w:hAnsi="Book Antiqua" w:cs="宋体"/>
          <w:sz w:val="24"/>
          <w:szCs w:val="24"/>
        </w:rPr>
        <w:t>Tuma</w:t>
      </w:r>
      <w:proofErr w:type="spellEnd"/>
      <w:r w:rsidRPr="00013066">
        <w:rPr>
          <w:rFonts w:ascii="Book Antiqua" w:eastAsia="宋体" w:hAnsi="Book Antiqua" w:cs="宋体"/>
          <w:sz w:val="24"/>
          <w:szCs w:val="24"/>
        </w:rPr>
        <w:t xml:space="preserve"> DJ.</w:t>
      </w:r>
      <w:proofErr w:type="gramEnd"/>
      <w:r w:rsidRPr="00013066">
        <w:rPr>
          <w:rFonts w:ascii="Book Antiqua" w:eastAsia="宋体" w:hAnsi="Book Antiqua" w:cs="宋体"/>
          <w:sz w:val="24"/>
          <w:szCs w:val="24"/>
        </w:rPr>
        <w:t xml:space="preserve"> Transforming growth factor-beta induces contraction of activated hepatic stellate cells.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2004; </w:t>
      </w:r>
      <w:r w:rsidRPr="00013066">
        <w:rPr>
          <w:rFonts w:ascii="Book Antiqua" w:eastAsia="宋体" w:hAnsi="Book Antiqua" w:cs="宋体"/>
          <w:b/>
          <w:bCs/>
          <w:sz w:val="24"/>
          <w:szCs w:val="24"/>
        </w:rPr>
        <w:t>41</w:t>
      </w:r>
      <w:r w:rsidRPr="00013066">
        <w:rPr>
          <w:rFonts w:ascii="Book Antiqua" w:eastAsia="宋体" w:hAnsi="Book Antiqua" w:cs="宋体"/>
          <w:sz w:val="24"/>
          <w:szCs w:val="24"/>
        </w:rPr>
        <w:t>: 60-66 [PMID: 15246209 DOI: 10.1016/j.jhep.2004.03.019]</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24 </w:t>
      </w:r>
      <w:proofErr w:type="spellStart"/>
      <w:r w:rsidRPr="00013066">
        <w:rPr>
          <w:rFonts w:ascii="Book Antiqua" w:eastAsia="宋体" w:hAnsi="Book Antiqua" w:cs="宋体"/>
          <w:b/>
          <w:bCs/>
          <w:sz w:val="24"/>
          <w:szCs w:val="24"/>
        </w:rPr>
        <w:t>Gorden</w:t>
      </w:r>
      <w:proofErr w:type="spellEnd"/>
      <w:r w:rsidRPr="00013066">
        <w:rPr>
          <w:rFonts w:ascii="Book Antiqua" w:eastAsia="宋体" w:hAnsi="Book Antiqua" w:cs="宋体"/>
          <w:b/>
          <w:bCs/>
          <w:sz w:val="24"/>
          <w:szCs w:val="24"/>
        </w:rPr>
        <w:t xml:space="preserve"> DL</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Fingleton</w:t>
      </w:r>
      <w:proofErr w:type="spellEnd"/>
      <w:r w:rsidRPr="00013066">
        <w:rPr>
          <w:rFonts w:ascii="Book Antiqua" w:eastAsia="宋体" w:hAnsi="Book Antiqua" w:cs="宋体"/>
          <w:sz w:val="24"/>
          <w:szCs w:val="24"/>
        </w:rPr>
        <w:t xml:space="preserve"> B, Crawford HC, Jansen DE, </w:t>
      </w:r>
      <w:proofErr w:type="spellStart"/>
      <w:r w:rsidRPr="00013066">
        <w:rPr>
          <w:rFonts w:ascii="Book Antiqua" w:eastAsia="宋体" w:hAnsi="Book Antiqua" w:cs="宋体"/>
          <w:sz w:val="24"/>
          <w:szCs w:val="24"/>
        </w:rPr>
        <w:t>Lepage</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Matrisian</w:t>
      </w:r>
      <w:proofErr w:type="spellEnd"/>
      <w:r w:rsidRPr="00013066">
        <w:rPr>
          <w:rFonts w:ascii="Book Antiqua" w:eastAsia="宋体" w:hAnsi="Book Antiqua" w:cs="宋体"/>
          <w:sz w:val="24"/>
          <w:szCs w:val="24"/>
        </w:rPr>
        <w:t xml:space="preserve"> LM. Resident stromal cell-derived MMP-9 promotes the growth of colorectal metastases in the liver microenvironment. </w:t>
      </w:r>
      <w:proofErr w:type="spellStart"/>
      <w:r w:rsidRPr="00013066">
        <w:rPr>
          <w:rFonts w:ascii="Book Antiqua" w:eastAsia="宋体" w:hAnsi="Book Antiqua" w:cs="宋体"/>
          <w:i/>
          <w:iCs/>
          <w:sz w:val="24"/>
          <w:szCs w:val="24"/>
        </w:rPr>
        <w:t>Int</w:t>
      </w:r>
      <w:proofErr w:type="spellEnd"/>
      <w:r w:rsidRPr="00013066">
        <w:rPr>
          <w:rFonts w:ascii="Book Antiqua" w:eastAsia="宋体" w:hAnsi="Book Antiqua" w:cs="宋体"/>
          <w:i/>
          <w:iCs/>
          <w:sz w:val="24"/>
          <w:szCs w:val="24"/>
        </w:rPr>
        <w:t xml:space="preserve"> J Cancer</w:t>
      </w:r>
      <w:r w:rsidRPr="00013066">
        <w:rPr>
          <w:rFonts w:ascii="Book Antiqua" w:eastAsia="宋体" w:hAnsi="Book Antiqua" w:cs="宋体"/>
          <w:sz w:val="24"/>
          <w:szCs w:val="24"/>
        </w:rPr>
        <w:t> 2007; </w:t>
      </w:r>
      <w:r w:rsidRPr="00013066">
        <w:rPr>
          <w:rFonts w:ascii="Book Antiqua" w:eastAsia="宋体" w:hAnsi="Book Antiqua" w:cs="宋体"/>
          <w:b/>
          <w:bCs/>
          <w:sz w:val="24"/>
          <w:szCs w:val="24"/>
        </w:rPr>
        <w:t>121</w:t>
      </w:r>
      <w:r w:rsidRPr="00013066">
        <w:rPr>
          <w:rFonts w:ascii="Book Antiqua" w:eastAsia="宋体" w:hAnsi="Book Antiqua" w:cs="宋体"/>
          <w:sz w:val="24"/>
          <w:szCs w:val="24"/>
        </w:rPr>
        <w:t>: 495-500 [PMID: 17417772 DOI: 10.1002/ijc.22594]</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25 </w:t>
      </w:r>
      <w:r w:rsidRPr="00013066">
        <w:rPr>
          <w:rFonts w:ascii="Book Antiqua" w:eastAsia="宋体" w:hAnsi="Book Antiqua" w:cs="宋体"/>
          <w:b/>
          <w:bCs/>
          <w:sz w:val="24"/>
          <w:szCs w:val="24"/>
        </w:rPr>
        <w:t>Hayashi S</w:t>
      </w:r>
      <w:r w:rsidRPr="00013066">
        <w:rPr>
          <w:rFonts w:ascii="Book Antiqua" w:eastAsia="宋体" w:hAnsi="Book Antiqua" w:cs="宋体"/>
          <w:sz w:val="24"/>
          <w:szCs w:val="24"/>
        </w:rPr>
        <w:t xml:space="preserve">, Masuda H, </w:t>
      </w:r>
      <w:proofErr w:type="spellStart"/>
      <w:r w:rsidRPr="00013066">
        <w:rPr>
          <w:rFonts w:ascii="Book Antiqua" w:eastAsia="宋体" w:hAnsi="Book Antiqua" w:cs="宋体"/>
          <w:sz w:val="24"/>
          <w:szCs w:val="24"/>
        </w:rPr>
        <w:t>Shigematsu</w:t>
      </w:r>
      <w:proofErr w:type="spellEnd"/>
      <w:r w:rsidRPr="00013066">
        <w:rPr>
          <w:rFonts w:ascii="Book Antiqua" w:eastAsia="宋体" w:hAnsi="Book Antiqua" w:cs="宋体"/>
          <w:sz w:val="24"/>
          <w:szCs w:val="24"/>
        </w:rPr>
        <w:t xml:space="preserve"> M. Liver metastasis rare in colorectal cancer patients with fatty liver.</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Hepatogastroenterology</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1997</w:t>
      </w:r>
      <w:r w:rsidRPr="00013066">
        <w:rPr>
          <w:rFonts w:ascii="Book Antiqua" w:eastAsia="宋体" w:hAnsi="Book Antiqua" w:cs="宋体"/>
          <w:sz w:val="24"/>
          <w:szCs w:val="24"/>
        </w:rPr>
        <w:t>; </w:t>
      </w:r>
      <w:r w:rsidRPr="00013066">
        <w:rPr>
          <w:rFonts w:ascii="Book Antiqua" w:eastAsia="宋体" w:hAnsi="Book Antiqua" w:cs="宋体"/>
          <w:b/>
          <w:bCs/>
          <w:sz w:val="24"/>
          <w:szCs w:val="24"/>
        </w:rPr>
        <w:t>44</w:t>
      </w:r>
      <w:r w:rsidRPr="00013066">
        <w:rPr>
          <w:rFonts w:ascii="Book Antiqua" w:eastAsia="宋体" w:hAnsi="Book Antiqua" w:cs="宋体"/>
          <w:sz w:val="24"/>
          <w:szCs w:val="24"/>
        </w:rPr>
        <w:t>: 1069-1075 [PMID: 9261601]</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lastRenderedPageBreak/>
        <w:t>26 </w:t>
      </w:r>
      <w:r w:rsidRPr="00013066">
        <w:rPr>
          <w:rFonts w:ascii="Book Antiqua" w:eastAsia="宋体" w:hAnsi="Book Antiqua" w:cs="宋体"/>
          <w:b/>
          <w:bCs/>
          <w:sz w:val="24"/>
          <w:szCs w:val="24"/>
        </w:rPr>
        <w:t>Tamura R</w:t>
      </w:r>
      <w:r w:rsidRPr="00013066">
        <w:rPr>
          <w:rFonts w:ascii="Book Antiqua" w:eastAsia="宋体" w:hAnsi="Book Antiqua" w:cs="宋体"/>
          <w:sz w:val="24"/>
          <w:szCs w:val="24"/>
        </w:rPr>
        <w:t xml:space="preserve">, Masuda H, Ishii Y, </w:t>
      </w:r>
      <w:proofErr w:type="spellStart"/>
      <w:r w:rsidRPr="00013066">
        <w:rPr>
          <w:rFonts w:ascii="Book Antiqua" w:eastAsia="宋体" w:hAnsi="Book Antiqua" w:cs="宋体"/>
          <w:sz w:val="24"/>
          <w:szCs w:val="24"/>
        </w:rPr>
        <w:t>Nemoto</w:t>
      </w:r>
      <w:proofErr w:type="spellEnd"/>
      <w:r w:rsidRPr="00013066">
        <w:rPr>
          <w:rFonts w:ascii="Book Antiqua" w:eastAsia="宋体" w:hAnsi="Book Antiqua" w:cs="宋体"/>
          <w:sz w:val="24"/>
          <w:szCs w:val="24"/>
        </w:rPr>
        <w:t xml:space="preserve"> N. Relationship between fatty liver and liver metastasis in rats given injection of rat colon cancer cell line.</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Hepatogastroenterology</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1999</w:t>
      </w:r>
      <w:r w:rsidRPr="00013066">
        <w:rPr>
          <w:rFonts w:ascii="Book Antiqua" w:eastAsia="宋体" w:hAnsi="Book Antiqua" w:cs="宋体"/>
          <w:sz w:val="24"/>
          <w:szCs w:val="24"/>
        </w:rPr>
        <w:t>; </w:t>
      </w:r>
      <w:r w:rsidRPr="00013066">
        <w:rPr>
          <w:rFonts w:ascii="Book Antiqua" w:eastAsia="宋体" w:hAnsi="Book Antiqua" w:cs="宋体"/>
          <w:b/>
          <w:bCs/>
          <w:sz w:val="24"/>
          <w:szCs w:val="24"/>
        </w:rPr>
        <w:t>46</w:t>
      </w:r>
      <w:r w:rsidRPr="00013066">
        <w:rPr>
          <w:rFonts w:ascii="Book Antiqua" w:eastAsia="宋体" w:hAnsi="Book Antiqua" w:cs="宋体"/>
          <w:sz w:val="24"/>
          <w:szCs w:val="24"/>
        </w:rPr>
        <w:t>: 167-171 [PMID: 10228783]</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27 </w:t>
      </w:r>
      <w:proofErr w:type="spellStart"/>
      <w:r w:rsidRPr="00013066">
        <w:rPr>
          <w:rFonts w:ascii="Book Antiqua" w:eastAsia="宋体" w:hAnsi="Book Antiqua" w:cs="宋体"/>
          <w:b/>
          <w:bCs/>
          <w:sz w:val="24"/>
          <w:szCs w:val="24"/>
        </w:rPr>
        <w:t>Karube</w:t>
      </w:r>
      <w:proofErr w:type="spellEnd"/>
      <w:r w:rsidRPr="00013066">
        <w:rPr>
          <w:rFonts w:ascii="Book Antiqua" w:eastAsia="宋体" w:hAnsi="Book Antiqua" w:cs="宋体"/>
          <w:b/>
          <w:bCs/>
          <w:sz w:val="24"/>
          <w:szCs w:val="24"/>
        </w:rPr>
        <w:t xml:space="preserve"> H</w:t>
      </w:r>
      <w:r w:rsidRPr="00013066">
        <w:rPr>
          <w:rFonts w:ascii="Book Antiqua" w:eastAsia="宋体" w:hAnsi="Book Antiqua" w:cs="宋体"/>
          <w:sz w:val="24"/>
          <w:szCs w:val="24"/>
        </w:rPr>
        <w:t xml:space="preserve">, Masuda H, Hayashi S, Ishii Y, </w:t>
      </w:r>
      <w:proofErr w:type="spellStart"/>
      <w:r w:rsidRPr="00013066">
        <w:rPr>
          <w:rFonts w:ascii="Book Antiqua" w:eastAsia="宋体" w:hAnsi="Book Antiqua" w:cs="宋体"/>
          <w:sz w:val="24"/>
          <w:szCs w:val="24"/>
        </w:rPr>
        <w:t>Nemoto</w:t>
      </w:r>
      <w:proofErr w:type="spellEnd"/>
      <w:r w:rsidRPr="00013066">
        <w:rPr>
          <w:rFonts w:ascii="Book Antiqua" w:eastAsia="宋体" w:hAnsi="Book Antiqua" w:cs="宋体"/>
          <w:sz w:val="24"/>
          <w:szCs w:val="24"/>
        </w:rPr>
        <w:t xml:space="preserve"> N. Fatty liver suppressed the angiogenesis in liver metastatic lesions. </w:t>
      </w:r>
      <w:proofErr w:type="spellStart"/>
      <w:r w:rsidRPr="00013066">
        <w:rPr>
          <w:rFonts w:ascii="Book Antiqua" w:eastAsia="宋体" w:hAnsi="Book Antiqua" w:cs="宋体"/>
          <w:i/>
          <w:iCs/>
          <w:sz w:val="24"/>
          <w:szCs w:val="24"/>
        </w:rPr>
        <w:t>Hepatogastroenterology</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2000</w:t>
      </w:r>
      <w:r w:rsidRPr="00013066">
        <w:rPr>
          <w:rFonts w:ascii="Book Antiqua" w:eastAsia="宋体" w:hAnsi="Book Antiqua" w:cs="宋体"/>
          <w:sz w:val="24"/>
          <w:szCs w:val="24"/>
        </w:rPr>
        <w:t>; </w:t>
      </w:r>
      <w:r w:rsidRPr="00013066">
        <w:rPr>
          <w:rFonts w:ascii="Book Antiqua" w:eastAsia="宋体" w:hAnsi="Book Antiqua" w:cs="宋体"/>
          <w:b/>
          <w:bCs/>
          <w:sz w:val="24"/>
          <w:szCs w:val="24"/>
        </w:rPr>
        <w:t>47</w:t>
      </w:r>
      <w:r w:rsidRPr="00013066">
        <w:rPr>
          <w:rFonts w:ascii="Book Antiqua" w:eastAsia="宋体" w:hAnsi="Book Antiqua" w:cs="宋体"/>
          <w:sz w:val="24"/>
          <w:szCs w:val="24"/>
        </w:rPr>
        <w:t>: 1541-1545 [PMID: 11148998]</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28 </w:t>
      </w:r>
      <w:r w:rsidRPr="00013066">
        <w:rPr>
          <w:rFonts w:ascii="Book Antiqua" w:eastAsia="宋体" w:hAnsi="Book Antiqua" w:cs="宋体"/>
          <w:b/>
          <w:bCs/>
          <w:sz w:val="24"/>
          <w:szCs w:val="24"/>
        </w:rPr>
        <w:t>Augustin G</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Bruketa</w:t>
      </w:r>
      <w:proofErr w:type="spellEnd"/>
      <w:r w:rsidRPr="00013066">
        <w:rPr>
          <w:rFonts w:ascii="Book Antiqua" w:eastAsia="宋体" w:hAnsi="Book Antiqua" w:cs="宋体"/>
          <w:sz w:val="24"/>
          <w:szCs w:val="24"/>
        </w:rPr>
        <w:t xml:space="preserve"> T, </w:t>
      </w:r>
      <w:proofErr w:type="spellStart"/>
      <w:r w:rsidRPr="00013066">
        <w:rPr>
          <w:rFonts w:ascii="Book Antiqua" w:eastAsia="宋体" w:hAnsi="Book Antiqua" w:cs="宋体"/>
          <w:sz w:val="24"/>
          <w:szCs w:val="24"/>
        </w:rPr>
        <w:t>Korolija</w:t>
      </w:r>
      <w:proofErr w:type="spellEnd"/>
      <w:r w:rsidRPr="00013066">
        <w:rPr>
          <w:rFonts w:ascii="Book Antiqua" w:eastAsia="宋体" w:hAnsi="Book Antiqua" w:cs="宋体"/>
          <w:sz w:val="24"/>
          <w:szCs w:val="24"/>
        </w:rPr>
        <w:t xml:space="preserve"> D, Milosevic M. Lower incidence of hepatic metastases of colorectal cancer in patients with chronic liver diseases: meta-analysis. </w:t>
      </w:r>
      <w:proofErr w:type="spellStart"/>
      <w:r w:rsidRPr="00013066">
        <w:rPr>
          <w:rFonts w:ascii="Book Antiqua" w:eastAsia="宋体" w:hAnsi="Book Antiqua" w:cs="宋体"/>
          <w:i/>
          <w:iCs/>
          <w:sz w:val="24"/>
          <w:szCs w:val="24"/>
        </w:rPr>
        <w:t>Hepatogastroenterology</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2013</w:t>
      </w:r>
      <w:r w:rsidRPr="00013066">
        <w:rPr>
          <w:rFonts w:ascii="Book Antiqua" w:eastAsia="宋体" w:hAnsi="Book Antiqua" w:cs="宋体"/>
          <w:sz w:val="24"/>
          <w:szCs w:val="24"/>
        </w:rPr>
        <w:t>; </w:t>
      </w:r>
      <w:r w:rsidRPr="00013066">
        <w:rPr>
          <w:rFonts w:ascii="Book Antiqua" w:eastAsia="宋体" w:hAnsi="Book Antiqua" w:cs="宋体"/>
          <w:b/>
          <w:bCs/>
          <w:sz w:val="24"/>
          <w:szCs w:val="24"/>
        </w:rPr>
        <w:t>60</w:t>
      </w:r>
      <w:r w:rsidRPr="00013066">
        <w:rPr>
          <w:rFonts w:ascii="Book Antiqua" w:eastAsia="宋体" w:hAnsi="Book Antiqua" w:cs="宋体"/>
          <w:sz w:val="24"/>
          <w:szCs w:val="24"/>
        </w:rPr>
        <w:t>: 1164-1168 [PMID: 23803379 DOI: 10.5754/hge11561]</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29 </w:t>
      </w:r>
      <w:proofErr w:type="spellStart"/>
      <w:r w:rsidRPr="00013066">
        <w:rPr>
          <w:rFonts w:ascii="Book Antiqua" w:eastAsia="宋体" w:hAnsi="Book Antiqua" w:cs="宋体"/>
          <w:b/>
          <w:bCs/>
          <w:sz w:val="24"/>
          <w:szCs w:val="24"/>
        </w:rPr>
        <w:t>Murono</w:t>
      </w:r>
      <w:proofErr w:type="spellEnd"/>
      <w:r w:rsidRPr="00013066">
        <w:rPr>
          <w:rFonts w:ascii="Book Antiqua" w:eastAsia="宋体" w:hAnsi="Book Antiqua" w:cs="宋体"/>
          <w:b/>
          <w:bCs/>
          <w:sz w:val="24"/>
          <w:szCs w:val="24"/>
        </w:rPr>
        <w:t xml:space="preserve"> K</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Kitayama</w:t>
      </w:r>
      <w:proofErr w:type="spellEnd"/>
      <w:r w:rsidRPr="00013066">
        <w:rPr>
          <w:rFonts w:ascii="Book Antiqua" w:eastAsia="宋体" w:hAnsi="Book Antiqua" w:cs="宋体"/>
          <w:sz w:val="24"/>
          <w:szCs w:val="24"/>
        </w:rPr>
        <w:t xml:space="preserve"> J, </w:t>
      </w:r>
      <w:proofErr w:type="spellStart"/>
      <w:r w:rsidRPr="00013066">
        <w:rPr>
          <w:rFonts w:ascii="Book Antiqua" w:eastAsia="宋体" w:hAnsi="Book Antiqua" w:cs="宋体"/>
          <w:sz w:val="24"/>
          <w:szCs w:val="24"/>
        </w:rPr>
        <w:t>Tsuno</w:t>
      </w:r>
      <w:proofErr w:type="spellEnd"/>
      <w:r w:rsidRPr="00013066">
        <w:rPr>
          <w:rFonts w:ascii="Book Antiqua" w:eastAsia="宋体" w:hAnsi="Book Antiqua" w:cs="宋体"/>
          <w:sz w:val="24"/>
          <w:szCs w:val="24"/>
        </w:rPr>
        <w:t xml:space="preserve"> NH, </w:t>
      </w:r>
      <w:proofErr w:type="spellStart"/>
      <w:r w:rsidRPr="00013066">
        <w:rPr>
          <w:rFonts w:ascii="Book Antiqua" w:eastAsia="宋体" w:hAnsi="Book Antiqua" w:cs="宋体"/>
          <w:sz w:val="24"/>
          <w:szCs w:val="24"/>
        </w:rPr>
        <w:t>Nozawa</w:t>
      </w:r>
      <w:proofErr w:type="spellEnd"/>
      <w:r w:rsidRPr="00013066">
        <w:rPr>
          <w:rFonts w:ascii="Book Antiqua" w:eastAsia="宋体" w:hAnsi="Book Antiqua" w:cs="宋体"/>
          <w:sz w:val="24"/>
          <w:szCs w:val="24"/>
        </w:rPr>
        <w:t xml:space="preserve"> H, Kawai K, </w:t>
      </w:r>
      <w:proofErr w:type="spellStart"/>
      <w:r w:rsidRPr="00013066">
        <w:rPr>
          <w:rFonts w:ascii="Book Antiqua" w:eastAsia="宋体" w:hAnsi="Book Antiqua" w:cs="宋体"/>
          <w:sz w:val="24"/>
          <w:szCs w:val="24"/>
        </w:rPr>
        <w:t>Sunami</w:t>
      </w:r>
      <w:proofErr w:type="spellEnd"/>
      <w:r w:rsidRPr="00013066">
        <w:rPr>
          <w:rFonts w:ascii="Book Antiqua" w:eastAsia="宋体" w:hAnsi="Book Antiqua" w:cs="宋体"/>
          <w:sz w:val="24"/>
          <w:szCs w:val="24"/>
        </w:rPr>
        <w:t xml:space="preserve"> E, </w:t>
      </w:r>
      <w:proofErr w:type="spellStart"/>
      <w:r w:rsidRPr="00013066">
        <w:rPr>
          <w:rFonts w:ascii="Book Antiqua" w:eastAsia="宋体" w:hAnsi="Book Antiqua" w:cs="宋体"/>
          <w:sz w:val="24"/>
          <w:szCs w:val="24"/>
        </w:rPr>
        <w:t>Akahane</w:t>
      </w:r>
      <w:proofErr w:type="spellEnd"/>
      <w:r w:rsidRPr="00013066">
        <w:rPr>
          <w:rFonts w:ascii="Book Antiqua" w:eastAsia="宋体" w:hAnsi="Book Antiqua" w:cs="宋体"/>
          <w:sz w:val="24"/>
          <w:szCs w:val="24"/>
        </w:rPr>
        <w:t xml:space="preserve"> M, Watanabe T. Hepatic </w:t>
      </w:r>
      <w:proofErr w:type="spellStart"/>
      <w:r w:rsidRPr="00013066">
        <w:rPr>
          <w:rFonts w:ascii="Book Antiqua" w:eastAsia="宋体" w:hAnsi="Book Antiqua" w:cs="宋体"/>
          <w:sz w:val="24"/>
          <w:szCs w:val="24"/>
        </w:rPr>
        <w:t>steatosis</w:t>
      </w:r>
      <w:proofErr w:type="spellEnd"/>
      <w:r w:rsidRPr="00013066">
        <w:rPr>
          <w:rFonts w:ascii="Book Antiqua" w:eastAsia="宋体" w:hAnsi="Book Antiqua" w:cs="宋体"/>
          <w:sz w:val="24"/>
          <w:szCs w:val="24"/>
        </w:rPr>
        <w:t xml:space="preserve"> is associated with lower incidence of liver metastasis from colorectal cancer. </w:t>
      </w:r>
      <w:proofErr w:type="spellStart"/>
      <w:r w:rsidRPr="00013066">
        <w:rPr>
          <w:rFonts w:ascii="Book Antiqua" w:eastAsia="宋体" w:hAnsi="Book Antiqua" w:cs="宋体"/>
          <w:i/>
          <w:iCs/>
          <w:sz w:val="24"/>
          <w:szCs w:val="24"/>
        </w:rPr>
        <w:t>Int</w:t>
      </w:r>
      <w:proofErr w:type="spellEnd"/>
      <w:r w:rsidRPr="00013066">
        <w:rPr>
          <w:rFonts w:ascii="Book Antiqua" w:eastAsia="宋体" w:hAnsi="Book Antiqua" w:cs="宋体"/>
          <w:i/>
          <w:iCs/>
          <w:sz w:val="24"/>
          <w:szCs w:val="24"/>
        </w:rPr>
        <w:t xml:space="preserve"> J Colorectal Dis</w:t>
      </w:r>
      <w:r w:rsidRPr="00013066">
        <w:rPr>
          <w:rFonts w:ascii="Book Antiqua" w:eastAsia="宋体" w:hAnsi="Book Antiqua" w:cs="宋体"/>
          <w:sz w:val="24"/>
          <w:szCs w:val="24"/>
        </w:rPr>
        <w:t> 2013; </w:t>
      </w:r>
      <w:r w:rsidRPr="00013066">
        <w:rPr>
          <w:rFonts w:ascii="Book Antiqua" w:eastAsia="宋体" w:hAnsi="Book Antiqua" w:cs="宋体"/>
          <w:b/>
          <w:bCs/>
          <w:sz w:val="24"/>
          <w:szCs w:val="24"/>
        </w:rPr>
        <w:t>28</w:t>
      </w:r>
      <w:r w:rsidRPr="00013066">
        <w:rPr>
          <w:rFonts w:ascii="Book Antiqua" w:eastAsia="宋体" w:hAnsi="Book Antiqua" w:cs="宋体"/>
          <w:sz w:val="24"/>
          <w:szCs w:val="24"/>
        </w:rPr>
        <w:t>: 1065-1072 [PMID: 23392476 DOI: 10.1007/s00384-013-1656-2]</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30 </w:t>
      </w:r>
      <w:proofErr w:type="spellStart"/>
      <w:r w:rsidRPr="00013066">
        <w:rPr>
          <w:rFonts w:ascii="Book Antiqua" w:eastAsia="宋体" w:hAnsi="Book Antiqua" w:cs="宋体"/>
          <w:b/>
          <w:bCs/>
          <w:sz w:val="24"/>
          <w:szCs w:val="24"/>
        </w:rPr>
        <w:t>VanSaun</w:t>
      </w:r>
      <w:proofErr w:type="spellEnd"/>
      <w:r w:rsidRPr="00013066">
        <w:rPr>
          <w:rFonts w:ascii="Book Antiqua" w:eastAsia="宋体" w:hAnsi="Book Antiqua" w:cs="宋体"/>
          <w:b/>
          <w:bCs/>
          <w:sz w:val="24"/>
          <w:szCs w:val="24"/>
        </w:rPr>
        <w:t xml:space="preserve"> MN</w:t>
      </w:r>
      <w:r w:rsidRPr="00013066">
        <w:rPr>
          <w:rFonts w:ascii="Book Antiqua" w:eastAsia="宋体" w:hAnsi="Book Antiqua" w:cs="宋体"/>
          <w:sz w:val="24"/>
          <w:szCs w:val="24"/>
        </w:rPr>
        <w:t xml:space="preserve">, Lee IK, Washington MK, </w:t>
      </w:r>
      <w:proofErr w:type="spellStart"/>
      <w:r w:rsidRPr="00013066">
        <w:rPr>
          <w:rFonts w:ascii="Book Antiqua" w:eastAsia="宋体" w:hAnsi="Book Antiqua" w:cs="宋体"/>
          <w:sz w:val="24"/>
          <w:szCs w:val="24"/>
        </w:rPr>
        <w:t>Matrisian</w:t>
      </w:r>
      <w:proofErr w:type="spellEnd"/>
      <w:r w:rsidRPr="00013066">
        <w:rPr>
          <w:rFonts w:ascii="Book Antiqua" w:eastAsia="宋体" w:hAnsi="Book Antiqua" w:cs="宋体"/>
          <w:sz w:val="24"/>
          <w:szCs w:val="24"/>
        </w:rPr>
        <w:t xml:space="preserve"> L, </w:t>
      </w:r>
      <w:proofErr w:type="spellStart"/>
      <w:r w:rsidRPr="00013066">
        <w:rPr>
          <w:rFonts w:ascii="Book Antiqua" w:eastAsia="宋体" w:hAnsi="Book Antiqua" w:cs="宋体"/>
          <w:sz w:val="24"/>
          <w:szCs w:val="24"/>
        </w:rPr>
        <w:t>Gorden</w:t>
      </w:r>
      <w:proofErr w:type="spellEnd"/>
      <w:r w:rsidRPr="00013066">
        <w:rPr>
          <w:rFonts w:ascii="Book Antiqua" w:eastAsia="宋体" w:hAnsi="Book Antiqua" w:cs="宋体"/>
          <w:sz w:val="24"/>
          <w:szCs w:val="24"/>
        </w:rPr>
        <w:t xml:space="preserve"> DL.</w:t>
      </w:r>
      <w:proofErr w:type="gramEnd"/>
      <w:r w:rsidRPr="00013066">
        <w:rPr>
          <w:rFonts w:ascii="Book Antiqua" w:eastAsia="宋体" w:hAnsi="Book Antiqua" w:cs="宋体"/>
          <w:sz w:val="24"/>
          <w:szCs w:val="24"/>
        </w:rPr>
        <w:t xml:space="preserve"> High fat diet induced hepatic </w:t>
      </w:r>
      <w:proofErr w:type="spellStart"/>
      <w:r w:rsidRPr="00013066">
        <w:rPr>
          <w:rFonts w:ascii="Book Antiqua" w:eastAsia="宋体" w:hAnsi="Book Antiqua" w:cs="宋体"/>
          <w:sz w:val="24"/>
          <w:szCs w:val="24"/>
        </w:rPr>
        <w:t>steatosis</w:t>
      </w:r>
      <w:proofErr w:type="spellEnd"/>
      <w:r w:rsidRPr="00013066">
        <w:rPr>
          <w:rFonts w:ascii="Book Antiqua" w:eastAsia="宋体" w:hAnsi="Book Antiqua" w:cs="宋体"/>
          <w:sz w:val="24"/>
          <w:szCs w:val="24"/>
        </w:rPr>
        <w:t xml:space="preserve"> establishes a permissive microenvironment for colorectal metastases and promotes primary dysplasia in a murine model. </w:t>
      </w:r>
      <w:r w:rsidRPr="00013066">
        <w:rPr>
          <w:rFonts w:ascii="Book Antiqua" w:eastAsia="宋体" w:hAnsi="Book Antiqua" w:cs="宋体"/>
          <w:i/>
          <w:iCs/>
          <w:sz w:val="24"/>
          <w:szCs w:val="24"/>
        </w:rPr>
        <w:t xml:space="preserve">Am J </w:t>
      </w:r>
      <w:proofErr w:type="spellStart"/>
      <w:r w:rsidRPr="00013066">
        <w:rPr>
          <w:rFonts w:ascii="Book Antiqua" w:eastAsia="宋体" w:hAnsi="Book Antiqua" w:cs="宋体"/>
          <w:i/>
          <w:iCs/>
          <w:sz w:val="24"/>
          <w:szCs w:val="24"/>
        </w:rPr>
        <w:t>Pathol</w:t>
      </w:r>
      <w:proofErr w:type="spellEnd"/>
      <w:r w:rsidRPr="00013066">
        <w:rPr>
          <w:rFonts w:ascii="Book Antiqua" w:eastAsia="宋体" w:hAnsi="Book Antiqua" w:cs="宋体"/>
          <w:sz w:val="24"/>
          <w:szCs w:val="24"/>
        </w:rPr>
        <w:t> 2009; </w:t>
      </w:r>
      <w:r w:rsidRPr="00013066">
        <w:rPr>
          <w:rFonts w:ascii="Book Antiqua" w:eastAsia="宋体" w:hAnsi="Book Antiqua" w:cs="宋体"/>
          <w:b/>
          <w:bCs/>
          <w:sz w:val="24"/>
          <w:szCs w:val="24"/>
        </w:rPr>
        <w:t>175</w:t>
      </w:r>
      <w:r w:rsidRPr="00013066">
        <w:rPr>
          <w:rFonts w:ascii="Book Antiqua" w:eastAsia="宋体" w:hAnsi="Book Antiqua" w:cs="宋体"/>
          <w:sz w:val="24"/>
          <w:szCs w:val="24"/>
        </w:rPr>
        <w:t>: 355-364 [PMID: 19541928 DOI: 10.2353/ajpath.2009.080703]</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31 </w:t>
      </w:r>
      <w:proofErr w:type="spellStart"/>
      <w:r w:rsidRPr="00013066">
        <w:rPr>
          <w:rFonts w:ascii="Book Antiqua" w:eastAsia="宋体" w:hAnsi="Book Antiqua" w:cs="宋体"/>
          <w:b/>
          <w:bCs/>
          <w:sz w:val="24"/>
          <w:szCs w:val="24"/>
        </w:rPr>
        <w:t>Vauthey</w:t>
      </w:r>
      <w:proofErr w:type="spellEnd"/>
      <w:r w:rsidRPr="00013066">
        <w:rPr>
          <w:rFonts w:ascii="Book Antiqua" w:eastAsia="宋体" w:hAnsi="Book Antiqua" w:cs="宋体"/>
          <w:b/>
          <w:bCs/>
          <w:sz w:val="24"/>
          <w:szCs w:val="24"/>
        </w:rPr>
        <w:t xml:space="preserve"> JN</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Pawlik</w:t>
      </w:r>
      <w:proofErr w:type="spellEnd"/>
      <w:r w:rsidRPr="00013066">
        <w:rPr>
          <w:rFonts w:ascii="Book Antiqua" w:eastAsia="宋体" w:hAnsi="Book Antiqua" w:cs="宋体"/>
          <w:sz w:val="24"/>
          <w:szCs w:val="24"/>
        </w:rPr>
        <w:t xml:space="preserve"> TM, </w:t>
      </w:r>
      <w:proofErr w:type="spellStart"/>
      <w:r w:rsidRPr="00013066">
        <w:rPr>
          <w:rFonts w:ascii="Book Antiqua" w:eastAsia="宋体" w:hAnsi="Book Antiqua" w:cs="宋体"/>
          <w:sz w:val="24"/>
          <w:szCs w:val="24"/>
        </w:rPr>
        <w:t>Ribero</w:t>
      </w:r>
      <w:proofErr w:type="spellEnd"/>
      <w:r w:rsidRPr="00013066">
        <w:rPr>
          <w:rFonts w:ascii="Book Antiqua" w:eastAsia="宋体" w:hAnsi="Book Antiqua" w:cs="宋体"/>
          <w:sz w:val="24"/>
          <w:szCs w:val="24"/>
        </w:rPr>
        <w:t xml:space="preserve"> D, Wu TT, </w:t>
      </w:r>
      <w:proofErr w:type="spellStart"/>
      <w:r w:rsidRPr="00013066">
        <w:rPr>
          <w:rFonts w:ascii="Book Antiqua" w:eastAsia="宋体" w:hAnsi="Book Antiqua" w:cs="宋体"/>
          <w:sz w:val="24"/>
          <w:szCs w:val="24"/>
        </w:rPr>
        <w:t>Zorzi</w:t>
      </w:r>
      <w:proofErr w:type="spellEnd"/>
      <w:r w:rsidRPr="00013066">
        <w:rPr>
          <w:rFonts w:ascii="Book Antiqua" w:eastAsia="宋体" w:hAnsi="Book Antiqua" w:cs="宋体"/>
          <w:sz w:val="24"/>
          <w:szCs w:val="24"/>
        </w:rPr>
        <w:t xml:space="preserve"> D, Hoff PM, </w:t>
      </w:r>
      <w:proofErr w:type="spellStart"/>
      <w:r w:rsidRPr="00013066">
        <w:rPr>
          <w:rFonts w:ascii="Book Antiqua" w:eastAsia="宋体" w:hAnsi="Book Antiqua" w:cs="宋体"/>
          <w:sz w:val="24"/>
          <w:szCs w:val="24"/>
        </w:rPr>
        <w:t>Xiong</w:t>
      </w:r>
      <w:proofErr w:type="spellEnd"/>
      <w:r w:rsidRPr="00013066">
        <w:rPr>
          <w:rFonts w:ascii="Book Antiqua" w:eastAsia="宋体" w:hAnsi="Book Antiqua" w:cs="宋体"/>
          <w:sz w:val="24"/>
          <w:szCs w:val="24"/>
        </w:rPr>
        <w:t xml:space="preserve"> HQ, </w:t>
      </w:r>
      <w:proofErr w:type="spellStart"/>
      <w:r w:rsidRPr="00013066">
        <w:rPr>
          <w:rFonts w:ascii="Book Antiqua" w:eastAsia="宋体" w:hAnsi="Book Antiqua" w:cs="宋体"/>
          <w:sz w:val="24"/>
          <w:szCs w:val="24"/>
        </w:rPr>
        <w:t>Eng</w:t>
      </w:r>
      <w:proofErr w:type="spellEnd"/>
      <w:r w:rsidRPr="00013066">
        <w:rPr>
          <w:rFonts w:ascii="Book Antiqua" w:eastAsia="宋体" w:hAnsi="Book Antiqua" w:cs="宋体"/>
          <w:sz w:val="24"/>
          <w:szCs w:val="24"/>
        </w:rPr>
        <w:t xml:space="preserve"> C, </w:t>
      </w:r>
      <w:proofErr w:type="spellStart"/>
      <w:r w:rsidRPr="00013066">
        <w:rPr>
          <w:rFonts w:ascii="Book Antiqua" w:eastAsia="宋体" w:hAnsi="Book Antiqua" w:cs="宋体"/>
          <w:sz w:val="24"/>
          <w:szCs w:val="24"/>
        </w:rPr>
        <w:t>Lauwers</w:t>
      </w:r>
      <w:proofErr w:type="spellEnd"/>
      <w:r w:rsidRPr="00013066">
        <w:rPr>
          <w:rFonts w:ascii="Book Antiqua" w:eastAsia="宋体" w:hAnsi="Book Antiqua" w:cs="宋体"/>
          <w:sz w:val="24"/>
          <w:szCs w:val="24"/>
        </w:rPr>
        <w:t xml:space="preserve"> GY, Mino-</w:t>
      </w:r>
      <w:proofErr w:type="spellStart"/>
      <w:r w:rsidRPr="00013066">
        <w:rPr>
          <w:rFonts w:ascii="Book Antiqua" w:eastAsia="宋体" w:hAnsi="Book Antiqua" w:cs="宋体"/>
          <w:sz w:val="24"/>
          <w:szCs w:val="24"/>
        </w:rPr>
        <w:t>Kenudson</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Risio</w:t>
      </w:r>
      <w:proofErr w:type="spellEnd"/>
      <w:r w:rsidRPr="00013066">
        <w:rPr>
          <w:rFonts w:ascii="Book Antiqua" w:eastAsia="宋体" w:hAnsi="Book Antiqua" w:cs="宋体"/>
          <w:sz w:val="24"/>
          <w:szCs w:val="24"/>
        </w:rPr>
        <w:t xml:space="preserve"> M, </w:t>
      </w:r>
      <w:proofErr w:type="spellStart"/>
      <w:r w:rsidRPr="00013066">
        <w:rPr>
          <w:rFonts w:ascii="Book Antiqua" w:eastAsia="宋体" w:hAnsi="Book Antiqua" w:cs="宋体"/>
          <w:sz w:val="24"/>
          <w:szCs w:val="24"/>
        </w:rPr>
        <w:t>Muratore</w:t>
      </w:r>
      <w:proofErr w:type="spellEnd"/>
      <w:r w:rsidRPr="00013066">
        <w:rPr>
          <w:rFonts w:ascii="Book Antiqua" w:eastAsia="宋体" w:hAnsi="Book Antiqua" w:cs="宋体"/>
          <w:sz w:val="24"/>
          <w:szCs w:val="24"/>
        </w:rPr>
        <w:t xml:space="preserve"> A, </w:t>
      </w:r>
      <w:proofErr w:type="spellStart"/>
      <w:r w:rsidRPr="00013066">
        <w:rPr>
          <w:rFonts w:ascii="Book Antiqua" w:eastAsia="宋体" w:hAnsi="Book Antiqua" w:cs="宋体"/>
          <w:sz w:val="24"/>
          <w:szCs w:val="24"/>
        </w:rPr>
        <w:t>Capussotti</w:t>
      </w:r>
      <w:proofErr w:type="spellEnd"/>
      <w:r w:rsidRPr="00013066">
        <w:rPr>
          <w:rFonts w:ascii="Book Antiqua" w:eastAsia="宋体" w:hAnsi="Book Antiqua" w:cs="宋体"/>
          <w:sz w:val="24"/>
          <w:szCs w:val="24"/>
        </w:rPr>
        <w:t xml:space="preserve"> L, Curley SA, </w:t>
      </w:r>
      <w:proofErr w:type="spellStart"/>
      <w:r w:rsidRPr="00013066">
        <w:rPr>
          <w:rFonts w:ascii="Book Antiqua" w:eastAsia="宋体" w:hAnsi="Book Antiqua" w:cs="宋体"/>
          <w:sz w:val="24"/>
          <w:szCs w:val="24"/>
        </w:rPr>
        <w:t>Abdalla</w:t>
      </w:r>
      <w:proofErr w:type="spellEnd"/>
      <w:r w:rsidRPr="00013066">
        <w:rPr>
          <w:rFonts w:ascii="Book Antiqua" w:eastAsia="宋体" w:hAnsi="Book Antiqua" w:cs="宋体"/>
          <w:sz w:val="24"/>
          <w:szCs w:val="24"/>
        </w:rPr>
        <w:t xml:space="preserve"> EK. Chemotherapy regimen predicts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 xml:space="preserve"> and an increase in 90-day mortality after surgery for hepatic colorectal metastases.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Clin</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Oncol</w:t>
      </w:r>
      <w:proofErr w:type="spellEnd"/>
      <w:r w:rsidRPr="00013066">
        <w:rPr>
          <w:rFonts w:ascii="Book Antiqua" w:eastAsia="宋体" w:hAnsi="Book Antiqua" w:cs="宋体"/>
          <w:sz w:val="24"/>
          <w:szCs w:val="24"/>
        </w:rPr>
        <w:t> 2006; </w:t>
      </w:r>
      <w:r w:rsidRPr="00013066">
        <w:rPr>
          <w:rFonts w:ascii="Book Antiqua" w:eastAsia="宋体" w:hAnsi="Book Antiqua" w:cs="宋体"/>
          <w:b/>
          <w:bCs/>
          <w:sz w:val="24"/>
          <w:szCs w:val="24"/>
        </w:rPr>
        <w:t>24</w:t>
      </w:r>
      <w:r w:rsidRPr="00013066">
        <w:rPr>
          <w:rFonts w:ascii="Book Antiqua" w:eastAsia="宋体" w:hAnsi="Book Antiqua" w:cs="宋体"/>
          <w:sz w:val="24"/>
          <w:szCs w:val="24"/>
        </w:rPr>
        <w:t>: 2065-2072 [PMID: 16648507 DOI: 10.1200/JCO.2005.05.3074]</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32 </w:t>
      </w:r>
      <w:proofErr w:type="spellStart"/>
      <w:r w:rsidRPr="00013066">
        <w:rPr>
          <w:rFonts w:ascii="Book Antiqua" w:eastAsia="宋体" w:hAnsi="Book Antiqua" w:cs="宋体"/>
          <w:b/>
          <w:bCs/>
          <w:sz w:val="24"/>
          <w:szCs w:val="24"/>
        </w:rPr>
        <w:t>Karoui</w:t>
      </w:r>
      <w:proofErr w:type="spellEnd"/>
      <w:r w:rsidRPr="00013066">
        <w:rPr>
          <w:rFonts w:ascii="Book Antiqua" w:eastAsia="宋体" w:hAnsi="Book Antiqua" w:cs="宋体"/>
          <w:b/>
          <w:bCs/>
          <w:sz w:val="24"/>
          <w:szCs w:val="24"/>
        </w:rPr>
        <w:t xml:space="preserve"> M</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Penna</w:t>
      </w:r>
      <w:proofErr w:type="spellEnd"/>
      <w:r w:rsidRPr="00013066">
        <w:rPr>
          <w:rFonts w:ascii="Book Antiqua" w:eastAsia="宋体" w:hAnsi="Book Antiqua" w:cs="宋体"/>
          <w:sz w:val="24"/>
          <w:szCs w:val="24"/>
        </w:rPr>
        <w:t xml:space="preserve"> C, Amin-Hashem M, </w:t>
      </w:r>
      <w:proofErr w:type="spellStart"/>
      <w:r w:rsidRPr="00013066">
        <w:rPr>
          <w:rFonts w:ascii="Book Antiqua" w:eastAsia="宋体" w:hAnsi="Book Antiqua" w:cs="宋体"/>
          <w:sz w:val="24"/>
          <w:szCs w:val="24"/>
        </w:rPr>
        <w:t>Mitry</w:t>
      </w:r>
      <w:proofErr w:type="spellEnd"/>
      <w:r w:rsidRPr="00013066">
        <w:rPr>
          <w:rFonts w:ascii="Book Antiqua" w:eastAsia="宋体" w:hAnsi="Book Antiqua" w:cs="宋体"/>
          <w:sz w:val="24"/>
          <w:szCs w:val="24"/>
        </w:rPr>
        <w:t xml:space="preserve"> E, </w:t>
      </w:r>
      <w:proofErr w:type="spellStart"/>
      <w:r w:rsidRPr="00013066">
        <w:rPr>
          <w:rFonts w:ascii="Book Antiqua" w:eastAsia="宋体" w:hAnsi="Book Antiqua" w:cs="宋体"/>
          <w:sz w:val="24"/>
          <w:szCs w:val="24"/>
        </w:rPr>
        <w:t>Benoist</w:t>
      </w:r>
      <w:proofErr w:type="spellEnd"/>
      <w:r w:rsidRPr="00013066">
        <w:rPr>
          <w:rFonts w:ascii="Book Antiqua" w:eastAsia="宋体" w:hAnsi="Book Antiqua" w:cs="宋体"/>
          <w:sz w:val="24"/>
          <w:szCs w:val="24"/>
        </w:rPr>
        <w:t xml:space="preserve"> S, Franc B, </w:t>
      </w:r>
      <w:proofErr w:type="spellStart"/>
      <w:r w:rsidRPr="00013066">
        <w:rPr>
          <w:rFonts w:ascii="Book Antiqua" w:eastAsia="宋体" w:hAnsi="Book Antiqua" w:cs="宋体"/>
          <w:sz w:val="24"/>
          <w:szCs w:val="24"/>
        </w:rPr>
        <w:t>Rougier</w:t>
      </w:r>
      <w:proofErr w:type="spellEnd"/>
      <w:r w:rsidRPr="00013066">
        <w:rPr>
          <w:rFonts w:ascii="Book Antiqua" w:eastAsia="宋体" w:hAnsi="Book Antiqua" w:cs="宋体"/>
          <w:sz w:val="24"/>
          <w:szCs w:val="24"/>
        </w:rPr>
        <w:t xml:space="preserve"> P, </w:t>
      </w:r>
      <w:proofErr w:type="spellStart"/>
      <w:r w:rsidRPr="00013066">
        <w:rPr>
          <w:rFonts w:ascii="Book Antiqua" w:eastAsia="宋体" w:hAnsi="Book Antiqua" w:cs="宋体"/>
          <w:sz w:val="24"/>
          <w:szCs w:val="24"/>
        </w:rPr>
        <w:t>Nordlinger</w:t>
      </w:r>
      <w:proofErr w:type="spellEnd"/>
      <w:r w:rsidRPr="00013066">
        <w:rPr>
          <w:rFonts w:ascii="Book Antiqua" w:eastAsia="宋体" w:hAnsi="Book Antiqua" w:cs="宋体"/>
          <w:sz w:val="24"/>
          <w:szCs w:val="24"/>
        </w:rPr>
        <w:t xml:space="preserve"> B. Influence of preoperative chemotherapy on the risk of major </w:t>
      </w:r>
      <w:proofErr w:type="spellStart"/>
      <w:r w:rsidRPr="00013066">
        <w:rPr>
          <w:rFonts w:ascii="Book Antiqua" w:eastAsia="宋体" w:hAnsi="Book Antiqua" w:cs="宋体"/>
          <w:sz w:val="24"/>
          <w:szCs w:val="24"/>
        </w:rPr>
        <w:t>hepatectomy</w:t>
      </w:r>
      <w:proofErr w:type="spellEnd"/>
      <w:r w:rsidRPr="00013066">
        <w:rPr>
          <w:rFonts w:ascii="Book Antiqua" w:eastAsia="宋体" w:hAnsi="Book Antiqua" w:cs="宋体"/>
          <w:sz w:val="24"/>
          <w:szCs w:val="24"/>
        </w:rPr>
        <w:t xml:space="preserve"> for colorectal liver metastases. </w:t>
      </w:r>
      <w:r w:rsidRPr="00013066">
        <w:rPr>
          <w:rFonts w:ascii="Book Antiqua" w:eastAsia="宋体" w:hAnsi="Book Antiqua" w:cs="宋体"/>
          <w:i/>
          <w:iCs/>
          <w:sz w:val="24"/>
          <w:szCs w:val="24"/>
        </w:rPr>
        <w:t xml:space="preserve">Ann </w:t>
      </w:r>
      <w:proofErr w:type="spellStart"/>
      <w:r w:rsidRPr="00013066">
        <w:rPr>
          <w:rFonts w:ascii="Book Antiqua" w:eastAsia="宋体" w:hAnsi="Book Antiqua" w:cs="宋体"/>
          <w:i/>
          <w:iCs/>
          <w:sz w:val="24"/>
          <w:szCs w:val="24"/>
        </w:rPr>
        <w:t>Surg</w:t>
      </w:r>
      <w:proofErr w:type="spellEnd"/>
      <w:r w:rsidRPr="00013066">
        <w:rPr>
          <w:rFonts w:ascii="Book Antiqua" w:eastAsia="宋体" w:hAnsi="Book Antiqua" w:cs="宋体"/>
          <w:sz w:val="24"/>
          <w:szCs w:val="24"/>
        </w:rPr>
        <w:t> 2006; </w:t>
      </w:r>
      <w:r w:rsidRPr="00013066">
        <w:rPr>
          <w:rFonts w:ascii="Book Antiqua" w:eastAsia="宋体" w:hAnsi="Book Antiqua" w:cs="宋体"/>
          <w:b/>
          <w:bCs/>
          <w:sz w:val="24"/>
          <w:szCs w:val="24"/>
        </w:rPr>
        <w:t>243</w:t>
      </w:r>
      <w:r w:rsidRPr="00013066">
        <w:rPr>
          <w:rFonts w:ascii="Book Antiqua" w:eastAsia="宋体" w:hAnsi="Book Antiqua" w:cs="宋体"/>
          <w:sz w:val="24"/>
          <w:szCs w:val="24"/>
        </w:rPr>
        <w:t>: 1-7 [PMID: 16371728 DOI: 10.1097/01.sla.0000193603.26265.c3]</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33 </w:t>
      </w:r>
      <w:r w:rsidRPr="00013066">
        <w:rPr>
          <w:rFonts w:ascii="Book Antiqua" w:eastAsia="宋体" w:hAnsi="Book Antiqua" w:cs="宋体"/>
          <w:b/>
          <w:bCs/>
          <w:sz w:val="24"/>
          <w:szCs w:val="24"/>
        </w:rPr>
        <w:t>El-</w:t>
      </w:r>
      <w:proofErr w:type="spellStart"/>
      <w:r w:rsidRPr="00013066">
        <w:rPr>
          <w:rFonts w:ascii="Book Antiqua" w:eastAsia="宋体" w:hAnsi="Book Antiqua" w:cs="宋体"/>
          <w:b/>
          <w:bCs/>
          <w:sz w:val="24"/>
          <w:szCs w:val="24"/>
        </w:rPr>
        <w:t>Serag</w:t>
      </w:r>
      <w:proofErr w:type="spellEnd"/>
      <w:r w:rsidRPr="00013066">
        <w:rPr>
          <w:rFonts w:ascii="Book Antiqua" w:eastAsia="宋体" w:hAnsi="Book Antiqua" w:cs="宋体"/>
          <w:b/>
          <w:bCs/>
          <w:sz w:val="24"/>
          <w:szCs w:val="24"/>
        </w:rPr>
        <w:t xml:space="preserve"> HB</w:t>
      </w:r>
      <w:proofErr w:type="gramEnd"/>
      <w:r w:rsidRPr="00013066">
        <w:rPr>
          <w:rFonts w:ascii="Book Antiqua" w:eastAsia="宋体" w:hAnsi="Book Antiqua" w:cs="宋体"/>
          <w:sz w:val="24"/>
          <w:szCs w:val="24"/>
        </w:rPr>
        <w:t>, Richardson PA, Everhart JE. The role of diabetes in hepatocellular carcinoma: a case-control study among United States Veterans. </w:t>
      </w:r>
      <w:r w:rsidRPr="00013066">
        <w:rPr>
          <w:rFonts w:ascii="Book Antiqua" w:eastAsia="宋体" w:hAnsi="Book Antiqua" w:cs="宋体"/>
          <w:i/>
          <w:iCs/>
          <w:sz w:val="24"/>
          <w:szCs w:val="24"/>
        </w:rPr>
        <w:t xml:space="preserve">Am J </w:t>
      </w:r>
      <w:proofErr w:type="spellStart"/>
      <w:r w:rsidRPr="00013066">
        <w:rPr>
          <w:rFonts w:ascii="Book Antiqua" w:eastAsia="宋体" w:hAnsi="Book Antiqua" w:cs="宋体"/>
          <w:i/>
          <w:iCs/>
          <w:sz w:val="24"/>
          <w:szCs w:val="24"/>
        </w:rPr>
        <w:lastRenderedPageBreak/>
        <w:t>Gastroenterol</w:t>
      </w:r>
      <w:proofErr w:type="spellEnd"/>
      <w:r w:rsidRPr="00013066">
        <w:rPr>
          <w:rFonts w:ascii="Book Antiqua" w:eastAsia="宋体" w:hAnsi="Book Antiqua" w:cs="宋体"/>
          <w:sz w:val="24"/>
          <w:szCs w:val="24"/>
        </w:rPr>
        <w:t> 2001; </w:t>
      </w:r>
      <w:r w:rsidRPr="00013066">
        <w:rPr>
          <w:rFonts w:ascii="Book Antiqua" w:eastAsia="宋体" w:hAnsi="Book Antiqua" w:cs="宋体"/>
          <w:b/>
          <w:bCs/>
          <w:sz w:val="24"/>
          <w:szCs w:val="24"/>
        </w:rPr>
        <w:t>96</w:t>
      </w:r>
      <w:r w:rsidRPr="00013066">
        <w:rPr>
          <w:rFonts w:ascii="Book Antiqua" w:eastAsia="宋体" w:hAnsi="Book Antiqua" w:cs="宋体"/>
          <w:sz w:val="24"/>
          <w:szCs w:val="24"/>
        </w:rPr>
        <w:t>: 2462-2467 [PMID: 11513191 DOI: 10.1111/j.1572-0241.2001.04054.x]</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34 </w:t>
      </w:r>
      <w:r w:rsidRPr="00013066">
        <w:rPr>
          <w:rFonts w:ascii="Book Antiqua" w:eastAsia="宋体" w:hAnsi="Book Antiqua" w:cs="宋体"/>
          <w:b/>
          <w:bCs/>
          <w:sz w:val="24"/>
          <w:szCs w:val="24"/>
        </w:rPr>
        <w:t>Nair S</w:t>
      </w:r>
      <w:r w:rsidRPr="00013066">
        <w:rPr>
          <w:rFonts w:ascii="Book Antiqua" w:eastAsia="宋体" w:hAnsi="Book Antiqua" w:cs="宋体"/>
          <w:sz w:val="24"/>
          <w:szCs w:val="24"/>
        </w:rPr>
        <w:t xml:space="preserve">, Mason A, Eason J, Loss G, </w:t>
      </w:r>
      <w:proofErr w:type="spellStart"/>
      <w:r w:rsidRPr="00013066">
        <w:rPr>
          <w:rFonts w:ascii="Book Antiqua" w:eastAsia="宋体" w:hAnsi="Book Antiqua" w:cs="宋体"/>
          <w:sz w:val="24"/>
          <w:szCs w:val="24"/>
        </w:rPr>
        <w:t>Perrillo</w:t>
      </w:r>
      <w:proofErr w:type="spellEnd"/>
      <w:r w:rsidRPr="00013066">
        <w:rPr>
          <w:rFonts w:ascii="Book Antiqua" w:eastAsia="宋体" w:hAnsi="Book Antiqua" w:cs="宋体"/>
          <w:sz w:val="24"/>
          <w:szCs w:val="24"/>
        </w:rPr>
        <w:t xml:space="preserve"> RP. Is obesity an independent risk factor for hepatocellular carcinoma in cirrhosis? </w:t>
      </w:r>
      <w:proofErr w:type="spellStart"/>
      <w:r w:rsidRPr="00013066">
        <w:rPr>
          <w:rFonts w:ascii="Book Antiqua" w:eastAsia="宋体" w:hAnsi="Book Antiqua" w:cs="宋体"/>
          <w:i/>
          <w:iCs/>
          <w:sz w:val="24"/>
          <w:szCs w:val="24"/>
        </w:rPr>
        <w:t>Hepatology</w:t>
      </w:r>
      <w:proofErr w:type="spellEnd"/>
      <w:r w:rsidRPr="00013066">
        <w:rPr>
          <w:rFonts w:ascii="Book Antiqua" w:eastAsia="宋体" w:hAnsi="Book Antiqua" w:cs="宋体"/>
          <w:sz w:val="24"/>
          <w:szCs w:val="24"/>
        </w:rPr>
        <w:t> 2002; </w:t>
      </w:r>
      <w:r w:rsidRPr="00013066">
        <w:rPr>
          <w:rFonts w:ascii="Book Antiqua" w:eastAsia="宋体" w:hAnsi="Book Antiqua" w:cs="宋体"/>
          <w:b/>
          <w:bCs/>
          <w:sz w:val="24"/>
          <w:szCs w:val="24"/>
        </w:rPr>
        <w:t>36</w:t>
      </w:r>
      <w:r w:rsidRPr="00013066">
        <w:rPr>
          <w:rFonts w:ascii="Book Antiqua" w:eastAsia="宋体" w:hAnsi="Book Antiqua" w:cs="宋体"/>
          <w:sz w:val="24"/>
          <w:szCs w:val="24"/>
        </w:rPr>
        <w:t>: 150-155 [PMID: 12085359 DOI: 10.1053/jhep.2002.33713]</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35 </w:t>
      </w:r>
      <w:proofErr w:type="spellStart"/>
      <w:r w:rsidRPr="00013066">
        <w:rPr>
          <w:rFonts w:ascii="Book Antiqua" w:eastAsia="宋体" w:hAnsi="Book Antiqua" w:cs="宋体"/>
          <w:b/>
          <w:bCs/>
          <w:sz w:val="24"/>
          <w:szCs w:val="24"/>
        </w:rPr>
        <w:t>Calle</w:t>
      </w:r>
      <w:proofErr w:type="spellEnd"/>
      <w:r w:rsidRPr="00013066">
        <w:rPr>
          <w:rFonts w:ascii="Book Antiqua" w:eastAsia="宋体" w:hAnsi="Book Antiqua" w:cs="宋体"/>
          <w:b/>
          <w:bCs/>
          <w:sz w:val="24"/>
          <w:szCs w:val="24"/>
        </w:rPr>
        <w:t xml:space="preserve"> EE</w:t>
      </w:r>
      <w:r w:rsidRPr="00013066">
        <w:rPr>
          <w:rFonts w:ascii="Book Antiqua" w:eastAsia="宋体" w:hAnsi="Book Antiqua" w:cs="宋体"/>
          <w:sz w:val="24"/>
          <w:szCs w:val="24"/>
        </w:rPr>
        <w:t>, Rodriguez C, Walker-Thurmond K, Thun MJ. Overweight, obesity, and mortality from cancer in a prospectively studied cohort of U.S. adults. </w:t>
      </w:r>
      <w:r w:rsidRPr="00013066">
        <w:rPr>
          <w:rFonts w:ascii="Book Antiqua" w:eastAsia="宋体" w:hAnsi="Book Antiqua" w:cs="宋体"/>
          <w:i/>
          <w:iCs/>
          <w:sz w:val="24"/>
          <w:szCs w:val="24"/>
        </w:rPr>
        <w:t xml:space="preserve">N </w:t>
      </w:r>
      <w:proofErr w:type="spellStart"/>
      <w:r w:rsidRPr="00013066">
        <w:rPr>
          <w:rFonts w:ascii="Book Antiqua" w:eastAsia="宋体" w:hAnsi="Book Antiqua" w:cs="宋体"/>
          <w:i/>
          <w:iCs/>
          <w:sz w:val="24"/>
          <w:szCs w:val="24"/>
        </w:rPr>
        <w:t>Engl</w:t>
      </w:r>
      <w:proofErr w:type="spellEnd"/>
      <w:r w:rsidRPr="00013066">
        <w:rPr>
          <w:rFonts w:ascii="Book Antiqua" w:eastAsia="宋体" w:hAnsi="Book Antiqua" w:cs="宋体"/>
          <w:i/>
          <w:iCs/>
          <w:sz w:val="24"/>
          <w:szCs w:val="24"/>
        </w:rPr>
        <w:t xml:space="preserve"> J Med</w:t>
      </w:r>
      <w:r w:rsidRPr="00013066">
        <w:rPr>
          <w:rFonts w:ascii="Book Antiqua" w:eastAsia="宋体" w:hAnsi="Book Antiqua" w:cs="宋体"/>
          <w:sz w:val="24"/>
          <w:szCs w:val="24"/>
        </w:rPr>
        <w:t> 2003; </w:t>
      </w:r>
      <w:r w:rsidRPr="00013066">
        <w:rPr>
          <w:rFonts w:ascii="Book Antiqua" w:eastAsia="宋体" w:hAnsi="Book Antiqua" w:cs="宋体"/>
          <w:b/>
          <w:bCs/>
          <w:sz w:val="24"/>
          <w:szCs w:val="24"/>
        </w:rPr>
        <w:t>348</w:t>
      </w:r>
      <w:r w:rsidRPr="00013066">
        <w:rPr>
          <w:rFonts w:ascii="Book Antiqua" w:eastAsia="宋体" w:hAnsi="Book Antiqua" w:cs="宋体"/>
          <w:sz w:val="24"/>
          <w:szCs w:val="24"/>
        </w:rPr>
        <w:t>: 1625-1638 [PMID: 12711737 DOI: 10.1056/NEJMoa021423]</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36 </w:t>
      </w:r>
      <w:r w:rsidRPr="00013066">
        <w:rPr>
          <w:rFonts w:ascii="Book Antiqua" w:eastAsia="宋体" w:hAnsi="Book Antiqua" w:cs="宋体"/>
          <w:b/>
          <w:bCs/>
          <w:sz w:val="24"/>
          <w:szCs w:val="24"/>
        </w:rPr>
        <w:t>Qian Y</w:t>
      </w:r>
      <w:r w:rsidRPr="00013066">
        <w:rPr>
          <w:rFonts w:ascii="Book Antiqua" w:eastAsia="宋体" w:hAnsi="Book Antiqua" w:cs="宋体"/>
          <w:sz w:val="24"/>
          <w:szCs w:val="24"/>
        </w:rPr>
        <w:t xml:space="preserve">, Fan JG. </w:t>
      </w:r>
      <w:proofErr w:type="gramStart"/>
      <w:r w:rsidRPr="00013066">
        <w:rPr>
          <w:rFonts w:ascii="Book Antiqua" w:eastAsia="宋体" w:hAnsi="Book Antiqua" w:cs="宋体"/>
          <w:sz w:val="24"/>
          <w:szCs w:val="24"/>
        </w:rPr>
        <w:t>Obesity, fatty liver and liver cancer.</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Hepatobiliary</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Pancreat</w:t>
      </w:r>
      <w:proofErr w:type="spellEnd"/>
      <w:r w:rsidRPr="00013066">
        <w:rPr>
          <w:rFonts w:ascii="Book Antiqua" w:eastAsia="宋体" w:hAnsi="Book Antiqua" w:cs="宋体"/>
          <w:i/>
          <w:iCs/>
          <w:sz w:val="24"/>
          <w:szCs w:val="24"/>
        </w:rPr>
        <w:t xml:space="preserve"> Dis </w:t>
      </w:r>
      <w:proofErr w:type="spellStart"/>
      <w:r w:rsidRPr="00013066">
        <w:rPr>
          <w:rFonts w:ascii="Book Antiqua" w:eastAsia="宋体" w:hAnsi="Book Antiqua" w:cs="宋体"/>
          <w:i/>
          <w:iCs/>
          <w:sz w:val="24"/>
          <w:szCs w:val="24"/>
        </w:rPr>
        <w:t>Int</w:t>
      </w:r>
      <w:proofErr w:type="spellEnd"/>
      <w:r w:rsidRPr="00013066">
        <w:rPr>
          <w:rFonts w:ascii="Book Antiqua" w:eastAsia="宋体" w:hAnsi="Book Antiqua" w:cs="宋体"/>
          <w:sz w:val="24"/>
          <w:szCs w:val="24"/>
        </w:rPr>
        <w:t> 2005; </w:t>
      </w:r>
      <w:r w:rsidRPr="00013066">
        <w:rPr>
          <w:rFonts w:ascii="Book Antiqua" w:eastAsia="宋体" w:hAnsi="Book Antiqua" w:cs="宋体"/>
          <w:b/>
          <w:bCs/>
          <w:sz w:val="24"/>
          <w:szCs w:val="24"/>
        </w:rPr>
        <w:t>4</w:t>
      </w:r>
      <w:r w:rsidRPr="00013066">
        <w:rPr>
          <w:rFonts w:ascii="Book Antiqua" w:eastAsia="宋体" w:hAnsi="Book Antiqua" w:cs="宋体"/>
          <w:sz w:val="24"/>
          <w:szCs w:val="24"/>
        </w:rPr>
        <w:t>: 173-177 [PMID: 15908310]</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37 </w:t>
      </w:r>
      <w:proofErr w:type="spellStart"/>
      <w:r w:rsidRPr="00013066">
        <w:rPr>
          <w:rFonts w:ascii="Book Antiqua" w:eastAsia="宋体" w:hAnsi="Book Antiqua" w:cs="宋体"/>
          <w:b/>
          <w:bCs/>
          <w:sz w:val="24"/>
          <w:szCs w:val="24"/>
        </w:rPr>
        <w:t>Pischon</w:t>
      </w:r>
      <w:proofErr w:type="spellEnd"/>
      <w:r w:rsidRPr="00013066">
        <w:rPr>
          <w:rFonts w:ascii="Book Antiqua" w:eastAsia="宋体" w:hAnsi="Book Antiqua" w:cs="宋体"/>
          <w:b/>
          <w:bCs/>
          <w:sz w:val="24"/>
          <w:szCs w:val="24"/>
        </w:rPr>
        <w:t xml:space="preserve"> T</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Nöthlings</w:t>
      </w:r>
      <w:proofErr w:type="spellEnd"/>
      <w:r w:rsidRPr="00013066">
        <w:rPr>
          <w:rFonts w:ascii="Book Antiqua" w:eastAsia="宋体" w:hAnsi="Book Antiqua" w:cs="宋体"/>
          <w:sz w:val="24"/>
          <w:szCs w:val="24"/>
        </w:rPr>
        <w:t xml:space="preserve"> U, Boeing H. Obesity and cancer.</w:t>
      </w:r>
      <w:proofErr w:type="gramEnd"/>
      <w:r w:rsidRPr="00013066">
        <w:rPr>
          <w:rFonts w:ascii="Book Antiqua" w:eastAsia="宋体" w:hAnsi="Book Antiqua" w:cs="宋体"/>
          <w:sz w:val="24"/>
          <w:szCs w:val="24"/>
        </w:rPr>
        <w:t> </w:t>
      </w:r>
      <w:proofErr w:type="spellStart"/>
      <w:r w:rsidRPr="00013066">
        <w:rPr>
          <w:rFonts w:ascii="Book Antiqua" w:eastAsia="宋体" w:hAnsi="Book Antiqua" w:cs="宋体"/>
          <w:i/>
          <w:iCs/>
          <w:sz w:val="24"/>
          <w:szCs w:val="24"/>
        </w:rPr>
        <w:t>Proc</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Nutr</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Soc</w:t>
      </w:r>
      <w:proofErr w:type="spellEnd"/>
      <w:r w:rsidRPr="00013066">
        <w:rPr>
          <w:rFonts w:ascii="Book Antiqua" w:eastAsia="宋体" w:hAnsi="Book Antiqua" w:cs="宋体"/>
          <w:sz w:val="24"/>
          <w:szCs w:val="24"/>
        </w:rPr>
        <w:t> 2008; </w:t>
      </w:r>
      <w:r w:rsidRPr="00013066">
        <w:rPr>
          <w:rFonts w:ascii="Book Antiqua" w:eastAsia="宋体" w:hAnsi="Book Antiqua" w:cs="宋体"/>
          <w:b/>
          <w:bCs/>
          <w:sz w:val="24"/>
          <w:szCs w:val="24"/>
        </w:rPr>
        <w:t>67</w:t>
      </w:r>
      <w:r w:rsidRPr="00013066">
        <w:rPr>
          <w:rFonts w:ascii="Book Antiqua" w:eastAsia="宋体" w:hAnsi="Book Antiqua" w:cs="宋体"/>
          <w:sz w:val="24"/>
          <w:szCs w:val="24"/>
        </w:rPr>
        <w:t>: 128-145 [PMID: 18412987 DOI: 10.1017/S0029665108006976]</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38 </w:t>
      </w:r>
      <w:proofErr w:type="spellStart"/>
      <w:r w:rsidRPr="00013066">
        <w:rPr>
          <w:rFonts w:ascii="Book Antiqua" w:eastAsia="宋体" w:hAnsi="Book Antiqua" w:cs="宋体"/>
          <w:b/>
          <w:bCs/>
          <w:sz w:val="24"/>
          <w:szCs w:val="24"/>
        </w:rPr>
        <w:t>Amarapurkar</w:t>
      </w:r>
      <w:proofErr w:type="spellEnd"/>
      <w:r w:rsidRPr="00013066">
        <w:rPr>
          <w:rFonts w:ascii="Book Antiqua" w:eastAsia="宋体" w:hAnsi="Book Antiqua" w:cs="宋体"/>
          <w:b/>
          <w:bCs/>
          <w:sz w:val="24"/>
          <w:szCs w:val="24"/>
        </w:rPr>
        <w:t xml:space="preserve"> DN</w:t>
      </w:r>
      <w:r w:rsidRPr="00013066">
        <w:rPr>
          <w:rFonts w:ascii="Book Antiqua" w:eastAsia="宋体" w:hAnsi="Book Antiqua" w:cs="宋体"/>
          <w:sz w:val="24"/>
          <w:szCs w:val="24"/>
        </w:rPr>
        <w:t xml:space="preserve">, Patel ND, </w:t>
      </w:r>
      <w:proofErr w:type="spellStart"/>
      <w:r w:rsidRPr="00013066">
        <w:rPr>
          <w:rFonts w:ascii="Book Antiqua" w:eastAsia="宋体" w:hAnsi="Book Antiqua" w:cs="宋体"/>
          <w:sz w:val="24"/>
          <w:szCs w:val="24"/>
        </w:rPr>
        <w:t>Kamani</w:t>
      </w:r>
      <w:proofErr w:type="spellEnd"/>
      <w:r w:rsidRPr="00013066">
        <w:rPr>
          <w:rFonts w:ascii="Book Antiqua" w:eastAsia="宋体" w:hAnsi="Book Antiqua" w:cs="宋体"/>
          <w:sz w:val="24"/>
          <w:szCs w:val="24"/>
        </w:rPr>
        <w:t xml:space="preserve"> PM. Impact of diabetes mellitus on outcome of HCC.</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 xml:space="preserve">Ann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w:t>
      </w:r>
      <w:r>
        <w:rPr>
          <w:rFonts w:ascii="Book Antiqua" w:eastAsia="宋体" w:hAnsi="Book Antiqua" w:cs="宋体" w:hint="eastAsia"/>
          <w:sz w:val="24"/>
          <w:szCs w:val="24"/>
        </w:rPr>
        <w:t>2008</w:t>
      </w:r>
      <w:r w:rsidRPr="00013066">
        <w:rPr>
          <w:rFonts w:ascii="Book Antiqua" w:eastAsia="宋体" w:hAnsi="Book Antiqua" w:cs="宋体"/>
          <w:sz w:val="24"/>
          <w:szCs w:val="24"/>
        </w:rPr>
        <w:t>; </w:t>
      </w:r>
      <w:r w:rsidRPr="00013066">
        <w:rPr>
          <w:rFonts w:ascii="Book Antiqua" w:eastAsia="宋体" w:hAnsi="Book Antiqua" w:cs="宋体"/>
          <w:b/>
          <w:bCs/>
          <w:sz w:val="24"/>
          <w:szCs w:val="24"/>
        </w:rPr>
        <w:t>7</w:t>
      </w:r>
      <w:r w:rsidRPr="00013066">
        <w:rPr>
          <w:rFonts w:ascii="Book Antiqua" w:eastAsia="宋体" w:hAnsi="Book Antiqua" w:cs="宋体"/>
          <w:sz w:val="24"/>
          <w:szCs w:val="24"/>
        </w:rPr>
        <w:t>: 148-151 [PMID: 18626433]</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39 </w:t>
      </w:r>
      <w:r w:rsidRPr="00013066">
        <w:rPr>
          <w:rFonts w:ascii="Book Antiqua" w:eastAsia="宋体" w:hAnsi="Book Antiqua" w:cs="宋体"/>
          <w:b/>
          <w:bCs/>
          <w:sz w:val="24"/>
          <w:szCs w:val="24"/>
        </w:rPr>
        <w:t xml:space="preserve">Fair </w:t>
      </w:r>
      <w:proofErr w:type="gramStart"/>
      <w:r w:rsidRPr="00013066">
        <w:rPr>
          <w:rFonts w:ascii="Book Antiqua" w:eastAsia="宋体" w:hAnsi="Book Antiqua" w:cs="宋体"/>
          <w:b/>
          <w:bCs/>
          <w:sz w:val="24"/>
          <w:szCs w:val="24"/>
        </w:rPr>
        <w:t>AM</w:t>
      </w:r>
      <w:r w:rsidRPr="00013066">
        <w:rPr>
          <w:rFonts w:ascii="Book Antiqua" w:eastAsia="宋体" w:hAnsi="Book Antiqua" w:cs="宋体"/>
          <w:sz w:val="24"/>
          <w:szCs w:val="24"/>
        </w:rPr>
        <w:t>,</w:t>
      </w:r>
      <w:proofErr w:type="gramEnd"/>
      <w:r w:rsidRPr="00013066">
        <w:rPr>
          <w:rFonts w:ascii="Book Antiqua" w:eastAsia="宋体" w:hAnsi="Book Antiqua" w:cs="宋体"/>
          <w:sz w:val="24"/>
          <w:szCs w:val="24"/>
        </w:rPr>
        <w:t xml:space="preserve"> Montgomery K. Energy balance, physical activity, and cancer risk. </w:t>
      </w:r>
      <w:r w:rsidRPr="00013066">
        <w:rPr>
          <w:rFonts w:ascii="Book Antiqua" w:eastAsia="宋体" w:hAnsi="Book Antiqua" w:cs="宋体"/>
          <w:i/>
          <w:iCs/>
          <w:sz w:val="24"/>
          <w:szCs w:val="24"/>
        </w:rPr>
        <w:t xml:space="preserve">Methods </w:t>
      </w:r>
      <w:proofErr w:type="spellStart"/>
      <w:r w:rsidRPr="00013066">
        <w:rPr>
          <w:rFonts w:ascii="Book Antiqua" w:eastAsia="宋体" w:hAnsi="Book Antiqua" w:cs="宋体"/>
          <w:i/>
          <w:iCs/>
          <w:sz w:val="24"/>
          <w:szCs w:val="24"/>
        </w:rPr>
        <w:t>Mol</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Biol</w:t>
      </w:r>
      <w:proofErr w:type="spellEnd"/>
      <w:r w:rsidRPr="00013066">
        <w:rPr>
          <w:rFonts w:ascii="Book Antiqua" w:eastAsia="宋体" w:hAnsi="Book Antiqua" w:cs="宋体"/>
          <w:sz w:val="24"/>
          <w:szCs w:val="24"/>
        </w:rPr>
        <w:t> 2009; </w:t>
      </w:r>
      <w:r w:rsidRPr="00013066">
        <w:rPr>
          <w:rFonts w:ascii="Book Antiqua" w:eastAsia="宋体" w:hAnsi="Book Antiqua" w:cs="宋体"/>
          <w:b/>
          <w:bCs/>
          <w:sz w:val="24"/>
          <w:szCs w:val="24"/>
        </w:rPr>
        <w:t>472</w:t>
      </w:r>
      <w:r w:rsidRPr="00013066">
        <w:rPr>
          <w:rFonts w:ascii="Book Antiqua" w:eastAsia="宋体" w:hAnsi="Book Antiqua" w:cs="宋体"/>
          <w:sz w:val="24"/>
          <w:szCs w:val="24"/>
        </w:rPr>
        <w:t>: 57-88 [PMID: 19107429 DOI: 10.1007/978-1-60327-492-0_3]</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40 </w:t>
      </w:r>
      <w:proofErr w:type="spellStart"/>
      <w:r w:rsidRPr="00013066">
        <w:rPr>
          <w:rFonts w:ascii="Book Antiqua" w:eastAsia="宋体" w:hAnsi="Book Antiqua" w:cs="宋体"/>
          <w:b/>
          <w:bCs/>
          <w:sz w:val="24"/>
          <w:szCs w:val="24"/>
        </w:rPr>
        <w:t>Schlienger</w:t>
      </w:r>
      <w:proofErr w:type="spellEnd"/>
      <w:r w:rsidRPr="00013066">
        <w:rPr>
          <w:rFonts w:ascii="Book Antiqua" w:eastAsia="宋体" w:hAnsi="Book Antiqua" w:cs="宋体"/>
          <w:b/>
          <w:bCs/>
          <w:sz w:val="24"/>
          <w:szCs w:val="24"/>
        </w:rPr>
        <w:t xml:space="preserve"> JL</w:t>
      </w:r>
      <w:r w:rsidRPr="00013066">
        <w:rPr>
          <w:rFonts w:ascii="Book Antiqua" w:eastAsia="宋体" w:hAnsi="Book Antiqua" w:cs="宋体"/>
          <w:sz w:val="24"/>
          <w:szCs w:val="24"/>
        </w:rPr>
        <w:t xml:space="preserve">, Luca F, </w:t>
      </w:r>
      <w:proofErr w:type="spellStart"/>
      <w:r w:rsidRPr="00013066">
        <w:rPr>
          <w:rFonts w:ascii="Book Antiqua" w:eastAsia="宋体" w:hAnsi="Book Antiqua" w:cs="宋体"/>
          <w:sz w:val="24"/>
          <w:szCs w:val="24"/>
        </w:rPr>
        <w:t>Vinzio</w:t>
      </w:r>
      <w:proofErr w:type="spellEnd"/>
      <w:r w:rsidRPr="00013066">
        <w:rPr>
          <w:rFonts w:ascii="Book Antiqua" w:eastAsia="宋体" w:hAnsi="Book Antiqua" w:cs="宋体"/>
          <w:sz w:val="24"/>
          <w:szCs w:val="24"/>
        </w:rPr>
        <w:t xml:space="preserve"> S, </w:t>
      </w:r>
      <w:proofErr w:type="spellStart"/>
      <w:r w:rsidRPr="00013066">
        <w:rPr>
          <w:rFonts w:ascii="Book Antiqua" w:eastAsia="宋体" w:hAnsi="Book Antiqua" w:cs="宋体"/>
          <w:sz w:val="24"/>
          <w:szCs w:val="24"/>
        </w:rPr>
        <w:t>Pradignac</w:t>
      </w:r>
      <w:proofErr w:type="spellEnd"/>
      <w:r w:rsidRPr="00013066">
        <w:rPr>
          <w:rFonts w:ascii="Book Antiqua" w:eastAsia="宋体" w:hAnsi="Book Antiqua" w:cs="宋体"/>
          <w:sz w:val="24"/>
          <w:szCs w:val="24"/>
        </w:rPr>
        <w:t xml:space="preserve"> A. [Obesity and cancer].</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Rev Med Interne</w:t>
      </w:r>
      <w:r w:rsidRPr="00013066">
        <w:rPr>
          <w:rFonts w:ascii="Book Antiqua" w:eastAsia="宋体" w:hAnsi="Book Antiqua" w:cs="宋体"/>
          <w:sz w:val="24"/>
          <w:szCs w:val="24"/>
        </w:rPr>
        <w:t> 2009; </w:t>
      </w:r>
      <w:r w:rsidRPr="00013066">
        <w:rPr>
          <w:rFonts w:ascii="Book Antiqua" w:eastAsia="宋体" w:hAnsi="Book Antiqua" w:cs="宋体"/>
          <w:b/>
          <w:bCs/>
          <w:sz w:val="24"/>
          <w:szCs w:val="24"/>
        </w:rPr>
        <w:t>30</w:t>
      </w:r>
      <w:r w:rsidRPr="00013066">
        <w:rPr>
          <w:rFonts w:ascii="Book Antiqua" w:eastAsia="宋体" w:hAnsi="Book Antiqua" w:cs="宋体"/>
          <w:sz w:val="24"/>
          <w:szCs w:val="24"/>
        </w:rPr>
        <w:t>: 776-782 [PMID: 19524333 DOI: 10.1016/j.revmed.2009.04.007]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41 </w:t>
      </w:r>
      <w:proofErr w:type="spellStart"/>
      <w:r w:rsidRPr="00013066">
        <w:rPr>
          <w:rFonts w:ascii="Book Antiqua" w:eastAsia="宋体" w:hAnsi="Book Antiqua" w:cs="宋体"/>
          <w:b/>
          <w:bCs/>
          <w:sz w:val="24"/>
          <w:szCs w:val="24"/>
        </w:rPr>
        <w:t>Ertle</w:t>
      </w:r>
      <w:proofErr w:type="spellEnd"/>
      <w:r w:rsidRPr="00013066">
        <w:rPr>
          <w:rFonts w:ascii="Book Antiqua" w:eastAsia="宋体" w:hAnsi="Book Antiqua" w:cs="宋体"/>
          <w:b/>
          <w:bCs/>
          <w:sz w:val="24"/>
          <w:szCs w:val="24"/>
        </w:rPr>
        <w:t xml:space="preserve"> J</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Dechêne</w:t>
      </w:r>
      <w:proofErr w:type="spellEnd"/>
      <w:r w:rsidRPr="00013066">
        <w:rPr>
          <w:rFonts w:ascii="Book Antiqua" w:eastAsia="宋体" w:hAnsi="Book Antiqua" w:cs="宋体"/>
          <w:sz w:val="24"/>
          <w:szCs w:val="24"/>
        </w:rPr>
        <w:t xml:space="preserve"> A, Sowa JP, </w:t>
      </w:r>
      <w:proofErr w:type="spellStart"/>
      <w:r w:rsidRPr="00013066">
        <w:rPr>
          <w:rFonts w:ascii="Book Antiqua" w:eastAsia="宋体" w:hAnsi="Book Antiqua" w:cs="宋体"/>
          <w:sz w:val="24"/>
          <w:szCs w:val="24"/>
        </w:rPr>
        <w:t>Penndorf</w:t>
      </w:r>
      <w:proofErr w:type="spellEnd"/>
      <w:r w:rsidRPr="00013066">
        <w:rPr>
          <w:rFonts w:ascii="Book Antiqua" w:eastAsia="宋体" w:hAnsi="Book Antiqua" w:cs="宋体"/>
          <w:sz w:val="24"/>
          <w:szCs w:val="24"/>
        </w:rPr>
        <w:t xml:space="preserve"> V, </w:t>
      </w:r>
      <w:proofErr w:type="spellStart"/>
      <w:r w:rsidRPr="00013066">
        <w:rPr>
          <w:rFonts w:ascii="Book Antiqua" w:eastAsia="宋体" w:hAnsi="Book Antiqua" w:cs="宋体"/>
          <w:sz w:val="24"/>
          <w:szCs w:val="24"/>
        </w:rPr>
        <w:t>Herzer</w:t>
      </w:r>
      <w:proofErr w:type="spellEnd"/>
      <w:r w:rsidRPr="00013066">
        <w:rPr>
          <w:rFonts w:ascii="Book Antiqua" w:eastAsia="宋体" w:hAnsi="Book Antiqua" w:cs="宋体"/>
          <w:sz w:val="24"/>
          <w:szCs w:val="24"/>
        </w:rPr>
        <w:t xml:space="preserve"> K, Kaiser G, </w:t>
      </w:r>
      <w:proofErr w:type="spellStart"/>
      <w:r w:rsidRPr="00013066">
        <w:rPr>
          <w:rFonts w:ascii="Book Antiqua" w:eastAsia="宋体" w:hAnsi="Book Antiqua" w:cs="宋体"/>
          <w:sz w:val="24"/>
          <w:szCs w:val="24"/>
        </w:rPr>
        <w:t>Schlaak</w:t>
      </w:r>
      <w:proofErr w:type="spellEnd"/>
      <w:r w:rsidRPr="00013066">
        <w:rPr>
          <w:rFonts w:ascii="Book Antiqua" w:eastAsia="宋体" w:hAnsi="Book Antiqua" w:cs="宋体"/>
          <w:sz w:val="24"/>
          <w:szCs w:val="24"/>
        </w:rPr>
        <w:t xml:space="preserve"> JF, </w:t>
      </w:r>
      <w:proofErr w:type="spellStart"/>
      <w:r w:rsidRPr="00013066">
        <w:rPr>
          <w:rFonts w:ascii="Book Antiqua" w:eastAsia="宋体" w:hAnsi="Book Antiqua" w:cs="宋体"/>
          <w:sz w:val="24"/>
          <w:szCs w:val="24"/>
        </w:rPr>
        <w:t>Gerken</w:t>
      </w:r>
      <w:proofErr w:type="spellEnd"/>
      <w:r w:rsidRPr="00013066">
        <w:rPr>
          <w:rFonts w:ascii="Book Antiqua" w:eastAsia="宋体" w:hAnsi="Book Antiqua" w:cs="宋体"/>
          <w:sz w:val="24"/>
          <w:szCs w:val="24"/>
        </w:rPr>
        <w:t xml:space="preserve"> G, </w:t>
      </w:r>
      <w:proofErr w:type="spellStart"/>
      <w:r w:rsidRPr="00013066">
        <w:rPr>
          <w:rFonts w:ascii="Book Antiqua" w:eastAsia="宋体" w:hAnsi="Book Antiqua" w:cs="宋体"/>
          <w:sz w:val="24"/>
          <w:szCs w:val="24"/>
        </w:rPr>
        <w:t>Syn</w:t>
      </w:r>
      <w:proofErr w:type="spellEnd"/>
      <w:r w:rsidRPr="00013066">
        <w:rPr>
          <w:rFonts w:ascii="Book Antiqua" w:eastAsia="宋体" w:hAnsi="Book Antiqua" w:cs="宋体"/>
          <w:sz w:val="24"/>
          <w:szCs w:val="24"/>
        </w:rPr>
        <w:t xml:space="preserve"> WK, </w:t>
      </w:r>
      <w:proofErr w:type="spellStart"/>
      <w:r w:rsidRPr="00013066">
        <w:rPr>
          <w:rFonts w:ascii="Book Antiqua" w:eastAsia="宋体" w:hAnsi="Book Antiqua" w:cs="宋体"/>
          <w:sz w:val="24"/>
          <w:szCs w:val="24"/>
        </w:rPr>
        <w:t>Canbay</w:t>
      </w:r>
      <w:proofErr w:type="spellEnd"/>
      <w:r w:rsidRPr="00013066">
        <w:rPr>
          <w:rFonts w:ascii="Book Antiqua" w:eastAsia="宋体" w:hAnsi="Book Antiqua" w:cs="宋体"/>
          <w:sz w:val="24"/>
          <w:szCs w:val="24"/>
        </w:rPr>
        <w:t xml:space="preserve"> A. Non-alcoholic fatty liver disease progresses to hepatocellular carcinoma in the absence of apparent cirrhosis. </w:t>
      </w:r>
      <w:proofErr w:type="spellStart"/>
      <w:r w:rsidRPr="00013066">
        <w:rPr>
          <w:rFonts w:ascii="Book Antiqua" w:eastAsia="宋体" w:hAnsi="Book Antiqua" w:cs="宋体"/>
          <w:i/>
          <w:iCs/>
          <w:sz w:val="24"/>
          <w:szCs w:val="24"/>
        </w:rPr>
        <w:t>Int</w:t>
      </w:r>
      <w:proofErr w:type="spellEnd"/>
      <w:r w:rsidRPr="00013066">
        <w:rPr>
          <w:rFonts w:ascii="Book Antiqua" w:eastAsia="宋体" w:hAnsi="Book Antiqua" w:cs="宋体"/>
          <w:i/>
          <w:iCs/>
          <w:sz w:val="24"/>
          <w:szCs w:val="24"/>
        </w:rPr>
        <w:t xml:space="preserve"> J Cancer</w:t>
      </w:r>
      <w:r w:rsidRPr="00013066">
        <w:rPr>
          <w:rFonts w:ascii="Book Antiqua" w:eastAsia="宋体" w:hAnsi="Book Antiqua" w:cs="宋体"/>
          <w:sz w:val="24"/>
          <w:szCs w:val="24"/>
        </w:rPr>
        <w:t> 2011; </w:t>
      </w:r>
      <w:r w:rsidRPr="00013066">
        <w:rPr>
          <w:rFonts w:ascii="Book Antiqua" w:eastAsia="宋体" w:hAnsi="Book Antiqua" w:cs="宋体"/>
          <w:b/>
          <w:bCs/>
          <w:sz w:val="24"/>
          <w:szCs w:val="24"/>
        </w:rPr>
        <w:t>128</w:t>
      </w:r>
      <w:r w:rsidRPr="00013066">
        <w:rPr>
          <w:rFonts w:ascii="Book Antiqua" w:eastAsia="宋体" w:hAnsi="Book Antiqua" w:cs="宋体"/>
          <w:sz w:val="24"/>
          <w:szCs w:val="24"/>
        </w:rPr>
        <w:t>: 2436-2443 [PMID: 21128245 DOI: 10.1002/ijc.25797]</w:t>
      </w:r>
    </w:p>
    <w:p w:rsidR="007F287B" w:rsidRPr="00013066" w:rsidRDefault="007F287B" w:rsidP="00B230CE">
      <w:pPr>
        <w:spacing w:after="0" w:line="360" w:lineRule="auto"/>
        <w:jc w:val="both"/>
        <w:rPr>
          <w:rFonts w:ascii="Book Antiqua" w:eastAsia="宋体" w:hAnsi="Book Antiqua" w:cs="宋体"/>
          <w:sz w:val="24"/>
          <w:szCs w:val="24"/>
        </w:rPr>
      </w:pPr>
      <w:r w:rsidRPr="00013066">
        <w:rPr>
          <w:rFonts w:ascii="Book Antiqua" w:eastAsia="宋体" w:hAnsi="Book Antiqua" w:cs="宋体"/>
          <w:sz w:val="24"/>
          <w:szCs w:val="24"/>
        </w:rPr>
        <w:t>42 </w:t>
      </w:r>
      <w:r w:rsidRPr="00013066">
        <w:rPr>
          <w:rFonts w:ascii="Book Antiqua" w:eastAsia="宋体" w:hAnsi="Book Antiqua" w:cs="宋体"/>
          <w:b/>
          <w:bCs/>
          <w:sz w:val="24"/>
          <w:szCs w:val="24"/>
        </w:rPr>
        <w:t>Alexander J</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Torbenson</w:t>
      </w:r>
      <w:proofErr w:type="spellEnd"/>
      <w:r w:rsidRPr="00013066">
        <w:rPr>
          <w:rFonts w:ascii="Book Antiqua" w:eastAsia="宋体" w:hAnsi="Book Antiqua" w:cs="宋体"/>
          <w:sz w:val="24"/>
          <w:szCs w:val="24"/>
        </w:rPr>
        <w:t xml:space="preserve"> M, Wu TT, </w:t>
      </w:r>
      <w:proofErr w:type="spellStart"/>
      <w:r w:rsidRPr="00013066">
        <w:rPr>
          <w:rFonts w:ascii="Book Antiqua" w:eastAsia="宋体" w:hAnsi="Book Antiqua" w:cs="宋体"/>
          <w:sz w:val="24"/>
          <w:szCs w:val="24"/>
        </w:rPr>
        <w:t>Yeh</w:t>
      </w:r>
      <w:proofErr w:type="spellEnd"/>
      <w:r w:rsidRPr="00013066">
        <w:rPr>
          <w:rFonts w:ascii="Book Antiqua" w:eastAsia="宋体" w:hAnsi="Book Antiqua" w:cs="宋体"/>
          <w:sz w:val="24"/>
          <w:szCs w:val="24"/>
        </w:rPr>
        <w:t xml:space="preserve"> MM. Non-alcoholic fatty liver disease contributes to </w:t>
      </w:r>
      <w:proofErr w:type="spellStart"/>
      <w:r w:rsidRPr="00013066">
        <w:rPr>
          <w:rFonts w:ascii="Book Antiqua" w:eastAsia="宋体" w:hAnsi="Book Antiqua" w:cs="宋体"/>
          <w:sz w:val="24"/>
          <w:szCs w:val="24"/>
        </w:rPr>
        <w:t>hepatocarcinogenesis</w:t>
      </w:r>
      <w:proofErr w:type="spellEnd"/>
      <w:r w:rsidRPr="00013066">
        <w:rPr>
          <w:rFonts w:ascii="Book Antiqua" w:eastAsia="宋体" w:hAnsi="Book Antiqua" w:cs="宋体"/>
          <w:sz w:val="24"/>
          <w:szCs w:val="24"/>
        </w:rPr>
        <w:t xml:space="preserve"> in non-cirrhotic liver: a clinical and pathological study. </w:t>
      </w:r>
      <w:r w:rsidRPr="00013066">
        <w:rPr>
          <w:rFonts w:ascii="Book Antiqua" w:eastAsia="宋体" w:hAnsi="Book Antiqua" w:cs="宋体"/>
          <w:i/>
          <w:iCs/>
          <w:sz w:val="24"/>
          <w:szCs w:val="24"/>
        </w:rPr>
        <w:t xml:space="preserve">J </w:t>
      </w:r>
      <w:proofErr w:type="spellStart"/>
      <w:r w:rsidRPr="00013066">
        <w:rPr>
          <w:rFonts w:ascii="Book Antiqua" w:eastAsia="宋体" w:hAnsi="Book Antiqua" w:cs="宋体"/>
          <w:i/>
          <w:iCs/>
          <w:sz w:val="24"/>
          <w:szCs w:val="24"/>
        </w:rPr>
        <w:t>Gastroenterol</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Hepatol</w:t>
      </w:r>
      <w:proofErr w:type="spellEnd"/>
      <w:r w:rsidRPr="00013066">
        <w:rPr>
          <w:rFonts w:ascii="Book Antiqua" w:eastAsia="宋体" w:hAnsi="Book Antiqua" w:cs="宋体"/>
          <w:sz w:val="24"/>
          <w:szCs w:val="24"/>
        </w:rPr>
        <w:t> 2013; </w:t>
      </w:r>
      <w:r w:rsidRPr="00013066">
        <w:rPr>
          <w:rFonts w:ascii="Book Antiqua" w:eastAsia="宋体" w:hAnsi="Book Antiqua" w:cs="宋体"/>
          <w:b/>
          <w:bCs/>
          <w:sz w:val="24"/>
          <w:szCs w:val="24"/>
        </w:rPr>
        <w:t>28</w:t>
      </w:r>
      <w:r w:rsidRPr="00013066">
        <w:rPr>
          <w:rFonts w:ascii="Book Antiqua" w:eastAsia="宋体" w:hAnsi="Book Antiqua" w:cs="宋体"/>
          <w:sz w:val="24"/>
          <w:szCs w:val="24"/>
        </w:rPr>
        <w:t>: 848-854 [PMID: 23302015 DOI: 10.1111/jgh.12116]</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t>43 </w:t>
      </w:r>
      <w:proofErr w:type="spellStart"/>
      <w:r w:rsidRPr="00013066">
        <w:rPr>
          <w:rFonts w:ascii="Book Antiqua" w:eastAsia="宋体" w:hAnsi="Book Antiqua" w:cs="宋体"/>
          <w:b/>
          <w:bCs/>
          <w:sz w:val="24"/>
          <w:szCs w:val="24"/>
        </w:rPr>
        <w:t>Flegal</w:t>
      </w:r>
      <w:proofErr w:type="spellEnd"/>
      <w:r w:rsidRPr="00013066">
        <w:rPr>
          <w:rFonts w:ascii="Book Antiqua" w:eastAsia="宋体" w:hAnsi="Book Antiqua" w:cs="宋体"/>
          <w:b/>
          <w:bCs/>
          <w:sz w:val="24"/>
          <w:szCs w:val="24"/>
        </w:rPr>
        <w:t xml:space="preserve"> KM</w:t>
      </w:r>
      <w:r w:rsidRPr="00013066">
        <w:rPr>
          <w:rFonts w:ascii="Book Antiqua" w:eastAsia="宋体" w:hAnsi="Book Antiqua" w:cs="宋体"/>
          <w:sz w:val="24"/>
          <w:szCs w:val="24"/>
        </w:rPr>
        <w:t>, Carroll MD, Ogden CL, Curtin LR.</w:t>
      </w:r>
      <w:proofErr w:type="gramEnd"/>
      <w:r w:rsidRPr="00013066">
        <w:rPr>
          <w:rFonts w:ascii="Book Antiqua" w:eastAsia="宋体" w:hAnsi="Book Antiqua" w:cs="宋体"/>
          <w:sz w:val="24"/>
          <w:szCs w:val="24"/>
        </w:rPr>
        <w:t xml:space="preserve"> </w:t>
      </w:r>
      <w:proofErr w:type="gramStart"/>
      <w:r w:rsidRPr="00013066">
        <w:rPr>
          <w:rFonts w:ascii="Book Antiqua" w:eastAsia="宋体" w:hAnsi="Book Antiqua" w:cs="宋体"/>
          <w:sz w:val="24"/>
          <w:szCs w:val="24"/>
        </w:rPr>
        <w:t>Prevalence and trends in obesity among US adults, 1999-2008.</w:t>
      </w:r>
      <w:proofErr w:type="gramEnd"/>
      <w:r w:rsidRPr="00013066">
        <w:rPr>
          <w:rFonts w:ascii="Book Antiqua" w:eastAsia="宋体" w:hAnsi="Book Antiqua" w:cs="宋体"/>
          <w:sz w:val="24"/>
          <w:szCs w:val="24"/>
        </w:rPr>
        <w:t> </w:t>
      </w:r>
      <w:r w:rsidRPr="00013066">
        <w:rPr>
          <w:rFonts w:ascii="Book Antiqua" w:eastAsia="宋体" w:hAnsi="Book Antiqua" w:cs="宋体"/>
          <w:i/>
          <w:iCs/>
          <w:sz w:val="24"/>
          <w:szCs w:val="24"/>
        </w:rPr>
        <w:t>JAMA</w:t>
      </w:r>
      <w:r w:rsidRPr="00013066">
        <w:rPr>
          <w:rFonts w:ascii="Book Antiqua" w:eastAsia="宋体" w:hAnsi="Book Antiqua" w:cs="宋体"/>
          <w:sz w:val="24"/>
          <w:szCs w:val="24"/>
        </w:rPr>
        <w:t> 2010; </w:t>
      </w:r>
      <w:r w:rsidRPr="00013066">
        <w:rPr>
          <w:rFonts w:ascii="Book Antiqua" w:eastAsia="宋体" w:hAnsi="Book Antiqua" w:cs="宋体"/>
          <w:b/>
          <w:bCs/>
          <w:sz w:val="24"/>
          <w:szCs w:val="24"/>
        </w:rPr>
        <w:t>303</w:t>
      </w:r>
      <w:r w:rsidRPr="00013066">
        <w:rPr>
          <w:rFonts w:ascii="Book Antiqua" w:eastAsia="宋体" w:hAnsi="Book Antiqua" w:cs="宋体"/>
          <w:sz w:val="24"/>
          <w:szCs w:val="24"/>
        </w:rPr>
        <w:t>: 235-241 [PMID: 20071471 DOI: 10.1001/jama.2009.2014]</w:t>
      </w:r>
    </w:p>
    <w:p w:rsidR="007F287B" w:rsidRPr="00013066" w:rsidRDefault="007F287B" w:rsidP="00B230CE">
      <w:pPr>
        <w:spacing w:after="0" w:line="360" w:lineRule="auto"/>
        <w:jc w:val="both"/>
        <w:rPr>
          <w:rFonts w:ascii="Book Antiqua" w:eastAsia="宋体" w:hAnsi="Book Antiqua" w:cs="宋体"/>
          <w:sz w:val="24"/>
          <w:szCs w:val="24"/>
        </w:rPr>
      </w:pPr>
      <w:proofErr w:type="gramStart"/>
      <w:r w:rsidRPr="00013066">
        <w:rPr>
          <w:rFonts w:ascii="Book Antiqua" w:eastAsia="宋体" w:hAnsi="Book Antiqua" w:cs="宋体"/>
          <w:sz w:val="24"/>
          <w:szCs w:val="24"/>
        </w:rPr>
        <w:lastRenderedPageBreak/>
        <w:t>44 </w:t>
      </w:r>
      <w:r w:rsidRPr="00013066">
        <w:rPr>
          <w:rFonts w:ascii="Book Antiqua" w:eastAsia="宋体" w:hAnsi="Book Antiqua" w:cs="宋体"/>
          <w:b/>
          <w:bCs/>
          <w:sz w:val="24"/>
          <w:szCs w:val="24"/>
        </w:rPr>
        <w:t>Ludwig J</w:t>
      </w:r>
      <w:r w:rsidRPr="00013066">
        <w:rPr>
          <w:rFonts w:ascii="Book Antiqua" w:eastAsia="宋体" w:hAnsi="Book Antiqua" w:cs="宋体"/>
          <w:sz w:val="24"/>
          <w:szCs w:val="24"/>
        </w:rPr>
        <w:t xml:space="preserve">, </w:t>
      </w:r>
      <w:proofErr w:type="spellStart"/>
      <w:r w:rsidRPr="00013066">
        <w:rPr>
          <w:rFonts w:ascii="Book Antiqua" w:eastAsia="宋体" w:hAnsi="Book Antiqua" w:cs="宋体"/>
          <w:sz w:val="24"/>
          <w:szCs w:val="24"/>
        </w:rPr>
        <w:t>Viggiano</w:t>
      </w:r>
      <w:proofErr w:type="spellEnd"/>
      <w:r w:rsidRPr="00013066">
        <w:rPr>
          <w:rFonts w:ascii="Book Antiqua" w:eastAsia="宋体" w:hAnsi="Book Antiqua" w:cs="宋体"/>
          <w:sz w:val="24"/>
          <w:szCs w:val="24"/>
        </w:rPr>
        <w:t xml:space="preserve"> TR, McGill DB, Oh BJ.</w:t>
      </w:r>
      <w:proofErr w:type="gramEnd"/>
      <w:r w:rsidRPr="00013066">
        <w:rPr>
          <w:rFonts w:ascii="Book Antiqua" w:eastAsia="宋体" w:hAnsi="Book Antiqua" w:cs="宋体"/>
          <w:sz w:val="24"/>
          <w:szCs w:val="24"/>
        </w:rPr>
        <w:t xml:space="preserve"> Nonalcoholic </w:t>
      </w:r>
      <w:proofErr w:type="spellStart"/>
      <w:r w:rsidRPr="00013066">
        <w:rPr>
          <w:rFonts w:ascii="Book Antiqua" w:eastAsia="宋体" w:hAnsi="Book Antiqua" w:cs="宋体"/>
          <w:sz w:val="24"/>
          <w:szCs w:val="24"/>
        </w:rPr>
        <w:t>steatohepatitis</w:t>
      </w:r>
      <w:proofErr w:type="spellEnd"/>
      <w:r w:rsidRPr="00013066">
        <w:rPr>
          <w:rFonts w:ascii="Book Antiqua" w:eastAsia="宋体" w:hAnsi="Book Antiqua" w:cs="宋体"/>
          <w:sz w:val="24"/>
          <w:szCs w:val="24"/>
        </w:rPr>
        <w:t>: Mayo Clinic experiences with a hitherto unnamed disease. </w:t>
      </w:r>
      <w:r w:rsidRPr="00013066">
        <w:rPr>
          <w:rFonts w:ascii="Book Antiqua" w:eastAsia="宋体" w:hAnsi="Book Antiqua" w:cs="宋体"/>
          <w:i/>
          <w:iCs/>
          <w:sz w:val="24"/>
          <w:szCs w:val="24"/>
        </w:rPr>
        <w:t xml:space="preserve">Mayo </w:t>
      </w:r>
      <w:proofErr w:type="spellStart"/>
      <w:r w:rsidRPr="00013066">
        <w:rPr>
          <w:rFonts w:ascii="Book Antiqua" w:eastAsia="宋体" w:hAnsi="Book Antiqua" w:cs="宋体"/>
          <w:i/>
          <w:iCs/>
          <w:sz w:val="24"/>
          <w:szCs w:val="24"/>
        </w:rPr>
        <w:t>Clin</w:t>
      </w:r>
      <w:proofErr w:type="spellEnd"/>
      <w:r w:rsidRPr="00013066">
        <w:rPr>
          <w:rFonts w:ascii="Book Antiqua" w:eastAsia="宋体" w:hAnsi="Book Antiqua" w:cs="宋体"/>
          <w:i/>
          <w:iCs/>
          <w:sz w:val="24"/>
          <w:szCs w:val="24"/>
        </w:rPr>
        <w:t xml:space="preserve"> </w:t>
      </w:r>
      <w:proofErr w:type="spellStart"/>
      <w:r w:rsidRPr="00013066">
        <w:rPr>
          <w:rFonts w:ascii="Book Antiqua" w:eastAsia="宋体" w:hAnsi="Book Antiqua" w:cs="宋体"/>
          <w:i/>
          <w:iCs/>
          <w:sz w:val="24"/>
          <w:szCs w:val="24"/>
        </w:rPr>
        <w:t>Proc</w:t>
      </w:r>
      <w:proofErr w:type="spellEnd"/>
      <w:r w:rsidRPr="00013066">
        <w:rPr>
          <w:rFonts w:ascii="Book Antiqua" w:eastAsia="宋体" w:hAnsi="Book Antiqua" w:cs="宋体"/>
          <w:sz w:val="24"/>
          <w:szCs w:val="24"/>
        </w:rPr>
        <w:t> 1980; </w:t>
      </w:r>
      <w:r w:rsidRPr="00013066">
        <w:rPr>
          <w:rFonts w:ascii="Book Antiqua" w:eastAsia="宋体" w:hAnsi="Book Antiqua" w:cs="宋体"/>
          <w:b/>
          <w:bCs/>
          <w:sz w:val="24"/>
          <w:szCs w:val="24"/>
        </w:rPr>
        <w:t>55</w:t>
      </w:r>
      <w:r w:rsidRPr="00013066">
        <w:rPr>
          <w:rFonts w:ascii="Book Antiqua" w:eastAsia="宋体" w:hAnsi="Book Antiqua" w:cs="宋体"/>
          <w:sz w:val="24"/>
          <w:szCs w:val="24"/>
        </w:rPr>
        <w:t>: 434-438 [PMID: 7382552]</w:t>
      </w:r>
    </w:p>
    <w:p w:rsidR="006D088A" w:rsidRPr="007F287B" w:rsidRDefault="006D088A" w:rsidP="00B230CE">
      <w:pPr>
        <w:spacing w:after="0" w:line="360" w:lineRule="auto"/>
        <w:jc w:val="both"/>
        <w:rPr>
          <w:rStyle w:val="ac"/>
          <w:rFonts w:ascii="Book Antiqua" w:hAnsi="Book Antiqua" w:cs="Arial"/>
          <w:bCs w:val="0"/>
          <w:color w:val="000000"/>
          <w:sz w:val="24"/>
          <w:szCs w:val="24"/>
          <w:lang w:eastAsia="zh-CN"/>
        </w:rPr>
      </w:pPr>
    </w:p>
    <w:p w:rsidR="00590F1A" w:rsidRDefault="006D088A" w:rsidP="00B230CE">
      <w:pPr>
        <w:pStyle w:val="a5"/>
        <w:spacing w:after="0" w:line="360" w:lineRule="auto"/>
        <w:ind w:left="0"/>
        <w:jc w:val="right"/>
        <w:rPr>
          <w:rFonts w:ascii="Book Antiqua" w:hAnsi="Book Antiqua"/>
          <w:b/>
          <w:sz w:val="24"/>
          <w:szCs w:val="24"/>
          <w:lang w:eastAsia="zh-CN"/>
        </w:rPr>
      </w:pPr>
      <w:r w:rsidRPr="006575F7">
        <w:rPr>
          <w:rStyle w:val="ac"/>
          <w:rFonts w:ascii="Book Antiqua" w:hAnsi="Book Antiqua" w:cs="Arial"/>
          <w:bCs w:val="0"/>
          <w:color w:val="000000"/>
          <w:sz w:val="24"/>
          <w:szCs w:val="24"/>
        </w:rPr>
        <w:t>P-Reviewer</w:t>
      </w:r>
      <w:r w:rsidR="00590F1A">
        <w:rPr>
          <w:rStyle w:val="ac"/>
          <w:rFonts w:ascii="Book Antiqua" w:hAnsi="Book Antiqua" w:cs="Arial" w:hint="eastAsia"/>
          <w:bCs w:val="0"/>
          <w:color w:val="000000"/>
          <w:sz w:val="24"/>
          <w:szCs w:val="24"/>
          <w:lang w:eastAsia="zh-CN"/>
        </w:rPr>
        <w:t>:</w:t>
      </w:r>
      <w:r w:rsidRPr="006575F7">
        <w:rPr>
          <w:rFonts w:ascii="Book Antiqua" w:hAnsi="Book Antiqua"/>
          <w:b/>
          <w:bCs/>
          <w:color w:val="000000"/>
          <w:sz w:val="24"/>
          <w:szCs w:val="24"/>
        </w:rPr>
        <w:t xml:space="preserve"> </w:t>
      </w:r>
      <w:proofErr w:type="spellStart"/>
      <w:r w:rsidR="00590F1A" w:rsidRPr="00590F1A">
        <w:rPr>
          <w:rFonts w:ascii="Book Antiqua" w:hAnsi="Book Antiqua"/>
          <w:bCs/>
          <w:color w:val="000000"/>
          <w:sz w:val="24"/>
          <w:szCs w:val="24"/>
        </w:rPr>
        <w:t>Balaban</w:t>
      </w:r>
      <w:proofErr w:type="spellEnd"/>
      <w:r w:rsidR="00590F1A" w:rsidRPr="00590F1A">
        <w:rPr>
          <w:rFonts w:ascii="Book Antiqua" w:hAnsi="Book Antiqua" w:hint="eastAsia"/>
          <w:bCs/>
          <w:color w:val="000000"/>
          <w:sz w:val="24"/>
          <w:szCs w:val="24"/>
          <w:lang w:eastAsia="zh-CN"/>
        </w:rPr>
        <w:t xml:space="preserve"> YH</w:t>
      </w:r>
      <w:r w:rsidR="00590F1A">
        <w:rPr>
          <w:rFonts w:ascii="Book Antiqua" w:hAnsi="Book Antiqua" w:hint="eastAsia"/>
          <w:bCs/>
          <w:color w:val="000000"/>
          <w:sz w:val="24"/>
          <w:szCs w:val="24"/>
          <w:lang w:eastAsia="zh-CN"/>
        </w:rPr>
        <w:t>,</w:t>
      </w:r>
      <w:r w:rsidRPr="006575F7">
        <w:rPr>
          <w:rFonts w:ascii="Book Antiqua" w:hAnsi="Book Antiqua"/>
          <w:b/>
          <w:bCs/>
          <w:color w:val="000000"/>
          <w:sz w:val="24"/>
          <w:szCs w:val="24"/>
        </w:rPr>
        <w:t xml:space="preserve"> </w:t>
      </w:r>
      <w:proofErr w:type="spellStart"/>
      <w:r w:rsidR="00590F1A" w:rsidRPr="00590F1A">
        <w:rPr>
          <w:rFonts w:ascii="Book Antiqua" w:hAnsi="Book Antiqua"/>
          <w:bCs/>
          <w:color w:val="000000"/>
          <w:sz w:val="24"/>
          <w:szCs w:val="24"/>
        </w:rPr>
        <w:t>Rajeshwari</w:t>
      </w:r>
      <w:proofErr w:type="spellEnd"/>
      <w:r w:rsidR="00590F1A" w:rsidRPr="00590F1A">
        <w:rPr>
          <w:rFonts w:ascii="Book Antiqua" w:hAnsi="Book Antiqua" w:hint="eastAsia"/>
          <w:bCs/>
          <w:color w:val="000000"/>
          <w:sz w:val="24"/>
          <w:szCs w:val="24"/>
          <w:lang w:eastAsia="zh-CN"/>
        </w:rPr>
        <w:t xml:space="preserve"> K, </w:t>
      </w:r>
      <w:r w:rsidR="00590F1A" w:rsidRPr="00590F1A">
        <w:rPr>
          <w:rFonts w:ascii="Book Antiqua" w:hAnsi="Book Antiqua"/>
          <w:bCs/>
          <w:color w:val="000000"/>
          <w:sz w:val="24"/>
          <w:szCs w:val="24"/>
          <w:lang w:eastAsia="zh-CN"/>
        </w:rPr>
        <w:t>Zhu</w:t>
      </w:r>
      <w:r w:rsidR="00590F1A" w:rsidRPr="00590F1A">
        <w:rPr>
          <w:rFonts w:ascii="Book Antiqua" w:hAnsi="Book Antiqua" w:hint="eastAsia"/>
          <w:bCs/>
          <w:color w:val="000000"/>
          <w:sz w:val="24"/>
          <w:szCs w:val="24"/>
          <w:lang w:eastAsia="zh-CN"/>
        </w:rPr>
        <w:t xml:space="preserve"> X </w:t>
      </w:r>
      <w:r w:rsidRPr="006575F7">
        <w:rPr>
          <w:rFonts w:ascii="Book Antiqua" w:hAnsi="Book Antiqua"/>
          <w:b/>
          <w:sz w:val="24"/>
          <w:szCs w:val="24"/>
        </w:rPr>
        <w:t>S-Editor</w:t>
      </w:r>
      <w:r w:rsidR="00590F1A">
        <w:rPr>
          <w:rFonts w:ascii="Book Antiqua" w:hAnsi="Book Antiqua" w:hint="eastAsia"/>
          <w:b/>
          <w:sz w:val="24"/>
          <w:szCs w:val="24"/>
          <w:lang w:eastAsia="zh-CN"/>
        </w:rPr>
        <w:t>:</w:t>
      </w:r>
      <w:r w:rsidRPr="006575F7">
        <w:rPr>
          <w:rFonts w:ascii="Book Antiqua" w:hAnsi="Book Antiqua"/>
          <w:b/>
          <w:sz w:val="24"/>
          <w:szCs w:val="24"/>
        </w:rPr>
        <w:t xml:space="preserve"> </w:t>
      </w:r>
      <w:r w:rsidRPr="006575F7">
        <w:rPr>
          <w:rFonts w:ascii="Book Antiqua" w:eastAsia="宋体" w:hAnsi="Book Antiqua"/>
          <w:sz w:val="24"/>
          <w:szCs w:val="24"/>
          <w:lang w:eastAsia="zh-CN"/>
        </w:rPr>
        <w:t>Qi Y</w:t>
      </w:r>
      <w:r w:rsidR="00590F1A">
        <w:rPr>
          <w:rFonts w:ascii="Book Antiqua" w:hAnsi="Book Antiqua"/>
          <w:b/>
          <w:sz w:val="24"/>
          <w:szCs w:val="24"/>
        </w:rPr>
        <w:t xml:space="preserve"> </w:t>
      </w:r>
    </w:p>
    <w:p w:rsidR="006D088A" w:rsidRPr="006575F7" w:rsidRDefault="006D088A" w:rsidP="00B230CE">
      <w:pPr>
        <w:pStyle w:val="a5"/>
        <w:spacing w:after="0" w:line="360" w:lineRule="auto"/>
        <w:ind w:left="0"/>
        <w:jc w:val="right"/>
        <w:rPr>
          <w:rFonts w:ascii="Book Antiqua" w:eastAsia="宋体" w:hAnsi="Book Antiqua"/>
          <w:b/>
          <w:sz w:val="24"/>
          <w:szCs w:val="24"/>
          <w:lang w:eastAsia="zh-CN"/>
        </w:rPr>
      </w:pPr>
      <w:r w:rsidRPr="006575F7">
        <w:rPr>
          <w:rFonts w:ascii="Book Antiqua" w:hAnsi="Book Antiqua"/>
          <w:b/>
          <w:sz w:val="24"/>
          <w:szCs w:val="24"/>
        </w:rPr>
        <w:t>L-Editor</w:t>
      </w:r>
      <w:r w:rsidR="00590F1A">
        <w:rPr>
          <w:rFonts w:ascii="Book Antiqua" w:hAnsi="Book Antiqua" w:hint="eastAsia"/>
          <w:b/>
          <w:sz w:val="24"/>
          <w:szCs w:val="24"/>
          <w:lang w:eastAsia="zh-CN"/>
        </w:rPr>
        <w:t>:</w:t>
      </w:r>
      <w:r w:rsidRPr="006575F7">
        <w:rPr>
          <w:rFonts w:ascii="Book Antiqua" w:hAnsi="Book Antiqua"/>
          <w:b/>
          <w:sz w:val="24"/>
          <w:szCs w:val="24"/>
        </w:rPr>
        <w:t xml:space="preserve">  E-Editor</w:t>
      </w:r>
      <w:r w:rsidR="00590F1A">
        <w:rPr>
          <w:rFonts w:ascii="Book Antiqua" w:hAnsi="Book Antiqua" w:hint="eastAsia"/>
          <w:b/>
          <w:sz w:val="24"/>
          <w:szCs w:val="24"/>
          <w:lang w:eastAsia="zh-CN"/>
        </w:rPr>
        <w:t>:</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6D088A" w:rsidRPr="006575F7" w:rsidRDefault="006D088A" w:rsidP="00B230CE">
      <w:pPr>
        <w:spacing w:after="0"/>
        <w:rPr>
          <w:rFonts w:ascii="Book Antiqua" w:hAnsi="Book Antiqua" w:cs="Arial"/>
          <w:b/>
          <w:sz w:val="24"/>
          <w:szCs w:val="24"/>
        </w:rPr>
      </w:pPr>
      <w:r w:rsidRPr="006575F7">
        <w:rPr>
          <w:rFonts w:ascii="Book Antiqua" w:hAnsi="Book Antiqua" w:cs="Arial"/>
          <w:b/>
          <w:sz w:val="24"/>
          <w:szCs w:val="24"/>
        </w:rPr>
        <w:br w:type="page"/>
      </w: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lastRenderedPageBreak/>
        <w:t>Table 1 Neoplasms of 120 patients with primary and secondary hepatic neoplasm</w:t>
      </w:r>
      <w:r w:rsidRPr="00F509AC">
        <w:rPr>
          <w:rFonts w:ascii="Book Antiqua" w:hAnsi="Book Antiqua" w:cs="Arial"/>
          <w:b/>
          <w:i/>
          <w:sz w:val="24"/>
          <w:szCs w:val="24"/>
        </w:rPr>
        <w:t xml:space="preserve"> </w:t>
      </w:r>
      <w:r w:rsidR="00F509AC" w:rsidRPr="00F509AC">
        <w:rPr>
          <w:rFonts w:ascii="Book Antiqua" w:hAnsi="Book Antiqua" w:cs="Arial" w:hint="eastAsia"/>
          <w:b/>
          <w:bCs/>
          <w:i/>
          <w:sz w:val="24"/>
          <w:szCs w:val="24"/>
          <w:lang w:eastAsia="zh-CN"/>
        </w:rPr>
        <w:t>n</w:t>
      </w:r>
      <w:r w:rsidR="00F509AC" w:rsidRPr="00F509AC">
        <w:rPr>
          <w:rFonts w:ascii="Book Antiqua" w:hAnsi="Book Antiqua" w:cs="Arial"/>
          <w:b/>
          <w:bCs/>
          <w:i/>
          <w:sz w:val="24"/>
          <w:szCs w:val="24"/>
        </w:rPr>
        <w:t xml:space="preserve"> </w:t>
      </w:r>
      <w:r w:rsidR="00F509AC" w:rsidRPr="006575F7">
        <w:rPr>
          <w:rFonts w:ascii="Book Antiqua" w:hAnsi="Book Antiqua" w:cs="Arial"/>
          <w:b/>
          <w:bCs/>
          <w:sz w:val="24"/>
          <w:szCs w:val="24"/>
        </w:rPr>
        <w:t>(</w:t>
      </w:r>
      <w:r w:rsidR="00F509AC">
        <w:rPr>
          <w:rFonts w:ascii="Book Antiqua" w:hAnsi="Book Antiqua" w:cs="Arial" w:hint="eastAsia"/>
          <w:b/>
          <w:bCs/>
          <w:i/>
          <w:sz w:val="24"/>
          <w:szCs w:val="24"/>
          <w:lang w:eastAsia="zh-CN"/>
        </w:rPr>
        <w:t>%</w:t>
      </w:r>
      <w:r w:rsidR="00F509AC" w:rsidRPr="006575F7">
        <w:rPr>
          <w:rFonts w:ascii="Book Antiqua" w:hAnsi="Book Antiqua" w:cs="Arial"/>
          <w:b/>
          <w:bCs/>
          <w:sz w:val="24"/>
          <w:szCs w:val="24"/>
        </w:rPr>
        <w:t>)</w:t>
      </w:r>
    </w:p>
    <w:tbl>
      <w:tblPr>
        <w:tblStyle w:val="a3"/>
        <w:tblpPr w:leftFromText="141" w:rightFromText="141" w:vertAnchor="text" w:horzAnchor="margin" w:tblpXSpec="center" w:tblpY="199"/>
        <w:tblW w:w="104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1628"/>
        <w:gridCol w:w="992"/>
        <w:gridCol w:w="1701"/>
        <w:gridCol w:w="1134"/>
        <w:gridCol w:w="1457"/>
        <w:gridCol w:w="1701"/>
      </w:tblGrid>
      <w:tr w:rsidR="006D088A" w:rsidRPr="006575F7" w:rsidTr="00F509AC">
        <w:trPr>
          <w:trHeight w:val="658"/>
        </w:trPr>
        <w:tc>
          <w:tcPr>
            <w:tcW w:w="1877" w:type="dxa"/>
            <w:tcBorders>
              <w:top w:val="single" w:sz="4" w:space="0" w:color="auto"/>
              <w:bottom w:val="single" w:sz="4" w:space="0" w:color="auto"/>
            </w:tcBorders>
            <w:vAlign w:val="center"/>
          </w:tcPr>
          <w:p w:rsidR="006D088A" w:rsidRPr="006575F7" w:rsidRDefault="006D088A" w:rsidP="00B230CE">
            <w:pPr>
              <w:tabs>
                <w:tab w:val="left" w:pos="7406"/>
              </w:tabs>
              <w:spacing w:after="0" w:line="360" w:lineRule="auto"/>
              <w:jc w:val="both"/>
              <w:rPr>
                <w:rFonts w:ascii="Book Antiqua" w:hAnsi="Book Antiqua" w:cs="Arial"/>
                <w:b/>
                <w:bCs/>
                <w:sz w:val="24"/>
                <w:szCs w:val="24"/>
                <w:lang w:val="en-US"/>
              </w:rPr>
            </w:pPr>
            <w:r w:rsidRPr="006575F7">
              <w:rPr>
                <w:rFonts w:ascii="Book Antiqua" w:hAnsi="Book Antiqua" w:cs="Arial"/>
                <w:b/>
                <w:bCs/>
                <w:sz w:val="24"/>
                <w:szCs w:val="24"/>
                <w:lang w:val="en-US"/>
              </w:rPr>
              <w:t>Neoplasms</w:t>
            </w:r>
          </w:p>
        </w:tc>
        <w:tc>
          <w:tcPr>
            <w:tcW w:w="1628" w:type="dxa"/>
            <w:tcBorders>
              <w:top w:val="single" w:sz="4" w:space="0" w:color="auto"/>
              <w:bottom w:val="single" w:sz="4" w:space="0" w:color="auto"/>
            </w:tcBorders>
            <w:vAlign w:val="center"/>
          </w:tcPr>
          <w:p w:rsidR="006D088A" w:rsidRPr="006575F7" w:rsidRDefault="001A2DFF" w:rsidP="00B230CE">
            <w:pPr>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rPr>
              <w:t>Incidence rate</w:t>
            </w:r>
          </w:p>
        </w:tc>
        <w:tc>
          <w:tcPr>
            <w:tcW w:w="992" w:type="dxa"/>
            <w:tcBorders>
              <w:top w:val="single" w:sz="4" w:space="0" w:color="auto"/>
              <w:bottom w:val="single" w:sz="4" w:space="0" w:color="auto"/>
            </w:tcBorders>
            <w:vAlign w:val="center"/>
          </w:tcPr>
          <w:p w:rsidR="006D088A" w:rsidRPr="006575F7" w:rsidRDefault="006D088A" w:rsidP="00B230CE">
            <w:pPr>
              <w:tabs>
                <w:tab w:val="left" w:pos="7406"/>
              </w:tabs>
              <w:spacing w:after="0" w:line="360" w:lineRule="auto"/>
              <w:jc w:val="center"/>
              <w:rPr>
                <w:rFonts w:ascii="Book Antiqua" w:hAnsi="Book Antiqua" w:cs="Arial"/>
                <w:b/>
                <w:bCs/>
                <w:sz w:val="24"/>
                <w:szCs w:val="24"/>
                <w:lang w:val="en-US"/>
              </w:rPr>
            </w:pPr>
            <w:r w:rsidRPr="006575F7">
              <w:rPr>
                <w:rFonts w:ascii="Book Antiqua" w:hAnsi="Book Antiqua" w:cs="Arial"/>
                <w:b/>
                <w:bCs/>
                <w:sz w:val="24"/>
                <w:szCs w:val="24"/>
                <w:lang w:val="en-US"/>
              </w:rPr>
              <w:t>Age,</w:t>
            </w:r>
          </w:p>
          <w:p w:rsidR="006D088A" w:rsidRPr="006575F7" w:rsidRDefault="006D088A" w:rsidP="00B230CE">
            <w:pPr>
              <w:tabs>
                <w:tab w:val="left" w:pos="7406"/>
              </w:tabs>
              <w:spacing w:after="0" w:line="360" w:lineRule="auto"/>
              <w:jc w:val="center"/>
              <w:rPr>
                <w:rFonts w:ascii="Book Antiqua" w:hAnsi="Book Antiqua" w:cs="Arial"/>
                <w:b/>
                <w:bCs/>
                <w:sz w:val="24"/>
                <w:szCs w:val="24"/>
                <w:lang w:val="en-US" w:eastAsia="zh-CN"/>
              </w:rPr>
            </w:pPr>
            <w:proofErr w:type="spellStart"/>
            <w:r w:rsidRPr="006575F7">
              <w:rPr>
                <w:rFonts w:ascii="Book Antiqua" w:hAnsi="Book Antiqua" w:cs="Arial"/>
                <w:b/>
                <w:bCs/>
                <w:sz w:val="24"/>
                <w:szCs w:val="24"/>
                <w:lang w:val="en-US"/>
              </w:rPr>
              <w:t>y</w:t>
            </w:r>
            <w:r w:rsidR="00F509AC">
              <w:rPr>
                <w:rFonts w:ascii="Book Antiqua" w:hAnsi="Book Antiqua" w:cs="Arial"/>
                <w:b/>
                <w:bCs/>
                <w:sz w:val="24"/>
                <w:szCs w:val="24"/>
                <w:lang w:val="en-US"/>
              </w:rPr>
              <w:t>r</w:t>
            </w:r>
            <w:proofErr w:type="spellEnd"/>
          </w:p>
        </w:tc>
        <w:tc>
          <w:tcPr>
            <w:tcW w:w="1701" w:type="dxa"/>
            <w:tcBorders>
              <w:top w:val="single" w:sz="4" w:space="0" w:color="auto"/>
              <w:bottom w:val="single" w:sz="4" w:space="0" w:color="auto"/>
            </w:tcBorders>
            <w:vAlign w:val="center"/>
          </w:tcPr>
          <w:p w:rsidR="006D088A" w:rsidRPr="006575F7" w:rsidRDefault="001A2DFF" w:rsidP="00B230CE">
            <w:pPr>
              <w:tabs>
                <w:tab w:val="left" w:pos="7406"/>
              </w:tabs>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rPr>
              <w:t>Sex (male)</w:t>
            </w:r>
          </w:p>
        </w:tc>
        <w:tc>
          <w:tcPr>
            <w:tcW w:w="1134" w:type="dxa"/>
            <w:tcBorders>
              <w:top w:val="single" w:sz="4" w:space="0" w:color="auto"/>
              <w:bottom w:val="single" w:sz="4" w:space="0" w:color="auto"/>
            </w:tcBorders>
            <w:vAlign w:val="center"/>
          </w:tcPr>
          <w:p w:rsidR="006D088A" w:rsidRPr="006575F7" w:rsidRDefault="001A2DFF" w:rsidP="00B230CE">
            <w:pPr>
              <w:tabs>
                <w:tab w:val="left" w:pos="7406"/>
              </w:tabs>
              <w:spacing w:after="0" w:line="360" w:lineRule="auto"/>
              <w:jc w:val="center"/>
              <w:rPr>
                <w:rFonts w:ascii="Book Antiqua" w:hAnsi="Book Antiqua" w:cs="Arial"/>
                <w:b/>
                <w:bCs/>
                <w:sz w:val="24"/>
                <w:szCs w:val="24"/>
                <w:lang w:val="en-US" w:eastAsia="zh-CN"/>
              </w:rPr>
            </w:pPr>
            <w:proofErr w:type="spellStart"/>
            <w:r>
              <w:rPr>
                <w:rFonts w:ascii="Book Antiqua" w:hAnsi="Book Antiqua" w:cs="Arial"/>
                <w:b/>
                <w:bCs/>
                <w:sz w:val="24"/>
                <w:szCs w:val="24"/>
                <w:lang w:val="en-US"/>
              </w:rPr>
              <w:t>Steatosis</w:t>
            </w:r>
            <w:proofErr w:type="spellEnd"/>
          </w:p>
        </w:tc>
        <w:tc>
          <w:tcPr>
            <w:tcW w:w="1457" w:type="dxa"/>
            <w:tcBorders>
              <w:top w:val="single" w:sz="4" w:space="0" w:color="auto"/>
              <w:bottom w:val="single" w:sz="4" w:space="0" w:color="auto"/>
            </w:tcBorders>
            <w:vAlign w:val="center"/>
          </w:tcPr>
          <w:p w:rsidR="006D088A" w:rsidRPr="006575F7" w:rsidRDefault="001A2DFF" w:rsidP="00B230CE">
            <w:pPr>
              <w:tabs>
                <w:tab w:val="left" w:pos="7406"/>
              </w:tabs>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rPr>
              <w:t>Fibrosis</w:t>
            </w:r>
          </w:p>
          <w:p w:rsidR="006D088A" w:rsidRPr="006575F7" w:rsidRDefault="006D088A" w:rsidP="00B230CE">
            <w:pPr>
              <w:tabs>
                <w:tab w:val="left" w:pos="7406"/>
              </w:tabs>
              <w:spacing w:after="0" w:line="360" w:lineRule="auto"/>
              <w:jc w:val="center"/>
              <w:rPr>
                <w:rFonts w:ascii="Book Antiqua" w:hAnsi="Book Antiqua" w:cs="Arial"/>
                <w:b/>
                <w:bCs/>
                <w:sz w:val="24"/>
                <w:szCs w:val="24"/>
                <w:lang w:val="en-US"/>
              </w:rPr>
            </w:pPr>
          </w:p>
        </w:tc>
        <w:tc>
          <w:tcPr>
            <w:tcW w:w="1701" w:type="dxa"/>
            <w:tcBorders>
              <w:top w:val="single" w:sz="4" w:space="0" w:color="auto"/>
              <w:bottom w:val="single" w:sz="4" w:space="0" w:color="auto"/>
            </w:tcBorders>
            <w:vAlign w:val="center"/>
          </w:tcPr>
          <w:p w:rsidR="006D088A" w:rsidRPr="006575F7" w:rsidRDefault="001A2DFF" w:rsidP="00B230CE">
            <w:pPr>
              <w:tabs>
                <w:tab w:val="left" w:pos="7406"/>
              </w:tabs>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rPr>
              <w:t>NASH</w:t>
            </w:r>
          </w:p>
          <w:p w:rsidR="006D088A" w:rsidRPr="006575F7" w:rsidRDefault="006D088A" w:rsidP="00B230CE">
            <w:pPr>
              <w:tabs>
                <w:tab w:val="left" w:pos="7406"/>
              </w:tabs>
              <w:spacing w:after="0" w:line="360" w:lineRule="auto"/>
              <w:jc w:val="center"/>
              <w:rPr>
                <w:rFonts w:ascii="Book Antiqua" w:hAnsi="Book Antiqua" w:cs="Arial"/>
                <w:b/>
                <w:bCs/>
                <w:sz w:val="24"/>
                <w:szCs w:val="24"/>
                <w:lang w:val="en-US"/>
              </w:rPr>
            </w:pPr>
          </w:p>
        </w:tc>
      </w:tr>
      <w:tr w:rsidR="006D088A" w:rsidRPr="006575F7" w:rsidTr="00F509AC">
        <w:tc>
          <w:tcPr>
            <w:tcW w:w="1877" w:type="dxa"/>
            <w:tcBorders>
              <w:top w:val="single" w:sz="4" w:space="0" w:color="auto"/>
            </w:tcBorders>
            <w:vAlign w:val="center"/>
          </w:tcPr>
          <w:p w:rsidR="006D088A" w:rsidRPr="00F509AC" w:rsidRDefault="006D088A" w:rsidP="00B230CE">
            <w:pPr>
              <w:tabs>
                <w:tab w:val="left" w:pos="7406"/>
              </w:tabs>
              <w:spacing w:after="0" w:line="360" w:lineRule="auto"/>
              <w:jc w:val="both"/>
              <w:rPr>
                <w:rFonts w:ascii="Book Antiqua" w:hAnsi="Book Antiqua" w:cs="Arial"/>
                <w:bCs/>
                <w:sz w:val="24"/>
                <w:szCs w:val="24"/>
                <w:lang w:val="en-US"/>
              </w:rPr>
            </w:pPr>
            <w:r w:rsidRPr="00F509AC">
              <w:rPr>
                <w:rFonts w:ascii="Book Antiqua" w:hAnsi="Book Antiqua" w:cs="Arial"/>
                <w:bCs/>
                <w:sz w:val="24"/>
                <w:szCs w:val="24"/>
                <w:lang w:val="en-US"/>
              </w:rPr>
              <w:t>NCLM</w:t>
            </w:r>
          </w:p>
        </w:tc>
        <w:tc>
          <w:tcPr>
            <w:tcW w:w="1628" w:type="dxa"/>
            <w:tcBorders>
              <w:top w:val="single" w:sz="4" w:space="0" w:color="auto"/>
            </w:tcBorders>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 xml:space="preserve"> </w:t>
            </w:r>
            <w:r w:rsidR="00F509AC">
              <w:rPr>
                <w:rFonts w:ascii="Book Antiqua" w:hAnsi="Book Antiqua" w:cs="Arial" w:hint="eastAsia"/>
                <w:bCs/>
                <w:sz w:val="24"/>
                <w:szCs w:val="24"/>
                <w:lang w:val="en-US" w:eastAsia="zh-CN"/>
              </w:rPr>
              <w:t xml:space="preserve">48 </w:t>
            </w:r>
            <w:r w:rsidRPr="006575F7">
              <w:rPr>
                <w:rFonts w:ascii="Book Antiqua" w:hAnsi="Book Antiqua" w:cs="Arial"/>
                <w:bCs/>
                <w:sz w:val="24"/>
                <w:szCs w:val="24"/>
                <w:lang w:val="en-US"/>
              </w:rPr>
              <w:t>(</w:t>
            </w:r>
            <w:r w:rsidR="00F509AC">
              <w:rPr>
                <w:rFonts w:ascii="Book Antiqua" w:hAnsi="Book Antiqua" w:cs="Arial"/>
                <w:bCs/>
                <w:sz w:val="24"/>
                <w:szCs w:val="24"/>
                <w:lang w:val="en-US"/>
              </w:rPr>
              <w:t>40.0</w:t>
            </w:r>
            <w:r w:rsidRPr="006575F7">
              <w:rPr>
                <w:rFonts w:ascii="Book Antiqua" w:hAnsi="Book Antiqua" w:cs="Arial"/>
                <w:bCs/>
                <w:sz w:val="24"/>
                <w:szCs w:val="24"/>
                <w:lang w:val="en-US"/>
              </w:rPr>
              <w:t>)</w:t>
            </w:r>
          </w:p>
        </w:tc>
        <w:tc>
          <w:tcPr>
            <w:tcW w:w="992" w:type="dxa"/>
            <w:tcBorders>
              <w:top w:val="single" w:sz="4" w:space="0" w:color="auto"/>
            </w:tcBorders>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56.9</w:t>
            </w:r>
          </w:p>
        </w:tc>
        <w:tc>
          <w:tcPr>
            <w:tcW w:w="1701" w:type="dxa"/>
            <w:tcBorders>
              <w:top w:val="single" w:sz="4" w:space="0" w:color="auto"/>
            </w:tcBorders>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19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39.6</w:t>
            </w:r>
            <w:r w:rsidR="006D088A" w:rsidRPr="006575F7">
              <w:rPr>
                <w:rFonts w:ascii="Book Antiqua" w:hAnsi="Book Antiqua" w:cs="Arial"/>
                <w:bCs/>
                <w:sz w:val="24"/>
                <w:szCs w:val="24"/>
                <w:lang w:val="en-US"/>
              </w:rPr>
              <w:t>)</w:t>
            </w:r>
          </w:p>
        </w:tc>
        <w:tc>
          <w:tcPr>
            <w:tcW w:w="1134" w:type="dxa"/>
            <w:tcBorders>
              <w:top w:val="single" w:sz="4" w:space="0" w:color="auto"/>
            </w:tcBorders>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11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22.9</w:t>
            </w:r>
            <w:r w:rsidR="006D088A" w:rsidRPr="006575F7">
              <w:rPr>
                <w:rFonts w:ascii="Book Antiqua" w:hAnsi="Book Antiqua" w:cs="Arial"/>
                <w:bCs/>
                <w:sz w:val="24"/>
                <w:szCs w:val="24"/>
                <w:lang w:val="en-US"/>
              </w:rPr>
              <w:t>)</w:t>
            </w:r>
          </w:p>
        </w:tc>
        <w:tc>
          <w:tcPr>
            <w:tcW w:w="1457" w:type="dxa"/>
            <w:tcBorders>
              <w:top w:val="single" w:sz="4" w:space="0" w:color="auto"/>
            </w:tcBorders>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24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50.0</w:t>
            </w:r>
            <w:r w:rsidR="006D088A" w:rsidRPr="006575F7">
              <w:rPr>
                <w:rFonts w:ascii="Book Antiqua" w:hAnsi="Book Antiqua" w:cs="Arial"/>
                <w:bCs/>
                <w:sz w:val="24"/>
                <w:szCs w:val="24"/>
                <w:lang w:val="en-US"/>
              </w:rPr>
              <w:t>)</w:t>
            </w:r>
          </w:p>
        </w:tc>
        <w:tc>
          <w:tcPr>
            <w:tcW w:w="1701" w:type="dxa"/>
            <w:tcBorders>
              <w:top w:val="single" w:sz="4" w:space="0" w:color="auto"/>
            </w:tcBorders>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4.2</w:t>
            </w:r>
            <w:r w:rsidR="006D088A" w:rsidRPr="006575F7">
              <w:rPr>
                <w:rFonts w:ascii="Book Antiqua" w:hAnsi="Book Antiqua" w:cs="Arial"/>
                <w:bCs/>
                <w:sz w:val="24"/>
                <w:szCs w:val="24"/>
                <w:lang w:val="en-US"/>
              </w:rPr>
              <w:t>)</w:t>
            </w:r>
          </w:p>
        </w:tc>
      </w:tr>
      <w:tr w:rsidR="006D088A" w:rsidRPr="006575F7" w:rsidTr="00F509AC">
        <w:tc>
          <w:tcPr>
            <w:tcW w:w="1877" w:type="dxa"/>
            <w:vAlign w:val="center"/>
          </w:tcPr>
          <w:p w:rsidR="006D088A" w:rsidRPr="00F509AC" w:rsidRDefault="006D088A" w:rsidP="00B230CE">
            <w:pPr>
              <w:tabs>
                <w:tab w:val="left" w:pos="7406"/>
              </w:tabs>
              <w:spacing w:after="0" w:line="360" w:lineRule="auto"/>
              <w:jc w:val="both"/>
              <w:rPr>
                <w:rFonts w:ascii="Book Antiqua" w:hAnsi="Book Antiqua" w:cs="Arial"/>
                <w:bCs/>
                <w:sz w:val="24"/>
                <w:szCs w:val="24"/>
                <w:vertAlign w:val="superscript"/>
                <w:lang w:val="en-US"/>
              </w:rPr>
            </w:pPr>
            <w:r w:rsidRPr="00F509AC">
              <w:rPr>
                <w:rFonts w:ascii="Book Antiqua" w:hAnsi="Book Antiqua" w:cs="Arial"/>
                <w:bCs/>
                <w:sz w:val="24"/>
                <w:szCs w:val="24"/>
                <w:lang w:val="en-US"/>
              </w:rPr>
              <w:t>LMCC</w:t>
            </w:r>
          </w:p>
        </w:tc>
        <w:tc>
          <w:tcPr>
            <w:tcW w:w="1628"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40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33.3</w:t>
            </w:r>
            <w:r w:rsidR="006D088A" w:rsidRPr="006575F7">
              <w:rPr>
                <w:rFonts w:ascii="Book Antiqua" w:hAnsi="Book Antiqua" w:cs="Arial"/>
                <w:bCs/>
                <w:sz w:val="24"/>
                <w:szCs w:val="24"/>
                <w:lang w:val="en-US"/>
              </w:rPr>
              <w:t>)</w:t>
            </w:r>
          </w:p>
        </w:tc>
        <w:tc>
          <w:tcPr>
            <w:tcW w:w="992"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57.5</w:t>
            </w:r>
          </w:p>
        </w:tc>
        <w:tc>
          <w:tcPr>
            <w:tcW w:w="1701"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25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62.5</w:t>
            </w:r>
            <w:r w:rsidR="006D088A" w:rsidRPr="006575F7">
              <w:rPr>
                <w:rFonts w:ascii="Book Antiqua" w:hAnsi="Book Antiqua" w:cs="Arial"/>
                <w:bCs/>
                <w:sz w:val="24"/>
                <w:szCs w:val="24"/>
                <w:lang w:val="en-US"/>
              </w:rPr>
              <w:t>)</w:t>
            </w:r>
          </w:p>
        </w:tc>
        <w:tc>
          <w:tcPr>
            <w:tcW w:w="1134"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22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55.0</w:t>
            </w:r>
            <w:r w:rsidR="006D088A" w:rsidRPr="006575F7">
              <w:rPr>
                <w:rFonts w:ascii="Book Antiqua" w:hAnsi="Book Antiqua" w:cs="Arial"/>
                <w:bCs/>
                <w:sz w:val="24"/>
                <w:szCs w:val="24"/>
                <w:lang w:val="en-US"/>
              </w:rPr>
              <w:t>)</w:t>
            </w:r>
          </w:p>
        </w:tc>
        <w:tc>
          <w:tcPr>
            <w:tcW w:w="1457"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15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37.5</w:t>
            </w:r>
            <w:r w:rsidR="006D088A" w:rsidRPr="006575F7">
              <w:rPr>
                <w:rFonts w:ascii="Book Antiqua" w:hAnsi="Book Antiqua" w:cs="Arial"/>
                <w:bCs/>
                <w:sz w:val="24"/>
                <w:szCs w:val="24"/>
                <w:lang w:val="en-US"/>
              </w:rPr>
              <w:t>)</w:t>
            </w:r>
          </w:p>
        </w:tc>
        <w:tc>
          <w:tcPr>
            <w:tcW w:w="1701"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0 (0</w:t>
            </w:r>
            <w:r w:rsidR="00F509AC">
              <w:rPr>
                <w:rFonts w:ascii="Book Antiqua" w:hAnsi="Book Antiqua" w:cs="Arial" w:hint="eastAsia"/>
                <w:bCs/>
                <w:sz w:val="24"/>
                <w:szCs w:val="24"/>
                <w:lang w:val="en-US" w:eastAsia="zh-CN"/>
              </w:rPr>
              <w:t>.0</w:t>
            </w:r>
            <w:r w:rsidRPr="006575F7">
              <w:rPr>
                <w:rFonts w:ascii="Book Antiqua" w:hAnsi="Book Antiqua" w:cs="Arial"/>
                <w:bCs/>
                <w:sz w:val="24"/>
                <w:szCs w:val="24"/>
                <w:lang w:val="en-US"/>
              </w:rPr>
              <w:t>)</w:t>
            </w:r>
          </w:p>
        </w:tc>
      </w:tr>
      <w:tr w:rsidR="006D088A" w:rsidRPr="006575F7" w:rsidTr="00F509AC">
        <w:tc>
          <w:tcPr>
            <w:tcW w:w="1877" w:type="dxa"/>
            <w:vAlign w:val="center"/>
          </w:tcPr>
          <w:p w:rsidR="006D088A" w:rsidRPr="00F509AC" w:rsidRDefault="006D088A" w:rsidP="00B230CE">
            <w:pPr>
              <w:tabs>
                <w:tab w:val="left" w:pos="7406"/>
              </w:tabs>
              <w:spacing w:after="0" w:line="360" w:lineRule="auto"/>
              <w:jc w:val="both"/>
              <w:rPr>
                <w:rFonts w:ascii="Book Antiqua" w:hAnsi="Book Antiqua" w:cs="Arial"/>
                <w:bCs/>
                <w:sz w:val="24"/>
                <w:szCs w:val="24"/>
                <w:lang w:val="en-US"/>
              </w:rPr>
            </w:pPr>
            <w:r w:rsidRPr="00F509AC">
              <w:rPr>
                <w:rFonts w:ascii="Book Antiqua" w:hAnsi="Book Antiqua" w:cs="Arial"/>
                <w:bCs/>
                <w:sz w:val="24"/>
                <w:szCs w:val="24"/>
                <w:lang w:val="en-US"/>
              </w:rPr>
              <w:t>HCC</w:t>
            </w:r>
          </w:p>
        </w:tc>
        <w:tc>
          <w:tcPr>
            <w:tcW w:w="1628"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16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13.3</w:t>
            </w:r>
            <w:r w:rsidR="006D088A" w:rsidRPr="006575F7">
              <w:rPr>
                <w:rFonts w:ascii="Book Antiqua" w:hAnsi="Book Antiqua" w:cs="Arial"/>
                <w:bCs/>
                <w:sz w:val="24"/>
                <w:szCs w:val="24"/>
                <w:lang w:val="en-US"/>
              </w:rPr>
              <w:t>)</w:t>
            </w:r>
          </w:p>
        </w:tc>
        <w:tc>
          <w:tcPr>
            <w:tcW w:w="992"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57.9</w:t>
            </w:r>
          </w:p>
        </w:tc>
        <w:tc>
          <w:tcPr>
            <w:tcW w:w="1701"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13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81.3</w:t>
            </w:r>
            <w:r w:rsidR="006D088A" w:rsidRPr="006575F7">
              <w:rPr>
                <w:rFonts w:ascii="Book Antiqua" w:hAnsi="Book Antiqua" w:cs="Arial"/>
                <w:bCs/>
                <w:sz w:val="24"/>
                <w:szCs w:val="24"/>
                <w:lang w:val="en-US"/>
              </w:rPr>
              <w:t>)</w:t>
            </w:r>
          </w:p>
        </w:tc>
        <w:tc>
          <w:tcPr>
            <w:tcW w:w="1134"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4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25.0</w:t>
            </w:r>
            <w:r w:rsidR="006D088A" w:rsidRPr="006575F7">
              <w:rPr>
                <w:rFonts w:ascii="Book Antiqua" w:hAnsi="Book Antiqua" w:cs="Arial"/>
                <w:bCs/>
                <w:sz w:val="24"/>
                <w:szCs w:val="24"/>
                <w:lang w:val="en-US"/>
              </w:rPr>
              <w:t>)</w:t>
            </w:r>
          </w:p>
        </w:tc>
        <w:tc>
          <w:tcPr>
            <w:tcW w:w="1457"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12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75.0</w:t>
            </w:r>
            <w:r w:rsidR="006D088A" w:rsidRPr="006575F7">
              <w:rPr>
                <w:rFonts w:ascii="Book Antiqua" w:hAnsi="Book Antiqua" w:cs="Arial"/>
                <w:bCs/>
                <w:sz w:val="24"/>
                <w:szCs w:val="24"/>
                <w:lang w:val="en-US"/>
              </w:rPr>
              <w:t>)</w:t>
            </w:r>
          </w:p>
        </w:tc>
        <w:tc>
          <w:tcPr>
            <w:tcW w:w="1701"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0 (</w:t>
            </w:r>
            <w:r w:rsidR="00F509AC" w:rsidRPr="006575F7">
              <w:rPr>
                <w:rFonts w:ascii="Book Antiqua" w:hAnsi="Book Antiqua" w:cs="Arial"/>
                <w:bCs/>
                <w:sz w:val="24"/>
                <w:szCs w:val="24"/>
                <w:lang w:val="en-US"/>
              </w:rPr>
              <w:t>0</w:t>
            </w:r>
            <w:r w:rsidR="00F509AC">
              <w:rPr>
                <w:rFonts w:ascii="Book Antiqua" w:hAnsi="Book Antiqua" w:cs="Arial" w:hint="eastAsia"/>
                <w:bCs/>
                <w:sz w:val="24"/>
                <w:szCs w:val="24"/>
                <w:lang w:val="en-US" w:eastAsia="zh-CN"/>
              </w:rPr>
              <w:t>.0</w:t>
            </w:r>
            <w:r w:rsidRPr="006575F7">
              <w:rPr>
                <w:rFonts w:ascii="Book Antiqua" w:hAnsi="Book Antiqua" w:cs="Arial"/>
                <w:bCs/>
                <w:sz w:val="24"/>
                <w:szCs w:val="24"/>
                <w:lang w:val="en-US"/>
              </w:rPr>
              <w:t>)</w:t>
            </w:r>
          </w:p>
        </w:tc>
      </w:tr>
      <w:tr w:rsidR="006D088A" w:rsidRPr="006575F7" w:rsidTr="00F509AC">
        <w:tc>
          <w:tcPr>
            <w:tcW w:w="1877" w:type="dxa"/>
            <w:vAlign w:val="center"/>
          </w:tcPr>
          <w:p w:rsidR="006D088A" w:rsidRPr="00F509AC" w:rsidRDefault="006D088A" w:rsidP="00B230CE">
            <w:pPr>
              <w:tabs>
                <w:tab w:val="left" w:pos="7406"/>
              </w:tabs>
              <w:spacing w:after="0" w:line="360" w:lineRule="auto"/>
              <w:jc w:val="both"/>
              <w:rPr>
                <w:rFonts w:ascii="Book Antiqua" w:hAnsi="Book Antiqua" w:cs="Arial"/>
                <w:bCs/>
                <w:sz w:val="24"/>
                <w:szCs w:val="24"/>
                <w:lang w:val="en-US"/>
              </w:rPr>
            </w:pPr>
            <w:r w:rsidRPr="00F509AC">
              <w:rPr>
                <w:rFonts w:ascii="Book Antiqua" w:hAnsi="Book Antiqua" w:cs="Arial"/>
                <w:bCs/>
                <w:sz w:val="24"/>
                <w:szCs w:val="24"/>
                <w:lang w:val="en-US"/>
              </w:rPr>
              <w:t>IHCC</w:t>
            </w:r>
          </w:p>
        </w:tc>
        <w:tc>
          <w:tcPr>
            <w:tcW w:w="1628"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11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 xml:space="preserve">9.2 </w:t>
            </w:r>
            <w:r w:rsidR="006D088A" w:rsidRPr="006575F7">
              <w:rPr>
                <w:rFonts w:ascii="Book Antiqua" w:hAnsi="Book Antiqua" w:cs="Arial"/>
                <w:bCs/>
                <w:sz w:val="24"/>
                <w:szCs w:val="24"/>
                <w:lang w:val="en-US"/>
              </w:rPr>
              <w:t>)</w:t>
            </w:r>
          </w:p>
        </w:tc>
        <w:tc>
          <w:tcPr>
            <w:tcW w:w="992"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63.3</w:t>
            </w:r>
          </w:p>
        </w:tc>
        <w:tc>
          <w:tcPr>
            <w:tcW w:w="1701"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18.2</w:t>
            </w:r>
            <w:r w:rsidR="006D088A" w:rsidRPr="006575F7">
              <w:rPr>
                <w:rFonts w:ascii="Book Antiqua" w:hAnsi="Book Antiqua" w:cs="Arial"/>
                <w:bCs/>
                <w:sz w:val="24"/>
                <w:szCs w:val="24"/>
                <w:lang w:val="en-US"/>
              </w:rPr>
              <w:t>)</w:t>
            </w:r>
          </w:p>
        </w:tc>
        <w:tc>
          <w:tcPr>
            <w:tcW w:w="1134"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3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27.3</w:t>
            </w:r>
            <w:r w:rsidR="006D088A" w:rsidRPr="006575F7">
              <w:rPr>
                <w:rFonts w:ascii="Book Antiqua" w:hAnsi="Book Antiqua" w:cs="Arial"/>
                <w:bCs/>
                <w:sz w:val="24"/>
                <w:szCs w:val="24"/>
                <w:lang w:val="en-US"/>
              </w:rPr>
              <w:t>)</w:t>
            </w:r>
          </w:p>
        </w:tc>
        <w:tc>
          <w:tcPr>
            <w:tcW w:w="1457"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7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63.6</w:t>
            </w:r>
            <w:r w:rsidR="006D088A" w:rsidRPr="006575F7">
              <w:rPr>
                <w:rFonts w:ascii="Book Antiqua" w:hAnsi="Book Antiqua" w:cs="Arial"/>
                <w:bCs/>
                <w:sz w:val="24"/>
                <w:szCs w:val="24"/>
                <w:lang w:val="en-US"/>
              </w:rPr>
              <w:t>)</w:t>
            </w:r>
          </w:p>
        </w:tc>
        <w:tc>
          <w:tcPr>
            <w:tcW w:w="1701"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0 (</w:t>
            </w:r>
            <w:r w:rsidR="00F509AC" w:rsidRPr="006575F7">
              <w:rPr>
                <w:rFonts w:ascii="Book Antiqua" w:hAnsi="Book Antiqua" w:cs="Arial"/>
                <w:bCs/>
                <w:sz w:val="24"/>
                <w:szCs w:val="24"/>
                <w:lang w:val="en-US"/>
              </w:rPr>
              <w:t>0</w:t>
            </w:r>
            <w:r w:rsidR="00F509AC">
              <w:rPr>
                <w:rFonts w:ascii="Book Antiqua" w:hAnsi="Book Antiqua" w:cs="Arial" w:hint="eastAsia"/>
                <w:bCs/>
                <w:sz w:val="24"/>
                <w:szCs w:val="24"/>
                <w:lang w:val="en-US" w:eastAsia="zh-CN"/>
              </w:rPr>
              <w:t>.0</w:t>
            </w:r>
            <w:r w:rsidRPr="006575F7">
              <w:rPr>
                <w:rFonts w:ascii="Book Antiqua" w:hAnsi="Book Antiqua" w:cs="Arial"/>
                <w:bCs/>
                <w:sz w:val="24"/>
                <w:szCs w:val="24"/>
                <w:lang w:val="en-US"/>
              </w:rPr>
              <w:t>)</w:t>
            </w:r>
          </w:p>
        </w:tc>
      </w:tr>
      <w:tr w:rsidR="006D088A" w:rsidRPr="006575F7" w:rsidTr="00F509AC">
        <w:tc>
          <w:tcPr>
            <w:tcW w:w="1877" w:type="dxa"/>
            <w:vAlign w:val="center"/>
          </w:tcPr>
          <w:p w:rsidR="006D088A" w:rsidRPr="00F509AC" w:rsidRDefault="006D088A" w:rsidP="00B230CE">
            <w:pPr>
              <w:tabs>
                <w:tab w:val="left" w:pos="7406"/>
              </w:tabs>
              <w:spacing w:after="0" w:line="360" w:lineRule="auto"/>
              <w:jc w:val="both"/>
              <w:rPr>
                <w:rFonts w:ascii="Book Antiqua" w:hAnsi="Book Antiqua" w:cs="Arial"/>
                <w:bCs/>
                <w:sz w:val="24"/>
                <w:szCs w:val="24"/>
                <w:lang w:val="en-US"/>
              </w:rPr>
            </w:pPr>
            <w:r w:rsidRPr="00F509AC">
              <w:rPr>
                <w:rFonts w:ascii="Book Antiqua" w:hAnsi="Book Antiqua" w:cs="Arial"/>
                <w:bCs/>
                <w:sz w:val="24"/>
                <w:szCs w:val="24"/>
                <w:lang w:val="en-US"/>
              </w:rPr>
              <w:t>Others</w:t>
            </w:r>
          </w:p>
        </w:tc>
        <w:tc>
          <w:tcPr>
            <w:tcW w:w="1628"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5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4.2</w:t>
            </w:r>
            <w:r w:rsidR="006D088A" w:rsidRPr="006575F7">
              <w:rPr>
                <w:rFonts w:ascii="Book Antiqua" w:hAnsi="Book Antiqua" w:cs="Arial"/>
                <w:bCs/>
                <w:sz w:val="24"/>
                <w:szCs w:val="24"/>
                <w:lang w:val="en-US"/>
              </w:rPr>
              <w:t>)</w:t>
            </w:r>
          </w:p>
        </w:tc>
        <w:tc>
          <w:tcPr>
            <w:tcW w:w="992" w:type="dxa"/>
            <w:vAlign w:val="center"/>
          </w:tcPr>
          <w:p w:rsidR="006D088A" w:rsidRPr="006575F7" w:rsidRDefault="006D088A" w:rsidP="00B230CE">
            <w:pPr>
              <w:tabs>
                <w:tab w:val="left" w:pos="7406"/>
              </w:tabs>
              <w:spacing w:after="0" w:line="360" w:lineRule="auto"/>
              <w:jc w:val="center"/>
              <w:rPr>
                <w:rFonts w:ascii="Book Antiqua" w:hAnsi="Book Antiqua" w:cs="Arial"/>
                <w:bCs/>
                <w:sz w:val="24"/>
                <w:szCs w:val="24"/>
                <w:lang w:val="en-US"/>
              </w:rPr>
            </w:pPr>
            <w:r w:rsidRPr="006575F7">
              <w:rPr>
                <w:rFonts w:ascii="Book Antiqua" w:hAnsi="Book Antiqua" w:cs="Arial"/>
                <w:bCs/>
                <w:sz w:val="24"/>
                <w:szCs w:val="24"/>
                <w:lang w:val="en-US"/>
              </w:rPr>
              <w:t>64.4</w:t>
            </w:r>
          </w:p>
        </w:tc>
        <w:tc>
          <w:tcPr>
            <w:tcW w:w="1701"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0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0.0</w:t>
            </w:r>
            <w:r w:rsidR="006D088A" w:rsidRPr="006575F7">
              <w:rPr>
                <w:rFonts w:ascii="Book Antiqua" w:hAnsi="Book Antiqua" w:cs="Arial"/>
                <w:bCs/>
                <w:sz w:val="24"/>
                <w:szCs w:val="24"/>
                <w:lang w:val="en-US"/>
              </w:rPr>
              <w:t>)</w:t>
            </w:r>
          </w:p>
        </w:tc>
        <w:tc>
          <w:tcPr>
            <w:tcW w:w="1134"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sz w:val="24"/>
                <w:szCs w:val="24"/>
                <w:lang w:val="en-US" w:eastAsia="zh-CN"/>
              </w:rPr>
              <w:t xml:space="preserve">1 </w:t>
            </w:r>
            <w:r w:rsidR="006D088A" w:rsidRPr="006575F7">
              <w:rPr>
                <w:rFonts w:ascii="Book Antiqua" w:hAnsi="Book Antiqua" w:cs="Arial"/>
                <w:sz w:val="24"/>
                <w:szCs w:val="24"/>
                <w:lang w:val="en-US"/>
              </w:rPr>
              <w:t>(</w:t>
            </w:r>
            <w:r w:rsidRPr="006575F7">
              <w:rPr>
                <w:rFonts w:ascii="Book Antiqua" w:hAnsi="Book Antiqua" w:cs="Arial"/>
                <w:sz w:val="24"/>
                <w:szCs w:val="24"/>
                <w:lang w:val="en-US"/>
              </w:rPr>
              <w:t>20.0</w:t>
            </w:r>
            <w:r w:rsidR="006D088A" w:rsidRPr="006575F7">
              <w:rPr>
                <w:rFonts w:ascii="Book Antiqua" w:hAnsi="Book Antiqua" w:cs="Arial"/>
                <w:sz w:val="24"/>
                <w:szCs w:val="24"/>
                <w:lang w:val="en-US"/>
              </w:rPr>
              <w:t>)</w:t>
            </w:r>
          </w:p>
        </w:tc>
        <w:tc>
          <w:tcPr>
            <w:tcW w:w="1457" w:type="dxa"/>
            <w:vAlign w:val="center"/>
          </w:tcPr>
          <w:p w:rsidR="006D088A" w:rsidRPr="006575F7" w:rsidRDefault="00F509AC" w:rsidP="00B230CE">
            <w:pPr>
              <w:tabs>
                <w:tab w:val="left" w:pos="7406"/>
              </w:tabs>
              <w:spacing w:after="0" w:line="360" w:lineRule="auto"/>
              <w:jc w:val="center"/>
              <w:rPr>
                <w:rFonts w:ascii="Book Antiqua" w:hAnsi="Book Antiqua" w:cs="Arial"/>
                <w:bCs/>
                <w:sz w:val="24"/>
                <w:szCs w:val="24"/>
                <w:lang w:val="en-US"/>
              </w:rPr>
            </w:pPr>
            <w:r>
              <w:rPr>
                <w:rFonts w:ascii="Book Antiqua" w:hAnsi="Book Antiqua" w:cs="Arial" w:hint="eastAsia"/>
                <w:bCs/>
                <w:sz w:val="24"/>
                <w:szCs w:val="24"/>
                <w:lang w:val="en-US" w:eastAsia="zh-CN"/>
              </w:rPr>
              <w:t xml:space="preserve">2 </w:t>
            </w:r>
            <w:r w:rsidR="006D088A" w:rsidRPr="006575F7">
              <w:rPr>
                <w:rFonts w:ascii="Book Antiqua" w:hAnsi="Book Antiqua" w:cs="Arial"/>
                <w:bCs/>
                <w:sz w:val="24"/>
                <w:szCs w:val="24"/>
                <w:lang w:val="en-US"/>
              </w:rPr>
              <w:t>(</w:t>
            </w:r>
            <w:r w:rsidRPr="006575F7">
              <w:rPr>
                <w:rFonts w:ascii="Book Antiqua" w:hAnsi="Book Antiqua" w:cs="Arial"/>
                <w:bCs/>
                <w:sz w:val="24"/>
                <w:szCs w:val="24"/>
                <w:lang w:val="en-US"/>
              </w:rPr>
              <w:t>40.0</w:t>
            </w:r>
            <w:r w:rsidR="006D088A" w:rsidRPr="006575F7">
              <w:rPr>
                <w:rFonts w:ascii="Book Antiqua" w:hAnsi="Book Antiqua" w:cs="Arial"/>
                <w:bCs/>
                <w:sz w:val="24"/>
                <w:szCs w:val="24"/>
                <w:lang w:val="en-US"/>
              </w:rPr>
              <w:t>)</w:t>
            </w:r>
          </w:p>
        </w:tc>
        <w:tc>
          <w:tcPr>
            <w:tcW w:w="1701" w:type="dxa"/>
            <w:vAlign w:val="center"/>
          </w:tcPr>
          <w:p w:rsidR="006D088A" w:rsidRPr="006575F7" w:rsidRDefault="006D088A" w:rsidP="00B230CE">
            <w:pPr>
              <w:tabs>
                <w:tab w:val="left" w:pos="7406"/>
              </w:tabs>
              <w:spacing w:after="0" w:line="360" w:lineRule="auto"/>
              <w:jc w:val="center"/>
              <w:rPr>
                <w:rFonts w:ascii="Book Antiqua" w:hAnsi="Book Antiqua" w:cs="Arial"/>
                <w:sz w:val="24"/>
                <w:szCs w:val="24"/>
                <w:lang w:val="en-US"/>
              </w:rPr>
            </w:pPr>
            <w:r w:rsidRPr="006575F7">
              <w:rPr>
                <w:rFonts w:ascii="Book Antiqua" w:hAnsi="Book Antiqua" w:cs="Arial"/>
                <w:bCs/>
                <w:sz w:val="24"/>
                <w:szCs w:val="24"/>
                <w:lang w:val="en-US"/>
              </w:rPr>
              <w:t>0 (</w:t>
            </w:r>
            <w:r w:rsidR="00F509AC" w:rsidRPr="006575F7">
              <w:rPr>
                <w:rFonts w:ascii="Book Antiqua" w:hAnsi="Book Antiqua" w:cs="Arial"/>
                <w:bCs/>
                <w:sz w:val="24"/>
                <w:szCs w:val="24"/>
                <w:lang w:val="en-US"/>
              </w:rPr>
              <w:t>0</w:t>
            </w:r>
            <w:r w:rsidR="00F509AC">
              <w:rPr>
                <w:rFonts w:ascii="Book Antiqua" w:hAnsi="Book Antiqua" w:cs="Arial" w:hint="eastAsia"/>
                <w:bCs/>
                <w:sz w:val="24"/>
                <w:szCs w:val="24"/>
                <w:lang w:val="en-US" w:eastAsia="zh-CN"/>
              </w:rPr>
              <w:t>.0</w:t>
            </w:r>
            <w:r w:rsidRPr="006575F7">
              <w:rPr>
                <w:rFonts w:ascii="Book Antiqua" w:hAnsi="Book Antiqua" w:cs="Arial"/>
                <w:bCs/>
                <w:sz w:val="24"/>
                <w:szCs w:val="24"/>
                <w:lang w:val="en-US"/>
              </w:rPr>
              <w:t>)</w:t>
            </w:r>
          </w:p>
        </w:tc>
      </w:tr>
    </w:tbl>
    <w:p w:rsidR="006D088A" w:rsidRPr="006575F7" w:rsidRDefault="006D088A" w:rsidP="00B230CE">
      <w:pPr>
        <w:spacing w:after="0" w:line="360" w:lineRule="auto"/>
        <w:jc w:val="both"/>
        <w:rPr>
          <w:rFonts w:ascii="Book Antiqua" w:hAnsi="Book Antiqua" w:cs="Arial"/>
          <w:sz w:val="24"/>
          <w:szCs w:val="24"/>
        </w:rPr>
      </w:pPr>
      <w:r w:rsidRPr="006575F7">
        <w:rPr>
          <w:rFonts w:ascii="Book Antiqua" w:hAnsi="Book Antiqua" w:cs="Arial"/>
          <w:sz w:val="24"/>
          <w:szCs w:val="24"/>
        </w:rPr>
        <w:t xml:space="preserve">HCC: Hepatocellular carcinoma; IHCC: Intrahepatic </w:t>
      </w:r>
      <w:proofErr w:type="spellStart"/>
      <w:r w:rsidRPr="006575F7">
        <w:rPr>
          <w:rFonts w:ascii="Book Antiqua" w:hAnsi="Book Antiqua" w:cs="Arial"/>
          <w:sz w:val="24"/>
          <w:szCs w:val="24"/>
        </w:rPr>
        <w:t>cholangiocarcinoma</w:t>
      </w:r>
      <w:proofErr w:type="spellEnd"/>
      <w:r w:rsidRPr="006575F7">
        <w:rPr>
          <w:rFonts w:ascii="Book Antiqua" w:hAnsi="Book Antiqua" w:cs="Arial"/>
          <w:sz w:val="24"/>
          <w:szCs w:val="24"/>
        </w:rPr>
        <w:t xml:space="preserve">; LMCC: Liver metastasis of colorectal cancer; NASH: Nonalcoholic </w:t>
      </w:r>
      <w:proofErr w:type="spellStart"/>
      <w:r w:rsidRPr="006575F7">
        <w:rPr>
          <w:rFonts w:ascii="Book Antiqua" w:hAnsi="Book Antiqua" w:cs="Arial"/>
          <w:sz w:val="24"/>
          <w:szCs w:val="24"/>
        </w:rPr>
        <w:t>steatohepatitis</w:t>
      </w:r>
      <w:proofErr w:type="spellEnd"/>
      <w:r w:rsidRPr="006575F7">
        <w:rPr>
          <w:rFonts w:ascii="Book Antiqua" w:hAnsi="Book Antiqua" w:cs="Arial"/>
          <w:sz w:val="24"/>
          <w:szCs w:val="24"/>
        </w:rPr>
        <w:t xml:space="preserve">; NCLM: Non-colorectal liver metastasis; Others: </w:t>
      </w:r>
      <w:proofErr w:type="spellStart"/>
      <w:r w:rsidRPr="006575F7">
        <w:rPr>
          <w:rFonts w:ascii="Book Antiqua" w:hAnsi="Book Antiqua" w:cs="Arial"/>
          <w:sz w:val="24"/>
          <w:szCs w:val="24"/>
        </w:rPr>
        <w:t>Lymphoproliferative</w:t>
      </w:r>
      <w:proofErr w:type="spellEnd"/>
      <w:r w:rsidRPr="006575F7">
        <w:rPr>
          <w:rFonts w:ascii="Book Antiqua" w:hAnsi="Book Antiqua" w:cs="Arial"/>
          <w:sz w:val="24"/>
          <w:szCs w:val="24"/>
        </w:rPr>
        <w:t xml:space="preserve"> tumors and sarcoma.</w:t>
      </w:r>
    </w:p>
    <w:p w:rsidR="006D088A" w:rsidRPr="006575F7" w:rsidRDefault="006D088A" w:rsidP="00B230CE">
      <w:pPr>
        <w:spacing w:after="0"/>
        <w:rPr>
          <w:rFonts w:ascii="Book Antiqua" w:hAnsi="Book Antiqua" w:cs="Arial"/>
          <w:color w:val="244061" w:themeColor="accent1" w:themeShade="80"/>
          <w:sz w:val="24"/>
          <w:szCs w:val="24"/>
        </w:rPr>
      </w:pPr>
      <w:r w:rsidRPr="006575F7">
        <w:rPr>
          <w:rFonts w:ascii="Book Antiqua" w:hAnsi="Book Antiqua" w:cs="Arial"/>
          <w:color w:val="244061" w:themeColor="accent1" w:themeShade="80"/>
          <w:sz w:val="24"/>
          <w:szCs w:val="24"/>
        </w:rPr>
        <w:br w:type="page"/>
      </w:r>
    </w:p>
    <w:p w:rsidR="006D088A" w:rsidRPr="006575F7" w:rsidRDefault="006D088A" w:rsidP="00B230CE">
      <w:pPr>
        <w:spacing w:after="0" w:line="360" w:lineRule="auto"/>
        <w:jc w:val="both"/>
        <w:rPr>
          <w:rFonts w:ascii="Book Antiqua" w:hAnsi="Book Antiqua" w:cs="Arial"/>
          <w:b/>
          <w:sz w:val="24"/>
          <w:szCs w:val="24"/>
        </w:rPr>
      </w:pPr>
      <w:r w:rsidRPr="006575F7">
        <w:rPr>
          <w:rFonts w:ascii="Book Antiqua" w:hAnsi="Book Antiqua" w:cs="Arial"/>
          <w:b/>
          <w:sz w:val="24"/>
          <w:szCs w:val="24"/>
        </w:rPr>
        <w:lastRenderedPageBreak/>
        <w:t xml:space="preserve">Table 2 Association of risk factors for nonalcoholic fatty liver disease with </w:t>
      </w:r>
      <w:proofErr w:type="spellStart"/>
      <w:r w:rsidRPr="006575F7">
        <w:rPr>
          <w:rFonts w:ascii="Book Antiqua" w:hAnsi="Book Antiqua" w:cs="Arial"/>
          <w:b/>
          <w:sz w:val="24"/>
          <w:szCs w:val="24"/>
        </w:rPr>
        <w:t>steatosis</w:t>
      </w:r>
      <w:proofErr w:type="spellEnd"/>
      <w:r w:rsidRPr="006575F7">
        <w:rPr>
          <w:rFonts w:ascii="Book Antiqua" w:hAnsi="Book Antiqua" w:cs="Arial"/>
          <w:b/>
          <w:sz w:val="24"/>
          <w:szCs w:val="24"/>
        </w:rPr>
        <w:t xml:space="preserve"> and liver fibrosis in 120 patients with primary and secondary hepatic neoplasm</w:t>
      </w:r>
    </w:p>
    <w:tbl>
      <w:tblPr>
        <w:tblStyle w:val="a3"/>
        <w:tblW w:w="91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217"/>
        <w:gridCol w:w="852"/>
        <w:gridCol w:w="1555"/>
        <w:gridCol w:w="1201"/>
        <w:gridCol w:w="756"/>
        <w:gridCol w:w="1620"/>
      </w:tblGrid>
      <w:tr w:rsidR="006D088A" w:rsidRPr="006575F7" w:rsidTr="007B5A5E">
        <w:tc>
          <w:tcPr>
            <w:tcW w:w="1950" w:type="dxa"/>
            <w:tcBorders>
              <w:top w:val="single" w:sz="4" w:space="0" w:color="auto"/>
              <w:bottom w:val="nil"/>
            </w:tcBorders>
          </w:tcPr>
          <w:p w:rsidR="006D088A" w:rsidRPr="006575F7" w:rsidRDefault="006D088A" w:rsidP="00B230CE">
            <w:pPr>
              <w:spacing w:after="0" w:line="360" w:lineRule="auto"/>
              <w:jc w:val="both"/>
              <w:rPr>
                <w:rFonts w:ascii="Book Antiqua" w:hAnsi="Book Antiqua"/>
                <w:b/>
                <w:sz w:val="24"/>
                <w:szCs w:val="24"/>
                <w:lang w:val="en-US"/>
              </w:rPr>
            </w:pPr>
          </w:p>
        </w:tc>
        <w:tc>
          <w:tcPr>
            <w:tcW w:w="3624" w:type="dxa"/>
            <w:gridSpan w:val="3"/>
            <w:tcBorders>
              <w:top w:val="single" w:sz="4" w:space="0" w:color="auto"/>
              <w:bottom w:val="nil"/>
            </w:tcBorders>
            <w:vAlign w:val="center"/>
          </w:tcPr>
          <w:p w:rsidR="006D088A" w:rsidRPr="006575F7" w:rsidRDefault="006D088A" w:rsidP="00154E88">
            <w:pPr>
              <w:spacing w:after="0" w:line="360" w:lineRule="auto"/>
              <w:jc w:val="center"/>
              <w:rPr>
                <w:rFonts w:ascii="Book Antiqua" w:hAnsi="Book Antiqua"/>
                <w:b/>
                <w:sz w:val="24"/>
                <w:szCs w:val="24"/>
                <w:lang w:val="en-US"/>
              </w:rPr>
            </w:pPr>
            <w:r w:rsidRPr="006575F7">
              <w:rPr>
                <w:rFonts w:ascii="Book Antiqua" w:hAnsi="Book Antiqua"/>
                <w:b/>
                <w:sz w:val="24"/>
                <w:szCs w:val="24"/>
                <w:lang w:val="en-US"/>
              </w:rPr>
              <w:t xml:space="preserve">Liver </w:t>
            </w:r>
            <w:proofErr w:type="spellStart"/>
            <w:r w:rsidR="00154E88">
              <w:rPr>
                <w:rFonts w:ascii="Book Antiqua" w:hAnsi="Book Antiqua" w:hint="eastAsia"/>
                <w:b/>
                <w:sz w:val="24"/>
                <w:szCs w:val="24"/>
                <w:lang w:val="en-US" w:eastAsia="zh-CN"/>
              </w:rPr>
              <w:t>s</w:t>
            </w:r>
            <w:r w:rsidRPr="006575F7">
              <w:rPr>
                <w:rFonts w:ascii="Book Antiqua" w:hAnsi="Book Antiqua"/>
                <w:b/>
                <w:sz w:val="24"/>
                <w:szCs w:val="24"/>
                <w:lang w:val="en-US"/>
              </w:rPr>
              <w:t>teatosis</w:t>
            </w:r>
            <w:proofErr w:type="spellEnd"/>
          </w:p>
        </w:tc>
        <w:tc>
          <w:tcPr>
            <w:tcW w:w="3577" w:type="dxa"/>
            <w:gridSpan w:val="3"/>
            <w:tcBorders>
              <w:top w:val="single" w:sz="4" w:space="0" w:color="auto"/>
              <w:bottom w:val="nil"/>
            </w:tcBorders>
            <w:vAlign w:val="center"/>
          </w:tcPr>
          <w:p w:rsidR="006D088A" w:rsidRPr="006575F7" w:rsidRDefault="006D088A" w:rsidP="00154E88">
            <w:pPr>
              <w:spacing w:after="0" w:line="360" w:lineRule="auto"/>
              <w:jc w:val="center"/>
              <w:rPr>
                <w:rFonts w:ascii="Book Antiqua" w:hAnsi="Book Antiqua"/>
                <w:b/>
                <w:sz w:val="24"/>
                <w:szCs w:val="24"/>
                <w:lang w:val="en-US"/>
              </w:rPr>
            </w:pPr>
            <w:r w:rsidRPr="006575F7">
              <w:rPr>
                <w:rFonts w:ascii="Book Antiqua" w:hAnsi="Book Antiqua"/>
                <w:b/>
                <w:sz w:val="24"/>
                <w:szCs w:val="24"/>
                <w:lang w:val="en-US"/>
              </w:rPr>
              <w:t xml:space="preserve">Liver </w:t>
            </w:r>
            <w:r w:rsidR="00154E88">
              <w:rPr>
                <w:rFonts w:ascii="Book Antiqua" w:hAnsi="Book Antiqua" w:hint="eastAsia"/>
                <w:b/>
                <w:sz w:val="24"/>
                <w:szCs w:val="24"/>
                <w:lang w:val="en-US" w:eastAsia="zh-CN"/>
              </w:rPr>
              <w:t>f</w:t>
            </w:r>
            <w:r w:rsidRPr="006575F7">
              <w:rPr>
                <w:rFonts w:ascii="Book Antiqua" w:hAnsi="Book Antiqua"/>
                <w:b/>
                <w:sz w:val="24"/>
                <w:szCs w:val="24"/>
                <w:lang w:val="en-US"/>
              </w:rPr>
              <w:t>ibrosis</w:t>
            </w:r>
          </w:p>
        </w:tc>
      </w:tr>
      <w:tr w:rsidR="006D088A" w:rsidRPr="006575F7" w:rsidTr="007B5A5E">
        <w:tc>
          <w:tcPr>
            <w:tcW w:w="1950" w:type="dxa"/>
            <w:tcBorders>
              <w:top w:val="nil"/>
              <w:bottom w:val="single" w:sz="4" w:space="0" w:color="auto"/>
            </w:tcBorders>
            <w:vAlign w:val="center"/>
          </w:tcPr>
          <w:p w:rsidR="006D088A" w:rsidRPr="00F509AC" w:rsidRDefault="006D088A" w:rsidP="00B230CE">
            <w:pPr>
              <w:spacing w:after="0" w:line="360" w:lineRule="auto"/>
              <w:rPr>
                <w:rFonts w:ascii="Book Antiqua" w:hAnsi="Book Antiqua"/>
                <w:sz w:val="24"/>
                <w:szCs w:val="24"/>
                <w:lang w:val="en-US"/>
              </w:rPr>
            </w:pPr>
            <w:r w:rsidRPr="00F509AC">
              <w:rPr>
                <w:rFonts w:ascii="Book Antiqua" w:hAnsi="Book Antiqua"/>
                <w:sz w:val="24"/>
                <w:szCs w:val="24"/>
                <w:lang w:val="en-US"/>
              </w:rPr>
              <w:t>NAFLD</w:t>
            </w:r>
          </w:p>
          <w:p w:rsidR="006D088A" w:rsidRPr="00F509AC" w:rsidRDefault="006D088A" w:rsidP="00B230CE">
            <w:pPr>
              <w:spacing w:after="0" w:line="360" w:lineRule="auto"/>
              <w:rPr>
                <w:rFonts w:ascii="Book Antiqua" w:hAnsi="Book Antiqua"/>
                <w:i/>
                <w:sz w:val="24"/>
                <w:szCs w:val="24"/>
                <w:lang w:val="en-US"/>
              </w:rPr>
            </w:pPr>
            <w:r w:rsidRPr="00F509AC">
              <w:rPr>
                <w:rFonts w:ascii="Book Antiqua" w:hAnsi="Book Antiqua"/>
                <w:sz w:val="24"/>
                <w:szCs w:val="24"/>
                <w:lang w:val="en-US"/>
              </w:rPr>
              <w:t>risk factor (</w:t>
            </w:r>
            <w:r w:rsidRPr="00F509AC">
              <w:rPr>
                <w:rFonts w:ascii="Book Antiqua" w:hAnsi="Book Antiqua"/>
                <w:i/>
                <w:sz w:val="24"/>
                <w:szCs w:val="24"/>
                <w:lang w:val="en-US"/>
              </w:rPr>
              <w:t>n</w:t>
            </w:r>
            <w:r w:rsidRPr="00F509AC">
              <w:rPr>
                <w:rFonts w:ascii="Book Antiqua" w:hAnsi="Book Antiqua"/>
                <w:sz w:val="24"/>
                <w:szCs w:val="24"/>
                <w:lang w:val="en-US"/>
              </w:rPr>
              <w:t>)</w:t>
            </w:r>
          </w:p>
        </w:tc>
        <w:tc>
          <w:tcPr>
            <w:tcW w:w="1217"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proofErr w:type="gramStart"/>
            <w:r w:rsidRPr="006575F7">
              <w:rPr>
                <w:rFonts w:ascii="Book Antiqua" w:hAnsi="Book Antiqua" w:cs="Arial"/>
                <w:b/>
                <w:bCs/>
                <w:i/>
                <w:sz w:val="24"/>
                <w:szCs w:val="24"/>
                <w:lang w:val="en-US" w:eastAsia="pt-BR"/>
              </w:rPr>
              <w:t>n</w:t>
            </w:r>
            <w:proofErr w:type="gramEnd"/>
            <w:r w:rsidRPr="006575F7">
              <w:rPr>
                <w:rFonts w:ascii="Book Antiqua" w:hAnsi="Book Antiqua" w:cs="Arial"/>
                <w:b/>
                <w:bCs/>
                <w:sz w:val="24"/>
                <w:szCs w:val="24"/>
                <w:lang w:val="en-US" w:eastAsia="pt-BR"/>
              </w:rPr>
              <w:t xml:space="preserve"> (%)</w:t>
            </w:r>
          </w:p>
        </w:tc>
        <w:tc>
          <w:tcPr>
            <w:tcW w:w="852"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cs="Arial"/>
                <w:b/>
                <w:bCs/>
                <w:i/>
                <w:iCs/>
                <w:sz w:val="24"/>
                <w:szCs w:val="24"/>
                <w:lang w:val="en-US" w:eastAsia="pt-BR"/>
              </w:rPr>
              <w:t>P</w:t>
            </w:r>
          </w:p>
        </w:tc>
        <w:tc>
          <w:tcPr>
            <w:tcW w:w="1555"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cs="Arial"/>
                <w:b/>
                <w:bCs/>
                <w:sz w:val="24"/>
                <w:szCs w:val="24"/>
                <w:lang w:val="en-US" w:eastAsia="pt-BR"/>
              </w:rPr>
              <w:t>OR (95% CI)</w:t>
            </w:r>
          </w:p>
        </w:tc>
        <w:tc>
          <w:tcPr>
            <w:tcW w:w="1201"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proofErr w:type="gramStart"/>
            <w:r w:rsidRPr="006575F7">
              <w:rPr>
                <w:rFonts w:ascii="Book Antiqua" w:hAnsi="Book Antiqua" w:cs="Arial"/>
                <w:b/>
                <w:bCs/>
                <w:i/>
                <w:sz w:val="24"/>
                <w:szCs w:val="24"/>
                <w:lang w:val="en-US" w:eastAsia="pt-BR"/>
              </w:rPr>
              <w:t>n</w:t>
            </w:r>
            <w:proofErr w:type="gramEnd"/>
            <w:r w:rsidRPr="006575F7">
              <w:rPr>
                <w:rFonts w:ascii="Book Antiqua" w:hAnsi="Book Antiqua" w:cs="Arial"/>
                <w:b/>
                <w:bCs/>
                <w:sz w:val="24"/>
                <w:szCs w:val="24"/>
                <w:lang w:val="en-US" w:eastAsia="pt-BR"/>
              </w:rPr>
              <w:t xml:space="preserve"> (%)</w:t>
            </w:r>
          </w:p>
        </w:tc>
        <w:tc>
          <w:tcPr>
            <w:tcW w:w="756"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cs="Arial"/>
                <w:b/>
                <w:bCs/>
                <w:i/>
                <w:iCs/>
                <w:sz w:val="24"/>
                <w:szCs w:val="24"/>
                <w:lang w:val="en-US" w:eastAsia="pt-BR"/>
              </w:rPr>
              <w:t>P</w:t>
            </w:r>
          </w:p>
        </w:tc>
        <w:tc>
          <w:tcPr>
            <w:tcW w:w="1620"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cs="Arial"/>
                <w:b/>
                <w:bCs/>
                <w:sz w:val="24"/>
                <w:szCs w:val="24"/>
                <w:lang w:val="en-US" w:eastAsia="pt-BR"/>
              </w:rPr>
              <w:t>OR (95% CI)</w:t>
            </w:r>
          </w:p>
        </w:tc>
      </w:tr>
      <w:tr w:rsidR="006D088A" w:rsidRPr="006575F7" w:rsidTr="00F509AC">
        <w:tc>
          <w:tcPr>
            <w:tcW w:w="1950" w:type="dxa"/>
            <w:tcBorders>
              <w:top w:val="single" w:sz="4" w:space="0" w:color="auto"/>
            </w:tcBorders>
            <w:vAlign w:val="center"/>
          </w:tcPr>
          <w:p w:rsidR="006D088A" w:rsidRPr="00F509AC" w:rsidRDefault="006D088A" w:rsidP="00B230CE">
            <w:pPr>
              <w:spacing w:after="0" w:line="360" w:lineRule="auto"/>
              <w:rPr>
                <w:rFonts w:ascii="Book Antiqua" w:hAnsi="Book Antiqua"/>
                <w:sz w:val="24"/>
                <w:szCs w:val="24"/>
                <w:lang w:val="en-US"/>
              </w:rPr>
            </w:pPr>
            <w:r w:rsidRPr="00F509AC">
              <w:rPr>
                <w:rFonts w:ascii="Book Antiqua" w:hAnsi="Book Antiqua" w:cs="Arial"/>
                <w:sz w:val="24"/>
                <w:szCs w:val="24"/>
                <w:lang w:val="en-US" w:eastAsia="pt-BR"/>
              </w:rPr>
              <w:t>GI and/or DM (41)</w:t>
            </w:r>
          </w:p>
        </w:tc>
        <w:tc>
          <w:tcPr>
            <w:tcW w:w="1217"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14 (34.1)</w:t>
            </w:r>
          </w:p>
        </w:tc>
        <w:tc>
          <w:tcPr>
            <w:tcW w:w="852"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0.182</w:t>
            </w:r>
          </w:p>
        </w:tc>
        <w:tc>
          <w:tcPr>
            <w:tcW w:w="1555"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1.70 (0.78 -3.71)</w:t>
            </w:r>
          </w:p>
        </w:tc>
        <w:tc>
          <w:tcPr>
            <w:tcW w:w="1201"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31 (51.7)</w:t>
            </w:r>
          </w:p>
        </w:tc>
        <w:tc>
          <w:tcPr>
            <w:tcW w:w="756"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0.196</w:t>
            </w:r>
          </w:p>
        </w:tc>
        <w:tc>
          <w:tcPr>
            <w:tcW w:w="1620" w:type="dxa"/>
            <w:tcBorders>
              <w:top w:val="single" w:sz="4" w:space="0" w:color="auto"/>
            </w:tcBorders>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0.62 (0.30-1.28)</w:t>
            </w:r>
          </w:p>
        </w:tc>
      </w:tr>
      <w:tr w:rsidR="006D088A" w:rsidRPr="006575F7" w:rsidTr="00F509AC">
        <w:trPr>
          <w:trHeight w:val="1048"/>
        </w:trPr>
        <w:tc>
          <w:tcPr>
            <w:tcW w:w="1950" w:type="dxa"/>
            <w:vAlign w:val="center"/>
          </w:tcPr>
          <w:p w:rsidR="006D088A" w:rsidRPr="00F509AC" w:rsidRDefault="006D088A" w:rsidP="00B230CE">
            <w:pPr>
              <w:keepNext/>
              <w:tabs>
                <w:tab w:val="left" w:pos="7406"/>
              </w:tabs>
              <w:spacing w:after="0" w:line="360" w:lineRule="auto"/>
              <w:rPr>
                <w:rFonts w:ascii="Book Antiqua" w:hAnsi="Book Antiqua" w:cs="Arial"/>
                <w:sz w:val="24"/>
                <w:szCs w:val="24"/>
                <w:lang w:val="en-US" w:eastAsia="pt-BR"/>
              </w:rPr>
            </w:pPr>
            <w:r w:rsidRPr="00F509AC">
              <w:rPr>
                <w:rFonts w:ascii="Book Antiqua" w:hAnsi="Book Antiqua" w:cs="Arial"/>
                <w:sz w:val="24"/>
                <w:szCs w:val="24"/>
                <w:lang w:val="en-US" w:eastAsia="pt-BR"/>
              </w:rPr>
              <w:t>Dyslipidemia (17)</w:t>
            </w:r>
          </w:p>
        </w:tc>
        <w:tc>
          <w:tcPr>
            <w:tcW w:w="1217"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9 (52.9)</w:t>
            </w:r>
          </w:p>
        </w:tc>
        <w:tc>
          <w:tcPr>
            <w:tcW w:w="852"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0.078</w:t>
            </w:r>
          </w:p>
        </w:tc>
        <w:tc>
          <w:tcPr>
            <w:tcW w:w="1555"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2.50 (0.88-7.06)</w:t>
            </w:r>
          </w:p>
        </w:tc>
        <w:tc>
          <w:tcPr>
            <w:tcW w:w="1201"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8 (47.1)</w:t>
            </w:r>
          </w:p>
        </w:tc>
        <w:tc>
          <w:tcPr>
            <w:tcW w:w="756"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0.793</w:t>
            </w:r>
          </w:p>
        </w:tc>
        <w:tc>
          <w:tcPr>
            <w:tcW w:w="1620"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0.87 (0.31-2.44)</w:t>
            </w:r>
          </w:p>
        </w:tc>
      </w:tr>
      <w:tr w:rsidR="006D088A" w:rsidRPr="006575F7" w:rsidTr="00F509AC">
        <w:tc>
          <w:tcPr>
            <w:tcW w:w="1950" w:type="dxa"/>
            <w:vAlign w:val="center"/>
          </w:tcPr>
          <w:p w:rsidR="006D088A" w:rsidRPr="00F509AC" w:rsidRDefault="006D088A" w:rsidP="00B230CE">
            <w:pPr>
              <w:keepNext/>
              <w:tabs>
                <w:tab w:val="left" w:pos="7406"/>
              </w:tabs>
              <w:spacing w:after="0" w:line="360" w:lineRule="auto"/>
              <w:rPr>
                <w:rFonts w:ascii="Book Antiqua" w:hAnsi="Book Antiqua" w:cs="Arial"/>
                <w:sz w:val="24"/>
                <w:szCs w:val="24"/>
                <w:lang w:val="en-US" w:eastAsia="pt-BR"/>
              </w:rPr>
            </w:pPr>
            <w:r w:rsidRPr="00F509AC">
              <w:rPr>
                <w:rFonts w:ascii="Book Antiqua" w:hAnsi="Book Antiqua" w:cs="Arial"/>
                <w:sz w:val="24"/>
                <w:szCs w:val="24"/>
                <w:lang w:val="en-US" w:eastAsia="pt-BR"/>
              </w:rPr>
              <w:t>Hypertension (55)</w:t>
            </w:r>
          </w:p>
        </w:tc>
        <w:tc>
          <w:tcPr>
            <w:tcW w:w="1217" w:type="dxa"/>
            <w:vAlign w:val="center"/>
          </w:tcPr>
          <w:p w:rsidR="006D088A" w:rsidRPr="00F509AC" w:rsidRDefault="006D088A" w:rsidP="00B230CE">
            <w:pPr>
              <w:spacing w:after="0" w:line="360" w:lineRule="auto"/>
              <w:jc w:val="center"/>
              <w:rPr>
                <w:rFonts w:ascii="Book Antiqua" w:hAnsi="Book Antiqua"/>
                <w:sz w:val="24"/>
                <w:szCs w:val="24"/>
                <w:lang w:val="en-US"/>
              </w:rPr>
            </w:pPr>
            <w:r w:rsidRPr="00F509AC">
              <w:rPr>
                <w:rFonts w:ascii="Book Antiqua" w:hAnsi="Book Antiqua"/>
                <w:sz w:val="24"/>
                <w:szCs w:val="24"/>
                <w:lang w:val="en-US"/>
              </w:rPr>
              <w:t>24 (43.6)</w:t>
            </w:r>
          </w:p>
        </w:tc>
        <w:tc>
          <w:tcPr>
            <w:tcW w:w="852" w:type="dxa"/>
            <w:vAlign w:val="center"/>
          </w:tcPr>
          <w:p w:rsidR="006D088A" w:rsidRPr="00F509AC" w:rsidRDefault="006D088A" w:rsidP="00B230CE">
            <w:pPr>
              <w:spacing w:after="0" w:line="360" w:lineRule="auto"/>
              <w:jc w:val="center"/>
              <w:rPr>
                <w:rFonts w:ascii="Book Antiqua" w:hAnsi="Book Antiqua"/>
                <w:sz w:val="24"/>
                <w:szCs w:val="24"/>
                <w:vertAlign w:val="superscript"/>
                <w:lang w:val="en-US"/>
              </w:rPr>
            </w:pPr>
            <w:r w:rsidRPr="00F509AC">
              <w:rPr>
                <w:rFonts w:ascii="Book Antiqua" w:hAnsi="Book Antiqua"/>
                <w:sz w:val="24"/>
                <w:szCs w:val="24"/>
                <w:lang w:val="en-US"/>
              </w:rPr>
              <w:t>&lt;</w:t>
            </w:r>
            <w:r w:rsidR="00F509AC" w:rsidRPr="00F509AC">
              <w:rPr>
                <w:rFonts w:ascii="Book Antiqua" w:hAnsi="Book Antiqua" w:hint="eastAsia"/>
                <w:sz w:val="24"/>
                <w:szCs w:val="24"/>
                <w:lang w:val="en-US" w:eastAsia="zh-CN"/>
              </w:rPr>
              <w:t xml:space="preserve"> </w:t>
            </w:r>
            <w:r w:rsidRPr="00F509AC">
              <w:rPr>
                <w:rFonts w:ascii="Book Antiqua" w:hAnsi="Book Antiqua"/>
                <w:sz w:val="24"/>
                <w:szCs w:val="24"/>
                <w:lang w:val="en-US"/>
              </w:rPr>
              <w:t>0.001</w:t>
            </w:r>
            <w:r w:rsidR="003D4291" w:rsidRPr="003D4291">
              <w:rPr>
                <w:rFonts w:ascii="Book Antiqua" w:hAnsi="Book Antiqua" w:cs="Arial" w:hint="eastAsia"/>
                <w:sz w:val="24"/>
                <w:szCs w:val="24"/>
                <w:vertAlign w:val="superscript"/>
                <w:lang w:eastAsia="zh-CN"/>
              </w:rPr>
              <w:t>1</w:t>
            </w:r>
          </w:p>
        </w:tc>
        <w:tc>
          <w:tcPr>
            <w:tcW w:w="1555" w:type="dxa"/>
            <w:vAlign w:val="center"/>
          </w:tcPr>
          <w:p w:rsidR="006D088A" w:rsidRPr="00F509AC" w:rsidRDefault="006D088A" w:rsidP="00B230CE">
            <w:pPr>
              <w:spacing w:after="0" w:line="360" w:lineRule="auto"/>
              <w:jc w:val="center"/>
              <w:rPr>
                <w:rFonts w:ascii="Book Antiqua" w:hAnsi="Book Antiqua"/>
                <w:sz w:val="24"/>
                <w:szCs w:val="24"/>
                <w:lang w:val="en-US"/>
              </w:rPr>
            </w:pPr>
            <w:r w:rsidRPr="00F509AC">
              <w:rPr>
                <w:rFonts w:ascii="Book Antiqua" w:hAnsi="Book Antiqua"/>
                <w:sz w:val="24"/>
                <w:szCs w:val="24"/>
                <w:lang w:val="en-US"/>
              </w:rPr>
              <w:t>3.99 (1.73-9.16)</w:t>
            </w:r>
          </w:p>
        </w:tc>
        <w:tc>
          <w:tcPr>
            <w:tcW w:w="1201" w:type="dxa"/>
            <w:vAlign w:val="center"/>
          </w:tcPr>
          <w:p w:rsidR="006D088A" w:rsidRPr="00F509AC" w:rsidRDefault="006D088A" w:rsidP="00B230CE">
            <w:pPr>
              <w:spacing w:after="0" w:line="360" w:lineRule="auto"/>
              <w:jc w:val="center"/>
              <w:rPr>
                <w:rFonts w:ascii="Book Antiqua" w:hAnsi="Book Antiqua"/>
                <w:sz w:val="24"/>
                <w:szCs w:val="24"/>
                <w:lang w:val="en-US"/>
              </w:rPr>
            </w:pPr>
            <w:r w:rsidRPr="00F509AC">
              <w:rPr>
                <w:rFonts w:ascii="Book Antiqua" w:hAnsi="Book Antiqua"/>
                <w:sz w:val="24"/>
                <w:szCs w:val="24"/>
                <w:lang w:val="en-US"/>
              </w:rPr>
              <w:t>31 (56.4)</w:t>
            </w:r>
          </w:p>
        </w:tc>
        <w:tc>
          <w:tcPr>
            <w:tcW w:w="756" w:type="dxa"/>
            <w:vAlign w:val="center"/>
          </w:tcPr>
          <w:p w:rsidR="006D088A" w:rsidRPr="00F509AC" w:rsidRDefault="006D088A" w:rsidP="00B230CE">
            <w:pPr>
              <w:spacing w:after="0" w:line="360" w:lineRule="auto"/>
              <w:jc w:val="center"/>
              <w:rPr>
                <w:rFonts w:ascii="Book Antiqua" w:hAnsi="Book Antiqua"/>
                <w:sz w:val="24"/>
                <w:szCs w:val="24"/>
                <w:lang w:val="en-US"/>
              </w:rPr>
            </w:pPr>
            <w:r w:rsidRPr="00F509AC">
              <w:rPr>
                <w:rFonts w:ascii="Book Antiqua" w:hAnsi="Book Antiqua"/>
                <w:sz w:val="24"/>
                <w:szCs w:val="24"/>
                <w:lang w:val="en-US"/>
              </w:rPr>
              <w:t>0.200</w:t>
            </w:r>
          </w:p>
        </w:tc>
        <w:tc>
          <w:tcPr>
            <w:tcW w:w="1620"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1.60 (0.78-3.31)</w:t>
            </w:r>
          </w:p>
        </w:tc>
      </w:tr>
      <w:tr w:rsidR="006D088A" w:rsidRPr="006575F7" w:rsidTr="00F509AC">
        <w:tc>
          <w:tcPr>
            <w:tcW w:w="1950" w:type="dxa"/>
            <w:vAlign w:val="center"/>
          </w:tcPr>
          <w:p w:rsidR="006D088A" w:rsidRPr="00F509AC" w:rsidRDefault="006D088A" w:rsidP="00B230CE">
            <w:pPr>
              <w:spacing w:after="0" w:line="360" w:lineRule="auto"/>
              <w:rPr>
                <w:rFonts w:ascii="Book Antiqua" w:hAnsi="Book Antiqua"/>
                <w:sz w:val="24"/>
                <w:szCs w:val="24"/>
                <w:lang w:val="en-US"/>
              </w:rPr>
            </w:pPr>
            <w:r w:rsidRPr="00F509AC">
              <w:rPr>
                <w:rFonts w:ascii="Book Antiqua" w:hAnsi="Book Antiqua" w:cs="Arial"/>
                <w:sz w:val="24"/>
                <w:szCs w:val="24"/>
                <w:lang w:val="en-US" w:eastAsia="pt-BR"/>
              </w:rPr>
              <w:t>Overweight (53)</w:t>
            </w:r>
          </w:p>
        </w:tc>
        <w:tc>
          <w:tcPr>
            <w:tcW w:w="1217"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26 (49.1)</w:t>
            </w:r>
          </w:p>
        </w:tc>
        <w:tc>
          <w:tcPr>
            <w:tcW w:w="852"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0.002</w:t>
            </w:r>
          </w:p>
        </w:tc>
        <w:tc>
          <w:tcPr>
            <w:tcW w:w="1555"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3.76 (1.56-9.05)</w:t>
            </w:r>
          </w:p>
        </w:tc>
        <w:tc>
          <w:tcPr>
            <w:tcW w:w="1201"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30 (56.6)</w:t>
            </w:r>
          </w:p>
        </w:tc>
        <w:tc>
          <w:tcPr>
            <w:tcW w:w="756"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0.165</w:t>
            </w:r>
          </w:p>
        </w:tc>
        <w:tc>
          <w:tcPr>
            <w:tcW w:w="1620" w:type="dxa"/>
            <w:vAlign w:val="center"/>
          </w:tcPr>
          <w:p w:rsidR="006D088A" w:rsidRPr="006575F7" w:rsidRDefault="006D088A" w:rsidP="00B230CE">
            <w:pPr>
              <w:spacing w:after="0" w:line="360" w:lineRule="auto"/>
              <w:jc w:val="center"/>
              <w:rPr>
                <w:rFonts w:ascii="Book Antiqua" w:hAnsi="Book Antiqua"/>
                <w:sz w:val="24"/>
                <w:szCs w:val="24"/>
                <w:lang w:val="en-US"/>
              </w:rPr>
            </w:pPr>
            <w:r w:rsidRPr="006575F7">
              <w:rPr>
                <w:rFonts w:ascii="Book Antiqua" w:hAnsi="Book Antiqua"/>
                <w:sz w:val="24"/>
                <w:szCs w:val="24"/>
                <w:lang w:val="en-US"/>
              </w:rPr>
              <w:t>1.74 (0.79-3.81)</w:t>
            </w:r>
          </w:p>
        </w:tc>
      </w:tr>
    </w:tbl>
    <w:p w:rsidR="006D088A" w:rsidRPr="006575F7" w:rsidRDefault="003D4291" w:rsidP="00B230CE">
      <w:pPr>
        <w:spacing w:after="0" w:line="360" w:lineRule="auto"/>
        <w:jc w:val="both"/>
        <w:rPr>
          <w:rFonts w:ascii="Book Antiqua" w:hAnsi="Book Antiqua" w:cs="Arial"/>
          <w:sz w:val="24"/>
          <w:szCs w:val="24"/>
        </w:rPr>
      </w:pPr>
      <w:r w:rsidRPr="003D4291">
        <w:rPr>
          <w:rFonts w:ascii="Book Antiqua" w:hAnsi="Book Antiqua" w:cs="Arial" w:hint="eastAsia"/>
          <w:sz w:val="24"/>
          <w:szCs w:val="24"/>
          <w:vertAlign w:val="superscript"/>
          <w:lang w:eastAsia="zh-CN"/>
        </w:rPr>
        <w:t>1</w:t>
      </w:r>
      <w:r w:rsidR="00F509AC" w:rsidRPr="006575F7">
        <w:rPr>
          <w:rFonts w:ascii="Book Antiqua" w:hAnsi="Book Antiqua" w:cs="Arial"/>
          <w:sz w:val="24"/>
          <w:szCs w:val="24"/>
        </w:rPr>
        <w:t xml:space="preserve"> </w:t>
      </w:r>
      <w:r w:rsidR="00C25947" w:rsidRPr="006575F7">
        <w:rPr>
          <w:rFonts w:ascii="Book Antiqua" w:hAnsi="Book Antiqua" w:cs="Arial"/>
          <w:sz w:val="24"/>
          <w:szCs w:val="24"/>
        </w:rPr>
        <w:t>A</w:t>
      </w:r>
      <w:r w:rsidR="00F509AC" w:rsidRPr="006575F7">
        <w:rPr>
          <w:rFonts w:ascii="Book Antiqua" w:hAnsi="Book Antiqua" w:cs="Arial"/>
          <w:sz w:val="24"/>
          <w:szCs w:val="24"/>
        </w:rPr>
        <w:t xml:space="preserve"> stati</w:t>
      </w:r>
      <w:r>
        <w:rPr>
          <w:rFonts w:ascii="Book Antiqua" w:hAnsi="Book Antiqua" w:cs="Arial"/>
          <w:sz w:val="24"/>
          <w:szCs w:val="24"/>
        </w:rPr>
        <w:t>stically significant difference</w:t>
      </w:r>
      <w:r w:rsidR="00F509AC" w:rsidRPr="006575F7">
        <w:rPr>
          <w:rFonts w:ascii="Book Antiqua" w:hAnsi="Book Antiqua" w:cs="Arial"/>
          <w:sz w:val="24"/>
          <w:szCs w:val="24"/>
        </w:rPr>
        <w:t xml:space="preserve">. </w:t>
      </w:r>
      <w:r w:rsidR="006D088A" w:rsidRPr="006575F7">
        <w:rPr>
          <w:rFonts w:ascii="Book Antiqua" w:hAnsi="Book Antiqua" w:cs="Arial"/>
          <w:sz w:val="24"/>
          <w:szCs w:val="24"/>
        </w:rPr>
        <w:t xml:space="preserve">95% CI: Confidence interval of 95%; DM: Diabetes mellitus; GI: Glucose intolerance; NAFLD: Nonalcoholic fatty liver disease; OR: Odds ratio. </w:t>
      </w:r>
    </w:p>
    <w:p w:rsidR="006D088A" w:rsidRPr="006575F7" w:rsidRDefault="006D088A" w:rsidP="00B230CE">
      <w:pPr>
        <w:spacing w:after="0"/>
        <w:rPr>
          <w:rFonts w:ascii="Book Antiqua" w:hAnsi="Book Antiqua" w:cs="Arial"/>
          <w:b/>
          <w:sz w:val="24"/>
          <w:szCs w:val="24"/>
        </w:rPr>
      </w:pPr>
      <w:r w:rsidRPr="006575F7">
        <w:rPr>
          <w:rFonts w:ascii="Book Antiqua" w:hAnsi="Book Antiqua" w:cs="Arial"/>
          <w:b/>
          <w:sz w:val="24"/>
          <w:szCs w:val="24"/>
        </w:rPr>
        <w:br w:type="page"/>
      </w:r>
    </w:p>
    <w:p w:rsidR="006D088A" w:rsidRPr="006575F7" w:rsidRDefault="006D088A" w:rsidP="00B230CE">
      <w:pPr>
        <w:spacing w:after="0" w:line="360" w:lineRule="auto"/>
        <w:jc w:val="both"/>
        <w:rPr>
          <w:rFonts w:ascii="Book Antiqua" w:hAnsi="Book Antiqua" w:cs="Arial"/>
          <w:color w:val="244061" w:themeColor="accent1" w:themeShade="80"/>
          <w:sz w:val="24"/>
          <w:szCs w:val="24"/>
        </w:rPr>
      </w:pPr>
      <w:r w:rsidRPr="006575F7">
        <w:rPr>
          <w:rFonts w:ascii="Book Antiqua" w:hAnsi="Book Antiqua" w:cs="Arial"/>
          <w:b/>
          <w:sz w:val="24"/>
          <w:szCs w:val="24"/>
        </w:rPr>
        <w:lastRenderedPageBreak/>
        <w:t xml:space="preserve">Table 3 Prevalence of </w:t>
      </w:r>
      <w:proofErr w:type="spellStart"/>
      <w:r w:rsidRPr="006575F7">
        <w:rPr>
          <w:rFonts w:ascii="Book Antiqua" w:hAnsi="Book Antiqua" w:cs="Arial"/>
          <w:b/>
          <w:sz w:val="24"/>
          <w:szCs w:val="24"/>
        </w:rPr>
        <w:t>steatosis</w:t>
      </w:r>
      <w:proofErr w:type="spellEnd"/>
      <w:r w:rsidRPr="006575F7">
        <w:rPr>
          <w:rFonts w:ascii="Book Antiqua" w:hAnsi="Book Antiqua" w:cs="Arial"/>
          <w:b/>
          <w:sz w:val="24"/>
          <w:szCs w:val="24"/>
        </w:rPr>
        <w:t xml:space="preserve"> and hepatic fibrosis according to type of hepatic neoplasm</w:t>
      </w:r>
    </w:p>
    <w:p w:rsidR="006D088A" w:rsidRPr="006575F7" w:rsidRDefault="006D088A" w:rsidP="00B230CE">
      <w:pPr>
        <w:framePr w:hSpace="141" w:wrap="around" w:vAnchor="text" w:hAnchor="page" w:x="1108" w:y="3316"/>
        <w:spacing w:after="0" w:line="360" w:lineRule="auto"/>
        <w:jc w:val="both"/>
        <w:rPr>
          <w:rFonts w:ascii="Book Antiqua" w:hAnsi="Book Antiqua" w:cs="Arial"/>
          <w:bCs/>
          <w:sz w:val="24"/>
          <w:szCs w:val="24"/>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71"/>
        <w:gridCol w:w="876"/>
        <w:gridCol w:w="1637"/>
        <w:gridCol w:w="1368"/>
        <w:gridCol w:w="836"/>
        <w:gridCol w:w="1737"/>
      </w:tblGrid>
      <w:tr w:rsidR="006D088A" w:rsidRPr="006575F7" w:rsidTr="00B230CE">
        <w:tc>
          <w:tcPr>
            <w:tcW w:w="1368" w:type="dxa"/>
            <w:tcBorders>
              <w:top w:val="single" w:sz="4" w:space="0" w:color="auto"/>
              <w:bottom w:val="nil"/>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p>
        </w:tc>
        <w:tc>
          <w:tcPr>
            <w:tcW w:w="3584" w:type="dxa"/>
            <w:gridSpan w:val="3"/>
            <w:tcBorders>
              <w:top w:val="single" w:sz="4" w:space="0" w:color="auto"/>
              <w:bottom w:val="nil"/>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sz w:val="24"/>
                <w:szCs w:val="24"/>
                <w:lang w:val="en-US"/>
              </w:rPr>
              <w:t xml:space="preserve">Liver </w:t>
            </w:r>
            <w:proofErr w:type="spellStart"/>
            <w:r w:rsidRPr="006575F7">
              <w:rPr>
                <w:rFonts w:ascii="Book Antiqua" w:hAnsi="Book Antiqua" w:cs="Arial"/>
                <w:b/>
                <w:sz w:val="24"/>
                <w:szCs w:val="24"/>
                <w:lang w:val="en-US"/>
              </w:rPr>
              <w:t>Steatosis</w:t>
            </w:r>
            <w:proofErr w:type="spellEnd"/>
          </w:p>
        </w:tc>
        <w:tc>
          <w:tcPr>
            <w:tcW w:w="3941" w:type="dxa"/>
            <w:gridSpan w:val="3"/>
            <w:tcBorders>
              <w:top w:val="single" w:sz="4" w:space="0" w:color="auto"/>
              <w:bottom w:val="nil"/>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sz w:val="24"/>
                <w:szCs w:val="24"/>
                <w:lang w:val="en-US"/>
              </w:rPr>
              <w:t>Liver Fibrosis</w:t>
            </w:r>
          </w:p>
        </w:tc>
      </w:tr>
      <w:tr w:rsidR="006D088A" w:rsidRPr="006575F7" w:rsidTr="00B230CE">
        <w:tc>
          <w:tcPr>
            <w:tcW w:w="1368" w:type="dxa"/>
            <w:tcBorders>
              <w:top w:val="nil"/>
              <w:bottom w:val="single" w:sz="4" w:space="0" w:color="auto"/>
            </w:tcBorders>
            <w:vAlign w:val="center"/>
          </w:tcPr>
          <w:p w:rsidR="006D088A" w:rsidRPr="006575F7" w:rsidRDefault="006D088A" w:rsidP="00B230CE">
            <w:pPr>
              <w:spacing w:after="0" w:line="360" w:lineRule="auto"/>
              <w:rPr>
                <w:rFonts w:ascii="Book Antiqua" w:hAnsi="Book Antiqua" w:cs="Arial"/>
                <w:b/>
                <w:sz w:val="24"/>
                <w:szCs w:val="24"/>
                <w:lang w:val="en-US"/>
              </w:rPr>
            </w:pPr>
            <w:r w:rsidRPr="006575F7">
              <w:rPr>
                <w:rFonts w:ascii="Book Antiqua" w:hAnsi="Book Antiqua" w:cs="Arial"/>
                <w:b/>
                <w:sz w:val="24"/>
                <w:szCs w:val="24"/>
                <w:lang w:val="en-US"/>
              </w:rPr>
              <w:t>Histologic type (</w:t>
            </w:r>
            <w:r w:rsidRPr="006575F7">
              <w:rPr>
                <w:rFonts w:ascii="Book Antiqua" w:hAnsi="Book Antiqua" w:cs="Arial"/>
                <w:b/>
                <w:i/>
                <w:sz w:val="24"/>
                <w:szCs w:val="24"/>
                <w:lang w:val="en-US"/>
              </w:rPr>
              <w:t>n</w:t>
            </w:r>
            <w:r w:rsidRPr="006575F7">
              <w:rPr>
                <w:rFonts w:ascii="Book Antiqua" w:hAnsi="Book Antiqua" w:cs="Arial"/>
                <w:b/>
                <w:sz w:val="24"/>
                <w:szCs w:val="24"/>
                <w:lang w:val="en-US"/>
              </w:rPr>
              <w:t>)</w:t>
            </w:r>
          </w:p>
        </w:tc>
        <w:tc>
          <w:tcPr>
            <w:tcW w:w="1071"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proofErr w:type="gramStart"/>
            <w:r w:rsidRPr="006575F7">
              <w:rPr>
                <w:rFonts w:ascii="Book Antiqua" w:hAnsi="Book Antiqua" w:cs="Arial"/>
                <w:b/>
                <w:bCs/>
                <w:i/>
                <w:sz w:val="24"/>
                <w:szCs w:val="24"/>
                <w:lang w:val="en-US"/>
              </w:rPr>
              <w:t>n</w:t>
            </w:r>
            <w:proofErr w:type="gramEnd"/>
            <w:r w:rsidRPr="006575F7">
              <w:rPr>
                <w:rFonts w:ascii="Book Antiqua" w:hAnsi="Book Antiqua" w:cs="Arial"/>
                <w:b/>
                <w:bCs/>
                <w:sz w:val="24"/>
                <w:szCs w:val="24"/>
                <w:lang w:val="en-US"/>
              </w:rPr>
              <w:t xml:space="preserve"> (%)</w:t>
            </w:r>
          </w:p>
        </w:tc>
        <w:tc>
          <w:tcPr>
            <w:tcW w:w="876"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bCs/>
                <w:i/>
                <w:iCs/>
                <w:sz w:val="24"/>
                <w:szCs w:val="24"/>
                <w:lang w:val="en-US"/>
              </w:rPr>
              <w:t>P</w:t>
            </w:r>
          </w:p>
        </w:tc>
        <w:tc>
          <w:tcPr>
            <w:tcW w:w="1637"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bCs/>
                <w:sz w:val="24"/>
                <w:szCs w:val="24"/>
                <w:lang w:val="en-US"/>
              </w:rPr>
              <w:t>OR</w:t>
            </w:r>
            <w:r w:rsidRPr="006575F7">
              <w:rPr>
                <w:rFonts w:ascii="Book Antiqua" w:hAnsi="Book Antiqua" w:cs="Arial"/>
                <w:b/>
                <w:sz w:val="24"/>
                <w:szCs w:val="24"/>
                <w:vertAlign w:val="superscript"/>
                <w:lang w:val="en-US"/>
              </w:rPr>
              <w:t xml:space="preserve"> </w:t>
            </w:r>
            <w:r w:rsidRPr="006575F7">
              <w:rPr>
                <w:rFonts w:ascii="Book Antiqua" w:hAnsi="Book Antiqua" w:cs="Arial"/>
                <w:b/>
                <w:bCs/>
                <w:sz w:val="24"/>
                <w:szCs w:val="24"/>
                <w:lang w:val="en-US"/>
              </w:rPr>
              <w:t>(95% CI)</w:t>
            </w:r>
          </w:p>
        </w:tc>
        <w:tc>
          <w:tcPr>
            <w:tcW w:w="1368"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proofErr w:type="gramStart"/>
            <w:r w:rsidRPr="006575F7">
              <w:rPr>
                <w:rFonts w:ascii="Book Antiqua" w:hAnsi="Book Antiqua" w:cs="Arial"/>
                <w:b/>
                <w:bCs/>
                <w:i/>
                <w:sz w:val="24"/>
                <w:szCs w:val="24"/>
                <w:lang w:val="en-US"/>
              </w:rPr>
              <w:t>n</w:t>
            </w:r>
            <w:proofErr w:type="gramEnd"/>
            <w:r w:rsidRPr="006575F7">
              <w:rPr>
                <w:rFonts w:ascii="Book Antiqua" w:hAnsi="Book Antiqua" w:cs="Arial"/>
                <w:b/>
                <w:bCs/>
                <w:sz w:val="24"/>
                <w:szCs w:val="24"/>
                <w:lang w:val="en-US"/>
              </w:rPr>
              <w:t xml:space="preserve"> (%)</w:t>
            </w:r>
          </w:p>
        </w:tc>
        <w:tc>
          <w:tcPr>
            <w:tcW w:w="836"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bCs/>
                <w:i/>
                <w:iCs/>
                <w:sz w:val="24"/>
                <w:szCs w:val="24"/>
                <w:lang w:val="en-US"/>
              </w:rPr>
              <w:t>P</w:t>
            </w:r>
          </w:p>
        </w:tc>
        <w:tc>
          <w:tcPr>
            <w:tcW w:w="1737" w:type="dxa"/>
            <w:tcBorders>
              <w:top w:val="nil"/>
              <w:bottom w:val="single" w:sz="4" w:space="0" w:color="auto"/>
            </w:tcBorders>
            <w:vAlign w:val="center"/>
          </w:tcPr>
          <w:p w:rsidR="006D088A" w:rsidRPr="006575F7" w:rsidRDefault="006D088A" w:rsidP="00B230CE">
            <w:pPr>
              <w:spacing w:after="0" w:line="360" w:lineRule="auto"/>
              <w:jc w:val="center"/>
              <w:rPr>
                <w:rFonts w:ascii="Book Antiqua" w:hAnsi="Book Antiqua" w:cs="Arial"/>
                <w:b/>
                <w:sz w:val="24"/>
                <w:szCs w:val="24"/>
                <w:lang w:val="en-US"/>
              </w:rPr>
            </w:pPr>
            <w:r w:rsidRPr="006575F7">
              <w:rPr>
                <w:rFonts w:ascii="Book Antiqua" w:hAnsi="Book Antiqua" w:cs="Arial"/>
                <w:b/>
                <w:bCs/>
                <w:sz w:val="24"/>
                <w:szCs w:val="24"/>
                <w:lang w:val="en-US"/>
              </w:rPr>
              <w:t>OR (95% CI)</w:t>
            </w:r>
          </w:p>
        </w:tc>
      </w:tr>
      <w:tr w:rsidR="006D088A" w:rsidRPr="006575F7" w:rsidTr="00B230CE">
        <w:tc>
          <w:tcPr>
            <w:tcW w:w="1368" w:type="dxa"/>
            <w:tcBorders>
              <w:top w:val="single" w:sz="4" w:space="0" w:color="auto"/>
            </w:tcBorders>
            <w:vAlign w:val="center"/>
          </w:tcPr>
          <w:p w:rsidR="006D088A" w:rsidRPr="00B230CE" w:rsidRDefault="006D088A" w:rsidP="00B230CE">
            <w:pPr>
              <w:spacing w:after="0" w:line="360" w:lineRule="auto"/>
              <w:rPr>
                <w:rFonts w:ascii="Book Antiqua" w:hAnsi="Book Antiqua" w:cs="Arial"/>
                <w:sz w:val="24"/>
                <w:szCs w:val="24"/>
                <w:lang w:val="en-US"/>
              </w:rPr>
            </w:pPr>
            <w:r w:rsidRPr="00B230CE">
              <w:rPr>
                <w:rFonts w:ascii="Book Antiqua" w:hAnsi="Book Antiqua" w:cs="Arial"/>
                <w:sz w:val="24"/>
                <w:szCs w:val="24"/>
                <w:lang w:val="en-US"/>
              </w:rPr>
              <w:t>LMCC (40)</w:t>
            </w:r>
          </w:p>
        </w:tc>
        <w:tc>
          <w:tcPr>
            <w:tcW w:w="1071"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22 (55.0)</w:t>
            </w:r>
          </w:p>
        </w:tc>
        <w:tc>
          <w:tcPr>
            <w:tcW w:w="876"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vertAlign w:val="superscript"/>
                <w:lang w:val="en-US" w:eastAsia="zh-CN"/>
              </w:rPr>
            </w:pPr>
            <w:r w:rsidRPr="00B230CE">
              <w:rPr>
                <w:rFonts w:ascii="Book Antiqua" w:hAnsi="Book Antiqua" w:cs="Arial"/>
                <w:sz w:val="24"/>
                <w:szCs w:val="24"/>
                <w:lang w:val="en-US"/>
              </w:rPr>
              <w:t>&lt;</w:t>
            </w:r>
            <w:r w:rsidR="00B230CE" w:rsidRPr="00B230CE">
              <w:rPr>
                <w:rFonts w:ascii="Book Antiqua" w:hAnsi="Book Antiqua" w:cs="Arial" w:hint="eastAsia"/>
                <w:sz w:val="24"/>
                <w:szCs w:val="24"/>
                <w:lang w:val="en-US" w:eastAsia="zh-CN"/>
              </w:rPr>
              <w:t xml:space="preserve"> </w:t>
            </w:r>
            <w:r w:rsidRPr="00B230CE">
              <w:rPr>
                <w:rFonts w:ascii="Book Antiqua" w:hAnsi="Book Antiqua" w:cs="Arial"/>
                <w:sz w:val="24"/>
                <w:szCs w:val="24"/>
                <w:lang w:val="en-US"/>
              </w:rPr>
              <w:t>0.001</w:t>
            </w:r>
            <w:r w:rsidR="00384AE5" w:rsidRPr="00384AE5">
              <w:rPr>
                <w:rFonts w:ascii="Book Antiqua" w:hAnsi="Book Antiqua" w:cs="Arial" w:hint="eastAsia"/>
                <w:sz w:val="24"/>
                <w:szCs w:val="24"/>
                <w:vertAlign w:val="superscript"/>
                <w:lang w:eastAsia="zh-CN"/>
              </w:rPr>
              <w:t>1</w:t>
            </w:r>
          </w:p>
        </w:tc>
        <w:tc>
          <w:tcPr>
            <w:tcW w:w="1637"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3.99 (1.78-8.94)</w:t>
            </w:r>
          </w:p>
        </w:tc>
        <w:tc>
          <w:tcPr>
            <w:tcW w:w="1368"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15 (37.5)</w:t>
            </w:r>
          </w:p>
        </w:tc>
        <w:tc>
          <w:tcPr>
            <w:tcW w:w="836"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0.053</w:t>
            </w:r>
          </w:p>
        </w:tc>
        <w:tc>
          <w:tcPr>
            <w:tcW w:w="1737" w:type="dxa"/>
            <w:tcBorders>
              <w:top w:val="single" w:sz="4" w:space="0" w:color="auto"/>
            </w:tcBorders>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0.47 (0.21-1.02)</w:t>
            </w:r>
          </w:p>
        </w:tc>
      </w:tr>
      <w:tr w:rsidR="006D088A" w:rsidRPr="006575F7" w:rsidTr="00B230CE">
        <w:tc>
          <w:tcPr>
            <w:tcW w:w="1368" w:type="dxa"/>
            <w:vAlign w:val="center"/>
          </w:tcPr>
          <w:p w:rsidR="006D088A" w:rsidRPr="00B230CE" w:rsidRDefault="006D088A" w:rsidP="00B230CE">
            <w:pPr>
              <w:spacing w:after="0" w:line="360" w:lineRule="auto"/>
              <w:rPr>
                <w:rFonts w:ascii="Book Antiqua" w:hAnsi="Book Antiqua" w:cs="Arial"/>
                <w:sz w:val="24"/>
                <w:szCs w:val="24"/>
                <w:lang w:val="en-US"/>
              </w:rPr>
            </w:pPr>
            <w:r w:rsidRPr="00B230CE">
              <w:rPr>
                <w:rFonts w:ascii="Book Antiqua" w:hAnsi="Book Antiqua" w:cs="Arial"/>
                <w:sz w:val="24"/>
                <w:szCs w:val="24"/>
                <w:lang w:val="en-US"/>
              </w:rPr>
              <w:t>NCLM (48)</w:t>
            </w:r>
          </w:p>
        </w:tc>
        <w:tc>
          <w:tcPr>
            <w:tcW w:w="1071"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11 (22.9)</w:t>
            </w:r>
          </w:p>
        </w:tc>
        <w:tc>
          <w:tcPr>
            <w:tcW w:w="876"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0.034</w:t>
            </w:r>
          </w:p>
        </w:tc>
        <w:tc>
          <w:tcPr>
            <w:tcW w:w="1637"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0.42 (0.18-0.95)</w:t>
            </w:r>
          </w:p>
        </w:tc>
        <w:tc>
          <w:tcPr>
            <w:tcW w:w="1368"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24 (50.0)</w:t>
            </w:r>
          </w:p>
        </w:tc>
        <w:tc>
          <w:tcPr>
            <w:tcW w:w="836"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1.000</w:t>
            </w:r>
          </w:p>
        </w:tc>
        <w:tc>
          <w:tcPr>
            <w:tcW w:w="1737"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1.00 (0.48-2.08)</w:t>
            </w:r>
          </w:p>
        </w:tc>
      </w:tr>
      <w:tr w:rsidR="006D088A" w:rsidRPr="006575F7" w:rsidTr="00B230CE">
        <w:tc>
          <w:tcPr>
            <w:tcW w:w="1368" w:type="dxa"/>
            <w:vAlign w:val="center"/>
          </w:tcPr>
          <w:p w:rsidR="006D088A" w:rsidRPr="00B230CE" w:rsidRDefault="006D088A" w:rsidP="00B230CE">
            <w:pPr>
              <w:spacing w:after="0" w:line="360" w:lineRule="auto"/>
              <w:rPr>
                <w:rFonts w:ascii="Book Antiqua" w:hAnsi="Book Antiqua" w:cs="Arial"/>
                <w:sz w:val="24"/>
                <w:szCs w:val="24"/>
                <w:lang w:val="en-US"/>
              </w:rPr>
            </w:pPr>
            <w:r w:rsidRPr="00B230CE">
              <w:rPr>
                <w:rFonts w:ascii="Book Antiqua" w:hAnsi="Book Antiqua" w:cs="Arial"/>
                <w:sz w:val="24"/>
                <w:szCs w:val="24"/>
                <w:lang w:val="en-US"/>
              </w:rPr>
              <w:t>HCC (16)</w:t>
            </w:r>
          </w:p>
        </w:tc>
        <w:tc>
          <w:tcPr>
            <w:tcW w:w="1071"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4 (25.0)</w:t>
            </w:r>
          </w:p>
        </w:tc>
        <w:tc>
          <w:tcPr>
            <w:tcW w:w="876"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0.406</w:t>
            </w:r>
          </w:p>
        </w:tc>
        <w:tc>
          <w:tcPr>
            <w:tcW w:w="1637"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0.60 (0.18-2.01)</w:t>
            </w:r>
          </w:p>
        </w:tc>
        <w:tc>
          <w:tcPr>
            <w:tcW w:w="1368"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12 (75.0)</w:t>
            </w:r>
          </w:p>
        </w:tc>
        <w:tc>
          <w:tcPr>
            <w:tcW w:w="836" w:type="dxa"/>
            <w:vAlign w:val="center"/>
          </w:tcPr>
          <w:p w:rsidR="006D088A" w:rsidRPr="00B230CE" w:rsidRDefault="006D088A" w:rsidP="007D683E">
            <w:pPr>
              <w:spacing w:after="0" w:line="360" w:lineRule="auto"/>
              <w:jc w:val="center"/>
              <w:rPr>
                <w:rFonts w:ascii="Book Antiqua" w:hAnsi="Book Antiqua" w:cs="Arial"/>
                <w:sz w:val="24"/>
                <w:szCs w:val="24"/>
                <w:vertAlign w:val="superscript"/>
                <w:lang w:val="en-US" w:eastAsia="zh-CN"/>
              </w:rPr>
            </w:pPr>
            <w:r w:rsidRPr="00B230CE">
              <w:rPr>
                <w:rFonts w:ascii="Book Antiqua" w:hAnsi="Book Antiqua" w:cs="Arial"/>
                <w:sz w:val="24"/>
                <w:szCs w:val="24"/>
                <w:lang w:val="en-US"/>
              </w:rPr>
              <w:t>0.032</w:t>
            </w:r>
            <w:r w:rsidR="007D683E">
              <w:rPr>
                <w:rFonts w:ascii="Book Antiqua" w:hAnsi="Book Antiqua" w:cs="Arial" w:hint="eastAsia"/>
                <w:sz w:val="24"/>
                <w:szCs w:val="24"/>
                <w:vertAlign w:val="superscript"/>
                <w:lang w:val="en-US" w:eastAsia="zh-CN"/>
              </w:rPr>
              <w:t>1</w:t>
            </w:r>
          </w:p>
        </w:tc>
        <w:tc>
          <w:tcPr>
            <w:tcW w:w="1737" w:type="dxa"/>
            <w:vAlign w:val="center"/>
          </w:tcPr>
          <w:p w:rsidR="006D088A" w:rsidRPr="00B230CE" w:rsidRDefault="006D088A" w:rsidP="00B230CE">
            <w:pPr>
              <w:spacing w:after="0" w:line="360" w:lineRule="auto"/>
              <w:jc w:val="center"/>
              <w:rPr>
                <w:rFonts w:ascii="Book Antiqua" w:hAnsi="Book Antiqua" w:cs="Arial"/>
                <w:sz w:val="24"/>
                <w:szCs w:val="24"/>
                <w:lang w:val="en-US"/>
              </w:rPr>
            </w:pPr>
            <w:r w:rsidRPr="00B230CE">
              <w:rPr>
                <w:rFonts w:ascii="Book Antiqua" w:hAnsi="Book Antiqua" w:cs="Arial"/>
                <w:sz w:val="24"/>
                <w:szCs w:val="24"/>
                <w:lang w:val="en-US"/>
              </w:rPr>
              <w:t>3.50 (1.06-11.57)</w:t>
            </w:r>
          </w:p>
        </w:tc>
      </w:tr>
      <w:tr w:rsidR="006D088A" w:rsidRPr="006575F7" w:rsidTr="00B230CE">
        <w:tc>
          <w:tcPr>
            <w:tcW w:w="1368" w:type="dxa"/>
            <w:vAlign w:val="center"/>
          </w:tcPr>
          <w:p w:rsidR="006D088A" w:rsidRPr="006575F7" w:rsidRDefault="006D088A" w:rsidP="00B230CE">
            <w:pPr>
              <w:spacing w:after="0" w:line="360" w:lineRule="auto"/>
              <w:rPr>
                <w:rFonts w:ascii="Book Antiqua" w:hAnsi="Book Antiqua" w:cs="Arial"/>
                <w:sz w:val="24"/>
                <w:szCs w:val="24"/>
                <w:lang w:val="en-US"/>
              </w:rPr>
            </w:pPr>
            <w:r w:rsidRPr="006575F7">
              <w:rPr>
                <w:rFonts w:ascii="Book Antiqua" w:hAnsi="Book Antiqua" w:cs="Arial"/>
                <w:sz w:val="24"/>
                <w:szCs w:val="24"/>
                <w:lang w:val="en-US"/>
              </w:rPr>
              <w:t>IHCC (11)</w:t>
            </w:r>
          </w:p>
        </w:tc>
        <w:tc>
          <w:tcPr>
            <w:tcW w:w="1071"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3 (27.3)</w:t>
            </w:r>
          </w:p>
        </w:tc>
        <w:tc>
          <w:tcPr>
            <w:tcW w:w="876"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0.613</w:t>
            </w:r>
          </w:p>
        </w:tc>
        <w:tc>
          <w:tcPr>
            <w:tcW w:w="1637"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0.70 (0.18-2.80)</w:t>
            </w:r>
          </w:p>
        </w:tc>
        <w:tc>
          <w:tcPr>
            <w:tcW w:w="1368"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7 (63.6)</w:t>
            </w:r>
          </w:p>
        </w:tc>
        <w:tc>
          <w:tcPr>
            <w:tcW w:w="836"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0.343</w:t>
            </w:r>
          </w:p>
        </w:tc>
        <w:tc>
          <w:tcPr>
            <w:tcW w:w="1737" w:type="dxa"/>
            <w:vAlign w:val="center"/>
          </w:tcPr>
          <w:p w:rsidR="006D088A" w:rsidRPr="006575F7" w:rsidRDefault="006D088A" w:rsidP="00B230CE">
            <w:pPr>
              <w:spacing w:after="0" w:line="360" w:lineRule="auto"/>
              <w:jc w:val="center"/>
              <w:rPr>
                <w:rFonts w:ascii="Book Antiqua" w:hAnsi="Book Antiqua" w:cs="Arial"/>
                <w:sz w:val="24"/>
                <w:szCs w:val="24"/>
                <w:lang w:val="en-US"/>
              </w:rPr>
            </w:pPr>
            <w:r w:rsidRPr="006575F7">
              <w:rPr>
                <w:rFonts w:ascii="Book Antiqua" w:hAnsi="Book Antiqua" w:cs="Arial"/>
                <w:sz w:val="24"/>
                <w:szCs w:val="24"/>
                <w:lang w:val="en-US"/>
              </w:rPr>
              <w:t>1.85 (0.51-6.68)</w:t>
            </w:r>
          </w:p>
        </w:tc>
      </w:tr>
    </w:tbl>
    <w:p w:rsidR="006D088A" w:rsidRPr="006575F7" w:rsidRDefault="00384AE5" w:rsidP="00B230CE">
      <w:pPr>
        <w:spacing w:after="0" w:line="360" w:lineRule="auto"/>
        <w:jc w:val="both"/>
        <w:rPr>
          <w:rFonts w:ascii="Book Antiqua" w:hAnsi="Book Antiqua" w:cs="Arial"/>
          <w:sz w:val="24"/>
          <w:szCs w:val="24"/>
        </w:rPr>
      </w:pPr>
      <w:r w:rsidRPr="00384AE5">
        <w:rPr>
          <w:rFonts w:ascii="Book Antiqua" w:hAnsi="Book Antiqua" w:cs="Arial" w:hint="eastAsia"/>
          <w:sz w:val="24"/>
          <w:szCs w:val="24"/>
          <w:vertAlign w:val="superscript"/>
          <w:lang w:eastAsia="zh-CN"/>
        </w:rPr>
        <w:t>1</w:t>
      </w:r>
      <w:r w:rsidR="00B230CE" w:rsidRPr="006575F7">
        <w:rPr>
          <w:rFonts w:ascii="Book Antiqua" w:hAnsi="Book Antiqua" w:cs="Arial"/>
          <w:sz w:val="24"/>
          <w:szCs w:val="24"/>
        </w:rPr>
        <w:t xml:space="preserve"> </w:t>
      </w:r>
      <w:r w:rsidR="00537528" w:rsidRPr="006575F7">
        <w:rPr>
          <w:rFonts w:ascii="Book Antiqua" w:hAnsi="Book Antiqua" w:cs="Arial"/>
          <w:sz w:val="24"/>
          <w:szCs w:val="24"/>
        </w:rPr>
        <w:t>A</w:t>
      </w:r>
      <w:r w:rsidR="00B230CE" w:rsidRPr="006575F7">
        <w:rPr>
          <w:rFonts w:ascii="Book Antiqua" w:hAnsi="Book Antiqua" w:cs="Arial"/>
          <w:sz w:val="24"/>
          <w:szCs w:val="24"/>
        </w:rPr>
        <w:t xml:space="preserve"> statistically significant difference</w:t>
      </w:r>
      <w:r w:rsidR="00B230CE">
        <w:rPr>
          <w:rFonts w:ascii="Book Antiqua" w:hAnsi="Book Antiqua" w:cs="Arial"/>
          <w:sz w:val="24"/>
          <w:szCs w:val="24"/>
        </w:rPr>
        <w:t>.</w:t>
      </w:r>
      <w:r w:rsidR="00B230CE">
        <w:rPr>
          <w:rFonts w:ascii="Book Antiqua" w:hAnsi="Book Antiqua" w:cs="Arial" w:hint="eastAsia"/>
          <w:sz w:val="24"/>
          <w:szCs w:val="24"/>
          <w:lang w:eastAsia="zh-CN"/>
        </w:rPr>
        <w:t xml:space="preserve"> </w:t>
      </w:r>
      <w:r w:rsidR="00B230CE">
        <w:rPr>
          <w:rFonts w:ascii="Book Antiqua" w:hAnsi="Book Antiqua" w:cs="Arial"/>
          <w:sz w:val="24"/>
          <w:szCs w:val="24"/>
        </w:rPr>
        <w:t>95%</w:t>
      </w:r>
      <w:r w:rsidR="006D088A" w:rsidRPr="006575F7">
        <w:rPr>
          <w:rFonts w:ascii="Book Antiqua" w:hAnsi="Book Antiqua" w:cs="Arial"/>
          <w:sz w:val="24"/>
          <w:szCs w:val="24"/>
        </w:rPr>
        <w:t>CI: Confidence interval of 95%;</w:t>
      </w:r>
      <w:r w:rsidR="006D088A" w:rsidRPr="006575F7">
        <w:rPr>
          <w:rFonts w:ascii="Book Antiqua" w:hAnsi="Book Antiqua" w:cs="Arial"/>
          <w:sz w:val="24"/>
          <w:szCs w:val="24"/>
          <w:vertAlign w:val="superscript"/>
        </w:rPr>
        <w:t xml:space="preserve"> </w:t>
      </w:r>
      <w:r w:rsidR="006D088A" w:rsidRPr="006575F7">
        <w:rPr>
          <w:rFonts w:ascii="Book Antiqua" w:hAnsi="Book Antiqua" w:cs="Arial"/>
          <w:bCs/>
          <w:sz w:val="24"/>
          <w:szCs w:val="24"/>
        </w:rPr>
        <w:t>HCC: Hepatocellular carcinoma;</w:t>
      </w:r>
      <w:r w:rsidR="006D088A" w:rsidRPr="006575F7">
        <w:rPr>
          <w:rFonts w:ascii="Book Antiqua" w:hAnsi="Book Antiqua" w:cs="Arial"/>
          <w:sz w:val="24"/>
          <w:szCs w:val="24"/>
          <w:vertAlign w:val="superscript"/>
        </w:rPr>
        <w:t xml:space="preserve"> </w:t>
      </w:r>
      <w:r w:rsidR="006D088A" w:rsidRPr="006575F7">
        <w:rPr>
          <w:rFonts w:ascii="Book Antiqua" w:hAnsi="Book Antiqua" w:cs="Arial"/>
          <w:bCs/>
          <w:sz w:val="24"/>
          <w:szCs w:val="24"/>
        </w:rPr>
        <w:t xml:space="preserve">IHCC: Intrahepatic </w:t>
      </w:r>
      <w:proofErr w:type="spellStart"/>
      <w:r w:rsidR="006D088A" w:rsidRPr="006575F7">
        <w:rPr>
          <w:rFonts w:ascii="Book Antiqua" w:hAnsi="Book Antiqua" w:cs="Arial"/>
          <w:bCs/>
          <w:sz w:val="24"/>
          <w:szCs w:val="24"/>
        </w:rPr>
        <w:t>cholangiocarcinoma</w:t>
      </w:r>
      <w:proofErr w:type="spellEnd"/>
      <w:r w:rsidR="006D088A" w:rsidRPr="006575F7">
        <w:rPr>
          <w:rFonts w:ascii="Book Antiqua" w:hAnsi="Book Antiqua" w:cs="Arial"/>
          <w:bCs/>
          <w:sz w:val="24"/>
          <w:szCs w:val="24"/>
        </w:rPr>
        <w:t xml:space="preserve">; </w:t>
      </w:r>
      <w:r w:rsidR="006D088A" w:rsidRPr="006575F7">
        <w:rPr>
          <w:rFonts w:ascii="Book Antiqua" w:hAnsi="Book Antiqua" w:cs="Arial"/>
          <w:sz w:val="24"/>
          <w:szCs w:val="24"/>
        </w:rPr>
        <w:t>LMCC: Liver metastasis of colorectal cancer;</w:t>
      </w:r>
      <w:r w:rsidR="006D088A" w:rsidRPr="006575F7">
        <w:rPr>
          <w:rFonts w:ascii="Book Antiqua" w:hAnsi="Book Antiqua" w:cs="Arial"/>
          <w:sz w:val="24"/>
          <w:szCs w:val="24"/>
          <w:vertAlign w:val="superscript"/>
        </w:rPr>
        <w:t xml:space="preserve"> </w:t>
      </w:r>
      <w:r w:rsidR="006D088A" w:rsidRPr="006575F7">
        <w:rPr>
          <w:rFonts w:ascii="Book Antiqua" w:hAnsi="Book Antiqua" w:cs="Arial"/>
          <w:bCs/>
          <w:sz w:val="24"/>
          <w:szCs w:val="24"/>
        </w:rPr>
        <w:t>NCLM: Non-colorectal liver metastasis;</w:t>
      </w:r>
      <w:r w:rsidR="006D088A" w:rsidRPr="006575F7">
        <w:rPr>
          <w:rFonts w:ascii="Book Antiqua" w:hAnsi="Book Antiqua" w:cs="Arial"/>
          <w:sz w:val="24"/>
          <w:szCs w:val="24"/>
          <w:vertAlign w:val="superscript"/>
        </w:rPr>
        <w:t xml:space="preserve"> </w:t>
      </w:r>
      <w:r w:rsidR="006D088A" w:rsidRPr="006575F7">
        <w:rPr>
          <w:rFonts w:ascii="Book Antiqua" w:hAnsi="Book Antiqua" w:cs="Arial"/>
          <w:sz w:val="24"/>
          <w:szCs w:val="24"/>
        </w:rPr>
        <w:t xml:space="preserve">OR: Odds ratio. </w:t>
      </w:r>
    </w:p>
    <w:p w:rsidR="004A7BC5" w:rsidRPr="006575F7" w:rsidRDefault="004A7BC5" w:rsidP="00B230CE">
      <w:pPr>
        <w:spacing w:after="0"/>
        <w:rPr>
          <w:rFonts w:ascii="Book Antiqua" w:hAnsi="Book Antiqua"/>
          <w:sz w:val="24"/>
          <w:szCs w:val="24"/>
        </w:rPr>
      </w:pPr>
    </w:p>
    <w:sectPr w:rsidR="004A7BC5" w:rsidRPr="006575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C2" w:rsidRDefault="008A52C2">
      <w:pPr>
        <w:spacing w:after="0" w:line="240" w:lineRule="auto"/>
      </w:pPr>
      <w:r>
        <w:separator/>
      </w:r>
    </w:p>
  </w:endnote>
  <w:endnote w:type="continuationSeparator" w:id="0">
    <w:p w:rsidR="008A52C2" w:rsidRDefault="008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C2" w:rsidRDefault="008A52C2">
      <w:pPr>
        <w:spacing w:after="0" w:line="240" w:lineRule="auto"/>
      </w:pPr>
      <w:r>
        <w:separator/>
      </w:r>
    </w:p>
  </w:footnote>
  <w:footnote w:type="continuationSeparator" w:id="0">
    <w:p w:rsidR="008A52C2" w:rsidRDefault="008A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AC" w:rsidRDefault="00F509AC">
    <w:pPr>
      <w:pStyle w:val="a6"/>
      <w:jc w:val="right"/>
    </w:pPr>
  </w:p>
  <w:p w:rsidR="00F509AC" w:rsidRDefault="00F509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FF0"/>
    <w:multiLevelType w:val="hybridMultilevel"/>
    <w:tmpl w:val="5900E32C"/>
    <w:lvl w:ilvl="0" w:tplc="0E3EA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D6061B"/>
    <w:multiLevelType w:val="hybridMultilevel"/>
    <w:tmpl w:val="C750D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8A"/>
    <w:rsid w:val="00047F60"/>
    <w:rsid w:val="00154E88"/>
    <w:rsid w:val="00166521"/>
    <w:rsid w:val="001843FA"/>
    <w:rsid w:val="001A2DFF"/>
    <w:rsid w:val="00384AE5"/>
    <w:rsid w:val="003D4291"/>
    <w:rsid w:val="004A7BC5"/>
    <w:rsid w:val="00537528"/>
    <w:rsid w:val="00590F1A"/>
    <w:rsid w:val="005D7BBF"/>
    <w:rsid w:val="006575F7"/>
    <w:rsid w:val="006D088A"/>
    <w:rsid w:val="007B5A5E"/>
    <w:rsid w:val="007D683E"/>
    <w:rsid w:val="007F287B"/>
    <w:rsid w:val="00862C73"/>
    <w:rsid w:val="008A52C2"/>
    <w:rsid w:val="0096783F"/>
    <w:rsid w:val="00A82C3B"/>
    <w:rsid w:val="00B230CE"/>
    <w:rsid w:val="00BE2E2E"/>
    <w:rsid w:val="00C25947"/>
    <w:rsid w:val="00D81719"/>
    <w:rsid w:val="00F44859"/>
    <w:rsid w:val="00F509AC"/>
    <w:rsid w:val="00FF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8A"/>
    <w:pPr>
      <w:spacing w:after="200" w:line="276" w:lineRule="auto"/>
    </w:pPr>
    <w:rPr>
      <w:kern w:val="0"/>
      <w:sz w:val="22"/>
      <w:lang w:eastAsia="en-US"/>
    </w:rPr>
  </w:style>
  <w:style w:type="paragraph" w:styleId="1">
    <w:name w:val="heading 1"/>
    <w:basedOn w:val="a"/>
    <w:next w:val="a"/>
    <w:link w:val="1Char"/>
    <w:uiPriority w:val="9"/>
    <w:qFormat/>
    <w:rsid w:val="006D0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88A"/>
    <w:rPr>
      <w:rFonts w:asciiTheme="majorHAnsi" w:eastAsiaTheme="majorEastAsia" w:hAnsiTheme="majorHAnsi" w:cstheme="majorBidi"/>
      <w:b/>
      <w:bCs/>
      <w:color w:val="365F91" w:themeColor="accent1" w:themeShade="BF"/>
      <w:kern w:val="0"/>
      <w:sz w:val="28"/>
      <w:szCs w:val="28"/>
      <w:lang w:eastAsia="en-US"/>
    </w:rPr>
  </w:style>
  <w:style w:type="table" w:styleId="a3">
    <w:name w:val="Table Grid"/>
    <w:basedOn w:val="a1"/>
    <w:uiPriority w:val="59"/>
    <w:rsid w:val="006D088A"/>
    <w:rPr>
      <w:kern w:val="0"/>
      <w:sz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6D08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a0"/>
    <w:rsid w:val="006D088A"/>
  </w:style>
  <w:style w:type="character" w:styleId="a4">
    <w:name w:val="Hyperlink"/>
    <w:unhideWhenUsed/>
    <w:rsid w:val="006D088A"/>
    <w:rPr>
      <w:color w:val="0000FF"/>
      <w:u w:val="single"/>
    </w:rPr>
  </w:style>
  <w:style w:type="paragraph" w:styleId="a5">
    <w:name w:val="List Paragraph"/>
    <w:basedOn w:val="a"/>
    <w:uiPriority w:val="34"/>
    <w:qFormat/>
    <w:rsid w:val="006D088A"/>
    <w:pPr>
      <w:ind w:left="720"/>
      <w:contextualSpacing/>
    </w:pPr>
  </w:style>
  <w:style w:type="paragraph" w:styleId="a6">
    <w:name w:val="header"/>
    <w:basedOn w:val="a"/>
    <w:link w:val="Char"/>
    <w:uiPriority w:val="99"/>
    <w:unhideWhenUsed/>
    <w:rsid w:val="006D088A"/>
    <w:pPr>
      <w:tabs>
        <w:tab w:val="center" w:pos="4252"/>
        <w:tab w:val="right" w:pos="8504"/>
      </w:tabs>
      <w:spacing w:after="0" w:line="240" w:lineRule="auto"/>
    </w:pPr>
  </w:style>
  <w:style w:type="character" w:customStyle="1" w:styleId="Char">
    <w:name w:val="页眉 Char"/>
    <w:basedOn w:val="a0"/>
    <w:link w:val="a6"/>
    <w:uiPriority w:val="99"/>
    <w:rsid w:val="006D088A"/>
    <w:rPr>
      <w:kern w:val="0"/>
      <w:sz w:val="22"/>
      <w:lang w:eastAsia="en-US"/>
    </w:rPr>
  </w:style>
  <w:style w:type="paragraph" w:styleId="a7">
    <w:name w:val="footer"/>
    <w:basedOn w:val="a"/>
    <w:link w:val="Char0"/>
    <w:uiPriority w:val="99"/>
    <w:unhideWhenUsed/>
    <w:rsid w:val="006D088A"/>
    <w:pPr>
      <w:tabs>
        <w:tab w:val="center" w:pos="4252"/>
        <w:tab w:val="right" w:pos="8504"/>
      </w:tabs>
      <w:spacing w:after="0" w:line="240" w:lineRule="auto"/>
    </w:pPr>
  </w:style>
  <w:style w:type="character" w:customStyle="1" w:styleId="Char0">
    <w:name w:val="页脚 Char"/>
    <w:basedOn w:val="a0"/>
    <w:link w:val="a7"/>
    <w:uiPriority w:val="99"/>
    <w:rsid w:val="006D088A"/>
    <w:rPr>
      <w:kern w:val="0"/>
      <w:sz w:val="22"/>
      <w:lang w:eastAsia="en-US"/>
    </w:rPr>
  </w:style>
  <w:style w:type="character" w:styleId="a8">
    <w:name w:val="annotation reference"/>
    <w:rsid w:val="006D088A"/>
    <w:rPr>
      <w:rFonts w:cs="Times New Roman"/>
      <w:sz w:val="21"/>
      <w:szCs w:val="21"/>
    </w:rPr>
  </w:style>
  <w:style w:type="paragraph" w:styleId="a9">
    <w:name w:val="annotation text"/>
    <w:basedOn w:val="a"/>
    <w:link w:val="Char1"/>
    <w:rsid w:val="006D088A"/>
    <w:pPr>
      <w:spacing w:after="0" w:line="240" w:lineRule="auto"/>
    </w:pPr>
    <w:rPr>
      <w:rFonts w:ascii="Times New Roman" w:eastAsia="宋体" w:hAnsi="Times New Roman" w:cs="Times New Roman"/>
      <w:sz w:val="24"/>
      <w:szCs w:val="24"/>
    </w:rPr>
  </w:style>
  <w:style w:type="character" w:customStyle="1" w:styleId="Char1">
    <w:name w:val="批注文字 Char"/>
    <w:basedOn w:val="a0"/>
    <w:link w:val="a9"/>
    <w:rsid w:val="006D088A"/>
    <w:rPr>
      <w:rFonts w:ascii="Times New Roman" w:eastAsia="宋体" w:hAnsi="Times New Roman" w:cs="Times New Roman"/>
      <w:kern w:val="0"/>
      <w:sz w:val="24"/>
      <w:szCs w:val="24"/>
      <w:lang w:eastAsia="en-US"/>
    </w:rPr>
  </w:style>
  <w:style w:type="paragraph" w:styleId="aa">
    <w:name w:val="Balloon Text"/>
    <w:basedOn w:val="a"/>
    <w:link w:val="Char2"/>
    <w:uiPriority w:val="99"/>
    <w:semiHidden/>
    <w:unhideWhenUsed/>
    <w:rsid w:val="006D088A"/>
    <w:pPr>
      <w:spacing w:after="0" w:line="240" w:lineRule="auto"/>
    </w:pPr>
    <w:rPr>
      <w:sz w:val="18"/>
      <w:szCs w:val="18"/>
    </w:rPr>
  </w:style>
  <w:style w:type="character" w:customStyle="1" w:styleId="Char2">
    <w:name w:val="批注框文本 Char"/>
    <w:basedOn w:val="a0"/>
    <w:link w:val="aa"/>
    <w:uiPriority w:val="99"/>
    <w:semiHidden/>
    <w:rsid w:val="006D088A"/>
    <w:rPr>
      <w:kern w:val="0"/>
      <w:sz w:val="18"/>
      <w:szCs w:val="18"/>
      <w:lang w:eastAsia="en-US"/>
    </w:rPr>
  </w:style>
  <w:style w:type="paragraph" w:customStyle="1" w:styleId="p0">
    <w:name w:val="p0"/>
    <w:basedOn w:val="a"/>
    <w:rsid w:val="006D088A"/>
    <w:pPr>
      <w:spacing w:after="0" w:line="240" w:lineRule="atLeast"/>
    </w:pPr>
    <w:rPr>
      <w:rFonts w:ascii="Century" w:eastAsia="宋体" w:hAnsi="Century" w:cs="宋体"/>
      <w:sz w:val="21"/>
      <w:szCs w:val="21"/>
      <w:lang w:eastAsia="zh-CN"/>
    </w:rPr>
  </w:style>
  <w:style w:type="paragraph" w:styleId="ab">
    <w:name w:val="annotation subject"/>
    <w:basedOn w:val="a9"/>
    <w:next w:val="a9"/>
    <w:link w:val="Char3"/>
    <w:uiPriority w:val="99"/>
    <w:semiHidden/>
    <w:unhideWhenUsed/>
    <w:rsid w:val="006D088A"/>
    <w:pPr>
      <w:spacing w:after="200" w:line="276" w:lineRule="auto"/>
    </w:pPr>
    <w:rPr>
      <w:rFonts w:asciiTheme="minorHAnsi" w:eastAsiaTheme="minorEastAsia" w:hAnsiTheme="minorHAnsi" w:cstheme="minorBidi"/>
      <w:b/>
      <w:bCs/>
      <w:sz w:val="22"/>
      <w:szCs w:val="22"/>
    </w:rPr>
  </w:style>
  <w:style w:type="character" w:customStyle="1" w:styleId="Char3">
    <w:name w:val="批注主题 Char"/>
    <w:basedOn w:val="Char1"/>
    <w:link w:val="ab"/>
    <w:uiPriority w:val="99"/>
    <w:semiHidden/>
    <w:rsid w:val="006D088A"/>
    <w:rPr>
      <w:rFonts w:ascii="Times New Roman" w:eastAsia="宋体" w:hAnsi="Times New Roman" w:cs="Times New Roman"/>
      <w:b/>
      <w:bCs/>
      <w:kern w:val="0"/>
      <w:sz w:val="22"/>
      <w:szCs w:val="24"/>
      <w:lang w:eastAsia="en-US"/>
    </w:rPr>
  </w:style>
  <w:style w:type="character" w:styleId="ac">
    <w:name w:val="Strong"/>
    <w:qFormat/>
    <w:rsid w:val="006D088A"/>
    <w:rPr>
      <w:b/>
      <w:bCs/>
    </w:rPr>
  </w:style>
  <w:style w:type="paragraph" w:styleId="ad">
    <w:name w:val="Revision"/>
    <w:hidden/>
    <w:uiPriority w:val="99"/>
    <w:semiHidden/>
    <w:rsid w:val="006D088A"/>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8A"/>
    <w:pPr>
      <w:spacing w:after="200" w:line="276" w:lineRule="auto"/>
    </w:pPr>
    <w:rPr>
      <w:kern w:val="0"/>
      <w:sz w:val="22"/>
      <w:lang w:eastAsia="en-US"/>
    </w:rPr>
  </w:style>
  <w:style w:type="paragraph" w:styleId="1">
    <w:name w:val="heading 1"/>
    <w:basedOn w:val="a"/>
    <w:next w:val="a"/>
    <w:link w:val="1Char"/>
    <w:uiPriority w:val="9"/>
    <w:qFormat/>
    <w:rsid w:val="006D0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88A"/>
    <w:rPr>
      <w:rFonts w:asciiTheme="majorHAnsi" w:eastAsiaTheme="majorEastAsia" w:hAnsiTheme="majorHAnsi" w:cstheme="majorBidi"/>
      <w:b/>
      <w:bCs/>
      <w:color w:val="365F91" w:themeColor="accent1" w:themeShade="BF"/>
      <w:kern w:val="0"/>
      <w:sz w:val="28"/>
      <w:szCs w:val="28"/>
      <w:lang w:eastAsia="en-US"/>
    </w:rPr>
  </w:style>
  <w:style w:type="table" w:styleId="a3">
    <w:name w:val="Table Grid"/>
    <w:basedOn w:val="a1"/>
    <w:uiPriority w:val="59"/>
    <w:rsid w:val="006D088A"/>
    <w:rPr>
      <w:kern w:val="0"/>
      <w:sz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6D08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a0"/>
    <w:rsid w:val="006D088A"/>
  </w:style>
  <w:style w:type="character" w:styleId="a4">
    <w:name w:val="Hyperlink"/>
    <w:unhideWhenUsed/>
    <w:rsid w:val="006D088A"/>
    <w:rPr>
      <w:color w:val="0000FF"/>
      <w:u w:val="single"/>
    </w:rPr>
  </w:style>
  <w:style w:type="paragraph" w:styleId="a5">
    <w:name w:val="List Paragraph"/>
    <w:basedOn w:val="a"/>
    <w:uiPriority w:val="34"/>
    <w:qFormat/>
    <w:rsid w:val="006D088A"/>
    <w:pPr>
      <w:ind w:left="720"/>
      <w:contextualSpacing/>
    </w:pPr>
  </w:style>
  <w:style w:type="paragraph" w:styleId="a6">
    <w:name w:val="header"/>
    <w:basedOn w:val="a"/>
    <w:link w:val="Char"/>
    <w:uiPriority w:val="99"/>
    <w:unhideWhenUsed/>
    <w:rsid w:val="006D088A"/>
    <w:pPr>
      <w:tabs>
        <w:tab w:val="center" w:pos="4252"/>
        <w:tab w:val="right" w:pos="8504"/>
      </w:tabs>
      <w:spacing w:after="0" w:line="240" w:lineRule="auto"/>
    </w:pPr>
  </w:style>
  <w:style w:type="character" w:customStyle="1" w:styleId="Char">
    <w:name w:val="页眉 Char"/>
    <w:basedOn w:val="a0"/>
    <w:link w:val="a6"/>
    <w:uiPriority w:val="99"/>
    <w:rsid w:val="006D088A"/>
    <w:rPr>
      <w:kern w:val="0"/>
      <w:sz w:val="22"/>
      <w:lang w:eastAsia="en-US"/>
    </w:rPr>
  </w:style>
  <w:style w:type="paragraph" w:styleId="a7">
    <w:name w:val="footer"/>
    <w:basedOn w:val="a"/>
    <w:link w:val="Char0"/>
    <w:uiPriority w:val="99"/>
    <w:unhideWhenUsed/>
    <w:rsid w:val="006D088A"/>
    <w:pPr>
      <w:tabs>
        <w:tab w:val="center" w:pos="4252"/>
        <w:tab w:val="right" w:pos="8504"/>
      </w:tabs>
      <w:spacing w:after="0" w:line="240" w:lineRule="auto"/>
    </w:pPr>
  </w:style>
  <w:style w:type="character" w:customStyle="1" w:styleId="Char0">
    <w:name w:val="页脚 Char"/>
    <w:basedOn w:val="a0"/>
    <w:link w:val="a7"/>
    <w:uiPriority w:val="99"/>
    <w:rsid w:val="006D088A"/>
    <w:rPr>
      <w:kern w:val="0"/>
      <w:sz w:val="22"/>
      <w:lang w:eastAsia="en-US"/>
    </w:rPr>
  </w:style>
  <w:style w:type="character" w:styleId="a8">
    <w:name w:val="annotation reference"/>
    <w:rsid w:val="006D088A"/>
    <w:rPr>
      <w:rFonts w:cs="Times New Roman"/>
      <w:sz w:val="21"/>
      <w:szCs w:val="21"/>
    </w:rPr>
  </w:style>
  <w:style w:type="paragraph" w:styleId="a9">
    <w:name w:val="annotation text"/>
    <w:basedOn w:val="a"/>
    <w:link w:val="Char1"/>
    <w:rsid w:val="006D088A"/>
    <w:pPr>
      <w:spacing w:after="0" w:line="240" w:lineRule="auto"/>
    </w:pPr>
    <w:rPr>
      <w:rFonts w:ascii="Times New Roman" w:eastAsia="宋体" w:hAnsi="Times New Roman" w:cs="Times New Roman"/>
      <w:sz w:val="24"/>
      <w:szCs w:val="24"/>
    </w:rPr>
  </w:style>
  <w:style w:type="character" w:customStyle="1" w:styleId="Char1">
    <w:name w:val="批注文字 Char"/>
    <w:basedOn w:val="a0"/>
    <w:link w:val="a9"/>
    <w:rsid w:val="006D088A"/>
    <w:rPr>
      <w:rFonts w:ascii="Times New Roman" w:eastAsia="宋体" w:hAnsi="Times New Roman" w:cs="Times New Roman"/>
      <w:kern w:val="0"/>
      <w:sz w:val="24"/>
      <w:szCs w:val="24"/>
      <w:lang w:eastAsia="en-US"/>
    </w:rPr>
  </w:style>
  <w:style w:type="paragraph" w:styleId="aa">
    <w:name w:val="Balloon Text"/>
    <w:basedOn w:val="a"/>
    <w:link w:val="Char2"/>
    <w:uiPriority w:val="99"/>
    <w:semiHidden/>
    <w:unhideWhenUsed/>
    <w:rsid w:val="006D088A"/>
    <w:pPr>
      <w:spacing w:after="0" w:line="240" w:lineRule="auto"/>
    </w:pPr>
    <w:rPr>
      <w:sz w:val="18"/>
      <w:szCs w:val="18"/>
    </w:rPr>
  </w:style>
  <w:style w:type="character" w:customStyle="1" w:styleId="Char2">
    <w:name w:val="批注框文本 Char"/>
    <w:basedOn w:val="a0"/>
    <w:link w:val="aa"/>
    <w:uiPriority w:val="99"/>
    <w:semiHidden/>
    <w:rsid w:val="006D088A"/>
    <w:rPr>
      <w:kern w:val="0"/>
      <w:sz w:val="18"/>
      <w:szCs w:val="18"/>
      <w:lang w:eastAsia="en-US"/>
    </w:rPr>
  </w:style>
  <w:style w:type="paragraph" w:customStyle="1" w:styleId="p0">
    <w:name w:val="p0"/>
    <w:basedOn w:val="a"/>
    <w:rsid w:val="006D088A"/>
    <w:pPr>
      <w:spacing w:after="0" w:line="240" w:lineRule="atLeast"/>
    </w:pPr>
    <w:rPr>
      <w:rFonts w:ascii="Century" w:eastAsia="宋体" w:hAnsi="Century" w:cs="宋体"/>
      <w:sz w:val="21"/>
      <w:szCs w:val="21"/>
      <w:lang w:eastAsia="zh-CN"/>
    </w:rPr>
  </w:style>
  <w:style w:type="paragraph" w:styleId="ab">
    <w:name w:val="annotation subject"/>
    <w:basedOn w:val="a9"/>
    <w:next w:val="a9"/>
    <w:link w:val="Char3"/>
    <w:uiPriority w:val="99"/>
    <w:semiHidden/>
    <w:unhideWhenUsed/>
    <w:rsid w:val="006D088A"/>
    <w:pPr>
      <w:spacing w:after="200" w:line="276" w:lineRule="auto"/>
    </w:pPr>
    <w:rPr>
      <w:rFonts w:asciiTheme="minorHAnsi" w:eastAsiaTheme="minorEastAsia" w:hAnsiTheme="minorHAnsi" w:cstheme="minorBidi"/>
      <w:b/>
      <w:bCs/>
      <w:sz w:val="22"/>
      <w:szCs w:val="22"/>
    </w:rPr>
  </w:style>
  <w:style w:type="character" w:customStyle="1" w:styleId="Char3">
    <w:name w:val="批注主题 Char"/>
    <w:basedOn w:val="Char1"/>
    <w:link w:val="ab"/>
    <w:uiPriority w:val="99"/>
    <w:semiHidden/>
    <w:rsid w:val="006D088A"/>
    <w:rPr>
      <w:rFonts w:ascii="Times New Roman" w:eastAsia="宋体" w:hAnsi="Times New Roman" w:cs="Times New Roman"/>
      <w:b/>
      <w:bCs/>
      <w:kern w:val="0"/>
      <w:sz w:val="22"/>
      <w:szCs w:val="24"/>
      <w:lang w:eastAsia="en-US"/>
    </w:rPr>
  </w:style>
  <w:style w:type="character" w:styleId="ac">
    <w:name w:val="Strong"/>
    <w:qFormat/>
    <w:rsid w:val="006D088A"/>
    <w:rPr>
      <w:b/>
      <w:bCs/>
    </w:rPr>
  </w:style>
  <w:style w:type="paragraph" w:styleId="ad">
    <w:name w:val="Revision"/>
    <w:hidden/>
    <w:uiPriority w:val="99"/>
    <w:semiHidden/>
    <w:rsid w:val="006D088A"/>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bioferreira@uol.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4629</Words>
  <Characters>26390</Characters>
  <Application>Microsoft Office Word</Application>
  <DocSecurity>0</DocSecurity>
  <Lines>219</Lines>
  <Paragraphs>61</Paragraphs>
  <ScaleCrop>false</ScaleCrop>
  <Company>微软中国</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2014-09-18T00:06:00Z</dcterms:created>
  <dcterms:modified xsi:type="dcterms:W3CDTF">2014-09-18T00:06:00Z</dcterms:modified>
</cp:coreProperties>
</file>