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98" w:rsidRPr="00267522" w:rsidRDefault="00DB37CF" w:rsidP="00BD6F98">
      <w:pPr>
        <w:rPr>
          <w:rFonts w:ascii="Book Antiqua" w:hAnsi="Book Antiqua"/>
          <w:b/>
          <w:color w:val="0000FF"/>
          <w:sz w:val="28"/>
          <w:szCs w:val="28"/>
        </w:rPr>
      </w:pPr>
      <w:r>
        <w:rPr>
          <w:noProof/>
          <w:lang w:eastAsia="en-US"/>
        </w:rPr>
        <w:drawing>
          <wp:anchor distT="0" distB="0" distL="114300" distR="114300" simplePos="0" relativeHeight="251657728" behindDoc="0" locked="0" layoutInCell="1" allowOverlap="1" wp14:anchorId="7A65301E" wp14:editId="16F3D986">
            <wp:simplePos x="0" y="0"/>
            <wp:positionH relativeFrom="column">
              <wp:posOffset>4572000</wp:posOffset>
            </wp:positionH>
            <wp:positionV relativeFrom="paragraph">
              <wp:posOffset>-99060</wp:posOffset>
            </wp:positionV>
            <wp:extent cx="1409700" cy="1295400"/>
            <wp:effectExtent l="0" t="0" r="0" b="0"/>
            <wp:wrapSquare wrapText="bothSides"/>
            <wp:docPr id="4" name="Picture 4"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百世登R-logo-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F98" w:rsidRPr="00267522">
        <w:rPr>
          <w:rFonts w:ascii="Book Antiqua" w:hAnsi="Book Antiqua"/>
          <w:b/>
          <w:color w:val="0000FF"/>
          <w:sz w:val="28"/>
          <w:szCs w:val="28"/>
        </w:rPr>
        <w:t>ANSWERING REVIEWERS</w:t>
      </w:r>
    </w:p>
    <w:p w:rsidR="00BD6F98" w:rsidRPr="00086848" w:rsidRDefault="00BD6F98" w:rsidP="003A1C4C">
      <w:pPr>
        <w:rPr>
          <w:rFonts w:ascii="Book Antiqua" w:hAnsi="Book Antiqua"/>
          <w:sz w:val="22"/>
          <w:szCs w:val="21"/>
        </w:rPr>
      </w:pPr>
    </w:p>
    <w:p w:rsidR="004271D8" w:rsidRPr="00086848" w:rsidRDefault="00086848" w:rsidP="003A1C4C">
      <w:pPr>
        <w:spacing w:line="280" w:lineRule="exact"/>
        <w:rPr>
          <w:rFonts w:ascii="Book Antiqua" w:hAnsi="Book Antiqua"/>
          <w:sz w:val="22"/>
          <w:szCs w:val="21"/>
        </w:rPr>
      </w:pPr>
      <w:r w:rsidRPr="00086848">
        <w:rPr>
          <w:rFonts w:ascii="Book Antiqua" w:hAnsi="Book Antiqua"/>
          <w:sz w:val="22"/>
          <w:szCs w:val="21"/>
        </w:rPr>
        <w:t xml:space="preserve">July </w:t>
      </w:r>
      <w:r w:rsidR="003B4029">
        <w:rPr>
          <w:rFonts w:ascii="Book Antiqua" w:hAnsi="Book Antiqua"/>
          <w:sz w:val="22"/>
          <w:szCs w:val="21"/>
        </w:rPr>
        <w:t>8</w:t>
      </w:r>
      <w:bookmarkStart w:id="0" w:name="_GoBack"/>
      <w:r w:rsidR="003B4029" w:rsidRPr="003B4029">
        <w:rPr>
          <w:rFonts w:ascii="Book Antiqua" w:hAnsi="Book Antiqua"/>
          <w:sz w:val="22"/>
          <w:szCs w:val="21"/>
          <w:vertAlign w:val="superscript"/>
        </w:rPr>
        <w:t>th</w:t>
      </w:r>
      <w:bookmarkEnd w:id="0"/>
      <w:r w:rsidRPr="00086848">
        <w:rPr>
          <w:rFonts w:ascii="Book Antiqua" w:hAnsi="Book Antiqua"/>
          <w:sz w:val="22"/>
          <w:szCs w:val="21"/>
        </w:rPr>
        <w:t xml:space="preserve"> Rotterdam,</w:t>
      </w:r>
    </w:p>
    <w:p w:rsidR="004271D8" w:rsidRPr="00086848" w:rsidRDefault="004271D8" w:rsidP="003A1C4C">
      <w:pPr>
        <w:spacing w:line="280" w:lineRule="exact"/>
        <w:rPr>
          <w:rFonts w:ascii="Book Antiqua" w:hAnsi="Book Antiqua" w:cs="Arial"/>
          <w:sz w:val="22"/>
          <w:szCs w:val="21"/>
        </w:rPr>
      </w:pPr>
    </w:p>
    <w:p w:rsidR="003A1C4C" w:rsidRPr="00086848" w:rsidRDefault="003A1C4C" w:rsidP="003A1C4C">
      <w:pPr>
        <w:spacing w:line="280" w:lineRule="exact"/>
        <w:rPr>
          <w:rFonts w:ascii="Book Antiqua" w:hAnsi="Book Antiqua" w:cs="Arial"/>
          <w:sz w:val="22"/>
          <w:szCs w:val="21"/>
        </w:rPr>
      </w:pPr>
      <w:r w:rsidRPr="00086848">
        <w:rPr>
          <w:rFonts w:ascii="Book Antiqua" w:hAnsi="Book Antiqua" w:cs="Arial"/>
          <w:sz w:val="22"/>
          <w:szCs w:val="21"/>
        </w:rPr>
        <w:t>Dear Editor,</w:t>
      </w:r>
    </w:p>
    <w:p w:rsidR="003A1C4C" w:rsidRPr="00086848" w:rsidRDefault="003A1C4C" w:rsidP="003A1C4C">
      <w:pPr>
        <w:spacing w:line="280" w:lineRule="exact"/>
        <w:rPr>
          <w:rFonts w:ascii="Book Antiqua" w:hAnsi="Book Antiqua" w:cs="Arial"/>
          <w:sz w:val="22"/>
          <w:szCs w:val="21"/>
        </w:rPr>
      </w:pPr>
    </w:p>
    <w:p w:rsidR="003A1C4C" w:rsidRPr="00086848" w:rsidRDefault="00AB538E" w:rsidP="003A1C4C">
      <w:pPr>
        <w:spacing w:line="280" w:lineRule="exact"/>
        <w:rPr>
          <w:rFonts w:ascii="Book Antiqua" w:hAnsi="Book Antiqua" w:cs="Arial"/>
          <w:sz w:val="22"/>
          <w:szCs w:val="21"/>
        </w:rPr>
      </w:pPr>
      <w:r>
        <w:rPr>
          <w:rFonts w:ascii="Book Antiqua" w:hAnsi="Book Antiqua" w:cs="Arial"/>
          <w:sz w:val="22"/>
          <w:szCs w:val="21"/>
        </w:rPr>
        <w:t>E</w:t>
      </w:r>
      <w:r w:rsidRPr="00086848">
        <w:rPr>
          <w:rFonts w:ascii="Book Antiqua" w:hAnsi="Book Antiqua" w:cs="Arial"/>
          <w:sz w:val="22"/>
          <w:szCs w:val="21"/>
        </w:rPr>
        <w:t xml:space="preserve">nclosed </w:t>
      </w:r>
      <w:r>
        <w:rPr>
          <w:rFonts w:ascii="Book Antiqua" w:hAnsi="Book Antiqua" w:cs="Arial"/>
          <w:sz w:val="22"/>
          <w:szCs w:val="21"/>
        </w:rPr>
        <w:t>p</w:t>
      </w:r>
      <w:r w:rsidR="003A1C4C" w:rsidRPr="00086848">
        <w:rPr>
          <w:rFonts w:ascii="Book Antiqua" w:hAnsi="Book Antiqua" w:cs="Arial"/>
          <w:sz w:val="22"/>
          <w:szCs w:val="21"/>
        </w:rPr>
        <w:t>lease find the e</w:t>
      </w:r>
      <w:r w:rsidR="00C23EEF">
        <w:rPr>
          <w:rFonts w:ascii="Book Antiqua" w:hAnsi="Book Antiqua" w:cs="Arial"/>
          <w:sz w:val="22"/>
          <w:szCs w:val="21"/>
        </w:rPr>
        <w:t xml:space="preserve">dited manuscript in Word format. </w:t>
      </w:r>
    </w:p>
    <w:p w:rsidR="00086848" w:rsidRPr="00086848" w:rsidRDefault="003A1C4C" w:rsidP="00086848">
      <w:pPr>
        <w:pStyle w:val="NoSpacing"/>
        <w:spacing w:line="480" w:lineRule="auto"/>
        <w:rPr>
          <w:rFonts w:ascii="Book Antiqua" w:hAnsi="Book Antiqua"/>
          <w:szCs w:val="24"/>
        </w:rPr>
      </w:pPr>
      <w:r w:rsidRPr="00086848">
        <w:rPr>
          <w:rFonts w:ascii="Book Antiqua" w:hAnsi="Book Antiqua" w:cs="Arial"/>
          <w:b/>
          <w:bCs/>
          <w:szCs w:val="21"/>
        </w:rPr>
        <w:t>Title:</w:t>
      </w:r>
      <w:r w:rsidR="00311910" w:rsidRPr="00086848">
        <w:rPr>
          <w:rFonts w:ascii="Book Antiqua" w:hAnsi="Book Antiqua" w:cs="Arial"/>
          <w:b/>
          <w:szCs w:val="21"/>
        </w:rPr>
        <w:t xml:space="preserve"> </w:t>
      </w:r>
      <w:r w:rsidR="00086848" w:rsidRPr="00086848">
        <w:rPr>
          <w:rFonts w:ascii="Book Antiqua" w:hAnsi="Book Antiqua"/>
        </w:rPr>
        <w:t>T-cell ageing in end-stage renal disease patients; assessment and clinical relevance</w:t>
      </w:r>
    </w:p>
    <w:p w:rsidR="003A1C4C" w:rsidRPr="00086848" w:rsidRDefault="003A1C4C" w:rsidP="003A1C4C">
      <w:pPr>
        <w:spacing w:line="280" w:lineRule="exact"/>
        <w:rPr>
          <w:rFonts w:ascii="Book Antiqua" w:hAnsi="Book Antiqua" w:cs="Arial"/>
          <w:sz w:val="22"/>
          <w:szCs w:val="21"/>
          <w:lang w:val="nl-NL"/>
        </w:rPr>
      </w:pPr>
      <w:proofErr w:type="spellStart"/>
      <w:r w:rsidRPr="00086848">
        <w:rPr>
          <w:rFonts w:ascii="Book Antiqua" w:hAnsi="Book Antiqua" w:cs="Arial"/>
          <w:b/>
          <w:bCs/>
          <w:sz w:val="22"/>
          <w:szCs w:val="21"/>
          <w:lang w:val="nl-NL"/>
        </w:rPr>
        <w:t>Author</w:t>
      </w:r>
      <w:r w:rsidR="009650CA">
        <w:rPr>
          <w:rFonts w:ascii="Book Antiqua" w:hAnsi="Book Antiqua" w:cs="Arial"/>
          <w:b/>
          <w:bCs/>
          <w:sz w:val="22"/>
          <w:szCs w:val="21"/>
          <w:lang w:val="nl-NL"/>
        </w:rPr>
        <w:t>s</w:t>
      </w:r>
      <w:proofErr w:type="spellEnd"/>
      <w:r w:rsidRPr="00086848">
        <w:rPr>
          <w:rFonts w:ascii="Book Antiqua" w:hAnsi="Book Antiqua" w:cs="Arial"/>
          <w:b/>
          <w:bCs/>
          <w:sz w:val="22"/>
          <w:szCs w:val="21"/>
          <w:lang w:val="nl-NL"/>
        </w:rPr>
        <w:t xml:space="preserve">: </w:t>
      </w:r>
      <w:r w:rsidR="00086848" w:rsidRPr="00086848">
        <w:rPr>
          <w:rFonts w:ascii="Book Antiqua" w:hAnsi="Book Antiqua" w:cs="Arial"/>
          <w:bCs/>
          <w:sz w:val="22"/>
          <w:szCs w:val="21"/>
          <w:lang w:val="nl-NL"/>
        </w:rPr>
        <w:t xml:space="preserve">Ruud W.J. Meijers, Michiel G.H. Betjes, Carla C. Baan </w:t>
      </w:r>
      <w:proofErr w:type="spellStart"/>
      <w:r w:rsidR="00086848" w:rsidRPr="00086848">
        <w:rPr>
          <w:rFonts w:ascii="Book Antiqua" w:hAnsi="Book Antiqua" w:cs="Arial"/>
          <w:bCs/>
          <w:sz w:val="22"/>
          <w:szCs w:val="21"/>
          <w:lang w:val="nl-NL"/>
        </w:rPr>
        <w:t>and</w:t>
      </w:r>
      <w:proofErr w:type="spellEnd"/>
      <w:r w:rsidR="00086848" w:rsidRPr="00086848">
        <w:rPr>
          <w:rFonts w:ascii="Book Antiqua" w:hAnsi="Book Antiqua" w:cs="Arial"/>
          <w:bCs/>
          <w:sz w:val="22"/>
          <w:szCs w:val="21"/>
          <w:lang w:val="nl-NL"/>
        </w:rPr>
        <w:t xml:space="preserve"> </w:t>
      </w:r>
      <w:proofErr w:type="spellStart"/>
      <w:r w:rsidR="00086848" w:rsidRPr="00086848">
        <w:rPr>
          <w:rFonts w:ascii="Book Antiqua" w:hAnsi="Book Antiqua" w:cs="Arial"/>
          <w:bCs/>
          <w:sz w:val="22"/>
          <w:szCs w:val="21"/>
          <w:lang w:val="nl-NL"/>
        </w:rPr>
        <w:t>Nicolle</w:t>
      </w:r>
      <w:proofErr w:type="spellEnd"/>
      <w:r w:rsidR="00086848" w:rsidRPr="00086848">
        <w:rPr>
          <w:rFonts w:ascii="Book Antiqua" w:hAnsi="Book Antiqua" w:cs="Arial"/>
          <w:bCs/>
          <w:sz w:val="22"/>
          <w:szCs w:val="21"/>
          <w:lang w:val="nl-NL"/>
        </w:rPr>
        <w:t xml:space="preserve"> H.R. Litjens</w:t>
      </w:r>
    </w:p>
    <w:p w:rsidR="005B04A6" w:rsidRPr="00086848" w:rsidRDefault="005B04A6" w:rsidP="003A1C4C">
      <w:pPr>
        <w:spacing w:line="280" w:lineRule="exact"/>
        <w:rPr>
          <w:rFonts w:ascii="Book Antiqua" w:hAnsi="Book Antiqua" w:cs="Arial"/>
          <w:sz w:val="22"/>
          <w:szCs w:val="21"/>
          <w:lang w:val="nl-NL"/>
        </w:rPr>
      </w:pPr>
    </w:p>
    <w:p w:rsidR="003A1C4C" w:rsidRPr="00086848" w:rsidRDefault="005B04A6" w:rsidP="003A1C4C">
      <w:pPr>
        <w:spacing w:line="280" w:lineRule="exact"/>
        <w:rPr>
          <w:rFonts w:ascii="Book Antiqua" w:hAnsi="Book Antiqua" w:cs="Arial"/>
          <w:i/>
          <w:sz w:val="22"/>
          <w:szCs w:val="21"/>
        </w:rPr>
      </w:pPr>
      <w:r w:rsidRPr="00086848">
        <w:rPr>
          <w:rFonts w:ascii="Book Antiqua" w:hAnsi="Book Antiqua" w:cs="Arial"/>
          <w:b/>
          <w:sz w:val="22"/>
          <w:szCs w:val="21"/>
        </w:rPr>
        <w:t>Name of Journal:</w:t>
      </w:r>
      <w:r w:rsidR="00553521" w:rsidRPr="00086848">
        <w:rPr>
          <w:rFonts w:ascii="Book Antiqua" w:hAnsi="Book Antiqua" w:cs="Arial"/>
          <w:b/>
          <w:sz w:val="22"/>
          <w:szCs w:val="21"/>
        </w:rPr>
        <w:t xml:space="preserve"> </w:t>
      </w:r>
      <w:r w:rsidR="00553521" w:rsidRPr="00086848">
        <w:rPr>
          <w:rFonts w:ascii="Book Antiqua" w:hAnsi="Book Antiqua" w:cs="Arial"/>
          <w:i/>
          <w:sz w:val="22"/>
          <w:szCs w:val="21"/>
        </w:rPr>
        <w:t xml:space="preserve">World Journal of </w:t>
      </w:r>
      <w:r w:rsidR="00086848" w:rsidRPr="00086848">
        <w:rPr>
          <w:rFonts w:ascii="Book Antiqua" w:hAnsi="Book Antiqua" w:cs="Arial"/>
          <w:i/>
          <w:sz w:val="22"/>
          <w:szCs w:val="21"/>
        </w:rPr>
        <w:t>Nephrology</w:t>
      </w:r>
    </w:p>
    <w:p w:rsidR="005B04A6" w:rsidRPr="00086848" w:rsidRDefault="005B04A6" w:rsidP="003A1C4C">
      <w:pPr>
        <w:spacing w:line="280" w:lineRule="exact"/>
        <w:rPr>
          <w:rFonts w:ascii="Book Antiqua" w:hAnsi="Book Antiqua" w:cs="Arial"/>
          <w:sz w:val="22"/>
          <w:szCs w:val="21"/>
        </w:rPr>
      </w:pPr>
    </w:p>
    <w:p w:rsidR="003A1C4C" w:rsidRPr="00086848" w:rsidRDefault="004271D8" w:rsidP="003A1C4C">
      <w:pPr>
        <w:spacing w:line="280" w:lineRule="exact"/>
        <w:rPr>
          <w:rFonts w:ascii="Book Antiqua" w:hAnsi="Book Antiqua" w:cs="Arial"/>
          <w:sz w:val="22"/>
          <w:szCs w:val="21"/>
        </w:rPr>
      </w:pPr>
      <w:r w:rsidRPr="00086848">
        <w:rPr>
          <w:rFonts w:ascii="Book Antiqua" w:hAnsi="Book Antiqua" w:cs="Arial"/>
          <w:b/>
          <w:bCs/>
          <w:sz w:val="22"/>
          <w:szCs w:val="21"/>
        </w:rPr>
        <w:t>ESPS Manuscript NO</w:t>
      </w:r>
      <w:r w:rsidR="003A1C4C" w:rsidRPr="00086848">
        <w:rPr>
          <w:rFonts w:ascii="Book Antiqua" w:hAnsi="Book Antiqua" w:cs="Arial"/>
          <w:b/>
          <w:bCs/>
          <w:sz w:val="22"/>
          <w:szCs w:val="21"/>
        </w:rPr>
        <w:t xml:space="preserve">: </w:t>
      </w:r>
      <w:r w:rsidR="00086848" w:rsidRPr="00086848">
        <w:rPr>
          <w:rFonts w:ascii="Book Antiqua" w:hAnsi="Book Antiqua" w:cs="Arial"/>
          <w:sz w:val="22"/>
          <w:szCs w:val="21"/>
        </w:rPr>
        <w:t>11892</w:t>
      </w:r>
    </w:p>
    <w:p w:rsidR="003A1C4C" w:rsidRPr="00086848" w:rsidRDefault="003A1C4C" w:rsidP="003A1C4C">
      <w:pPr>
        <w:spacing w:line="280" w:lineRule="exact"/>
        <w:rPr>
          <w:rFonts w:ascii="Book Antiqua" w:hAnsi="Book Antiqua" w:cs="Arial"/>
          <w:sz w:val="22"/>
          <w:szCs w:val="21"/>
        </w:rPr>
      </w:pPr>
    </w:p>
    <w:p w:rsidR="003A1C4C" w:rsidRDefault="003A1C4C" w:rsidP="003A1C4C">
      <w:pPr>
        <w:spacing w:line="280" w:lineRule="exact"/>
        <w:rPr>
          <w:rFonts w:ascii="Book Antiqua" w:hAnsi="Book Antiqua" w:cs="Arial"/>
          <w:sz w:val="22"/>
          <w:szCs w:val="21"/>
        </w:rPr>
      </w:pPr>
      <w:r w:rsidRPr="00086848">
        <w:rPr>
          <w:rFonts w:ascii="Book Antiqua" w:hAnsi="Book Antiqua" w:cs="Arial"/>
          <w:sz w:val="22"/>
          <w:szCs w:val="21"/>
        </w:rPr>
        <w:t>The manuscript has been improved according to the suggestions of reviewers</w:t>
      </w:r>
      <w:r w:rsidR="00086848">
        <w:rPr>
          <w:rFonts w:ascii="Book Antiqua" w:hAnsi="Book Antiqua" w:cs="Arial"/>
          <w:sz w:val="22"/>
          <w:szCs w:val="21"/>
        </w:rPr>
        <w:t xml:space="preserve"> and changes are highlighted throughout the manuscript.</w:t>
      </w:r>
      <w:r w:rsidR="0096787D">
        <w:rPr>
          <w:rFonts w:ascii="Book Antiqua" w:hAnsi="Book Antiqua" w:cs="Arial"/>
          <w:sz w:val="22"/>
          <w:szCs w:val="21"/>
        </w:rPr>
        <w:t xml:space="preserve"> Please find below</w:t>
      </w:r>
      <w:r w:rsidR="00D95C15">
        <w:rPr>
          <w:rFonts w:ascii="Book Antiqua" w:hAnsi="Book Antiqua" w:cs="Arial"/>
          <w:sz w:val="22"/>
          <w:szCs w:val="21"/>
        </w:rPr>
        <w:t xml:space="preserve"> </w:t>
      </w:r>
      <w:r w:rsidR="0096787D">
        <w:rPr>
          <w:rFonts w:ascii="Book Antiqua" w:hAnsi="Book Antiqua" w:cs="Arial"/>
          <w:sz w:val="22"/>
          <w:szCs w:val="21"/>
        </w:rPr>
        <w:t xml:space="preserve">our answers to the comments and suggestions of the reviewers.  </w:t>
      </w:r>
    </w:p>
    <w:p w:rsidR="0096787D" w:rsidRDefault="00086848" w:rsidP="003A1C4C">
      <w:pPr>
        <w:spacing w:line="280" w:lineRule="exact"/>
        <w:rPr>
          <w:rFonts w:ascii="Book Antiqua" w:hAnsi="Book Antiqua" w:cs="Arial"/>
          <w:sz w:val="22"/>
          <w:szCs w:val="21"/>
        </w:rPr>
      </w:pPr>
      <w:r>
        <w:rPr>
          <w:rFonts w:ascii="Book Antiqua" w:hAnsi="Book Antiqua" w:cs="Arial"/>
          <w:sz w:val="22"/>
          <w:szCs w:val="21"/>
        </w:rPr>
        <w:br/>
      </w:r>
    </w:p>
    <w:p w:rsidR="00086848" w:rsidRDefault="0096787D" w:rsidP="003A1C4C">
      <w:pPr>
        <w:spacing w:line="280" w:lineRule="exact"/>
        <w:rPr>
          <w:rFonts w:ascii="Book Antiqua" w:hAnsi="Book Antiqua" w:cs="Arial"/>
          <w:sz w:val="22"/>
          <w:szCs w:val="21"/>
        </w:rPr>
      </w:pPr>
      <w:r>
        <w:rPr>
          <w:rFonts w:ascii="Book Antiqua" w:hAnsi="Book Antiqua" w:cs="Arial"/>
          <w:sz w:val="22"/>
          <w:szCs w:val="21"/>
        </w:rPr>
        <w:br w:type="page"/>
      </w:r>
      <w:r w:rsidR="001F53BB">
        <w:rPr>
          <w:rFonts w:ascii="Book Antiqua" w:hAnsi="Book Antiqua" w:cs="Arial"/>
          <w:sz w:val="22"/>
          <w:szCs w:val="21"/>
        </w:rPr>
        <w:lastRenderedPageBreak/>
        <w:t>Reviewer 1:</w:t>
      </w:r>
    </w:p>
    <w:p w:rsidR="001F53BB" w:rsidRDefault="001F53BB" w:rsidP="003A1C4C">
      <w:pPr>
        <w:spacing w:line="280" w:lineRule="exact"/>
        <w:rPr>
          <w:rFonts w:ascii="Book Antiqua" w:hAnsi="Book Antiqua" w:cs="Arial"/>
          <w:sz w:val="22"/>
          <w:szCs w:val="21"/>
        </w:rPr>
      </w:pPr>
    </w:p>
    <w:p w:rsidR="001F53BB" w:rsidRPr="001F53BB" w:rsidRDefault="001F53BB" w:rsidP="00E6077C">
      <w:pPr>
        <w:numPr>
          <w:ilvl w:val="0"/>
          <w:numId w:val="1"/>
        </w:numPr>
        <w:spacing w:line="280" w:lineRule="exact"/>
        <w:rPr>
          <w:sz w:val="22"/>
        </w:rPr>
      </w:pPr>
      <w:r w:rsidRPr="001F53BB">
        <w:rPr>
          <w:sz w:val="22"/>
        </w:rPr>
        <w:t xml:space="preserve">Nice short review suitable for publication. Just a minor comment: In P. 15 the authors can add that although </w:t>
      </w:r>
      <w:proofErr w:type="spellStart"/>
      <w:r w:rsidRPr="001F53BB">
        <w:rPr>
          <w:sz w:val="22"/>
        </w:rPr>
        <w:t>bardoxolone</w:t>
      </w:r>
      <w:proofErr w:type="spellEnd"/>
      <w:r w:rsidRPr="001F53BB">
        <w:rPr>
          <w:sz w:val="22"/>
        </w:rPr>
        <w:t xml:space="preserve"> may attenuate T-cell ageing in ESRD patients, its clinical use is restricted due to cardiovascular side effects (Beacon Trial)</w:t>
      </w:r>
    </w:p>
    <w:p w:rsidR="00B058EA" w:rsidRDefault="001F53BB" w:rsidP="00E6077C">
      <w:pPr>
        <w:spacing w:line="280" w:lineRule="exact"/>
        <w:ind w:left="360"/>
        <w:rPr>
          <w:rFonts w:ascii="Book Antiqua" w:hAnsi="Book Antiqua" w:cs="Arial"/>
          <w:i/>
          <w:sz w:val="22"/>
          <w:szCs w:val="21"/>
        </w:rPr>
      </w:pPr>
      <w:r>
        <w:rPr>
          <w:rFonts w:ascii="Book Antiqua" w:hAnsi="Book Antiqua" w:cs="Arial"/>
          <w:sz w:val="22"/>
          <w:szCs w:val="21"/>
        </w:rPr>
        <w:t xml:space="preserve">-  </w:t>
      </w:r>
      <w:r w:rsidR="00C23EEF">
        <w:rPr>
          <w:rFonts w:ascii="Book Antiqua" w:hAnsi="Book Antiqua" w:cs="Arial"/>
          <w:i/>
          <w:sz w:val="22"/>
          <w:szCs w:val="21"/>
        </w:rPr>
        <w:t>This information has been added</w:t>
      </w:r>
      <w:r>
        <w:rPr>
          <w:rFonts w:ascii="Book Antiqua" w:hAnsi="Book Antiqua" w:cs="Arial"/>
          <w:i/>
          <w:sz w:val="22"/>
          <w:szCs w:val="21"/>
        </w:rPr>
        <w:t xml:space="preserve"> in the manuscript</w:t>
      </w:r>
      <w:r w:rsidR="00C23EEF">
        <w:rPr>
          <w:rFonts w:ascii="Book Antiqua" w:hAnsi="Book Antiqua" w:cs="Arial"/>
          <w:i/>
          <w:sz w:val="22"/>
          <w:szCs w:val="21"/>
        </w:rPr>
        <w:t xml:space="preserve"> (highlighted on P.15)</w:t>
      </w:r>
      <w:r>
        <w:rPr>
          <w:rFonts w:ascii="Book Antiqua" w:hAnsi="Book Antiqua" w:cs="Arial"/>
          <w:i/>
          <w:sz w:val="22"/>
          <w:szCs w:val="21"/>
        </w:rPr>
        <w:t xml:space="preserve"> and </w:t>
      </w:r>
      <w:r w:rsidR="00B058EA">
        <w:rPr>
          <w:rFonts w:ascii="Book Antiqua" w:hAnsi="Book Antiqua" w:cs="Arial"/>
          <w:i/>
          <w:sz w:val="22"/>
          <w:szCs w:val="21"/>
        </w:rPr>
        <w:t xml:space="preserve">the </w:t>
      </w:r>
      <w:r>
        <w:rPr>
          <w:rFonts w:ascii="Book Antiqua" w:hAnsi="Book Antiqua" w:cs="Arial"/>
          <w:i/>
          <w:sz w:val="22"/>
          <w:szCs w:val="21"/>
        </w:rPr>
        <w:t>refere</w:t>
      </w:r>
      <w:r w:rsidR="00B058EA">
        <w:rPr>
          <w:rFonts w:ascii="Book Antiqua" w:hAnsi="Book Antiqua" w:cs="Arial"/>
          <w:i/>
          <w:sz w:val="22"/>
          <w:szCs w:val="21"/>
        </w:rPr>
        <w:t>nce</w:t>
      </w:r>
      <w:r>
        <w:rPr>
          <w:rFonts w:ascii="Book Antiqua" w:hAnsi="Book Antiqua" w:cs="Arial"/>
          <w:i/>
          <w:sz w:val="22"/>
          <w:szCs w:val="21"/>
        </w:rPr>
        <w:t xml:space="preserve"> to the </w:t>
      </w:r>
      <w:r w:rsidR="00B058EA">
        <w:rPr>
          <w:rFonts w:ascii="Book Antiqua" w:hAnsi="Book Antiqua" w:cs="Arial"/>
          <w:i/>
          <w:sz w:val="22"/>
          <w:szCs w:val="21"/>
        </w:rPr>
        <w:t xml:space="preserve"> </w:t>
      </w:r>
    </w:p>
    <w:p w:rsidR="001F53BB" w:rsidRPr="001F53BB" w:rsidRDefault="00B058EA" w:rsidP="00E6077C">
      <w:pPr>
        <w:spacing w:line="280" w:lineRule="exact"/>
        <w:ind w:left="360"/>
        <w:rPr>
          <w:rFonts w:ascii="Book Antiqua" w:hAnsi="Book Antiqua" w:cs="Arial"/>
          <w:i/>
          <w:sz w:val="22"/>
          <w:szCs w:val="21"/>
        </w:rPr>
      </w:pPr>
      <w:r>
        <w:rPr>
          <w:rFonts w:ascii="Book Antiqua" w:hAnsi="Book Antiqua" w:cs="Arial"/>
          <w:i/>
          <w:sz w:val="22"/>
          <w:szCs w:val="21"/>
        </w:rPr>
        <w:t xml:space="preserve">   </w:t>
      </w:r>
      <w:r w:rsidR="001F53BB">
        <w:rPr>
          <w:rFonts w:ascii="Book Antiqua" w:hAnsi="Book Antiqua" w:cs="Arial"/>
          <w:i/>
          <w:sz w:val="22"/>
          <w:szCs w:val="21"/>
        </w:rPr>
        <w:t>Beacon</w:t>
      </w:r>
      <w:r w:rsidR="0091718A">
        <w:rPr>
          <w:rFonts w:ascii="Book Antiqua" w:hAnsi="Book Antiqua" w:cs="Arial"/>
          <w:i/>
          <w:sz w:val="22"/>
          <w:szCs w:val="21"/>
        </w:rPr>
        <w:t xml:space="preserve"> </w:t>
      </w:r>
      <w:r w:rsidR="001F53BB">
        <w:rPr>
          <w:rFonts w:ascii="Book Antiqua" w:hAnsi="Book Antiqua" w:cs="Arial"/>
          <w:i/>
          <w:sz w:val="22"/>
          <w:szCs w:val="21"/>
        </w:rPr>
        <w:t>Trail</w:t>
      </w:r>
      <w:r>
        <w:rPr>
          <w:rFonts w:ascii="Book Antiqua" w:hAnsi="Book Antiqua" w:cs="Arial"/>
          <w:i/>
          <w:sz w:val="22"/>
          <w:szCs w:val="21"/>
        </w:rPr>
        <w:t xml:space="preserve"> is included</w:t>
      </w:r>
      <w:r w:rsidR="001F53BB">
        <w:rPr>
          <w:rFonts w:ascii="Book Antiqua" w:hAnsi="Book Antiqua" w:cs="Arial"/>
          <w:i/>
          <w:sz w:val="22"/>
          <w:szCs w:val="21"/>
        </w:rPr>
        <w:t xml:space="preserve">. </w:t>
      </w:r>
    </w:p>
    <w:p w:rsidR="004271D8" w:rsidRPr="00086848" w:rsidRDefault="004271D8" w:rsidP="00E6077C">
      <w:pPr>
        <w:spacing w:line="280" w:lineRule="exact"/>
        <w:rPr>
          <w:rFonts w:ascii="Book Antiqua" w:hAnsi="Book Antiqua" w:cs="Arial"/>
          <w:spacing w:val="-10"/>
          <w:sz w:val="22"/>
          <w:szCs w:val="21"/>
        </w:rPr>
      </w:pPr>
    </w:p>
    <w:p w:rsidR="001F53BB" w:rsidRDefault="001F53BB" w:rsidP="00E6077C">
      <w:pPr>
        <w:spacing w:line="280" w:lineRule="exact"/>
        <w:rPr>
          <w:rFonts w:ascii="Book Antiqua" w:hAnsi="Book Antiqua" w:cs="Arial"/>
          <w:spacing w:val="-10"/>
          <w:sz w:val="22"/>
          <w:szCs w:val="21"/>
        </w:rPr>
      </w:pPr>
    </w:p>
    <w:p w:rsidR="001F53BB" w:rsidRPr="00656838" w:rsidRDefault="0096787D" w:rsidP="00E6077C">
      <w:pPr>
        <w:spacing w:line="280" w:lineRule="exact"/>
        <w:rPr>
          <w:rFonts w:ascii="Book Antiqua" w:hAnsi="Book Antiqua" w:cs="Arial"/>
          <w:sz w:val="22"/>
          <w:szCs w:val="20"/>
        </w:rPr>
      </w:pPr>
      <w:r>
        <w:rPr>
          <w:rFonts w:ascii="Book Antiqua" w:hAnsi="Book Antiqua" w:cs="Arial"/>
          <w:sz w:val="22"/>
          <w:szCs w:val="20"/>
        </w:rPr>
        <w:br w:type="page"/>
      </w:r>
      <w:r w:rsidR="001F53BB" w:rsidRPr="00656838">
        <w:rPr>
          <w:rFonts w:ascii="Book Antiqua" w:hAnsi="Book Antiqua" w:cs="Arial"/>
          <w:sz w:val="22"/>
          <w:szCs w:val="20"/>
        </w:rPr>
        <w:lastRenderedPageBreak/>
        <w:t>Reviewer 2:</w:t>
      </w:r>
    </w:p>
    <w:p w:rsidR="001F53BB" w:rsidRPr="00656838" w:rsidRDefault="001F53BB" w:rsidP="00E6077C">
      <w:pPr>
        <w:spacing w:line="280" w:lineRule="exact"/>
        <w:rPr>
          <w:rFonts w:ascii="Book Antiqua" w:hAnsi="Book Antiqua" w:cs="Arial"/>
          <w:spacing w:val="-10"/>
          <w:sz w:val="22"/>
          <w:szCs w:val="20"/>
        </w:rPr>
      </w:pPr>
    </w:p>
    <w:p w:rsidR="00124365" w:rsidRPr="00656838" w:rsidRDefault="00124365" w:rsidP="00E6077C">
      <w:pPr>
        <w:rPr>
          <w:rFonts w:ascii="Book Antiqua" w:hAnsi="Book Antiqua"/>
          <w:b/>
          <w:sz w:val="22"/>
          <w:szCs w:val="20"/>
        </w:rPr>
      </w:pPr>
      <w:r w:rsidRPr="00656838">
        <w:rPr>
          <w:rFonts w:ascii="Book Antiqua" w:hAnsi="Book Antiqua"/>
          <w:b/>
          <w:sz w:val="22"/>
          <w:szCs w:val="20"/>
        </w:rPr>
        <w:t>GENERAL COMMENTS</w:t>
      </w:r>
    </w:p>
    <w:p w:rsidR="00CC2DC8" w:rsidRPr="00656838" w:rsidRDefault="00124365" w:rsidP="00E6077C">
      <w:pPr>
        <w:pStyle w:val="NoSpacing"/>
        <w:numPr>
          <w:ilvl w:val="0"/>
          <w:numId w:val="3"/>
        </w:numPr>
        <w:jc w:val="both"/>
        <w:rPr>
          <w:rFonts w:ascii="Book Antiqua" w:hAnsi="Book Antiqua"/>
          <w:szCs w:val="20"/>
        </w:rPr>
      </w:pPr>
      <w:r w:rsidRPr="00656838">
        <w:rPr>
          <w:rFonts w:ascii="Book Antiqua" w:hAnsi="Book Antiqua"/>
          <w:szCs w:val="20"/>
        </w:rPr>
        <w:t>To apply the assessment of T cell age in renal transplantation with treatment of immunosuppressant, the relation between the age of T cell and immune rejection should be evaluated. How can you determine the dose amount of immunosuppressant on the age of T cell when you transplant the kidney to patient?</w:t>
      </w:r>
    </w:p>
    <w:p w:rsidR="006B27D4" w:rsidRDefault="00CC2DC8" w:rsidP="00E6077C">
      <w:pPr>
        <w:pStyle w:val="NoSpacing"/>
        <w:ind w:left="420"/>
        <w:jc w:val="both"/>
        <w:rPr>
          <w:rFonts w:ascii="Book Antiqua" w:hAnsi="Book Antiqua"/>
          <w:i/>
        </w:rPr>
      </w:pPr>
      <w:r w:rsidRPr="00656838">
        <w:t xml:space="preserve">- </w:t>
      </w:r>
      <w:r w:rsidR="00124365" w:rsidRPr="00656838">
        <w:t xml:space="preserve"> </w:t>
      </w:r>
      <w:r w:rsidR="000A3C0D" w:rsidRPr="006A097C">
        <w:rPr>
          <w:rFonts w:ascii="Book Antiqua" w:hAnsi="Book Antiqua"/>
          <w:i/>
        </w:rPr>
        <w:t xml:space="preserve">Our current research is focusing on T-cell ageing </w:t>
      </w:r>
      <w:r w:rsidR="00C42EAD" w:rsidRPr="006A097C">
        <w:rPr>
          <w:rFonts w:ascii="Book Antiqua" w:hAnsi="Book Antiqua"/>
          <w:i/>
        </w:rPr>
        <w:t>parameters</w:t>
      </w:r>
      <w:r w:rsidR="000A3C0D" w:rsidRPr="006A097C">
        <w:rPr>
          <w:rFonts w:ascii="Book Antiqua" w:hAnsi="Book Antiqua"/>
          <w:i/>
        </w:rPr>
        <w:t xml:space="preserve"> prior to </w:t>
      </w:r>
      <w:r w:rsidR="006B27D4">
        <w:rPr>
          <w:rFonts w:ascii="Book Antiqua" w:hAnsi="Book Antiqua"/>
          <w:i/>
        </w:rPr>
        <w:t>kidney transplantation (</w:t>
      </w:r>
      <w:proofErr w:type="spellStart"/>
      <w:r w:rsidR="000A3C0D" w:rsidRPr="006A097C">
        <w:rPr>
          <w:rFonts w:ascii="Book Antiqua" w:hAnsi="Book Antiqua"/>
          <w:i/>
        </w:rPr>
        <w:t>KTx</w:t>
      </w:r>
      <w:proofErr w:type="spellEnd"/>
      <w:r w:rsidR="006B27D4">
        <w:rPr>
          <w:rFonts w:ascii="Book Antiqua" w:hAnsi="Book Antiqua"/>
          <w:i/>
        </w:rPr>
        <w:t>)</w:t>
      </w:r>
    </w:p>
    <w:p w:rsidR="006B27D4" w:rsidRDefault="006B27D4" w:rsidP="006B27D4">
      <w:pPr>
        <w:pStyle w:val="NoSpacing"/>
        <w:ind w:left="420"/>
        <w:jc w:val="both"/>
        <w:rPr>
          <w:rFonts w:ascii="Book Antiqua" w:hAnsi="Book Antiqua"/>
          <w:i/>
        </w:rPr>
      </w:pPr>
      <w:r>
        <w:rPr>
          <w:rFonts w:ascii="Book Antiqua" w:hAnsi="Book Antiqua"/>
          <w:i/>
        </w:rPr>
        <w:t xml:space="preserve">   </w:t>
      </w:r>
      <w:r w:rsidR="000A3C0D" w:rsidRPr="006A097C">
        <w:rPr>
          <w:rFonts w:ascii="Book Antiqua" w:hAnsi="Book Antiqua"/>
          <w:i/>
        </w:rPr>
        <w:t xml:space="preserve">and the risk for acute rejection afterwards. </w:t>
      </w:r>
      <w:r w:rsidR="006A097C" w:rsidRPr="006A097C">
        <w:rPr>
          <w:rFonts w:ascii="Book Antiqua" w:hAnsi="Book Antiqua"/>
          <w:i/>
        </w:rPr>
        <w:t xml:space="preserve">These data have not </w:t>
      </w:r>
      <w:r w:rsidR="0096787D">
        <w:rPr>
          <w:rFonts w:ascii="Book Antiqua" w:hAnsi="Book Antiqua"/>
          <w:i/>
        </w:rPr>
        <w:t xml:space="preserve">been </w:t>
      </w:r>
      <w:r w:rsidR="006A097C" w:rsidRPr="006A097C">
        <w:rPr>
          <w:rFonts w:ascii="Book Antiqua" w:hAnsi="Book Antiqua"/>
          <w:i/>
        </w:rPr>
        <w:t xml:space="preserve">published yet. </w:t>
      </w:r>
      <w:r w:rsidR="00D95C15">
        <w:rPr>
          <w:rFonts w:ascii="Book Antiqua" w:hAnsi="Book Antiqua"/>
          <w:i/>
        </w:rPr>
        <w:t>However, more</w:t>
      </w:r>
      <w:r>
        <w:rPr>
          <w:rFonts w:ascii="Book Antiqua" w:hAnsi="Book Antiqua"/>
          <w:i/>
        </w:rPr>
        <w:br/>
        <w:t xml:space="preserve">  </w:t>
      </w:r>
      <w:r w:rsidR="00D95C15">
        <w:rPr>
          <w:rFonts w:ascii="Book Antiqua" w:hAnsi="Book Antiqua"/>
          <w:i/>
        </w:rPr>
        <w:t xml:space="preserve"> research is necessary </w:t>
      </w:r>
      <w:r>
        <w:rPr>
          <w:rFonts w:ascii="Book Antiqua" w:hAnsi="Book Antiqua"/>
          <w:i/>
        </w:rPr>
        <w:t xml:space="preserve">with respect to </w:t>
      </w:r>
      <w:r w:rsidR="00D95C15">
        <w:rPr>
          <w:rFonts w:ascii="Book Antiqua" w:hAnsi="Book Antiqua"/>
          <w:i/>
        </w:rPr>
        <w:t>how a</w:t>
      </w:r>
      <w:r w:rsidR="0096787D">
        <w:rPr>
          <w:rFonts w:ascii="Book Antiqua" w:hAnsi="Book Antiqua"/>
          <w:i/>
        </w:rPr>
        <w:t>ssessment of T-cell ageing parameters prior to</w:t>
      </w:r>
      <w:r>
        <w:rPr>
          <w:rFonts w:ascii="Book Antiqua" w:hAnsi="Book Antiqua"/>
          <w:i/>
        </w:rPr>
        <w:t xml:space="preserve"> </w:t>
      </w:r>
      <w:proofErr w:type="spellStart"/>
      <w:r>
        <w:rPr>
          <w:rFonts w:ascii="Book Antiqua" w:hAnsi="Book Antiqua"/>
          <w:i/>
        </w:rPr>
        <w:t>KTx</w:t>
      </w:r>
      <w:proofErr w:type="spellEnd"/>
      <w:r w:rsidR="0096787D">
        <w:rPr>
          <w:rFonts w:ascii="Book Antiqua" w:hAnsi="Book Antiqua"/>
          <w:i/>
        </w:rPr>
        <w:t xml:space="preserve"> might</w:t>
      </w:r>
    </w:p>
    <w:p w:rsidR="0096787D" w:rsidRDefault="006B27D4" w:rsidP="00F30087">
      <w:pPr>
        <w:pStyle w:val="NoSpacing"/>
        <w:ind w:left="420"/>
        <w:jc w:val="both"/>
        <w:rPr>
          <w:rFonts w:ascii="Book Antiqua" w:hAnsi="Book Antiqua"/>
          <w:i/>
        </w:rPr>
      </w:pPr>
      <w:r>
        <w:rPr>
          <w:rFonts w:ascii="Book Antiqua" w:hAnsi="Book Antiqua"/>
          <w:i/>
        </w:rPr>
        <w:t xml:space="preserve"> </w:t>
      </w:r>
      <w:r w:rsidR="0096787D">
        <w:rPr>
          <w:rFonts w:ascii="Book Antiqua" w:hAnsi="Book Antiqua"/>
          <w:i/>
        </w:rPr>
        <w:t xml:space="preserve"> </w:t>
      </w:r>
      <w:r>
        <w:rPr>
          <w:rFonts w:ascii="Book Antiqua" w:hAnsi="Book Antiqua"/>
          <w:i/>
        </w:rPr>
        <w:t xml:space="preserve"> </w:t>
      </w:r>
      <w:r w:rsidR="0096787D">
        <w:rPr>
          <w:rFonts w:ascii="Book Antiqua" w:hAnsi="Book Antiqua"/>
          <w:i/>
        </w:rPr>
        <w:t>contribute to dose adjustment of immunosuppressive therapy post-</w:t>
      </w:r>
      <w:proofErr w:type="spellStart"/>
      <w:r w:rsidR="0096787D">
        <w:rPr>
          <w:rFonts w:ascii="Book Antiqua" w:hAnsi="Book Antiqua"/>
          <w:i/>
        </w:rPr>
        <w:t>KTx</w:t>
      </w:r>
      <w:proofErr w:type="spellEnd"/>
      <w:r w:rsidR="0096787D">
        <w:rPr>
          <w:rFonts w:ascii="Book Antiqua" w:hAnsi="Book Antiqua"/>
          <w:i/>
        </w:rPr>
        <w:t xml:space="preserve">. </w:t>
      </w:r>
    </w:p>
    <w:p w:rsidR="00D95C15" w:rsidRPr="00D95C15" w:rsidRDefault="00D95C15" w:rsidP="00D95C15">
      <w:pPr>
        <w:rPr>
          <w:lang w:eastAsia="en-US"/>
        </w:rPr>
      </w:pPr>
    </w:p>
    <w:p w:rsidR="00124365" w:rsidRDefault="00124365" w:rsidP="00E6077C">
      <w:pPr>
        <w:pStyle w:val="NoSpacing"/>
        <w:numPr>
          <w:ilvl w:val="0"/>
          <w:numId w:val="3"/>
        </w:numPr>
        <w:jc w:val="both"/>
        <w:rPr>
          <w:rFonts w:ascii="Book Antiqua" w:hAnsi="Book Antiqua"/>
          <w:szCs w:val="20"/>
        </w:rPr>
      </w:pPr>
      <w:r w:rsidRPr="00656838">
        <w:rPr>
          <w:rFonts w:ascii="Book Antiqua" w:hAnsi="Book Antiqua"/>
          <w:szCs w:val="20"/>
        </w:rPr>
        <w:t xml:space="preserve">ESRD patient can be susceptible for infection based on your explanation of T cell aging. However there was no mentation on the immunological strategy for overcoming the infection. </w:t>
      </w:r>
    </w:p>
    <w:p w:rsidR="00981FF0" w:rsidRDefault="0096787D" w:rsidP="00E6077C">
      <w:pPr>
        <w:pStyle w:val="NoSpacing"/>
        <w:numPr>
          <w:ilvl w:val="0"/>
          <w:numId w:val="10"/>
        </w:numPr>
        <w:jc w:val="both"/>
        <w:rPr>
          <w:rFonts w:ascii="Book Antiqua" w:hAnsi="Book Antiqua"/>
          <w:i/>
        </w:rPr>
      </w:pPr>
      <w:r w:rsidRPr="0096787D">
        <w:rPr>
          <w:rFonts w:ascii="Book Antiqua" w:hAnsi="Book Antiqua"/>
          <w:i/>
        </w:rPr>
        <w:t xml:space="preserve">As written in the manuscript, </w:t>
      </w:r>
      <w:r w:rsidR="00357F2A">
        <w:rPr>
          <w:rFonts w:ascii="Book Antiqua" w:hAnsi="Book Antiqua"/>
          <w:i/>
        </w:rPr>
        <w:t>the prematurely aged</w:t>
      </w:r>
      <w:r w:rsidRPr="0096787D">
        <w:rPr>
          <w:rFonts w:ascii="Book Antiqua" w:hAnsi="Book Antiqua"/>
          <w:i/>
        </w:rPr>
        <w:t xml:space="preserve"> T-cell system</w:t>
      </w:r>
      <w:r w:rsidR="00357F2A">
        <w:rPr>
          <w:rFonts w:ascii="Book Antiqua" w:hAnsi="Book Antiqua"/>
          <w:i/>
        </w:rPr>
        <w:t xml:space="preserve"> in end-stage renal disease patients</w:t>
      </w:r>
      <w:r w:rsidRPr="0096787D">
        <w:rPr>
          <w:rFonts w:ascii="Book Antiqua" w:hAnsi="Book Antiqua"/>
          <w:i/>
        </w:rPr>
        <w:t xml:space="preserve"> caused by </w:t>
      </w:r>
      <w:r w:rsidR="00357F2A">
        <w:rPr>
          <w:rFonts w:ascii="Book Antiqua" w:hAnsi="Book Antiqua"/>
          <w:i/>
        </w:rPr>
        <w:t>uremia</w:t>
      </w:r>
      <w:r w:rsidRPr="0096787D">
        <w:rPr>
          <w:rFonts w:ascii="Book Antiqua" w:hAnsi="Book Antiqua"/>
          <w:i/>
        </w:rPr>
        <w:t xml:space="preserve"> increases the risk for infections. Rejuvenation of the T-cell system </w:t>
      </w:r>
      <w:r w:rsidR="00357F2A">
        <w:rPr>
          <w:rFonts w:ascii="Book Antiqua" w:hAnsi="Book Antiqua"/>
          <w:i/>
        </w:rPr>
        <w:t xml:space="preserve">using </w:t>
      </w:r>
      <w:r w:rsidRPr="0096787D">
        <w:rPr>
          <w:rFonts w:ascii="Book Antiqua" w:hAnsi="Book Antiqua"/>
          <w:i/>
        </w:rPr>
        <w:t xml:space="preserve">IL-7 therapy to improve numbers of naïve T cells </w:t>
      </w:r>
      <w:r w:rsidR="00357F2A">
        <w:rPr>
          <w:rFonts w:ascii="Book Antiqua" w:hAnsi="Book Antiqua"/>
          <w:i/>
        </w:rPr>
        <w:t xml:space="preserve">and increase the T cell receptor diversity (enhancing the fitness of the immune system) </w:t>
      </w:r>
      <w:r w:rsidRPr="0096787D">
        <w:rPr>
          <w:rFonts w:ascii="Book Antiqua" w:hAnsi="Book Antiqua"/>
          <w:i/>
        </w:rPr>
        <w:t xml:space="preserve">might decrease the risk for infections. This is mentioned in the text </w:t>
      </w:r>
      <w:r w:rsidR="00357F2A">
        <w:rPr>
          <w:rFonts w:ascii="Book Antiqua" w:hAnsi="Book Antiqua"/>
          <w:i/>
        </w:rPr>
        <w:t>on</w:t>
      </w:r>
      <w:r w:rsidRPr="0096787D">
        <w:rPr>
          <w:rFonts w:ascii="Book Antiqua" w:hAnsi="Book Antiqua"/>
          <w:i/>
        </w:rPr>
        <w:t xml:space="preserve"> P.15.  </w:t>
      </w:r>
      <w:r w:rsidRPr="0096787D">
        <w:rPr>
          <w:rFonts w:ascii="Book Antiqua" w:hAnsi="Book Antiqua"/>
          <w:i/>
        </w:rPr>
        <w:br/>
      </w:r>
      <w:r w:rsidR="00D95C15">
        <w:rPr>
          <w:rFonts w:ascii="Book Antiqua" w:hAnsi="Book Antiqua"/>
          <w:i/>
        </w:rPr>
        <w:t>After transplantation,</w:t>
      </w:r>
      <w:r w:rsidRPr="0096787D">
        <w:rPr>
          <w:rFonts w:ascii="Book Antiqua" w:hAnsi="Book Antiqua"/>
          <w:i/>
        </w:rPr>
        <w:t xml:space="preserve"> o</w:t>
      </w:r>
      <w:r w:rsidR="00C42EAD" w:rsidRPr="0096787D">
        <w:rPr>
          <w:rFonts w:ascii="Book Antiqua" w:hAnsi="Book Antiqua"/>
          <w:i/>
        </w:rPr>
        <w:t xml:space="preserve">ver-immunosuppression </w:t>
      </w:r>
      <w:r w:rsidR="00357F2A">
        <w:rPr>
          <w:rFonts w:ascii="Book Antiqua" w:hAnsi="Book Antiqua"/>
          <w:i/>
        </w:rPr>
        <w:t>introduces an additional</w:t>
      </w:r>
      <w:r w:rsidR="00C42EAD" w:rsidRPr="0096787D">
        <w:rPr>
          <w:rFonts w:ascii="Book Antiqua" w:hAnsi="Book Antiqua"/>
          <w:i/>
        </w:rPr>
        <w:t xml:space="preserve"> risk for infections. </w:t>
      </w:r>
      <w:r w:rsidR="00912302" w:rsidRPr="0096787D">
        <w:rPr>
          <w:rFonts w:ascii="Book Antiqua" w:hAnsi="Book Antiqua"/>
          <w:i/>
        </w:rPr>
        <w:t xml:space="preserve">Assessing an immunological age might prevent over-immunosuppression and </w:t>
      </w:r>
      <w:r w:rsidR="0075748C">
        <w:rPr>
          <w:rFonts w:ascii="Book Antiqua" w:hAnsi="Book Antiqua"/>
          <w:i/>
        </w:rPr>
        <w:t xml:space="preserve">thereby </w:t>
      </w:r>
      <w:r w:rsidR="00912302" w:rsidRPr="0096787D">
        <w:rPr>
          <w:rFonts w:ascii="Book Antiqua" w:hAnsi="Book Antiqua"/>
          <w:i/>
        </w:rPr>
        <w:t>indirect de</w:t>
      </w:r>
      <w:r w:rsidR="0075748C">
        <w:rPr>
          <w:rFonts w:ascii="Book Antiqua" w:hAnsi="Book Antiqua"/>
          <w:i/>
        </w:rPr>
        <w:t>crease</w:t>
      </w:r>
      <w:r w:rsidR="00912302" w:rsidRPr="0096787D">
        <w:rPr>
          <w:rFonts w:ascii="Book Antiqua" w:hAnsi="Book Antiqua"/>
          <w:i/>
        </w:rPr>
        <w:t xml:space="preserve"> the risk for infections. </w:t>
      </w:r>
    </w:p>
    <w:p w:rsidR="0096787D" w:rsidRPr="0096787D" w:rsidRDefault="0096787D" w:rsidP="0096787D">
      <w:pPr>
        <w:rPr>
          <w:lang w:eastAsia="en-US"/>
        </w:rPr>
      </w:pPr>
    </w:p>
    <w:p w:rsidR="00124365" w:rsidRPr="00656838" w:rsidRDefault="00124365" w:rsidP="00E6077C">
      <w:pPr>
        <w:pStyle w:val="NoSpacing"/>
        <w:numPr>
          <w:ilvl w:val="0"/>
          <w:numId w:val="3"/>
        </w:numPr>
        <w:jc w:val="both"/>
        <w:rPr>
          <w:rFonts w:ascii="Book Antiqua" w:hAnsi="Book Antiqua"/>
          <w:szCs w:val="20"/>
        </w:rPr>
      </w:pPr>
      <w:r w:rsidRPr="00656838">
        <w:rPr>
          <w:rFonts w:ascii="Book Antiqua" w:hAnsi="Book Antiqua"/>
          <w:szCs w:val="20"/>
        </w:rPr>
        <w:t>T cell ageing can be the important role on transplantation in ESRD patient for the reducing immunosuppressant. However, there are another immune cell such as B cell, macrophage and dendritic cell. So, the explanation of effect or role of these immune cells is required in ESRD patient. Furthermore, the explanation of effect or role of these immune cells in ESRD patient with T cell aging is required.</w:t>
      </w:r>
    </w:p>
    <w:p w:rsidR="00F4483F" w:rsidRDefault="00F4483F" w:rsidP="007B1786">
      <w:pPr>
        <w:pStyle w:val="Pa21"/>
        <w:numPr>
          <w:ilvl w:val="0"/>
          <w:numId w:val="10"/>
        </w:numPr>
        <w:jc w:val="both"/>
        <w:rPr>
          <w:rFonts w:ascii="Book Antiqua" w:hAnsi="Book Antiqua"/>
          <w:i/>
          <w:sz w:val="22"/>
          <w:szCs w:val="20"/>
        </w:rPr>
      </w:pPr>
      <w:r>
        <w:rPr>
          <w:rFonts w:ascii="Book Antiqua" w:hAnsi="Book Antiqua"/>
          <w:i/>
          <w:sz w:val="22"/>
          <w:szCs w:val="20"/>
        </w:rPr>
        <w:t>As written in the introduction</w:t>
      </w:r>
      <w:r w:rsidR="007B1786">
        <w:rPr>
          <w:rFonts w:ascii="Book Antiqua" w:hAnsi="Book Antiqua"/>
          <w:i/>
          <w:sz w:val="22"/>
          <w:szCs w:val="20"/>
        </w:rPr>
        <w:t xml:space="preserve">, uremia-associated ageing does not only affect the T-cell </w:t>
      </w:r>
      <w:r w:rsidR="0075748C">
        <w:rPr>
          <w:rFonts w:ascii="Book Antiqua" w:hAnsi="Book Antiqua"/>
          <w:i/>
          <w:sz w:val="22"/>
          <w:szCs w:val="20"/>
        </w:rPr>
        <w:t>compartment</w:t>
      </w:r>
      <w:r w:rsidR="007B1786">
        <w:rPr>
          <w:rFonts w:ascii="Book Antiqua" w:hAnsi="Book Antiqua"/>
          <w:i/>
          <w:sz w:val="22"/>
          <w:szCs w:val="20"/>
        </w:rPr>
        <w:t xml:space="preserve"> but also other immune cells. For instance patients have reduced numbers of dendritic cells which have a decreased antigen presentation</w:t>
      </w:r>
      <w:r w:rsidR="0075748C">
        <w:rPr>
          <w:rFonts w:ascii="Book Antiqua" w:hAnsi="Book Antiqua"/>
          <w:i/>
          <w:sz w:val="22"/>
          <w:szCs w:val="20"/>
        </w:rPr>
        <w:t xml:space="preserve"> capacity</w:t>
      </w:r>
      <w:r w:rsidR="007B1786">
        <w:rPr>
          <w:rFonts w:ascii="Book Antiqua" w:hAnsi="Book Antiqua"/>
          <w:i/>
          <w:sz w:val="22"/>
          <w:szCs w:val="20"/>
        </w:rPr>
        <w:t>. The n</w:t>
      </w:r>
      <w:r w:rsidR="00D95C15">
        <w:rPr>
          <w:rFonts w:ascii="Book Antiqua" w:hAnsi="Book Antiqua"/>
          <w:i/>
          <w:sz w:val="22"/>
          <w:szCs w:val="20"/>
        </w:rPr>
        <w:t xml:space="preserve">umber of macrophages </w:t>
      </w:r>
      <w:r w:rsidR="00D95C15" w:rsidRPr="00F30087">
        <w:rPr>
          <w:rFonts w:ascii="Book Antiqua" w:hAnsi="Book Antiqua"/>
          <w:i/>
          <w:sz w:val="22"/>
          <w:szCs w:val="20"/>
        </w:rPr>
        <w:t xml:space="preserve">is higher </w:t>
      </w:r>
      <w:r w:rsidR="0075748C" w:rsidRPr="00F30087">
        <w:rPr>
          <w:rFonts w:ascii="Book Antiqua" w:hAnsi="Book Antiqua"/>
          <w:i/>
          <w:sz w:val="22"/>
          <w:szCs w:val="20"/>
        </w:rPr>
        <w:t xml:space="preserve">but their capacity to </w:t>
      </w:r>
      <w:proofErr w:type="spellStart"/>
      <w:r w:rsidR="0075748C" w:rsidRPr="00F30087">
        <w:rPr>
          <w:rFonts w:ascii="Book Antiqua" w:hAnsi="Book Antiqua"/>
          <w:i/>
          <w:sz w:val="22"/>
          <w:szCs w:val="20"/>
        </w:rPr>
        <w:t>phagocytose</w:t>
      </w:r>
      <w:proofErr w:type="spellEnd"/>
      <w:r w:rsidR="0075748C" w:rsidRPr="00F30087">
        <w:rPr>
          <w:rFonts w:ascii="Book Antiqua" w:hAnsi="Book Antiqua"/>
          <w:i/>
          <w:sz w:val="22"/>
          <w:szCs w:val="20"/>
        </w:rPr>
        <w:t xml:space="preserve"> is decreased</w:t>
      </w:r>
      <w:r w:rsidR="007B1786" w:rsidRPr="00F30087">
        <w:rPr>
          <w:rFonts w:ascii="Book Antiqua" w:hAnsi="Book Antiqua"/>
          <w:i/>
          <w:sz w:val="22"/>
          <w:szCs w:val="20"/>
        </w:rPr>
        <w:t xml:space="preserve">. ESRD patients have </w:t>
      </w:r>
      <w:r w:rsidR="00D95C15" w:rsidRPr="00F30087">
        <w:rPr>
          <w:rFonts w:ascii="Book Antiqua" w:hAnsi="Book Antiqua"/>
          <w:i/>
          <w:sz w:val="22"/>
          <w:szCs w:val="20"/>
        </w:rPr>
        <w:t>reduced numbers</w:t>
      </w:r>
      <w:r w:rsidR="007B1786" w:rsidRPr="00F30087">
        <w:rPr>
          <w:rFonts w:ascii="Book Antiqua" w:hAnsi="Book Antiqua"/>
          <w:i/>
          <w:sz w:val="22"/>
          <w:szCs w:val="20"/>
        </w:rPr>
        <w:t xml:space="preserve"> of naïve and </w:t>
      </w:r>
      <w:r w:rsidR="007B1786" w:rsidRPr="00F30087">
        <w:rPr>
          <w:rFonts w:ascii="Book Antiqua" w:hAnsi="Book Antiqua"/>
          <w:i/>
          <w:sz w:val="22"/>
        </w:rPr>
        <w:t xml:space="preserve">memory B-cells </w:t>
      </w:r>
      <w:r w:rsidR="00B74783">
        <w:rPr>
          <w:rFonts w:ascii="Book Antiqua" w:hAnsi="Book Antiqua"/>
          <w:i/>
          <w:sz w:val="22"/>
          <w:szCs w:val="20"/>
        </w:rPr>
        <w:t xml:space="preserve">with </w:t>
      </w:r>
      <w:r w:rsidR="007B1786" w:rsidRPr="00F30087">
        <w:rPr>
          <w:rFonts w:ascii="Book Antiqua" w:hAnsi="Book Antiqua"/>
          <w:i/>
          <w:sz w:val="22"/>
          <w:szCs w:val="20"/>
        </w:rPr>
        <w:t xml:space="preserve">an increased </w:t>
      </w:r>
      <w:r w:rsidR="00B74783">
        <w:rPr>
          <w:rFonts w:ascii="Book Antiqua" w:hAnsi="Book Antiqua"/>
          <w:i/>
          <w:sz w:val="22"/>
          <w:szCs w:val="20"/>
        </w:rPr>
        <w:t xml:space="preserve">susceptibility for </w:t>
      </w:r>
      <w:r w:rsidR="007B1786" w:rsidRPr="00F30087">
        <w:rPr>
          <w:rFonts w:ascii="Book Antiqua" w:hAnsi="Book Antiqua"/>
          <w:i/>
          <w:sz w:val="22"/>
          <w:szCs w:val="20"/>
        </w:rPr>
        <w:t xml:space="preserve">apoptosis. </w:t>
      </w:r>
      <w:r w:rsidRPr="00F30087">
        <w:rPr>
          <w:rFonts w:ascii="Book Antiqua" w:hAnsi="Book Antiqua"/>
          <w:i/>
          <w:sz w:val="22"/>
          <w:szCs w:val="20"/>
        </w:rPr>
        <w:t>In this review</w:t>
      </w:r>
      <w:r w:rsidR="0075748C" w:rsidRPr="00F30087">
        <w:rPr>
          <w:rFonts w:ascii="Book Antiqua" w:hAnsi="Book Antiqua"/>
          <w:i/>
          <w:sz w:val="22"/>
          <w:szCs w:val="20"/>
        </w:rPr>
        <w:t>,</w:t>
      </w:r>
      <w:r w:rsidRPr="00F30087">
        <w:rPr>
          <w:rFonts w:ascii="Book Antiqua" w:hAnsi="Book Antiqua"/>
          <w:i/>
          <w:sz w:val="22"/>
          <w:szCs w:val="20"/>
        </w:rPr>
        <w:t xml:space="preserve"> </w:t>
      </w:r>
      <w:r w:rsidR="0075748C" w:rsidRPr="00F30087">
        <w:rPr>
          <w:rFonts w:ascii="Book Antiqua" w:hAnsi="Book Antiqua"/>
          <w:i/>
          <w:sz w:val="22"/>
          <w:szCs w:val="20"/>
        </w:rPr>
        <w:t>we focus on T cells</w:t>
      </w:r>
      <w:r w:rsidRPr="00F30087">
        <w:rPr>
          <w:rFonts w:ascii="Book Antiqua" w:hAnsi="Book Antiqua"/>
          <w:i/>
          <w:sz w:val="22"/>
          <w:szCs w:val="20"/>
        </w:rPr>
        <w:t xml:space="preserve"> in ESRD patients since </w:t>
      </w:r>
      <w:r w:rsidR="0075748C" w:rsidRPr="00F30087">
        <w:rPr>
          <w:rFonts w:ascii="Book Antiqua" w:hAnsi="Book Antiqua"/>
          <w:i/>
          <w:sz w:val="22"/>
          <w:szCs w:val="20"/>
        </w:rPr>
        <w:t>they</w:t>
      </w:r>
      <w:r w:rsidRPr="00F30087">
        <w:rPr>
          <w:rFonts w:ascii="Book Antiqua" w:hAnsi="Book Antiqua"/>
          <w:i/>
          <w:sz w:val="22"/>
          <w:szCs w:val="20"/>
        </w:rPr>
        <w:t xml:space="preserve"> play an important role in transplantation and many immunosuppressive therapies </w:t>
      </w:r>
      <w:r w:rsidR="0075748C">
        <w:rPr>
          <w:rFonts w:ascii="Book Antiqua" w:hAnsi="Book Antiqua"/>
          <w:i/>
          <w:sz w:val="22"/>
          <w:szCs w:val="20"/>
        </w:rPr>
        <w:t xml:space="preserve">affect T </w:t>
      </w:r>
      <w:r w:rsidRPr="00656838">
        <w:rPr>
          <w:rFonts w:ascii="Book Antiqua" w:hAnsi="Book Antiqua"/>
          <w:i/>
          <w:sz w:val="22"/>
          <w:szCs w:val="20"/>
        </w:rPr>
        <w:t>cell</w:t>
      </w:r>
      <w:r w:rsidR="0075748C">
        <w:rPr>
          <w:rFonts w:ascii="Book Antiqua" w:hAnsi="Book Antiqua"/>
          <w:i/>
          <w:sz w:val="22"/>
          <w:szCs w:val="20"/>
        </w:rPr>
        <w:t>s</w:t>
      </w:r>
      <w:r w:rsidRPr="00656838">
        <w:rPr>
          <w:rFonts w:ascii="Book Antiqua" w:hAnsi="Book Antiqua"/>
          <w:i/>
          <w:sz w:val="22"/>
          <w:szCs w:val="20"/>
        </w:rPr>
        <w:t>.</w:t>
      </w:r>
      <w:r w:rsidR="007B1786">
        <w:rPr>
          <w:rFonts w:ascii="Book Antiqua" w:hAnsi="Book Antiqua"/>
          <w:i/>
          <w:sz w:val="22"/>
          <w:szCs w:val="20"/>
        </w:rPr>
        <w:t xml:space="preserve"> In the manuscript we</w:t>
      </w:r>
      <w:r w:rsidR="0075748C">
        <w:rPr>
          <w:rFonts w:ascii="Book Antiqua" w:hAnsi="Book Antiqua"/>
          <w:i/>
          <w:sz w:val="22"/>
          <w:szCs w:val="20"/>
        </w:rPr>
        <w:t xml:space="preserve"> have now</w:t>
      </w:r>
      <w:r w:rsidR="007B1786">
        <w:rPr>
          <w:rFonts w:ascii="Book Antiqua" w:hAnsi="Book Antiqua"/>
          <w:i/>
          <w:sz w:val="22"/>
          <w:szCs w:val="20"/>
        </w:rPr>
        <w:t xml:space="preserve"> </w:t>
      </w:r>
      <w:r w:rsidR="0051115F">
        <w:rPr>
          <w:rFonts w:ascii="Book Antiqua" w:hAnsi="Book Antiqua"/>
          <w:i/>
          <w:sz w:val="22"/>
          <w:szCs w:val="20"/>
        </w:rPr>
        <w:t xml:space="preserve">added </w:t>
      </w:r>
      <w:r w:rsidR="0075748C">
        <w:rPr>
          <w:rFonts w:ascii="Book Antiqua" w:hAnsi="Book Antiqua"/>
          <w:i/>
          <w:sz w:val="22"/>
          <w:szCs w:val="20"/>
        </w:rPr>
        <w:t xml:space="preserve">additional </w:t>
      </w:r>
      <w:r w:rsidR="0051115F">
        <w:rPr>
          <w:rFonts w:ascii="Book Antiqua" w:hAnsi="Book Antiqua"/>
          <w:i/>
          <w:sz w:val="22"/>
          <w:szCs w:val="20"/>
        </w:rPr>
        <w:t xml:space="preserve">references </w:t>
      </w:r>
      <w:r w:rsidR="0075748C">
        <w:rPr>
          <w:rFonts w:ascii="Book Antiqua" w:hAnsi="Book Antiqua"/>
          <w:i/>
          <w:sz w:val="22"/>
          <w:szCs w:val="20"/>
        </w:rPr>
        <w:t xml:space="preserve">referring to studies describing effects of </w:t>
      </w:r>
      <w:r w:rsidR="0051115F">
        <w:rPr>
          <w:rFonts w:ascii="Book Antiqua" w:hAnsi="Book Antiqua"/>
          <w:i/>
          <w:sz w:val="22"/>
          <w:szCs w:val="20"/>
        </w:rPr>
        <w:t xml:space="preserve">uremia on different immune cells. </w:t>
      </w:r>
      <w:r w:rsidR="007B1786">
        <w:rPr>
          <w:rFonts w:ascii="Book Antiqua" w:hAnsi="Book Antiqua"/>
          <w:i/>
          <w:sz w:val="22"/>
          <w:szCs w:val="20"/>
        </w:rPr>
        <w:t xml:space="preserve"> </w:t>
      </w:r>
    </w:p>
    <w:p w:rsidR="00CC2DC8" w:rsidRPr="00656838" w:rsidRDefault="00CC2DC8" w:rsidP="00E6077C">
      <w:pPr>
        <w:rPr>
          <w:rFonts w:ascii="Book Antiqua" w:hAnsi="Book Antiqua"/>
          <w:sz w:val="22"/>
          <w:szCs w:val="20"/>
          <w:lang w:eastAsia="en-US"/>
        </w:rPr>
      </w:pPr>
    </w:p>
    <w:p w:rsidR="00124365" w:rsidRPr="00656838" w:rsidRDefault="00124365" w:rsidP="00E6077C">
      <w:pPr>
        <w:pStyle w:val="NoSpacing"/>
        <w:numPr>
          <w:ilvl w:val="0"/>
          <w:numId w:val="3"/>
        </w:numPr>
        <w:jc w:val="both"/>
        <w:rPr>
          <w:rFonts w:ascii="Book Antiqua" w:hAnsi="Book Antiqua"/>
          <w:szCs w:val="20"/>
        </w:rPr>
      </w:pPr>
      <w:r w:rsidRPr="00656838">
        <w:rPr>
          <w:rFonts w:ascii="Book Antiqua" w:hAnsi="Book Antiqua"/>
          <w:szCs w:val="20"/>
        </w:rPr>
        <w:t>In page 3, it would be better to describe the full words of the abbreviation, TREC. In page 8, what is EMRA? Please describe the details of EMRA and the full words of the abbreviation, EMRA. In page 15, treatment with IL- =&gt; IL-7 ?</w:t>
      </w:r>
    </w:p>
    <w:p w:rsidR="00F206C6" w:rsidRDefault="00656838" w:rsidP="00E6077C">
      <w:pPr>
        <w:pStyle w:val="NoSpacing"/>
        <w:numPr>
          <w:ilvl w:val="0"/>
          <w:numId w:val="8"/>
        </w:numPr>
        <w:jc w:val="both"/>
        <w:rPr>
          <w:rFonts w:ascii="Book Antiqua" w:hAnsi="Book Antiqua"/>
          <w:i/>
          <w:szCs w:val="20"/>
        </w:rPr>
      </w:pPr>
      <w:r w:rsidRPr="007B1786">
        <w:rPr>
          <w:rFonts w:ascii="Book Antiqua" w:hAnsi="Book Antiqua"/>
          <w:i/>
          <w:szCs w:val="20"/>
        </w:rPr>
        <w:t xml:space="preserve">We </w:t>
      </w:r>
      <w:r w:rsidR="00F206C6">
        <w:rPr>
          <w:rFonts w:ascii="Book Antiqua" w:hAnsi="Book Antiqua"/>
          <w:i/>
          <w:szCs w:val="20"/>
        </w:rPr>
        <w:t xml:space="preserve">have now written </w:t>
      </w:r>
      <w:r w:rsidR="00C2021D" w:rsidRPr="007B1786">
        <w:rPr>
          <w:rFonts w:ascii="Book Antiqua" w:hAnsi="Book Antiqua"/>
          <w:i/>
          <w:szCs w:val="20"/>
        </w:rPr>
        <w:t>both</w:t>
      </w:r>
      <w:r w:rsidRPr="007B1786">
        <w:rPr>
          <w:rFonts w:ascii="Book Antiqua" w:hAnsi="Book Antiqua"/>
          <w:i/>
          <w:szCs w:val="20"/>
        </w:rPr>
        <w:t xml:space="preserve"> abbreviation</w:t>
      </w:r>
      <w:r w:rsidR="00C2021D" w:rsidRPr="007B1786">
        <w:rPr>
          <w:rFonts w:ascii="Book Antiqua" w:hAnsi="Book Antiqua"/>
          <w:i/>
          <w:szCs w:val="20"/>
        </w:rPr>
        <w:t>s</w:t>
      </w:r>
      <w:r w:rsidR="00F206C6">
        <w:rPr>
          <w:rFonts w:ascii="Book Antiqua" w:hAnsi="Book Antiqua"/>
          <w:i/>
          <w:szCs w:val="20"/>
        </w:rPr>
        <w:t xml:space="preserve"> in full, i.e.</w:t>
      </w:r>
      <w:r w:rsidR="00C2021D" w:rsidRPr="007B1786">
        <w:rPr>
          <w:rFonts w:ascii="Book Antiqua" w:hAnsi="Book Antiqua"/>
          <w:i/>
          <w:szCs w:val="20"/>
        </w:rPr>
        <w:t xml:space="preserve"> </w:t>
      </w:r>
      <w:r w:rsidR="00F206C6">
        <w:rPr>
          <w:rFonts w:ascii="Book Antiqua" w:hAnsi="Book Antiqua"/>
          <w:i/>
          <w:szCs w:val="20"/>
        </w:rPr>
        <w:t>TREC stands for T cell receptor excision circles and EMRA refers to terminally differentiated effector memory, CD45RA+.</w:t>
      </w:r>
    </w:p>
    <w:p w:rsidR="00656838" w:rsidRDefault="00C2021D" w:rsidP="00F206C6">
      <w:pPr>
        <w:pStyle w:val="NoSpacing"/>
        <w:ind w:left="660" w:firstLine="60"/>
        <w:jc w:val="both"/>
        <w:rPr>
          <w:rFonts w:ascii="Book Antiqua" w:hAnsi="Book Antiqua"/>
          <w:i/>
          <w:szCs w:val="20"/>
        </w:rPr>
      </w:pPr>
      <w:r w:rsidRPr="007B1786">
        <w:rPr>
          <w:rFonts w:ascii="Book Antiqua" w:hAnsi="Book Antiqua"/>
          <w:i/>
          <w:szCs w:val="20"/>
        </w:rPr>
        <w:t>Indeed it should be IL-</w:t>
      </w:r>
      <w:r w:rsidRPr="00F30087">
        <w:rPr>
          <w:rFonts w:ascii="Book Antiqua" w:hAnsi="Book Antiqua"/>
          <w:b/>
          <w:i/>
        </w:rPr>
        <w:t>7</w:t>
      </w:r>
      <w:r w:rsidRPr="007B1786">
        <w:rPr>
          <w:rFonts w:ascii="Book Antiqua" w:hAnsi="Book Antiqua"/>
          <w:i/>
          <w:szCs w:val="20"/>
        </w:rPr>
        <w:t xml:space="preserve">, apologies for the missing number. </w:t>
      </w:r>
      <w:r w:rsidR="00656838" w:rsidRPr="007B1786">
        <w:rPr>
          <w:rFonts w:ascii="Book Antiqua" w:hAnsi="Book Antiqua"/>
          <w:i/>
          <w:szCs w:val="20"/>
        </w:rPr>
        <w:t xml:space="preserve"> </w:t>
      </w:r>
    </w:p>
    <w:p w:rsidR="00F206C6" w:rsidRPr="00F30087" w:rsidRDefault="00F206C6" w:rsidP="00F30087"/>
    <w:p w:rsidR="007B1786" w:rsidRPr="007B1786" w:rsidRDefault="007B1786" w:rsidP="007B1786">
      <w:pPr>
        <w:rPr>
          <w:lang w:eastAsia="en-US"/>
        </w:rPr>
      </w:pPr>
    </w:p>
    <w:p w:rsidR="00124365" w:rsidRPr="00656838" w:rsidRDefault="00124365" w:rsidP="00E6077C">
      <w:pPr>
        <w:pStyle w:val="NoSpacing"/>
        <w:numPr>
          <w:ilvl w:val="0"/>
          <w:numId w:val="3"/>
        </w:numPr>
        <w:jc w:val="both"/>
        <w:rPr>
          <w:rFonts w:ascii="Book Antiqua" w:hAnsi="Book Antiqua"/>
          <w:szCs w:val="20"/>
        </w:rPr>
      </w:pPr>
      <w:r w:rsidRPr="00656838">
        <w:rPr>
          <w:rFonts w:ascii="Book Antiqua" w:hAnsi="Book Antiqua"/>
          <w:szCs w:val="20"/>
        </w:rPr>
        <w:lastRenderedPageBreak/>
        <w:t xml:space="preserve">There are several sentences to be corrected in grammar. ex) </w:t>
      </w:r>
    </w:p>
    <w:p w:rsidR="00124365" w:rsidRPr="00656838" w:rsidRDefault="00124365" w:rsidP="00E6077C">
      <w:pPr>
        <w:pStyle w:val="NoSpacing"/>
        <w:numPr>
          <w:ilvl w:val="0"/>
          <w:numId w:val="4"/>
        </w:numPr>
        <w:jc w:val="both"/>
        <w:rPr>
          <w:rFonts w:ascii="Book Antiqua" w:hAnsi="Book Antiqua"/>
          <w:szCs w:val="20"/>
        </w:rPr>
      </w:pPr>
      <w:r w:rsidRPr="00656838">
        <w:rPr>
          <w:rFonts w:ascii="Book Antiqua" w:hAnsi="Book Antiqua"/>
          <w:szCs w:val="20"/>
        </w:rPr>
        <w:t xml:space="preserve">(page 5, line 22) CD28 plays an important role in the activation of T cells and a loss of CD28 can result in insufficient activation and shorter replicative lifespan and a higher toxicity. =&gt; CD28 plays an important role in the activation of T cells and a loss of CD28 can result in insufficient activation, shorter replicative lifespan and a higher toxicity. </w:t>
      </w:r>
    </w:p>
    <w:p w:rsidR="00124365" w:rsidRPr="00656838" w:rsidRDefault="00124365" w:rsidP="00E6077C">
      <w:pPr>
        <w:pStyle w:val="NoSpacing"/>
        <w:numPr>
          <w:ilvl w:val="0"/>
          <w:numId w:val="4"/>
        </w:numPr>
        <w:jc w:val="both"/>
        <w:rPr>
          <w:rFonts w:ascii="Book Antiqua" w:hAnsi="Book Antiqua"/>
          <w:szCs w:val="20"/>
        </w:rPr>
      </w:pPr>
      <w:r w:rsidRPr="00656838">
        <w:rPr>
          <w:rFonts w:ascii="Book Antiqua" w:hAnsi="Book Antiqua"/>
          <w:szCs w:val="20"/>
        </w:rPr>
        <w:t>(page 10, line 7) Progressive loss of renal function was highly correlated with a lack of IL-7 and a loss of naïve T cells and an increase in terminally differentiated CD8+ T cells. =&gt; Progressive loss of renal function was highly correlated with a lack of IL-7, a loss of naïve T cells and an increase in terminally differentiated CD8+ T cells</w:t>
      </w:r>
    </w:p>
    <w:p w:rsidR="00124365" w:rsidRPr="00656838" w:rsidRDefault="00124365" w:rsidP="00E6077C">
      <w:pPr>
        <w:pStyle w:val="NoSpacing"/>
        <w:numPr>
          <w:ilvl w:val="0"/>
          <w:numId w:val="4"/>
        </w:numPr>
        <w:jc w:val="both"/>
        <w:rPr>
          <w:rFonts w:ascii="Book Antiqua" w:hAnsi="Book Antiqua"/>
          <w:szCs w:val="20"/>
        </w:rPr>
      </w:pPr>
      <w:r w:rsidRPr="00656838">
        <w:rPr>
          <w:rFonts w:ascii="Book Antiqua" w:hAnsi="Book Antiqua"/>
          <w:szCs w:val="20"/>
        </w:rPr>
        <w:t>(page 15, line 7) (Nrf2) which is an is an =&gt; (Nrf2) which is an</w:t>
      </w:r>
    </w:p>
    <w:p w:rsidR="00C2021D" w:rsidRDefault="00C2021D" w:rsidP="00E6077C">
      <w:pPr>
        <w:pStyle w:val="NoSpacing"/>
        <w:numPr>
          <w:ilvl w:val="0"/>
          <w:numId w:val="8"/>
        </w:numPr>
        <w:jc w:val="both"/>
        <w:rPr>
          <w:rFonts w:ascii="Book Antiqua" w:hAnsi="Book Antiqua"/>
          <w:i/>
          <w:szCs w:val="20"/>
        </w:rPr>
      </w:pPr>
      <w:r>
        <w:rPr>
          <w:rFonts w:ascii="Book Antiqua" w:hAnsi="Book Antiqua"/>
          <w:i/>
          <w:szCs w:val="20"/>
        </w:rPr>
        <w:t xml:space="preserve">A-C: all </w:t>
      </w:r>
      <w:r w:rsidR="00600231">
        <w:rPr>
          <w:rFonts w:ascii="Book Antiqua" w:hAnsi="Book Antiqua"/>
          <w:i/>
          <w:szCs w:val="20"/>
        </w:rPr>
        <w:t xml:space="preserve">sentences are corrected and the changes are highlighted in the </w:t>
      </w:r>
      <w:r w:rsidR="00594C67">
        <w:rPr>
          <w:rFonts w:ascii="Book Antiqua" w:hAnsi="Book Antiqua"/>
          <w:i/>
          <w:szCs w:val="20"/>
        </w:rPr>
        <w:t>manuscript</w:t>
      </w:r>
      <w:r w:rsidR="00600231">
        <w:rPr>
          <w:rFonts w:ascii="Book Antiqua" w:hAnsi="Book Antiqua"/>
          <w:i/>
          <w:szCs w:val="20"/>
        </w:rPr>
        <w:t xml:space="preserve">. </w:t>
      </w:r>
    </w:p>
    <w:p w:rsidR="00CC2DC8" w:rsidRDefault="00CC2DC8" w:rsidP="00E6077C">
      <w:pPr>
        <w:pStyle w:val="NoSpacing"/>
        <w:jc w:val="both"/>
        <w:rPr>
          <w:rFonts w:ascii="Book Antiqua" w:hAnsi="Book Antiqua"/>
          <w:szCs w:val="20"/>
        </w:rPr>
      </w:pPr>
    </w:p>
    <w:p w:rsidR="00124365" w:rsidRPr="00656838" w:rsidRDefault="00124365" w:rsidP="00E6077C">
      <w:pPr>
        <w:pStyle w:val="NoSpacing"/>
        <w:numPr>
          <w:ilvl w:val="0"/>
          <w:numId w:val="3"/>
        </w:numPr>
        <w:jc w:val="both"/>
        <w:rPr>
          <w:rFonts w:ascii="Book Antiqua" w:hAnsi="Book Antiqua"/>
          <w:szCs w:val="20"/>
        </w:rPr>
      </w:pPr>
      <w:r w:rsidRPr="00656838">
        <w:rPr>
          <w:rFonts w:ascii="Book Antiqua" w:hAnsi="Book Antiqua"/>
          <w:szCs w:val="20"/>
        </w:rPr>
        <w:t>Please uniform the reference style in the text. (position of comma)</w:t>
      </w:r>
    </w:p>
    <w:p w:rsidR="00124365" w:rsidRPr="00656838" w:rsidRDefault="00124365" w:rsidP="00E6077C">
      <w:pPr>
        <w:pStyle w:val="NoSpacing"/>
        <w:numPr>
          <w:ilvl w:val="0"/>
          <w:numId w:val="5"/>
        </w:numPr>
        <w:jc w:val="both"/>
        <w:rPr>
          <w:rFonts w:ascii="Book Antiqua" w:hAnsi="Book Antiqua"/>
          <w:szCs w:val="20"/>
        </w:rPr>
      </w:pPr>
      <w:proofErr w:type="spellStart"/>
      <w:r w:rsidRPr="00656838">
        <w:rPr>
          <w:rFonts w:ascii="Book Antiqua" w:hAnsi="Book Antiqua"/>
          <w:szCs w:val="20"/>
        </w:rPr>
        <w:t>Ie</w:t>
      </w:r>
      <w:proofErr w:type="spellEnd"/>
      <w:r w:rsidRPr="00656838">
        <w:rPr>
          <w:rFonts w:ascii="Book Antiqua" w:hAnsi="Book Antiqua"/>
          <w:szCs w:val="20"/>
        </w:rPr>
        <w:t>&gt; (12,13). or .(12,13)</w:t>
      </w:r>
    </w:p>
    <w:p w:rsidR="00600231" w:rsidRDefault="00600231" w:rsidP="00E6077C">
      <w:pPr>
        <w:pStyle w:val="NoSpacing"/>
        <w:numPr>
          <w:ilvl w:val="0"/>
          <w:numId w:val="8"/>
        </w:numPr>
        <w:jc w:val="both"/>
        <w:rPr>
          <w:rFonts w:ascii="Book Antiqua" w:hAnsi="Book Antiqua"/>
          <w:i/>
          <w:szCs w:val="20"/>
        </w:rPr>
      </w:pPr>
      <w:r>
        <w:rPr>
          <w:rFonts w:ascii="Book Antiqua" w:hAnsi="Book Antiqua"/>
          <w:i/>
          <w:szCs w:val="20"/>
        </w:rPr>
        <w:t xml:space="preserve">Apologies for the inconsistent reference style. The reference style is now uniform </w:t>
      </w:r>
      <w:r w:rsidR="00594C67">
        <w:rPr>
          <w:rFonts w:ascii="Book Antiqua" w:hAnsi="Book Antiqua"/>
          <w:i/>
          <w:szCs w:val="20"/>
        </w:rPr>
        <w:t xml:space="preserve">(= </w:t>
      </w:r>
      <w:r>
        <w:rPr>
          <w:rFonts w:ascii="Book Antiqua" w:hAnsi="Book Antiqua"/>
          <w:i/>
          <w:szCs w:val="20"/>
        </w:rPr>
        <w:t>.</w:t>
      </w:r>
      <w:r w:rsidR="00594C67">
        <w:rPr>
          <w:rFonts w:ascii="Book Antiqua" w:hAnsi="Book Antiqua"/>
          <w:i/>
          <w:szCs w:val="20"/>
        </w:rPr>
        <w:t xml:space="preserve"> </w:t>
      </w:r>
      <w:r>
        <w:rPr>
          <w:rFonts w:ascii="Book Antiqua" w:hAnsi="Book Antiqua"/>
          <w:i/>
          <w:szCs w:val="20"/>
        </w:rPr>
        <w:t>(12, 13)</w:t>
      </w:r>
      <w:r w:rsidR="00594C67">
        <w:rPr>
          <w:rFonts w:ascii="Book Antiqua" w:hAnsi="Book Antiqua"/>
          <w:i/>
          <w:szCs w:val="20"/>
        </w:rPr>
        <w:t>)</w:t>
      </w:r>
      <w:r>
        <w:rPr>
          <w:rFonts w:ascii="Book Antiqua" w:hAnsi="Book Antiqua"/>
          <w:i/>
          <w:szCs w:val="20"/>
        </w:rPr>
        <w:t xml:space="preserve"> throughout the manuscript.</w:t>
      </w:r>
    </w:p>
    <w:p w:rsidR="006447EA" w:rsidRPr="00F30087" w:rsidRDefault="006447EA" w:rsidP="00F30087">
      <w:pPr>
        <w:tabs>
          <w:tab w:val="left" w:pos="6529"/>
        </w:tabs>
        <w:rPr>
          <w:rFonts w:ascii="Book Antiqua" w:hAnsi="Book Antiqua"/>
          <w:b/>
          <w:sz w:val="22"/>
        </w:rPr>
      </w:pPr>
    </w:p>
    <w:p w:rsidR="006447EA" w:rsidRDefault="006447EA" w:rsidP="00E6077C">
      <w:pPr>
        <w:tabs>
          <w:tab w:val="left" w:pos="6529"/>
        </w:tabs>
        <w:rPr>
          <w:rFonts w:ascii="Book Antiqua" w:hAnsi="Book Antiqua"/>
          <w:b/>
          <w:sz w:val="22"/>
          <w:szCs w:val="20"/>
        </w:rPr>
      </w:pPr>
    </w:p>
    <w:p w:rsidR="006447EA" w:rsidRDefault="006447EA">
      <w:pPr>
        <w:widowControl/>
        <w:jc w:val="left"/>
        <w:rPr>
          <w:rFonts w:ascii="Book Antiqua" w:hAnsi="Book Antiqua"/>
          <w:b/>
          <w:sz w:val="22"/>
          <w:szCs w:val="20"/>
        </w:rPr>
      </w:pPr>
      <w:r>
        <w:rPr>
          <w:rFonts w:ascii="Book Antiqua" w:hAnsi="Book Antiqua"/>
          <w:b/>
          <w:sz w:val="22"/>
          <w:szCs w:val="20"/>
        </w:rPr>
        <w:br w:type="page"/>
      </w:r>
    </w:p>
    <w:p w:rsidR="00CC2DC8" w:rsidRPr="00656838" w:rsidRDefault="00CC2DC8" w:rsidP="00E6077C">
      <w:pPr>
        <w:tabs>
          <w:tab w:val="left" w:pos="6529"/>
        </w:tabs>
        <w:rPr>
          <w:rFonts w:ascii="Book Antiqua" w:hAnsi="Book Antiqua"/>
          <w:b/>
          <w:sz w:val="22"/>
          <w:szCs w:val="20"/>
        </w:rPr>
      </w:pPr>
      <w:r w:rsidRPr="00656838">
        <w:rPr>
          <w:rFonts w:ascii="Book Antiqua" w:hAnsi="Book Antiqua"/>
          <w:b/>
          <w:sz w:val="22"/>
          <w:szCs w:val="20"/>
        </w:rPr>
        <w:lastRenderedPageBreak/>
        <w:t xml:space="preserve">SPECIFIC COMMENTS </w:t>
      </w:r>
    </w:p>
    <w:p w:rsidR="00CC2DC8" w:rsidRPr="00656838" w:rsidRDefault="00CC2DC8" w:rsidP="00E6077C">
      <w:pPr>
        <w:pStyle w:val="NoSpacing"/>
        <w:numPr>
          <w:ilvl w:val="0"/>
          <w:numId w:val="7"/>
        </w:numPr>
        <w:jc w:val="both"/>
        <w:rPr>
          <w:rFonts w:ascii="Book Antiqua" w:hAnsi="Book Antiqua"/>
          <w:szCs w:val="20"/>
        </w:rPr>
      </w:pPr>
      <w:r w:rsidRPr="00656838">
        <w:rPr>
          <w:rFonts w:ascii="Book Antiqua" w:hAnsi="Book Antiqua"/>
          <w:szCs w:val="20"/>
        </w:rPr>
        <w:t xml:space="preserve">In the part of ’13 page-Premature T cell ageing and kidney transplantation’, you mentioned KLOTHO gene for T cell aging. However, based on your explanation KLOTHO gene is not related with T cell aging directly. And there might be another genes related with ageing. So, I recommend you more explanation on genes which are related with T cell ageing.  </w:t>
      </w:r>
    </w:p>
    <w:p w:rsidR="00F206C6" w:rsidRPr="00F206C6" w:rsidRDefault="00084C9B" w:rsidP="00E6077C">
      <w:pPr>
        <w:pStyle w:val="NoSpacing"/>
        <w:numPr>
          <w:ilvl w:val="0"/>
          <w:numId w:val="7"/>
        </w:numPr>
        <w:jc w:val="both"/>
        <w:rPr>
          <w:rFonts w:ascii="Book Antiqua" w:hAnsi="Book Antiqua"/>
          <w:szCs w:val="20"/>
        </w:rPr>
      </w:pPr>
      <w:r w:rsidRPr="00F206C6">
        <w:rPr>
          <w:rFonts w:ascii="Book Antiqua" w:hAnsi="Book Antiqua"/>
          <w:i/>
          <w:szCs w:val="20"/>
        </w:rPr>
        <w:t>Indeed, T-cell ageing results in several transcriptional changes which leads to an altered rec</w:t>
      </w:r>
      <w:r w:rsidR="006447EA">
        <w:rPr>
          <w:rFonts w:ascii="Book Antiqua" w:hAnsi="Book Antiqua"/>
          <w:i/>
          <w:szCs w:val="20"/>
        </w:rPr>
        <w:t>eptor-profile and function of T c</w:t>
      </w:r>
      <w:r w:rsidRPr="00F206C6">
        <w:rPr>
          <w:rFonts w:ascii="Book Antiqua" w:hAnsi="Book Antiqua"/>
          <w:i/>
          <w:szCs w:val="20"/>
        </w:rPr>
        <w:t>ells. In 2013, a review of Chen summarized the age-associated changes during normal ageing and tried to relate this to functional changes. We now included this reference in this manuscript. However, in this review our focus is more on uremia</w:t>
      </w:r>
      <w:r w:rsidR="00F206C6" w:rsidRPr="00F206C6">
        <w:rPr>
          <w:rFonts w:ascii="Book Antiqua" w:hAnsi="Book Antiqua"/>
          <w:i/>
          <w:szCs w:val="20"/>
        </w:rPr>
        <w:t>-</w:t>
      </w:r>
      <w:r w:rsidRPr="00F206C6">
        <w:rPr>
          <w:rFonts w:ascii="Book Antiqua" w:hAnsi="Book Antiqua"/>
          <w:i/>
          <w:szCs w:val="20"/>
        </w:rPr>
        <w:t xml:space="preserve">associated changes and KLOTHO </w:t>
      </w:r>
      <w:r w:rsidR="006447EA">
        <w:rPr>
          <w:rFonts w:ascii="Book Antiqua" w:hAnsi="Book Antiqua"/>
          <w:i/>
          <w:szCs w:val="20"/>
        </w:rPr>
        <w:t>was</w:t>
      </w:r>
      <w:r w:rsidRPr="00F206C6">
        <w:rPr>
          <w:rFonts w:ascii="Book Antiqua" w:hAnsi="Book Antiqua"/>
          <w:i/>
          <w:szCs w:val="20"/>
        </w:rPr>
        <w:t xml:space="preserve"> affected by uremia</w:t>
      </w:r>
      <w:r w:rsidR="00F206C6">
        <w:rPr>
          <w:rFonts w:ascii="Book Antiqua" w:hAnsi="Book Antiqua"/>
          <w:i/>
          <w:szCs w:val="20"/>
        </w:rPr>
        <w:t>.</w:t>
      </w:r>
    </w:p>
    <w:p w:rsidR="00CC2DC8" w:rsidRPr="00913FF3" w:rsidRDefault="00084C9B" w:rsidP="00F30087">
      <w:pPr>
        <w:pStyle w:val="NoSpacing"/>
        <w:ind w:left="360"/>
        <w:jc w:val="both"/>
        <w:rPr>
          <w:rFonts w:ascii="Book Antiqua" w:hAnsi="Book Antiqua"/>
        </w:rPr>
      </w:pPr>
      <w:r w:rsidRPr="00F206C6">
        <w:rPr>
          <w:rFonts w:ascii="Book Antiqua" w:hAnsi="Book Antiqua"/>
          <w:i/>
          <w:szCs w:val="20"/>
        </w:rPr>
        <w:t xml:space="preserve"> </w:t>
      </w:r>
    </w:p>
    <w:p w:rsidR="00CC2DC8" w:rsidRDefault="00CC2DC8" w:rsidP="00E6077C">
      <w:pPr>
        <w:pStyle w:val="NoSpacing"/>
        <w:numPr>
          <w:ilvl w:val="0"/>
          <w:numId w:val="7"/>
        </w:numPr>
        <w:jc w:val="both"/>
        <w:rPr>
          <w:rFonts w:ascii="Book Antiqua" w:hAnsi="Book Antiqua"/>
          <w:szCs w:val="20"/>
        </w:rPr>
      </w:pPr>
      <w:r w:rsidRPr="00656838">
        <w:rPr>
          <w:rFonts w:ascii="Book Antiqua" w:hAnsi="Book Antiqua"/>
          <w:szCs w:val="20"/>
        </w:rPr>
        <w:t xml:space="preserve">You mentioned ‘Normal ageing is associated with, epigenetic changes in HSC’. In your manuscript, you focused on T cell aging in ESRD patients. T cell is originated from HSC. By this reason, I suggest the requirement of analyzing the epigenetic status of HSC in ESRD patient. </w:t>
      </w:r>
    </w:p>
    <w:p w:rsidR="00600231" w:rsidRPr="00587EDB" w:rsidRDefault="004A7503" w:rsidP="00E6077C">
      <w:pPr>
        <w:numPr>
          <w:ilvl w:val="0"/>
          <w:numId w:val="7"/>
        </w:numPr>
        <w:rPr>
          <w:i/>
          <w:lang w:eastAsia="en-US"/>
        </w:rPr>
      </w:pPr>
      <w:r w:rsidRPr="00587EDB">
        <w:rPr>
          <w:i/>
        </w:rPr>
        <w:t>I</w:t>
      </w:r>
      <w:r w:rsidR="009C534E" w:rsidRPr="00587EDB">
        <w:rPr>
          <w:i/>
        </w:rPr>
        <w:t xml:space="preserve"> agree with this suggestion</w:t>
      </w:r>
      <w:r w:rsidR="00587EDB" w:rsidRPr="00587EDB">
        <w:rPr>
          <w:i/>
        </w:rPr>
        <w:t xml:space="preserve"> and </w:t>
      </w:r>
      <w:r w:rsidR="006447EA">
        <w:rPr>
          <w:i/>
        </w:rPr>
        <w:t>we</w:t>
      </w:r>
      <w:r w:rsidR="006447EA" w:rsidRPr="00587EDB">
        <w:rPr>
          <w:i/>
        </w:rPr>
        <w:t xml:space="preserve"> </w:t>
      </w:r>
      <w:r w:rsidR="00587EDB" w:rsidRPr="00587EDB">
        <w:rPr>
          <w:i/>
        </w:rPr>
        <w:t xml:space="preserve">therefore </w:t>
      </w:r>
      <w:r w:rsidR="00D756CD">
        <w:rPr>
          <w:i/>
        </w:rPr>
        <w:t>added</w:t>
      </w:r>
      <w:r w:rsidR="009C534E" w:rsidRPr="00587EDB">
        <w:rPr>
          <w:i/>
        </w:rPr>
        <w:t xml:space="preserve"> in the conclusion section (highlighted</w:t>
      </w:r>
      <w:r w:rsidR="00587EDB">
        <w:rPr>
          <w:i/>
        </w:rPr>
        <w:t>, P. 16</w:t>
      </w:r>
      <w:r w:rsidR="009C534E" w:rsidRPr="00587EDB">
        <w:rPr>
          <w:i/>
        </w:rPr>
        <w:t xml:space="preserve">) that </w:t>
      </w:r>
      <w:r w:rsidR="00D756CD">
        <w:rPr>
          <w:i/>
        </w:rPr>
        <w:t xml:space="preserve">more research is </w:t>
      </w:r>
      <w:r w:rsidR="00D756CD" w:rsidRPr="00D756CD">
        <w:rPr>
          <w:i/>
        </w:rPr>
        <w:t xml:space="preserve">necessary to fully understand the uremia-associated premature T-cell ageing phenomenon, </w:t>
      </w:r>
      <w:r w:rsidR="006447EA">
        <w:rPr>
          <w:i/>
        </w:rPr>
        <w:t xml:space="preserve">including </w:t>
      </w:r>
      <w:r w:rsidR="00D756CD" w:rsidRPr="00D756CD">
        <w:rPr>
          <w:i/>
        </w:rPr>
        <w:t>also earlier developmental stages of T-cells</w:t>
      </w:r>
      <w:r w:rsidR="00D756CD">
        <w:rPr>
          <w:i/>
        </w:rPr>
        <w:t xml:space="preserve">. </w:t>
      </w:r>
    </w:p>
    <w:p w:rsidR="00600231" w:rsidRPr="00600231" w:rsidRDefault="00600231" w:rsidP="00E6077C">
      <w:pPr>
        <w:rPr>
          <w:lang w:eastAsia="en-US"/>
        </w:rPr>
      </w:pPr>
    </w:p>
    <w:p w:rsidR="00CC2DC8" w:rsidRPr="00656838" w:rsidRDefault="00CC2DC8" w:rsidP="00E6077C">
      <w:pPr>
        <w:pStyle w:val="NoSpacing"/>
        <w:numPr>
          <w:ilvl w:val="0"/>
          <w:numId w:val="7"/>
        </w:numPr>
        <w:jc w:val="both"/>
        <w:rPr>
          <w:rFonts w:ascii="Book Antiqua" w:hAnsi="Book Antiqua"/>
          <w:szCs w:val="20"/>
        </w:rPr>
      </w:pPr>
      <w:r w:rsidRPr="00656838">
        <w:rPr>
          <w:rFonts w:ascii="Book Antiqua" w:hAnsi="Book Antiqua"/>
          <w:szCs w:val="20"/>
        </w:rPr>
        <w:t>In page 11, Please add references about the reason that increased susceptibility for apoptosis is associated with a loss of antigen-specific T cells.</w:t>
      </w:r>
    </w:p>
    <w:p w:rsidR="001F53BB" w:rsidRPr="009C534E" w:rsidRDefault="004A7503" w:rsidP="00E6077C">
      <w:pPr>
        <w:pStyle w:val="NoSpacing"/>
        <w:numPr>
          <w:ilvl w:val="0"/>
          <w:numId w:val="7"/>
        </w:numPr>
        <w:jc w:val="both"/>
        <w:rPr>
          <w:rFonts w:ascii="Book Antiqua" w:hAnsi="Book Antiqua"/>
          <w:i/>
        </w:rPr>
      </w:pPr>
      <w:r>
        <w:rPr>
          <w:rFonts w:ascii="Book Antiqua" w:hAnsi="Book Antiqua"/>
          <w:i/>
        </w:rPr>
        <w:t>T</w:t>
      </w:r>
      <w:r w:rsidR="003F2AB2" w:rsidRPr="009C534E">
        <w:rPr>
          <w:rFonts w:ascii="Book Antiqua" w:hAnsi="Book Antiqua"/>
          <w:i/>
        </w:rPr>
        <w:t xml:space="preserve">wo references </w:t>
      </w:r>
      <w:r>
        <w:rPr>
          <w:rFonts w:ascii="Book Antiqua" w:hAnsi="Book Antiqua"/>
          <w:i/>
        </w:rPr>
        <w:t xml:space="preserve">are now added in the manuscript </w:t>
      </w:r>
      <w:r w:rsidR="003F2AB2" w:rsidRPr="009C534E">
        <w:rPr>
          <w:rFonts w:ascii="Book Antiqua" w:hAnsi="Book Antiqua"/>
          <w:i/>
        </w:rPr>
        <w:t>in which it was shown that there is an increased expression of pro</w:t>
      </w:r>
      <w:r w:rsidR="00587EDB">
        <w:rPr>
          <w:rFonts w:ascii="Book Antiqua" w:hAnsi="Book Antiqua"/>
          <w:i/>
        </w:rPr>
        <w:t>-</w:t>
      </w:r>
      <w:r w:rsidR="003F2AB2" w:rsidRPr="009C534E">
        <w:rPr>
          <w:rFonts w:ascii="Book Antiqua" w:hAnsi="Book Antiqua"/>
          <w:i/>
        </w:rPr>
        <w:t xml:space="preserve">apoptotic markers </w:t>
      </w:r>
      <w:r w:rsidR="006447EA">
        <w:rPr>
          <w:rFonts w:ascii="Book Antiqua" w:hAnsi="Book Antiqua"/>
          <w:i/>
        </w:rPr>
        <w:t>that</w:t>
      </w:r>
      <w:r w:rsidR="003F2AB2" w:rsidRPr="009C534E">
        <w:rPr>
          <w:rFonts w:ascii="Book Antiqua" w:hAnsi="Book Antiqua"/>
          <w:i/>
        </w:rPr>
        <w:t xml:space="preserve"> are associated with a </w:t>
      </w:r>
      <w:r w:rsidR="006447EA">
        <w:rPr>
          <w:rFonts w:ascii="Book Antiqua" w:hAnsi="Book Antiqua"/>
          <w:i/>
        </w:rPr>
        <w:t xml:space="preserve">decrease in </w:t>
      </w:r>
      <w:r w:rsidR="003F2AB2" w:rsidRPr="009C534E">
        <w:rPr>
          <w:rFonts w:ascii="Book Antiqua" w:hAnsi="Book Antiqua"/>
          <w:i/>
        </w:rPr>
        <w:t>number of (antigen)- specific T-cells</w:t>
      </w:r>
      <w:r w:rsidR="00AD56C4" w:rsidRPr="009C534E">
        <w:rPr>
          <w:rFonts w:ascii="Book Antiqua" w:hAnsi="Book Antiqua"/>
          <w:i/>
        </w:rPr>
        <w:t>.</w:t>
      </w:r>
    </w:p>
    <w:p w:rsidR="001F53BB" w:rsidRPr="009C534E" w:rsidRDefault="001F53BB" w:rsidP="00E6077C">
      <w:pPr>
        <w:spacing w:line="280" w:lineRule="exact"/>
        <w:rPr>
          <w:rFonts w:ascii="Book Antiqua" w:hAnsi="Book Antiqua" w:cs="Arial"/>
          <w:spacing w:val="-10"/>
          <w:sz w:val="28"/>
          <w:szCs w:val="20"/>
        </w:rPr>
      </w:pPr>
    </w:p>
    <w:p w:rsidR="003A1C4C" w:rsidRPr="00656838" w:rsidRDefault="00912302" w:rsidP="00E6077C">
      <w:pPr>
        <w:spacing w:line="280" w:lineRule="exact"/>
        <w:rPr>
          <w:rFonts w:ascii="Book Antiqua" w:hAnsi="Book Antiqua" w:cs="Arial"/>
          <w:i/>
          <w:iCs/>
          <w:spacing w:val="-10"/>
          <w:sz w:val="22"/>
          <w:szCs w:val="20"/>
        </w:rPr>
      </w:pPr>
      <w:r>
        <w:rPr>
          <w:rFonts w:ascii="Book Antiqua" w:hAnsi="Book Antiqua" w:cs="Arial"/>
          <w:spacing w:val="-10"/>
          <w:sz w:val="22"/>
          <w:szCs w:val="20"/>
        </w:rPr>
        <w:t>I hope that</w:t>
      </w:r>
      <w:r w:rsidR="00D95C15">
        <w:rPr>
          <w:rFonts w:ascii="Book Antiqua" w:hAnsi="Book Antiqua" w:cs="Arial"/>
          <w:spacing w:val="-10"/>
          <w:sz w:val="22"/>
          <w:szCs w:val="20"/>
        </w:rPr>
        <w:t xml:space="preserve"> to fully addressed the issues raised by the reviewers and that the manuscript is suitable for p</w:t>
      </w:r>
      <w:r>
        <w:rPr>
          <w:rFonts w:ascii="Book Antiqua" w:hAnsi="Book Antiqua" w:cs="Arial"/>
          <w:spacing w:val="-10"/>
          <w:sz w:val="22"/>
          <w:szCs w:val="20"/>
        </w:rPr>
        <w:t xml:space="preserve">ublication in </w:t>
      </w:r>
      <w:r w:rsidR="003A1C4C" w:rsidRPr="00656838">
        <w:rPr>
          <w:rFonts w:ascii="Book Antiqua" w:hAnsi="Book Antiqua" w:cs="Arial"/>
          <w:spacing w:val="-10"/>
          <w:sz w:val="22"/>
          <w:szCs w:val="20"/>
        </w:rPr>
        <w:t xml:space="preserve">the </w:t>
      </w:r>
      <w:r w:rsidR="003A1C4C" w:rsidRPr="00656838">
        <w:rPr>
          <w:rFonts w:ascii="Book Antiqua" w:hAnsi="Book Antiqua" w:cs="Arial"/>
          <w:i/>
          <w:iCs/>
          <w:spacing w:val="-10"/>
          <w:sz w:val="22"/>
          <w:szCs w:val="20"/>
        </w:rPr>
        <w:t xml:space="preserve">World Journal of </w:t>
      </w:r>
      <w:r w:rsidR="00086848" w:rsidRPr="00656838">
        <w:rPr>
          <w:rFonts w:ascii="Book Antiqua" w:hAnsi="Book Antiqua" w:cs="Arial"/>
          <w:i/>
          <w:iCs/>
          <w:spacing w:val="-10"/>
          <w:sz w:val="22"/>
          <w:szCs w:val="20"/>
        </w:rPr>
        <w:t>Nephrology</w:t>
      </w:r>
      <w:r w:rsidR="003A1C4C" w:rsidRPr="00656838">
        <w:rPr>
          <w:rFonts w:ascii="Book Antiqua" w:hAnsi="Book Antiqua" w:cs="Arial"/>
          <w:i/>
          <w:iCs/>
          <w:spacing w:val="-10"/>
          <w:sz w:val="22"/>
          <w:szCs w:val="20"/>
        </w:rPr>
        <w:t>.</w:t>
      </w:r>
    </w:p>
    <w:p w:rsidR="004271D8" w:rsidRPr="00656838" w:rsidRDefault="004271D8" w:rsidP="00E6077C">
      <w:pPr>
        <w:spacing w:line="280" w:lineRule="exact"/>
        <w:rPr>
          <w:rFonts w:ascii="Book Antiqua" w:hAnsi="Book Antiqua" w:cs="Arial"/>
          <w:sz w:val="22"/>
          <w:szCs w:val="20"/>
        </w:rPr>
      </w:pPr>
    </w:p>
    <w:p w:rsidR="00C42D01" w:rsidRPr="00656838" w:rsidRDefault="00D95C15" w:rsidP="00E6077C">
      <w:pPr>
        <w:rPr>
          <w:rFonts w:ascii="Book Antiqua" w:hAnsi="Book Antiqua"/>
          <w:sz w:val="22"/>
          <w:szCs w:val="20"/>
        </w:rPr>
      </w:pPr>
      <w:r>
        <w:rPr>
          <w:rFonts w:ascii="Book Antiqua" w:hAnsi="Book Antiqua"/>
          <w:sz w:val="22"/>
          <w:szCs w:val="20"/>
        </w:rPr>
        <w:t>W</w:t>
      </w:r>
      <w:r w:rsidR="00086848" w:rsidRPr="00656838">
        <w:rPr>
          <w:rFonts w:ascii="Book Antiqua" w:hAnsi="Book Antiqua"/>
          <w:sz w:val="22"/>
          <w:szCs w:val="20"/>
        </w:rPr>
        <w:t>ith Kind Regards,</w:t>
      </w:r>
    </w:p>
    <w:p w:rsidR="00D95C15" w:rsidRDefault="00D95C15" w:rsidP="00E6077C">
      <w:pPr>
        <w:rPr>
          <w:rFonts w:ascii="Book Antiqua" w:hAnsi="Book Antiqua"/>
          <w:sz w:val="22"/>
          <w:szCs w:val="20"/>
        </w:rPr>
      </w:pPr>
    </w:p>
    <w:p w:rsidR="00D756CD" w:rsidRDefault="00D756CD" w:rsidP="00E6077C">
      <w:pPr>
        <w:rPr>
          <w:rFonts w:ascii="Book Antiqua" w:hAnsi="Book Antiqua"/>
          <w:sz w:val="22"/>
          <w:szCs w:val="20"/>
        </w:rPr>
      </w:pPr>
    </w:p>
    <w:p w:rsidR="00086848" w:rsidRPr="00656838" w:rsidRDefault="00086848" w:rsidP="00E6077C">
      <w:pPr>
        <w:rPr>
          <w:rFonts w:ascii="Book Antiqua" w:hAnsi="Book Antiqua"/>
          <w:sz w:val="22"/>
          <w:szCs w:val="20"/>
        </w:rPr>
      </w:pPr>
      <w:r w:rsidRPr="00656838">
        <w:rPr>
          <w:rFonts w:ascii="Book Antiqua" w:hAnsi="Book Antiqua"/>
          <w:sz w:val="22"/>
          <w:szCs w:val="20"/>
        </w:rPr>
        <w:t>Ruud W.J. Meijers</w:t>
      </w:r>
    </w:p>
    <w:sectPr w:rsidR="00086848" w:rsidRPr="00656838">
      <w:headerReference w:type="default" r:id="rId10"/>
      <w:footerReference w:type="default" r:id="rId11"/>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39" w:rsidRDefault="00311D39" w:rsidP="004271D8">
      <w:r>
        <w:separator/>
      </w:r>
    </w:p>
  </w:endnote>
  <w:endnote w:type="continuationSeparator" w:id="0">
    <w:p w:rsidR="00311D39" w:rsidRDefault="00311D39" w:rsidP="004271D8">
      <w:r>
        <w:continuationSeparator/>
      </w:r>
    </w:p>
  </w:endnote>
  <w:endnote w:type="continuationNotice" w:id="1">
    <w:p w:rsidR="00311D39" w:rsidRDefault="0031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F3" w:rsidRDefault="00913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39" w:rsidRDefault="00311D39" w:rsidP="004271D8">
      <w:r>
        <w:separator/>
      </w:r>
    </w:p>
  </w:footnote>
  <w:footnote w:type="continuationSeparator" w:id="0">
    <w:p w:rsidR="00311D39" w:rsidRDefault="00311D39" w:rsidP="004271D8">
      <w:r>
        <w:continuationSeparator/>
      </w:r>
    </w:p>
  </w:footnote>
  <w:footnote w:type="continuationNotice" w:id="1">
    <w:p w:rsidR="00311D39" w:rsidRDefault="00311D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F3" w:rsidRDefault="00913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821"/>
    <w:multiLevelType w:val="hybridMultilevel"/>
    <w:tmpl w:val="ED289BF6"/>
    <w:lvl w:ilvl="0" w:tplc="E5C688A0">
      <w:start w:val="1"/>
      <w:numFmt w:val="decimal"/>
      <w:lvlText w:val="%1."/>
      <w:lvlJc w:val="left"/>
      <w:pPr>
        <w:ind w:left="720" w:hanging="360"/>
      </w:pPr>
      <w:rPr>
        <w:rFonts w:ascii="Book Antiqua" w:hAnsi="Book Antiqua"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861F8"/>
    <w:multiLevelType w:val="hybridMultilevel"/>
    <w:tmpl w:val="DB40B844"/>
    <w:lvl w:ilvl="0" w:tplc="4EC44D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1F85F50"/>
    <w:multiLevelType w:val="hybridMultilevel"/>
    <w:tmpl w:val="0A86F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D3B0A"/>
    <w:multiLevelType w:val="hybridMultilevel"/>
    <w:tmpl w:val="477CC37E"/>
    <w:lvl w:ilvl="0" w:tplc="843EA98E">
      <w:numFmt w:val="bullet"/>
      <w:lvlText w:val="-"/>
      <w:lvlJc w:val="left"/>
      <w:pPr>
        <w:ind w:left="7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2760612"/>
    <w:multiLevelType w:val="hybridMultilevel"/>
    <w:tmpl w:val="4030FD1C"/>
    <w:lvl w:ilvl="0" w:tplc="F5C634E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8C57BB3"/>
    <w:multiLevelType w:val="hybridMultilevel"/>
    <w:tmpl w:val="6BF0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D1B99"/>
    <w:multiLevelType w:val="hybridMultilevel"/>
    <w:tmpl w:val="E95AC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61DC5"/>
    <w:multiLevelType w:val="hybridMultilevel"/>
    <w:tmpl w:val="7C7638B8"/>
    <w:lvl w:ilvl="0" w:tplc="843EA98E">
      <w:numFmt w:val="bullet"/>
      <w:lvlText w:val="-"/>
      <w:lvlJc w:val="left"/>
      <w:pPr>
        <w:ind w:left="720" w:hanging="360"/>
      </w:pPr>
      <w:rPr>
        <w:rFonts w:ascii="Calibri" w:eastAsia="Calibri" w:hAnsi="Calibri" w:cs="Times New Roman" w:hint="default"/>
      </w:rPr>
    </w:lvl>
    <w:lvl w:ilvl="1" w:tplc="843EA98E">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C5EEA"/>
    <w:multiLevelType w:val="hybridMultilevel"/>
    <w:tmpl w:val="73A86AE6"/>
    <w:lvl w:ilvl="0" w:tplc="843EA9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0559A"/>
    <w:multiLevelType w:val="hybridMultilevel"/>
    <w:tmpl w:val="01824D60"/>
    <w:lvl w:ilvl="0" w:tplc="843EA98E">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4C"/>
    <w:rsid w:val="00064025"/>
    <w:rsid w:val="000779EE"/>
    <w:rsid w:val="00077FCF"/>
    <w:rsid w:val="00084C9B"/>
    <w:rsid w:val="00086848"/>
    <w:rsid w:val="000A3C0D"/>
    <w:rsid w:val="000B040C"/>
    <w:rsid w:val="000D05F9"/>
    <w:rsid w:val="00104E7C"/>
    <w:rsid w:val="00117B21"/>
    <w:rsid w:val="00124365"/>
    <w:rsid w:val="001A2821"/>
    <w:rsid w:val="001C1E38"/>
    <w:rsid w:val="001D503F"/>
    <w:rsid w:val="001E158F"/>
    <w:rsid w:val="001F53BB"/>
    <w:rsid w:val="002111D1"/>
    <w:rsid w:val="002163F4"/>
    <w:rsid w:val="00267522"/>
    <w:rsid w:val="002A018D"/>
    <w:rsid w:val="002A4D4D"/>
    <w:rsid w:val="002A61DA"/>
    <w:rsid w:val="00311910"/>
    <w:rsid w:val="00311D39"/>
    <w:rsid w:val="00357F2A"/>
    <w:rsid w:val="00387C0B"/>
    <w:rsid w:val="003A1C4C"/>
    <w:rsid w:val="003B4029"/>
    <w:rsid w:val="003F2AB2"/>
    <w:rsid w:val="004271D8"/>
    <w:rsid w:val="00432A55"/>
    <w:rsid w:val="00483BC3"/>
    <w:rsid w:val="004A7503"/>
    <w:rsid w:val="004E30E5"/>
    <w:rsid w:val="004F22E6"/>
    <w:rsid w:val="0051115F"/>
    <w:rsid w:val="00516DEF"/>
    <w:rsid w:val="005319C0"/>
    <w:rsid w:val="005320EE"/>
    <w:rsid w:val="00553521"/>
    <w:rsid w:val="00557A29"/>
    <w:rsid w:val="00564791"/>
    <w:rsid w:val="00586DF4"/>
    <w:rsid w:val="00587EDB"/>
    <w:rsid w:val="00594C67"/>
    <w:rsid w:val="005B04A6"/>
    <w:rsid w:val="005B7987"/>
    <w:rsid w:val="00600231"/>
    <w:rsid w:val="00621D10"/>
    <w:rsid w:val="006447EA"/>
    <w:rsid w:val="00656838"/>
    <w:rsid w:val="00680F05"/>
    <w:rsid w:val="006A097C"/>
    <w:rsid w:val="006B27D4"/>
    <w:rsid w:val="0075748C"/>
    <w:rsid w:val="007B1786"/>
    <w:rsid w:val="007B7257"/>
    <w:rsid w:val="00810F37"/>
    <w:rsid w:val="008249DB"/>
    <w:rsid w:val="008E4E1A"/>
    <w:rsid w:val="00912302"/>
    <w:rsid w:val="00913FF3"/>
    <w:rsid w:val="0091718A"/>
    <w:rsid w:val="009348A9"/>
    <w:rsid w:val="009650CA"/>
    <w:rsid w:val="0096787D"/>
    <w:rsid w:val="00981FF0"/>
    <w:rsid w:val="00986A2E"/>
    <w:rsid w:val="009B770D"/>
    <w:rsid w:val="009C534E"/>
    <w:rsid w:val="009C714C"/>
    <w:rsid w:val="00A619B7"/>
    <w:rsid w:val="00AB538E"/>
    <w:rsid w:val="00AD56C4"/>
    <w:rsid w:val="00AD7E78"/>
    <w:rsid w:val="00B058EA"/>
    <w:rsid w:val="00B74783"/>
    <w:rsid w:val="00B834AC"/>
    <w:rsid w:val="00B969DC"/>
    <w:rsid w:val="00BD6F98"/>
    <w:rsid w:val="00BE3B57"/>
    <w:rsid w:val="00C2021D"/>
    <w:rsid w:val="00C23EEF"/>
    <w:rsid w:val="00C42D01"/>
    <w:rsid w:val="00C42EAD"/>
    <w:rsid w:val="00C60872"/>
    <w:rsid w:val="00CC2DC8"/>
    <w:rsid w:val="00CE210F"/>
    <w:rsid w:val="00CF5971"/>
    <w:rsid w:val="00D16775"/>
    <w:rsid w:val="00D27CD2"/>
    <w:rsid w:val="00D46F25"/>
    <w:rsid w:val="00D47DBF"/>
    <w:rsid w:val="00D71A25"/>
    <w:rsid w:val="00D756CD"/>
    <w:rsid w:val="00D95C15"/>
    <w:rsid w:val="00D97D3F"/>
    <w:rsid w:val="00DA76A4"/>
    <w:rsid w:val="00DB37CF"/>
    <w:rsid w:val="00E01161"/>
    <w:rsid w:val="00E25F36"/>
    <w:rsid w:val="00E6077C"/>
    <w:rsid w:val="00EE7061"/>
    <w:rsid w:val="00F206C6"/>
    <w:rsid w:val="00F30087"/>
    <w:rsid w:val="00F351AA"/>
    <w:rsid w:val="00F4483F"/>
    <w:rsid w:val="00FC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eastAsia="zh-CN"/>
    </w:rPr>
  </w:style>
  <w:style w:type="paragraph" w:styleId="Heading1">
    <w:name w:val="heading 1"/>
    <w:basedOn w:val="Normal"/>
    <w:next w:val="Normal"/>
    <w:qFormat/>
    <w:rsid w:val="003A1C4C"/>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C4C"/>
    <w:rPr>
      <w:color w:val="0000FF"/>
      <w:u w:val="single"/>
    </w:rPr>
  </w:style>
  <w:style w:type="paragraph" w:styleId="BodyText">
    <w:name w:val="Body Text"/>
    <w:basedOn w:val="Normal"/>
    <w:rsid w:val="003A1C4C"/>
    <w:rPr>
      <w:spacing w:val="-10"/>
      <w:sz w:val="24"/>
    </w:rPr>
  </w:style>
  <w:style w:type="paragraph" w:styleId="Header">
    <w:name w:val="header"/>
    <w:basedOn w:val="Normal"/>
    <w:link w:val="HeaderChar"/>
    <w:rsid w:val="004271D8"/>
    <w:pPr>
      <w:tabs>
        <w:tab w:val="center" w:pos="4320"/>
        <w:tab w:val="right" w:pos="8640"/>
      </w:tabs>
    </w:pPr>
  </w:style>
  <w:style w:type="character" w:customStyle="1" w:styleId="HeaderChar">
    <w:name w:val="Header Char"/>
    <w:link w:val="Header"/>
    <w:rsid w:val="004271D8"/>
    <w:rPr>
      <w:kern w:val="2"/>
      <w:sz w:val="21"/>
      <w:szCs w:val="24"/>
    </w:rPr>
  </w:style>
  <w:style w:type="paragraph" w:styleId="Footer">
    <w:name w:val="footer"/>
    <w:basedOn w:val="Normal"/>
    <w:link w:val="FooterChar"/>
    <w:rsid w:val="004271D8"/>
    <w:pPr>
      <w:tabs>
        <w:tab w:val="center" w:pos="4320"/>
        <w:tab w:val="right" w:pos="8640"/>
      </w:tabs>
    </w:pPr>
  </w:style>
  <w:style w:type="character" w:customStyle="1" w:styleId="FooterChar">
    <w:name w:val="Footer Char"/>
    <w:link w:val="Footer"/>
    <w:rsid w:val="004271D8"/>
    <w:rPr>
      <w:kern w:val="2"/>
      <w:sz w:val="21"/>
      <w:szCs w:val="24"/>
    </w:rPr>
  </w:style>
  <w:style w:type="paragraph" w:styleId="NoSpacing">
    <w:name w:val="No Spacing"/>
    <w:next w:val="Normal"/>
    <w:uiPriority w:val="1"/>
    <w:qFormat/>
    <w:rsid w:val="00086848"/>
    <w:rPr>
      <w:rFonts w:ascii="Calibri" w:eastAsia="Calibri" w:hAnsi="Calibri"/>
      <w:sz w:val="22"/>
      <w:szCs w:val="22"/>
    </w:rPr>
  </w:style>
  <w:style w:type="paragraph" w:styleId="ListParagraph">
    <w:name w:val="List Paragraph"/>
    <w:basedOn w:val="Normal"/>
    <w:uiPriority w:val="34"/>
    <w:qFormat/>
    <w:rsid w:val="00124365"/>
    <w:pPr>
      <w:wordWrap w:val="0"/>
      <w:autoSpaceDE w:val="0"/>
      <w:autoSpaceDN w:val="0"/>
      <w:spacing w:after="200" w:line="276" w:lineRule="auto"/>
      <w:ind w:leftChars="400" w:left="800"/>
    </w:pPr>
    <w:rPr>
      <w:rFonts w:ascii="Malgun Gothic" w:eastAsia="Malgun Gothic" w:hAnsi="Malgun Gothic"/>
      <w:sz w:val="20"/>
      <w:szCs w:val="22"/>
      <w:lang w:eastAsia="ko-KR"/>
    </w:rPr>
  </w:style>
  <w:style w:type="paragraph" w:styleId="BalloonText">
    <w:name w:val="Balloon Text"/>
    <w:basedOn w:val="Normal"/>
    <w:link w:val="BalloonTextChar"/>
    <w:rsid w:val="0096787D"/>
    <w:rPr>
      <w:rFonts w:ascii="Tahoma" w:hAnsi="Tahoma" w:cs="Tahoma"/>
      <w:sz w:val="16"/>
      <w:szCs w:val="16"/>
    </w:rPr>
  </w:style>
  <w:style w:type="character" w:customStyle="1" w:styleId="BalloonTextChar">
    <w:name w:val="Balloon Text Char"/>
    <w:link w:val="BalloonText"/>
    <w:rsid w:val="0096787D"/>
    <w:rPr>
      <w:rFonts w:ascii="Tahoma" w:hAnsi="Tahoma" w:cs="Tahoma"/>
      <w:kern w:val="2"/>
      <w:sz w:val="16"/>
      <w:szCs w:val="16"/>
      <w:lang w:eastAsia="zh-CN"/>
    </w:rPr>
  </w:style>
  <w:style w:type="paragraph" w:customStyle="1" w:styleId="Pa21">
    <w:name w:val="Pa21"/>
    <w:basedOn w:val="Normal"/>
    <w:next w:val="Normal"/>
    <w:uiPriority w:val="99"/>
    <w:rsid w:val="007B1786"/>
    <w:pPr>
      <w:widowControl/>
      <w:autoSpaceDE w:val="0"/>
      <w:autoSpaceDN w:val="0"/>
      <w:adjustRightInd w:val="0"/>
      <w:spacing w:line="147" w:lineRule="atLeast"/>
      <w:jc w:val="left"/>
    </w:pPr>
    <w:rPr>
      <w:rFonts w:ascii="ITC Franklin Gothic Std Book" w:hAnsi="ITC Franklin Gothic Std Book"/>
      <w:kern w:val="0"/>
      <w:sz w:val="24"/>
      <w:lang w:eastAsia="en-US"/>
    </w:rPr>
  </w:style>
  <w:style w:type="character" w:styleId="CommentReference">
    <w:name w:val="annotation reference"/>
    <w:basedOn w:val="DefaultParagraphFont"/>
    <w:rsid w:val="0075748C"/>
    <w:rPr>
      <w:sz w:val="16"/>
      <w:szCs w:val="16"/>
    </w:rPr>
  </w:style>
  <w:style w:type="paragraph" w:styleId="CommentText">
    <w:name w:val="annotation text"/>
    <w:basedOn w:val="Normal"/>
    <w:link w:val="CommentTextChar"/>
    <w:rsid w:val="0075748C"/>
    <w:rPr>
      <w:sz w:val="20"/>
      <w:szCs w:val="20"/>
    </w:rPr>
  </w:style>
  <w:style w:type="character" w:customStyle="1" w:styleId="CommentTextChar">
    <w:name w:val="Comment Text Char"/>
    <w:basedOn w:val="DefaultParagraphFont"/>
    <w:link w:val="CommentText"/>
    <w:rsid w:val="0075748C"/>
    <w:rPr>
      <w:kern w:val="2"/>
      <w:lang w:eastAsia="zh-CN"/>
    </w:rPr>
  </w:style>
  <w:style w:type="paragraph" w:styleId="CommentSubject">
    <w:name w:val="annotation subject"/>
    <w:basedOn w:val="CommentText"/>
    <w:next w:val="CommentText"/>
    <w:link w:val="CommentSubjectChar"/>
    <w:rsid w:val="0075748C"/>
    <w:rPr>
      <w:b/>
      <w:bCs/>
    </w:rPr>
  </w:style>
  <w:style w:type="character" w:customStyle="1" w:styleId="CommentSubjectChar">
    <w:name w:val="Comment Subject Char"/>
    <w:basedOn w:val="CommentTextChar"/>
    <w:link w:val="CommentSubject"/>
    <w:rsid w:val="0075748C"/>
    <w:rPr>
      <w:b/>
      <w:bCs/>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4C"/>
    <w:pPr>
      <w:widowControl w:val="0"/>
      <w:jc w:val="both"/>
    </w:pPr>
    <w:rPr>
      <w:kern w:val="2"/>
      <w:sz w:val="21"/>
      <w:szCs w:val="24"/>
      <w:lang w:eastAsia="zh-CN"/>
    </w:rPr>
  </w:style>
  <w:style w:type="paragraph" w:styleId="Heading1">
    <w:name w:val="heading 1"/>
    <w:basedOn w:val="Normal"/>
    <w:next w:val="Normal"/>
    <w:qFormat/>
    <w:rsid w:val="003A1C4C"/>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C4C"/>
    <w:rPr>
      <w:color w:val="0000FF"/>
      <w:u w:val="single"/>
    </w:rPr>
  </w:style>
  <w:style w:type="paragraph" w:styleId="BodyText">
    <w:name w:val="Body Text"/>
    <w:basedOn w:val="Normal"/>
    <w:rsid w:val="003A1C4C"/>
    <w:rPr>
      <w:spacing w:val="-10"/>
      <w:sz w:val="24"/>
    </w:rPr>
  </w:style>
  <w:style w:type="paragraph" w:styleId="Header">
    <w:name w:val="header"/>
    <w:basedOn w:val="Normal"/>
    <w:link w:val="HeaderChar"/>
    <w:rsid w:val="004271D8"/>
    <w:pPr>
      <w:tabs>
        <w:tab w:val="center" w:pos="4320"/>
        <w:tab w:val="right" w:pos="8640"/>
      </w:tabs>
    </w:pPr>
  </w:style>
  <w:style w:type="character" w:customStyle="1" w:styleId="HeaderChar">
    <w:name w:val="Header Char"/>
    <w:link w:val="Header"/>
    <w:rsid w:val="004271D8"/>
    <w:rPr>
      <w:kern w:val="2"/>
      <w:sz w:val="21"/>
      <w:szCs w:val="24"/>
    </w:rPr>
  </w:style>
  <w:style w:type="paragraph" w:styleId="Footer">
    <w:name w:val="footer"/>
    <w:basedOn w:val="Normal"/>
    <w:link w:val="FooterChar"/>
    <w:rsid w:val="004271D8"/>
    <w:pPr>
      <w:tabs>
        <w:tab w:val="center" w:pos="4320"/>
        <w:tab w:val="right" w:pos="8640"/>
      </w:tabs>
    </w:pPr>
  </w:style>
  <w:style w:type="character" w:customStyle="1" w:styleId="FooterChar">
    <w:name w:val="Footer Char"/>
    <w:link w:val="Footer"/>
    <w:rsid w:val="004271D8"/>
    <w:rPr>
      <w:kern w:val="2"/>
      <w:sz w:val="21"/>
      <w:szCs w:val="24"/>
    </w:rPr>
  </w:style>
  <w:style w:type="paragraph" w:styleId="NoSpacing">
    <w:name w:val="No Spacing"/>
    <w:next w:val="Normal"/>
    <w:uiPriority w:val="1"/>
    <w:qFormat/>
    <w:rsid w:val="00086848"/>
    <w:rPr>
      <w:rFonts w:ascii="Calibri" w:eastAsia="Calibri" w:hAnsi="Calibri"/>
      <w:sz w:val="22"/>
      <w:szCs w:val="22"/>
    </w:rPr>
  </w:style>
  <w:style w:type="paragraph" w:styleId="ListParagraph">
    <w:name w:val="List Paragraph"/>
    <w:basedOn w:val="Normal"/>
    <w:uiPriority w:val="34"/>
    <w:qFormat/>
    <w:rsid w:val="00124365"/>
    <w:pPr>
      <w:wordWrap w:val="0"/>
      <w:autoSpaceDE w:val="0"/>
      <w:autoSpaceDN w:val="0"/>
      <w:spacing w:after="200" w:line="276" w:lineRule="auto"/>
      <w:ind w:leftChars="400" w:left="800"/>
    </w:pPr>
    <w:rPr>
      <w:rFonts w:ascii="Malgun Gothic" w:eastAsia="Malgun Gothic" w:hAnsi="Malgun Gothic"/>
      <w:sz w:val="20"/>
      <w:szCs w:val="22"/>
      <w:lang w:eastAsia="ko-KR"/>
    </w:rPr>
  </w:style>
  <w:style w:type="paragraph" w:styleId="BalloonText">
    <w:name w:val="Balloon Text"/>
    <w:basedOn w:val="Normal"/>
    <w:link w:val="BalloonTextChar"/>
    <w:rsid w:val="0096787D"/>
    <w:rPr>
      <w:rFonts w:ascii="Tahoma" w:hAnsi="Tahoma" w:cs="Tahoma"/>
      <w:sz w:val="16"/>
      <w:szCs w:val="16"/>
    </w:rPr>
  </w:style>
  <w:style w:type="character" w:customStyle="1" w:styleId="BalloonTextChar">
    <w:name w:val="Balloon Text Char"/>
    <w:link w:val="BalloonText"/>
    <w:rsid w:val="0096787D"/>
    <w:rPr>
      <w:rFonts w:ascii="Tahoma" w:hAnsi="Tahoma" w:cs="Tahoma"/>
      <w:kern w:val="2"/>
      <w:sz w:val="16"/>
      <w:szCs w:val="16"/>
      <w:lang w:eastAsia="zh-CN"/>
    </w:rPr>
  </w:style>
  <w:style w:type="paragraph" w:customStyle="1" w:styleId="Pa21">
    <w:name w:val="Pa21"/>
    <w:basedOn w:val="Normal"/>
    <w:next w:val="Normal"/>
    <w:uiPriority w:val="99"/>
    <w:rsid w:val="007B1786"/>
    <w:pPr>
      <w:widowControl/>
      <w:autoSpaceDE w:val="0"/>
      <w:autoSpaceDN w:val="0"/>
      <w:adjustRightInd w:val="0"/>
      <w:spacing w:line="147" w:lineRule="atLeast"/>
      <w:jc w:val="left"/>
    </w:pPr>
    <w:rPr>
      <w:rFonts w:ascii="ITC Franklin Gothic Std Book" w:hAnsi="ITC Franklin Gothic Std Book"/>
      <w:kern w:val="0"/>
      <w:sz w:val="24"/>
      <w:lang w:eastAsia="en-US"/>
    </w:rPr>
  </w:style>
  <w:style w:type="character" w:styleId="CommentReference">
    <w:name w:val="annotation reference"/>
    <w:basedOn w:val="DefaultParagraphFont"/>
    <w:rsid w:val="0075748C"/>
    <w:rPr>
      <w:sz w:val="16"/>
      <w:szCs w:val="16"/>
    </w:rPr>
  </w:style>
  <w:style w:type="paragraph" w:styleId="CommentText">
    <w:name w:val="annotation text"/>
    <w:basedOn w:val="Normal"/>
    <w:link w:val="CommentTextChar"/>
    <w:rsid w:val="0075748C"/>
    <w:rPr>
      <w:sz w:val="20"/>
      <w:szCs w:val="20"/>
    </w:rPr>
  </w:style>
  <w:style w:type="character" w:customStyle="1" w:styleId="CommentTextChar">
    <w:name w:val="Comment Text Char"/>
    <w:basedOn w:val="DefaultParagraphFont"/>
    <w:link w:val="CommentText"/>
    <w:rsid w:val="0075748C"/>
    <w:rPr>
      <w:kern w:val="2"/>
      <w:lang w:eastAsia="zh-CN"/>
    </w:rPr>
  </w:style>
  <w:style w:type="paragraph" w:styleId="CommentSubject">
    <w:name w:val="annotation subject"/>
    <w:basedOn w:val="CommentText"/>
    <w:next w:val="CommentText"/>
    <w:link w:val="CommentSubjectChar"/>
    <w:rsid w:val="0075748C"/>
    <w:rPr>
      <w:b/>
      <w:bCs/>
    </w:rPr>
  </w:style>
  <w:style w:type="character" w:customStyle="1" w:styleId="CommentSubjectChar">
    <w:name w:val="Comment Subject Char"/>
    <w:basedOn w:val="CommentTextChar"/>
    <w:link w:val="CommentSubject"/>
    <w:rsid w:val="0075748C"/>
    <w:rPr>
      <w:b/>
      <w:bCs/>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44F6-1B7B-48F3-B26E-BC0061CF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15th of July 2004</vt:lpstr>
    </vt:vector>
  </TitlesOfParts>
  <Company>Erasmus MC</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R.W.J. Meijers</dc:creator>
  <cp:lastModifiedBy>R.W.J. Meijers</cp:lastModifiedBy>
  <cp:revision>3</cp:revision>
  <cp:lastPrinted>2014-07-03T12:06:00Z</cp:lastPrinted>
  <dcterms:created xsi:type="dcterms:W3CDTF">2014-07-04T07:04:00Z</dcterms:created>
  <dcterms:modified xsi:type="dcterms:W3CDTF">2014-07-08T11:08:00Z</dcterms:modified>
</cp:coreProperties>
</file>