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11" w:rsidRPr="00DF46FE" w:rsidRDefault="004A3611" w:rsidP="00784746">
      <w:pPr>
        <w:adjustRightInd w:val="0"/>
        <w:snapToGrid w:val="0"/>
        <w:spacing w:after="0" w:afterAutospacing="0" w:line="360" w:lineRule="auto"/>
        <w:jc w:val="both"/>
        <w:rPr>
          <w:rFonts w:ascii="Book Antiqua" w:hAnsi="Book Antiqua" w:cs="宋体"/>
          <w:i/>
          <w:color w:val="000000"/>
          <w:sz w:val="24"/>
          <w:szCs w:val="24"/>
        </w:rPr>
      </w:pPr>
      <w:bookmarkStart w:id="0" w:name="OLE_LINK350"/>
      <w:bookmarkStart w:id="1" w:name="OLE_LINK378"/>
      <w:bookmarkStart w:id="2" w:name="OLE_LINK388"/>
      <w:bookmarkStart w:id="3" w:name="OLE_LINK392"/>
      <w:bookmarkStart w:id="4" w:name="OLE_LINK370"/>
      <w:bookmarkStart w:id="5" w:name="OLE_LINK397"/>
      <w:r w:rsidRPr="00DF46FE">
        <w:rPr>
          <w:rFonts w:ascii="Book Antiqua" w:hAnsi="Book Antiqua" w:cs="宋体"/>
          <w:b/>
          <w:color w:val="0033CC"/>
          <w:sz w:val="24"/>
          <w:szCs w:val="24"/>
        </w:rPr>
        <w:t>Name of journal:</w:t>
      </w:r>
      <w:r w:rsidRPr="00DF46FE">
        <w:rPr>
          <w:rFonts w:ascii="Book Antiqua" w:hAnsi="Book Antiqua" w:cs="宋体"/>
          <w:b/>
          <w:color w:val="000000"/>
          <w:sz w:val="24"/>
          <w:szCs w:val="24"/>
        </w:rPr>
        <w:t xml:space="preserve"> </w:t>
      </w:r>
      <w:r w:rsidRPr="00DF46FE">
        <w:rPr>
          <w:rFonts w:ascii="Book Antiqua" w:hAnsi="Book Antiqua" w:cs="宋体"/>
          <w:i/>
          <w:color w:val="000000"/>
          <w:sz w:val="24"/>
          <w:szCs w:val="24"/>
        </w:rPr>
        <w:t>World Journal of Gastroenterology</w:t>
      </w:r>
    </w:p>
    <w:p w:rsidR="004A3611" w:rsidRPr="00DF46FE" w:rsidRDefault="004A3611" w:rsidP="00784746">
      <w:pPr>
        <w:adjustRightInd w:val="0"/>
        <w:snapToGrid w:val="0"/>
        <w:spacing w:after="0" w:afterAutospacing="0" w:line="360" w:lineRule="auto"/>
        <w:jc w:val="both"/>
        <w:rPr>
          <w:rFonts w:ascii="Book Antiqua" w:hAnsi="Book Antiqua" w:cs="宋体"/>
          <w:b/>
          <w:i/>
          <w:color w:val="000000"/>
          <w:sz w:val="24"/>
          <w:szCs w:val="24"/>
          <w:lang w:eastAsia="zh-CN"/>
        </w:rPr>
      </w:pPr>
      <w:r w:rsidRPr="00DF46FE">
        <w:rPr>
          <w:rFonts w:ascii="Book Antiqua" w:hAnsi="Book Antiqua" w:cs="Arial"/>
          <w:b/>
          <w:color w:val="0033CC"/>
          <w:sz w:val="24"/>
          <w:szCs w:val="24"/>
        </w:rPr>
        <w:t>ESPS Manuscript NO:</w:t>
      </w:r>
      <w:r w:rsidRPr="00DF46FE">
        <w:rPr>
          <w:rFonts w:ascii="Book Antiqua" w:hAnsi="Book Antiqua" w:cs="Arial"/>
          <w:b/>
          <w:color w:val="222222"/>
          <w:sz w:val="24"/>
          <w:szCs w:val="24"/>
        </w:rPr>
        <w:t xml:space="preserve"> </w:t>
      </w:r>
      <w:r w:rsidRPr="00DF46FE">
        <w:rPr>
          <w:rFonts w:ascii="Book Antiqua" w:hAnsi="Book Antiqua" w:cs="Arial"/>
          <w:b/>
          <w:color w:val="222222"/>
          <w:sz w:val="24"/>
          <w:szCs w:val="24"/>
          <w:lang w:eastAsia="zh-CN"/>
        </w:rPr>
        <w:t>1198</w:t>
      </w:r>
    </w:p>
    <w:p w:rsidR="004A3611" w:rsidRPr="00DF46FE" w:rsidRDefault="004A3611" w:rsidP="00784746">
      <w:pPr>
        <w:suppressAutoHyphens/>
        <w:autoSpaceDE w:val="0"/>
        <w:autoSpaceDN w:val="0"/>
        <w:adjustRightInd w:val="0"/>
        <w:snapToGrid w:val="0"/>
        <w:spacing w:after="0" w:afterAutospacing="0" w:line="360" w:lineRule="auto"/>
        <w:jc w:val="both"/>
        <w:rPr>
          <w:rFonts w:ascii="Book Antiqua" w:hAnsi="Book Antiqua"/>
          <w:b/>
          <w:color w:val="000000"/>
          <w:sz w:val="24"/>
          <w:szCs w:val="24"/>
          <w:lang w:eastAsia="zh-CN"/>
        </w:rPr>
      </w:pPr>
      <w:r w:rsidRPr="00DF46FE">
        <w:rPr>
          <w:rFonts w:ascii="Book Antiqua" w:hAnsi="Book Antiqua"/>
          <w:b/>
          <w:color w:val="0033CC"/>
          <w:sz w:val="24"/>
          <w:szCs w:val="24"/>
        </w:rPr>
        <w:t>Columns:</w:t>
      </w:r>
      <w:r w:rsidRPr="00DF46FE">
        <w:rPr>
          <w:rFonts w:ascii="Book Antiqua" w:hAnsi="Book Antiqua"/>
          <w:b/>
          <w:color w:val="000000"/>
          <w:sz w:val="24"/>
          <w:szCs w:val="24"/>
        </w:rPr>
        <w:t xml:space="preserve"> </w:t>
      </w:r>
      <w:r w:rsidRPr="00DF46FE">
        <w:rPr>
          <w:rFonts w:ascii="Book Antiqua" w:hAnsi="Book Antiqua"/>
          <w:b/>
          <w:color w:val="000000"/>
          <w:sz w:val="24"/>
          <w:szCs w:val="24"/>
          <w:lang w:eastAsia="zh-CN"/>
        </w:rPr>
        <w:t>CASE REPORT</w:t>
      </w:r>
    </w:p>
    <w:bookmarkEnd w:id="0"/>
    <w:bookmarkEnd w:id="1"/>
    <w:bookmarkEnd w:id="2"/>
    <w:bookmarkEnd w:id="3"/>
    <w:bookmarkEnd w:id="4"/>
    <w:bookmarkEnd w:id="5"/>
    <w:p w:rsidR="004A3611" w:rsidRPr="00DF46FE" w:rsidRDefault="004A3611" w:rsidP="00784746">
      <w:pPr>
        <w:adjustRightInd w:val="0"/>
        <w:snapToGrid w:val="0"/>
        <w:spacing w:after="0" w:afterAutospacing="0" w:line="360" w:lineRule="auto"/>
        <w:jc w:val="both"/>
        <w:rPr>
          <w:rFonts w:ascii="Book Antiqua" w:hAnsi="Book Antiqua" w:cs="Times New Roman"/>
          <w:b/>
          <w:bCs/>
          <w:sz w:val="24"/>
          <w:szCs w:val="24"/>
          <w:lang w:eastAsia="zh-CN"/>
        </w:rPr>
      </w:pPr>
    </w:p>
    <w:p w:rsidR="004A3611" w:rsidRPr="00DF46FE" w:rsidRDefault="004A3611" w:rsidP="00784746">
      <w:pPr>
        <w:adjustRightInd w:val="0"/>
        <w:snapToGrid w:val="0"/>
        <w:spacing w:after="0" w:afterAutospacing="0" w:line="360" w:lineRule="auto"/>
        <w:jc w:val="both"/>
        <w:rPr>
          <w:rFonts w:ascii="Book Antiqua" w:hAnsi="Book Antiqua" w:cs="Times New Roman"/>
          <w:b/>
          <w:bCs/>
          <w:sz w:val="24"/>
          <w:szCs w:val="24"/>
          <w:lang w:eastAsia="zh-CN"/>
        </w:rPr>
      </w:pPr>
      <w:r w:rsidRPr="00DF46FE">
        <w:rPr>
          <w:rFonts w:ascii="Book Antiqua" w:hAnsi="Book Antiqua" w:cs="Times New Roman"/>
          <w:b/>
          <w:bCs/>
          <w:sz w:val="24"/>
          <w:szCs w:val="24"/>
        </w:rPr>
        <w:t>Nodular regenerative hyperplasia related portal hypertension in a patient with hypogammaglobulinaemia</w:t>
      </w:r>
    </w:p>
    <w:p w:rsidR="004A3611" w:rsidRPr="004D4A87" w:rsidRDefault="004A3611" w:rsidP="00784746">
      <w:pPr>
        <w:adjustRightInd w:val="0"/>
        <w:snapToGrid w:val="0"/>
        <w:spacing w:after="0" w:afterAutospacing="0" w:line="360" w:lineRule="auto"/>
        <w:jc w:val="both"/>
        <w:rPr>
          <w:rFonts w:ascii="Book Antiqua" w:hAnsi="Book Antiqua" w:cs="Times New Roman"/>
          <w:bCs/>
          <w:sz w:val="24"/>
          <w:szCs w:val="24"/>
          <w:lang w:eastAsia="zh-CN"/>
        </w:rPr>
      </w:pPr>
    </w:p>
    <w:p w:rsidR="004A3611" w:rsidRPr="004D4A87" w:rsidRDefault="004A3611" w:rsidP="00784746">
      <w:pPr>
        <w:adjustRightInd w:val="0"/>
        <w:snapToGrid w:val="0"/>
        <w:spacing w:after="0" w:afterAutospacing="0" w:line="360" w:lineRule="auto"/>
        <w:jc w:val="both"/>
        <w:rPr>
          <w:rFonts w:ascii="Book Antiqua" w:hAnsi="Book Antiqua" w:cs="Times New Roman"/>
          <w:bCs/>
          <w:sz w:val="24"/>
          <w:szCs w:val="24"/>
        </w:rPr>
      </w:pPr>
      <w:r w:rsidRPr="004D4A87">
        <w:rPr>
          <w:rFonts w:ascii="Book Antiqua" w:hAnsi="Book Antiqua" w:cs="Times New Roman"/>
          <w:bCs/>
          <w:sz w:val="24"/>
          <w:szCs w:val="24"/>
        </w:rPr>
        <w:t>Lal</w:t>
      </w:r>
      <w:r w:rsidRPr="004D4A87">
        <w:rPr>
          <w:rFonts w:ascii="Book Antiqua" w:hAnsi="Book Antiqua" w:cs="Times New Roman"/>
          <w:bCs/>
          <w:sz w:val="24"/>
          <w:szCs w:val="24"/>
          <w:lang w:eastAsia="zh-CN"/>
        </w:rPr>
        <w:t xml:space="preserve"> BK</w:t>
      </w:r>
      <w:r w:rsidRPr="004D4A87">
        <w:rPr>
          <w:rFonts w:ascii="Book Antiqua" w:hAnsi="Book Antiqua" w:cs="Times New Roman"/>
          <w:bCs/>
          <w:i/>
          <w:sz w:val="24"/>
          <w:szCs w:val="24"/>
          <w:lang w:eastAsia="zh-CN"/>
        </w:rPr>
        <w:t xml:space="preserve"> et al</w:t>
      </w:r>
      <w:r w:rsidRPr="004D4A87">
        <w:rPr>
          <w:rFonts w:ascii="Book Antiqua" w:hAnsi="Book Antiqua" w:cs="Times New Roman"/>
          <w:bCs/>
          <w:sz w:val="24"/>
          <w:szCs w:val="24"/>
          <w:lang w:eastAsia="zh-CN"/>
        </w:rPr>
        <w:t>.</w:t>
      </w:r>
      <w:r w:rsidRPr="004D4A87">
        <w:rPr>
          <w:rFonts w:ascii="Book Antiqua" w:hAnsi="Book Antiqua" w:cs="Times New Roman"/>
          <w:bCs/>
          <w:sz w:val="24"/>
          <w:szCs w:val="24"/>
        </w:rPr>
        <w:t xml:space="preserve"> Nodular regenerative hyperplasia in hypogammaglobulinaemia</w:t>
      </w:r>
    </w:p>
    <w:p w:rsidR="004A3611" w:rsidRPr="00DF46FE" w:rsidRDefault="004A3611" w:rsidP="00784746">
      <w:pPr>
        <w:adjustRightInd w:val="0"/>
        <w:snapToGrid w:val="0"/>
        <w:spacing w:after="0" w:afterAutospacing="0" w:line="360" w:lineRule="auto"/>
        <w:jc w:val="both"/>
        <w:rPr>
          <w:rFonts w:ascii="Book Antiqua" w:hAnsi="Book Antiqua"/>
          <w:sz w:val="24"/>
          <w:szCs w:val="24"/>
        </w:rPr>
      </w:pPr>
    </w:p>
    <w:p w:rsidR="004A3611" w:rsidRPr="007651D9" w:rsidRDefault="004A3611" w:rsidP="00784746">
      <w:pPr>
        <w:adjustRightInd w:val="0"/>
        <w:snapToGrid w:val="0"/>
        <w:spacing w:after="0" w:afterAutospacing="0" w:line="360" w:lineRule="auto"/>
        <w:jc w:val="both"/>
        <w:rPr>
          <w:rFonts w:ascii="Book Antiqua" w:hAnsi="Book Antiqua" w:cs="Times New Roman"/>
          <w:bCs/>
          <w:sz w:val="24"/>
          <w:szCs w:val="24"/>
        </w:rPr>
      </w:pPr>
      <w:r w:rsidRPr="007651D9">
        <w:rPr>
          <w:rFonts w:ascii="Book Antiqua" w:hAnsi="Book Antiqua" w:cs="Times New Roman"/>
          <w:bCs/>
          <w:sz w:val="24"/>
          <w:szCs w:val="24"/>
        </w:rPr>
        <w:t>Barun Kumar Lal, Adrian Stanley</w:t>
      </w:r>
    </w:p>
    <w:p w:rsidR="004A3611" w:rsidRPr="00DF46FE" w:rsidRDefault="004A3611" w:rsidP="00784746">
      <w:pPr>
        <w:adjustRightInd w:val="0"/>
        <w:snapToGrid w:val="0"/>
        <w:spacing w:after="0" w:afterAutospacing="0" w:line="360" w:lineRule="auto"/>
        <w:jc w:val="both"/>
        <w:rPr>
          <w:rFonts w:ascii="Book Antiqua" w:hAnsi="Book Antiqua" w:cs="Times New Roman"/>
          <w:bCs/>
          <w:sz w:val="24"/>
          <w:szCs w:val="24"/>
          <w:lang w:eastAsia="zh-CN"/>
        </w:rPr>
      </w:pPr>
    </w:p>
    <w:p w:rsidR="004A3611" w:rsidRPr="00DF46FE" w:rsidRDefault="004A3611" w:rsidP="00784746">
      <w:pPr>
        <w:adjustRightInd w:val="0"/>
        <w:snapToGrid w:val="0"/>
        <w:spacing w:after="0" w:afterAutospacing="0" w:line="360" w:lineRule="auto"/>
        <w:jc w:val="both"/>
        <w:rPr>
          <w:rFonts w:ascii="Book Antiqua" w:hAnsi="Book Antiqua" w:cs="Times New Roman"/>
          <w:bCs/>
          <w:sz w:val="24"/>
          <w:szCs w:val="24"/>
          <w:lang w:eastAsia="zh-CN"/>
        </w:rPr>
      </w:pPr>
      <w:r w:rsidRPr="00CB6635">
        <w:rPr>
          <w:rFonts w:ascii="Book Antiqua" w:hAnsi="Book Antiqua" w:cs="Times New Roman"/>
          <w:b/>
          <w:bCs/>
          <w:sz w:val="24"/>
          <w:szCs w:val="24"/>
        </w:rPr>
        <w:t xml:space="preserve">Barun Kumar Lal, Adrian Stanley, </w:t>
      </w:r>
      <w:r w:rsidRPr="00DF46FE">
        <w:rPr>
          <w:rFonts w:ascii="Book Antiqua" w:hAnsi="Book Antiqua" w:cs="Times New Roman"/>
          <w:bCs/>
          <w:sz w:val="24"/>
          <w:szCs w:val="24"/>
        </w:rPr>
        <w:t xml:space="preserve">Department of Gastroenterology, </w:t>
      </w:r>
      <w:smartTag w:uri="urn:schemas-microsoft-com:office:smarttags" w:element="City">
        <w:r w:rsidRPr="00DF46FE">
          <w:rPr>
            <w:rFonts w:ascii="Book Antiqua" w:hAnsi="Book Antiqua" w:cs="Times New Roman"/>
            <w:bCs/>
            <w:sz w:val="24"/>
            <w:szCs w:val="24"/>
          </w:rPr>
          <w:t>Gla</w:t>
        </w:r>
        <w:r w:rsidRPr="00DF46FE">
          <w:rPr>
            <w:rFonts w:ascii="Book Antiqua" w:hAnsi="Book Antiqua" w:cs="Times New Roman"/>
            <w:bCs/>
            <w:sz w:val="24"/>
            <w:szCs w:val="24"/>
          </w:rPr>
          <w:t>s</w:t>
        </w:r>
        <w:r w:rsidRPr="00DF46FE">
          <w:rPr>
            <w:rFonts w:ascii="Book Antiqua" w:hAnsi="Book Antiqua" w:cs="Times New Roman"/>
            <w:bCs/>
            <w:sz w:val="24"/>
            <w:szCs w:val="24"/>
          </w:rPr>
          <w:t>gow</w:t>
        </w:r>
      </w:smartTag>
      <w:r w:rsidRPr="00DF46FE">
        <w:rPr>
          <w:rFonts w:ascii="Book Antiqua" w:hAnsi="Book Antiqua" w:cs="Times New Roman"/>
          <w:bCs/>
          <w:sz w:val="24"/>
          <w:szCs w:val="24"/>
        </w:rPr>
        <w:t xml:space="preserve"> Royal Infirmary, </w:t>
      </w:r>
      <w:bookmarkStart w:id="6" w:name="OLE_LINK512"/>
      <w:bookmarkStart w:id="7" w:name="OLE_LINK513"/>
      <w:smartTag w:uri="urn:schemas-microsoft-com:office:smarttags" w:element="place">
        <w:smartTag w:uri="urn:schemas-microsoft-com:office:smarttags" w:element="City">
          <w:r w:rsidRPr="00DF46FE">
            <w:rPr>
              <w:rFonts w:ascii="Book Antiqua" w:hAnsi="Book Antiqua" w:cs="Times New Roman"/>
              <w:bCs/>
              <w:sz w:val="24"/>
              <w:szCs w:val="24"/>
            </w:rPr>
            <w:t>Glasgow</w:t>
          </w:r>
        </w:smartTag>
        <w:r>
          <w:rPr>
            <w:rFonts w:ascii="Book Antiqua" w:hAnsi="Book Antiqua" w:cs="Times New Roman"/>
            <w:bCs/>
            <w:sz w:val="24"/>
            <w:szCs w:val="24"/>
            <w:lang w:eastAsia="zh-CN"/>
          </w:rPr>
          <w:t xml:space="preserve"> </w:t>
        </w:r>
        <w:smartTag w:uri="urn:schemas-microsoft-com:office:smarttags" w:element="PostalCode">
          <w:r w:rsidRPr="00DF46FE">
            <w:rPr>
              <w:rFonts w:ascii="Book Antiqua" w:hAnsi="Book Antiqua" w:cs="Times New Roman"/>
              <w:bCs/>
              <w:sz w:val="24"/>
              <w:szCs w:val="24"/>
            </w:rPr>
            <w:t>G4 0SF</w:t>
          </w:r>
        </w:smartTag>
        <w:r w:rsidRPr="00DF46FE">
          <w:rPr>
            <w:rFonts w:ascii="Book Antiqua" w:hAnsi="Book Antiqua" w:cs="Times New Roman"/>
            <w:bCs/>
            <w:sz w:val="24"/>
            <w:szCs w:val="24"/>
          </w:rPr>
          <w:t xml:space="preserve">, </w:t>
        </w:r>
        <w:bookmarkEnd w:id="6"/>
        <w:bookmarkEnd w:id="7"/>
        <w:smartTag w:uri="urn:schemas-microsoft-com:office:smarttags" w:element="country-region">
          <w:r w:rsidRPr="00DF46FE">
            <w:rPr>
              <w:rFonts w:ascii="Book Antiqua" w:hAnsi="Book Antiqua" w:cs="Times New Roman"/>
              <w:bCs/>
              <w:sz w:val="24"/>
              <w:szCs w:val="24"/>
            </w:rPr>
            <w:t>United King</w:t>
          </w:r>
          <w:r>
            <w:rPr>
              <w:rFonts w:ascii="Book Antiqua" w:hAnsi="Book Antiqua" w:cs="Times New Roman"/>
              <w:bCs/>
              <w:sz w:val="24"/>
              <w:szCs w:val="24"/>
            </w:rPr>
            <w:t>dom</w:t>
          </w:r>
        </w:smartTag>
      </w:smartTag>
    </w:p>
    <w:p w:rsidR="004A3611" w:rsidRPr="00DF46FE" w:rsidRDefault="004A3611" w:rsidP="00784746">
      <w:pPr>
        <w:adjustRightInd w:val="0"/>
        <w:snapToGrid w:val="0"/>
        <w:spacing w:after="0" w:afterAutospacing="0" w:line="360" w:lineRule="auto"/>
        <w:jc w:val="both"/>
        <w:rPr>
          <w:rFonts w:ascii="Book Antiqua" w:hAnsi="Book Antiqua" w:cs="Times New Roman"/>
          <w:bCs/>
          <w:sz w:val="24"/>
          <w:szCs w:val="24"/>
        </w:rPr>
      </w:pPr>
    </w:p>
    <w:p w:rsidR="004A3611" w:rsidRDefault="004A3611" w:rsidP="00784746">
      <w:pPr>
        <w:adjustRightInd w:val="0"/>
        <w:snapToGrid w:val="0"/>
        <w:spacing w:after="0" w:afterAutospacing="0" w:line="360" w:lineRule="auto"/>
        <w:jc w:val="both"/>
        <w:rPr>
          <w:rFonts w:ascii="Book Antiqua" w:hAnsi="Book Antiqua" w:cs="Times New Roman"/>
          <w:bCs/>
          <w:sz w:val="24"/>
          <w:szCs w:val="24"/>
          <w:lang w:eastAsia="zh-CN"/>
        </w:rPr>
      </w:pPr>
      <w:r w:rsidRPr="00CB6635">
        <w:rPr>
          <w:rFonts w:ascii="Book Antiqua" w:hAnsi="Book Antiqua" w:cs="Times New Roman"/>
          <w:b/>
          <w:bCs/>
          <w:sz w:val="24"/>
          <w:szCs w:val="24"/>
        </w:rPr>
        <w:t xml:space="preserve">Authors contributions: </w:t>
      </w:r>
      <w:r>
        <w:rPr>
          <w:rFonts w:ascii="Book Antiqua" w:hAnsi="Book Antiqua" w:cs="Times New Roman"/>
          <w:bCs/>
          <w:sz w:val="24"/>
          <w:szCs w:val="24"/>
        </w:rPr>
        <w:t>Lal B</w:t>
      </w:r>
      <w:r w:rsidRPr="00DF46FE">
        <w:rPr>
          <w:rFonts w:ascii="Book Antiqua" w:hAnsi="Book Antiqua" w:cs="Times New Roman"/>
          <w:bCs/>
          <w:sz w:val="24"/>
          <w:szCs w:val="24"/>
        </w:rPr>
        <w:t xml:space="preserve">K designed and wrote the case report; </w:t>
      </w:r>
      <w:smartTag w:uri="urn:schemas-microsoft-com:office:smarttags" w:element="place">
        <w:smartTag w:uri="urn:schemas-microsoft-com:office:smarttags" w:element="City">
          <w:r w:rsidRPr="00DF46FE">
            <w:rPr>
              <w:rFonts w:ascii="Book Antiqua" w:hAnsi="Book Antiqua" w:cs="Times New Roman"/>
              <w:bCs/>
              <w:sz w:val="24"/>
              <w:szCs w:val="24"/>
            </w:rPr>
            <w:t>Stanley</w:t>
          </w:r>
        </w:smartTag>
      </w:smartTag>
      <w:r w:rsidRPr="00DF46FE">
        <w:rPr>
          <w:rFonts w:ascii="Book Antiqua" w:hAnsi="Book Antiqua" w:cs="Times New Roman"/>
          <w:bCs/>
          <w:sz w:val="24"/>
          <w:szCs w:val="24"/>
        </w:rPr>
        <w:t xml:space="preserve"> A chose the case and gave valuable ideas throughout the case report writing.</w:t>
      </w:r>
    </w:p>
    <w:p w:rsidR="004A3611" w:rsidRPr="00DF46FE" w:rsidRDefault="004A3611" w:rsidP="00784746">
      <w:pPr>
        <w:adjustRightInd w:val="0"/>
        <w:snapToGrid w:val="0"/>
        <w:spacing w:after="0" w:afterAutospacing="0" w:line="360" w:lineRule="auto"/>
        <w:jc w:val="both"/>
        <w:rPr>
          <w:rFonts w:ascii="Book Antiqua" w:hAnsi="Book Antiqua" w:cs="Times New Roman"/>
          <w:bCs/>
          <w:sz w:val="24"/>
          <w:szCs w:val="24"/>
          <w:lang w:eastAsia="zh-CN"/>
        </w:rPr>
      </w:pPr>
    </w:p>
    <w:p w:rsidR="004A3611" w:rsidRPr="00DF46FE" w:rsidRDefault="004A3611" w:rsidP="00784746">
      <w:pPr>
        <w:adjustRightInd w:val="0"/>
        <w:snapToGrid w:val="0"/>
        <w:spacing w:after="0" w:afterAutospacing="0" w:line="360" w:lineRule="auto"/>
        <w:jc w:val="both"/>
        <w:rPr>
          <w:rFonts w:ascii="Book Antiqua" w:hAnsi="Book Antiqua" w:cs="Times New Roman"/>
          <w:bCs/>
          <w:sz w:val="24"/>
          <w:szCs w:val="24"/>
        </w:rPr>
      </w:pPr>
      <w:r w:rsidRPr="00CB6635">
        <w:rPr>
          <w:rFonts w:ascii="Book Antiqua" w:hAnsi="Book Antiqua" w:cs="Times New Roman"/>
          <w:b/>
          <w:bCs/>
          <w:sz w:val="24"/>
          <w:szCs w:val="24"/>
        </w:rPr>
        <w:t>Correnspondence to:</w:t>
      </w:r>
      <w:r w:rsidRPr="00CB6635">
        <w:rPr>
          <w:rFonts w:ascii="Book Antiqua" w:hAnsi="Book Antiqua" w:cs="Times New Roman"/>
          <w:b/>
          <w:bCs/>
          <w:sz w:val="24"/>
          <w:szCs w:val="24"/>
          <w:lang w:eastAsia="zh-CN"/>
        </w:rPr>
        <w:t xml:space="preserve"> </w:t>
      </w:r>
      <w:r w:rsidRPr="00CB6635">
        <w:rPr>
          <w:rFonts w:ascii="Book Antiqua" w:hAnsi="Book Antiqua" w:cs="Times New Roman"/>
          <w:b/>
          <w:bCs/>
          <w:sz w:val="24"/>
          <w:szCs w:val="24"/>
        </w:rPr>
        <w:t>Dr</w:t>
      </w:r>
      <w:r w:rsidRPr="00CB6635">
        <w:rPr>
          <w:rFonts w:ascii="Book Antiqua" w:hAnsi="Book Antiqua" w:cs="Times New Roman"/>
          <w:b/>
          <w:bCs/>
          <w:sz w:val="24"/>
          <w:szCs w:val="24"/>
          <w:lang w:eastAsia="zh-CN"/>
        </w:rPr>
        <w:t>.</w:t>
      </w:r>
      <w:r w:rsidRPr="00CB6635">
        <w:rPr>
          <w:rFonts w:ascii="Book Antiqua" w:hAnsi="Book Antiqua" w:cs="Times New Roman"/>
          <w:b/>
          <w:bCs/>
          <w:sz w:val="24"/>
          <w:szCs w:val="24"/>
        </w:rPr>
        <w:t xml:space="preserve"> </w:t>
      </w:r>
      <w:bookmarkStart w:id="8" w:name="OLE_LINK510"/>
      <w:bookmarkStart w:id="9" w:name="OLE_LINK511"/>
      <w:r w:rsidRPr="00CB6635">
        <w:rPr>
          <w:rFonts w:ascii="Book Antiqua" w:hAnsi="Book Antiqua" w:cs="Times New Roman"/>
          <w:b/>
          <w:bCs/>
          <w:sz w:val="24"/>
          <w:szCs w:val="24"/>
        </w:rPr>
        <w:t>Barun Kumar Lal, MBBS, MRCP</w:t>
      </w:r>
      <w:bookmarkEnd w:id="8"/>
      <w:bookmarkEnd w:id="9"/>
      <w:r w:rsidRPr="00CB6635">
        <w:rPr>
          <w:rFonts w:ascii="Book Antiqua" w:hAnsi="Book Antiqua" w:cs="Times New Roman"/>
          <w:b/>
          <w:bCs/>
          <w:sz w:val="24"/>
          <w:szCs w:val="24"/>
        </w:rPr>
        <w:t>,</w:t>
      </w:r>
      <w:r w:rsidRPr="00DF46FE">
        <w:rPr>
          <w:rFonts w:ascii="Book Antiqua" w:hAnsi="Book Antiqua" w:cs="Times New Roman"/>
          <w:bCs/>
          <w:sz w:val="24"/>
          <w:szCs w:val="24"/>
        </w:rPr>
        <w:t xml:space="preserve"> Clinical fellow in Gastroenterology, </w:t>
      </w:r>
      <w:smartTag w:uri="urn:schemas-microsoft-com:office:smarttags" w:element="place">
        <w:r w:rsidRPr="00DF46FE">
          <w:rPr>
            <w:rFonts w:ascii="Book Antiqua" w:hAnsi="Book Antiqua" w:cs="Times New Roman"/>
            <w:bCs/>
            <w:sz w:val="24"/>
            <w:szCs w:val="24"/>
          </w:rPr>
          <w:t>2 Dorset Square,</w:t>
        </w:r>
        <w:r w:rsidRPr="00CB6635">
          <w:rPr>
            <w:rFonts w:ascii="Book Antiqua" w:hAnsi="Book Antiqua" w:cs="Times New Roman"/>
            <w:bCs/>
            <w:sz w:val="24"/>
            <w:szCs w:val="24"/>
          </w:rPr>
          <w:t xml:space="preserve"> </w:t>
        </w:r>
        <w:smartTag w:uri="urn:schemas-microsoft-com:office:smarttags" w:element="City">
          <w:r>
            <w:rPr>
              <w:rFonts w:ascii="Book Antiqua" w:hAnsi="Book Antiqua" w:cs="Times New Roman"/>
              <w:bCs/>
              <w:sz w:val="24"/>
              <w:szCs w:val="24"/>
            </w:rPr>
            <w:t>Glasgow</w:t>
          </w:r>
        </w:smartTag>
        <w:r>
          <w:rPr>
            <w:rFonts w:ascii="Book Antiqua" w:hAnsi="Book Antiqua" w:cs="Times New Roman"/>
            <w:bCs/>
            <w:sz w:val="24"/>
            <w:szCs w:val="24"/>
            <w:lang w:eastAsia="zh-CN"/>
          </w:rPr>
          <w:t xml:space="preserve"> </w:t>
        </w:r>
        <w:smartTag w:uri="urn:schemas-microsoft-com:office:smarttags" w:element="PostalCode">
          <w:r>
            <w:rPr>
              <w:rFonts w:ascii="Book Antiqua" w:hAnsi="Book Antiqua" w:cs="Times New Roman"/>
              <w:bCs/>
              <w:sz w:val="24"/>
              <w:szCs w:val="24"/>
            </w:rPr>
            <w:t>G4 0SF</w:t>
          </w:r>
        </w:smartTag>
        <w:r>
          <w:rPr>
            <w:rFonts w:ascii="Book Antiqua" w:hAnsi="Book Antiqua" w:cs="Times New Roman"/>
            <w:bCs/>
            <w:sz w:val="24"/>
            <w:szCs w:val="24"/>
          </w:rPr>
          <w:t>,</w:t>
        </w:r>
        <w:r w:rsidRPr="00DF46FE">
          <w:rPr>
            <w:rFonts w:ascii="Book Antiqua" w:hAnsi="Book Antiqua" w:cs="Times New Roman"/>
            <w:bCs/>
            <w:sz w:val="24"/>
            <w:szCs w:val="24"/>
          </w:rPr>
          <w:t xml:space="preserve"> </w:t>
        </w:r>
        <w:smartTag w:uri="urn:schemas-microsoft-com:office:smarttags" w:element="country-region">
          <w:r w:rsidRPr="00DF46FE">
            <w:rPr>
              <w:rFonts w:ascii="Book Antiqua" w:hAnsi="Book Antiqua" w:cs="Times New Roman"/>
              <w:bCs/>
              <w:sz w:val="24"/>
              <w:szCs w:val="24"/>
            </w:rPr>
            <w:t>United Kingdom</w:t>
          </w:r>
        </w:smartTag>
      </w:smartTag>
      <w:r w:rsidRPr="00DF46FE">
        <w:rPr>
          <w:rFonts w:ascii="Book Antiqua" w:hAnsi="Book Antiqua" w:cs="Times New Roman"/>
          <w:bCs/>
          <w:sz w:val="24"/>
          <w:szCs w:val="24"/>
        </w:rPr>
        <w:t xml:space="preserve">. </w:t>
      </w:r>
    </w:p>
    <w:p w:rsidR="004A3611" w:rsidRDefault="007705A7" w:rsidP="00784746">
      <w:pPr>
        <w:adjustRightInd w:val="0"/>
        <w:snapToGrid w:val="0"/>
        <w:spacing w:after="0" w:afterAutospacing="0" w:line="360" w:lineRule="auto"/>
        <w:jc w:val="both"/>
        <w:rPr>
          <w:rFonts w:ascii="Book Antiqua" w:hAnsi="Book Antiqua" w:cs="Times New Roman"/>
          <w:bCs/>
          <w:sz w:val="24"/>
          <w:szCs w:val="24"/>
          <w:lang w:eastAsia="zh-CN"/>
        </w:rPr>
      </w:pPr>
      <w:hyperlink r:id="rId8" w:history="1">
        <w:r w:rsidR="004A3611" w:rsidRPr="005F0A91">
          <w:rPr>
            <w:rStyle w:val="a4"/>
            <w:rFonts w:ascii="Book Antiqua" w:hAnsi="Book Antiqua"/>
            <w:bCs/>
            <w:sz w:val="24"/>
            <w:szCs w:val="24"/>
          </w:rPr>
          <w:t>docbarun@gmail.com</w:t>
        </w:r>
      </w:hyperlink>
    </w:p>
    <w:p w:rsidR="004A3611" w:rsidRPr="00DF46FE" w:rsidRDefault="004A3611" w:rsidP="00784746">
      <w:pPr>
        <w:adjustRightInd w:val="0"/>
        <w:snapToGrid w:val="0"/>
        <w:spacing w:after="0" w:afterAutospacing="0" w:line="360" w:lineRule="auto"/>
        <w:jc w:val="both"/>
        <w:rPr>
          <w:rFonts w:ascii="Book Antiqua" w:hAnsi="Book Antiqua" w:cs="Times New Roman"/>
          <w:bCs/>
          <w:sz w:val="24"/>
          <w:szCs w:val="24"/>
          <w:lang w:eastAsia="zh-CN"/>
        </w:rPr>
      </w:pPr>
    </w:p>
    <w:p w:rsidR="004A3611" w:rsidRPr="00DF46FE" w:rsidRDefault="004A3611" w:rsidP="00784746">
      <w:pPr>
        <w:adjustRightInd w:val="0"/>
        <w:snapToGrid w:val="0"/>
        <w:spacing w:after="0" w:afterAutospacing="0" w:line="360" w:lineRule="auto"/>
        <w:jc w:val="both"/>
        <w:rPr>
          <w:rFonts w:ascii="Book Antiqua" w:hAnsi="Book Antiqua" w:cs="Times New Roman"/>
          <w:bCs/>
          <w:sz w:val="24"/>
          <w:szCs w:val="24"/>
        </w:rPr>
      </w:pPr>
      <w:r w:rsidRPr="00BB7541">
        <w:rPr>
          <w:rFonts w:ascii="Book Antiqua" w:hAnsi="Book Antiqua" w:cs="Times New Roman"/>
          <w:b/>
          <w:bCs/>
          <w:sz w:val="24"/>
          <w:szCs w:val="24"/>
        </w:rPr>
        <w:t xml:space="preserve">Telephone: </w:t>
      </w:r>
      <w:r w:rsidRPr="00DF46FE">
        <w:rPr>
          <w:rFonts w:ascii="Book Antiqua" w:hAnsi="Book Antiqua" w:cs="Times New Roman"/>
          <w:bCs/>
          <w:sz w:val="24"/>
          <w:szCs w:val="24"/>
        </w:rPr>
        <w:t>+44</w:t>
      </w:r>
      <w:r>
        <w:rPr>
          <w:rFonts w:ascii="Book Antiqua" w:hAnsi="Book Antiqua" w:cs="Times New Roman"/>
          <w:bCs/>
          <w:sz w:val="24"/>
          <w:szCs w:val="24"/>
          <w:lang w:eastAsia="zh-CN"/>
        </w:rPr>
        <w:t>-</w:t>
      </w:r>
      <w:r w:rsidRPr="00DF46FE">
        <w:rPr>
          <w:rFonts w:ascii="Book Antiqua" w:hAnsi="Book Antiqua" w:cs="Times New Roman"/>
          <w:bCs/>
          <w:sz w:val="24"/>
          <w:szCs w:val="24"/>
        </w:rPr>
        <w:t>141</w:t>
      </w:r>
      <w:r>
        <w:rPr>
          <w:rFonts w:ascii="Book Antiqua" w:hAnsi="Book Antiqua" w:cs="Times New Roman"/>
          <w:bCs/>
          <w:sz w:val="24"/>
          <w:szCs w:val="24"/>
          <w:lang w:eastAsia="zh-CN"/>
        </w:rPr>
        <w:t>-</w:t>
      </w:r>
      <w:r w:rsidRPr="00DF46FE">
        <w:rPr>
          <w:rFonts w:ascii="Book Antiqua" w:hAnsi="Book Antiqua" w:cs="Times New Roman"/>
          <w:bCs/>
          <w:sz w:val="24"/>
          <w:szCs w:val="24"/>
        </w:rPr>
        <w:t>2210532</w:t>
      </w:r>
      <w:r>
        <w:rPr>
          <w:rFonts w:ascii="Book Antiqua" w:hAnsi="Book Antiqua" w:cs="Times New Roman"/>
          <w:bCs/>
          <w:sz w:val="24"/>
          <w:szCs w:val="24"/>
        </w:rPr>
        <w:t xml:space="preserve">    </w:t>
      </w:r>
      <w:r>
        <w:rPr>
          <w:rFonts w:ascii="Book Antiqua" w:hAnsi="Book Antiqua" w:cs="Times New Roman"/>
          <w:bCs/>
          <w:sz w:val="24"/>
          <w:szCs w:val="24"/>
          <w:lang w:eastAsia="zh-CN"/>
        </w:rPr>
        <w:t xml:space="preserve">                      </w:t>
      </w:r>
      <w:r w:rsidRPr="00BB7541">
        <w:rPr>
          <w:rFonts w:ascii="Book Antiqua" w:hAnsi="Book Antiqua" w:cs="Times New Roman"/>
          <w:b/>
          <w:bCs/>
          <w:sz w:val="24"/>
          <w:szCs w:val="24"/>
        </w:rPr>
        <w:t xml:space="preserve"> Fax:</w:t>
      </w:r>
      <w:r w:rsidRPr="00DF46FE">
        <w:rPr>
          <w:rFonts w:ascii="Book Antiqua" w:hAnsi="Book Antiqua" w:cs="Times New Roman"/>
          <w:bCs/>
          <w:sz w:val="24"/>
          <w:szCs w:val="24"/>
        </w:rPr>
        <w:t xml:space="preserve"> +44</w:t>
      </w:r>
      <w:r>
        <w:rPr>
          <w:rFonts w:ascii="Book Antiqua" w:hAnsi="Book Antiqua" w:cs="Times New Roman"/>
          <w:bCs/>
          <w:sz w:val="24"/>
          <w:szCs w:val="24"/>
          <w:lang w:eastAsia="zh-CN"/>
        </w:rPr>
        <w:t>-</w:t>
      </w:r>
      <w:r w:rsidRPr="00DF46FE">
        <w:rPr>
          <w:rFonts w:ascii="Book Antiqua" w:hAnsi="Book Antiqua" w:cs="Times New Roman"/>
          <w:bCs/>
          <w:sz w:val="24"/>
          <w:szCs w:val="24"/>
        </w:rPr>
        <w:t>141</w:t>
      </w:r>
      <w:r>
        <w:rPr>
          <w:rFonts w:ascii="Book Antiqua" w:hAnsi="Book Antiqua" w:cs="Times New Roman"/>
          <w:bCs/>
          <w:sz w:val="24"/>
          <w:szCs w:val="24"/>
          <w:lang w:eastAsia="zh-CN"/>
        </w:rPr>
        <w:t>-</w:t>
      </w:r>
      <w:r>
        <w:rPr>
          <w:rFonts w:ascii="Book Antiqua" w:hAnsi="Book Antiqua" w:cs="Times New Roman"/>
          <w:bCs/>
          <w:sz w:val="24"/>
          <w:szCs w:val="24"/>
        </w:rPr>
        <w:t>211</w:t>
      </w:r>
      <w:r w:rsidRPr="00DF46FE">
        <w:rPr>
          <w:rFonts w:ascii="Book Antiqua" w:hAnsi="Book Antiqua" w:cs="Times New Roman"/>
          <w:bCs/>
          <w:sz w:val="24"/>
          <w:szCs w:val="24"/>
        </w:rPr>
        <w:t>5131</w:t>
      </w:r>
    </w:p>
    <w:p w:rsidR="004A3611" w:rsidRPr="003635E2" w:rsidRDefault="004A3611" w:rsidP="00784746">
      <w:pPr>
        <w:adjustRightInd w:val="0"/>
        <w:snapToGrid w:val="0"/>
        <w:spacing w:after="0" w:afterAutospacing="0" w:line="360" w:lineRule="auto"/>
        <w:jc w:val="both"/>
        <w:rPr>
          <w:rFonts w:ascii="Book Antiqua" w:hAnsi="Book Antiqua"/>
          <w:b/>
          <w:sz w:val="24"/>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r w:rsidRPr="003635E2">
        <w:rPr>
          <w:rFonts w:ascii="Book Antiqua" w:hAnsi="Book Antiqua"/>
          <w:b/>
          <w:sz w:val="24"/>
        </w:rPr>
        <w:t>Received:</w:t>
      </w:r>
      <w:r>
        <w:rPr>
          <w:rFonts w:ascii="Book Antiqua" w:hAnsi="Book Antiqua"/>
          <w:b/>
          <w:sz w:val="24"/>
          <w:lang w:eastAsia="zh-CN"/>
        </w:rPr>
        <w:t xml:space="preserve"> </w:t>
      </w:r>
      <w:r w:rsidRPr="00BB7541">
        <w:rPr>
          <w:rFonts w:ascii="Book Antiqua" w:hAnsi="Book Antiqua"/>
          <w:sz w:val="24"/>
          <w:lang w:eastAsia="zh-CN"/>
        </w:rPr>
        <w:t>November 20, 2012</w:t>
      </w:r>
      <w:r>
        <w:rPr>
          <w:rFonts w:ascii="Book Antiqua" w:hAnsi="Book Antiqua"/>
          <w:sz w:val="24"/>
          <w:lang w:eastAsia="zh-CN"/>
        </w:rPr>
        <w:t xml:space="preserve">                    </w:t>
      </w:r>
      <w:r w:rsidRPr="003635E2">
        <w:rPr>
          <w:rFonts w:ascii="Book Antiqua" w:hAnsi="Book Antiqua"/>
          <w:b/>
          <w:sz w:val="24"/>
        </w:rPr>
        <w:t xml:space="preserve">Revised: </w:t>
      </w:r>
      <w:bookmarkStart w:id="18" w:name="OLE_LINK561"/>
      <w:bookmarkStart w:id="19" w:name="OLE_LINK562"/>
      <w:bookmarkEnd w:id="10"/>
      <w:bookmarkEnd w:id="11"/>
      <w:r w:rsidRPr="00BB7541">
        <w:rPr>
          <w:rFonts w:ascii="Book Antiqua" w:hAnsi="Book Antiqua"/>
          <w:sz w:val="24"/>
          <w:lang w:eastAsia="zh-CN"/>
        </w:rPr>
        <w:t>January 30, 2013</w:t>
      </w:r>
      <w:bookmarkEnd w:id="18"/>
      <w:bookmarkEnd w:id="19"/>
      <w:r w:rsidRPr="00BB7541">
        <w:rPr>
          <w:rFonts w:ascii="Book Antiqua" w:hAnsi="Book Antiqua"/>
          <w:sz w:val="24"/>
        </w:rPr>
        <w:t xml:space="preserve"> </w:t>
      </w:r>
      <w:bookmarkStart w:id="20" w:name="OLE_LINK103"/>
      <w:bookmarkStart w:id="21" w:name="OLE_LINK104"/>
      <w:bookmarkStart w:id="22" w:name="OLE_LINK69"/>
      <w:bookmarkStart w:id="23" w:name="OLE_LINK70"/>
    </w:p>
    <w:p w:rsidR="00712680" w:rsidRDefault="004A3611" w:rsidP="00712680">
      <w:bookmarkStart w:id="24" w:name="OLE_LINK303"/>
      <w:bookmarkStart w:id="25" w:name="OLE_LINK304"/>
      <w:r w:rsidRPr="003635E2">
        <w:rPr>
          <w:rFonts w:ascii="Book Antiqua" w:hAnsi="Book Antiqua"/>
          <w:b/>
          <w:sz w:val="24"/>
        </w:rPr>
        <w:t>Accepted:</w:t>
      </w:r>
      <w:r>
        <w:rPr>
          <w:rFonts w:ascii="Book Antiqua" w:hAnsi="Book Antiqua"/>
          <w:b/>
          <w:sz w:val="24"/>
        </w:rPr>
        <w:t xml:space="preserve"> </w:t>
      </w:r>
      <w:bookmarkStart w:id="26" w:name="OLE_LINK1"/>
      <w:bookmarkStart w:id="27" w:name="OLE_LINK2"/>
      <w:r w:rsidR="00712680">
        <w:t>February 5, 2013</w:t>
      </w:r>
      <w:bookmarkEnd w:id="26"/>
      <w:bookmarkEnd w:id="27"/>
    </w:p>
    <w:p w:rsidR="004A3611" w:rsidRPr="003635E2" w:rsidRDefault="004A3611" w:rsidP="00784746">
      <w:pPr>
        <w:adjustRightInd w:val="0"/>
        <w:snapToGrid w:val="0"/>
        <w:spacing w:after="0" w:afterAutospacing="0" w:line="360" w:lineRule="auto"/>
        <w:jc w:val="both"/>
        <w:rPr>
          <w:rFonts w:ascii="Book Antiqua" w:hAnsi="Book Antiqua"/>
          <w:b/>
          <w:sz w:val="24"/>
        </w:rPr>
      </w:pPr>
      <w:bookmarkStart w:id="28" w:name="_GoBack"/>
      <w:bookmarkEnd w:id="28"/>
      <w:r w:rsidRPr="003635E2">
        <w:rPr>
          <w:rFonts w:ascii="Book Antiqua" w:hAnsi="Book Antiqua"/>
          <w:b/>
          <w:sz w:val="24"/>
        </w:rPr>
        <w:t xml:space="preserve">Published online: </w:t>
      </w:r>
      <w:bookmarkEnd w:id="20"/>
      <w:bookmarkEnd w:id="21"/>
    </w:p>
    <w:bookmarkEnd w:id="12"/>
    <w:bookmarkEnd w:id="13"/>
    <w:bookmarkEnd w:id="14"/>
    <w:bookmarkEnd w:id="15"/>
    <w:bookmarkEnd w:id="16"/>
    <w:bookmarkEnd w:id="17"/>
    <w:bookmarkEnd w:id="22"/>
    <w:bookmarkEnd w:id="23"/>
    <w:bookmarkEnd w:id="24"/>
    <w:bookmarkEnd w:id="25"/>
    <w:p w:rsidR="004A3611" w:rsidRPr="00DF46FE" w:rsidRDefault="004A3611" w:rsidP="00784746">
      <w:pPr>
        <w:adjustRightInd w:val="0"/>
        <w:snapToGrid w:val="0"/>
        <w:spacing w:after="0" w:afterAutospacing="0" w:line="360" w:lineRule="auto"/>
        <w:jc w:val="both"/>
        <w:rPr>
          <w:rFonts w:ascii="Book Antiqua" w:hAnsi="Book Antiqua" w:cs="Times New Roman"/>
          <w:bCs/>
          <w:sz w:val="24"/>
          <w:szCs w:val="24"/>
        </w:rPr>
      </w:pPr>
    </w:p>
    <w:p w:rsidR="004A3611" w:rsidRPr="00DF46FE" w:rsidRDefault="004A3611" w:rsidP="00784746">
      <w:pPr>
        <w:adjustRightInd w:val="0"/>
        <w:snapToGrid w:val="0"/>
        <w:spacing w:after="0" w:afterAutospacing="0" w:line="360" w:lineRule="auto"/>
        <w:jc w:val="both"/>
        <w:rPr>
          <w:rFonts w:ascii="Book Antiqua" w:hAnsi="Book Antiqua" w:cs="Times New Roman"/>
          <w:bCs/>
          <w:sz w:val="24"/>
          <w:szCs w:val="24"/>
        </w:rPr>
      </w:pPr>
    </w:p>
    <w:p w:rsidR="004A3611" w:rsidRDefault="004A3611" w:rsidP="00784746">
      <w:pPr>
        <w:adjustRightInd w:val="0"/>
        <w:snapToGrid w:val="0"/>
        <w:spacing w:after="0" w:afterAutospacing="0" w:line="360" w:lineRule="auto"/>
        <w:jc w:val="both"/>
        <w:rPr>
          <w:rFonts w:ascii="Book Antiqua" w:hAnsi="Book Antiqua" w:cs="Times New Roman"/>
          <w:b/>
          <w:bCs/>
          <w:sz w:val="24"/>
          <w:szCs w:val="24"/>
          <w:lang w:eastAsia="zh-CN"/>
        </w:rPr>
      </w:pPr>
    </w:p>
    <w:p w:rsidR="004A3611" w:rsidRDefault="004A3611" w:rsidP="00784746">
      <w:pPr>
        <w:adjustRightInd w:val="0"/>
        <w:snapToGrid w:val="0"/>
        <w:spacing w:after="0" w:afterAutospacing="0" w:line="360" w:lineRule="auto"/>
        <w:jc w:val="both"/>
        <w:rPr>
          <w:rFonts w:ascii="Book Antiqua" w:hAnsi="Book Antiqua" w:cs="Times New Roman"/>
          <w:b/>
          <w:bCs/>
          <w:sz w:val="24"/>
          <w:szCs w:val="24"/>
          <w:lang w:eastAsia="zh-CN"/>
        </w:rPr>
      </w:pPr>
    </w:p>
    <w:p w:rsidR="004A3611" w:rsidRDefault="004A3611" w:rsidP="00784746">
      <w:pPr>
        <w:adjustRightInd w:val="0"/>
        <w:snapToGrid w:val="0"/>
        <w:spacing w:after="0" w:afterAutospacing="0" w:line="360" w:lineRule="auto"/>
        <w:jc w:val="both"/>
        <w:rPr>
          <w:rFonts w:ascii="Book Antiqua" w:hAnsi="Book Antiqua" w:cs="Times New Roman"/>
          <w:b/>
          <w:bCs/>
          <w:sz w:val="24"/>
          <w:szCs w:val="24"/>
          <w:lang w:eastAsia="zh-CN"/>
        </w:rPr>
      </w:pPr>
    </w:p>
    <w:p w:rsidR="004A3611" w:rsidRDefault="004A3611" w:rsidP="00784746">
      <w:pPr>
        <w:adjustRightInd w:val="0"/>
        <w:snapToGrid w:val="0"/>
        <w:spacing w:after="0" w:afterAutospacing="0" w:line="360" w:lineRule="auto"/>
        <w:jc w:val="both"/>
        <w:rPr>
          <w:rFonts w:ascii="Book Antiqua" w:hAnsi="Book Antiqua" w:cs="Times New Roman"/>
          <w:b/>
          <w:bCs/>
          <w:sz w:val="24"/>
          <w:szCs w:val="24"/>
          <w:lang w:eastAsia="zh-CN"/>
        </w:rPr>
      </w:pPr>
    </w:p>
    <w:p w:rsidR="004A3611" w:rsidRPr="00DF46FE" w:rsidRDefault="004A3611" w:rsidP="00784746">
      <w:pPr>
        <w:adjustRightInd w:val="0"/>
        <w:snapToGrid w:val="0"/>
        <w:spacing w:after="0" w:afterAutospacing="0" w:line="360" w:lineRule="auto"/>
        <w:jc w:val="both"/>
        <w:rPr>
          <w:rFonts w:ascii="Book Antiqua" w:hAnsi="Book Antiqua" w:cs="Times New Roman"/>
          <w:b/>
          <w:bCs/>
          <w:sz w:val="24"/>
          <w:szCs w:val="24"/>
          <w:lang w:eastAsia="zh-CN"/>
        </w:rPr>
      </w:pPr>
    </w:p>
    <w:p w:rsidR="004A3611" w:rsidRPr="00DF46FE" w:rsidRDefault="004A3611" w:rsidP="00784746">
      <w:pPr>
        <w:adjustRightInd w:val="0"/>
        <w:snapToGrid w:val="0"/>
        <w:spacing w:after="0" w:afterAutospacing="0" w:line="360" w:lineRule="auto"/>
        <w:jc w:val="both"/>
        <w:rPr>
          <w:rFonts w:ascii="Book Antiqua" w:hAnsi="Book Antiqua" w:cs="Times New Roman"/>
          <w:b/>
          <w:bCs/>
          <w:sz w:val="24"/>
          <w:szCs w:val="24"/>
        </w:rPr>
      </w:pPr>
      <w:r w:rsidRPr="00DF46FE">
        <w:rPr>
          <w:rFonts w:ascii="Book Antiqua" w:hAnsi="Book Antiqua" w:cs="Times New Roman"/>
          <w:b/>
          <w:bCs/>
          <w:sz w:val="24"/>
          <w:szCs w:val="24"/>
        </w:rPr>
        <w:t>Abstract</w:t>
      </w:r>
    </w:p>
    <w:p w:rsidR="004A3611" w:rsidRPr="00DF46FE" w:rsidRDefault="004A3611" w:rsidP="00784746">
      <w:pPr>
        <w:adjustRightInd w:val="0"/>
        <w:snapToGrid w:val="0"/>
        <w:spacing w:after="0" w:afterAutospacing="0" w:line="360" w:lineRule="auto"/>
        <w:jc w:val="both"/>
        <w:rPr>
          <w:rFonts w:ascii="Book Antiqua" w:hAnsi="Book Antiqua" w:cs="Times New Roman"/>
          <w:sz w:val="24"/>
          <w:szCs w:val="24"/>
        </w:rPr>
      </w:pPr>
      <w:bookmarkStart w:id="29" w:name="OLE_LINK522"/>
      <w:bookmarkStart w:id="30" w:name="OLE_LINK523"/>
      <w:r w:rsidRPr="00DF46FE">
        <w:rPr>
          <w:rFonts w:ascii="Book Antiqua" w:hAnsi="Book Antiqua" w:cs="Times New Roman"/>
          <w:sz w:val="24"/>
          <w:szCs w:val="24"/>
        </w:rPr>
        <w:t>Nodular regenerative hyperplasia (NRH)</w:t>
      </w:r>
      <w:bookmarkEnd w:id="29"/>
      <w:bookmarkEnd w:id="30"/>
      <w:r w:rsidRPr="00DF46FE">
        <w:rPr>
          <w:rFonts w:ascii="Book Antiqua" w:hAnsi="Book Antiqua" w:cs="Times New Roman"/>
          <w:sz w:val="24"/>
          <w:szCs w:val="24"/>
        </w:rPr>
        <w:t xml:space="preserve"> of liver is a relatively rare liver di</w:t>
      </w:r>
      <w:r w:rsidRPr="00DF46FE">
        <w:rPr>
          <w:rFonts w:ascii="Book Antiqua" w:hAnsi="Book Antiqua" w:cs="Times New Roman"/>
          <w:sz w:val="24"/>
          <w:szCs w:val="24"/>
        </w:rPr>
        <w:t>s</w:t>
      </w:r>
      <w:r w:rsidRPr="00DF46FE">
        <w:rPr>
          <w:rFonts w:ascii="Book Antiqua" w:hAnsi="Book Antiqua" w:cs="Times New Roman"/>
          <w:sz w:val="24"/>
          <w:szCs w:val="24"/>
        </w:rPr>
        <w:t>order, but a frequent cause of noncirrhotic portal hypertension. We present a lady with common variable immune deficiency who presented with upper gastrointestinal bleeding and deranged liver function tests but preserved sy</w:t>
      </w:r>
      <w:r w:rsidRPr="00DF46FE">
        <w:rPr>
          <w:rFonts w:ascii="Book Antiqua" w:hAnsi="Book Antiqua" w:cs="Times New Roman"/>
          <w:sz w:val="24"/>
          <w:szCs w:val="24"/>
        </w:rPr>
        <w:t>n</w:t>
      </w:r>
      <w:r w:rsidRPr="00DF46FE">
        <w:rPr>
          <w:rFonts w:ascii="Book Antiqua" w:hAnsi="Book Antiqua" w:cs="Times New Roman"/>
          <w:sz w:val="24"/>
          <w:szCs w:val="24"/>
        </w:rPr>
        <w:t>thetic function. Upper gastrointestinal endoscope showed bleeding gastric varices and non-bleeding oesophageal varices. Although her oesophageal va</w:t>
      </w:r>
      <w:r w:rsidRPr="00DF46FE">
        <w:rPr>
          <w:rFonts w:ascii="Book Antiqua" w:hAnsi="Book Antiqua" w:cs="Times New Roman"/>
          <w:sz w:val="24"/>
          <w:szCs w:val="24"/>
        </w:rPr>
        <w:t>r</w:t>
      </w:r>
      <w:r w:rsidRPr="00DF46FE">
        <w:rPr>
          <w:rFonts w:ascii="Book Antiqua" w:hAnsi="Book Antiqua" w:cs="Times New Roman"/>
          <w:sz w:val="24"/>
          <w:szCs w:val="24"/>
        </w:rPr>
        <w:t>ices were eradicated by repeated endoscopic band ligation, the gastric varices failed to resolve after repeated endoscopic histocryl injection and she event</w:t>
      </w:r>
      <w:r w:rsidRPr="00DF46FE">
        <w:rPr>
          <w:rFonts w:ascii="Book Antiqua" w:hAnsi="Book Antiqua" w:cs="Times New Roman"/>
          <w:sz w:val="24"/>
          <w:szCs w:val="24"/>
        </w:rPr>
        <w:t>u</w:t>
      </w:r>
      <w:r w:rsidRPr="00DF46FE">
        <w:rPr>
          <w:rFonts w:ascii="Book Antiqua" w:hAnsi="Book Antiqua" w:cs="Times New Roman"/>
          <w:sz w:val="24"/>
          <w:szCs w:val="24"/>
        </w:rPr>
        <w:t>ally needed transjugular intrahepatic portosystemic shunt placement. Liver biopsy showed NRH. We review the association of hypogammaglobinaemia and NRH and discuss the appropriate management of portal hypertension in NRH.</w:t>
      </w:r>
    </w:p>
    <w:p w:rsidR="004A3611" w:rsidRPr="00DF46FE" w:rsidRDefault="004A3611" w:rsidP="00784746">
      <w:pPr>
        <w:adjustRightInd w:val="0"/>
        <w:snapToGrid w:val="0"/>
        <w:spacing w:after="0" w:afterAutospacing="0" w:line="360" w:lineRule="auto"/>
        <w:jc w:val="both"/>
        <w:rPr>
          <w:rFonts w:ascii="Book Antiqua" w:hAnsi="Book Antiqua" w:cs="Times New Roman"/>
          <w:sz w:val="24"/>
          <w:szCs w:val="24"/>
        </w:rPr>
      </w:pPr>
    </w:p>
    <w:p w:rsidR="004A3611" w:rsidRPr="003635E2" w:rsidRDefault="004A3611" w:rsidP="00784746">
      <w:pPr>
        <w:adjustRightInd w:val="0"/>
        <w:snapToGrid w:val="0"/>
        <w:spacing w:after="0" w:afterAutospacing="0" w:line="360" w:lineRule="auto"/>
        <w:jc w:val="both"/>
        <w:rPr>
          <w:rFonts w:ascii="Book Antiqua" w:hAnsi="Book Antiqua"/>
          <w:sz w:val="24"/>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r w:rsidRPr="003635E2">
        <w:rPr>
          <w:rFonts w:ascii="Book Antiqua" w:hAnsi="Book Antiqua"/>
          <w:sz w:val="24"/>
        </w:rPr>
        <w:t>© 201</w:t>
      </w:r>
      <w:r>
        <w:rPr>
          <w:rFonts w:ascii="Book Antiqua" w:hAnsi="Book Antiqua"/>
          <w:sz w:val="24"/>
          <w:lang w:eastAsia="zh-CN"/>
        </w:rPr>
        <w:t>3</w:t>
      </w:r>
      <w:r w:rsidRPr="003635E2">
        <w:rPr>
          <w:rFonts w:ascii="Book Antiqua" w:hAnsi="Book Antiqua"/>
          <w:sz w:val="24"/>
        </w:rPr>
        <w:t xml:space="preserve"> Baishideng. All rights reserved.</w:t>
      </w:r>
      <w:r>
        <w:rPr>
          <w:rFonts w:ascii="Book Antiqua" w:hAnsi="Book Antiqua"/>
          <w:sz w:val="24"/>
        </w:rPr>
        <w:t xml:space="preserve"> </w:t>
      </w:r>
    </w:p>
    <w:bookmarkEnd w:id="31"/>
    <w:bookmarkEnd w:id="32"/>
    <w:bookmarkEnd w:id="33"/>
    <w:bookmarkEnd w:id="34"/>
    <w:bookmarkEnd w:id="35"/>
    <w:bookmarkEnd w:id="36"/>
    <w:bookmarkEnd w:id="37"/>
    <w:bookmarkEnd w:id="38"/>
    <w:bookmarkEnd w:id="39"/>
    <w:bookmarkEnd w:id="40"/>
    <w:p w:rsidR="004A3611" w:rsidRPr="00DF46FE" w:rsidRDefault="004A3611" w:rsidP="00784746">
      <w:pPr>
        <w:adjustRightInd w:val="0"/>
        <w:snapToGrid w:val="0"/>
        <w:spacing w:after="0" w:afterAutospacing="0" w:line="360" w:lineRule="auto"/>
        <w:jc w:val="both"/>
        <w:rPr>
          <w:rFonts w:ascii="Book Antiqua" w:hAnsi="Book Antiqua" w:cs="Times New Roman"/>
          <w:sz w:val="24"/>
          <w:szCs w:val="24"/>
          <w:lang w:eastAsia="zh-CN"/>
        </w:rPr>
      </w:pPr>
    </w:p>
    <w:p w:rsidR="004A3611" w:rsidRDefault="004A3611" w:rsidP="00784746">
      <w:pPr>
        <w:adjustRightInd w:val="0"/>
        <w:snapToGrid w:val="0"/>
        <w:spacing w:after="0" w:afterAutospacing="0" w:line="360" w:lineRule="auto"/>
        <w:jc w:val="both"/>
        <w:rPr>
          <w:rFonts w:ascii="Book Antiqua" w:hAnsi="Book Antiqua" w:cs="Times New Roman"/>
          <w:sz w:val="24"/>
          <w:szCs w:val="24"/>
          <w:lang w:eastAsia="zh-CN"/>
        </w:rPr>
      </w:pPr>
      <w:r w:rsidRPr="00BB7541">
        <w:rPr>
          <w:rFonts w:ascii="Book Antiqua" w:hAnsi="Book Antiqua" w:cs="Times New Roman"/>
          <w:b/>
          <w:sz w:val="24"/>
          <w:szCs w:val="24"/>
        </w:rPr>
        <w:t>Key words:</w:t>
      </w:r>
      <w:r w:rsidRPr="00BB7541">
        <w:rPr>
          <w:rFonts w:ascii="Book Antiqua" w:hAnsi="Book Antiqua" w:cs="Times New Roman"/>
          <w:b/>
          <w:sz w:val="24"/>
          <w:szCs w:val="24"/>
          <w:lang w:eastAsia="zh-CN"/>
        </w:rPr>
        <w:t xml:space="preserve"> </w:t>
      </w:r>
      <w:r w:rsidRPr="00DF46FE">
        <w:rPr>
          <w:rFonts w:ascii="Book Antiqua" w:hAnsi="Book Antiqua" w:cs="Times New Roman"/>
          <w:sz w:val="24"/>
          <w:szCs w:val="24"/>
        </w:rPr>
        <w:t>Nodular regenerative hyperplasia</w:t>
      </w:r>
      <w:bookmarkStart w:id="41" w:name="OLE_LINK515"/>
      <w:bookmarkStart w:id="42" w:name="OLE_LINK516"/>
      <w:r>
        <w:rPr>
          <w:rFonts w:ascii="Book Antiqua" w:hAnsi="Book Antiqua" w:cs="Times New Roman"/>
          <w:sz w:val="24"/>
          <w:szCs w:val="24"/>
          <w:lang w:eastAsia="zh-CN"/>
        </w:rPr>
        <w:t>;</w:t>
      </w:r>
      <w:bookmarkEnd w:id="41"/>
      <w:bookmarkEnd w:id="42"/>
      <w:r w:rsidRPr="00DF46FE">
        <w:rPr>
          <w:rFonts w:ascii="Book Antiqua" w:hAnsi="Book Antiqua" w:cs="Times New Roman"/>
          <w:sz w:val="24"/>
          <w:szCs w:val="24"/>
        </w:rPr>
        <w:t xml:space="preserve"> Liver</w:t>
      </w:r>
      <w:r>
        <w:rPr>
          <w:rFonts w:ascii="Book Antiqua" w:hAnsi="Book Antiqua" w:cs="Times New Roman"/>
          <w:sz w:val="24"/>
          <w:szCs w:val="24"/>
          <w:lang w:eastAsia="zh-CN"/>
        </w:rPr>
        <w:t>;</w:t>
      </w:r>
      <w:r w:rsidRPr="00DF46FE">
        <w:rPr>
          <w:rFonts w:ascii="Book Antiqua" w:hAnsi="Book Antiqua" w:cs="Times New Roman"/>
          <w:sz w:val="24"/>
          <w:szCs w:val="24"/>
        </w:rPr>
        <w:t xml:space="preserve"> Portal hypertension</w:t>
      </w:r>
      <w:r>
        <w:rPr>
          <w:rFonts w:ascii="Book Antiqua" w:hAnsi="Book Antiqua" w:cs="Times New Roman"/>
          <w:sz w:val="24"/>
          <w:szCs w:val="24"/>
          <w:lang w:eastAsia="zh-CN"/>
        </w:rPr>
        <w:t>;</w:t>
      </w:r>
      <w:r w:rsidRPr="00DF46FE">
        <w:rPr>
          <w:rFonts w:ascii="Book Antiqua" w:hAnsi="Book Antiqua" w:cs="Times New Roman"/>
          <w:sz w:val="24"/>
          <w:szCs w:val="24"/>
        </w:rPr>
        <w:t xml:space="preserve"> Hypogammaglobilinaemia</w:t>
      </w:r>
      <w:r>
        <w:rPr>
          <w:rFonts w:ascii="Book Antiqua" w:hAnsi="Book Antiqua" w:cs="Times New Roman"/>
          <w:sz w:val="24"/>
          <w:szCs w:val="24"/>
          <w:lang w:eastAsia="zh-CN"/>
        </w:rPr>
        <w:t>;</w:t>
      </w:r>
      <w:r w:rsidRPr="00DF46FE">
        <w:rPr>
          <w:rFonts w:ascii="Book Antiqua" w:hAnsi="Book Antiqua" w:cs="Times New Roman"/>
          <w:sz w:val="24"/>
          <w:szCs w:val="24"/>
        </w:rPr>
        <w:t xml:space="preserve"> Gastro-oesophageal</w:t>
      </w:r>
      <w:r>
        <w:rPr>
          <w:rFonts w:ascii="Book Antiqua" w:hAnsi="Book Antiqua" w:cs="Times New Roman"/>
          <w:sz w:val="24"/>
          <w:szCs w:val="24"/>
        </w:rPr>
        <w:t xml:space="preserve"> varices</w:t>
      </w:r>
    </w:p>
    <w:p w:rsidR="004A3611" w:rsidRDefault="004A3611" w:rsidP="00EE5D93">
      <w:pPr>
        <w:adjustRightInd w:val="0"/>
        <w:snapToGrid w:val="0"/>
        <w:spacing w:after="0" w:afterAutospacing="0" w:line="360" w:lineRule="auto"/>
        <w:jc w:val="both"/>
        <w:rPr>
          <w:rFonts w:ascii="Book Antiqua" w:hAnsi="Book Antiqua" w:cs="Times New Roman"/>
          <w:sz w:val="24"/>
          <w:szCs w:val="24"/>
          <w:lang w:eastAsia="zh-CN"/>
        </w:rPr>
      </w:pPr>
    </w:p>
    <w:p w:rsidR="004A3611" w:rsidRPr="00DF46FE" w:rsidRDefault="004A3611" w:rsidP="00EE5D93">
      <w:pPr>
        <w:adjustRightInd w:val="0"/>
        <w:snapToGrid w:val="0"/>
        <w:spacing w:after="0" w:afterAutospacing="0" w:line="360" w:lineRule="auto"/>
        <w:jc w:val="both"/>
        <w:rPr>
          <w:rFonts w:ascii="Book Antiqua" w:hAnsi="Book Antiqua" w:cs="Times New Roman"/>
          <w:sz w:val="24"/>
          <w:szCs w:val="24"/>
        </w:rPr>
      </w:pPr>
      <w:bookmarkStart w:id="43" w:name="OLE_LINK576"/>
      <w:bookmarkStart w:id="44" w:name="OLE_LINK579"/>
      <w:bookmarkStart w:id="45" w:name="OLE_LINK580"/>
      <w:r w:rsidRPr="00201986">
        <w:rPr>
          <w:rFonts w:ascii="Book Antiqua" w:hAnsi="Book Antiqua" w:cs="宋体"/>
          <w:b/>
          <w:sz w:val="24"/>
        </w:rPr>
        <w:t>Core tip:</w:t>
      </w:r>
      <w:r w:rsidRPr="00201986">
        <w:rPr>
          <w:rFonts w:ascii="Book Antiqua" w:hAnsi="Book Antiqua" w:cs="宋体"/>
          <w:sz w:val="24"/>
        </w:rPr>
        <w:t xml:space="preserve"> </w:t>
      </w:r>
      <w:bookmarkStart w:id="46" w:name="OLE_LINK528"/>
      <w:bookmarkStart w:id="47" w:name="OLE_LINK529"/>
      <w:bookmarkStart w:id="48" w:name="OLE_LINK530"/>
      <w:bookmarkStart w:id="49" w:name="OLE_LINK531"/>
      <w:bookmarkEnd w:id="43"/>
      <w:bookmarkEnd w:id="44"/>
      <w:bookmarkEnd w:id="45"/>
      <w:r>
        <w:rPr>
          <w:rFonts w:ascii="Book Antiqua" w:hAnsi="Book Antiqua" w:cs="Times New Roman"/>
          <w:sz w:val="24"/>
          <w:szCs w:val="24"/>
        </w:rPr>
        <w:t>Nodular regenerative hyperplasia (NRH)</w:t>
      </w:r>
      <w:bookmarkEnd w:id="46"/>
      <w:bookmarkEnd w:id="47"/>
      <w:bookmarkEnd w:id="48"/>
      <w:bookmarkEnd w:id="49"/>
      <w:r w:rsidRPr="00DF46FE">
        <w:rPr>
          <w:rFonts w:ascii="Book Antiqua" w:hAnsi="Book Antiqua" w:cs="Times New Roman"/>
          <w:sz w:val="24"/>
          <w:szCs w:val="24"/>
        </w:rPr>
        <w:t xml:space="preserve"> is still an evolving co</w:t>
      </w:r>
      <w:r w:rsidRPr="00DF46FE">
        <w:rPr>
          <w:rFonts w:ascii="Book Antiqua" w:hAnsi="Book Antiqua" w:cs="Times New Roman"/>
          <w:sz w:val="24"/>
          <w:szCs w:val="24"/>
        </w:rPr>
        <w:t>n</w:t>
      </w:r>
      <w:r w:rsidRPr="00DF46FE">
        <w:rPr>
          <w:rFonts w:ascii="Book Antiqua" w:hAnsi="Book Antiqua" w:cs="Times New Roman"/>
          <w:sz w:val="24"/>
          <w:szCs w:val="24"/>
        </w:rPr>
        <w:t xml:space="preserve">cept. Although a rarely identified liver disorder, it is a frequent cause of noncirrhotic portal hypertension. Liver involvement in primary </w:t>
      </w:r>
      <w:r w:rsidRPr="00ED1070">
        <w:rPr>
          <w:rFonts w:ascii="Book Antiqua" w:hAnsi="Book Antiqua" w:cs="Times New Roman"/>
          <w:sz w:val="24"/>
          <w:szCs w:val="24"/>
        </w:rPr>
        <w:t>hypoga</w:t>
      </w:r>
      <w:r w:rsidRPr="00ED1070">
        <w:rPr>
          <w:rFonts w:ascii="Book Antiqua" w:hAnsi="Book Antiqua" w:cs="Times New Roman"/>
          <w:sz w:val="24"/>
          <w:szCs w:val="24"/>
        </w:rPr>
        <w:t>m</w:t>
      </w:r>
      <w:r w:rsidRPr="00ED1070">
        <w:rPr>
          <w:rFonts w:ascii="Book Antiqua" w:hAnsi="Book Antiqua" w:cs="Times New Roman"/>
          <w:sz w:val="24"/>
          <w:szCs w:val="24"/>
        </w:rPr>
        <w:t>maglobulinemia</w:t>
      </w:r>
      <w:r w:rsidRPr="00DF46FE">
        <w:rPr>
          <w:rFonts w:ascii="Book Antiqua" w:hAnsi="Book Antiqua" w:cs="Times New Roman"/>
          <w:sz w:val="24"/>
          <w:szCs w:val="24"/>
        </w:rPr>
        <w:t xml:space="preserve"> mainly consists of NRH leading to chronic cholestasis and portal hypertension. Optimal management of gastric variceal bleed remains unclear. Histoacryl injection is the endoscopic method of choice for gastric variceal bleed but one should keep a lower</w:t>
      </w:r>
      <w:bookmarkStart w:id="50" w:name="OLE_LINK526"/>
      <w:bookmarkStart w:id="51" w:name="OLE_LINK527"/>
      <w:r w:rsidRPr="00DF46FE">
        <w:rPr>
          <w:rFonts w:ascii="Book Antiqua" w:hAnsi="Book Antiqua" w:cs="Times New Roman"/>
          <w:sz w:val="24"/>
          <w:szCs w:val="24"/>
        </w:rPr>
        <w:t xml:space="preserve"> threshold for </w:t>
      </w:r>
      <w:r w:rsidRPr="00510AA6">
        <w:rPr>
          <w:rFonts w:ascii="Book Antiqua" w:hAnsi="Book Antiqua" w:cs="Times New Roman"/>
          <w:sz w:val="24"/>
          <w:szCs w:val="24"/>
        </w:rPr>
        <w:t>transjugular intrah</w:t>
      </w:r>
      <w:r w:rsidRPr="00510AA6">
        <w:rPr>
          <w:rFonts w:ascii="Book Antiqua" w:hAnsi="Book Antiqua" w:cs="Times New Roman"/>
          <w:sz w:val="24"/>
          <w:szCs w:val="24"/>
        </w:rPr>
        <w:t>e</w:t>
      </w:r>
      <w:r w:rsidRPr="00510AA6">
        <w:rPr>
          <w:rFonts w:ascii="Book Antiqua" w:hAnsi="Book Antiqua" w:cs="Times New Roman"/>
          <w:sz w:val="24"/>
          <w:szCs w:val="24"/>
        </w:rPr>
        <w:t>patic portosystemic shunt</w:t>
      </w:r>
      <w:r w:rsidRPr="00DF46FE">
        <w:rPr>
          <w:rFonts w:ascii="Book Antiqua" w:hAnsi="Book Antiqua" w:cs="Times New Roman"/>
          <w:sz w:val="24"/>
          <w:szCs w:val="24"/>
        </w:rPr>
        <w:t xml:space="preserve"> procedure</w:t>
      </w:r>
      <w:bookmarkEnd w:id="50"/>
      <w:bookmarkEnd w:id="51"/>
      <w:r w:rsidRPr="00DF46FE">
        <w:rPr>
          <w:rFonts w:ascii="Book Antiqua" w:hAnsi="Book Antiqua" w:cs="Times New Roman"/>
          <w:sz w:val="24"/>
          <w:szCs w:val="24"/>
        </w:rPr>
        <w:t xml:space="preserve"> for recurrent gastric variceal bleed. </w:t>
      </w:r>
    </w:p>
    <w:p w:rsidR="004A3611" w:rsidRPr="00EE5D93" w:rsidRDefault="004A3611" w:rsidP="00784746">
      <w:pPr>
        <w:adjustRightInd w:val="0"/>
        <w:snapToGrid w:val="0"/>
        <w:spacing w:after="0" w:afterAutospacing="0" w:line="360" w:lineRule="auto"/>
        <w:jc w:val="both"/>
        <w:rPr>
          <w:rFonts w:ascii="Book Antiqua" w:hAnsi="Book Antiqua" w:cs="Times New Roman"/>
          <w:sz w:val="24"/>
          <w:szCs w:val="24"/>
          <w:lang w:eastAsia="zh-CN"/>
        </w:rPr>
      </w:pPr>
    </w:p>
    <w:p w:rsidR="004A3611" w:rsidRDefault="004A3611" w:rsidP="00784746">
      <w:pPr>
        <w:adjustRightInd w:val="0"/>
        <w:snapToGrid w:val="0"/>
        <w:spacing w:after="0" w:afterAutospacing="0" w:line="360" w:lineRule="auto"/>
        <w:jc w:val="both"/>
        <w:rPr>
          <w:rFonts w:ascii="Book Antiqua" w:hAnsi="Book Antiqua" w:cs="Times New Roman"/>
          <w:sz w:val="24"/>
          <w:szCs w:val="24"/>
          <w:lang w:eastAsia="zh-CN"/>
        </w:rPr>
      </w:pPr>
      <w:r>
        <w:rPr>
          <w:rFonts w:ascii="Book Antiqua" w:hAnsi="Book Antiqua" w:cs="Times New Roman"/>
          <w:sz w:val="24"/>
          <w:szCs w:val="24"/>
        </w:rPr>
        <w:t>Lal B</w:t>
      </w:r>
      <w:r w:rsidRPr="00DF46FE">
        <w:rPr>
          <w:rFonts w:ascii="Book Antiqua" w:hAnsi="Book Antiqua" w:cs="Times New Roman"/>
          <w:sz w:val="24"/>
          <w:szCs w:val="24"/>
        </w:rPr>
        <w:t xml:space="preserve">K, </w:t>
      </w:r>
      <w:smartTag w:uri="urn:schemas-microsoft-com:office:smarttags" w:element="place">
        <w:smartTag w:uri="urn:schemas-microsoft-com:office:smarttags" w:element="City">
          <w:r w:rsidRPr="00DF46FE">
            <w:rPr>
              <w:rFonts w:ascii="Book Antiqua" w:hAnsi="Book Antiqua" w:cs="Times New Roman"/>
              <w:sz w:val="24"/>
              <w:szCs w:val="24"/>
            </w:rPr>
            <w:t>Stanley</w:t>
          </w:r>
        </w:smartTag>
      </w:smartTag>
      <w:r w:rsidRPr="00DF46FE">
        <w:rPr>
          <w:rFonts w:ascii="Book Antiqua" w:hAnsi="Book Antiqua" w:cs="Times New Roman"/>
          <w:sz w:val="24"/>
          <w:szCs w:val="24"/>
        </w:rPr>
        <w:t xml:space="preserve"> A</w:t>
      </w:r>
      <w:r>
        <w:rPr>
          <w:rFonts w:ascii="Book Antiqua" w:hAnsi="Book Antiqua" w:cs="Times New Roman"/>
          <w:sz w:val="24"/>
          <w:szCs w:val="24"/>
          <w:lang w:eastAsia="zh-CN"/>
        </w:rPr>
        <w:t>.</w:t>
      </w:r>
      <w:r w:rsidRPr="00DF46FE">
        <w:rPr>
          <w:rFonts w:ascii="Book Antiqua" w:hAnsi="Book Antiqua" w:cs="Times New Roman"/>
          <w:sz w:val="24"/>
          <w:szCs w:val="24"/>
        </w:rPr>
        <w:t xml:space="preserve"> Nodular regenerative hyperplasia related portal hyperte</w:t>
      </w:r>
      <w:r w:rsidRPr="00DF46FE">
        <w:rPr>
          <w:rFonts w:ascii="Book Antiqua" w:hAnsi="Book Antiqua" w:cs="Times New Roman"/>
          <w:sz w:val="24"/>
          <w:szCs w:val="24"/>
        </w:rPr>
        <w:t>n</w:t>
      </w:r>
      <w:r w:rsidRPr="00DF46FE">
        <w:rPr>
          <w:rFonts w:ascii="Book Antiqua" w:hAnsi="Book Antiqua" w:cs="Times New Roman"/>
          <w:sz w:val="24"/>
          <w:szCs w:val="24"/>
        </w:rPr>
        <w:t>sion in a patient with hypogammaglobulinaemia</w:t>
      </w:r>
      <w:r>
        <w:rPr>
          <w:rFonts w:ascii="Book Antiqua" w:hAnsi="Book Antiqua" w:cs="Times New Roman"/>
          <w:sz w:val="24"/>
          <w:szCs w:val="24"/>
          <w:lang w:eastAsia="zh-CN"/>
        </w:rPr>
        <w:t>.</w:t>
      </w:r>
    </w:p>
    <w:p w:rsidR="004A3611" w:rsidRDefault="004A3611" w:rsidP="00784746">
      <w:pPr>
        <w:adjustRightInd w:val="0"/>
        <w:snapToGrid w:val="0"/>
        <w:spacing w:after="0" w:afterAutospacing="0" w:line="360" w:lineRule="auto"/>
        <w:ind w:rightChars="-506" w:right="-1113"/>
        <w:jc w:val="both"/>
        <w:rPr>
          <w:rFonts w:ascii="Book Antiqua" w:hAnsi="Book Antiqua"/>
          <w:sz w:val="24"/>
          <w:lang w:eastAsia="zh-CN"/>
        </w:rPr>
      </w:pPr>
      <w:bookmarkStart w:id="52" w:name="OLE_LINK335"/>
      <w:bookmarkStart w:id="53" w:name="OLE_LINK336"/>
      <w:bookmarkStart w:id="54" w:name="OLE_LINK404"/>
      <w:bookmarkStart w:id="55" w:name="OLE_LINK405"/>
      <w:bookmarkStart w:id="56" w:name="OLE_LINK406"/>
      <w:bookmarkStart w:id="57" w:name="OLE_LINK407"/>
      <w:bookmarkStart w:id="58" w:name="OLE_LINK629"/>
      <w:bookmarkStart w:id="59" w:name="OLE_LINK630"/>
      <w:bookmarkStart w:id="60" w:name="OLE_LINK401"/>
      <w:bookmarkStart w:id="61" w:name="OLE_LINK402"/>
      <w:bookmarkStart w:id="62" w:name="OLE_LINK99"/>
      <w:bookmarkStart w:id="63" w:name="OLE_LINK100"/>
      <w:bookmarkStart w:id="64" w:name="OLE_LINK271"/>
      <w:bookmarkStart w:id="65" w:name="OLE_LINK272"/>
      <w:bookmarkStart w:id="66" w:name="OLE_LINK300"/>
      <w:bookmarkStart w:id="67" w:name="OLE_LINK302"/>
      <w:bookmarkStart w:id="68" w:name="OLE_LINK449"/>
      <w:bookmarkStart w:id="69" w:name="OLE_LINK450"/>
      <w:bookmarkStart w:id="70" w:name="OLE_LINK456"/>
      <w:r w:rsidRPr="00201986">
        <w:rPr>
          <w:rFonts w:ascii="Book Antiqua" w:hAnsi="Book Antiqua"/>
          <w:i/>
          <w:sz w:val="24"/>
        </w:rPr>
        <w:lastRenderedPageBreak/>
        <w:t>World J Gastroenterol</w:t>
      </w:r>
      <w:r w:rsidRPr="00201986">
        <w:rPr>
          <w:rFonts w:ascii="Book Antiqua" w:hAnsi="Book Antiqua"/>
          <w:sz w:val="24"/>
        </w:rPr>
        <w:t xml:space="preserve"> </w:t>
      </w:r>
      <w:bookmarkEnd w:id="52"/>
      <w:bookmarkEnd w:id="53"/>
      <w:r w:rsidRPr="00201986">
        <w:rPr>
          <w:rFonts w:ascii="Book Antiqua" w:hAnsi="Book Antiqua"/>
          <w:sz w:val="24"/>
        </w:rPr>
        <w:t>2013;</w:t>
      </w:r>
      <w:r>
        <w:rPr>
          <w:rFonts w:ascii="Book Antiqua" w:hAnsi="Book Antiqua"/>
          <w:sz w:val="24"/>
        </w:rPr>
        <w:t xml:space="preserve"> </w:t>
      </w:r>
    </w:p>
    <w:p w:rsidR="004A3611" w:rsidRPr="00784746" w:rsidRDefault="004A3611" w:rsidP="00784746">
      <w:pPr>
        <w:adjustRightInd w:val="0"/>
        <w:snapToGrid w:val="0"/>
        <w:spacing w:after="0" w:afterAutospacing="0" w:line="360" w:lineRule="auto"/>
        <w:ind w:rightChars="-506" w:right="-1113"/>
        <w:jc w:val="both"/>
        <w:rPr>
          <w:rFonts w:ascii="Book Antiqua" w:hAnsi="Book Antiqua"/>
          <w:sz w:val="24"/>
        </w:rPr>
      </w:pPr>
      <w:r w:rsidRPr="00201986">
        <w:rPr>
          <w:rFonts w:ascii="Book Antiqua" w:hAnsi="Book Antiqua"/>
          <w:b/>
          <w:bCs/>
          <w:sz w:val="24"/>
          <w:szCs w:val="24"/>
        </w:rPr>
        <w:t>Available from:</w:t>
      </w:r>
      <w:r w:rsidRPr="00201986">
        <w:rPr>
          <w:rFonts w:ascii="Book Antiqua" w:hAnsi="Book Antiqua"/>
          <w:sz w:val="24"/>
          <w:szCs w:val="24"/>
        </w:rPr>
        <w:t xml:space="preserve"> </w:t>
      </w:r>
      <w:bookmarkEnd w:id="54"/>
      <w:bookmarkEnd w:id="55"/>
      <w:r w:rsidRPr="00201986">
        <w:rPr>
          <w:rFonts w:ascii="Book Antiqua" w:hAnsi="Book Antiqua"/>
          <w:color w:val="000000"/>
          <w:sz w:val="24"/>
          <w:szCs w:val="24"/>
        </w:rPr>
        <w:t>URL:</w:t>
      </w:r>
      <w:bookmarkEnd w:id="56"/>
      <w:bookmarkEnd w:id="57"/>
      <w:bookmarkEnd w:id="58"/>
      <w:bookmarkEnd w:id="59"/>
      <w:r w:rsidRPr="00201986">
        <w:rPr>
          <w:rFonts w:ascii="Book Antiqua" w:hAnsi="Book Antiqua"/>
          <w:color w:val="000000"/>
          <w:sz w:val="24"/>
          <w:szCs w:val="24"/>
        </w:rPr>
        <w:t xml:space="preserve"> http://</w:t>
      </w:r>
      <w:bookmarkEnd w:id="60"/>
      <w:bookmarkEnd w:id="61"/>
      <w:r w:rsidRPr="00201986">
        <w:rPr>
          <w:rFonts w:ascii="Book Antiqua" w:hAnsi="Book Antiqua"/>
          <w:color w:val="000000"/>
          <w:sz w:val="24"/>
          <w:szCs w:val="24"/>
        </w:rPr>
        <w:t>www.wjgnet.com/esps/</w:t>
      </w:r>
      <w:r>
        <w:rPr>
          <w:rFonts w:ascii="Book Antiqua" w:hAnsi="Book Antiqua"/>
          <w:color w:val="000000"/>
          <w:sz w:val="24"/>
          <w:szCs w:val="24"/>
        </w:rPr>
        <w:t xml:space="preserve"> </w:t>
      </w:r>
    </w:p>
    <w:p w:rsidR="004A3611" w:rsidRPr="00201986" w:rsidRDefault="004A3611" w:rsidP="00784746">
      <w:pPr>
        <w:pStyle w:val="p0"/>
        <w:adjustRightInd w:val="0"/>
        <w:snapToGrid w:val="0"/>
        <w:spacing w:line="360" w:lineRule="auto"/>
        <w:jc w:val="both"/>
        <w:rPr>
          <w:rFonts w:ascii="Book Antiqua" w:hAnsi="Book Antiqua"/>
          <w:bCs/>
          <w:sz w:val="24"/>
          <w:szCs w:val="24"/>
        </w:rPr>
      </w:pPr>
      <w:bookmarkStart w:id="71" w:name="OLE_LINK399"/>
      <w:bookmarkStart w:id="72" w:name="OLE_LINK400"/>
      <w:bookmarkStart w:id="73" w:name="OLE_LINK494"/>
      <w:bookmarkStart w:id="74" w:name="OLE_LINK495"/>
      <w:bookmarkStart w:id="75" w:name="OLE_LINK607"/>
      <w:bookmarkStart w:id="76" w:name="OLE_LINK608"/>
      <w:bookmarkStart w:id="77" w:name="OLE_LINK609"/>
      <w:bookmarkStart w:id="78" w:name="OLE_LINK727"/>
      <w:bookmarkStart w:id="79" w:name="OLE_LINK853"/>
      <w:bookmarkStart w:id="80" w:name="OLE_LINK585"/>
      <w:bookmarkStart w:id="81" w:name="OLE_LINK689"/>
      <w:bookmarkStart w:id="82" w:name="OLE_LINK539"/>
      <w:bookmarkEnd w:id="62"/>
      <w:bookmarkEnd w:id="63"/>
      <w:bookmarkEnd w:id="64"/>
      <w:bookmarkEnd w:id="65"/>
      <w:bookmarkEnd w:id="66"/>
      <w:bookmarkEnd w:id="67"/>
      <w:r w:rsidRPr="00201986">
        <w:rPr>
          <w:rFonts w:ascii="Book Antiqua" w:hAnsi="Book Antiqua" w:cs="Times New Roman"/>
          <w:b/>
          <w:bCs/>
          <w:kern w:val="2"/>
          <w:sz w:val="24"/>
          <w:szCs w:val="24"/>
        </w:rPr>
        <w:t xml:space="preserve">DOI: </w:t>
      </w:r>
      <w:r w:rsidRPr="00201986">
        <w:rPr>
          <w:rFonts w:ascii="Book Antiqua" w:hAnsi="Book Antiqua" w:cs="Times New Roman"/>
          <w:bCs/>
          <w:kern w:val="2"/>
          <w:sz w:val="24"/>
          <w:szCs w:val="24"/>
        </w:rPr>
        <w:t>http://dx.doi.org/10.3748/wjg.v19.i0.0000</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rsidR="004A3611" w:rsidRPr="00784746" w:rsidRDefault="004A3611" w:rsidP="00784746">
      <w:pPr>
        <w:adjustRightInd w:val="0"/>
        <w:snapToGrid w:val="0"/>
        <w:spacing w:after="0" w:afterAutospacing="0" w:line="360" w:lineRule="auto"/>
        <w:jc w:val="both"/>
        <w:rPr>
          <w:rFonts w:ascii="Book Antiqua" w:hAnsi="Book Antiqua" w:cs="Times New Roman"/>
          <w:sz w:val="24"/>
          <w:szCs w:val="24"/>
          <w:lang w:eastAsia="zh-CN"/>
        </w:rPr>
      </w:pPr>
    </w:p>
    <w:p w:rsidR="004A3611" w:rsidRDefault="004A3611" w:rsidP="00510AA6">
      <w:pPr>
        <w:adjustRightInd w:val="0"/>
        <w:snapToGrid w:val="0"/>
        <w:spacing w:after="0" w:afterAutospacing="0" w:line="360" w:lineRule="auto"/>
        <w:jc w:val="both"/>
        <w:rPr>
          <w:rFonts w:ascii="Book Antiqua" w:hAnsi="Book Antiqua" w:cs="Times New Roman"/>
          <w:b/>
          <w:bCs/>
          <w:sz w:val="24"/>
          <w:szCs w:val="24"/>
          <w:lang w:eastAsia="zh-CN"/>
        </w:rPr>
      </w:pPr>
    </w:p>
    <w:p w:rsidR="004A3611" w:rsidRPr="00DF46FE" w:rsidRDefault="004A3611" w:rsidP="00510AA6">
      <w:pPr>
        <w:adjustRightInd w:val="0"/>
        <w:snapToGrid w:val="0"/>
        <w:spacing w:after="0" w:afterAutospacing="0" w:line="360" w:lineRule="auto"/>
        <w:jc w:val="both"/>
        <w:rPr>
          <w:rFonts w:ascii="Book Antiqua" w:hAnsi="Book Antiqua" w:cs="Times New Roman"/>
          <w:b/>
          <w:bCs/>
          <w:sz w:val="24"/>
          <w:szCs w:val="24"/>
          <w:lang w:eastAsia="zh-CN"/>
        </w:rPr>
      </w:pPr>
      <w:r w:rsidRPr="00DF46FE">
        <w:rPr>
          <w:rFonts w:ascii="Book Antiqua" w:hAnsi="Book Antiqua" w:cs="Times New Roman"/>
          <w:b/>
          <w:bCs/>
          <w:sz w:val="24"/>
          <w:szCs w:val="24"/>
        </w:rPr>
        <w:t>INTRODUCTION</w:t>
      </w:r>
    </w:p>
    <w:p w:rsidR="004A3611" w:rsidRPr="00DF46FE" w:rsidRDefault="004A3611" w:rsidP="00784746">
      <w:pPr>
        <w:adjustRightInd w:val="0"/>
        <w:snapToGrid w:val="0"/>
        <w:spacing w:after="0" w:afterAutospacing="0" w:line="360" w:lineRule="auto"/>
        <w:jc w:val="both"/>
        <w:rPr>
          <w:rFonts w:ascii="Book Antiqua" w:hAnsi="Book Antiqua" w:cs="Times New Roman"/>
          <w:sz w:val="24"/>
          <w:szCs w:val="24"/>
        </w:rPr>
      </w:pPr>
      <w:r>
        <w:rPr>
          <w:rFonts w:ascii="Book Antiqua" w:hAnsi="Book Antiqua" w:cs="Times New Roman"/>
          <w:sz w:val="24"/>
          <w:szCs w:val="24"/>
        </w:rPr>
        <w:t>Nodular regenerative hyperplasia (NRH)</w:t>
      </w:r>
      <w:r w:rsidRPr="00DF46FE">
        <w:rPr>
          <w:rFonts w:ascii="Book Antiqua" w:hAnsi="Book Antiqua" w:cs="Times New Roman"/>
          <w:sz w:val="24"/>
          <w:szCs w:val="24"/>
        </w:rPr>
        <w:t xml:space="preserve"> is the main cause of non-cirrhotic portal hypertension in the western world being responsible for 14% to 27</w:t>
      </w:r>
      <w:bookmarkStart w:id="83" w:name="OLE_LINK517"/>
      <w:bookmarkStart w:id="84" w:name="OLE_LINK518"/>
      <w:r w:rsidRPr="00DF46FE">
        <w:rPr>
          <w:rFonts w:ascii="Book Antiqua" w:hAnsi="Book Antiqua" w:cs="Times New Roman"/>
          <w:sz w:val="24"/>
          <w:szCs w:val="24"/>
        </w:rPr>
        <w:t>%</w:t>
      </w:r>
      <w:bookmarkEnd w:id="83"/>
      <w:bookmarkEnd w:id="84"/>
      <w:r w:rsidRPr="00DF46FE">
        <w:rPr>
          <w:rFonts w:ascii="Book Antiqua" w:hAnsi="Book Antiqua" w:cs="Times New Roman"/>
          <w:sz w:val="24"/>
          <w:szCs w:val="24"/>
        </w:rPr>
        <w:t xml:space="preserve"> of these cases</w:t>
      </w:r>
      <w:r w:rsidRPr="00DF46FE">
        <w:rPr>
          <w:rFonts w:ascii="Book Antiqua" w:hAnsi="Book Antiqua" w:cs="Times New Roman"/>
          <w:sz w:val="24"/>
          <w:szCs w:val="24"/>
          <w:vertAlign w:val="superscript"/>
        </w:rPr>
        <w:t>[1</w:t>
      </w:r>
      <w:r>
        <w:rPr>
          <w:rFonts w:ascii="Book Antiqua" w:hAnsi="Book Antiqua" w:cs="Times New Roman"/>
          <w:sz w:val="24"/>
          <w:szCs w:val="24"/>
          <w:vertAlign w:val="superscript"/>
          <w:lang w:eastAsia="zh-CN"/>
        </w:rPr>
        <w:t>-3</w:t>
      </w:r>
      <w:r w:rsidRPr="00DF46FE">
        <w:rPr>
          <w:rFonts w:ascii="Book Antiqua" w:hAnsi="Book Antiqua" w:cs="Times New Roman"/>
          <w:sz w:val="24"/>
          <w:szCs w:val="24"/>
          <w:vertAlign w:val="superscript"/>
        </w:rPr>
        <w:t>]</w:t>
      </w:r>
      <w:r w:rsidRPr="00DF46FE">
        <w:rPr>
          <w:rFonts w:ascii="Book Antiqua" w:hAnsi="Book Antiqua" w:cs="Times New Roman"/>
          <w:sz w:val="24"/>
          <w:szCs w:val="24"/>
        </w:rPr>
        <w:t>. It is characterized by diffuse regenerative hepatocytic nodules without fibrosis.</w:t>
      </w:r>
      <w:r>
        <w:rPr>
          <w:rFonts w:ascii="Book Antiqua" w:hAnsi="Book Antiqua" w:cs="Times New Roman"/>
          <w:sz w:val="24"/>
          <w:szCs w:val="24"/>
          <w:lang w:eastAsia="zh-CN"/>
        </w:rPr>
        <w:t xml:space="preserve"> </w:t>
      </w:r>
      <w:r w:rsidRPr="00DF46FE">
        <w:rPr>
          <w:rFonts w:ascii="Book Antiqua" w:hAnsi="Book Antiqua" w:cs="Times New Roman"/>
          <w:sz w:val="24"/>
          <w:szCs w:val="24"/>
        </w:rPr>
        <w:t>Common variable immune disorder (CVID) is a</w:t>
      </w:r>
      <w:r w:rsidRPr="00DF46FE">
        <w:rPr>
          <w:rFonts w:ascii="Book Antiqua" w:hAnsi="Book Antiqua" w:cs="Times New Roman"/>
          <w:sz w:val="24"/>
          <w:szCs w:val="24"/>
          <w:lang w:val="en-GB"/>
        </w:rPr>
        <w:t xml:space="preserve"> heterogen</w:t>
      </w:r>
      <w:r w:rsidRPr="00DF46FE">
        <w:rPr>
          <w:rFonts w:ascii="Book Antiqua" w:hAnsi="Book Antiqua" w:cs="Times New Roman"/>
          <w:sz w:val="24"/>
          <w:szCs w:val="24"/>
          <w:lang w:val="en-GB"/>
        </w:rPr>
        <w:t>e</w:t>
      </w:r>
      <w:r w:rsidRPr="00DF46FE">
        <w:rPr>
          <w:rFonts w:ascii="Book Antiqua" w:hAnsi="Book Antiqua" w:cs="Times New Roman"/>
          <w:sz w:val="24"/>
          <w:szCs w:val="24"/>
          <w:lang w:val="en-GB"/>
        </w:rPr>
        <w:t>ous</w:t>
      </w:r>
      <w:r w:rsidRPr="00DF46FE">
        <w:rPr>
          <w:rFonts w:ascii="Book Antiqua" w:hAnsi="Book Antiqua" w:cs="Times New Roman"/>
          <w:sz w:val="24"/>
          <w:szCs w:val="24"/>
        </w:rPr>
        <w:t xml:space="preserve"> group of primary immunodeficiency conditions involving formation of antibody production and various cellular immune system defects.</w:t>
      </w:r>
      <w:r>
        <w:rPr>
          <w:rFonts w:ascii="Book Antiqua" w:hAnsi="Book Antiqua" w:cs="Times New Roman"/>
          <w:sz w:val="24"/>
          <w:szCs w:val="24"/>
        </w:rPr>
        <w:t xml:space="preserve"> </w:t>
      </w:r>
      <w:r w:rsidRPr="00DF46FE">
        <w:rPr>
          <w:rFonts w:ascii="Book Antiqua" w:hAnsi="Book Antiqua" w:cs="Times New Roman"/>
          <w:sz w:val="24"/>
          <w:szCs w:val="24"/>
        </w:rPr>
        <w:t>NRH is the main liver pathology found in patients with CVID with abnormal liver fun</w:t>
      </w:r>
      <w:r w:rsidRPr="00DF46FE">
        <w:rPr>
          <w:rFonts w:ascii="Book Antiqua" w:hAnsi="Book Antiqua" w:cs="Times New Roman"/>
          <w:sz w:val="24"/>
          <w:szCs w:val="24"/>
        </w:rPr>
        <w:t>c</w:t>
      </w:r>
      <w:r w:rsidRPr="00DF46FE">
        <w:rPr>
          <w:rFonts w:ascii="Book Antiqua" w:hAnsi="Book Antiqua" w:cs="Times New Roman"/>
          <w:sz w:val="24"/>
          <w:szCs w:val="24"/>
        </w:rPr>
        <w:t>tion test (LFT). It is associated with intrasinusoidal T-cell infiltration, portal vein endothelitis, autoimmune disease and peripheral lymphocytic abnorma</w:t>
      </w:r>
      <w:r w:rsidRPr="00DF46FE">
        <w:rPr>
          <w:rFonts w:ascii="Book Antiqua" w:hAnsi="Book Antiqua" w:cs="Times New Roman"/>
          <w:sz w:val="24"/>
          <w:szCs w:val="24"/>
        </w:rPr>
        <w:t>l</w:t>
      </w:r>
      <w:r w:rsidRPr="00DF46FE">
        <w:rPr>
          <w:rFonts w:ascii="Book Antiqua" w:hAnsi="Book Antiqua" w:cs="Times New Roman"/>
          <w:sz w:val="24"/>
          <w:szCs w:val="24"/>
        </w:rPr>
        <w:t>ities which suggest an autoimmune mechanism.</w:t>
      </w:r>
    </w:p>
    <w:p w:rsidR="004A3611" w:rsidRDefault="004A3611" w:rsidP="00B17342">
      <w:pPr>
        <w:adjustRightInd w:val="0"/>
        <w:snapToGrid w:val="0"/>
        <w:spacing w:after="0" w:afterAutospacing="0" w:line="360" w:lineRule="auto"/>
        <w:jc w:val="both"/>
        <w:rPr>
          <w:rFonts w:ascii="Book Antiqua" w:hAnsi="Book Antiqua" w:cs="Times New Roman"/>
          <w:b/>
          <w:bCs/>
          <w:sz w:val="24"/>
          <w:szCs w:val="24"/>
          <w:lang w:eastAsia="zh-CN"/>
        </w:rPr>
      </w:pPr>
    </w:p>
    <w:p w:rsidR="004A3611" w:rsidRPr="00DF46FE" w:rsidRDefault="004A3611" w:rsidP="00B17342">
      <w:pPr>
        <w:adjustRightInd w:val="0"/>
        <w:snapToGrid w:val="0"/>
        <w:spacing w:after="0" w:afterAutospacing="0" w:line="360" w:lineRule="auto"/>
        <w:jc w:val="both"/>
        <w:rPr>
          <w:rFonts w:ascii="Book Antiqua" w:hAnsi="Book Antiqua" w:cs="Times New Roman"/>
          <w:b/>
          <w:bCs/>
          <w:sz w:val="24"/>
          <w:szCs w:val="24"/>
          <w:lang w:eastAsia="zh-CN"/>
        </w:rPr>
      </w:pPr>
      <w:r w:rsidRPr="00DF46FE">
        <w:rPr>
          <w:rFonts w:ascii="Book Antiqua" w:hAnsi="Book Antiqua" w:cs="Times New Roman"/>
          <w:b/>
          <w:bCs/>
          <w:sz w:val="24"/>
          <w:szCs w:val="24"/>
        </w:rPr>
        <w:t>CASE REPORT</w:t>
      </w:r>
    </w:p>
    <w:p w:rsidR="004A3611" w:rsidRPr="00DF46FE" w:rsidRDefault="004A3611" w:rsidP="00784746">
      <w:pPr>
        <w:adjustRightInd w:val="0"/>
        <w:snapToGrid w:val="0"/>
        <w:spacing w:after="0" w:afterAutospacing="0" w:line="360" w:lineRule="auto"/>
        <w:jc w:val="both"/>
        <w:rPr>
          <w:rFonts w:ascii="Book Antiqua" w:hAnsi="Book Antiqua" w:cs="Times New Roman"/>
          <w:sz w:val="24"/>
          <w:szCs w:val="24"/>
        </w:rPr>
      </w:pPr>
      <w:r w:rsidRPr="00DF46FE">
        <w:rPr>
          <w:rFonts w:ascii="Book Antiqua" w:hAnsi="Book Antiqua" w:cs="Times New Roman"/>
          <w:sz w:val="24"/>
          <w:szCs w:val="24"/>
        </w:rPr>
        <w:t>A 50 year old lady presented with</w:t>
      </w:r>
      <w:r>
        <w:rPr>
          <w:rFonts w:ascii="Book Antiqua" w:hAnsi="Book Antiqua" w:cs="Times New Roman"/>
          <w:sz w:val="24"/>
          <w:szCs w:val="24"/>
        </w:rPr>
        <w:t xml:space="preserve"> </w:t>
      </w:r>
      <w:r w:rsidRPr="00DF46FE">
        <w:rPr>
          <w:rFonts w:ascii="Book Antiqua" w:hAnsi="Book Antiqua" w:cs="Times New Roman"/>
          <w:sz w:val="24"/>
          <w:szCs w:val="24"/>
        </w:rPr>
        <w:t>upper gastrointestinal bleeding. She had a history of bronchiectasis and idiopathic thrombocytopenic purpura and had previously been diagnosed with CVID. She was taking regular intravenous immunoglobulin infusion.</w:t>
      </w:r>
    </w:p>
    <w:p w:rsidR="004A3611" w:rsidRPr="00DF46FE" w:rsidRDefault="004A3611" w:rsidP="00B17342">
      <w:pPr>
        <w:adjustRightInd w:val="0"/>
        <w:snapToGrid w:val="0"/>
        <w:spacing w:after="0" w:afterAutospacing="0" w:line="360" w:lineRule="auto"/>
        <w:ind w:firstLineChars="100" w:firstLine="240"/>
        <w:jc w:val="both"/>
        <w:rPr>
          <w:rFonts w:ascii="Book Antiqua" w:hAnsi="Book Antiqua" w:cs="Times New Roman"/>
          <w:sz w:val="24"/>
          <w:szCs w:val="24"/>
        </w:rPr>
      </w:pPr>
      <w:r w:rsidRPr="00DF46FE">
        <w:rPr>
          <w:rFonts w:ascii="Book Antiqua" w:hAnsi="Book Antiqua" w:cs="Times New Roman"/>
          <w:sz w:val="24"/>
          <w:szCs w:val="24"/>
        </w:rPr>
        <w:t>She was haemodynamically stable on presentation with pulse 90 per m</w:t>
      </w:r>
      <w:r w:rsidRPr="00DF46FE">
        <w:rPr>
          <w:rFonts w:ascii="Book Antiqua" w:hAnsi="Book Antiqua" w:cs="Times New Roman"/>
          <w:sz w:val="24"/>
          <w:szCs w:val="24"/>
        </w:rPr>
        <w:t>i</w:t>
      </w:r>
      <w:r w:rsidRPr="00DF46FE">
        <w:rPr>
          <w:rFonts w:ascii="Book Antiqua" w:hAnsi="Book Antiqua" w:cs="Times New Roman"/>
          <w:sz w:val="24"/>
          <w:szCs w:val="24"/>
        </w:rPr>
        <w:t>nute and blood pressure 131/65 mmHg. She had further episodes of haem</w:t>
      </w:r>
      <w:r w:rsidRPr="00DF46FE">
        <w:rPr>
          <w:rFonts w:ascii="Book Antiqua" w:hAnsi="Book Antiqua" w:cs="Times New Roman"/>
          <w:sz w:val="24"/>
          <w:szCs w:val="24"/>
        </w:rPr>
        <w:t>a</w:t>
      </w:r>
      <w:r w:rsidRPr="00DF46FE">
        <w:rPr>
          <w:rFonts w:ascii="Book Antiqua" w:hAnsi="Book Antiqua" w:cs="Times New Roman"/>
          <w:sz w:val="24"/>
          <w:szCs w:val="24"/>
        </w:rPr>
        <w:t>temesis after admission</w:t>
      </w:r>
      <w:r>
        <w:rPr>
          <w:rFonts w:ascii="Book Antiqua" w:hAnsi="Book Antiqua" w:cs="Times New Roman"/>
          <w:sz w:val="24"/>
          <w:szCs w:val="24"/>
        </w:rPr>
        <w:t xml:space="preserve"> </w:t>
      </w:r>
      <w:r w:rsidRPr="00DF46FE">
        <w:rPr>
          <w:rFonts w:ascii="Book Antiqua" w:hAnsi="Book Antiqua" w:cs="Times New Roman"/>
          <w:sz w:val="24"/>
          <w:szCs w:val="24"/>
        </w:rPr>
        <w:t>and</w:t>
      </w:r>
      <w:r>
        <w:rPr>
          <w:rFonts w:ascii="Book Antiqua" w:hAnsi="Book Antiqua" w:cs="Times New Roman"/>
          <w:sz w:val="24"/>
          <w:szCs w:val="24"/>
        </w:rPr>
        <w:t xml:space="preserve"> </w:t>
      </w:r>
      <w:r w:rsidRPr="00DF46FE">
        <w:rPr>
          <w:rFonts w:ascii="Book Antiqua" w:hAnsi="Book Antiqua" w:cs="Times New Roman"/>
          <w:sz w:val="24"/>
          <w:szCs w:val="24"/>
        </w:rPr>
        <w:t>emergency endoscopy revealed</w:t>
      </w:r>
      <w:r>
        <w:rPr>
          <w:rFonts w:ascii="Book Antiqua" w:hAnsi="Book Antiqua" w:cs="Times New Roman"/>
          <w:sz w:val="24"/>
          <w:szCs w:val="24"/>
        </w:rPr>
        <w:t xml:space="preserve"> </w:t>
      </w:r>
      <w:r w:rsidRPr="00DF46FE">
        <w:rPr>
          <w:rFonts w:ascii="Book Antiqua" w:hAnsi="Book Antiqua" w:cs="Times New Roman"/>
          <w:sz w:val="24"/>
          <w:szCs w:val="24"/>
        </w:rPr>
        <w:t>large gastric fundal varices with evidence of active bleeding (Fig</w:t>
      </w:r>
      <w:r>
        <w:rPr>
          <w:rFonts w:ascii="Book Antiqua" w:hAnsi="Book Antiqua" w:cs="Times New Roman"/>
          <w:sz w:val="24"/>
          <w:szCs w:val="24"/>
          <w:lang w:eastAsia="zh-CN"/>
        </w:rPr>
        <w:t>ure</w:t>
      </w:r>
      <w:r w:rsidRPr="00DF46FE">
        <w:rPr>
          <w:rFonts w:ascii="Book Antiqua" w:hAnsi="Book Antiqua" w:cs="Times New Roman"/>
          <w:sz w:val="24"/>
          <w:szCs w:val="24"/>
        </w:rPr>
        <w:t xml:space="preserve"> 1) and non-bleeding oesophageal varices. Haemostasis was achieved by applying glue (Histoacryl) to the gastric varices and her esophageal varices were banded. She was given five days of antibiotics and started on oral propranolol for prevention of var</w:t>
      </w:r>
      <w:r w:rsidRPr="00DF46FE">
        <w:rPr>
          <w:rFonts w:ascii="Book Antiqua" w:hAnsi="Book Antiqua" w:cs="Times New Roman"/>
          <w:sz w:val="24"/>
          <w:szCs w:val="24"/>
        </w:rPr>
        <w:t>i</w:t>
      </w:r>
      <w:r w:rsidRPr="00DF46FE">
        <w:rPr>
          <w:rFonts w:ascii="Book Antiqua" w:hAnsi="Book Antiqua" w:cs="Times New Roman"/>
          <w:sz w:val="24"/>
          <w:szCs w:val="24"/>
        </w:rPr>
        <w:t>ceal rebleeding.</w:t>
      </w:r>
    </w:p>
    <w:p w:rsidR="004A3611" w:rsidRPr="00DF46FE" w:rsidRDefault="004A3611" w:rsidP="00B17342">
      <w:pPr>
        <w:adjustRightInd w:val="0"/>
        <w:snapToGrid w:val="0"/>
        <w:spacing w:after="0" w:afterAutospacing="0" w:line="360" w:lineRule="auto"/>
        <w:ind w:firstLineChars="100" w:firstLine="240"/>
        <w:jc w:val="both"/>
        <w:rPr>
          <w:rFonts w:ascii="Book Antiqua" w:hAnsi="Book Antiqua" w:cs="Times New Roman"/>
          <w:sz w:val="24"/>
          <w:szCs w:val="24"/>
        </w:rPr>
      </w:pPr>
      <w:r w:rsidRPr="00DF46FE">
        <w:rPr>
          <w:rFonts w:ascii="Book Antiqua" w:hAnsi="Book Antiqua" w:cs="Times New Roman"/>
          <w:sz w:val="24"/>
          <w:szCs w:val="24"/>
        </w:rPr>
        <w:lastRenderedPageBreak/>
        <w:t>She had mildly elevated liver enzymes (bilirubin 22 mmol/</w:t>
      </w:r>
      <w:r>
        <w:rPr>
          <w:rFonts w:ascii="Book Antiqua" w:hAnsi="Book Antiqua" w:cs="Times New Roman"/>
          <w:sz w:val="24"/>
          <w:szCs w:val="24"/>
          <w:lang w:eastAsia="zh-CN"/>
        </w:rPr>
        <w:t>L</w:t>
      </w:r>
      <w:r w:rsidRPr="00DF46FE">
        <w:rPr>
          <w:rFonts w:ascii="Book Antiqua" w:hAnsi="Book Antiqua" w:cs="Times New Roman"/>
          <w:sz w:val="24"/>
          <w:szCs w:val="24"/>
        </w:rPr>
        <w:t xml:space="preserve">, aspartate aminotransferase 55 </w:t>
      </w:r>
      <w:bookmarkStart w:id="85" w:name="OLE_LINK534"/>
      <w:bookmarkStart w:id="86" w:name="OLE_LINK535"/>
      <w:r>
        <w:rPr>
          <w:rFonts w:ascii="Book Antiqua" w:hAnsi="Book Antiqua" w:cs="Times New Roman"/>
          <w:sz w:val="24"/>
          <w:szCs w:val="24"/>
          <w:lang w:eastAsia="zh-CN"/>
        </w:rPr>
        <w:t>U</w:t>
      </w:r>
      <w:bookmarkEnd w:id="85"/>
      <w:bookmarkEnd w:id="86"/>
      <w:r w:rsidRPr="00DF46FE">
        <w:rPr>
          <w:rFonts w:ascii="Book Antiqua" w:hAnsi="Book Antiqua" w:cs="Times New Roman"/>
          <w:sz w:val="24"/>
          <w:szCs w:val="24"/>
        </w:rPr>
        <w:t>/</w:t>
      </w:r>
      <w:r>
        <w:rPr>
          <w:rFonts w:ascii="Book Antiqua" w:hAnsi="Book Antiqua" w:cs="Times New Roman"/>
          <w:sz w:val="24"/>
          <w:szCs w:val="24"/>
          <w:lang w:eastAsia="zh-CN"/>
        </w:rPr>
        <w:t>L</w:t>
      </w:r>
      <w:r w:rsidRPr="00DF46FE">
        <w:rPr>
          <w:rFonts w:ascii="Book Antiqua" w:hAnsi="Book Antiqua" w:cs="Times New Roman"/>
          <w:sz w:val="24"/>
          <w:szCs w:val="24"/>
        </w:rPr>
        <w:t>, alanine aminotransferase 35</w:t>
      </w:r>
      <w:r>
        <w:rPr>
          <w:rFonts w:ascii="Book Antiqua" w:hAnsi="Book Antiqua" w:cs="Times New Roman"/>
          <w:sz w:val="24"/>
          <w:szCs w:val="24"/>
        </w:rPr>
        <w:t xml:space="preserve"> </w:t>
      </w:r>
      <w:r>
        <w:rPr>
          <w:rFonts w:ascii="Book Antiqua" w:hAnsi="Book Antiqua" w:cs="Times New Roman"/>
          <w:sz w:val="24"/>
          <w:szCs w:val="24"/>
          <w:lang w:eastAsia="zh-CN"/>
        </w:rPr>
        <w:t>U</w:t>
      </w:r>
      <w:r w:rsidRPr="00DF46FE">
        <w:rPr>
          <w:rFonts w:ascii="Book Antiqua" w:hAnsi="Book Antiqua" w:cs="Times New Roman"/>
          <w:sz w:val="24"/>
          <w:szCs w:val="24"/>
        </w:rPr>
        <w:t>/</w:t>
      </w:r>
      <w:r>
        <w:rPr>
          <w:rFonts w:ascii="Book Antiqua" w:hAnsi="Book Antiqua" w:cs="Times New Roman"/>
          <w:sz w:val="24"/>
          <w:szCs w:val="24"/>
          <w:lang w:eastAsia="zh-CN"/>
        </w:rPr>
        <w:t>L</w:t>
      </w:r>
      <w:r w:rsidRPr="00DF46FE">
        <w:rPr>
          <w:rFonts w:ascii="Book Antiqua" w:hAnsi="Book Antiqua" w:cs="Times New Roman"/>
          <w:sz w:val="24"/>
          <w:szCs w:val="24"/>
        </w:rPr>
        <w:t xml:space="preserve">, gamma-glutamyl transpeptidase 45 </w:t>
      </w:r>
      <w:r>
        <w:rPr>
          <w:rFonts w:ascii="Book Antiqua" w:hAnsi="Book Antiqua" w:cs="Times New Roman"/>
          <w:sz w:val="24"/>
          <w:szCs w:val="24"/>
          <w:lang w:eastAsia="zh-CN"/>
        </w:rPr>
        <w:t>U</w:t>
      </w:r>
      <w:r w:rsidRPr="00DF46FE">
        <w:rPr>
          <w:rFonts w:ascii="Book Antiqua" w:hAnsi="Book Antiqua" w:cs="Times New Roman"/>
          <w:sz w:val="24"/>
          <w:szCs w:val="24"/>
        </w:rPr>
        <w:t>/</w:t>
      </w:r>
      <w:r>
        <w:rPr>
          <w:rFonts w:ascii="Book Antiqua" w:hAnsi="Book Antiqua" w:cs="Times New Roman"/>
          <w:sz w:val="24"/>
          <w:szCs w:val="24"/>
          <w:lang w:eastAsia="zh-CN"/>
        </w:rPr>
        <w:t>L</w:t>
      </w:r>
      <w:r w:rsidRPr="00DF46FE">
        <w:rPr>
          <w:rFonts w:ascii="Book Antiqua" w:hAnsi="Book Antiqua" w:cs="Times New Roman"/>
          <w:sz w:val="24"/>
          <w:szCs w:val="24"/>
        </w:rPr>
        <w:t>) with preserved synthetic function</w:t>
      </w:r>
      <w:r>
        <w:rPr>
          <w:rFonts w:ascii="Book Antiqua" w:hAnsi="Book Antiqua" w:cs="Times New Roman"/>
          <w:sz w:val="24"/>
          <w:szCs w:val="24"/>
        </w:rPr>
        <w:t xml:space="preserve"> </w:t>
      </w:r>
      <w:r w:rsidRPr="00DF46FE">
        <w:rPr>
          <w:rFonts w:ascii="Book Antiqua" w:hAnsi="Book Antiqua" w:cs="Times New Roman"/>
          <w:sz w:val="24"/>
          <w:szCs w:val="24"/>
        </w:rPr>
        <w:t xml:space="preserve">(albumin </w:t>
      </w:r>
      <w:smartTag w:uri="urn:schemas-microsoft-com:office:smarttags" w:element="chmetcnv">
        <w:smartTagPr>
          <w:attr w:name="UnitName" w:val="g"/>
          <w:attr w:name="SourceValue" w:val="41"/>
          <w:attr w:name="HasSpace" w:val="True"/>
          <w:attr w:name="Negative" w:val="False"/>
          <w:attr w:name="NumberType" w:val="1"/>
          <w:attr w:name="TCSC" w:val="0"/>
        </w:smartTagPr>
        <w:r w:rsidRPr="00DF46FE">
          <w:rPr>
            <w:rFonts w:ascii="Book Antiqua" w:hAnsi="Book Antiqua" w:cs="Times New Roman"/>
            <w:sz w:val="24"/>
            <w:szCs w:val="24"/>
          </w:rPr>
          <w:t>41</w:t>
        </w:r>
        <w:r>
          <w:rPr>
            <w:rFonts w:ascii="Book Antiqua" w:hAnsi="Book Antiqua" w:cs="Times New Roman"/>
            <w:sz w:val="24"/>
            <w:szCs w:val="24"/>
            <w:lang w:eastAsia="zh-CN"/>
          </w:rPr>
          <w:t xml:space="preserve"> </w:t>
        </w:r>
        <w:r w:rsidRPr="00DF46FE">
          <w:rPr>
            <w:rFonts w:ascii="Book Antiqua" w:hAnsi="Book Antiqua" w:cs="Times New Roman"/>
            <w:sz w:val="24"/>
            <w:szCs w:val="24"/>
          </w:rPr>
          <w:t>g</w:t>
        </w:r>
      </w:smartTag>
      <w:r w:rsidRPr="00DF46FE">
        <w:rPr>
          <w:rFonts w:ascii="Book Antiqua" w:hAnsi="Book Antiqua" w:cs="Times New Roman"/>
          <w:sz w:val="24"/>
          <w:szCs w:val="24"/>
        </w:rPr>
        <w:t>/</w:t>
      </w:r>
      <w:r>
        <w:rPr>
          <w:rFonts w:ascii="Book Antiqua" w:hAnsi="Book Antiqua" w:cs="Times New Roman"/>
          <w:sz w:val="24"/>
          <w:szCs w:val="24"/>
          <w:lang w:eastAsia="zh-CN"/>
        </w:rPr>
        <w:t>L</w:t>
      </w:r>
      <w:r w:rsidRPr="00DF46FE">
        <w:rPr>
          <w:rFonts w:ascii="Book Antiqua" w:hAnsi="Book Antiqua" w:cs="Times New Roman"/>
          <w:sz w:val="24"/>
          <w:szCs w:val="24"/>
        </w:rPr>
        <w:t xml:space="preserve"> and prothrombin time 16 s). Ultrasonography of the abdomen revealed a coarse liver echo texture and normal flow in all hepatic veins. There was some bidirectional flow noted in the portal vein suggestive of portal hypertension but no ascites was seen. </w:t>
      </w:r>
    </w:p>
    <w:p w:rsidR="004A3611" w:rsidRPr="00DF46FE" w:rsidRDefault="004A3611" w:rsidP="00D07E5E">
      <w:pPr>
        <w:adjustRightInd w:val="0"/>
        <w:snapToGrid w:val="0"/>
        <w:spacing w:after="0" w:afterAutospacing="0" w:line="360" w:lineRule="auto"/>
        <w:ind w:firstLineChars="100" w:firstLine="240"/>
        <w:jc w:val="both"/>
        <w:rPr>
          <w:rFonts w:ascii="Book Antiqua" w:hAnsi="Book Antiqua" w:cs="Times New Roman"/>
          <w:sz w:val="24"/>
          <w:szCs w:val="24"/>
        </w:rPr>
      </w:pPr>
      <w:r w:rsidRPr="00DF46FE">
        <w:rPr>
          <w:rFonts w:ascii="Book Antiqua" w:hAnsi="Book Antiqua" w:cs="Times New Roman"/>
          <w:sz w:val="24"/>
          <w:szCs w:val="24"/>
        </w:rPr>
        <w:t>To investigate her mildly elevated liver enzymes and portal hypertension percutaneous liver biopsy was undertaken. This showed features suggestive of</w:t>
      </w:r>
      <w:r>
        <w:rPr>
          <w:rFonts w:ascii="Book Antiqua" w:hAnsi="Book Antiqua" w:cs="Times New Roman"/>
          <w:sz w:val="24"/>
          <w:szCs w:val="24"/>
        </w:rPr>
        <w:t xml:space="preserve"> </w:t>
      </w:r>
      <w:r w:rsidRPr="00DF46FE">
        <w:rPr>
          <w:rFonts w:ascii="Book Antiqua" w:hAnsi="Book Antiqua" w:cs="Times New Roman"/>
          <w:sz w:val="24"/>
          <w:szCs w:val="24"/>
        </w:rPr>
        <w:t>nodular regenerative hyperplasia (Fig</w:t>
      </w:r>
      <w:r>
        <w:rPr>
          <w:rFonts w:ascii="Book Antiqua" w:hAnsi="Book Antiqua" w:cs="Times New Roman"/>
          <w:sz w:val="24"/>
          <w:szCs w:val="24"/>
          <w:lang w:eastAsia="zh-CN"/>
        </w:rPr>
        <w:t>ures 2, 3</w:t>
      </w:r>
      <w:r w:rsidRPr="00DF46FE">
        <w:rPr>
          <w:rFonts w:ascii="Book Antiqua" w:hAnsi="Book Antiqua" w:cs="Times New Roman"/>
          <w:sz w:val="24"/>
          <w:szCs w:val="24"/>
        </w:rPr>
        <w:t>). Inflammatory cell infiltrate with granulomas were seen with a reactive appearance and immunophen</w:t>
      </w:r>
      <w:r w:rsidRPr="00DF46FE">
        <w:rPr>
          <w:rFonts w:ascii="Book Antiqua" w:hAnsi="Book Antiqua" w:cs="Times New Roman"/>
          <w:sz w:val="24"/>
          <w:szCs w:val="24"/>
        </w:rPr>
        <w:t>o</w:t>
      </w:r>
      <w:r w:rsidRPr="00DF46FE">
        <w:rPr>
          <w:rFonts w:ascii="Book Antiqua" w:hAnsi="Book Antiqua" w:cs="Times New Roman"/>
          <w:sz w:val="24"/>
          <w:szCs w:val="24"/>
        </w:rPr>
        <w:t>type suggestive that the NRH was related to CVID.</w:t>
      </w:r>
    </w:p>
    <w:p w:rsidR="004A3611" w:rsidRPr="00DF46FE" w:rsidRDefault="004A3611" w:rsidP="00D07E5E">
      <w:pPr>
        <w:adjustRightInd w:val="0"/>
        <w:snapToGrid w:val="0"/>
        <w:spacing w:after="0" w:afterAutospacing="0" w:line="360" w:lineRule="auto"/>
        <w:ind w:firstLineChars="100" w:firstLine="240"/>
        <w:jc w:val="both"/>
        <w:rPr>
          <w:rFonts w:ascii="Book Antiqua" w:hAnsi="Book Antiqua" w:cs="Times New Roman"/>
          <w:sz w:val="24"/>
          <w:szCs w:val="24"/>
        </w:rPr>
      </w:pPr>
      <w:r w:rsidRPr="00DF46FE">
        <w:rPr>
          <w:rFonts w:ascii="Book Antiqua" w:hAnsi="Book Antiqua" w:cs="Times New Roman"/>
          <w:sz w:val="24"/>
          <w:szCs w:val="24"/>
        </w:rPr>
        <w:t>Subsequently, her oesophageal</w:t>
      </w:r>
      <w:r w:rsidRPr="00DF46FE">
        <w:rPr>
          <w:rFonts w:ascii="Book Antiqua" w:hAnsi="Book Antiqua" w:cs="Times New Roman"/>
          <w:sz w:val="24"/>
          <w:szCs w:val="24"/>
          <w:lang w:val="en-GB"/>
        </w:rPr>
        <w:t xml:space="preserve"> varices</w:t>
      </w:r>
      <w:r w:rsidRPr="00DF46FE">
        <w:rPr>
          <w:rFonts w:ascii="Book Antiqua" w:hAnsi="Book Antiqua" w:cs="Times New Roman"/>
          <w:sz w:val="24"/>
          <w:szCs w:val="24"/>
        </w:rPr>
        <w:t xml:space="preserve"> were eradicated by repeated band ligation but her gastric varices failed to resolve despite of repeated histoacryl injection (Fig</w:t>
      </w:r>
      <w:r>
        <w:rPr>
          <w:rFonts w:ascii="Book Antiqua" w:hAnsi="Book Antiqua" w:cs="Times New Roman"/>
          <w:sz w:val="24"/>
          <w:szCs w:val="24"/>
          <w:lang w:eastAsia="zh-CN"/>
        </w:rPr>
        <w:t>ure</w:t>
      </w:r>
      <w:r w:rsidRPr="00DF46FE">
        <w:rPr>
          <w:rFonts w:ascii="Book Antiqua" w:hAnsi="Book Antiqua" w:cs="Times New Roman"/>
          <w:sz w:val="24"/>
          <w:szCs w:val="24"/>
        </w:rPr>
        <w:t xml:space="preserve"> </w:t>
      </w:r>
      <w:r>
        <w:rPr>
          <w:rFonts w:ascii="Book Antiqua" w:hAnsi="Book Antiqua" w:cs="Times New Roman"/>
          <w:sz w:val="24"/>
          <w:szCs w:val="24"/>
          <w:lang w:eastAsia="zh-CN"/>
        </w:rPr>
        <w:t>1</w:t>
      </w:r>
      <w:r w:rsidRPr="00DF46FE">
        <w:rPr>
          <w:rFonts w:ascii="Book Antiqua" w:hAnsi="Book Antiqua" w:cs="Times New Roman"/>
          <w:sz w:val="24"/>
          <w:szCs w:val="24"/>
        </w:rPr>
        <w:t>). Eventually, she had transjugular intrahepatic portosy</w:t>
      </w:r>
      <w:r w:rsidRPr="00DF46FE">
        <w:rPr>
          <w:rFonts w:ascii="Book Antiqua" w:hAnsi="Book Antiqua" w:cs="Times New Roman"/>
          <w:sz w:val="24"/>
          <w:szCs w:val="24"/>
        </w:rPr>
        <w:t>s</w:t>
      </w:r>
      <w:r w:rsidRPr="00DF46FE">
        <w:rPr>
          <w:rFonts w:ascii="Book Antiqua" w:hAnsi="Book Antiqua" w:cs="Times New Roman"/>
          <w:sz w:val="24"/>
          <w:szCs w:val="24"/>
        </w:rPr>
        <w:t>temic shunt (TIPS) procedure with a covered graft which was placed after 6 mo of initial presentation resulting into satisfactory reduction in the portosy</w:t>
      </w:r>
      <w:r w:rsidRPr="00DF46FE">
        <w:rPr>
          <w:rFonts w:ascii="Book Antiqua" w:hAnsi="Book Antiqua" w:cs="Times New Roman"/>
          <w:sz w:val="24"/>
          <w:szCs w:val="24"/>
        </w:rPr>
        <w:t>s</w:t>
      </w:r>
      <w:r w:rsidRPr="00DF46FE">
        <w:rPr>
          <w:rFonts w:ascii="Book Antiqua" w:hAnsi="Book Antiqua" w:cs="Times New Roman"/>
          <w:sz w:val="24"/>
          <w:szCs w:val="24"/>
        </w:rPr>
        <w:t>temic gradient with reversal of flow in the varices. She had complete</w:t>
      </w:r>
      <w:r>
        <w:rPr>
          <w:rFonts w:ascii="Book Antiqua" w:hAnsi="Book Antiqua" w:cs="Times New Roman"/>
          <w:sz w:val="24"/>
          <w:szCs w:val="24"/>
        </w:rPr>
        <w:t xml:space="preserve"> </w:t>
      </w:r>
      <w:r w:rsidRPr="00DF46FE">
        <w:rPr>
          <w:rFonts w:ascii="Book Antiqua" w:hAnsi="Book Antiqua" w:cs="Times New Roman"/>
          <w:sz w:val="24"/>
          <w:szCs w:val="24"/>
        </w:rPr>
        <w:t>resol</w:t>
      </w:r>
      <w:r w:rsidRPr="00DF46FE">
        <w:rPr>
          <w:rFonts w:ascii="Book Antiqua" w:hAnsi="Book Antiqua" w:cs="Times New Roman"/>
          <w:sz w:val="24"/>
          <w:szCs w:val="24"/>
        </w:rPr>
        <w:t>u</w:t>
      </w:r>
      <w:r w:rsidRPr="00DF46FE">
        <w:rPr>
          <w:rFonts w:ascii="Book Antiqua" w:hAnsi="Book Antiqua" w:cs="Times New Roman"/>
          <w:sz w:val="24"/>
          <w:szCs w:val="24"/>
        </w:rPr>
        <w:t>tion of her gastric varices post</w:t>
      </w:r>
      <w:r>
        <w:rPr>
          <w:rFonts w:ascii="Book Antiqua" w:hAnsi="Book Antiqua" w:cs="Times New Roman"/>
          <w:sz w:val="24"/>
          <w:szCs w:val="24"/>
        </w:rPr>
        <w:t xml:space="preserve"> </w:t>
      </w:r>
      <w:r w:rsidRPr="00DF46FE">
        <w:rPr>
          <w:rFonts w:ascii="Book Antiqua" w:hAnsi="Book Antiqua" w:cs="Times New Roman"/>
          <w:sz w:val="24"/>
          <w:szCs w:val="24"/>
        </w:rPr>
        <w:t>procedure and</w:t>
      </w:r>
      <w:r>
        <w:rPr>
          <w:rFonts w:ascii="Book Antiqua" w:hAnsi="Book Antiqua" w:cs="Times New Roman"/>
          <w:sz w:val="24"/>
          <w:szCs w:val="24"/>
        </w:rPr>
        <w:t xml:space="preserve"> </w:t>
      </w:r>
      <w:r w:rsidRPr="00DF46FE">
        <w:rPr>
          <w:rFonts w:ascii="Book Antiqua" w:hAnsi="Book Antiqua" w:cs="Times New Roman"/>
          <w:sz w:val="24"/>
          <w:szCs w:val="24"/>
        </w:rPr>
        <w:t>has remained on 6-mo</w:t>
      </w:r>
      <w:r>
        <w:rPr>
          <w:rFonts w:ascii="Book Antiqua" w:hAnsi="Book Antiqua" w:cs="Times New Roman"/>
          <w:sz w:val="24"/>
          <w:szCs w:val="24"/>
          <w:lang w:eastAsia="zh-CN"/>
        </w:rPr>
        <w:t xml:space="preserve"> </w:t>
      </w:r>
      <w:r w:rsidRPr="00DF46FE">
        <w:rPr>
          <w:rFonts w:ascii="Book Antiqua" w:hAnsi="Book Antiqua" w:cs="Times New Roman"/>
          <w:sz w:val="24"/>
          <w:szCs w:val="24"/>
        </w:rPr>
        <w:t>TIPS checks by portography since.</w:t>
      </w:r>
    </w:p>
    <w:p w:rsidR="004A3611" w:rsidRPr="00DF46FE" w:rsidRDefault="004A3611" w:rsidP="00D07E5E">
      <w:pPr>
        <w:adjustRightInd w:val="0"/>
        <w:snapToGrid w:val="0"/>
        <w:spacing w:after="0" w:afterAutospacing="0" w:line="360" w:lineRule="auto"/>
        <w:ind w:firstLineChars="100" w:firstLine="240"/>
        <w:jc w:val="both"/>
        <w:rPr>
          <w:rFonts w:ascii="Book Antiqua" w:hAnsi="Book Antiqua" w:cs="Times New Roman"/>
          <w:sz w:val="24"/>
          <w:szCs w:val="24"/>
        </w:rPr>
      </w:pPr>
      <w:r w:rsidRPr="00DF46FE">
        <w:rPr>
          <w:rFonts w:ascii="Book Antiqua" w:hAnsi="Book Antiqua" w:cs="Times New Roman"/>
          <w:sz w:val="24"/>
          <w:szCs w:val="24"/>
        </w:rPr>
        <w:t xml:space="preserve"> She remains under regular follow up jointly in the liver, immunology, re</w:t>
      </w:r>
      <w:r w:rsidRPr="00DF46FE">
        <w:rPr>
          <w:rFonts w:ascii="Book Antiqua" w:hAnsi="Book Antiqua" w:cs="Times New Roman"/>
          <w:sz w:val="24"/>
          <w:szCs w:val="24"/>
        </w:rPr>
        <w:t>s</w:t>
      </w:r>
      <w:r w:rsidRPr="00DF46FE">
        <w:rPr>
          <w:rFonts w:ascii="Book Antiqua" w:hAnsi="Book Antiqua" w:cs="Times New Roman"/>
          <w:sz w:val="24"/>
          <w:szCs w:val="24"/>
        </w:rPr>
        <w:t>piratory and haematology clinics. After nine years follow-up she remains well with normal liver function tests.</w:t>
      </w:r>
    </w:p>
    <w:p w:rsidR="004A3611" w:rsidRDefault="004A3611" w:rsidP="00D07E5E">
      <w:pPr>
        <w:adjustRightInd w:val="0"/>
        <w:snapToGrid w:val="0"/>
        <w:spacing w:after="0" w:afterAutospacing="0" w:line="360" w:lineRule="auto"/>
        <w:jc w:val="both"/>
        <w:rPr>
          <w:rFonts w:ascii="Book Antiqua" w:hAnsi="Book Antiqua" w:cs="Times New Roman"/>
          <w:sz w:val="24"/>
          <w:szCs w:val="24"/>
          <w:lang w:eastAsia="zh-CN"/>
        </w:rPr>
      </w:pPr>
    </w:p>
    <w:p w:rsidR="004A3611" w:rsidRPr="00D07E5E" w:rsidRDefault="004A3611" w:rsidP="00D07E5E">
      <w:pPr>
        <w:adjustRightInd w:val="0"/>
        <w:snapToGrid w:val="0"/>
        <w:spacing w:after="0" w:afterAutospacing="0" w:line="360" w:lineRule="auto"/>
        <w:jc w:val="both"/>
        <w:rPr>
          <w:rFonts w:ascii="Book Antiqua" w:hAnsi="Book Antiqua" w:cs="Times New Roman"/>
          <w:b/>
          <w:sz w:val="24"/>
          <w:szCs w:val="24"/>
          <w:lang w:eastAsia="zh-CN"/>
        </w:rPr>
      </w:pPr>
      <w:r w:rsidRPr="00D07E5E">
        <w:rPr>
          <w:rFonts w:ascii="Book Antiqua" w:hAnsi="Book Antiqua" w:cs="Times New Roman"/>
          <w:b/>
          <w:sz w:val="24"/>
          <w:szCs w:val="24"/>
        </w:rPr>
        <w:t>DISCUSSION</w:t>
      </w:r>
    </w:p>
    <w:p w:rsidR="004A3611" w:rsidRPr="00DF46FE" w:rsidRDefault="004A3611" w:rsidP="00784746">
      <w:pPr>
        <w:adjustRightInd w:val="0"/>
        <w:snapToGrid w:val="0"/>
        <w:spacing w:after="0" w:afterAutospacing="0" w:line="360" w:lineRule="auto"/>
        <w:jc w:val="both"/>
        <w:rPr>
          <w:rFonts w:ascii="Book Antiqua" w:hAnsi="Book Antiqua" w:cs="Times New Roman"/>
          <w:sz w:val="24"/>
          <w:szCs w:val="24"/>
        </w:rPr>
      </w:pPr>
      <w:r w:rsidRPr="00DF46FE">
        <w:rPr>
          <w:rFonts w:ascii="Book Antiqua" w:hAnsi="Book Antiqua" w:cs="Times New Roman"/>
          <w:sz w:val="24"/>
          <w:szCs w:val="24"/>
        </w:rPr>
        <w:t>NRH is usually associated with malignant, prothrombotic or</w:t>
      </w:r>
      <w:r w:rsidRPr="00DF46FE">
        <w:rPr>
          <w:rFonts w:ascii="Book Antiqua" w:hAnsi="Book Antiqua" w:cs="Times New Roman"/>
          <w:sz w:val="24"/>
          <w:szCs w:val="24"/>
          <w:lang w:val="en-GB"/>
        </w:rPr>
        <w:t xml:space="preserve"> rheumatologic</w:t>
      </w:r>
      <w:r w:rsidRPr="00DF46FE">
        <w:rPr>
          <w:rFonts w:ascii="Book Antiqua" w:hAnsi="Book Antiqua" w:cs="Times New Roman"/>
          <w:sz w:val="24"/>
          <w:szCs w:val="24"/>
        </w:rPr>
        <w:t xml:space="preserve"> conditions. Although liver disease and abnormal liver function tests are found in approximately 10% of CVID patients</w:t>
      </w:r>
      <w:r w:rsidRPr="00DF46FE">
        <w:rPr>
          <w:rFonts w:ascii="Book Antiqua" w:hAnsi="Book Antiqua" w:cs="Times New Roman"/>
          <w:sz w:val="24"/>
          <w:szCs w:val="24"/>
          <w:vertAlign w:val="superscript"/>
        </w:rPr>
        <w:t>[</w:t>
      </w:r>
      <w:r>
        <w:rPr>
          <w:rFonts w:ascii="Book Antiqua" w:hAnsi="Book Antiqua" w:cs="Times New Roman"/>
          <w:sz w:val="24"/>
          <w:szCs w:val="24"/>
          <w:vertAlign w:val="superscript"/>
          <w:lang w:eastAsia="zh-CN"/>
        </w:rPr>
        <w:t>4,</w:t>
      </w:r>
      <w:r w:rsidRPr="00DF46FE">
        <w:rPr>
          <w:rFonts w:ascii="Book Antiqua" w:hAnsi="Book Antiqua" w:cs="Times New Roman"/>
          <w:sz w:val="24"/>
          <w:szCs w:val="24"/>
          <w:vertAlign w:val="superscript"/>
        </w:rPr>
        <w:t>5]</w:t>
      </w:r>
      <w:r w:rsidRPr="00DF46FE">
        <w:rPr>
          <w:rFonts w:ascii="Book Antiqua" w:hAnsi="Book Antiqua" w:cs="Times New Roman"/>
          <w:sz w:val="24"/>
          <w:szCs w:val="24"/>
        </w:rPr>
        <w:t xml:space="preserve"> liver lesions associated with prim</w:t>
      </w:r>
      <w:r w:rsidRPr="00DF46FE">
        <w:rPr>
          <w:rFonts w:ascii="Book Antiqua" w:hAnsi="Book Antiqua" w:cs="Times New Roman"/>
          <w:sz w:val="24"/>
          <w:szCs w:val="24"/>
        </w:rPr>
        <w:t>a</w:t>
      </w:r>
      <w:r w:rsidRPr="00DF46FE">
        <w:rPr>
          <w:rFonts w:ascii="Book Antiqua" w:hAnsi="Book Antiqua" w:cs="Times New Roman"/>
          <w:sz w:val="24"/>
          <w:szCs w:val="24"/>
        </w:rPr>
        <w:t>ry hypogammaglobulinaemia has been poorly described</w:t>
      </w:r>
      <w:r w:rsidRPr="00DF46FE">
        <w:rPr>
          <w:rFonts w:ascii="Book Antiqua" w:hAnsi="Book Antiqua" w:cs="Times New Roman"/>
          <w:sz w:val="24"/>
          <w:szCs w:val="24"/>
          <w:vertAlign w:val="superscript"/>
        </w:rPr>
        <w:t>[</w:t>
      </w:r>
      <w:r>
        <w:rPr>
          <w:rFonts w:ascii="Book Antiqua" w:hAnsi="Book Antiqua" w:cs="Times New Roman"/>
          <w:sz w:val="24"/>
          <w:szCs w:val="24"/>
          <w:vertAlign w:val="superscript"/>
          <w:lang w:eastAsia="zh-CN"/>
        </w:rPr>
        <w:t>6</w:t>
      </w:r>
      <w:r w:rsidRPr="00DF46FE">
        <w:rPr>
          <w:rFonts w:ascii="Book Antiqua" w:hAnsi="Book Antiqua" w:cs="Times New Roman"/>
          <w:sz w:val="24"/>
          <w:szCs w:val="24"/>
          <w:vertAlign w:val="superscript"/>
        </w:rPr>
        <w:t>]</w:t>
      </w:r>
      <w:r w:rsidRPr="00DF46FE">
        <w:rPr>
          <w:rFonts w:ascii="Book Antiqua" w:hAnsi="Book Antiqua" w:cs="Times New Roman"/>
          <w:sz w:val="24"/>
          <w:szCs w:val="24"/>
        </w:rPr>
        <w:t>.</w:t>
      </w:r>
      <w:r>
        <w:rPr>
          <w:rFonts w:ascii="Book Antiqua" w:hAnsi="Book Antiqua" w:cs="Times New Roman"/>
          <w:sz w:val="24"/>
          <w:szCs w:val="24"/>
        </w:rPr>
        <w:t xml:space="preserve">  </w:t>
      </w:r>
      <w:r w:rsidRPr="00DF46FE">
        <w:rPr>
          <w:rFonts w:ascii="Book Antiqua" w:hAnsi="Book Antiqua" w:cs="Times New Roman"/>
          <w:sz w:val="24"/>
          <w:szCs w:val="24"/>
        </w:rPr>
        <w:t>Two recent stu</w:t>
      </w:r>
      <w:r w:rsidRPr="00DF46FE">
        <w:rPr>
          <w:rFonts w:ascii="Book Antiqua" w:hAnsi="Book Antiqua" w:cs="Times New Roman"/>
          <w:sz w:val="24"/>
          <w:szCs w:val="24"/>
        </w:rPr>
        <w:t>d</w:t>
      </w:r>
      <w:r w:rsidRPr="00DF46FE">
        <w:rPr>
          <w:rFonts w:ascii="Book Antiqua" w:hAnsi="Book Antiqua" w:cs="Times New Roman"/>
          <w:sz w:val="24"/>
          <w:szCs w:val="24"/>
        </w:rPr>
        <w:t>ies have identified nodular regenerative hyperplasia as the main histological correlate in patients with hypogammaglobulinemia</w:t>
      </w:r>
      <w:r w:rsidRPr="00DF46FE">
        <w:rPr>
          <w:rFonts w:ascii="Book Antiqua" w:hAnsi="Book Antiqua" w:cs="Times New Roman"/>
          <w:sz w:val="24"/>
          <w:szCs w:val="24"/>
          <w:vertAlign w:val="superscript"/>
        </w:rPr>
        <w:t>[2-6]</w:t>
      </w:r>
      <w:r w:rsidRPr="00DF46FE">
        <w:rPr>
          <w:rFonts w:ascii="Book Antiqua" w:hAnsi="Book Antiqua" w:cs="Times New Roman"/>
          <w:sz w:val="24"/>
          <w:szCs w:val="24"/>
        </w:rPr>
        <w:t>. Subsequent portal h</w:t>
      </w:r>
      <w:r w:rsidRPr="00DF46FE">
        <w:rPr>
          <w:rFonts w:ascii="Book Antiqua" w:hAnsi="Book Antiqua" w:cs="Times New Roman"/>
          <w:sz w:val="24"/>
          <w:szCs w:val="24"/>
        </w:rPr>
        <w:t>y</w:t>
      </w:r>
      <w:r w:rsidRPr="00DF46FE">
        <w:rPr>
          <w:rFonts w:ascii="Book Antiqua" w:hAnsi="Book Antiqua" w:cs="Times New Roman"/>
          <w:sz w:val="24"/>
          <w:szCs w:val="24"/>
        </w:rPr>
        <w:lastRenderedPageBreak/>
        <w:t>pertension was frequently observed in only one patient cohort</w:t>
      </w:r>
      <w:r w:rsidRPr="00DF46FE">
        <w:rPr>
          <w:rFonts w:ascii="Book Antiqua" w:hAnsi="Book Antiqua" w:cs="Times New Roman"/>
          <w:sz w:val="24"/>
          <w:szCs w:val="24"/>
          <w:vertAlign w:val="superscript"/>
        </w:rPr>
        <w:t>[</w:t>
      </w:r>
      <w:r>
        <w:rPr>
          <w:rFonts w:ascii="Book Antiqua" w:hAnsi="Book Antiqua" w:cs="Times New Roman"/>
          <w:sz w:val="24"/>
          <w:szCs w:val="24"/>
          <w:vertAlign w:val="superscript"/>
          <w:lang w:eastAsia="zh-CN"/>
        </w:rPr>
        <w:t>6</w:t>
      </w:r>
      <w:r w:rsidRPr="00DF46FE">
        <w:rPr>
          <w:rFonts w:ascii="Book Antiqua" w:hAnsi="Book Antiqua" w:cs="Times New Roman"/>
          <w:sz w:val="24"/>
          <w:szCs w:val="24"/>
          <w:vertAlign w:val="superscript"/>
        </w:rPr>
        <w:t>]</w:t>
      </w:r>
      <w:r w:rsidRPr="00DF46FE">
        <w:rPr>
          <w:rFonts w:ascii="Book Antiqua" w:hAnsi="Book Antiqua" w:cs="Times New Roman"/>
          <w:sz w:val="24"/>
          <w:szCs w:val="24"/>
        </w:rPr>
        <w:t>. There has also been a case report which shows the association of hypogammaglob</w:t>
      </w:r>
      <w:r w:rsidRPr="00DF46FE">
        <w:rPr>
          <w:rFonts w:ascii="Book Antiqua" w:hAnsi="Book Antiqua" w:cs="Times New Roman"/>
          <w:sz w:val="24"/>
          <w:szCs w:val="24"/>
        </w:rPr>
        <w:t>u</w:t>
      </w:r>
      <w:r w:rsidRPr="00DF46FE">
        <w:rPr>
          <w:rFonts w:ascii="Book Antiqua" w:hAnsi="Book Antiqua" w:cs="Times New Roman"/>
          <w:sz w:val="24"/>
          <w:szCs w:val="24"/>
        </w:rPr>
        <w:t>linemia and major gastrointestinal bleeding from gastric varices as a result of cirrhosis of unknown cause (on biopsy)</w:t>
      </w:r>
      <w:r w:rsidRPr="00DF46FE">
        <w:rPr>
          <w:rFonts w:ascii="Book Antiqua" w:hAnsi="Book Antiqua" w:cs="Times New Roman"/>
          <w:sz w:val="24"/>
          <w:szCs w:val="24"/>
          <w:vertAlign w:val="superscript"/>
        </w:rPr>
        <w:t>[</w:t>
      </w:r>
      <w:r>
        <w:rPr>
          <w:rFonts w:ascii="Book Antiqua" w:hAnsi="Book Antiqua" w:cs="Times New Roman"/>
          <w:sz w:val="24"/>
          <w:szCs w:val="24"/>
          <w:vertAlign w:val="superscript"/>
          <w:lang w:eastAsia="zh-CN"/>
        </w:rPr>
        <w:t>7</w:t>
      </w:r>
      <w:r w:rsidRPr="00DF46FE">
        <w:rPr>
          <w:rFonts w:ascii="Book Antiqua" w:hAnsi="Book Antiqua" w:cs="Times New Roman"/>
          <w:sz w:val="24"/>
          <w:szCs w:val="24"/>
          <w:vertAlign w:val="superscript"/>
        </w:rPr>
        <w:t>]</w:t>
      </w:r>
      <w:r w:rsidRPr="00DF46FE">
        <w:rPr>
          <w:rFonts w:ascii="Book Antiqua" w:hAnsi="Book Antiqua" w:cs="Times New Roman"/>
          <w:sz w:val="24"/>
          <w:szCs w:val="24"/>
        </w:rPr>
        <w:t>.</w:t>
      </w:r>
    </w:p>
    <w:p w:rsidR="004A3611" w:rsidRPr="00DF46FE" w:rsidRDefault="004A3611" w:rsidP="0006346F">
      <w:pPr>
        <w:adjustRightInd w:val="0"/>
        <w:snapToGrid w:val="0"/>
        <w:spacing w:after="0" w:afterAutospacing="0" w:line="360" w:lineRule="auto"/>
        <w:ind w:firstLineChars="100" w:firstLine="240"/>
        <w:jc w:val="both"/>
        <w:rPr>
          <w:rFonts w:ascii="Book Antiqua" w:hAnsi="Book Antiqua" w:cs="Times New Roman"/>
          <w:sz w:val="24"/>
          <w:szCs w:val="24"/>
        </w:rPr>
      </w:pPr>
      <w:r w:rsidRPr="00DF46FE">
        <w:rPr>
          <w:rFonts w:ascii="Book Antiqua" w:hAnsi="Book Antiqua" w:cs="Times New Roman"/>
          <w:sz w:val="24"/>
          <w:szCs w:val="24"/>
        </w:rPr>
        <w:t>Management of patients with NRH is aimed at the treatment of the unde</w:t>
      </w:r>
      <w:r w:rsidRPr="00DF46FE">
        <w:rPr>
          <w:rFonts w:ascii="Book Antiqua" w:hAnsi="Book Antiqua" w:cs="Times New Roman"/>
          <w:sz w:val="24"/>
          <w:szCs w:val="24"/>
        </w:rPr>
        <w:t>r</w:t>
      </w:r>
      <w:r w:rsidRPr="00DF46FE">
        <w:rPr>
          <w:rFonts w:ascii="Book Antiqua" w:hAnsi="Book Antiqua" w:cs="Times New Roman"/>
          <w:sz w:val="24"/>
          <w:szCs w:val="24"/>
        </w:rPr>
        <w:t>lying systemic disorder and any complications related to the portal hyperte</w:t>
      </w:r>
      <w:r w:rsidRPr="00DF46FE">
        <w:rPr>
          <w:rFonts w:ascii="Book Antiqua" w:hAnsi="Book Antiqua" w:cs="Times New Roman"/>
          <w:sz w:val="24"/>
          <w:szCs w:val="24"/>
        </w:rPr>
        <w:t>n</w:t>
      </w:r>
      <w:r w:rsidRPr="00DF46FE">
        <w:rPr>
          <w:rFonts w:ascii="Book Antiqua" w:hAnsi="Book Antiqua" w:cs="Times New Roman"/>
          <w:sz w:val="24"/>
          <w:szCs w:val="24"/>
        </w:rPr>
        <w:t>sion. A fundamental concept is that the synthetic function of the liver is ge</w:t>
      </w:r>
      <w:r w:rsidRPr="00DF46FE">
        <w:rPr>
          <w:rFonts w:ascii="Book Antiqua" w:hAnsi="Book Antiqua" w:cs="Times New Roman"/>
          <w:sz w:val="24"/>
          <w:szCs w:val="24"/>
        </w:rPr>
        <w:t>n</w:t>
      </w:r>
      <w:r w:rsidRPr="00DF46FE">
        <w:rPr>
          <w:rFonts w:ascii="Book Antiqua" w:hAnsi="Book Antiqua" w:cs="Times New Roman"/>
          <w:sz w:val="24"/>
          <w:szCs w:val="24"/>
        </w:rPr>
        <w:t>erally preserved in NRH, despite the potential for development of significant portal hypertension. Liver transplantation is therefore rarely needed for NRH</w:t>
      </w:r>
      <w:r w:rsidRPr="00DF46FE">
        <w:rPr>
          <w:rFonts w:ascii="Book Antiqua" w:hAnsi="Book Antiqua" w:cs="Times New Roman"/>
          <w:sz w:val="24"/>
          <w:szCs w:val="24"/>
          <w:vertAlign w:val="superscript"/>
        </w:rPr>
        <w:t>[8]</w:t>
      </w:r>
      <w:r w:rsidRPr="00DF46FE">
        <w:rPr>
          <w:rFonts w:ascii="Book Antiqua" w:hAnsi="Book Antiqua" w:cs="Times New Roman"/>
          <w:sz w:val="24"/>
          <w:szCs w:val="24"/>
        </w:rPr>
        <w:t>.</w:t>
      </w:r>
    </w:p>
    <w:p w:rsidR="004A3611" w:rsidRPr="00DF46FE" w:rsidRDefault="004A3611" w:rsidP="0006346F">
      <w:pPr>
        <w:adjustRightInd w:val="0"/>
        <w:snapToGrid w:val="0"/>
        <w:spacing w:after="0" w:afterAutospacing="0" w:line="360" w:lineRule="auto"/>
        <w:ind w:firstLineChars="100" w:firstLine="240"/>
        <w:jc w:val="both"/>
        <w:rPr>
          <w:rFonts w:ascii="Book Antiqua" w:hAnsi="Book Antiqua" w:cs="Times New Roman"/>
          <w:sz w:val="24"/>
          <w:szCs w:val="24"/>
        </w:rPr>
      </w:pPr>
      <w:r w:rsidRPr="00DF46FE">
        <w:rPr>
          <w:rFonts w:ascii="Book Antiqua" w:hAnsi="Book Antiqua" w:cs="Times New Roman"/>
          <w:sz w:val="24"/>
          <w:szCs w:val="24"/>
        </w:rPr>
        <w:t>The immediate approach to variceal bleeding and ascites in patient with NRH does not differ from that of any other patients with the same condition. In the management of gastric varices or intractable or recurrent oesophageal variceal bleeding, TIPS should be considered</w:t>
      </w:r>
      <w:r w:rsidRPr="00DF46FE">
        <w:rPr>
          <w:rFonts w:ascii="Book Antiqua" w:hAnsi="Book Antiqua" w:cs="Times New Roman"/>
          <w:sz w:val="24"/>
          <w:szCs w:val="24"/>
          <w:vertAlign w:val="superscript"/>
        </w:rPr>
        <w:t>[</w:t>
      </w:r>
      <w:r>
        <w:rPr>
          <w:rFonts w:ascii="Book Antiqua" w:hAnsi="Book Antiqua" w:cs="Times New Roman"/>
          <w:sz w:val="24"/>
          <w:szCs w:val="24"/>
          <w:vertAlign w:val="superscript"/>
          <w:lang w:eastAsia="zh-CN"/>
        </w:rPr>
        <w:t>9</w:t>
      </w:r>
      <w:r w:rsidRPr="00DF46FE">
        <w:rPr>
          <w:rFonts w:ascii="Book Antiqua" w:hAnsi="Book Antiqua" w:cs="Times New Roman"/>
          <w:sz w:val="24"/>
          <w:szCs w:val="24"/>
          <w:vertAlign w:val="superscript"/>
        </w:rPr>
        <w:t>]</w:t>
      </w:r>
      <w:r w:rsidRPr="00DF46FE">
        <w:rPr>
          <w:rFonts w:ascii="Book Antiqua" w:hAnsi="Book Antiqua" w:cs="Times New Roman"/>
          <w:sz w:val="24"/>
          <w:szCs w:val="24"/>
        </w:rPr>
        <w:t>. Gastric variceal bleeding can be particularly challenging to the clinician. Histoacryl injection is the end</w:t>
      </w:r>
      <w:r w:rsidRPr="00DF46FE">
        <w:rPr>
          <w:rFonts w:ascii="Book Antiqua" w:hAnsi="Book Antiqua" w:cs="Times New Roman"/>
          <w:sz w:val="24"/>
          <w:szCs w:val="24"/>
        </w:rPr>
        <w:t>o</w:t>
      </w:r>
      <w:r w:rsidRPr="00DF46FE">
        <w:rPr>
          <w:rFonts w:ascii="Book Antiqua" w:hAnsi="Book Antiqua" w:cs="Times New Roman"/>
          <w:sz w:val="24"/>
          <w:szCs w:val="24"/>
        </w:rPr>
        <w:t>scopic method of choice for gastric variceal bleeding with immediate haem</w:t>
      </w:r>
      <w:r w:rsidRPr="00DF46FE">
        <w:rPr>
          <w:rFonts w:ascii="Book Antiqua" w:hAnsi="Book Antiqua" w:cs="Times New Roman"/>
          <w:sz w:val="24"/>
          <w:szCs w:val="24"/>
        </w:rPr>
        <w:t>o</w:t>
      </w:r>
      <w:r w:rsidRPr="00DF46FE">
        <w:rPr>
          <w:rFonts w:ascii="Book Antiqua" w:hAnsi="Book Antiqua" w:cs="Times New Roman"/>
          <w:sz w:val="24"/>
          <w:szCs w:val="24"/>
        </w:rPr>
        <w:t>stasis figures of over 90% reported</w:t>
      </w:r>
      <w:r w:rsidRPr="00DF46FE">
        <w:rPr>
          <w:rFonts w:ascii="Book Antiqua" w:hAnsi="Book Antiqua" w:cs="Times New Roman"/>
          <w:sz w:val="24"/>
          <w:szCs w:val="24"/>
          <w:vertAlign w:val="superscript"/>
        </w:rPr>
        <w:t>[</w:t>
      </w:r>
      <w:r>
        <w:rPr>
          <w:rFonts w:ascii="Book Antiqua" w:hAnsi="Book Antiqua" w:cs="Times New Roman"/>
          <w:sz w:val="24"/>
          <w:szCs w:val="24"/>
          <w:vertAlign w:val="superscript"/>
          <w:lang w:eastAsia="zh-CN"/>
        </w:rPr>
        <w:t>9,10</w:t>
      </w:r>
      <w:r w:rsidRPr="00DF46FE">
        <w:rPr>
          <w:rFonts w:ascii="Book Antiqua" w:hAnsi="Book Antiqua" w:cs="Times New Roman"/>
          <w:sz w:val="24"/>
          <w:szCs w:val="24"/>
          <w:vertAlign w:val="superscript"/>
        </w:rPr>
        <w:t>]</w:t>
      </w:r>
      <w:r w:rsidRPr="00DF46FE">
        <w:rPr>
          <w:rFonts w:ascii="Book Antiqua" w:hAnsi="Book Antiqua" w:cs="Times New Roman"/>
          <w:sz w:val="24"/>
          <w:szCs w:val="24"/>
        </w:rPr>
        <w:t>. TIPS is used at a lower threshold for gastric compared with oesophageal variceal bleeding with uncontrolled stu</w:t>
      </w:r>
      <w:r w:rsidRPr="00DF46FE">
        <w:rPr>
          <w:rFonts w:ascii="Book Antiqua" w:hAnsi="Book Antiqua" w:cs="Times New Roman"/>
          <w:sz w:val="24"/>
          <w:szCs w:val="24"/>
        </w:rPr>
        <w:t>d</w:t>
      </w:r>
      <w:r w:rsidRPr="00DF46FE">
        <w:rPr>
          <w:rFonts w:ascii="Book Antiqua" w:hAnsi="Book Antiqua" w:cs="Times New Roman"/>
          <w:sz w:val="24"/>
          <w:szCs w:val="24"/>
        </w:rPr>
        <w:t>ies demonstrating initial haemostasis obtained in over 90%, and rebleeding rates of 15%-30</w:t>
      </w:r>
      <w:bookmarkStart w:id="87" w:name="OLE_LINK536"/>
      <w:bookmarkStart w:id="88" w:name="OLE_LINK537"/>
      <w:r w:rsidRPr="00DF46FE">
        <w:rPr>
          <w:rFonts w:ascii="Book Antiqua" w:hAnsi="Book Antiqua" w:cs="Times New Roman"/>
          <w:sz w:val="24"/>
          <w:szCs w:val="24"/>
        </w:rPr>
        <w:t>%</w:t>
      </w:r>
      <w:bookmarkEnd w:id="87"/>
      <w:bookmarkEnd w:id="88"/>
      <w:r w:rsidRPr="00DF46FE">
        <w:rPr>
          <w:rFonts w:ascii="Book Antiqua" w:hAnsi="Book Antiqua" w:cs="Times New Roman"/>
          <w:sz w:val="24"/>
          <w:szCs w:val="24"/>
          <w:vertAlign w:val="superscript"/>
        </w:rPr>
        <w:t>[</w:t>
      </w:r>
      <w:r>
        <w:rPr>
          <w:rFonts w:ascii="Book Antiqua" w:hAnsi="Book Antiqua" w:cs="Times New Roman"/>
          <w:sz w:val="24"/>
          <w:szCs w:val="24"/>
          <w:vertAlign w:val="superscript"/>
          <w:lang w:eastAsia="zh-CN"/>
        </w:rPr>
        <w:t>11</w:t>
      </w:r>
      <w:r w:rsidRPr="00DF46FE">
        <w:rPr>
          <w:rFonts w:ascii="Book Antiqua" w:hAnsi="Book Antiqua" w:cs="Times New Roman"/>
          <w:sz w:val="24"/>
          <w:szCs w:val="24"/>
          <w:vertAlign w:val="superscript"/>
        </w:rPr>
        <w:t>]</w:t>
      </w:r>
      <w:r w:rsidRPr="00DF46FE">
        <w:rPr>
          <w:rFonts w:ascii="Book Antiqua" w:hAnsi="Book Antiqua" w:cs="Times New Roman"/>
          <w:sz w:val="24"/>
          <w:szCs w:val="24"/>
        </w:rPr>
        <w:t xml:space="preserve">. As hepatic encephalopathy is rare in NRH because of preserved hepatic synthetic function, </w:t>
      </w:r>
      <w:smartTag w:uri="urn:schemas-microsoft-com:office:smarttags" w:element="place">
        <w:r w:rsidRPr="00DF46FE">
          <w:rPr>
            <w:rFonts w:ascii="Book Antiqua" w:hAnsi="Book Antiqua" w:cs="Times New Roman"/>
            <w:sz w:val="24"/>
            <w:szCs w:val="24"/>
          </w:rPr>
          <w:t>Porto</w:t>
        </w:r>
      </w:smartTag>
      <w:r w:rsidRPr="00DF46FE">
        <w:rPr>
          <w:rFonts w:ascii="Book Antiqua" w:hAnsi="Book Antiqua" w:cs="Times New Roman"/>
          <w:sz w:val="24"/>
          <w:szCs w:val="24"/>
        </w:rPr>
        <w:t xml:space="preserve"> systemic shunt surgery or TIPS is more suitable to treat and prevent refractory gastric variceal bleed in patients with NRH</w:t>
      </w:r>
      <w:r w:rsidRPr="00DF46FE">
        <w:rPr>
          <w:rFonts w:ascii="Book Antiqua" w:hAnsi="Book Antiqua" w:cs="Times New Roman"/>
          <w:sz w:val="24"/>
          <w:szCs w:val="24"/>
          <w:vertAlign w:val="superscript"/>
        </w:rPr>
        <w:t>[</w:t>
      </w:r>
      <w:r>
        <w:rPr>
          <w:rFonts w:ascii="Book Antiqua" w:hAnsi="Book Antiqua" w:cs="Times New Roman"/>
          <w:sz w:val="24"/>
          <w:szCs w:val="24"/>
          <w:vertAlign w:val="superscript"/>
          <w:lang w:eastAsia="zh-CN"/>
        </w:rPr>
        <w:t>11</w:t>
      </w:r>
      <w:r w:rsidRPr="00DF46FE">
        <w:rPr>
          <w:rFonts w:ascii="Book Antiqua" w:hAnsi="Book Antiqua" w:cs="Times New Roman"/>
          <w:sz w:val="24"/>
          <w:szCs w:val="24"/>
          <w:vertAlign w:val="superscript"/>
        </w:rPr>
        <w:t>]</w:t>
      </w:r>
      <w:r w:rsidRPr="00DF46FE">
        <w:rPr>
          <w:rFonts w:ascii="Book Antiqua" w:hAnsi="Book Antiqua" w:cs="Times New Roman"/>
          <w:sz w:val="24"/>
          <w:szCs w:val="24"/>
        </w:rPr>
        <w:t>.</w:t>
      </w:r>
      <w:r>
        <w:rPr>
          <w:rFonts w:ascii="Book Antiqua" w:hAnsi="Book Antiqua" w:cs="Times New Roman"/>
          <w:sz w:val="24"/>
          <w:szCs w:val="24"/>
          <w:lang w:eastAsia="zh-CN"/>
        </w:rPr>
        <w:t xml:space="preserve"> </w:t>
      </w:r>
      <w:r w:rsidRPr="00DF46FE">
        <w:rPr>
          <w:rFonts w:ascii="Book Antiqua" w:hAnsi="Book Antiqua" w:cs="Times New Roman"/>
          <w:sz w:val="24"/>
          <w:szCs w:val="24"/>
        </w:rPr>
        <w:t>Balloon occluded retrograde transvenous obliteration is a tec</w:t>
      </w:r>
      <w:r w:rsidRPr="00DF46FE">
        <w:rPr>
          <w:rFonts w:ascii="Book Antiqua" w:hAnsi="Book Antiqua" w:cs="Times New Roman"/>
          <w:sz w:val="24"/>
          <w:szCs w:val="24"/>
        </w:rPr>
        <w:t>h</w:t>
      </w:r>
      <w:r w:rsidRPr="00DF46FE">
        <w:rPr>
          <w:rFonts w:ascii="Book Antiqua" w:hAnsi="Book Antiqua" w:cs="Times New Roman"/>
          <w:sz w:val="24"/>
          <w:szCs w:val="24"/>
        </w:rPr>
        <w:t xml:space="preserve">nique for patients with gastric varices and gastrorenal shunts, although it is rarely used outside </w:t>
      </w:r>
      <w:smartTag w:uri="urn:schemas-microsoft-com:office:smarttags" w:element="place">
        <w:r w:rsidRPr="00DF46FE">
          <w:rPr>
            <w:rFonts w:ascii="Book Antiqua" w:hAnsi="Book Antiqua" w:cs="Times New Roman"/>
            <w:sz w:val="24"/>
            <w:szCs w:val="24"/>
          </w:rPr>
          <w:t>Asia</w:t>
        </w:r>
      </w:smartTag>
      <w:r w:rsidRPr="00DF46FE">
        <w:rPr>
          <w:rFonts w:ascii="Book Antiqua" w:hAnsi="Book Antiqua" w:cs="Times New Roman"/>
          <w:sz w:val="24"/>
          <w:szCs w:val="24"/>
          <w:vertAlign w:val="superscript"/>
        </w:rPr>
        <w:t>[12]</w:t>
      </w:r>
      <w:r w:rsidRPr="00DF46FE">
        <w:rPr>
          <w:rFonts w:ascii="Book Antiqua" w:hAnsi="Book Antiqua" w:cs="Times New Roman"/>
          <w:sz w:val="24"/>
          <w:szCs w:val="24"/>
        </w:rPr>
        <w:t>. Non-cardioselective beta-blockers are an altern</w:t>
      </w:r>
      <w:r w:rsidRPr="00DF46FE">
        <w:rPr>
          <w:rFonts w:ascii="Book Antiqua" w:hAnsi="Book Antiqua" w:cs="Times New Roman"/>
          <w:sz w:val="24"/>
          <w:szCs w:val="24"/>
        </w:rPr>
        <w:t>a</w:t>
      </w:r>
      <w:r w:rsidRPr="00DF46FE">
        <w:rPr>
          <w:rFonts w:ascii="Book Antiqua" w:hAnsi="Book Antiqua" w:cs="Times New Roman"/>
          <w:sz w:val="24"/>
          <w:szCs w:val="24"/>
        </w:rPr>
        <w:t>tive to TIPS for secondary prophylaxis, although the evidence is limited</w:t>
      </w:r>
      <w:r w:rsidRPr="00DF46FE">
        <w:rPr>
          <w:rFonts w:ascii="Book Antiqua" w:hAnsi="Book Antiqua" w:cs="Times New Roman"/>
          <w:sz w:val="24"/>
          <w:szCs w:val="24"/>
          <w:vertAlign w:val="superscript"/>
        </w:rPr>
        <w:t>[</w:t>
      </w:r>
      <w:r>
        <w:rPr>
          <w:rFonts w:ascii="Book Antiqua" w:hAnsi="Book Antiqua" w:cs="Times New Roman"/>
          <w:sz w:val="24"/>
          <w:szCs w:val="24"/>
          <w:vertAlign w:val="superscript"/>
          <w:lang w:eastAsia="zh-CN"/>
        </w:rPr>
        <w:t>11</w:t>
      </w:r>
      <w:r w:rsidRPr="00DF46FE">
        <w:rPr>
          <w:rFonts w:ascii="Book Antiqua" w:hAnsi="Book Antiqua" w:cs="Times New Roman"/>
          <w:sz w:val="24"/>
          <w:szCs w:val="24"/>
          <w:vertAlign w:val="superscript"/>
        </w:rPr>
        <w:t>]</w:t>
      </w:r>
      <w:r w:rsidRPr="00DF46FE">
        <w:rPr>
          <w:rFonts w:ascii="Book Antiqua" w:hAnsi="Book Antiqua" w:cs="Times New Roman"/>
          <w:sz w:val="24"/>
          <w:szCs w:val="24"/>
        </w:rPr>
        <w:t>.</w:t>
      </w:r>
      <w:r>
        <w:rPr>
          <w:rFonts w:ascii="Book Antiqua" w:hAnsi="Book Antiqua" w:cs="Times New Roman"/>
          <w:sz w:val="24"/>
          <w:szCs w:val="24"/>
        </w:rPr>
        <w:t xml:space="preserve"> </w:t>
      </w:r>
    </w:p>
    <w:p w:rsidR="004A3611" w:rsidRPr="00DF46FE" w:rsidRDefault="004A3611" w:rsidP="0006346F">
      <w:pPr>
        <w:adjustRightInd w:val="0"/>
        <w:snapToGrid w:val="0"/>
        <w:spacing w:after="0" w:afterAutospacing="0" w:line="360" w:lineRule="auto"/>
        <w:ind w:firstLineChars="100" w:firstLine="240"/>
        <w:jc w:val="both"/>
        <w:rPr>
          <w:rFonts w:ascii="Book Antiqua" w:hAnsi="Book Antiqua" w:cs="Times New Roman"/>
          <w:sz w:val="24"/>
          <w:szCs w:val="24"/>
        </w:rPr>
      </w:pPr>
      <w:bookmarkStart w:id="89" w:name="OLE_LINK519"/>
      <w:bookmarkStart w:id="90" w:name="OLE_LINK520"/>
      <w:r>
        <w:rPr>
          <w:rFonts w:ascii="Book Antiqua" w:hAnsi="Book Antiqua" w:cs="Times New Roman"/>
          <w:sz w:val="24"/>
          <w:szCs w:val="24"/>
          <w:lang w:eastAsia="zh-CN"/>
        </w:rPr>
        <w:t xml:space="preserve">In conclusion, </w:t>
      </w:r>
      <w:r w:rsidRPr="00DF46FE">
        <w:rPr>
          <w:rFonts w:ascii="Book Antiqua" w:hAnsi="Book Antiqua" w:cs="Times New Roman"/>
          <w:sz w:val="24"/>
          <w:szCs w:val="24"/>
        </w:rPr>
        <w:t>NRH is still an evolving concept. Although a rarely ident</w:t>
      </w:r>
      <w:r w:rsidRPr="00DF46FE">
        <w:rPr>
          <w:rFonts w:ascii="Book Antiqua" w:hAnsi="Book Antiqua" w:cs="Times New Roman"/>
          <w:sz w:val="24"/>
          <w:szCs w:val="24"/>
        </w:rPr>
        <w:t>i</w:t>
      </w:r>
      <w:r w:rsidRPr="00DF46FE">
        <w:rPr>
          <w:rFonts w:ascii="Book Antiqua" w:hAnsi="Book Antiqua" w:cs="Times New Roman"/>
          <w:sz w:val="24"/>
          <w:szCs w:val="24"/>
        </w:rPr>
        <w:t>fied liver disorder, it is a frequent cause of noncirrhotic portal hypertension. Liver involvement in primary hypogmmaglobulinaemia mainly consists of NRH leading to chronic cholestasis and portal hypertension.</w:t>
      </w:r>
      <w:r>
        <w:rPr>
          <w:rFonts w:ascii="Book Antiqua" w:hAnsi="Book Antiqua" w:cs="Times New Roman"/>
          <w:sz w:val="24"/>
          <w:szCs w:val="24"/>
        </w:rPr>
        <w:t xml:space="preserve"> </w:t>
      </w:r>
      <w:r w:rsidRPr="00DF46FE">
        <w:rPr>
          <w:rFonts w:ascii="Book Antiqua" w:hAnsi="Book Antiqua" w:cs="Times New Roman"/>
          <w:sz w:val="24"/>
          <w:szCs w:val="24"/>
        </w:rPr>
        <w:t>Optimal ma</w:t>
      </w:r>
      <w:r w:rsidRPr="00DF46FE">
        <w:rPr>
          <w:rFonts w:ascii="Book Antiqua" w:hAnsi="Book Antiqua" w:cs="Times New Roman"/>
          <w:sz w:val="24"/>
          <w:szCs w:val="24"/>
        </w:rPr>
        <w:t>n</w:t>
      </w:r>
      <w:r w:rsidRPr="00DF46FE">
        <w:rPr>
          <w:rFonts w:ascii="Book Antiqua" w:hAnsi="Book Antiqua" w:cs="Times New Roman"/>
          <w:sz w:val="24"/>
          <w:szCs w:val="24"/>
        </w:rPr>
        <w:t>agement of gastric</w:t>
      </w:r>
      <w:r>
        <w:rPr>
          <w:rFonts w:ascii="Book Antiqua" w:hAnsi="Book Antiqua" w:cs="Times New Roman"/>
          <w:sz w:val="24"/>
          <w:szCs w:val="24"/>
        </w:rPr>
        <w:t xml:space="preserve"> </w:t>
      </w:r>
      <w:r w:rsidRPr="00DF46FE">
        <w:rPr>
          <w:rFonts w:ascii="Book Antiqua" w:hAnsi="Book Antiqua" w:cs="Times New Roman"/>
          <w:sz w:val="24"/>
          <w:szCs w:val="24"/>
        </w:rPr>
        <w:t xml:space="preserve">variceal bleed remains unclear. Histoacryl injection is the </w:t>
      </w:r>
      <w:r w:rsidRPr="00DF46FE">
        <w:rPr>
          <w:rFonts w:ascii="Book Antiqua" w:hAnsi="Book Antiqua" w:cs="Times New Roman"/>
          <w:sz w:val="24"/>
          <w:szCs w:val="24"/>
        </w:rPr>
        <w:lastRenderedPageBreak/>
        <w:t xml:space="preserve">endoscopic method of choice for gastric variceal bleed but one should keep a lower threshold for TIPPS procedure for recurrent gastric variceal bleed. </w:t>
      </w:r>
    </w:p>
    <w:bookmarkEnd w:id="89"/>
    <w:bookmarkEnd w:id="90"/>
    <w:p w:rsidR="004A3611" w:rsidRDefault="004A3611" w:rsidP="00784746">
      <w:pPr>
        <w:adjustRightInd w:val="0"/>
        <w:snapToGrid w:val="0"/>
        <w:spacing w:after="0" w:afterAutospacing="0" w:line="360" w:lineRule="auto"/>
        <w:jc w:val="both"/>
        <w:rPr>
          <w:rFonts w:ascii="Book Antiqua" w:hAnsi="Book Antiqua" w:cs="Times New Roman"/>
          <w:sz w:val="24"/>
          <w:szCs w:val="24"/>
          <w:lang w:eastAsia="zh-CN"/>
        </w:rPr>
      </w:pPr>
    </w:p>
    <w:p w:rsidR="004A3611" w:rsidRPr="007F6E6D" w:rsidRDefault="004A3611" w:rsidP="00784746">
      <w:pPr>
        <w:adjustRightInd w:val="0"/>
        <w:snapToGrid w:val="0"/>
        <w:spacing w:after="0" w:afterAutospacing="0" w:line="360" w:lineRule="auto"/>
        <w:jc w:val="both"/>
        <w:rPr>
          <w:rFonts w:ascii="Book Antiqua" w:hAnsi="Book Antiqua" w:cs="Times New Roman"/>
          <w:sz w:val="24"/>
          <w:szCs w:val="24"/>
          <w:lang w:eastAsia="zh-CN"/>
        </w:rPr>
        <w:sectPr w:rsidR="004A3611" w:rsidRPr="007F6E6D" w:rsidSect="007F6E6D">
          <w:type w:val="continuous"/>
          <w:pgSz w:w="11906" w:h="16838"/>
          <w:pgMar w:top="1440" w:right="1797" w:bottom="1440" w:left="1797" w:header="709" w:footer="709" w:gutter="0"/>
          <w:cols w:space="708"/>
          <w:docGrid w:linePitch="360"/>
        </w:sectPr>
      </w:pPr>
    </w:p>
    <w:p w:rsidR="004A3611" w:rsidRPr="007F6E6D" w:rsidRDefault="004A3611" w:rsidP="00784746">
      <w:pPr>
        <w:adjustRightInd w:val="0"/>
        <w:snapToGrid w:val="0"/>
        <w:spacing w:after="0" w:afterAutospacing="0" w:line="360" w:lineRule="auto"/>
        <w:jc w:val="both"/>
        <w:rPr>
          <w:rFonts w:ascii="Book Antiqua" w:hAnsi="Book Antiqua" w:cs="Times New Roman"/>
          <w:b/>
          <w:sz w:val="24"/>
          <w:szCs w:val="24"/>
        </w:rPr>
      </w:pPr>
      <w:r w:rsidRPr="007F6E6D">
        <w:rPr>
          <w:rFonts w:ascii="Book Antiqua" w:hAnsi="Book Antiqua" w:cs="Times New Roman"/>
          <w:b/>
          <w:sz w:val="24"/>
          <w:szCs w:val="24"/>
        </w:rPr>
        <w:lastRenderedPageBreak/>
        <w:t>REFERENCES</w:t>
      </w:r>
    </w:p>
    <w:p w:rsidR="004A3611" w:rsidRPr="007F6E6D" w:rsidRDefault="004A3611" w:rsidP="007F6E6D">
      <w:pPr>
        <w:spacing w:after="0" w:afterAutospacing="0"/>
        <w:rPr>
          <w:rFonts w:ascii="Book Antiqua" w:hAnsi="Book Antiqua" w:cs="宋体"/>
          <w:sz w:val="24"/>
          <w:szCs w:val="24"/>
          <w:lang w:eastAsia="zh-CN"/>
        </w:rPr>
      </w:pPr>
      <w:r w:rsidRPr="007F6E6D">
        <w:rPr>
          <w:rFonts w:ascii="Book Antiqua" w:hAnsi="Book Antiqua" w:cs="宋体"/>
          <w:sz w:val="24"/>
          <w:szCs w:val="24"/>
          <w:lang w:eastAsia="zh-CN"/>
        </w:rPr>
        <w:t xml:space="preserve">1 </w:t>
      </w:r>
      <w:r w:rsidRPr="007F6E6D">
        <w:rPr>
          <w:rFonts w:ascii="Book Antiqua" w:hAnsi="Book Antiqua" w:cs="宋体"/>
          <w:b/>
          <w:bCs/>
          <w:sz w:val="24"/>
          <w:szCs w:val="24"/>
          <w:lang w:eastAsia="zh-CN"/>
        </w:rPr>
        <w:t>Mahamid J</w:t>
      </w:r>
      <w:r w:rsidRPr="007F6E6D">
        <w:rPr>
          <w:rFonts w:ascii="Book Antiqua" w:hAnsi="Book Antiqua" w:cs="宋体"/>
          <w:sz w:val="24"/>
          <w:szCs w:val="24"/>
          <w:lang w:eastAsia="zh-CN"/>
        </w:rPr>
        <w:t>, Miselevich I, Attias D, Laor R, Zuckerman E, Shaoul R. Nodular regenerative hyperplasia associated with idiopathic thrombocytopenic purp</w:t>
      </w:r>
      <w:r w:rsidRPr="007F6E6D">
        <w:rPr>
          <w:rFonts w:ascii="Book Antiqua" w:hAnsi="Book Antiqua" w:cs="宋体"/>
          <w:sz w:val="24"/>
          <w:szCs w:val="24"/>
          <w:lang w:eastAsia="zh-CN"/>
        </w:rPr>
        <w:t>u</w:t>
      </w:r>
      <w:r w:rsidRPr="007F6E6D">
        <w:rPr>
          <w:rFonts w:ascii="Book Antiqua" w:hAnsi="Book Antiqua" w:cs="宋体"/>
          <w:sz w:val="24"/>
          <w:szCs w:val="24"/>
          <w:lang w:eastAsia="zh-CN"/>
        </w:rPr>
        <w:t xml:space="preserve">ra in a young girl: a case report and review of the literature. </w:t>
      </w:r>
      <w:r w:rsidRPr="007F6E6D">
        <w:rPr>
          <w:rFonts w:ascii="Book Antiqua" w:hAnsi="Book Antiqua" w:cs="宋体"/>
          <w:i/>
          <w:iCs/>
          <w:sz w:val="24"/>
          <w:szCs w:val="24"/>
          <w:lang w:eastAsia="zh-CN"/>
        </w:rPr>
        <w:t>J Pediatr Gastroe</w:t>
      </w:r>
      <w:r w:rsidRPr="007F6E6D">
        <w:rPr>
          <w:rFonts w:ascii="Book Antiqua" w:hAnsi="Book Antiqua" w:cs="宋体"/>
          <w:i/>
          <w:iCs/>
          <w:sz w:val="24"/>
          <w:szCs w:val="24"/>
          <w:lang w:eastAsia="zh-CN"/>
        </w:rPr>
        <w:t>n</w:t>
      </w:r>
      <w:r w:rsidRPr="007F6E6D">
        <w:rPr>
          <w:rFonts w:ascii="Book Antiqua" w:hAnsi="Book Antiqua" w:cs="宋体"/>
          <w:i/>
          <w:iCs/>
          <w:sz w:val="24"/>
          <w:szCs w:val="24"/>
          <w:lang w:eastAsia="zh-CN"/>
        </w:rPr>
        <w:t>terol Nutr</w:t>
      </w:r>
      <w:r w:rsidRPr="007F6E6D">
        <w:rPr>
          <w:rFonts w:ascii="Book Antiqua" w:hAnsi="Book Antiqua" w:cs="宋体"/>
          <w:sz w:val="24"/>
          <w:szCs w:val="24"/>
          <w:lang w:eastAsia="zh-CN"/>
        </w:rPr>
        <w:t xml:space="preserve"> 2005; </w:t>
      </w:r>
      <w:r w:rsidRPr="007F6E6D">
        <w:rPr>
          <w:rFonts w:ascii="Book Antiqua" w:hAnsi="Book Antiqua" w:cs="宋体"/>
          <w:b/>
          <w:bCs/>
          <w:sz w:val="24"/>
          <w:szCs w:val="24"/>
          <w:lang w:eastAsia="zh-CN"/>
        </w:rPr>
        <w:t>41</w:t>
      </w:r>
      <w:r w:rsidRPr="007F6E6D">
        <w:rPr>
          <w:rFonts w:ascii="Book Antiqua" w:hAnsi="Book Antiqua" w:cs="宋体"/>
          <w:sz w:val="24"/>
          <w:szCs w:val="24"/>
          <w:lang w:eastAsia="zh-CN"/>
        </w:rPr>
        <w:t>: 251-255 [PMID: 16056109]</w:t>
      </w:r>
    </w:p>
    <w:p w:rsidR="004A3611" w:rsidRPr="007F6E6D" w:rsidRDefault="004A3611" w:rsidP="00F75A0A">
      <w:pPr>
        <w:spacing w:after="0" w:afterAutospacing="0"/>
        <w:rPr>
          <w:rFonts w:ascii="Book Antiqua" w:hAnsi="Book Antiqua" w:cs="宋体"/>
          <w:sz w:val="24"/>
          <w:szCs w:val="24"/>
          <w:lang w:eastAsia="zh-CN"/>
        </w:rPr>
      </w:pPr>
      <w:r>
        <w:rPr>
          <w:rFonts w:ascii="Book Antiqua" w:hAnsi="Book Antiqua" w:cs="宋体"/>
          <w:sz w:val="24"/>
          <w:szCs w:val="24"/>
          <w:lang w:eastAsia="zh-CN"/>
        </w:rPr>
        <w:t>2</w:t>
      </w:r>
      <w:r w:rsidRPr="007F6E6D">
        <w:rPr>
          <w:rFonts w:ascii="Book Antiqua" w:hAnsi="Book Antiqua" w:cs="宋体"/>
          <w:sz w:val="24"/>
          <w:szCs w:val="24"/>
          <w:lang w:eastAsia="zh-CN"/>
        </w:rPr>
        <w:t xml:space="preserve"> </w:t>
      </w:r>
      <w:r w:rsidRPr="007F6E6D">
        <w:rPr>
          <w:rFonts w:ascii="Book Antiqua" w:hAnsi="Book Antiqua" w:cs="宋体"/>
          <w:b/>
          <w:bCs/>
          <w:sz w:val="24"/>
          <w:szCs w:val="24"/>
          <w:lang w:eastAsia="zh-CN"/>
        </w:rPr>
        <w:t>Nakanuma Y</w:t>
      </w:r>
      <w:r w:rsidRPr="007F6E6D">
        <w:rPr>
          <w:rFonts w:ascii="Book Antiqua" w:hAnsi="Book Antiqua" w:cs="宋体"/>
          <w:sz w:val="24"/>
          <w:szCs w:val="24"/>
          <w:lang w:eastAsia="zh-CN"/>
        </w:rPr>
        <w:t xml:space="preserve">. Nodular regenerative hyperplasia of the liver: retrospective survey in autopsy series. </w:t>
      </w:r>
      <w:r w:rsidRPr="007F6E6D">
        <w:rPr>
          <w:rFonts w:ascii="Book Antiqua" w:hAnsi="Book Antiqua" w:cs="宋体"/>
          <w:i/>
          <w:iCs/>
          <w:sz w:val="24"/>
          <w:szCs w:val="24"/>
          <w:lang w:eastAsia="zh-CN"/>
        </w:rPr>
        <w:t>J Clin Gastroenterol</w:t>
      </w:r>
      <w:r w:rsidRPr="007F6E6D">
        <w:rPr>
          <w:rFonts w:ascii="Book Antiqua" w:hAnsi="Book Antiqua" w:cs="宋体"/>
          <w:sz w:val="24"/>
          <w:szCs w:val="24"/>
          <w:lang w:eastAsia="zh-CN"/>
        </w:rPr>
        <w:t xml:space="preserve"> 1990; </w:t>
      </w:r>
      <w:r w:rsidRPr="007F6E6D">
        <w:rPr>
          <w:rFonts w:ascii="Book Antiqua" w:hAnsi="Book Antiqua" w:cs="宋体"/>
          <w:b/>
          <w:bCs/>
          <w:sz w:val="24"/>
          <w:szCs w:val="24"/>
          <w:lang w:eastAsia="zh-CN"/>
        </w:rPr>
        <w:t>12</w:t>
      </w:r>
      <w:r w:rsidRPr="007F6E6D">
        <w:rPr>
          <w:rFonts w:ascii="Book Antiqua" w:hAnsi="Book Antiqua" w:cs="宋体"/>
          <w:sz w:val="24"/>
          <w:szCs w:val="24"/>
          <w:lang w:eastAsia="zh-CN"/>
        </w:rPr>
        <w:t>: 460-465 [PMID: 1975817 DOI: 10.1097/00004836-19008000-00023]</w:t>
      </w:r>
    </w:p>
    <w:p w:rsidR="004A3611" w:rsidRPr="007F6E6D" w:rsidRDefault="004A3611" w:rsidP="008378F4">
      <w:pPr>
        <w:spacing w:after="0" w:afterAutospacing="0"/>
        <w:rPr>
          <w:rFonts w:ascii="Book Antiqua" w:hAnsi="Book Antiqua" w:cs="宋体"/>
          <w:sz w:val="24"/>
          <w:szCs w:val="24"/>
          <w:lang w:eastAsia="zh-CN"/>
        </w:rPr>
      </w:pPr>
      <w:r>
        <w:rPr>
          <w:rFonts w:ascii="Book Antiqua" w:hAnsi="Book Antiqua" w:cs="宋体"/>
          <w:sz w:val="24"/>
          <w:szCs w:val="24"/>
          <w:lang w:eastAsia="zh-CN"/>
        </w:rPr>
        <w:t>3</w:t>
      </w:r>
      <w:r w:rsidRPr="007F6E6D">
        <w:rPr>
          <w:rFonts w:ascii="Book Antiqua" w:hAnsi="Book Antiqua" w:cs="宋体"/>
          <w:sz w:val="24"/>
          <w:szCs w:val="24"/>
          <w:lang w:eastAsia="zh-CN"/>
        </w:rPr>
        <w:t xml:space="preserve"> </w:t>
      </w:r>
      <w:r w:rsidRPr="007F6E6D">
        <w:rPr>
          <w:rFonts w:ascii="Book Antiqua" w:hAnsi="Book Antiqua" w:cs="宋体"/>
          <w:b/>
          <w:bCs/>
          <w:sz w:val="24"/>
          <w:szCs w:val="24"/>
          <w:lang w:eastAsia="zh-CN"/>
        </w:rPr>
        <w:t>Nakanuma Y</w:t>
      </w:r>
      <w:r w:rsidRPr="007F6E6D">
        <w:rPr>
          <w:rFonts w:ascii="Book Antiqua" w:hAnsi="Book Antiqua" w:cs="宋体"/>
          <w:sz w:val="24"/>
          <w:szCs w:val="24"/>
          <w:lang w:eastAsia="zh-CN"/>
        </w:rPr>
        <w:t xml:space="preserve">, Hoso M, Sasaki M, Terada T, Katayanagi K, Nonomura A, Kurumaya H, Harada A, Obata H. Histopathology of the liver in non-cirrhotic portal hypertension of unknown aetiology. </w:t>
      </w:r>
      <w:r w:rsidRPr="007F6E6D">
        <w:rPr>
          <w:rFonts w:ascii="Book Antiqua" w:hAnsi="Book Antiqua" w:cs="宋体"/>
          <w:i/>
          <w:iCs/>
          <w:sz w:val="24"/>
          <w:szCs w:val="24"/>
          <w:lang w:eastAsia="zh-CN"/>
        </w:rPr>
        <w:t>Histopathology</w:t>
      </w:r>
      <w:r w:rsidRPr="007F6E6D">
        <w:rPr>
          <w:rFonts w:ascii="Book Antiqua" w:hAnsi="Book Antiqua" w:cs="宋体"/>
          <w:sz w:val="24"/>
          <w:szCs w:val="24"/>
          <w:lang w:eastAsia="zh-CN"/>
        </w:rPr>
        <w:t xml:space="preserve"> 1996; </w:t>
      </w:r>
      <w:r w:rsidRPr="007F6E6D">
        <w:rPr>
          <w:rFonts w:ascii="Book Antiqua" w:hAnsi="Book Antiqua" w:cs="宋体"/>
          <w:b/>
          <w:bCs/>
          <w:sz w:val="24"/>
          <w:szCs w:val="24"/>
          <w:lang w:eastAsia="zh-CN"/>
        </w:rPr>
        <w:t>28</w:t>
      </w:r>
      <w:r w:rsidRPr="007F6E6D">
        <w:rPr>
          <w:rFonts w:ascii="Book Antiqua" w:hAnsi="Book Antiqua" w:cs="宋体"/>
          <w:sz w:val="24"/>
          <w:szCs w:val="24"/>
          <w:lang w:eastAsia="zh-CN"/>
        </w:rPr>
        <w:t>: 195-204 [PMID: 8729037 DOI: 10.1046/j.1365-2559.1996.d01-412.x]</w:t>
      </w:r>
    </w:p>
    <w:p w:rsidR="004A3611" w:rsidRPr="007F6E6D" w:rsidRDefault="004A3611" w:rsidP="008378F4">
      <w:pPr>
        <w:spacing w:after="0" w:afterAutospacing="0"/>
        <w:rPr>
          <w:rFonts w:ascii="Book Antiqua" w:hAnsi="Book Antiqua" w:cs="宋体"/>
          <w:sz w:val="24"/>
          <w:szCs w:val="24"/>
          <w:lang w:eastAsia="zh-CN"/>
        </w:rPr>
      </w:pPr>
      <w:r>
        <w:rPr>
          <w:rFonts w:ascii="Book Antiqua" w:hAnsi="Book Antiqua" w:cs="宋体"/>
          <w:sz w:val="24"/>
          <w:szCs w:val="24"/>
          <w:lang w:eastAsia="zh-CN"/>
        </w:rPr>
        <w:t>4</w:t>
      </w:r>
      <w:r w:rsidRPr="007F6E6D">
        <w:rPr>
          <w:rFonts w:ascii="Book Antiqua" w:hAnsi="Book Antiqua" w:cs="宋体"/>
          <w:sz w:val="24"/>
          <w:szCs w:val="24"/>
          <w:lang w:eastAsia="zh-CN"/>
        </w:rPr>
        <w:t xml:space="preserve"> </w:t>
      </w:r>
      <w:r w:rsidRPr="007F6E6D">
        <w:rPr>
          <w:rFonts w:ascii="Book Antiqua" w:hAnsi="Book Antiqua" w:cs="宋体"/>
          <w:b/>
          <w:bCs/>
          <w:sz w:val="24"/>
          <w:szCs w:val="24"/>
          <w:lang w:eastAsia="zh-CN"/>
        </w:rPr>
        <w:t>Cunningham-Rundles C</w:t>
      </w:r>
      <w:r w:rsidRPr="007F6E6D">
        <w:rPr>
          <w:rFonts w:ascii="Book Antiqua" w:hAnsi="Book Antiqua" w:cs="宋体"/>
          <w:sz w:val="24"/>
          <w:szCs w:val="24"/>
          <w:lang w:eastAsia="zh-CN"/>
        </w:rPr>
        <w:t xml:space="preserve">, Bodian C. Common variable immunodeficiency: clinical and immunological features of 248 patients. </w:t>
      </w:r>
      <w:r w:rsidRPr="007F6E6D">
        <w:rPr>
          <w:rFonts w:ascii="Book Antiqua" w:hAnsi="Book Antiqua" w:cs="宋体"/>
          <w:i/>
          <w:iCs/>
          <w:sz w:val="24"/>
          <w:szCs w:val="24"/>
          <w:lang w:eastAsia="zh-CN"/>
        </w:rPr>
        <w:t>Clin Immunol</w:t>
      </w:r>
      <w:r w:rsidRPr="007F6E6D">
        <w:rPr>
          <w:rFonts w:ascii="Book Antiqua" w:hAnsi="Book Antiqua" w:cs="宋体"/>
          <w:sz w:val="24"/>
          <w:szCs w:val="24"/>
          <w:lang w:eastAsia="zh-CN"/>
        </w:rPr>
        <w:t xml:space="preserve"> 1999; </w:t>
      </w:r>
      <w:r w:rsidRPr="007F6E6D">
        <w:rPr>
          <w:rFonts w:ascii="Book Antiqua" w:hAnsi="Book Antiqua" w:cs="宋体"/>
          <w:b/>
          <w:bCs/>
          <w:sz w:val="24"/>
          <w:szCs w:val="24"/>
          <w:lang w:eastAsia="zh-CN"/>
        </w:rPr>
        <w:t>92</w:t>
      </w:r>
      <w:r w:rsidRPr="007F6E6D">
        <w:rPr>
          <w:rFonts w:ascii="Book Antiqua" w:hAnsi="Book Antiqua" w:cs="宋体"/>
          <w:sz w:val="24"/>
          <w:szCs w:val="24"/>
          <w:lang w:eastAsia="zh-CN"/>
        </w:rPr>
        <w:t>: 34-48 [PMID: 10413651 DOI: 10.1006/clim.1999.4725]</w:t>
      </w:r>
    </w:p>
    <w:p w:rsidR="004A3611" w:rsidRPr="007F6E6D" w:rsidRDefault="004A3611" w:rsidP="008378F4">
      <w:pPr>
        <w:spacing w:after="0" w:afterAutospacing="0"/>
        <w:rPr>
          <w:rFonts w:ascii="Book Antiqua" w:hAnsi="Book Antiqua" w:cs="宋体"/>
          <w:sz w:val="24"/>
          <w:szCs w:val="24"/>
          <w:lang w:eastAsia="zh-CN"/>
        </w:rPr>
      </w:pPr>
      <w:r>
        <w:rPr>
          <w:rFonts w:ascii="Book Antiqua" w:hAnsi="Book Antiqua" w:cs="宋体"/>
          <w:sz w:val="24"/>
          <w:szCs w:val="24"/>
          <w:lang w:eastAsia="zh-CN"/>
        </w:rPr>
        <w:t>5</w:t>
      </w:r>
      <w:r w:rsidRPr="007F6E6D">
        <w:rPr>
          <w:rFonts w:ascii="Book Antiqua" w:hAnsi="Book Antiqua" w:cs="宋体"/>
          <w:sz w:val="24"/>
          <w:szCs w:val="24"/>
          <w:lang w:eastAsia="zh-CN"/>
        </w:rPr>
        <w:t xml:space="preserve"> </w:t>
      </w:r>
      <w:r w:rsidRPr="007F6E6D">
        <w:rPr>
          <w:rFonts w:ascii="Book Antiqua" w:hAnsi="Book Antiqua" w:cs="宋体"/>
          <w:b/>
          <w:bCs/>
          <w:sz w:val="24"/>
          <w:szCs w:val="24"/>
          <w:lang w:eastAsia="zh-CN"/>
        </w:rPr>
        <w:t>Ward C</w:t>
      </w:r>
      <w:r w:rsidRPr="007F6E6D">
        <w:rPr>
          <w:rFonts w:ascii="Book Antiqua" w:hAnsi="Book Antiqua" w:cs="宋体"/>
          <w:sz w:val="24"/>
          <w:szCs w:val="24"/>
          <w:lang w:eastAsia="zh-CN"/>
        </w:rPr>
        <w:t xml:space="preserve">, Lucas M, Piris J, Collier J, Chapel H. Abnormal liver function in common variable immunodeficiency disorders due to nodular regenerative hyperplasia. </w:t>
      </w:r>
      <w:r w:rsidRPr="007F6E6D">
        <w:rPr>
          <w:rFonts w:ascii="Book Antiqua" w:hAnsi="Book Antiqua" w:cs="宋体"/>
          <w:i/>
          <w:iCs/>
          <w:sz w:val="24"/>
          <w:szCs w:val="24"/>
          <w:lang w:eastAsia="zh-CN"/>
        </w:rPr>
        <w:t>Clin Exp Immunol</w:t>
      </w:r>
      <w:r w:rsidRPr="007F6E6D">
        <w:rPr>
          <w:rFonts w:ascii="Book Antiqua" w:hAnsi="Book Antiqua" w:cs="宋体"/>
          <w:sz w:val="24"/>
          <w:szCs w:val="24"/>
          <w:lang w:eastAsia="zh-CN"/>
        </w:rPr>
        <w:t xml:space="preserve"> 2008; </w:t>
      </w:r>
      <w:r w:rsidRPr="007F6E6D">
        <w:rPr>
          <w:rFonts w:ascii="Book Antiqua" w:hAnsi="Book Antiqua" w:cs="宋体"/>
          <w:b/>
          <w:bCs/>
          <w:sz w:val="24"/>
          <w:szCs w:val="24"/>
          <w:lang w:eastAsia="zh-CN"/>
        </w:rPr>
        <w:t>153</w:t>
      </w:r>
      <w:r w:rsidRPr="007F6E6D">
        <w:rPr>
          <w:rFonts w:ascii="Book Antiqua" w:hAnsi="Book Antiqua" w:cs="宋体"/>
          <w:sz w:val="24"/>
          <w:szCs w:val="24"/>
          <w:lang w:eastAsia="zh-CN"/>
        </w:rPr>
        <w:t>: 331-337 [PMID: 18647320 DOI: 10.1111/j.1365-2249.2008.03711.x]</w:t>
      </w:r>
    </w:p>
    <w:p w:rsidR="004A3611" w:rsidRPr="007F6E6D" w:rsidRDefault="004A3611" w:rsidP="007F6E6D">
      <w:pPr>
        <w:spacing w:after="0" w:afterAutospacing="0"/>
        <w:rPr>
          <w:rFonts w:ascii="Book Antiqua" w:hAnsi="Book Antiqua" w:cs="宋体"/>
          <w:sz w:val="24"/>
          <w:szCs w:val="24"/>
          <w:lang w:eastAsia="zh-CN"/>
        </w:rPr>
      </w:pPr>
      <w:r>
        <w:rPr>
          <w:rFonts w:ascii="Book Antiqua" w:hAnsi="Book Antiqua" w:cs="宋体"/>
          <w:sz w:val="24"/>
          <w:szCs w:val="24"/>
          <w:lang w:eastAsia="zh-CN"/>
        </w:rPr>
        <w:t>6</w:t>
      </w:r>
      <w:r w:rsidRPr="007F6E6D">
        <w:rPr>
          <w:rFonts w:ascii="Book Antiqua" w:hAnsi="Book Antiqua" w:cs="宋体"/>
          <w:sz w:val="24"/>
          <w:szCs w:val="24"/>
          <w:lang w:eastAsia="zh-CN"/>
        </w:rPr>
        <w:t xml:space="preserve"> </w:t>
      </w:r>
      <w:r w:rsidRPr="007F6E6D">
        <w:rPr>
          <w:rFonts w:ascii="Book Antiqua" w:hAnsi="Book Antiqua" w:cs="宋体"/>
          <w:b/>
          <w:bCs/>
          <w:sz w:val="24"/>
          <w:szCs w:val="24"/>
          <w:lang w:eastAsia="zh-CN"/>
        </w:rPr>
        <w:t>Malamut G</w:t>
      </w:r>
      <w:r w:rsidRPr="007F6E6D">
        <w:rPr>
          <w:rFonts w:ascii="Book Antiqua" w:hAnsi="Book Antiqua" w:cs="宋体"/>
          <w:sz w:val="24"/>
          <w:szCs w:val="24"/>
          <w:lang w:eastAsia="zh-CN"/>
        </w:rPr>
        <w:t>, Ziol M, Suarez F, Beaugrand M, Viallard JF, Lascaux AS, Verkarre V, Bechade D, Poynard T, Hermine O, Cellier C. Nodular regener</w:t>
      </w:r>
      <w:r w:rsidRPr="007F6E6D">
        <w:rPr>
          <w:rFonts w:ascii="Book Antiqua" w:hAnsi="Book Antiqua" w:cs="宋体"/>
          <w:sz w:val="24"/>
          <w:szCs w:val="24"/>
          <w:lang w:eastAsia="zh-CN"/>
        </w:rPr>
        <w:t>a</w:t>
      </w:r>
      <w:r w:rsidRPr="007F6E6D">
        <w:rPr>
          <w:rFonts w:ascii="Book Antiqua" w:hAnsi="Book Antiqua" w:cs="宋体"/>
          <w:sz w:val="24"/>
          <w:szCs w:val="24"/>
          <w:lang w:eastAsia="zh-CN"/>
        </w:rPr>
        <w:t>tive hyperplasia: the main liver disease in patients with primary hypoga</w:t>
      </w:r>
      <w:r w:rsidRPr="007F6E6D">
        <w:rPr>
          <w:rFonts w:ascii="Book Antiqua" w:hAnsi="Book Antiqua" w:cs="宋体"/>
          <w:sz w:val="24"/>
          <w:szCs w:val="24"/>
          <w:lang w:eastAsia="zh-CN"/>
        </w:rPr>
        <w:t>m</w:t>
      </w:r>
      <w:r w:rsidRPr="007F6E6D">
        <w:rPr>
          <w:rFonts w:ascii="Book Antiqua" w:hAnsi="Book Antiqua" w:cs="宋体"/>
          <w:sz w:val="24"/>
          <w:szCs w:val="24"/>
          <w:lang w:eastAsia="zh-CN"/>
        </w:rPr>
        <w:t xml:space="preserve">maglobulinemia and hepatic abnormalities. </w:t>
      </w:r>
      <w:r w:rsidRPr="007F6E6D">
        <w:rPr>
          <w:rFonts w:ascii="Book Antiqua" w:hAnsi="Book Antiqua" w:cs="宋体"/>
          <w:i/>
          <w:iCs/>
          <w:sz w:val="24"/>
          <w:szCs w:val="24"/>
          <w:lang w:eastAsia="zh-CN"/>
        </w:rPr>
        <w:t>J Hepatol</w:t>
      </w:r>
      <w:r w:rsidRPr="007F6E6D">
        <w:rPr>
          <w:rFonts w:ascii="Book Antiqua" w:hAnsi="Book Antiqua" w:cs="宋体"/>
          <w:sz w:val="24"/>
          <w:szCs w:val="24"/>
          <w:lang w:eastAsia="zh-CN"/>
        </w:rPr>
        <w:t xml:space="preserve"> 2008; </w:t>
      </w:r>
      <w:r w:rsidRPr="007F6E6D">
        <w:rPr>
          <w:rFonts w:ascii="Book Antiqua" w:hAnsi="Book Antiqua" w:cs="宋体"/>
          <w:b/>
          <w:bCs/>
          <w:sz w:val="24"/>
          <w:szCs w:val="24"/>
          <w:lang w:eastAsia="zh-CN"/>
        </w:rPr>
        <w:t>48</w:t>
      </w:r>
      <w:r w:rsidRPr="007F6E6D">
        <w:rPr>
          <w:rFonts w:ascii="Book Antiqua" w:hAnsi="Book Antiqua" w:cs="宋体"/>
          <w:sz w:val="24"/>
          <w:szCs w:val="24"/>
          <w:lang w:eastAsia="zh-CN"/>
        </w:rPr>
        <w:t>: 74-82 [PMID: 17998147 DOI: 10.1016/j.jhep.2007.08.011]</w:t>
      </w:r>
    </w:p>
    <w:p w:rsidR="004A3611" w:rsidRPr="007F6E6D" w:rsidRDefault="004A3611" w:rsidP="00DE51C4">
      <w:pPr>
        <w:spacing w:after="0" w:afterAutospacing="0"/>
        <w:rPr>
          <w:rFonts w:ascii="Book Antiqua" w:hAnsi="Book Antiqua" w:cs="宋体"/>
          <w:sz w:val="24"/>
          <w:szCs w:val="24"/>
          <w:lang w:eastAsia="zh-CN"/>
        </w:rPr>
      </w:pPr>
      <w:r>
        <w:rPr>
          <w:rFonts w:ascii="Book Antiqua" w:hAnsi="Book Antiqua" w:cs="宋体"/>
          <w:sz w:val="24"/>
          <w:szCs w:val="24"/>
          <w:lang w:eastAsia="zh-CN"/>
        </w:rPr>
        <w:t>7</w:t>
      </w:r>
      <w:r w:rsidRPr="007F6E6D">
        <w:rPr>
          <w:rFonts w:ascii="Book Antiqua" w:hAnsi="Book Antiqua" w:cs="宋体"/>
          <w:sz w:val="24"/>
          <w:szCs w:val="24"/>
          <w:lang w:eastAsia="zh-CN"/>
        </w:rPr>
        <w:t xml:space="preserve"> </w:t>
      </w:r>
      <w:r w:rsidRPr="007F6E6D">
        <w:rPr>
          <w:rFonts w:ascii="Book Antiqua" w:hAnsi="Book Antiqua" w:cs="宋体"/>
          <w:b/>
          <w:bCs/>
          <w:sz w:val="24"/>
          <w:szCs w:val="24"/>
          <w:lang w:eastAsia="zh-CN"/>
        </w:rPr>
        <w:t>Rigaud S</w:t>
      </w:r>
      <w:r w:rsidRPr="007F6E6D">
        <w:rPr>
          <w:rFonts w:ascii="Book Antiqua" w:hAnsi="Book Antiqua" w:cs="宋体"/>
          <w:sz w:val="24"/>
          <w:szCs w:val="24"/>
          <w:lang w:eastAsia="zh-CN"/>
        </w:rPr>
        <w:t xml:space="preserve">, Lopez-Granados E, Sibéril S, Gloire G, Lambert N, Lenoir C, Synaeve C, Stacey M, Fugger L, Stephan JL, Fischer A, Picard C, Durandy A, Chapel H, Latour S. Human X-linked variable immunodeficiency caused by a hypomorphic mutation in XIAP in association with a rare polymorphism in CD40LG. </w:t>
      </w:r>
      <w:r w:rsidRPr="007F6E6D">
        <w:rPr>
          <w:rFonts w:ascii="Book Antiqua" w:hAnsi="Book Antiqua" w:cs="宋体"/>
          <w:i/>
          <w:iCs/>
          <w:sz w:val="24"/>
          <w:szCs w:val="24"/>
          <w:lang w:eastAsia="zh-CN"/>
        </w:rPr>
        <w:t>Blood</w:t>
      </w:r>
      <w:r w:rsidRPr="007F6E6D">
        <w:rPr>
          <w:rFonts w:ascii="Book Antiqua" w:hAnsi="Book Antiqua" w:cs="宋体"/>
          <w:sz w:val="24"/>
          <w:szCs w:val="24"/>
          <w:lang w:eastAsia="zh-CN"/>
        </w:rPr>
        <w:t xml:space="preserve"> 2011; </w:t>
      </w:r>
      <w:r w:rsidRPr="007F6E6D">
        <w:rPr>
          <w:rFonts w:ascii="Book Antiqua" w:hAnsi="Book Antiqua" w:cs="宋体"/>
          <w:b/>
          <w:bCs/>
          <w:sz w:val="24"/>
          <w:szCs w:val="24"/>
          <w:lang w:eastAsia="zh-CN"/>
        </w:rPr>
        <w:t>118</w:t>
      </w:r>
      <w:r w:rsidRPr="007F6E6D">
        <w:rPr>
          <w:rFonts w:ascii="Book Antiqua" w:hAnsi="Book Antiqua" w:cs="宋体"/>
          <w:sz w:val="24"/>
          <w:szCs w:val="24"/>
          <w:lang w:eastAsia="zh-CN"/>
        </w:rPr>
        <w:t>: 252-261 [PMID: 21543760 DOI: 10.1182/blood-2011-01-328849]</w:t>
      </w:r>
    </w:p>
    <w:p w:rsidR="004A3611" w:rsidRPr="007F6E6D" w:rsidRDefault="004A3611" w:rsidP="007F6E6D">
      <w:pPr>
        <w:spacing w:after="0" w:afterAutospacing="0"/>
        <w:rPr>
          <w:rFonts w:ascii="Book Antiqua" w:hAnsi="Book Antiqua" w:cs="宋体"/>
          <w:sz w:val="24"/>
          <w:szCs w:val="24"/>
          <w:lang w:eastAsia="zh-CN"/>
        </w:rPr>
      </w:pPr>
      <w:r w:rsidRPr="007F6E6D">
        <w:rPr>
          <w:rFonts w:ascii="Book Antiqua" w:hAnsi="Book Antiqua" w:cs="宋体"/>
          <w:sz w:val="24"/>
          <w:szCs w:val="24"/>
          <w:lang w:eastAsia="zh-CN"/>
        </w:rPr>
        <w:t xml:space="preserve">8 </w:t>
      </w:r>
      <w:r w:rsidRPr="007F6E6D">
        <w:rPr>
          <w:rFonts w:ascii="Book Antiqua" w:hAnsi="Book Antiqua" w:cs="宋体"/>
          <w:b/>
          <w:bCs/>
          <w:sz w:val="24"/>
          <w:szCs w:val="24"/>
          <w:lang w:eastAsia="zh-CN"/>
        </w:rPr>
        <w:t>Elariny HA</w:t>
      </w:r>
      <w:r w:rsidRPr="007F6E6D">
        <w:rPr>
          <w:rFonts w:ascii="Book Antiqua" w:hAnsi="Book Antiqua" w:cs="宋体"/>
          <w:sz w:val="24"/>
          <w:szCs w:val="24"/>
          <w:lang w:eastAsia="zh-CN"/>
        </w:rPr>
        <w:t xml:space="preserve">, Mizrahi SS, Hayes DH, Boudreaux JP, Hussey JL, Farr GH. Nodular regenerative hyperplasia: a controversial indication for orthotopic liver transplantation. </w:t>
      </w:r>
      <w:r w:rsidRPr="007F6E6D">
        <w:rPr>
          <w:rFonts w:ascii="Book Antiqua" w:hAnsi="Book Antiqua" w:cs="宋体"/>
          <w:i/>
          <w:iCs/>
          <w:sz w:val="24"/>
          <w:szCs w:val="24"/>
          <w:lang w:eastAsia="zh-CN"/>
        </w:rPr>
        <w:t>Transpl Int</w:t>
      </w:r>
      <w:r w:rsidRPr="007F6E6D">
        <w:rPr>
          <w:rFonts w:ascii="Book Antiqua" w:hAnsi="Book Antiqua" w:cs="宋体"/>
          <w:sz w:val="24"/>
          <w:szCs w:val="24"/>
          <w:lang w:eastAsia="zh-CN"/>
        </w:rPr>
        <w:t xml:space="preserve"> 1994; </w:t>
      </w:r>
      <w:r w:rsidRPr="007F6E6D">
        <w:rPr>
          <w:rFonts w:ascii="Book Antiqua" w:hAnsi="Book Antiqua" w:cs="宋体"/>
          <w:b/>
          <w:bCs/>
          <w:sz w:val="24"/>
          <w:szCs w:val="24"/>
          <w:lang w:eastAsia="zh-CN"/>
        </w:rPr>
        <w:t>7</w:t>
      </w:r>
      <w:r w:rsidRPr="007F6E6D">
        <w:rPr>
          <w:rFonts w:ascii="Book Antiqua" w:hAnsi="Book Antiqua" w:cs="宋体"/>
          <w:sz w:val="24"/>
          <w:szCs w:val="24"/>
          <w:lang w:eastAsia="zh-CN"/>
        </w:rPr>
        <w:t>: 309-313 [PMID: 7916934]</w:t>
      </w:r>
    </w:p>
    <w:p w:rsidR="004A3611" w:rsidRDefault="004A3611" w:rsidP="00456090">
      <w:pPr>
        <w:spacing w:after="0" w:afterAutospacing="0"/>
        <w:rPr>
          <w:lang w:eastAsia="zh-CN"/>
        </w:rPr>
      </w:pPr>
      <w:r>
        <w:rPr>
          <w:rFonts w:ascii="Book Antiqua" w:hAnsi="Book Antiqua" w:cs="宋体"/>
          <w:sz w:val="24"/>
          <w:szCs w:val="24"/>
          <w:lang w:eastAsia="zh-CN"/>
        </w:rPr>
        <w:t xml:space="preserve">9 </w:t>
      </w:r>
      <w:r w:rsidRPr="000E18F7">
        <w:rPr>
          <w:rFonts w:ascii="Book Antiqua" w:hAnsi="Book Antiqua"/>
          <w:b/>
          <w:bCs/>
          <w:sz w:val="24"/>
          <w:szCs w:val="24"/>
        </w:rPr>
        <w:t>de Franchis R</w:t>
      </w:r>
      <w:r w:rsidRPr="000E18F7">
        <w:rPr>
          <w:rFonts w:ascii="Book Antiqua" w:hAnsi="Book Antiqua"/>
          <w:sz w:val="24"/>
          <w:szCs w:val="24"/>
        </w:rPr>
        <w:t xml:space="preserve">. Revising consensus in portal hypertension: report of the Baveno V consensus workshop on methodology of diagnosis and therapy in portal hypertension. </w:t>
      </w:r>
      <w:r w:rsidRPr="000E18F7">
        <w:rPr>
          <w:rFonts w:ascii="Book Antiqua" w:hAnsi="Book Antiqua"/>
          <w:i/>
          <w:iCs/>
          <w:sz w:val="24"/>
          <w:szCs w:val="24"/>
        </w:rPr>
        <w:t>J Hepatol</w:t>
      </w:r>
      <w:r w:rsidRPr="000E18F7">
        <w:rPr>
          <w:rFonts w:ascii="Book Antiqua" w:hAnsi="Book Antiqua"/>
          <w:sz w:val="24"/>
          <w:szCs w:val="24"/>
        </w:rPr>
        <w:t xml:space="preserve"> 2010; </w:t>
      </w:r>
      <w:r w:rsidRPr="000E18F7">
        <w:rPr>
          <w:rFonts w:ascii="Book Antiqua" w:hAnsi="Book Antiqua"/>
          <w:b/>
          <w:bCs/>
          <w:sz w:val="24"/>
          <w:szCs w:val="24"/>
        </w:rPr>
        <w:t>53</w:t>
      </w:r>
      <w:r w:rsidRPr="000E18F7">
        <w:rPr>
          <w:rFonts w:ascii="Book Antiqua" w:hAnsi="Book Antiqua"/>
          <w:sz w:val="24"/>
          <w:szCs w:val="24"/>
        </w:rPr>
        <w:t>: 762-768 [PMID: 20638742 DOI: 10.1016/j.jhep.2010.06.004]</w:t>
      </w:r>
    </w:p>
    <w:p w:rsidR="004A3611" w:rsidRPr="007F6E6D" w:rsidRDefault="004A3611" w:rsidP="00DE51C4">
      <w:pPr>
        <w:spacing w:after="0" w:afterAutospacing="0"/>
        <w:rPr>
          <w:rFonts w:ascii="Book Antiqua" w:hAnsi="Book Antiqua" w:cs="宋体"/>
          <w:sz w:val="24"/>
          <w:szCs w:val="24"/>
          <w:lang w:eastAsia="zh-CN"/>
        </w:rPr>
      </w:pPr>
      <w:r w:rsidRPr="007F6E6D">
        <w:rPr>
          <w:rFonts w:ascii="Book Antiqua" w:hAnsi="Book Antiqua" w:cs="宋体"/>
          <w:sz w:val="24"/>
          <w:szCs w:val="24"/>
          <w:lang w:eastAsia="zh-CN"/>
        </w:rPr>
        <w:t>1</w:t>
      </w:r>
      <w:r>
        <w:rPr>
          <w:rFonts w:ascii="Book Antiqua" w:hAnsi="Book Antiqua" w:cs="宋体"/>
          <w:sz w:val="24"/>
          <w:szCs w:val="24"/>
          <w:lang w:eastAsia="zh-CN"/>
        </w:rPr>
        <w:t>0</w:t>
      </w:r>
      <w:r w:rsidRPr="007F6E6D">
        <w:rPr>
          <w:rFonts w:ascii="Book Antiqua" w:hAnsi="Book Antiqua" w:cs="宋体"/>
          <w:sz w:val="24"/>
          <w:szCs w:val="24"/>
          <w:lang w:eastAsia="zh-CN"/>
        </w:rPr>
        <w:t xml:space="preserve"> </w:t>
      </w:r>
      <w:r w:rsidRPr="007F6E6D">
        <w:rPr>
          <w:rFonts w:ascii="Book Antiqua" w:hAnsi="Book Antiqua" w:cs="宋体"/>
          <w:b/>
          <w:bCs/>
          <w:sz w:val="24"/>
          <w:szCs w:val="24"/>
          <w:lang w:eastAsia="zh-CN"/>
        </w:rPr>
        <w:t>Rajoriya N</w:t>
      </w:r>
      <w:r w:rsidRPr="007F6E6D">
        <w:rPr>
          <w:rFonts w:ascii="Book Antiqua" w:hAnsi="Book Antiqua" w:cs="宋体"/>
          <w:sz w:val="24"/>
          <w:szCs w:val="24"/>
          <w:lang w:eastAsia="zh-CN"/>
        </w:rPr>
        <w:t>, Forrest EH, Gray J, Stuart RC, Carter RC, McKay CJ, Gaya DR, Morris AJ, Stanley AJ. Long-term follow-up of endoscopic Histoacryl glue i</w:t>
      </w:r>
      <w:r w:rsidRPr="007F6E6D">
        <w:rPr>
          <w:rFonts w:ascii="Book Antiqua" w:hAnsi="Book Antiqua" w:cs="宋体"/>
          <w:sz w:val="24"/>
          <w:szCs w:val="24"/>
          <w:lang w:eastAsia="zh-CN"/>
        </w:rPr>
        <w:t>n</w:t>
      </w:r>
      <w:r w:rsidRPr="007F6E6D">
        <w:rPr>
          <w:rFonts w:ascii="Book Antiqua" w:hAnsi="Book Antiqua" w:cs="宋体"/>
          <w:sz w:val="24"/>
          <w:szCs w:val="24"/>
          <w:lang w:eastAsia="zh-CN"/>
        </w:rPr>
        <w:t xml:space="preserve">jection for the management of gastric variceal bleeding. </w:t>
      </w:r>
      <w:r w:rsidRPr="007F6E6D">
        <w:rPr>
          <w:rFonts w:ascii="Book Antiqua" w:hAnsi="Book Antiqua" w:cs="宋体"/>
          <w:i/>
          <w:iCs/>
          <w:sz w:val="24"/>
          <w:szCs w:val="24"/>
          <w:lang w:eastAsia="zh-CN"/>
        </w:rPr>
        <w:t>QJM</w:t>
      </w:r>
      <w:r w:rsidRPr="007F6E6D">
        <w:rPr>
          <w:rFonts w:ascii="Book Antiqua" w:hAnsi="Book Antiqua" w:cs="宋体"/>
          <w:sz w:val="24"/>
          <w:szCs w:val="24"/>
          <w:lang w:eastAsia="zh-CN"/>
        </w:rPr>
        <w:t xml:space="preserve"> 2011; </w:t>
      </w:r>
      <w:r w:rsidRPr="007F6E6D">
        <w:rPr>
          <w:rFonts w:ascii="Book Antiqua" w:hAnsi="Book Antiqua" w:cs="宋体"/>
          <w:b/>
          <w:bCs/>
          <w:sz w:val="24"/>
          <w:szCs w:val="24"/>
          <w:lang w:eastAsia="zh-CN"/>
        </w:rPr>
        <w:t>104</w:t>
      </w:r>
      <w:r w:rsidRPr="007F6E6D">
        <w:rPr>
          <w:rFonts w:ascii="Book Antiqua" w:hAnsi="Book Antiqua" w:cs="宋体"/>
          <w:sz w:val="24"/>
          <w:szCs w:val="24"/>
          <w:lang w:eastAsia="zh-CN"/>
        </w:rPr>
        <w:t>: 41-47 [PMID: 20871126 DOI: 10.1093/qjmed/hcq161]</w:t>
      </w:r>
    </w:p>
    <w:p w:rsidR="004A3611" w:rsidRPr="007F6E6D" w:rsidRDefault="004A3611" w:rsidP="007F6E6D">
      <w:pPr>
        <w:spacing w:after="0" w:afterAutospacing="0"/>
        <w:rPr>
          <w:rFonts w:ascii="Book Antiqua" w:hAnsi="Book Antiqua" w:cs="宋体"/>
          <w:sz w:val="24"/>
          <w:szCs w:val="24"/>
          <w:lang w:eastAsia="zh-CN"/>
        </w:rPr>
      </w:pPr>
      <w:r>
        <w:rPr>
          <w:rFonts w:ascii="Book Antiqua" w:hAnsi="Book Antiqua" w:cs="宋体"/>
          <w:sz w:val="24"/>
          <w:szCs w:val="24"/>
          <w:lang w:eastAsia="zh-CN"/>
        </w:rPr>
        <w:lastRenderedPageBreak/>
        <w:t xml:space="preserve">11 </w:t>
      </w:r>
      <w:r w:rsidRPr="007F6E6D">
        <w:rPr>
          <w:rFonts w:ascii="Book Antiqua" w:hAnsi="Book Antiqua" w:cs="宋体"/>
          <w:b/>
          <w:bCs/>
          <w:sz w:val="24"/>
          <w:szCs w:val="24"/>
          <w:lang w:eastAsia="zh-CN"/>
        </w:rPr>
        <w:t>Tripathi D</w:t>
      </w:r>
      <w:r w:rsidRPr="007F6E6D">
        <w:rPr>
          <w:rFonts w:ascii="Book Antiqua" w:hAnsi="Book Antiqua" w:cs="宋体"/>
          <w:sz w:val="24"/>
          <w:szCs w:val="24"/>
          <w:lang w:eastAsia="zh-CN"/>
        </w:rPr>
        <w:t xml:space="preserve">, Ferguson JW, Therapondos G, Plevris JN, Hayes PC. Review article: recent advances in the management of bleeding gastric varices. </w:t>
      </w:r>
      <w:r w:rsidRPr="007F6E6D">
        <w:rPr>
          <w:rFonts w:ascii="Book Antiqua" w:hAnsi="Book Antiqua" w:cs="宋体"/>
          <w:i/>
          <w:iCs/>
          <w:sz w:val="24"/>
          <w:szCs w:val="24"/>
          <w:lang w:eastAsia="zh-CN"/>
        </w:rPr>
        <w:t>Al</w:t>
      </w:r>
      <w:r w:rsidRPr="007F6E6D">
        <w:rPr>
          <w:rFonts w:ascii="Book Antiqua" w:hAnsi="Book Antiqua" w:cs="宋体"/>
          <w:i/>
          <w:iCs/>
          <w:sz w:val="24"/>
          <w:szCs w:val="24"/>
          <w:lang w:eastAsia="zh-CN"/>
        </w:rPr>
        <w:t>i</w:t>
      </w:r>
      <w:r w:rsidRPr="007F6E6D">
        <w:rPr>
          <w:rFonts w:ascii="Book Antiqua" w:hAnsi="Book Antiqua" w:cs="宋体"/>
          <w:i/>
          <w:iCs/>
          <w:sz w:val="24"/>
          <w:szCs w:val="24"/>
          <w:lang w:eastAsia="zh-CN"/>
        </w:rPr>
        <w:t>ment Pharmacol Ther</w:t>
      </w:r>
      <w:r w:rsidRPr="007F6E6D">
        <w:rPr>
          <w:rFonts w:ascii="Book Antiqua" w:hAnsi="Book Antiqua" w:cs="宋体"/>
          <w:sz w:val="24"/>
          <w:szCs w:val="24"/>
          <w:lang w:eastAsia="zh-CN"/>
        </w:rPr>
        <w:t xml:space="preserve"> 2006; </w:t>
      </w:r>
      <w:r w:rsidRPr="007F6E6D">
        <w:rPr>
          <w:rFonts w:ascii="Book Antiqua" w:hAnsi="Book Antiqua" w:cs="宋体"/>
          <w:b/>
          <w:bCs/>
          <w:sz w:val="24"/>
          <w:szCs w:val="24"/>
          <w:lang w:eastAsia="zh-CN"/>
        </w:rPr>
        <w:t>24</w:t>
      </w:r>
      <w:r w:rsidRPr="007F6E6D">
        <w:rPr>
          <w:rFonts w:ascii="Book Antiqua" w:hAnsi="Book Antiqua" w:cs="宋体"/>
          <w:sz w:val="24"/>
          <w:szCs w:val="24"/>
          <w:lang w:eastAsia="zh-CN"/>
        </w:rPr>
        <w:t>: 1-17 [PMID: 16803599 DOI: 10.1111/j.1365-2036.2006.02965.x]</w:t>
      </w:r>
    </w:p>
    <w:p w:rsidR="004A3611" w:rsidRDefault="004A3611" w:rsidP="007F6E6D">
      <w:pPr>
        <w:spacing w:after="0" w:afterAutospacing="0"/>
        <w:rPr>
          <w:rFonts w:ascii="Book Antiqua" w:hAnsi="Book Antiqua"/>
          <w:sz w:val="24"/>
          <w:szCs w:val="24"/>
          <w:lang w:eastAsia="zh-CN"/>
        </w:rPr>
      </w:pPr>
      <w:r w:rsidRPr="007F6E6D">
        <w:rPr>
          <w:rFonts w:ascii="Book Antiqua" w:hAnsi="Book Antiqua" w:cs="宋体"/>
          <w:sz w:val="24"/>
          <w:szCs w:val="24"/>
          <w:lang w:eastAsia="zh-CN"/>
        </w:rPr>
        <w:t xml:space="preserve">12 </w:t>
      </w:r>
      <w:r w:rsidRPr="00CD2A86">
        <w:rPr>
          <w:rFonts w:ascii="Book Antiqua" w:hAnsi="Book Antiqua"/>
          <w:b/>
          <w:bCs/>
          <w:sz w:val="24"/>
          <w:szCs w:val="24"/>
        </w:rPr>
        <w:t>Fukuda T</w:t>
      </w:r>
      <w:r w:rsidRPr="00CD2A86">
        <w:rPr>
          <w:rFonts w:ascii="Book Antiqua" w:hAnsi="Book Antiqua"/>
          <w:sz w:val="24"/>
          <w:szCs w:val="24"/>
        </w:rPr>
        <w:t xml:space="preserve">, Hirota S, Sugimura K. Long-term results of balloon-occluded retrograde transvenous obliteration for the treatment of gastric varices and hepatic encephalopathy. </w:t>
      </w:r>
      <w:r w:rsidRPr="00CD2A86">
        <w:rPr>
          <w:rFonts w:ascii="Book Antiqua" w:hAnsi="Book Antiqua"/>
          <w:i/>
          <w:iCs/>
          <w:sz w:val="24"/>
          <w:szCs w:val="24"/>
        </w:rPr>
        <w:t>J Vasc Interv Radiol</w:t>
      </w:r>
      <w:r w:rsidRPr="00CD2A86">
        <w:rPr>
          <w:rFonts w:ascii="Book Antiqua" w:hAnsi="Book Antiqua"/>
          <w:sz w:val="24"/>
          <w:szCs w:val="24"/>
        </w:rPr>
        <w:t xml:space="preserve"> 2001; </w:t>
      </w:r>
      <w:r w:rsidRPr="00CD2A86">
        <w:rPr>
          <w:rFonts w:ascii="Book Antiqua" w:hAnsi="Book Antiqua"/>
          <w:b/>
          <w:bCs/>
          <w:sz w:val="24"/>
          <w:szCs w:val="24"/>
        </w:rPr>
        <w:t>12</w:t>
      </w:r>
      <w:r w:rsidRPr="00CD2A86">
        <w:rPr>
          <w:rFonts w:ascii="Book Antiqua" w:hAnsi="Book Antiqua"/>
          <w:sz w:val="24"/>
          <w:szCs w:val="24"/>
        </w:rPr>
        <w:t>: 327-336 [PMID: 11287510]</w:t>
      </w:r>
    </w:p>
    <w:p w:rsidR="004A3611" w:rsidRDefault="004A3611" w:rsidP="00784746">
      <w:pPr>
        <w:adjustRightInd w:val="0"/>
        <w:snapToGrid w:val="0"/>
        <w:spacing w:after="0" w:afterAutospacing="0" w:line="360" w:lineRule="auto"/>
        <w:jc w:val="both"/>
        <w:rPr>
          <w:rFonts w:ascii="Book Antiqua" w:hAnsi="Book Antiqua"/>
          <w:sz w:val="24"/>
          <w:szCs w:val="24"/>
          <w:lang w:val="en-GB" w:eastAsia="zh-CN"/>
        </w:rPr>
      </w:pPr>
    </w:p>
    <w:p w:rsidR="004A3611" w:rsidRDefault="004A3611" w:rsidP="00CD2A86">
      <w:pPr>
        <w:tabs>
          <w:tab w:val="left" w:pos="180"/>
          <w:tab w:val="left" w:pos="360"/>
        </w:tabs>
        <w:wordWrap w:val="0"/>
        <w:spacing w:line="360" w:lineRule="auto"/>
        <w:jc w:val="right"/>
        <w:rPr>
          <w:rFonts w:ascii="Book Antiqua" w:hAnsi="Book Antiqua" w:cs="Tahoma"/>
          <w:b/>
          <w:color w:val="000000"/>
          <w:sz w:val="24"/>
        </w:rPr>
      </w:pPr>
      <w:bookmarkStart w:id="91" w:name="OLE_LINK874"/>
      <w:bookmarkStart w:id="92" w:name="OLE_LINK875"/>
      <w:bookmarkStart w:id="93" w:name="OLE_LINK347"/>
      <w:bookmarkStart w:id="94" w:name="OLE_LINK384"/>
      <w:bookmarkStart w:id="95" w:name="OLE_LINK557"/>
      <w:bookmarkStart w:id="96" w:name="OLE_LINK558"/>
      <w:bookmarkStart w:id="97" w:name="OLE_LINK631"/>
      <w:bookmarkStart w:id="98" w:name="OLE_LINK632"/>
      <w:bookmarkStart w:id="99" w:name="OLE_LINK386"/>
      <w:bookmarkStart w:id="100" w:name="OLE_LINK431"/>
      <w:bookmarkStart w:id="101" w:name="OLE_LINK564"/>
      <w:bookmarkStart w:id="102" w:name="OLE_LINK493"/>
      <w:bookmarkStart w:id="103" w:name="OLE_LINK442"/>
      <w:r w:rsidRPr="00201986">
        <w:rPr>
          <w:rFonts w:ascii="Book Antiqua" w:hAnsi="Book Antiqua" w:cs="Tahoma"/>
          <w:b/>
          <w:color w:val="000000"/>
          <w:sz w:val="24"/>
        </w:rPr>
        <w:t>P-Reviewer</w:t>
      </w:r>
      <w:r>
        <w:rPr>
          <w:rFonts w:ascii="Book Antiqua" w:hAnsi="Book Antiqua" w:cs="Tahoma"/>
          <w:b/>
          <w:color w:val="000000"/>
          <w:sz w:val="24"/>
          <w:lang w:eastAsia="zh-CN"/>
        </w:rPr>
        <w:t xml:space="preserve"> </w:t>
      </w:r>
      <w:r w:rsidRPr="00263755">
        <w:rPr>
          <w:rFonts w:ascii="Book Antiqua" w:hAnsi="Book Antiqua" w:cs="Tahoma"/>
          <w:color w:val="000000"/>
          <w:sz w:val="24"/>
          <w:lang w:eastAsia="zh-CN"/>
        </w:rPr>
        <w:t>Bayrahtar Y</w:t>
      </w:r>
      <w:r w:rsidRPr="00201986">
        <w:rPr>
          <w:rFonts w:ascii="Book Antiqua" w:hAnsi="Book Antiqua" w:cs="Tahoma"/>
          <w:b/>
          <w:color w:val="000000"/>
          <w:sz w:val="24"/>
        </w:rPr>
        <w:t xml:space="preserve"> S-Editor </w:t>
      </w:r>
      <w:r w:rsidRPr="00201986">
        <w:rPr>
          <w:rFonts w:ascii="Book Antiqua" w:hAnsi="Book Antiqua" w:cs="Tahoma"/>
          <w:color w:val="000000"/>
          <w:sz w:val="24"/>
        </w:rPr>
        <w:t>Gou SX</w:t>
      </w:r>
      <w:r>
        <w:rPr>
          <w:rFonts w:ascii="Book Antiqua" w:hAnsi="Book Antiqua" w:cs="Tahoma"/>
          <w:color w:val="000000"/>
          <w:sz w:val="24"/>
        </w:rPr>
        <w:t xml:space="preserve">  </w:t>
      </w:r>
      <w:r w:rsidRPr="00201986">
        <w:rPr>
          <w:rFonts w:ascii="Book Antiqua" w:hAnsi="Book Antiqua" w:cs="Tahoma"/>
          <w:b/>
          <w:color w:val="000000"/>
          <w:sz w:val="24"/>
        </w:rPr>
        <w:t xml:space="preserve"> L-Editor</w:t>
      </w:r>
      <w:r>
        <w:rPr>
          <w:rFonts w:ascii="Book Antiqua" w:hAnsi="Book Antiqua" w:cs="Tahoma"/>
          <w:b/>
          <w:color w:val="000000"/>
          <w:sz w:val="24"/>
        </w:rPr>
        <w:t xml:space="preserve">    </w:t>
      </w:r>
      <w:r w:rsidRPr="00201986">
        <w:rPr>
          <w:rFonts w:ascii="Book Antiqua" w:hAnsi="Book Antiqua" w:cs="Tahoma"/>
          <w:b/>
          <w:color w:val="000000"/>
          <w:sz w:val="24"/>
        </w:rPr>
        <w:t>E-Edito</w:t>
      </w:r>
      <w:bookmarkEnd w:id="91"/>
      <w:bookmarkEnd w:id="92"/>
      <w:r w:rsidRPr="00201986">
        <w:rPr>
          <w:rFonts w:ascii="Book Antiqua" w:hAnsi="Book Antiqua" w:cs="Tahoma"/>
          <w:b/>
          <w:color w:val="000000"/>
          <w:sz w:val="24"/>
        </w:rPr>
        <w:t>r</w:t>
      </w:r>
    </w:p>
    <w:bookmarkEnd w:id="93"/>
    <w:bookmarkEnd w:id="94"/>
    <w:bookmarkEnd w:id="95"/>
    <w:bookmarkEnd w:id="96"/>
    <w:bookmarkEnd w:id="97"/>
    <w:bookmarkEnd w:id="98"/>
    <w:bookmarkEnd w:id="99"/>
    <w:bookmarkEnd w:id="100"/>
    <w:bookmarkEnd w:id="101"/>
    <w:bookmarkEnd w:id="102"/>
    <w:bookmarkEnd w:id="103"/>
    <w:p w:rsidR="004A3611" w:rsidRPr="00CD2A86" w:rsidRDefault="004A3611" w:rsidP="00784746">
      <w:pPr>
        <w:adjustRightInd w:val="0"/>
        <w:snapToGrid w:val="0"/>
        <w:spacing w:after="0" w:afterAutospacing="0" w:line="360" w:lineRule="auto"/>
        <w:jc w:val="both"/>
        <w:rPr>
          <w:rFonts w:ascii="Book Antiqua" w:hAnsi="Book Antiqua"/>
          <w:sz w:val="24"/>
          <w:szCs w:val="24"/>
          <w:lang w:eastAsia="zh-CN"/>
        </w:rPr>
      </w:pPr>
    </w:p>
    <w:p w:rsidR="004A3611" w:rsidRDefault="004A3611" w:rsidP="00784746">
      <w:pPr>
        <w:adjustRightInd w:val="0"/>
        <w:snapToGrid w:val="0"/>
        <w:spacing w:after="0" w:afterAutospacing="0" w:line="360" w:lineRule="auto"/>
        <w:jc w:val="both"/>
        <w:rPr>
          <w:rFonts w:ascii="Book Antiqua" w:hAnsi="Book Antiqua"/>
          <w:sz w:val="24"/>
          <w:szCs w:val="24"/>
          <w:lang w:val="en-GB" w:eastAsia="zh-CN"/>
        </w:rPr>
      </w:pPr>
    </w:p>
    <w:p w:rsidR="004A3611" w:rsidRPr="00DF46FE" w:rsidRDefault="004A3611" w:rsidP="00CD2A86">
      <w:pPr>
        <w:adjustRightInd w:val="0"/>
        <w:snapToGrid w:val="0"/>
        <w:spacing w:after="0" w:afterAutospacing="0" w:line="360" w:lineRule="auto"/>
        <w:jc w:val="both"/>
        <w:rPr>
          <w:rFonts w:ascii="Book Antiqua" w:hAnsi="Book Antiqua" w:cs="Times New Roman"/>
          <w:sz w:val="24"/>
          <w:szCs w:val="24"/>
          <w:lang w:eastAsia="zh-CN"/>
        </w:rPr>
        <w:sectPr w:rsidR="004A3611" w:rsidRPr="00DF46FE" w:rsidSect="007F6E6D">
          <w:type w:val="continuous"/>
          <w:pgSz w:w="11906" w:h="16838"/>
          <w:pgMar w:top="1440" w:right="1797" w:bottom="1440" w:left="1797" w:header="709" w:footer="709" w:gutter="0"/>
          <w:cols w:space="708"/>
          <w:docGrid w:linePitch="360"/>
        </w:sectPr>
      </w:pPr>
    </w:p>
    <w:p w:rsidR="004A3611" w:rsidRPr="00DF46FE" w:rsidRDefault="00FE5C22" w:rsidP="00CD2A86">
      <w:pPr>
        <w:adjustRightInd w:val="0"/>
        <w:snapToGrid w:val="0"/>
        <w:spacing w:after="0" w:afterAutospacing="0" w:line="360" w:lineRule="auto"/>
        <w:jc w:val="both"/>
        <w:rPr>
          <w:rFonts w:ascii="Book Antiqua" w:hAnsi="Book Antiqua" w:cs="Times New Roman"/>
          <w:sz w:val="24"/>
          <w:szCs w:val="24"/>
        </w:rPr>
      </w:pPr>
      <w:r>
        <w:rPr>
          <w:rFonts w:ascii="Book Antiqua" w:hAnsi="Book Antiqua" w:cs="Times New Roman"/>
          <w:noProof/>
          <w:sz w:val="24"/>
          <w:szCs w:val="24"/>
          <w:lang w:eastAsia="zh-CN"/>
        </w:rPr>
        <w:lastRenderedPageBreak/>
        <w:drawing>
          <wp:inline distT="0" distB="0" distL="0" distR="0">
            <wp:extent cx="2440940" cy="23933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940" cy="2393315"/>
                    </a:xfrm>
                    <a:prstGeom prst="rect">
                      <a:avLst/>
                    </a:prstGeom>
                    <a:noFill/>
                    <a:ln>
                      <a:noFill/>
                    </a:ln>
                  </pic:spPr>
                </pic:pic>
              </a:graphicData>
            </a:graphic>
          </wp:inline>
        </w:drawing>
      </w:r>
      <w:r w:rsidR="004A3611">
        <w:rPr>
          <w:rFonts w:ascii="Book Antiqua" w:hAnsi="Book Antiqua"/>
          <w:sz w:val="24"/>
          <w:szCs w:val="24"/>
        </w:rPr>
        <w:t xml:space="preserve"> </w:t>
      </w:r>
    </w:p>
    <w:p w:rsidR="004A3611" w:rsidRPr="00263755" w:rsidRDefault="004A3611" w:rsidP="00CD2A86">
      <w:pPr>
        <w:tabs>
          <w:tab w:val="left" w:pos="5430"/>
        </w:tabs>
        <w:adjustRightInd w:val="0"/>
        <w:snapToGrid w:val="0"/>
        <w:spacing w:after="0" w:afterAutospacing="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t>A</w:t>
      </w:r>
      <w:r>
        <w:rPr>
          <w:rFonts w:ascii="Book Antiqua" w:hAnsi="Book Antiqua" w:cs="Times New Roman"/>
          <w:b/>
          <w:sz w:val="24"/>
          <w:szCs w:val="24"/>
        </w:rPr>
        <w:t xml:space="preserve">    </w:t>
      </w:r>
      <w:r w:rsidRPr="00263755">
        <w:rPr>
          <w:rFonts w:ascii="Book Antiqua" w:hAnsi="Book Antiqua" w:cs="Times New Roman"/>
          <w:b/>
          <w:sz w:val="24"/>
          <w:szCs w:val="24"/>
        </w:rPr>
        <w:t xml:space="preserve"> </w:t>
      </w:r>
      <w:r w:rsidRPr="00263755">
        <w:rPr>
          <w:rFonts w:ascii="Book Antiqua" w:hAnsi="Book Antiqua" w:cs="Times New Roman"/>
          <w:b/>
          <w:sz w:val="24"/>
          <w:szCs w:val="24"/>
        </w:rPr>
        <w:tab/>
      </w:r>
    </w:p>
    <w:p w:rsidR="004A3611" w:rsidRDefault="004A3611" w:rsidP="00CD2A86">
      <w:pPr>
        <w:tabs>
          <w:tab w:val="left" w:pos="5430"/>
        </w:tabs>
        <w:adjustRightInd w:val="0"/>
        <w:snapToGrid w:val="0"/>
        <w:spacing w:after="0" w:afterAutospacing="0" w:line="360" w:lineRule="auto"/>
        <w:jc w:val="both"/>
        <w:rPr>
          <w:rFonts w:ascii="Book Antiqua" w:hAnsi="Book Antiqua" w:cs="Times New Roman"/>
          <w:sz w:val="24"/>
          <w:szCs w:val="24"/>
          <w:lang w:eastAsia="zh-CN"/>
        </w:rPr>
      </w:pPr>
    </w:p>
    <w:p w:rsidR="004A3611" w:rsidRPr="00263755" w:rsidRDefault="00FE5C22" w:rsidP="00CD2A86">
      <w:pPr>
        <w:adjustRightInd w:val="0"/>
        <w:snapToGrid w:val="0"/>
        <w:spacing w:after="0" w:afterAutospacing="0" w:line="360" w:lineRule="auto"/>
        <w:jc w:val="both"/>
        <w:rPr>
          <w:rFonts w:ascii="Book Antiqua" w:hAnsi="Book Antiqua" w:cs="Times New Roman"/>
          <w:b/>
          <w:sz w:val="24"/>
          <w:szCs w:val="24"/>
          <w:lang w:eastAsia="zh-CN"/>
        </w:rPr>
      </w:pPr>
      <w:r>
        <w:rPr>
          <w:noProof/>
          <w:lang w:eastAsia="zh-CN"/>
        </w:rPr>
        <w:drawing>
          <wp:anchor distT="0" distB="0" distL="114300" distR="114300" simplePos="0" relativeHeight="251658240" behindDoc="0" locked="0" layoutInCell="1" allowOverlap="1">
            <wp:simplePos x="0" y="0"/>
            <wp:positionH relativeFrom="column">
              <wp:align>left</wp:align>
            </wp:positionH>
            <wp:positionV relativeFrom="paragraph">
              <wp:posOffset>1905</wp:posOffset>
            </wp:positionV>
            <wp:extent cx="2438400" cy="2095500"/>
            <wp:effectExtent l="0" t="0" r="0" b="0"/>
            <wp:wrapSquare wrapText="right"/>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2095500"/>
                    </a:xfrm>
                    <a:prstGeom prst="rect">
                      <a:avLst/>
                    </a:prstGeom>
                    <a:noFill/>
                  </pic:spPr>
                </pic:pic>
              </a:graphicData>
            </a:graphic>
            <wp14:sizeRelH relativeFrom="page">
              <wp14:pctWidth>0</wp14:pctWidth>
            </wp14:sizeRelH>
            <wp14:sizeRelV relativeFrom="page">
              <wp14:pctHeight>0</wp14:pctHeight>
            </wp14:sizeRelV>
          </wp:anchor>
        </w:drawing>
      </w:r>
    </w:p>
    <w:p w:rsidR="004A3611" w:rsidRDefault="004A3611" w:rsidP="00CD2A86">
      <w:pPr>
        <w:tabs>
          <w:tab w:val="left" w:pos="5430"/>
        </w:tabs>
        <w:adjustRightInd w:val="0"/>
        <w:snapToGrid w:val="0"/>
        <w:spacing w:after="0" w:afterAutospacing="0" w:line="360" w:lineRule="auto"/>
        <w:jc w:val="both"/>
        <w:rPr>
          <w:rFonts w:ascii="Book Antiqua" w:hAnsi="Book Antiqua" w:cs="Times New Roman"/>
          <w:sz w:val="24"/>
          <w:szCs w:val="24"/>
          <w:lang w:eastAsia="zh-CN"/>
        </w:rPr>
      </w:pPr>
    </w:p>
    <w:p w:rsidR="004A3611" w:rsidRDefault="004A3611" w:rsidP="00CD2A86">
      <w:pPr>
        <w:tabs>
          <w:tab w:val="left" w:pos="5430"/>
        </w:tabs>
        <w:adjustRightInd w:val="0"/>
        <w:snapToGrid w:val="0"/>
        <w:spacing w:after="0" w:afterAutospacing="0" w:line="360" w:lineRule="auto"/>
        <w:jc w:val="both"/>
        <w:rPr>
          <w:rFonts w:ascii="Book Antiqua" w:hAnsi="Book Antiqua" w:cs="Times New Roman"/>
          <w:sz w:val="24"/>
          <w:szCs w:val="24"/>
          <w:lang w:eastAsia="zh-CN"/>
        </w:rPr>
      </w:pPr>
    </w:p>
    <w:p w:rsidR="004A3611" w:rsidRDefault="004A3611" w:rsidP="00CD2A86">
      <w:pPr>
        <w:tabs>
          <w:tab w:val="left" w:pos="5430"/>
        </w:tabs>
        <w:adjustRightInd w:val="0"/>
        <w:snapToGrid w:val="0"/>
        <w:spacing w:after="0" w:afterAutospacing="0" w:line="360" w:lineRule="auto"/>
        <w:jc w:val="both"/>
        <w:rPr>
          <w:rFonts w:ascii="Book Antiqua" w:hAnsi="Book Antiqua" w:cs="Times New Roman"/>
          <w:sz w:val="24"/>
          <w:szCs w:val="24"/>
          <w:lang w:eastAsia="zh-CN"/>
        </w:rPr>
      </w:pPr>
    </w:p>
    <w:p w:rsidR="004A3611" w:rsidRDefault="004A3611" w:rsidP="00CD2A86">
      <w:pPr>
        <w:tabs>
          <w:tab w:val="left" w:pos="5430"/>
        </w:tabs>
        <w:adjustRightInd w:val="0"/>
        <w:snapToGrid w:val="0"/>
        <w:spacing w:after="0" w:afterAutospacing="0" w:line="360" w:lineRule="auto"/>
        <w:jc w:val="both"/>
        <w:rPr>
          <w:rFonts w:ascii="Book Antiqua" w:hAnsi="Book Antiqua" w:cs="Times New Roman"/>
          <w:sz w:val="24"/>
          <w:szCs w:val="24"/>
          <w:lang w:eastAsia="zh-CN"/>
        </w:rPr>
      </w:pPr>
    </w:p>
    <w:p w:rsidR="004A3611" w:rsidRDefault="004A3611" w:rsidP="00CD2A86">
      <w:pPr>
        <w:tabs>
          <w:tab w:val="left" w:pos="5430"/>
        </w:tabs>
        <w:adjustRightInd w:val="0"/>
        <w:snapToGrid w:val="0"/>
        <w:spacing w:after="0" w:afterAutospacing="0" w:line="360" w:lineRule="auto"/>
        <w:jc w:val="both"/>
        <w:rPr>
          <w:rFonts w:ascii="Book Antiqua" w:hAnsi="Book Antiqua" w:cs="Times New Roman"/>
          <w:b/>
          <w:sz w:val="24"/>
          <w:szCs w:val="24"/>
          <w:lang w:eastAsia="zh-CN"/>
        </w:rPr>
      </w:pPr>
    </w:p>
    <w:p w:rsidR="004A3611" w:rsidRDefault="004A3611" w:rsidP="00CD2A86">
      <w:pPr>
        <w:tabs>
          <w:tab w:val="left" w:pos="5430"/>
        </w:tabs>
        <w:adjustRightInd w:val="0"/>
        <w:snapToGrid w:val="0"/>
        <w:spacing w:after="0" w:afterAutospacing="0" w:line="360" w:lineRule="auto"/>
        <w:jc w:val="both"/>
        <w:rPr>
          <w:rFonts w:ascii="Book Antiqua" w:hAnsi="Book Antiqua" w:cs="Times New Roman"/>
          <w:b/>
          <w:sz w:val="24"/>
          <w:szCs w:val="24"/>
          <w:lang w:eastAsia="zh-CN"/>
        </w:rPr>
      </w:pPr>
    </w:p>
    <w:p w:rsidR="004A3611" w:rsidRDefault="004A3611" w:rsidP="00CD2A86">
      <w:pPr>
        <w:tabs>
          <w:tab w:val="left" w:pos="5430"/>
        </w:tabs>
        <w:adjustRightInd w:val="0"/>
        <w:snapToGrid w:val="0"/>
        <w:spacing w:after="0" w:afterAutospacing="0" w:line="360" w:lineRule="auto"/>
        <w:jc w:val="both"/>
        <w:rPr>
          <w:rFonts w:ascii="Book Antiqua" w:hAnsi="Book Antiqua" w:cs="Times New Roman"/>
          <w:b/>
          <w:sz w:val="24"/>
          <w:szCs w:val="24"/>
          <w:lang w:eastAsia="zh-CN"/>
        </w:rPr>
      </w:pPr>
    </w:p>
    <w:p w:rsidR="004A3611" w:rsidRPr="00EC18A0" w:rsidRDefault="004A3611" w:rsidP="00CD2A86">
      <w:pPr>
        <w:tabs>
          <w:tab w:val="left" w:pos="5430"/>
        </w:tabs>
        <w:adjustRightInd w:val="0"/>
        <w:snapToGrid w:val="0"/>
        <w:spacing w:after="0" w:afterAutospacing="0" w:line="360" w:lineRule="auto"/>
        <w:jc w:val="both"/>
        <w:rPr>
          <w:rFonts w:ascii="Book Antiqua" w:hAnsi="Book Antiqua" w:cs="Times New Roman"/>
          <w:b/>
          <w:sz w:val="24"/>
          <w:szCs w:val="24"/>
          <w:lang w:eastAsia="zh-CN"/>
        </w:rPr>
      </w:pPr>
      <w:r w:rsidRPr="00EC18A0">
        <w:rPr>
          <w:rFonts w:ascii="Book Antiqua" w:hAnsi="Book Antiqua" w:cs="Times New Roman"/>
          <w:b/>
          <w:sz w:val="24"/>
          <w:szCs w:val="24"/>
          <w:lang w:eastAsia="zh-CN"/>
        </w:rPr>
        <w:t>B</w:t>
      </w:r>
    </w:p>
    <w:p w:rsidR="004A3611" w:rsidRPr="00EC18A0" w:rsidRDefault="004A3611" w:rsidP="00EC18A0">
      <w:pPr>
        <w:adjustRightInd w:val="0"/>
        <w:snapToGrid w:val="0"/>
        <w:spacing w:after="0" w:afterAutospacing="0" w:line="360" w:lineRule="auto"/>
        <w:jc w:val="both"/>
        <w:rPr>
          <w:rFonts w:ascii="Book Antiqua" w:hAnsi="Book Antiqua" w:cs="Times New Roman"/>
          <w:sz w:val="24"/>
          <w:szCs w:val="24"/>
          <w:lang w:eastAsia="zh-CN"/>
        </w:rPr>
      </w:pPr>
      <w:r w:rsidRPr="00EC18A0">
        <w:rPr>
          <w:rFonts w:ascii="Book Antiqua" w:hAnsi="Book Antiqua" w:cs="Times New Roman"/>
          <w:b/>
          <w:sz w:val="24"/>
          <w:szCs w:val="24"/>
          <w:lang w:eastAsia="zh-CN"/>
        </w:rPr>
        <w:t xml:space="preserve">Figure 1 </w:t>
      </w:r>
      <w:r w:rsidRPr="00263755">
        <w:rPr>
          <w:rFonts w:ascii="Book Antiqua" w:hAnsi="Book Antiqua" w:cs="Times New Roman"/>
          <w:b/>
          <w:sz w:val="24"/>
          <w:szCs w:val="24"/>
        </w:rPr>
        <w:t>Gastric varices</w:t>
      </w:r>
      <w:r>
        <w:rPr>
          <w:rFonts w:ascii="Book Antiqua" w:hAnsi="Book Antiqua" w:cs="Times New Roman"/>
          <w:b/>
          <w:sz w:val="24"/>
          <w:szCs w:val="24"/>
          <w:lang w:eastAsia="zh-CN"/>
        </w:rPr>
        <w:t xml:space="preserve">. </w:t>
      </w:r>
      <w:r w:rsidRPr="00EC18A0">
        <w:rPr>
          <w:rFonts w:ascii="Book Antiqua" w:hAnsi="Book Antiqua" w:cs="Times New Roman"/>
          <w:sz w:val="24"/>
          <w:szCs w:val="24"/>
          <w:lang w:eastAsia="zh-CN"/>
        </w:rPr>
        <w:t>A:</w:t>
      </w:r>
      <w:bookmarkStart w:id="104" w:name="OLE_LINK552"/>
      <w:r w:rsidRPr="00EC18A0">
        <w:rPr>
          <w:rFonts w:ascii="Book Antiqua" w:hAnsi="Book Antiqua" w:cs="Times New Roman"/>
          <w:sz w:val="24"/>
          <w:szCs w:val="24"/>
        </w:rPr>
        <w:t xml:space="preserve"> Gastric varices </w:t>
      </w:r>
      <w:bookmarkEnd w:id="104"/>
      <w:r w:rsidRPr="00EC18A0">
        <w:rPr>
          <w:rFonts w:ascii="Book Antiqua" w:hAnsi="Book Antiqua" w:cs="Times New Roman"/>
          <w:sz w:val="24"/>
          <w:szCs w:val="24"/>
        </w:rPr>
        <w:t>pre glue injection</w:t>
      </w:r>
      <w:r w:rsidRPr="00EC18A0">
        <w:rPr>
          <w:rFonts w:ascii="Book Antiqua" w:hAnsi="Book Antiqua" w:cs="Times New Roman"/>
          <w:sz w:val="24"/>
          <w:szCs w:val="24"/>
          <w:lang w:eastAsia="zh-CN"/>
        </w:rPr>
        <w:t>; B:</w:t>
      </w:r>
      <w:r w:rsidRPr="00EC18A0">
        <w:rPr>
          <w:rFonts w:ascii="Book Antiqua" w:hAnsi="Book Antiqua" w:cs="Times New Roman"/>
          <w:sz w:val="24"/>
          <w:szCs w:val="24"/>
        </w:rPr>
        <w:t xml:space="preserve"> Gastric var</w:t>
      </w:r>
      <w:r w:rsidRPr="00EC18A0">
        <w:rPr>
          <w:rFonts w:ascii="Book Antiqua" w:hAnsi="Book Antiqua" w:cs="Times New Roman"/>
          <w:sz w:val="24"/>
          <w:szCs w:val="24"/>
        </w:rPr>
        <w:t>i</w:t>
      </w:r>
      <w:r w:rsidRPr="00EC18A0">
        <w:rPr>
          <w:rFonts w:ascii="Book Antiqua" w:hAnsi="Book Antiqua" w:cs="Times New Roman"/>
          <w:sz w:val="24"/>
          <w:szCs w:val="24"/>
        </w:rPr>
        <w:t>ces post glue</w:t>
      </w:r>
      <w:r w:rsidRPr="00EC18A0">
        <w:rPr>
          <w:rFonts w:ascii="Book Antiqua" w:hAnsi="Book Antiqua" w:cs="Times New Roman"/>
          <w:sz w:val="24"/>
          <w:szCs w:val="24"/>
          <w:lang w:eastAsia="zh-CN"/>
        </w:rPr>
        <w:t>.</w:t>
      </w:r>
    </w:p>
    <w:p w:rsidR="004A3611" w:rsidRDefault="004A3611" w:rsidP="00EC18A0">
      <w:pPr>
        <w:adjustRightInd w:val="0"/>
        <w:snapToGrid w:val="0"/>
        <w:spacing w:after="0" w:afterAutospacing="0" w:line="360" w:lineRule="auto"/>
        <w:jc w:val="both"/>
        <w:rPr>
          <w:rFonts w:ascii="Book Antiqua" w:hAnsi="Book Antiqua" w:cs="Times New Roman"/>
          <w:sz w:val="24"/>
          <w:szCs w:val="24"/>
          <w:lang w:eastAsia="zh-CN"/>
        </w:rPr>
        <w:sectPr w:rsidR="004A3611" w:rsidSect="00F43491">
          <w:type w:val="continuous"/>
          <w:pgSz w:w="11906" w:h="16838"/>
          <w:pgMar w:top="1440" w:right="1797" w:bottom="1440" w:left="1797" w:header="709" w:footer="709" w:gutter="0"/>
          <w:cols w:space="708"/>
          <w:docGrid w:linePitch="360"/>
        </w:sectPr>
      </w:pPr>
    </w:p>
    <w:p w:rsidR="004A3611" w:rsidRPr="00EC18A0" w:rsidRDefault="004A3611" w:rsidP="00CD2A86">
      <w:pPr>
        <w:tabs>
          <w:tab w:val="left" w:pos="5430"/>
        </w:tabs>
        <w:adjustRightInd w:val="0"/>
        <w:snapToGrid w:val="0"/>
        <w:spacing w:after="0" w:afterAutospacing="0" w:line="360" w:lineRule="auto"/>
        <w:jc w:val="both"/>
        <w:rPr>
          <w:rFonts w:ascii="Book Antiqua" w:hAnsi="Book Antiqua" w:cs="Times New Roman"/>
          <w:sz w:val="24"/>
          <w:szCs w:val="24"/>
          <w:lang w:eastAsia="zh-CN"/>
        </w:rPr>
      </w:pPr>
    </w:p>
    <w:p w:rsidR="004A3611" w:rsidRPr="00DF46FE" w:rsidRDefault="00FE5C22" w:rsidP="00CD2A86">
      <w:pPr>
        <w:adjustRightInd w:val="0"/>
        <w:snapToGrid w:val="0"/>
        <w:spacing w:after="0" w:afterAutospacing="0" w:line="360" w:lineRule="auto"/>
        <w:jc w:val="both"/>
        <w:rPr>
          <w:rFonts w:ascii="Book Antiqua" w:hAnsi="Book Antiqua" w:cs="Times New Roman"/>
          <w:sz w:val="24"/>
          <w:szCs w:val="24"/>
          <w:lang w:eastAsia="zh-CN"/>
        </w:rPr>
      </w:pPr>
      <w:r>
        <w:rPr>
          <w:rFonts w:ascii="Book Antiqua" w:hAnsi="Book Antiqua"/>
          <w:noProof/>
          <w:sz w:val="24"/>
          <w:szCs w:val="24"/>
          <w:lang w:eastAsia="zh-CN"/>
        </w:rPr>
        <w:drawing>
          <wp:inline distT="0" distB="0" distL="0" distR="0">
            <wp:extent cx="2106930" cy="15824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930" cy="1582420"/>
                    </a:xfrm>
                    <a:prstGeom prst="rect">
                      <a:avLst/>
                    </a:prstGeom>
                    <a:noFill/>
                    <a:ln>
                      <a:noFill/>
                    </a:ln>
                  </pic:spPr>
                </pic:pic>
              </a:graphicData>
            </a:graphic>
          </wp:inline>
        </w:drawing>
      </w:r>
      <w:r w:rsidR="004A3611" w:rsidRPr="00DF46FE">
        <w:rPr>
          <w:rFonts w:ascii="Book Antiqua" w:hAnsi="Book Antiqua" w:cs="Times New Roman"/>
          <w:sz w:val="24"/>
          <w:szCs w:val="24"/>
        </w:rPr>
        <w:br w:type="textWrapping" w:clear="all"/>
      </w:r>
      <w:r w:rsidR="004A3611" w:rsidRPr="00EC18A0">
        <w:rPr>
          <w:rFonts w:ascii="Book Antiqua" w:hAnsi="Book Antiqua" w:cs="Times New Roman"/>
          <w:b/>
          <w:sz w:val="24"/>
          <w:szCs w:val="24"/>
          <w:lang w:eastAsia="zh-CN"/>
        </w:rPr>
        <w:t xml:space="preserve">A </w:t>
      </w:r>
    </w:p>
    <w:p w:rsidR="004A3611" w:rsidRPr="00DF46FE" w:rsidRDefault="004A3611" w:rsidP="00CD2A86">
      <w:pPr>
        <w:adjustRightInd w:val="0"/>
        <w:snapToGrid w:val="0"/>
        <w:spacing w:after="0" w:afterAutospacing="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FE5C22">
        <w:rPr>
          <w:rFonts w:ascii="Book Antiqua" w:hAnsi="Book Antiqua"/>
          <w:noProof/>
          <w:color w:val="000000"/>
          <w:w w:val="0"/>
          <w:sz w:val="24"/>
          <w:szCs w:val="24"/>
          <w:u w:color="000000"/>
          <w:bdr w:val="none" w:sz="0" w:space="0" w:color="000000"/>
          <w:shd w:val="clear" w:color="000000" w:fill="000000"/>
          <w:lang w:eastAsia="zh-CN"/>
        </w:rPr>
        <w:drawing>
          <wp:inline distT="0" distB="0" distL="0" distR="0">
            <wp:extent cx="2106930" cy="158242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930" cy="1582420"/>
                    </a:xfrm>
                    <a:prstGeom prst="rect">
                      <a:avLst/>
                    </a:prstGeom>
                    <a:noFill/>
                    <a:ln>
                      <a:noFill/>
                    </a:ln>
                  </pic:spPr>
                </pic:pic>
              </a:graphicData>
            </a:graphic>
          </wp:inline>
        </w:drawing>
      </w:r>
    </w:p>
    <w:p w:rsidR="004A3611" w:rsidRPr="00DF46FE" w:rsidRDefault="004A3611" w:rsidP="00CD2A86">
      <w:pPr>
        <w:adjustRightInd w:val="0"/>
        <w:snapToGrid w:val="0"/>
        <w:spacing w:after="0" w:afterAutospacing="0" w:line="360" w:lineRule="auto"/>
        <w:jc w:val="both"/>
        <w:rPr>
          <w:rFonts w:ascii="Book Antiqua" w:hAnsi="Book Antiqua" w:cs="Times New Roman"/>
          <w:sz w:val="24"/>
          <w:szCs w:val="24"/>
        </w:rPr>
      </w:pPr>
      <w:r>
        <w:rPr>
          <w:rFonts w:ascii="Book Antiqua" w:hAnsi="Book Antiqua" w:cs="Times New Roman"/>
          <w:b/>
          <w:sz w:val="24"/>
          <w:szCs w:val="24"/>
        </w:rPr>
        <w:t xml:space="preserve">  </w:t>
      </w:r>
      <w:r w:rsidRPr="00EC18A0">
        <w:rPr>
          <w:rFonts w:ascii="Book Antiqua" w:hAnsi="Book Antiqua" w:cs="Times New Roman"/>
          <w:b/>
          <w:sz w:val="24"/>
          <w:szCs w:val="24"/>
          <w:lang w:eastAsia="zh-CN"/>
        </w:rPr>
        <w:t>B</w:t>
      </w:r>
      <w:r>
        <w:rPr>
          <w:rFonts w:ascii="Book Antiqua" w:hAnsi="Book Antiqua" w:cs="Times New Roman"/>
          <w:sz w:val="24"/>
          <w:szCs w:val="24"/>
        </w:rPr>
        <w:t xml:space="preserve">     </w:t>
      </w:r>
      <w:r w:rsidRPr="00DF46FE">
        <w:rPr>
          <w:rFonts w:ascii="Book Antiqua" w:hAnsi="Book Antiqua" w:cs="Times New Roman"/>
          <w:sz w:val="24"/>
          <w:szCs w:val="24"/>
        </w:rPr>
        <w:tab/>
      </w:r>
      <w:r w:rsidRPr="00DF46FE">
        <w:rPr>
          <w:rFonts w:ascii="Book Antiqua" w:hAnsi="Book Antiqua" w:cs="Times New Roman"/>
          <w:sz w:val="24"/>
          <w:szCs w:val="24"/>
        </w:rPr>
        <w:tab/>
      </w:r>
      <w:r w:rsidRPr="00DF46FE">
        <w:rPr>
          <w:rFonts w:ascii="Book Antiqua" w:hAnsi="Book Antiqua" w:cs="Times New Roman"/>
          <w:sz w:val="24"/>
          <w:szCs w:val="24"/>
        </w:rPr>
        <w:tab/>
      </w:r>
      <w:r w:rsidRPr="00DF46FE">
        <w:rPr>
          <w:rFonts w:ascii="Book Antiqua" w:hAnsi="Book Antiqua" w:cs="Times New Roman"/>
          <w:sz w:val="24"/>
          <w:szCs w:val="24"/>
        </w:rPr>
        <w:tab/>
      </w:r>
      <w:r>
        <w:rPr>
          <w:rFonts w:ascii="Book Antiqua" w:hAnsi="Book Antiqua" w:cs="Times New Roman"/>
          <w:sz w:val="24"/>
          <w:szCs w:val="24"/>
        </w:rPr>
        <w:t xml:space="preserve">  </w:t>
      </w:r>
    </w:p>
    <w:p w:rsidR="004A3611" w:rsidRPr="005306A5" w:rsidRDefault="004A3611" w:rsidP="005306A5">
      <w:pPr>
        <w:spacing w:line="360" w:lineRule="auto"/>
        <w:jc w:val="both"/>
        <w:rPr>
          <w:rFonts w:ascii="Times New Roman" w:hAnsi="Times New Roman" w:cs="Times New Roman"/>
          <w:sz w:val="24"/>
          <w:szCs w:val="24"/>
        </w:rPr>
      </w:pPr>
      <w:r w:rsidRPr="005306A5">
        <w:rPr>
          <w:rFonts w:ascii="Book Antiqua" w:hAnsi="Book Antiqua" w:cs="Times New Roman"/>
          <w:b/>
          <w:sz w:val="24"/>
          <w:szCs w:val="24"/>
        </w:rPr>
        <w:t>Fig</w:t>
      </w:r>
      <w:r w:rsidRPr="005306A5">
        <w:rPr>
          <w:rFonts w:ascii="Book Antiqua" w:hAnsi="Book Antiqua" w:cs="Times New Roman"/>
          <w:b/>
          <w:sz w:val="24"/>
          <w:szCs w:val="24"/>
          <w:lang w:eastAsia="zh-CN"/>
        </w:rPr>
        <w:t>ure</w:t>
      </w:r>
      <w:r w:rsidRPr="005306A5">
        <w:rPr>
          <w:rFonts w:ascii="Book Antiqua" w:hAnsi="Book Antiqua" w:cs="Times New Roman"/>
          <w:b/>
          <w:sz w:val="24"/>
          <w:szCs w:val="24"/>
        </w:rPr>
        <w:t xml:space="preserve"> </w:t>
      </w:r>
      <w:r w:rsidRPr="005306A5">
        <w:rPr>
          <w:rFonts w:ascii="Book Antiqua" w:hAnsi="Book Antiqua" w:cs="Times New Roman"/>
          <w:b/>
          <w:sz w:val="24"/>
          <w:szCs w:val="24"/>
          <w:lang w:eastAsia="zh-CN"/>
        </w:rPr>
        <w:t xml:space="preserve">2 </w:t>
      </w:r>
      <w:r w:rsidRPr="005306A5">
        <w:rPr>
          <w:rFonts w:ascii="Book Antiqua" w:hAnsi="Book Antiqua" w:cs="Times New Roman"/>
          <w:b/>
          <w:sz w:val="24"/>
          <w:szCs w:val="24"/>
        </w:rPr>
        <w:t>Nodule formation</w:t>
      </w:r>
      <w:r w:rsidRPr="005306A5">
        <w:rPr>
          <w:rFonts w:ascii="Book Antiqua" w:hAnsi="Book Antiqua" w:cs="Times New Roman"/>
          <w:b/>
          <w:sz w:val="24"/>
          <w:szCs w:val="24"/>
          <w:lang w:eastAsia="zh-CN"/>
        </w:rPr>
        <w:t xml:space="preserve"> and</w:t>
      </w:r>
      <w:r w:rsidRPr="005306A5">
        <w:rPr>
          <w:rFonts w:ascii="Book Antiqua" w:hAnsi="Book Antiqua" w:cs="Times New Roman"/>
          <w:b/>
          <w:sz w:val="24"/>
          <w:szCs w:val="24"/>
        </w:rPr>
        <w:t xml:space="preserve"> granuloma on liver biopsy</w:t>
      </w:r>
      <w:r w:rsidRPr="005306A5">
        <w:rPr>
          <w:rFonts w:ascii="Book Antiqua" w:hAnsi="Book Antiqua" w:cs="Times New Roman"/>
          <w:b/>
          <w:sz w:val="24"/>
          <w:szCs w:val="24"/>
          <w:lang w:eastAsia="zh-CN"/>
        </w:rPr>
        <w:t xml:space="preserve">. </w:t>
      </w:r>
      <w:r>
        <w:rPr>
          <w:rFonts w:ascii="Book Antiqua" w:hAnsi="Book Antiqua" w:cs="Times New Roman"/>
          <w:sz w:val="24"/>
          <w:szCs w:val="24"/>
          <w:lang w:eastAsia="zh-CN"/>
        </w:rPr>
        <w:t xml:space="preserve">A: </w:t>
      </w:r>
      <w:r w:rsidRPr="00DF46FE">
        <w:rPr>
          <w:rFonts w:ascii="Book Antiqua" w:hAnsi="Book Antiqua" w:cs="Times New Roman"/>
          <w:sz w:val="24"/>
          <w:szCs w:val="24"/>
        </w:rPr>
        <w:t>Nodule</w:t>
      </w:r>
      <w:bookmarkStart w:id="105" w:name="OLE_LINK555"/>
      <w:bookmarkStart w:id="106" w:name="OLE_LINK556"/>
      <w:r>
        <w:rPr>
          <w:rFonts w:ascii="Book Antiqua" w:hAnsi="Book Antiqua" w:cs="Times New Roman"/>
          <w:sz w:val="24"/>
          <w:szCs w:val="24"/>
          <w:lang w:eastAsia="zh-CN"/>
        </w:rPr>
        <w:t xml:space="preserve">; B: </w:t>
      </w:r>
      <w:r w:rsidRPr="00DF46FE">
        <w:rPr>
          <w:rFonts w:ascii="Book Antiqua" w:hAnsi="Book Antiqua" w:cs="Times New Roman"/>
          <w:sz w:val="24"/>
          <w:szCs w:val="24"/>
        </w:rPr>
        <w:t>Granuloma</w:t>
      </w:r>
      <w:bookmarkEnd w:id="105"/>
      <w:bookmarkEnd w:id="106"/>
      <w:r>
        <w:rPr>
          <w:rFonts w:ascii="Book Antiqua" w:hAnsi="Book Antiqua" w:cs="Times New Roman"/>
          <w:sz w:val="24"/>
          <w:szCs w:val="24"/>
          <w:lang w:eastAsia="zh-CN"/>
        </w:rPr>
        <w:t>.</w:t>
      </w:r>
      <w:r>
        <w:rPr>
          <w:rFonts w:ascii="Book Antiqua" w:hAnsi="Book Antiqua" w:cs="Times New Roman"/>
          <w:sz w:val="24"/>
          <w:szCs w:val="24"/>
        </w:rPr>
        <w:t xml:space="preserve">   </w:t>
      </w:r>
    </w:p>
    <w:p w:rsidR="004A3611" w:rsidRPr="00DF46FE" w:rsidRDefault="00FE5C22" w:rsidP="00CD2A86">
      <w:pPr>
        <w:adjustRightInd w:val="0"/>
        <w:snapToGrid w:val="0"/>
        <w:spacing w:after="0" w:afterAutospacing="0" w:line="360" w:lineRule="auto"/>
        <w:jc w:val="both"/>
        <w:rPr>
          <w:rFonts w:ascii="Book Antiqua" w:hAnsi="Book Antiqua" w:cs="Times New Roman"/>
          <w:sz w:val="24"/>
          <w:szCs w:val="24"/>
        </w:rPr>
      </w:pPr>
      <w:r>
        <w:rPr>
          <w:rFonts w:ascii="Book Antiqua" w:hAnsi="Book Antiqua" w:cs="Times New Roman"/>
          <w:noProof/>
          <w:sz w:val="24"/>
          <w:szCs w:val="24"/>
          <w:lang w:eastAsia="zh-CN"/>
        </w:rPr>
        <w:drawing>
          <wp:inline distT="0" distB="0" distL="0" distR="0">
            <wp:extent cx="2106930" cy="158242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6930" cy="1582420"/>
                    </a:xfrm>
                    <a:prstGeom prst="rect">
                      <a:avLst/>
                    </a:prstGeom>
                    <a:noFill/>
                    <a:ln>
                      <a:noFill/>
                    </a:ln>
                  </pic:spPr>
                </pic:pic>
              </a:graphicData>
            </a:graphic>
          </wp:inline>
        </w:drawing>
      </w:r>
    </w:p>
    <w:p w:rsidR="004A3611" w:rsidRPr="00DF46FE" w:rsidRDefault="004A3611" w:rsidP="00CD2A86">
      <w:pPr>
        <w:adjustRightInd w:val="0"/>
        <w:snapToGrid w:val="0"/>
        <w:spacing w:after="0" w:afterAutospacing="0" w:line="360" w:lineRule="auto"/>
        <w:jc w:val="both"/>
        <w:rPr>
          <w:rFonts w:ascii="Book Antiqua" w:hAnsi="Book Antiqua" w:cs="Times New Roman"/>
          <w:sz w:val="24"/>
          <w:szCs w:val="24"/>
        </w:rPr>
      </w:pPr>
    </w:p>
    <w:p w:rsidR="004A3611" w:rsidRPr="00ED1070" w:rsidRDefault="004A3611" w:rsidP="00784746">
      <w:pPr>
        <w:adjustRightInd w:val="0"/>
        <w:snapToGrid w:val="0"/>
        <w:spacing w:after="0" w:afterAutospacing="0" w:line="360" w:lineRule="auto"/>
        <w:jc w:val="both"/>
        <w:rPr>
          <w:rFonts w:ascii="Book Antiqua" w:hAnsi="Book Antiqua"/>
          <w:b/>
          <w:sz w:val="24"/>
          <w:szCs w:val="24"/>
          <w:lang w:eastAsia="zh-CN"/>
        </w:rPr>
      </w:pPr>
      <w:r w:rsidRPr="00ED1070">
        <w:rPr>
          <w:rFonts w:ascii="Book Antiqua" w:hAnsi="Book Antiqua" w:cs="Times New Roman"/>
          <w:b/>
          <w:sz w:val="24"/>
          <w:szCs w:val="24"/>
        </w:rPr>
        <w:t>Fig</w:t>
      </w:r>
      <w:r w:rsidRPr="00ED1070">
        <w:rPr>
          <w:rFonts w:ascii="Book Antiqua" w:hAnsi="Book Antiqua" w:cs="Times New Roman"/>
          <w:b/>
          <w:sz w:val="24"/>
          <w:szCs w:val="24"/>
          <w:lang w:eastAsia="zh-CN"/>
        </w:rPr>
        <w:t>ure 3</w:t>
      </w:r>
      <w:r w:rsidRPr="00ED1070">
        <w:rPr>
          <w:rFonts w:ascii="Book Antiqua" w:hAnsi="Book Antiqua" w:cs="Times New Roman"/>
          <w:b/>
          <w:sz w:val="24"/>
          <w:szCs w:val="24"/>
        </w:rPr>
        <w:t xml:space="preserve"> Thick liver cell plates on reticulin, but no fibrosis on liver biopsy</w:t>
      </w:r>
      <w:r w:rsidRPr="00ED1070">
        <w:rPr>
          <w:rFonts w:ascii="Book Antiqua" w:hAnsi="Book Antiqua" w:cs="Times New Roman"/>
          <w:b/>
          <w:sz w:val="24"/>
          <w:szCs w:val="24"/>
          <w:lang w:eastAsia="zh-CN"/>
        </w:rPr>
        <w:t>.</w:t>
      </w:r>
    </w:p>
    <w:sectPr w:rsidR="004A3611" w:rsidRPr="00ED1070" w:rsidSect="003E12D1">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A7" w:rsidRDefault="007705A7" w:rsidP="006E5B06">
      <w:pPr>
        <w:spacing w:after="0"/>
      </w:pPr>
      <w:r>
        <w:separator/>
      </w:r>
    </w:p>
  </w:endnote>
  <w:endnote w:type="continuationSeparator" w:id="0">
    <w:p w:rsidR="007705A7" w:rsidRDefault="007705A7" w:rsidP="006E5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A7" w:rsidRDefault="007705A7" w:rsidP="006E5B06">
      <w:pPr>
        <w:spacing w:after="0"/>
      </w:pPr>
      <w:r>
        <w:separator/>
      </w:r>
    </w:p>
  </w:footnote>
  <w:footnote w:type="continuationSeparator" w:id="0">
    <w:p w:rsidR="007705A7" w:rsidRDefault="007705A7" w:rsidP="006E5B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A3C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BA30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285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DAAC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6CE8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2AD1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FAAE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8E31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ACC1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B62290"/>
    <w:lvl w:ilvl="0">
      <w:start w:val="1"/>
      <w:numFmt w:val="bullet"/>
      <w:lvlText w:val=""/>
      <w:lvlJc w:val="left"/>
      <w:pPr>
        <w:tabs>
          <w:tab w:val="num" w:pos="360"/>
        </w:tabs>
        <w:ind w:left="360" w:hanging="360"/>
      </w:pPr>
      <w:rPr>
        <w:rFonts w:ascii="Symbol" w:hAnsi="Symbol" w:hint="default"/>
      </w:rPr>
    </w:lvl>
  </w:abstractNum>
  <w:abstractNum w:abstractNumId="10">
    <w:nsid w:val="00543889"/>
    <w:multiLevelType w:val="hybridMultilevel"/>
    <w:tmpl w:val="397A54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0961A67"/>
    <w:multiLevelType w:val="hybridMultilevel"/>
    <w:tmpl w:val="1C0E895A"/>
    <w:lvl w:ilvl="0" w:tplc="869A6C78">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2A0649A"/>
    <w:multiLevelType w:val="hybridMultilevel"/>
    <w:tmpl w:val="D6B437C8"/>
    <w:lvl w:ilvl="0" w:tplc="869A6C78">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99739B4"/>
    <w:multiLevelType w:val="multilevel"/>
    <w:tmpl w:val="E8F6E9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65F1A62"/>
    <w:multiLevelType w:val="multilevel"/>
    <w:tmpl w:val="8CF281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9D7236B"/>
    <w:multiLevelType w:val="hybridMultilevel"/>
    <w:tmpl w:val="03DAFC34"/>
    <w:lvl w:ilvl="0" w:tplc="869A6C78">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BBD2018"/>
    <w:multiLevelType w:val="multilevel"/>
    <w:tmpl w:val="F0A46E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66AC16B6"/>
    <w:multiLevelType w:val="hybridMultilevel"/>
    <w:tmpl w:val="15B41E64"/>
    <w:lvl w:ilvl="0" w:tplc="869A6C78">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0"/>
  </w:num>
  <w:num w:numId="15">
    <w:abstractNumId w:val="12"/>
  </w:num>
  <w:num w:numId="16">
    <w:abstractNumId w:val="1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autoHyphenation/>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C1"/>
    <w:rsid w:val="00016564"/>
    <w:rsid w:val="000241C0"/>
    <w:rsid w:val="00026908"/>
    <w:rsid w:val="000270B4"/>
    <w:rsid w:val="00037976"/>
    <w:rsid w:val="00040405"/>
    <w:rsid w:val="00045CBC"/>
    <w:rsid w:val="0006346F"/>
    <w:rsid w:val="000664C8"/>
    <w:rsid w:val="0008048F"/>
    <w:rsid w:val="00096D4B"/>
    <w:rsid w:val="000B014C"/>
    <w:rsid w:val="000B25ED"/>
    <w:rsid w:val="000B35AF"/>
    <w:rsid w:val="000D2CFB"/>
    <w:rsid w:val="000D7D17"/>
    <w:rsid w:val="000E18F7"/>
    <w:rsid w:val="00107689"/>
    <w:rsid w:val="00111CCD"/>
    <w:rsid w:val="00116699"/>
    <w:rsid w:val="00130E37"/>
    <w:rsid w:val="00137E70"/>
    <w:rsid w:val="00170158"/>
    <w:rsid w:val="0017091B"/>
    <w:rsid w:val="0019617D"/>
    <w:rsid w:val="001D76B3"/>
    <w:rsid w:val="001F4BE9"/>
    <w:rsid w:val="00201986"/>
    <w:rsid w:val="00221BAF"/>
    <w:rsid w:val="00232A3C"/>
    <w:rsid w:val="00234115"/>
    <w:rsid w:val="00244589"/>
    <w:rsid w:val="00263755"/>
    <w:rsid w:val="002656D8"/>
    <w:rsid w:val="0028160B"/>
    <w:rsid w:val="00284BF3"/>
    <w:rsid w:val="002A2509"/>
    <w:rsid w:val="002A7709"/>
    <w:rsid w:val="002B21AC"/>
    <w:rsid w:val="002B5CC1"/>
    <w:rsid w:val="002E672A"/>
    <w:rsid w:val="002E7777"/>
    <w:rsid w:val="002F6A66"/>
    <w:rsid w:val="002F6F41"/>
    <w:rsid w:val="00302A71"/>
    <w:rsid w:val="0031180B"/>
    <w:rsid w:val="003148EF"/>
    <w:rsid w:val="0031594F"/>
    <w:rsid w:val="00320A78"/>
    <w:rsid w:val="003312FC"/>
    <w:rsid w:val="00333298"/>
    <w:rsid w:val="00350D00"/>
    <w:rsid w:val="003635E2"/>
    <w:rsid w:val="00396520"/>
    <w:rsid w:val="003C5237"/>
    <w:rsid w:val="003D64C7"/>
    <w:rsid w:val="003E12D1"/>
    <w:rsid w:val="004360BC"/>
    <w:rsid w:val="004448AB"/>
    <w:rsid w:val="00456090"/>
    <w:rsid w:val="00483C6E"/>
    <w:rsid w:val="00495241"/>
    <w:rsid w:val="0049548C"/>
    <w:rsid w:val="004A3611"/>
    <w:rsid w:val="004D4A87"/>
    <w:rsid w:val="004E187F"/>
    <w:rsid w:val="005000A0"/>
    <w:rsid w:val="00510AA6"/>
    <w:rsid w:val="00522B27"/>
    <w:rsid w:val="00523F8E"/>
    <w:rsid w:val="005306A5"/>
    <w:rsid w:val="00532996"/>
    <w:rsid w:val="00532B7C"/>
    <w:rsid w:val="00546579"/>
    <w:rsid w:val="00555C7A"/>
    <w:rsid w:val="005578D7"/>
    <w:rsid w:val="005721CB"/>
    <w:rsid w:val="005A66B2"/>
    <w:rsid w:val="005C1EAF"/>
    <w:rsid w:val="005C4EBE"/>
    <w:rsid w:val="005F088A"/>
    <w:rsid w:val="005F0A91"/>
    <w:rsid w:val="00644130"/>
    <w:rsid w:val="00653310"/>
    <w:rsid w:val="006533B4"/>
    <w:rsid w:val="00657175"/>
    <w:rsid w:val="00663BD9"/>
    <w:rsid w:val="006655C4"/>
    <w:rsid w:val="0069073D"/>
    <w:rsid w:val="006D10EC"/>
    <w:rsid w:val="006D46F6"/>
    <w:rsid w:val="006E5B06"/>
    <w:rsid w:val="006F2A65"/>
    <w:rsid w:val="00704E2A"/>
    <w:rsid w:val="00705632"/>
    <w:rsid w:val="007070EE"/>
    <w:rsid w:val="00712680"/>
    <w:rsid w:val="007138FA"/>
    <w:rsid w:val="00732659"/>
    <w:rsid w:val="0074226F"/>
    <w:rsid w:val="007651D9"/>
    <w:rsid w:val="007705A7"/>
    <w:rsid w:val="00784746"/>
    <w:rsid w:val="00793480"/>
    <w:rsid w:val="0079453A"/>
    <w:rsid w:val="007A2B00"/>
    <w:rsid w:val="007A7839"/>
    <w:rsid w:val="007B7939"/>
    <w:rsid w:val="007F2215"/>
    <w:rsid w:val="007F69EF"/>
    <w:rsid w:val="007F6E6D"/>
    <w:rsid w:val="00801431"/>
    <w:rsid w:val="0081003C"/>
    <w:rsid w:val="00817FD9"/>
    <w:rsid w:val="00820EDA"/>
    <w:rsid w:val="00825BCA"/>
    <w:rsid w:val="00831B2C"/>
    <w:rsid w:val="008378F4"/>
    <w:rsid w:val="0084139E"/>
    <w:rsid w:val="00851E2A"/>
    <w:rsid w:val="008524F8"/>
    <w:rsid w:val="00875BE6"/>
    <w:rsid w:val="00896CA8"/>
    <w:rsid w:val="008A127F"/>
    <w:rsid w:val="008C666F"/>
    <w:rsid w:val="008C7AA0"/>
    <w:rsid w:val="008E1399"/>
    <w:rsid w:val="008F284F"/>
    <w:rsid w:val="008F51BA"/>
    <w:rsid w:val="009008C1"/>
    <w:rsid w:val="009159C5"/>
    <w:rsid w:val="00925323"/>
    <w:rsid w:val="00925A9B"/>
    <w:rsid w:val="00953C67"/>
    <w:rsid w:val="009671C3"/>
    <w:rsid w:val="00984C33"/>
    <w:rsid w:val="00987AF3"/>
    <w:rsid w:val="0099196D"/>
    <w:rsid w:val="009A4303"/>
    <w:rsid w:val="009A792A"/>
    <w:rsid w:val="009B1D1A"/>
    <w:rsid w:val="009D791C"/>
    <w:rsid w:val="009E2E1A"/>
    <w:rsid w:val="00A00529"/>
    <w:rsid w:val="00A12F3A"/>
    <w:rsid w:val="00A60CFA"/>
    <w:rsid w:val="00A638EF"/>
    <w:rsid w:val="00A6554E"/>
    <w:rsid w:val="00A720DC"/>
    <w:rsid w:val="00A80B98"/>
    <w:rsid w:val="00AB2DE2"/>
    <w:rsid w:val="00AC0C76"/>
    <w:rsid w:val="00B17342"/>
    <w:rsid w:val="00B21B88"/>
    <w:rsid w:val="00B33E08"/>
    <w:rsid w:val="00B53BBC"/>
    <w:rsid w:val="00B55123"/>
    <w:rsid w:val="00B629D6"/>
    <w:rsid w:val="00B8030C"/>
    <w:rsid w:val="00B81CDF"/>
    <w:rsid w:val="00B84060"/>
    <w:rsid w:val="00B91115"/>
    <w:rsid w:val="00BB7541"/>
    <w:rsid w:val="00BE5F80"/>
    <w:rsid w:val="00C24600"/>
    <w:rsid w:val="00C261FB"/>
    <w:rsid w:val="00C33989"/>
    <w:rsid w:val="00C60CA7"/>
    <w:rsid w:val="00C73ACA"/>
    <w:rsid w:val="00C82D07"/>
    <w:rsid w:val="00C925B9"/>
    <w:rsid w:val="00CA0A31"/>
    <w:rsid w:val="00CA5783"/>
    <w:rsid w:val="00CB6635"/>
    <w:rsid w:val="00CC608A"/>
    <w:rsid w:val="00CD2A86"/>
    <w:rsid w:val="00CE00D8"/>
    <w:rsid w:val="00CE5420"/>
    <w:rsid w:val="00D07E5E"/>
    <w:rsid w:val="00D146B9"/>
    <w:rsid w:val="00D30DA3"/>
    <w:rsid w:val="00D7042C"/>
    <w:rsid w:val="00D81740"/>
    <w:rsid w:val="00D81B8A"/>
    <w:rsid w:val="00D86DE9"/>
    <w:rsid w:val="00DB00FD"/>
    <w:rsid w:val="00DE51C4"/>
    <w:rsid w:val="00DF46FE"/>
    <w:rsid w:val="00E15056"/>
    <w:rsid w:val="00E44CB4"/>
    <w:rsid w:val="00E6706F"/>
    <w:rsid w:val="00E74095"/>
    <w:rsid w:val="00EA3998"/>
    <w:rsid w:val="00EC0571"/>
    <w:rsid w:val="00EC18A0"/>
    <w:rsid w:val="00ED1070"/>
    <w:rsid w:val="00EE05C2"/>
    <w:rsid w:val="00EE59E2"/>
    <w:rsid w:val="00EE5D93"/>
    <w:rsid w:val="00F253BE"/>
    <w:rsid w:val="00F373BD"/>
    <w:rsid w:val="00F43491"/>
    <w:rsid w:val="00F6472C"/>
    <w:rsid w:val="00F648A2"/>
    <w:rsid w:val="00F75A0A"/>
    <w:rsid w:val="00F81829"/>
    <w:rsid w:val="00F83ADF"/>
    <w:rsid w:val="00FB2509"/>
    <w:rsid w:val="00FB528E"/>
    <w:rsid w:val="00FC5C04"/>
    <w:rsid w:val="00FC62A0"/>
    <w:rsid w:val="00FD4A8D"/>
    <w:rsid w:val="00FD571C"/>
    <w:rsid w:val="00FE1692"/>
    <w:rsid w:val="00FE4DD7"/>
    <w:rsid w:val="00FE5C22"/>
    <w:rsid w:val="00FF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BE"/>
    <w:pPr>
      <w:spacing w:after="100" w:afterAutospacing="1"/>
    </w:pPr>
    <w:rPr>
      <w:rFonts w:cs="Calibri"/>
      <w:kern w:val="0"/>
      <w:sz w:val="22"/>
      <w:lang w:eastAsia="en-US"/>
    </w:rPr>
  </w:style>
  <w:style w:type="paragraph" w:styleId="1">
    <w:name w:val="heading 1"/>
    <w:basedOn w:val="a"/>
    <w:next w:val="a"/>
    <w:link w:val="1Char"/>
    <w:uiPriority w:val="99"/>
    <w:qFormat/>
    <w:locked/>
    <w:rsid w:val="00B91115"/>
    <w:pPr>
      <w:keepNext/>
      <w:tabs>
        <w:tab w:val="left" w:pos="1260"/>
        <w:tab w:val="left" w:pos="3600"/>
      </w:tabs>
      <w:spacing w:after="0" w:afterAutospacing="0"/>
      <w:jc w:val="both"/>
      <w:outlineLvl w:val="0"/>
    </w:pPr>
    <w:rPr>
      <w:rFonts w:ascii="New York" w:hAnsi="New York" w:cs="Times New Roman"/>
      <w:noProof/>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mbria" w:eastAsia="宋体" w:hAnsi="Cambria" w:cs="Times New Roman"/>
      <w:b/>
      <w:bCs/>
      <w:kern w:val="32"/>
      <w:sz w:val="32"/>
      <w:szCs w:val="32"/>
      <w:lang w:val="en-US" w:eastAsia="en-US"/>
    </w:rPr>
  </w:style>
  <w:style w:type="character" w:styleId="a3">
    <w:name w:val="Emphasis"/>
    <w:basedOn w:val="a0"/>
    <w:uiPriority w:val="99"/>
    <w:qFormat/>
    <w:rsid w:val="00831B2C"/>
    <w:rPr>
      <w:rFonts w:cs="Times New Roman"/>
      <w:i/>
      <w:iCs/>
    </w:rPr>
  </w:style>
  <w:style w:type="character" w:styleId="a4">
    <w:name w:val="Hyperlink"/>
    <w:basedOn w:val="a0"/>
    <w:uiPriority w:val="99"/>
    <w:rsid w:val="0081003C"/>
    <w:rPr>
      <w:rFonts w:cs="Times New Roman"/>
      <w:color w:val="auto"/>
      <w:u w:val="none"/>
      <w:effect w:val="none"/>
    </w:rPr>
  </w:style>
  <w:style w:type="character" w:customStyle="1" w:styleId="source">
    <w:name w:val="source"/>
    <w:basedOn w:val="a0"/>
    <w:uiPriority w:val="99"/>
    <w:rsid w:val="00523F8E"/>
    <w:rPr>
      <w:rFonts w:cs="Times New Roman"/>
      <w:sz w:val="17"/>
      <w:szCs w:val="17"/>
    </w:rPr>
  </w:style>
  <w:style w:type="paragraph" w:styleId="a5">
    <w:name w:val="header"/>
    <w:basedOn w:val="a"/>
    <w:link w:val="Char"/>
    <w:uiPriority w:val="99"/>
    <w:semiHidden/>
    <w:rsid w:val="006E5B06"/>
    <w:pPr>
      <w:tabs>
        <w:tab w:val="center" w:pos="4680"/>
        <w:tab w:val="right" w:pos="9360"/>
      </w:tabs>
    </w:pPr>
  </w:style>
  <w:style w:type="character" w:customStyle="1" w:styleId="Char">
    <w:name w:val="页眉 Char"/>
    <w:basedOn w:val="a0"/>
    <w:link w:val="a5"/>
    <w:uiPriority w:val="99"/>
    <w:semiHidden/>
    <w:locked/>
    <w:rsid w:val="006E5B06"/>
    <w:rPr>
      <w:rFonts w:cs="Calibri"/>
      <w:lang w:val="en-US" w:eastAsia="en-US"/>
    </w:rPr>
  </w:style>
  <w:style w:type="paragraph" w:styleId="a6">
    <w:name w:val="footer"/>
    <w:basedOn w:val="a"/>
    <w:link w:val="Char0"/>
    <w:uiPriority w:val="99"/>
    <w:semiHidden/>
    <w:rsid w:val="006E5B06"/>
    <w:pPr>
      <w:tabs>
        <w:tab w:val="center" w:pos="4680"/>
        <w:tab w:val="right" w:pos="9360"/>
      </w:tabs>
    </w:pPr>
  </w:style>
  <w:style w:type="character" w:customStyle="1" w:styleId="Char0">
    <w:name w:val="页脚 Char"/>
    <w:basedOn w:val="a0"/>
    <w:link w:val="a6"/>
    <w:uiPriority w:val="99"/>
    <w:semiHidden/>
    <w:locked/>
    <w:rsid w:val="006E5B06"/>
    <w:rPr>
      <w:rFonts w:cs="Calibri"/>
      <w:lang w:val="en-US" w:eastAsia="en-US"/>
    </w:rPr>
  </w:style>
  <w:style w:type="paragraph" w:styleId="a7">
    <w:name w:val="annotation text"/>
    <w:basedOn w:val="a"/>
    <w:link w:val="Char1"/>
    <w:uiPriority w:val="99"/>
    <w:semiHidden/>
    <w:rsid w:val="00DF46FE"/>
  </w:style>
  <w:style w:type="character" w:customStyle="1" w:styleId="Char1">
    <w:name w:val="批注文字 Char"/>
    <w:basedOn w:val="a0"/>
    <w:link w:val="a7"/>
    <w:uiPriority w:val="99"/>
    <w:semiHidden/>
    <w:locked/>
    <w:rsid w:val="00DF46FE"/>
    <w:rPr>
      <w:rFonts w:cs="Calibri"/>
      <w:lang w:val="en-US" w:eastAsia="en-US"/>
    </w:rPr>
  </w:style>
  <w:style w:type="character" w:styleId="a8">
    <w:name w:val="annotation reference"/>
    <w:basedOn w:val="a0"/>
    <w:uiPriority w:val="99"/>
    <w:semiHidden/>
    <w:rsid w:val="00DF46FE"/>
    <w:rPr>
      <w:rFonts w:cs="Times New Roman"/>
      <w:sz w:val="21"/>
      <w:szCs w:val="21"/>
    </w:rPr>
  </w:style>
  <w:style w:type="paragraph" w:styleId="a9">
    <w:name w:val="Balloon Text"/>
    <w:basedOn w:val="a"/>
    <w:link w:val="Char2"/>
    <w:uiPriority w:val="99"/>
    <w:semiHidden/>
    <w:rsid w:val="00DF46FE"/>
    <w:pPr>
      <w:spacing w:after="0"/>
    </w:pPr>
    <w:rPr>
      <w:sz w:val="18"/>
      <w:szCs w:val="18"/>
    </w:rPr>
  </w:style>
  <w:style w:type="character" w:customStyle="1" w:styleId="Char2">
    <w:name w:val="批注框文本 Char"/>
    <w:basedOn w:val="a0"/>
    <w:link w:val="a9"/>
    <w:uiPriority w:val="99"/>
    <w:semiHidden/>
    <w:locked/>
    <w:rsid w:val="00DF46FE"/>
    <w:rPr>
      <w:rFonts w:cs="Calibri"/>
      <w:sz w:val="18"/>
      <w:szCs w:val="18"/>
      <w:lang w:val="en-US" w:eastAsia="en-US"/>
    </w:rPr>
  </w:style>
  <w:style w:type="paragraph" w:customStyle="1" w:styleId="p0">
    <w:name w:val="p0"/>
    <w:basedOn w:val="a"/>
    <w:uiPriority w:val="99"/>
    <w:rsid w:val="00784746"/>
    <w:pPr>
      <w:spacing w:after="0" w:afterAutospacing="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BE"/>
    <w:pPr>
      <w:spacing w:after="100" w:afterAutospacing="1"/>
    </w:pPr>
    <w:rPr>
      <w:rFonts w:cs="Calibri"/>
      <w:kern w:val="0"/>
      <w:sz w:val="22"/>
      <w:lang w:eastAsia="en-US"/>
    </w:rPr>
  </w:style>
  <w:style w:type="paragraph" w:styleId="1">
    <w:name w:val="heading 1"/>
    <w:basedOn w:val="a"/>
    <w:next w:val="a"/>
    <w:link w:val="1Char"/>
    <w:uiPriority w:val="99"/>
    <w:qFormat/>
    <w:locked/>
    <w:rsid w:val="00B91115"/>
    <w:pPr>
      <w:keepNext/>
      <w:tabs>
        <w:tab w:val="left" w:pos="1260"/>
        <w:tab w:val="left" w:pos="3600"/>
      </w:tabs>
      <w:spacing w:after="0" w:afterAutospacing="0"/>
      <w:jc w:val="both"/>
      <w:outlineLvl w:val="0"/>
    </w:pPr>
    <w:rPr>
      <w:rFonts w:ascii="New York" w:hAnsi="New York" w:cs="Times New Roman"/>
      <w:noProof/>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mbria" w:eastAsia="宋体" w:hAnsi="Cambria" w:cs="Times New Roman"/>
      <w:b/>
      <w:bCs/>
      <w:kern w:val="32"/>
      <w:sz w:val="32"/>
      <w:szCs w:val="32"/>
      <w:lang w:val="en-US" w:eastAsia="en-US"/>
    </w:rPr>
  </w:style>
  <w:style w:type="character" w:styleId="a3">
    <w:name w:val="Emphasis"/>
    <w:basedOn w:val="a0"/>
    <w:uiPriority w:val="99"/>
    <w:qFormat/>
    <w:rsid w:val="00831B2C"/>
    <w:rPr>
      <w:rFonts w:cs="Times New Roman"/>
      <w:i/>
      <w:iCs/>
    </w:rPr>
  </w:style>
  <w:style w:type="character" w:styleId="a4">
    <w:name w:val="Hyperlink"/>
    <w:basedOn w:val="a0"/>
    <w:uiPriority w:val="99"/>
    <w:rsid w:val="0081003C"/>
    <w:rPr>
      <w:rFonts w:cs="Times New Roman"/>
      <w:color w:val="auto"/>
      <w:u w:val="none"/>
      <w:effect w:val="none"/>
    </w:rPr>
  </w:style>
  <w:style w:type="character" w:customStyle="1" w:styleId="source">
    <w:name w:val="source"/>
    <w:basedOn w:val="a0"/>
    <w:uiPriority w:val="99"/>
    <w:rsid w:val="00523F8E"/>
    <w:rPr>
      <w:rFonts w:cs="Times New Roman"/>
      <w:sz w:val="17"/>
      <w:szCs w:val="17"/>
    </w:rPr>
  </w:style>
  <w:style w:type="paragraph" w:styleId="a5">
    <w:name w:val="header"/>
    <w:basedOn w:val="a"/>
    <w:link w:val="Char"/>
    <w:uiPriority w:val="99"/>
    <w:semiHidden/>
    <w:rsid w:val="006E5B06"/>
    <w:pPr>
      <w:tabs>
        <w:tab w:val="center" w:pos="4680"/>
        <w:tab w:val="right" w:pos="9360"/>
      </w:tabs>
    </w:pPr>
  </w:style>
  <w:style w:type="character" w:customStyle="1" w:styleId="Char">
    <w:name w:val="页眉 Char"/>
    <w:basedOn w:val="a0"/>
    <w:link w:val="a5"/>
    <w:uiPriority w:val="99"/>
    <w:semiHidden/>
    <w:locked/>
    <w:rsid w:val="006E5B06"/>
    <w:rPr>
      <w:rFonts w:cs="Calibri"/>
      <w:lang w:val="en-US" w:eastAsia="en-US"/>
    </w:rPr>
  </w:style>
  <w:style w:type="paragraph" w:styleId="a6">
    <w:name w:val="footer"/>
    <w:basedOn w:val="a"/>
    <w:link w:val="Char0"/>
    <w:uiPriority w:val="99"/>
    <w:semiHidden/>
    <w:rsid w:val="006E5B06"/>
    <w:pPr>
      <w:tabs>
        <w:tab w:val="center" w:pos="4680"/>
        <w:tab w:val="right" w:pos="9360"/>
      </w:tabs>
    </w:pPr>
  </w:style>
  <w:style w:type="character" w:customStyle="1" w:styleId="Char0">
    <w:name w:val="页脚 Char"/>
    <w:basedOn w:val="a0"/>
    <w:link w:val="a6"/>
    <w:uiPriority w:val="99"/>
    <w:semiHidden/>
    <w:locked/>
    <w:rsid w:val="006E5B06"/>
    <w:rPr>
      <w:rFonts w:cs="Calibri"/>
      <w:lang w:val="en-US" w:eastAsia="en-US"/>
    </w:rPr>
  </w:style>
  <w:style w:type="paragraph" w:styleId="a7">
    <w:name w:val="annotation text"/>
    <w:basedOn w:val="a"/>
    <w:link w:val="Char1"/>
    <w:uiPriority w:val="99"/>
    <w:semiHidden/>
    <w:rsid w:val="00DF46FE"/>
  </w:style>
  <w:style w:type="character" w:customStyle="1" w:styleId="Char1">
    <w:name w:val="批注文字 Char"/>
    <w:basedOn w:val="a0"/>
    <w:link w:val="a7"/>
    <w:uiPriority w:val="99"/>
    <w:semiHidden/>
    <w:locked/>
    <w:rsid w:val="00DF46FE"/>
    <w:rPr>
      <w:rFonts w:cs="Calibri"/>
      <w:lang w:val="en-US" w:eastAsia="en-US"/>
    </w:rPr>
  </w:style>
  <w:style w:type="character" w:styleId="a8">
    <w:name w:val="annotation reference"/>
    <w:basedOn w:val="a0"/>
    <w:uiPriority w:val="99"/>
    <w:semiHidden/>
    <w:rsid w:val="00DF46FE"/>
    <w:rPr>
      <w:rFonts w:cs="Times New Roman"/>
      <w:sz w:val="21"/>
      <w:szCs w:val="21"/>
    </w:rPr>
  </w:style>
  <w:style w:type="paragraph" w:styleId="a9">
    <w:name w:val="Balloon Text"/>
    <w:basedOn w:val="a"/>
    <w:link w:val="Char2"/>
    <w:uiPriority w:val="99"/>
    <w:semiHidden/>
    <w:rsid w:val="00DF46FE"/>
    <w:pPr>
      <w:spacing w:after="0"/>
    </w:pPr>
    <w:rPr>
      <w:sz w:val="18"/>
      <w:szCs w:val="18"/>
    </w:rPr>
  </w:style>
  <w:style w:type="character" w:customStyle="1" w:styleId="Char2">
    <w:name w:val="批注框文本 Char"/>
    <w:basedOn w:val="a0"/>
    <w:link w:val="a9"/>
    <w:uiPriority w:val="99"/>
    <w:semiHidden/>
    <w:locked/>
    <w:rsid w:val="00DF46FE"/>
    <w:rPr>
      <w:rFonts w:cs="Calibri"/>
      <w:sz w:val="18"/>
      <w:szCs w:val="18"/>
      <w:lang w:val="en-US" w:eastAsia="en-US"/>
    </w:rPr>
  </w:style>
  <w:style w:type="paragraph" w:customStyle="1" w:styleId="p0">
    <w:name w:val="p0"/>
    <w:basedOn w:val="a"/>
    <w:uiPriority w:val="99"/>
    <w:rsid w:val="00784746"/>
    <w:pPr>
      <w:spacing w:after="0" w:afterAutospacing="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14596">
      <w:marLeft w:val="0"/>
      <w:marRight w:val="0"/>
      <w:marTop w:val="0"/>
      <w:marBottom w:val="0"/>
      <w:divBdr>
        <w:top w:val="none" w:sz="0" w:space="0" w:color="auto"/>
        <w:left w:val="none" w:sz="0" w:space="0" w:color="auto"/>
        <w:bottom w:val="none" w:sz="0" w:space="0" w:color="auto"/>
        <w:right w:val="none" w:sz="0" w:space="0" w:color="auto"/>
      </w:divBdr>
    </w:div>
    <w:div w:id="956914600">
      <w:marLeft w:val="0"/>
      <w:marRight w:val="0"/>
      <w:marTop w:val="0"/>
      <w:marBottom w:val="0"/>
      <w:divBdr>
        <w:top w:val="none" w:sz="0" w:space="0" w:color="auto"/>
        <w:left w:val="none" w:sz="0" w:space="0" w:color="auto"/>
        <w:bottom w:val="none" w:sz="0" w:space="0" w:color="auto"/>
        <w:right w:val="none" w:sz="0" w:space="0" w:color="auto"/>
      </w:divBdr>
      <w:divsChild>
        <w:div w:id="956914597">
          <w:marLeft w:val="0"/>
          <w:marRight w:val="0"/>
          <w:marTop w:val="0"/>
          <w:marBottom w:val="0"/>
          <w:divBdr>
            <w:top w:val="none" w:sz="0" w:space="0" w:color="auto"/>
            <w:left w:val="none" w:sz="0" w:space="0" w:color="auto"/>
            <w:bottom w:val="none" w:sz="0" w:space="0" w:color="auto"/>
            <w:right w:val="none" w:sz="0" w:space="0" w:color="auto"/>
          </w:divBdr>
        </w:div>
        <w:div w:id="956914598">
          <w:marLeft w:val="0"/>
          <w:marRight w:val="0"/>
          <w:marTop w:val="0"/>
          <w:marBottom w:val="0"/>
          <w:divBdr>
            <w:top w:val="none" w:sz="0" w:space="0" w:color="auto"/>
            <w:left w:val="none" w:sz="0" w:space="0" w:color="auto"/>
            <w:bottom w:val="none" w:sz="0" w:space="0" w:color="auto"/>
            <w:right w:val="none" w:sz="0" w:space="0" w:color="auto"/>
          </w:divBdr>
        </w:div>
        <w:div w:id="956914599">
          <w:marLeft w:val="0"/>
          <w:marRight w:val="0"/>
          <w:marTop w:val="0"/>
          <w:marBottom w:val="0"/>
          <w:divBdr>
            <w:top w:val="none" w:sz="0" w:space="0" w:color="auto"/>
            <w:left w:val="none" w:sz="0" w:space="0" w:color="auto"/>
            <w:bottom w:val="none" w:sz="0" w:space="0" w:color="auto"/>
            <w:right w:val="none" w:sz="0" w:space="0" w:color="auto"/>
          </w:divBdr>
        </w:div>
        <w:div w:id="956914601">
          <w:marLeft w:val="0"/>
          <w:marRight w:val="0"/>
          <w:marTop w:val="0"/>
          <w:marBottom w:val="0"/>
          <w:divBdr>
            <w:top w:val="none" w:sz="0" w:space="0" w:color="auto"/>
            <w:left w:val="none" w:sz="0" w:space="0" w:color="auto"/>
            <w:bottom w:val="none" w:sz="0" w:space="0" w:color="auto"/>
            <w:right w:val="none" w:sz="0" w:space="0" w:color="auto"/>
          </w:divBdr>
        </w:div>
        <w:div w:id="956914602">
          <w:marLeft w:val="0"/>
          <w:marRight w:val="0"/>
          <w:marTop w:val="0"/>
          <w:marBottom w:val="0"/>
          <w:divBdr>
            <w:top w:val="none" w:sz="0" w:space="0" w:color="auto"/>
            <w:left w:val="none" w:sz="0" w:space="0" w:color="auto"/>
            <w:bottom w:val="none" w:sz="0" w:space="0" w:color="auto"/>
            <w:right w:val="none" w:sz="0" w:space="0" w:color="auto"/>
          </w:divBdr>
        </w:div>
        <w:div w:id="956914604">
          <w:marLeft w:val="0"/>
          <w:marRight w:val="0"/>
          <w:marTop w:val="0"/>
          <w:marBottom w:val="0"/>
          <w:divBdr>
            <w:top w:val="none" w:sz="0" w:space="0" w:color="auto"/>
            <w:left w:val="none" w:sz="0" w:space="0" w:color="auto"/>
            <w:bottom w:val="none" w:sz="0" w:space="0" w:color="auto"/>
            <w:right w:val="none" w:sz="0" w:space="0" w:color="auto"/>
          </w:divBdr>
        </w:div>
        <w:div w:id="956914605">
          <w:marLeft w:val="0"/>
          <w:marRight w:val="0"/>
          <w:marTop w:val="0"/>
          <w:marBottom w:val="0"/>
          <w:divBdr>
            <w:top w:val="none" w:sz="0" w:space="0" w:color="auto"/>
            <w:left w:val="none" w:sz="0" w:space="0" w:color="auto"/>
            <w:bottom w:val="none" w:sz="0" w:space="0" w:color="auto"/>
            <w:right w:val="none" w:sz="0" w:space="0" w:color="auto"/>
          </w:divBdr>
        </w:div>
        <w:div w:id="956914606">
          <w:marLeft w:val="0"/>
          <w:marRight w:val="0"/>
          <w:marTop w:val="0"/>
          <w:marBottom w:val="0"/>
          <w:divBdr>
            <w:top w:val="none" w:sz="0" w:space="0" w:color="auto"/>
            <w:left w:val="none" w:sz="0" w:space="0" w:color="auto"/>
            <w:bottom w:val="none" w:sz="0" w:space="0" w:color="auto"/>
            <w:right w:val="none" w:sz="0" w:space="0" w:color="auto"/>
          </w:divBdr>
        </w:div>
        <w:div w:id="956914607">
          <w:marLeft w:val="0"/>
          <w:marRight w:val="0"/>
          <w:marTop w:val="0"/>
          <w:marBottom w:val="0"/>
          <w:divBdr>
            <w:top w:val="none" w:sz="0" w:space="0" w:color="auto"/>
            <w:left w:val="none" w:sz="0" w:space="0" w:color="auto"/>
            <w:bottom w:val="none" w:sz="0" w:space="0" w:color="auto"/>
            <w:right w:val="none" w:sz="0" w:space="0" w:color="auto"/>
          </w:divBdr>
        </w:div>
        <w:div w:id="956914654">
          <w:marLeft w:val="0"/>
          <w:marRight w:val="0"/>
          <w:marTop w:val="0"/>
          <w:marBottom w:val="0"/>
          <w:divBdr>
            <w:top w:val="none" w:sz="0" w:space="0" w:color="auto"/>
            <w:left w:val="none" w:sz="0" w:space="0" w:color="auto"/>
            <w:bottom w:val="none" w:sz="0" w:space="0" w:color="auto"/>
            <w:right w:val="none" w:sz="0" w:space="0" w:color="auto"/>
          </w:divBdr>
        </w:div>
        <w:div w:id="956914655">
          <w:marLeft w:val="0"/>
          <w:marRight w:val="0"/>
          <w:marTop w:val="0"/>
          <w:marBottom w:val="0"/>
          <w:divBdr>
            <w:top w:val="none" w:sz="0" w:space="0" w:color="auto"/>
            <w:left w:val="none" w:sz="0" w:space="0" w:color="auto"/>
            <w:bottom w:val="none" w:sz="0" w:space="0" w:color="auto"/>
            <w:right w:val="none" w:sz="0" w:space="0" w:color="auto"/>
          </w:divBdr>
        </w:div>
        <w:div w:id="956914656">
          <w:marLeft w:val="0"/>
          <w:marRight w:val="0"/>
          <w:marTop w:val="0"/>
          <w:marBottom w:val="0"/>
          <w:divBdr>
            <w:top w:val="none" w:sz="0" w:space="0" w:color="auto"/>
            <w:left w:val="none" w:sz="0" w:space="0" w:color="auto"/>
            <w:bottom w:val="none" w:sz="0" w:space="0" w:color="auto"/>
            <w:right w:val="none" w:sz="0" w:space="0" w:color="auto"/>
          </w:divBdr>
        </w:div>
        <w:div w:id="956914657">
          <w:marLeft w:val="0"/>
          <w:marRight w:val="0"/>
          <w:marTop w:val="0"/>
          <w:marBottom w:val="0"/>
          <w:divBdr>
            <w:top w:val="none" w:sz="0" w:space="0" w:color="auto"/>
            <w:left w:val="none" w:sz="0" w:space="0" w:color="auto"/>
            <w:bottom w:val="none" w:sz="0" w:space="0" w:color="auto"/>
            <w:right w:val="none" w:sz="0" w:space="0" w:color="auto"/>
          </w:divBdr>
        </w:div>
      </w:divsChild>
    </w:div>
    <w:div w:id="956914603">
      <w:marLeft w:val="0"/>
      <w:marRight w:val="0"/>
      <w:marTop w:val="0"/>
      <w:marBottom w:val="0"/>
      <w:divBdr>
        <w:top w:val="none" w:sz="0" w:space="0" w:color="auto"/>
        <w:left w:val="none" w:sz="0" w:space="0" w:color="auto"/>
        <w:bottom w:val="none" w:sz="0" w:space="0" w:color="auto"/>
        <w:right w:val="none" w:sz="0" w:space="0" w:color="auto"/>
      </w:divBdr>
    </w:div>
    <w:div w:id="956914608">
      <w:marLeft w:val="0"/>
      <w:marRight w:val="0"/>
      <w:marTop w:val="0"/>
      <w:marBottom w:val="0"/>
      <w:divBdr>
        <w:top w:val="none" w:sz="0" w:space="0" w:color="auto"/>
        <w:left w:val="none" w:sz="0" w:space="0" w:color="auto"/>
        <w:bottom w:val="none" w:sz="0" w:space="0" w:color="auto"/>
        <w:right w:val="none" w:sz="0" w:space="0" w:color="auto"/>
      </w:divBdr>
    </w:div>
    <w:div w:id="956914621">
      <w:marLeft w:val="0"/>
      <w:marRight w:val="0"/>
      <w:marTop w:val="0"/>
      <w:marBottom w:val="0"/>
      <w:divBdr>
        <w:top w:val="none" w:sz="0" w:space="0" w:color="auto"/>
        <w:left w:val="none" w:sz="0" w:space="0" w:color="auto"/>
        <w:bottom w:val="none" w:sz="0" w:space="0" w:color="auto"/>
        <w:right w:val="none" w:sz="0" w:space="0" w:color="auto"/>
      </w:divBdr>
      <w:divsChild>
        <w:div w:id="956914648">
          <w:marLeft w:val="0"/>
          <w:marRight w:val="0"/>
          <w:marTop w:val="0"/>
          <w:marBottom w:val="0"/>
          <w:divBdr>
            <w:top w:val="none" w:sz="0" w:space="0" w:color="auto"/>
            <w:left w:val="none" w:sz="0" w:space="0" w:color="auto"/>
            <w:bottom w:val="none" w:sz="0" w:space="0" w:color="auto"/>
            <w:right w:val="none" w:sz="0" w:space="0" w:color="auto"/>
          </w:divBdr>
          <w:divsChild>
            <w:div w:id="956914649">
              <w:marLeft w:val="0"/>
              <w:marRight w:val="0"/>
              <w:marTop w:val="0"/>
              <w:marBottom w:val="0"/>
              <w:divBdr>
                <w:top w:val="none" w:sz="0" w:space="0" w:color="auto"/>
                <w:left w:val="none" w:sz="0" w:space="0" w:color="auto"/>
                <w:bottom w:val="none" w:sz="0" w:space="0" w:color="auto"/>
                <w:right w:val="none" w:sz="0" w:space="0" w:color="auto"/>
              </w:divBdr>
              <w:divsChild>
                <w:div w:id="956914631">
                  <w:marLeft w:val="0"/>
                  <w:marRight w:val="0"/>
                  <w:marTop w:val="0"/>
                  <w:marBottom w:val="0"/>
                  <w:divBdr>
                    <w:top w:val="none" w:sz="0" w:space="0" w:color="auto"/>
                    <w:left w:val="none" w:sz="0" w:space="0" w:color="auto"/>
                    <w:bottom w:val="none" w:sz="0" w:space="0" w:color="auto"/>
                    <w:right w:val="none" w:sz="0" w:space="0" w:color="auto"/>
                  </w:divBdr>
                  <w:divsChild>
                    <w:div w:id="956914650">
                      <w:marLeft w:val="0"/>
                      <w:marRight w:val="0"/>
                      <w:marTop w:val="0"/>
                      <w:marBottom w:val="0"/>
                      <w:divBdr>
                        <w:top w:val="none" w:sz="0" w:space="0" w:color="auto"/>
                        <w:left w:val="none" w:sz="0" w:space="0" w:color="auto"/>
                        <w:bottom w:val="none" w:sz="0" w:space="0" w:color="auto"/>
                        <w:right w:val="none" w:sz="0" w:space="0" w:color="auto"/>
                      </w:divBdr>
                      <w:divsChild>
                        <w:div w:id="956914633">
                          <w:marLeft w:val="0"/>
                          <w:marRight w:val="0"/>
                          <w:marTop w:val="0"/>
                          <w:marBottom w:val="0"/>
                          <w:divBdr>
                            <w:top w:val="none" w:sz="0" w:space="0" w:color="auto"/>
                            <w:left w:val="none" w:sz="0" w:space="0" w:color="auto"/>
                            <w:bottom w:val="none" w:sz="0" w:space="0" w:color="auto"/>
                            <w:right w:val="none" w:sz="0" w:space="0" w:color="auto"/>
                          </w:divBdr>
                          <w:divsChild>
                            <w:div w:id="956914635">
                              <w:marLeft w:val="0"/>
                              <w:marRight w:val="0"/>
                              <w:marTop w:val="0"/>
                              <w:marBottom w:val="0"/>
                              <w:divBdr>
                                <w:top w:val="none" w:sz="0" w:space="0" w:color="auto"/>
                                <w:left w:val="none" w:sz="0" w:space="0" w:color="auto"/>
                                <w:bottom w:val="none" w:sz="0" w:space="0" w:color="auto"/>
                                <w:right w:val="none" w:sz="0" w:space="0" w:color="auto"/>
                              </w:divBdr>
                              <w:divsChild>
                                <w:div w:id="956914647">
                                  <w:marLeft w:val="0"/>
                                  <w:marRight w:val="0"/>
                                  <w:marTop w:val="0"/>
                                  <w:marBottom w:val="0"/>
                                  <w:divBdr>
                                    <w:top w:val="none" w:sz="0" w:space="0" w:color="auto"/>
                                    <w:left w:val="none" w:sz="0" w:space="0" w:color="auto"/>
                                    <w:bottom w:val="none" w:sz="0" w:space="0" w:color="auto"/>
                                    <w:right w:val="none" w:sz="0" w:space="0" w:color="auto"/>
                                  </w:divBdr>
                                  <w:divsChild>
                                    <w:div w:id="956914610">
                                      <w:marLeft w:val="-5625"/>
                                      <w:marRight w:val="0"/>
                                      <w:marTop w:val="0"/>
                                      <w:marBottom w:val="0"/>
                                      <w:divBdr>
                                        <w:top w:val="none" w:sz="0" w:space="0" w:color="auto"/>
                                        <w:left w:val="none" w:sz="0" w:space="0" w:color="auto"/>
                                        <w:bottom w:val="none" w:sz="0" w:space="0" w:color="auto"/>
                                        <w:right w:val="none" w:sz="0" w:space="0" w:color="auto"/>
                                      </w:divBdr>
                                      <w:divsChild>
                                        <w:div w:id="956914637">
                                          <w:marLeft w:val="0"/>
                                          <w:marRight w:val="0"/>
                                          <w:marTop w:val="0"/>
                                          <w:marBottom w:val="0"/>
                                          <w:divBdr>
                                            <w:top w:val="none" w:sz="0" w:space="0" w:color="auto"/>
                                            <w:left w:val="double" w:sz="12" w:space="6" w:color="3B3B3B"/>
                                            <w:bottom w:val="double" w:sz="12" w:space="6" w:color="3B3B3B"/>
                                            <w:right w:val="double" w:sz="12" w:space="6" w:color="3B3B3B"/>
                                          </w:divBdr>
                                          <w:divsChild>
                                            <w:div w:id="956914618">
                                              <w:marLeft w:val="0"/>
                                              <w:marRight w:val="0"/>
                                              <w:marTop w:val="0"/>
                                              <w:marBottom w:val="0"/>
                                              <w:divBdr>
                                                <w:top w:val="single" w:sz="6" w:space="6" w:color="6F6F6F"/>
                                                <w:left w:val="single" w:sz="6" w:space="6" w:color="6F6F6F"/>
                                                <w:bottom w:val="single" w:sz="6" w:space="6" w:color="6F6F6F"/>
                                                <w:right w:val="single" w:sz="6" w:space="6" w:color="6F6F6F"/>
                                              </w:divBdr>
                                            </w:div>
                                          </w:divsChild>
                                        </w:div>
                                      </w:divsChild>
                                    </w:div>
                                  </w:divsChild>
                                </w:div>
                              </w:divsChild>
                            </w:div>
                          </w:divsChild>
                        </w:div>
                      </w:divsChild>
                    </w:div>
                  </w:divsChild>
                </w:div>
              </w:divsChild>
            </w:div>
          </w:divsChild>
        </w:div>
      </w:divsChild>
    </w:div>
    <w:div w:id="956914641">
      <w:marLeft w:val="0"/>
      <w:marRight w:val="0"/>
      <w:marTop w:val="0"/>
      <w:marBottom w:val="0"/>
      <w:divBdr>
        <w:top w:val="none" w:sz="0" w:space="0" w:color="auto"/>
        <w:left w:val="none" w:sz="0" w:space="0" w:color="auto"/>
        <w:bottom w:val="none" w:sz="0" w:space="0" w:color="auto"/>
        <w:right w:val="none" w:sz="0" w:space="0" w:color="auto"/>
      </w:divBdr>
      <w:divsChild>
        <w:div w:id="956914636">
          <w:marLeft w:val="0"/>
          <w:marRight w:val="0"/>
          <w:marTop w:val="0"/>
          <w:marBottom w:val="0"/>
          <w:divBdr>
            <w:top w:val="none" w:sz="0" w:space="0" w:color="auto"/>
            <w:left w:val="none" w:sz="0" w:space="0" w:color="auto"/>
            <w:bottom w:val="none" w:sz="0" w:space="0" w:color="auto"/>
            <w:right w:val="none" w:sz="0" w:space="0" w:color="auto"/>
          </w:divBdr>
          <w:divsChild>
            <w:div w:id="956914639">
              <w:marLeft w:val="0"/>
              <w:marRight w:val="0"/>
              <w:marTop w:val="0"/>
              <w:marBottom w:val="0"/>
              <w:divBdr>
                <w:top w:val="none" w:sz="0" w:space="0" w:color="auto"/>
                <w:left w:val="none" w:sz="0" w:space="0" w:color="auto"/>
                <w:bottom w:val="none" w:sz="0" w:space="0" w:color="auto"/>
                <w:right w:val="none" w:sz="0" w:space="0" w:color="auto"/>
              </w:divBdr>
              <w:divsChild>
                <w:div w:id="956914629">
                  <w:marLeft w:val="0"/>
                  <w:marRight w:val="0"/>
                  <w:marTop w:val="0"/>
                  <w:marBottom w:val="0"/>
                  <w:divBdr>
                    <w:top w:val="none" w:sz="0" w:space="0" w:color="auto"/>
                    <w:left w:val="none" w:sz="0" w:space="0" w:color="auto"/>
                    <w:bottom w:val="none" w:sz="0" w:space="0" w:color="auto"/>
                    <w:right w:val="none" w:sz="0" w:space="0" w:color="auto"/>
                  </w:divBdr>
                  <w:divsChild>
                    <w:div w:id="956914653">
                      <w:marLeft w:val="0"/>
                      <w:marRight w:val="0"/>
                      <w:marTop w:val="0"/>
                      <w:marBottom w:val="0"/>
                      <w:divBdr>
                        <w:top w:val="none" w:sz="0" w:space="0" w:color="auto"/>
                        <w:left w:val="none" w:sz="0" w:space="0" w:color="auto"/>
                        <w:bottom w:val="none" w:sz="0" w:space="0" w:color="auto"/>
                        <w:right w:val="none" w:sz="0" w:space="0" w:color="auto"/>
                      </w:divBdr>
                      <w:divsChild>
                        <w:div w:id="956914622">
                          <w:marLeft w:val="0"/>
                          <w:marRight w:val="0"/>
                          <w:marTop w:val="0"/>
                          <w:marBottom w:val="0"/>
                          <w:divBdr>
                            <w:top w:val="none" w:sz="0" w:space="0" w:color="auto"/>
                            <w:left w:val="none" w:sz="0" w:space="0" w:color="auto"/>
                            <w:bottom w:val="none" w:sz="0" w:space="0" w:color="auto"/>
                            <w:right w:val="none" w:sz="0" w:space="0" w:color="auto"/>
                          </w:divBdr>
                          <w:divsChild>
                            <w:div w:id="956914632">
                              <w:marLeft w:val="0"/>
                              <w:marRight w:val="0"/>
                              <w:marTop w:val="0"/>
                              <w:marBottom w:val="0"/>
                              <w:divBdr>
                                <w:top w:val="none" w:sz="0" w:space="0" w:color="auto"/>
                                <w:left w:val="none" w:sz="0" w:space="0" w:color="auto"/>
                                <w:bottom w:val="none" w:sz="0" w:space="0" w:color="auto"/>
                                <w:right w:val="none" w:sz="0" w:space="0" w:color="auto"/>
                              </w:divBdr>
                              <w:divsChild>
                                <w:div w:id="956914624">
                                  <w:marLeft w:val="0"/>
                                  <w:marRight w:val="0"/>
                                  <w:marTop w:val="0"/>
                                  <w:marBottom w:val="0"/>
                                  <w:divBdr>
                                    <w:top w:val="none" w:sz="0" w:space="0" w:color="auto"/>
                                    <w:left w:val="none" w:sz="0" w:space="0" w:color="auto"/>
                                    <w:bottom w:val="none" w:sz="0" w:space="0" w:color="auto"/>
                                    <w:right w:val="none" w:sz="0" w:space="0" w:color="auto"/>
                                  </w:divBdr>
                                  <w:divsChild>
                                    <w:div w:id="956914620">
                                      <w:marLeft w:val="-5625"/>
                                      <w:marRight w:val="0"/>
                                      <w:marTop w:val="0"/>
                                      <w:marBottom w:val="0"/>
                                      <w:divBdr>
                                        <w:top w:val="none" w:sz="0" w:space="0" w:color="auto"/>
                                        <w:left w:val="none" w:sz="0" w:space="0" w:color="auto"/>
                                        <w:bottom w:val="none" w:sz="0" w:space="0" w:color="auto"/>
                                        <w:right w:val="none" w:sz="0" w:space="0" w:color="auto"/>
                                      </w:divBdr>
                                      <w:divsChild>
                                        <w:div w:id="956914644">
                                          <w:marLeft w:val="0"/>
                                          <w:marRight w:val="0"/>
                                          <w:marTop w:val="0"/>
                                          <w:marBottom w:val="0"/>
                                          <w:divBdr>
                                            <w:top w:val="none" w:sz="0" w:space="0" w:color="auto"/>
                                            <w:left w:val="double" w:sz="12" w:space="6" w:color="3B3B3B"/>
                                            <w:bottom w:val="double" w:sz="12" w:space="6" w:color="3B3B3B"/>
                                            <w:right w:val="double" w:sz="12" w:space="6" w:color="3B3B3B"/>
                                          </w:divBdr>
                                          <w:divsChild>
                                            <w:div w:id="956914616">
                                              <w:marLeft w:val="0"/>
                                              <w:marRight w:val="0"/>
                                              <w:marTop w:val="0"/>
                                              <w:marBottom w:val="0"/>
                                              <w:divBdr>
                                                <w:top w:val="single" w:sz="6" w:space="6" w:color="6F6F6F"/>
                                                <w:left w:val="single" w:sz="6" w:space="6" w:color="6F6F6F"/>
                                                <w:bottom w:val="single" w:sz="6" w:space="6" w:color="6F6F6F"/>
                                                <w:right w:val="single" w:sz="6" w:space="6" w:color="6F6F6F"/>
                                              </w:divBdr>
                                            </w:div>
                                          </w:divsChild>
                                        </w:div>
                                      </w:divsChild>
                                    </w:div>
                                  </w:divsChild>
                                </w:div>
                              </w:divsChild>
                            </w:div>
                          </w:divsChild>
                        </w:div>
                      </w:divsChild>
                    </w:div>
                  </w:divsChild>
                </w:div>
              </w:divsChild>
            </w:div>
          </w:divsChild>
        </w:div>
      </w:divsChild>
    </w:div>
    <w:div w:id="956914643">
      <w:marLeft w:val="0"/>
      <w:marRight w:val="0"/>
      <w:marTop w:val="0"/>
      <w:marBottom w:val="0"/>
      <w:divBdr>
        <w:top w:val="none" w:sz="0" w:space="0" w:color="auto"/>
        <w:left w:val="none" w:sz="0" w:space="0" w:color="auto"/>
        <w:bottom w:val="none" w:sz="0" w:space="0" w:color="auto"/>
        <w:right w:val="none" w:sz="0" w:space="0" w:color="auto"/>
      </w:divBdr>
      <w:divsChild>
        <w:div w:id="956914617">
          <w:marLeft w:val="0"/>
          <w:marRight w:val="0"/>
          <w:marTop w:val="0"/>
          <w:marBottom w:val="0"/>
          <w:divBdr>
            <w:top w:val="none" w:sz="0" w:space="0" w:color="auto"/>
            <w:left w:val="none" w:sz="0" w:space="0" w:color="auto"/>
            <w:bottom w:val="none" w:sz="0" w:space="0" w:color="auto"/>
            <w:right w:val="none" w:sz="0" w:space="0" w:color="auto"/>
          </w:divBdr>
          <w:divsChild>
            <w:div w:id="956914626">
              <w:marLeft w:val="0"/>
              <w:marRight w:val="0"/>
              <w:marTop w:val="0"/>
              <w:marBottom w:val="0"/>
              <w:divBdr>
                <w:top w:val="none" w:sz="0" w:space="0" w:color="auto"/>
                <w:left w:val="none" w:sz="0" w:space="0" w:color="auto"/>
                <w:bottom w:val="none" w:sz="0" w:space="0" w:color="auto"/>
                <w:right w:val="none" w:sz="0" w:space="0" w:color="auto"/>
              </w:divBdr>
              <w:divsChild>
                <w:div w:id="956914615">
                  <w:marLeft w:val="0"/>
                  <w:marRight w:val="0"/>
                  <w:marTop w:val="0"/>
                  <w:marBottom w:val="0"/>
                  <w:divBdr>
                    <w:top w:val="none" w:sz="0" w:space="0" w:color="auto"/>
                    <w:left w:val="none" w:sz="0" w:space="0" w:color="auto"/>
                    <w:bottom w:val="none" w:sz="0" w:space="0" w:color="auto"/>
                    <w:right w:val="none" w:sz="0" w:space="0" w:color="auto"/>
                  </w:divBdr>
                  <w:divsChild>
                    <w:div w:id="956914642">
                      <w:marLeft w:val="0"/>
                      <w:marRight w:val="0"/>
                      <w:marTop w:val="0"/>
                      <w:marBottom w:val="0"/>
                      <w:divBdr>
                        <w:top w:val="none" w:sz="0" w:space="0" w:color="auto"/>
                        <w:left w:val="none" w:sz="0" w:space="0" w:color="auto"/>
                        <w:bottom w:val="none" w:sz="0" w:space="0" w:color="auto"/>
                        <w:right w:val="none" w:sz="0" w:space="0" w:color="auto"/>
                      </w:divBdr>
                      <w:divsChild>
                        <w:div w:id="956914638">
                          <w:marLeft w:val="0"/>
                          <w:marRight w:val="0"/>
                          <w:marTop w:val="0"/>
                          <w:marBottom w:val="0"/>
                          <w:divBdr>
                            <w:top w:val="none" w:sz="0" w:space="0" w:color="auto"/>
                            <w:left w:val="none" w:sz="0" w:space="0" w:color="auto"/>
                            <w:bottom w:val="none" w:sz="0" w:space="0" w:color="auto"/>
                            <w:right w:val="none" w:sz="0" w:space="0" w:color="auto"/>
                          </w:divBdr>
                          <w:divsChild>
                            <w:div w:id="956914619">
                              <w:marLeft w:val="0"/>
                              <w:marRight w:val="0"/>
                              <w:marTop w:val="0"/>
                              <w:marBottom w:val="0"/>
                              <w:divBdr>
                                <w:top w:val="none" w:sz="0" w:space="0" w:color="auto"/>
                                <w:left w:val="none" w:sz="0" w:space="0" w:color="auto"/>
                                <w:bottom w:val="none" w:sz="0" w:space="0" w:color="auto"/>
                                <w:right w:val="none" w:sz="0" w:space="0" w:color="auto"/>
                              </w:divBdr>
                              <w:divsChild>
                                <w:div w:id="956914640">
                                  <w:marLeft w:val="0"/>
                                  <w:marRight w:val="0"/>
                                  <w:marTop w:val="0"/>
                                  <w:marBottom w:val="0"/>
                                  <w:divBdr>
                                    <w:top w:val="none" w:sz="0" w:space="0" w:color="auto"/>
                                    <w:left w:val="none" w:sz="0" w:space="0" w:color="auto"/>
                                    <w:bottom w:val="none" w:sz="0" w:space="0" w:color="auto"/>
                                    <w:right w:val="none" w:sz="0" w:space="0" w:color="auto"/>
                                  </w:divBdr>
                                  <w:divsChild>
                                    <w:div w:id="956914612">
                                      <w:marLeft w:val="-5625"/>
                                      <w:marRight w:val="0"/>
                                      <w:marTop w:val="0"/>
                                      <w:marBottom w:val="0"/>
                                      <w:divBdr>
                                        <w:top w:val="none" w:sz="0" w:space="0" w:color="auto"/>
                                        <w:left w:val="none" w:sz="0" w:space="0" w:color="auto"/>
                                        <w:bottom w:val="none" w:sz="0" w:space="0" w:color="auto"/>
                                        <w:right w:val="none" w:sz="0" w:space="0" w:color="auto"/>
                                      </w:divBdr>
                                      <w:divsChild>
                                        <w:div w:id="956914652">
                                          <w:marLeft w:val="0"/>
                                          <w:marRight w:val="0"/>
                                          <w:marTop w:val="0"/>
                                          <w:marBottom w:val="0"/>
                                          <w:divBdr>
                                            <w:top w:val="none" w:sz="0" w:space="0" w:color="auto"/>
                                            <w:left w:val="double" w:sz="12" w:space="6" w:color="3B3B3B"/>
                                            <w:bottom w:val="double" w:sz="12" w:space="6" w:color="3B3B3B"/>
                                            <w:right w:val="double" w:sz="12" w:space="6" w:color="3B3B3B"/>
                                          </w:divBdr>
                                          <w:divsChild>
                                            <w:div w:id="956914634">
                                              <w:marLeft w:val="0"/>
                                              <w:marRight w:val="0"/>
                                              <w:marTop w:val="0"/>
                                              <w:marBottom w:val="0"/>
                                              <w:divBdr>
                                                <w:top w:val="single" w:sz="6" w:space="6" w:color="6F6F6F"/>
                                                <w:left w:val="single" w:sz="6" w:space="6" w:color="6F6F6F"/>
                                                <w:bottom w:val="single" w:sz="6" w:space="6" w:color="6F6F6F"/>
                                                <w:right w:val="single" w:sz="6" w:space="6" w:color="6F6F6F"/>
                                              </w:divBdr>
                                            </w:div>
                                          </w:divsChild>
                                        </w:div>
                                      </w:divsChild>
                                    </w:div>
                                  </w:divsChild>
                                </w:div>
                              </w:divsChild>
                            </w:div>
                          </w:divsChild>
                        </w:div>
                      </w:divsChild>
                    </w:div>
                  </w:divsChild>
                </w:div>
              </w:divsChild>
            </w:div>
          </w:divsChild>
        </w:div>
      </w:divsChild>
    </w:div>
    <w:div w:id="956914645">
      <w:marLeft w:val="0"/>
      <w:marRight w:val="0"/>
      <w:marTop w:val="0"/>
      <w:marBottom w:val="0"/>
      <w:divBdr>
        <w:top w:val="none" w:sz="0" w:space="0" w:color="auto"/>
        <w:left w:val="none" w:sz="0" w:space="0" w:color="auto"/>
        <w:bottom w:val="none" w:sz="0" w:space="0" w:color="auto"/>
        <w:right w:val="none" w:sz="0" w:space="0" w:color="auto"/>
      </w:divBdr>
      <w:divsChild>
        <w:div w:id="956914613">
          <w:marLeft w:val="0"/>
          <w:marRight w:val="0"/>
          <w:marTop w:val="0"/>
          <w:marBottom w:val="0"/>
          <w:divBdr>
            <w:top w:val="none" w:sz="0" w:space="0" w:color="auto"/>
            <w:left w:val="none" w:sz="0" w:space="0" w:color="auto"/>
            <w:bottom w:val="none" w:sz="0" w:space="0" w:color="auto"/>
            <w:right w:val="none" w:sz="0" w:space="0" w:color="auto"/>
          </w:divBdr>
          <w:divsChild>
            <w:div w:id="956914651">
              <w:marLeft w:val="240"/>
              <w:marRight w:val="360"/>
              <w:marTop w:val="240"/>
              <w:marBottom w:val="480"/>
              <w:divBdr>
                <w:top w:val="none" w:sz="0" w:space="0" w:color="auto"/>
                <w:left w:val="none" w:sz="0" w:space="0" w:color="auto"/>
                <w:bottom w:val="none" w:sz="0" w:space="0" w:color="auto"/>
                <w:right w:val="none" w:sz="0" w:space="0" w:color="auto"/>
              </w:divBdr>
              <w:divsChild>
                <w:div w:id="956914609">
                  <w:marLeft w:val="0"/>
                  <w:marRight w:val="0"/>
                  <w:marTop w:val="0"/>
                  <w:marBottom w:val="0"/>
                  <w:divBdr>
                    <w:top w:val="single" w:sz="24" w:space="5" w:color="000000"/>
                    <w:left w:val="none" w:sz="0" w:space="0" w:color="auto"/>
                    <w:bottom w:val="none" w:sz="0" w:space="0" w:color="auto"/>
                    <w:right w:val="none" w:sz="0" w:space="0" w:color="auto"/>
                  </w:divBdr>
                  <w:divsChild>
                    <w:div w:id="956914614">
                      <w:marLeft w:val="0"/>
                      <w:marRight w:val="0"/>
                      <w:marTop w:val="0"/>
                      <w:marBottom w:val="0"/>
                      <w:divBdr>
                        <w:top w:val="none" w:sz="0" w:space="0" w:color="auto"/>
                        <w:left w:val="none" w:sz="0" w:space="0" w:color="auto"/>
                        <w:bottom w:val="none" w:sz="0" w:space="0" w:color="auto"/>
                        <w:right w:val="none" w:sz="0" w:space="0" w:color="auto"/>
                      </w:divBdr>
                      <w:divsChild>
                        <w:div w:id="956914625">
                          <w:marLeft w:val="0"/>
                          <w:marRight w:val="0"/>
                          <w:marTop w:val="0"/>
                          <w:marBottom w:val="0"/>
                          <w:divBdr>
                            <w:top w:val="none" w:sz="0" w:space="0" w:color="auto"/>
                            <w:left w:val="none" w:sz="0" w:space="0" w:color="auto"/>
                            <w:bottom w:val="none" w:sz="0" w:space="0" w:color="auto"/>
                            <w:right w:val="none" w:sz="0" w:space="0" w:color="auto"/>
                          </w:divBdr>
                        </w:div>
                        <w:div w:id="956914627">
                          <w:marLeft w:val="0"/>
                          <w:marRight w:val="0"/>
                          <w:marTop w:val="0"/>
                          <w:marBottom w:val="0"/>
                          <w:divBdr>
                            <w:top w:val="none" w:sz="0" w:space="0" w:color="auto"/>
                            <w:left w:val="none" w:sz="0" w:space="0" w:color="auto"/>
                            <w:bottom w:val="none" w:sz="0" w:space="0" w:color="auto"/>
                            <w:right w:val="none" w:sz="0" w:space="0" w:color="auto"/>
                          </w:divBdr>
                        </w:div>
                      </w:divsChild>
                    </w:div>
                    <w:div w:id="956914623">
                      <w:marLeft w:val="0"/>
                      <w:marRight w:val="0"/>
                      <w:marTop w:val="0"/>
                      <w:marBottom w:val="0"/>
                      <w:divBdr>
                        <w:top w:val="none" w:sz="0" w:space="0" w:color="auto"/>
                        <w:left w:val="none" w:sz="0" w:space="0" w:color="auto"/>
                        <w:bottom w:val="none" w:sz="0" w:space="0" w:color="auto"/>
                        <w:right w:val="none" w:sz="0" w:space="0" w:color="auto"/>
                      </w:divBdr>
                      <w:divsChild>
                        <w:div w:id="956914628">
                          <w:marLeft w:val="0"/>
                          <w:marRight w:val="0"/>
                          <w:marTop w:val="0"/>
                          <w:marBottom w:val="0"/>
                          <w:divBdr>
                            <w:top w:val="none" w:sz="0" w:space="0" w:color="auto"/>
                            <w:left w:val="none" w:sz="0" w:space="0" w:color="auto"/>
                            <w:bottom w:val="none" w:sz="0" w:space="0" w:color="auto"/>
                            <w:right w:val="none" w:sz="0" w:space="0" w:color="auto"/>
                          </w:divBdr>
                        </w:div>
                      </w:divsChild>
                    </w:div>
                    <w:div w:id="956914646">
                      <w:marLeft w:val="0"/>
                      <w:marRight w:val="0"/>
                      <w:marTop w:val="0"/>
                      <w:marBottom w:val="0"/>
                      <w:divBdr>
                        <w:top w:val="none" w:sz="0" w:space="0" w:color="auto"/>
                        <w:left w:val="none" w:sz="0" w:space="0" w:color="auto"/>
                        <w:bottom w:val="none" w:sz="0" w:space="0" w:color="auto"/>
                        <w:right w:val="none" w:sz="0" w:space="0" w:color="auto"/>
                      </w:divBdr>
                      <w:divsChild>
                        <w:div w:id="956914611">
                          <w:marLeft w:val="0"/>
                          <w:marRight w:val="0"/>
                          <w:marTop w:val="0"/>
                          <w:marBottom w:val="0"/>
                          <w:divBdr>
                            <w:top w:val="none" w:sz="0" w:space="0" w:color="auto"/>
                            <w:left w:val="none" w:sz="0" w:space="0" w:color="auto"/>
                            <w:bottom w:val="none" w:sz="0" w:space="0" w:color="auto"/>
                            <w:right w:val="none" w:sz="0" w:space="0" w:color="auto"/>
                          </w:divBdr>
                        </w:div>
                        <w:div w:id="956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barun@gmail.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1835</Words>
  <Characters>10463</Characters>
  <Application>Microsoft Office Word</Application>
  <DocSecurity>0</DocSecurity>
  <Lines>87</Lines>
  <Paragraphs>24</Paragraphs>
  <ScaleCrop>false</ScaleCrop>
  <Company>NHSGG&amp;C</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Nodular Regenerative Hyperplasia related portal hypertension in a patient with hypogammaglobulinaemia</dc:title>
  <dc:creator>Barun Lal</dc:creator>
  <cp:lastModifiedBy>LS Ma</cp:lastModifiedBy>
  <cp:revision>2</cp:revision>
  <cp:lastPrinted>2012-02-21T16:44:00Z</cp:lastPrinted>
  <dcterms:created xsi:type="dcterms:W3CDTF">2013-02-05T04:49:00Z</dcterms:created>
  <dcterms:modified xsi:type="dcterms:W3CDTF">2013-02-05T04:49:00Z</dcterms:modified>
</cp:coreProperties>
</file>