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AE" w:rsidRPr="00DA4E57" w:rsidRDefault="00F53CAE" w:rsidP="00F53CAE">
      <w:pPr>
        <w:spacing w:line="360" w:lineRule="auto"/>
        <w:jc w:val="left"/>
        <w:rPr>
          <w:rFonts w:ascii="Book Antiqua" w:hAnsi="Book Antiqua" w:cs="Tahoma"/>
          <w:b/>
          <w:color w:val="000000"/>
          <w:sz w:val="24"/>
          <w:szCs w:val="24"/>
        </w:rPr>
      </w:pPr>
      <w:bookmarkStart w:id="0" w:name="OLE_LINK5"/>
      <w:bookmarkStart w:id="1" w:name="OLE_LINK6"/>
      <w:r w:rsidRPr="00DA4E57">
        <w:rPr>
          <w:rFonts w:ascii="Book Antiqua" w:hAnsi="Book Antiqua" w:cs="Tahoma"/>
          <w:b/>
          <w:color w:val="0000FF"/>
          <w:sz w:val="24"/>
          <w:szCs w:val="24"/>
        </w:rPr>
        <w:t xml:space="preserve">Name of journal: </w:t>
      </w:r>
      <w:r w:rsidRPr="00DA4E57">
        <w:rPr>
          <w:rFonts w:ascii="Book Antiqua" w:hAnsi="Book Antiqua" w:cs="Tahoma"/>
          <w:b/>
          <w:color w:val="000000"/>
          <w:sz w:val="24"/>
          <w:szCs w:val="24"/>
        </w:rPr>
        <w:t>World Journal of Gastroenterology</w:t>
      </w:r>
    </w:p>
    <w:p w:rsidR="00F53CAE" w:rsidRPr="00DA4E57" w:rsidRDefault="00F53CAE" w:rsidP="00F53CAE">
      <w:pPr>
        <w:spacing w:line="360" w:lineRule="auto"/>
        <w:rPr>
          <w:rFonts w:ascii="Book Antiqua" w:hAnsi="Book Antiqua" w:cs="Tahoma"/>
          <w:b/>
          <w:color w:val="0000FF"/>
          <w:sz w:val="24"/>
          <w:szCs w:val="24"/>
        </w:rPr>
      </w:pPr>
      <w:r w:rsidRPr="00DA4E57">
        <w:rPr>
          <w:rFonts w:ascii="Book Antiqua" w:hAnsi="Book Antiqua" w:cs="Tahoma"/>
          <w:b/>
          <w:color w:val="0000FF"/>
          <w:sz w:val="24"/>
          <w:szCs w:val="24"/>
        </w:rPr>
        <w:t>ESPS Manuscript NO: 12206</w:t>
      </w:r>
    </w:p>
    <w:p w:rsidR="00F53CAE" w:rsidRPr="00DA4E57" w:rsidRDefault="00F53CAE" w:rsidP="00F53CAE">
      <w:pPr>
        <w:spacing w:line="360" w:lineRule="auto"/>
        <w:rPr>
          <w:rFonts w:ascii="Book Antiqua" w:hAnsi="Book Antiqua"/>
          <w:b/>
          <w:sz w:val="24"/>
          <w:szCs w:val="24"/>
        </w:rPr>
      </w:pPr>
      <w:r w:rsidRPr="00DA4E57">
        <w:rPr>
          <w:rFonts w:ascii="Book Antiqua" w:hAnsi="Book Antiqua" w:cs="Tahoma"/>
          <w:b/>
          <w:color w:val="0000FF"/>
          <w:sz w:val="24"/>
          <w:szCs w:val="24"/>
        </w:rPr>
        <w:t xml:space="preserve">Columns: </w:t>
      </w:r>
      <w:r w:rsidR="00E56266" w:rsidRPr="00DA4E57">
        <w:rPr>
          <w:rFonts w:ascii="Book Antiqua" w:hAnsi="Book Antiqua"/>
          <w:b/>
          <w:sz w:val="24"/>
          <w:szCs w:val="24"/>
        </w:rPr>
        <w:t>META-ANALYSIS</w:t>
      </w:r>
    </w:p>
    <w:p w:rsidR="00F53CAE" w:rsidRPr="00DA4E57" w:rsidRDefault="00F53CAE" w:rsidP="00F53CAE">
      <w:pPr>
        <w:spacing w:line="360" w:lineRule="auto"/>
        <w:rPr>
          <w:rFonts w:ascii="Book Antiqua" w:hAnsi="Book Antiqua"/>
          <w:b/>
          <w:sz w:val="24"/>
          <w:szCs w:val="24"/>
        </w:rPr>
      </w:pPr>
    </w:p>
    <w:p w:rsidR="00F53CAE" w:rsidRPr="00DA4E57" w:rsidRDefault="00F53CAE" w:rsidP="00F53CAE">
      <w:pPr>
        <w:spacing w:line="360" w:lineRule="auto"/>
        <w:rPr>
          <w:rFonts w:ascii="Book Antiqua" w:hAnsi="Book Antiqua"/>
          <w:b/>
          <w:sz w:val="24"/>
          <w:szCs w:val="24"/>
        </w:rPr>
      </w:pPr>
      <w:bookmarkStart w:id="2" w:name="OLE_LINK23"/>
      <w:bookmarkStart w:id="3" w:name="OLE_LINK24"/>
      <w:r w:rsidRPr="00DA4E57">
        <w:rPr>
          <w:rFonts w:ascii="Book Antiqua" w:hAnsi="Book Antiqua"/>
          <w:b/>
          <w:sz w:val="24"/>
          <w:szCs w:val="24"/>
        </w:rPr>
        <w:t xml:space="preserve">Sorafenib for the peri-operative treatment of liver transplantation: </w:t>
      </w:r>
      <w:r w:rsidR="00DA4E57" w:rsidRPr="00DA4E57">
        <w:rPr>
          <w:rFonts w:ascii="Book Antiqua" w:hAnsi="Book Antiqua"/>
          <w:b/>
          <w:sz w:val="24"/>
          <w:szCs w:val="24"/>
        </w:rPr>
        <w:t xml:space="preserve">A </w:t>
      </w:r>
      <w:r w:rsidRPr="00DA4E57">
        <w:rPr>
          <w:rFonts w:ascii="Book Antiqua" w:hAnsi="Book Antiqua"/>
          <w:b/>
          <w:sz w:val="24"/>
          <w:szCs w:val="24"/>
        </w:rPr>
        <w:t>time-to-event meta-analysis</w:t>
      </w:r>
    </w:p>
    <w:p w:rsidR="00DA4E57" w:rsidRPr="00DA4E57" w:rsidRDefault="00DA4E57" w:rsidP="00F53CAE">
      <w:pPr>
        <w:spacing w:line="360" w:lineRule="auto"/>
        <w:rPr>
          <w:rFonts w:ascii="Book Antiqua" w:hAnsi="Book Antiqua"/>
          <w:b/>
          <w:sz w:val="24"/>
          <w:szCs w:val="24"/>
        </w:rPr>
      </w:pPr>
    </w:p>
    <w:p w:rsidR="00DA4E57" w:rsidRPr="00DA4E57" w:rsidRDefault="00DA4E57" w:rsidP="00DA4E57">
      <w:pPr>
        <w:spacing w:line="360" w:lineRule="auto"/>
        <w:rPr>
          <w:rFonts w:ascii="Book Antiqua" w:hAnsi="Book Antiqua"/>
          <w:sz w:val="24"/>
          <w:szCs w:val="24"/>
        </w:rPr>
      </w:pPr>
      <w:r w:rsidRPr="00DA4E57">
        <w:rPr>
          <w:rFonts w:ascii="Book Antiqua" w:hAnsi="Book Antiqua"/>
          <w:bCs/>
          <w:sz w:val="24"/>
          <w:szCs w:val="24"/>
        </w:rPr>
        <w:t>Qi</w:t>
      </w:r>
      <w:r w:rsidRPr="00DA4E57">
        <w:rPr>
          <w:rFonts w:ascii="Book Antiqua" w:hAnsi="Book Antiqua"/>
          <w:sz w:val="24"/>
          <w:szCs w:val="24"/>
        </w:rPr>
        <w:t xml:space="preserve"> HL </w:t>
      </w:r>
      <w:r w:rsidRPr="00DA4E57">
        <w:rPr>
          <w:rFonts w:ascii="Book Antiqua" w:hAnsi="Book Antiqua"/>
          <w:i/>
          <w:sz w:val="24"/>
          <w:szCs w:val="24"/>
        </w:rPr>
        <w:t>et al.</w:t>
      </w:r>
      <w:r w:rsidRPr="00DA4E57">
        <w:rPr>
          <w:rFonts w:ascii="Book Antiqua" w:hAnsi="Book Antiqua"/>
          <w:sz w:val="24"/>
          <w:szCs w:val="24"/>
        </w:rPr>
        <w:t xml:space="preserve"> Treatment with sorafenib in liver transplantation</w:t>
      </w:r>
    </w:p>
    <w:p w:rsidR="00DA4E57" w:rsidRPr="00DA4E57" w:rsidRDefault="00DA4E57" w:rsidP="00F53CAE">
      <w:pPr>
        <w:spacing w:line="360" w:lineRule="auto"/>
        <w:rPr>
          <w:rFonts w:ascii="Book Antiqua" w:hAnsi="Book Antiqua"/>
          <w:b/>
          <w:sz w:val="24"/>
          <w:szCs w:val="24"/>
        </w:rPr>
      </w:pPr>
    </w:p>
    <w:p w:rsidR="00F53CAE" w:rsidRDefault="00F53CAE" w:rsidP="00F53CAE">
      <w:pPr>
        <w:spacing w:line="360" w:lineRule="auto"/>
        <w:rPr>
          <w:rFonts w:ascii="Book Antiqua" w:hAnsi="Book Antiqua"/>
          <w:bCs/>
          <w:sz w:val="24"/>
          <w:szCs w:val="24"/>
        </w:rPr>
      </w:pPr>
      <w:bookmarkStart w:id="4" w:name="OLE_LINK21"/>
      <w:bookmarkStart w:id="5" w:name="OLE_LINK22"/>
      <w:bookmarkEnd w:id="2"/>
      <w:bookmarkEnd w:id="3"/>
      <w:r w:rsidRPr="00DA4E57">
        <w:rPr>
          <w:rFonts w:ascii="Book Antiqua" w:hAnsi="Book Antiqua"/>
          <w:bCs/>
          <w:sz w:val="24"/>
          <w:szCs w:val="24"/>
        </w:rPr>
        <w:t>Hao-</w:t>
      </w:r>
      <w:r w:rsidR="00DA4E57" w:rsidRPr="00DA4E57">
        <w:rPr>
          <w:rFonts w:ascii="Book Antiqua" w:hAnsi="Book Antiqua"/>
          <w:bCs/>
          <w:sz w:val="24"/>
          <w:szCs w:val="24"/>
        </w:rPr>
        <w:t xml:space="preserve">Long </w:t>
      </w:r>
      <w:r w:rsidRPr="00DA4E57">
        <w:rPr>
          <w:rFonts w:ascii="Book Antiqua" w:hAnsi="Book Antiqua"/>
          <w:bCs/>
          <w:sz w:val="24"/>
          <w:szCs w:val="24"/>
        </w:rPr>
        <w:t>Qi</w:t>
      </w:r>
      <w:r w:rsidR="00DA4E57" w:rsidRPr="00DA4E57">
        <w:rPr>
          <w:rFonts w:ascii="Book Antiqua" w:hAnsi="Book Antiqua"/>
          <w:bCs/>
          <w:sz w:val="24"/>
          <w:szCs w:val="24"/>
        </w:rPr>
        <w:t>, Bing-Jie Zhuang</w:t>
      </w:r>
      <w:r w:rsidRPr="00DA4E57">
        <w:rPr>
          <w:rFonts w:ascii="Book Antiqua" w:hAnsi="Book Antiqua"/>
          <w:bCs/>
          <w:sz w:val="24"/>
          <w:szCs w:val="24"/>
        </w:rPr>
        <w:t>,</w:t>
      </w:r>
      <w:r w:rsidR="00DA4E57" w:rsidRPr="00DA4E57">
        <w:rPr>
          <w:rFonts w:ascii="Book Antiqua" w:hAnsi="Book Antiqua"/>
          <w:bCs/>
          <w:sz w:val="24"/>
          <w:szCs w:val="24"/>
        </w:rPr>
        <w:t xml:space="preserve"> </w:t>
      </w:r>
      <w:r w:rsidRPr="00DA4E57">
        <w:rPr>
          <w:rFonts w:ascii="Book Antiqua" w:hAnsi="Book Antiqua"/>
          <w:bCs/>
          <w:sz w:val="24"/>
          <w:szCs w:val="24"/>
        </w:rPr>
        <w:t>Chang-</w:t>
      </w:r>
      <w:r w:rsidR="00DA4E57" w:rsidRPr="00DA4E57">
        <w:rPr>
          <w:rFonts w:ascii="Book Antiqua" w:hAnsi="Book Antiqua"/>
          <w:bCs/>
          <w:sz w:val="24"/>
          <w:szCs w:val="24"/>
        </w:rPr>
        <w:t xml:space="preserve">Sheng </w:t>
      </w:r>
      <w:r w:rsidRPr="00DA4E57">
        <w:rPr>
          <w:rFonts w:ascii="Book Antiqua" w:hAnsi="Book Antiqua"/>
          <w:bCs/>
          <w:sz w:val="24"/>
          <w:szCs w:val="24"/>
        </w:rPr>
        <w:t>Li, Quan-</w:t>
      </w:r>
      <w:r w:rsidR="00DA4E57" w:rsidRPr="00DA4E57">
        <w:rPr>
          <w:rFonts w:ascii="Book Antiqua" w:hAnsi="Book Antiqua"/>
          <w:bCs/>
          <w:sz w:val="24"/>
          <w:szCs w:val="24"/>
        </w:rPr>
        <w:t xml:space="preserve">Yan </w:t>
      </w:r>
      <w:r w:rsidRPr="00DA4E57">
        <w:rPr>
          <w:rFonts w:ascii="Book Antiqua" w:hAnsi="Book Antiqua"/>
          <w:bCs/>
          <w:sz w:val="24"/>
          <w:szCs w:val="24"/>
        </w:rPr>
        <w:t>Liu</w:t>
      </w:r>
    </w:p>
    <w:p w:rsidR="00F53CAE" w:rsidRPr="00DA4E57" w:rsidRDefault="006E4EF0" w:rsidP="00F53CAE">
      <w:pPr>
        <w:spacing w:line="360" w:lineRule="auto"/>
        <w:rPr>
          <w:rFonts w:ascii="Book Antiqua" w:hAnsi="Book Antiqua" w:cs="Arial Unicode MS"/>
          <w:b/>
          <w:sz w:val="24"/>
          <w:szCs w:val="24"/>
        </w:rPr>
      </w:pPr>
      <w:bookmarkStart w:id="6" w:name="OLE_LINK108"/>
      <w:bookmarkStart w:id="7" w:name="OLE_LINK109"/>
      <w:bookmarkStart w:id="8" w:name="OLE_LINK110"/>
      <w:bookmarkStart w:id="9" w:name="OLE_LINK143"/>
      <w:bookmarkStart w:id="10" w:name="OLE_LINK257"/>
      <w:bookmarkStart w:id="11" w:name="OLE_LINK258"/>
      <w:bookmarkStart w:id="12" w:name="OLE_LINK276"/>
      <w:bookmarkEnd w:id="4"/>
      <w:bookmarkEnd w:id="5"/>
      <w:r>
        <w:rPr>
          <w:rFonts w:ascii="Book Antiqua" w:hAnsi="Book Antiqua"/>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161925</wp:posOffset>
                </wp:positionV>
                <wp:extent cx="5271135" cy="0"/>
                <wp:effectExtent l="24765" t="19050" r="19050" b="1905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75pt" to="4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ObFgIAACs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" strokecolor="gray" strokeweight="3pt"/>
            </w:pict>
          </mc:Fallback>
        </mc:AlternateContent>
      </w:r>
    </w:p>
    <w:bookmarkEnd w:id="6"/>
    <w:bookmarkEnd w:id="7"/>
    <w:bookmarkEnd w:id="8"/>
    <w:bookmarkEnd w:id="9"/>
    <w:bookmarkEnd w:id="10"/>
    <w:bookmarkEnd w:id="11"/>
    <w:bookmarkEnd w:id="12"/>
    <w:p w:rsidR="00F53CAE" w:rsidRPr="00DA4E57" w:rsidRDefault="00DA4E57" w:rsidP="00F53CAE">
      <w:pPr>
        <w:spacing w:line="360" w:lineRule="auto"/>
        <w:rPr>
          <w:rFonts w:ascii="Book Antiqua" w:hAnsi="Book Antiqua"/>
          <w:b/>
          <w:bCs/>
          <w:sz w:val="24"/>
          <w:szCs w:val="24"/>
        </w:rPr>
      </w:pPr>
      <w:r w:rsidRPr="00DA4E57">
        <w:rPr>
          <w:rFonts w:ascii="Book Antiqua" w:hAnsi="Book Antiqua"/>
          <w:b/>
          <w:bCs/>
          <w:sz w:val="24"/>
          <w:szCs w:val="24"/>
        </w:rPr>
        <w:t>Hao-Long Qi, Bing-Jie Zhuang, Chang-Sheng Li, Quan-Yan Liu,</w:t>
      </w:r>
      <w:r w:rsidRPr="00DA4E57">
        <w:rPr>
          <w:rFonts w:ascii="Book Antiqua" w:hAnsi="Book Antiqua"/>
          <w:b/>
          <w:bCs/>
          <w:sz w:val="24"/>
          <w:szCs w:val="24"/>
          <w:vertAlign w:val="superscript"/>
        </w:rPr>
        <w:t xml:space="preserve"> </w:t>
      </w:r>
      <w:r w:rsidR="00F53CAE" w:rsidRPr="00DA4E57">
        <w:rPr>
          <w:rFonts w:ascii="Book Antiqua" w:hAnsi="Book Antiqua"/>
          <w:sz w:val="24"/>
          <w:szCs w:val="24"/>
        </w:rPr>
        <w:t xml:space="preserve">Department of General Surgery, Research Center of Digestive Diseases, Zhongnan Hospital, Wuhan University, Wuhan 430071, </w:t>
      </w:r>
      <w:r w:rsidR="003B765C">
        <w:rPr>
          <w:rFonts w:ascii="Book Antiqua" w:hAnsi="Book Antiqua"/>
          <w:sz w:val="24"/>
          <w:szCs w:val="24"/>
        </w:rPr>
        <w:t>Hu</w:t>
      </w:r>
      <w:r w:rsidR="003B765C">
        <w:rPr>
          <w:rFonts w:ascii="Book Antiqua" w:hAnsi="Book Antiqua" w:hint="eastAsia"/>
          <w:sz w:val="24"/>
          <w:szCs w:val="24"/>
        </w:rPr>
        <w:t>bei</w:t>
      </w:r>
      <w:r>
        <w:rPr>
          <w:rFonts w:ascii="Book Antiqua" w:hAnsi="Book Antiqua"/>
          <w:sz w:val="24"/>
          <w:szCs w:val="24"/>
        </w:rPr>
        <w:t xml:space="preserve"> </w:t>
      </w:r>
      <w:r>
        <w:rPr>
          <w:rFonts w:ascii="Book Antiqua" w:hAnsi="Book Antiqua" w:hint="eastAsia"/>
          <w:sz w:val="24"/>
          <w:szCs w:val="24"/>
        </w:rPr>
        <w:t xml:space="preserve">Province, </w:t>
      </w:r>
      <w:r w:rsidR="00F53CAE" w:rsidRPr="00DA4E57">
        <w:rPr>
          <w:rFonts w:ascii="Book Antiqua" w:hAnsi="Book Antiqua"/>
          <w:sz w:val="24"/>
          <w:szCs w:val="24"/>
        </w:rPr>
        <w:t>China</w:t>
      </w:r>
    </w:p>
    <w:p w:rsidR="00F53CAE" w:rsidRPr="00DA4E57" w:rsidRDefault="00F53CAE" w:rsidP="00F53CAE">
      <w:pPr>
        <w:spacing w:line="360" w:lineRule="auto"/>
        <w:rPr>
          <w:rFonts w:ascii="Book Antiqua" w:hAnsi="Book Antiqua"/>
          <w:b/>
          <w:bCs/>
          <w:sz w:val="24"/>
          <w:szCs w:val="24"/>
        </w:rPr>
      </w:pPr>
      <w:bookmarkStart w:id="13" w:name="OLE_LINK231"/>
      <w:bookmarkStart w:id="14" w:name="OLE_LINK234"/>
      <w:bookmarkStart w:id="15" w:name="OLE_LINK342"/>
    </w:p>
    <w:p w:rsidR="00F53CAE" w:rsidRDefault="00F53CAE" w:rsidP="00F53CAE">
      <w:pPr>
        <w:spacing w:line="360" w:lineRule="auto"/>
        <w:rPr>
          <w:rFonts w:ascii="Book Antiqua" w:hAnsi="Book Antiqua"/>
          <w:sz w:val="24"/>
          <w:szCs w:val="24"/>
        </w:rPr>
      </w:pPr>
      <w:r w:rsidRPr="00DA4E57">
        <w:rPr>
          <w:rFonts w:ascii="Book Antiqua" w:hAnsi="Book Antiqua"/>
          <w:b/>
          <w:bCs/>
          <w:sz w:val="24"/>
          <w:szCs w:val="24"/>
        </w:rPr>
        <w:t>Author contributions:</w:t>
      </w:r>
      <w:bookmarkEnd w:id="13"/>
      <w:bookmarkEnd w:id="14"/>
      <w:bookmarkEnd w:id="15"/>
      <w:r w:rsidR="00DA4E57">
        <w:rPr>
          <w:rFonts w:ascii="Book Antiqua" w:hAnsi="Book Antiqua" w:hint="eastAsia"/>
          <w:b/>
          <w:bCs/>
          <w:sz w:val="24"/>
          <w:szCs w:val="24"/>
        </w:rPr>
        <w:t xml:space="preserve"> </w:t>
      </w:r>
      <w:r w:rsidRPr="00DA4E57">
        <w:rPr>
          <w:rFonts w:ascii="Book Antiqua" w:hAnsi="Book Antiqua"/>
          <w:sz w:val="24"/>
          <w:szCs w:val="24"/>
        </w:rPr>
        <w:t xml:space="preserve">Qi </w:t>
      </w:r>
      <w:r w:rsidR="00DA4E57">
        <w:rPr>
          <w:rFonts w:ascii="Book Antiqua" w:hAnsi="Book Antiqua" w:hint="eastAsia"/>
          <w:sz w:val="24"/>
          <w:szCs w:val="24"/>
        </w:rPr>
        <w:t xml:space="preserve">HL </w:t>
      </w:r>
      <w:r w:rsidRPr="00DA4E57">
        <w:rPr>
          <w:rFonts w:ascii="Book Antiqua" w:hAnsi="Book Antiqua"/>
          <w:sz w:val="24"/>
          <w:szCs w:val="24"/>
        </w:rPr>
        <w:t xml:space="preserve">and Zhuang </w:t>
      </w:r>
      <w:r w:rsidR="00DA4E57">
        <w:rPr>
          <w:rFonts w:ascii="Book Antiqua" w:hAnsi="Book Antiqua" w:hint="eastAsia"/>
          <w:sz w:val="24"/>
          <w:szCs w:val="24"/>
        </w:rPr>
        <w:t xml:space="preserve">BJ </w:t>
      </w:r>
      <w:r w:rsidRPr="00DA4E57">
        <w:rPr>
          <w:rFonts w:ascii="Book Antiqua" w:hAnsi="Book Antiqua"/>
          <w:sz w:val="24"/>
          <w:szCs w:val="24"/>
        </w:rPr>
        <w:t>performed the information retrieval and screened the potential subjects</w:t>
      </w:r>
      <w:r w:rsidR="00DA4E57">
        <w:rPr>
          <w:rFonts w:ascii="Book Antiqua" w:hAnsi="Book Antiqua" w:hint="eastAsia"/>
          <w:sz w:val="24"/>
          <w:szCs w:val="24"/>
        </w:rPr>
        <w:t xml:space="preserve">, </w:t>
      </w:r>
      <w:r w:rsidR="00DA4E57" w:rsidRPr="00DA4E57">
        <w:rPr>
          <w:rFonts w:ascii="Book Antiqua" w:hAnsi="Book Antiqua"/>
          <w:sz w:val="24"/>
          <w:szCs w:val="24"/>
        </w:rPr>
        <w:t>t</w:t>
      </w:r>
      <w:r w:rsidRPr="00DA4E57">
        <w:rPr>
          <w:rFonts w:ascii="Book Antiqua" w:hAnsi="Book Antiqua"/>
          <w:sz w:val="24"/>
          <w:szCs w:val="24"/>
        </w:rPr>
        <w:t>he data were extracted and integrated by the two authors independently at the same time</w:t>
      </w:r>
      <w:r w:rsidR="00DA4E57">
        <w:rPr>
          <w:rFonts w:ascii="Book Antiqua" w:hAnsi="Book Antiqua" w:hint="eastAsia"/>
          <w:sz w:val="24"/>
          <w:szCs w:val="24"/>
        </w:rPr>
        <w:t xml:space="preserve">; </w:t>
      </w:r>
      <w:r w:rsidRPr="00DA4E57">
        <w:rPr>
          <w:rFonts w:ascii="Book Antiqua" w:hAnsi="Book Antiqua"/>
          <w:sz w:val="24"/>
          <w:szCs w:val="24"/>
        </w:rPr>
        <w:t xml:space="preserve">Liu </w:t>
      </w:r>
      <w:r w:rsidR="00DA4E57">
        <w:rPr>
          <w:rFonts w:ascii="Book Antiqua" w:hAnsi="Book Antiqua" w:hint="eastAsia"/>
          <w:sz w:val="24"/>
          <w:szCs w:val="24"/>
        </w:rPr>
        <w:t xml:space="preserve">QY </w:t>
      </w:r>
      <w:r w:rsidRPr="00DA4E57">
        <w:rPr>
          <w:rFonts w:ascii="Book Antiqua" w:hAnsi="Book Antiqua"/>
          <w:sz w:val="24"/>
          <w:szCs w:val="24"/>
        </w:rPr>
        <w:t xml:space="preserve">and Li </w:t>
      </w:r>
      <w:r w:rsidR="00DA4E57">
        <w:rPr>
          <w:rFonts w:ascii="Book Antiqua" w:hAnsi="Book Antiqua" w:hint="eastAsia"/>
          <w:sz w:val="24"/>
          <w:szCs w:val="24"/>
        </w:rPr>
        <w:t xml:space="preserve"> CS </w:t>
      </w:r>
      <w:r w:rsidRPr="00DA4E57">
        <w:rPr>
          <w:rFonts w:ascii="Book Antiqua" w:hAnsi="Book Antiqua"/>
          <w:sz w:val="24"/>
          <w:szCs w:val="24"/>
        </w:rPr>
        <w:t>designed the study and wrote the manuscript.</w:t>
      </w:r>
    </w:p>
    <w:p w:rsidR="00830A99" w:rsidRPr="00DA4E57" w:rsidRDefault="00830A99" w:rsidP="00F53CAE">
      <w:pPr>
        <w:spacing w:line="360" w:lineRule="auto"/>
        <w:rPr>
          <w:rFonts w:ascii="Book Antiqua" w:hAnsi="Book Antiqua"/>
          <w:b/>
          <w:bCs/>
          <w:sz w:val="24"/>
          <w:szCs w:val="24"/>
        </w:rPr>
      </w:pPr>
    </w:p>
    <w:p w:rsidR="00830A99" w:rsidRPr="00DA4E57" w:rsidRDefault="00830A99" w:rsidP="00830A99">
      <w:pPr>
        <w:autoSpaceDE w:val="0"/>
        <w:autoSpaceDN w:val="0"/>
        <w:adjustRightInd w:val="0"/>
        <w:spacing w:line="360" w:lineRule="auto"/>
        <w:rPr>
          <w:rFonts w:ascii="Book Antiqua" w:hAnsi="Book Antiqua"/>
          <w:sz w:val="24"/>
          <w:szCs w:val="24"/>
        </w:rPr>
      </w:pPr>
      <w:r w:rsidRPr="00830A99">
        <w:rPr>
          <w:rFonts w:ascii="Book Antiqua" w:hAnsi="Book Antiqua"/>
          <w:b/>
          <w:sz w:val="24"/>
          <w:szCs w:val="24"/>
        </w:rPr>
        <w:t>Supported by</w:t>
      </w:r>
      <w:r w:rsidRPr="00DA4E57">
        <w:rPr>
          <w:rFonts w:ascii="Book Antiqua" w:hAnsi="Book Antiqua"/>
          <w:sz w:val="24"/>
          <w:szCs w:val="24"/>
        </w:rPr>
        <w:t xml:space="preserve"> National Natur</w:t>
      </w:r>
      <w:r>
        <w:rPr>
          <w:rFonts w:ascii="Book Antiqua" w:hAnsi="Book Antiqua"/>
          <w:sz w:val="24"/>
          <w:szCs w:val="24"/>
        </w:rPr>
        <w:t xml:space="preserve">al Science Foundation of China </w:t>
      </w:r>
      <w:r w:rsidRPr="00DA4E57">
        <w:rPr>
          <w:rFonts w:ascii="Book Antiqua" w:hAnsi="Book Antiqua"/>
          <w:sz w:val="24"/>
          <w:szCs w:val="24"/>
        </w:rPr>
        <w:t>NO.</w:t>
      </w:r>
      <w:bookmarkStart w:id="16" w:name="OLE_LINK93"/>
      <w:r w:rsidRPr="00DA4E57">
        <w:rPr>
          <w:rFonts w:ascii="Book Antiqua" w:hAnsi="Book Antiqua"/>
          <w:sz w:val="24"/>
          <w:szCs w:val="24"/>
        </w:rPr>
        <w:t>81172349</w:t>
      </w:r>
      <w:bookmarkEnd w:id="16"/>
      <w:r w:rsidRPr="00DA4E57">
        <w:rPr>
          <w:rFonts w:ascii="Book Antiqua" w:hAnsi="Book Antiqua"/>
          <w:sz w:val="24"/>
          <w:szCs w:val="24"/>
        </w:rPr>
        <w:t xml:space="preserve"> and NO.</w:t>
      </w:r>
      <w:bookmarkStart w:id="17" w:name="OLE_LINK94"/>
      <w:bookmarkStart w:id="18" w:name="OLE_LINK95"/>
      <w:r w:rsidRPr="00DA4E57">
        <w:rPr>
          <w:rFonts w:ascii="Book Antiqua" w:hAnsi="Book Antiqua"/>
          <w:sz w:val="24"/>
          <w:szCs w:val="24"/>
        </w:rPr>
        <w:t>30872491</w:t>
      </w:r>
      <w:bookmarkEnd w:id="17"/>
      <w:bookmarkEnd w:id="18"/>
    </w:p>
    <w:p w:rsidR="00F53CAE" w:rsidRPr="00830A99" w:rsidRDefault="00F53CAE" w:rsidP="00F53CAE">
      <w:pPr>
        <w:spacing w:line="360" w:lineRule="auto"/>
        <w:rPr>
          <w:rFonts w:ascii="Book Antiqua" w:hAnsi="Book Antiqua"/>
          <w:b/>
          <w:sz w:val="24"/>
          <w:szCs w:val="24"/>
        </w:rPr>
      </w:pPr>
    </w:p>
    <w:p w:rsidR="00F53CAE" w:rsidRPr="00DA4E57" w:rsidRDefault="00F53CAE" w:rsidP="00F53CAE">
      <w:pPr>
        <w:spacing w:line="360" w:lineRule="auto"/>
        <w:rPr>
          <w:rFonts w:ascii="Book Antiqua" w:hAnsi="Book Antiqua"/>
          <w:sz w:val="24"/>
          <w:szCs w:val="24"/>
        </w:rPr>
      </w:pPr>
      <w:bookmarkStart w:id="19" w:name="OLE_LINK7"/>
      <w:bookmarkStart w:id="20" w:name="OLE_LINK8"/>
      <w:bookmarkStart w:id="21" w:name="OLE_LINK1"/>
      <w:bookmarkStart w:id="22" w:name="OLE_LINK2"/>
      <w:bookmarkEnd w:id="0"/>
      <w:bookmarkEnd w:id="1"/>
      <w:r w:rsidRPr="00DA4E57">
        <w:rPr>
          <w:rFonts w:ascii="Book Antiqua" w:hAnsi="Book Antiqua"/>
          <w:b/>
          <w:color w:val="000000"/>
          <w:sz w:val="24"/>
          <w:szCs w:val="24"/>
        </w:rPr>
        <w:t xml:space="preserve">Correspondence to: </w:t>
      </w:r>
      <w:r w:rsidRPr="00DA4E57">
        <w:rPr>
          <w:rFonts w:ascii="Book Antiqua" w:hAnsi="Book Antiqua"/>
          <w:b/>
          <w:sz w:val="24"/>
          <w:szCs w:val="24"/>
        </w:rPr>
        <w:t xml:space="preserve">Quan-Yan Liu, </w:t>
      </w:r>
      <w:r w:rsidR="00DA4E57" w:rsidRPr="00DA4E57">
        <w:rPr>
          <w:rFonts w:ascii="Book Antiqua" w:hAnsi="Book Antiqua" w:hint="eastAsia"/>
          <w:b/>
          <w:sz w:val="24"/>
          <w:szCs w:val="24"/>
        </w:rPr>
        <w:t>Professor</w:t>
      </w:r>
      <w:r w:rsidR="00DA4E57">
        <w:rPr>
          <w:rFonts w:ascii="Book Antiqua" w:hAnsi="Book Antiqua" w:hint="eastAsia"/>
          <w:sz w:val="24"/>
          <w:szCs w:val="24"/>
        </w:rPr>
        <w:t xml:space="preserve">, </w:t>
      </w:r>
      <w:r w:rsidRPr="00DA4E57">
        <w:rPr>
          <w:rFonts w:ascii="Book Antiqua" w:hAnsi="Book Antiqua"/>
          <w:sz w:val="24"/>
          <w:szCs w:val="24"/>
        </w:rPr>
        <w:t xml:space="preserve">Department of General Surgery, Research Center of Digestive Diseases, Zhongnan Hospital, Wuhan University, </w:t>
      </w:r>
      <w:bookmarkStart w:id="23" w:name="OLE_LINK15"/>
      <w:bookmarkStart w:id="24" w:name="OLE_LINK16"/>
      <w:r w:rsidR="00114C54">
        <w:rPr>
          <w:rFonts w:ascii="Book Antiqua" w:hAnsi="Book Antiqua"/>
          <w:sz w:val="24"/>
          <w:szCs w:val="24"/>
        </w:rPr>
        <w:t>299</w:t>
      </w:r>
      <w:r w:rsidR="00114C54" w:rsidRPr="00114C54">
        <w:rPr>
          <w:rFonts w:ascii="Book Antiqua" w:hAnsi="Book Antiqua"/>
          <w:sz w:val="24"/>
          <w:szCs w:val="24"/>
        </w:rPr>
        <w:t xml:space="preserve"> Ba Yi Road</w:t>
      </w:r>
      <w:r w:rsidR="00114C54">
        <w:rPr>
          <w:rFonts w:ascii="Book Antiqua" w:hAnsi="Book Antiqua" w:hint="eastAsia"/>
          <w:sz w:val="24"/>
          <w:szCs w:val="24"/>
        </w:rPr>
        <w:t xml:space="preserve">, </w:t>
      </w:r>
      <w:r w:rsidRPr="00DA4E57">
        <w:rPr>
          <w:rFonts w:ascii="Book Antiqua" w:hAnsi="Book Antiqua"/>
          <w:sz w:val="24"/>
          <w:szCs w:val="24"/>
        </w:rPr>
        <w:t>Wuhan 430071,</w:t>
      </w:r>
      <w:r w:rsidR="003B765C" w:rsidRPr="003B765C">
        <w:rPr>
          <w:rFonts w:ascii="Book Antiqua" w:hAnsi="Book Antiqua"/>
          <w:sz w:val="24"/>
          <w:szCs w:val="24"/>
        </w:rPr>
        <w:t xml:space="preserve"> </w:t>
      </w:r>
      <w:r w:rsidR="003B765C">
        <w:rPr>
          <w:rFonts w:ascii="Book Antiqua" w:hAnsi="Book Antiqua"/>
          <w:sz w:val="24"/>
          <w:szCs w:val="24"/>
        </w:rPr>
        <w:t>Hu</w:t>
      </w:r>
      <w:r w:rsidR="003B765C">
        <w:rPr>
          <w:rFonts w:ascii="Book Antiqua" w:hAnsi="Book Antiqua" w:hint="eastAsia"/>
          <w:sz w:val="24"/>
          <w:szCs w:val="24"/>
        </w:rPr>
        <w:t>bei</w:t>
      </w:r>
      <w:r w:rsidR="003B765C">
        <w:rPr>
          <w:rFonts w:ascii="Book Antiqua" w:hAnsi="Book Antiqua"/>
          <w:sz w:val="24"/>
          <w:szCs w:val="24"/>
        </w:rPr>
        <w:t xml:space="preserve"> </w:t>
      </w:r>
      <w:r w:rsidR="003B765C">
        <w:rPr>
          <w:rFonts w:ascii="Book Antiqua" w:hAnsi="Book Antiqua" w:hint="eastAsia"/>
          <w:sz w:val="24"/>
          <w:szCs w:val="24"/>
        </w:rPr>
        <w:t xml:space="preserve">Province, </w:t>
      </w:r>
      <w:r w:rsidRPr="00DA4E57">
        <w:rPr>
          <w:rFonts w:ascii="Book Antiqua" w:hAnsi="Book Antiqua"/>
          <w:sz w:val="24"/>
          <w:szCs w:val="24"/>
        </w:rPr>
        <w:t>China</w:t>
      </w:r>
      <w:bookmarkEnd w:id="23"/>
      <w:bookmarkEnd w:id="24"/>
      <w:r w:rsidR="00DA4E57">
        <w:rPr>
          <w:rFonts w:ascii="Book Antiqua" w:hAnsi="Book Antiqua" w:hint="eastAsia"/>
          <w:sz w:val="24"/>
          <w:szCs w:val="24"/>
        </w:rPr>
        <w:t>.</w:t>
      </w:r>
      <w:r w:rsidRPr="00DA4E57">
        <w:rPr>
          <w:rFonts w:ascii="Book Antiqua" w:hAnsi="Book Antiqua"/>
          <w:sz w:val="24"/>
          <w:szCs w:val="24"/>
        </w:rPr>
        <w:t xml:space="preserve"> </w:t>
      </w:r>
      <w:r w:rsidR="00DA4E57" w:rsidRPr="00DA4E57">
        <w:rPr>
          <w:rFonts w:ascii="Book Antiqua" w:hAnsi="Book Antiqua"/>
          <w:sz w:val="24"/>
          <w:szCs w:val="24"/>
        </w:rPr>
        <w:t>1459195529@qq.com</w:t>
      </w:r>
    </w:p>
    <w:p w:rsidR="00F53CAE" w:rsidRDefault="00F53CAE" w:rsidP="00F53CAE">
      <w:pPr>
        <w:spacing w:line="360" w:lineRule="auto"/>
        <w:rPr>
          <w:rFonts w:ascii="Book Antiqua" w:hAnsi="Book Antiqua"/>
          <w:color w:val="000000"/>
          <w:sz w:val="24"/>
          <w:szCs w:val="24"/>
        </w:rPr>
      </w:pPr>
      <w:r w:rsidRPr="00DA4E57">
        <w:rPr>
          <w:rFonts w:ascii="Book Antiqua" w:hAnsi="Book Antiqua"/>
          <w:b/>
          <w:color w:val="000000"/>
          <w:sz w:val="24"/>
          <w:szCs w:val="24"/>
        </w:rPr>
        <w:t xml:space="preserve">Telephone: </w:t>
      </w:r>
      <w:r w:rsidRPr="00DA4E57">
        <w:rPr>
          <w:rFonts w:ascii="Book Antiqua" w:hAnsi="Book Antiqua"/>
          <w:sz w:val="24"/>
          <w:szCs w:val="24"/>
        </w:rPr>
        <w:t>+86-27-67812588</w:t>
      </w:r>
      <w:r w:rsidR="00DA4E57">
        <w:rPr>
          <w:rFonts w:ascii="Book Antiqua" w:hAnsi="Book Antiqua" w:hint="eastAsia"/>
          <w:sz w:val="24"/>
          <w:szCs w:val="24"/>
        </w:rPr>
        <w:tab/>
      </w:r>
      <w:r w:rsidR="00DA4E57">
        <w:rPr>
          <w:rFonts w:ascii="Book Antiqua" w:hAnsi="Book Antiqua" w:hint="eastAsia"/>
          <w:sz w:val="24"/>
          <w:szCs w:val="24"/>
        </w:rPr>
        <w:tab/>
      </w:r>
      <w:r w:rsidRPr="00DA4E57">
        <w:rPr>
          <w:rFonts w:ascii="Book Antiqua" w:hAnsi="Book Antiqua"/>
          <w:b/>
          <w:color w:val="000000"/>
          <w:sz w:val="24"/>
          <w:szCs w:val="24"/>
        </w:rPr>
        <w:t>Fax:</w:t>
      </w:r>
      <w:r w:rsidRPr="00DA4E57">
        <w:rPr>
          <w:rFonts w:ascii="Book Antiqua" w:hAnsi="Book Antiqua"/>
          <w:color w:val="000000"/>
          <w:sz w:val="24"/>
          <w:szCs w:val="24"/>
        </w:rPr>
        <w:t xml:space="preserve"> </w:t>
      </w:r>
      <w:r w:rsidR="00DA4E57">
        <w:rPr>
          <w:rFonts w:ascii="Book Antiqua" w:hAnsi="Book Antiqua" w:hint="eastAsia"/>
          <w:color w:val="000000"/>
          <w:sz w:val="24"/>
          <w:szCs w:val="24"/>
        </w:rPr>
        <w:t>+</w:t>
      </w:r>
      <w:r w:rsidRPr="00DA4E57">
        <w:rPr>
          <w:rFonts w:ascii="Book Antiqua" w:hAnsi="Book Antiqua"/>
          <w:color w:val="000000"/>
          <w:sz w:val="24"/>
          <w:szCs w:val="24"/>
        </w:rPr>
        <w:t>86</w:t>
      </w:r>
      <w:r w:rsidR="00DA4E57">
        <w:rPr>
          <w:rFonts w:ascii="Book Antiqua" w:hAnsi="Book Antiqua" w:hint="eastAsia"/>
          <w:color w:val="000000"/>
          <w:sz w:val="24"/>
          <w:szCs w:val="24"/>
        </w:rPr>
        <w:t>-</w:t>
      </w:r>
      <w:r w:rsidRPr="00DA4E57">
        <w:rPr>
          <w:rFonts w:ascii="Book Antiqua" w:hAnsi="Book Antiqua"/>
          <w:color w:val="000000"/>
          <w:sz w:val="24"/>
          <w:szCs w:val="24"/>
        </w:rPr>
        <w:t>27</w:t>
      </w:r>
      <w:r w:rsidR="00DA4E57">
        <w:rPr>
          <w:rFonts w:ascii="Book Antiqua" w:hAnsi="Book Antiqua" w:hint="eastAsia"/>
          <w:color w:val="000000"/>
          <w:sz w:val="24"/>
          <w:szCs w:val="24"/>
        </w:rPr>
        <w:t>-</w:t>
      </w:r>
      <w:r w:rsidRPr="00DA4E57">
        <w:rPr>
          <w:rFonts w:ascii="Book Antiqua" w:hAnsi="Book Antiqua"/>
          <w:color w:val="000000"/>
          <w:sz w:val="24"/>
          <w:szCs w:val="24"/>
        </w:rPr>
        <w:t>87336735</w:t>
      </w:r>
    </w:p>
    <w:p w:rsidR="00830A99" w:rsidRPr="00DA4E57" w:rsidRDefault="00830A99" w:rsidP="00F53CAE">
      <w:pPr>
        <w:spacing w:line="360" w:lineRule="auto"/>
        <w:rPr>
          <w:rFonts w:ascii="Book Antiqua" w:hAnsi="Book Antiqua"/>
          <w:sz w:val="24"/>
          <w:szCs w:val="24"/>
        </w:rPr>
      </w:pPr>
    </w:p>
    <w:p w:rsidR="00F53CAE" w:rsidRPr="00830A99" w:rsidRDefault="00F53CAE" w:rsidP="00F53CAE">
      <w:pPr>
        <w:spacing w:line="360" w:lineRule="auto"/>
        <w:rPr>
          <w:rFonts w:ascii="Book Antiqua" w:hAnsi="Book Antiqua"/>
          <w:color w:val="000000"/>
          <w:sz w:val="24"/>
          <w:szCs w:val="24"/>
        </w:rPr>
      </w:pPr>
      <w:bookmarkStart w:id="25" w:name="OLE_LINK332"/>
      <w:bookmarkStart w:id="26" w:name="OLE_LINK329"/>
      <w:bookmarkStart w:id="27" w:name="OLE_LINK381"/>
      <w:bookmarkStart w:id="28" w:name="OLE_LINK407"/>
      <w:bookmarkStart w:id="29" w:name="OLE_LINK457"/>
      <w:r w:rsidRPr="00DA4E57">
        <w:rPr>
          <w:rFonts w:ascii="Book Antiqua" w:hAnsi="Book Antiqua"/>
          <w:b/>
          <w:color w:val="000000"/>
          <w:sz w:val="24"/>
          <w:szCs w:val="24"/>
        </w:rPr>
        <w:lastRenderedPageBreak/>
        <w:t xml:space="preserve">Received: </w:t>
      </w:r>
      <w:r w:rsidR="00830A99" w:rsidRPr="00830A99">
        <w:rPr>
          <w:rFonts w:ascii="Book Antiqua" w:hAnsi="Book Antiqua"/>
          <w:color w:val="000000"/>
          <w:sz w:val="24"/>
          <w:szCs w:val="24"/>
        </w:rPr>
        <w:t xml:space="preserve">June </w:t>
      </w:r>
      <w:r w:rsidR="00830A99" w:rsidRPr="00830A99">
        <w:rPr>
          <w:rFonts w:ascii="Book Antiqua" w:hAnsi="Book Antiqua" w:hint="eastAsia"/>
          <w:color w:val="000000"/>
          <w:sz w:val="24"/>
          <w:szCs w:val="24"/>
        </w:rPr>
        <w:t>27, 2014</w:t>
      </w:r>
      <w:r w:rsidR="00830A99">
        <w:rPr>
          <w:rFonts w:ascii="Book Antiqua" w:hAnsi="Book Antiqua" w:hint="eastAsia"/>
          <w:color w:val="000000"/>
          <w:sz w:val="24"/>
          <w:szCs w:val="24"/>
        </w:rPr>
        <w:tab/>
      </w:r>
      <w:r w:rsidR="00830A99">
        <w:rPr>
          <w:rFonts w:ascii="Book Antiqua" w:hAnsi="Book Antiqua" w:hint="eastAsia"/>
          <w:color w:val="000000"/>
          <w:sz w:val="24"/>
          <w:szCs w:val="24"/>
        </w:rPr>
        <w:tab/>
      </w:r>
      <w:r w:rsidR="00830A99">
        <w:rPr>
          <w:rFonts w:ascii="Book Antiqua" w:hAnsi="Book Antiqua" w:hint="eastAsia"/>
          <w:color w:val="000000"/>
          <w:sz w:val="24"/>
          <w:szCs w:val="24"/>
        </w:rPr>
        <w:tab/>
      </w:r>
      <w:r w:rsidR="00830A99">
        <w:rPr>
          <w:rFonts w:ascii="Book Antiqua" w:hAnsi="Book Antiqua" w:hint="eastAsia"/>
          <w:color w:val="000000"/>
          <w:sz w:val="24"/>
          <w:szCs w:val="24"/>
        </w:rPr>
        <w:tab/>
      </w:r>
      <w:r w:rsidRPr="00DA4E57">
        <w:rPr>
          <w:rFonts w:ascii="Book Antiqua" w:hAnsi="Book Antiqua"/>
          <w:b/>
          <w:color w:val="000000"/>
          <w:sz w:val="24"/>
          <w:szCs w:val="24"/>
        </w:rPr>
        <w:t>Revised:</w:t>
      </w:r>
      <w:r w:rsidR="00830A99" w:rsidRPr="00830A99">
        <w:rPr>
          <w:rFonts w:ascii="Book Antiqua" w:hAnsi="Book Antiqua" w:hint="eastAsia"/>
          <w:color w:val="000000"/>
          <w:sz w:val="24"/>
          <w:szCs w:val="24"/>
        </w:rPr>
        <w:t xml:space="preserve"> </w:t>
      </w:r>
      <w:r w:rsidR="00830A99" w:rsidRPr="00830A99">
        <w:rPr>
          <w:rFonts w:ascii="Book Antiqua" w:hAnsi="Book Antiqua"/>
          <w:color w:val="000000"/>
          <w:sz w:val="24"/>
          <w:szCs w:val="24"/>
        </w:rPr>
        <w:t xml:space="preserve">August </w:t>
      </w:r>
      <w:r w:rsidR="00830A99" w:rsidRPr="00830A99">
        <w:rPr>
          <w:rFonts w:ascii="Book Antiqua" w:hAnsi="Book Antiqua" w:hint="eastAsia"/>
          <w:color w:val="000000"/>
          <w:sz w:val="24"/>
          <w:szCs w:val="24"/>
        </w:rPr>
        <w:t>9</w:t>
      </w:r>
      <w:r w:rsidR="00830A99" w:rsidRPr="00830A99">
        <w:rPr>
          <w:rFonts w:ascii="Book Antiqua" w:hAnsi="Book Antiqua"/>
          <w:color w:val="000000"/>
          <w:sz w:val="24"/>
          <w:szCs w:val="24"/>
        </w:rPr>
        <w:t>, 2014</w:t>
      </w:r>
    </w:p>
    <w:p w:rsidR="0078480F" w:rsidRDefault="00F53CAE" w:rsidP="0078480F">
      <w:pPr>
        <w:rPr>
          <w:rFonts w:ascii="Book Antiqua" w:hAnsi="Book Antiqua"/>
          <w:color w:val="000000"/>
          <w:sz w:val="24"/>
        </w:rPr>
      </w:pPr>
      <w:r w:rsidRPr="00DA4E57">
        <w:rPr>
          <w:rFonts w:ascii="Book Antiqua" w:hAnsi="Book Antiqua"/>
          <w:b/>
          <w:color w:val="000000"/>
          <w:sz w:val="24"/>
          <w:szCs w:val="24"/>
        </w:rPr>
        <w:t>Accepted:</w:t>
      </w:r>
      <w:r w:rsidR="0078480F" w:rsidRPr="0078480F">
        <w:rPr>
          <w:rFonts w:ascii="Book Antiqua" w:hAnsi="Book Antiqua"/>
          <w:color w:val="000000"/>
          <w:sz w:val="24"/>
        </w:rPr>
        <w:t xml:space="preserve"> </w:t>
      </w:r>
      <w:r w:rsidR="0078480F">
        <w:rPr>
          <w:rFonts w:ascii="Book Antiqua" w:hAnsi="Book Antiqua"/>
          <w:color w:val="000000"/>
          <w:sz w:val="24"/>
        </w:rPr>
        <w:t>September 18, 2014</w:t>
      </w:r>
    </w:p>
    <w:p w:rsidR="00F53CAE" w:rsidRPr="00DA4E57" w:rsidRDefault="00F53CAE" w:rsidP="00F53CAE">
      <w:pPr>
        <w:spacing w:line="360" w:lineRule="auto"/>
        <w:rPr>
          <w:rFonts w:ascii="Book Antiqua" w:hAnsi="Book Antiqua"/>
          <w:b/>
          <w:color w:val="000000"/>
          <w:sz w:val="24"/>
          <w:szCs w:val="24"/>
        </w:rPr>
      </w:pPr>
      <w:bookmarkStart w:id="30" w:name="_GoBack"/>
      <w:bookmarkEnd w:id="30"/>
      <w:r w:rsidRPr="00DA4E57">
        <w:rPr>
          <w:rFonts w:ascii="Book Antiqua" w:hAnsi="Book Antiqua"/>
          <w:b/>
          <w:color w:val="000000"/>
          <w:sz w:val="24"/>
          <w:szCs w:val="24"/>
        </w:rPr>
        <w:t xml:space="preserve"> </w:t>
      </w:r>
    </w:p>
    <w:p w:rsidR="00F53CAE" w:rsidRPr="00DA4E57" w:rsidRDefault="00F53CAE" w:rsidP="00F53CAE">
      <w:pPr>
        <w:spacing w:line="360" w:lineRule="auto"/>
        <w:rPr>
          <w:rFonts w:ascii="Book Antiqua" w:hAnsi="Book Antiqua"/>
          <w:color w:val="000000"/>
          <w:sz w:val="24"/>
          <w:szCs w:val="24"/>
        </w:rPr>
      </w:pPr>
      <w:r w:rsidRPr="00DA4E57">
        <w:rPr>
          <w:rFonts w:ascii="Book Antiqua" w:hAnsi="Book Antiqua"/>
          <w:b/>
          <w:color w:val="000000"/>
          <w:sz w:val="24"/>
          <w:szCs w:val="24"/>
        </w:rPr>
        <w:t xml:space="preserve">Published online: </w:t>
      </w:r>
    </w:p>
    <w:bookmarkEnd w:id="25"/>
    <w:bookmarkEnd w:id="26"/>
    <w:bookmarkEnd w:id="27"/>
    <w:bookmarkEnd w:id="28"/>
    <w:bookmarkEnd w:id="29"/>
    <w:p w:rsidR="00B64194" w:rsidRDefault="00B64194">
      <w:pPr>
        <w:widowControl/>
        <w:jc w:val="left"/>
        <w:rPr>
          <w:rFonts w:ascii="Book Antiqua" w:hAnsi="Book Antiqua"/>
          <w:b/>
          <w:sz w:val="24"/>
          <w:szCs w:val="24"/>
        </w:rPr>
      </w:pPr>
      <w:r>
        <w:rPr>
          <w:rFonts w:ascii="Book Antiqua" w:hAnsi="Book Antiqua"/>
          <w:b/>
          <w:sz w:val="24"/>
          <w:szCs w:val="24"/>
        </w:rPr>
        <w:br w:type="page"/>
      </w:r>
    </w:p>
    <w:p w:rsidR="00F53CAE" w:rsidRPr="00DA4E57" w:rsidRDefault="00F53CAE" w:rsidP="00F53CAE">
      <w:pPr>
        <w:spacing w:line="360" w:lineRule="auto"/>
        <w:outlineLvl w:val="0"/>
        <w:rPr>
          <w:rFonts w:ascii="Book Antiqua" w:hAnsi="Book Antiqua"/>
          <w:b/>
          <w:sz w:val="24"/>
          <w:szCs w:val="24"/>
        </w:rPr>
      </w:pPr>
      <w:r w:rsidRPr="00DA4E57">
        <w:rPr>
          <w:rFonts w:ascii="Book Antiqua" w:hAnsi="Book Antiqua"/>
          <w:b/>
          <w:sz w:val="24"/>
          <w:szCs w:val="24"/>
        </w:rPr>
        <w:lastRenderedPageBreak/>
        <w:t>Abstract</w:t>
      </w:r>
    </w:p>
    <w:p w:rsidR="00F53CAE" w:rsidRDefault="00F53CAE" w:rsidP="00F53CAE">
      <w:pPr>
        <w:spacing w:line="360" w:lineRule="auto"/>
        <w:outlineLvl w:val="0"/>
        <w:rPr>
          <w:rFonts w:ascii="Book Antiqua" w:hAnsi="Book Antiqua"/>
          <w:sz w:val="24"/>
          <w:szCs w:val="24"/>
        </w:rPr>
      </w:pPr>
      <w:bookmarkStart w:id="31" w:name="OLE_LINK9"/>
      <w:bookmarkStart w:id="32" w:name="OLE_LINK10"/>
      <w:r w:rsidRPr="00DA4E57">
        <w:rPr>
          <w:rFonts w:ascii="Book Antiqua" w:hAnsi="Book Antiqua"/>
          <w:b/>
          <w:sz w:val="24"/>
          <w:szCs w:val="24"/>
        </w:rPr>
        <w:t xml:space="preserve">AIM: </w:t>
      </w:r>
      <w:r w:rsidRPr="00DA4E57">
        <w:rPr>
          <w:rFonts w:ascii="Book Antiqua" w:hAnsi="Book Antiqua"/>
          <w:sz w:val="24"/>
          <w:szCs w:val="24"/>
        </w:rPr>
        <w:t xml:space="preserve">To evaluate whether the application of sorafenib during the peri-operational period of liver transplantation could improve liver cancer patients’ prognosis. </w:t>
      </w:r>
    </w:p>
    <w:p w:rsidR="00830A99" w:rsidRPr="00DA4E57" w:rsidRDefault="00830A99" w:rsidP="00F53CAE">
      <w:pPr>
        <w:spacing w:line="360" w:lineRule="auto"/>
        <w:outlineLvl w:val="0"/>
        <w:rPr>
          <w:rFonts w:ascii="Book Antiqua" w:hAnsi="Book Antiqua"/>
          <w:sz w:val="24"/>
          <w:szCs w:val="24"/>
        </w:rPr>
      </w:pPr>
    </w:p>
    <w:p w:rsidR="00F53CAE" w:rsidRDefault="00F53CAE" w:rsidP="00F53CAE">
      <w:pPr>
        <w:spacing w:line="360" w:lineRule="auto"/>
        <w:outlineLvl w:val="0"/>
        <w:rPr>
          <w:rFonts w:ascii="Book Antiqua" w:hAnsi="Book Antiqua"/>
          <w:sz w:val="24"/>
          <w:szCs w:val="24"/>
        </w:rPr>
      </w:pPr>
      <w:r w:rsidRPr="00DA4E57">
        <w:rPr>
          <w:rFonts w:ascii="Book Antiqua" w:hAnsi="Book Antiqua"/>
          <w:b/>
          <w:sz w:val="24"/>
          <w:szCs w:val="24"/>
        </w:rPr>
        <w:t xml:space="preserve">METHODS: </w:t>
      </w:r>
      <w:r w:rsidRPr="00DA4E57">
        <w:rPr>
          <w:rFonts w:ascii="Book Antiqua" w:hAnsi="Book Antiqua"/>
          <w:sz w:val="24"/>
          <w:szCs w:val="24"/>
        </w:rPr>
        <w:t>We searched PubMed, EMBASE and MEDLINE for eligible literature. A total of 4 studies were found that fulfilled the previously agreed-upon standards.</w:t>
      </w:r>
      <w:r w:rsidRPr="00DA4E57">
        <w:rPr>
          <w:rFonts w:ascii="Book Antiqua" w:hAnsi="Book Antiqua"/>
          <w:b/>
          <w:sz w:val="24"/>
          <w:szCs w:val="24"/>
        </w:rPr>
        <w:t xml:space="preserve"> </w:t>
      </w:r>
      <w:r w:rsidRPr="00DA4E57">
        <w:rPr>
          <w:rFonts w:ascii="Book Antiqua" w:hAnsi="Book Antiqua"/>
          <w:sz w:val="24"/>
          <w:szCs w:val="24"/>
        </w:rPr>
        <w:t xml:space="preserve">We then performed a systematic review and meta-analysis on the enrolled trials that met the inclusion criteria. </w:t>
      </w:r>
    </w:p>
    <w:p w:rsidR="00830A99" w:rsidRPr="00DA4E57" w:rsidRDefault="00830A99" w:rsidP="00F53CAE">
      <w:pPr>
        <w:spacing w:line="360" w:lineRule="auto"/>
        <w:outlineLvl w:val="0"/>
        <w:rPr>
          <w:rFonts w:ascii="Book Antiqua" w:hAnsi="Book Antiqua"/>
          <w:b/>
          <w:sz w:val="24"/>
          <w:szCs w:val="24"/>
        </w:rPr>
      </w:pPr>
    </w:p>
    <w:p w:rsidR="00F53CAE" w:rsidRDefault="00F53CAE" w:rsidP="00F53CAE">
      <w:pPr>
        <w:spacing w:line="360" w:lineRule="auto"/>
        <w:outlineLvl w:val="0"/>
        <w:rPr>
          <w:rFonts w:ascii="Book Antiqua" w:hAnsi="Book Antiqua"/>
          <w:sz w:val="24"/>
          <w:szCs w:val="24"/>
        </w:rPr>
      </w:pPr>
      <w:r w:rsidRPr="00DA4E57">
        <w:rPr>
          <w:rFonts w:ascii="Book Antiqua" w:hAnsi="Book Antiqua"/>
          <w:b/>
          <w:sz w:val="24"/>
          <w:szCs w:val="24"/>
        </w:rPr>
        <w:t xml:space="preserve">RESULTS: </w:t>
      </w:r>
      <w:r w:rsidRPr="00DA4E57">
        <w:rPr>
          <w:rFonts w:ascii="Book Antiqua" w:hAnsi="Book Antiqua"/>
          <w:sz w:val="24"/>
          <w:szCs w:val="24"/>
        </w:rPr>
        <w:t xml:space="preserve">Out of the 104 studies identified in the database, 82 were not clinical experiments, and 18 did not fit the inclusion standards. Among the remaining 4 articles, only 1 was related to the preoperative use of sorafenib, whereas the other 3 related to its postoperative use. As the heterogeneity among the 4 papers was high, with an </w:t>
      </w:r>
      <w:r w:rsidRPr="00830A99">
        <w:rPr>
          <w:rFonts w:ascii="Book Antiqua" w:hAnsi="Book Antiqua"/>
          <w:i/>
          <w:sz w:val="24"/>
          <w:szCs w:val="24"/>
        </w:rPr>
        <w:t>I</w:t>
      </w:r>
      <w:r w:rsidRPr="00DA4E57">
        <w:rPr>
          <w:rFonts w:ascii="Book Antiqua" w:hAnsi="Book Antiqua"/>
          <w:sz w:val="24"/>
          <w:szCs w:val="24"/>
          <w:vertAlign w:val="superscript"/>
        </w:rPr>
        <w:t xml:space="preserve">2 </w:t>
      </w:r>
      <w:r w:rsidRPr="00DA4E57">
        <w:rPr>
          <w:rFonts w:ascii="Book Antiqua" w:hAnsi="Book Antiqua"/>
          <w:sz w:val="24"/>
          <w:szCs w:val="24"/>
        </w:rPr>
        <w:t>of 86%, a randomized effect model was applied to perform the integration. The application of sorafenib before liver transplantation had an HR of 3.29 w</w:t>
      </w:r>
      <w:r w:rsidR="00830A99">
        <w:rPr>
          <w:rFonts w:ascii="Book Antiqua" w:hAnsi="Book Antiqua"/>
          <w:sz w:val="24"/>
          <w:szCs w:val="24"/>
        </w:rPr>
        <w:t>ith a 95%</w:t>
      </w:r>
      <w:r w:rsidRPr="00DA4E57">
        <w:rPr>
          <w:rFonts w:ascii="Book Antiqua" w:hAnsi="Book Antiqua"/>
          <w:sz w:val="24"/>
          <w:szCs w:val="24"/>
        </w:rPr>
        <w:t>CI of 0.33-32.56. The use of sorafenib after liver transplantatio</w:t>
      </w:r>
      <w:r w:rsidR="00AB7402">
        <w:rPr>
          <w:rFonts w:ascii="Book Antiqua" w:hAnsi="Book Antiqua"/>
          <w:sz w:val="24"/>
          <w:szCs w:val="24"/>
        </w:rPr>
        <w:t>n had an HR of 1.44, with a 95%</w:t>
      </w:r>
      <w:r w:rsidRPr="00DA4E57">
        <w:rPr>
          <w:rFonts w:ascii="Book Antiqua" w:hAnsi="Book Antiqua"/>
          <w:sz w:val="24"/>
          <w:szCs w:val="24"/>
        </w:rPr>
        <w:t>CI</w:t>
      </w:r>
      <w:r w:rsidR="00114C54">
        <w:rPr>
          <w:rFonts w:ascii="Book Antiqua" w:hAnsi="Book Antiqua" w:hint="eastAsia"/>
          <w:sz w:val="24"/>
          <w:szCs w:val="24"/>
        </w:rPr>
        <w:t xml:space="preserve">: </w:t>
      </w:r>
      <w:r w:rsidRPr="00DA4E57">
        <w:rPr>
          <w:rFonts w:ascii="Book Antiqua" w:hAnsi="Book Antiqua"/>
          <w:sz w:val="24"/>
          <w:szCs w:val="24"/>
        </w:rPr>
        <w:t>0.27-7.71.</w:t>
      </w:r>
      <w:bookmarkStart w:id="33" w:name="OLE_LINK103"/>
      <w:bookmarkStart w:id="34" w:name="OLE_LINK104"/>
      <w:r w:rsidRPr="00DA4E57">
        <w:rPr>
          <w:rFonts w:ascii="Book Antiqua" w:hAnsi="Book Antiqua"/>
          <w:sz w:val="24"/>
          <w:szCs w:val="24"/>
        </w:rPr>
        <w:t xml:space="preserve"> The HR integrated pre- and post-trans</w:t>
      </w:r>
      <w:r w:rsidR="00830A99">
        <w:rPr>
          <w:rFonts w:ascii="Book Antiqua" w:hAnsi="Book Antiqua"/>
          <w:sz w:val="24"/>
          <w:szCs w:val="24"/>
        </w:rPr>
        <w:t>plantation was 1.68, with a 95%</w:t>
      </w:r>
      <w:r w:rsidR="00114C54">
        <w:rPr>
          <w:rFonts w:ascii="Book Antiqua" w:hAnsi="Book Antiqua"/>
          <w:sz w:val="24"/>
          <w:szCs w:val="24"/>
        </w:rPr>
        <w:t>CI</w:t>
      </w:r>
      <w:r w:rsidR="00114C54">
        <w:rPr>
          <w:rFonts w:ascii="Book Antiqua" w:hAnsi="Book Antiqua" w:hint="eastAsia"/>
          <w:sz w:val="24"/>
          <w:szCs w:val="24"/>
        </w:rPr>
        <w:t xml:space="preserve">: </w:t>
      </w:r>
      <w:r w:rsidRPr="00DA4E57">
        <w:rPr>
          <w:rFonts w:ascii="Book Antiqua" w:hAnsi="Book Antiqua"/>
          <w:sz w:val="24"/>
          <w:szCs w:val="24"/>
        </w:rPr>
        <w:t xml:space="preserve">0.41-6.91. </w:t>
      </w:r>
      <w:bookmarkEnd w:id="33"/>
      <w:bookmarkEnd w:id="34"/>
    </w:p>
    <w:p w:rsidR="00830A99" w:rsidRPr="00DA4E57" w:rsidRDefault="00830A99" w:rsidP="00F53CAE">
      <w:pPr>
        <w:spacing w:line="360" w:lineRule="auto"/>
        <w:outlineLvl w:val="0"/>
        <w:rPr>
          <w:rFonts w:ascii="Book Antiqua" w:hAnsi="Book Antiqua"/>
          <w:sz w:val="24"/>
          <w:szCs w:val="24"/>
        </w:rPr>
      </w:pPr>
    </w:p>
    <w:p w:rsidR="00F53CAE" w:rsidRPr="00DA4E57" w:rsidRDefault="00F53CAE" w:rsidP="00F53CAE">
      <w:pPr>
        <w:spacing w:line="360" w:lineRule="auto"/>
        <w:outlineLvl w:val="0"/>
        <w:rPr>
          <w:rFonts w:ascii="Book Antiqua" w:hAnsi="Book Antiqua"/>
          <w:sz w:val="24"/>
          <w:szCs w:val="24"/>
        </w:rPr>
      </w:pPr>
      <w:bookmarkStart w:id="35" w:name="OLE_LINK11"/>
      <w:bookmarkStart w:id="36" w:name="OLE_LINK12"/>
      <w:r w:rsidRPr="00DA4E57">
        <w:rPr>
          <w:rFonts w:ascii="Book Antiqua" w:hAnsi="Book Antiqua"/>
          <w:b/>
          <w:sz w:val="24"/>
          <w:szCs w:val="24"/>
        </w:rPr>
        <w:t>CONCLUSION:</w:t>
      </w:r>
      <w:r w:rsidRPr="00DA4E57">
        <w:rPr>
          <w:rFonts w:ascii="Book Antiqua" w:hAnsi="Book Antiqua"/>
          <w:sz w:val="24"/>
          <w:szCs w:val="24"/>
        </w:rPr>
        <w:t xml:space="preserve"> The results showed that the use of sorafenib during the peri-operational period of liver transplantation did not improve patient survival significantly. In fact, sorafenib could even lead to a worse prognosis, as its use may increase the HR of patients who have ever taken it.</w:t>
      </w:r>
      <w:bookmarkEnd w:id="35"/>
      <w:bookmarkEnd w:id="36"/>
    </w:p>
    <w:p w:rsidR="00F53CAE" w:rsidRPr="00DA4E57" w:rsidRDefault="00F53CAE" w:rsidP="00F53CAE">
      <w:pPr>
        <w:spacing w:line="360" w:lineRule="auto"/>
        <w:outlineLvl w:val="0"/>
        <w:rPr>
          <w:rFonts w:ascii="Book Antiqua" w:hAnsi="Book Antiqua"/>
          <w:b/>
          <w:sz w:val="24"/>
          <w:szCs w:val="24"/>
        </w:rPr>
      </w:pPr>
    </w:p>
    <w:bookmarkEnd w:id="31"/>
    <w:bookmarkEnd w:id="32"/>
    <w:p w:rsidR="00F53CAE" w:rsidRPr="00DA4E57" w:rsidRDefault="00F53CAE" w:rsidP="00F53CAE">
      <w:pPr>
        <w:spacing w:line="360" w:lineRule="auto"/>
        <w:rPr>
          <w:rFonts w:ascii="Book Antiqua" w:hAnsi="Book Antiqua" w:cs="Arial Unicode MS"/>
          <w:sz w:val="24"/>
          <w:szCs w:val="24"/>
        </w:rPr>
      </w:pPr>
      <w:r w:rsidRPr="00DA4E57">
        <w:rPr>
          <w:rFonts w:ascii="Book Antiqua" w:hAnsi="Book Antiqua"/>
          <w:sz w:val="24"/>
          <w:szCs w:val="24"/>
        </w:rPr>
        <w:t xml:space="preserve">© </w:t>
      </w:r>
      <w:r w:rsidRPr="00DA4E57">
        <w:rPr>
          <w:rFonts w:ascii="Book Antiqua" w:hAnsi="Book Antiqua" w:cs="Arial Unicode MS"/>
          <w:sz w:val="24"/>
          <w:szCs w:val="24"/>
        </w:rPr>
        <w:t>2014 Baishideng Publishing Group Inc. All rights reserved.</w:t>
      </w:r>
    </w:p>
    <w:p w:rsidR="00F53CAE" w:rsidRPr="00DA4E57" w:rsidRDefault="00F53CAE" w:rsidP="00F53CAE">
      <w:pPr>
        <w:spacing w:line="360" w:lineRule="auto"/>
        <w:rPr>
          <w:rFonts w:ascii="Book Antiqua" w:hAnsi="Book Antiqua" w:cs="Arial Unicode MS"/>
          <w:b/>
          <w:sz w:val="24"/>
          <w:szCs w:val="24"/>
        </w:rPr>
      </w:pPr>
    </w:p>
    <w:p w:rsidR="00F53CAE" w:rsidRPr="00830A99" w:rsidRDefault="00F53CAE" w:rsidP="00F53CAE">
      <w:pPr>
        <w:spacing w:line="360" w:lineRule="auto"/>
        <w:rPr>
          <w:rFonts w:ascii="Book Antiqua" w:hAnsi="Book Antiqua" w:cs="Arial Unicode MS"/>
          <w:b/>
          <w:sz w:val="24"/>
          <w:szCs w:val="24"/>
        </w:rPr>
      </w:pPr>
      <w:bookmarkStart w:id="37" w:name="OLE_LINK363"/>
      <w:bookmarkStart w:id="38" w:name="OLE_LINK364"/>
      <w:bookmarkStart w:id="39" w:name="OLE_LINK254"/>
      <w:r w:rsidRPr="00DA4E57">
        <w:rPr>
          <w:rFonts w:ascii="Book Antiqua" w:hAnsi="Book Antiqua" w:cs="Arial Unicode MS"/>
          <w:b/>
          <w:sz w:val="24"/>
          <w:szCs w:val="24"/>
        </w:rPr>
        <w:t>Key</w:t>
      </w:r>
      <w:r w:rsidR="00830A99">
        <w:rPr>
          <w:rFonts w:ascii="Book Antiqua" w:hAnsi="Book Antiqua" w:cs="Arial Unicode MS" w:hint="eastAsia"/>
          <w:b/>
          <w:sz w:val="24"/>
          <w:szCs w:val="24"/>
        </w:rPr>
        <w:t xml:space="preserve"> </w:t>
      </w:r>
      <w:r w:rsidRPr="00DA4E57">
        <w:rPr>
          <w:rFonts w:ascii="Book Antiqua" w:hAnsi="Book Antiqua" w:cs="Arial Unicode MS"/>
          <w:b/>
          <w:sz w:val="24"/>
          <w:szCs w:val="24"/>
        </w:rPr>
        <w:t>words</w:t>
      </w:r>
      <w:bookmarkStart w:id="40" w:name="OLE_LINK101"/>
      <w:bookmarkStart w:id="41" w:name="OLE_LINK107"/>
      <w:bookmarkStart w:id="42" w:name="OLE_LINK412"/>
      <w:bookmarkStart w:id="43" w:name="OLE_LINK413"/>
      <w:bookmarkStart w:id="44" w:name="OLE_LINK434"/>
      <w:bookmarkStart w:id="45" w:name="OLE_LINK442"/>
      <w:bookmarkStart w:id="46" w:name="OLE_LINK350"/>
      <w:bookmarkStart w:id="47" w:name="OLE_LINK351"/>
      <w:bookmarkStart w:id="48" w:name="OLE_LINK408"/>
      <w:bookmarkEnd w:id="37"/>
      <w:bookmarkEnd w:id="38"/>
      <w:r w:rsidR="00830A99">
        <w:rPr>
          <w:rFonts w:ascii="Book Antiqua" w:hAnsi="Book Antiqua" w:cs="Arial Unicode MS" w:hint="eastAsia"/>
          <w:b/>
          <w:sz w:val="24"/>
          <w:szCs w:val="24"/>
        </w:rPr>
        <w:t xml:space="preserve">: </w:t>
      </w:r>
      <w:r w:rsidRPr="00DA4E57">
        <w:rPr>
          <w:rFonts w:ascii="Book Antiqua" w:hAnsi="Book Antiqua"/>
          <w:sz w:val="24"/>
          <w:szCs w:val="24"/>
        </w:rPr>
        <w:t>Liver transplantation</w:t>
      </w:r>
      <w:r w:rsidR="00830A99">
        <w:rPr>
          <w:rFonts w:ascii="Book Antiqua" w:hAnsi="Book Antiqua" w:hint="eastAsia"/>
          <w:sz w:val="24"/>
          <w:szCs w:val="24"/>
        </w:rPr>
        <w:t>;</w:t>
      </w:r>
      <w:r w:rsidRPr="00DA4E57">
        <w:rPr>
          <w:rFonts w:ascii="Book Antiqua" w:hAnsi="Book Antiqua"/>
          <w:sz w:val="24"/>
          <w:szCs w:val="24"/>
        </w:rPr>
        <w:t xml:space="preserve"> </w:t>
      </w:r>
      <w:r w:rsidR="00830A99" w:rsidRPr="00DA4E57">
        <w:rPr>
          <w:rFonts w:ascii="Book Antiqua" w:hAnsi="Book Antiqua"/>
          <w:sz w:val="24"/>
          <w:szCs w:val="24"/>
        </w:rPr>
        <w:t>Sorafenib</w:t>
      </w:r>
      <w:r w:rsidR="00830A99">
        <w:rPr>
          <w:rFonts w:ascii="Book Antiqua" w:hAnsi="Book Antiqua" w:hint="eastAsia"/>
          <w:sz w:val="24"/>
          <w:szCs w:val="24"/>
        </w:rPr>
        <w:t>;</w:t>
      </w:r>
      <w:r w:rsidRPr="00DA4E57">
        <w:rPr>
          <w:rFonts w:ascii="Book Antiqua" w:hAnsi="Book Antiqua"/>
          <w:sz w:val="24"/>
          <w:szCs w:val="24"/>
        </w:rPr>
        <w:t xml:space="preserve"> </w:t>
      </w:r>
      <w:r w:rsidR="00830A99" w:rsidRPr="00DA4E57">
        <w:rPr>
          <w:rFonts w:ascii="Book Antiqua" w:hAnsi="Book Antiqua"/>
          <w:sz w:val="24"/>
          <w:szCs w:val="24"/>
        </w:rPr>
        <w:t>Peri</w:t>
      </w:r>
      <w:r w:rsidRPr="00DA4E57">
        <w:rPr>
          <w:rFonts w:ascii="Book Antiqua" w:hAnsi="Book Antiqua"/>
          <w:sz w:val="24"/>
          <w:szCs w:val="24"/>
        </w:rPr>
        <w:t>-operational period</w:t>
      </w:r>
      <w:r w:rsidR="00830A99">
        <w:rPr>
          <w:rFonts w:ascii="Book Antiqua" w:hAnsi="Book Antiqua" w:hint="eastAsia"/>
          <w:sz w:val="24"/>
          <w:szCs w:val="24"/>
        </w:rPr>
        <w:t xml:space="preserve">; </w:t>
      </w:r>
      <w:r w:rsidRPr="00DA4E57">
        <w:rPr>
          <w:rFonts w:ascii="Book Antiqua" w:hAnsi="Book Antiqua"/>
          <w:sz w:val="24"/>
          <w:szCs w:val="24"/>
        </w:rPr>
        <w:t>Kaplan-Meier curve</w:t>
      </w:r>
      <w:r w:rsidR="00830A99">
        <w:rPr>
          <w:rFonts w:ascii="Book Antiqua" w:hAnsi="Book Antiqua" w:hint="eastAsia"/>
          <w:sz w:val="24"/>
          <w:szCs w:val="24"/>
        </w:rPr>
        <w:t>;</w:t>
      </w:r>
      <w:r w:rsidRPr="00DA4E57">
        <w:rPr>
          <w:rFonts w:ascii="Book Antiqua" w:hAnsi="Book Antiqua"/>
          <w:sz w:val="24"/>
          <w:szCs w:val="24"/>
        </w:rPr>
        <w:t xml:space="preserve"> </w:t>
      </w:r>
      <w:r w:rsidR="00830A99" w:rsidRPr="00DA4E57">
        <w:rPr>
          <w:rFonts w:ascii="Book Antiqua" w:hAnsi="Book Antiqua"/>
          <w:sz w:val="24"/>
          <w:szCs w:val="24"/>
        </w:rPr>
        <w:t xml:space="preserve">Hazard </w:t>
      </w:r>
      <w:r w:rsidRPr="00DA4E57">
        <w:rPr>
          <w:rFonts w:ascii="Book Antiqua" w:hAnsi="Book Antiqua"/>
          <w:sz w:val="24"/>
          <w:szCs w:val="24"/>
        </w:rPr>
        <w:t>ratio</w:t>
      </w:r>
    </w:p>
    <w:p w:rsidR="00F53CAE" w:rsidRDefault="00F53CAE" w:rsidP="00830A99">
      <w:pPr>
        <w:spacing w:line="360" w:lineRule="auto"/>
        <w:rPr>
          <w:rFonts w:ascii="Book Antiqua" w:hAnsi="Book Antiqua"/>
          <w:sz w:val="24"/>
          <w:szCs w:val="24"/>
        </w:rPr>
      </w:pPr>
      <w:r w:rsidRPr="00DA4E57">
        <w:rPr>
          <w:rFonts w:ascii="Book Antiqua" w:hAnsi="Book Antiqua" w:cs="Arial Unicode MS"/>
          <w:b/>
          <w:sz w:val="24"/>
          <w:szCs w:val="24"/>
        </w:rPr>
        <w:lastRenderedPageBreak/>
        <w:t>Core tip:</w:t>
      </w:r>
      <w:bookmarkEnd w:id="40"/>
      <w:bookmarkEnd w:id="41"/>
      <w:bookmarkEnd w:id="42"/>
      <w:bookmarkEnd w:id="43"/>
      <w:bookmarkEnd w:id="44"/>
      <w:bookmarkEnd w:id="45"/>
      <w:r w:rsidR="00830A99">
        <w:rPr>
          <w:rFonts w:ascii="Book Antiqua" w:hAnsi="Book Antiqua" w:cs="Arial Unicode MS" w:hint="eastAsia"/>
          <w:b/>
          <w:sz w:val="24"/>
          <w:szCs w:val="24"/>
        </w:rPr>
        <w:t xml:space="preserve"> </w:t>
      </w:r>
      <w:r w:rsidRPr="00DA4E57">
        <w:rPr>
          <w:rFonts w:ascii="Book Antiqua" w:hAnsi="Book Antiqua"/>
          <w:sz w:val="24"/>
          <w:szCs w:val="24"/>
        </w:rPr>
        <w:t xml:space="preserve">The data were extracted from the K-M curves of every study identified and then input into an HR calculations spreadsheet. The HRs generated from the sheet were integrated with the help of RevMan5.0. Generally speaking, this is the first meta-analysis concerning the use of sorafenib in the peri-operative period of liver transplantation. </w:t>
      </w:r>
    </w:p>
    <w:p w:rsidR="00830A99" w:rsidRPr="00830A99" w:rsidRDefault="00830A99" w:rsidP="00830A99">
      <w:pPr>
        <w:spacing w:line="360" w:lineRule="auto"/>
        <w:rPr>
          <w:rFonts w:ascii="Book Antiqua" w:hAnsi="Book Antiqua" w:cs="Arial Unicode MS"/>
          <w:b/>
          <w:sz w:val="24"/>
          <w:szCs w:val="24"/>
        </w:rPr>
      </w:pPr>
    </w:p>
    <w:p w:rsidR="00830A99" w:rsidRPr="00712F63" w:rsidRDefault="00830A99" w:rsidP="00830A99">
      <w:pPr>
        <w:adjustRightInd w:val="0"/>
        <w:snapToGrid w:val="0"/>
        <w:spacing w:line="360" w:lineRule="auto"/>
        <w:rPr>
          <w:rFonts w:ascii="Book Antiqua" w:hAnsi="Book Antiqua"/>
          <w:sz w:val="24"/>
        </w:rPr>
      </w:pPr>
      <w:bookmarkStart w:id="49" w:name="OLE_LINK130"/>
      <w:bookmarkStart w:id="50" w:name="OLE_LINK134"/>
      <w:r w:rsidRPr="00DA4E57">
        <w:rPr>
          <w:rFonts w:ascii="Book Antiqua" w:hAnsi="Book Antiqua"/>
          <w:bCs/>
          <w:sz w:val="24"/>
          <w:szCs w:val="24"/>
        </w:rPr>
        <w:t>Qi</w:t>
      </w:r>
      <w:r>
        <w:rPr>
          <w:rFonts w:ascii="Book Antiqua" w:hAnsi="Book Antiqua" w:hint="eastAsia"/>
          <w:bCs/>
          <w:sz w:val="24"/>
          <w:szCs w:val="24"/>
        </w:rPr>
        <w:t xml:space="preserve"> HL, </w:t>
      </w:r>
      <w:r w:rsidRPr="00DA4E57">
        <w:rPr>
          <w:rFonts w:ascii="Book Antiqua" w:hAnsi="Book Antiqua"/>
          <w:bCs/>
          <w:sz w:val="24"/>
          <w:szCs w:val="24"/>
        </w:rPr>
        <w:t>Zhuang</w:t>
      </w:r>
      <w:r>
        <w:rPr>
          <w:rFonts w:ascii="Book Antiqua" w:hAnsi="Book Antiqua" w:hint="eastAsia"/>
          <w:bCs/>
          <w:sz w:val="24"/>
          <w:szCs w:val="24"/>
        </w:rPr>
        <w:t xml:space="preserve"> BJ, </w:t>
      </w:r>
      <w:r w:rsidRPr="00DA4E57">
        <w:rPr>
          <w:rFonts w:ascii="Book Antiqua" w:hAnsi="Book Antiqua"/>
          <w:bCs/>
          <w:sz w:val="24"/>
          <w:szCs w:val="24"/>
        </w:rPr>
        <w:t>Li</w:t>
      </w:r>
      <w:r>
        <w:rPr>
          <w:rFonts w:ascii="Book Antiqua" w:hAnsi="Book Antiqua" w:hint="eastAsia"/>
          <w:bCs/>
          <w:sz w:val="24"/>
          <w:szCs w:val="24"/>
        </w:rPr>
        <w:t xml:space="preserve"> CS, </w:t>
      </w:r>
      <w:r w:rsidRPr="00DA4E57">
        <w:rPr>
          <w:rFonts w:ascii="Book Antiqua" w:hAnsi="Book Antiqua"/>
          <w:bCs/>
          <w:sz w:val="24"/>
          <w:szCs w:val="24"/>
        </w:rPr>
        <w:t>Liu</w:t>
      </w:r>
      <w:r>
        <w:rPr>
          <w:rFonts w:ascii="Book Antiqua" w:hAnsi="Book Antiqua" w:hint="eastAsia"/>
          <w:bCs/>
          <w:sz w:val="24"/>
          <w:szCs w:val="24"/>
        </w:rPr>
        <w:t xml:space="preserve"> QY. </w:t>
      </w:r>
      <w:r w:rsidRPr="00830A99">
        <w:rPr>
          <w:rFonts w:ascii="Book Antiqua" w:hAnsi="Book Antiqua"/>
          <w:bCs/>
          <w:sz w:val="24"/>
          <w:szCs w:val="24"/>
        </w:rPr>
        <w:t>Sorafenib for the peri-operative treatment of liver transplantation: A time-to-event meta-analysis</w:t>
      </w:r>
      <w:r>
        <w:rPr>
          <w:rFonts w:ascii="Book Antiqua" w:hAnsi="Book Antiqua" w:hint="eastAsia"/>
          <w:bCs/>
          <w:sz w:val="24"/>
          <w:szCs w:val="24"/>
        </w:rPr>
        <w:t xml:space="preserve">. </w:t>
      </w:r>
      <w:bookmarkStart w:id="51" w:name="OLE_LINK424"/>
      <w:bookmarkStart w:id="52" w:name="OLE_LINK425"/>
      <w:bookmarkStart w:id="53" w:name="OLE_LINK456"/>
      <w:bookmarkEnd w:id="39"/>
      <w:bookmarkEnd w:id="46"/>
      <w:bookmarkEnd w:id="47"/>
      <w:bookmarkEnd w:id="48"/>
      <w:bookmarkEnd w:id="49"/>
      <w:bookmarkEnd w:id="50"/>
      <w:r w:rsidRPr="00712F63">
        <w:rPr>
          <w:rFonts w:ascii="Book Antiqua" w:hAnsi="Book Antiqua"/>
          <w:i/>
          <w:sz w:val="24"/>
        </w:rPr>
        <w:t>World J Gastroenterol</w:t>
      </w:r>
      <w:r w:rsidRPr="00712F63">
        <w:rPr>
          <w:rFonts w:ascii="Book Antiqua" w:hAnsi="Book Antiqua"/>
          <w:sz w:val="24"/>
        </w:rPr>
        <w:t xml:space="preserve"> 2014; </w:t>
      </w:r>
      <w:bookmarkStart w:id="54" w:name="OLE_LINK1689"/>
      <w:bookmarkStart w:id="55" w:name="OLE_LINK1298"/>
      <w:bookmarkStart w:id="56" w:name="OLE_LINK1297"/>
      <w:r w:rsidRPr="00712F63">
        <w:rPr>
          <w:rFonts w:ascii="Book Antiqua" w:hAnsi="Book Antiqua"/>
          <w:sz w:val="24"/>
        </w:rPr>
        <w:t>In press</w:t>
      </w:r>
      <w:bookmarkEnd w:id="54"/>
      <w:bookmarkEnd w:id="55"/>
      <w:bookmarkEnd w:id="56"/>
    </w:p>
    <w:bookmarkEnd w:id="51"/>
    <w:bookmarkEnd w:id="52"/>
    <w:bookmarkEnd w:id="53"/>
    <w:p w:rsidR="00F53CAE" w:rsidRPr="00DA4E57" w:rsidRDefault="00F53CAE" w:rsidP="00830A99">
      <w:pPr>
        <w:spacing w:line="360" w:lineRule="auto"/>
        <w:rPr>
          <w:rFonts w:ascii="Book Antiqua" w:hAnsi="Book Antiqua"/>
          <w:b/>
          <w:sz w:val="24"/>
          <w:szCs w:val="24"/>
        </w:rPr>
      </w:pPr>
      <w:r w:rsidRPr="00DA4E57">
        <w:rPr>
          <w:rFonts w:ascii="Book Antiqua" w:hAnsi="Book Antiqua"/>
          <w:b/>
          <w:i/>
          <w:sz w:val="24"/>
          <w:szCs w:val="24"/>
        </w:rPr>
        <w:br w:type="page"/>
      </w:r>
      <w:r w:rsidRPr="00DA4E57">
        <w:rPr>
          <w:rFonts w:ascii="Book Antiqua" w:hAnsi="Book Antiqua"/>
          <w:b/>
          <w:sz w:val="24"/>
          <w:szCs w:val="24"/>
        </w:rPr>
        <w:lastRenderedPageBreak/>
        <w:t>INTRODUCTION</w:t>
      </w:r>
    </w:p>
    <w:p w:rsidR="00F53CAE" w:rsidRPr="00DA4E57" w:rsidRDefault="00F53CAE" w:rsidP="00830A99">
      <w:pPr>
        <w:spacing w:line="360" w:lineRule="auto"/>
        <w:rPr>
          <w:rFonts w:ascii="Book Antiqua" w:hAnsi="Book Antiqua"/>
          <w:sz w:val="24"/>
          <w:szCs w:val="24"/>
        </w:rPr>
      </w:pPr>
      <w:r w:rsidRPr="00DA4E57">
        <w:rPr>
          <w:rFonts w:ascii="Book Antiqua" w:hAnsi="Book Antiqua"/>
          <w:sz w:val="24"/>
          <w:szCs w:val="24"/>
        </w:rPr>
        <w:t>Liver cancer is the sixth most common cancer in the world and represents the third most commo</w:t>
      </w:r>
      <w:r w:rsidR="00830A99">
        <w:rPr>
          <w:rFonts w:ascii="Book Antiqua" w:hAnsi="Book Antiqua"/>
          <w:sz w:val="24"/>
          <w:szCs w:val="24"/>
        </w:rPr>
        <w:t>n cause of cancer-related death</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NE.Ref.{9DB2E444-F873-40A7-8FBE-9A0A21222161}</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[1]</w:t>
      </w:r>
      <w:r w:rsidR="003D2867" w:rsidRPr="00DA4E57">
        <w:rPr>
          <w:rFonts w:ascii="Book Antiqua" w:hAnsi="Book Antiqua"/>
          <w:sz w:val="24"/>
          <w:szCs w:val="24"/>
          <w:vertAlign w:val="superscript"/>
        </w:rPr>
        <w:fldChar w:fldCharType="end"/>
      </w:r>
      <w:r w:rsidRPr="00DA4E57">
        <w:rPr>
          <w:rFonts w:ascii="Book Antiqua" w:hAnsi="Book Antiqua"/>
          <w:sz w:val="24"/>
          <w:szCs w:val="24"/>
        </w:rPr>
        <w:t>. Surgical resection and liver transplantation have been considered the most potentially curative treatments up to now. Especially for patients with a solitary lesion of &lt;</w:t>
      </w:r>
      <w:r w:rsidR="00830A99">
        <w:rPr>
          <w:rFonts w:ascii="Book Antiqua" w:hAnsi="Book Antiqua" w:hint="eastAsia"/>
          <w:sz w:val="24"/>
          <w:szCs w:val="24"/>
        </w:rPr>
        <w:t xml:space="preserve"> </w:t>
      </w:r>
      <w:r w:rsidRPr="00DA4E57">
        <w:rPr>
          <w:rFonts w:ascii="Book Antiqua" w:hAnsi="Book Antiqua"/>
          <w:sz w:val="24"/>
          <w:szCs w:val="24"/>
        </w:rPr>
        <w:t>5 cm or three nodules &lt;</w:t>
      </w:r>
      <w:r w:rsidR="00830A99">
        <w:rPr>
          <w:rFonts w:ascii="Book Antiqua" w:hAnsi="Book Antiqua" w:hint="eastAsia"/>
          <w:sz w:val="24"/>
          <w:szCs w:val="24"/>
        </w:rPr>
        <w:t xml:space="preserve"> </w:t>
      </w:r>
      <w:r w:rsidRPr="00DA4E57">
        <w:rPr>
          <w:rFonts w:ascii="Book Antiqua" w:hAnsi="Book Antiqua"/>
          <w:sz w:val="24"/>
          <w:szCs w:val="24"/>
        </w:rPr>
        <w:t>3 cm that are not suitable for resection [III, A], liver transplantation is the ultimate best choice. Still, sufficient improvements in 5-year disease-free and overall survival rates for patients receiving transplantations have not been obtained, as the post-transplantation reoccurrence rate o</w:t>
      </w:r>
      <w:r w:rsidR="00830A99">
        <w:rPr>
          <w:rFonts w:ascii="Book Antiqua" w:hAnsi="Book Antiqua"/>
          <w:sz w:val="24"/>
          <w:szCs w:val="24"/>
        </w:rPr>
        <w:t>f carcinoma is as high as 66.7%</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NE.Ref.{574457B2-5798-4928-ADB2-62BDAB7C0A7F}</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[2]</w:t>
      </w:r>
      <w:r w:rsidR="003D2867" w:rsidRPr="00DA4E57">
        <w:rPr>
          <w:rFonts w:ascii="Book Antiqua" w:hAnsi="Book Antiqua"/>
          <w:sz w:val="24"/>
          <w:szCs w:val="24"/>
          <w:vertAlign w:val="superscript"/>
        </w:rPr>
        <w:fldChar w:fldCharType="end"/>
      </w:r>
      <w:r w:rsidRPr="00DA4E57">
        <w:rPr>
          <w:rFonts w:ascii="Book Antiqua" w:hAnsi="Book Antiqua"/>
          <w:sz w:val="24"/>
          <w:szCs w:val="24"/>
        </w:rPr>
        <w:t>. As a result, there is an urgent need for an effective method to decrease the post-transplantation recurrence rate.</w:t>
      </w:r>
    </w:p>
    <w:p w:rsidR="00F53CAE" w:rsidRPr="00DA4E57" w:rsidRDefault="00F53CAE" w:rsidP="00F53CAE">
      <w:pPr>
        <w:widowControl/>
        <w:spacing w:line="360" w:lineRule="auto"/>
        <w:ind w:firstLineChars="150" w:firstLine="360"/>
        <w:rPr>
          <w:rFonts w:ascii="Book Antiqua" w:hAnsi="Book Antiqua"/>
          <w:sz w:val="24"/>
          <w:szCs w:val="24"/>
        </w:rPr>
      </w:pPr>
      <w:r w:rsidRPr="00DA4E57">
        <w:rPr>
          <w:rFonts w:ascii="Book Antiqua" w:hAnsi="Book Antiqua"/>
          <w:sz w:val="24"/>
          <w:szCs w:val="24"/>
        </w:rPr>
        <w:t xml:space="preserve">Sorafenib </w:t>
      </w:r>
      <w:bookmarkStart w:id="57" w:name="OLE_LINK105"/>
      <w:bookmarkStart w:id="58" w:name="OLE_LINK112"/>
      <w:r w:rsidRPr="00DA4E57">
        <w:rPr>
          <w:rFonts w:ascii="Book Antiqua" w:hAnsi="Book Antiqua"/>
          <w:sz w:val="24"/>
          <w:szCs w:val="24"/>
        </w:rPr>
        <w:t xml:space="preserve">is a type of multi-kinase inhibitor that is able to block the Raf/mitogen-activated protein kinase extracellular signal-regulated kinase (MEK)/extracellular signal-regulated kinase (ERK) </w:t>
      </w:r>
      <w:bookmarkEnd w:id="57"/>
      <w:bookmarkEnd w:id="58"/>
      <w:r w:rsidR="00830A99">
        <w:rPr>
          <w:rFonts w:ascii="Book Antiqua" w:hAnsi="Book Antiqua"/>
          <w:sz w:val="24"/>
          <w:szCs w:val="24"/>
        </w:rPr>
        <w:t>pathway</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NE.Ref.{8E5CB7C1-2D93-42DE-9F83-B75F891846FB}</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[3]</w:t>
      </w:r>
      <w:r w:rsidR="003D2867" w:rsidRPr="00DA4E57">
        <w:rPr>
          <w:rFonts w:ascii="Book Antiqua" w:hAnsi="Book Antiqua"/>
          <w:sz w:val="24"/>
          <w:szCs w:val="24"/>
          <w:vertAlign w:val="superscript"/>
        </w:rPr>
        <w:fldChar w:fldCharType="end"/>
      </w:r>
      <w:r w:rsidRPr="00DA4E57">
        <w:rPr>
          <w:rFonts w:ascii="Book Antiqua" w:hAnsi="Book Antiqua"/>
          <w:sz w:val="24"/>
          <w:szCs w:val="24"/>
        </w:rPr>
        <w:t>. Due to this pathway’s involvement in tumorigenesis, including liver cancer, sorafenib could be used to restrain the proliferation and survival of tumor cells. Consequently, sorafenib has been introduced for the treatment of liver cancer.</w:t>
      </w:r>
    </w:p>
    <w:p w:rsidR="00F53CAE" w:rsidRPr="00DA4E57" w:rsidRDefault="00F53CAE" w:rsidP="00F53CAE">
      <w:pPr>
        <w:spacing w:line="360" w:lineRule="auto"/>
        <w:ind w:firstLineChars="150" w:firstLine="360"/>
        <w:rPr>
          <w:rFonts w:ascii="Book Antiqua" w:hAnsi="Book Antiqua"/>
          <w:sz w:val="24"/>
          <w:szCs w:val="24"/>
        </w:rPr>
      </w:pPr>
      <w:r w:rsidRPr="00DA4E57">
        <w:rPr>
          <w:rFonts w:ascii="Book Antiqua" w:hAnsi="Book Antiqua"/>
          <w:sz w:val="24"/>
          <w:szCs w:val="24"/>
        </w:rPr>
        <w:t xml:space="preserve">Up to now, there have been several clinical experiments focusing on the peri-operational utility of sorafenib concerning liver transplantation, rating its validity as </w:t>
      </w:r>
      <w:bookmarkStart w:id="59" w:name="OLE_LINK3"/>
      <w:bookmarkStart w:id="60" w:name="OLE_LINK4"/>
      <w:r w:rsidRPr="00DA4E57">
        <w:rPr>
          <w:rFonts w:ascii="Book Antiqua" w:hAnsi="Book Antiqua"/>
          <w:sz w:val="24"/>
          <w:szCs w:val="24"/>
        </w:rPr>
        <w:t>an adjuvant therapy</w:t>
      </w:r>
      <w:bookmarkEnd w:id="59"/>
      <w:bookmarkEnd w:id="60"/>
      <w:r w:rsidRPr="00DA4E57">
        <w:rPr>
          <w:rFonts w:ascii="Book Antiqua" w:hAnsi="Book Antiqua"/>
          <w:sz w:val="24"/>
          <w:szCs w:val="24"/>
        </w:rPr>
        <w:t xml:space="preserve"> for cancer patients. However, a sufficiently large sample undergoing multi-center experiments to provide an overall evaluation of sorafenib in the peri-operational period of liver transplantation is still lacking. The present meta-analysis was intended to integrate all of the relevant literature to assess the curative effect of sorafenib as an adjuvant therapy.</w:t>
      </w:r>
    </w:p>
    <w:p w:rsidR="00F53CAE" w:rsidRPr="00DA4E57" w:rsidRDefault="00F53CAE" w:rsidP="00F53CAE">
      <w:pPr>
        <w:spacing w:line="360" w:lineRule="auto"/>
        <w:ind w:firstLineChars="150" w:firstLine="360"/>
        <w:rPr>
          <w:rFonts w:ascii="Book Antiqua" w:hAnsi="Book Antiqua"/>
          <w:sz w:val="24"/>
          <w:szCs w:val="24"/>
        </w:rPr>
      </w:pPr>
    </w:p>
    <w:bookmarkEnd w:id="19"/>
    <w:bookmarkEnd w:id="20"/>
    <w:p w:rsidR="00F53CAE" w:rsidRPr="00DA4E57" w:rsidRDefault="00F53CAE" w:rsidP="00F53CAE">
      <w:pPr>
        <w:widowControl/>
        <w:spacing w:line="360" w:lineRule="auto"/>
        <w:outlineLvl w:val="0"/>
        <w:rPr>
          <w:rFonts w:ascii="Book Antiqua" w:hAnsi="Book Antiqua"/>
          <w:b/>
          <w:sz w:val="24"/>
          <w:szCs w:val="24"/>
        </w:rPr>
      </w:pPr>
      <w:r w:rsidRPr="00DA4E57">
        <w:rPr>
          <w:rFonts w:ascii="Book Antiqua" w:hAnsi="Book Antiqua"/>
          <w:b/>
          <w:sz w:val="24"/>
          <w:szCs w:val="24"/>
        </w:rPr>
        <w:t>MATERIALS AND METHODS</w:t>
      </w:r>
    </w:p>
    <w:p w:rsidR="00F53CAE" w:rsidRPr="00DA4E57" w:rsidRDefault="00F53CAE" w:rsidP="00F53CAE">
      <w:pPr>
        <w:widowControl/>
        <w:spacing w:line="360" w:lineRule="auto"/>
        <w:outlineLvl w:val="0"/>
        <w:rPr>
          <w:rFonts w:ascii="Book Antiqua" w:hAnsi="Book Antiqua"/>
          <w:b/>
          <w:i/>
          <w:sz w:val="24"/>
          <w:szCs w:val="24"/>
        </w:rPr>
      </w:pPr>
      <w:r w:rsidRPr="00DA4E57">
        <w:rPr>
          <w:rFonts w:ascii="Book Antiqua" w:hAnsi="Book Antiqua"/>
          <w:b/>
          <w:i/>
          <w:sz w:val="24"/>
          <w:szCs w:val="24"/>
        </w:rPr>
        <w:t>Literature search</w:t>
      </w:r>
    </w:p>
    <w:p w:rsidR="00F53CAE" w:rsidRPr="00DA4E57" w:rsidRDefault="00F53CAE" w:rsidP="00F53CAE">
      <w:pPr>
        <w:widowControl/>
        <w:spacing w:line="360" w:lineRule="auto"/>
        <w:rPr>
          <w:rFonts w:ascii="Book Antiqua" w:hAnsi="Book Antiqua"/>
          <w:b/>
          <w:i/>
          <w:sz w:val="24"/>
          <w:szCs w:val="24"/>
        </w:rPr>
      </w:pPr>
      <w:r w:rsidRPr="00DA4E57">
        <w:rPr>
          <w:rFonts w:ascii="Book Antiqua" w:hAnsi="Book Antiqua"/>
          <w:sz w:val="24"/>
          <w:szCs w:val="24"/>
        </w:rPr>
        <w:lastRenderedPageBreak/>
        <w:t>Articles were identified by an electronic search on PubMed, EMBASE, and MEDLINE using the keywords “liver transplantation” and "sorafenib", and the personal bibliographies of two of the authors were also included. The bibliographies reported in any of the studies identified were used for further trial identification.</w:t>
      </w:r>
    </w:p>
    <w:p w:rsidR="00F53CAE" w:rsidRDefault="00F53CAE" w:rsidP="00830A99">
      <w:pPr>
        <w:widowControl/>
        <w:spacing w:line="360" w:lineRule="auto"/>
        <w:ind w:firstLineChars="150" w:firstLine="360"/>
        <w:rPr>
          <w:rFonts w:ascii="Book Antiqua" w:hAnsi="Book Antiqua"/>
          <w:sz w:val="24"/>
          <w:szCs w:val="24"/>
        </w:rPr>
      </w:pPr>
      <w:r w:rsidRPr="00DA4E57">
        <w:rPr>
          <w:rFonts w:ascii="Book Antiqua" w:hAnsi="Book Antiqua"/>
          <w:sz w:val="24"/>
          <w:szCs w:val="24"/>
        </w:rPr>
        <w:t>The articles are limited to published trials with at least an abstract given in English. No contact was made with the authors to obtain unpublished data.</w:t>
      </w:r>
    </w:p>
    <w:p w:rsidR="00830A99" w:rsidRPr="00DA4E57" w:rsidRDefault="00830A99" w:rsidP="00830A99">
      <w:pPr>
        <w:widowControl/>
        <w:spacing w:line="360" w:lineRule="auto"/>
        <w:ind w:firstLineChars="150" w:firstLine="360"/>
        <w:rPr>
          <w:rFonts w:ascii="Book Antiqua" w:hAnsi="Book Antiqua"/>
          <w:sz w:val="24"/>
          <w:szCs w:val="24"/>
        </w:rPr>
      </w:pPr>
    </w:p>
    <w:p w:rsidR="00F53CAE" w:rsidRPr="00DA4E57" w:rsidRDefault="00F53CAE" w:rsidP="00F53CAE">
      <w:pPr>
        <w:widowControl/>
        <w:spacing w:line="360" w:lineRule="auto"/>
        <w:outlineLvl w:val="0"/>
        <w:rPr>
          <w:rFonts w:ascii="Book Antiqua" w:hAnsi="Book Antiqua"/>
          <w:b/>
          <w:i/>
          <w:sz w:val="24"/>
          <w:szCs w:val="24"/>
        </w:rPr>
      </w:pPr>
      <w:r w:rsidRPr="00DA4E57">
        <w:rPr>
          <w:rFonts w:ascii="Book Antiqua" w:hAnsi="Book Antiqua"/>
          <w:b/>
          <w:i/>
          <w:sz w:val="24"/>
          <w:szCs w:val="24"/>
        </w:rPr>
        <w:t xml:space="preserve">Selection of </w:t>
      </w:r>
      <w:r w:rsidR="00604A07" w:rsidRPr="00DA4E57">
        <w:rPr>
          <w:rFonts w:ascii="Book Antiqua" w:hAnsi="Book Antiqua"/>
          <w:b/>
          <w:i/>
          <w:sz w:val="24"/>
          <w:szCs w:val="24"/>
        </w:rPr>
        <w:t>trials</w:t>
      </w:r>
    </w:p>
    <w:p w:rsidR="00F53CAE" w:rsidRPr="00DA4E57" w:rsidRDefault="00F53CAE" w:rsidP="00F53CAE">
      <w:pPr>
        <w:widowControl/>
        <w:spacing w:line="360" w:lineRule="auto"/>
        <w:rPr>
          <w:rFonts w:ascii="Book Antiqua" w:hAnsi="Book Antiqua"/>
          <w:sz w:val="24"/>
          <w:szCs w:val="24"/>
        </w:rPr>
      </w:pPr>
      <w:r w:rsidRPr="00DA4E57">
        <w:rPr>
          <w:rFonts w:ascii="Book Antiqua" w:hAnsi="Book Antiqua"/>
          <w:sz w:val="24"/>
          <w:szCs w:val="24"/>
        </w:rPr>
        <w:t>A total of 104 articles was obtained, spanning November 2008 to September 2013.</w:t>
      </w:r>
    </w:p>
    <w:p w:rsidR="00F53CAE" w:rsidRPr="00DA4E57" w:rsidRDefault="00F53CAE" w:rsidP="00F53CAE">
      <w:pPr>
        <w:widowControl/>
        <w:spacing w:line="360" w:lineRule="auto"/>
        <w:ind w:firstLineChars="150" w:firstLine="360"/>
        <w:rPr>
          <w:rFonts w:ascii="Book Antiqua" w:hAnsi="Book Antiqua"/>
          <w:sz w:val="24"/>
          <w:szCs w:val="24"/>
        </w:rPr>
      </w:pPr>
      <w:r w:rsidRPr="00DA4E57">
        <w:rPr>
          <w:rFonts w:ascii="Book Antiqua" w:hAnsi="Book Antiqua"/>
          <w:sz w:val="24"/>
          <w:szCs w:val="24"/>
        </w:rPr>
        <w:t>Before determining the targets, several standards were decided. The potential literature to be included had to fulfill the following criteria: (1)</w:t>
      </w:r>
      <w:r w:rsidR="00830A99">
        <w:rPr>
          <w:rFonts w:ascii="Book Antiqua" w:hAnsi="Book Antiqua" w:hint="eastAsia"/>
          <w:sz w:val="24"/>
          <w:szCs w:val="24"/>
        </w:rPr>
        <w:t xml:space="preserve"> </w:t>
      </w:r>
      <w:r w:rsidRPr="00DA4E57">
        <w:rPr>
          <w:rFonts w:ascii="Book Antiqua" w:hAnsi="Book Antiqua"/>
          <w:sz w:val="24"/>
          <w:szCs w:val="24"/>
        </w:rPr>
        <w:t>the experiment was carried out on humans who were going to or had received a liver transplantation; (2)</w:t>
      </w:r>
      <w:r w:rsidR="00830A99">
        <w:rPr>
          <w:rFonts w:ascii="Book Antiqua" w:hAnsi="Book Antiqua" w:hint="eastAsia"/>
          <w:sz w:val="24"/>
          <w:szCs w:val="24"/>
        </w:rPr>
        <w:t xml:space="preserve"> </w:t>
      </w:r>
      <w:r w:rsidRPr="00DA4E57">
        <w:rPr>
          <w:rFonts w:ascii="Book Antiqua" w:hAnsi="Book Antiqua"/>
          <w:sz w:val="24"/>
          <w:szCs w:val="24"/>
        </w:rPr>
        <w:t>sorafenib was compared with a placebo or other non-sorafenib treatment during the peri-operative period of liver transplantation; (3)</w:t>
      </w:r>
      <w:r w:rsidR="00830A99">
        <w:rPr>
          <w:rFonts w:ascii="Book Antiqua" w:hAnsi="Book Antiqua" w:hint="eastAsia"/>
          <w:sz w:val="24"/>
          <w:szCs w:val="24"/>
        </w:rPr>
        <w:t xml:space="preserve"> </w:t>
      </w:r>
      <w:r w:rsidRPr="00DA4E57">
        <w:rPr>
          <w:rFonts w:ascii="Book Antiqua" w:hAnsi="Book Antiqua"/>
          <w:sz w:val="24"/>
          <w:szCs w:val="24"/>
        </w:rPr>
        <w:t>randomized controlled trails were the first choice, followed by cohort and then case-control studies; (4)</w:t>
      </w:r>
      <w:r w:rsidR="00830A99">
        <w:rPr>
          <w:rFonts w:ascii="Book Antiqua" w:hAnsi="Book Antiqua" w:hint="eastAsia"/>
          <w:sz w:val="24"/>
          <w:szCs w:val="24"/>
        </w:rPr>
        <w:t xml:space="preserve"> </w:t>
      </w:r>
      <w:r w:rsidRPr="00DA4E57">
        <w:rPr>
          <w:rFonts w:ascii="Book Antiqua" w:hAnsi="Book Antiqua"/>
          <w:sz w:val="24"/>
          <w:szCs w:val="24"/>
        </w:rPr>
        <w:t>all of the studies had to have a common end point, which was defined as the time of patient death or the last time of follow up; and (5)</w:t>
      </w:r>
      <w:r w:rsidR="00830A99">
        <w:rPr>
          <w:rFonts w:ascii="Book Antiqua" w:hAnsi="Book Antiqua" w:hint="eastAsia"/>
          <w:sz w:val="24"/>
          <w:szCs w:val="24"/>
        </w:rPr>
        <w:t xml:space="preserve"> </w:t>
      </w:r>
      <w:r w:rsidRPr="00DA4E57">
        <w:rPr>
          <w:rFonts w:ascii="Book Antiqua" w:hAnsi="Book Antiqua"/>
          <w:sz w:val="24"/>
          <w:szCs w:val="24"/>
        </w:rPr>
        <w:t>all potentially included studies should provide survival curves or HRs with corresponding confidence intervals of 95%.</w:t>
      </w:r>
    </w:p>
    <w:p w:rsidR="00F53CAE" w:rsidRDefault="00F53CAE" w:rsidP="00F53CAE">
      <w:pPr>
        <w:widowControl/>
        <w:spacing w:line="360" w:lineRule="auto"/>
        <w:ind w:firstLineChars="150" w:firstLine="360"/>
        <w:rPr>
          <w:rFonts w:ascii="Book Antiqua" w:hAnsi="Book Antiqua"/>
          <w:sz w:val="24"/>
          <w:szCs w:val="24"/>
        </w:rPr>
      </w:pPr>
      <w:r w:rsidRPr="00DA4E57">
        <w:rPr>
          <w:rFonts w:ascii="Book Antiqua" w:hAnsi="Book Antiqua"/>
          <w:sz w:val="24"/>
          <w:szCs w:val="24"/>
        </w:rPr>
        <w:t>Out of the 104 studies identified, none were randomized controlled trials; 82 were not clinical experiments; and 18 did not fulfill the inclusion standards. Among the remaining 4 articles, only 1 was related to the preoperative use of sorafenib, whereas the other 3 were related to its postoperative use. As a result, only 4 retrospective cohort</w:t>
      </w:r>
      <w:r w:rsidR="003D2867" w:rsidRPr="00DA4E57">
        <w:rPr>
          <w:rFonts w:ascii="Book Antiqua" w:hAnsi="Book Antiqua"/>
          <w:sz w:val="24"/>
          <w:szCs w:val="24"/>
        </w:rPr>
        <w:fldChar w:fldCharType="begin"/>
      </w:r>
      <w:r w:rsidRPr="00DA4E57">
        <w:rPr>
          <w:rFonts w:ascii="Book Antiqua" w:hAnsi="Book Antiqua"/>
          <w:sz w:val="24"/>
          <w:szCs w:val="24"/>
        </w:rPr>
        <w:instrText xml:space="preserve"> ADDIN NE.Ref.{2ABF1866-CC01-4F26-80DF-7F628EE151C6}</w:instrText>
      </w:r>
      <w:r w:rsidR="003D2867" w:rsidRPr="00DA4E57">
        <w:rPr>
          <w:rFonts w:ascii="Book Antiqua" w:hAnsi="Book Antiqua"/>
          <w:sz w:val="24"/>
          <w:szCs w:val="24"/>
        </w:rPr>
        <w:fldChar w:fldCharType="end"/>
      </w:r>
      <w:r w:rsidR="00830A99">
        <w:rPr>
          <w:rFonts w:ascii="Book Antiqua" w:hAnsi="Book Antiqua"/>
          <w:sz w:val="24"/>
          <w:szCs w:val="24"/>
        </w:rPr>
        <w:t xml:space="preserve"> trials</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NE.Ref.{81DFA461-C772-4E51-9B9F-C12D13042356}</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[5-8]</w:t>
      </w:r>
      <w:r w:rsidR="003D2867" w:rsidRPr="00DA4E57">
        <w:rPr>
          <w:rFonts w:ascii="Book Antiqua" w:hAnsi="Book Antiqua"/>
          <w:sz w:val="24"/>
          <w:szCs w:val="24"/>
          <w:vertAlign w:val="superscript"/>
        </w:rPr>
        <w:fldChar w:fldCharType="end"/>
      </w:r>
      <w:r w:rsidRPr="00DA4E57">
        <w:rPr>
          <w:rFonts w:ascii="Book Antiqua" w:hAnsi="Book Antiqua"/>
          <w:sz w:val="24"/>
          <w:szCs w:val="24"/>
        </w:rPr>
        <w:t xml:space="preserve"> were included in this meta-analysis.</w:t>
      </w:r>
    </w:p>
    <w:p w:rsidR="00830A99" w:rsidRPr="00DA4E57" w:rsidRDefault="00830A99" w:rsidP="00F53CAE">
      <w:pPr>
        <w:widowControl/>
        <w:spacing w:line="360" w:lineRule="auto"/>
        <w:ind w:firstLineChars="150" w:firstLine="360"/>
        <w:rPr>
          <w:rFonts w:ascii="Book Antiqua" w:hAnsi="Book Antiqua"/>
          <w:sz w:val="24"/>
          <w:szCs w:val="24"/>
        </w:rPr>
      </w:pPr>
    </w:p>
    <w:p w:rsidR="00F53CAE" w:rsidRPr="00DA4E57" w:rsidRDefault="00F53CAE" w:rsidP="00F53CAE">
      <w:pPr>
        <w:widowControl/>
        <w:spacing w:line="360" w:lineRule="auto"/>
        <w:outlineLvl w:val="0"/>
        <w:rPr>
          <w:rFonts w:ascii="Book Antiqua" w:hAnsi="Book Antiqua"/>
          <w:b/>
          <w:i/>
          <w:sz w:val="24"/>
          <w:szCs w:val="24"/>
        </w:rPr>
      </w:pPr>
      <w:r w:rsidRPr="00DA4E57">
        <w:rPr>
          <w:rFonts w:ascii="Book Antiqua" w:hAnsi="Book Antiqua"/>
          <w:b/>
          <w:i/>
          <w:sz w:val="24"/>
          <w:szCs w:val="24"/>
        </w:rPr>
        <w:t xml:space="preserve">Data </w:t>
      </w:r>
      <w:r w:rsidR="00830A99" w:rsidRPr="00DA4E57">
        <w:rPr>
          <w:rFonts w:ascii="Book Antiqua" w:hAnsi="Book Antiqua"/>
          <w:b/>
          <w:i/>
          <w:sz w:val="24"/>
          <w:szCs w:val="24"/>
        </w:rPr>
        <w:t>extraction</w:t>
      </w:r>
    </w:p>
    <w:p w:rsidR="00F53CAE" w:rsidRDefault="00F53CAE" w:rsidP="00F53CAE">
      <w:pPr>
        <w:widowControl/>
        <w:spacing w:line="360" w:lineRule="auto"/>
        <w:rPr>
          <w:rFonts w:ascii="Book Antiqua" w:hAnsi="Book Antiqua"/>
          <w:sz w:val="24"/>
          <w:szCs w:val="24"/>
        </w:rPr>
      </w:pPr>
      <w:r w:rsidRPr="00DA4E57">
        <w:rPr>
          <w:rFonts w:ascii="Book Antiqua" w:hAnsi="Book Antiqua"/>
          <w:sz w:val="24"/>
          <w:szCs w:val="24"/>
        </w:rPr>
        <w:lastRenderedPageBreak/>
        <w:t>Except for one study, the remaining three articles did not directly provide the HRs and corresponding confidence intervals, although the survival curves were available. Using widely prov</w:t>
      </w:r>
      <w:r w:rsidR="00830A99">
        <w:rPr>
          <w:rFonts w:ascii="Book Antiqua" w:hAnsi="Book Antiqua"/>
          <w:sz w:val="24"/>
          <w:szCs w:val="24"/>
        </w:rPr>
        <w:t>en, accepted scientific methods</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NE.Ref.{AF649B86-E54A-480D-AAC8-5B4CD6B8E95D}</w:instrText>
      </w:r>
      <w:r w:rsidR="003D2867" w:rsidRPr="00DA4E57">
        <w:rPr>
          <w:rFonts w:ascii="Book Antiqua" w:hAnsi="Book Antiqua"/>
          <w:sz w:val="24"/>
          <w:szCs w:val="24"/>
          <w:vertAlign w:val="superscript"/>
        </w:rPr>
        <w:fldChar w:fldCharType="separate"/>
      </w:r>
      <w:r w:rsidR="00830A99">
        <w:rPr>
          <w:rFonts w:ascii="Book Antiqua" w:hAnsi="Book Antiqua" w:cs="Calibri"/>
          <w:color w:val="080000"/>
          <w:kern w:val="0"/>
          <w:sz w:val="24"/>
          <w:szCs w:val="24"/>
          <w:vertAlign w:val="superscript"/>
        </w:rPr>
        <w:t>[9,</w:t>
      </w:r>
      <w:r w:rsidRPr="00DA4E57">
        <w:rPr>
          <w:rFonts w:ascii="Book Antiqua" w:hAnsi="Book Antiqua" w:cs="Calibri"/>
          <w:color w:val="080000"/>
          <w:kern w:val="0"/>
          <w:sz w:val="24"/>
          <w:szCs w:val="24"/>
          <w:vertAlign w:val="superscript"/>
        </w:rPr>
        <w:t>10]</w:t>
      </w:r>
      <w:r w:rsidR="003D2867" w:rsidRPr="00DA4E57">
        <w:rPr>
          <w:rFonts w:ascii="Book Antiqua" w:hAnsi="Book Antiqua"/>
          <w:sz w:val="24"/>
          <w:szCs w:val="24"/>
          <w:vertAlign w:val="superscript"/>
        </w:rPr>
        <w:fldChar w:fldCharType="end"/>
      </w:r>
      <w:r w:rsidR="00830A99" w:rsidRPr="00830A99">
        <w:rPr>
          <w:rFonts w:ascii="Book Antiqua" w:hAnsi="Book Antiqua" w:hint="eastAsia"/>
          <w:sz w:val="24"/>
          <w:szCs w:val="24"/>
        </w:rPr>
        <w:t>.</w:t>
      </w:r>
      <w:r w:rsidR="00830A99">
        <w:rPr>
          <w:rFonts w:ascii="Book Antiqua" w:hAnsi="Book Antiqua" w:hint="eastAsia"/>
          <w:sz w:val="24"/>
          <w:szCs w:val="24"/>
          <w:vertAlign w:val="superscript"/>
        </w:rPr>
        <w:t xml:space="preserve"> </w:t>
      </w:r>
      <w:r w:rsidR="00830A99" w:rsidRPr="00DA4E57">
        <w:rPr>
          <w:rFonts w:ascii="Book Antiqua" w:hAnsi="Book Antiqua"/>
          <w:sz w:val="24"/>
          <w:szCs w:val="24"/>
        </w:rPr>
        <w:t xml:space="preserve">The </w:t>
      </w:r>
      <w:r w:rsidRPr="00DA4E57">
        <w:rPr>
          <w:rFonts w:ascii="Book Antiqua" w:hAnsi="Book Antiqua"/>
          <w:sz w:val="24"/>
          <w:szCs w:val="24"/>
        </w:rPr>
        <w:t>data were extracted from the survival curves with Engauge 4.0. Then, the data were input into the HR calculations spreadsheet, which was</w:t>
      </w:r>
      <w:r w:rsidR="00830A99">
        <w:rPr>
          <w:rFonts w:ascii="Book Antiqua" w:hAnsi="Book Antiqua"/>
          <w:sz w:val="24"/>
          <w:szCs w:val="24"/>
        </w:rPr>
        <w:t xml:space="preserve"> created by Dr. Jayne F Tierney</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NE.Ref.{C89FAAC4-9565-45EF-AE4C-FD23804CB5A5}</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[4]</w:t>
      </w:r>
      <w:r w:rsidR="003D2867" w:rsidRPr="00DA4E57">
        <w:rPr>
          <w:rFonts w:ascii="Book Antiqua" w:hAnsi="Book Antiqua"/>
          <w:sz w:val="24"/>
          <w:szCs w:val="24"/>
          <w:vertAlign w:val="superscript"/>
        </w:rPr>
        <w:fldChar w:fldCharType="end"/>
      </w:r>
      <w:r w:rsidRPr="00DA4E57">
        <w:rPr>
          <w:rFonts w:ascii="Book Antiqua" w:hAnsi="Book Antiqua"/>
          <w:sz w:val="24"/>
          <w:szCs w:val="24"/>
        </w:rPr>
        <w:t xml:space="preserve">. Using the methodology stated above, the HRs, SEs and their corresponding confidence intervals were estimated from the curves. The detailed process is shown in </w:t>
      </w:r>
      <w:r w:rsidR="00830A99" w:rsidRPr="00DA4E57">
        <w:rPr>
          <w:rFonts w:ascii="Book Antiqua" w:hAnsi="Book Antiqua"/>
          <w:sz w:val="24"/>
          <w:szCs w:val="24"/>
        </w:rPr>
        <w:t xml:space="preserve">Figures </w:t>
      </w:r>
      <w:r w:rsidRPr="00DA4E57">
        <w:rPr>
          <w:rFonts w:ascii="Book Antiqua" w:hAnsi="Book Antiqua"/>
          <w:sz w:val="24"/>
          <w:szCs w:val="24"/>
        </w:rPr>
        <w:t xml:space="preserve">2 and 3. </w:t>
      </w:r>
    </w:p>
    <w:p w:rsidR="00830A99" w:rsidRPr="00DA4E57" w:rsidRDefault="00830A99" w:rsidP="00F53CAE">
      <w:pPr>
        <w:widowControl/>
        <w:spacing w:line="360" w:lineRule="auto"/>
        <w:rPr>
          <w:rFonts w:ascii="Book Antiqua" w:hAnsi="Book Antiqua"/>
          <w:sz w:val="24"/>
          <w:szCs w:val="24"/>
        </w:rPr>
      </w:pPr>
    </w:p>
    <w:p w:rsidR="00604A07" w:rsidRPr="00712F63" w:rsidRDefault="00604A07" w:rsidP="00604A07">
      <w:pPr>
        <w:spacing w:line="360" w:lineRule="auto"/>
        <w:rPr>
          <w:rFonts w:ascii="Book Antiqua" w:hAnsi="Book Antiqua"/>
          <w:b/>
          <w:i/>
          <w:sz w:val="24"/>
        </w:rPr>
      </w:pPr>
      <w:r w:rsidRPr="00712F63">
        <w:rPr>
          <w:rFonts w:ascii="Book Antiqua" w:hAnsi="Book Antiqua"/>
          <w:b/>
          <w:i/>
          <w:sz w:val="24"/>
        </w:rPr>
        <w:t>Statistical analysis</w:t>
      </w:r>
    </w:p>
    <w:p w:rsidR="00F53CAE" w:rsidRDefault="00F53CAE" w:rsidP="00F53CAE">
      <w:pPr>
        <w:widowControl/>
        <w:spacing w:line="360" w:lineRule="auto"/>
        <w:rPr>
          <w:rFonts w:ascii="Book Antiqua" w:hAnsi="Book Antiqua"/>
          <w:sz w:val="24"/>
          <w:szCs w:val="24"/>
        </w:rPr>
      </w:pPr>
      <w:r w:rsidRPr="00DA4E57">
        <w:rPr>
          <w:rFonts w:ascii="Book Antiqua" w:hAnsi="Book Antiqua"/>
          <w:sz w:val="24"/>
          <w:szCs w:val="24"/>
        </w:rPr>
        <w:t>The HRs and their SEs were analyzed as a whole with the software Review</w:t>
      </w:r>
      <w:r w:rsidR="00830A99">
        <w:rPr>
          <w:rFonts w:ascii="Book Antiqua" w:hAnsi="Book Antiqua" w:hint="eastAsia"/>
          <w:sz w:val="24"/>
          <w:szCs w:val="24"/>
        </w:rPr>
        <w:t xml:space="preserve"> </w:t>
      </w:r>
      <w:r w:rsidRPr="00DA4E57">
        <w:rPr>
          <w:rFonts w:ascii="Book Antiqua" w:hAnsi="Book Antiqua"/>
          <w:sz w:val="24"/>
          <w:szCs w:val="24"/>
        </w:rPr>
        <w:t>Manager</w:t>
      </w:r>
      <w:r w:rsidR="00830A99">
        <w:rPr>
          <w:rFonts w:ascii="Book Antiqua" w:hAnsi="Book Antiqua" w:hint="eastAsia"/>
          <w:sz w:val="24"/>
          <w:szCs w:val="24"/>
        </w:rPr>
        <w:t xml:space="preserve"> </w:t>
      </w:r>
      <w:r w:rsidRPr="00DA4E57">
        <w:rPr>
          <w:rFonts w:ascii="Book Antiqua" w:hAnsi="Book Antiqua"/>
          <w:sz w:val="24"/>
          <w:szCs w:val="24"/>
        </w:rPr>
        <w:t xml:space="preserve">5.0, and statistical heterogeneity was defined as </w:t>
      </w:r>
      <w:r w:rsidRPr="00830A99">
        <w:rPr>
          <w:rFonts w:ascii="Book Antiqua" w:hAnsi="Book Antiqua"/>
          <w:i/>
          <w:sz w:val="24"/>
          <w:szCs w:val="24"/>
        </w:rPr>
        <w:t>P</w:t>
      </w:r>
      <w:r w:rsidR="00830A99">
        <w:rPr>
          <w:rFonts w:ascii="Book Antiqua" w:hAnsi="Book Antiqua" w:hint="eastAsia"/>
          <w:sz w:val="24"/>
          <w:szCs w:val="24"/>
        </w:rPr>
        <w:t xml:space="preserve"> </w:t>
      </w:r>
      <w:r w:rsidRPr="00DA4E57">
        <w:rPr>
          <w:rFonts w:ascii="Book Antiqua" w:hAnsi="Book Antiqua"/>
          <w:sz w:val="24"/>
          <w:szCs w:val="24"/>
        </w:rPr>
        <w:t xml:space="preserve">&lt; 0.10 or </w:t>
      </w:r>
      <w:r w:rsidRPr="00830A99">
        <w:rPr>
          <w:rFonts w:ascii="Book Antiqua" w:hAnsi="Book Antiqua"/>
          <w:i/>
          <w:sz w:val="24"/>
          <w:szCs w:val="24"/>
        </w:rPr>
        <w:t>I</w:t>
      </w:r>
      <w:r w:rsidRPr="00DA4E57">
        <w:rPr>
          <w:rFonts w:ascii="Book Antiqua" w:hAnsi="Book Antiqua"/>
          <w:sz w:val="24"/>
          <w:szCs w:val="24"/>
          <w:vertAlign w:val="superscript"/>
        </w:rPr>
        <w:t>2</w:t>
      </w:r>
      <w:r w:rsidR="00830A99">
        <w:rPr>
          <w:rFonts w:ascii="Book Antiqua" w:hAnsi="Book Antiqua" w:hint="eastAsia"/>
          <w:sz w:val="24"/>
          <w:szCs w:val="24"/>
          <w:vertAlign w:val="superscript"/>
        </w:rPr>
        <w:t xml:space="preserve"> </w:t>
      </w:r>
      <w:r w:rsidRPr="00DA4E57">
        <w:rPr>
          <w:rFonts w:ascii="Book Antiqua" w:hAnsi="Book Antiqua"/>
          <w:sz w:val="24"/>
          <w:szCs w:val="24"/>
        </w:rPr>
        <w:t xml:space="preserve">&gt; 50%. As the potential heterogeneity was determined using the standard above, a randomized </w:t>
      </w:r>
      <w:bookmarkStart w:id="61" w:name="OLE_LINK98"/>
      <w:bookmarkStart w:id="62" w:name="OLE_LINK99"/>
      <w:r w:rsidRPr="00DA4E57">
        <w:rPr>
          <w:rFonts w:ascii="Book Antiqua" w:hAnsi="Book Antiqua"/>
          <w:sz w:val="24"/>
          <w:szCs w:val="24"/>
        </w:rPr>
        <w:t>effect model</w:t>
      </w:r>
      <w:bookmarkEnd w:id="61"/>
      <w:bookmarkEnd w:id="62"/>
      <w:r w:rsidRPr="00DA4E57">
        <w:rPr>
          <w:rFonts w:ascii="Book Antiqua" w:hAnsi="Book Antiqua"/>
          <w:sz w:val="24"/>
          <w:szCs w:val="24"/>
        </w:rPr>
        <w:t xml:space="preserve"> was used to measure the outcomes.</w:t>
      </w:r>
    </w:p>
    <w:p w:rsidR="00830A99" w:rsidRPr="00DA4E57" w:rsidRDefault="00830A99" w:rsidP="00F53CAE">
      <w:pPr>
        <w:widowControl/>
        <w:spacing w:line="360" w:lineRule="auto"/>
        <w:rPr>
          <w:rFonts w:ascii="Book Antiqua" w:hAnsi="Book Antiqua"/>
          <w:sz w:val="24"/>
          <w:szCs w:val="24"/>
        </w:rPr>
      </w:pPr>
    </w:p>
    <w:p w:rsidR="00F53CAE" w:rsidRPr="00604A07" w:rsidRDefault="00F53CAE" w:rsidP="00F53CAE">
      <w:pPr>
        <w:widowControl/>
        <w:spacing w:line="360" w:lineRule="auto"/>
        <w:outlineLvl w:val="0"/>
        <w:rPr>
          <w:rFonts w:ascii="Book Antiqua" w:hAnsi="Book Antiqua"/>
          <w:b/>
          <w:sz w:val="24"/>
          <w:szCs w:val="24"/>
        </w:rPr>
      </w:pPr>
      <w:r w:rsidRPr="00604A07">
        <w:rPr>
          <w:rFonts w:ascii="Book Antiqua" w:hAnsi="Book Antiqua"/>
          <w:b/>
          <w:sz w:val="24"/>
          <w:szCs w:val="24"/>
        </w:rPr>
        <w:t>RESULTS</w:t>
      </w:r>
    </w:p>
    <w:bookmarkEnd w:id="21"/>
    <w:bookmarkEnd w:id="22"/>
    <w:p w:rsidR="00F53CAE" w:rsidRPr="00DA4E57" w:rsidRDefault="00F53CAE" w:rsidP="00F53CAE">
      <w:pPr>
        <w:spacing w:line="360" w:lineRule="auto"/>
        <w:outlineLvl w:val="0"/>
        <w:rPr>
          <w:rFonts w:ascii="Book Antiqua" w:hAnsi="Book Antiqua"/>
          <w:sz w:val="24"/>
          <w:szCs w:val="24"/>
        </w:rPr>
      </w:pPr>
      <w:r w:rsidRPr="00DA4E57">
        <w:rPr>
          <w:rFonts w:ascii="Book Antiqua" w:hAnsi="Book Antiqua"/>
          <w:sz w:val="24"/>
          <w:szCs w:val="24"/>
        </w:rPr>
        <w:t>As was shown in the forest figure, the HRs, as extracted from the Kaplan-Meier curves using the formula recommended by Mahesh K. B. Parmar, Jayne F Tierney and their colleagues, were transformed to In (HR) to make the data fulfill a normal distribution.</w:t>
      </w:r>
    </w:p>
    <w:p w:rsidR="00F53CAE" w:rsidRPr="00DA4E57" w:rsidRDefault="00F53CAE" w:rsidP="00F53CAE">
      <w:pPr>
        <w:widowControl/>
        <w:spacing w:line="360" w:lineRule="auto"/>
        <w:ind w:firstLineChars="150" w:firstLine="360"/>
        <w:rPr>
          <w:rFonts w:ascii="Book Antiqua" w:hAnsi="Book Antiqua"/>
          <w:sz w:val="24"/>
          <w:szCs w:val="24"/>
        </w:rPr>
      </w:pPr>
      <w:r w:rsidRPr="00DA4E57">
        <w:rPr>
          <w:rFonts w:ascii="Book Antiqua" w:hAnsi="Book Antiqua"/>
          <w:sz w:val="24"/>
          <w:szCs w:val="24"/>
        </w:rPr>
        <w:t>Among the four studies identified, one was related to sorafenib use before liver transplantation, whereas the other three articles investigated the use of sorafenib after liver transplantation.</w:t>
      </w:r>
    </w:p>
    <w:p w:rsidR="00F53CAE" w:rsidRPr="00DA4E57" w:rsidRDefault="00F53CAE" w:rsidP="00F53CAE">
      <w:pPr>
        <w:spacing w:line="360" w:lineRule="auto"/>
        <w:ind w:firstLineChars="150" w:firstLine="360"/>
        <w:outlineLvl w:val="0"/>
        <w:rPr>
          <w:rFonts w:ascii="Book Antiqua" w:hAnsi="Book Antiqua"/>
          <w:sz w:val="24"/>
          <w:szCs w:val="24"/>
        </w:rPr>
      </w:pPr>
      <w:r w:rsidRPr="00DA4E57">
        <w:rPr>
          <w:rFonts w:ascii="Book Antiqua" w:hAnsi="Book Antiqua"/>
          <w:sz w:val="24"/>
          <w:szCs w:val="24"/>
        </w:rPr>
        <w:t>The present integrated analysis showed that the use of sorafenib during liver transplantation did not significantly improve the overall survival. Based on the chart, the use of sorafenib before liver transplantation had an HR of 3.29 with</w:t>
      </w:r>
      <w:r w:rsidR="00830A99">
        <w:rPr>
          <w:rFonts w:ascii="Book Antiqua" w:hAnsi="Book Antiqua"/>
          <w:sz w:val="24"/>
          <w:szCs w:val="24"/>
        </w:rPr>
        <w:t xml:space="preserve"> a 95%</w:t>
      </w:r>
      <w:r w:rsidRPr="00DA4E57">
        <w:rPr>
          <w:rFonts w:ascii="Book Antiqua" w:hAnsi="Book Antiqua"/>
          <w:sz w:val="24"/>
          <w:szCs w:val="24"/>
        </w:rPr>
        <w:t>CI</w:t>
      </w:r>
      <w:r w:rsidR="00114C54">
        <w:rPr>
          <w:rFonts w:ascii="Book Antiqua" w:hAnsi="Book Antiqua" w:hint="eastAsia"/>
          <w:sz w:val="24"/>
          <w:szCs w:val="24"/>
        </w:rPr>
        <w:t xml:space="preserve">: </w:t>
      </w:r>
      <w:r w:rsidRPr="00DA4E57">
        <w:rPr>
          <w:rFonts w:ascii="Book Antiqua" w:hAnsi="Book Antiqua"/>
          <w:sz w:val="24"/>
          <w:szCs w:val="24"/>
        </w:rPr>
        <w:t>0.33-32.56, and the therapy used after liver transplantatio</w:t>
      </w:r>
      <w:r w:rsidR="00830A99">
        <w:rPr>
          <w:rFonts w:ascii="Book Antiqua" w:hAnsi="Book Antiqua"/>
          <w:sz w:val="24"/>
          <w:szCs w:val="24"/>
        </w:rPr>
        <w:t>n had an HR of 1.44, with a 95%</w:t>
      </w:r>
      <w:r w:rsidRPr="00DA4E57">
        <w:rPr>
          <w:rFonts w:ascii="Book Antiqua" w:hAnsi="Book Antiqua"/>
          <w:sz w:val="24"/>
          <w:szCs w:val="24"/>
        </w:rPr>
        <w:t>CI</w:t>
      </w:r>
      <w:r w:rsidR="00114C54">
        <w:rPr>
          <w:rFonts w:ascii="Book Antiqua" w:hAnsi="Book Antiqua" w:hint="eastAsia"/>
          <w:sz w:val="24"/>
          <w:szCs w:val="24"/>
        </w:rPr>
        <w:t>:</w:t>
      </w:r>
      <w:r w:rsidRPr="00DA4E57">
        <w:rPr>
          <w:rFonts w:ascii="Book Antiqua" w:hAnsi="Book Antiqua"/>
          <w:sz w:val="24"/>
          <w:szCs w:val="24"/>
        </w:rPr>
        <w:t xml:space="preserve"> 0.27-7.71. The HR of an integrated pre- and post-transplanta</w:t>
      </w:r>
      <w:r w:rsidR="00830A99">
        <w:rPr>
          <w:rFonts w:ascii="Book Antiqua" w:hAnsi="Book Antiqua"/>
          <w:sz w:val="24"/>
          <w:szCs w:val="24"/>
        </w:rPr>
        <w:t>tion usage was 1.68, with a 95%</w:t>
      </w:r>
      <w:r w:rsidRPr="00DA4E57">
        <w:rPr>
          <w:rFonts w:ascii="Book Antiqua" w:hAnsi="Book Antiqua"/>
          <w:sz w:val="24"/>
          <w:szCs w:val="24"/>
        </w:rPr>
        <w:t>CI</w:t>
      </w:r>
      <w:r w:rsidR="00114C54">
        <w:rPr>
          <w:rFonts w:ascii="Book Antiqua" w:hAnsi="Book Antiqua" w:hint="eastAsia"/>
          <w:sz w:val="24"/>
          <w:szCs w:val="24"/>
        </w:rPr>
        <w:t>:</w:t>
      </w:r>
      <w:r w:rsidRPr="00DA4E57">
        <w:rPr>
          <w:rFonts w:ascii="Book Antiqua" w:hAnsi="Book Antiqua"/>
          <w:sz w:val="24"/>
          <w:szCs w:val="24"/>
        </w:rPr>
        <w:t xml:space="preserve"> 0.41-6.91. Based on the funnel plot, publication bias might have been detected.</w:t>
      </w:r>
    </w:p>
    <w:p w:rsidR="00F53CAE" w:rsidRPr="00604A07" w:rsidRDefault="00F53CAE" w:rsidP="00F53CAE">
      <w:pPr>
        <w:spacing w:line="360" w:lineRule="auto"/>
        <w:outlineLvl w:val="0"/>
        <w:rPr>
          <w:rFonts w:ascii="Book Antiqua" w:hAnsi="Book Antiqua"/>
          <w:b/>
          <w:sz w:val="24"/>
          <w:szCs w:val="24"/>
        </w:rPr>
      </w:pPr>
      <w:r w:rsidRPr="00604A07">
        <w:rPr>
          <w:rFonts w:ascii="Book Antiqua" w:hAnsi="Book Antiqua"/>
          <w:b/>
          <w:sz w:val="24"/>
          <w:szCs w:val="24"/>
        </w:rPr>
        <w:lastRenderedPageBreak/>
        <w:t>DISICUSSION</w:t>
      </w:r>
    </w:p>
    <w:p w:rsidR="00F53CAE" w:rsidRPr="00DA4E57" w:rsidRDefault="00F53CAE" w:rsidP="00F53CAE">
      <w:pPr>
        <w:spacing w:line="360" w:lineRule="auto"/>
        <w:rPr>
          <w:rFonts w:ascii="Book Antiqua" w:hAnsi="Book Antiqua"/>
          <w:sz w:val="24"/>
          <w:szCs w:val="24"/>
        </w:rPr>
      </w:pPr>
      <w:bookmarkStart w:id="63" w:name="OLE_LINK13"/>
      <w:bookmarkStart w:id="64" w:name="OLE_LINK14"/>
      <w:r w:rsidRPr="00DA4E57">
        <w:rPr>
          <w:rFonts w:ascii="Book Antiqua" w:hAnsi="Book Antiqua"/>
          <w:sz w:val="24"/>
          <w:szCs w:val="24"/>
        </w:rPr>
        <w:t>To the best of our knowledge, this is the first meta-analysis to examine the use of sorafenib</w:t>
      </w:r>
      <w:bookmarkEnd w:id="63"/>
      <w:bookmarkEnd w:id="64"/>
      <w:r w:rsidRPr="00DA4E57">
        <w:rPr>
          <w:rFonts w:ascii="Book Antiqua" w:hAnsi="Book Antiqua"/>
          <w:sz w:val="24"/>
          <w:szCs w:val="24"/>
        </w:rPr>
        <w:t xml:space="preserve">. As a targeted drug, it was first used to treat renal cell carcinoma. Then, it only took a few years before sorafenib was first applied as a novel adjuvant treatment for hepatocellular carcinoma, especially for patients </w:t>
      </w:r>
      <w:r w:rsidR="00830A99">
        <w:rPr>
          <w:rFonts w:ascii="Book Antiqua" w:hAnsi="Book Antiqua"/>
          <w:sz w:val="24"/>
          <w:szCs w:val="24"/>
        </w:rPr>
        <w:t>requiring liver transplantation</w:t>
      </w:r>
      <w:r w:rsidR="003D2867" w:rsidRPr="00DA4E57">
        <w:rPr>
          <w:rFonts w:ascii="Book Antiqua" w:hAnsi="Book Antiqua"/>
          <w:sz w:val="24"/>
          <w:szCs w:val="24"/>
        </w:rPr>
        <w:fldChar w:fldCharType="begin"/>
      </w:r>
      <w:r w:rsidRPr="00DA4E57">
        <w:rPr>
          <w:rFonts w:ascii="Book Antiqua" w:hAnsi="Book Antiqua"/>
          <w:sz w:val="24"/>
          <w:szCs w:val="24"/>
        </w:rPr>
        <w:instrText xml:space="preserve"> ADDIN NE.Ref.{6C398CAE-2F75-4565-A760-977BCB4FA88E}</w:instrText>
      </w:r>
      <w:r w:rsidR="003D2867" w:rsidRPr="00DA4E57">
        <w:rPr>
          <w:rFonts w:ascii="Book Antiqua" w:hAnsi="Book Antiqua"/>
          <w:sz w:val="24"/>
          <w:szCs w:val="24"/>
        </w:rPr>
        <w:fldChar w:fldCharType="separate"/>
      </w:r>
      <w:r w:rsidRPr="00DA4E57">
        <w:rPr>
          <w:rFonts w:ascii="Book Antiqua" w:hAnsi="Book Antiqua" w:cs="Calibri"/>
          <w:color w:val="080000"/>
          <w:kern w:val="0"/>
          <w:sz w:val="24"/>
          <w:szCs w:val="24"/>
          <w:vertAlign w:val="superscript"/>
        </w:rPr>
        <w:t>[11]</w:t>
      </w:r>
      <w:r w:rsidR="003D2867" w:rsidRPr="00DA4E57">
        <w:rPr>
          <w:rFonts w:ascii="Book Antiqua" w:hAnsi="Book Antiqua"/>
          <w:sz w:val="24"/>
          <w:szCs w:val="24"/>
        </w:rPr>
        <w:fldChar w:fldCharType="end"/>
      </w:r>
      <w:r w:rsidRPr="00DA4E57">
        <w:rPr>
          <w:rFonts w:ascii="Book Antiqua" w:hAnsi="Book Antiqua"/>
          <w:sz w:val="24"/>
          <w:szCs w:val="24"/>
        </w:rPr>
        <w:t>.</w:t>
      </w:r>
    </w:p>
    <w:p w:rsidR="00F53CAE" w:rsidRPr="00DA4E57" w:rsidRDefault="00F53CAE" w:rsidP="00F53CAE">
      <w:pPr>
        <w:spacing w:line="360" w:lineRule="auto"/>
        <w:ind w:firstLine="480"/>
        <w:rPr>
          <w:rFonts w:ascii="Book Antiqua" w:hAnsi="Book Antiqua"/>
          <w:sz w:val="24"/>
          <w:szCs w:val="24"/>
        </w:rPr>
      </w:pPr>
      <w:r w:rsidRPr="00DA4E57">
        <w:rPr>
          <w:rFonts w:ascii="Book Antiqua" w:hAnsi="Book Antiqua"/>
          <w:sz w:val="24"/>
          <w:szCs w:val="24"/>
        </w:rPr>
        <w:t>Although, theoretically, sorafenib has anti-tumor potentiality, at present, the outcomes of multi-center cohort or case-control trials indicate that sorafenib does not have any apparent effect on improving overall patient survival. Moreover, sorafenib therapy may lead to a poor prognosis, as it can increase the HR of all patients who have ever taken it.</w:t>
      </w:r>
    </w:p>
    <w:p w:rsidR="00F53CAE" w:rsidRPr="00DA4E57" w:rsidRDefault="00F53CAE" w:rsidP="00F53CAE">
      <w:pPr>
        <w:spacing w:line="360" w:lineRule="auto"/>
        <w:ind w:firstLineChars="200" w:firstLine="480"/>
        <w:rPr>
          <w:rFonts w:ascii="Book Antiqua" w:hAnsi="Book Antiqua"/>
          <w:sz w:val="24"/>
          <w:szCs w:val="24"/>
        </w:rPr>
      </w:pPr>
      <w:r w:rsidRPr="00DA4E57">
        <w:rPr>
          <w:rFonts w:ascii="Book Antiqua" w:hAnsi="Book Antiqua"/>
          <w:sz w:val="24"/>
          <w:szCs w:val="24"/>
        </w:rPr>
        <w:t>Considerable side effects have been observed among patients receiving sorafenib</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NE.Ref.{53895909-C1A3-4E09-81A2-27C3846DFD62}</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[12]</w:t>
      </w:r>
      <w:r w:rsidR="003D2867" w:rsidRPr="00DA4E57">
        <w:rPr>
          <w:rFonts w:ascii="Book Antiqua" w:hAnsi="Book Antiqua"/>
          <w:sz w:val="24"/>
          <w:szCs w:val="24"/>
          <w:vertAlign w:val="superscript"/>
        </w:rPr>
        <w:fldChar w:fldCharType="end"/>
      </w:r>
      <w:r w:rsidRPr="00DA4E57">
        <w:rPr>
          <w:rFonts w:ascii="Book Antiqua" w:hAnsi="Book Antiqua"/>
          <w:sz w:val="24"/>
          <w:szCs w:val="24"/>
        </w:rPr>
        <w:t>. Based on the published literature</w:t>
      </w:r>
      <w:r w:rsidR="003D2867" w:rsidRPr="00DA4E57">
        <w:rPr>
          <w:rFonts w:ascii="Book Antiqua" w:hAnsi="Book Antiqua"/>
          <w:sz w:val="24"/>
          <w:szCs w:val="24"/>
          <w:vertAlign w:val="superscript"/>
        </w:rPr>
        <w:fldChar w:fldCharType="begin"/>
      </w:r>
      <w:r w:rsidRPr="00DA4E57">
        <w:rPr>
          <w:rFonts w:ascii="Book Antiqua" w:hAnsi="Book Antiqua"/>
          <w:sz w:val="24"/>
          <w:szCs w:val="24"/>
          <w:vertAlign w:val="superscript"/>
        </w:rPr>
        <w:instrText xml:space="preserve"> ADDIN NE.Ref.{8DB9C3D3-A965-4436-9926-5E1D3630FB27}</w:instrText>
      </w:r>
      <w:r w:rsidR="003D2867" w:rsidRPr="00DA4E57">
        <w:rPr>
          <w:rFonts w:ascii="Book Antiqua" w:hAnsi="Book Antiqua"/>
          <w:sz w:val="24"/>
          <w:szCs w:val="24"/>
          <w:vertAlign w:val="superscript"/>
        </w:rPr>
        <w:fldChar w:fldCharType="separate"/>
      </w:r>
      <w:r w:rsidRPr="00DA4E57">
        <w:rPr>
          <w:rFonts w:ascii="Book Antiqua" w:hAnsi="Book Antiqua" w:cs="Calibri"/>
          <w:color w:val="080000"/>
          <w:kern w:val="0"/>
          <w:sz w:val="24"/>
          <w:szCs w:val="24"/>
          <w:vertAlign w:val="superscript"/>
        </w:rPr>
        <w:t>[13]</w:t>
      </w:r>
      <w:r w:rsidR="003D2867" w:rsidRPr="00DA4E57">
        <w:rPr>
          <w:rFonts w:ascii="Book Antiqua" w:hAnsi="Book Antiqua"/>
          <w:sz w:val="24"/>
          <w:szCs w:val="24"/>
          <w:vertAlign w:val="superscript"/>
        </w:rPr>
        <w:fldChar w:fldCharType="end"/>
      </w:r>
      <w:r w:rsidRPr="00DA4E57">
        <w:rPr>
          <w:rFonts w:ascii="Book Antiqua" w:hAnsi="Book Antiqua"/>
          <w:sz w:val="24"/>
          <w:szCs w:val="24"/>
        </w:rPr>
        <w:t>, higher grade toxicities were reported in 25</w:t>
      </w:r>
      <w:r w:rsidR="00830A99">
        <w:rPr>
          <w:rFonts w:ascii="Book Antiqua" w:hAnsi="Book Antiqua" w:hint="eastAsia"/>
          <w:sz w:val="24"/>
          <w:szCs w:val="24"/>
        </w:rPr>
        <w:t>%</w:t>
      </w:r>
      <w:r w:rsidRPr="00DA4E57">
        <w:rPr>
          <w:rFonts w:ascii="Book Antiqua" w:hAnsi="Book Antiqua"/>
          <w:sz w:val="24"/>
          <w:szCs w:val="24"/>
        </w:rPr>
        <w:t xml:space="preserve">–30% (Yoon </w:t>
      </w:r>
      <w:r w:rsidRPr="00830A99">
        <w:rPr>
          <w:rFonts w:ascii="Book Antiqua" w:hAnsi="Book Antiqua"/>
          <w:i/>
          <w:sz w:val="24"/>
          <w:szCs w:val="24"/>
        </w:rPr>
        <w:t>et al</w:t>
      </w:r>
      <w:r w:rsidRPr="00DA4E57">
        <w:rPr>
          <w:rFonts w:ascii="Book Antiqua" w:hAnsi="Book Antiqua"/>
          <w:sz w:val="24"/>
          <w:szCs w:val="24"/>
        </w:rPr>
        <w:t xml:space="preserve"> 4/13 patients, Pfiffer</w:t>
      </w:r>
      <w:r w:rsidR="00830A99" w:rsidRPr="00830A99">
        <w:rPr>
          <w:rFonts w:ascii="Book Antiqua" w:hAnsi="Book Antiqua"/>
          <w:i/>
          <w:sz w:val="24"/>
          <w:szCs w:val="24"/>
        </w:rPr>
        <w:t xml:space="preserve"> et al</w:t>
      </w:r>
      <w:r w:rsidRPr="00DA4E57">
        <w:rPr>
          <w:rFonts w:ascii="Book Antiqua" w:hAnsi="Book Antiqua"/>
          <w:sz w:val="24"/>
          <w:szCs w:val="24"/>
        </w:rPr>
        <w:t xml:space="preserve"> 2/8patients) of patients under sorafenib/calcineurin inhibitor (CNI) combination therapy and in 55% (Kim </w:t>
      </w:r>
      <w:r w:rsidR="00830A99" w:rsidRPr="00830A99">
        <w:rPr>
          <w:rFonts w:ascii="Book Antiqua" w:hAnsi="Book Antiqua"/>
          <w:i/>
          <w:sz w:val="24"/>
          <w:szCs w:val="24"/>
        </w:rPr>
        <w:t>et al</w:t>
      </w:r>
      <w:r w:rsidRPr="00DA4E57">
        <w:rPr>
          <w:rFonts w:ascii="Book Antiqua" w:hAnsi="Book Antiqua"/>
          <w:sz w:val="24"/>
          <w:szCs w:val="24"/>
        </w:rPr>
        <w:t xml:space="preserve"> 5/9 patients) in another series using sora</w:t>
      </w:r>
      <w:r w:rsidR="002D7B6E">
        <w:rPr>
          <w:rFonts w:ascii="Book Antiqua" w:hAnsi="Book Antiqua"/>
          <w:sz w:val="24"/>
          <w:szCs w:val="24"/>
        </w:rPr>
        <w:t>fenib in combination with mTORi</w:t>
      </w:r>
      <w:r w:rsidRPr="00DA4E57">
        <w:rPr>
          <w:rFonts w:ascii="Book Antiqua" w:hAnsi="Book Antiqua"/>
          <w:sz w:val="24"/>
          <w:szCs w:val="24"/>
        </w:rPr>
        <w:t>.</w:t>
      </w:r>
    </w:p>
    <w:p w:rsidR="00F53CAE" w:rsidRPr="00DA4E57" w:rsidRDefault="00F53CAE" w:rsidP="00F53CAE">
      <w:pPr>
        <w:spacing w:line="360" w:lineRule="auto"/>
        <w:ind w:firstLine="480"/>
        <w:rPr>
          <w:rFonts w:ascii="Book Antiqua" w:hAnsi="Book Antiqua"/>
          <w:sz w:val="24"/>
          <w:szCs w:val="24"/>
        </w:rPr>
      </w:pPr>
      <w:r w:rsidRPr="00DA4E57">
        <w:rPr>
          <w:rFonts w:ascii="Book Antiqua" w:hAnsi="Book Antiqua"/>
          <w:sz w:val="24"/>
          <w:szCs w:val="24"/>
        </w:rPr>
        <w:t>From the authors’ perspective, the following reasons may account for the present discouraging conclusions. Sorafenib, as a newly developed targeted drug, has been used for too a short time for true analysis, and its popularization and application have been constricted due to its prices, which are too high for patients. Furthermore, liver transplantation, as the final treatment for liver cancer, is not available for all cancer patients. As a result,</w:t>
      </w:r>
      <w:r w:rsidRPr="00DA4E57">
        <w:rPr>
          <w:rFonts w:ascii="Book Antiqua" w:hAnsi="Book Antiqua"/>
          <w:color w:val="FF0000"/>
          <w:sz w:val="24"/>
          <w:szCs w:val="24"/>
        </w:rPr>
        <w:t xml:space="preserve"> </w:t>
      </w:r>
      <w:r w:rsidRPr="00DA4E57">
        <w:rPr>
          <w:rFonts w:ascii="Book Antiqua" w:hAnsi="Book Antiqua"/>
          <w:sz w:val="24"/>
          <w:szCs w:val="24"/>
        </w:rPr>
        <w:t>the number of participants that could have been included in the experiments is small, and we here may have underestimated the potential of sorafenib.</w:t>
      </w:r>
    </w:p>
    <w:p w:rsidR="00F53CAE" w:rsidRPr="00DA4E57" w:rsidRDefault="00F53CAE" w:rsidP="00F53CAE">
      <w:pPr>
        <w:spacing w:line="360" w:lineRule="auto"/>
        <w:ind w:firstLine="480"/>
        <w:rPr>
          <w:rFonts w:ascii="Book Antiqua" w:hAnsi="Book Antiqua"/>
          <w:sz w:val="24"/>
          <w:szCs w:val="24"/>
        </w:rPr>
      </w:pPr>
      <w:r w:rsidRPr="00DA4E57">
        <w:rPr>
          <w:rFonts w:ascii="Book Antiqua" w:hAnsi="Book Antiqua"/>
          <w:sz w:val="24"/>
          <w:szCs w:val="24"/>
        </w:rPr>
        <w:t>In conclusion, sorafenib should not be recommended for patients suffering from liver cancer or those waiting for or having received liver transplantation.</w:t>
      </w:r>
    </w:p>
    <w:p w:rsidR="00F53CAE" w:rsidRPr="00DA4E57" w:rsidRDefault="00F53CAE" w:rsidP="00F53CAE">
      <w:pPr>
        <w:spacing w:line="360" w:lineRule="auto"/>
        <w:ind w:firstLine="480"/>
        <w:rPr>
          <w:rFonts w:ascii="Book Antiqua" w:hAnsi="Book Antiqua"/>
          <w:sz w:val="24"/>
          <w:szCs w:val="24"/>
        </w:rPr>
      </w:pPr>
      <w:r w:rsidRPr="00DA4E57">
        <w:rPr>
          <w:rFonts w:ascii="Book Antiqua" w:hAnsi="Book Antiqua"/>
          <w:sz w:val="24"/>
          <w:szCs w:val="24"/>
        </w:rPr>
        <w:t xml:space="preserve">Unfortunately, only 4 eligible articles were included in the manuscript; sorafenib has not yet been applied in the liver transplantation for very long. </w:t>
      </w:r>
      <w:r w:rsidRPr="00DA4E57">
        <w:rPr>
          <w:rFonts w:ascii="Book Antiqua" w:hAnsi="Book Antiqua"/>
          <w:sz w:val="24"/>
          <w:szCs w:val="24"/>
        </w:rPr>
        <w:lastRenderedPageBreak/>
        <w:t>Because of the limited data, we could only consider the overall survival rates and the estimated HRs in our analysis, making the results of this manuscript not very persuasive. However, the present study represents the first effort in this new area, and our work could provide some suggestive advice.</w:t>
      </w:r>
    </w:p>
    <w:p w:rsidR="00F53CAE" w:rsidRPr="00DA4E57" w:rsidRDefault="00F53CAE" w:rsidP="00F53CAE">
      <w:pPr>
        <w:spacing w:line="360" w:lineRule="auto"/>
        <w:ind w:firstLine="480"/>
        <w:rPr>
          <w:rFonts w:ascii="Book Antiqua" w:hAnsi="Book Antiqua"/>
          <w:sz w:val="24"/>
          <w:szCs w:val="24"/>
        </w:rPr>
      </w:pPr>
      <w:r w:rsidRPr="00DA4E57">
        <w:rPr>
          <w:rFonts w:ascii="Book Antiqua" w:hAnsi="Book Antiqua"/>
          <w:sz w:val="24"/>
          <w:szCs w:val="24"/>
        </w:rPr>
        <w:t>More cohort trials and, optimally, RCTs are needed to verify our conclusions. Research on sorafenib and any other targeted drug should be encouraged, as such drugs may have as-yet-underestimated anti-tumor abilities.</w:t>
      </w:r>
    </w:p>
    <w:p w:rsidR="00F53CAE" w:rsidRPr="00DA4E57" w:rsidRDefault="00F53CAE" w:rsidP="00F53CAE">
      <w:pPr>
        <w:spacing w:line="360" w:lineRule="auto"/>
        <w:outlineLvl w:val="0"/>
        <w:rPr>
          <w:rFonts w:ascii="Book Antiqua" w:hAnsi="Book Antiqua"/>
          <w:b/>
          <w:i/>
          <w:sz w:val="24"/>
          <w:szCs w:val="24"/>
        </w:rPr>
      </w:pPr>
    </w:p>
    <w:p w:rsidR="00F53CAE" w:rsidRPr="00DA4E57" w:rsidRDefault="00F53CAE" w:rsidP="00F53CAE">
      <w:pPr>
        <w:spacing w:line="360" w:lineRule="auto"/>
        <w:rPr>
          <w:rFonts w:ascii="Book Antiqua" w:hAnsi="Book Antiqua"/>
          <w:b/>
          <w:sz w:val="24"/>
          <w:szCs w:val="24"/>
        </w:rPr>
      </w:pPr>
      <w:bookmarkStart w:id="65" w:name="OLE_LINK323"/>
      <w:bookmarkStart w:id="66" w:name="OLE_LINK349"/>
      <w:bookmarkStart w:id="67" w:name="OLE_LINK377"/>
      <w:bookmarkStart w:id="68" w:name="OLE_LINK386"/>
      <w:bookmarkStart w:id="69" w:name="OLE_LINK400"/>
      <w:bookmarkStart w:id="70" w:name="OLE_LINK416"/>
      <w:r w:rsidRPr="00DA4E57">
        <w:rPr>
          <w:rFonts w:ascii="Book Antiqua" w:hAnsi="Book Antiqua"/>
          <w:b/>
          <w:sz w:val="24"/>
          <w:szCs w:val="24"/>
        </w:rPr>
        <w:t>COMMENTS</w:t>
      </w:r>
    </w:p>
    <w:p w:rsidR="00F53CAE" w:rsidRPr="00DA4E57" w:rsidRDefault="00F53CAE" w:rsidP="00F53CAE">
      <w:pPr>
        <w:spacing w:line="360" w:lineRule="auto"/>
        <w:rPr>
          <w:rFonts w:ascii="Book Antiqua" w:hAnsi="Book Antiqua"/>
          <w:b/>
          <w:i/>
          <w:sz w:val="24"/>
          <w:szCs w:val="24"/>
        </w:rPr>
      </w:pPr>
      <w:r w:rsidRPr="00DA4E57">
        <w:rPr>
          <w:rFonts w:ascii="Book Antiqua" w:hAnsi="Book Antiqua"/>
          <w:b/>
          <w:i/>
          <w:sz w:val="24"/>
          <w:szCs w:val="24"/>
        </w:rPr>
        <w:t>Background</w:t>
      </w:r>
    </w:p>
    <w:p w:rsidR="00F53CAE" w:rsidRDefault="00F53CAE" w:rsidP="00F53CAE">
      <w:pPr>
        <w:spacing w:line="360" w:lineRule="auto"/>
        <w:rPr>
          <w:rFonts w:ascii="Book Antiqua" w:hAnsi="Book Antiqua"/>
          <w:sz w:val="24"/>
          <w:szCs w:val="24"/>
        </w:rPr>
      </w:pPr>
      <w:r w:rsidRPr="00DA4E57">
        <w:rPr>
          <w:rFonts w:ascii="Book Antiqua" w:hAnsi="Book Antiqua"/>
          <w:sz w:val="24"/>
          <w:szCs w:val="24"/>
        </w:rPr>
        <w:t>Liver cancer is the sixth most common cancer in the world, and liver transplantation is the ultimate best option. However, there is a low overall survival rate for patients after receiving transplantations, as the post-transplantation reoccurrence rate of carcinoma can be as high as 66.7%. As a multi-kinase inhibitor, sorafenib has the potential to take part in the treatment of liver cancer.</w:t>
      </w:r>
    </w:p>
    <w:p w:rsidR="00B64194" w:rsidRPr="00DA4E57" w:rsidRDefault="00B64194" w:rsidP="00F53CAE">
      <w:pPr>
        <w:spacing w:line="360" w:lineRule="auto"/>
        <w:rPr>
          <w:rFonts w:ascii="Book Antiqua" w:hAnsi="Book Antiqua"/>
          <w:b/>
          <w:i/>
          <w:sz w:val="24"/>
          <w:szCs w:val="24"/>
        </w:rPr>
      </w:pPr>
    </w:p>
    <w:p w:rsidR="00F53CAE" w:rsidRPr="00DA4E57" w:rsidRDefault="00F53CAE" w:rsidP="00F53CAE">
      <w:pPr>
        <w:spacing w:line="360" w:lineRule="auto"/>
        <w:rPr>
          <w:rFonts w:ascii="Book Antiqua" w:hAnsi="Book Antiqua"/>
          <w:b/>
          <w:i/>
          <w:sz w:val="24"/>
          <w:szCs w:val="24"/>
        </w:rPr>
      </w:pPr>
      <w:r w:rsidRPr="00DA4E57">
        <w:rPr>
          <w:rFonts w:ascii="Book Antiqua" w:hAnsi="Book Antiqua"/>
          <w:b/>
          <w:i/>
          <w:sz w:val="24"/>
          <w:szCs w:val="24"/>
        </w:rPr>
        <w:t>Research frontiers</w:t>
      </w:r>
    </w:p>
    <w:p w:rsidR="00F53CAE" w:rsidRDefault="00F53CAE" w:rsidP="00F53CAE">
      <w:pPr>
        <w:spacing w:line="360" w:lineRule="auto"/>
        <w:rPr>
          <w:rFonts w:ascii="Book Antiqua" w:hAnsi="Book Antiqua"/>
          <w:sz w:val="24"/>
          <w:szCs w:val="24"/>
        </w:rPr>
      </w:pPr>
      <w:r w:rsidRPr="00DA4E57">
        <w:rPr>
          <w:rFonts w:ascii="Book Antiqua" w:hAnsi="Book Antiqua"/>
          <w:sz w:val="24"/>
          <w:szCs w:val="24"/>
        </w:rPr>
        <w:t>Sorafenib is a multi-kinase inhibitor that has the potential to restrain the proliferation and survival of tumor cells. This research hotpot investigates whether sorafenib can improve the prognosis of patients who are going to receive or already have received liver transplantation due to liver cancer.</w:t>
      </w:r>
    </w:p>
    <w:p w:rsidR="00B64194" w:rsidRPr="00DA4E57" w:rsidRDefault="00B64194" w:rsidP="00F53CAE">
      <w:pPr>
        <w:spacing w:line="360" w:lineRule="auto"/>
        <w:rPr>
          <w:rFonts w:ascii="Book Antiqua" w:hAnsi="Book Antiqua"/>
          <w:sz w:val="24"/>
          <w:szCs w:val="24"/>
        </w:rPr>
      </w:pPr>
    </w:p>
    <w:p w:rsidR="00F53CAE" w:rsidRPr="00DA4E57" w:rsidRDefault="00F53CAE" w:rsidP="00F53CAE">
      <w:pPr>
        <w:spacing w:line="360" w:lineRule="auto"/>
        <w:rPr>
          <w:rFonts w:ascii="Book Antiqua" w:hAnsi="Book Antiqua"/>
          <w:b/>
          <w:i/>
          <w:sz w:val="24"/>
          <w:szCs w:val="24"/>
        </w:rPr>
      </w:pPr>
      <w:r w:rsidRPr="00DA4E57">
        <w:rPr>
          <w:rFonts w:ascii="Book Antiqua" w:hAnsi="Book Antiqua"/>
          <w:b/>
          <w:i/>
          <w:sz w:val="24"/>
          <w:szCs w:val="24"/>
        </w:rPr>
        <w:t>Innovations and breakthroughs</w:t>
      </w:r>
    </w:p>
    <w:p w:rsidR="00F53CAE" w:rsidRDefault="00F53CAE" w:rsidP="00F53CAE">
      <w:pPr>
        <w:spacing w:line="360" w:lineRule="auto"/>
        <w:rPr>
          <w:rFonts w:ascii="Book Antiqua" w:hAnsi="Book Antiqua"/>
          <w:sz w:val="24"/>
          <w:szCs w:val="24"/>
        </w:rPr>
      </w:pPr>
      <w:r w:rsidRPr="00DA4E57">
        <w:rPr>
          <w:rFonts w:ascii="Book Antiqua" w:hAnsi="Book Antiqua"/>
          <w:sz w:val="24"/>
          <w:szCs w:val="24"/>
        </w:rPr>
        <w:t>The data were extracted from the survival curves using Engauge 4.0 software. Next, the data were input into the HR calculations spreadsheet to generate the HRs, SEs and confidential intervals. This approach represents the first effort in this new area of research, and our data may provide some useful advice.</w:t>
      </w:r>
    </w:p>
    <w:p w:rsidR="00B64194" w:rsidRPr="00DA4E57" w:rsidRDefault="00B64194" w:rsidP="00F53CAE">
      <w:pPr>
        <w:spacing w:line="360" w:lineRule="auto"/>
        <w:rPr>
          <w:rFonts w:ascii="Book Antiqua" w:hAnsi="Book Antiqua"/>
          <w:b/>
          <w:i/>
          <w:sz w:val="24"/>
          <w:szCs w:val="24"/>
        </w:rPr>
      </w:pPr>
    </w:p>
    <w:p w:rsidR="00F53CAE" w:rsidRPr="00DA4E57" w:rsidRDefault="00F53CAE" w:rsidP="00F53CAE">
      <w:pPr>
        <w:spacing w:line="360" w:lineRule="auto"/>
        <w:rPr>
          <w:rFonts w:ascii="Book Antiqua" w:hAnsi="Book Antiqua"/>
          <w:b/>
          <w:i/>
          <w:sz w:val="24"/>
          <w:szCs w:val="24"/>
        </w:rPr>
      </w:pPr>
      <w:r w:rsidRPr="00DA4E57">
        <w:rPr>
          <w:rFonts w:ascii="Book Antiqua" w:hAnsi="Book Antiqua"/>
          <w:b/>
          <w:i/>
          <w:sz w:val="24"/>
          <w:szCs w:val="24"/>
        </w:rPr>
        <w:lastRenderedPageBreak/>
        <w:t>Applications</w:t>
      </w:r>
    </w:p>
    <w:p w:rsidR="00F53CAE" w:rsidRDefault="00F53CAE" w:rsidP="00F53CAE">
      <w:pPr>
        <w:spacing w:line="360" w:lineRule="auto"/>
        <w:rPr>
          <w:rFonts w:ascii="Book Antiqua" w:hAnsi="Book Antiqua"/>
          <w:sz w:val="24"/>
          <w:szCs w:val="24"/>
        </w:rPr>
      </w:pPr>
      <w:r w:rsidRPr="00DA4E57">
        <w:rPr>
          <w:rFonts w:ascii="Book Antiqua" w:hAnsi="Book Antiqua"/>
          <w:sz w:val="24"/>
          <w:szCs w:val="24"/>
        </w:rPr>
        <w:t>Our research has indicated that sorafenib does not have any apparent effect on overall patient survival. Moreover, sorafenib therapy might lead to a worse prognosis.</w:t>
      </w:r>
    </w:p>
    <w:p w:rsidR="00B64194" w:rsidRPr="00DA4E57" w:rsidRDefault="00B64194" w:rsidP="00F53CAE">
      <w:pPr>
        <w:spacing w:line="360" w:lineRule="auto"/>
        <w:rPr>
          <w:rFonts w:ascii="Book Antiqua" w:hAnsi="Book Antiqua"/>
          <w:sz w:val="24"/>
          <w:szCs w:val="24"/>
        </w:rPr>
      </w:pPr>
    </w:p>
    <w:p w:rsidR="00F53CAE" w:rsidRPr="00DA4E57" w:rsidRDefault="00F53CAE" w:rsidP="00F53CAE">
      <w:pPr>
        <w:spacing w:line="360" w:lineRule="auto"/>
        <w:rPr>
          <w:rFonts w:ascii="Book Antiqua" w:hAnsi="Book Antiqua"/>
          <w:b/>
          <w:i/>
          <w:sz w:val="24"/>
          <w:szCs w:val="24"/>
        </w:rPr>
      </w:pPr>
      <w:r w:rsidRPr="00DA4E57">
        <w:rPr>
          <w:rFonts w:ascii="Book Antiqua" w:hAnsi="Book Antiqua"/>
          <w:b/>
          <w:i/>
          <w:sz w:val="24"/>
          <w:szCs w:val="24"/>
        </w:rPr>
        <w:t>Terminology</w:t>
      </w:r>
    </w:p>
    <w:p w:rsidR="00F53CAE" w:rsidRDefault="00F53CAE" w:rsidP="00F53CAE">
      <w:pPr>
        <w:spacing w:line="360" w:lineRule="auto"/>
        <w:rPr>
          <w:rFonts w:ascii="Book Antiqua" w:hAnsi="Book Antiqua"/>
          <w:sz w:val="24"/>
          <w:szCs w:val="24"/>
        </w:rPr>
      </w:pPr>
      <w:r w:rsidRPr="00DA4E57">
        <w:rPr>
          <w:rFonts w:ascii="Book Antiqua" w:hAnsi="Book Antiqua"/>
          <w:sz w:val="24"/>
          <w:szCs w:val="24"/>
        </w:rPr>
        <w:t>Sorafenib: a multi-kinase inhibitor that can block the Raf/mitogen-activated protein kinase-extracellular signal-regulated kinase/extrac</w:t>
      </w:r>
      <w:r w:rsidR="00B64194">
        <w:rPr>
          <w:rFonts w:ascii="Book Antiqua" w:hAnsi="Book Antiqua"/>
          <w:sz w:val="24"/>
          <w:szCs w:val="24"/>
        </w:rPr>
        <w:t>ellular signal-regulated kinase</w:t>
      </w:r>
      <w:r w:rsidRPr="00DA4E57">
        <w:rPr>
          <w:rFonts w:ascii="Book Antiqua" w:hAnsi="Book Antiqua"/>
          <w:sz w:val="24"/>
          <w:szCs w:val="24"/>
        </w:rPr>
        <w:t xml:space="preserve"> pathway.</w:t>
      </w:r>
    </w:p>
    <w:p w:rsidR="00B64194" w:rsidRPr="00DA4E57" w:rsidRDefault="00B64194" w:rsidP="00F53CAE">
      <w:pPr>
        <w:spacing w:line="360" w:lineRule="auto"/>
        <w:rPr>
          <w:rFonts w:ascii="Book Antiqua" w:hAnsi="Book Antiqua"/>
          <w:sz w:val="24"/>
          <w:szCs w:val="24"/>
        </w:rPr>
      </w:pPr>
    </w:p>
    <w:p w:rsidR="00F53CAE" w:rsidRPr="00DA4E57" w:rsidRDefault="00F53CAE" w:rsidP="00F53CAE">
      <w:pPr>
        <w:spacing w:line="360" w:lineRule="auto"/>
        <w:rPr>
          <w:rFonts w:ascii="Book Antiqua" w:hAnsi="Book Antiqua"/>
          <w:b/>
          <w:i/>
          <w:sz w:val="24"/>
          <w:szCs w:val="24"/>
        </w:rPr>
      </w:pPr>
      <w:r w:rsidRPr="00DA4E57">
        <w:rPr>
          <w:rFonts w:ascii="Book Antiqua" w:hAnsi="Book Antiqua"/>
          <w:b/>
          <w:i/>
          <w:sz w:val="24"/>
          <w:szCs w:val="24"/>
        </w:rPr>
        <w:t>Peer review</w:t>
      </w:r>
    </w:p>
    <w:bookmarkEnd w:id="65"/>
    <w:bookmarkEnd w:id="66"/>
    <w:bookmarkEnd w:id="67"/>
    <w:bookmarkEnd w:id="68"/>
    <w:bookmarkEnd w:id="69"/>
    <w:bookmarkEnd w:id="70"/>
    <w:p w:rsidR="00F53CAE" w:rsidRPr="00DA4E57" w:rsidRDefault="00F53CAE" w:rsidP="00F53CAE">
      <w:pPr>
        <w:spacing w:line="360" w:lineRule="auto"/>
        <w:rPr>
          <w:rFonts w:ascii="Book Antiqua" w:hAnsi="Book Antiqua"/>
          <w:sz w:val="24"/>
          <w:szCs w:val="24"/>
        </w:rPr>
      </w:pPr>
      <w:r w:rsidRPr="00DA4E57">
        <w:rPr>
          <w:rFonts w:ascii="Book Antiqua" w:hAnsi="Book Antiqua"/>
          <w:sz w:val="24"/>
          <w:szCs w:val="24"/>
        </w:rPr>
        <w:t>The concept and methodology used is appropriate and interesting. This is a very important issue because in the literature recently some researchers have wondered whether sorafenib can improve patient survival during the perioperational period of liver transplantation. Thus, this meta-analysis provides us with a clear answer.</w:t>
      </w:r>
    </w:p>
    <w:p w:rsidR="00604A07" w:rsidRPr="00604A07" w:rsidRDefault="00604A07" w:rsidP="00604A07">
      <w:pPr>
        <w:widowControl/>
        <w:jc w:val="left"/>
        <w:rPr>
          <w:rFonts w:ascii="Book Antiqua" w:hAnsi="Book Antiqua"/>
          <w:b/>
          <w:sz w:val="24"/>
          <w:szCs w:val="24"/>
        </w:rPr>
      </w:pPr>
      <w:r>
        <w:rPr>
          <w:rFonts w:ascii="Book Antiqua" w:hAnsi="Book Antiqua"/>
          <w:b/>
          <w:sz w:val="24"/>
          <w:szCs w:val="24"/>
        </w:rPr>
        <w:br w:type="page"/>
      </w:r>
      <w:r w:rsidRPr="00DA4E57">
        <w:rPr>
          <w:rFonts w:ascii="Book Antiqua" w:hAnsi="Book Antiqua"/>
          <w:sz w:val="24"/>
          <w:szCs w:val="24"/>
        </w:rPr>
        <w:fldChar w:fldCharType="begin"/>
      </w:r>
      <w:r w:rsidRPr="00DA4E57">
        <w:rPr>
          <w:rFonts w:ascii="Book Antiqua" w:hAnsi="Book Antiqua"/>
          <w:sz w:val="24"/>
          <w:szCs w:val="24"/>
        </w:rPr>
        <w:instrText xml:space="preserve"> ADDIN NE.Bib</w:instrText>
      </w:r>
      <w:r w:rsidRPr="00DA4E57">
        <w:rPr>
          <w:rFonts w:ascii="Book Antiqua" w:hAnsi="Book Antiqua"/>
          <w:sz w:val="24"/>
          <w:szCs w:val="24"/>
        </w:rPr>
        <w:fldChar w:fldCharType="separate"/>
      </w:r>
    </w:p>
    <w:p w:rsidR="00604A07" w:rsidRDefault="00604A07" w:rsidP="00604A07">
      <w:pPr>
        <w:widowControl/>
        <w:jc w:val="left"/>
        <w:rPr>
          <w:rFonts w:ascii="Book Antiqua" w:hAnsi="Book Antiqua" w:cs="Arial"/>
          <w:b/>
          <w:sz w:val="24"/>
          <w:szCs w:val="24"/>
        </w:rPr>
      </w:pPr>
      <w:bookmarkStart w:id="71" w:name="OLE_LINK346"/>
      <w:bookmarkStart w:id="72" w:name="OLE_LINK347"/>
      <w:r w:rsidRPr="00DA4E57">
        <w:rPr>
          <w:rFonts w:ascii="Book Antiqua" w:hAnsi="Book Antiqua" w:cs="Arial"/>
          <w:b/>
          <w:sz w:val="24"/>
          <w:szCs w:val="24"/>
        </w:rPr>
        <w:lastRenderedPageBreak/>
        <w:t>REFERENCES</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1 </w:t>
      </w:r>
      <w:r w:rsidRPr="00D117BA">
        <w:rPr>
          <w:rFonts w:ascii="Book Antiqua" w:hAnsi="Book Antiqua" w:cs="宋体"/>
          <w:b/>
          <w:bCs/>
          <w:kern w:val="0"/>
          <w:sz w:val="24"/>
          <w:szCs w:val="24"/>
        </w:rPr>
        <w:t>Verslype C</w:t>
      </w:r>
      <w:r w:rsidRPr="00D117BA">
        <w:rPr>
          <w:rFonts w:ascii="Book Antiqua" w:hAnsi="Book Antiqua" w:cs="宋体"/>
          <w:kern w:val="0"/>
          <w:sz w:val="24"/>
          <w:szCs w:val="24"/>
        </w:rPr>
        <w:t>, Rosmorduc O, Rougier P. Hepatocellular carcinoma: ESMO-ESDO Clinical Practice Guidelines for diagnosis, treatment and follow-up. </w:t>
      </w:r>
      <w:r w:rsidRPr="00D117BA">
        <w:rPr>
          <w:rFonts w:ascii="Book Antiqua" w:hAnsi="Book Antiqua" w:cs="宋体"/>
          <w:i/>
          <w:iCs/>
          <w:kern w:val="0"/>
          <w:sz w:val="24"/>
          <w:szCs w:val="24"/>
        </w:rPr>
        <w:t>Ann Oncol</w:t>
      </w:r>
      <w:r w:rsidRPr="00D117BA">
        <w:rPr>
          <w:rFonts w:ascii="Book Antiqua" w:hAnsi="Book Antiqua" w:cs="宋体"/>
          <w:kern w:val="0"/>
          <w:sz w:val="24"/>
          <w:szCs w:val="24"/>
        </w:rPr>
        <w:t> 2012; </w:t>
      </w:r>
      <w:r w:rsidRPr="00D117BA">
        <w:rPr>
          <w:rFonts w:ascii="Book Antiqua" w:hAnsi="Book Antiqua" w:cs="宋体"/>
          <w:b/>
          <w:bCs/>
          <w:kern w:val="0"/>
          <w:sz w:val="24"/>
          <w:szCs w:val="24"/>
        </w:rPr>
        <w:t xml:space="preserve">23 </w:t>
      </w:r>
      <w:r w:rsidRPr="00D117BA">
        <w:rPr>
          <w:rFonts w:ascii="Book Antiqua" w:hAnsi="Book Antiqua" w:cs="宋体"/>
          <w:bCs/>
          <w:kern w:val="0"/>
          <w:sz w:val="24"/>
          <w:szCs w:val="24"/>
        </w:rPr>
        <w:t>Suppl 7</w:t>
      </w:r>
      <w:r w:rsidRPr="00D117BA">
        <w:rPr>
          <w:rFonts w:ascii="Book Antiqua" w:hAnsi="Book Antiqua" w:cs="宋体"/>
          <w:kern w:val="0"/>
          <w:sz w:val="24"/>
          <w:szCs w:val="24"/>
        </w:rPr>
        <w:t>: vii41-vii48 [PMID: 22997453 DOI: 10.1093/annonc/mds225]</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2 </w:t>
      </w:r>
      <w:r w:rsidRPr="00D117BA">
        <w:rPr>
          <w:rFonts w:ascii="Book Antiqua" w:hAnsi="Book Antiqua" w:cs="宋体"/>
          <w:b/>
          <w:bCs/>
          <w:kern w:val="0"/>
          <w:sz w:val="24"/>
          <w:szCs w:val="24"/>
        </w:rPr>
        <w:t>Jia N</w:t>
      </w:r>
      <w:r w:rsidRPr="00D117BA">
        <w:rPr>
          <w:rFonts w:ascii="Book Antiqua" w:hAnsi="Book Antiqua" w:cs="宋体"/>
          <w:kern w:val="0"/>
          <w:sz w:val="24"/>
          <w:szCs w:val="24"/>
        </w:rPr>
        <w:t>, Liou I, Halldorson J, Carithers R, Perkins J, Reyes J, Yeh M, Stohr E, Rao S, Lin EH. Phase I adjuvant trial of sorafenib in patients with hepatocellular carcinoma after orthotopic liver transplantation. </w:t>
      </w:r>
      <w:r w:rsidRPr="00D117BA">
        <w:rPr>
          <w:rFonts w:ascii="Book Antiqua" w:hAnsi="Book Antiqua" w:cs="宋体"/>
          <w:i/>
          <w:iCs/>
          <w:kern w:val="0"/>
          <w:sz w:val="24"/>
          <w:szCs w:val="24"/>
        </w:rPr>
        <w:t>Anticancer Res</w:t>
      </w:r>
      <w:r w:rsidRPr="00D117BA">
        <w:rPr>
          <w:rFonts w:ascii="Book Antiqua" w:hAnsi="Book Antiqua" w:cs="宋体"/>
          <w:kern w:val="0"/>
          <w:sz w:val="24"/>
          <w:szCs w:val="24"/>
        </w:rPr>
        <w:t> 2013; </w:t>
      </w:r>
      <w:r w:rsidRPr="00D117BA">
        <w:rPr>
          <w:rFonts w:ascii="Book Antiqua" w:hAnsi="Book Antiqua" w:cs="宋体"/>
          <w:b/>
          <w:bCs/>
          <w:kern w:val="0"/>
          <w:sz w:val="24"/>
          <w:szCs w:val="24"/>
        </w:rPr>
        <w:t>33</w:t>
      </w:r>
      <w:r w:rsidRPr="00D117BA">
        <w:rPr>
          <w:rFonts w:ascii="Book Antiqua" w:hAnsi="Book Antiqua" w:cs="宋体"/>
          <w:kern w:val="0"/>
          <w:sz w:val="24"/>
          <w:szCs w:val="24"/>
        </w:rPr>
        <w:t>: 2797-2800 [PMID: 23749944]</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3 </w:t>
      </w:r>
      <w:r w:rsidRPr="00D117BA">
        <w:rPr>
          <w:rFonts w:ascii="Book Antiqua" w:hAnsi="Book Antiqua" w:cs="宋体"/>
          <w:b/>
          <w:bCs/>
          <w:kern w:val="0"/>
          <w:sz w:val="24"/>
          <w:szCs w:val="24"/>
        </w:rPr>
        <w:t>Staufer K</w:t>
      </w:r>
      <w:r w:rsidRPr="00D117BA">
        <w:rPr>
          <w:rFonts w:ascii="Book Antiqua" w:hAnsi="Book Antiqua" w:cs="宋体"/>
          <w:kern w:val="0"/>
          <w:sz w:val="24"/>
          <w:szCs w:val="24"/>
        </w:rPr>
        <w:t>, Fischer L, Seegers B, Vettorazzi E, Nashan B, Sterneck M. High toxicity of sorafenib for recurrent hepatocellular carcinoma after liver transplantation. </w:t>
      </w:r>
      <w:r w:rsidRPr="00D117BA">
        <w:rPr>
          <w:rFonts w:ascii="Book Antiqua" w:hAnsi="Book Antiqua" w:cs="宋体"/>
          <w:i/>
          <w:iCs/>
          <w:kern w:val="0"/>
          <w:sz w:val="24"/>
          <w:szCs w:val="24"/>
        </w:rPr>
        <w:t>Transpl Int</w:t>
      </w:r>
      <w:r w:rsidRPr="00D117BA">
        <w:rPr>
          <w:rFonts w:ascii="Book Antiqua" w:hAnsi="Book Antiqua" w:cs="宋体"/>
          <w:kern w:val="0"/>
          <w:sz w:val="24"/>
          <w:szCs w:val="24"/>
        </w:rPr>
        <w:t> 2012; </w:t>
      </w:r>
      <w:r w:rsidRPr="00D117BA">
        <w:rPr>
          <w:rFonts w:ascii="Book Antiqua" w:hAnsi="Book Antiqua" w:cs="宋体"/>
          <w:b/>
          <w:bCs/>
          <w:kern w:val="0"/>
          <w:sz w:val="24"/>
          <w:szCs w:val="24"/>
        </w:rPr>
        <w:t>25</w:t>
      </w:r>
      <w:r w:rsidRPr="00D117BA">
        <w:rPr>
          <w:rFonts w:ascii="Book Antiqua" w:hAnsi="Book Antiqua" w:cs="宋体"/>
          <w:kern w:val="0"/>
          <w:sz w:val="24"/>
          <w:szCs w:val="24"/>
        </w:rPr>
        <w:t>: 1158-1164 [PMID: 22882364 DOI: 10.1111/j.1432-2277.2012.01540.x]</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4 </w:t>
      </w:r>
      <w:r w:rsidRPr="00D117BA">
        <w:rPr>
          <w:rFonts w:ascii="Book Antiqua" w:hAnsi="Book Antiqua" w:cs="宋体"/>
          <w:b/>
          <w:bCs/>
          <w:kern w:val="0"/>
          <w:sz w:val="24"/>
          <w:szCs w:val="24"/>
        </w:rPr>
        <w:t>Tierney JF</w:t>
      </w:r>
      <w:r w:rsidRPr="00D117BA">
        <w:rPr>
          <w:rFonts w:ascii="Book Antiqua" w:hAnsi="Book Antiqua" w:cs="宋体"/>
          <w:kern w:val="0"/>
          <w:sz w:val="24"/>
          <w:szCs w:val="24"/>
        </w:rPr>
        <w:t>, Stewart LA, Ghersi D, Burdett S, Sydes MR. Practical methods for incorporating summary time-to-event data into meta-analysis. </w:t>
      </w:r>
      <w:r w:rsidRPr="00D117BA">
        <w:rPr>
          <w:rFonts w:ascii="Book Antiqua" w:hAnsi="Book Antiqua" w:cs="宋体"/>
          <w:i/>
          <w:iCs/>
          <w:kern w:val="0"/>
          <w:sz w:val="24"/>
          <w:szCs w:val="24"/>
        </w:rPr>
        <w:t>Trials</w:t>
      </w:r>
      <w:r w:rsidRPr="00D117BA">
        <w:rPr>
          <w:rFonts w:ascii="Book Antiqua" w:hAnsi="Book Antiqua" w:cs="宋体"/>
          <w:kern w:val="0"/>
          <w:sz w:val="24"/>
          <w:szCs w:val="24"/>
        </w:rPr>
        <w:t> 2007; </w:t>
      </w:r>
      <w:r w:rsidRPr="00D117BA">
        <w:rPr>
          <w:rFonts w:ascii="Book Antiqua" w:hAnsi="Book Antiqua" w:cs="宋体"/>
          <w:b/>
          <w:bCs/>
          <w:kern w:val="0"/>
          <w:sz w:val="24"/>
          <w:szCs w:val="24"/>
        </w:rPr>
        <w:t>8</w:t>
      </w:r>
      <w:r w:rsidRPr="00D117BA">
        <w:rPr>
          <w:rFonts w:ascii="Book Antiqua" w:hAnsi="Book Antiqua" w:cs="宋体"/>
          <w:kern w:val="0"/>
          <w:sz w:val="24"/>
          <w:szCs w:val="24"/>
        </w:rPr>
        <w:t>: 16 [PMID: 17555582 DOI: 10.1186/1745-6215-8-16]</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5 </w:t>
      </w:r>
      <w:r w:rsidRPr="00D117BA">
        <w:rPr>
          <w:rFonts w:ascii="Book Antiqua" w:hAnsi="Book Antiqua" w:cs="宋体"/>
          <w:b/>
          <w:bCs/>
          <w:kern w:val="0"/>
          <w:sz w:val="24"/>
          <w:szCs w:val="24"/>
        </w:rPr>
        <w:t>Waghray A</w:t>
      </w:r>
      <w:r w:rsidRPr="00D117BA">
        <w:rPr>
          <w:rFonts w:ascii="Book Antiqua" w:hAnsi="Book Antiqua" w:cs="宋体"/>
          <w:kern w:val="0"/>
          <w:sz w:val="24"/>
          <w:szCs w:val="24"/>
        </w:rPr>
        <w:t>, Balci B, El-Gazzaz G, Kim R, Pelley R, Narayanan Menon KV, Estfan B, Romero-Marrero C, Aucejo F. Safety and efficacy of sorafenib for the treatment of recurrent hepatocellular carcinoma after liver transplantation. </w:t>
      </w:r>
      <w:r w:rsidRPr="00D117BA">
        <w:rPr>
          <w:rFonts w:ascii="Book Antiqua" w:hAnsi="Book Antiqua" w:cs="宋体"/>
          <w:i/>
          <w:iCs/>
          <w:kern w:val="0"/>
          <w:sz w:val="24"/>
          <w:szCs w:val="24"/>
        </w:rPr>
        <w:t>Clin Transplant</w:t>
      </w:r>
      <w:r w:rsidRPr="00D117BA">
        <w:rPr>
          <w:rFonts w:ascii="Book Antiqua" w:hAnsi="Book Antiqua" w:cs="宋体"/>
          <w:kern w:val="0"/>
          <w:sz w:val="24"/>
          <w:szCs w:val="24"/>
        </w:rPr>
        <w:t> </w:t>
      </w:r>
      <w:r>
        <w:rPr>
          <w:rFonts w:ascii="Book Antiqua" w:hAnsi="Book Antiqua" w:cs="宋体" w:hint="eastAsia"/>
          <w:kern w:val="0"/>
          <w:sz w:val="24"/>
          <w:szCs w:val="24"/>
        </w:rPr>
        <w:t>2013</w:t>
      </w:r>
      <w:r w:rsidRPr="00D117BA">
        <w:rPr>
          <w:rFonts w:ascii="Book Antiqua" w:hAnsi="Book Antiqua" w:cs="宋体"/>
          <w:kern w:val="0"/>
          <w:sz w:val="24"/>
          <w:szCs w:val="24"/>
        </w:rPr>
        <w:t>; </w:t>
      </w:r>
      <w:r w:rsidRPr="00D117BA">
        <w:rPr>
          <w:rFonts w:ascii="Book Antiqua" w:hAnsi="Book Antiqua" w:cs="宋体"/>
          <w:b/>
          <w:bCs/>
          <w:kern w:val="0"/>
          <w:sz w:val="24"/>
          <w:szCs w:val="24"/>
        </w:rPr>
        <w:t>27</w:t>
      </w:r>
      <w:r w:rsidRPr="00D117BA">
        <w:rPr>
          <w:rFonts w:ascii="Book Antiqua" w:hAnsi="Book Antiqua" w:cs="宋体"/>
          <w:kern w:val="0"/>
          <w:sz w:val="24"/>
          <w:szCs w:val="24"/>
        </w:rPr>
        <w:t>: 555-561 [PMID: 23758296 DOI: 10.1111/ctr.12150]</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6 </w:t>
      </w:r>
      <w:r w:rsidRPr="00D117BA">
        <w:rPr>
          <w:rFonts w:ascii="Book Antiqua" w:hAnsi="Book Antiqua" w:cs="宋体"/>
          <w:b/>
          <w:bCs/>
          <w:kern w:val="0"/>
          <w:sz w:val="24"/>
          <w:szCs w:val="24"/>
        </w:rPr>
        <w:t>Sposito C</w:t>
      </w:r>
      <w:r w:rsidRPr="00D117BA">
        <w:rPr>
          <w:rFonts w:ascii="Book Antiqua" w:hAnsi="Book Antiqua" w:cs="宋体"/>
          <w:kern w:val="0"/>
          <w:sz w:val="24"/>
          <w:szCs w:val="24"/>
        </w:rPr>
        <w:t>, Mariani L, Germini A, Flores Reyes M, Bongini M, Grossi G, Bhoori S, Mazzaferro V. Comparative efficacy of sorafenib versus best supportive care in recurrent hepatocellular carcinoma after liver transplantation: a case-control study. </w:t>
      </w:r>
      <w:r w:rsidRPr="00D117BA">
        <w:rPr>
          <w:rFonts w:ascii="Book Antiqua" w:hAnsi="Book Antiqua" w:cs="宋体"/>
          <w:i/>
          <w:iCs/>
          <w:kern w:val="0"/>
          <w:sz w:val="24"/>
          <w:szCs w:val="24"/>
        </w:rPr>
        <w:t>J Hepatol</w:t>
      </w:r>
      <w:r w:rsidRPr="00D117BA">
        <w:rPr>
          <w:rFonts w:ascii="Book Antiqua" w:hAnsi="Book Antiqua" w:cs="宋体"/>
          <w:kern w:val="0"/>
          <w:sz w:val="24"/>
          <w:szCs w:val="24"/>
        </w:rPr>
        <w:t> 2013; </w:t>
      </w:r>
      <w:r w:rsidRPr="00D117BA">
        <w:rPr>
          <w:rFonts w:ascii="Book Antiqua" w:hAnsi="Book Antiqua" w:cs="宋体"/>
          <w:b/>
          <w:bCs/>
          <w:kern w:val="0"/>
          <w:sz w:val="24"/>
          <w:szCs w:val="24"/>
        </w:rPr>
        <w:t>59</w:t>
      </w:r>
      <w:r w:rsidRPr="00D117BA">
        <w:rPr>
          <w:rFonts w:ascii="Book Antiqua" w:hAnsi="Book Antiqua" w:cs="宋体"/>
          <w:kern w:val="0"/>
          <w:sz w:val="24"/>
          <w:szCs w:val="24"/>
        </w:rPr>
        <w:t>: 59-66 [PMID: 23500153 DOI: 10.1016/j.jhep.2013.02.026]</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7 </w:t>
      </w:r>
      <w:r w:rsidRPr="00D117BA">
        <w:rPr>
          <w:rFonts w:ascii="Book Antiqua" w:hAnsi="Book Antiqua" w:cs="宋体"/>
          <w:b/>
          <w:bCs/>
          <w:kern w:val="0"/>
          <w:sz w:val="24"/>
          <w:szCs w:val="24"/>
        </w:rPr>
        <w:t>Tan WF</w:t>
      </w:r>
      <w:r w:rsidRPr="00D117BA">
        <w:rPr>
          <w:rFonts w:ascii="Book Antiqua" w:hAnsi="Book Antiqua" w:cs="宋体"/>
          <w:kern w:val="0"/>
          <w:sz w:val="24"/>
          <w:szCs w:val="24"/>
        </w:rPr>
        <w:t xml:space="preserve">, Qiu ZQ, Yu Y, Ran RZ, Yi B, Lau WY, Liu C, Qiu YH, Feng FL, Wang JH, Yan PN, Zhang BH, Wu MC, Luo XJ, Jiang XQ. Sorafenib extends the survival time of patients with multiple recurrences of hepatocellular </w:t>
      </w:r>
      <w:r w:rsidRPr="00D117BA">
        <w:rPr>
          <w:rFonts w:ascii="Book Antiqua" w:hAnsi="Book Antiqua" w:cs="宋体"/>
          <w:kern w:val="0"/>
          <w:sz w:val="24"/>
          <w:szCs w:val="24"/>
        </w:rPr>
        <w:lastRenderedPageBreak/>
        <w:t>carcinoma after liver transplantation. </w:t>
      </w:r>
      <w:r w:rsidRPr="00D117BA">
        <w:rPr>
          <w:rFonts w:ascii="Book Antiqua" w:hAnsi="Book Antiqua" w:cs="宋体"/>
          <w:i/>
          <w:iCs/>
          <w:kern w:val="0"/>
          <w:sz w:val="24"/>
          <w:szCs w:val="24"/>
        </w:rPr>
        <w:t>Acta Pharmacol Sin</w:t>
      </w:r>
      <w:r w:rsidRPr="00D117BA">
        <w:rPr>
          <w:rFonts w:ascii="Book Antiqua" w:hAnsi="Book Antiqua" w:cs="宋体"/>
          <w:kern w:val="0"/>
          <w:sz w:val="24"/>
          <w:szCs w:val="24"/>
        </w:rPr>
        <w:t> 2010; </w:t>
      </w:r>
      <w:r w:rsidRPr="00D117BA">
        <w:rPr>
          <w:rFonts w:ascii="Book Antiqua" w:hAnsi="Book Antiqua" w:cs="宋体"/>
          <w:b/>
          <w:bCs/>
          <w:kern w:val="0"/>
          <w:sz w:val="24"/>
          <w:szCs w:val="24"/>
        </w:rPr>
        <w:t>31</w:t>
      </w:r>
      <w:r w:rsidRPr="00D117BA">
        <w:rPr>
          <w:rFonts w:ascii="Book Antiqua" w:hAnsi="Book Antiqua" w:cs="宋体"/>
          <w:kern w:val="0"/>
          <w:sz w:val="24"/>
          <w:szCs w:val="24"/>
        </w:rPr>
        <w:t>: 1643-1648 [PMID: 21102481 DOI: 10.1038/aps.2010.124]</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8 </w:t>
      </w:r>
      <w:r w:rsidRPr="00D117BA">
        <w:rPr>
          <w:rFonts w:ascii="Book Antiqua" w:hAnsi="Book Antiqua" w:cs="宋体"/>
          <w:b/>
          <w:bCs/>
          <w:kern w:val="0"/>
          <w:sz w:val="24"/>
          <w:szCs w:val="24"/>
        </w:rPr>
        <w:t>Frenette CT</w:t>
      </w:r>
      <w:r w:rsidRPr="00D117BA">
        <w:rPr>
          <w:rFonts w:ascii="Book Antiqua" w:hAnsi="Book Antiqua" w:cs="宋体"/>
          <w:kern w:val="0"/>
          <w:sz w:val="24"/>
          <w:szCs w:val="24"/>
        </w:rPr>
        <w:t>, Boktour M, Burroughs SG, Kaseb A, Aloia TA, Galati J, Gaber AO, Monsour H, Ghobrial RM. Pre-transplant utilization of sorafenib is not associated with increased complications after liver transplantation. </w:t>
      </w:r>
      <w:r w:rsidRPr="00D117BA">
        <w:rPr>
          <w:rFonts w:ascii="Book Antiqua" w:hAnsi="Book Antiqua" w:cs="宋体"/>
          <w:i/>
          <w:iCs/>
          <w:kern w:val="0"/>
          <w:sz w:val="24"/>
          <w:szCs w:val="24"/>
        </w:rPr>
        <w:t>Transpl Int</w:t>
      </w:r>
      <w:r w:rsidRPr="00D117BA">
        <w:rPr>
          <w:rFonts w:ascii="Book Antiqua" w:hAnsi="Book Antiqua" w:cs="宋体"/>
          <w:kern w:val="0"/>
          <w:sz w:val="24"/>
          <w:szCs w:val="24"/>
        </w:rPr>
        <w:t> 2013; </w:t>
      </w:r>
      <w:r w:rsidRPr="00D117BA">
        <w:rPr>
          <w:rFonts w:ascii="Book Antiqua" w:hAnsi="Book Antiqua" w:cs="宋体"/>
          <w:b/>
          <w:bCs/>
          <w:kern w:val="0"/>
          <w:sz w:val="24"/>
          <w:szCs w:val="24"/>
        </w:rPr>
        <w:t>26</w:t>
      </w:r>
      <w:r w:rsidRPr="00D117BA">
        <w:rPr>
          <w:rFonts w:ascii="Book Antiqua" w:hAnsi="Book Antiqua" w:cs="宋体"/>
          <w:kern w:val="0"/>
          <w:sz w:val="24"/>
          <w:szCs w:val="24"/>
        </w:rPr>
        <w:t>: 734-739 [PMID: 23701126 DOI: 10.1111/tri.12117]</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9 </w:t>
      </w:r>
      <w:r w:rsidRPr="00D117BA">
        <w:rPr>
          <w:rFonts w:ascii="Book Antiqua" w:hAnsi="Book Antiqua" w:cs="宋体"/>
          <w:b/>
          <w:bCs/>
          <w:kern w:val="0"/>
          <w:sz w:val="24"/>
          <w:szCs w:val="24"/>
        </w:rPr>
        <w:t>de Oliveira IR</w:t>
      </w:r>
      <w:r w:rsidRPr="00D117BA">
        <w:rPr>
          <w:rFonts w:ascii="Book Antiqua" w:hAnsi="Book Antiqua" w:cs="宋体"/>
          <w:kern w:val="0"/>
          <w:sz w:val="24"/>
          <w:szCs w:val="24"/>
        </w:rPr>
        <w:t>, Santos-Jesus R, Po AL, Poolsup N. Extracting numerical data from published reports of pharmacokinetics investigations: method description and validation. </w:t>
      </w:r>
      <w:r w:rsidRPr="00D117BA">
        <w:rPr>
          <w:rFonts w:ascii="Book Antiqua" w:hAnsi="Book Antiqua" w:cs="宋体"/>
          <w:i/>
          <w:iCs/>
          <w:kern w:val="0"/>
          <w:sz w:val="24"/>
          <w:szCs w:val="24"/>
        </w:rPr>
        <w:t>Fundam Clin Pharmacol</w:t>
      </w:r>
      <w:r w:rsidRPr="00D117BA">
        <w:rPr>
          <w:rFonts w:ascii="Book Antiqua" w:hAnsi="Book Antiqua" w:cs="宋体"/>
          <w:kern w:val="0"/>
          <w:sz w:val="24"/>
          <w:szCs w:val="24"/>
        </w:rPr>
        <w:t> 2003; </w:t>
      </w:r>
      <w:r w:rsidRPr="00D117BA">
        <w:rPr>
          <w:rFonts w:ascii="Book Antiqua" w:hAnsi="Book Antiqua" w:cs="宋体"/>
          <w:b/>
          <w:bCs/>
          <w:kern w:val="0"/>
          <w:sz w:val="24"/>
          <w:szCs w:val="24"/>
        </w:rPr>
        <w:t>17</w:t>
      </w:r>
      <w:r w:rsidRPr="00D117BA">
        <w:rPr>
          <w:rFonts w:ascii="Book Antiqua" w:hAnsi="Book Antiqua" w:cs="宋体"/>
          <w:kern w:val="0"/>
          <w:sz w:val="24"/>
          <w:szCs w:val="24"/>
        </w:rPr>
        <w:t>: 471-472 [PMID: 12914550 DOI: 10.1046/j.1472-8206.2003.00180.x]</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10 </w:t>
      </w:r>
      <w:r w:rsidRPr="00D117BA">
        <w:rPr>
          <w:rFonts w:ascii="Book Antiqua" w:hAnsi="Book Antiqua" w:cs="宋体"/>
          <w:b/>
          <w:bCs/>
          <w:kern w:val="0"/>
          <w:sz w:val="24"/>
          <w:szCs w:val="24"/>
        </w:rPr>
        <w:t>Parmar MK</w:t>
      </w:r>
      <w:r w:rsidRPr="00D117BA">
        <w:rPr>
          <w:rFonts w:ascii="Book Antiqua" w:hAnsi="Book Antiqua" w:cs="宋体"/>
          <w:kern w:val="0"/>
          <w:sz w:val="24"/>
          <w:szCs w:val="24"/>
        </w:rPr>
        <w:t>, Torri V, Stewart L. Extracting summary statistics to perform meta-analyses of the published literature for survival endpoints. </w:t>
      </w:r>
      <w:r w:rsidRPr="00D117BA">
        <w:rPr>
          <w:rFonts w:ascii="Book Antiqua" w:hAnsi="Book Antiqua" w:cs="宋体"/>
          <w:i/>
          <w:iCs/>
          <w:kern w:val="0"/>
          <w:sz w:val="24"/>
          <w:szCs w:val="24"/>
        </w:rPr>
        <w:t>Stat Med</w:t>
      </w:r>
      <w:r w:rsidRPr="00D117BA">
        <w:rPr>
          <w:rFonts w:ascii="Book Antiqua" w:hAnsi="Book Antiqua" w:cs="宋体"/>
          <w:kern w:val="0"/>
          <w:sz w:val="24"/>
          <w:szCs w:val="24"/>
        </w:rPr>
        <w:t> 1998; </w:t>
      </w:r>
      <w:r w:rsidRPr="00D117BA">
        <w:rPr>
          <w:rFonts w:ascii="Book Antiqua" w:hAnsi="Book Antiqua" w:cs="宋体"/>
          <w:b/>
          <w:bCs/>
          <w:kern w:val="0"/>
          <w:sz w:val="24"/>
          <w:szCs w:val="24"/>
        </w:rPr>
        <w:t>17</w:t>
      </w:r>
      <w:r w:rsidRPr="00D117BA">
        <w:rPr>
          <w:rFonts w:ascii="Book Antiqua" w:hAnsi="Book Antiqua" w:cs="宋体"/>
          <w:kern w:val="0"/>
          <w:sz w:val="24"/>
          <w:szCs w:val="24"/>
        </w:rPr>
        <w:t>: 2815-2834 [PMID: 9921604]</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11 </w:t>
      </w:r>
      <w:r w:rsidRPr="00D117BA">
        <w:rPr>
          <w:rFonts w:ascii="Book Antiqua" w:hAnsi="Book Antiqua" w:cs="宋体"/>
          <w:b/>
          <w:bCs/>
          <w:kern w:val="0"/>
          <w:sz w:val="24"/>
          <w:szCs w:val="24"/>
        </w:rPr>
        <w:t>Weinmann A</w:t>
      </w:r>
      <w:r w:rsidRPr="00D117BA">
        <w:rPr>
          <w:rFonts w:ascii="Book Antiqua" w:hAnsi="Book Antiqua" w:cs="宋体"/>
          <w:kern w:val="0"/>
          <w:sz w:val="24"/>
          <w:szCs w:val="24"/>
        </w:rPr>
        <w:t>, Niederle IM, Koch S, Hoppe-Lotichius M, Heise M, Düber C, Schuchmann M, Otto G, Galle PR, Wörns MA. Sorafenib for recurrence of hepatocellular carcinoma after liver transplantation. </w:t>
      </w:r>
      <w:r w:rsidRPr="00D117BA">
        <w:rPr>
          <w:rFonts w:ascii="Book Antiqua" w:hAnsi="Book Antiqua" w:cs="宋体"/>
          <w:i/>
          <w:iCs/>
          <w:kern w:val="0"/>
          <w:sz w:val="24"/>
          <w:szCs w:val="24"/>
        </w:rPr>
        <w:t>Dig Liver Dis</w:t>
      </w:r>
      <w:r w:rsidRPr="00D117BA">
        <w:rPr>
          <w:rFonts w:ascii="Book Antiqua" w:hAnsi="Book Antiqua" w:cs="宋体"/>
          <w:kern w:val="0"/>
          <w:sz w:val="24"/>
          <w:szCs w:val="24"/>
        </w:rPr>
        <w:t> 2012; </w:t>
      </w:r>
      <w:r w:rsidRPr="00D117BA">
        <w:rPr>
          <w:rFonts w:ascii="Book Antiqua" w:hAnsi="Book Antiqua" w:cs="宋体"/>
          <w:b/>
          <w:bCs/>
          <w:kern w:val="0"/>
          <w:sz w:val="24"/>
          <w:szCs w:val="24"/>
        </w:rPr>
        <w:t>44</w:t>
      </w:r>
      <w:r w:rsidRPr="00D117BA">
        <w:rPr>
          <w:rFonts w:ascii="Book Antiqua" w:hAnsi="Book Antiqua" w:cs="宋体"/>
          <w:kern w:val="0"/>
          <w:sz w:val="24"/>
          <w:szCs w:val="24"/>
        </w:rPr>
        <w:t>: 432-437 [PMID: 22265328 DOI: 10.1016/j.dld.2011.12.009]</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12 </w:t>
      </w:r>
      <w:r w:rsidRPr="00D117BA">
        <w:rPr>
          <w:rFonts w:ascii="Book Antiqua" w:hAnsi="Book Antiqua" w:cs="宋体"/>
          <w:b/>
          <w:bCs/>
          <w:kern w:val="0"/>
          <w:sz w:val="24"/>
          <w:szCs w:val="24"/>
        </w:rPr>
        <w:t>Zavaglia C</w:t>
      </w:r>
      <w:r w:rsidRPr="00D117BA">
        <w:rPr>
          <w:rFonts w:ascii="Book Antiqua" w:hAnsi="Book Antiqua" w:cs="宋体"/>
          <w:kern w:val="0"/>
          <w:sz w:val="24"/>
          <w:szCs w:val="24"/>
        </w:rPr>
        <w:t>, Airoldi A, Mancuso A, Vangeli M, Viganò R, Cordone G, Gentiluomo M, Belli LS. Adverse events affect sorafenib efficacy in patients with recurrent hepatocellular carcinoma after liver transplantation: experience at a single center and review of the literature. </w:t>
      </w:r>
      <w:r w:rsidRPr="00D117BA">
        <w:rPr>
          <w:rFonts w:ascii="Book Antiqua" w:hAnsi="Book Antiqua" w:cs="宋体"/>
          <w:i/>
          <w:iCs/>
          <w:kern w:val="0"/>
          <w:sz w:val="24"/>
          <w:szCs w:val="24"/>
        </w:rPr>
        <w:t>Eur J Gastroenterol Hepatol</w:t>
      </w:r>
      <w:r w:rsidRPr="00D117BA">
        <w:rPr>
          <w:rFonts w:ascii="Book Antiqua" w:hAnsi="Book Antiqua" w:cs="宋体"/>
          <w:kern w:val="0"/>
          <w:sz w:val="24"/>
          <w:szCs w:val="24"/>
        </w:rPr>
        <w:t> 2013; </w:t>
      </w:r>
      <w:r w:rsidRPr="00D117BA">
        <w:rPr>
          <w:rFonts w:ascii="Book Antiqua" w:hAnsi="Book Antiqua" w:cs="宋体"/>
          <w:b/>
          <w:bCs/>
          <w:kern w:val="0"/>
          <w:sz w:val="24"/>
          <w:szCs w:val="24"/>
        </w:rPr>
        <w:t>25</w:t>
      </w:r>
      <w:r w:rsidRPr="00D117BA">
        <w:rPr>
          <w:rFonts w:ascii="Book Antiqua" w:hAnsi="Book Antiqua" w:cs="宋体"/>
          <w:kern w:val="0"/>
          <w:sz w:val="24"/>
          <w:szCs w:val="24"/>
        </w:rPr>
        <w:t>: 180-186 [PMID: 23044808 DOI: 10.1097/MEG.0b013e328359e550]</w:t>
      </w:r>
    </w:p>
    <w:p w:rsidR="00604A07" w:rsidRPr="00D117BA" w:rsidRDefault="00604A07" w:rsidP="00604A07">
      <w:pPr>
        <w:widowControl/>
        <w:spacing w:line="360" w:lineRule="auto"/>
        <w:rPr>
          <w:rFonts w:ascii="Book Antiqua" w:hAnsi="Book Antiqua" w:cs="宋体"/>
          <w:kern w:val="0"/>
          <w:sz w:val="24"/>
          <w:szCs w:val="24"/>
        </w:rPr>
      </w:pPr>
      <w:r w:rsidRPr="00D117BA">
        <w:rPr>
          <w:rFonts w:ascii="Book Antiqua" w:hAnsi="Book Antiqua" w:cs="宋体"/>
          <w:kern w:val="0"/>
          <w:sz w:val="24"/>
          <w:szCs w:val="24"/>
        </w:rPr>
        <w:t>13 </w:t>
      </w:r>
      <w:r w:rsidRPr="00D117BA">
        <w:rPr>
          <w:rFonts w:ascii="Book Antiqua" w:hAnsi="Book Antiqua" w:cs="宋体"/>
          <w:b/>
          <w:bCs/>
          <w:kern w:val="0"/>
          <w:sz w:val="24"/>
          <w:szCs w:val="24"/>
        </w:rPr>
        <w:t>Yoon DH</w:t>
      </w:r>
      <w:r w:rsidRPr="00D117BA">
        <w:rPr>
          <w:rFonts w:ascii="Book Antiqua" w:hAnsi="Book Antiqua" w:cs="宋体"/>
          <w:kern w:val="0"/>
          <w:sz w:val="24"/>
          <w:szCs w:val="24"/>
        </w:rPr>
        <w:t>, Ryoo BY, Ryu MH, Lee SG, Hwang S, Suh DJ, Lee HC, Kim TW, Ahn CS, Kim KH, Moon DB, Kang YK. Sorafenib for recurrent hepatocellular carcinoma after liver transplantation. </w:t>
      </w:r>
      <w:r w:rsidRPr="00D117BA">
        <w:rPr>
          <w:rFonts w:ascii="Book Antiqua" w:hAnsi="Book Antiqua" w:cs="宋体"/>
          <w:i/>
          <w:iCs/>
          <w:kern w:val="0"/>
          <w:sz w:val="24"/>
          <w:szCs w:val="24"/>
        </w:rPr>
        <w:t>Jpn J Clin Oncol</w:t>
      </w:r>
      <w:r w:rsidRPr="00D117BA">
        <w:rPr>
          <w:rFonts w:ascii="Book Antiqua" w:hAnsi="Book Antiqua" w:cs="宋体"/>
          <w:kern w:val="0"/>
          <w:sz w:val="24"/>
          <w:szCs w:val="24"/>
        </w:rPr>
        <w:t> 2010; </w:t>
      </w:r>
      <w:r w:rsidRPr="00D117BA">
        <w:rPr>
          <w:rFonts w:ascii="Book Antiqua" w:hAnsi="Book Antiqua" w:cs="宋体"/>
          <w:b/>
          <w:bCs/>
          <w:kern w:val="0"/>
          <w:sz w:val="24"/>
          <w:szCs w:val="24"/>
        </w:rPr>
        <w:t>40</w:t>
      </w:r>
      <w:r w:rsidRPr="00D117BA">
        <w:rPr>
          <w:rFonts w:ascii="Book Antiqua" w:hAnsi="Book Antiqua" w:cs="宋体"/>
          <w:kern w:val="0"/>
          <w:sz w:val="24"/>
          <w:szCs w:val="24"/>
        </w:rPr>
        <w:t>: 768-773 [PMID: 20494947 DOI: 10.1093/jjco/hyq055]</w:t>
      </w:r>
    </w:p>
    <w:p w:rsidR="00604A07" w:rsidRPr="00574400" w:rsidRDefault="00604A07" w:rsidP="00604A07">
      <w:pPr>
        <w:widowControl/>
        <w:jc w:val="left"/>
        <w:rPr>
          <w:rFonts w:ascii="Book Antiqua" w:hAnsi="Book Antiqua" w:cs="Arial"/>
          <w:b/>
          <w:sz w:val="24"/>
          <w:szCs w:val="24"/>
        </w:rPr>
      </w:pPr>
    </w:p>
    <w:bookmarkEnd w:id="71"/>
    <w:bookmarkEnd w:id="72"/>
    <w:p w:rsidR="00604A07" w:rsidRDefault="00604A07" w:rsidP="00604A07">
      <w:pPr>
        <w:pStyle w:val="a5"/>
        <w:wordWrap w:val="0"/>
        <w:spacing w:line="360" w:lineRule="auto"/>
        <w:ind w:left="360" w:right="120" w:firstLineChars="0" w:firstLine="0"/>
        <w:jc w:val="right"/>
        <w:rPr>
          <w:rFonts w:ascii="Book Antiqua" w:hAnsi="Book Antiqua"/>
          <w:b/>
          <w:bCs/>
          <w:color w:val="000000"/>
          <w:sz w:val="24"/>
          <w:szCs w:val="24"/>
        </w:rPr>
      </w:pPr>
      <w:r w:rsidRPr="00DA4E57">
        <w:rPr>
          <w:rFonts w:ascii="Book Antiqua" w:hAnsi="Book Antiqua"/>
          <w:sz w:val="24"/>
          <w:szCs w:val="24"/>
        </w:rPr>
        <w:fldChar w:fldCharType="end"/>
      </w:r>
      <w:bookmarkStart w:id="73" w:name="OLE_LINK277"/>
      <w:bookmarkStart w:id="74" w:name="OLE_LINK278"/>
      <w:bookmarkStart w:id="75" w:name="OLE_LINK279"/>
      <w:bookmarkStart w:id="76" w:name="OLE_LINK290"/>
      <w:bookmarkStart w:id="77" w:name="OLE_LINK301"/>
      <w:bookmarkStart w:id="78" w:name="OLE_LINK312"/>
      <w:bookmarkStart w:id="79" w:name="OLE_LINK315"/>
      <w:bookmarkStart w:id="80" w:name="OLE_LINK316"/>
      <w:bookmarkStart w:id="81" w:name="OLE_LINK317"/>
      <w:bookmarkStart w:id="82" w:name="OLE_LINK318"/>
      <w:bookmarkStart w:id="83" w:name="OLE_LINK326"/>
      <w:bookmarkStart w:id="84" w:name="OLE_LINK335"/>
      <w:bookmarkStart w:id="85" w:name="OLE_LINK339"/>
      <w:bookmarkStart w:id="86" w:name="OLE_LINK348"/>
      <w:bookmarkStart w:id="87" w:name="OLE_LINK399"/>
      <w:bookmarkStart w:id="88" w:name="OLE_LINK419"/>
      <w:bookmarkStart w:id="89" w:name="OLE_LINK420"/>
      <w:bookmarkStart w:id="90" w:name="OLE_LINK423"/>
      <w:bookmarkStart w:id="91" w:name="OLE_LINK449"/>
      <w:bookmarkStart w:id="92" w:name="OLE_LINK450"/>
      <w:bookmarkStart w:id="93" w:name="OLE_LINK454"/>
      <w:bookmarkStart w:id="94" w:name="OLE_LINK459"/>
      <w:bookmarkStart w:id="95" w:name="OLE_LINK460"/>
      <w:bookmarkStart w:id="96" w:name="OLE_LINK464"/>
      <w:bookmarkStart w:id="97" w:name="OLE_LINK467"/>
      <w:bookmarkStart w:id="98" w:name="OLE_LINK468"/>
      <w:bookmarkStart w:id="99" w:name="OLE_LINK476"/>
      <w:r w:rsidRPr="00DA4E57">
        <w:rPr>
          <w:rStyle w:val="a9"/>
          <w:rFonts w:ascii="Book Antiqua" w:hAnsi="Book Antiqua" w:cs="Arial"/>
          <w:color w:val="000000"/>
          <w:sz w:val="24"/>
          <w:szCs w:val="24"/>
        </w:rPr>
        <w:t>P-Reviewer:</w:t>
      </w:r>
      <w:r w:rsidRPr="0018014B">
        <w:t xml:space="preserve"> </w:t>
      </w:r>
      <w:r w:rsidRPr="0018014B">
        <w:rPr>
          <w:rStyle w:val="a9"/>
          <w:rFonts w:ascii="Book Antiqua" w:hAnsi="Book Antiqua" w:cs="Arial"/>
          <w:b w:val="0"/>
          <w:color w:val="000000"/>
          <w:sz w:val="24"/>
          <w:szCs w:val="24"/>
        </w:rPr>
        <w:t>Fisher RA</w:t>
      </w:r>
      <w:r>
        <w:rPr>
          <w:rStyle w:val="a9"/>
          <w:rFonts w:ascii="Book Antiqua" w:hAnsi="Book Antiqua" w:cs="Arial" w:hint="eastAsia"/>
          <w:color w:val="000000"/>
          <w:sz w:val="24"/>
          <w:szCs w:val="24"/>
        </w:rPr>
        <w:t>,</w:t>
      </w:r>
      <w:r w:rsidRPr="0018014B">
        <w:rPr>
          <w:rStyle w:val="a9"/>
          <w:rFonts w:ascii="Book Antiqua" w:hAnsi="Book Antiqua" w:cs="Arial"/>
          <w:color w:val="000000"/>
          <w:sz w:val="24"/>
          <w:szCs w:val="24"/>
        </w:rPr>
        <w:t xml:space="preserve"> </w:t>
      </w:r>
      <w:r w:rsidRPr="0018014B">
        <w:rPr>
          <w:rStyle w:val="a9"/>
          <w:rFonts w:ascii="Book Antiqua" w:hAnsi="Book Antiqua" w:cs="Arial"/>
          <w:b w:val="0"/>
          <w:color w:val="000000"/>
          <w:sz w:val="24"/>
          <w:szCs w:val="24"/>
        </w:rPr>
        <w:t>Ramsay</w:t>
      </w:r>
      <w:r w:rsidRPr="0018014B">
        <w:rPr>
          <w:rStyle w:val="a9"/>
          <w:rFonts w:ascii="Book Antiqua" w:hAnsi="Book Antiqua" w:cs="Arial" w:hint="eastAsia"/>
          <w:b w:val="0"/>
          <w:color w:val="000000"/>
          <w:sz w:val="24"/>
          <w:szCs w:val="24"/>
        </w:rPr>
        <w:t xml:space="preserve"> </w:t>
      </w:r>
      <w:r w:rsidRPr="0018014B">
        <w:rPr>
          <w:rStyle w:val="a9"/>
          <w:rFonts w:ascii="Book Antiqua" w:hAnsi="Book Antiqua" w:cs="Arial"/>
          <w:b w:val="0"/>
          <w:color w:val="000000"/>
          <w:sz w:val="24"/>
          <w:szCs w:val="24"/>
        </w:rPr>
        <w:t>M</w:t>
      </w:r>
      <w:r w:rsidRPr="0018014B">
        <w:rPr>
          <w:rStyle w:val="a9"/>
          <w:rFonts w:ascii="Book Antiqua" w:hAnsi="Book Antiqua" w:cs="Arial" w:hint="eastAsia"/>
          <w:b w:val="0"/>
          <w:color w:val="000000"/>
          <w:sz w:val="24"/>
          <w:szCs w:val="24"/>
        </w:rPr>
        <w:t xml:space="preserve">, </w:t>
      </w:r>
      <w:r w:rsidRPr="0018014B">
        <w:rPr>
          <w:rStyle w:val="a9"/>
          <w:rFonts w:ascii="Book Antiqua" w:hAnsi="Book Antiqua" w:cs="Arial"/>
          <w:b w:val="0"/>
          <w:color w:val="000000"/>
          <w:sz w:val="24"/>
          <w:szCs w:val="24"/>
        </w:rPr>
        <w:t>Yan</w:t>
      </w:r>
      <w:r w:rsidRPr="0018014B">
        <w:rPr>
          <w:rStyle w:val="a9"/>
          <w:rFonts w:ascii="Book Antiqua" w:hAnsi="Book Antiqua" w:cs="Arial" w:hint="eastAsia"/>
          <w:b w:val="0"/>
          <w:color w:val="000000"/>
          <w:sz w:val="24"/>
          <w:szCs w:val="24"/>
        </w:rPr>
        <w:t xml:space="preserve"> LN</w:t>
      </w:r>
      <w:r>
        <w:rPr>
          <w:rStyle w:val="a9"/>
          <w:rFonts w:ascii="Book Antiqua" w:hAnsi="Book Antiqua" w:cs="Arial" w:hint="eastAsia"/>
          <w:color w:val="000000"/>
          <w:sz w:val="24"/>
          <w:szCs w:val="24"/>
        </w:rPr>
        <w:t xml:space="preserve"> </w:t>
      </w:r>
      <w:r w:rsidRPr="00DA4E57">
        <w:rPr>
          <w:rFonts w:ascii="Book Antiqua" w:hAnsi="Book Antiqua"/>
          <w:b/>
          <w:bCs/>
          <w:color w:val="000000"/>
          <w:sz w:val="24"/>
          <w:szCs w:val="24"/>
        </w:rPr>
        <w:t>S-Editor:</w:t>
      </w:r>
      <w:r w:rsidRPr="00DA4E57">
        <w:rPr>
          <w:rFonts w:ascii="Book Antiqua" w:hAnsi="Book Antiqua"/>
          <w:bCs/>
          <w:color w:val="000000"/>
          <w:sz w:val="24"/>
          <w:szCs w:val="24"/>
        </w:rPr>
        <w:t>Qi Y</w:t>
      </w:r>
    </w:p>
    <w:p w:rsidR="00604A07" w:rsidRPr="00574400" w:rsidRDefault="00604A07" w:rsidP="00604A07">
      <w:pPr>
        <w:pStyle w:val="a5"/>
        <w:spacing w:line="360" w:lineRule="auto"/>
        <w:ind w:left="360" w:right="120" w:firstLineChars="0" w:firstLine="0"/>
        <w:jc w:val="right"/>
        <w:rPr>
          <w:rFonts w:ascii="Book Antiqua" w:hAnsi="Book Antiqua"/>
          <w:b/>
          <w:bCs/>
          <w:color w:val="000000"/>
          <w:sz w:val="24"/>
          <w:szCs w:val="24"/>
        </w:rPr>
      </w:pPr>
      <w:r w:rsidRPr="00DA4E57">
        <w:rPr>
          <w:rFonts w:ascii="Book Antiqua" w:hAnsi="Book Antiqua"/>
          <w:b/>
          <w:bCs/>
          <w:color w:val="000000"/>
          <w:sz w:val="24"/>
          <w:szCs w:val="24"/>
        </w:rPr>
        <w:t>L-Editor:   E-Editor: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F53CAE" w:rsidRPr="00B64194" w:rsidRDefault="00B64194" w:rsidP="00F53CAE">
      <w:pPr>
        <w:autoSpaceDE w:val="0"/>
        <w:autoSpaceDN w:val="0"/>
        <w:adjustRightInd w:val="0"/>
        <w:spacing w:line="360" w:lineRule="auto"/>
        <w:outlineLvl w:val="0"/>
        <w:rPr>
          <w:rFonts w:ascii="Book Antiqua" w:hAnsi="Book Antiqua"/>
          <w:b/>
          <w:sz w:val="24"/>
          <w:szCs w:val="24"/>
        </w:rPr>
      </w:pPr>
      <w:r w:rsidRPr="00DA4E57">
        <w:rPr>
          <w:rFonts w:ascii="Book Antiqua" w:hAnsi="Book Antiqua"/>
          <w:b/>
          <w:sz w:val="24"/>
          <w:szCs w:val="24"/>
        </w:rPr>
        <w:lastRenderedPageBreak/>
        <w:t>Figure1 Study flow</w:t>
      </w:r>
      <w:r>
        <w:rPr>
          <w:rFonts w:ascii="Book Antiqua" w:hAnsi="Book Antiqua" w:hint="eastAsia"/>
          <w:b/>
          <w:sz w:val="24"/>
          <w:szCs w:val="24"/>
        </w:rPr>
        <w:t>.</w:t>
      </w:r>
    </w:p>
    <w:p w:rsidR="00F53CAE" w:rsidRPr="00DA4E57" w:rsidRDefault="006E4EF0" w:rsidP="00F53CAE">
      <w:pPr>
        <w:autoSpaceDE w:val="0"/>
        <w:autoSpaceDN w:val="0"/>
        <w:adjustRightInd w:val="0"/>
        <w:spacing w:line="360" w:lineRule="auto"/>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2336" behindDoc="0" locked="0" layoutInCell="1" allowOverlap="1">
                <wp:simplePos x="0" y="0"/>
                <wp:positionH relativeFrom="column">
                  <wp:posOffset>3571875</wp:posOffset>
                </wp:positionH>
                <wp:positionV relativeFrom="paragraph">
                  <wp:posOffset>234315</wp:posOffset>
                </wp:positionV>
                <wp:extent cx="2486025" cy="466725"/>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6725"/>
                        </a:xfrm>
                        <a:prstGeom prst="flowChartProcess">
                          <a:avLst/>
                        </a:prstGeom>
                        <a:solidFill>
                          <a:srgbClr val="FFFFFF"/>
                        </a:solidFill>
                        <a:ln w="9525">
                          <a:solidFill>
                            <a:srgbClr val="000000"/>
                          </a:solidFill>
                          <a:miter lim="800000"/>
                          <a:headEnd/>
                          <a:tailEnd/>
                        </a:ln>
                      </wps:spPr>
                      <wps:txbx>
                        <w:txbxContent>
                          <w:p w:rsidR="00F53CAE" w:rsidRDefault="00F53CAE" w:rsidP="00F53CAE">
                            <w:pPr>
                              <w:pStyle w:val="aa"/>
                            </w:pPr>
                            <w:r>
                              <w:t>Excluded as not clinical experiments (</w:t>
                            </w:r>
                            <w:r w:rsidRPr="00D54EA3">
                              <w:rPr>
                                <w:i/>
                              </w:rPr>
                              <w:t>n</w:t>
                            </w:r>
                            <w:r>
                              <w:t>=82)</w:t>
                            </w:r>
                          </w:p>
                          <w:p w:rsidR="00F53CAE" w:rsidRPr="00A674B5" w:rsidRDefault="00F53CAE" w:rsidP="00F53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left:0;text-align:left;margin-left:281.25pt;margin-top:18.45pt;width:195.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">
                <v:textbox>
                  <w:txbxContent>
                    <w:p w:rsidR="00F53CAE" w:rsidRDefault="00F53CAE" w:rsidP="00F53CAE">
                      <w:pPr>
                        <w:pStyle w:val="aa"/>
                      </w:pPr>
                      <w:r>
                        <w:t>Excluded as not clinical experiments (</w:t>
                      </w:r>
                      <w:r w:rsidRPr="00D54EA3">
                        <w:rPr>
                          <w:i/>
                        </w:rPr>
                        <w:t>n</w:t>
                      </w:r>
                      <w:r>
                        <w:t>=82)</w:t>
                      </w:r>
                    </w:p>
                    <w:p w:rsidR="00F53CAE" w:rsidRPr="00A674B5" w:rsidRDefault="00F53CAE" w:rsidP="00F53CAE"/>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62865</wp:posOffset>
                </wp:positionV>
                <wp:extent cx="3352800" cy="819150"/>
                <wp:effectExtent l="9525" t="5715" r="9525" b="1333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19150"/>
                        </a:xfrm>
                        <a:prstGeom prst="flowChartProcess">
                          <a:avLst/>
                        </a:prstGeom>
                        <a:solidFill>
                          <a:srgbClr val="FFFFFF"/>
                        </a:solidFill>
                        <a:ln w="9525">
                          <a:solidFill>
                            <a:srgbClr val="000000"/>
                          </a:solidFill>
                          <a:miter lim="800000"/>
                          <a:headEnd/>
                          <a:tailEnd/>
                        </a:ln>
                      </wps:spPr>
                      <wps:txbx>
                        <w:txbxContent>
                          <w:p w:rsidR="00F53CAE" w:rsidRDefault="00F53CAE" w:rsidP="00F53CAE">
                            <w:pPr>
                              <w:pStyle w:val="aa"/>
                            </w:pPr>
                            <w:r>
                              <w:t>Potentially relevant studies identified and screened for retrieval based on search strategy (</w:t>
                            </w:r>
                            <w:r w:rsidRPr="00D54EA3">
                              <w:rPr>
                                <w:i/>
                              </w:rPr>
                              <w:t>n</w:t>
                            </w:r>
                            <w:r>
                              <w:t>=104)</w:t>
                            </w:r>
                          </w:p>
                          <w:p w:rsidR="00F53CAE" w:rsidRPr="00A674B5" w:rsidRDefault="00F53CAE" w:rsidP="00F53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9" style="position:absolute;left:0;text-align:left;margin-left:-20.25pt;margin-top:4.95pt;width:264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">
                <v:textbox>
                  <w:txbxContent>
                    <w:p w:rsidR="00F53CAE" w:rsidRDefault="00F53CAE" w:rsidP="00F53CAE">
                      <w:pPr>
                        <w:pStyle w:val="aa"/>
                      </w:pPr>
                      <w:r>
                        <w:t>Potentially relevant studies identified and screened for retrieval based on search strategy (</w:t>
                      </w:r>
                      <w:r w:rsidRPr="00D54EA3">
                        <w:rPr>
                          <w:i/>
                        </w:rPr>
                        <w:t>n</w:t>
                      </w:r>
                      <w:r>
                        <w:t>=104)</w:t>
                      </w:r>
                    </w:p>
                    <w:p w:rsidR="00F53CAE" w:rsidRPr="00A674B5" w:rsidRDefault="00F53CAE" w:rsidP="00F53CAE"/>
                  </w:txbxContent>
                </v:textbox>
              </v:shape>
            </w:pict>
          </mc:Fallback>
        </mc:AlternateContent>
      </w:r>
    </w:p>
    <w:p w:rsidR="00F53CAE" w:rsidRPr="00DA4E57" w:rsidRDefault="006E4EF0" w:rsidP="00F53CAE">
      <w:pPr>
        <w:autoSpaceDE w:val="0"/>
        <w:autoSpaceDN w:val="0"/>
        <w:adjustRightInd w:val="0"/>
        <w:spacing w:line="360" w:lineRule="auto"/>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3190875</wp:posOffset>
                </wp:positionH>
                <wp:positionV relativeFrom="paragraph">
                  <wp:posOffset>203835</wp:posOffset>
                </wp:positionV>
                <wp:extent cx="381000" cy="0"/>
                <wp:effectExtent l="9525" t="60960" r="19050" b="5334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1.25pt;margin-top:16.05pt;width:3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">
                <v:stroke endarrow="block"/>
              </v:shape>
            </w:pict>
          </mc:Fallback>
        </mc:AlternateContent>
      </w:r>
    </w:p>
    <w:p w:rsidR="00F53CAE" w:rsidRPr="00DA4E57" w:rsidRDefault="006E4EF0" w:rsidP="00F53CAE">
      <w:pPr>
        <w:autoSpaceDE w:val="0"/>
        <w:autoSpaceDN w:val="0"/>
        <w:adjustRightInd w:val="0"/>
        <w:spacing w:line="360" w:lineRule="auto"/>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1409700</wp:posOffset>
                </wp:positionH>
                <wp:positionV relativeFrom="paragraph">
                  <wp:posOffset>287655</wp:posOffset>
                </wp:positionV>
                <wp:extent cx="0" cy="419100"/>
                <wp:effectExtent l="57150" t="11430" r="57150" b="1714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1pt;margin-top:22.65pt;width:0;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BO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">
                <v:stroke endarrow="block"/>
              </v:shape>
            </w:pict>
          </mc:Fallback>
        </mc:AlternateContent>
      </w:r>
    </w:p>
    <w:p w:rsidR="00F53CAE" w:rsidRPr="00DA4E57" w:rsidRDefault="00F53CAE" w:rsidP="00F53CAE">
      <w:pPr>
        <w:autoSpaceDE w:val="0"/>
        <w:autoSpaceDN w:val="0"/>
        <w:adjustRightInd w:val="0"/>
        <w:spacing w:line="360" w:lineRule="auto"/>
        <w:outlineLvl w:val="0"/>
        <w:rPr>
          <w:rFonts w:ascii="Book Antiqua" w:hAnsi="Book Antiqua"/>
          <w:sz w:val="24"/>
          <w:szCs w:val="24"/>
        </w:rPr>
      </w:pPr>
    </w:p>
    <w:p w:rsidR="00F53CAE" w:rsidRPr="00DA4E57" w:rsidRDefault="006E4EF0" w:rsidP="00F53CAE">
      <w:pPr>
        <w:autoSpaceDE w:val="0"/>
        <w:autoSpaceDN w:val="0"/>
        <w:adjustRightInd w:val="0"/>
        <w:spacing w:line="360" w:lineRule="auto"/>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7456" behindDoc="0" locked="0" layoutInCell="1" allowOverlap="1">
                <wp:simplePos x="0" y="0"/>
                <wp:positionH relativeFrom="column">
                  <wp:posOffset>3714750</wp:posOffset>
                </wp:positionH>
                <wp:positionV relativeFrom="paragraph">
                  <wp:posOffset>112395</wp:posOffset>
                </wp:positionV>
                <wp:extent cx="2295525" cy="590550"/>
                <wp:effectExtent l="9525" t="7620" r="9525" b="1143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90550"/>
                        </a:xfrm>
                        <a:prstGeom prst="flowChartProcess">
                          <a:avLst/>
                        </a:prstGeom>
                        <a:solidFill>
                          <a:srgbClr val="FFFFFF"/>
                        </a:solidFill>
                        <a:ln w="9525">
                          <a:solidFill>
                            <a:srgbClr val="000000"/>
                          </a:solidFill>
                          <a:miter lim="800000"/>
                          <a:headEnd/>
                          <a:tailEnd/>
                        </a:ln>
                      </wps:spPr>
                      <wps:txbx>
                        <w:txbxContent>
                          <w:p w:rsidR="00F53CAE" w:rsidRDefault="00F53CAE" w:rsidP="00F53CAE">
                            <w:pPr>
                              <w:pStyle w:val="aa"/>
                            </w:pPr>
                            <w:r>
                              <w:t>Studies not meeting</w:t>
                            </w:r>
                            <w:r>
                              <w:br/>
                              <w:t>inclusion criteria(</w:t>
                            </w:r>
                            <w:r w:rsidRPr="00D54EA3">
                              <w:rPr>
                                <w:i/>
                              </w:rPr>
                              <w:t>n</w:t>
                            </w:r>
                            <w:r>
                              <w:t>=18)</w:t>
                            </w:r>
                          </w:p>
                          <w:p w:rsidR="00F53CAE" w:rsidRPr="009143D3" w:rsidRDefault="00F53CAE" w:rsidP="00F53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9" style="position:absolute;left:0;text-align:left;margin-left:292.5pt;margin-top:8.85pt;width:180.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">
                <v:textbox>
                  <w:txbxContent>
                    <w:p w:rsidR="00F53CAE" w:rsidRDefault="00F53CAE" w:rsidP="00F53CAE">
                      <w:pPr>
                        <w:pStyle w:val="aa"/>
                      </w:pPr>
                      <w:r>
                        <w:t>Studies not meeting</w:t>
                      </w:r>
                      <w:r>
                        <w:br/>
                        <w:t>inclusion criteria(</w:t>
                      </w:r>
                      <w:r w:rsidRPr="00D54EA3">
                        <w:rPr>
                          <w:i/>
                        </w:rPr>
                        <w:t>n</w:t>
                      </w:r>
                      <w:r>
                        <w:t>=18)</w:t>
                      </w:r>
                    </w:p>
                    <w:p w:rsidR="00F53CAE" w:rsidRPr="009143D3" w:rsidRDefault="00F53CAE" w:rsidP="00F53CAE"/>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169545</wp:posOffset>
                </wp:positionV>
                <wp:extent cx="2114550" cy="428625"/>
                <wp:effectExtent l="9525" t="7620" r="9525" b="114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8625"/>
                        </a:xfrm>
                        <a:prstGeom prst="flowChartProcess">
                          <a:avLst/>
                        </a:prstGeom>
                        <a:solidFill>
                          <a:srgbClr val="FFFFFF"/>
                        </a:solidFill>
                        <a:ln w="9525">
                          <a:solidFill>
                            <a:srgbClr val="000000"/>
                          </a:solidFill>
                          <a:miter lim="800000"/>
                          <a:headEnd/>
                          <a:tailEnd/>
                        </a:ln>
                      </wps:spPr>
                      <wps:txbx>
                        <w:txbxContent>
                          <w:p w:rsidR="00F53CAE" w:rsidRDefault="00F53CAE" w:rsidP="00F53CAE">
                            <w:pPr>
                              <w:pStyle w:val="aa"/>
                              <w:ind w:firstLineChars="50" w:firstLine="120"/>
                            </w:pPr>
                            <w:r>
                              <w:t>Abstract review(</w:t>
                            </w:r>
                            <w:r w:rsidRPr="00D54EA3">
                              <w:rPr>
                                <w:i/>
                              </w:rPr>
                              <w:t>n</w:t>
                            </w:r>
                            <w:r>
                              <w:t>=22)</w:t>
                            </w:r>
                          </w:p>
                          <w:p w:rsidR="00F53CAE" w:rsidRDefault="00F53CAE" w:rsidP="00F53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09" style="position:absolute;left:0;text-align:left;margin-left:35.25pt;margin-top:13.35pt;width:16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">
                <v:textbox>
                  <w:txbxContent>
                    <w:p w:rsidR="00F53CAE" w:rsidRDefault="00F53CAE" w:rsidP="00F53CAE">
                      <w:pPr>
                        <w:pStyle w:val="aa"/>
                        <w:ind w:firstLineChars="50" w:firstLine="120"/>
                      </w:pPr>
                      <w:r>
                        <w:t>Abstract review(</w:t>
                      </w:r>
                      <w:r w:rsidRPr="00D54EA3">
                        <w:rPr>
                          <w:i/>
                        </w:rPr>
                        <w:t>n</w:t>
                      </w:r>
                      <w:r>
                        <w:t>=22)</w:t>
                      </w:r>
                    </w:p>
                    <w:p w:rsidR="00F53CAE" w:rsidRDefault="00F53CAE" w:rsidP="00F53CAE"/>
                  </w:txbxContent>
                </v:textbox>
              </v:shape>
            </w:pict>
          </mc:Fallback>
        </mc:AlternateContent>
      </w:r>
    </w:p>
    <w:p w:rsidR="00F53CAE" w:rsidRPr="00DA4E57" w:rsidRDefault="006E4EF0" w:rsidP="00F53CAE">
      <w:pPr>
        <w:autoSpaceDE w:val="0"/>
        <w:autoSpaceDN w:val="0"/>
        <w:adjustRightInd w:val="0"/>
        <w:spacing w:line="360" w:lineRule="auto"/>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9504" behindDoc="0" locked="0" layoutInCell="1" allowOverlap="1">
                <wp:simplePos x="0" y="0"/>
                <wp:positionH relativeFrom="column">
                  <wp:posOffset>371475</wp:posOffset>
                </wp:positionH>
                <wp:positionV relativeFrom="paragraph">
                  <wp:posOffset>891540</wp:posOffset>
                </wp:positionV>
                <wp:extent cx="2133600" cy="838200"/>
                <wp:effectExtent l="9525" t="5715" r="952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flowChartProcess">
                          <a:avLst/>
                        </a:prstGeom>
                        <a:solidFill>
                          <a:srgbClr val="FFFFFF"/>
                        </a:solidFill>
                        <a:ln w="9525">
                          <a:solidFill>
                            <a:srgbClr val="000000"/>
                          </a:solidFill>
                          <a:miter lim="800000"/>
                          <a:headEnd/>
                          <a:tailEnd/>
                        </a:ln>
                      </wps:spPr>
                      <wps:txbx>
                        <w:txbxContent>
                          <w:p w:rsidR="00F53CAE" w:rsidRDefault="00F53CAE" w:rsidP="00F53CAE">
                            <w:pPr>
                              <w:pStyle w:val="aa"/>
                            </w:pPr>
                            <w:r>
                              <w:t>Studies suitable for meta-analysis or</w:t>
                            </w:r>
                            <w:r>
                              <w:br/>
                              <w:t>systematic review (</w:t>
                            </w:r>
                            <w:r w:rsidRPr="00D54EA3">
                              <w:rPr>
                                <w:i/>
                              </w:rPr>
                              <w:t>n</w:t>
                            </w:r>
                            <w:r>
                              <w:t>= 4)</w:t>
                            </w:r>
                          </w:p>
                          <w:p w:rsidR="00F53CAE" w:rsidRPr="009143D3" w:rsidRDefault="00F53CAE" w:rsidP="00F53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109" style="position:absolute;left:0;text-align:left;margin-left:29.25pt;margin-top:70.2pt;width:168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">
                <v:textbox>
                  <w:txbxContent>
                    <w:p w:rsidR="00F53CAE" w:rsidRDefault="00F53CAE" w:rsidP="00F53CAE">
                      <w:pPr>
                        <w:pStyle w:val="aa"/>
                      </w:pPr>
                      <w:r>
                        <w:t>Studies suitable for meta-analysis or</w:t>
                      </w:r>
                      <w:r>
                        <w:br/>
                        <w:t>systematic review (</w:t>
                      </w:r>
                      <w:r w:rsidRPr="00D54EA3">
                        <w:rPr>
                          <w:i/>
                        </w:rPr>
                        <w:t>n</w:t>
                      </w:r>
                      <w:r>
                        <w:t>= 4)</w:t>
                      </w:r>
                    </w:p>
                    <w:p w:rsidR="00F53CAE" w:rsidRPr="009143D3" w:rsidRDefault="00F53CAE" w:rsidP="00F53CAE"/>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358140</wp:posOffset>
                </wp:positionV>
                <wp:extent cx="0" cy="533400"/>
                <wp:effectExtent l="57150" t="5715" r="57150" b="228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5.5pt;margin-top:28.2pt;width:0;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F2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6RI&#10;Dy16PHgdM6Ms8jMYV4BZpXY2VEhP6tk8afrNIaWrjqiWR+uXswHnLDCavHEJijOQZT980gxsCCSI&#10;ZJ0a24eQQAM6xZ6c7z3hJ4/o5ZLC7Ww6zdM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">
                <v:stroke endarrow="block"/>
              </v:shape>
            </w:pict>
          </mc:Fallback>
        </mc:AlternateContent>
      </w:r>
      <w:r>
        <w:rPr>
          <w:rFonts w:ascii="Book Antiqua" w:hAnsi="Book Antiqua"/>
          <w:noProof/>
          <w:sz w:val="24"/>
          <w:szCs w:val="24"/>
        </w:rPr>
        <mc:AlternateContent>
          <mc:Choice Requires="wps">
            <w:drawing>
              <wp:anchor distT="0" distB="0" distL="114300" distR="114300" simplePos="0" relativeHeight="251666432" behindDoc="0" locked="0" layoutInCell="1" allowOverlap="1">
                <wp:simplePos x="0" y="0"/>
                <wp:positionH relativeFrom="column">
                  <wp:posOffset>2686050</wp:posOffset>
                </wp:positionH>
                <wp:positionV relativeFrom="paragraph">
                  <wp:posOffset>91440</wp:posOffset>
                </wp:positionV>
                <wp:extent cx="885825" cy="0"/>
                <wp:effectExtent l="9525" t="53340" r="19050" b="609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1.5pt;margin-top:7.2pt;width:6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">
                <v:stroke endarrow="block"/>
              </v:shape>
            </w:pict>
          </mc:Fallback>
        </mc:AlternateContent>
      </w: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F53CAE" w:rsidRPr="00DA4E57" w:rsidRDefault="00F53CAE" w:rsidP="00F53CAE">
      <w:pPr>
        <w:rPr>
          <w:rFonts w:ascii="Book Antiqua" w:hAnsi="Book Antiqua"/>
          <w:sz w:val="24"/>
          <w:szCs w:val="24"/>
        </w:rPr>
      </w:pPr>
    </w:p>
    <w:p w:rsidR="00B64194" w:rsidRPr="00B64194" w:rsidRDefault="00B64194" w:rsidP="00B64194">
      <w:pPr>
        <w:autoSpaceDE w:val="0"/>
        <w:autoSpaceDN w:val="0"/>
        <w:adjustRightInd w:val="0"/>
        <w:spacing w:line="360" w:lineRule="auto"/>
        <w:outlineLvl w:val="0"/>
        <w:rPr>
          <w:rFonts w:ascii="Book Antiqua" w:hAnsi="Book Antiqua"/>
          <w:b/>
          <w:sz w:val="24"/>
          <w:szCs w:val="24"/>
        </w:rPr>
      </w:pPr>
      <w:r w:rsidRPr="00B64194">
        <w:rPr>
          <w:rFonts w:ascii="Book Antiqua" w:hAnsi="Book Antiqua"/>
          <w:b/>
          <w:sz w:val="24"/>
          <w:szCs w:val="24"/>
        </w:rPr>
        <w:t>Figure2</w:t>
      </w:r>
      <w:r w:rsidRPr="00B64194">
        <w:rPr>
          <w:rFonts w:ascii="Book Antiqua" w:hAnsi="Book Antiqua" w:hint="eastAsia"/>
          <w:b/>
          <w:sz w:val="24"/>
          <w:szCs w:val="24"/>
        </w:rPr>
        <w:t xml:space="preserve"> </w:t>
      </w:r>
      <w:r w:rsidRPr="00B64194">
        <w:rPr>
          <w:rFonts w:ascii="Book Antiqua" w:hAnsi="Book Antiqua"/>
          <w:b/>
          <w:sz w:val="24"/>
          <w:szCs w:val="24"/>
        </w:rPr>
        <w:t>This is an example of how to extract the data from the K-M curves.</w:t>
      </w:r>
    </w:p>
    <w:p w:rsidR="00F53CAE" w:rsidRPr="00B64194" w:rsidRDefault="00F53CAE" w:rsidP="00F53CAE">
      <w:pPr>
        <w:ind w:firstLineChars="200" w:firstLine="480"/>
        <w:rPr>
          <w:rFonts w:ascii="Book Antiqua" w:hAnsi="Book Antiqua"/>
          <w:sz w:val="24"/>
          <w:szCs w:val="24"/>
        </w:rPr>
      </w:pPr>
    </w:p>
    <w:p w:rsidR="00F53CAE" w:rsidRDefault="00F53CAE" w:rsidP="00F53CAE">
      <w:pPr>
        <w:autoSpaceDE w:val="0"/>
        <w:autoSpaceDN w:val="0"/>
        <w:adjustRightInd w:val="0"/>
        <w:spacing w:line="360" w:lineRule="auto"/>
        <w:outlineLvl w:val="0"/>
        <w:rPr>
          <w:rFonts w:ascii="Book Antiqua" w:hAnsi="Book Antiqua"/>
          <w:sz w:val="24"/>
          <w:szCs w:val="24"/>
        </w:rPr>
      </w:pPr>
      <w:bookmarkStart w:id="100" w:name="OLE_LINK18"/>
      <w:bookmarkStart w:id="101" w:name="OLE_LINK19"/>
      <w:r w:rsidRPr="00DA4E57">
        <w:rPr>
          <w:rFonts w:ascii="Book Antiqua" w:hAnsi="Book Antiqua"/>
          <w:noProof/>
          <w:sz w:val="24"/>
          <w:szCs w:val="24"/>
        </w:rPr>
        <w:drawing>
          <wp:inline distT="0" distB="0" distL="0" distR="0" wp14:anchorId="4C85A73D" wp14:editId="3E6D9D29">
            <wp:extent cx="5029200" cy="3771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29200" cy="3771900"/>
                    </a:xfrm>
                    <a:prstGeom prst="rect">
                      <a:avLst/>
                    </a:prstGeom>
                    <a:noFill/>
                    <a:ln w="9525">
                      <a:noFill/>
                      <a:miter lim="800000"/>
                      <a:headEnd/>
                      <a:tailEnd/>
                    </a:ln>
                  </pic:spPr>
                </pic:pic>
              </a:graphicData>
            </a:graphic>
          </wp:inline>
        </w:drawing>
      </w:r>
      <w:bookmarkEnd w:id="100"/>
      <w:bookmarkEnd w:id="101"/>
    </w:p>
    <w:p w:rsidR="00B64194" w:rsidRDefault="00B64194" w:rsidP="00F53CAE">
      <w:pPr>
        <w:autoSpaceDE w:val="0"/>
        <w:autoSpaceDN w:val="0"/>
        <w:adjustRightInd w:val="0"/>
        <w:spacing w:line="360" w:lineRule="auto"/>
        <w:outlineLvl w:val="0"/>
        <w:rPr>
          <w:rFonts w:ascii="Book Antiqua" w:hAnsi="Book Antiqua"/>
          <w:sz w:val="24"/>
          <w:szCs w:val="24"/>
        </w:rPr>
      </w:pPr>
    </w:p>
    <w:p w:rsidR="00B64194" w:rsidRDefault="00B64194">
      <w:pPr>
        <w:widowControl/>
        <w:jc w:val="left"/>
        <w:rPr>
          <w:rFonts w:ascii="Book Antiqua" w:hAnsi="Book Antiqua"/>
          <w:sz w:val="24"/>
          <w:szCs w:val="24"/>
        </w:rPr>
      </w:pPr>
      <w:r>
        <w:rPr>
          <w:rFonts w:ascii="Book Antiqua" w:hAnsi="Book Antiqua"/>
          <w:sz w:val="24"/>
          <w:szCs w:val="24"/>
        </w:rPr>
        <w:br w:type="page"/>
      </w:r>
    </w:p>
    <w:p w:rsidR="00B64194" w:rsidRPr="00B64194" w:rsidRDefault="00B64194" w:rsidP="00B64194">
      <w:pPr>
        <w:autoSpaceDE w:val="0"/>
        <w:autoSpaceDN w:val="0"/>
        <w:adjustRightInd w:val="0"/>
        <w:spacing w:line="360" w:lineRule="auto"/>
        <w:outlineLvl w:val="0"/>
        <w:rPr>
          <w:rFonts w:ascii="Book Antiqua" w:hAnsi="Book Antiqua"/>
          <w:b/>
          <w:sz w:val="24"/>
          <w:szCs w:val="24"/>
        </w:rPr>
      </w:pPr>
      <w:r w:rsidRPr="00B64194">
        <w:rPr>
          <w:rFonts w:ascii="Book Antiqua" w:hAnsi="Book Antiqua"/>
          <w:b/>
          <w:sz w:val="24"/>
          <w:szCs w:val="24"/>
        </w:rPr>
        <w:lastRenderedPageBreak/>
        <w:t>Figure 3 Example depicts the process by which the data extracted from the K-M curves were input into the HR calculations spreadsheet, step by step.</w:t>
      </w:r>
    </w:p>
    <w:p w:rsidR="00B64194" w:rsidRPr="00B64194" w:rsidRDefault="00B64194" w:rsidP="00F53CAE">
      <w:pPr>
        <w:autoSpaceDE w:val="0"/>
        <w:autoSpaceDN w:val="0"/>
        <w:adjustRightInd w:val="0"/>
        <w:spacing w:line="360" w:lineRule="auto"/>
        <w:outlineLvl w:val="0"/>
        <w:rPr>
          <w:rFonts w:ascii="Book Antiqua" w:hAnsi="Book Antiqua"/>
          <w:sz w:val="24"/>
          <w:szCs w:val="24"/>
        </w:rPr>
      </w:pPr>
    </w:p>
    <w:p w:rsidR="00F53CAE" w:rsidRDefault="00F53CAE" w:rsidP="00F53CAE">
      <w:pPr>
        <w:autoSpaceDE w:val="0"/>
        <w:autoSpaceDN w:val="0"/>
        <w:adjustRightInd w:val="0"/>
        <w:spacing w:line="360" w:lineRule="auto"/>
        <w:outlineLvl w:val="0"/>
        <w:rPr>
          <w:rFonts w:ascii="Book Antiqua" w:hAnsi="Book Antiqua"/>
          <w:sz w:val="24"/>
          <w:szCs w:val="24"/>
        </w:rPr>
      </w:pPr>
      <w:r w:rsidRPr="00DA4E57">
        <w:rPr>
          <w:rFonts w:ascii="Book Antiqua" w:hAnsi="Book Antiqua"/>
          <w:noProof/>
          <w:sz w:val="24"/>
          <w:szCs w:val="24"/>
        </w:rPr>
        <w:drawing>
          <wp:inline distT="0" distB="0" distL="0" distR="0" wp14:anchorId="0E330B1C" wp14:editId="573DE326">
            <wp:extent cx="4933950" cy="566737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4933950" cy="5667375"/>
                    </a:xfrm>
                    <a:prstGeom prst="rect">
                      <a:avLst/>
                    </a:prstGeom>
                    <a:noFill/>
                    <a:ln w="9525">
                      <a:noFill/>
                      <a:miter lim="800000"/>
                      <a:headEnd/>
                      <a:tailEnd/>
                    </a:ln>
                  </pic:spPr>
                </pic:pic>
              </a:graphicData>
            </a:graphic>
          </wp:inline>
        </w:drawing>
      </w:r>
    </w:p>
    <w:p w:rsidR="00B64194" w:rsidRPr="00B64194" w:rsidRDefault="00B64194" w:rsidP="00F53CAE">
      <w:pPr>
        <w:autoSpaceDE w:val="0"/>
        <w:autoSpaceDN w:val="0"/>
        <w:adjustRightInd w:val="0"/>
        <w:spacing w:line="360" w:lineRule="auto"/>
        <w:outlineLvl w:val="0"/>
        <w:rPr>
          <w:rFonts w:ascii="Book Antiqua" w:hAnsi="Book Antiqua"/>
          <w:b/>
          <w:sz w:val="24"/>
          <w:szCs w:val="24"/>
        </w:rPr>
      </w:pPr>
    </w:p>
    <w:p w:rsidR="00604A07" w:rsidRDefault="00604A07">
      <w:pPr>
        <w:widowControl/>
        <w:jc w:val="left"/>
        <w:rPr>
          <w:rFonts w:ascii="Book Antiqua" w:hAnsi="Book Antiqua"/>
          <w:b/>
          <w:sz w:val="24"/>
          <w:szCs w:val="24"/>
        </w:rPr>
      </w:pPr>
      <w:r>
        <w:rPr>
          <w:rFonts w:ascii="Book Antiqua" w:hAnsi="Book Antiqua"/>
          <w:b/>
          <w:sz w:val="24"/>
          <w:szCs w:val="24"/>
        </w:rPr>
        <w:br w:type="page"/>
      </w:r>
    </w:p>
    <w:p w:rsidR="00B64194" w:rsidRPr="00B64194" w:rsidRDefault="00B64194" w:rsidP="00B64194">
      <w:pPr>
        <w:autoSpaceDE w:val="0"/>
        <w:autoSpaceDN w:val="0"/>
        <w:adjustRightInd w:val="0"/>
        <w:spacing w:line="360" w:lineRule="auto"/>
        <w:ind w:rightChars="-244" w:right="-512"/>
        <w:jc w:val="left"/>
        <w:rPr>
          <w:rFonts w:ascii="Book Antiqua" w:hAnsi="Book Antiqua"/>
          <w:b/>
          <w:sz w:val="24"/>
          <w:szCs w:val="24"/>
        </w:rPr>
      </w:pPr>
      <w:r w:rsidRPr="00B64194">
        <w:rPr>
          <w:rFonts w:ascii="Book Antiqua" w:hAnsi="Book Antiqua"/>
          <w:b/>
          <w:sz w:val="24"/>
          <w:szCs w:val="24"/>
        </w:rPr>
        <w:lastRenderedPageBreak/>
        <w:t>Figure 4</w:t>
      </w:r>
      <w:r w:rsidRPr="00B64194">
        <w:rPr>
          <w:rFonts w:ascii="Book Antiqua" w:hAnsi="Book Antiqua" w:hint="eastAsia"/>
          <w:b/>
          <w:sz w:val="24"/>
          <w:szCs w:val="24"/>
        </w:rPr>
        <w:t xml:space="preserve"> </w:t>
      </w:r>
      <w:r w:rsidRPr="00B64194">
        <w:rPr>
          <w:rFonts w:ascii="Book Antiqua" w:hAnsi="Book Antiqua"/>
          <w:b/>
          <w:sz w:val="24"/>
          <w:szCs w:val="24"/>
        </w:rPr>
        <w:t>Meta-analysis of the cohort trials comparing the effects of sorafenib in improving survival time during liver transplantation</w:t>
      </w:r>
      <w:r w:rsidRPr="00B64194">
        <w:rPr>
          <w:rFonts w:ascii="Book Antiqua" w:hAnsi="Book Antiqua" w:hint="eastAsia"/>
          <w:b/>
          <w:sz w:val="24"/>
          <w:szCs w:val="24"/>
        </w:rPr>
        <w:t>.</w:t>
      </w:r>
    </w:p>
    <w:p w:rsidR="00B64194" w:rsidRPr="00B64194" w:rsidRDefault="00B64194" w:rsidP="00F53CAE">
      <w:pPr>
        <w:autoSpaceDE w:val="0"/>
        <w:autoSpaceDN w:val="0"/>
        <w:adjustRightInd w:val="0"/>
        <w:spacing w:line="360" w:lineRule="auto"/>
        <w:outlineLvl w:val="0"/>
        <w:rPr>
          <w:rFonts w:ascii="Book Antiqua" w:hAnsi="Book Antiqua"/>
          <w:sz w:val="24"/>
          <w:szCs w:val="24"/>
        </w:rPr>
      </w:pPr>
    </w:p>
    <w:p w:rsidR="00F53CAE" w:rsidRPr="00DA4E57" w:rsidRDefault="00F53CAE" w:rsidP="00F53CAE">
      <w:pPr>
        <w:autoSpaceDE w:val="0"/>
        <w:autoSpaceDN w:val="0"/>
        <w:adjustRightInd w:val="0"/>
        <w:spacing w:line="360" w:lineRule="auto"/>
        <w:rPr>
          <w:rFonts w:ascii="Book Antiqua" w:hAnsi="Book Antiqua"/>
          <w:sz w:val="24"/>
          <w:szCs w:val="24"/>
        </w:rPr>
      </w:pPr>
      <w:r w:rsidRPr="00DA4E57">
        <w:rPr>
          <w:rFonts w:ascii="Book Antiqua" w:hAnsi="Book Antiqua"/>
          <w:noProof/>
          <w:sz w:val="24"/>
          <w:szCs w:val="24"/>
        </w:rPr>
        <w:drawing>
          <wp:inline distT="0" distB="0" distL="0" distR="0" wp14:anchorId="7C40088F" wp14:editId="3F955B66">
            <wp:extent cx="5429250" cy="3357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30992" cy="3358417"/>
                    </a:xfrm>
                    <a:prstGeom prst="rect">
                      <a:avLst/>
                    </a:prstGeom>
                    <a:noFill/>
                    <a:ln w="9525">
                      <a:noFill/>
                      <a:miter lim="800000"/>
                      <a:headEnd/>
                      <a:tailEnd/>
                    </a:ln>
                  </pic:spPr>
                </pic:pic>
              </a:graphicData>
            </a:graphic>
          </wp:inline>
        </w:drawing>
      </w: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B64194" w:rsidRPr="00B64194" w:rsidRDefault="00B64194" w:rsidP="00B64194">
      <w:pPr>
        <w:autoSpaceDE w:val="0"/>
        <w:autoSpaceDN w:val="0"/>
        <w:adjustRightInd w:val="0"/>
        <w:spacing w:line="360" w:lineRule="auto"/>
        <w:rPr>
          <w:rFonts w:ascii="Book Antiqua" w:hAnsi="Book Antiqua"/>
          <w:b/>
          <w:sz w:val="24"/>
          <w:szCs w:val="24"/>
        </w:rPr>
      </w:pPr>
      <w:r w:rsidRPr="00B64194">
        <w:rPr>
          <w:rFonts w:ascii="Book Antiqua" w:hAnsi="Book Antiqua"/>
          <w:b/>
          <w:sz w:val="24"/>
          <w:szCs w:val="24"/>
        </w:rPr>
        <w:t>Figure 5 Funnel plot of the included studies.</w:t>
      </w:r>
    </w:p>
    <w:p w:rsidR="00F53CAE" w:rsidRPr="00B64194"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r w:rsidRPr="00DA4E57">
        <w:rPr>
          <w:rFonts w:ascii="Book Antiqua" w:hAnsi="Book Antiqua"/>
          <w:noProof/>
          <w:sz w:val="24"/>
          <w:szCs w:val="24"/>
        </w:rPr>
        <w:drawing>
          <wp:anchor distT="0" distB="0" distL="114300" distR="114300" simplePos="0" relativeHeight="251660288" behindDoc="0" locked="0" layoutInCell="1" allowOverlap="1" wp14:anchorId="5FE01EDC" wp14:editId="340CD0B7">
            <wp:simplePos x="0" y="0"/>
            <wp:positionH relativeFrom="column">
              <wp:posOffset>371475</wp:posOffset>
            </wp:positionH>
            <wp:positionV relativeFrom="paragraph">
              <wp:posOffset>20955</wp:posOffset>
            </wp:positionV>
            <wp:extent cx="4181475" cy="2867025"/>
            <wp:effectExtent l="19050" t="0" r="9525"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81475" cy="2867025"/>
                    </a:xfrm>
                    <a:prstGeom prst="rect">
                      <a:avLst/>
                    </a:prstGeom>
                    <a:noFill/>
                  </pic:spPr>
                </pic:pic>
              </a:graphicData>
            </a:graphic>
          </wp:anchor>
        </w:drawing>
      </w: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ind w:rightChars="-244" w:right="-512"/>
        <w:jc w:val="left"/>
        <w:rPr>
          <w:rFonts w:ascii="Book Antiqua" w:hAnsi="Book Antiqua"/>
          <w:sz w:val="24"/>
          <w:szCs w:val="24"/>
        </w:rPr>
      </w:pPr>
    </w:p>
    <w:p w:rsidR="00F53CAE" w:rsidRPr="00DA4E57" w:rsidRDefault="00F53CAE" w:rsidP="00F53CAE">
      <w:pPr>
        <w:autoSpaceDE w:val="0"/>
        <w:autoSpaceDN w:val="0"/>
        <w:adjustRightInd w:val="0"/>
        <w:spacing w:line="360" w:lineRule="auto"/>
        <w:rPr>
          <w:rFonts w:ascii="Book Antiqua" w:hAnsi="Book Antiqua"/>
          <w:sz w:val="24"/>
          <w:szCs w:val="24"/>
        </w:rPr>
      </w:pPr>
    </w:p>
    <w:sectPr w:rsidR="00F53CAE" w:rsidRPr="00DA4E57" w:rsidSect="006605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2C" w:rsidRDefault="00F9602C" w:rsidP="00F53CAE">
      <w:r>
        <w:separator/>
      </w:r>
    </w:p>
  </w:endnote>
  <w:endnote w:type="continuationSeparator" w:id="0">
    <w:p w:rsidR="00F9602C" w:rsidRDefault="00F9602C" w:rsidP="00F5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2C" w:rsidRDefault="00F9602C" w:rsidP="00F53CAE">
      <w:r>
        <w:separator/>
      </w:r>
    </w:p>
  </w:footnote>
  <w:footnote w:type="continuationSeparator" w:id="0">
    <w:p w:rsidR="00F9602C" w:rsidRDefault="00F9602C" w:rsidP="00F5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AE"/>
    <w:rsid w:val="0007234C"/>
    <w:rsid w:val="00114C54"/>
    <w:rsid w:val="00140A13"/>
    <w:rsid w:val="0018014B"/>
    <w:rsid w:val="002D0855"/>
    <w:rsid w:val="002D4E12"/>
    <w:rsid w:val="002D7B6E"/>
    <w:rsid w:val="00367133"/>
    <w:rsid w:val="003B765C"/>
    <w:rsid w:val="003D2867"/>
    <w:rsid w:val="00447D5B"/>
    <w:rsid w:val="004D2558"/>
    <w:rsid w:val="005733EB"/>
    <w:rsid w:val="00574400"/>
    <w:rsid w:val="005D3845"/>
    <w:rsid w:val="00604A07"/>
    <w:rsid w:val="006605CC"/>
    <w:rsid w:val="006766D2"/>
    <w:rsid w:val="0068708F"/>
    <w:rsid w:val="006E4EF0"/>
    <w:rsid w:val="0078480F"/>
    <w:rsid w:val="00830A99"/>
    <w:rsid w:val="00911C8B"/>
    <w:rsid w:val="00AB7402"/>
    <w:rsid w:val="00B64194"/>
    <w:rsid w:val="00CB50B0"/>
    <w:rsid w:val="00CC7770"/>
    <w:rsid w:val="00D54EA3"/>
    <w:rsid w:val="00DA4E57"/>
    <w:rsid w:val="00E56266"/>
    <w:rsid w:val="00E65CB3"/>
    <w:rsid w:val="00ED6FDC"/>
    <w:rsid w:val="00F53CAE"/>
    <w:rsid w:val="00F8014C"/>
    <w:rsid w:val="00F9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AE"/>
    <w:pPr>
      <w:widowControl w:val="0"/>
      <w:jc w:val="both"/>
    </w:pPr>
    <w:rPr>
      <w:rFonts w:ascii="Calibri" w:eastAsia="宋体" w:hAnsi="Calibri" w:cs="Times New Roman"/>
    </w:rPr>
  </w:style>
  <w:style w:type="paragraph" w:styleId="1">
    <w:name w:val="heading 1"/>
    <w:basedOn w:val="a"/>
    <w:link w:val="1Char"/>
    <w:uiPriority w:val="99"/>
    <w:qFormat/>
    <w:rsid w:val="00F53CA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C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3CAE"/>
    <w:rPr>
      <w:sz w:val="18"/>
      <w:szCs w:val="18"/>
    </w:rPr>
  </w:style>
  <w:style w:type="paragraph" w:styleId="a4">
    <w:name w:val="footer"/>
    <w:basedOn w:val="a"/>
    <w:link w:val="Char0"/>
    <w:uiPriority w:val="99"/>
    <w:unhideWhenUsed/>
    <w:rsid w:val="00F53C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3CAE"/>
    <w:rPr>
      <w:sz w:val="18"/>
      <w:szCs w:val="18"/>
    </w:rPr>
  </w:style>
  <w:style w:type="character" w:customStyle="1" w:styleId="1Char">
    <w:name w:val="标题 1 Char"/>
    <w:basedOn w:val="a0"/>
    <w:link w:val="1"/>
    <w:uiPriority w:val="99"/>
    <w:rsid w:val="00F53CAE"/>
    <w:rPr>
      <w:rFonts w:ascii="宋体" w:eastAsia="宋体" w:hAnsi="宋体" w:cs="Times New Roman"/>
      <w:b/>
      <w:bCs/>
      <w:kern w:val="36"/>
      <w:sz w:val="48"/>
      <w:szCs w:val="48"/>
    </w:rPr>
  </w:style>
  <w:style w:type="paragraph" w:styleId="a5">
    <w:name w:val="List Paragraph"/>
    <w:basedOn w:val="a"/>
    <w:uiPriority w:val="99"/>
    <w:qFormat/>
    <w:rsid w:val="00F53CAE"/>
    <w:pPr>
      <w:ind w:firstLineChars="200" w:firstLine="420"/>
    </w:pPr>
  </w:style>
  <w:style w:type="character" w:styleId="a6">
    <w:name w:val="Hyperlink"/>
    <w:basedOn w:val="a0"/>
    <w:uiPriority w:val="99"/>
    <w:rsid w:val="00F53CAE"/>
    <w:rPr>
      <w:rFonts w:cs="Times New Roman"/>
      <w:color w:val="35A1D4"/>
      <w:u w:val="single"/>
    </w:rPr>
  </w:style>
  <w:style w:type="character" w:styleId="a7">
    <w:name w:val="annotation reference"/>
    <w:basedOn w:val="a0"/>
    <w:uiPriority w:val="99"/>
    <w:rsid w:val="00F53CAE"/>
    <w:rPr>
      <w:rFonts w:cs="Times New Roman"/>
      <w:sz w:val="21"/>
    </w:rPr>
  </w:style>
  <w:style w:type="paragraph" w:styleId="a8">
    <w:name w:val="annotation text"/>
    <w:basedOn w:val="a"/>
    <w:link w:val="Char1"/>
    <w:uiPriority w:val="99"/>
    <w:rsid w:val="00F53CAE"/>
    <w:pPr>
      <w:widowControl/>
      <w:jc w:val="left"/>
    </w:pPr>
    <w:rPr>
      <w:rFonts w:ascii="Times New Roman" w:hAnsi="Times New Roman"/>
      <w:kern w:val="0"/>
      <w:sz w:val="24"/>
      <w:szCs w:val="24"/>
      <w:lang w:eastAsia="en-US"/>
    </w:rPr>
  </w:style>
  <w:style w:type="character" w:customStyle="1" w:styleId="Char1">
    <w:name w:val="批注文字 Char"/>
    <w:basedOn w:val="a0"/>
    <w:link w:val="a8"/>
    <w:uiPriority w:val="99"/>
    <w:rsid w:val="00F53CAE"/>
    <w:rPr>
      <w:rFonts w:ascii="Times New Roman" w:eastAsia="宋体" w:hAnsi="Times New Roman" w:cs="Times New Roman"/>
      <w:kern w:val="0"/>
      <w:sz w:val="24"/>
      <w:szCs w:val="24"/>
      <w:lang w:eastAsia="en-US"/>
    </w:rPr>
  </w:style>
  <w:style w:type="paragraph" w:customStyle="1" w:styleId="p0">
    <w:name w:val="p0"/>
    <w:basedOn w:val="a"/>
    <w:uiPriority w:val="99"/>
    <w:rsid w:val="00F53CAE"/>
    <w:pPr>
      <w:widowControl/>
      <w:spacing w:line="240" w:lineRule="atLeast"/>
      <w:jc w:val="left"/>
    </w:pPr>
    <w:rPr>
      <w:rFonts w:ascii="Century" w:hAnsi="Century" w:cs="宋体"/>
      <w:kern w:val="0"/>
      <w:szCs w:val="21"/>
    </w:rPr>
  </w:style>
  <w:style w:type="character" w:styleId="a9">
    <w:name w:val="Strong"/>
    <w:basedOn w:val="a0"/>
    <w:uiPriority w:val="99"/>
    <w:qFormat/>
    <w:rsid w:val="00F53CAE"/>
    <w:rPr>
      <w:rFonts w:cs="Times New Roman"/>
      <w:b/>
    </w:rPr>
  </w:style>
  <w:style w:type="paragraph" w:styleId="aa">
    <w:name w:val="Normal (Web)"/>
    <w:basedOn w:val="a"/>
    <w:uiPriority w:val="99"/>
    <w:semiHidden/>
    <w:rsid w:val="00F53CAE"/>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2"/>
    <w:uiPriority w:val="99"/>
    <w:semiHidden/>
    <w:unhideWhenUsed/>
    <w:rsid w:val="00F53CAE"/>
    <w:rPr>
      <w:sz w:val="18"/>
      <w:szCs w:val="18"/>
    </w:rPr>
  </w:style>
  <w:style w:type="character" w:customStyle="1" w:styleId="Char2">
    <w:name w:val="批注框文本 Char"/>
    <w:basedOn w:val="a0"/>
    <w:link w:val="ab"/>
    <w:uiPriority w:val="99"/>
    <w:semiHidden/>
    <w:rsid w:val="00F53CA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AE"/>
    <w:pPr>
      <w:widowControl w:val="0"/>
      <w:jc w:val="both"/>
    </w:pPr>
    <w:rPr>
      <w:rFonts w:ascii="Calibri" w:eastAsia="宋体" w:hAnsi="Calibri" w:cs="Times New Roman"/>
    </w:rPr>
  </w:style>
  <w:style w:type="paragraph" w:styleId="1">
    <w:name w:val="heading 1"/>
    <w:basedOn w:val="a"/>
    <w:link w:val="1Char"/>
    <w:uiPriority w:val="99"/>
    <w:qFormat/>
    <w:rsid w:val="00F53CA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C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3CAE"/>
    <w:rPr>
      <w:sz w:val="18"/>
      <w:szCs w:val="18"/>
    </w:rPr>
  </w:style>
  <w:style w:type="paragraph" w:styleId="a4">
    <w:name w:val="footer"/>
    <w:basedOn w:val="a"/>
    <w:link w:val="Char0"/>
    <w:uiPriority w:val="99"/>
    <w:unhideWhenUsed/>
    <w:rsid w:val="00F53C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3CAE"/>
    <w:rPr>
      <w:sz w:val="18"/>
      <w:szCs w:val="18"/>
    </w:rPr>
  </w:style>
  <w:style w:type="character" w:customStyle="1" w:styleId="1Char">
    <w:name w:val="标题 1 Char"/>
    <w:basedOn w:val="a0"/>
    <w:link w:val="1"/>
    <w:uiPriority w:val="99"/>
    <w:rsid w:val="00F53CAE"/>
    <w:rPr>
      <w:rFonts w:ascii="宋体" w:eastAsia="宋体" w:hAnsi="宋体" w:cs="Times New Roman"/>
      <w:b/>
      <w:bCs/>
      <w:kern w:val="36"/>
      <w:sz w:val="48"/>
      <w:szCs w:val="48"/>
    </w:rPr>
  </w:style>
  <w:style w:type="paragraph" w:styleId="a5">
    <w:name w:val="List Paragraph"/>
    <w:basedOn w:val="a"/>
    <w:uiPriority w:val="99"/>
    <w:qFormat/>
    <w:rsid w:val="00F53CAE"/>
    <w:pPr>
      <w:ind w:firstLineChars="200" w:firstLine="420"/>
    </w:pPr>
  </w:style>
  <w:style w:type="character" w:styleId="a6">
    <w:name w:val="Hyperlink"/>
    <w:basedOn w:val="a0"/>
    <w:uiPriority w:val="99"/>
    <w:rsid w:val="00F53CAE"/>
    <w:rPr>
      <w:rFonts w:cs="Times New Roman"/>
      <w:color w:val="35A1D4"/>
      <w:u w:val="single"/>
    </w:rPr>
  </w:style>
  <w:style w:type="character" w:styleId="a7">
    <w:name w:val="annotation reference"/>
    <w:basedOn w:val="a0"/>
    <w:uiPriority w:val="99"/>
    <w:rsid w:val="00F53CAE"/>
    <w:rPr>
      <w:rFonts w:cs="Times New Roman"/>
      <w:sz w:val="21"/>
    </w:rPr>
  </w:style>
  <w:style w:type="paragraph" w:styleId="a8">
    <w:name w:val="annotation text"/>
    <w:basedOn w:val="a"/>
    <w:link w:val="Char1"/>
    <w:uiPriority w:val="99"/>
    <w:rsid w:val="00F53CAE"/>
    <w:pPr>
      <w:widowControl/>
      <w:jc w:val="left"/>
    </w:pPr>
    <w:rPr>
      <w:rFonts w:ascii="Times New Roman" w:hAnsi="Times New Roman"/>
      <w:kern w:val="0"/>
      <w:sz w:val="24"/>
      <w:szCs w:val="24"/>
      <w:lang w:eastAsia="en-US"/>
    </w:rPr>
  </w:style>
  <w:style w:type="character" w:customStyle="1" w:styleId="Char1">
    <w:name w:val="批注文字 Char"/>
    <w:basedOn w:val="a0"/>
    <w:link w:val="a8"/>
    <w:uiPriority w:val="99"/>
    <w:rsid w:val="00F53CAE"/>
    <w:rPr>
      <w:rFonts w:ascii="Times New Roman" w:eastAsia="宋体" w:hAnsi="Times New Roman" w:cs="Times New Roman"/>
      <w:kern w:val="0"/>
      <w:sz w:val="24"/>
      <w:szCs w:val="24"/>
      <w:lang w:eastAsia="en-US"/>
    </w:rPr>
  </w:style>
  <w:style w:type="paragraph" w:customStyle="1" w:styleId="p0">
    <w:name w:val="p0"/>
    <w:basedOn w:val="a"/>
    <w:uiPriority w:val="99"/>
    <w:rsid w:val="00F53CAE"/>
    <w:pPr>
      <w:widowControl/>
      <w:spacing w:line="240" w:lineRule="atLeast"/>
      <w:jc w:val="left"/>
    </w:pPr>
    <w:rPr>
      <w:rFonts w:ascii="Century" w:hAnsi="Century" w:cs="宋体"/>
      <w:kern w:val="0"/>
      <w:szCs w:val="21"/>
    </w:rPr>
  </w:style>
  <w:style w:type="character" w:styleId="a9">
    <w:name w:val="Strong"/>
    <w:basedOn w:val="a0"/>
    <w:uiPriority w:val="99"/>
    <w:qFormat/>
    <w:rsid w:val="00F53CAE"/>
    <w:rPr>
      <w:rFonts w:cs="Times New Roman"/>
      <w:b/>
    </w:rPr>
  </w:style>
  <w:style w:type="paragraph" w:styleId="aa">
    <w:name w:val="Normal (Web)"/>
    <w:basedOn w:val="a"/>
    <w:uiPriority w:val="99"/>
    <w:semiHidden/>
    <w:rsid w:val="00F53CAE"/>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2"/>
    <w:uiPriority w:val="99"/>
    <w:semiHidden/>
    <w:unhideWhenUsed/>
    <w:rsid w:val="00F53CAE"/>
    <w:rPr>
      <w:sz w:val="18"/>
      <w:szCs w:val="18"/>
    </w:rPr>
  </w:style>
  <w:style w:type="character" w:customStyle="1" w:styleId="Char2">
    <w:name w:val="批注框文本 Char"/>
    <w:basedOn w:val="a0"/>
    <w:link w:val="ab"/>
    <w:uiPriority w:val="99"/>
    <w:semiHidden/>
    <w:rsid w:val="00F53CA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2659</Words>
  <Characters>15158</Characters>
  <Application>Microsoft Office Word</Application>
  <DocSecurity>0</DocSecurity>
  <Lines>126</Lines>
  <Paragraphs>35</Paragraphs>
  <ScaleCrop>false</ScaleCrop>
  <Company>微软中国</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2014-09-18T04:22:00Z</dcterms:created>
  <dcterms:modified xsi:type="dcterms:W3CDTF">2014-09-18T04:22:00Z</dcterms:modified>
</cp:coreProperties>
</file>