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30" w:rsidRPr="004E0213" w:rsidRDefault="00B12F30" w:rsidP="007B0525">
      <w:pPr>
        <w:widowControl w:val="0"/>
        <w:adjustRightInd w:val="0"/>
        <w:snapToGrid w:val="0"/>
        <w:spacing w:line="360" w:lineRule="auto"/>
        <w:jc w:val="both"/>
        <w:rPr>
          <w:rFonts w:ascii="Book Antiqua" w:hAnsi="Book Antiqua"/>
          <w:sz w:val="21"/>
          <w:szCs w:val="21"/>
          <w:lang w:val="en-US"/>
        </w:rPr>
      </w:pPr>
      <w:r w:rsidRPr="004E0213">
        <w:rPr>
          <w:rFonts w:ascii="Book Antiqua" w:eastAsia="Times New Roman" w:hAnsi="Book Antiqua" w:cs="宋体"/>
          <w:b/>
          <w:sz w:val="21"/>
          <w:szCs w:val="21"/>
          <w:lang w:val="en-US"/>
        </w:rPr>
        <w:t xml:space="preserve">Name of journal: </w:t>
      </w:r>
      <w:bookmarkStart w:id="0" w:name="OLE_LINK719"/>
      <w:bookmarkStart w:id="1" w:name="OLE_LINK718"/>
      <w:r w:rsidRPr="004E0213">
        <w:rPr>
          <w:rFonts w:ascii="Book Antiqua" w:eastAsia="Times New Roman" w:hAnsi="Book Antiqua" w:cs="宋体"/>
          <w:b/>
          <w:sz w:val="21"/>
          <w:szCs w:val="21"/>
          <w:lang w:val="en-US"/>
        </w:rPr>
        <w:t xml:space="preserve">World Journal of </w:t>
      </w:r>
      <w:bookmarkEnd w:id="0"/>
      <w:bookmarkEnd w:id="1"/>
      <w:r w:rsidRPr="004E0213">
        <w:rPr>
          <w:rFonts w:ascii="Book Antiqua" w:hAnsi="Book Antiqua"/>
          <w:b/>
          <w:sz w:val="21"/>
          <w:szCs w:val="21"/>
          <w:lang w:val="en-US"/>
        </w:rPr>
        <w:t xml:space="preserve">Gastroenterology </w:t>
      </w:r>
    </w:p>
    <w:p w:rsidR="00B12F30" w:rsidRPr="004E0213" w:rsidRDefault="00B12F30" w:rsidP="007B0525">
      <w:pPr>
        <w:widowControl w:val="0"/>
        <w:adjustRightInd w:val="0"/>
        <w:snapToGrid w:val="0"/>
        <w:spacing w:line="360" w:lineRule="auto"/>
        <w:jc w:val="both"/>
        <w:rPr>
          <w:rFonts w:ascii="Book Antiqua" w:eastAsia="Times New Roman" w:hAnsi="Book Antiqua" w:cs="宋体"/>
          <w:b/>
          <w:sz w:val="21"/>
          <w:szCs w:val="21"/>
          <w:lang w:val="en-US" w:eastAsia="zh-CN"/>
        </w:rPr>
      </w:pPr>
      <w:r w:rsidRPr="004E0213">
        <w:rPr>
          <w:rFonts w:ascii="Book Antiqua" w:hAnsi="Book Antiqua" w:cs="Arial"/>
          <w:b/>
          <w:sz w:val="21"/>
          <w:szCs w:val="21"/>
          <w:lang w:val="en-US"/>
        </w:rPr>
        <w:t xml:space="preserve">ESPS Manuscript NO: </w:t>
      </w:r>
      <w:r w:rsidRPr="004E0213">
        <w:rPr>
          <w:rFonts w:ascii="Book Antiqua" w:hAnsi="Book Antiqua" w:cs="Arial"/>
          <w:b/>
          <w:sz w:val="21"/>
          <w:szCs w:val="21"/>
          <w:lang w:val="en-US" w:eastAsia="zh-CN"/>
        </w:rPr>
        <w:t>12436</w:t>
      </w:r>
    </w:p>
    <w:p w:rsidR="00B12F30" w:rsidRPr="004E0213" w:rsidRDefault="00B12F30" w:rsidP="007B0525">
      <w:pPr>
        <w:suppressAutoHyphens/>
        <w:autoSpaceDE w:val="0"/>
        <w:autoSpaceDN w:val="0"/>
        <w:adjustRightInd w:val="0"/>
        <w:snapToGrid w:val="0"/>
        <w:spacing w:line="360" w:lineRule="auto"/>
        <w:jc w:val="both"/>
        <w:rPr>
          <w:rFonts w:ascii="Book Antiqua" w:hAnsi="Book Antiqua"/>
          <w:b/>
          <w:sz w:val="21"/>
          <w:szCs w:val="21"/>
          <w:lang w:val="en-US" w:eastAsia="zh-CN"/>
        </w:rPr>
      </w:pPr>
      <w:r w:rsidRPr="004E0213">
        <w:rPr>
          <w:rFonts w:ascii="Book Antiqua" w:hAnsi="Book Antiqua"/>
          <w:b/>
          <w:sz w:val="21"/>
          <w:szCs w:val="21"/>
          <w:lang w:val="en-US"/>
        </w:rPr>
        <w:t xml:space="preserve">Columns: </w:t>
      </w:r>
      <w:r w:rsidR="002C1156" w:rsidRPr="002C1156">
        <w:rPr>
          <w:rFonts w:ascii="Book Antiqua" w:hAnsi="Book Antiqua"/>
          <w:b/>
          <w:szCs w:val="21"/>
        </w:rPr>
        <w:t>PROSPECTIVE STUDY</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bCs/>
          <w:lang w:val="en-US"/>
        </w:rPr>
      </w:pP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b/>
          <w:bCs/>
          <w:lang w:val="en-US"/>
        </w:rPr>
      </w:pPr>
      <w:r w:rsidRPr="004E0213">
        <w:rPr>
          <w:rStyle w:val="hps"/>
          <w:rFonts w:ascii="Book Antiqua" w:hAnsi="Book Antiqua" w:cs="Calibri"/>
          <w:b/>
          <w:bCs/>
          <w:lang w:val="en-US"/>
        </w:rPr>
        <w:t>Paclitaxel-eluting balloon dilation of biliary anastomotic stricture after liver transplantation</w:t>
      </w:r>
    </w:p>
    <w:p w:rsidR="00B12F30" w:rsidRPr="004E0213" w:rsidRDefault="00B12F30" w:rsidP="007B0525">
      <w:pPr>
        <w:widowControl w:val="0"/>
        <w:adjustRightInd w:val="0"/>
        <w:snapToGrid w:val="0"/>
        <w:spacing w:line="360" w:lineRule="auto"/>
        <w:jc w:val="both"/>
        <w:rPr>
          <w:rStyle w:val="hps"/>
          <w:rFonts w:ascii="Book Antiqua" w:hAnsi="Book Antiqua" w:cs="Calibri"/>
          <w:b/>
          <w:bCs/>
          <w:lang w:val="en-US"/>
        </w:rPr>
      </w:pPr>
    </w:p>
    <w:p w:rsidR="00B12F30" w:rsidRPr="004E0213" w:rsidRDefault="00B12F30" w:rsidP="007B0525">
      <w:pPr>
        <w:widowControl w:val="0"/>
        <w:adjustRightInd w:val="0"/>
        <w:snapToGrid w:val="0"/>
        <w:spacing w:line="360" w:lineRule="auto"/>
        <w:jc w:val="both"/>
        <w:rPr>
          <w:rStyle w:val="hps"/>
          <w:rFonts w:ascii="Book Antiqua" w:hAnsi="Book Antiqua" w:cs="Calibri"/>
          <w:lang w:val="en-US"/>
        </w:rPr>
      </w:pPr>
      <w:r w:rsidRPr="004E0213">
        <w:rPr>
          <w:rStyle w:val="hps"/>
          <w:rFonts w:ascii="Book Antiqua" w:hAnsi="Book Antiqua" w:cs="Calibri"/>
          <w:lang w:val="en-US"/>
        </w:rPr>
        <w:t xml:space="preserve">Hüsing </w:t>
      </w:r>
      <w:proofErr w:type="gramStart"/>
      <w:r w:rsidRPr="004E0213">
        <w:rPr>
          <w:rStyle w:val="hps"/>
          <w:rFonts w:ascii="Book Antiqua" w:hAnsi="Book Antiqua" w:cs="Calibri"/>
          <w:lang w:val="en-US" w:eastAsia="zh-CN"/>
        </w:rPr>
        <w:t>A</w:t>
      </w:r>
      <w:proofErr w:type="gramEnd"/>
      <w:r w:rsidRPr="004E0213">
        <w:rPr>
          <w:rStyle w:val="hps"/>
          <w:rFonts w:ascii="Book Antiqua" w:hAnsi="Book Antiqua" w:cs="Calibri"/>
          <w:lang w:val="en-US" w:eastAsia="zh-CN"/>
        </w:rPr>
        <w:t xml:space="preserve"> </w:t>
      </w:r>
      <w:r w:rsidRPr="004E0213">
        <w:rPr>
          <w:rStyle w:val="hps"/>
          <w:rFonts w:ascii="Book Antiqua" w:hAnsi="Book Antiqua" w:cs="Calibri"/>
          <w:i/>
          <w:lang w:val="en-US" w:eastAsia="zh-CN"/>
        </w:rPr>
        <w:t>et al</w:t>
      </w:r>
      <w:r w:rsidRPr="004E0213">
        <w:rPr>
          <w:rStyle w:val="hps"/>
          <w:rFonts w:ascii="Book Antiqua" w:hAnsi="Book Antiqua" w:cs="Calibri"/>
          <w:lang w:val="en-US" w:eastAsia="zh-CN"/>
        </w:rPr>
        <w:t xml:space="preserve">. </w:t>
      </w:r>
      <w:r w:rsidRPr="004E0213">
        <w:rPr>
          <w:rStyle w:val="hps"/>
          <w:rFonts w:ascii="Book Antiqua" w:hAnsi="Book Antiqua" w:cs="Calibri"/>
          <w:lang w:val="en-US"/>
        </w:rPr>
        <w:t xml:space="preserve">Endoscopic therapy with paclitaxel-eluting balloons </w:t>
      </w:r>
    </w:p>
    <w:p w:rsidR="00B12F30" w:rsidRPr="004E0213" w:rsidRDefault="00B12F30" w:rsidP="007B0525">
      <w:pPr>
        <w:widowControl w:val="0"/>
        <w:adjustRightInd w:val="0"/>
        <w:snapToGrid w:val="0"/>
        <w:spacing w:line="360" w:lineRule="auto"/>
        <w:jc w:val="both"/>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rPr>
          <w:rStyle w:val="hps"/>
          <w:rFonts w:ascii="Book Antiqua" w:hAnsi="Book Antiqua" w:cs="Calibri"/>
          <w:vertAlign w:val="superscript"/>
          <w:lang w:val="en-US" w:eastAsia="zh-CN"/>
        </w:rPr>
      </w:pPr>
      <w:r w:rsidRPr="004E0213">
        <w:rPr>
          <w:rStyle w:val="hps"/>
          <w:rFonts w:ascii="Book Antiqua" w:hAnsi="Book Antiqua" w:cs="Calibri"/>
          <w:lang w:val="en-US"/>
        </w:rPr>
        <w:t xml:space="preserve">Anna </w:t>
      </w:r>
      <w:proofErr w:type="spellStart"/>
      <w:r w:rsidRPr="004E0213">
        <w:rPr>
          <w:rStyle w:val="hps"/>
          <w:rFonts w:ascii="Book Antiqua" w:hAnsi="Book Antiqua" w:cs="Calibri"/>
          <w:lang w:val="en-US"/>
        </w:rPr>
        <w:t>Hüsing</w:t>
      </w:r>
      <w:proofErr w:type="spellEnd"/>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Holger</w:t>
      </w:r>
      <w:proofErr w:type="spellEnd"/>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Reinecke</w:t>
      </w:r>
      <w:proofErr w:type="spellEnd"/>
      <w:r w:rsidR="00984767" w:rsidRPr="004E0213">
        <w:rPr>
          <w:rStyle w:val="hps"/>
          <w:rFonts w:ascii="Book Antiqua" w:hAnsi="Book Antiqua" w:cs="Calibri"/>
          <w:lang w:val="en-US"/>
        </w:rPr>
        <w:t>, Vito R</w:t>
      </w:r>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Cicinnati</w:t>
      </w:r>
      <w:proofErr w:type="spellEnd"/>
      <w:r w:rsidRPr="004E0213">
        <w:rPr>
          <w:rStyle w:val="hps"/>
          <w:rFonts w:ascii="Book Antiqua" w:hAnsi="Book Antiqua" w:cs="Calibri"/>
          <w:lang w:val="en-US"/>
        </w:rPr>
        <w:t xml:space="preserve">, Susanne </w:t>
      </w:r>
      <w:proofErr w:type="spellStart"/>
      <w:r w:rsidRPr="004E0213">
        <w:rPr>
          <w:rStyle w:val="hps"/>
          <w:rFonts w:ascii="Book Antiqua" w:hAnsi="Book Antiqua" w:cs="Calibri"/>
          <w:lang w:val="en-US"/>
        </w:rPr>
        <w:t>Beckebaum</w:t>
      </w:r>
      <w:proofErr w:type="spellEnd"/>
      <w:r w:rsidRPr="004E0213">
        <w:rPr>
          <w:rStyle w:val="hps"/>
          <w:rFonts w:ascii="Book Antiqua" w:hAnsi="Book Antiqua" w:cs="Calibri"/>
          <w:lang w:val="en-US"/>
        </w:rPr>
        <w:t xml:space="preserve">, Christian </w:t>
      </w:r>
      <w:proofErr w:type="spellStart"/>
      <w:r w:rsidRPr="004E0213">
        <w:rPr>
          <w:rStyle w:val="hps"/>
          <w:rFonts w:ascii="Book Antiqua" w:hAnsi="Book Antiqua" w:cs="Calibri"/>
          <w:lang w:val="en-US"/>
        </w:rPr>
        <w:t>Wilms</w:t>
      </w:r>
      <w:proofErr w:type="spellEnd"/>
      <w:r w:rsidR="00984767" w:rsidRPr="004E0213">
        <w:rPr>
          <w:rStyle w:val="hps"/>
          <w:rFonts w:ascii="Book Antiqua" w:hAnsi="Book Antiqua" w:cs="Calibri"/>
          <w:lang w:val="en-US"/>
        </w:rPr>
        <w:t xml:space="preserve">, </w:t>
      </w:r>
      <w:proofErr w:type="spellStart"/>
      <w:r w:rsidR="00984767" w:rsidRPr="004E0213">
        <w:rPr>
          <w:rStyle w:val="hps"/>
          <w:rFonts w:ascii="Book Antiqua" w:hAnsi="Book Antiqua" w:cs="Calibri"/>
          <w:lang w:val="en-US"/>
        </w:rPr>
        <w:t>Hartmut</w:t>
      </w:r>
      <w:proofErr w:type="spellEnd"/>
      <w:r w:rsidR="00984767" w:rsidRPr="004E0213">
        <w:rPr>
          <w:rStyle w:val="hps"/>
          <w:rFonts w:ascii="Book Antiqua" w:hAnsi="Book Antiqua" w:cs="Calibri"/>
          <w:lang w:val="en-US"/>
        </w:rPr>
        <w:t xml:space="preserve"> H</w:t>
      </w:r>
      <w:r w:rsidRPr="004E0213">
        <w:rPr>
          <w:rStyle w:val="hps"/>
          <w:rFonts w:ascii="Book Antiqua" w:hAnsi="Book Antiqua" w:cs="Calibri"/>
          <w:lang w:val="en-US"/>
        </w:rPr>
        <w:t xml:space="preserve"> Schmidt, </w:t>
      </w:r>
      <w:proofErr w:type="spellStart"/>
      <w:r w:rsidRPr="004E0213">
        <w:rPr>
          <w:rStyle w:val="hps"/>
          <w:rFonts w:ascii="Book Antiqua" w:hAnsi="Book Antiqua" w:cs="Calibri"/>
          <w:lang w:val="en-US"/>
        </w:rPr>
        <w:t>Iyad</w:t>
      </w:r>
      <w:proofErr w:type="spellEnd"/>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Kabar</w:t>
      </w:r>
      <w:proofErr w:type="spellEnd"/>
    </w:p>
    <w:p w:rsidR="00B12F30" w:rsidRPr="004E0213" w:rsidRDefault="00B12F30" w:rsidP="007B0525">
      <w:pPr>
        <w:widowControl w:val="0"/>
        <w:adjustRightInd w:val="0"/>
        <w:snapToGrid w:val="0"/>
        <w:spacing w:line="360" w:lineRule="auto"/>
        <w:jc w:val="both"/>
        <w:rPr>
          <w:rStyle w:val="hps"/>
          <w:rFonts w:ascii="Book Antiqua" w:hAnsi="Book Antiqua" w:cs="Calibri"/>
          <w:vertAlign w:val="superscript"/>
          <w:lang w:val="en-US"/>
        </w:rPr>
      </w:pPr>
    </w:p>
    <w:p w:rsidR="00B12F30" w:rsidRPr="004E0213" w:rsidRDefault="00984767" w:rsidP="007B0525">
      <w:pPr>
        <w:widowControl w:val="0"/>
        <w:adjustRightInd w:val="0"/>
        <w:snapToGrid w:val="0"/>
        <w:spacing w:line="360" w:lineRule="auto"/>
        <w:jc w:val="both"/>
        <w:rPr>
          <w:rStyle w:val="hps"/>
          <w:rFonts w:ascii="Book Antiqua" w:hAnsi="Book Antiqua" w:cs="Calibri"/>
          <w:lang w:val="en-US" w:eastAsia="zh-CN"/>
        </w:rPr>
      </w:pPr>
      <w:r w:rsidRPr="004E0213">
        <w:rPr>
          <w:rStyle w:val="hps"/>
          <w:rFonts w:ascii="Book Antiqua" w:hAnsi="Book Antiqua" w:cs="Calibri"/>
          <w:b/>
          <w:lang w:val="en-US"/>
        </w:rPr>
        <w:t xml:space="preserve">Anna </w:t>
      </w:r>
      <w:proofErr w:type="spellStart"/>
      <w:r w:rsidRPr="004E0213">
        <w:rPr>
          <w:rStyle w:val="hps"/>
          <w:rFonts w:ascii="Book Antiqua" w:hAnsi="Book Antiqua" w:cs="Calibri"/>
          <w:b/>
          <w:lang w:val="en-US"/>
        </w:rPr>
        <w:t>Hüsing</w:t>
      </w:r>
      <w:proofErr w:type="spellEnd"/>
      <w:r w:rsidRPr="004E0213">
        <w:rPr>
          <w:rStyle w:val="hps"/>
          <w:rFonts w:ascii="Book Antiqua" w:hAnsi="Book Antiqua" w:cs="Calibri"/>
          <w:b/>
          <w:lang w:val="en-US"/>
        </w:rPr>
        <w:t xml:space="preserve">, Vito R </w:t>
      </w:r>
      <w:proofErr w:type="spellStart"/>
      <w:r w:rsidRPr="004E0213">
        <w:rPr>
          <w:rStyle w:val="hps"/>
          <w:rFonts w:ascii="Book Antiqua" w:hAnsi="Book Antiqua" w:cs="Calibri"/>
          <w:b/>
          <w:lang w:val="en-US"/>
        </w:rPr>
        <w:t>Cicinnati</w:t>
      </w:r>
      <w:proofErr w:type="spellEnd"/>
      <w:r w:rsidRPr="004E0213">
        <w:rPr>
          <w:rStyle w:val="hps"/>
          <w:rFonts w:ascii="Book Antiqua" w:hAnsi="Book Antiqua" w:cs="Calibri"/>
          <w:b/>
          <w:lang w:val="en-US"/>
        </w:rPr>
        <w:t xml:space="preserve">, Susanne </w:t>
      </w:r>
      <w:proofErr w:type="spellStart"/>
      <w:r w:rsidRPr="004E0213">
        <w:rPr>
          <w:rStyle w:val="hps"/>
          <w:rFonts w:ascii="Book Antiqua" w:hAnsi="Book Antiqua" w:cs="Calibri"/>
          <w:b/>
          <w:lang w:val="en-US"/>
        </w:rPr>
        <w:t>Beckebaum</w:t>
      </w:r>
      <w:proofErr w:type="spellEnd"/>
      <w:r w:rsidRPr="004E0213">
        <w:rPr>
          <w:rStyle w:val="hps"/>
          <w:rFonts w:ascii="Book Antiqua" w:hAnsi="Book Antiqua" w:cs="Calibri"/>
          <w:b/>
          <w:lang w:val="en-US"/>
        </w:rPr>
        <w:t xml:space="preserve">, Christian </w:t>
      </w:r>
      <w:proofErr w:type="spellStart"/>
      <w:r w:rsidRPr="004E0213">
        <w:rPr>
          <w:rStyle w:val="hps"/>
          <w:rFonts w:ascii="Book Antiqua" w:hAnsi="Book Antiqua" w:cs="Calibri"/>
          <w:b/>
          <w:lang w:val="en-US"/>
        </w:rPr>
        <w:t>Wilms</w:t>
      </w:r>
      <w:proofErr w:type="spellEnd"/>
      <w:r w:rsidRPr="004E0213">
        <w:rPr>
          <w:rStyle w:val="hps"/>
          <w:rFonts w:ascii="Book Antiqua" w:hAnsi="Book Antiqua" w:cs="Calibri"/>
          <w:b/>
          <w:lang w:val="en-US"/>
        </w:rPr>
        <w:t xml:space="preserve">, </w:t>
      </w:r>
      <w:proofErr w:type="spellStart"/>
      <w:r w:rsidRPr="004E0213">
        <w:rPr>
          <w:rStyle w:val="hps"/>
          <w:rFonts w:ascii="Book Antiqua" w:hAnsi="Book Antiqua" w:cs="Calibri"/>
          <w:b/>
          <w:lang w:val="en-US"/>
        </w:rPr>
        <w:t>Hartmut</w:t>
      </w:r>
      <w:proofErr w:type="spellEnd"/>
      <w:r w:rsidRPr="004E0213">
        <w:rPr>
          <w:rStyle w:val="hps"/>
          <w:rFonts w:ascii="Book Antiqua" w:hAnsi="Book Antiqua" w:cs="Calibri"/>
          <w:b/>
          <w:lang w:val="en-US"/>
        </w:rPr>
        <w:t xml:space="preserve"> H Schmidt, </w:t>
      </w:r>
      <w:proofErr w:type="spellStart"/>
      <w:r w:rsidRPr="004E0213">
        <w:rPr>
          <w:rStyle w:val="hps"/>
          <w:rFonts w:ascii="Book Antiqua" w:hAnsi="Book Antiqua" w:cs="Calibri"/>
          <w:b/>
          <w:lang w:val="en-US"/>
        </w:rPr>
        <w:t>Iyad</w:t>
      </w:r>
      <w:proofErr w:type="spellEnd"/>
      <w:r w:rsidRPr="004E0213">
        <w:rPr>
          <w:rStyle w:val="hps"/>
          <w:rFonts w:ascii="Book Antiqua" w:hAnsi="Book Antiqua" w:cs="Calibri"/>
          <w:b/>
          <w:lang w:val="en-US"/>
        </w:rPr>
        <w:t xml:space="preserve"> </w:t>
      </w:r>
      <w:proofErr w:type="spellStart"/>
      <w:r w:rsidRPr="004E0213">
        <w:rPr>
          <w:rStyle w:val="hps"/>
          <w:rFonts w:ascii="Book Antiqua" w:hAnsi="Book Antiqua" w:cs="Calibri"/>
          <w:b/>
          <w:lang w:val="en-US"/>
        </w:rPr>
        <w:t>Kabar</w:t>
      </w:r>
      <w:proofErr w:type="spellEnd"/>
      <w:r w:rsidRPr="004E0213">
        <w:rPr>
          <w:rStyle w:val="hps"/>
          <w:rFonts w:ascii="Book Antiqua" w:hAnsi="Book Antiqua" w:cs="Calibri"/>
          <w:b/>
          <w:lang w:val="en-US" w:eastAsia="zh-CN"/>
        </w:rPr>
        <w:t>,</w:t>
      </w:r>
      <w:r w:rsidRPr="004E0213">
        <w:rPr>
          <w:rStyle w:val="hps"/>
          <w:rFonts w:ascii="Book Antiqua" w:hAnsi="Book Antiqua" w:cs="Calibri"/>
          <w:vertAlign w:val="superscript"/>
          <w:lang w:val="en-US" w:eastAsia="zh-CN"/>
        </w:rPr>
        <w:t xml:space="preserve"> </w:t>
      </w:r>
      <w:r w:rsidR="00B12F30" w:rsidRPr="004E0213">
        <w:rPr>
          <w:rStyle w:val="hps"/>
          <w:rFonts w:ascii="Book Antiqua" w:hAnsi="Book Antiqua" w:cs="Calibri"/>
          <w:lang w:val="en-US"/>
        </w:rPr>
        <w:t xml:space="preserve">University Hospital </w:t>
      </w:r>
      <w:proofErr w:type="spellStart"/>
      <w:r w:rsidR="00B12F30" w:rsidRPr="004E0213">
        <w:rPr>
          <w:rStyle w:val="hps"/>
          <w:rFonts w:ascii="Book Antiqua" w:hAnsi="Book Antiqua" w:cs="Calibri"/>
          <w:lang w:val="en-US"/>
        </w:rPr>
        <w:t>Münster</w:t>
      </w:r>
      <w:proofErr w:type="spellEnd"/>
      <w:r w:rsidR="00B12F30" w:rsidRPr="004E0213">
        <w:rPr>
          <w:rStyle w:val="hps"/>
          <w:rFonts w:ascii="Book Antiqua" w:hAnsi="Book Antiqua" w:cs="Calibri"/>
          <w:lang w:val="en-US"/>
        </w:rPr>
        <w:t xml:space="preserve">, Department of Transplant Medicine, 48149 </w:t>
      </w:r>
      <w:proofErr w:type="spellStart"/>
      <w:r w:rsidR="00B12F30" w:rsidRPr="004E0213">
        <w:rPr>
          <w:rStyle w:val="hps"/>
          <w:rFonts w:ascii="Book Antiqua" w:hAnsi="Book Antiqua" w:cs="Calibri"/>
          <w:lang w:val="en-US"/>
        </w:rPr>
        <w:t>Münster</w:t>
      </w:r>
      <w:proofErr w:type="spellEnd"/>
      <w:r w:rsidR="00B12F30" w:rsidRPr="004E0213">
        <w:rPr>
          <w:rStyle w:val="hps"/>
          <w:rFonts w:ascii="Book Antiqua" w:hAnsi="Book Antiqua" w:cs="Calibri"/>
          <w:lang w:val="en-US"/>
        </w:rPr>
        <w:t>, Germany</w:t>
      </w:r>
    </w:p>
    <w:p w:rsidR="00984767" w:rsidRPr="004E0213" w:rsidRDefault="00984767" w:rsidP="007B0525">
      <w:pPr>
        <w:widowControl w:val="0"/>
        <w:adjustRightInd w:val="0"/>
        <w:snapToGrid w:val="0"/>
        <w:spacing w:line="360" w:lineRule="auto"/>
        <w:jc w:val="both"/>
        <w:rPr>
          <w:rStyle w:val="hps"/>
          <w:rFonts w:ascii="Book Antiqua" w:hAnsi="Book Antiqua" w:cs="Calibri"/>
          <w:vertAlign w:val="superscript"/>
          <w:lang w:val="en-US" w:eastAsia="zh-CN"/>
        </w:rPr>
      </w:pPr>
    </w:p>
    <w:p w:rsidR="00B12F30" w:rsidRPr="004E0213" w:rsidRDefault="00312BC5" w:rsidP="007B0525">
      <w:pPr>
        <w:widowControl w:val="0"/>
        <w:adjustRightInd w:val="0"/>
        <w:snapToGrid w:val="0"/>
        <w:spacing w:line="360" w:lineRule="auto"/>
        <w:jc w:val="both"/>
        <w:rPr>
          <w:rStyle w:val="hps"/>
          <w:rFonts w:ascii="Book Antiqua" w:hAnsi="Book Antiqua" w:cs="Calibri"/>
          <w:lang w:val="en-US"/>
        </w:rPr>
      </w:pPr>
      <w:proofErr w:type="spellStart"/>
      <w:r w:rsidRPr="004E0213">
        <w:rPr>
          <w:rStyle w:val="hps"/>
          <w:rFonts w:ascii="Book Antiqua" w:hAnsi="Book Antiqua" w:cs="Calibri"/>
          <w:b/>
          <w:lang w:val="en-US"/>
        </w:rPr>
        <w:t>Holger</w:t>
      </w:r>
      <w:proofErr w:type="spellEnd"/>
      <w:r w:rsidRPr="004E0213">
        <w:rPr>
          <w:rStyle w:val="hps"/>
          <w:rFonts w:ascii="Book Antiqua" w:hAnsi="Book Antiqua" w:cs="Calibri"/>
          <w:b/>
          <w:lang w:val="en-US"/>
        </w:rPr>
        <w:t xml:space="preserve"> </w:t>
      </w:r>
      <w:proofErr w:type="spellStart"/>
      <w:r w:rsidRPr="004E0213">
        <w:rPr>
          <w:rStyle w:val="hps"/>
          <w:rFonts w:ascii="Book Antiqua" w:hAnsi="Book Antiqua" w:cs="Calibri"/>
          <w:b/>
          <w:lang w:val="en-US"/>
        </w:rPr>
        <w:t>Reinecke</w:t>
      </w:r>
      <w:proofErr w:type="spellEnd"/>
      <w:r w:rsidRPr="004E0213">
        <w:rPr>
          <w:rStyle w:val="hps"/>
          <w:rFonts w:ascii="Book Antiqua" w:hAnsi="Book Antiqua" w:cs="Calibri"/>
          <w:b/>
          <w:lang w:val="en-US"/>
        </w:rPr>
        <w:t>,</w:t>
      </w:r>
      <w:r w:rsidRPr="004E0213">
        <w:rPr>
          <w:rStyle w:val="hps"/>
          <w:rFonts w:ascii="Book Antiqua" w:hAnsi="Book Antiqua" w:cs="Calibri"/>
          <w:lang w:val="en-US" w:eastAsia="zh-CN"/>
        </w:rPr>
        <w:t xml:space="preserve"> </w:t>
      </w:r>
      <w:r w:rsidR="00B12F30" w:rsidRPr="004E0213">
        <w:rPr>
          <w:rStyle w:val="hps"/>
          <w:rFonts w:ascii="Book Antiqua" w:hAnsi="Book Antiqua" w:cs="Calibri"/>
          <w:lang w:val="en-US"/>
        </w:rPr>
        <w:t xml:space="preserve">University Hospital </w:t>
      </w:r>
      <w:proofErr w:type="spellStart"/>
      <w:r w:rsidR="00B12F30" w:rsidRPr="004E0213">
        <w:rPr>
          <w:rStyle w:val="hps"/>
          <w:rFonts w:ascii="Book Antiqua" w:hAnsi="Book Antiqua" w:cs="Calibri"/>
          <w:lang w:val="en-US"/>
        </w:rPr>
        <w:t>Münster</w:t>
      </w:r>
      <w:proofErr w:type="spellEnd"/>
      <w:r w:rsidR="00B12F30" w:rsidRPr="004E0213">
        <w:rPr>
          <w:rStyle w:val="hps"/>
          <w:rFonts w:ascii="Book Antiqua" w:hAnsi="Book Antiqua" w:cs="Calibri"/>
          <w:lang w:val="en-US"/>
        </w:rPr>
        <w:t xml:space="preserve">, Division of Angiology, Department of Cardiology and Angiology, 48149 </w:t>
      </w:r>
      <w:proofErr w:type="spellStart"/>
      <w:r w:rsidR="00B12F30" w:rsidRPr="004E0213">
        <w:rPr>
          <w:rStyle w:val="hps"/>
          <w:rFonts w:ascii="Book Antiqua" w:hAnsi="Book Antiqua" w:cs="Calibri"/>
          <w:lang w:val="en-US"/>
        </w:rPr>
        <w:t>Münster</w:t>
      </w:r>
      <w:proofErr w:type="spellEnd"/>
      <w:r w:rsidR="00B12F30" w:rsidRPr="004E0213">
        <w:rPr>
          <w:rStyle w:val="hps"/>
          <w:rFonts w:ascii="Book Antiqua" w:hAnsi="Book Antiqua" w:cs="Calibri"/>
          <w:lang w:val="en-US"/>
        </w:rPr>
        <w:t>, Germany</w:t>
      </w:r>
    </w:p>
    <w:p w:rsidR="00B12F30" w:rsidRPr="004E0213" w:rsidRDefault="00B12F30" w:rsidP="007B0525">
      <w:pPr>
        <w:widowControl w:val="0"/>
        <w:adjustRightInd w:val="0"/>
        <w:snapToGrid w:val="0"/>
        <w:spacing w:line="360" w:lineRule="auto"/>
        <w:jc w:val="both"/>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rPr>
          <w:rStyle w:val="hps"/>
          <w:rFonts w:ascii="Book Antiqua" w:hAnsi="Book Antiqua" w:cs="Calibri"/>
          <w:lang w:val="en-US"/>
        </w:rPr>
      </w:pPr>
      <w:r w:rsidRPr="004E0213">
        <w:rPr>
          <w:rStyle w:val="hps"/>
          <w:rFonts w:ascii="Book Antiqua" w:hAnsi="Book Antiqua" w:cs="Calibri"/>
          <w:b/>
          <w:lang w:val="en-US"/>
        </w:rPr>
        <w:t xml:space="preserve">Author contributions: </w:t>
      </w:r>
      <w:proofErr w:type="spellStart"/>
      <w:r w:rsidRPr="004E0213">
        <w:rPr>
          <w:rStyle w:val="hps"/>
          <w:rFonts w:ascii="Book Antiqua" w:hAnsi="Book Antiqua" w:cs="Calibri"/>
          <w:lang w:val="en-US"/>
        </w:rPr>
        <w:t>Hüsing</w:t>
      </w:r>
      <w:proofErr w:type="spellEnd"/>
      <w:r w:rsidRPr="004E0213">
        <w:rPr>
          <w:rStyle w:val="hps"/>
          <w:rFonts w:ascii="Book Antiqua" w:hAnsi="Book Antiqua" w:cs="Calibri"/>
          <w:lang w:val="en-US"/>
        </w:rPr>
        <w:t xml:space="preserve"> A, </w:t>
      </w:r>
      <w:proofErr w:type="spellStart"/>
      <w:r w:rsidRPr="004E0213">
        <w:rPr>
          <w:rStyle w:val="hps"/>
          <w:rFonts w:ascii="Book Antiqua" w:hAnsi="Book Antiqua" w:cs="Calibri"/>
          <w:lang w:val="en-US"/>
        </w:rPr>
        <w:t>Reinecke</w:t>
      </w:r>
      <w:proofErr w:type="spellEnd"/>
      <w:r w:rsidRPr="004E0213">
        <w:rPr>
          <w:rStyle w:val="hps"/>
          <w:rFonts w:ascii="Book Antiqua" w:hAnsi="Book Antiqua" w:cs="Calibri"/>
          <w:lang w:val="en-US"/>
        </w:rPr>
        <w:t xml:space="preserve"> H, Schmidt HH and Kabar I designed the study</w:t>
      </w:r>
      <w:r w:rsidR="00312BC5" w:rsidRPr="004E0213">
        <w:rPr>
          <w:rStyle w:val="hps"/>
          <w:rFonts w:ascii="Book Antiqua" w:hAnsi="Book Antiqua" w:cs="Calibri"/>
          <w:lang w:val="en-US" w:eastAsia="zh-CN"/>
        </w:rPr>
        <w:t>;</w:t>
      </w:r>
      <w:r w:rsidRPr="004E0213">
        <w:rPr>
          <w:rStyle w:val="hps"/>
          <w:rFonts w:ascii="Book Antiqua" w:hAnsi="Book Antiqua" w:cs="Calibri"/>
          <w:lang w:val="en-US"/>
        </w:rPr>
        <w:t xml:space="preserve"> Kabar I, Wilms C and Hüsing A performed the study</w:t>
      </w:r>
      <w:r w:rsidR="00312BC5" w:rsidRPr="004E0213">
        <w:rPr>
          <w:rStyle w:val="hps"/>
          <w:rFonts w:ascii="Book Antiqua" w:hAnsi="Book Antiqua" w:cs="Calibri"/>
          <w:lang w:val="en-US" w:eastAsia="zh-CN"/>
        </w:rPr>
        <w:t>;</w:t>
      </w:r>
      <w:r w:rsidRPr="004E0213">
        <w:rPr>
          <w:rStyle w:val="hps"/>
          <w:rFonts w:ascii="Book Antiqua" w:hAnsi="Book Antiqua" w:cs="Calibri"/>
          <w:lang w:val="en-US"/>
        </w:rPr>
        <w:t xml:space="preserve"> Hüsing A, Cicinnati V, Wilms C, Beckebaum S and Kabar I collected the patient data</w:t>
      </w:r>
      <w:r w:rsidR="00312BC5" w:rsidRPr="004E0213">
        <w:rPr>
          <w:rStyle w:val="hps"/>
          <w:rFonts w:ascii="Book Antiqua" w:hAnsi="Book Antiqua" w:cs="Calibri"/>
          <w:lang w:val="en-US" w:eastAsia="zh-CN"/>
        </w:rPr>
        <w:t>;</w:t>
      </w:r>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Hüsing</w:t>
      </w:r>
      <w:proofErr w:type="spellEnd"/>
      <w:r w:rsidRPr="004E0213">
        <w:rPr>
          <w:rStyle w:val="hps"/>
          <w:rFonts w:ascii="Book Antiqua" w:hAnsi="Book Antiqua" w:cs="Calibri"/>
          <w:lang w:val="en-US"/>
        </w:rPr>
        <w:t xml:space="preserve"> A, </w:t>
      </w:r>
      <w:proofErr w:type="spellStart"/>
      <w:r w:rsidRPr="004E0213">
        <w:rPr>
          <w:rStyle w:val="hps"/>
          <w:rFonts w:ascii="Book Antiqua" w:hAnsi="Book Antiqua" w:cs="Calibri"/>
          <w:lang w:val="en-US"/>
        </w:rPr>
        <w:t>Beckebaum</w:t>
      </w:r>
      <w:proofErr w:type="spellEnd"/>
      <w:r w:rsidRPr="004E0213">
        <w:rPr>
          <w:rStyle w:val="hps"/>
          <w:rFonts w:ascii="Book Antiqua" w:hAnsi="Book Antiqua" w:cs="Calibri"/>
          <w:lang w:val="en-US"/>
        </w:rPr>
        <w:t xml:space="preserve"> S, </w:t>
      </w:r>
      <w:proofErr w:type="spellStart"/>
      <w:r w:rsidRPr="004E0213">
        <w:rPr>
          <w:rStyle w:val="hps"/>
          <w:rFonts w:ascii="Book Antiqua" w:hAnsi="Book Antiqua" w:cs="Calibri"/>
          <w:lang w:val="en-US"/>
        </w:rPr>
        <w:t>Cicinnati</w:t>
      </w:r>
      <w:proofErr w:type="spellEnd"/>
      <w:r w:rsidRPr="004E0213">
        <w:rPr>
          <w:rStyle w:val="hps"/>
          <w:rFonts w:ascii="Book Antiqua" w:hAnsi="Book Antiqua" w:cs="Calibri"/>
          <w:lang w:val="en-US"/>
        </w:rPr>
        <w:t xml:space="preserve"> VR, </w:t>
      </w:r>
      <w:proofErr w:type="spellStart"/>
      <w:r w:rsidRPr="004E0213">
        <w:rPr>
          <w:rStyle w:val="hps"/>
          <w:rFonts w:ascii="Book Antiqua" w:hAnsi="Book Antiqua" w:cs="Calibri"/>
          <w:lang w:val="en-US"/>
        </w:rPr>
        <w:t>Reinecke</w:t>
      </w:r>
      <w:proofErr w:type="spellEnd"/>
      <w:r w:rsidRPr="004E0213">
        <w:rPr>
          <w:rStyle w:val="hps"/>
          <w:rFonts w:ascii="Book Antiqua" w:hAnsi="Book Antiqua" w:cs="Calibri"/>
          <w:lang w:val="en-US"/>
        </w:rPr>
        <w:t xml:space="preserve"> H and </w:t>
      </w:r>
      <w:proofErr w:type="spellStart"/>
      <w:r w:rsidRPr="004E0213">
        <w:rPr>
          <w:rStyle w:val="hps"/>
          <w:rFonts w:ascii="Book Antiqua" w:hAnsi="Book Antiqua" w:cs="Calibri"/>
          <w:lang w:val="en-US"/>
        </w:rPr>
        <w:t>Kabar</w:t>
      </w:r>
      <w:proofErr w:type="spellEnd"/>
      <w:r w:rsidRPr="004E0213">
        <w:rPr>
          <w:rStyle w:val="hps"/>
          <w:rFonts w:ascii="Book Antiqua" w:hAnsi="Book Antiqua" w:cs="Calibri"/>
          <w:lang w:val="en-US"/>
        </w:rPr>
        <w:t xml:space="preserve"> I analyzed the data</w:t>
      </w:r>
      <w:r w:rsidR="00312BC5" w:rsidRPr="004E0213">
        <w:rPr>
          <w:rStyle w:val="hps"/>
          <w:rFonts w:ascii="Book Antiqua" w:hAnsi="Book Antiqua" w:cs="Calibri"/>
          <w:lang w:val="en-US" w:eastAsia="zh-CN"/>
        </w:rPr>
        <w:t>;</w:t>
      </w:r>
      <w:r w:rsidRPr="004E0213">
        <w:rPr>
          <w:rStyle w:val="hps"/>
          <w:rFonts w:ascii="Book Antiqua" w:hAnsi="Book Antiqua" w:cs="Calibri"/>
          <w:lang w:val="en-US"/>
        </w:rPr>
        <w:t xml:space="preserve"> Kabar I, Hüsing A, Cicinnati V and Schmidt H wrote the paper. </w:t>
      </w:r>
    </w:p>
    <w:p w:rsidR="00B12F30" w:rsidRPr="004E0213" w:rsidRDefault="00B12F30" w:rsidP="007B0525">
      <w:pPr>
        <w:widowControl w:val="0"/>
        <w:adjustRightInd w:val="0"/>
        <w:snapToGrid w:val="0"/>
        <w:spacing w:line="360" w:lineRule="auto"/>
        <w:jc w:val="both"/>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rPr>
          <w:rStyle w:val="hps"/>
          <w:rFonts w:ascii="Book Antiqua" w:hAnsi="Book Antiqua" w:cs="Calibri"/>
          <w:b/>
          <w:lang w:val="en-US"/>
        </w:rPr>
      </w:pPr>
      <w:r w:rsidRPr="004E0213">
        <w:rPr>
          <w:rStyle w:val="hps"/>
          <w:rFonts w:ascii="Book Antiqua" w:hAnsi="Book Antiqua" w:cs="Calibri"/>
          <w:b/>
          <w:lang w:val="en-US"/>
        </w:rPr>
        <w:t>Correspondence to:</w:t>
      </w:r>
      <w:r w:rsidRPr="004E0213">
        <w:rPr>
          <w:rStyle w:val="hps"/>
          <w:rFonts w:ascii="Book Antiqua" w:hAnsi="Book Antiqua" w:cs="Calibri"/>
          <w:b/>
          <w:lang w:val="en-US" w:eastAsia="zh-CN"/>
        </w:rPr>
        <w:t xml:space="preserve"> </w:t>
      </w:r>
      <w:r w:rsidRPr="004E0213">
        <w:rPr>
          <w:rStyle w:val="hps"/>
          <w:rFonts w:ascii="Book Antiqua" w:hAnsi="Book Antiqua" w:cs="Calibri"/>
          <w:b/>
          <w:lang w:val="en-US"/>
        </w:rPr>
        <w:t>Iyad Kabar, MD,</w:t>
      </w:r>
      <w:r w:rsidRPr="004E0213">
        <w:rPr>
          <w:rStyle w:val="hps"/>
          <w:rFonts w:ascii="Book Antiqua" w:hAnsi="Book Antiqua" w:cs="Calibri"/>
          <w:lang w:val="en-US"/>
        </w:rPr>
        <w:t xml:space="preserve"> Department of Transplant Medicine, University Hospital </w:t>
      </w:r>
      <w:proofErr w:type="spellStart"/>
      <w:r w:rsidRPr="004E0213">
        <w:rPr>
          <w:rStyle w:val="hps"/>
          <w:rFonts w:ascii="Book Antiqua" w:hAnsi="Book Antiqua" w:cs="Calibri"/>
          <w:lang w:val="en-US"/>
        </w:rPr>
        <w:t>Münster</w:t>
      </w:r>
      <w:proofErr w:type="spellEnd"/>
      <w:r w:rsidRPr="004E0213">
        <w:rPr>
          <w:rStyle w:val="hps"/>
          <w:rFonts w:ascii="Book Antiqua" w:hAnsi="Book Antiqua" w:cs="Calibri"/>
          <w:lang w:val="en-US"/>
        </w:rPr>
        <w:t xml:space="preserve">, Albert-Schweitzer-Campus 1, </w:t>
      </w:r>
      <w:proofErr w:type="spellStart"/>
      <w:r w:rsidRPr="004E0213">
        <w:rPr>
          <w:rStyle w:val="hps"/>
          <w:rFonts w:ascii="Book Antiqua" w:hAnsi="Book Antiqua" w:cs="Calibri"/>
          <w:lang w:val="en-US"/>
        </w:rPr>
        <w:t>Gebäude</w:t>
      </w:r>
      <w:proofErr w:type="spellEnd"/>
      <w:r w:rsidRPr="004E0213">
        <w:rPr>
          <w:rStyle w:val="hps"/>
          <w:rFonts w:ascii="Book Antiqua" w:hAnsi="Book Antiqua" w:cs="Calibri"/>
          <w:lang w:val="en-US"/>
        </w:rPr>
        <w:t xml:space="preserve"> A14, </w:t>
      </w:r>
      <w:proofErr w:type="spellStart"/>
      <w:r w:rsidRPr="004E0213">
        <w:rPr>
          <w:rStyle w:val="hps"/>
          <w:rFonts w:ascii="Book Antiqua" w:hAnsi="Book Antiqua" w:cs="Calibri"/>
          <w:lang w:val="en-US"/>
        </w:rPr>
        <w:t>Münster</w:t>
      </w:r>
      <w:proofErr w:type="spellEnd"/>
      <w:r w:rsidRPr="004E0213">
        <w:rPr>
          <w:rStyle w:val="hps"/>
          <w:rFonts w:ascii="Book Antiqua" w:hAnsi="Book Antiqua" w:cs="Calibri"/>
          <w:lang w:val="en-US"/>
        </w:rPr>
        <w:t xml:space="preserve"> 48149, Germany. </w:t>
      </w:r>
      <w:r w:rsidRPr="004E0213">
        <w:rPr>
          <w:rFonts w:ascii="Book Antiqua" w:hAnsi="Book Antiqua" w:cs="Calibri"/>
          <w:lang w:val="en-US"/>
        </w:rPr>
        <w:t>iyad.kabar@ukmuenster.de</w:t>
      </w:r>
      <w:r w:rsidRPr="004E0213">
        <w:rPr>
          <w:rStyle w:val="hps"/>
          <w:rFonts w:ascii="Book Antiqua" w:hAnsi="Book Antiqua" w:cs="Calibri"/>
          <w:lang w:val="en-US"/>
        </w:rPr>
        <w:t xml:space="preserve"> </w:t>
      </w:r>
    </w:p>
    <w:p w:rsidR="00A568AC" w:rsidRPr="004E0213" w:rsidRDefault="00A568AC" w:rsidP="007B0525">
      <w:pPr>
        <w:adjustRightInd w:val="0"/>
        <w:snapToGrid w:val="0"/>
        <w:spacing w:line="360" w:lineRule="auto"/>
        <w:jc w:val="both"/>
        <w:rPr>
          <w:rStyle w:val="hps"/>
          <w:rFonts w:ascii="Book Antiqua" w:hAnsi="Book Antiqua" w:cs="Calibri"/>
          <w:lang w:val="en-US" w:eastAsia="zh-CN"/>
        </w:rPr>
      </w:pPr>
    </w:p>
    <w:p w:rsidR="00A568AC" w:rsidRPr="004E0213" w:rsidRDefault="00A568AC" w:rsidP="007B0525">
      <w:pPr>
        <w:adjustRightInd w:val="0"/>
        <w:snapToGrid w:val="0"/>
        <w:spacing w:line="360" w:lineRule="auto"/>
        <w:jc w:val="both"/>
        <w:rPr>
          <w:rFonts w:ascii="Book Antiqua" w:hAnsi="Book Antiqua"/>
        </w:rPr>
      </w:pPr>
      <w:r w:rsidRPr="004E0213">
        <w:rPr>
          <w:rFonts w:ascii="Book Antiqua" w:hAnsi="Book Antiqua"/>
          <w:b/>
        </w:rPr>
        <w:t xml:space="preserve">Telephone: </w:t>
      </w:r>
      <w:r w:rsidRPr="004E0213">
        <w:rPr>
          <w:rFonts w:ascii="Book Antiqua" w:hAnsi="Book Antiqua"/>
        </w:rPr>
        <w:t>+</w:t>
      </w:r>
      <w:r w:rsidRPr="004E0213">
        <w:rPr>
          <w:rStyle w:val="hps"/>
          <w:rFonts w:ascii="Book Antiqua" w:hAnsi="Book Antiqua" w:cs="Calibri"/>
          <w:lang w:val="en-US"/>
        </w:rPr>
        <w:t>49-251-8344957</w:t>
      </w:r>
      <w:r w:rsidRPr="004E0213">
        <w:rPr>
          <w:rFonts w:ascii="Book Antiqua" w:hAnsi="Book Antiqua"/>
        </w:rPr>
        <w:t xml:space="preserve"> </w:t>
      </w:r>
      <w:r w:rsidRPr="004E0213">
        <w:rPr>
          <w:rFonts w:ascii="Book Antiqua" w:hAnsi="Book Antiqua"/>
          <w:b/>
        </w:rPr>
        <w:t xml:space="preserve"> Fax: </w:t>
      </w:r>
      <w:r w:rsidRPr="004E0213">
        <w:rPr>
          <w:rStyle w:val="hps"/>
          <w:rFonts w:ascii="Book Antiqua" w:hAnsi="Book Antiqua" w:cs="Calibri"/>
          <w:lang w:val="en-US"/>
        </w:rPr>
        <w:t>+49-251-8357771</w:t>
      </w:r>
    </w:p>
    <w:p w:rsidR="00A568AC" w:rsidRPr="004E0213" w:rsidRDefault="00A568AC" w:rsidP="007B0525">
      <w:pPr>
        <w:adjustRightInd w:val="0"/>
        <w:snapToGrid w:val="0"/>
        <w:spacing w:line="360" w:lineRule="auto"/>
        <w:jc w:val="both"/>
        <w:rPr>
          <w:rFonts w:ascii="Book Antiqua" w:hAnsi="Book Antiqua"/>
          <w:b/>
          <w:lang w:eastAsia="zh-CN"/>
        </w:rPr>
      </w:pPr>
      <w:bookmarkStart w:id="2" w:name="OLE_LINK29"/>
      <w:bookmarkStart w:id="3" w:name="OLE_LINK30"/>
      <w:r w:rsidRPr="004E0213">
        <w:rPr>
          <w:rFonts w:ascii="Book Antiqua" w:hAnsi="Book Antiqua"/>
          <w:b/>
        </w:rPr>
        <w:t xml:space="preserve">Received: </w:t>
      </w:r>
      <w:r w:rsidR="000E4D6F" w:rsidRPr="004E0213">
        <w:rPr>
          <w:rFonts w:ascii="Book Antiqua" w:hAnsi="Book Antiqua"/>
          <w:lang w:eastAsia="zh-CN"/>
        </w:rPr>
        <w:t>July 8, 2014</w:t>
      </w:r>
      <w:r w:rsidRPr="004E0213">
        <w:rPr>
          <w:rFonts w:ascii="Book Antiqua" w:hAnsi="Book Antiqua"/>
          <w:b/>
        </w:rPr>
        <w:t xml:space="preserve">  </w:t>
      </w:r>
      <w:r w:rsidR="000E4D6F" w:rsidRPr="004E0213">
        <w:rPr>
          <w:rFonts w:ascii="Book Antiqua" w:hAnsi="Book Antiqua"/>
          <w:b/>
          <w:lang w:eastAsia="zh-CN"/>
        </w:rPr>
        <w:t xml:space="preserve"> </w:t>
      </w:r>
      <w:r w:rsidR="000E4D6F" w:rsidRPr="004E0213">
        <w:rPr>
          <w:rFonts w:ascii="Book Antiqua" w:hAnsi="Book Antiqua"/>
          <w:b/>
        </w:rPr>
        <w:t xml:space="preserve">Revised: </w:t>
      </w:r>
      <w:r w:rsidR="000E4D6F" w:rsidRPr="004E0213">
        <w:rPr>
          <w:rFonts w:ascii="Book Antiqua" w:hAnsi="Book Antiqua"/>
        </w:rPr>
        <w:t>September</w:t>
      </w:r>
      <w:r w:rsidR="000E4D6F" w:rsidRPr="004E0213">
        <w:rPr>
          <w:rFonts w:ascii="Book Antiqua" w:hAnsi="Book Antiqua"/>
          <w:lang w:eastAsia="zh-CN"/>
        </w:rPr>
        <w:t xml:space="preserve"> 2, 2014</w:t>
      </w:r>
    </w:p>
    <w:p w:rsidR="008F623E" w:rsidRDefault="00A568AC" w:rsidP="008F623E">
      <w:pPr>
        <w:rPr>
          <w:rFonts w:ascii="Book Antiqua" w:hAnsi="Book Antiqua"/>
          <w:color w:val="000000"/>
        </w:rPr>
      </w:pPr>
      <w:r w:rsidRPr="004E0213">
        <w:rPr>
          <w:rFonts w:ascii="Book Antiqua" w:hAnsi="Book Antiqua"/>
          <w:b/>
        </w:rPr>
        <w:t xml:space="preserve">Accepted: </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bookmarkStart w:id="15" w:name="OLE_LINK19"/>
      <w:bookmarkStart w:id="16" w:name="OLE_LINK22"/>
      <w:bookmarkStart w:id="17" w:name="OLE_LINK24"/>
      <w:bookmarkStart w:id="18" w:name="OLE_LINK25"/>
      <w:r w:rsidR="008F623E">
        <w:rPr>
          <w:rFonts w:ascii="Book Antiqua" w:hAnsi="Book Antiqua"/>
          <w:color w:val="000000"/>
        </w:rPr>
        <w:t>October 14, 2014</w:t>
      </w:r>
    </w:p>
    <w:p w:rsidR="00A568AC" w:rsidRPr="004E0213" w:rsidRDefault="00A568AC" w:rsidP="007B0525">
      <w:pPr>
        <w:adjustRightInd w:val="0"/>
        <w:snapToGrid w:val="0"/>
        <w:spacing w:line="360" w:lineRule="auto"/>
        <w:jc w:val="both"/>
        <w:rPr>
          <w:rFonts w:ascii="Book Antiqua" w:hAnsi="Book Antiqua"/>
          <w:b/>
        </w:rPr>
      </w:pPr>
      <w:bookmarkStart w:id="19"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E0213">
        <w:rPr>
          <w:rFonts w:ascii="Book Antiqua" w:hAnsi="Book Antiqua"/>
          <w:b/>
        </w:rPr>
        <w:t xml:space="preserve"> </w:t>
      </w:r>
    </w:p>
    <w:p w:rsidR="00A568AC" w:rsidRPr="004E0213" w:rsidRDefault="00A568AC" w:rsidP="007B0525">
      <w:pPr>
        <w:adjustRightInd w:val="0"/>
        <w:snapToGrid w:val="0"/>
        <w:spacing w:line="360" w:lineRule="auto"/>
        <w:jc w:val="both"/>
        <w:rPr>
          <w:rFonts w:ascii="Book Antiqua" w:hAnsi="Book Antiqua"/>
          <w:b/>
        </w:rPr>
      </w:pPr>
      <w:r w:rsidRPr="004E0213">
        <w:rPr>
          <w:rFonts w:ascii="Book Antiqua" w:hAnsi="Book Antiqua"/>
          <w:b/>
        </w:rPr>
        <w:lastRenderedPageBreak/>
        <w:t xml:space="preserve">Published online: </w:t>
      </w:r>
    </w:p>
    <w:bookmarkEnd w:id="2"/>
    <w:bookmarkEnd w:id="3"/>
    <w:p w:rsidR="00B12F30" w:rsidRPr="004E0213" w:rsidRDefault="00B12F30" w:rsidP="007B0525">
      <w:pPr>
        <w:widowControl w:val="0"/>
        <w:adjustRightInd w:val="0"/>
        <w:snapToGrid w:val="0"/>
        <w:spacing w:line="360" w:lineRule="auto"/>
        <w:jc w:val="both"/>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rPr>
          <w:rStyle w:val="hps"/>
          <w:rFonts w:ascii="Book Antiqua" w:hAnsi="Book Antiqua" w:cs="Calibri"/>
          <w:b/>
          <w:bCs/>
          <w:lang w:val="en-US"/>
        </w:rPr>
      </w:pPr>
      <w:r w:rsidRPr="004E0213">
        <w:rPr>
          <w:rStyle w:val="hps"/>
          <w:rFonts w:ascii="Book Antiqua" w:hAnsi="Book Antiqua" w:cs="Calibri"/>
          <w:b/>
          <w:bCs/>
          <w:lang w:val="en-US"/>
        </w:rPr>
        <w:t>Abstract</w:t>
      </w:r>
    </w:p>
    <w:p w:rsidR="00B12F30" w:rsidRPr="004E0213" w:rsidRDefault="00B12F30" w:rsidP="007B0525">
      <w:pPr>
        <w:widowControl w:val="0"/>
        <w:adjustRightInd w:val="0"/>
        <w:snapToGrid w:val="0"/>
        <w:spacing w:line="360" w:lineRule="auto"/>
        <w:jc w:val="both"/>
        <w:rPr>
          <w:rStyle w:val="hps"/>
          <w:rFonts w:ascii="Book Antiqua" w:hAnsi="Book Antiqua" w:cs="Calibri"/>
          <w:lang w:val="en-US"/>
        </w:rPr>
      </w:pPr>
      <w:r w:rsidRPr="004E0213">
        <w:rPr>
          <w:rStyle w:val="hps"/>
          <w:rFonts w:ascii="Book Antiqua" w:hAnsi="Book Antiqua" w:cs="Calibri"/>
          <w:b/>
          <w:bCs/>
          <w:lang w:val="en-US"/>
        </w:rPr>
        <w:t xml:space="preserve">AIM: </w:t>
      </w:r>
      <w:r w:rsidRPr="004E0213">
        <w:rPr>
          <w:rStyle w:val="hps"/>
          <w:rFonts w:ascii="Book Antiqua" w:hAnsi="Book Antiqua" w:cs="Calibri"/>
          <w:lang w:val="en-US"/>
        </w:rPr>
        <w:t>To investigate the safety and effectiveness of endoscopic therapy with a paclitaxel-eluting balloon (PEB) for biliary anastomotic stricture (AS) after liver transplantation (LT).</w:t>
      </w:r>
    </w:p>
    <w:p w:rsidR="00B12F30" w:rsidRPr="004E0213" w:rsidRDefault="00B12F30" w:rsidP="007B0525">
      <w:pPr>
        <w:widowControl w:val="0"/>
        <w:adjustRightInd w:val="0"/>
        <w:snapToGrid w:val="0"/>
        <w:spacing w:line="360" w:lineRule="auto"/>
        <w:jc w:val="both"/>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rPr>
          <w:rFonts w:ascii="Book Antiqua" w:hAnsi="Book Antiqua"/>
          <w:lang w:val="en-US"/>
        </w:rPr>
      </w:pPr>
      <w:r w:rsidRPr="004E0213">
        <w:rPr>
          <w:rStyle w:val="hps"/>
          <w:rFonts w:ascii="Book Antiqua" w:hAnsi="Book Antiqua" w:cs="Calibri"/>
          <w:b/>
          <w:bCs/>
          <w:lang w:val="en-US"/>
        </w:rPr>
        <w:t>METHODS</w:t>
      </w:r>
      <w:r w:rsidRPr="004E0213">
        <w:rPr>
          <w:rFonts w:ascii="Book Antiqua" w:hAnsi="Book Antiqua" w:cs="Calibri"/>
          <w:b/>
          <w:bCs/>
          <w:lang w:val="en-US"/>
        </w:rPr>
        <w:t xml:space="preserve">: </w:t>
      </w:r>
      <w:r w:rsidRPr="004E0213">
        <w:rPr>
          <w:rFonts w:ascii="Book Antiqua" w:hAnsi="Book Antiqua" w:cs="Calibri"/>
          <w:lang w:val="en-US"/>
        </w:rPr>
        <w:t xml:space="preserve">This prospective pilot study enrolled 13 consecutive eligible patients treated for symptomatic AS after LT at the University Hospital of </w:t>
      </w:r>
      <w:proofErr w:type="spellStart"/>
      <w:r w:rsidRPr="004E0213">
        <w:rPr>
          <w:rFonts w:ascii="Book Antiqua" w:hAnsi="Book Antiqua" w:cs="Calibri"/>
          <w:lang w:val="en-US"/>
        </w:rPr>
        <w:t>Münster</w:t>
      </w:r>
      <w:proofErr w:type="spellEnd"/>
      <w:r w:rsidRPr="004E0213">
        <w:rPr>
          <w:rFonts w:ascii="Book Antiqua" w:hAnsi="Book Antiqua" w:cs="Calibri"/>
          <w:lang w:val="en-US"/>
        </w:rPr>
        <w:t xml:space="preserve"> between January 2011 and March 2014. The patients were treated by </w:t>
      </w:r>
      <w:r w:rsidRPr="004E0213">
        <w:rPr>
          <w:rStyle w:val="hps"/>
          <w:rFonts w:ascii="Book Antiqua" w:hAnsi="Book Antiqua" w:cs="Calibri"/>
          <w:lang w:val="en-US"/>
        </w:rPr>
        <w:t xml:space="preserve">endoscopic therapy with a </w:t>
      </w:r>
      <w:r w:rsidRPr="004E0213">
        <w:rPr>
          <w:rFonts w:ascii="Book Antiqua" w:hAnsi="Book Antiqua" w:cs="Calibri"/>
          <w:lang w:val="en-US"/>
        </w:rPr>
        <w:t xml:space="preserve">PEB and followed up every 8 </w:t>
      </w:r>
      <w:proofErr w:type="spellStart"/>
      <w:r w:rsidRPr="004E0213">
        <w:rPr>
          <w:rFonts w:ascii="Book Antiqua" w:hAnsi="Book Antiqua" w:cs="Calibri"/>
          <w:lang w:val="en-US"/>
        </w:rPr>
        <w:t>w</w:t>
      </w:r>
      <w:r w:rsidR="001A0CFA" w:rsidRPr="004E0213">
        <w:rPr>
          <w:rFonts w:ascii="Book Antiqua" w:hAnsi="Book Antiqua" w:cs="Calibri"/>
          <w:lang w:val="en-US"/>
        </w:rPr>
        <w:t>k</w:t>
      </w:r>
      <w:proofErr w:type="spellEnd"/>
      <w:r w:rsidRPr="004E0213">
        <w:rPr>
          <w:rFonts w:ascii="Book Antiqua" w:hAnsi="Book Antiqua" w:cs="Calibri"/>
          <w:lang w:val="en-US"/>
        </w:rPr>
        <w:t xml:space="preserve"> by endoscopic retrograde cholangiopancreatography (ERCP). In cases of re-stenosis, further balloon dilation with a PEB was performed. Follow-up was continued until 24 </w:t>
      </w:r>
      <w:proofErr w:type="spellStart"/>
      <w:proofErr w:type="gramStart"/>
      <w:r w:rsidRPr="004E0213">
        <w:rPr>
          <w:rFonts w:ascii="Book Antiqua" w:hAnsi="Book Antiqua" w:cs="Calibri"/>
          <w:lang w:val="en-US"/>
        </w:rPr>
        <w:t>mo</w:t>
      </w:r>
      <w:proofErr w:type="spellEnd"/>
      <w:proofErr w:type="gramEnd"/>
      <w:r w:rsidRPr="004E0213">
        <w:rPr>
          <w:rFonts w:ascii="Book Antiqua" w:hAnsi="Book Antiqua" w:cs="Calibri"/>
          <w:lang w:val="en-US"/>
        </w:rPr>
        <w:t xml:space="preserve"> after the last intervention. </w:t>
      </w:r>
    </w:p>
    <w:p w:rsidR="00B12F30" w:rsidRPr="004E0213" w:rsidRDefault="00B12F30" w:rsidP="007B0525">
      <w:pPr>
        <w:widowControl w:val="0"/>
        <w:adjustRightInd w:val="0"/>
        <w:snapToGrid w:val="0"/>
        <w:spacing w:line="360" w:lineRule="auto"/>
        <w:jc w:val="both"/>
        <w:rPr>
          <w:rFonts w:ascii="Book Antiqua" w:hAnsi="Book Antiqua" w:cs="Calibri"/>
          <w:lang w:val="en-US"/>
        </w:rPr>
      </w:pPr>
    </w:p>
    <w:p w:rsidR="00B12F30" w:rsidRPr="004E0213" w:rsidRDefault="00B12F30" w:rsidP="007B0525">
      <w:pPr>
        <w:widowControl w:val="0"/>
        <w:adjustRightInd w:val="0"/>
        <w:snapToGrid w:val="0"/>
        <w:spacing w:line="360" w:lineRule="auto"/>
        <w:jc w:val="both"/>
        <w:rPr>
          <w:rStyle w:val="hps"/>
          <w:rFonts w:ascii="Book Antiqua" w:hAnsi="Book Antiqua"/>
          <w:lang w:val="en-US"/>
        </w:rPr>
      </w:pPr>
      <w:r w:rsidRPr="004E0213">
        <w:rPr>
          <w:rFonts w:ascii="Book Antiqua" w:hAnsi="Book Antiqua" w:cs="Calibri"/>
          <w:b/>
          <w:bCs/>
          <w:lang w:val="en-US"/>
        </w:rPr>
        <w:t xml:space="preserve">RESULTS: </w:t>
      </w:r>
      <w:r w:rsidRPr="004E0213">
        <w:rPr>
          <w:rFonts w:ascii="Book Antiqua" w:hAnsi="Book Antiqua" w:cs="Calibri"/>
          <w:bCs/>
          <w:lang w:val="en-US"/>
        </w:rPr>
        <w:t>Initial technical feasibility, defined as successful balloon dilation with a PEB during the initial ERCP procedure, was achieved in 100% of cases.</w:t>
      </w:r>
      <w:r w:rsidRPr="004E0213">
        <w:rPr>
          <w:rStyle w:val="hps"/>
          <w:rFonts w:ascii="Book Antiqua" w:hAnsi="Book Antiqua" w:cs="Calibri"/>
          <w:b/>
          <w:bCs/>
          <w:lang w:val="en-US"/>
        </w:rPr>
        <w:t xml:space="preserve"> </w:t>
      </w:r>
      <w:r w:rsidRPr="004E0213">
        <w:rPr>
          <w:rStyle w:val="hps"/>
          <w:rFonts w:ascii="Book Antiqua" w:hAnsi="Book Antiqua" w:cs="Calibri"/>
          <w:lang w:val="en-US"/>
        </w:rPr>
        <w:t xml:space="preserve">Long-term clinical success (LTCS), defined as no need for further endoscopic intervention for at least 24 </w:t>
      </w:r>
      <w:proofErr w:type="spellStart"/>
      <w:proofErr w:type="gramStart"/>
      <w:r w:rsidRPr="004E0213">
        <w:rPr>
          <w:rStyle w:val="hps"/>
          <w:rFonts w:ascii="Book Antiqua" w:hAnsi="Book Antiqua" w:cs="Calibri"/>
          <w:lang w:val="en-US"/>
        </w:rPr>
        <w:t>mo</w:t>
      </w:r>
      <w:proofErr w:type="spellEnd"/>
      <w:proofErr w:type="gramEnd"/>
      <w:r w:rsidRPr="004E0213">
        <w:rPr>
          <w:rStyle w:val="hps"/>
          <w:rFonts w:ascii="Book Antiqua" w:hAnsi="Book Antiqua" w:cs="Calibri"/>
          <w:lang w:val="en-US"/>
        </w:rPr>
        <w:t>, was achieved in 12 of the 13 patients (92.3%). The mean number of endoscopic interventions required to achieve LTCS was only 1.7 ± 1.1. Treatment failure, defined as the need for definitive alternative treatment, occurred in only one patient, who developed recurrent stenosis with increasing bile duct dilatation that required stent placement.</w:t>
      </w:r>
    </w:p>
    <w:p w:rsidR="00B12F30" w:rsidRPr="004E0213" w:rsidRDefault="00B12F30" w:rsidP="007B0525">
      <w:pPr>
        <w:widowControl w:val="0"/>
        <w:adjustRightInd w:val="0"/>
        <w:snapToGrid w:val="0"/>
        <w:spacing w:line="360" w:lineRule="auto"/>
        <w:jc w:val="both"/>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rPr>
          <w:rFonts w:ascii="Book Antiqua" w:hAnsi="Book Antiqua"/>
          <w:lang w:val="en-US"/>
        </w:rPr>
      </w:pPr>
      <w:r w:rsidRPr="004E0213">
        <w:rPr>
          <w:rFonts w:ascii="Book Antiqua" w:hAnsi="Book Antiqua" w:cs="Calibri"/>
          <w:b/>
          <w:bCs/>
          <w:lang w:val="en-US"/>
        </w:rPr>
        <w:t xml:space="preserve">CONCLUSION: </w:t>
      </w:r>
      <w:r w:rsidRPr="004E0213">
        <w:rPr>
          <w:rStyle w:val="hps"/>
          <w:rFonts w:ascii="Book Antiqua" w:hAnsi="Book Antiqua" w:cs="Calibri"/>
          <w:lang w:val="en-US"/>
        </w:rPr>
        <w:t xml:space="preserve">Endoscopic therapy with a PEB is very effective for the treatment of AS after LT, and seems to significantly shorten the overall duration of endoscopic treatment by reducing the number of interventions needed to achieve LTCS. </w:t>
      </w:r>
    </w:p>
    <w:p w:rsidR="00B12F30" w:rsidRPr="004E0213" w:rsidRDefault="00B12F30" w:rsidP="007B0525">
      <w:pPr>
        <w:widowControl w:val="0"/>
        <w:adjustRightInd w:val="0"/>
        <w:snapToGrid w:val="0"/>
        <w:spacing w:line="360" w:lineRule="auto"/>
        <w:jc w:val="both"/>
        <w:rPr>
          <w:rFonts w:ascii="Book Antiqua" w:hAnsi="Book Antiqua" w:cs="Calibri"/>
          <w:b/>
          <w:bCs/>
          <w:lang w:val="en-US" w:eastAsia="zh-CN"/>
        </w:rPr>
      </w:pPr>
    </w:p>
    <w:p w:rsidR="00AB1515" w:rsidRPr="004E0213" w:rsidRDefault="00AB1515" w:rsidP="007B0525">
      <w:pPr>
        <w:adjustRightInd w:val="0"/>
        <w:snapToGrid w:val="0"/>
        <w:spacing w:line="360" w:lineRule="auto"/>
        <w:rPr>
          <w:rFonts w:ascii="Book Antiqua" w:hAnsi="Book Antiqua" w:cs="Tahoma"/>
        </w:rPr>
      </w:pPr>
      <w:r w:rsidRPr="004E0213">
        <w:rPr>
          <w:rFonts w:ascii="Book Antiqua" w:hAnsi="Book Antiqua" w:cs="Tahoma"/>
          <w:lang w:eastAsia="ja-JP"/>
        </w:rPr>
        <w:t>© 2014 Baishideng Publishing Group Inc. All rights reserved.</w:t>
      </w:r>
    </w:p>
    <w:p w:rsidR="00AB1515" w:rsidRPr="004E0213" w:rsidRDefault="00AB1515" w:rsidP="007B0525">
      <w:pPr>
        <w:widowControl w:val="0"/>
        <w:adjustRightInd w:val="0"/>
        <w:snapToGrid w:val="0"/>
        <w:spacing w:line="360" w:lineRule="auto"/>
        <w:jc w:val="both"/>
        <w:rPr>
          <w:rFonts w:ascii="Book Antiqua" w:hAnsi="Book Antiqua" w:cs="Calibri"/>
          <w:b/>
          <w:bCs/>
          <w:lang w:eastAsia="zh-CN"/>
        </w:rPr>
      </w:pPr>
    </w:p>
    <w:p w:rsidR="00B12F30" w:rsidRPr="004E0213" w:rsidRDefault="00B12F30" w:rsidP="007B0525">
      <w:pPr>
        <w:widowControl w:val="0"/>
        <w:adjustRightInd w:val="0"/>
        <w:snapToGrid w:val="0"/>
        <w:spacing w:line="360" w:lineRule="auto"/>
        <w:jc w:val="both"/>
        <w:rPr>
          <w:rFonts w:ascii="Book Antiqua" w:hAnsi="Book Antiqua" w:cs="Calibri"/>
          <w:bCs/>
          <w:lang w:val="en-US"/>
        </w:rPr>
      </w:pPr>
      <w:r w:rsidRPr="004E0213">
        <w:rPr>
          <w:rFonts w:ascii="Book Antiqua" w:hAnsi="Book Antiqua" w:cs="Calibri"/>
          <w:b/>
          <w:bCs/>
          <w:lang w:val="en-US"/>
        </w:rPr>
        <w:t xml:space="preserve">Key words: </w:t>
      </w:r>
      <w:r w:rsidRPr="004E0213">
        <w:rPr>
          <w:rFonts w:ascii="Book Antiqua" w:hAnsi="Book Antiqua" w:cs="Calibri"/>
          <w:bCs/>
          <w:lang w:val="en-US"/>
        </w:rPr>
        <w:t>Liver transplantation</w:t>
      </w:r>
      <w:r w:rsidRPr="00FD5791">
        <w:rPr>
          <w:rFonts w:ascii="Book Antiqua" w:hAnsi="Book Antiqua" w:cs="Calibri"/>
          <w:bCs/>
          <w:lang w:val="en-US"/>
        </w:rPr>
        <w:t>;</w:t>
      </w:r>
      <w:r w:rsidRPr="004E0213">
        <w:rPr>
          <w:rFonts w:ascii="Book Antiqua" w:hAnsi="Book Antiqua" w:cs="Calibri"/>
          <w:b/>
          <w:bCs/>
          <w:lang w:val="en-US"/>
        </w:rPr>
        <w:t xml:space="preserve"> </w:t>
      </w:r>
      <w:r w:rsidRPr="004E0213">
        <w:rPr>
          <w:rFonts w:ascii="Book Antiqua" w:hAnsi="Book Antiqua" w:cs="Calibri"/>
          <w:bCs/>
          <w:lang w:val="en-US"/>
        </w:rPr>
        <w:t xml:space="preserve">Anastomotic stricture; Endoscopic therapy; </w:t>
      </w:r>
      <w:r w:rsidR="00AB1515" w:rsidRPr="004E0213">
        <w:rPr>
          <w:rFonts w:ascii="Book Antiqua" w:hAnsi="Book Antiqua" w:cs="Calibri"/>
          <w:caps/>
          <w:lang w:val="en-US"/>
        </w:rPr>
        <w:t>e</w:t>
      </w:r>
      <w:r w:rsidR="00AB1515" w:rsidRPr="004E0213">
        <w:rPr>
          <w:rFonts w:ascii="Book Antiqua" w:hAnsi="Book Antiqua" w:cs="Calibri"/>
          <w:lang w:val="en-US"/>
        </w:rPr>
        <w:t xml:space="preserve">ndoscopic retrograde </w:t>
      </w:r>
      <w:proofErr w:type="spellStart"/>
      <w:r w:rsidR="00AB1515" w:rsidRPr="004E0213">
        <w:rPr>
          <w:rFonts w:ascii="Book Antiqua" w:hAnsi="Book Antiqua" w:cs="Calibri"/>
          <w:lang w:val="en-US"/>
        </w:rPr>
        <w:t>cholangiopancreatography</w:t>
      </w:r>
      <w:proofErr w:type="spellEnd"/>
      <w:r w:rsidRPr="004E0213">
        <w:rPr>
          <w:rFonts w:ascii="Book Antiqua" w:hAnsi="Book Antiqua" w:cs="Calibri"/>
          <w:bCs/>
          <w:lang w:val="en-US"/>
        </w:rPr>
        <w:t>; Balloon dilation</w:t>
      </w:r>
      <w:r w:rsidR="001A0CFA" w:rsidRPr="004E0213">
        <w:rPr>
          <w:rFonts w:ascii="Book Antiqua" w:hAnsi="Book Antiqua" w:cs="Calibri"/>
          <w:bCs/>
          <w:lang w:val="en-US" w:eastAsia="zh-CN"/>
        </w:rPr>
        <w:t>;</w:t>
      </w:r>
      <w:r w:rsidRPr="004E0213">
        <w:rPr>
          <w:rFonts w:ascii="Book Antiqua" w:hAnsi="Book Antiqua" w:cs="Calibri"/>
          <w:bCs/>
          <w:lang w:val="en-US"/>
        </w:rPr>
        <w:t xml:space="preserve"> Paclitaxel-</w:t>
      </w:r>
      <w:r w:rsidRPr="004E0213">
        <w:rPr>
          <w:rFonts w:ascii="Book Antiqua" w:hAnsi="Book Antiqua" w:cs="Calibri"/>
          <w:bCs/>
          <w:lang w:val="en-US"/>
        </w:rPr>
        <w:lastRenderedPageBreak/>
        <w:t>eluting balloon</w:t>
      </w:r>
    </w:p>
    <w:p w:rsidR="00B12F30" w:rsidRPr="004E0213" w:rsidRDefault="00B12F30" w:rsidP="007B0525">
      <w:pPr>
        <w:widowControl w:val="0"/>
        <w:adjustRightInd w:val="0"/>
        <w:snapToGrid w:val="0"/>
        <w:spacing w:line="360" w:lineRule="auto"/>
        <w:jc w:val="both"/>
        <w:rPr>
          <w:rFonts w:ascii="Book Antiqua" w:hAnsi="Book Antiqua" w:cs="Calibri"/>
          <w:b/>
          <w:bCs/>
          <w:lang w:val="en-US" w:eastAsia="zh-CN"/>
        </w:rPr>
      </w:pPr>
    </w:p>
    <w:p w:rsidR="00B12F30" w:rsidRPr="004E0213" w:rsidRDefault="00B12F30" w:rsidP="007B0525">
      <w:pPr>
        <w:widowControl w:val="0"/>
        <w:adjustRightInd w:val="0"/>
        <w:snapToGrid w:val="0"/>
        <w:spacing w:line="360" w:lineRule="auto"/>
        <w:jc w:val="both"/>
        <w:rPr>
          <w:rFonts w:ascii="Book Antiqua" w:hAnsi="Book Antiqua" w:cs="Calibri"/>
          <w:b/>
          <w:bCs/>
          <w:lang w:val="en-US"/>
        </w:rPr>
      </w:pPr>
      <w:r w:rsidRPr="004E0213">
        <w:rPr>
          <w:rFonts w:ascii="Book Antiqua" w:hAnsi="Book Antiqua" w:cs="Calibri"/>
          <w:b/>
          <w:bCs/>
          <w:lang w:val="en-US"/>
        </w:rPr>
        <w:t xml:space="preserve">Core tip: </w:t>
      </w:r>
      <w:r w:rsidRPr="004E0213">
        <w:rPr>
          <w:rFonts w:ascii="Book Antiqua" w:hAnsi="Book Antiqua" w:cs="Calibri"/>
          <w:bCs/>
          <w:lang w:val="en-US"/>
        </w:rPr>
        <w:t>Biliary anastomotic stricture is common after liver transplantation and can significantly impair both organ and patient survival. Endoscopic treatment of an anastomotic stricture usually requires many interventions before long-term resolution is achieved. This study investigated the safety and efficacy of an innovative approach using endoscopic therapy with a paclitaxel-eluting balloon for the treatment of biliary anastomotic stricture after liver transplantation. Our data are very promising and show excellent long-term results. Furthermore, use of a paclitaxel-eluting balloon seems to reduce the number of endoscopic interventions needed to achieve sustained resolution of the stricture.</w:t>
      </w:r>
    </w:p>
    <w:p w:rsidR="00B12F30" w:rsidRPr="004E0213" w:rsidRDefault="00B12F30" w:rsidP="007B0525">
      <w:pPr>
        <w:widowControl w:val="0"/>
        <w:adjustRightInd w:val="0"/>
        <w:snapToGrid w:val="0"/>
        <w:spacing w:line="360" w:lineRule="auto"/>
        <w:jc w:val="both"/>
        <w:rPr>
          <w:rFonts w:ascii="Book Antiqua" w:hAnsi="Book Antiqua" w:cs="Calibri"/>
          <w:b/>
          <w:bCs/>
          <w:lang w:val="en-US" w:eastAsia="zh-CN"/>
        </w:rPr>
      </w:pPr>
    </w:p>
    <w:p w:rsidR="001A0CFA" w:rsidRPr="004E0213" w:rsidRDefault="00AB1515" w:rsidP="007B0525">
      <w:pPr>
        <w:widowControl w:val="0"/>
        <w:adjustRightInd w:val="0"/>
        <w:snapToGrid w:val="0"/>
        <w:spacing w:line="360" w:lineRule="auto"/>
        <w:jc w:val="both"/>
        <w:rPr>
          <w:rFonts w:ascii="Book Antiqua" w:hAnsi="Book Antiqua" w:cs="Calibri"/>
          <w:bCs/>
          <w:lang w:val="en-US" w:eastAsia="zh-CN"/>
        </w:rPr>
      </w:pPr>
      <w:proofErr w:type="spellStart"/>
      <w:r w:rsidRPr="004E0213">
        <w:rPr>
          <w:rStyle w:val="hps"/>
          <w:rFonts w:ascii="Book Antiqua" w:hAnsi="Book Antiqua" w:cs="Calibri"/>
          <w:lang w:val="en-US"/>
        </w:rPr>
        <w:t>Hüsing</w:t>
      </w:r>
      <w:proofErr w:type="spellEnd"/>
      <w:r w:rsidR="001A0CFA" w:rsidRPr="004E0213">
        <w:rPr>
          <w:rStyle w:val="hps"/>
          <w:rFonts w:ascii="Book Antiqua" w:hAnsi="Book Antiqua" w:cs="Calibri"/>
          <w:lang w:val="en-US" w:eastAsia="zh-CN"/>
        </w:rPr>
        <w:t xml:space="preserve"> A</w:t>
      </w:r>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Reinecke</w:t>
      </w:r>
      <w:proofErr w:type="spellEnd"/>
      <w:r w:rsidR="001A0CFA" w:rsidRPr="004E0213">
        <w:rPr>
          <w:rStyle w:val="hps"/>
          <w:rFonts w:ascii="Book Antiqua" w:hAnsi="Book Antiqua" w:cs="Calibri"/>
          <w:lang w:val="en-US" w:eastAsia="zh-CN"/>
        </w:rPr>
        <w:t xml:space="preserve"> H</w:t>
      </w:r>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Cicinnati</w:t>
      </w:r>
      <w:proofErr w:type="spellEnd"/>
      <w:r w:rsidR="001A0CFA" w:rsidRPr="004E0213">
        <w:rPr>
          <w:rStyle w:val="hps"/>
          <w:rFonts w:ascii="Book Antiqua" w:hAnsi="Book Antiqua" w:cs="Calibri"/>
          <w:lang w:val="en-US" w:eastAsia="zh-CN"/>
        </w:rPr>
        <w:t xml:space="preserve"> VR</w:t>
      </w:r>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Beckebaum</w:t>
      </w:r>
      <w:proofErr w:type="spellEnd"/>
      <w:r w:rsidR="001A0CFA" w:rsidRPr="004E0213">
        <w:rPr>
          <w:rStyle w:val="hps"/>
          <w:rFonts w:ascii="Book Antiqua" w:hAnsi="Book Antiqua" w:cs="Calibri"/>
          <w:lang w:val="en-US" w:eastAsia="zh-CN"/>
        </w:rPr>
        <w:t xml:space="preserve"> S</w:t>
      </w:r>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Wilms</w:t>
      </w:r>
      <w:proofErr w:type="spellEnd"/>
      <w:r w:rsidR="001A0CFA" w:rsidRPr="004E0213">
        <w:rPr>
          <w:rStyle w:val="hps"/>
          <w:rFonts w:ascii="Book Antiqua" w:hAnsi="Book Antiqua" w:cs="Calibri"/>
          <w:lang w:val="en-US" w:eastAsia="zh-CN"/>
        </w:rPr>
        <w:t xml:space="preserve"> C</w:t>
      </w:r>
      <w:r w:rsidRPr="004E0213">
        <w:rPr>
          <w:rStyle w:val="hps"/>
          <w:rFonts w:ascii="Book Antiqua" w:hAnsi="Book Antiqua" w:cs="Calibri"/>
          <w:lang w:val="en-US"/>
        </w:rPr>
        <w:t>, Schmidt</w:t>
      </w:r>
      <w:r w:rsidR="001A0CFA" w:rsidRPr="004E0213">
        <w:rPr>
          <w:rStyle w:val="hps"/>
          <w:rFonts w:ascii="Book Antiqua" w:hAnsi="Book Antiqua" w:cs="Calibri"/>
          <w:lang w:val="en-US" w:eastAsia="zh-CN"/>
        </w:rPr>
        <w:t xml:space="preserve"> HH</w:t>
      </w:r>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Kabar</w:t>
      </w:r>
      <w:proofErr w:type="spellEnd"/>
      <w:r w:rsidR="001A0CFA" w:rsidRPr="004E0213">
        <w:rPr>
          <w:rStyle w:val="hps"/>
          <w:rFonts w:ascii="Book Antiqua" w:hAnsi="Book Antiqua" w:cs="Calibri"/>
          <w:lang w:val="en-US" w:eastAsia="zh-CN"/>
        </w:rPr>
        <w:t xml:space="preserve"> I. </w:t>
      </w:r>
      <w:r w:rsidRPr="004E0213">
        <w:rPr>
          <w:rStyle w:val="hps"/>
          <w:rFonts w:ascii="Book Antiqua" w:hAnsi="Book Antiqua" w:cs="Calibri"/>
          <w:bCs/>
          <w:lang w:val="en-US"/>
        </w:rPr>
        <w:t>Paclitaxel-eluting balloon dilation of biliary anastomotic stricture after liver transplantation</w:t>
      </w:r>
      <w:r w:rsidR="001A0CFA" w:rsidRPr="004E0213">
        <w:rPr>
          <w:rStyle w:val="hps"/>
          <w:rFonts w:ascii="Book Antiqua" w:hAnsi="Book Antiqua" w:cs="Calibri"/>
          <w:bCs/>
          <w:lang w:val="en-US" w:eastAsia="zh-CN"/>
        </w:rPr>
        <w:t xml:space="preserve">. </w:t>
      </w:r>
      <w:r w:rsidR="001A0CFA" w:rsidRPr="004E0213">
        <w:rPr>
          <w:rFonts w:ascii="Book Antiqua" w:hAnsi="Book Antiqua" w:cs="Calibri"/>
          <w:bCs/>
          <w:i/>
          <w:lang w:val="en-US" w:eastAsia="zh-CN"/>
        </w:rPr>
        <w:t xml:space="preserve">World J </w:t>
      </w:r>
      <w:proofErr w:type="spellStart"/>
      <w:r w:rsidR="001A0CFA" w:rsidRPr="004E0213">
        <w:rPr>
          <w:rFonts w:ascii="Book Antiqua" w:hAnsi="Book Antiqua" w:cs="Calibri"/>
          <w:bCs/>
          <w:i/>
          <w:lang w:val="en-US" w:eastAsia="zh-CN"/>
        </w:rPr>
        <w:t>Gastroenterol</w:t>
      </w:r>
      <w:proofErr w:type="spellEnd"/>
      <w:r w:rsidR="001A0CFA" w:rsidRPr="004E0213">
        <w:rPr>
          <w:rFonts w:ascii="Book Antiqua" w:hAnsi="Book Antiqua" w:cs="Calibri"/>
          <w:bCs/>
          <w:lang w:val="en-US" w:eastAsia="zh-CN"/>
        </w:rPr>
        <w:t xml:space="preserve"> 2014; </w:t>
      </w:r>
      <w:proofErr w:type="gramStart"/>
      <w:r w:rsidR="001A0CFA" w:rsidRPr="004E0213">
        <w:rPr>
          <w:rFonts w:ascii="Book Antiqua" w:hAnsi="Book Antiqua" w:cs="Calibri"/>
          <w:bCs/>
          <w:lang w:val="en-US" w:eastAsia="zh-CN"/>
        </w:rPr>
        <w:t>In</w:t>
      </w:r>
      <w:proofErr w:type="gramEnd"/>
      <w:r w:rsidR="001A0CFA" w:rsidRPr="004E0213">
        <w:rPr>
          <w:rFonts w:ascii="Book Antiqua" w:hAnsi="Book Antiqua" w:cs="Calibri"/>
          <w:bCs/>
          <w:lang w:val="en-US" w:eastAsia="zh-CN"/>
        </w:rPr>
        <w:t xml:space="preserve"> press</w:t>
      </w:r>
    </w:p>
    <w:p w:rsidR="00AB1515" w:rsidRPr="004E0213" w:rsidRDefault="00AB1515" w:rsidP="007B0525">
      <w:pPr>
        <w:widowControl w:val="0"/>
        <w:adjustRightInd w:val="0"/>
        <w:snapToGrid w:val="0"/>
        <w:spacing w:line="360" w:lineRule="auto"/>
        <w:jc w:val="both"/>
        <w:rPr>
          <w:rFonts w:ascii="Book Antiqua" w:hAnsi="Book Antiqua" w:cs="Calibri"/>
          <w:b/>
          <w:bCs/>
          <w:lang w:val="en-US" w:eastAsia="zh-CN"/>
        </w:rPr>
      </w:pPr>
    </w:p>
    <w:p w:rsidR="00B12F30" w:rsidRPr="004E0213" w:rsidRDefault="00B12F30" w:rsidP="007B0525">
      <w:pPr>
        <w:widowControl w:val="0"/>
        <w:adjustRightInd w:val="0"/>
        <w:snapToGrid w:val="0"/>
        <w:spacing w:line="360" w:lineRule="auto"/>
        <w:jc w:val="both"/>
        <w:rPr>
          <w:rFonts w:ascii="Book Antiqua" w:hAnsi="Book Antiqua" w:cs="Calibri"/>
          <w:b/>
          <w:bCs/>
          <w:lang w:val="en-US"/>
        </w:rPr>
      </w:pPr>
      <w:r w:rsidRPr="004E0213">
        <w:rPr>
          <w:rFonts w:ascii="Book Antiqua" w:hAnsi="Book Antiqua" w:cs="Calibri"/>
          <w:b/>
          <w:bCs/>
          <w:lang w:val="en-US"/>
        </w:rPr>
        <w:t>INTRODUCTION</w:t>
      </w:r>
    </w:p>
    <w:p w:rsidR="00B12F30" w:rsidRPr="004E0213" w:rsidRDefault="00B12F30" w:rsidP="007B0525">
      <w:pPr>
        <w:widowControl w:val="0"/>
        <w:adjustRightInd w:val="0"/>
        <w:snapToGrid w:val="0"/>
        <w:spacing w:line="360" w:lineRule="auto"/>
        <w:jc w:val="both"/>
        <w:rPr>
          <w:rStyle w:val="hps"/>
          <w:rFonts w:ascii="Book Antiqua" w:hAnsi="Book Antiqua"/>
          <w:lang w:val="en-US"/>
        </w:rPr>
      </w:pPr>
      <w:r w:rsidRPr="004E0213">
        <w:rPr>
          <w:rStyle w:val="hps"/>
          <w:rFonts w:ascii="Book Antiqua" w:hAnsi="Book Antiqua" w:cs="Calibri"/>
          <w:lang w:val="en-US"/>
        </w:rPr>
        <w:t xml:space="preserve">Biliary complications are common after liver transplantation (LT) because the vascular supply to the biliary tract is easily injured, and such complications are a major cause of morbidity and graft failure. Biliary complications are reported to occur in 10%–25% of LT recipients, and may include stricture, leakage, and formation of biliary stones, casts, and </w:t>
      </w:r>
      <w:proofErr w:type="gramStart"/>
      <w:r w:rsidRPr="004E0213">
        <w:rPr>
          <w:rStyle w:val="hps"/>
          <w:rFonts w:ascii="Book Antiqua" w:hAnsi="Book Antiqua" w:cs="Calibri"/>
          <w:lang w:val="en-US"/>
        </w:rPr>
        <w:t>sludge</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1-3]</w:t>
      </w:r>
      <w:r w:rsidRPr="004E0213">
        <w:rPr>
          <w:rStyle w:val="hps"/>
          <w:rFonts w:ascii="Book Antiqua" w:hAnsi="Book Antiqua" w:cs="Calibri"/>
          <w:lang w:val="en-US"/>
        </w:rPr>
        <w:t xml:space="preserve">. Biliary stricture is one of the most commonly reported complications after LT and can be divided into two types: anastomotic stricture (AS) and non-anastomotic stricture. This categorization helps to predict the response to treatment, with AS responding more favorably to endoscopic intervention than non-anastomotic </w:t>
      </w:r>
      <w:proofErr w:type="gramStart"/>
      <w:r w:rsidRPr="004E0213">
        <w:rPr>
          <w:rStyle w:val="hps"/>
          <w:rFonts w:ascii="Book Antiqua" w:hAnsi="Book Antiqua" w:cs="Calibri"/>
          <w:lang w:val="en-US"/>
        </w:rPr>
        <w:t>stricture</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3,4]</w:t>
      </w:r>
      <w:r w:rsidRPr="004E0213">
        <w:rPr>
          <w:rStyle w:val="hps"/>
          <w:rFonts w:ascii="Book Antiqua" w:hAnsi="Book Antiqua" w:cs="Calibri"/>
          <w:lang w:val="en-US"/>
        </w:rPr>
        <w:t>.</w:t>
      </w:r>
    </w:p>
    <w:p w:rsidR="00B12F30" w:rsidRPr="004E0213" w:rsidRDefault="00B12F30" w:rsidP="007B0525">
      <w:pPr>
        <w:widowControl w:val="0"/>
        <w:adjustRightInd w:val="0"/>
        <w:snapToGrid w:val="0"/>
        <w:spacing w:line="360" w:lineRule="auto"/>
        <w:ind w:firstLine="706"/>
        <w:jc w:val="both"/>
        <w:rPr>
          <w:rStyle w:val="hps"/>
          <w:rFonts w:ascii="Book Antiqua" w:hAnsi="Book Antiqua" w:cs="Calibri"/>
          <w:lang w:val="en-US"/>
        </w:rPr>
      </w:pPr>
      <w:proofErr w:type="gramStart"/>
      <w:r w:rsidRPr="004E0213">
        <w:rPr>
          <w:rStyle w:val="hps"/>
          <w:rFonts w:ascii="Book Antiqua" w:hAnsi="Book Antiqua" w:cs="Calibri"/>
          <w:lang w:val="en-US"/>
        </w:rPr>
        <w:t>AS is the most frequent biliary complication after LT, accounting for 8%–20% of all complications.</w:t>
      </w:r>
      <w:proofErr w:type="gramEnd"/>
      <w:r w:rsidRPr="004E0213">
        <w:rPr>
          <w:rStyle w:val="hps"/>
          <w:rFonts w:ascii="Book Antiqua" w:hAnsi="Book Antiqua" w:cs="Calibri"/>
          <w:lang w:val="en-US"/>
        </w:rPr>
        <w:t xml:space="preserve"> Endoscopic retrograde cholangiopancreatography (ERCP) is considered to be the gold standard for diagnosis and treatment of biliary complications after LT. Current standard endoscopic interventions for AS include balloon dilation and stent placement. Most patients require repeated endoscopic procedures for 12 to 24 </w:t>
      </w:r>
      <w:proofErr w:type="spellStart"/>
      <w:proofErr w:type="gramStart"/>
      <w:r w:rsidRPr="004E0213">
        <w:rPr>
          <w:rStyle w:val="hps"/>
          <w:rFonts w:ascii="Book Antiqua" w:hAnsi="Book Antiqua" w:cs="Calibri"/>
          <w:lang w:val="en-US"/>
        </w:rPr>
        <w:t>mo</w:t>
      </w:r>
      <w:proofErr w:type="spellEnd"/>
      <w:proofErr w:type="gramEnd"/>
      <w:r w:rsidRPr="004E0213">
        <w:rPr>
          <w:rStyle w:val="hps"/>
          <w:rFonts w:ascii="Book Antiqua" w:hAnsi="Book Antiqua" w:cs="Calibri"/>
          <w:lang w:val="en-US"/>
        </w:rPr>
        <w:t xml:space="preserve">, during which they undergo an average of 5–6 endoscopic </w:t>
      </w:r>
      <w:r w:rsidRPr="004E0213">
        <w:rPr>
          <w:rStyle w:val="hps"/>
          <w:rFonts w:ascii="Book Antiqua" w:hAnsi="Book Antiqua" w:cs="Calibri"/>
          <w:lang w:val="en-US"/>
        </w:rPr>
        <w:lastRenderedPageBreak/>
        <w:t xml:space="preserve">interventions. The reported success rate of balloon dilation alone is about 40%, and the reported overall long-term success rate after endoscopic interventions is 75%–80%. However, AS recurrence after successful endoscopic treatment has been reported in up to 30% of </w:t>
      </w:r>
      <w:proofErr w:type="gramStart"/>
      <w:r w:rsidRPr="004E0213">
        <w:rPr>
          <w:rStyle w:val="hps"/>
          <w:rFonts w:ascii="Book Antiqua" w:hAnsi="Book Antiqua" w:cs="Calibri"/>
          <w:lang w:val="en-US"/>
        </w:rPr>
        <w:t>cases</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5-7]</w:t>
      </w:r>
      <w:r w:rsidRPr="004E0213">
        <w:rPr>
          <w:rStyle w:val="hps"/>
          <w:rFonts w:ascii="Book Antiqua" w:hAnsi="Book Antiqua" w:cs="Calibri"/>
          <w:lang w:val="en-US"/>
        </w:rPr>
        <w:t xml:space="preserve">. </w:t>
      </w:r>
    </w:p>
    <w:p w:rsidR="00B12F30" w:rsidRPr="004E0213" w:rsidRDefault="00B12F30" w:rsidP="007B0525">
      <w:pPr>
        <w:widowControl w:val="0"/>
        <w:adjustRightInd w:val="0"/>
        <w:snapToGrid w:val="0"/>
        <w:spacing w:line="360" w:lineRule="auto"/>
        <w:ind w:firstLine="706"/>
        <w:jc w:val="both"/>
        <w:rPr>
          <w:rStyle w:val="hps"/>
          <w:rFonts w:ascii="Book Antiqua" w:hAnsi="Book Antiqua" w:cs="Calibri"/>
          <w:lang w:val="en-US"/>
        </w:rPr>
      </w:pPr>
      <w:r w:rsidRPr="004E0213">
        <w:rPr>
          <w:rStyle w:val="hps"/>
          <w:rFonts w:ascii="Book Antiqua" w:hAnsi="Book Antiqua" w:cs="Calibri"/>
          <w:lang w:val="en-US"/>
        </w:rPr>
        <w:t xml:space="preserve">In recent years, fully covered self-expandable metal stents have been used to treat biliary strictures after LT when standard endoscopic treatment failed. Treatment with such stents has a success rate of nearly 80%, but also has a high complication rate of up to 47%, mainly due to stent migration, stent occlusion, and </w:t>
      </w:r>
      <w:r w:rsidRPr="004E0213">
        <w:rPr>
          <w:rStyle w:val="hps"/>
          <w:rFonts w:ascii="Book Antiqua" w:hAnsi="Book Antiqua" w:cs="Calibri"/>
          <w:i/>
          <w:lang w:val="en-US"/>
        </w:rPr>
        <w:t>de novo</w:t>
      </w:r>
      <w:r w:rsidRPr="004E0213">
        <w:rPr>
          <w:rStyle w:val="hps"/>
          <w:rFonts w:ascii="Book Antiqua" w:hAnsi="Book Antiqua" w:cs="Calibri"/>
          <w:lang w:val="en-US"/>
        </w:rPr>
        <w:t xml:space="preserve"> stricture </w:t>
      </w:r>
      <w:proofErr w:type="gramStart"/>
      <w:r w:rsidRPr="004E0213">
        <w:rPr>
          <w:rStyle w:val="hps"/>
          <w:rFonts w:ascii="Book Antiqua" w:hAnsi="Book Antiqua" w:cs="Calibri"/>
          <w:lang w:val="en-US"/>
        </w:rPr>
        <w:t>formation</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1,8,9]</w:t>
      </w:r>
      <w:r w:rsidRPr="004E0213">
        <w:rPr>
          <w:rStyle w:val="hps"/>
          <w:rFonts w:ascii="Book Antiqua" w:hAnsi="Book Antiqua" w:cs="Calibri"/>
          <w:lang w:val="en-US"/>
        </w:rPr>
        <w:t xml:space="preserve">. </w:t>
      </w:r>
    </w:p>
    <w:p w:rsidR="00B12F30" w:rsidRPr="004E0213" w:rsidRDefault="00B12F30" w:rsidP="007B0525">
      <w:pPr>
        <w:widowControl w:val="0"/>
        <w:adjustRightInd w:val="0"/>
        <w:snapToGrid w:val="0"/>
        <w:spacing w:line="360" w:lineRule="auto"/>
        <w:ind w:firstLine="706"/>
        <w:jc w:val="both"/>
        <w:rPr>
          <w:rStyle w:val="hps"/>
          <w:rFonts w:ascii="Book Antiqua" w:hAnsi="Book Antiqua" w:cs="Calibri"/>
          <w:lang w:val="en-US"/>
        </w:rPr>
      </w:pPr>
      <w:r w:rsidRPr="004E0213">
        <w:rPr>
          <w:rStyle w:val="hps"/>
          <w:rFonts w:ascii="Book Antiqua" w:hAnsi="Book Antiqua" w:cs="Calibri"/>
          <w:lang w:val="en-US"/>
        </w:rPr>
        <w:t xml:space="preserve">New treatment modalities are needed to reduce procedure-related morbidity and the overall duration of endoscopic treatment, as well as to improve long-term results. The short-term outcome data of this study published in 2012 were very </w:t>
      </w:r>
      <w:proofErr w:type="gramStart"/>
      <w:r w:rsidRPr="004E0213">
        <w:rPr>
          <w:rStyle w:val="hps"/>
          <w:rFonts w:ascii="Book Antiqua" w:hAnsi="Book Antiqua" w:cs="Calibri"/>
          <w:lang w:val="en-US"/>
        </w:rPr>
        <w:t>promising</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10]</w:t>
      </w:r>
      <w:r w:rsidRPr="004E0213">
        <w:rPr>
          <w:rStyle w:val="hps"/>
          <w:rFonts w:ascii="Book Antiqua" w:hAnsi="Book Antiqua" w:cs="Calibri"/>
          <w:lang w:val="en-US"/>
        </w:rPr>
        <w:t>. The aim of this pilot study was to evaluate the long-term safety and effectiveness of endoscopic therapy with a paclitaxel-eluting balloon (PEB) for AS after LT.</w:t>
      </w:r>
    </w:p>
    <w:p w:rsidR="00B12F30" w:rsidRPr="004E0213" w:rsidRDefault="00B12F30" w:rsidP="007B0525">
      <w:pPr>
        <w:widowControl w:val="0"/>
        <w:adjustRightInd w:val="0"/>
        <w:snapToGrid w:val="0"/>
        <w:spacing w:line="360" w:lineRule="auto"/>
        <w:ind w:firstLine="706"/>
        <w:jc w:val="both"/>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rPr>
          <w:rStyle w:val="hps"/>
          <w:rFonts w:ascii="Book Antiqua" w:hAnsi="Book Antiqua" w:cs="Calibri"/>
          <w:b/>
          <w:bCs/>
          <w:lang w:val="en-US"/>
        </w:rPr>
      </w:pPr>
      <w:r w:rsidRPr="004E0213">
        <w:rPr>
          <w:rStyle w:val="hps"/>
          <w:rFonts w:ascii="Book Antiqua" w:hAnsi="Book Antiqua" w:cs="Calibri"/>
          <w:b/>
          <w:bCs/>
          <w:lang w:val="en-US"/>
        </w:rPr>
        <w:t>MATERIALS AND METHODS</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lang w:val="en-US"/>
        </w:rPr>
      </w:pPr>
      <w:r w:rsidRPr="004E0213">
        <w:rPr>
          <w:rStyle w:val="hps"/>
          <w:rFonts w:ascii="Book Antiqua" w:hAnsi="Book Antiqua" w:cs="Calibri"/>
          <w:lang w:val="en-US"/>
        </w:rPr>
        <w:t xml:space="preserve">This prospective study was conducted between January 2011 and March 2014 in the Department of Transplant Medicine, University Hospital of </w:t>
      </w:r>
      <w:proofErr w:type="spellStart"/>
      <w:r w:rsidRPr="004E0213">
        <w:rPr>
          <w:rStyle w:val="hps"/>
          <w:rFonts w:ascii="Book Antiqua" w:hAnsi="Book Antiqua" w:cs="Calibri"/>
          <w:lang w:val="en-US"/>
        </w:rPr>
        <w:t>Münster</w:t>
      </w:r>
      <w:proofErr w:type="spellEnd"/>
      <w:r w:rsidRPr="004E0213">
        <w:rPr>
          <w:rStyle w:val="hps"/>
          <w:rFonts w:ascii="Book Antiqua" w:hAnsi="Book Antiqua" w:cs="Calibri"/>
          <w:lang w:val="en-US"/>
        </w:rPr>
        <w:t>. Thirteen consecutive eligible patients were enrolled between January 2011 and September 2011, and follow-up was performed until March 2014.</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r w:rsidRPr="004E0213">
        <w:rPr>
          <w:rStyle w:val="hps"/>
          <w:rFonts w:ascii="Book Antiqua" w:hAnsi="Book Antiqua" w:cs="Calibri"/>
          <w:lang w:val="en-US"/>
        </w:rPr>
        <w:t>All patients gave written informed consent, and the study was conducted in accordance with the guidelines of the Declaration of Helsinki (2004 revision). The study protocol was finalized after consultation with the local institutional review board.</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r w:rsidRPr="004E0213">
        <w:rPr>
          <w:rStyle w:val="hps"/>
          <w:rFonts w:ascii="Book Antiqua" w:hAnsi="Book Antiqua" w:cs="Calibri"/>
          <w:lang w:val="en-US"/>
        </w:rPr>
        <w:t xml:space="preserve">All patients with newly diagnosed AS after LT who had undergone end-to-end </w:t>
      </w:r>
      <w:proofErr w:type="spellStart"/>
      <w:r w:rsidRPr="004E0213">
        <w:rPr>
          <w:rStyle w:val="hps"/>
          <w:rFonts w:ascii="Book Antiqua" w:hAnsi="Book Antiqua" w:cs="Calibri"/>
          <w:lang w:val="en-US"/>
        </w:rPr>
        <w:t>choledochocholedochostomy</w:t>
      </w:r>
      <w:proofErr w:type="spellEnd"/>
      <w:r w:rsidRPr="004E0213">
        <w:rPr>
          <w:rStyle w:val="hps"/>
          <w:rFonts w:ascii="Book Antiqua" w:hAnsi="Book Antiqua" w:cs="Calibri"/>
          <w:lang w:val="en-US"/>
        </w:rPr>
        <w:t xml:space="preserve"> were eligible for inclusion in the study. Patients who had undergone choledochojejunostomy were excluded. </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proofErr w:type="gramStart"/>
      <w:r w:rsidRPr="004E0213">
        <w:rPr>
          <w:rStyle w:val="hps"/>
          <w:rFonts w:ascii="Book Antiqua" w:hAnsi="Book Antiqua" w:cs="Calibri"/>
          <w:lang w:val="en-US"/>
        </w:rPr>
        <w:t>AS was defined as a narrowing of the bile duct, predominantly at the anastomotic site, with markedly reduced passage of contrast material observed on fluoroscopy during ERCP.</w:t>
      </w:r>
      <w:proofErr w:type="gramEnd"/>
      <w:r w:rsidRPr="004E0213">
        <w:rPr>
          <w:rStyle w:val="hps"/>
          <w:rFonts w:ascii="Book Antiqua" w:hAnsi="Book Antiqua" w:cs="Calibri"/>
          <w:lang w:val="en-US"/>
        </w:rPr>
        <w:t xml:space="preserve"> ERCP was performed if there were clinical, biochemical, or histological signs of cholestasis, or dilated bile ducts on imaging examinations </w:t>
      </w:r>
      <w:r w:rsidRPr="004E0213">
        <w:rPr>
          <w:rStyle w:val="hps"/>
          <w:rFonts w:ascii="Book Antiqua" w:hAnsi="Book Antiqua" w:cs="Calibri"/>
          <w:lang w:val="en-US"/>
        </w:rPr>
        <w:lastRenderedPageBreak/>
        <w:t xml:space="preserve">(ultrasonography, computed tomography, or magnetic resonance tomography). Four of the 13 patients (30.8%) had dilated bile ducts on non-invasive imaging examinations. </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i/>
          <w:iCs/>
          <w:lang w:val="en-US"/>
        </w:rPr>
      </w:pPr>
      <w:r w:rsidRPr="004E0213">
        <w:rPr>
          <w:rStyle w:val="hps"/>
          <w:rFonts w:ascii="Book Antiqua" w:hAnsi="Book Antiqua" w:cs="Calibri"/>
          <w:b/>
          <w:i/>
          <w:iCs/>
          <w:lang w:val="en-US"/>
        </w:rPr>
        <w:t>Endoscopic procedure</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lang w:val="en-US"/>
        </w:rPr>
      </w:pPr>
      <w:r w:rsidRPr="004E0213">
        <w:rPr>
          <w:rStyle w:val="hps"/>
          <w:rFonts w:ascii="Book Antiqua" w:hAnsi="Book Antiqua" w:cs="Calibri"/>
          <w:lang w:val="en-US"/>
        </w:rPr>
        <w:t xml:space="preserve">ERCP was performed using a therapeutic duodenoscope (TJF-180V, Olympus Corp., Tokyo, Japan) under conscious sedation (midazolam and </w:t>
      </w:r>
      <w:proofErr w:type="spellStart"/>
      <w:r w:rsidRPr="004E0213">
        <w:rPr>
          <w:rStyle w:val="hps"/>
          <w:rFonts w:ascii="Book Antiqua" w:hAnsi="Book Antiqua" w:cs="Calibri"/>
          <w:lang w:val="en-US"/>
        </w:rPr>
        <w:t>propofol</w:t>
      </w:r>
      <w:proofErr w:type="spellEnd"/>
      <w:r w:rsidRPr="004E0213">
        <w:rPr>
          <w:rStyle w:val="hps"/>
          <w:rFonts w:ascii="Book Antiqua" w:hAnsi="Book Antiqua" w:cs="Calibri"/>
          <w:lang w:val="en-US"/>
        </w:rPr>
        <w:t xml:space="preserve">, with or without opiates) and antibiotic prophylaxis (ciprofloxacin 750 mg orally 2 h before and 6 h after the procedure). The bile duct was accessed using a </w:t>
      </w:r>
      <w:proofErr w:type="spellStart"/>
      <w:r w:rsidRPr="004E0213">
        <w:rPr>
          <w:rStyle w:val="hps"/>
          <w:rFonts w:ascii="Book Antiqua" w:hAnsi="Book Antiqua" w:cs="Calibri"/>
          <w:lang w:val="en-US"/>
        </w:rPr>
        <w:t>sphincterotome</w:t>
      </w:r>
      <w:proofErr w:type="spellEnd"/>
      <w:r w:rsidRPr="004E0213">
        <w:rPr>
          <w:rStyle w:val="hps"/>
          <w:rFonts w:ascii="Book Antiqua" w:hAnsi="Book Antiqua" w:cs="Calibri"/>
          <w:lang w:val="en-US"/>
        </w:rPr>
        <w:t xml:space="preserve"> (Tri-Tome, TRI 20, Cook Medical, </w:t>
      </w:r>
      <w:proofErr w:type="gramStart"/>
      <w:r w:rsidRPr="004E0213">
        <w:rPr>
          <w:rStyle w:val="hps"/>
          <w:rFonts w:ascii="Book Antiqua" w:hAnsi="Book Antiqua" w:cs="Calibri"/>
          <w:lang w:val="en-US"/>
        </w:rPr>
        <w:t>Winston</w:t>
      </w:r>
      <w:proofErr w:type="gramEnd"/>
      <w:r w:rsidRPr="004E0213">
        <w:rPr>
          <w:rStyle w:val="hps"/>
          <w:rFonts w:ascii="Book Antiqua" w:hAnsi="Book Antiqua" w:cs="Calibri"/>
          <w:lang w:val="en-US"/>
        </w:rPr>
        <w:t xml:space="preserve">-Salem, NC, United States) and a wire (0.035 inches, THSF-35-480, Cook Medical) to guide cannulation. Cholangiography was performed to assess the biliary anastomosis. The </w:t>
      </w:r>
      <w:proofErr w:type="spellStart"/>
      <w:r w:rsidRPr="004E0213">
        <w:rPr>
          <w:rStyle w:val="hps"/>
          <w:rFonts w:ascii="Book Antiqua" w:hAnsi="Book Antiqua" w:cs="Calibri"/>
          <w:lang w:val="en-US"/>
        </w:rPr>
        <w:t>guidewire</w:t>
      </w:r>
      <w:proofErr w:type="spellEnd"/>
      <w:r w:rsidRPr="004E0213">
        <w:rPr>
          <w:rStyle w:val="hps"/>
          <w:rFonts w:ascii="Book Antiqua" w:hAnsi="Book Antiqua" w:cs="Calibri"/>
          <w:lang w:val="en-US"/>
        </w:rPr>
        <w:t xml:space="preserve"> was then advanced through the stricture. </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r w:rsidRPr="004E0213">
        <w:rPr>
          <w:rStyle w:val="hps"/>
          <w:rFonts w:ascii="Book Antiqua" w:hAnsi="Book Antiqua" w:cs="Calibri"/>
          <w:lang w:val="en-US"/>
        </w:rPr>
        <w:t>If AS was diagnosed, endoscopic treatment was performed, comprising sphincterotomy followed by dilation with a PEB (DIOR paclitaxel coated coronary balloon dilatation catheter, paclitaxel 3 µg/mm</w:t>
      </w:r>
      <w:r w:rsidRPr="004E0213">
        <w:rPr>
          <w:rStyle w:val="hps"/>
          <w:rFonts w:ascii="Book Antiqua" w:hAnsi="Book Antiqua" w:cs="Calibri"/>
          <w:vertAlign w:val="superscript"/>
          <w:lang w:val="en-US"/>
        </w:rPr>
        <w:t>2</w:t>
      </w:r>
      <w:r w:rsidRPr="004E0213">
        <w:rPr>
          <w:rStyle w:val="hps"/>
          <w:rFonts w:ascii="Book Antiqua" w:hAnsi="Book Antiqua" w:cs="Calibri"/>
          <w:lang w:val="en-US"/>
        </w:rPr>
        <w:t xml:space="preserve">; </w:t>
      </w:r>
      <w:proofErr w:type="spellStart"/>
      <w:r w:rsidRPr="004E0213">
        <w:rPr>
          <w:rStyle w:val="hps"/>
          <w:rFonts w:ascii="Book Antiqua" w:hAnsi="Book Antiqua" w:cs="Calibri"/>
          <w:lang w:val="en-US"/>
        </w:rPr>
        <w:t>Eurocor</w:t>
      </w:r>
      <w:proofErr w:type="spellEnd"/>
      <w:r w:rsidRPr="004E0213">
        <w:rPr>
          <w:rStyle w:val="hps"/>
          <w:rFonts w:ascii="Book Antiqua" w:hAnsi="Book Antiqua" w:cs="Calibri"/>
          <w:lang w:val="en-US"/>
        </w:rPr>
        <w:t xml:space="preserve">, Bonn, Germany). The PEB was coated with a 1:1 mixture of paclitaxel and shellac that prevented release of paclitaxel in the working channel of the endoscope. Contact of the hydrophilic shellac mixture with a body fluid such as bile opens the structure to allow pressure-induced release of paclitaxel on the inflated balloon. The PEB was inflated at the anastomotic site to a pressure of up to 12 </w:t>
      </w:r>
      <w:proofErr w:type="gramStart"/>
      <w:r w:rsidRPr="004E0213">
        <w:rPr>
          <w:rStyle w:val="hps"/>
          <w:rFonts w:ascii="Book Antiqua" w:hAnsi="Book Antiqua" w:cs="Calibri"/>
          <w:lang w:val="en-US"/>
        </w:rPr>
        <w:t>bar</w:t>
      </w:r>
      <w:proofErr w:type="gramEnd"/>
      <w:r w:rsidRPr="004E0213">
        <w:rPr>
          <w:rStyle w:val="hps"/>
          <w:rFonts w:ascii="Book Antiqua" w:hAnsi="Book Antiqua" w:cs="Calibri"/>
          <w:lang w:val="en-US"/>
        </w:rPr>
        <w:t>, and left in place for 30 s (Figure 1). After the initial balloon dilation, ERCP w</w:t>
      </w:r>
      <w:r w:rsidR="00EC633B" w:rsidRPr="004E0213">
        <w:rPr>
          <w:rStyle w:val="hps"/>
          <w:rFonts w:ascii="Book Antiqua" w:hAnsi="Book Antiqua" w:cs="Calibri"/>
          <w:lang w:val="en-US"/>
        </w:rPr>
        <w:t xml:space="preserve">as performed every 8 </w:t>
      </w:r>
      <w:proofErr w:type="spellStart"/>
      <w:r w:rsidR="00EC633B" w:rsidRPr="004E0213">
        <w:rPr>
          <w:rStyle w:val="hps"/>
          <w:rFonts w:ascii="Book Antiqua" w:hAnsi="Book Antiqua" w:cs="Calibri"/>
          <w:lang w:val="en-US"/>
        </w:rPr>
        <w:t>wk</w:t>
      </w:r>
      <w:proofErr w:type="spellEnd"/>
      <w:r w:rsidRPr="004E0213">
        <w:rPr>
          <w:rStyle w:val="hps"/>
          <w:rFonts w:ascii="Book Antiqua" w:hAnsi="Book Antiqua" w:cs="Calibri"/>
          <w:lang w:val="en-US"/>
        </w:rPr>
        <w:t xml:space="preserve"> to re-evaluate the stricture. If cholangiography showed a patent anastomosis, no further endoscopic treatment was performed. If the stricture persisted, further dilation with a PEB was performed. Follow-up was continued until 24 </w:t>
      </w:r>
      <w:proofErr w:type="spellStart"/>
      <w:proofErr w:type="gramStart"/>
      <w:r w:rsidRPr="004E0213">
        <w:rPr>
          <w:rStyle w:val="hps"/>
          <w:rFonts w:ascii="Book Antiqua" w:hAnsi="Book Antiqua" w:cs="Calibri"/>
          <w:lang w:val="en-US"/>
        </w:rPr>
        <w:t>mo</w:t>
      </w:r>
      <w:proofErr w:type="spellEnd"/>
      <w:proofErr w:type="gramEnd"/>
      <w:r w:rsidRPr="004E0213">
        <w:rPr>
          <w:rStyle w:val="hps"/>
          <w:rFonts w:ascii="Book Antiqua" w:hAnsi="Book Antiqua" w:cs="Calibri"/>
          <w:lang w:val="en-US"/>
        </w:rPr>
        <w:t xml:space="preserve"> after the last intervention.</w:t>
      </w:r>
    </w:p>
    <w:p w:rsidR="00B12F30" w:rsidRPr="004E0213" w:rsidRDefault="00B12F30" w:rsidP="007B0525">
      <w:pPr>
        <w:widowControl w:val="0"/>
        <w:autoSpaceDE w:val="0"/>
        <w:autoSpaceDN w:val="0"/>
        <w:adjustRightInd w:val="0"/>
        <w:snapToGrid w:val="0"/>
        <w:spacing w:line="360" w:lineRule="auto"/>
        <w:jc w:val="both"/>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b/>
          <w:bCs/>
          <w:i/>
          <w:lang w:val="en-US"/>
        </w:rPr>
      </w:pPr>
      <w:r w:rsidRPr="004E0213">
        <w:rPr>
          <w:rStyle w:val="hps"/>
          <w:rFonts w:ascii="Book Antiqua" w:hAnsi="Book Antiqua" w:cs="Calibri"/>
          <w:b/>
          <w:bCs/>
          <w:i/>
          <w:lang w:val="en-US"/>
        </w:rPr>
        <w:t>Definitions and statistical analysis</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lang w:val="en-US"/>
        </w:rPr>
      </w:pPr>
      <w:r w:rsidRPr="004E0213">
        <w:rPr>
          <w:rStyle w:val="hps"/>
          <w:rFonts w:ascii="Book Antiqua" w:hAnsi="Book Antiqua" w:cs="Calibri"/>
          <w:lang w:val="en-US"/>
        </w:rPr>
        <w:t xml:space="preserve">The main outcome parameter of this prospective study was </w:t>
      </w:r>
      <w:r w:rsidRPr="004E0213">
        <w:rPr>
          <w:rStyle w:val="hps"/>
          <w:rFonts w:ascii="Book Antiqua" w:hAnsi="Book Antiqua" w:cs="Calibri"/>
          <w:bCs/>
          <w:lang w:val="en-US"/>
        </w:rPr>
        <w:t>long-term clinical success</w:t>
      </w:r>
      <w:r w:rsidRPr="004E0213">
        <w:rPr>
          <w:rStyle w:val="hps"/>
          <w:rFonts w:ascii="Book Antiqua" w:hAnsi="Book Antiqua" w:cs="Calibri"/>
          <w:lang w:val="en-US"/>
        </w:rPr>
        <w:t xml:space="preserve"> </w:t>
      </w:r>
      <w:r w:rsidRPr="004E0213">
        <w:rPr>
          <w:rStyle w:val="hps"/>
          <w:rFonts w:ascii="Book Antiqua" w:hAnsi="Book Antiqua" w:cs="Calibri"/>
          <w:bCs/>
          <w:lang w:val="en-US"/>
        </w:rPr>
        <w:t>(LTCS),</w:t>
      </w:r>
      <w:r w:rsidRPr="004E0213">
        <w:rPr>
          <w:rStyle w:val="hps"/>
          <w:rFonts w:ascii="Book Antiqua" w:hAnsi="Book Antiqua" w:cs="Calibri"/>
          <w:lang w:val="en-US"/>
        </w:rPr>
        <w:t xml:space="preserve"> defined as a period of at least 24 </w:t>
      </w:r>
      <w:proofErr w:type="spellStart"/>
      <w:proofErr w:type="gramStart"/>
      <w:r w:rsidRPr="004E0213">
        <w:rPr>
          <w:rStyle w:val="hps"/>
          <w:rFonts w:ascii="Book Antiqua" w:hAnsi="Book Antiqua" w:cs="Calibri"/>
          <w:lang w:val="en-US"/>
        </w:rPr>
        <w:t>mo</w:t>
      </w:r>
      <w:proofErr w:type="spellEnd"/>
      <w:proofErr w:type="gramEnd"/>
      <w:r w:rsidRPr="004E0213">
        <w:rPr>
          <w:rStyle w:val="hps"/>
          <w:rFonts w:ascii="Book Antiqua" w:hAnsi="Book Antiqua" w:cs="Calibri"/>
          <w:lang w:val="en-US"/>
        </w:rPr>
        <w:t xml:space="preserve"> without the need for further endoscopic intervention, confirmed by the absence of stricture recurrence on follow-up ERCP examinations, laboratory test results indicating cholestasis, or clinical signs of jaundice or cholangitis. The secondary outcome parameters were </w:t>
      </w:r>
      <w:r w:rsidRPr="004E0213">
        <w:rPr>
          <w:rStyle w:val="hps"/>
          <w:rFonts w:ascii="Book Antiqua" w:hAnsi="Book Antiqua" w:cs="Calibri"/>
          <w:bCs/>
          <w:lang w:val="en-US"/>
        </w:rPr>
        <w:t xml:space="preserve">initial technical </w:t>
      </w:r>
      <w:r w:rsidRPr="004E0213">
        <w:rPr>
          <w:rStyle w:val="hps"/>
          <w:rFonts w:ascii="Book Antiqua" w:hAnsi="Book Antiqua" w:cs="Calibri"/>
          <w:bCs/>
          <w:lang w:val="en-US"/>
        </w:rPr>
        <w:lastRenderedPageBreak/>
        <w:t xml:space="preserve">feasibility, sustained clinical success (SCS), </w:t>
      </w:r>
      <w:r w:rsidRPr="004E0213">
        <w:rPr>
          <w:rStyle w:val="hps"/>
          <w:rFonts w:ascii="Book Antiqua" w:hAnsi="Book Antiqua" w:cs="Calibri"/>
          <w:lang w:val="en-US"/>
        </w:rPr>
        <w:t xml:space="preserve">and </w:t>
      </w:r>
      <w:r w:rsidRPr="004E0213">
        <w:rPr>
          <w:rStyle w:val="hps"/>
          <w:rFonts w:ascii="Book Antiqua" w:hAnsi="Book Antiqua" w:cs="Calibri"/>
          <w:bCs/>
          <w:lang w:val="en-US"/>
        </w:rPr>
        <w:t>treatment failure</w:t>
      </w:r>
      <w:r w:rsidRPr="004E0213">
        <w:rPr>
          <w:rStyle w:val="hps"/>
          <w:rFonts w:ascii="Book Antiqua" w:hAnsi="Book Antiqua" w:cs="Calibri"/>
          <w:lang w:val="en-US"/>
        </w:rPr>
        <w:t>.</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r w:rsidRPr="004E0213">
        <w:rPr>
          <w:rFonts w:ascii="Book Antiqua" w:hAnsi="Book Antiqua" w:cs="Calibri"/>
          <w:bCs/>
          <w:lang w:val="en-US"/>
        </w:rPr>
        <w:t xml:space="preserve">Initial technical feasibility </w:t>
      </w:r>
      <w:r w:rsidRPr="004E0213">
        <w:rPr>
          <w:rFonts w:ascii="Book Antiqua" w:hAnsi="Book Antiqua" w:cs="Calibri"/>
          <w:lang w:val="en-US"/>
        </w:rPr>
        <w:t xml:space="preserve">was defined as successful advancement of a </w:t>
      </w:r>
      <w:proofErr w:type="spellStart"/>
      <w:r w:rsidRPr="004E0213">
        <w:rPr>
          <w:rFonts w:ascii="Book Antiqua" w:hAnsi="Book Antiqua" w:cs="Calibri"/>
          <w:lang w:val="en-US"/>
        </w:rPr>
        <w:t>guidewire</w:t>
      </w:r>
      <w:proofErr w:type="spellEnd"/>
      <w:r w:rsidRPr="004E0213">
        <w:rPr>
          <w:rFonts w:ascii="Book Antiqua" w:hAnsi="Book Antiqua" w:cs="Calibri"/>
          <w:lang w:val="en-US"/>
        </w:rPr>
        <w:t xml:space="preserve"> through the AS followed by balloon </w:t>
      </w:r>
      <w:r w:rsidRPr="004E0213">
        <w:rPr>
          <w:rStyle w:val="hps"/>
          <w:rFonts w:ascii="Book Antiqua" w:hAnsi="Book Antiqua" w:cs="Calibri"/>
          <w:lang w:val="en-US"/>
        </w:rPr>
        <w:t xml:space="preserve">dilation </w:t>
      </w:r>
      <w:r w:rsidRPr="004E0213">
        <w:rPr>
          <w:rFonts w:ascii="Book Antiqua" w:hAnsi="Book Antiqua" w:cs="Calibri"/>
          <w:lang w:val="en-US"/>
        </w:rPr>
        <w:t xml:space="preserve">during the initial ERCP procedure. </w:t>
      </w:r>
      <w:r w:rsidRPr="004E0213">
        <w:rPr>
          <w:rStyle w:val="hps"/>
          <w:rFonts w:ascii="Book Antiqua" w:hAnsi="Book Antiqua" w:cs="Calibri"/>
          <w:bCs/>
          <w:lang w:val="en-US"/>
        </w:rPr>
        <w:t xml:space="preserve">SCS </w:t>
      </w:r>
      <w:r w:rsidRPr="004E0213">
        <w:rPr>
          <w:rStyle w:val="hps"/>
          <w:rFonts w:ascii="Book Antiqua" w:hAnsi="Book Antiqua" w:cs="Calibri"/>
          <w:lang w:val="en-US"/>
        </w:rPr>
        <w:t xml:space="preserve">was defined as a period of at least 6 </w:t>
      </w:r>
      <w:proofErr w:type="spellStart"/>
      <w:proofErr w:type="gramStart"/>
      <w:r w:rsidRPr="004E0213">
        <w:rPr>
          <w:rStyle w:val="hps"/>
          <w:rFonts w:ascii="Book Antiqua" w:hAnsi="Book Antiqua" w:cs="Calibri"/>
          <w:lang w:val="en-US"/>
        </w:rPr>
        <w:t>mo</w:t>
      </w:r>
      <w:proofErr w:type="spellEnd"/>
      <w:proofErr w:type="gramEnd"/>
      <w:r w:rsidRPr="004E0213">
        <w:rPr>
          <w:rStyle w:val="hps"/>
          <w:rFonts w:ascii="Book Antiqua" w:hAnsi="Book Antiqua" w:cs="Calibri"/>
          <w:lang w:val="en-US"/>
        </w:rPr>
        <w:t xml:space="preserve"> with no need for further endoscopic intervention, confirmed by the absence of stricture recurrence on follow-up ERCP examinations. </w:t>
      </w:r>
      <w:r w:rsidRPr="004E0213">
        <w:rPr>
          <w:rFonts w:ascii="Book Antiqua" w:hAnsi="Book Antiqua" w:cs="Calibri"/>
          <w:bCs/>
          <w:lang w:val="en-US"/>
        </w:rPr>
        <w:t>Treatment failure</w:t>
      </w:r>
      <w:r w:rsidRPr="004E0213">
        <w:rPr>
          <w:rFonts w:ascii="Book Antiqua" w:hAnsi="Book Antiqua" w:cs="Calibri"/>
          <w:lang w:val="en-US"/>
        </w:rPr>
        <w:t xml:space="preserve"> </w:t>
      </w:r>
      <w:r w:rsidRPr="004E0213">
        <w:rPr>
          <w:rStyle w:val="hps"/>
          <w:rFonts w:ascii="Book Antiqua" w:hAnsi="Book Antiqua" w:cs="Calibri"/>
          <w:lang w:val="en-US"/>
        </w:rPr>
        <w:t xml:space="preserve">was defined as the need for definitive alternative treatment at any time during the follow-up period, such as stent placement, percutaneous </w:t>
      </w:r>
      <w:proofErr w:type="spellStart"/>
      <w:r w:rsidRPr="004E0213">
        <w:rPr>
          <w:rStyle w:val="hps"/>
          <w:rFonts w:ascii="Book Antiqua" w:hAnsi="Book Antiqua" w:cs="Calibri"/>
          <w:lang w:val="en-US"/>
        </w:rPr>
        <w:t>transhepatic</w:t>
      </w:r>
      <w:proofErr w:type="spellEnd"/>
      <w:r w:rsidRPr="004E0213">
        <w:rPr>
          <w:rStyle w:val="hps"/>
          <w:rFonts w:ascii="Book Antiqua" w:hAnsi="Book Antiqua" w:cs="Calibri"/>
          <w:lang w:val="en-US"/>
        </w:rPr>
        <w:t xml:space="preserve"> drainage, or surgical intervention. </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r w:rsidRPr="004E0213">
        <w:rPr>
          <w:rStyle w:val="hps"/>
          <w:rFonts w:ascii="Book Antiqua" w:hAnsi="Book Antiqua" w:cs="Calibri"/>
          <w:lang w:val="en-US"/>
        </w:rPr>
        <w:t xml:space="preserve">Descriptive statistical analyses were performed. Data are presented as the mean ± SD. All statistical analyses were performed using SPSS version 20 for Windows. </w:t>
      </w:r>
    </w:p>
    <w:p w:rsidR="00B12F30" w:rsidRPr="004E0213" w:rsidRDefault="00B12F30" w:rsidP="007B0525">
      <w:pPr>
        <w:widowControl w:val="0"/>
        <w:tabs>
          <w:tab w:val="left" w:pos="5283"/>
        </w:tabs>
        <w:adjustRightInd w:val="0"/>
        <w:snapToGrid w:val="0"/>
        <w:spacing w:line="360" w:lineRule="auto"/>
        <w:jc w:val="both"/>
        <w:textAlignment w:val="top"/>
        <w:rPr>
          <w:rFonts w:ascii="Book Antiqua" w:hAnsi="Book Antiqua"/>
          <w:lang w:val="en-US"/>
        </w:rPr>
      </w:pPr>
      <w:r w:rsidRPr="004E0213">
        <w:rPr>
          <w:rFonts w:ascii="Book Antiqua" w:hAnsi="Book Antiqua" w:cs="Calibri"/>
          <w:lang w:val="en-US"/>
        </w:rPr>
        <w:tab/>
      </w:r>
    </w:p>
    <w:p w:rsidR="00B12F30" w:rsidRPr="004E0213" w:rsidRDefault="00B12F30" w:rsidP="007B0525">
      <w:pPr>
        <w:widowControl w:val="0"/>
        <w:adjustRightInd w:val="0"/>
        <w:snapToGrid w:val="0"/>
        <w:spacing w:line="360" w:lineRule="auto"/>
        <w:jc w:val="both"/>
        <w:rPr>
          <w:rFonts w:ascii="Book Antiqua" w:hAnsi="Book Antiqua" w:cs="Calibri"/>
          <w:b/>
          <w:bCs/>
          <w:lang w:val="en-US"/>
        </w:rPr>
      </w:pPr>
      <w:r w:rsidRPr="004E0213">
        <w:rPr>
          <w:rFonts w:ascii="Book Antiqua" w:hAnsi="Book Antiqua" w:cs="Calibri"/>
          <w:b/>
          <w:bCs/>
          <w:lang w:val="en-US"/>
        </w:rPr>
        <w:t>RESULTS</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lang w:val="en-US"/>
        </w:rPr>
      </w:pPr>
      <w:r w:rsidRPr="004E0213">
        <w:rPr>
          <w:rStyle w:val="hps"/>
          <w:rFonts w:ascii="Book Antiqua" w:hAnsi="Book Antiqua" w:cs="Calibri"/>
          <w:lang w:val="en-US"/>
        </w:rPr>
        <w:t xml:space="preserve">A total of 13 patients (2 women, 11 men, mean age 50.4 ± 13.8 years) who were referred for endoscopic treatment of newly diagnosed AS after LT were included in the study. The mean time from LT to the initial ERCP procedure was 9.4 ± 3.2 </w:t>
      </w:r>
      <w:proofErr w:type="gramStart"/>
      <w:r w:rsidRPr="004E0213">
        <w:rPr>
          <w:rStyle w:val="hps"/>
          <w:rFonts w:ascii="Book Antiqua" w:hAnsi="Book Antiqua" w:cs="Calibri"/>
          <w:lang w:val="en-US"/>
        </w:rPr>
        <w:t>mo</w:t>
      </w:r>
      <w:proofErr w:type="gramEnd"/>
      <w:r w:rsidRPr="004E0213">
        <w:rPr>
          <w:rStyle w:val="hps"/>
          <w:rFonts w:ascii="Book Antiqua" w:hAnsi="Book Antiqua" w:cs="Calibri"/>
          <w:lang w:val="en-US"/>
        </w:rPr>
        <w:t>. The indications for LT were alcoholic cirrhosis (</w:t>
      </w:r>
      <w:r w:rsidRPr="004E0213">
        <w:rPr>
          <w:rStyle w:val="hps"/>
          <w:rFonts w:ascii="Book Antiqua" w:hAnsi="Book Antiqua" w:cs="Calibri"/>
          <w:i/>
          <w:lang w:val="en-US"/>
        </w:rPr>
        <w:t>n</w:t>
      </w:r>
      <w:r w:rsidRPr="004E0213">
        <w:rPr>
          <w:rStyle w:val="hps"/>
          <w:rFonts w:ascii="Book Antiqua" w:hAnsi="Book Antiqua" w:cs="Calibri"/>
          <w:lang w:val="en-US"/>
        </w:rPr>
        <w:t xml:space="preserve"> = 5), hepatitis B virus infection (</w:t>
      </w:r>
      <w:r w:rsidRPr="004E0213">
        <w:rPr>
          <w:rStyle w:val="hps"/>
          <w:rFonts w:ascii="Book Antiqua" w:hAnsi="Book Antiqua" w:cs="Calibri"/>
          <w:i/>
          <w:lang w:val="en-US"/>
        </w:rPr>
        <w:t>n</w:t>
      </w:r>
      <w:r w:rsidRPr="004E0213">
        <w:rPr>
          <w:rStyle w:val="hps"/>
          <w:rFonts w:ascii="Book Antiqua" w:hAnsi="Book Antiqua" w:cs="Calibri"/>
          <w:lang w:val="en-US"/>
        </w:rPr>
        <w:t xml:space="preserve"> = 2), hepatitis C virus infection (</w:t>
      </w:r>
      <w:r w:rsidRPr="004E0213">
        <w:rPr>
          <w:rStyle w:val="hps"/>
          <w:rFonts w:ascii="Book Antiqua" w:hAnsi="Book Antiqua" w:cs="Calibri"/>
          <w:i/>
          <w:lang w:val="en-US"/>
        </w:rPr>
        <w:t>n</w:t>
      </w:r>
      <w:r w:rsidRPr="004E0213">
        <w:rPr>
          <w:rStyle w:val="hps"/>
          <w:rFonts w:ascii="Book Antiqua" w:hAnsi="Book Antiqua" w:cs="Calibri"/>
          <w:lang w:val="en-US"/>
        </w:rPr>
        <w:t xml:space="preserve"> = 2), hepatocellular carcinoma (</w:t>
      </w:r>
      <w:r w:rsidRPr="004E0213">
        <w:rPr>
          <w:rStyle w:val="hps"/>
          <w:rFonts w:ascii="Book Antiqua" w:hAnsi="Book Antiqua" w:cs="Calibri"/>
          <w:i/>
          <w:lang w:val="en-US"/>
        </w:rPr>
        <w:t>n</w:t>
      </w:r>
      <w:r w:rsidRPr="004E0213">
        <w:rPr>
          <w:rStyle w:val="hps"/>
          <w:rFonts w:ascii="Book Antiqua" w:hAnsi="Book Antiqua" w:cs="Calibri"/>
          <w:lang w:val="en-US"/>
        </w:rPr>
        <w:t xml:space="preserve"> = 3), and primary biliary cirrhosis (</w:t>
      </w:r>
      <w:r w:rsidRPr="004E0213">
        <w:rPr>
          <w:rStyle w:val="hps"/>
          <w:rFonts w:ascii="Book Antiqua" w:hAnsi="Book Antiqua" w:cs="Calibri"/>
          <w:i/>
          <w:lang w:val="en-US"/>
        </w:rPr>
        <w:t>n</w:t>
      </w:r>
      <w:r w:rsidRPr="004E0213">
        <w:rPr>
          <w:rStyle w:val="hps"/>
          <w:rFonts w:ascii="Book Antiqua" w:hAnsi="Book Antiqua" w:cs="Calibri"/>
          <w:lang w:val="en-US"/>
        </w:rPr>
        <w:t xml:space="preserve"> = 1). </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r w:rsidRPr="004E0213">
        <w:rPr>
          <w:rStyle w:val="hps"/>
          <w:rFonts w:ascii="Book Antiqua" w:hAnsi="Book Antiqua" w:cs="Calibri"/>
          <w:lang w:val="en-US"/>
        </w:rPr>
        <w:t xml:space="preserve">The initial technical feasibility rate was 100%, and no intra-procedural complications were recorded. Liver enzyme levels and cholestasis parameters decreased after the initial procedure in all patients (Table 1). Two patients developed acute cholangitis </w:t>
      </w:r>
      <w:r w:rsidRPr="004E0213">
        <w:rPr>
          <w:rFonts w:ascii="Book Antiqua" w:hAnsi="Book Antiqua" w:cs="Calibri"/>
          <w:lang w:val="en-US"/>
        </w:rPr>
        <w:t>within 3 d after the last intervention</w:t>
      </w:r>
      <w:r w:rsidRPr="004E0213">
        <w:rPr>
          <w:rStyle w:val="hps"/>
          <w:rFonts w:ascii="Book Antiqua" w:hAnsi="Book Antiqua" w:cs="Calibri"/>
          <w:lang w:val="en-US"/>
        </w:rPr>
        <w:t xml:space="preserve">, which resolved after antibiotic therapy with </w:t>
      </w:r>
      <w:proofErr w:type="spellStart"/>
      <w:r w:rsidRPr="004E0213">
        <w:rPr>
          <w:rStyle w:val="hps"/>
          <w:rFonts w:ascii="Book Antiqua" w:hAnsi="Book Antiqua" w:cs="Calibri"/>
          <w:lang w:val="en-US"/>
        </w:rPr>
        <w:t>imipenem</w:t>
      </w:r>
      <w:proofErr w:type="spellEnd"/>
      <w:r w:rsidRPr="004E0213">
        <w:rPr>
          <w:rStyle w:val="hps"/>
          <w:rFonts w:ascii="Book Antiqua" w:hAnsi="Book Antiqua" w:cs="Calibri"/>
          <w:lang w:val="en-US"/>
        </w:rPr>
        <w:t xml:space="preserve">. There were no cases of post-ERCP pancreatitis. The mean follow-up period was 30.3 ± 3.3 mo. SCS was achieved in 12 of 13 patients (92.3%): </w:t>
      </w:r>
      <w:proofErr w:type="gramStart"/>
      <w:r w:rsidRPr="004E0213">
        <w:rPr>
          <w:rStyle w:val="hps"/>
          <w:rFonts w:ascii="Book Antiqua" w:hAnsi="Book Antiqua" w:cs="Calibri"/>
          <w:lang w:val="en-US"/>
        </w:rPr>
        <w:t>after one dilation</w:t>
      </w:r>
      <w:proofErr w:type="gramEnd"/>
      <w:r w:rsidRPr="004E0213">
        <w:rPr>
          <w:rStyle w:val="hps"/>
          <w:rFonts w:ascii="Book Antiqua" w:hAnsi="Book Antiqua" w:cs="Calibri"/>
          <w:lang w:val="en-US"/>
        </w:rPr>
        <w:t xml:space="preserve"> in nine patients (69%), after two dilations in one patient, and after three dilations in two patients. Despite initial technical feasibility, the remaining patient developed AS recurrence with increasing bile duct dilatation proximal to the stenosis after three dilations with a PEB, and eventually underwent conventional stent placement. This case was considered to be a treatment failure. </w:t>
      </w:r>
      <w:proofErr w:type="gramStart"/>
      <w:r w:rsidRPr="004E0213">
        <w:rPr>
          <w:rStyle w:val="hps"/>
          <w:rFonts w:ascii="Book Antiqua" w:hAnsi="Book Antiqua" w:cs="Calibri"/>
          <w:lang w:val="en-US"/>
        </w:rPr>
        <w:t>AS recurrence after SCS was observed in 2/12 patients (16.6%).</w:t>
      </w:r>
      <w:proofErr w:type="gramEnd"/>
      <w:r w:rsidRPr="004E0213">
        <w:rPr>
          <w:rStyle w:val="hps"/>
          <w:rFonts w:ascii="Book Antiqua" w:hAnsi="Book Antiqua" w:cs="Calibri"/>
          <w:lang w:val="en-US"/>
        </w:rPr>
        <w:t xml:space="preserve"> The time interval between the initial balloon dilation and AS recurrence was 8.89 ± 0.63 mo. In each of these two patients, </w:t>
      </w:r>
      <w:proofErr w:type="gramStart"/>
      <w:r w:rsidRPr="004E0213">
        <w:rPr>
          <w:rStyle w:val="hps"/>
          <w:rFonts w:ascii="Book Antiqua" w:hAnsi="Book Antiqua" w:cs="Calibri"/>
          <w:lang w:val="en-US"/>
        </w:rPr>
        <w:lastRenderedPageBreak/>
        <w:t>one additional dilation</w:t>
      </w:r>
      <w:proofErr w:type="gramEnd"/>
      <w:r w:rsidRPr="004E0213">
        <w:rPr>
          <w:rStyle w:val="hps"/>
          <w:rFonts w:ascii="Book Antiqua" w:hAnsi="Book Antiqua" w:cs="Calibri"/>
          <w:lang w:val="en-US"/>
        </w:rPr>
        <w:t xml:space="preserve"> was needed to achieve LTCS. </w:t>
      </w:r>
      <w:r w:rsidRPr="004E0213">
        <w:rPr>
          <w:rStyle w:val="hps"/>
          <w:rFonts w:ascii="Book Antiqua" w:hAnsi="Book Antiqua" w:cs="Calibri"/>
          <w:bCs/>
          <w:lang w:val="en-US"/>
        </w:rPr>
        <w:t>LTCS</w:t>
      </w:r>
      <w:r w:rsidRPr="004E0213">
        <w:rPr>
          <w:rStyle w:val="hps"/>
          <w:rFonts w:ascii="Book Antiqua" w:hAnsi="Book Antiqua" w:cs="Calibri"/>
          <w:lang w:val="en-US"/>
        </w:rPr>
        <w:t xml:space="preserve"> was eventually achieved in all 12 patients (92.3%) who achieved SCS, after a mean of 1.7 ± 1.1 balloon dilations. </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r w:rsidRPr="004E0213">
        <w:rPr>
          <w:rStyle w:val="hps"/>
          <w:rFonts w:ascii="Book Antiqua" w:hAnsi="Book Antiqua" w:cs="Calibri"/>
          <w:lang w:val="en-US"/>
        </w:rPr>
        <w:t>After successful endoscopic treatment of the stenosis, the bilirubin and liver enzyme levels decreased over time in all patients (Table 1).</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p>
    <w:p w:rsidR="00B12F30" w:rsidRPr="004E0213" w:rsidRDefault="00B12F30" w:rsidP="007B0525">
      <w:pPr>
        <w:widowControl w:val="0"/>
        <w:adjustRightInd w:val="0"/>
        <w:snapToGrid w:val="0"/>
        <w:spacing w:line="360" w:lineRule="auto"/>
        <w:jc w:val="both"/>
        <w:rPr>
          <w:rFonts w:ascii="Book Antiqua" w:hAnsi="Book Antiqua"/>
          <w:b/>
          <w:bCs/>
          <w:lang w:val="en-US"/>
        </w:rPr>
      </w:pPr>
      <w:r w:rsidRPr="004E0213">
        <w:rPr>
          <w:rFonts w:ascii="Book Antiqua" w:hAnsi="Book Antiqua" w:cs="Calibri"/>
          <w:b/>
          <w:bCs/>
          <w:lang w:val="en-US"/>
        </w:rPr>
        <w:t>DISCUSSION</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lang w:val="en-US"/>
        </w:rPr>
      </w:pPr>
      <w:r w:rsidRPr="004E0213">
        <w:rPr>
          <w:rStyle w:val="hps"/>
          <w:rFonts w:ascii="Book Antiqua" w:hAnsi="Book Antiqua" w:cs="Calibri"/>
          <w:lang w:val="en-US"/>
        </w:rPr>
        <w:t xml:space="preserve">Biliary tract complications are common after LT, and present a therapeutic challenge for endoscopists. Endoscopic intervention is currently the gold standard treatment for AS after </w:t>
      </w:r>
      <w:proofErr w:type="gramStart"/>
      <w:r w:rsidRPr="004E0213">
        <w:rPr>
          <w:rStyle w:val="hps"/>
          <w:rFonts w:ascii="Book Antiqua" w:hAnsi="Book Antiqua" w:cs="Calibri"/>
          <w:lang w:val="en-US"/>
        </w:rPr>
        <w:t>LT</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1-3]</w:t>
      </w:r>
      <w:r w:rsidRPr="004E0213">
        <w:rPr>
          <w:rStyle w:val="hps"/>
          <w:rFonts w:ascii="Book Antiqua" w:hAnsi="Book Antiqua" w:cs="Calibri"/>
          <w:lang w:val="en-US"/>
        </w:rPr>
        <w:t xml:space="preserve">, but the optimal treatment strategy for this complication is still unclear. Repeated endoscopic interventions over a prolonged treatment period of up to 24 </w:t>
      </w:r>
      <w:proofErr w:type="spellStart"/>
      <w:r w:rsidRPr="004E0213">
        <w:rPr>
          <w:rStyle w:val="hps"/>
          <w:rFonts w:ascii="Book Antiqua" w:hAnsi="Book Antiqua" w:cs="Calibri"/>
          <w:lang w:val="en-US"/>
        </w:rPr>
        <w:t>mo</w:t>
      </w:r>
      <w:proofErr w:type="spellEnd"/>
      <w:r w:rsidRPr="004E0213">
        <w:rPr>
          <w:rStyle w:val="hps"/>
          <w:rFonts w:ascii="Book Antiqua" w:hAnsi="Book Antiqua" w:cs="Calibri"/>
          <w:lang w:val="en-US"/>
        </w:rPr>
        <w:t xml:space="preserve"> are usually needed to achieve </w:t>
      </w:r>
      <w:proofErr w:type="gramStart"/>
      <w:r w:rsidRPr="004E0213">
        <w:rPr>
          <w:rStyle w:val="hps"/>
          <w:rFonts w:ascii="Book Antiqua" w:hAnsi="Book Antiqua" w:cs="Calibri"/>
          <w:lang w:val="en-US"/>
        </w:rPr>
        <w:t>SCS</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4</w:t>
      </w:r>
      <w:r w:rsidR="00EC633B" w:rsidRPr="004E0213">
        <w:rPr>
          <w:rStyle w:val="hps"/>
          <w:rFonts w:ascii="Book Antiqua" w:hAnsi="Book Antiqua" w:cs="Calibri"/>
          <w:vertAlign w:val="superscript"/>
          <w:lang w:val="en-US" w:eastAsia="zh-CN"/>
        </w:rPr>
        <w:t>-</w:t>
      </w:r>
      <w:r w:rsidRPr="004E0213">
        <w:rPr>
          <w:rStyle w:val="hps"/>
          <w:rFonts w:ascii="Book Antiqua" w:hAnsi="Book Antiqua" w:cs="Calibri"/>
          <w:vertAlign w:val="superscript"/>
          <w:lang w:val="en-US"/>
        </w:rPr>
        <w:t>7]</w:t>
      </w:r>
      <w:r w:rsidRPr="004E0213">
        <w:rPr>
          <w:rStyle w:val="hps"/>
          <w:rFonts w:ascii="Book Antiqua" w:hAnsi="Book Antiqua" w:cs="Calibri"/>
          <w:lang w:val="en-US"/>
        </w:rPr>
        <w:t xml:space="preserve">. Moreover, there are few data available regarding the rate of AS recurrence after </w:t>
      </w:r>
      <w:proofErr w:type="gramStart"/>
      <w:r w:rsidRPr="004E0213">
        <w:rPr>
          <w:rStyle w:val="hps"/>
          <w:rFonts w:ascii="Book Antiqua" w:hAnsi="Book Antiqua" w:cs="Calibri"/>
          <w:lang w:val="en-US"/>
        </w:rPr>
        <w:t>SCS</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4]</w:t>
      </w:r>
      <w:r w:rsidRPr="004E0213">
        <w:rPr>
          <w:rStyle w:val="hps"/>
          <w:rFonts w:ascii="Book Antiqua" w:hAnsi="Book Antiqua" w:cs="Calibri"/>
          <w:lang w:val="en-US"/>
        </w:rPr>
        <w:t xml:space="preserve">. When endoscopic therapy is unsuccessful, surgical treatment is </w:t>
      </w:r>
      <w:proofErr w:type="gramStart"/>
      <w:r w:rsidRPr="004E0213">
        <w:rPr>
          <w:rStyle w:val="hps"/>
          <w:rFonts w:ascii="Book Antiqua" w:hAnsi="Book Antiqua" w:cs="Calibri"/>
          <w:lang w:val="en-US"/>
        </w:rPr>
        <w:t>indicated</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2,11]</w:t>
      </w:r>
      <w:r w:rsidRPr="004E0213">
        <w:rPr>
          <w:rStyle w:val="hps"/>
          <w:rFonts w:ascii="Book Antiqua" w:hAnsi="Book Antiqua" w:cs="Calibri"/>
          <w:lang w:val="en-US"/>
        </w:rPr>
        <w:t xml:space="preserve">. </w:t>
      </w:r>
    </w:p>
    <w:p w:rsidR="00B12F30" w:rsidRPr="004E0213" w:rsidRDefault="00B12F30" w:rsidP="007B0525">
      <w:pPr>
        <w:widowControl w:val="0"/>
        <w:adjustRightInd w:val="0"/>
        <w:snapToGrid w:val="0"/>
        <w:spacing w:line="360" w:lineRule="auto"/>
        <w:ind w:firstLine="706"/>
        <w:jc w:val="both"/>
        <w:textAlignment w:val="top"/>
        <w:rPr>
          <w:rStyle w:val="hps"/>
          <w:rFonts w:ascii="Book Antiqua" w:hAnsi="Book Antiqua" w:cs="Calibri"/>
          <w:lang w:val="en-US"/>
        </w:rPr>
      </w:pPr>
      <w:r w:rsidRPr="004E0213">
        <w:rPr>
          <w:rStyle w:val="hps"/>
          <w:rFonts w:ascii="Book Antiqua" w:hAnsi="Book Antiqua" w:cs="Calibri"/>
          <w:lang w:val="en-US"/>
        </w:rPr>
        <w:t xml:space="preserve">The limitations of the currently available treatment options clearly demonstrate the need for development of new interventions. Considering the </w:t>
      </w:r>
      <w:proofErr w:type="spellStart"/>
      <w:r w:rsidRPr="004E0213">
        <w:rPr>
          <w:rStyle w:val="hps"/>
          <w:rFonts w:ascii="Book Antiqua" w:hAnsi="Book Antiqua" w:cs="Calibri"/>
          <w:lang w:val="en-US"/>
        </w:rPr>
        <w:t>fibroproliferative</w:t>
      </w:r>
      <w:proofErr w:type="spellEnd"/>
      <w:r w:rsidRPr="004E0213">
        <w:rPr>
          <w:rStyle w:val="hps"/>
          <w:rFonts w:ascii="Book Antiqua" w:hAnsi="Book Antiqua" w:cs="Calibri"/>
          <w:lang w:val="en-US"/>
        </w:rPr>
        <w:t xml:space="preserve"> aspect of AS, a therapeutic approach that combines balloon dilation with application of an </w:t>
      </w:r>
      <w:proofErr w:type="spellStart"/>
      <w:r w:rsidRPr="004E0213">
        <w:rPr>
          <w:rStyle w:val="hps"/>
          <w:rFonts w:ascii="Book Antiqua" w:hAnsi="Book Antiqua" w:cs="Calibri"/>
          <w:lang w:val="en-US"/>
        </w:rPr>
        <w:t>antiproliferative</w:t>
      </w:r>
      <w:proofErr w:type="spellEnd"/>
      <w:r w:rsidRPr="004E0213">
        <w:rPr>
          <w:rStyle w:val="hps"/>
          <w:rFonts w:ascii="Book Antiqua" w:hAnsi="Book Antiqua" w:cs="Calibri"/>
          <w:lang w:val="en-US"/>
        </w:rPr>
        <w:t xml:space="preserve"> agent directly to the site of the stenosis seems logical. The mitotic inhibitor paclitaxel has </w:t>
      </w:r>
      <w:proofErr w:type="spellStart"/>
      <w:r w:rsidRPr="004E0213">
        <w:rPr>
          <w:rStyle w:val="hps"/>
          <w:rFonts w:ascii="Book Antiqua" w:hAnsi="Book Antiqua" w:cs="Calibri"/>
          <w:lang w:val="en-US"/>
        </w:rPr>
        <w:t>antiproliferative</w:t>
      </w:r>
      <w:proofErr w:type="spellEnd"/>
      <w:r w:rsidRPr="004E0213">
        <w:rPr>
          <w:rStyle w:val="hps"/>
          <w:rFonts w:ascii="Book Antiqua" w:hAnsi="Book Antiqua" w:cs="Calibri"/>
          <w:lang w:val="en-US"/>
        </w:rPr>
        <w:t xml:space="preserve"> effects as well as </w:t>
      </w:r>
      <w:proofErr w:type="spellStart"/>
      <w:r w:rsidRPr="004E0213">
        <w:rPr>
          <w:rStyle w:val="hps"/>
          <w:rFonts w:ascii="Book Antiqua" w:hAnsi="Book Antiqua" w:cs="Calibri"/>
          <w:lang w:val="en-US"/>
        </w:rPr>
        <w:t>antifibrotic</w:t>
      </w:r>
      <w:proofErr w:type="spellEnd"/>
      <w:r w:rsidRPr="004E0213">
        <w:rPr>
          <w:rStyle w:val="hps"/>
          <w:rFonts w:ascii="Book Antiqua" w:hAnsi="Book Antiqua" w:cs="Calibri"/>
          <w:lang w:val="en-US"/>
        </w:rPr>
        <w:t xml:space="preserve"> effects via inhibition of transforming growth factor-beta/</w:t>
      </w:r>
      <w:proofErr w:type="spellStart"/>
      <w:r w:rsidRPr="004E0213">
        <w:rPr>
          <w:rStyle w:val="hps"/>
          <w:rFonts w:ascii="Book Antiqua" w:hAnsi="Book Antiqua" w:cs="Calibri"/>
          <w:lang w:val="en-US"/>
        </w:rPr>
        <w:t>Smad</w:t>
      </w:r>
      <w:proofErr w:type="spellEnd"/>
      <w:r w:rsidRPr="004E0213">
        <w:rPr>
          <w:rStyle w:val="hps"/>
          <w:rFonts w:ascii="Book Antiqua" w:hAnsi="Book Antiqua" w:cs="Calibri"/>
          <w:lang w:val="en-US"/>
        </w:rPr>
        <w:t xml:space="preserve"> </w:t>
      </w:r>
      <w:proofErr w:type="gramStart"/>
      <w:r w:rsidRPr="004E0213">
        <w:rPr>
          <w:rStyle w:val="hps"/>
          <w:rFonts w:ascii="Book Antiqua" w:hAnsi="Book Antiqua" w:cs="Calibri"/>
          <w:lang w:val="en-US"/>
        </w:rPr>
        <w:t>activity</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12,13]</w:t>
      </w:r>
      <w:r w:rsidRPr="004E0213">
        <w:rPr>
          <w:rStyle w:val="hps"/>
          <w:rFonts w:ascii="Book Antiqua" w:hAnsi="Book Antiqua" w:cs="Calibri"/>
          <w:lang w:val="en-US"/>
        </w:rPr>
        <w:t xml:space="preserve">. Use of PEBs has previously been shown to be clinically safe and effective for the treatment of coronary and </w:t>
      </w:r>
      <w:proofErr w:type="spellStart"/>
      <w:r w:rsidRPr="004E0213">
        <w:rPr>
          <w:rStyle w:val="hps"/>
          <w:rFonts w:ascii="Book Antiqua" w:hAnsi="Book Antiqua" w:cs="Calibri"/>
          <w:lang w:val="en-US"/>
        </w:rPr>
        <w:t>femoro</w:t>
      </w:r>
      <w:proofErr w:type="spellEnd"/>
      <w:r w:rsidRPr="004E0213">
        <w:rPr>
          <w:rStyle w:val="hps"/>
          <w:rFonts w:ascii="Book Antiqua" w:hAnsi="Book Antiqua" w:cs="Calibri"/>
          <w:lang w:val="en-US"/>
        </w:rPr>
        <w:t xml:space="preserve">-popliteal arterial </w:t>
      </w:r>
      <w:proofErr w:type="spellStart"/>
      <w:proofErr w:type="gramStart"/>
      <w:r w:rsidRPr="004E0213">
        <w:rPr>
          <w:rStyle w:val="hps"/>
          <w:rFonts w:ascii="Book Antiqua" w:hAnsi="Book Antiqua" w:cs="Calibri"/>
          <w:lang w:val="en-US"/>
        </w:rPr>
        <w:t>stenoses</w:t>
      </w:r>
      <w:proofErr w:type="spellEnd"/>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14,15]</w:t>
      </w:r>
      <w:r w:rsidRPr="004E0213">
        <w:rPr>
          <w:rStyle w:val="hps"/>
          <w:rFonts w:ascii="Book Antiqua" w:hAnsi="Book Antiqua" w:cs="Calibri"/>
          <w:lang w:val="en-US"/>
        </w:rPr>
        <w:t>.</w:t>
      </w:r>
    </w:p>
    <w:p w:rsidR="00B12F30" w:rsidRPr="004E0213" w:rsidRDefault="00B12F30" w:rsidP="007B0525">
      <w:pPr>
        <w:widowControl w:val="0"/>
        <w:adjustRightInd w:val="0"/>
        <w:snapToGrid w:val="0"/>
        <w:spacing w:line="360" w:lineRule="auto"/>
        <w:ind w:firstLine="706"/>
        <w:jc w:val="both"/>
        <w:textAlignment w:val="top"/>
        <w:rPr>
          <w:rFonts w:ascii="Book Antiqua" w:hAnsi="Book Antiqua"/>
          <w:lang w:val="en-US"/>
        </w:rPr>
      </w:pPr>
      <w:r w:rsidRPr="004E0213">
        <w:rPr>
          <w:rStyle w:val="hps"/>
          <w:rFonts w:ascii="Book Antiqua" w:hAnsi="Book Antiqua" w:cs="Calibri"/>
          <w:lang w:val="en-US"/>
        </w:rPr>
        <w:t>This is the first study to investigate endoscopic treatment with a PEB for AS after LT. SCS was achieved in 92.3% of cases, and was achieved after only one balloon dilation in 69% of cases. AS recurrence after SCS occurred in 16.6% of patients, which is much less frequent than the previously reported recurrence rate of about 30</w:t>
      </w:r>
      <w:proofErr w:type="gramStart"/>
      <w:r w:rsidRPr="004E0213">
        <w:rPr>
          <w:rStyle w:val="hps"/>
          <w:rFonts w:ascii="Book Antiqua" w:hAnsi="Book Antiqua" w:cs="Calibri"/>
          <w:lang w:val="en-US"/>
        </w:rPr>
        <w:t>%</w:t>
      </w:r>
      <w:r w:rsidRPr="004E0213">
        <w:rPr>
          <w:rStyle w:val="hps"/>
          <w:rFonts w:ascii="Book Antiqua" w:hAnsi="Book Antiqua" w:cs="Calibri"/>
          <w:vertAlign w:val="superscript"/>
          <w:lang w:val="en-US"/>
        </w:rPr>
        <w:t>[</w:t>
      </w:r>
      <w:proofErr w:type="gramEnd"/>
      <w:r w:rsidRPr="004E0213">
        <w:rPr>
          <w:rStyle w:val="hps"/>
          <w:rFonts w:ascii="Book Antiqua" w:hAnsi="Book Antiqua" w:cs="Calibri"/>
          <w:vertAlign w:val="superscript"/>
          <w:lang w:val="en-US"/>
        </w:rPr>
        <w:t>5-7]</w:t>
      </w:r>
      <w:r w:rsidRPr="004E0213">
        <w:rPr>
          <w:rStyle w:val="hps"/>
          <w:rFonts w:ascii="Book Antiqua" w:hAnsi="Book Antiqua" w:cs="Calibri"/>
          <w:lang w:val="en-US"/>
        </w:rPr>
        <w:t>.</w:t>
      </w:r>
      <w:r w:rsidRPr="004E0213">
        <w:rPr>
          <w:rFonts w:ascii="Book Antiqua" w:hAnsi="Book Antiqua" w:cs="Calibri"/>
          <w:lang w:val="en-US"/>
        </w:rPr>
        <w:t xml:space="preserve"> All cases of AS </w:t>
      </w:r>
      <w:r w:rsidRPr="004E0213">
        <w:rPr>
          <w:rStyle w:val="hps"/>
          <w:rFonts w:ascii="Book Antiqua" w:hAnsi="Book Antiqua" w:cs="Calibri"/>
          <w:lang w:val="en-US"/>
        </w:rPr>
        <w:t xml:space="preserve">recurrence </w:t>
      </w:r>
      <w:r w:rsidRPr="004E0213">
        <w:rPr>
          <w:rFonts w:ascii="Book Antiqua" w:hAnsi="Book Antiqua" w:cs="Calibri"/>
          <w:lang w:val="en-US"/>
        </w:rPr>
        <w:t xml:space="preserve">were successfully treated by repeat balloon </w:t>
      </w:r>
      <w:r w:rsidRPr="004E0213">
        <w:rPr>
          <w:rStyle w:val="hps"/>
          <w:rFonts w:ascii="Book Antiqua" w:hAnsi="Book Antiqua" w:cs="Calibri"/>
          <w:lang w:val="en-US"/>
        </w:rPr>
        <w:t>dilation</w:t>
      </w:r>
      <w:r w:rsidRPr="004E0213">
        <w:rPr>
          <w:rFonts w:ascii="Book Antiqua" w:hAnsi="Book Antiqua" w:cs="Calibri"/>
          <w:lang w:val="en-US"/>
        </w:rPr>
        <w:t xml:space="preserve">. LTCS was achieved in 92.3% of cases, after 1.7 ± 1.1 balloon </w:t>
      </w:r>
      <w:r w:rsidRPr="004E0213">
        <w:rPr>
          <w:rStyle w:val="hps"/>
          <w:rFonts w:ascii="Book Antiqua" w:hAnsi="Book Antiqua" w:cs="Calibri"/>
          <w:lang w:val="en-US"/>
        </w:rPr>
        <w:t>dilations</w:t>
      </w:r>
      <w:r w:rsidRPr="004E0213">
        <w:rPr>
          <w:rFonts w:ascii="Book Antiqua" w:hAnsi="Book Antiqua" w:cs="Calibri"/>
          <w:lang w:val="en-US"/>
        </w:rPr>
        <w:t xml:space="preserve">. This is a notable achievement in comparison with previous reports that five or six interventions were generally required to achieve sustained resolution of </w:t>
      </w:r>
      <w:proofErr w:type="gramStart"/>
      <w:r w:rsidRPr="004E0213">
        <w:rPr>
          <w:rFonts w:ascii="Book Antiqua" w:hAnsi="Book Antiqua" w:cs="Calibri"/>
          <w:lang w:val="en-US"/>
        </w:rPr>
        <w:t>AS</w:t>
      </w:r>
      <w:r w:rsidRPr="004E0213">
        <w:rPr>
          <w:rFonts w:ascii="Book Antiqua" w:hAnsi="Book Antiqua" w:cs="Calibri"/>
          <w:vertAlign w:val="superscript"/>
          <w:lang w:val="en-US"/>
        </w:rPr>
        <w:t>[</w:t>
      </w:r>
      <w:proofErr w:type="gramEnd"/>
      <w:r w:rsidRPr="004E0213">
        <w:rPr>
          <w:rFonts w:ascii="Book Antiqua" w:hAnsi="Book Antiqua" w:cs="Calibri"/>
          <w:vertAlign w:val="superscript"/>
          <w:lang w:val="en-US"/>
        </w:rPr>
        <w:t>1-3,5]</w:t>
      </w:r>
      <w:r w:rsidRPr="004E0213">
        <w:rPr>
          <w:rFonts w:ascii="Book Antiqua" w:hAnsi="Book Antiqua" w:cs="Calibri"/>
          <w:lang w:val="en-US"/>
        </w:rPr>
        <w:t xml:space="preserve">. </w:t>
      </w:r>
    </w:p>
    <w:p w:rsidR="00B12F30" w:rsidRPr="004E0213" w:rsidRDefault="00B12F30" w:rsidP="007B0525">
      <w:pPr>
        <w:widowControl w:val="0"/>
        <w:adjustRightInd w:val="0"/>
        <w:snapToGrid w:val="0"/>
        <w:spacing w:line="360" w:lineRule="auto"/>
        <w:ind w:firstLine="706"/>
        <w:jc w:val="both"/>
        <w:textAlignment w:val="top"/>
        <w:rPr>
          <w:rFonts w:ascii="Book Antiqua" w:hAnsi="Book Antiqua" w:cs="Calibri"/>
          <w:lang w:val="en-US"/>
        </w:rPr>
      </w:pPr>
      <w:r w:rsidRPr="004E0213">
        <w:rPr>
          <w:rFonts w:ascii="Book Antiqua" w:hAnsi="Book Antiqua" w:cs="Calibri"/>
          <w:lang w:val="en-US"/>
        </w:rPr>
        <w:t>Successful endoscopic treatment was associated with significantly decreased levels of bilirubin and liver enzymes (Table 1).</w:t>
      </w:r>
    </w:p>
    <w:p w:rsidR="00B12F30" w:rsidRPr="004E0213" w:rsidRDefault="00B12F30" w:rsidP="007B0525">
      <w:pPr>
        <w:widowControl w:val="0"/>
        <w:adjustRightInd w:val="0"/>
        <w:snapToGrid w:val="0"/>
        <w:spacing w:line="360" w:lineRule="auto"/>
        <w:ind w:firstLine="706"/>
        <w:jc w:val="both"/>
        <w:textAlignment w:val="top"/>
        <w:rPr>
          <w:rFonts w:ascii="Book Antiqua" w:hAnsi="Book Antiqua" w:cs="Calibri"/>
          <w:lang w:val="en-US"/>
        </w:rPr>
      </w:pPr>
      <w:r w:rsidRPr="004E0213">
        <w:rPr>
          <w:rFonts w:ascii="Book Antiqua" w:hAnsi="Book Antiqua" w:cs="Calibri"/>
          <w:lang w:val="en-US"/>
        </w:rPr>
        <w:lastRenderedPageBreak/>
        <w:t xml:space="preserve">In this pilot study, endoscopic therapy with a PEB achieved a high rate of LTCS and a low rate of AS recurrence after SCS, indicating very promising outcomes for our treatment approach for AS after LT. Use of a PEB seems to reduce the number of interventional procedures required to achieve LTCS, thereby shortening the overall duration of endoscopic treatment. A reduced number of endoscopic interventions may also result in a decreased overall complication rate. Larger randomized clinical trials are needed to confirm our findings. </w:t>
      </w:r>
    </w:p>
    <w:p w:rsidR="00B12F30" w:rsidRPr="004E0213" w:rsidRDefault="00B12F30" w:rsidP="007B0525">
      <w:pPr>
        <w:adjustRightInd w:val="0"/>
        <w:snapToGrid w:val="0"/>
        <w:spacing w:line="360" w:lineRule="auto"/>
        <w:jc w:val="both"/>
        <w:rPr>
          <w:rFonts w:ascii="Book Antiqua" w:hAnsi="Book Antiqua"/>
          <w:b/>
          <w:lang w:val="en-US" w:eastAsia="zh-CN"/>
        </w:rPr>
      </w:pPr>
    </w:p>
    <w:p w:rsidR="00B12F30" w:rsidRPr="004E0213" w:rsidRDefault="00B12F30" w:rsidP="007B0525">
      <w:pPr>
        <w:autoSpaceDE w:val="0"/>
        <w:autoSpaceDN w:val="0"/>
        <w:adjustRightInd w:val="0"/>
        <w:snapToGrid w:val="0"/>
        <w:spacing w:line="360" w:lineRule="auto"/>
        <w:jc w:val="both"/>
        <w:rPr>
          <w:rFonts w:ascii="Book Antiqua" w:hAnsi="Book Antiqua"/>
          <w:b/>
          <w:caps/>
          <w:lang w:val="en-US"/>
        </w:rPr>
      </w:pPr>
      <w:r w:rsidRPr="004E0213">
        <w:rPr>
          <w:rFonts w:ascii="Book Antiqua" w:hAnsi="Book Antiqua"/>
          <w:b/>
          <w:caps/>
          <w:lang w:val="en-US"/>
        </w:rPr>
        <w:t>comments</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i/>
          <w:lang w:val="en-US"/>
        </w:rPr>
      </w:pPr>
      <w:r w:rsidRPr="004E0213">
        <w:rPr>
          <w:rStyle w:val="hps"/>
          <w:rFonts w:ascii="Book Antiqua" w:hAnsi="Book Antiqua" w:cs="Calibri"/>
          <w:b/>
          <w:i/>
          <w:lang w:val="en-US"/>
        </w:rPr>
        <w:t>Background</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lang w:val="en-US"/>
        </w:rPr>
      </w:pPr>
      <w:r w:rsidRPr="004E0213">
        <w:rPr>
          <w:rStyle w:val="hps"/>
          <w:rFonts w:ascii="Book Antiqua" w:hAnsi="Book Antiqua" w:cs="Calibri"/>
          <w:lang w:val="en-US"/>
        </w:rPr>
        <w:t>Biliary anastomotic stricture (AS) is an important cause of morbidity and graft failure after liver transplantation (LT). The reported success rate of endoscopic therapy for AS after LT is variable, and the optimal treatment for this complication is still unclear.</w:t>
      </w:r>
    </w:p>
    <w:p w:rsidR="00EC633B" w:rsidRPr="004E0213" w:rsidRDefault="00EC633B" w:rsidP="007B0525">
      <w:pPr>
        <w:widowControl w:val="0"/>
        <w:adjustRightInd w:val="0"/>
        <w:snapToGrid w:val="0"/>
        <w:spacing w:line="360" w:lineRule="auto"/>
        <w:jc w:val="both"/>
        <w:textAlignment w:val="top"/>
        <w:rPr>
          <w:rStyle w:val="hps"/>
          <w:rFonts w:ascii="Book Antiqua" w:hAnsi="Book Antiqua" w:cs="Calibri"/>
          <w:b/>
          <w:i/>
          <w:lang w:val="en-US" w:eastAsia="zh-CN"/>
        </w:rPr>
      </w:pP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b/>
          <w:i/>
          <w:lang w:val="en-US"/>
        </w:rPr>
      </w:pPr>
      <w:r w:rsidRPr="004E0213">
        <w:rPr>
          <w:rStyle w:val="hps"/>
          <w:rFonts w:ascii="Book Antiqua" w:hAnsi="Book Antiqua" w:cs="Calibri"/>
          <w:b/>
          <w:i/>
          <w:lang w:val="en-US"/>
        </w:rPr>
        <w:t>Research frontiers</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lang w:val="en-US"/>
        </w:rPr>
      </w:pPr>
      <w:r w:rsidRPr="004E0213">
        <w:rPr>
          <w:rStyle w:val="hps"/>
          <w:rFonts w:ascii="Book Antiqua" w:hAnsi="Book Antiqua" w:cs="Calibri"/>
          <w:lang w:val="en-US"/>
        </w:rPr>
        <w:t>Patients with AS after LT usually undergo repeated endoscopic interventions, with balloon dilation with or without stent implantation, over a long time period. However, the reported success rate of balloon dilation alone is relatively low, and stent placement has a high complication rate.</w:t>
      </w:r>
    </w:p>
    <w:p w:rsidR="00EC633B" w:rsidRPr="004E0213" w:rsidRDefault="00EC633B" w:rsidP="007B0525">
      <w:pPr>
        <w:widowControl w:val="0"/>
        <w:adjustRightInd w:val="0"/>
        <w:snapToGrid w:val="0"/>
        <w:spacing w:line="360" w:lineRule="auto"/>
        <w:jc w:val="both"/>
        <w:textAlignment w:val="top"/>
        <w:rPr>
          <w:rStyle w:val="hps"/>
          <w:rFonts w:ascii="Book Antiqua" w:hAnsi="Book Antiqua" w:cs="Calibri"/>
          <w:b/>
          <w:i/>
          <w:lang w:val="en-US" w:eastAsia="zh-CN"/>
        </w:rPr>
      </w:pP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b/>
          <w:i/>
          <w:lang w:val="en-US"/>
        </w:rPr>
      </w:pPr>
      <w:r w:rsidRPr="004E0213">
        <w:rPr>
          <w:rStyle w:val="hps"/>
          <w:rFonts w:ascii="Book Antiqua" w:hAnsi="Book Antiqua" w:cs="Calibri"/>
          <w:b/>
          <w:i/>
          <w:lang w:val="en-US"/>
        </w:rPr>
        <w:t>Innovations and breakthroughs</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lang w:val="en-US"/>
        </w:rPr>
      </w:pPr>
      <w:r w:rsidRPr="004E0213">
        <w:rPr>
          <w:rStyle w:val="hps"/>
          <w:rFonts w:ascii="Book Antiqua" w:hAnsi="Book Antiqua" w:cs="Calibri"/>
          <w:lang w:val="en-US"/>
        </w:rPr>
        <w:t xml:space="preserve">Paclitaxel is an </w:t>
      </w:r>
      <w:proofErr w:type="spellStart"/>
      <w:r w:rsidRPr="004E0213">
        <w:rPr>
          <w:rStyle w:val="hps"/>
          <w:rFonts w:ascii="Book Antiqua" w:hAnsi="Book Antiqua" w:cs="Calibri"/>
          <w:lang w:val="en-US"/>
        </w:rPr>
        <w:t>antifibrotic</w:t>
      </w:r>
      <w:proofErr w:type="spellEnd"/>
      <w:r w:rsidRPr="004E0213">
        <w:rPr>
          <w:rStyle w:val="hps"/>
          <w:rFonts w:ascii="Book Antiqua" w:hAnsi="Book Antiqua" w:cs="Calibri"/>
          <w:lang w:val="en-US"/>
        </w:rPr>
        <w:t xml:space="preserve"> and </w:t>
      </w:r>
      <w:proofErr w:type="spellStart"/>
      <w:r w:rsidRPr="004E0213">
        <w:rPr>
          <w:rStyle w:val="hps"/>
          <w:rFonts w:ascii="Book Antiqua" w:hAnsi="Book Antiqua" w:cs="Calibri"/>
          <w:lang w:val="en-US"/>
        </w:rPr>
        <w:t>antiproliferative</w:t>
      </w:r>
      <w:proofErr w:type="spellEnd"/>
      <w:r w:rsidRPr="004E0213">
        <w:rPr>
          <w:rStyle w:val="hps"/>
          <w:rFonts w:ascii="Book Antiqua" w:hAnsi="Book Antiqua" w:cs="Calibri"/>
          <w:lang w:val="en-US"/>
        </w:rPr>
        <w:t xml:space="preserve"> agent. As </w:t>
      </w:r>
      <w:proofErr w:type="spellStart"/>
      <w:r w:rsidRPr="004E0213">
        <w:rPr>
          <w:rStyle w:val="hps"/>
          <w:rFonts w:ascii="Book Antiqua" w:hAnsi="Book Antiqua" w:cs="Calibri"/>
          <w:lang w:val="en-US"/>
        </w:rPr>
        <w:t>AS</w:t>
      </w:r>
      <w:proofErr w:type="spellEnd"/>
      <w:r w:rsidRPr="004E0213">
        <w:rPr>
          <w:rStyle w:val="hps"/>
          <w:rFonts w:ascii="Book Antiqua" w:hAnsi="Book Antiqua" w:cs="Calibri"/>
          <w:lang w:val="en-US"/>
        </w:rPr>
        <w:t xml:space="preserve"> after LT results from inflammatory fibrosis, this study investigated the effectiveness of endoscopic therapy with a </w:t>
      </w:r>
      <w:r w:rsidR="00EC633B" w:rsidRPr="004E0213">
        <w:rPr>
          <w:rStyle w:val="hps"/>
          <w:rFonts w:ascii="Book Antiqua" w:hAnsi="Book Antiqua" w:cs="Calibri"/>
          <w:lang w:val="en-US"/>
        </w:rPr>
        <w:t>paclitaxel-eluting balloon (PEB)</w:t>
      </w:r>
      <w:r w:rsidR="00EC633B" w:rsidRPr="004E0213">
        <w:rPr>
          <w:rStyle w:val="hps"/>
          <w:rFonts w:ascii="Book Antiqua" w:hAnsi="Book Antiqua" w:cs="Calibri"/>
          <w:lang w:val="en-US" w:eastAsia="zh-CN"/>
        </w:rPr>
        <w:t xml:space="preserve"> </w:t>
      </w:r>
      <w:r w:rsidRPr="004E0213">
        <w:rPr>
          <w:rStyle w:val="hps"/>
          <w:rFonts w:ascii="Book Antiqua" w:hAnsi="Book Antiqua" w:cs="Calibri"/>
          <w:lang w:val="en-US"/>
        </w:rPr>
        <w:t xml:space="preserve">for the treatment of such strictures. This is the first study to investigate the use of a PEB for the treatment of AS after LT. </w:t>
      </w:r>
    </w:p>
    <w:p w:rsidR="00EC633B" w:rsidRPr="004E0213" w:rsidRDefault="00EC633B" w:rsidP="007B0525">
      <w:pPr>
        <w:widowControl w:val="0"/>
        <w:adjustRightInd w:val="0"/>
        <w:snapToGrid w:val="0"/>
        <w:spacing w:line="360" w:lineRule="auto"/>
        <w:jc w:val="both"/>
        <w:textAlignment w:val="top"/>
        <w:rPr>
          <w:rStyle w:val="hps"/>
          <w:rFonts w:ascii="Book Antiqua" w:hAnsi="Book Antiqua" w:cs="Calibri"/>
          <w:b/>
          <w:i/>
          <w:lang w:val="en-US" w:eastAsia="zh-CN"/>
        </w:rPr>
      </w:pP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b/>
          <w:i/>
          <w:lang w:val="en-US"/>
        </w:rPr>
      </w:pPr>
      <w:r w:rsidRPr="004E0213">
        <w:rPr>
          <w:rStyle w:val="hps"/>
          <w:rFonts w:ascii="Book Antiqua" w:hAnsi="Book Antiqua" w:cs="Calibri"/>
          <w:b/>
          <w:i/>
          <w:lang w:val="en-US"/>
        </w:rPr>
        <w:t>Applications</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lang w:val="en-US"/>
        </w:rPr>
      </w:pPr>
      <w:r w:rsidRPr="004E0213">
        <w:rPr>
          <w:rStyle w:val="hps"/>
          <w:rFonts w:ascii="Book Antiqua" w:hAnsi="Book Antiqua" w:cs="Calibri"/>
          <w:lang w:val="en-US"/>
        </w:rPr>
        <w:t>The results of this study show that endoscopic therapy with a PEB may significantly reduce the number of interventions required to achieve complete resolution of AS after LT, thereby shortening the overall duration of endoscopic therapy.</w:t>
      </w:r>
    </w:p>
    <w:p w:rsidR="00EC633B" w:rsidRPr="004E0213" w:rsidRDefault="00EC633B" w:rsidP="007B0525">
      <w:pPr>
        <w:widowControl w:val="0"/>
        <w:adjustRightInd w:val="0"/>
        <w:snapToGrid w:val="0"/>
        <w:spacing w:line="360" w:lineRule="auto"/>
        <w:jc w:val="both"/>
        <w:textAlignment w:val="top"/>
        <w:rPr>
          <w:rStyle w:val="hps"/>
          <w:rFonts w:ascii="Book Antiqua" w:hAnsi="Book Antiqua" w:cs="Calibri"/>
          <w:b/>
          <w:i/>
          <w:lang w:val="en-US" w:eastAsia="zh-CN"/>
        </w:rPr>
      </w:pP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b/>
          <w:i/>
          <w:lang w:val="en-US"/>
        </w:rPr>
      </w:pPr>
      <w:r w:rsidRPr="004E0213">
        <w:rPr>
          <w:rStyle w:val="hps"/>
          <w:rFonts w:ascii="Book Antiqua" w:hAnsi="Book Antiqua" w:cs="Calibri"/>
          <w:b/>
          <w:i/>
          <w:lang w:val="en-US"/>
        </w:rPr>
        <w:lastRenderedPageBreak/>
        <w:t>Terminology</w:t>
      </w: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lang w:val="en-US"/>
        </w:rPr>
      </w:pPr>
      <w:proofErr w:type="gramStart"/>
      <w:r w:rsidRPr="004E0213">
        <w:rPr>
          <w:rStyle w:val="hps"/>
          <w:rFonts w:ascii="Book Antiqua" w:hAnsi="Book Antiqua" w:cs="Calibri"/>
          <w:lang w:val="en-US"/>
        </w:rPr>
        <w:t>After LT, AS may develop at the site of bile duct anastomosis.</w:t>
      </w:r>
      <w:proofErr w:type="gramEnd"/>
      <w:r w:rsidRPr="004E0213">
        <w:rPr>
          <w:rStyle w:val="hps"/>
          <w:rFonts w:ascii="Book Antiqua" w:hAnsi="Book Antiqua" w:cs="Calibri"/>
          <w:lang w:val="en-US"/>
        </w:rPr>
        <w:t xml:space="preserve"> AS is caused by fibrosis during healing, and most cases develop within the first year after LT. Paclitaxel is a mitotic inhibitor that is used as a chemotherapeutic agent for the treatment of malignant tumors. Because of its </w:t>
      </w:r>
      <w:proofErr w:type="spellStart"/>
      <w:r w:rsidRPr="004E0213">
        <w:rPr>
          <w:rStyle w:val="hps"/>
          <w:rFonts w:ascii="Book Antiqua" w:hAnsi="Book Antiqua" w:cs="Calibri"/>
          <w:lang w:val="en-US"/>
        </w:rPr>
        <w:t>antiproliferative</w:t>
      </w:r>
      <w:proofErr w:type="spellEnd"/>
      <w:r w:rsidRPr="004E0213">
        <w:rPr>
          <w:rStyle w:val="hps"/>
          <w:rFonts w:ascii="Book Antiqua" w:hAnsi="Book Antiqua" w:cs="Calibri"/>
          <w:lang w:val="en-US"/>
        </w:rPr>
        <w:t xml:space="preserve"> effects, paclitaxel is also used to treat and prevent coronary restenosis. </w:t>
      </w:r>
    </w:p>
    <w:p w:rsidR="00EC633B" w:rsidRPr="004E0213" w:rsidRDefault="00EC633B" w:rsidP="007B0525">
      <w:pPr>
        <w:widowControl w:val="0"/>
        <w:adjustRightInd w:val="0"/>
        <w:snapToGrid w:val="0"/>
        <w:spacing w:line="360" w:lineRule="auto"/>
        <w:jc w:val="both"/>
        <w:textAlignment w:val="top"/>
        <w:rPr>
          <w:rStyle w:val="hps"/>
          <w:rFonts w:ascii="Book Antiqua" w:hAnsi="Book Antiqua" w:cs="Calibri"/>
          <w:b/>
          <w:i/>
          <w:lang w:val="en-US" w:eastAsia="zh-CN"/>
        </w:rPr>
      </w:pPr>
    </w:p>
    <w:p w:rsidR="00B12F30" w:rsidRPr="004E0213" w:rsidRDefault="00B12F30" w:rsidP="007B0525">
      <w:pPr>
        <w:widowControl w:val="0"/>
        <w:adjustRightInd w:val="0"/>
        <w:snapToGrid w:val="0"/>
        <w:spacing w:line="360" w:lineRule="auto"/>
        <w:jc w:val="both"/>
        <w:textAlignment w:val="top"/>
        <w:rPr>
          <w:rStyle w:val="hps"/>
          <w:rFonts w:ascii="Book Antiqua" w:hAnsi="Book Antiqua" w:cs="Calibri"/>
          <w:b/>
          <w:i/>
          <w:lang w:val="en-US"/>
        </w:rPr>
      </w:pPr>
      <w:r w:rsidRPr="004E0213">
        <w:rPr>
          <w:rStyle w:val="hps"/>
          <w:rFonts w:ascii="Book Antiqua" w:hAnsi="Book Antiqua" w:cs="Calibri"/>
          <w:b/>
          <w:i/>
          <w:lang w:val="en-US"/>
        </w:rPr>
        <w:t>Peer review</w:t>
      </w:r>
    </w:p>
    <w:p w:rsidR="00B12F30" w:rsidRPr="004E0213" w:rsidRDefault="004E0213" w:rsidP="007B0525">
      <w:pPr>
        <w:widowControl w:val="0"/>
        <w:adjustRightInd w:val="0"/>
        <w:snapToGrid w:val="0"/>
        <w:spacing w:line="360" w:lineRule="auto"/>
        <w:jc w:val="both"/>
        <w:textAlignment w:val="top"/>
        <w:rPr>
          <w:rStyle w:val="hps"/>
          <w:rFonts w:ascii="Book Antiqua" w:hAnsi="Book Antiqua" w:cs="Calibri"/>
          <w:lang w:val="en-US" w:eastAsia="zh-CN"/>
        </w:rPr>
      </w:pPr>
      <w:r w:rsidRPr="004E0213">
        <w:rPr>
          <w:rStyle w:val="hps"/>
          <w:rFonts w:ascii="Book Antiqua" w:hAnsi="Book Antiqua" w:cs="Calibri"/>
          <w:lang w:val="en-US"/>
        </w:rPr>
        <w:t>In this paper, the authors reported the results of an extended follow up of their series of patients, included in a previous publication from the same group. Although new information is limited, the paper is interesting and well written</w:t>
      </w:r>
      <w:r w:rsidRPr="004E0213">
        <w:rPr>
          <w:rStyle w:val="hps"/>
          <w:rFonts w:ascii="Book Antiqua" w:hAnsi="Book Antiqua" w:cs="Calibri"/>
          <w:lang w:val="en-US" w:eastAsia="zh-CN"/>
        </w:rPr>
        <w:t>.</w:t>
      </w:r>
    </w:p>
    <w:p w:rsidR="004E0213" w:rsidRPr="004E0213" w:rsidRDefault="004E0213" w:rsidP="007B0525">
      <w:pPr>
        <w:widowControl w:val="0"/>
        <w:adjustRightInd w:val="0"/>
        <w:snapToGrid w:val="0"/>
        <w:spacing w:line="360" w:lineRule="auto"/>
        <w:jc w:val="both"/>
        <w:textAlignment w:val="top"/>
        <w:rPr>
          <w:rFonts w:ascii="Book Antiqua" w:hAnsi="Book Antiqua"/>
          <w:b/>
          <w:bCs/>
          <w:lang w:val="en-US" w:eastAsia="zh-CN"/>
        </w:rPr>
      </w:pPr>
    </w:p>
    <w:p w:rsidR="004E0213" w:rsidRDefault="004E0213" w:rsidP="007B0525">
      <w:pPr>
        <w:widowControl w:val="0"/>
        <w:adjustRightInd w:val="0"/>
        <w:snapToGrid w:val="0"/>
        <w:spacing w:line="360" w:lineRule="auto"/>
        <w:jc w:val="both"/>
        <w:textAlignment w:val="top"/>
        <w:rPr>
          <w:rFonts w:ascii="Book Antiqua" w:hAnsi="Book Antiqua"/>
          <w:b/>
          <w:bCs/>
          <w:sz w:val="21"/>
          <w:lang w:val="en-US" w:eastAsia="zh-CN"/>
        </w:rPr>
      </w:pPr>
      <w:r w:rsidRPr="004E0213">
        <w:rPr>
          <w:rFonts w:ascii="Book Antiqua" w:hAnsi="Book Antiqua"/>
          <w:b/>
          <w:bCs/>
          <w:sz w:val="21"/>
          <w:lang w:val="en-US" w:eastAsia="zh-CN"/>
        </w:rPr>
        <w:t>REFERENCES</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1 </w:t>
      </w:r>
      <w:r w:rsidRPr="0096584A">
        <w:rPr>
          <w:rFonts w:ascii="Book Antiqua" w:hAnsi="Book Antiqua" w:cs="宋体"/>
          <w:b/>
          <w:bCs/>
          <w:color w:val="000000"/>
          <w:sz w:val="21"/>
          <w:szCs w:val="21"/>
        </w:rPr>
        <w:t>Ryu CH</w:t>
      </w:r>
      <w:r w:rsidRPr="0096584A">
        <w:rPr>
          <w:rFonts w:ascii="Book Antiqua" w:hAnsi="Book Antiqua" w:cs="宋体"/>
          <w:color w:val="000000"/>
          <w:sz w:val="21"/>
          <w:szCs w:val="21"/>
        </w:rPr>
        <w:t>, Lee SK. Biliary strictures after liver transplantation. </w:t>
      </w:r>
      <w:r w:rsidRPr="0096584A">
        <w:rPr>
          <w:rFonts w:ascii="Book Antiqua" w:hAnsi="Book Antiqua" w:cs="宋体"/>
          <w:i/>
          <w:iCs/>
          <w:color w:val="000000"/>
          <w:sz w:val="21"/>
          <w:szCs w:val="21"/>
        </w:rPr>
        <w:t>Gut Liver</w:t>
      </w:r>
      <w:r w:rsidRPr="0096584A">
        <w:rPr>
          <w:rFonts w:ascii="Book Antiqua" w:hAnsi="Book Antiqua" w:cs="宋体"/>
          <w:color w:val="000000"/>
          <w:sz w:val="21"/>
          <w:szCs w:val="21"/>
        </w:rPr>
        <w:t> 2011; </w:t>
      </w:r>
      <w:r w:rsidRPr="0096584A">
        <w:rPr>
          <w:rFonts w:ascii="Book Antiqua" w:hAnsi="Book Antiqua" w:cs="宋体"/>
          <w:b/>
          <w:bCs/>
          <w:color w:val="000000"/>
          <w:sz w:val="21"/>
          <w:szCs w:val="21"/>
        </w:rPr>
        <w:t>5</w:t>
      </w:r>
      <w:r w:rsidRPr="0096584A">
        <w:rPr>
          <w:rFonts w:ascii="Book Antiqua" w:hAnsi="Book Antiqua" w:cs="宋体"/>
          <w:color w:val="000000"/>
          <w:sz w:val="21"/>
          <w:szCs w:val="21"/>
        </w:rPr>
        <w:t>: 133-142 [PMID: 21814591 DOI: 10.5009/gnl.5.133]</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2 </w:t>
      </w:r>
      <w:r w:rsidRPr="0096584A">
        <w:rPr>
          <w:rFonts w:ascii="Book Antiqua" w:hAnsi="Book Antiqua" w:cs="宋体"/>
          <w:b/>
          <w:bCs/>
          <w:color w:val="000000"/>
          <w:sz w:val="21"/>
          <w:szCs w:val="21"/>
        </w:rPr>
        <w:t>Pascher A</w:t>
      </w:r>
      <w:r w:rsidRPr="0096584A">
        <w:rPr>
          <w:rFonts w:ascii="Book Antiqua" w:hAnsi="Book Antiqua" w:cs="宋体"/>
          <w:color w:val="000000"/>
          <w:sz w:val="21"/>
          <w:szCs w:val="21"/>
        </w:rPr>
        <w:t>, Neuhaus P. Bile duct complications after liver transplantation. </w:t>
      </w:r>
      <w:r w:rsidRPr="0096584A">
        <w:rPr>
          <w:rFonts w:ascii="Book Antiqua" w:hAnsi="Book Antiqua" w:cs="宋体"/>
          <w:i/>
          <w:iCs/>
          <w:color w:val="000000"/>
          <w:sz w:val="21"/>
          <w:szCs w:val="21"/>
        </w:rPr>
        <w:t>Transpl Int</w:t>
      </w:r>
      <w:r w:rsidRPr="0096584A">
        <w:rPr>
          <w:rFonts w:ascii="Book Antiqua" w:hAnsi="Book Antiqua" w:cs="宋体"/>
          <w:color w:val="000000"/>
          <w:sz w:val="21"/>
          <w:szCs w:val="21"/>
        </w:rPr>
        <w:t> 2005; </w:t>
      </w:r>
      <w:r w:rsidRPr="0096584A">
        <w:rPr>
          <w:rFonts w:ascii="Book Antiqua" w:hAnsi="Book Antiqua" w:cs="宋体"/>
          <w:b/>
          <w:bCs/>
          <w:color w:val="000000"/>
          <w:sz w:val="21"/>
          <w:szCs w:val="21"/>
        </w:rPr>
        <w:t>18</w:t>
      </w:r>
      <w:r w:rsidRPr="0096584A">
        <w:rPr>
          <w:rFonts w:ascii="Book Antiqua" w:hAnsi="Book Antiqua" w:cs="宋体"/>
          <w:color w:val="000000"/>
          <w:sz w:val="21"/>
          <w:szCs w:val="21"/>
        </w:rPr>
        <w:t>: 627-642 [PMID: 15910286 DOI: 10.1111/tri.18.627]</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3 </w:t>
      </w:r>
      <w:r w:rsidRPr="0096584A">
        <w:rPr>
          <w:rFonts w:ascii="Book Antiqua" w:hAnsi="Book Antiqua" w:cs="宋体"/>
          <w:b/>
          <w:bCs/>
          <w:color w:val="000000"/>
          <w:sz w:val="21"/>
          <w:szCs w:val="21"/>
        </w:rPr>
        <w:t>Williams ED</w:t>
      </w:r>
      <w:r w:rsidRPr="0096584A">
        <w:rPr>
          <w:rFonts w:ascii="Book Antiqua" w:hAnsi="Book Antiqua" w:cs="宋体"/>
          <w:color w:val="000000"/>
          <w:sz w:val="21"/>
          <w:szCs w:val="21"/>
        </w:rPr>
        <w:t>, Draganov PV. Endoscopic management of biliary strictures after liver transplantation. </w:t>
      </w:r>
      <w:r w:rsidRPr="0096584A">
        <w:rPr>
          <w:rFonts w:ascii="Book Antiqua" w:hAnsi="Book Antiqua" w:cs="宋体"/>
          <w:i/>
          <w:iCs/>
          <w:color w:val="000000"/>
          <w:sz w:val="21"/>
          <w:szCs w:val="21"/>
        </w:rPr>
        <w:t>World J Gastroenterol</w:t>
      </w:r>
      <w:r w:rsidRPr="0096584A">
        <w:rPr>
          <w:rFonts w:ascii="Book Antiqua" w:hAnsi="Book Antiqua" w:cs="宋体"/>
          <w:color w:val="000000"/>
          <w:sz w:val="21"/>
          <w:szCs w:val="21"/>
        </w:rPr>
        <w:t> 2009; </w:t>
      </w:r>
      <w:r w:rsidRPr="0096584A">
        <w:rPr>
          <w:rFonts w:ascii="Book Antiqua" w:hAnsi="Book Antiqua" w:cs="宋体"/>
          <w:b/>
          <w:bCs/>
          <w:color w:val="000000"/>
          <w:sz w:val="21"/>
          <w:szCs w:val="21"/>
        </w:rPr>
        <w:t>15</w:t>
      </w:r>
      <w:r w:rsidRPr="0096584A">
        <w:rPr>
          <w:rFonts w:ascii="Book Antiqua" w:hAnsi="Book Antiqua" w:cs="宋体"/>
          <w:color w:val="000000"/>
          <w:sz w:val="21"/>
          <w:szCs w:val="21"/>
        </w:rPr>
        <w:t>: 3725-3733 [PMID: 19673012 DOI: 10.3748/wjg.15.3725]</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4 </w:t>
      </w:r>
      <w:r w:rsidRPr="0096584A">
        <w:rPr>
          <w:rFonts w:ascii="Book Antiqua" w:hAnsi="Book Antiqua" w:cs="宋体"/>
          <w:b/>
          <w:bCs/>
          <w:color w:val="000000"/>
          <w:sz w:val="21"/>
          <w:szCs w:val="21"/>
        </w:rPr>
        <w:t>Kao D</w:t>
      </w:r>
      <w:r w:rsidRPr="0096584A">
        <w:rPr>
          <w:rFonts w:ascii="Book Antiqua" w:hAnsi="Book Antiqua" w:cs="宋体"/>
          <w:color w:val="000000"/>
          <w:sz w:val="21"/>
          <w:szCs w:val="21"/>
        </w:rPr>
        <w:t>, Zepeda-Gomez S, Tandon P, Bain VG. Managing the post-liver transplantation anastomotic biliary stricture: multiple plastic versus metal stents: a systematic review. </w:t>
      </w:r>
      <w:r w:rsidRPr="0096584A">
        <w:rPr>
          <w:rFonts w:ascii="Book Antiqua" w:hAnsi="Book Antiqua" w:cs="宋体"/>
          <w:i/>
          <w:iCs/>
          <w:color w:val="000000"/>
          <w:sz w:val="21"/>
          <w:szCs w:val="21"/>
        </w:rPr>
        <w:t>Gastrointest Endosc</w:t>
      </w:r>
      <w:r w:rsidRPr="0096584A">
        <w:rPr>
          <w:rFonts w:ascii="Book Antiqua" w:hAnsi="Book Antiqua" w:cs="宋体"/>
          <w:color w:val="000000"/>
          <w:sz w:val="21"/>
          <w:szCs w:val="21"/>
        </w:rPr>
        <w:t> 2013; </w:t>
      </w:r>
      <w:r w:rsidRPr="0096584A">
        <w:rPr>
          <w:rFonts w:ascii="Book Antiqua" w:hAnsi="Book Antiqua" w:cs="宋体"/>
          <w:b/>
          <w:bCs/>
          <w:color w:val="000000"/>
          <w:sz w:val="21"/>
          <w:szCs w:val="21"/>
        </w:rPr>
        <w:t>77</w:t>
      </w:r>
      <w:r w:rsidRPr="0096584A">
        <w:rPr>
          <w:rFonts w:ascii="Book Antiqua" w:hAnsi="Book Antiqua" w:cs="宋体"/>
          <w:color w:val="000000"/>
          <w:sz w:val="21"/>
          <w:szCs w:val="21"/>
        </w:rPr>
        <w:t>: 679-691 [PMID: 23473000 DOI: 10.1016</w:t>
      </w:r>
      <w:r w:rsidRPr="0096584A">
        <w:rPr>
          <w:rStyle w:val="hps"/>
          <w:rFonts w:ascii="Book Antiqua" w:hAnsi="Book Antiqua" w:cs="Calibri"/>
          <w:sz w:val="21"/>
          <w:szCs w:val="21"/>
        </w:rPr>
        <w:t>/</w:t>
      </w:r>
      <w:r w:rsidRPr="0096584A">
        <w:rPr>
          <w:rStyle w:val="hps"/>
          <w:rFonts w:ascii="Book Antiqua" w:hAnsi="Book Antiqua" w:cs="Calibri"/>
          <w:sz w:val="21"/>
          <w:szCs w:val="21"/>
          <w:lang w:val="en-US"/>
        </w:rPr>
        <w:t>j.gie.77.679</w:t>
      </w:r>
      <w:r w:rsidRPr="0096584A">
        <w:rPr>
          <w:rFonts w:ascii="Book Antiqua" w:hAnsi="Book Antiqua" w:cs="宋体"/>
          <w:color w:val="000000"/>
          <w:sz w:val="21"/>
          <w:szCs w:val="21"/>
        </w:rPr>
        <w:t>]</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5 </w:t>
      </w:r>
      <w:r w:rsidRPr="0096584A">
        <w:rPr>
          <w:rFonts w:ascii="Book Antiqua" w:hAnsi="Book Antiqua" w:cs="宋体"/>
          <w:b/>
          <w:bCs/>
          <w:color w:val="000000"/>
          <w:sz w:val="21"/>
          <w:szCs w:val="21"/>
        </w:rPr>
        <w:t>Zoepf T</w:t>
      </w:r>
      <w:r w:rsidRPr="0096584A">
        <w:rPr>
          <w:rFonts w:ascii="Book Antiqua" w:hAnsi="Book Antiqua" w:cs="宋体"/>
          <w:color w:val="000000"/>
          <w:sz w:val="21"/>
          <w:szCs w:val="21"/>
        </w:rPr>
        <w:t>, Maldonado-Lopez EJ, Hilgard P, Malago M, Broelsch CE, Treichel U, Gerken G. Balloon dilatation vs. balloon dilatation plus bile duct endoprostheses for treatment of anastomotic biliary strictures after liver transplantation. </w:t>
      </w:r>
      <w:r w:rsidRPr="0096584A">
        <w:rPr>
          <w:rFonts w:ascii="Book Antiqua" w:hAnsi="Book Antiqua" w:cs="宋体"/>
          <w:i/>
          <w:iCs/>
          <w:color w:val="000000"/>
          <w:sz w:val="21"/>
          <w:szCs w:val="21"/>
        </w:rPr>
        <w:t>Liver Transpl</w:t>
      </w:r>
      <w:r w:rsidRPr="0096584A">
        <w:rPr>
          <w:rFonts w:ascii="Book Antiqua" w:hAnsi="Book Antiqua" w:cs="宋体"/>
          <w:color w:val="000000"/>
          <w:sz w:val="21"/>
          <w:szCs w:val="21"/>
        </w:rPr>
        <w:t> 2006; </w:t>
      </w:r>
      <w:r w:rsidRPr="0096584A">
        <w:rPr>
          <w:rFonts w:ascii="Book Antiqua" w:hAnsi="Book Antiqua" w:cs="宋体"/>
          <w:b/>
          <w:bCs/>
          <w:color w:val="000000"/>
          <w:sz w:val="21"/>
          <w:szCs w:val="21"/>
        </w:rPr>
        <w:t>12</w:t>
      </w:r>
      <w:r w:rsidRPr="0096584A">
        <w:rPr>
          <w:rFonts w:ascii="Book Antiqua" w:hAnsi="Book Antiqua" w:cs="宋体"/>
          <w:color w:val="000000"/>
          <w:sz w:val="21"/>
          <w:szCs w:val="21"/>
        </w:rPr>
        <w:t>: 88-94 [PMID: 16382450 DOI: 10.1002/lt.12.88]</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6 </w:t>
      </w:r>
      <w:r w:rsidRPr="0096584A">
        <w:rPr>
          <w:rFonts w:ascii="Book Antiqua" w:hAnsi="Book Antiqua" w:cs="宋体"/>
          <w:b/>
          <w:bCs/>
          <w:color w:val="000000"/>
          <w:sz w:val="21"/>
          <w:szCs w:val="21"/>
        </w:rPr>
        <w:t>Kulaksiz H</w:t>
      </w:r>
      <w:r w:rsidRPr="0096584A">
        <w:rPr>
          <w:rFonts w:ascii="Book Antiqua" w:hAnsi="Book Antiqua" w:cs="宋体"/>
          <w:color w:val="000000"/>
          <w:sz w:val="21"/>
          <w:szCs w:val="21"/>
        </w:rPr>
        <w:t>, Weiss KH, Gotthardt D, Adler G, Stremmel W, Schaible A, Dogan A, Stiehl A, Sauer P. Is stenting necessary after balloon dilation of post-transplantation biliary strictures? Results of a prospective comparative study. </w:t>
      </w:r>
      <w:r w:rsidRPr="0096584A">
        <w:rPr>
          <w:rFonts w:ascii="Book Antiqua" w:hAnsi="Book Antiqua" w:cs="宋体"/>
          <w:i/>
          <w:iCs/>
          <w:color w:val="000000"/>
          <w:sz w:val="21"/>
          <w:szCs w:val="21"/>
        </w:rPr>
        <w:t>Endoscopy</w:t>
      </w:r>
      <w:r w:rsidRPr="0096584A">
        <w:rPr>
          <w:rFonts w:ascii="Book Antiqua" w:hAnsi="Book Antiqua" w:cs="宋体"/>
          <w:color w:val="000000"/>
          <w:sz w:val="21"/>
          <w:szCs w:val="21"/>
        </w:rPr>
        <w:t> 2008; </w:t>
      </w:r>
      <w:r w:rsidRPr="0096584A">
        <w:rPr>
          <w:rFonts w:ascii="Book Antiqua" w:hAnsi="Book Antiqua" w:cs="宋体"/>
          <w:b/>
          <w:bCs/>
          <w:color w:val="000000"/>
          <w:sz w:val="21"/>
          <w:szCs w:val="21"/>
        </w:rPr>
        <w:t>40</w:t>
      </w:r>
      <w:r w:rsidRPr="0096584A">
        <w:rPr>
          <w:rFonts w:ascii="Book Antiqua" w:hAnsi="Book Antiqua" w:cs="宋体"/>
          <w:color w:val="000000"/>
          <w:sz w:val="21"/>
          <w:szCs w:val="21"/>
        </w:rPr>
        <w:t>: 746-751 [PMID: 18702031 DOI: 10.1055/s.40.746]</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7 </w:t>
      </w:r>
      <w:r w:rsidRPr="0096584A">
        <w:rPr>
          <w:rFonts w:ascii="Book Antiqua" w:hAnsi="Book Antiqua" w:cs="宋体"/>
          <w:b/>
          <w:bCs/>
          <w:color w:val="000000"/>
          <w:sz w:val="21"/>
          <w:szCs w:val="21"/>
        </w:rPr>
        <w:t>Costamagna G</w:t>
      </w:r>
      <w:r w:rsidRPr="0096584A">
        <w:rPr>
          <w:rFonts w:ascii="Book Antiqua" w:hAnsi="Book Antiqua" w:cs="宋体"/>
          <w:color w:val="000000"/>
          <w:sz w:val="21"/>
          <w:szCs w:val="21"/>
        </w:rPr>
        <w:t>, Pandolfi M, Mutignani M, Spada C, Perri V. Long-term results of endoscopic management of postoperative bile duct strictures with increasing numbers of stents. </w:t>
      </w:r>
      <w:r w:rsidRPr="0096584A">
        <w:rPr>
          <w:rFonts w:ascii="Book Antiqua" w:hAnsi="Book Antiqua" w:cs="宋体"/>
          <w:i/>
          <w:iCs/>
          <w:color w:val="000000"/>
          <w:sz w:val="21"/>
          <w:szCs w:val="21"/>
        </w:rPr>
        <w:t>Gastrointest Endosc</w:t>
      </w:r>
      <w:r w:rsidRPr="0096584A">
        <w:rPr>
          <w:rFonts w:ascii="Book Antiqua" w:hAnsi="Book Antiqua" w:cs="宋体"/>
          <w:color w:val="000000"/>
          <w:sz w:val="21"/>
          <w:szCs w:val="21"/>
        </w:rPr>
        <w:t> 2001; </w:t>
      </w:r>
      <w:r w:rsidRPr="0096584A">
        <w:rPr>
          <w:rFonts w:ascii="Book Antiqua" w:hAnsi="Book Antiqua" w:cs="宋体"/>
          <w:b/>
          <w:bCs/>
          <w:color w:val="000000"/>
          <w:sz w:val="21"/>
          <w:szCs w:val="21"/>
        </w:rPr>
        <w:t>54</w:t>
      </w:r>
      <w:r w:rsidRPr="0096584A">
        <w:rPr>
          <w:rFonts w:ascii="Book Antiqua" w:hAnsi="Book Antiqua" w:cs="宋体"/>
          <w:color w:val="000000"/>
          <w:sz w:val="21"/>
          <w:szCs w:val="21"/>
        </w:rPr>
        <w:t>: 162-168 [PMID: 11474384 DOI: 10.1016/j.gie.54.162]</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lastRenderedPageBreak/>
        <w:t>8 </w:t>
      </w:r>
      <w:r w:rsidRPr="0096584A">
        <w:rPr>
          <w:rFonts w:ascii="Book Antiqua" w:hAnsi="Book Antiqua" w:cs="宋体"/>
          <w:b/>
          <w:bCs/>
          <w:color w:val="000000"/>
          <w:sz w:val="21"/>
          <w:szCs w:val="21"/>
        </w:rPr>
        <w:t>Sauer P</w:t>
      </w:r>
      <w:r w:rsidRPr="0096584A">
        <w:rPr>
          <w:rFonts w:ascii="Book Antiqua" w:hAnsi="Book Antiqua" w:cs="宋体"/>
          <w:color w:val="000000"/>
          <w:sz w:val="21"/>
          <w:szCs w:val="21"/>
        </w:rPr>
        <w:t>, Chahoud F, Gotthardt D, Stremmel W, Weiss KH, Büchler M, Schemmer P, Weitz J, Schaible A. Temporary placement of fully covered self-expandable metal stents in biliary complications after liver transplantation. </w:t>
      </w:r>
      <w:r w:rsidRPr="0096584A">
        <w:rPr>
          <w:rFonts w:ascii="Book Antiqua" w:hAnsi="Book Antiqua" w:cs="宋体"/>
          <w:i/>
          <w:iCs/>
          <w:color w:val="000000"/>
          <w:sz w:val="21"/>
          <w:szCs w:val="21"/>
        </w:rPr>
        <w:t>Endoscopy</w:t>
      </w:r>
      <w:r w:rsidRPr="0096584A">
        <w:rPr>
          <w:rFonts w:ascii="Book Antiqua" w:hAnsi="Book Antiqua" w:cs="宋体"/>
          <w:color w:val="000000"/>
          <w:sz w:val="21"/>
          <w:szCs w:val="21"/>
        </w:rPr>
        <w:t> 2012; </w:t>
      </w:r>
      <w:r w:rsidRPr="0096584A">
        <w:rPr>
          <w:rFonts w:ascii="Book Antiqua" w:hAnsi="Book Antiqua" w:cs="宋体"/>
          <w:b/>
          <w:bCs/>
          <w:color w:val="000000"/>
          <w:sz w:val="21"/>
          <w:szCs w:val="21"/>
        </w:rPr>
        <w:t>44</w:t>
      </w:r>
      <w:r w:rsidRPr="0096584A">
        <w:rPr>
          <w:rFonts w:ascii="Book Antiqua" w:hAnsi="Book Antiqua" w:cs="宋体"/>
          <w:color w:val="000000"/>
          <w:sz w:val="21"/>
          <w:szCs w:val="21"/>
        </w:rPr>
        <w:t>: 536-538 [PMID: 22370701 DOI: 10.1055/s.44.536]</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9 </w:t>
      </w:r>
      <w:r w:rsidRPr="0096584A">
        <w:rPr>
          <w:rFonts w:ascii="Book Antiqua" w:hAnsi="Book Antiqua" w:cs="宋体"/>
          <w:b/>
          <w:bCs/>
          <w:color w:val="000000"/>
          <w:sz w:val="21"/>
          <w:szCs w:val="21"/>
        </w:rPr>
        <w:t>Traina M</w:t>
      </w:r>
      <w:r w:rsidRPr="0096584A">
        <w:rPr>
          <w:rFonts w:ascii="Book Antiqua" w:hAnsi="Book Antiqua" w:cs="宋体"/>
          <w:color w:val="000000"/>
          <w:sz w:val="21"/>
          <w:szCs w:val="21"/>
        </w:rPr>
        <w:t>, Tarantino I, Barresi L, Volpes R, Gruttadauria S, Petridis I, Gridelli B. Efficacy and safety of fully covered self-expandable metallic stents in biliary complications after liver transplantation: a preliminary study. </w:t>
      </w:r>
      <w:r w:rsidRPr="0096584A">
        <w:rPr>
          <w:rFonts w:ascii="Book Antiqua" w:hAnsi="Book Antiqua" w:cs="宋体"/>
          <w:i/>
          <w:iCs/>
          <w:color w:val="000000"/>
          <w:sz w:val="21"/>
          <w:szCs w:val="21"/>
        </w:rPr>
        <w:t>Liver Transpl</w:t>
      </w:r>
      <w:r w:rsidRPr="0096584A">
        <w:rPr>
          <w:rFonts w:ascii="Book Antiqua" w:hAnsi="Book Antiqua" w:cs="宋体"/>
          <w:color w:val="000000"/>
          <w:sz w:val="21"/>
          <w:szCs w:val="21"/>
        </w:rPr>
        <w:t> 2009; </w:t>
      </w:r>
      <w:r w:rsidRPr="0096584A">
        <w:rPr>
          <w:rFonts w:ascii="Book Antiqua" w:hAnsi="Book Antiqua" w:cs="宋体"/>
          <w:b/>
          <w:bCs/>
          <w:color w:val="000000"/>
          <w:sz w:val="21"/>
          <w:szCs w:val="21"/>
        </w:rPr>
        <w:t>15</w:t>
      </w:r>
      <w:r w:rsidRPr="0096584A">
        <w:rPr>
          <w:rFonts w:ascii="Book Antiqua" w:hAnsi="Book Antiqua" w:cs="宋体"/>
          <w:color w:val="000000"/>
          <w:sz w:val="21"/>
          <w:szCs w:val="21"/>
        </w:rPr>
        <w:t>: 1493-1498 [PMID: 19877248 DOI: 10.1002/lt.15.1493]</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10 </w:t>
      </w:r>
      <w:r w:rsidRPr="0096584A">
        <w:rPr>
          <w:rFonts w:ascii="Book Antiqua" w:hAnsi="Book Antiqua" w:cs="宋体"/>
          <w:b/>
          <w:bCs/>
          <w:color w:val="000000"/>
          <w:sz w:val="21"/>
          <w:szCs w:val="21"/>
        </w:rPr>
        <w:t>Kabar I</w:t>
      </w:r>
      <w:r w:rsidRPr="0096584A">
        <w:rPr>
          <w:rFonts w:ascii="Book Antiqua" w:hAnsi="Book Antiqua" w:cs="宋体"/>
          <w:color w:val="000000"/>
          <w:sz w:val="21"/>
          <w:szCs w:val="21"/>
        </w:rPr>
        <w:t>, Cicinnati VR, Beckebaum S, Cordesmeyer S, Avsar Y, Reinecke H, Schmidt HH. Use of paclitaxel-eluting balloons for endotherapy of anastomotic strictures following liver transplantation. </w:t>
      </w:r>
      <w:r w:rsidRPr="0096584A">
        <w:rPr>
          <w:rFonts w:ascii="Book Antiqua" w:hAnsi="Book Antiqua" w:cs="宋体"/>
          <w:i/>
          <w:iCs/>
          <w:color w:val="000000"/>
          <w:sz w:val="21"/>
          <w:szCs w:val="21"/>
        </w:rPr>
        <w:t>Endoscopy</w:t>
      </w:r>
      <w:r w:rsidRPr="0096584A">
        <w:rPr>
          <w:rFonts w:ascii="Book Antiqua" w:hAnsi="Book Antiqua" w:cs="宋体"/>
          <w:color w:val="000000"/>
          <w:sz w:val="21"/>
          <w:szCs w:val="21"/>
        </w:rPr>
        <w:t> 2012; </w:t>
      </w:r>
      <w:r w:rsidRPr="0096584A">
        <w:rPr>
          <w:rFonts w:ascii="Book Antiqua" w:hAnsi="Book Antiqua" w:cs="宋体"/>
          <w:b/>
          <w:bCs/>
          <w:color w:val="000000"/>
          <w:sz w:val="21"/>
          <w:szCs w:val="21"/>
        </w:rPr>
        <w:t>44</w:t>
      </w:r>
      <w:r w:rsidRPr="0096584A">
        <w:rPr>
          <w:rFonts w:ascii="Book Antiqua" w:hAnsi="Book Antiqua" w:cs="宋体"/>
          <w:color w:val="000000"/>
          <w:sz w:val="21"/>
          <w:szCs w:val="21"/>
        </w:rPr>
        <w:t>: 1158-1160 [PMID: 23188664 DOI: 10.1055/s.44.1158]</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11 </w:t>
      </w:r>
      <w:r w:rsidRPr="0096584A">
        <w:rPr>
          <w:rFonts w:ascii="Book Antiqua" w:hAnsi="Book Antiqua" w:cs="宋体"/>
          <w:b/>
          <w:bCs/>
          <w:color w:val="000000"/>
          <w:sz w:val="21"/>
          <w:szCs w:val="21"/>
        </w:rPr>
        <w:t>Buxbaum JL</w:t>
      </w:r>
      <w:r w:rsidRPr="0096584A">
        <w:rPr>
          <w:rFonts w:ascii="Book Antiqua" w:hAnsi="Book Antiqua" w:cs="宋体"/>
          <w:color w:val="000000"/>
          <w:sz w:val="21"/>
          <w:szCs w:val="21"/>
        </w:rPr>
        <w:t>, Biggins SW, Bagatelos KC, Ostroff JW. Predictors of endoscopic treatment outcomes in the management of biliary problems after liver transplantation at a high-volume academic center. </w:t>
      </w:r>
      <w:r w:rsidRPr="0096584A">
        <w:rPr>
          <w:rFonts w:ascii="Book Antiqua" w:hAnsi="Book Antiqua" w:cs="宋体"/>
          <w:i/>
          <w:iCs/>
          <w:color w:val="000000"/>
          <w:sz w:val="21"/>
          <w:szCs w:val="21"/>
        </w:rPr>
        <w:t>Gastrointest Endosc</w:t>
      </w:r>
      <w:r w:rsidRPr="0096584A">
        <w:rPr>
          <w:rFonts w:ascii="Book Antiqua" w:hAnsi="Book Antiqua" w:cs="宋体"/>
          <w:color w:val="000000"/>
          <w:sz w:val="21"/>
          <w:szCs w:val="21"/>
        </w:rPr>
        <w:t> 2011; </w:t>
      </w:r>
      <w:r w:rsidRPr="0096584A">
        <w:rPr>
          <w:rFonts w:ascii="Book Antiqua" w:hAnsi="Book Antiqua" w:cs="宋体"/>
          <w:b/>
          <w:bCs/>
          <w:color w:val="000000"/>
          <w:sz w:val="21"/>
          <w:szCs w:val="21"/>
        </w:rPr>
        <w:t>73</w:t>
      </w:r>
      <w:r w:rsidRPr="0096584A">
        <w:rPr>
          <w:rFonts w:ascii="Book Antiqua" w:hAnsi="Book Antiqua" w:cs="宋体"/>
          <w:color w:val="000000"/>
          <w:sz w:val="21"/>
          <w:szCs w:val="21"/>
        </w:rPr>
        <w:t>: 37-44 [PMID: 21074761 DOI: 10.1016/j.gie.73.37]</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12 </w:t>
      </w:r>
      <w:r w:rsidRPr="0096584A">
        <w:rPr>
          <w:rFonts w:ascii="Book Antiqua" w:hAnsi="Book Antiqua" w:cs="宋体"/>
          <w:b/>
          <w:bCs/>
          <w:color w:val="000000"/>
          <w:sz w:val="21"/>
          <w:szCs w:val="21"/>
        </w:rPr>
        <w:t>Zhou J</w:t>
      </w:r>
      <w:r w:rsidRPr="0096584A">
        <w:rPr>
          <w:rFonts w:ascii="Book Antiqua" w:hAnsi="Book Antiqua" w:cs="宋体"/>
          <w:color w:val="000000"/>
          <w:sz w:val="21"/>
          <w:szCs w:val="21"/>
        </w:rPr>
        <w:t>, Zhong DW, Wang QW, Miao XY, Xu XD. Paclitaxel ameliorates fibrosis in hepatic stellate cells via inhibition of TGF-beta/Smad activity. </w:t>
      </w:r>
      <w:r w:rsidRPr="0096584A">
        <w:rPr>
          <w:rFonts w:ascii="Book Antiqua" w:hAnsi="Book Antiqua" w:cs="宋体"/>
          <w:i/>
          <w:iCs/>
          <w:color w:val="000000"/>
          <w:sz w:val="21"/>
          <w:szCs w:val="21"/>
        </w:rPr>
        <w:t>World J Gastroenterol</w:t>
      </w:r>
      <w:r w:rsidRPr="0096584A">
        <w:rPr>
          <w:rFonts w:ascii="Book Antiqua" w:hAnsi="Book Antiqua" w:cs="宋体"/>
          <w:color w:val="000000"/>
          <w:sz w:val="21"/>
          <w:szCs w:val="21"/>
        </w:rPr>
        <w:t> 2010; </w:t>
      </w:r>
      <w:r w:rsidRPr="0096584A">
        <w:rPr>
          <w:rFonts w:ascii="Book Antiqua" w:hAnsi="Book Antiqua" w:cs="宋体"/>
          <w:b/>
          <w:bCs/>
          <w:color w:val="000000"/>
          <w:sz w:val="21"/>
          <w:szCs w:val="21"/>
        </w:rPr>
        <w:t>16</w:t>
      </w:r>
      <w:r w:rsidRPr="0096584A">
        <w:rPr>
          <w:rFonts w:ascii="Book Antiqua" w:hAnsi="Book Antiqua" w:cs="宋体"/>
          <w:color w:val="000000"/>
          <w:sz w:val="21"/>
          <w:szCs w:val="21"/>
        </w:rPr>
        <w:t>: 3330-3334 [PMID: 20614491 DOI: 10.3748/wjg.16.3330]</w:t>
      </w:r>
    </w:p>
    <w:p w:rsidR="009C3E19" w:rsidRPr="0096584A" w:rsidRDefault="009C3E19" w:rsidP="007B0525">
      <w:pPr>
        <w:adjustRightInd w:val="0"/>
        <w:snapToGrid w:val="0"/>
        <w:spacing w:line="360" w:lineRule="auto"/>
        <w:jc w:val="both"/>
        <w:rPr>
          <w:rFonts w:ascii="Book Antiqua" w:hAnsi="Book Antiqua" w:cs="宋体"/>
          <w:color w:val="000000"/>
          <w:sz w:val="21"/>
          <w:szCs w:val="21"/>
        </w:rPr>
      </w:pPr>
      <w:r w:rsidRPr="0096584A">
        <w:rPr>
          <w:rFonts w:ascii="Book Antiqua" w:hAnsi="Book Antiqua" w:cs="宋体"/>
          <w:color w:val="000000"/>
          <w:sz w:val="21"/>
          <w:szCs w:val="21"/>
        </w:rPr>
        <w:t>13 </w:t>
      </w:r>
      <w:r w:rsidRPr="0096584A">
        <w:rPr>
          <w:rFonts w:ascii="Book Antiqua" w:hAnsi="Book Antiqua" w:cs="宋体"/>
          <w:b/>
          <w:bCs/>
          <w:color w:val="000000"/>
          <w:sz w:val="21"/>
          <w:szCs w:val="21"/>
        </w:rPr>
        <w:t>Zhang D</w:t>
      </w:r>
      <w:r w:rsidRPr="0096584A">
        <w:rPr>
          <w:rFonts w:ascii="Book Antiqua" w:hAnsi="Book Antiqua" w:cs="宋体"/>
          <w:color w:val="000000"/>
          <w:sz w:val="21"/>
          <w:szCs w:val="21"/>
        </w:rPr>
        <w:t>, Sun L, Xian W, Liu F, Ling G, Xiao L, Liu Y, Peng Y, Haruna Y, Kanwar YS. Low-dose paclitaxel ameliorates renal fibrosis in rat UUO model by inhibition of TGF-beta/Smad activity. </w:t>
      </w:r>
      <w:r w:rsidRPr="0096584A">
        <w:rPr>
          <w:rFonts w:ascii="Book Antiqua" w:hAnsi="Book Antiqua" w:cs="宋体"/>
          <w:i/>
          <w:iCs/>
          <w:color w:val="000000"/>
          <w:sz w:val="21"/>
          <w:szCs w:val="21"/>
        </w:rPr>
        <w:t>Lab Invest</w:t>
      </w:r>
      <w:r w:rsidRPr="0096584A">
        <w:rPr>
          <w:rFonts w:ascii="Book Antiqua" w:hAnsi="Book Antiqua" w:cs="宋体"/>
          <w:color w:val="000000"/>
          <w:sz w:val="21"/>
          <w:szCs w:val="21"/>
        </w:rPr>
        <w:t> 2010; </w:t>
      </w:r>
      <w:r w:rsidRPr="0096584A">
        <w:rPr>
          <w:rFonts w:ascii="Book Antiqua" w:hAnsi="Book Antiqua" w:cs="宋体"/>
          <w:b/>
          <w:bCs/>
          <w:color w:val="000000"/>
          <w:sz w:val="21"/>
          <w:szCs w:val="21"/>
        </w:rPr>
        <w:t>90</w:t>
      </w:r>
      <w:r w:rsidRPr="0096584A">
        <w:rPr>
          <w:rFonts w:ascii="Book Antiqua" w:hAnsi="Book Antiqua" w:cs="宋体"/>
          <w:color w:val="000000"/>
          <w:sz w:val="21"/>
          <w:szCs w:val="21"/>
        </w:rPr>
        <w:t>: 436-447 [PMID: 20142807 DOI: 10.1038/labinvest.90.436]</w:t>
      </w:r>
    </w:p>
    <w:p w:rsidR="009C3E19" w:rsidRPr="0096584A" w:rsidRDefault="009C3E19" w:rsidP="007B0525">
      <w:pPr>
        <w:adjustRightInd w:val="0"/>
        <w:snapToGrid w:val="0"/>
        <w:spacing w:line="360" w:lineRule="auto"/>
        <w:jc w:val="both"/>
        <w:rPr>
          <w:rFonts w:ascii="Book Antiqua" w:hAnsi="Book Antiqua" w:cs="宋体"/>
          <w:sz w:val="21"/>
          <w:szCs w:val="21"/>
        </w:rPr>
      </w:pPr>
      <w:r w:rsidRPr="0096584A">
        <w:rPr>
          <w:rFonts w:ascii="Book Antiqua" w:hAnsi="Book Antiqua" w:cs="宋体"/>
          <w:sz w:val="21"/>
          <w:szCs w:val="21"/>
        </w:rPr>
        <w:t>14 </w:t>
      </w:r>
      <w:r w:rsidRPr="0096584A">
        <w:rPr>
          <w:rFonts w:ascii="Book Antiqua" w:hAnsi="Book Antiqua" w:cs="宋体"/>
          <w:b/>
          <w:bCs/>
          <w:sz w:val="21"/>
          <w:szCs w:val="21"/>
        </w:rPr>
        <w:t>Scheller B</w:t>
      </w:r>
      <w:r w:rsidRPr="0096584A">
        <w:rPr>
          <w:rFonts w:ascii="Book Antiqua" w:hAnsi="Book Antiqua" w:cs="宋体"/>
          <w:sz w:val="21"/>
          <w:szCs w:val="21"/>
        </w:rPr>
        <w:t>, Hehrlein C, Bocksch W, Rutsch W, Haghi D, Dietz U, Böhm M, Speck U. Treatment of coronary in-stent restenosis with a paclitaxel-coated balloon catheter. </w:t>
      </w:r>
      <w:r w:rsidRPr="0096584A">
        <w:rPr>
          <w:rFonts w:ascii="Book Antiqua" w:hAnsi="Book Antiqua" w:cs="宋体"/>
          <w:i/>
          <w:iCs/>
          <w:sz w:val="21"/>
          <w:szCs w:val="21"/>
        </w:rPr>
        <w:t>N Engl J Med</w:t>
      </w:r>
      <w:r w:rsidRPr="0096584A">
        <w:rPr>
          <w:rFonts w:ascii="Book Antiqua" w:hAnsi="Book Antiqua" w:cs="宋体"/>
          <w:sz w:val="21"/>
          <w:szCs w:val="21"/>
        </w:rPr>
        <w:t> 2006; </w:t>
      </w:r>
      <w:r w:rsidRPr="0096584A">
        <w:rPr>
          <w:rFonts w:ascii="Book Antiqua" w:hAnsi="Book Antiqua" w:cs="宋体"/>
          <w:b/>
          <w:bCs/>
          <w:sz w:val="21"/>
          <w:szCs w:val="21"/>
        </w:rPr>
        <w:t>355</w:t>
      </w:r>
      <w:r w:rsidRPr="0096584A">
        <w:rPr>
          <w:rFonts w:ascii="Book Antiqua" w:hAnsi="Book Antiqua" w:cs="宋体"/>
          <w:sz w:val="21"/>
          <w:szCs w:val="21"/>
        </w:rPr>
        <w:t>: 2113-2124 [PMID: 17101615 DOI: 10.1056/NEJMoa.355.2113]</w:t>
      </w:r>
    </w:p>
    <w:p w:rsidR="009C3E19" w:rsidRPr="0096584A" w:rsidRDefault="009C3E19" w:rsidP="007B0525">
      <w:pPr>
        <w:adjustRightInd w:val="0"/>
        <w:snapToGrid w:val="0"/>
        <w:spacing w:line="360" w:lineRule="auto"/>
        <w:jc w:val="both"/>
        <w:rPr>
          <w:rFonts w:ascii="Book Antiqua" w:hAnsi="Book Antiqua" w:cs="宋体"/>
          <w:sz w:val="21"/>
          <w:szCs w:val="21"/>
        </w:rPr>
      </w:pPr>
      <w:r w:rsidRPr="0096584A">
        <w:rPr>
          <w:rFonts w:ascii="Book Antiqua" w:hAnsi="Book Antiqua" w:cs="宋体"/>
          <w:sz w:val="21"/>
          <w:szCs w:val="21"/>
        </w:rPr>
        <w:t>15 </w:t>
      </w:r>
      <w:r w:rsidRPr="0096584A">
        <w:rPr>
          <w:rFonts w:ascii="Book Antiqua" w:hAnsi="Book Antiqua" w:cs="宋体"/>
          <w:b/>
          <w:bCs/>
          <w:sz w:val="21"/>
          <w:szCs w:val="21"/>
        </w:rPr>
        <w:t>Werk M</w:t>
      </w:r>
      <w:r w:rsidRPr="0096584A">
        <w:rPr>
          <w:rFonts w:ascii="Book Antiqua" w:hAnsi="Book Antiqua" w:cs="宋体"/>
          <w:sz w:val="21"/>
          <w:szCs w:val="21"/>
        </w:rPr>
        <w:t>, Albrecht T, Meyer DR, Ahmed MN, Behne A, Dietz U, Eschenbach G, Hartmann H, Lange C, Schnorr B, Stiepani H, Zoccai GB, Hänninen EL. Paclitaxel-coated balloons reduce restenosis after femoro-popliteal angioplasty: evidence from the randomized PACIFIER trial. </w:t>
      </w:r>
      <w:r w:rsidRPr="0096584A">
        <w:rPr>
          <w:rFonts w:ascii="Book Antiqua" w:hAnsi="Book Antiqua" w:cs="宋体"/>
          <w:i/>
          <w:iCs/>
          <w:sz w:val="21"/>
          <w:szCs w:val="21"/>
        </w:rPr>
        <w:t>Circ Cardiovasc Interv</w:t>
      </w:r>
      <w:r w:rsidRPr="0096584A">
        <w:rPr>
          <w:rFonts w:ascii="Book Antiqua" w:hAnsi="Book Antiqua" w:cs="宋体"/>
          <w:sz w:val="21"/>
          <w:szCs w:val="21"/>
        </w:rPr>
        <w:t> 2012; </w:t>
      </w:r>
      <w:r w:rsidRPr="0096584A">
        <w:rPr>
          <w:rFonts w:ascii="Book Antiqua" w:hAnsi="Book Antiqua" w:cs="宋体"/>
          <w:b/>
          <w:bCs/>
          <w:sz w:val="21"/>
          <w:szCs w:val="21"/>
        </w:rPr>
        <w:t>5</w:t>
      </w:r>
      <w:r w:rsidRPr="0096584A">
        <w:rPr>
          <w:rFonts w:ascii="Book Antiqua" w:hAnsi="Book Antiqua" w:cs="宋体"/>
          <w:sz w:val="21"/>
          <w:szCs w:val="21"/>
        </w:rPr>
        <w:t>: 831-840 [PMID: 23192918 DOI: 10.1161/CIRCINTERVENTIONS.5.831]</w:t>
      </w:r>
    </w:p>
    <w:p w:rsidR="009C3E19" w:rsidRPr="0096584A" w:rsidRDefault="009C3E19" w:rsidP="007B0525">
      <w:pPr>
        <w:adjustRightInd w:val="0"/>
        <w:snapToGrid w:val="0"/>
        <w:spacing w:line="360" w:lineRule="auto"/>
        <w:jc w:val="both"/>
        <w:rPr>
          <w:rFonts w:ascii="Book Antiqua" w:hAnsi="Book Antiqua" w:cs="宋体"/>
          <w:color w:val="000000"/>
          <w:sz w:val="21"/>
          <w:szCs w:val="21"/>
          <w:lang w:val="en-US"/>
        </w:rPr>
      </w:pPr>
    </w:p>
    <w:p w:rsidR="009C3E19" w:rsidRPr="007B0525" w:rsidRDefault="009C3E19" w:rsidP="007B0525">
      <w:pPr>
        <w:adjustRightInd w:val="0"/>
        <w:snapToGrid w:val="0"/>
        <w:spacing w:line="360" w:lineRule="auto"/>
        <w:ind w:left="316" w:hangingChars="150" w:hanging="316"/>
        <w:jc w:val="right"/>
        <w:rPr>
          <w:rFonts w:ascii="Book Antiqua" w:hAnsi="Book Antiqua"/>
          <w:sz w:val="21"/>
          <w:szCs w:val="21"/>
        </w:rPr>
      </w:pPr>
      <w:r w:rsidRPr="007B0525">
        <w:rPr>
          <w:rFonts w:ascii="Book Antiqua" w:hAnsi="Book Antiqua"/>
          <w:b/>
          <w:bCs/>
          <w:sz w:val="21"/>
          <w:szCs w:val="21"/>
        </w:rPr>
        <w:t>P-Reviewer</w:t>
      </w:r>
      <w:r w:rsidRPr="007B0525">
        <w:rPr>
          <w:rFonts w:ascii="Book Antiqua" w:hAnsi="Book Antiqua" w:hint="eastAsia"/>
          <w:b/>
          <w:bCs/>
          <w:sz w:val="21"/>
          <w:szCs w:val="21"/>
        </w:rPr>
        <w:t>:</w:t>
      </w:r>
      <w:r w:rsidRPr="007B0525">
        <w:rPr>
          <w:rFonts w:ascii="Book Antiqua" w:hAnsi="Book Antiqua"/>
          <w:b/>
          <w:bCs/>
          <w:sz w:val="21"/>
          <w:szCs w:val="21"/>
        </w:rPr>
        <w:t xml:space="preserve"> </w:t>
      </w:r>
      <w:r w:rsidR="007B0525" w:rsidRPr="007B0525">
        <w:rPr>
          <w:rFonts w:ascii="Book Antiqua" w:hAnsi="Book Antiqua"/>
          <w:bCs/>
          <w:sz w:val="21"/>
          <w:szCs w:val="21"/>
        </w:rPr>
        <w:t>Camellini L</w:t>
      </w:r>
      <w:r w:rsidR="007B0525" w:rsidRPr="007B0525">
        <w:rPr>
          <w:rFonts w:ascii="Book Antiqua" w:hAnsi="Book Antiqua" w:hint="eastAsia"/>
          <w:bCs/>
          <w:sz w:val="21"/>
          <w:szCs w:val="21"/>
          <w:lang w:eastAsia="zh-CN"/>
        </w:rPr>
        <w:t xml:space="preserve">, </w:t>
      </w:r>
      <w:r w:rsidR="007B0525" w:rsidRPr="007B0525">
        <w:rPr>
          <w:rFonts w:ascii="Book Antiqua" w:hAnsi="Book Antiqua"/>
          <w:bCs/>
          <w:sz w:val="21"/>
          <w:szCs w:val="21"/>
          <w:lang w:eastAsia="zh-CN"/>
        </w:rPr>
        <w:t>Guo</w:t>
      </w:r>
      <w:r w:rsidR="007B0525" w:rsidRPr="007B0525">
        <w:rPr>
          <w:rFonts w:ascii="Book Antiqua" w:hAnsi="Book Antiqua" w:hint="eastAsia"/>
          <w:bCs/>
          <w:sz w:val="21"/>
          <w:szCs w:val="21"/>
          <w:lang w:eastAsia="zh-CN"/>
        </w:rPr>
        <w:t xml:space="preserve"> </w:t>
      </w:r>
      <w:r w:rsidR="007B0525" w:rsidRPr="007B0525">
        <w:rPr>
          <w:rFonts w:ascii="Book Antiqua" w:hAnsi="Book Antiqua" w:hint="eastAsia"/>
          <w:bCs/>
          <w:caps/>
          <w:sz w:val="21"/>
          <w:szCs w:val="21"/>
          <w:lang w:eastAsia="zh-CN"/>
        </w:rPr>
        <w:t>xz</w:t>
      </w:r>
      <w:r w:rsidR="007B0525" w:rsidRPr="007B0525">
        <w:rPr>
          <w:rFonts w:ascii="Book Antiqua" w:hAnsi="Book Antiqua" w:hint="eastAsia"/>
          <w:b/>
          <w:bCs/>
          <w:sz w:val="21"/>
          <w:szCs w:val="21"/>
          <w:lang w:eastAsia="zh-CN"/>
        </w:rPr>
        <w:t xml:space="preserve"> </w:t>
      </w:r>
      <w:r w:rsidRPr="007B0525">
        <w:rPr>
          <w:rFonts w:ascii="Book Antiqua" w:hAnsi="Book Antiqua"/>
          <w:b/>
          <w:bCs/>
          <w:sz w:val="21"/>
          <w:szCs w:val="21"/>
        </w:rPr>
        <w:t>S-Editor</w:t>
      </w:r>
      <w:r w:rsidRPr="007B0525">
        <w:rPr>
          <w:rFonts w:ascii="Book Antiqua" w:hAnsi="Book Antiqua" w:hint="eastAsia"/>
          <w:b/>
          <w:bCs/>
          <w:sz w:val="21"/>
          <w:szCs w:val="21"/>
        </w:rPr>
        <w:t>:</w:t>
      </w:r>
      <w:r w:rsidRPr="007B0525">
        <w:rPr>
          <w:rFonts w:ascii="Book Antiqua" w:hAnsi="Book Antiqua"/>
          <w:sz w:val="21"/>
          <w:szCs w:val="21"/>
        </w:rPr>
        <w:t xml:space="preserve"> </w:t>
      </w:r>
      <w:r w:rsidRPr="007B0525">
        <w:rPr>
          <w:rFonts w:ascii="Book Antiqua" w:hAnsi="Book Antiqua"/>
          <w:sz w:val="21"/>
          <w:szCs w:val="21"/>
          <w:lang w:eastAsia="zh-CN"/>
        </w:rPr>
        <w:t>Ma</w:t>
      </w:r>
      <w:r w:rsidRPr="007B0525">
        <w:rPr>
          <w:rFonts w:ascii="Book Antiqua" w:hAnsi="Book Antiqua" w:hint="eastAsia"/>
          <w:sz w:val="21"/>
          <w:szCs w:val="21"/>
          <w:lang w:eastAsia="zh-CN"/>
        </w:rPr>
        <w:t xml:space="preserve"> YJ</w:t>
      </w:r>
      <w:r w:rsidRPr="007B0525">
        <w:rPr>
          <w:rFonts w:ascii="Book Antiqua" w:hAnsi="Book Antiqua"/>
          <w:sz w:val="21"/>
          <w:szCs w:val="21"/>
        </w:rPr>
        <w:t xml:space="preserve"> </w:t>
      </w:r>
      <w:r w:rsidRPr="007B0525">
        <w:rPr>
          <w:rFonts w:ascii="Book Antiqua" w:hAnsi="Book Antiqua"/>
          <w:b/>
          <w:bCs/>
          <w:sz w:val="21"/>
          <w:szCs w:val="21"/>
        </w:rPr>
        <w:t>L-Editor</w:t>
      </w:r>
      <w:r w:rsidRPr="007B0525">
        <w:rPr>
          <w:rFonts w:ascii="Book Antiqua" w:hAnsi="Book Antiqua" w:hint="eastAsia"/>
          <w:b/>
          <w:bCs/>
          <w:sz w:val="21"/>
          <w:szCs w:val="21"/>
        </w:rPr>
        <w:t>:</w:t>
      </w:r>
      <w:r w:rsidRPr="007B0525">
        <w:rPr>
          <w:rFonts w:ascii="Book Antiqua" w:hAnsi="Book Antiqua"/>
          <w:sz w:val="21"/>
          <w:szCs w:val="21"/>
        </w:rPr>
        <w:t xml:space="preserve">  </w:t>
      </w:r>
      <w:r w:rsidRPr="007B0525">
        <w:rPr>
          <w:rFonts w:ascii="Book Antiqua" w:hAnsi="Book Antiqua"/>
          <w:b/>
          <w:bCs/>
          <w:sz w:val="21"/>
          <w:szCs w:val="21"/>
        </w:rPr>
        <w:t>E-Editor</w:t>
      </w:r>
      <w:r w:rsidRPr="007B0525">
        <w:rPr>
          <w:rFonts w:ascii="Book Antiqua" w:hAnsi="Book Antiqua" w:hint="eastAsia"/>
          <w:b/>
          <w:bCs/>
          <w:sz w:val="21"/>
          <w:szCs w:val="21"/>
        </w:rPr>
        <w:t>:</w:t>
      </w:r>
    </w:p>
    <w:p w:rsidR="00B12F30" w:rsidRDefault="00B12F30" w:rsidP="007B0525">
      <w:pPr>
        <w:widowControl w:val="0"/>
        <w:adjustRightInd w:val="0"/>
        <w:snapToGrid w:val="0"/>
        <w:spacing w:line="360" w:lineRule="auto"/>
        <w:jc w:val="both"/>
        <w:rPr>
          <w:rFonts w:ascii="Book Antiqua" w:hAnsi="Book Antiqua"/>
          <w:lang w:val="en-US" w:eastAsia="zh-CN"/>
        </w:rPr>
      </w:pPr>
    </w:p>
    <w:p w:rsidR="007B0525" w:rsidRDefault="007B0525" w:rsidP="007B0525">
      <w:pPr>
        <w:widowControl w:val="0"/>
        <w:adjustRightInd w:val="0"/>
        <w:snapToGrid w:val="0"/>
        <w:spacing w:line="360" w:lineRule="auto"/>
        <w:jc w:val="both"/>
        <w:rPr>
          <w:rFonts w:ascii="Book Antiqua" w:hAnsi="Book Antiqua"/>
          <w:lang w:val="en-US" w:eastAsia="zh-CN"/>
        </w:rPr>
      </w:pPr>
      <w:r>
        <w:rPr>
          <w:rFonts w:ascii="Book Antiqua" w:hAnsi="Book Antiqua"/>
          <w:lang w:val="en-US" w:eastAsia="zh-CN"/>
        </w:rPr>
        <w:br w:type="page"/>
      </w:r>
    </w:p>
    <w:p w:rsidR="007B0525" w:rsidRPr="004E0213" w:rsidRDefault="007B0525" w:rsidP="007B0525">
      <w:pPr>
        <w:widowControl w:val="0"/>
        <w:adjustRightInd w:val="0"/>
        <w:snapToGrid w:val="0"/>
        <w:spacing w:line="360" w:lineRule="auto"/>
        <w:jc w:val="both"/>
        <w:rPr>
          <w:rFonts w:ascii="Book Antiqua" w:hAnsi="Book Antiqua"/>
          <w:lang w:val="en-US" w:eastAsia="zh-CN"/>
        </w:rPr>
      </w:pPr>
    </w:p>
    <w:p w:rsidR="00B12F30" w:rsidRPr="004E0213" w:rsidRDefault="007B0525" w:rsidP="007B0525">
      <w:pPr>
        <w:widowControl w:val="0"/>
        <w:adjustRightInd w:val="0"/>
        <w:snapToGrid w:val="0"/>
        <w:spacing w:line="360" w:lineRule="auto"/>
        <w:jc w:val="both"/>
        <w:rPr>
          <w:rFonts w:ascii="Book Antiqua" w:eastAsia="Calibri" w:hAnsi="Book Antiqua"/>
          <w:b/>
          <w:lang w:val="en-US" w:eastAsia="en-US"/>
        </w:rPr>
      </w:pPr>
      <w:r>
        <w:rPr>
          <w:rFonts w:ascii="Book Antiqua" w:eastAsia="Calibri" w:hAnsi="Book Antiqua"/>
          <w:b/>
          <w:lang w:val="en-US" w:eastAsia="en-US"/>
        </w:rPr>
        <w:t>Table 1</w:t>
      </w:r>
      <w:r w:rsidR="00B12F30" w:rsidRPr="004E0213">
        <w:rPr>
          <w:rFonts w:ascii="Book Antiqua" w:eastAsia="Calibri" w:hAnsi="Book Antiqua"/>
          <w:b/>
          <w:lang w:val="en-US" w:eastAsia="en-US"/>
        </w:rPr>
        <w:t xml:space="preserve"> Laboratory parameters</w:t>
      </w:r>
    </w:p>
    <w:tbl>
      <w:tblPr>
        <w:tblStyle w:val="HelleSchattierung1"/>
        <w:tblW w:w="0" w:type="auto"/>
        <w:tblLook w:val="04A0" w:firstRow="1" w:lastRow="0" w:firstColumn="1" w:lastColumn="0" w:noHBand="0" w:noVBand="1"/>
      </w:tblPr>
      <w:tblGrid>
        <w:gridCol w:w="2628"/>
        <w:gridCol w:w="2250"/>
        <w:gridCol w:w="2160"/>
        <w:gridCol w:w="2174"/>
      </w:tblGrid>
      <w:tr w:rsidR="00B12F30" w:rsidRPr="004E0213" w:rsidTr="007B0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rsidR="00B12F30" w:rsidRPr="004E0213" w:rsidRDefault="00B12F30" w:rsidP="007B0525">
            <w:pPr>
              <w:widowControl w:val="0"/>
              <w:adjustRightInd w:val="0"/>
              <w:snapToGrid w:val="0"/>
              <w:spacing w:line="360" w:lineRule="auto"/>
              <w:jc w:val="both"/>
              <w:rPr>
                <w:rFonts w:ascii="Book Antiqua" w:hAnsi="Book Antiqua"/>
                <w:b w:val="0"/>
                <w:lang w:val="en-US" w:eastAsia="en-US"/>
              </w:rPr>
            </w:pPr>
          </w:p>
        </w:tc>
        <w:tc>
          <w:tcPr>
            <w:tcW w:w="2250" w:type="dxa"/>
            <w:shd w:val="clear" w:color="auto" w:fill="auto"/>
            <w:hideMark/>
          </w:tcPr>
          <w:p w:rsidR="00B12F30" w:rsidRPr="004E0213" w:rsidRDefault="00B12F30" w:rsidP="007B0525">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Before intervention</w:t>
            </w:r>
          </w:p>
        </w:tc>
        <w:tc>
          <w:tcPr>
            <w:tcW w:w="2160" w:type="dxa"/>
            <w:shd w:val="clear" w:color="auto" w:fill="auto"/>
            <w:hideMark/>
          </w:tcPr>
          <w:p w:rsidR="00B12F30" w:rsidRPr="004E0213" w:rsidRDefault="00B12F30" w:rsidP="007B0525">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7 d after intervention</w:t>
            </w:r>
          </w:p>
        </w:tc>
        <w:tc>
          <w:tcPr>
            <w:tcW w:w="2174" w:type="dxa"/>
            <w:shd w:val="clear" w:color="auto" w:fill="auto"/>
            <w:hideMark/>
          </w:tcPr>
          <w:p w:rsidR="00B12F30" w:rsidRPr="004E0213" w:rsidRDefault="00B12F30" w:rsidP="007B0525">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 xml:space="preserve">24 </w:t>
            </w:r>
            <w:proofErr w:type="spellStart"/>
            <w:r w:rsidRPr="004E0213">
              <w:rPr>
                <w:rFonts w:ascii="Book Antiqua" w:hAnsi="Book Antiqua"/>
                <w:lang w:val="en-US" w:eastAsia="en-US"/>
              </w:rPr>
              <w:t>mo</w:t>
            </w:r>
            <w:proofErr w:type="spellEnd"/>
            <w:r w:rsidRPr="004E0213">
              <w:rPr>
                <w:rFonts w:ascii="Book Antiqua" w:hAnsi="Book Antiqua"/>
                <w:lang w:val="en-US" w:eastAsia="en-US"/>
              </w:rPr>
              <w:t xml:space="preserve"> after </w:t>
            </w:r>
            <w:r w:rsidRPr="004E0213">
              <w:rPr>
                <w:rFonts w:ascii="Book Antiqua" w:hAnsi="Book Antiqua"/>
                <w:bCs w:val="0"/>
                <w:lang w:val="en-US" w:eastAsia="en-US"/>
              </w:rPr>
              <w:t>last intervention</w:t>
            </w:r>
            <w:r w:rsidRPr="004E0213">
              <w:rPr>
                <w:rFonts w:ascii="Book Antiqua" w:hAnsi="Book Antiqua"/>
                <w:lang w:val="en-US" w:eastAsia="en-US"/>
              </w:rPr>
              <w:t xml:space="preserve"> </w:t>
            </w:r>
          </w:p>
        </w:tc>
      </w:tr>
      <w:tr w:rsidR="00B12F30" w:rsidRPr="004E0213" w:rsidTr="007B0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nil"/>
            </w:tcBorders>
            <w:shd w:val="clear" w:color="auto" w:fill="auto"/>
            <w:hideMark/>
          </w:tcPr>
          <w:p w:rsidR="00B12F30" w:rsidRPr="004E0213" w:rsidRDefault="00B12F30" w:rsidP="007B0525">
            <w:pPr>
              <w:widowControl w:val="0"/>
              <w:adjustRightInd w:val="0"/>
              <w:snapToGrid w:val="0"/>
              <w:spacing w:line="360" w:lineRule="auto"/>
              <w:jc w:val="both"/>
              <w:rPr>
                <w:rFonts w:ascii="Book Antiqua" w:hAnsi="Book Antiqua"/>
                <w:b w:val="0"/>
                <w:lang w:val="en-US" w:eastAsia="en-US"/>
              </w:rPr>
            </w:pPr>
            <w:r w:rsidRPr="004E0213">
              <w:rPr>
                <w:rFonts w:ascii="Book Antiqua" w:hAnsi="Book Antiqua"/>
                <w:b w:val="0"/>
                <w:bCs w:val="0"/>
                <w:lang w:val="en-US" w:eastAsia="en-US"/>
              </w:rPr>
              <w:t>Bilirubin</w:t>
            </w:r>
          </w:p>
          <w:p w:rsidR="00B12F30" w:rsidRPr="004E0213" w:rsidRDefault="00B12F30" w:rsidP="007B0525">
            <w:pPr>
              <w:widowControl w:val="0"/>
              <w:adjustRightInd w:val="0"/>
              <w:snapToGrid w:val="0"/>
              <w:spacing w:line="360" w:lineRule="auto"/>
              <w:jc w:val="both"/>
              <w:rPr>
                <w:rFonts w:ascii="Book Antiqua" w:hAnsi="Book Antiqua"/>
                <w:b w:val="0"/>
                <w:lang w:val="en-US" w:eastAsia="en-US"/>
              </w:rPr>
            </w:pPr>
            <w:r w:rsidRPr="004E0213">
              <w:rPr>
                <w:rFonts w:ascii="Book Antiqua" w:hAnsi="Book Antiqua"/>
                <w:b w:val="0"/>
                <w:bCs w:val="0"/>
                <w:lang w:val="en-US" w:eastAsia="en-US"/>
              </w:rPr>
              <w:t>(reference value &lt; 1.2 mg/</w:t>
            </w:r>
            <w:proofErr w:type="spellStart"/>
            <w:r w:rsidRPr="004E0213">
              <w:rPr>
                <w:rFonts w:ascii="Book Antiqua" w:hAnsi="Book Antiqua"/>
                <w:b w:val="0"/>
                <w:bCs w:val="0"/>
                <w:lang w:val="en-US" w:eastAsia="en-US"/>
              </w:rPr>
              <w:t>dL</w:t>
            </w:r>
            <w:proofErr w:type="spellEnd"/>
            <w:r w:rsidRPr="004E0213">
              <w:rPr>
                <w:rFonts w:ascii="Book Antiqua" w:hAnsi="Book Antiqua"/>
                <w:b w:val="0"/>
                <w:bCs w:val="0"/>
                <w:lang w:val="en-US" w:eastAsia="en-US"/>
              </w:rPr>
              <w:t>)</w:t>
            </w:r>
          </w:p>
        </w:tc>
        <w:tc>
          <w:tcPr>
            <w:tcW w:w="2250" w:type="dxa"/>
            <w:tcBorders>
              <w:top w:val="nil"/>
              <w:bottom w:val="nil"/>
            </w:tcBorders>
            <w:shd w:val="clear" w:color="auto" w:fill="auto"/>
            <w:hideMark/>
          </w:tcPr>
          <w:p w:rsidR="00B12F30" w:rsidRPr="004E0213" w:rsidRDefault="00B12F30" w:rsidP="007B0525">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6.8 ± 4.1</w:t>
            </w:r>
          </w:p>
        </w:tc>
        <w:tc>
          <w:tcPr>
            <w:tcW w:w="2160" w:type="dxa"/>
            <w:tcBorders>
              <w:top w:val="nil"/>
              <w:bottom w:val="nil"/>
            </w:tcBorders>
            <w:shd w:val="clear" w:color="auto" w:fill="auto"/>
            <w:hideMark/>
          </w:tcPr>
          <w:p w:rsidR="00B12F30" w:rsidRPr="004E0213" w:rsidRDefault="00B12F30" w:rsidP="007B0525">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2.2 ± 1.3</w:t>
            </w:r>
          </w:p>
        </w:tc>
        <w:tc>
          <w:tcPr>
            <w:tcW w:w="2174" w:type="dxa"/>
            <w:tcBorders>
              <w:top w:val="nil"/>
              <w:bottom w:val="nil"/>
            </w:tcBorders>
            <w:shd w:val="clear" w:color="auto" w:fill="auto"/>
            <w:hideMark/>
          </w:tcPr>
          <w:p w:rsidR="00B12F30" w:rsidRPr="004E0213" w:rsidRDefault="00B12F30" w:rsidP="007B0525">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1.4 ± 0.6</w:t>
            </w:r>
          </w:p>
        </w:tc>
      </w:tr>
      <w:tr w:rsidR="00B12F30" w:rsidRPr="004E0213" w:rsidTr="007B0525">
        <w:tc>
          <w:tcPr>
            <w:cnfStyle w:val="001000000000" w:firstRow="0" w:lastRow="0" w:firstColumn="1" w:lastColumn="0" w:oddVBand="0" w:evenVBand="0" w:oddHBand="0" w:evenHBand="0" w:firstRowFirstColumn="0" w:firstRowLastColumn="0" w:lastRowFirstColumn="0" w:lastRowLastColumn="0"/>
            <w:tcW w:w="2628" w:type="dxa"/>
            <w:tcBorders>
              <w:top w:val="nil"/>
              <w:left w:val="nil"/>
              <w:bottom w:val="nil"/>
              <w:right w:val="nil"/>
            </w:tcBorders>
            <w:shd w:val="clear" w:color="auto" w:fill="auto"/>
            <w:hideMark/>
          </w:tcPr>
          <w:p w:rsidR="00B12F30" w:rsidRPr="004E0213" w:rsidRDefault="00B12F30" w:rsidP="007B0525">
            <w:pPr>
              <w:widowControl w:val="0"/>
              <w:adjustRightInd w:val="0"/>
              <w:snapToGrid w:val="0"/>
              <w:spacing w:line="360" w:lineRule="auto"/>
              <w:jc w:val="both"/>
              <w:rPr>
                <w:rFonts w:ascii="Book Antiqua" w:hAnsi="Book Antiqua"/>
                <w:b w:val="0"/>
                <w:lang w:val="en-US" w:eastAsia="en-US"/>
              </w:rPr>
            </w:pPr>
            <w:r w:rsidRPr="004E0213">
              <w:rPr>
                <w:rFonts w:ascii="Book Antiqua" w:hAnsi="Book Antiqua"/>
                <w:b w:val="0"/>
                <w:bCs w:val="0"/>
                <w:lang w:val="en-US" w:eastAsia="en-US"/>
              </w:rPr>
              <w:t>GPT</w:t>
            </w:r>
          </w:p>
          <w:p w:rsidR="00B12F30" w:rsidRPr="004E0213" w:rsidRDefault="00B12F30" w:rsidP="007B0525">
            <w:pPr>
              <w:widowControl w:val="0"/>
              <w:adjustRightInd w:val="0"/>
              <w:snapToGrid w:val="0"/>
              <w:spacing w:line="360" w:lineRule="auto"/>
              <w:jc w:val="both"/>
              <w:rPr>
                <w:rFonts w:ascii="Book Antiqua" w:hAnsi="Book Antiqua"/>
                <w:b w:val="0"/>
                <w:lang w:val="en-US" w:eastAsia="en-US"/>
              </w:rPr>
            </w:pPr>
            <w:r w:rsidRPr="004E0213">
              <w:rPr>
                <w:rFonts w:ascii="Book Antiqua" w:hAnsi="Book Antiqua"/>
                <w:b w:val="0"/>
                <w:bCs w:val="0"/>
                <w:lang w:val="en-US" w:eastAsia="en-US"/>
              </w:rPr>
              <w:t>(reference value 10-35 U/L)</w:t>
            </w:r>
          </w:p>
        </w:tc>
        <w:tc>
          <w:tcPr>
            <w:tcW w:w="2250" w:type="dxa"/>
            <w:tcBorders>
              <w:top w:val="nil"/>
              <w:left w:val="nil"/>
              <w:bottom w:val="nil"/>
              <w:right w:val="nil"/>
            </w:tcBorders>
            <w:shd w:val="clear" w:color="auto" w:fill="auto"/>
            <w:hideMark/>
          </w:tcPr>
          <w:p w:rsidR="00B12F30" w:rsidRPr="004E0213" w:rsidRDefault="00B12F30" w:rsidP="007B0525">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149.1 ± 120.1</w:t>
            </w:r>
          </w:p>
        </w:tc>
        <w:tc>
          <w:tcPr>
            <w:tcW w:w="2160" w:type="dxa"/>
            <w:tcBorders>
              <w:top w:val="nil"/>
              <w:left w:val="nil"/>
              <w:bottom w:val="nil"/>
              <w:right w:val="nil"/>
            </w:tcBorders>
            <w:shd w:val="clear" w:color="auto" w:fill="auto"/>
            <w:hideMark/>
          </w:tcPr>
          <w:p w:rsidR="00B12F30" w:rsidRPr="004E0213" w:rsidRDefault="00B12F30" w:rsidP="007B0525">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51.5 ± 21.3</w:t>
            </w:r>
          </w:p>
        </w:tc>
        <w:tc>
          <w:tcPr>
            <w:tcW w:w="2174" w:type="dxa"/>
            <w:tcBorders>
              <w:top w:val="nil"/>
              <w:left w:val="nil"/>
              <w:bottom w:val="nil"/>
              <w:right w:val="nil"/>
            </w:tcBorders>
            <w:shd w:val="clear" w:color="auto" w:fill="auto"/>
            <w:hideMark/>
          </w:tcPr>
          <w:p w:rsidR="00B12F30" w:rsidRPr="004E0213" w:rsidRDefault="00B12F30" w:rsidP="007B0525">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35.1 ± 3.9</w:t>
            </w:r>
          </w:p>
        </w:tc>
      </w:tr>
      <w:tr w:rsidR="00B12F30" w:rsidRPr="004E0213" w:rsidTr="007B0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8" w:space="0" w:color="000000"/>
            </w:tcBorders>
            <w:shd w:val="clear" w:color="auto" w:fill="auto"/>
            <w:hideMark/>
          </w:tcPr>
          <w:p w:rsidR="00B12F30" w:rsidRPr="004E0213" w:rsidRDefault="00B12F30" w:rsidP="007B0525">
            <w:pPr>
              <w:widowControl w:val="0"/>
              <w:adjustRightInd w:val="0"/>
              <w:snapToGrid w:val="0"/>
              <w:spacing w:line="360" w:lineRule="auto"/>
              <w:jc w:val="both"/>
              <w:rPr>
                <w:rFonts w:ascii="Book Antiqua" w:hAnsi="Book Antiqua"/>
                <w:b w:val="0"/>
                <w:lang w:val="en-US" w:eastAsia="en-US"/>
              </w:rPr>
            </w:pPr>
            <w:r w:rsidRPr="004E0213">
              <w:rPr>
                <w:rFonts w:ascii="Book Antiqua" w:hAnsi="Book Antiqua"/>
                <w:b w:val="0"/>
                <w:bCs w:val="0"/>
                <w:lang w:val="en-US" w:eastAsia="en-US"/>
              </w:rPr>
              <w:t>GGT</w:t>
            </w:r>
          </w:p>
          <w:p w:rsidR="00B12F30" w:rsidRPr="004E0213" w:rsidRDefault="00B12F30" w:rsidP="007B0525">
            <w:pPr>
              <w:widowControl w:val="0"/>
              <w:adjustRightInd w:val="0"/>
              <w:snapToGrid w:val="0"/>
              <w:spacing w:line="360" w:lineRule="auto"/>
              <w:jc w:val="both"/>
              <w:rPr>
                <w:rFonts w:ascii="Book Antiqua" w:hAnsi="Book Antiqua"/>
                <w:b w:val="0"/>
                <w:lang w:val="en-US" w:eastAsia="en-US"/>
              </w:rPr>
            </w:pPr>
            <w:r w:rsidRPr="004E0213">
              <w:rPr>
                <w:rFonts w:ascii="Book Antiqua" w:hAnsi="Book Antiqua"/>
                <w:b w:val="0"/>
                <w:bCs w:val="0"/>
                <w:lang w:val="en-US" w:eastAsia="en-US"/>
              </w:rPr>
              <w:t>(reference value &lt; 39 U/L)</w:t>
            </w:r>
          </w:p>
        </w:tc>
        <w:tc>
          <w:tcPr>
            <w:tcW w:w="2250" w:type="dxa"/>
            <w:tcBorders>
              <w:top w:val="nil"/>
              <w:bottom w:val="single" w:sz="8" w:space="0" w:color="000000"/>
            </w:tcBorders>
            <w:shd w:val="clear" w:color="auto" w:fill="auto"/>
            <w:hideMark/>
          </w:tcPr>
          <w:p w:rsidR="00B12F30" w:rsidRPr="004E0213" w:rsidRDefault="00B12F30" w:rsidP="007B0525">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614.5 ± 330.0</w:t>
            </w:r>
          </w:p>
        </w:tc>
        <w:tc>
          <w:tcPr>
            <w:tcW w:w="2160" w:type="dxa"/>
            <w:tcBorders>
              <w:top w:val="nil"/>
              <w:bottom w:val="single" w:sz="8" w:space="0" w:color="000000"/>
            </w:tcBorders>
            <w:shd w:val="clear" w:color="auto" w:fill="auto"/>
            <w:hideMark/>
          </w:tcPr>
          <w:p w:rsidR="00B12F30" w:rsidRPr="004E0213" w:rsidRDefault="00B12F30" w:rsidP="007B0525">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107.1 ± 62.8</w:t>
            </w:r>
          </w:p>
        </w:tc>
        <w:tc>
          <w:tcPr>
            <w:tcW w:w="2174" w:type="dxa"/>
            <w:tcBorders>
              <w:top w:val="nil"/>
              <w:bottom w:val="single" w:sz="8" w:space="0" w:color="000000"/>
            </w:tcBorders>
            <w:shd w:val="clear" w:color="auto" w:fill="auto"/>
            <w:hideMark/>
          </w:tcPr>
          <w:p w:rsidR="00B12F30" w:rsidRPr="004E0213" w:rsidRDefault="00B12F30" w:rsidP="007B0525">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en-US"/>
              </w:rPr>
            </w:pPr>
            <w:r w:rsidRPr="004E0213">
              <w:rPr>
                <w:rFonts w:ascii="Book Antiqua" w:hAnsi="Book Antiqua"/>
                <w:lang w:val="en-US" w:eastAsia="en-US"/>
              </w:rPr>
              <w:t>37.7 ± 10.1</w:t>
            </w:r>
          </w:p>
        </w:tc>
      </w:tr>
    </w:tbl>
    <w:p w:rsidR="00B12F30" w:rsidRPr="004E0213" w:rsidRDefault="00B12F30" w:rsidP="007B0525">
      <w:pPr>
        <w:widowControl w:val="0"/>
        <w:adjustRightInd w:val="0"/>
        <w:snapToGrid w:val="0"/>
        <w:spacing w:line="360" w:lineRule="auto"/>
        <w:jc w:val="both"/>
        <w:rPr>
          <w:rFonts w:ascii="Book Antiqua" w:eastAsia="Calibri" w:hAnsi="Book Antiqua"/>
          <w:lang w:val="en-US" w:eastAsia="en-US"/>
        </w:rPr>
      </w:pPr>
      <w:r w:rsidRPr="004E0213">
        <w:rPr>
          <w:rFonts w:ascii="Book Antiqua" w:eastAsia="Calibri" w:hAnsi="Book Antiqua"/>
          <w:lang w:val="en-US" w:eastAsia="en-US"/>
        </w:rPr>
        <w:t>GPT: Glutamic-pyruvic transaminase; GGT: Gamma-</w:t>
      </w:r>
      <w:proofErr w:type="spellStart"/>
      <w:r w:rsidRPr="004E0213">
        <w:rPr>
          <w:rFonts w:ascii="Book Antiqua" w:eastAsia="Calibri" w:hAnsi="Book Antiqua"/>
          <w:lang w:val="en-US" w:eastAsia="en-US"/>
        </w:rPr>
        <w:t>glutamyl</w:t>
      </w:r>
      <w:proofErr w:type="spellEnd"/>
      <w:r w:rsidRPr="004E0213">
        <w:rPr>
          <w:rFonts w:ascii="Book Antiqua" w:eastAsia="Calibri" w:hAnsi="Book Antiqua"/>
          <w:lang w:val="en-US" w:eastAsia="en-US"/>
        </w:rPr>
        <w:t xml:space="preserve"> </w:t>
      </w:r>
      <w:proofErr w:type="spellStart"/>
      <w:r w:rsidRPr="004E0213">
        <w:rPr>
          <w:rFonts w:ascii="Book Antiqua" w:eastAsia="Calibri" w:hAnsi="Book Antiqua"/>
          <w:lang w:val="en-US" w:eastAsia="en-US"/>
        </w:rPr>
        <w:t>transferase</w:t>
      </w:r>
      <w:proofErr w:type="spellEnd"/>
      <w:r w:rsidRPr="004E0213">
        <w:rPr>
          <w:rFonts w:ascii="Book Antiqua" w:eastAsia="Calibri" w:hAnsi="Book Antiqua"/>
          <w:lang w:val="en-US" w:eastAsia="en-US"/>
        </w:rPr>
        <w:t>.</w:t>
      </w:r>
    </w:p>
    <w:p w:rsidR="00B12F30" w:rsidRPr="004E0213" w:rsidRDefault="00B12F30" w:rsidP="007B0525">
      <w:pPr>
        <w:widowControl w:val="0"/>
        <w:adjustRightInd w:val="0"/>
        <w:snapToGrid w:val="0"/>
        <w:spacing w:line="360" w:lineRule="auto"/>
        <w:jc w:val="both"/>
        <w:rPr>
          <w:rStyle w:val="hps"/>
          <w:rFonts w:ascii="Book Antiqua" w:hAnsi="Book Antiqua" w:cs="Calibri"/>
          <w:b/>
          <w:bCs/>
          <w:lang w:val="en-US"/>
        </w:rPr>
      </w:pPr>
    </w:p>
    <w:p w:rsidR="00B12F30" w:rsidRPr="004E0213" w:rsidRDefault="007B0525" w:rsidP="007B0525">
      <w:pPr>
        <w:widowControl w:val="0"/>
        <w:adjustRightInd w:val="0"/>
        <w:snapToGrid w:val="0"/>
        <w:spacing w:line="360" w:lineRule="auto"/>
        <w:jc w:val="both"/>
        <w:rPr>
          <w:rStyle w:val="hps"/>
          <w:rFonts w:ascii="Book Antiqua" w:hAnsi="Book Antiqua" w:cs="Calibri"/>
          <w:lang w:val="en-US"/>
        </w:rPr>
      </w:pPr>
      <w:r>
        <w:rPr>
          <w:rFonts w:ascii="Book Antiqua" w:hAnsi="Book Antiqua" w:cs="Calibri"/>
          <w:noProof/>
          <w:lang w:val="en-US" w:eastAsia="zh-CN"/>
        </w:rPr>
        <w:drawing>
          <wp:inline distT="0" distB="0" distL="0" distR="0" wp14:anchorId="7104A16F" wp14:editId="59B21569">
            <wp:extent cx="2297176" cy="755650"/>
            <wp:effectExtent l="0" t="0" r="8255" b="6350"/>
            <wp:docPr id="1" name="图片 1" descr="C:\Users\Administrator\Desktop\12436\12436\1243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2436\12436\12436-Figure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32" t="30147" r="3162" b="29412"/>
                    <a:stretch/>
                  </pic:blipFill>
                  <pic:spPr bwMode="auto">
                    <a:xfrm>
                      <a:off x="0" y="0"/>
                      <a:ext cx="2298527" cy="756094"/>
                    </a:xfrm>
                    <a:prstGeom prst="rect">
                      <a:avLst/>
                    </a:prstGeom>
                    <a:noFill/>
                    <a:ln>
                      <a:noFill/>
                    </a:ln>
                    <a:extLst>
                      <a:ext uri="{53640926-AAD7-44D8-BBD7-CCE9431645EC}">
                        <a14:shadowObscured xmlns:a14="http://schemas.microsoft.com/office/drawing/2010/main"/>
                      </a:ext>
                    </a:extLst>
                  </pic:spPr>
                </pic:pic>
              </a:graphicData>
            </a:graphic>
          </wp:inline>
        </w:drawing>
      </w:r>
    </w:p>
    <w:p w:rsidR="007B0525" w:rsidRDefault="007B0525" w:rsidP="007B0525">
      <w:pPr>
        <w:pStyle w:val="berschrift116"/>
        <w:widowControl w:val="0"/>
        <w:adjustRightInd w:val="0"/>
        <w:snapToGrid w:val="0"/>
        <w:spacing w:line="360" w:lineRule="auto"/>
        <w:jc w:val="both"/>
        <w:rPr>
          <w:rStyle w:val="hps"/>
          <w:rFonts w:ascii="Book Antiqua" w:hAnsi="Book Antiqua" w:cs="Calibri"/>
          <w:sz w:val="24"/>
          <w:szCs w:val="24"/>
          <w:lang w:val="en-US" w:eastAsia="zh-CN"/>
        </w:rPr>
      </w:pPr>
      <w:r>
        <w:rPr>
          <w:rStyle w:val="hps"/>
          <w:rFonts w:ascii="Book Antiqua" w:hAnsi="Book Antiqua" w:cs="Calibri" w:hint="eastAsia"/>
          <w:sz w:val="24"/>
          <w:szCs w:val="24"/>
          <w:lang w:val="en-US" w:eastAsia="zh-CN"/>
        </w:rPr>
        <w:t>A                  B                   C</w:t>
      </w:r>
    </w:p>
    <w:p w:rsidR="00B12F30" w:rsidRPr="004E0213" w:rsidRDefault="00B12F30" w:rsidP="007B0525">
      <w:pPr>
        <w:pStyle w:val="berschrift116"/>
        <w:widowControl w:val="0"/>
        <w:adjustRightInd w:val="0"/>
        <w:snapToGrid w:val="0"/>
        <w:spacing w:line="360" w:lineRule="auto"/>
        <w:jc w:val="both"/>
        <w:rPr>
          <w:rStyle w:val="hps"/>
          <w:rFonts w:ascii="Book Antiqua" w:hAnsi="Book Antiqua" w:cs="Calibri"/>
          <w:lang w:val="en-US"/>
        </w:rPr>
      </w:pPr>
      <w:r w:rsidRPr="004E0213">
        <w:rPr>
          <w:rStyle w:val="hps"/>
          <w:rFonts w:ascii="Book Antiqua" w:hAnsi="Book Antiqua" w:cs="Calibri"/>
          <w:sz w:val="24"/>
          <w:szCs w:val="24"/>
          <w:lang w:val="en-US"/>
        </w:rPr>
        <w:t xml:space="preserve">Figure </w:t>
      </w:r>
      <w:r w:rsidR="007B0525">
        <w:rPr>
          <w:rStyle w:val="hps"/>
          <w:rFonts w:ascii="Book Antiqua" w:hAnsi="Book Antiqua" w:cs="Calibri"/>
          <w:sz w:val="24"/>
          <w:szCs w:val="24"/>
          <w:lang w:val="en-US"/>
        </w:rPr>
        <w:t xml:space="preserve">1 </w:t>
      </w:r>
      <w:r w:rsidRPr="004E0213">
        <w:rPr>
          <w:rStyle w:val="hps"/>
          <w:rFonts w:ascii="Book Antiqua" w:hAnsi="Book Antiqua" w:cs="Calibri"/>
          <w:sz w:val="24"/>
          <w:szCs w:val="24"/>
          <w:lang w:val="en-US"/>
        </w:rPr>
        <w:t xml:space="preserve">Endoscopic therapy for a biliary anastomotic stricture. </w:t>
      </w:r>
      <w:r w:rsidRPr="004E0213">
        <w:rPr>
          <w:rStyle w:val="hps"/>
          <w:rFonts w:ascii="Book Antiqua" w:hAnsi="Book Antiqua" w:cs="Calibri"/>
          <w:b w:val="0"/>
          <w:sz w:val="24"/>
          <w:szCs w:val="24"/>
          <w:lang w:val="en-US"/>
        </w:rPr>
        <w:t>A:</w:t>
      </w:r>
      <w:r w:rsidRPr="004E0213">
        <w:rPr>
          <w:rStyle w:val="hps"/>
          <w:rFonts w:ascii="Book Antiqua" w:hAnsi="Book Antiqua" w:cs="Calibri"/>
          <w:sz w:val="24"/>
          <w:szCs w:val="24"/>
          <w:lang w:val="en-US"/>
        </w:rPr>
        <w:t xml:space="preserve"> </w:t>
      </w:r>
      <w:r w:rsidRPr="004E0213">
        <w:rPr>
          <w:rStyle w:val="hps"/>
          <w:rFonts w:ascii="Book Antiqua" w:hAnsi="Book Antiqua" w:cs="Calibri"/>
          <w:b w:val="0"/>
          <w:sz w:val="24"/>
          <w:szCs w:val="24"/>
          <w:lang w:val="en-US"/>
        </w:rPr>
        <w:t>Anastomotic stricture after liver transplantation (arrow); B: The inflated balloon has a waist at the narrowest part of the stricture (arrow); C: Resolution of the stricture after balloon dilation.</w:t>
      </w:r>
    </w:p>
    <w:p w:rsidR="00B12F30" w:rsidRPr="004E0213" w:rsidRDefault="00B12F30" w:rsidP="007B0525">
      <w:pPr>
        <w:widowControl w:val="0"/>
        <w:adjustRightInd w:val="0"/>
        <w:snapToGrid w:val="0"/>
        <w:spacing w:line="360" w:lineRule="auto"/>
        <w:jc w:val="both"/>
        <w:rPr>
          <w:rFonts w:ascii="Book Antiqua" w:hAnsi="Book Antiqua"/>
          <w:lang w:val="en-US"/>
        </w:rPr>
      </w:pPr>
    </w:p>
    <w:p w:rsidR="00B12F30" w:rsidRPr="004E0213" w:rsidRDefault="00B12F30" w:rsidP="007B0525">
      <w:pPr>
        <w:widowControl w:val="0"/>
        <w:adjustRightInd w:val="0"/>
        <w:snapToGrid w:val="0"/>
        <w:spacing w:line="360" w:lineRule="auto"/>
        <w:jc w:val="both"/>
        <w:rPr>
          <w:rFonts w:ascii="Book Antiqua" w:hAnsi="Book Antiqua"/>
          <w:lang w:val="en-US"/>
        </w:rPr>
      </w:pPr>
    </w:p>
    <w:p w:rsidR="005D2F4F" w:rsidRPr="004E0213" w:rsidRDefault="005D2F4F" w:rsidP="007B0525">
      <w:pPr>
        <w:adjustRightInd w:val="0"/>
        <w:snapToGrid w:val="0"/>
        <w:spacing w:line="360" w:lineRule="auto"/>
        <w:jc w:val="both"/>
        <w:rPr>
          <w:rFonts w:ascii="Book Antiqua" w:hAnsi="Book Antiqua"/>
          <w:lang w:val="en-US" w:eastAsia="zh-CN"/>
        </w:rPr>
      </w:pPr>
    </w:p>
    <w:sectPr w:rsidR="005D2F4F" w:rsidRPr="004E0213" w:rsidSect="00BC7D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97" w:rsidRDefault="00431297" w:rsidP="00AB1515">
      <w:r>
        <w:separator/>
      </w:r>
    </w:p>
  </w:endnote>
  <w:endnote w:type="continuationSeparator" w:id="0">
    <w:p w:rsidR="00431297" w:rsidRDefault="00431297" w:rsidP="00AB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97" w:rsidRDefault="00431297" w:rsidP="00AB1515">
      <w:r>
        <w:separator/>
      </w:r>
    </w:p>
  </w:footnote>
  <w:footnote w:type="continuationSeparator" w:id="0">
    <w:p w:rsidR="00431297" w:rsidRDefault="00431297" w:rsidP="00AB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6A"/>
    <w:multiLevelType w:val="hybridMultilevel"/>
    <w:tmpl w:val="DD28EAA8"/>
    <w:lvl w:ilvl="0" w:tplc="04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1E36311A"/>
    <w:multiLevelType w:val="hybridMultilevel"/>
    <w:tmpl w:val="032C0AB8"/>
    <w:lvl w:ilvl="0" w:tplc="7994823A">
      <w:start w:val="1"/>
      <w:numFmt w:val="decimal"/>
      <w:lvlText w:val="%1"/>
      <w:lvlJc w:val="left"/>
      <w:pPr>
        <w:tabs>
          <w:tab w:val="num" w:pos="720"/>
        </w:tabs>
        <w:ind w:left="720" w:hanging="360"/>
      </w:pPr>
      <w:rPr>
        <w:rFonts w:ascii="Calibri" w:eastAsia="Times New Roman" w:hAnsi="Calibri" w:cs="Calibri"/>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30"/>
    <w:rsid w:val="00036491"/>
    <w:rsid w:val="000E4D6F"/>
    <w:rsid w:val="001A0CFA"/>
    <w:rsid w:val="002C1156"/>
    <w:rsid w:val="003021FD"/>
    <w:rsid w:val="00312BC5"/>
    <w:rsid w:val="00431297"/>
    <w:rsid w:val="0049063D"/>
    <w:rsid w:val="004E0213"/>
    <w:rsid w:val="00543C8E"/>
    <w:rsid w:val="0056635B"/>
    <w:rsid w:val="005D2F4F"/>
    <w:rsid w:val="00624C14"/>
    <w:rsid w:val="007B0525"/>
    <w:rsid w:val="008F623E"/>
    <w:rsid w:val="00984767"/>
    <w:rsid w:val="009C3E19"/>
    <w:rsid w:val="00A568AC"/>
    <w:rsid w:val="00A846E0"/>
    <w:rsid w:val="00AB1515"/>
    <w:rsid w:val="00B12F30"/>
    <w:rsid w:val="00C84226"/>
    <w:rsid w:val="00EC633B"/>
    <w:rsid w:val="00F6321E"/>
    <w:rsid w:val="00FD57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30"/>
    <w:pPr>
      <w:spacing w:after="0" w:line="240" w:lineRule="auto"/>
    </w:pPr>
    <w:rPr>
      <w:rFonts w:ascii="Times New Roman" w:eastAsia="宋体" w:hAnsi="Times New Roman" w:cs="Times New Roman"/>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F30"/>
    <w:rPr>
      <w:color w:val="0000FF" w:themeColor="hyperlink"/>
      <w:u w:val="single"/>
    </w:rPr>
  </w:style>
  <w:style w:type="paragraph" w:customStyle="1" w:styleId="berschrift116">
    <w:name w:val="Überschrift 116"/>
    <w:basedOn w:val="a"/>
    <w:uiPriority w:val="99"/>
    <w:rsid w:val="00B12F30"/>
    <w:pPr>
      <w:spacing w:line="252" w:lineRule="atLeast"/>
      <w:outlineLvl w:val="1"/>
    </w:pPr>
    <w:rPr>
      <w:b/>
      <w:bCs/>
      <w:color w:val="000000"/>
      <w:kern w:val="36"/>
      <w:sz w:val="35"/>
      <w:szCs w:val="35"/>
    </w:rPr>
  </w:style>
  <w:style w:type="character" w:customStyle="1" w:styleId="hps">
    <w:name w:val="hps"/>
    <w:basedOn w:val="a0"/>
    <w:uiPriority w:val="99"/>
    <w:rsid w:val="00B12F30"/>
  </w:style>
  <w:style w:type="table" w:customStyle="1" w:styleId="HelleSchattierung1">
    <w:name w:val="Helle Schattierung1"/>
    <w:basedOn w:val="a1"/>
    <w:uiPriority w:val="60"/>
    <w:rsid w:val="00B12F3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4">
    <w:name w:val="Balloon Text"/>
    <w:basedOn w:val="a"/>
    <w:link w:val="Char"/>
    <w:uiPriority w:val="99"/>
    <w:semiHidden/>
    <w:unhideWhenUsed/>
    <w:rsid w:val="00B12F30"/>
    <w:rPr>
      <w:rFonts w:ascii="Tahoma" w:hAnsi="Tahoma" w:cs="Tahoma"/>
      <w:sz w:val="16"/>
      <w:szCs w:val="16"/>
    </w:rPr>
  </w:style>
  <w:style w:type="character" w:customStyle="1" w:styleId="Char">
    <w:name w:val="批注框文本 Char"/>
    <w:basedOn w:val="a0"/>
    <w:link w:val="a4"/>
    <w:uiPriority w:val="99"/>
    <w:semiHidden/>
    <w:rsid w:val="00B12F30"/>
    <w:rPr>
      <w:rFonts w:ascii="Tahoma" w:eastAsia="宋体" w:hAnsi="Tahoma" w:cs="Tahoma"/>
      <w:sz w:val="16"/>
      <w:szCs w:val="16"/>
      <w:lang w:eastAsia="de-DE"/>
    </w:rPr>
  </w:style>
  <w:style w:type="paragraph" w:styleId="a5">
    <w:name w:val="header"/>
    <w:basedOn w:val="a"/>
    <w:link w:val="Char0"/>
    <w:uiPriority w:val="99"/>
    <w:unhideWhenUsed/>
    <w:rsid w:val="00AB15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B1515"/>
    <w:rPr>
      <w:rFonts w:ascii="Times New Roman" w:eastAsia="宋体" w:hAnsi="Times New Roman" w:cs="Times New Roman"/>
      <w:sz w:val="18"/>
      <w:szCs w:val="18"/>
      <w:lang w:eastAsia="de-DE"/>
    </w:rPr>
  </w:style>
  <w:style w:type="paragraph" w:styleId="a6">
    <w:name w:val="footer"/>
    <w:basedOn w:val="a"/>
    <w:link w:val="Char1"/>
    <w:uiPriority w:val="99"/>
    <w:unhideWhenUsed/>
    <w:rsid w:val="00AB1515"/>
    <w:pPr>
      <w:tabs>
        <w:tab w:val="center" w:pos="4153"/>
        <w:tab w:val="right" w:pos="8306"/>
      </w:tabs>
      <w:snapToGrid w:val="0"/>
    </w:pPr>
    <w:rPr>
      <w:sz w:val="18"/>
      <w:szCs w:val="18"/>
    </w:rPr>
  </w:style>
  <w:style w:type="character" w:customStyle="1" w:styleId="Char1">
    <w:name w:val="页脚 Char"/>
    <w:basedOn w:val="a0"/>
    <w:link w:val="a6"/>
    <w:uiPriority w:val="99"/>
    <w:rsid w:val="00AB1515"/>
    <w:rPr>
      <w:rFonts w:ascii="Times New Roman" w:eastAsia="宋体" w:hAnsi="Times New Roman" w:cs="Times New Roman"/>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30"/>
    <w:pPr>
      <w:spacing w:after="0" w:line="240" w:lineRule="auto"/>
    </w:pPr>
    <w:rPr>
      <w:rFonts w:ascii="Times New Roman" w:eastAsia="宋体" w:hAnsi="Times New Roman" w:cs="Times New Roman"/>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F30"/>
    <w:rPr>
      <w:color w:val="0000FF" w:themeColor="hyperlink"/>
      <w:u w:val="single"/>
    </w:rPr>
  </w:style>
  <w:style w:type="paragraph" w:customStyle="1" w:styleId="berschrift116">
    <w:name w:val="Überschrift 116"/>
    <w:basedOn w:val="a"/>
    <w:uiPriority w:val="99"/>
    <w:rsid w:val="00B12F30"/>
    <w:pPr>
      <w:spacing w:line="252" w:lineRule="atLeast"/>
      <w:outlineLvl w:val="1"/>
    </w:pPr>
    <w:rPr>
      <w:b/>
      <w:bCs/>
      <w:color w:val="000000"/>
      <w:kern w:val="36"/>
      <w:sz w:val="35"/>
      <w:szCs w:val="35"/>
    </w:rPr>
  </w:style>
  <w:style w:type="character" w:customStyle="1" w:styleId="hps">
    <w:name w:val="hps"/>
    <w:basedOn w:val="a0"/>
    <w:uiPriority w:val="99"/>
    <w:rsid w:val="00B12F30"/>
  </w:style>
  <w:style w:type="table" w:customStyle="1" w:styleId="HelleSchattierung1">
    <w:name w:val="Helle Schattierung1"/>
    <w:basedOn w:val="a1"/>
    <w:uiPriority w:val="60"/>
    <w:rsid w:val="00B12F3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4">
    <w:name w:val="Balloon Text"/>
    <w:basedOn w:val="a"/>
    <w:link w:val="Char"/>
    <w:uiPriority w:val="99"/>
    <w:semiHidden/>
    <w:unhideWhenUsed/>
    <w:rsid w:val="00B12F30"/>
    <w:rPr>
      <w:rFonts w:ascii="Tahoma" w:hAnsi="Tahoma" w:cs="Tahoma"/>
      <w:sz w:val="16"/>
      <w:szCs w:val="16"/>
    </w:rPr>
  </w:style>
  <w:style w:type="character" w:customStyle="1" w:styleId="Char">
    <w:name w:val="批注框文本 Char"/>
    <w:basedOn w:val="a0"/>
    <w:link w:val="a4"/>
    <w:uiPriority w:val="99"/>
    <w:semiHidden/>
    <w:rsid w:val="00B12F30"/>
    <w:rPr>
      <w:rFonts w:ascii="Tahoma" w:eastAsia="宋体" w:hAnsi="Tahoma" w:cs="Tahoma"/>
      <w:sz w:val="16"/>
      <w:szCs w:val="16"/>
      <w:lang w:eastAsia="de-DE"/>
    </w:rPr>
  </w:style>
  <w:style w:type="paragraph" w:styleId="a5">
    <w:name w:val="header"/>
    <w:basedOn w:val="a"/>
    <w:link w:val="Char0"/>
    <w:uiPriority w:val="99"/>
    <w:unhideWhenUsed/>
    <w:rsid w:val="00AB15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B1515"/>
    <w:rPr>
      <w:rFonts w:ascii="Times New Roman" w:eastAsia="宋体" w:hAnsi="Times New Roman" w:cs="Times New Roman"/>
      <w:sz w:val="18"/>
      <w:szCs w:val="18"/>
      <w:lang w:eastAsia="de-DE"/>
    </w:rPr>
  </w:style>
  <w:style w:type="paragraph" w:styleId="a6">
    <w:name w:val="footer"/>
    <w:basedOn w:val="a"/>
    <w:link w:val="Char1"/>
    <w:uiPriority w:val="99"/>
    <w:unhideWhenUsed/>
    <w:rsid w:val="00AB1515"/>
    <w:pPr>
      <w:tabs>
        <w:tab w:val="center" w:pos="4153"/>
        <w:tab w:val="right" w:pos="8306"/>
      </w:tabs>
      <w:snapToGrid w:val="0"/>
    </w:pPr>
    <w:rPr>
      <w:sz w:val="18"/>
      <w:szCs w:val="18"/>
    </w:rPr>
  </w:style>
  <w:style w:type="character" w:customStyle="1" w:styleId="Char1">
    <w:name w:val="页脚 Char"/>
    <w:basedOn w:val="a0"/>
    <w:link w:val="a6"/>
    <w:uiPriority w:val="99"/>
    <w:rsid w:val="00AB1515"/>
    <w:rPr>
      <w:rFonts w:ascii="Times New Roman" w:eastAsia="宋体"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3172</Words>
  <Characters>18084</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Kabar, Iyad</dc:creator>
  <cp:lastModifiedBy>LS Ma</cp:lastModifiedBy>
  <cp:revision>2</cp:revision>
  <dcterms:created xsi:type="dcterms:W3CDTF">2014-10-13T22:06:00Z</dcterms:created>
  <dcterms:modified xsi:type="dcterms:W3CDTF">2014-10-13T22:06:00Z</dcterms:modified>
</cp:coreProperties>
</file>