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6F53" w:rsidRPr="006A4D75" w:rsidRDefault="00986F53" w:rsidP="0037002B">
      <w:pPr>
        <w:widowControl/>
        <w:spacing w:line="360" w:lineRule="auto"/>
        <w:rPr>
          <w:rFonts w:ascii="Book Antiqua" w:hAnsi="Book Antiqua"/>
          <w:b/>
          <w:kern w:val="0"/>
          <w:sz w:val="24"/>
          <w:lang w:eastAsia="en-US"/>
        </w:rPr>
      </w:pPr>
      <w:r w:rsidRPr="006A4D75">
        <w:rPr>
          <w:rFonts w:ascii="Book Antiqua" w:hAnsi="Book Antiqua"/>
          <w:b/>
          <w:kern w:val="0"/>
          <w:sz w:val="24"/>
          <w:lang w:eastAsia="en-US"/>
        </w:rPr>
        <w:t>Name of journal: World Journal of Hematology</w:t>
      </w:r>
    </w:p>
    <w:p w:rsidR="00986F53" w:rsidRPr="006A4D75" w:rsidRDefault="00986F53" w:rsidP="0037002B">
      <w:pPr>
        <w:widowControl/>
        <w:spacing w:line="360" w:lineRule="auto"/>
        <w:rPr>
          <w:rFonts w:ascii="Book Antiqua" w:hAnsi="Book Antiqua"/>
          <w:b/>
          <w:kern w:val="0"/>
          <w:sz w:val="24"/>
          <w:lang w:eastAsia="en-US"/>
        </w:rPr>
      </w:pPr>
      <w:r w:rsidRPr="006A4D75">
        <w:rPr>
          <w:rFonts w:ascii="Book Antiqua" w:hAnsi="Book Antiqua"/>
          <w:b/>
          <w:kern w:val="0"/>
          <w:sz w:val="24"/>
          <w:lang w:eastAsia="en-US"/>
        </w:rPr>
        <w:t>ESPS Manuscript NO: 12627</w:t>
      </w:r>
    </w:p>
    <w:p w:rsidR="00986F53" w:rsidRPr="006A4D75" w:rsidRDefault="00986F53" w:rsidP="0037002B">
      <w:pPr>
        <w:widowControl/>
        <w:spacing w:line="360" w:lineRule="auto"/>
        <w:rPr>
          <w:rFonts w:ascii="Book Antiqua" w:hAnsi="Book Antiqua"/>
          <w:b/>
          <w:kern w:val="0"/>
          <w:sz w:val="24"/>
          <w:lang w:eastAsia="en-US"/>
        </w:rPr>
      </w:pPr>
      <w:r w:rsidRPr="006A4D75">
        <w:rPr>
          <w:rFonts w:ascii="Book Antiqua" w:hAnsi="Book Antiqua"/>
          <w:b/>
          <w:kern w:val="0"/>
          <w:sz w:val="24"/>
          <w:lang w:eastAsia="en-US"/>
        </w:rPr>
        <w:t>Columns: Case Report</w:t>
      </w:r>
    </w:p>
    <w:p w:rsidR="00986F53" w:rsidRPr="006A4D75" w:rsidRDefault="00986F53" w:rsidP="0037002B">
      <w:pPr>
        <w:spacing w:line="360" w:lineRule="auto"/>
        <w:rPr>
          <w:rFonts w:ascii="Book Antiqua" w:hAnsi="Book Antiqua"/>
          <w:sz w:val="24"/>
          <w:szCs w:val="24"/>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Intravascular proliferating anaplastic lymphoma kinase-positive anaplastic large-cell lymphoma</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eastAsia="宋体" w:hAnsi="Book Antiqua"/>
          <w:sz w:val="24"/>
          <w:szCs w:val="24"/>
          <w:lang w:eastAsia="zh-CN"/>
        </w:rPr>
      </w:pPr>
      <w:r w:rsidRPr="006A4D75">
        <w:rPr>
          <w:rFonts w:ascii="Book Antiqua" w:hAnsi="Book Antiqua"/>
          <w:sz w:val="24"/>
          <w:szCs w:val="24"/>
        </w:rPr>
        <w:t>Shiroshita</w:t>
      </w:r>
      <w:r w:rsidRPr="006A4D75">
        <w:rPr>
          <w:rFonts w:ascii="Book Antiqua" w:eastAsia="宋体" w:hAnsi="Book Antiqua"/>
          <w:sz w:val="24"/>
          <w:szCs w:val="24"/>
          <w:lang w:eastAsia="zh-CN"/>
        </w:rPr>
        <w:t xml:space="preserve"> K </w:t>
      </w:r>
      <w:r w:rsidRPr="006A4D75">
        <w:rPr>
          <w:rFonts w:ascii="Book Antiqua" w:eastAsia="宋体" w:hAnsi="Book Antiqua"/>
          <w:i/>
          <w:sz w:val="24"/>
          <w:szCs w:val="24"/>
          <w:lang w:eastAsia="zh-CN"/>
        </w:rPr>
        <w:t>et al</w:t>
      </w:r>
      <w:r w:rsidRPr="006A4D75">
        <w:rPr>
          <w:rFonts w:ascii="Book Antiqua" w:eastAsia="宋体" w:hAnsi="Book Antiqua"/>
          <w:sz w:val="24"/>
          <w:szCs w:val="24"/>
          <w:lang w:eastAsia="zh-CN"/>
        </w:rPr>
        <w:t xml:space="preserve">. </w:t>
      </w:r>
      <w:r w:rsidRPr="006A4D75">
        <w:rPr>
          <w:rFonts w:ascii="Book Antiqua" w:hAnsi="Book Antiqua"/>
          <w:sz w:val="24"/>
          <w:szCs w:val="24"/>
        </w:rPr>
        <w:t>Intravascular ALK</w:t>
      </w:r>
      <w:r w:rsidRPr="006A4D75">
        <w:rPr>
          <w:rFonts w:ascii="Book Antiqua" w:hAnsi="Book Antiqua"/>
          <w:sz w:val="24"/>
          <w:szCs w:val="24"/>
          <w:vertAlign w:val="superscript"/>
        </w:rPr>
        <w:t>+</w:t>
      </w:r>
      <w:r w:rsidRPr="006A4D75">
        <w:rPr>
          <w:rFonts w:ascii="Book Antiqua" w:hAnsi="Book Antiqua"/>
          <w:sz w:val="24"/>
          <w:szCs w:val="24"/>
        </w:rPr>
        <w:t xml:space="preserve"> ALCL</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sz w:val="24"/>
          <w:szCs w:val="24"/>
        </w:rPr>
        <w:t>Kohei Shiroshita, Jun-ichiro Kida, Kensuke Matsumoto, Makiko Uemura, Genji Yamaoka, Yumi Miyai, Reiji Haba, Osamu Imataki</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Kohei Shiroshita</w:t>
      </w:r>
      <w:r w:rsidRPr="006A4D75">
        <w:rPr>
          <w:rFonts w:ascii="Book Antiqua" w:eastAsia="Times New Roman" w:hAnsi="Book Antiqua"/>
          <w:sz w:val="24"/>
          <w:szCs w:val="24"/>
          <w:lang w:eastAsia="zh-CN"/>
        </w:rPr>
        <w:t xml:space="preserve">, </w:t>
      </w:r>
      <w:r w:rsidRPr="006A4D75">
        <w:rPr>
          <w:rFonts w:ascii="Book Antiqua" w:hAnsi="Book Antiqua"/>
          <w:sz w:val="24"/>
          <w:szCs w:val="24"/>
        </w:rPr>
        <w:t>Post-Graduate Clinical Training Center, Kagawa University Hospital, Kagawa</w:t>
      </w:r>
      <w:r w:rsidRPr="006A4D75">
        <w:rPr>
          <w:rFonts w:ascii="Book Antiqua" w:eastAsia="宋体" w:hAnsi="Book Antiqua"/>
          <w:sz w:val="24"/>
          <w:szCs w:val="24"/>
          <w:lang w:eastAsia="zh-CN"/>
        </w:rPr>
        <w:t xml:space="preserve"> </w:t>
      </w:r>
      <w:r w:rsidRPr="006A4D75">
        <w:rPr>
          <w:rFonts w:ascii="Book Antiqua" w:hAnsi="Book Antiqua"/>
          <w:sz w:val="24"/>
          <w:szCs w:val="24"/>
        </w:rPr>
        <w:t>761-0793, Japan</w:t>
      </w: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Jun-ichiro Kida</w:t>
      </w:r>
      <w:r w:rsidRPr="006A4D75">
        <w:rPr>
          <w:rFonts w:ascii="Book Antiqua" w:eastAsia="Times New Roman" w:hAnsi="Book Antiqua"/>
          <w:b/>
          <w:sz w:val="24"/>
          <w:szCs w:val="24"/>
          <w:lang w:eastAsia="zh-CN"/>
        </w:rPr>
        <w:t xml:space="preserve">, </w:t>
      </w:r>
      <w:r w:rsidRPr="006A4D75">
        <w:rPr>
          <w:rFonts w:ascii="Book Antiqua" w:hAnsi="Book Antiqua"/>
          <w:b/>
          <w:sz w:val="24"/>
          <w:szCs w:val="24"/>
        </w:rPr>
        <w:t>Kensuke Matsumoto</w:t>
      </w:r>
      <w:r w:rsidRPr="006A4D75">
        <w:rPr>
          <w:rFonts w:ascii="Book Antiqua" w:eastAsia="Times New Roman" w:hAnsi="Book Antiqua"/>
          <w:b/>
          <w:sz w:val="24"/>
          <w:szCs w:val="24"/>
          <w:lang w:eastAsia="zh-CN"/>
        </w:rPr>
        <w:t xml:space="preserve">, </w:t>
      </w:r>
      <w:r w:rsidRPr="006A4D75">
        <w:rPr>
          <w:rFonts w:ascii="Book Antiqua" w:hAnsi="Book Antiqua"/>
          <w:b/>
          <w:sz w:val="24"/>
          <w:szCs w:val="24"/>
        </w:rPr>
        <w:t>Makiko Uemura</w:t>
      </w:r>
      <w:r w:rsidRPr="006A4D75">
        <w:rPr>
          <w:rFonts w:ascii="Book Antiqua" w:eastAsia="Times New Roman" w:hAnsi="Book Antiqua"/>
          <w:b/>
          <w:sz w:val="24"/>
          <w:szCs w:val="24"/>
          <w:lang w:eastAsia="zh-CN"/>
        </w:rPr>
        <w:t xml:space="preserve">, </w:t>
      </w:r>
      <w:r w:rsidRPr="006A4D75">
        <w:rPr>
          <w:rFonts w:ascii="Book Antiqua" w:hAnsi="Book Antiqua"/>
          <w:b/>
          <w:sz w:val="24"/>
          <w:szCs w:val="24"/>
        </w:rPr>
        <w:t>Osamu Imataki</w:t>
      </w:r>
      <w:r w:rsidRPr="006A4D75">
        <w:rPr>
          <w:rFonts w:ascii="Book Antiqua" w:eastAsia="Times New Roman" w:hAnsi="Book Antiqua"/>
          <w:b/>
          <w:sz w:val="24"/>
          <w:szCs w:val="24"/>
          <w:lang w:eastAsia="zh-CN"/>
        </w:rPr>
        <w:t>,</w:t>
      </w:r>
      <w:r w:rsidRPr="006A4D75">
        <w:rPr>
          <w:rFonts w:ascii="Book Antiqua" w:eastAsia="Times New Roman" w:hAnsi="Book Antiqua"/>
          <w:sz w:val="24"/>
          <w:szCs w:val="24"/>
          <w:lang w:eastAsia="zh-CN"/>
        </w:rPr>
        <w:t xml:space="preserve"> </w:t>
      </w:r>
      <w:r w:rsidRPr="006A4D75">
        <w:rPr>
          <w:rFonts w:ascii="Book Antiqua" w:hAnsi="Book Antiqua"/>
          <w:sz w:val="24"/>
          <w:szCs w:val="24"/>
        </w:rPr>
        <w:t>Division of Hematology and Stem Cell Transplantation, Department of Internal Medicine, Faculty of Medicine, Kagawa University, Kagawa</w:t>
      </w:r>
      <w:r w:rsidRPr="006A4D75">
        <w:rPr>
          <w:rFonts w:ascii="Book Antiqua" w:eastAsia="宋体" w:hAnsi="Book Antiqua"/>
          <w:sz w:val="24"/>
          <w:szCs w:val="24"/>
          <w:lang w:eastAsia="zh-CN"/>
        </w:rPr>
        <w:t xml:space="preserve"> </w:t>
      </w:r>
      <w:r w:rsidRPr="006A4D75">
        <w:rPr>
          <w:rFonts w:ascii="Book Antiqua" w:hAnsi="Book Antiqua"/>
          <w:sz w:val="24"/>
          <w:szCs w:val="24"/>
        </w:rPr>
        <w:t>761-0793, Japan</w:t>
      </w: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Genji Yamaoka</w:t>
      </w:r>
      <w:r w:rsidRPr="006A4D75">
        <w:rPr>
          <w:rFonts w:ascii="Book Antiqua" w:eastAsia="Times New Roman" w:hAnsi="Book Antiqua"/>
          <w:sz w:val="24"/>
          <w:szCs w:val="24"/>
          <w:lang w:eastAsia="zh-CN"/>
        </w:rPr>
        <w:t xml:space="preserve">, </w:t>
      </w:r>
      <w:r w:rsidRPr="006A4D75">
        <w:rPr>
          <w:rFonts w:ascii="Book Antiqua" w:hAnsi="Book Antiqua"/>
          <w:sz w:val="24"/>
          <w:szCs w:val="24"/>
        </w:rPr>
        <w:t>Department of Laboratory Medicine, Kagawa University Hospital, Kagawa</w:t>
      </w:r>
      <w:r w:rsidRPr="006A4D75">
        <w:rPr>
          <w:rFonts w:ascii="Book Antiqua" w:eastAsia="宋体" w:hAnsi="Book Antiqua"/>
          <w:sz w:val="24"/>
          <w:szCs w:val="24"/>
          <w:lang w:eastAsia="zh-CN"/>
        </w:rPr>
        <w:t xml:space="preserve"> </w:t>
      </w:r>
      <w:r w:rsidRPr="006A4D75">
        <w:rPr>
          <w:rFonts w:ascii="Book Antiqua" w:hAnsi="Book Antiqua"/>
          <w:sz w:val="24"/>
          <w:szCs w:val="24"/>
        </w:rPr>
        <w:t>761-0793, Japan</w:t>
      </w: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Yumi Miyai</w:t>
      </w:r>
      <w:r w:rsidRPr="006A4D75">
        <w:rPr>
          <w:rFonts w:ascii="Book Antiqua" w:eastAsia="Times New Roman" w:hAnsi="Book Antiqua"/>
          <w:b/>
          <w:sz w:val="24"/>
          <w:szCs w:val="24"/>
          <w:lang w:eastAsia="zh-CN"/>
        </w:rPr>
        <w:t xml:space="preserve">, </w:t>
      </w:r>
      <w:r w:rsidRPr="006A4D75">
        <w:rPr>
          <w:rFonts w:ascii="Book Antiqua" w:hAnsi="Book Antiqua"/>
          <w:b/>
          <w:sz w:val="24"/>
          <w:szCs w:val="24"/>
        </w:rPr>
        <w:t>Reiji Haba</w:t>
      </w:r>
      <w:r w:rsidRPr="006A4D75">
        <w:rPr>
          <w:rFonts w:ascii="Book Antiqua" w:eastAsia="Times New Roman" w:hAnsi="Book Antiqua"/>
          <w:sz w:val="24"/>
          <w:szCs w:val="24"/>
          <w:lang w:eastAsia="zh-CN"/>
        </w:rPr>
        <w:t xml:space="preserve">, </w:t>
      </w:r>
      <w:r w:rsidRPr="006A4D75">
        <w:rPr>
          <w:rFonts w:ascii="Book Antiqua" w:hAnsi="Book Antiqua"/>
          <w:sz w:val="24"/>
          <w:szCs w:val="24"/>
        </w:rPr>
        <w:t>Department of Diagnostic Pathology, Faculty of Medicine, Kagawa University, Kagawa</w:t>
      </w:r>
      <w:r w:rsidRPr="006A4D75">
        <w:rPr>
          <w:rFonts w:ascii="Book Antiqua" w:eastAsia="宋体" w:hAnsi="Book Antiqua"/>
          <w:sz w:val="24"/>
          <w:szCs w:val="24"/>
          <w:lang w:eastAsia="zh-CN"/>
        </w:rPr>
        <w:t xml:space="preserve"> </w:t>
      </w:r>
      <w:r w:rsidRPr="006A4D75">
        <w:rPr>
          <w:rFonts w:ascii="Book Antiqua" w:hAnsi="Book Antiqua"/>
          <w:sz w:val="24"/>
          <w:szCs w:val="24"/>
        </w:rPr>
        <w:t>761-0793, Japan</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b/>
          <w:sz w:val="24"/>
        </w:rPr>
      </w:pPr>
      <w:r w:rsidRPr="006A4D75">
        <w:rPr>
          <w:rFonts w:ascii="Book Antiqua" w:hAnsi="Book Antiqua"/>
          <w:b/>
          <w:sz w:val="24"/>
        </w:rPr>
        <w:t>Author contributions:</w:t>
      </w:r>
      <w:r w:rsidRPr="006A4D75">
        <w:rPr>
          <w:rFonts w:ascii="Book Antiqua" w:eastAsia="宋体" w:hAnsi="Book Antiqua"/>
          <w:b/>
          <w:sz w:val="24"/>
          <w:lang w:eastAsia="zh-CN"/>
        </w:rPr>
        <w:t xml:space="preserve"> </w:t>
      </w:r>
      <w:r w:rsidRPr="006A4D75">
        <w:rPr>
          <w:rFonts w:ascii="Book Antiqua" w:hAnsi="Book Antiqua"/>
          <w:sz w:val="24"/>
          <w:szCs w:val="24"/>
        </w:rPr>
        <w:t>Shiroshita</w:t>
      </w:r>
      <w:r w:rsidRPr="006A4D75">
        <w:rPr>
          <w:rFonts w:ascii="Book Antiqua" w:eastAsia="宋体" w:hAnsi="Book Antiqua"/>
          <w:sz w:val="24"/>
          <w:szCs w:val="24"/>
          <w:lang w:eastAsia="zh-CN"/>
        </w:rPr>
        <w:t xml:space="preserve"> K</w:t>
      </w:r>
      <w:r w:rsidRPr="006A4D75">
        <w:rPr>
          <w:rFonts w:ascii="Book Antiqua" w:hAnsi="Book Antiqua"/>
          <w:sz w:val="24"/>
          <w:szCs w:val="24"/>
        </w:rPr>
        <w:t xml:space="preserve"> and Imataki</w:t>
      </w:r>
      <w:r w:rsidRPr="006A4D75">
        <w:rPr>
          <w:rFonts w:ascii="Book Antiqua" w:eastAsia="宋体" w:hAnsi="Book Antiqua"/>
          <w:sz w:val="24"/>
          <w:szCs w:val="24"/>
          <w:lang w:eastAsia="zh-CN"/>
        </w:rPr>
        <w:t xml:space="preserve"> O</w:t>
      </w:r>
      <w:r w:rsidRPr="006A4D75">
        <w:rPr>
          <w:rFonts w:ascii="Book Antiqua" w:hAnsi="Book Antiqua"/>
          <w:sz w:val="24"/>
          <w:szCs w:val="24"/>
        </w:rPr>
        <w:t xml:space="preserve"> contributed equally to this work; Shiroshita</w:t>
      </w:r>
      <w:r w:rsidRPr="006A4D75">
        <w:rPr>
          <w:rFonts w:ascii="Book Antiqua" w:eastAsia="宋体" w:hAnsi="Book Antiqua"/>
          <w:sz w:val="24"/>
          <w:szCs w:val="24"/>
          <w:lang w:eastAsia="zh-CN"/>
        </w:rPr>
        <w:t xml:space="preserve"> K</w:t>
      </w:r>
      <w:r w:rsidRPr="006A4D75">
        <w:rPr>
          <w:rFonts w:ascii="Book Antiqua" w:hAnsi="Book Antiqua"/>
          <w:sz w:val="24"/>
          <w:szCs w:val="24"/>
        </w:rPr>
        <w:t xml:space="preserve"> and Imataki</w:t>
      </w:r>
      <w:r w:rsidRPr="006A4D75">
        <w:rPr>
          <w:rFonts w:ascii="Book Antiqua" w:eastAsia="宋体" w:hAnsi="Book Antiqua"/>
          <w:sz w:val="24"/>
          <w:szCs w:val="24"/>
          <w:lang w:eastAsia="zh-CN"/>
        </w:rPr>
        <w:t xml:space="preserve"> O</w:t>
      </w:r>
      <w:r w:rsidRPr="006A4D75">
        <w:rPr>
          <w:rFonts w:ascii="Book Antiqua" w:hAnsi="Book Antiqua"/>
          <w:sz w:val="24"/>
          <w:szCs w:val="24"/>
        </w:rPr>
        <w:t xml:space="preserve"> wrote the manuscript; Kida</w:t>
      </w:r>
      <w:r w:rsidRPr="006A4D75">
        <w:rPr>
          <w:rFonts w:ascii="Book Antiqua" w:eastAsia="宋体" w:hAnsi="Book Antiqua"/>
          <w:sz w:val="24"/>
          <w:szCs w:val="24"/>
          <w:lang w:eastAsia="zh-CN"/>
        </w:rPr>
        <w:t xml:space="preserve"> J</w:t>
      </w:r>
      <w:r w:rsidRPr="006A4D75">
        <w:rPr>
          <w:rFonts w:ascii="Book Antiqua" w:hAnsi="Book Antiqua"/>
          <w:sz w:val="24"/>
          <w:szCs w:val="24"/>
        </w:rPr>
        <w:t xml:space="preserve"> and Matsumoto</w:t>
      </w:r>
      <w:r w:rsidRPr="006A4D75">
        <w:rPr>
          <w:rFonts w:ascii="Book Antiqua" w:eastAsia="宋体" w:hAnsi="Book Antiqua"/>
          <w:sz w:val="24"/>
          <w:szCs w:val="24"/>
          <w:lang w:eastAsia="zh-CN"/>
        </w:rPr>
        <w:t xml:space="preserve"> K</w:t>
      </w:r>
      <w:r w:rsidRPr="006A4D75">
        <w:rPr>
          <w:rFonts w:ascii="Book Antiqua" w:hAnsi="Book Antiqua"/>
          <w:sz w:val="24"/>
          <w:szCs w:val="24"/>
        </w:rPr>
        <w:t xml:space="preserve"> designed the research; Uemura</w:t>
      </w:r>
      <w:r w:rsidRPr="006A4D75">
        <w:rPr>
          <w:rFonts w:ascii="Book Antiqua" w:eastAsia="宋体" w:hAnsi="Book Antiqua"/>
          <w:sz w:val="24"/>
          <w:szCs w:val="24"/>
          <w:lang w:eastAsia="zh-CN"/>
        </w:rPr>
        <w:t xml:space="preserve"> M</w:t>
      </w:r>
      <w:r w:rsidRPr="006A4D75">
        <w:rPr>
          <w:rFonts w:ascii="Book Antiqua" w:hAnsi="Book Antiqua"/>
          <w:sz w:val="24"/>
          <w:szCs w:val="24"/>
        </w:rPr>
        <w:t xml:space="preserve"> essentially contributed to the treatment of the case; Yamaoka</w:t>
      </w:r>
      <w:r w:rsidRPr="006A4D75">
        <w:rPr>
          <w:rFonts w:ascii="Book Antiqua" w:eastAsia="宋体" w:hAnsi="Book Antiqua"/>
          <w:sz w:val="24"/>
          <w:szCs w:val="24"/>
          <w:lang w:eastAsia="zh-CN"/>
        </w:rPr>
        <w:t xml:space="preserve"> G</w:t>
      </w:r>
      <w:r w:rsidRPr="006A4D75">
        <w:rPr>
          <w:rFonts w:ascii="Book Antiqua" w:hAnsi="Book Antiqua"/>
          <w:sz w:val="24"/>
          <w:szCs w:val="24"/>
        </w:rPr>
        <w:t xml:space="preserve"> performed analysis; Miyai</w:t>
      </w:r>
      <w:r w:rsidRPr="006A4D75">
        <w:rPr>
          <w:rFonts w:ascii="Book Antiqua" w:eastAsia="宋体" w:hAnsi="Book Antiqua"/>
          <w:sz w:val="24"/>
          <w:szCs w:val="24"/>
          <w:lang w:eastAsia="zh-CN"/>
        </w:rPr>
        <w:t xml:space="preserve"> Y</w:t>
      </w:r>
      <w:r w:rsidRPr="006A4D75">
        <w:rPr>
          <w:rFonts w:ascii="Book Antiqua" w:hAnsi="Book Antiqua"/>
          <w:sz w:val="24"/>
          <w:szCs w:val="24"/>
        </w:rPr>
        <w:t xml:space="preserve"> and Haba</w:t>
      </w:r>
      <w:r w:rsidRPr="006A4D75">
        <w:rPr>
          <w:rFonts w:ascii="Book Antiqua" w:eastAsia="宋体" w:hAnsi="Book Antiqua"/>
          <w:sz w:val="24"/>
          <w:szCs w:val="24"/>
          <w:lang w:eastAsia="zh-CN"/>
        </w:rPr>
        <w:t xml:space="preserve"> R</w:t>
      </w:r>
      <w:r w:rsidRPr="006A4D75">
        <w:rPr>
          <w:rFonts w:ascii="Book Antiqua" w:hAnsi="Book Antiqua"/>
          <w:sz w:val="24"/>
          <w:szCs w:val="24"/>
        </w:rPr>
        <w:t xml:space="preserve"> contributed to the pathological analysis; and Imataki</w:t>
      </w:r>
      <w:r w:rsidRPr="006A4D75">
        <w:rPr>
          <w:rFonts w:ascii="Book Antiqua" w:eastAsia="宋体" w:hAnsi="Book Antiqua"/>
          <w:sz w:val="24"/>
          <w:szCs w:val="24"/>
          <w:lang w:eastAsia="zh-CN"/>
        </w:rPr>
        <w:t xml:space="preserve"> O</w:t>
      </w:r>
      <w:r w:rsidRPr="006A4D75">
        <w:rPr>
          <w:rFonts w:ascii="Book Antiqua" w:hAnsi="Book Antiqua"/>
          <w:sz w:val="24"/>
          <w:szCs w:val="24"/>
        </w:rPr>
        <w:t xml:space="preserve"> organized the report. </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C22993">
      <w:pPr>
        <w:widowControl/>
        <w:spacing w:line="360" w:lineRule="auto"/>
        <w:rPr>
          <w:rFonts w:ascii="Book Antiqua" w:hAnsi="Book Antiqua"/>
          <w:sz w:val="24"/>
          <w:szCs w:val="24"/>
        </w:rPr>
      </w:pPr>
      <w:r w:rsidRPr="006A4D75">
        <w:rPr>
          <w:rFonts w:ascii="Book Antiqua" w:hAnsi="Book Antiqua"/>
          <w:b/>
          <w:sz w:val="24"/>
        </w:rPr>
        <w:t>Ethics approval:</w:t>
      </w:r>
      <w:r w:rsidRPr="006A4D75">
        <w:rPr>
          <w:rFonts w:ascii="Book Antiqua" w:eastAsia="宋体" w:hAnsi="Book Antiqua"/>
          <w:b/>
          <w:sz w:val="24"/>
          <w:lang w:eastAsia="zh-CN"/>
        </w:rPr>
        <w:t xml:space="preserve"> </w:t>
      </w:r>
      <w:r w:rsidRPr="006A4D75">
        <w:rPr>
          <w:rFonts w:ascii="Book Antiqua" w:hAnsi="Book Antiqua"/>
          <w:sz w:val="24"/>
          <w:szCs w:val="24"/>
        </w:rPr>
        <w:t xml:space="preserve">The study was reviewed and approved by the Kagawa University, Medcal, Institutional Review Board. </w:t>
      </w:r>
    </w:p>
    <w:p w:rsidR="00986F53" w:rsidRPr="006A4D75" w:rsidRDefault="00986F53" w:rsidP="00C22993">
      <w:pPr>
        <w:widowControl/>
        <w:spacing w:line="360" w:lineRule="auto"/>
        <w:rPr>
          <w:rFonts w:ascii="Book Antiqua" w:hAnsi="Book Antiqua"/>
          <w:sz w:val="24"/>
          <w:szCs w:val="24"/>
        </w:rPr>
      </w:pPr>
    </w:p>
    <w:p w:rsidR="00986F53" w:rsidRPr="006A4D75" w:rsidRDefault="00986F53" w:rsidP="00C22993">
      <w:pPr>
        <w:widowControl/>
        <w:spacing w:line="360" w:lineRule="auto"/>
        <w:rPr>
          <w:rFonts w:ascii="Book Antiqua" w:hAnsi="Book Antiqua"/>
          <w:sz w:val="24"/>
          <w:szCs w:val="24"/>
        </w:rPr>
      </w:pPr>
      <w:r w:rsidRPr="006A4D75">
        <w:rPr>
          <w:rFonts w:ascii="Book Antiqua" w:hAnsi="Book Antiqua"/>
          <w:b/>
          <w:sz w:val="24"/>
        </w:rPr>
        <w:lastRenderedPageBreak/>
        <w:t>Informed consent:</w:t>
      </w:r>
      <w:r w:rsidRPr="006A4D75">
        <w:rPr>
          <w:rFonts w:ascii="Book Antiqua" w:eastAsia="宋体" w:hAnsi="Book Antiqua"/>
          <w:b/>
          <w:sz w:val="24"/>
          <w:lang w:eastAsia="zh-CN"/>
        </w:rPr>
        <w:t xml:space="preserve"> </w:t>
      </w:r>
      <w:r w:rsidRPr="006A4D75">
        <w:rPr>
          <w:rFonts w:ascii="Book Antiqua" w:hAnsi="Book Antiqua"/>
          <w:sz w:val="24"/>
          <w:szCs w:val="24"/>
        </w:rPr>
        <w:t xml:space="preserve">The patients or patient’s representative provided informed written consent prior to study enrollment. </w:t>
      </w:r>
    </w:p>
    <w:p w:rsidR="00986F53" w:rsidRPr="006A4D75" w:rsidRDefault="00986F53" w:rsidP="00C22993">
      <w:pPr>
        <w:spacing w:line="360" w:lineRule="auto"/>
        <w:rPr>
          <w:rFonts w:ascii="Book Antiqua" w:eastAsia="宋体" w:hAnsi="Book Antiqua"/>
          <w:b/>
          <w:sz w:val="24"/>
          <w:lang w:eastAsia="zh-CN"/>
        </w:rPr>
      </w:pPr>
    </w:p>
    <w:p w:rsidR="00986F53" w:rsidRPr="006A4D75" w:rsidRDefault="00986F53" w:rsidP="00C22993">
      <w:pPr>
        <w:spacing w:line="360" w:lineRule="auto"/>
        <w:rPr>
          <w:rFonts w:ascii="Book Antiqua" w:eastAsia="宋体" w:hAnsi="Book Antiqua"/>
          <w:b/>
          <w:sz w:val="24"/>
          <w:lang w:eastAsia="zh-CN"/>
        </w:rPr>
      </w:pPr>
      <w:r w:rsidRPr="006A4D75">
        <w:rPr>
          <w:rFonts w:ascii="Book Antiqua" w:hAnsi="Book Antiqua"/>
          <w:b/>
          <w:sz w:val="24"/>
        </w:rPr>
        <w:t>Conflict-of-interest:</w:t>
      </w:r>
      <w:r w:rsidRPr="006A4D75">
        <w:rPr>
          <w:rFonts w:ascii="Book Antiqua" w:eastAsia="宋体" w:hAnsi="Book Antiqua"/>
          <w:b/>
          <w:sz w:val="24"/>
          <w:lang w:eastAsia="zh-CN"/>
        </w:rPr>
        <w:t xml:space="preserve"> </w:t>
      </w:r>
      <w:r w:rsidRPr="006A4D75">
        <w:rPr>
          <w:rFonts w:ascii="Book Antiqua" w:eastAsia="宋体" w:hAnsi="Book Antiqua"/>
          <w:sz w:val="24"/>
          <w:lang w:eastAsia="zh-CN"/>
        </w:rPr>
        <w:t>None.</w:t>
      </w:r>
    </w:p>
    <w:p w:rsidR="00986F53" w:rsidRPr="006A4D75" w:rsidRDefault="00986F53" w:rsidP="0037002B">
      <w:pPr>
        <w:spacing w:line="360" w:lineRule="auto"/>
        <w:rPr>
          <w:rFonts w:ascii="Book Antiqua" w:eastAsia="宋体" w:hAnsi="Book Antiqua"/>
          <w:b/>
          <w:sz w:val="24"/>
          <w:lang w:eastAsia="zh-CN"/>
        </w:rPr>
      </w:pPr>
    </w:p>
    <w:p w:rsidR="00986F53" w:rsidRPr="006A4D75" w:rsidRDefault="00986F53" w:rsidP="006F0010">
      <w:pPr>
        <w:wordWrap w:val="0"/>
        <w:spacing w:line="360" w:lineRule="auto"/>
        <w:rPr>
          <w:sz w:val="24"/>
          <w:szCs w:val="24"/>
        </w:rPr>
      </w:pPr>
      <w:bookmarkStart w:id="0" w:name="OLE_LINK507"/>
      <w:bookmarkStart w:id="1" w:name="OLE_LINK506"/>
      <w:bookmarkStart w:id="2" w:name="OLE_LINK496"/>
      <w:bookmarkStart w:id="3" w:name="OLE_LINK479"/>
      <w:r w:rsidRPr="006A4D75">
        <w:rPr>
          <w:rFonts w:ascii="Book Antiqua" w:hAnsi="Book Antiqua"/>
          <w:b/>
          <w:sz w:val="24"/>
          <w:szCs w:val="24"/>
        </w:rPr>
        <w:t xml:space="preserve">Open-Access: </w:t>
      </w:r>
      <w:r w:rsidRPr="006A4D75">
        <w:rPr>
          <w:rFonts w:ascii="Book Antiqua" w:hAnsi="Book Antiqua"/>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Corresponding author</w:t>
      </w:r>
      <w:r w:rsidRPr="006A4D75">
        <w:rPr>
          <w:rFonts w:ascii="Book Antiqua" w:hAnsi="Book Antiqua"/>
          <w:sz w:val="24"/>
          <w:szCs w:val="24"/>
        </w:rPr>
        <w:t xml:space="preserve">: </w:t>
      </w:r>
      <w:r w:rsidRPr="006A4D75">
        <w:rPr>
          <w:rFonts w:ascii="Book Antiqua" w:hAnsi="Book Antiqua"/>
          <w:b/>
          <w:sz w:val="24"/>
          <w:szCs w:val="24"/>
        </w:rPr>
        <w:t>Dr. Osamu Imataki,</w:t>
      </w:r>
      <w:r w:rsidRPr="006A4D75">
        <w:rPr>
          <w:rFonts w:ascii="Book Antiqua" w:hAnsi="Book Antiqua"/>
          <w:sz w:val="24"/>
          <w:szCs w:val="24"/>
        </w:rPr>
        <w:t xml:space="preserve"> Division of Hematology and Stem Cell Transplantation, Department of Internal Medicine, Faculty of Medicine, Kagawa University, 1750-1 Ikenobe, Miki-cho, Kita-gun, Kagawa 761-0793, Japan. oima@med.kagawa-u.ac.jp</w:t>
      </w:r>
    </w:p>
    <w:p w:rsidR="00986F53" w:rsidRPr="006A4D75" w:rsidRDefault="00986F53" w:rsidP="0037002B">
      <w:pPr>
        <w:spacing w:line="360" w:lineRule="auto"/>
        <w:rPr>
          <w:rFonts w:ascii="Book Antiqua" w:hAnsi="Book Antiqua"/>
          <w:sz w:val="24"/>
          <w:szCs w:val="24"/>
        </w:rPr>
      </w:pPr>
    </w:p>
    <w:p w:rsidR="00986F53" w:rsidRPr="006A4D75" w:rsidRDefault="00986F53" w:rsidP="0037002B">
      <w:pPr>
        <w:widowControl/>
        <w:spacing w:line="360" w:lineRule="auto"/>
        <w:rPr>
          <w:rFonts w:ascii="Book Antiqua" w:eastAsia="宋体" w:hAnsi="Book Antiqua"/>
          <w:sz w:val="24"/>
          <w:szCs w:val="24"/>
          <w:lang w:eastAsia="zh-CN"/>
        </w:rPr>
      </w:pPr>
      <w:r w:rsidRPr="006A4D75">
        <w:rPr>
          <w:rFonts w:ascii="Book Antiqua" w:hAnsi="Book Antiqua"/>
          <w:b/>
          <w:bCs/>
          <w:color w:val="000000"/>
          <w:sz w:val="24"/>
        </w:rPr>
        <w:t>Telephone:</w:t>
      </w:r>
      <w:r w:rsidRPr="006A4D75">
        <w:rPr>
          <w:rFonts w:ascii="Book Antiqua" w:hAnsi="Book Antiqua"/>
          <w:sz w:val="24"/>
          <w:szCs w:val="24"/>
        </w:rPr>
        <w:t xml:space="preserve"> +81</w:t>
      </w:r>
      <w:r w:rsidRPr="006A4D75">
        <w:rPr>
          <w:rFonts w:ascii="Book Antiqua" w:eastAsia="宋体" w:hAnsi="Book Antiqua"/>
          <w:sz w:val="24"/>
          <w:szCs w:val="24"/>
          <w:lang w:eastAsia="zh-CN"/>
        </w:rPr>
        <w:t>-</w:t>
      </w:r>
      <w:r w:rsidRPr="006A4D75">
        <w:rPr>
          <w:rFonts w:ascii="Book Antiqua" w:hAnsi="Book Antiqua"/>
          <w:sz w:val="24"/>
          <w:szCs w:val="24"/>
        </w:rPr>
        <w:t>878-912145</w:t>
      </w:r>
    </w:p>
    <w:p w:rsidR="00986F53" w:rsidRPr="006A4D75" w:rsidRDefault="00986F53" w:rsidP="0037002B">
      <w:pPr>
        <w:widowControl/>
        <w:spacing w:line="360" w:lineRule="auto"/>
        <w:rPr>
          <w:rFonts w:ascii="Book Antiqua" w:eastAsia="宋体" w:hAnsi="Book Antiqua"/>
          <w:sz w:val="24"/>
          <w:szCs w:val="24"/>
          <w:lang w:eastAsia="zh-CN"/>
        </w:rPr>
      </w:pPr>
      <w:r w:rsidRPr="006A4D75">
        <w:rPr>
          <w:rFonts w:ascii="Book Antiqua" w:hAnsi="Book Antiqua"/>
          <w:b/>
          <w:sz w:val="24"/>
          <w:szCs w:val="24"/>
        </w:rPr>
        <w:t>Fax:</w:t>
      </w:r>
      <w:r w:rsidRPr="006A4D75">
        <w:rPr>
          <w:rFonts w:ascii="Book Antiqua" w:hAnsi="Book Antiqua"/>
          <w:sz w:val="24"/>
          <w:szCs w:val="24"/>
        </w:rPr>
        <w:t xml:space="preserve"> +81</w:t>
      </w:r>
      <w:r w:rsidRPr="006A4D75">
        <w:rPr>
          <w:rFonts w:ascii="Book Antiqua" w:eastAsia="宋体" w:hAnsi="Book Antiqua"/>
          <w:sz w:val="24"/>
          <w:szCs w:val="24"/>
          <w:lang w:eastAsia="zh-CN"/>
        </w:rPr>
        <w:t>-</w:t>
      </w:r>
      <w:r w:rsidRPr="006A4D75">
        <w:rPr>
          <w:rFonts w:ascii="Book Antiqua" w:hAnsi="Book Antiqua"/>
          <w:sz w:val="24"/>
          <w:szCs w:val="24"/>
        </w:rPr>
        <w:t>878-912147</w:t>
      </w:r>
    </w:p>
    <w:p w:rsidR="00986F53" w:rsidRPr="006A4D75" w:rsidRDefault="00986F53" w:rsidP="0037002B">
      <w:pPr>
        <w:widowControl/>
        <w:spacing w:line="360" w:lineRule="auto"/>
        <w:rPr>
          <w:rFonts w:ascii="Book Antiqua" w:eastAsia="宋体" w:hAnsi="Book Antiqua"/>
          <w:sz w:val="24"/>
          <w:szCs w:val="24"/>
          <w:lang w:eastAsia="zh-CN"/>
        </w:rPr>
      </w:pPr>
    </w:p>
    <w:p w:rsidR="00986F53" w:rsidRPr="006A4D75" w:rsidRDefault="00986F53" w:rsidP="006F0010">
      <w:pPr>
        <w:spacing w:line="360" w:lineRule="auto"/>
        <w:rPr>
          <w:rFonts w:ascii="Book Antiqua" w:hAnsi="Book Antiqua"/>
          <w:b/>
          <w:sz w:val="24"/>
        </w:rPr>
      </w:pPr>
      <w:r w:rsidRPr="006A4D75">
        <w:rPr>
          <w:rFonts w:ascii="Book Antiqua" w:hAnsi="Book Antiqua"/>
          <w:b/>
          <w:sz w:val="24"/>
        </w:rPr>
        <w:t>Received:</w:t>
      </w:r>
      <w:r w:rsidRPr="006A4D75">
        <w:rPr>
          <w:rFonts w:ascii="Book Antiqua" w:eastAsia="宋体" w:hAnsi="Book Antiqua"/>
          <w:b/>
          <w:sz w:val="24"/>
          <w:lang w:eastAsia="zh-CN"/>
        </w:rPr>
        <w:t xml:space="preserve"> </w:t>
      </w:r>
      <w:r w:rsidRPr="006A4D75">
        <w:rPr>
          <w:rFonts w:ascii="Book Antiqua" w:eastAsia="宋体" w:hAnsi="Book Antiqua"/>
          <w:sz w:val="24"/>
          <w:lang w:eastAsia="zh-CN"/>
        </w:rPr>
        <w:t>July 17, 2014</w:t>
      </w:r>
      <w:r w:rsidRPr="006A4D75">
        <w:rPr>
          <w:rFonts w:ascii="Book Antiqua" w:hAnsi="Book Antiqua"/>
          <w:sz w:val="24"/>
        </w:rPr>
        <w:t xml:space="preserve"> </w:t>
      </w:r>
      <w:r w:rsidRPr="006A4D75">
        <w:rPr>
          <w:rFonts w:ascii="Book Antiqua" w:hAnsi="Book Antiqua"/>
          <w:b/>
          <w:sz w:val="24"/>
        </w:rPr>
        <w:t xml:space="preserve"> </w:t>
      </w:r>
    </w:p>
    <w:p w:rsidR="00986F53" w:rsidRPr="006A4D75" w:rsidRDefault="00986F53" w:rsidP="006F0010">
      <w:pPr>
        <w:spacing w:line="360" w:lineRule="auto"/>
        <w:rPr>
          <w:rFonts w:ascii="Book Antiqua" w:eastAsia="宋体" w:hAnsi="Book Antiqua"/>
          <w:b/>
          <w:sz w:val="24"/>
          <w:lang w:eastAsia="zh-CN"/>
        </w:rPr>
      </w:pPr>
      <w:r w:rsidRPr="006A4D75">
        <w:rPr>
          <w:rFonts w:ascii="Book Antiqua" w:hAnsi="Book Antiqua"/>
          <w:b/>
          <w:sz w:val="24"/>
        </w:rPr>
        <w:t>Peer-review started:</w:t>
      </w:r>
      <w:r w:rsidRPr="006A4D75">
        <w:rPr>
          <w:rFonts w:ascii="Book Antiqua" w:eastAsia="宋体" w:hAnsi="Book Antiqua"/>
          <w:b/>
          <w:sz w:val="24"/>
          <w:lang w:eastAsia="zh-CN"/>
        </w:rPr>
        <w:t xml:space="preserve"> </w:t>
      </w:r>
      <w:r w:rsidRPr="006A4D75">
        <w:rPr>
          <w:rFonts w:ascii="Book Antiqua" w:eastAsia="宋体" w:hAnsi="Book Antiqua"/>
          <w:sz w:val="24"/>
          <w:lang w:eastAsia="zh-CN"/>
        </w:rPr>
        <w:t>July 18, 2014</w:t>
      </w:r>
    </w:p>
    <w:p w:rsidR="00986F53" w:rsidRPr="006A4D75" w:rsidRDefault="00986F53" w:rsidP="006F0010">
      <w:pPr>
        <w:spacing w:line="360" w:lineRule="auto"/>
        <w:rPr>
          <w:rFonts w:ascii="Book Antiqua" w:eastAsia="宋体" w:hAnsi="Book Antiqua"/>
          <w:b/>
          <w:sz w:val="24"/>
          <w:lang w:eastAsia="zh-CN"/>
        </w:rPr>
      </w:pPr>
      <w:r w:rsidRPr="006A4D75">
        <w:rPr>
          <w:rFonts w:ascii="Book Antiqua" w:hAnsi="Book Antiqua"/>
          <w:b/>
          <w:sz w:val="24"/>
        </w:rPr>
        <w:t>First decision:</w:t>
      </w:r>
      <w:r w:rsidRPr="006A4D75">
        <w:rPr>
          <w:rFonts w:ascii="Book Antiqua" w:eastAsia="宋体" w:hAnsi="Book Antiqua"/>
          <w:b/>
          <w:sz w:val="24"/>
          <w:lang w:eastAsia="zh-CN"/>
        </w:rPr>
        <w:t xml:space="preserve"> </w:t>
      </w:r>
      <w:r w:rsidRPr="006A4D75">
        <w:rPr>
          <w:rFonts w:ascii="Book Antiqua" w:eastAsia="宋体" w:hAnsi="Book Antiqua"/>
          <w:sz w:val="24"/>
          <w:lang w:eastAsia="zh-CN"/>
        </w:rPr>
        <w:t>August 28, 2014</w:t>
      </w:r>
    </w:p>
    <w:p w:rsidR="00986F53" w:rsidRPr="006A4D75" w:rsidRDefault="00986F53" w:rsidP="006F0010">
      <w:pPr>
        <w:spacing w:line="360" w:lineRule="auto"/>
        <w:rPr>
          <w:rFonts w:ascii="Book Antiqua" w:eastAsia="宋体" w:hAnsi="Book Antiqua"/>
          <w:b/>
          <w:sz w:val="24"/>
          <w:lang w:eastAsia="zh-CN"/>
        </w:rPr>
      </w:pPr>
      <w:r w:rsidRPr="006A4D75">
        <w:rPr>
          <w:rFonts w:ascii="Book Antiqua" w:hAnsi="Book Antiqua"/>
          <w:b/>
          <w:sz w:val="24"/>
        </w:rPr>
        <w:t>Revised:</w:t>
      </w:r>
      <w:r w:rsidRPr="006A4D75">
        <w:rPr>
          <w:rFonts w:ascii="Book Antiqua" w:eastAsia="宋体" w:hAnsi="Book Antiqua"/>
          <w:b/>
          <w:sz w:val="24"/>
          <w:lang w:eastAsia="zh-CN"/>
        </w:rPr>
        <w:t xml:space="preserve"> </w:t>
      </w:r>
      <w:r w:rsidRPr="006A4D75">
        <w:rPr>
          <w:rFonts w:ascii="Book Antiqua" w:eastAsia="宋体" w:hAnsi="Book Antiqua"/>
          <w:sz w:val="24"/>
          <w:lang w:eastAsia="zh-CN"/>
        </w:rPr>
        <w:t>March 2, 2015</w:t>
      </w:r>
    </w:p>
    <w:p w:rsidR="00986F53" w:rsidRPr="006A4D75" w:rsidRDefault="00986F53" w:rsidP="006F0010">
      <w:pPr>
        <w:spacing w:line="360" w:lineRule="auto"/>
        <w:rPr>
          <w:rFonts w:ascii="Book Antiqua" w:hAnsi="Book Antiqua"/>
          <w:b/>
          <w:sz w:val="24"/>
        </w:rPr>
      </w:pPr>
      <w:r w:rsidRPr="006A4D75">
        <w:rPr>
          <w:rFonts w:ascii="Book Antiqua" w:hAnsi="Book Antiqua"/>
          <w:b/>
          <w:sz w:val="24"/>
        </w:rPr>
        <w:t>Accepted:</w:t>
      </w:r>
      <w:r w:rsidR="00351AAB" w:rsidRPr="00351AAB">
        <w:t xml:space="preserve"> </w:t>
      </w:r>
      <w:r w:rsidR="00351AAB" w:rsidRPr="00351AAB">
        <w:rPr>
          <w:rFonts w:ascii="Book Antiqua" w:hAnsi="Book Antiqua"/>
          <w:sz w:val="24"/>
        </w:rPr>
        <w:t>March 16, 2015</w:t>
      </w:r>
      <w:r w:rsidRPr="006A4D75">
        <w:rPr>
          <w:rFonts w:ascii="Book Antiqua" w:hAnsi="Book Antiqua"/>
          <w:b/>
          <w:sz w:val="24"/>
        </w:rPr>
        <w:t xml:space="preserve"> </w:t>
      </w:r>
    </w:p>
    <w:p w:rsidR="00986F53" w:rsidRPr="006A4D75" w:rsidRDefault="00986F53" w:rsidP="006F0010">
      <w:pPr>
        <w:spacing w:line="360" w:lineRule="auto"/>
        <w:rPr>
          <w:rFonts w:ascii="Book Antiqua" w:hAnsi="Book Antiqua"/>
          <w:b/>
          <w:sz w:val="24"/>
        </w:rPr>
      </w:pPr>
      <w:r w:rsidRPr="006A4D75">
        <w:rPr>
          <w:rFonts w:ascii="Book Antiqua" w:hAnsi="Book Antiqua"/>
          <w:b/>
          <w:sz w:val="24"/>
        </w:rPr>
        <w:t>Article in press:</w:t>
      </w:r>
      <w:bookmarkStart w:id="4" w:name="_GoBack"/>
      <w:bookmarkEnd w:id="4"/>
    </w:p>
    <w:p w:rsidR="00986F53" w:rsidRPr="006A4D75" w:rsidRDefault="00986F53" w:rsidP="006F0010">
      <w:pPr>
        <w:spacing w:line="360" w:lineRule="auto"/>
        <w:rPr>
          <w:rFonts w:ascii="Book Antiqua" w:hAnsi="Book Antiqua"/>
          <w:b/>
          <w:sz w:val="24"/>
        </w:rPr>
      </w:pPr>
      <w:r w:rsidRPr="006A4D75">
        <w:rPr>
          <w:rFonts w:ascii="Book Antiqua" w:hAnsi="Book Antiqua"/>
          <w:b/>
          <w:sz w:val="24"/>
        </w:rPr>
        <w:t xml:space="preserve">Published online: </w:t>
      </w:r>
    </w:p>
    <w:p w:rsidR="00986F53" w:rsidRPr="006A4D75" w:rsidRDefault="00986F53" w:rsidP="0037002B">
      <w:pPr>
        <w:widowControl/>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b/>
          <w:sz w:val="24"/>
          <w:szCs w:val="24"/>
        </w:rPr>
      </w:pPr>
      <w:r w:rsidRPr="006A4D75">
        <w:rPr>
          <w:rFonts w:ascii="Book Antiqua" w:hAnsi="Book Antiqua"/>
          <w:b/>
          <w:sz w:val="24"/>
          <w:szCs w:val="24"/>
        </w:rPr>
        <w:t>Abstract</w:t>
      </w:r>
    </w:p>
    <w:p w:rsidR="00986F53" w:rsidRPr="006A4D75" w:rsidRDefault="00986F53" w:rsidP="0037002B">
      <w:pPr>
        <w:spacing w:line="360" w:lineRule="auto"/>
        <w:rPr>
          <w:rFonts w:ascii="Book Antiqua" w:hAnsi="Book Antiqua"/>
          <w:sz w:val="24"/>
          <w:szCs w:val="24"/>
        </w:rPr>
      </w:pPr>
      <w:r w:rsidRPr="006A4D75">
        <w:rPr>
          <w:rFonts w:ascii="Book Antiqua" w:hAnsi="Book Antiqua"/>
          <w:sz w:val="24"/>
          <w:szCs w:val="24"/>
        </w:rPr>
        <w:t>A</w:t>
      </w:r>
      <w:r w:rsidRPr="006A4D75">
        <w:rPr>
          <w:rFonts w:ascii="Book Antiqua" w:eastAsia="宋体" w:hAnsi="Book Antiqua"/>
          <w:sz w:val="24"/>
          <w:szCs w:val="24"/>
          <w:lang w:eastAsia="zh-CN"/>
        </w:rPr>
        <w:t>n</w:t>
      </w:r>
      <w:r w:rsidRPr="006A4D75">
        <w:rPr>
          <w:rFonts w:ascii="Book Antiqua" w:hAnsi="Book Antiqua"/>
          <w:sz w:val="24"/>
          <w:szCs w:val="24"/>
        </w:rPr>
        <w:t xml:space="preserve"> 82-y</w:t>
      </w:r>
      <w:r w:rsidRPr="006A4D75">
        <w:rPr>
          <w:rFonts w:ascii="Book Antiqua" w:eastAsia="宋体" w:hAnsi="Book Antiqua"/>
          <w:sz w:val="24"/>
          <w:szCs w:val="24"/>
          <w:lang w:eastAsia="zh-CN"/>
        </w:rPr>
        <w:t>ea</w:t>
      </w:r>
      <w:r w:rsidRPr="006A4D75">
        <w:rPr>
          <w:rFonts w:ascii="Book Antiqua" w:hAnsi="Book Antiqua"/>
          <w:sz w:val="24"/>
          <w:szCs w:val="24"/>
        </w:rPr>
        <w:t>r-old Japanese man visited our emergency unit complaining of dyspnea. Laboratory data showed 15% atypical lymphocytes in peripheral blood which expressed the T-cell phenotype. Chest/abdominal computed tomography depicted hepatosplenomegaly and swelling of systemic lymph nodes. The patient died of advanced respiratory failure 5 d after the first occurrence of his dyspnea. At autopsy, the pathological features revealed a diffuse infiltration of large atypical lymphocytes to systemic organs including the spleen and lung. In immunohistochemical staining, these cells expressed CD30, TIA-1, anaplastic lymphoma kinase (ALK), CD5 and CD3. An advanced surface molecule analysis revealed a lack of CD54 (intercellular cell adhesion molecule-1) and CD56 (neural cell adhesion molecule). We observed the proliferation and infiltration of these lymphoma cells specifically at the intravascular lesions similar to intravascular lymphoma (IVL). T-cell IVL is not established as an independent clinical entity in the World Health Organization</w:t>
      </w:r>
      <w:r w:rsidRPr="006A4D75">
        <w:rPr>
          <w:rFonts w:ascii="Tahoma" w:hAnsi="Tahoma" w:cs="Tahoma"/>
          <w:color w:val="222222"/>
          <w:sz w:val="15"/>
        </w:rPr>
        <w:t> </w:t>
      </w:r>
      <w:r w:rsidRPr="006A4D75">
        <w:rPr>
          <w:rFonts w:ascii="Book Antiqua" w:hAnsi="Book Antiqua"/>
          <w:sz w:val="24"/>
          <w:szCs w:val="24"/>
        </w:rPr>
        <w:t xml:space="preserve">classification, and our patient’s ALK-positive T-IVL in lung appears to be the first reported case. </w:t>
      </w:r>
    </w:p>
    <w:p w:rsidR="00986F53" w:rsidRPr="006A4D75" w:rsidRDefault="00986F53" w:rsidP="0037002B">
      <w:pPr>
        <w:spacing w:line="360" w:lineRule="auto"/>
        <w:rPr>
          <w:rFonts w:ascii="Book Antiqua" w:eastAsia="Times New Roman" w:hAnsi="Book Antiqua"/>
          <w:sz w:val="24"/>
          <w:szCs w:val="24"/>
          <w:lang w:eastAsia="zh-CN"/>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rPr>
        <w:t>Key words:</w:t>
      </w:r>
      <w:r w:rsidRPr="006A4D75">
        <w:rPr>
          <w:rFonts w:ascii="Book Antiqua" w:eastAsia="Times New Roman" w:hAnsi="Book Antiqua"/>
          <w:b/>
          <w:sz w:val="24"/>
          <w:lang w:eastAsia="zh-CN"/>
        </w:rPr>
        <w:t xml:space="preserve"> </w:t>
      </w:r>
      <w:r w:rsidRPr="006A4D75">
        <w:rPr>
          <w:rFonts w:ascii="Book Antiqua" w:hAnsi="Book Antiqua"/>
          <w:sz w:val="24"/>
          <w:szCs w:val="24"/>
        </w:rPr>
        <w:t>Malignant lymphoma</w:t>
      </w:r>
      <w:r w:rsidRPr="006A4D75">
        <w:rPr>
          <w:rFonts w:ascii="Book Antiqua" w:eastAsia="Times New Roman" w:hAnsi="Book Antiqua"/>
          <w:sz w:val="24"/>
          <w:szCs w:val="24"/>
          <w:lang w:eastAsia="zh-CN"/>
        </w:rPr>
        <w:t>;</w:t>
      </w:r>
      <w:r w:rsidRPr="006A4D75">
        <w:rPr>
          <w:rFonts w:ascii="Book Antiqua" w:hAnsi="Book Antiqua"/>
          <w:sz w:val="24"/>
          <w:szCs w:val="24"/>
        </w:rPr>
        <w:t xml:space="preserve"> Intravascular lymphoma; Anaplastic large-cell lymphoma</w:t>
      </w:r>
      <w:r w:rsidRPr="006A4D75">
        <w:rPr>
          <w:rFonts w:ascii="Book Antiqua" w:eastAsia="Times New Roman" w:hAnsi="Book Antiqua"/>
          <w:sz w:val="24"/>
          <w:szCs w:val="24"/>
          <w:lang w:eastAsia="zh-CN"/>
        </w:rPr>
        <w:t>;</w:t>
      </w:r>
      <w:r w:rsidRPr="006A4D75">
        <w:rPr>
          <w:rFonts w:ascii="Book Antiqua" w:hAnsi="Book Antiqua"/>
          <w:sz w:val="24"/>
          <w:szCs w:val="24"/>
        </w:rPr>
        <w:t xml:space="preserve"> Anaplastic lymphoma kinase; Cytotoxic molecule </w:t>
      </w:r>
    </w:p>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6A4D75">
      <w:pPr>
        <w:snapToGrid w:val="0"/>
        <w:spacing w:line="360" w:lineRule="auto"/>
        <w:rPr>
          <w:rFonts w:ascii="Book Antiqua" w:hAnsi="Book Antiqua"/>
          <w:sz w:val="24"/>
        </w:rPr>
      </w:pPr>
      <w:bookmarkStart w:id="5" w:name="OLE_LINK13"/>
      <w:bookmarkStart w:id="6" w:name="OLE_LINK14"/>
      <w:r w:rsidRPr="006A4D75">
        <w:rPr>
          <w:rFonts w:ascii="Book Antiqua" w:hAnsi="Book Antiqua"/>
          <w:sz w:val="24"/>
        </w:rPr>
        <w:t xml:space="preserve">© </w:t>
      </w:r>
      <w:bookmarkStart w:id="7" w:name="OLE_LINK6"/>
      <w:bookmarkStart w:id="8" w:name="OLE_LINK7"/>
      <w:bookmarkStart w:id="9" w:name="OLE_LINK8"/>
      <w:r w:rsidRPr="006A4D75">
        <w:rPr>
          <w:rFonts w:ascii="Book Antiqua" w:hAnsi="Book Antiqua"/>
          <w:b/>
          <w:sz w:val="24"/>
        </w:rPr>
        <w:t>The Author(s) 2015</w:t>
      </w:r>
      <w:r w:rsidRPr="006A4D75">
        <w:rPr>
          <w:rFonts w:ascii="Book Antiqua" w:hAnsi="Book Antiqua"/>
          <w:sz w:val="24"/>
        </w:rPr>
        <w:t>. Published by Baishideng Publishing Group Inc. All rights reserved.</w:t>
      </w:r>
    </w:p>
    <w:bookmarkEnd w:id="5"/>
    <w:bookmarkEnd w:id="6"/>
    <w:bookmarkEnd w:id="7"/>
    <w:bookmarkEnd w:id="8"/>
    <w:bookmarkEnd w:id="9"/>
    <w:p w:rsidR="00986F53" w:rsidRPr="006A4D75" w:rsidRDefault="00986F53" w:rsidP="0037002B">
      <w:pPr>
        <w:spacing w:line="360" w:lineRule="auto"/>
        <w:rPr>
          <w:rFonts w:ascii="Book Antiqua" w:eastAsia="宋体" w:hAnsi="Book Antiqua"/>
          <w:sz w:val="24"/>
          <w:szCs w:val="24"/>
          <w:lang w:eastAsia="zh-CN"/>
        </w:rPr>
      </w:pPr>
    </w:p>
    <w:p w:rsidR="00986F53" w:rsidRPr="006A4D75" w:rsidRDefault="00986F53" w:rsidP="0037002B">
      <w:pPr>
        <w:spacing w:line="360" w:lineRule="auto"/>
        <w:rPr>
          <w:rFonts w:ascii="Book Antiqua" w:hAnsi="Book Antiqua"/>
          <w:sz w:val="24"/>
          <w:szCs w:val="24"/>
        </w:rPr>
      </w:pPr>
      <w:r w:rsidRPr="006A4D75">
        <w:rPr>
          <w:rFonts w:ascii="Book Antiqua" w:hAnsi="Book Antiqua"/>
          <w:b/>
          <w:sz w:val="24"/>
          <w:szCs w:val="24"/>
        </w:rPr>
        <w:t>Core tip</w:t>
      </w:r>
      <w:r w:rsidRPr="006A4D75">
        <w:rPr>
          <w:rFonts w:ascii="Book Antiqua" w:eastAsia="Times New Roman" w:hAnsi="Book Antiqua"/>
          <w:b/>
          <w:sz w:val="24"/>
          <w:szCs w:val="24"/>
          <w:lang w:eastAsia="zh-CN"/>
        </w:rPr>
        <w:t>:</w:t>
      </w:r>
      <w:r w:rsidRPr="006A4D75">
        <w:rPr>
          <w:rFonts w:ascii="Book Antiqua" w:hAnsi="Book Antiqua"/>
          <w:sz w:val="24"/>
          <w:szCs w:val="24"/>
        </w:rPr>
        <w:t xml:space="preserve"> Intravascular lymphoma (IVL), known as a mature B-cell neoplasm that proliferates intravascularly, is established as an independent clinical entity in the World Health Organization classification. Our patient’s case suggests that IVL is one of the characteristic proliferation patterns commonly seen in lymphomas including B- and T-cell neoplasms, anaplastic large-cell lymphoma, and more. We speculate that the function of the original lymphocytes (T or B cells) designates the tumor biology of IVL. Intravascular proliferation is determined by a lack of adhesion molecules. We suspect that the biological aggressiveness would be modified by other characteristic phenotypes such as anaplastic lymphoma kinase, CD30, and CD56. </w:t>
      </w:r>
    </w:p>
    <w:p w:rsidR="00986F53" w:rsidRPr="006A4D75" w:rsidRDefault="00986F53" w:rsidP="0037002B">
      <w:pPr>
        <w:widowControl/>
        <w:spacing w:line="360" w:lineRule="auto"/>
        <w:rPr>
          <w:rFonts w:ascii="Book Antiqua" w:eastAsia="宋体" w:hAnsi="Book Antiqua"/>
          <w:b/>
          <w:sz w:val="24"/>
          <w:szCs w:val="24"/>
          <w:lang w:eastAsia="zh-CN"/>
        </w:rPr>
      </w:pPr>
    </w:p>
    <w:p w:rsidR="00986F53" w:rsidRPr="006A4D75" w:rsidRDefault="00986F53" w:rsidP="00956249">
      <w:pPr>
        <w:spacing w:line="360" w:lineRule="auto"/>
        <w:rPr>
          <w:rFonts w:ascii="Book Antiqua" w:eastAsia="宋体" w:hAnsi="Book Antiqua"/>
          <w:sz w:val="24"/>
          <w:szCs w:val="24"/>
          <w:lang w:eastAsia="zh-CN"/>
        </w:rPr>
      </w:pPr>
      <w:r w:rsidRPr="006A4D75">
        <w:rPr>
          <w:rFonts w:ascii="Book Antiqua" w:hAnsi="Book Antiqua"/>
          <w:sz w:val="24"/>
          <w:szCs w:val="24"/>
        </w:rPr>
        <w:t>Shiroshita</w:t>
      </w:r>
      <w:r w:rsidRPr="006A4D75">
        <w:rPr>
          <w:rFonts w:ascii="Book Antiqua" w:eastAsia="宋体" w:hAnsi="Book Antiqua"/>
          <w:sz w:val="24"/>
          <w:szCs w:val="24"/>
          <w:lang w:eastAsia="zh-CN"/>
        </w:rPr>
        <w:t xml:space="preserve"> K</w:t>
      </w:r>
      <w:r w:rsidRPr="006A4D75">
        <w:rPr>
          <w:rFonts w:ascii="Book Antiqua" w:hAnsi="Book Antiqua"/>
          <w:sz w:val="24"/>
          <w:szCs w:val="24"/>
        </w:rPr>
        <w:t>, Kida</w:t>
      </w:r>
      <w:r w:rsidRPr="006A4D75">
        <w:rPr>
          <w:rFonts w:ascii="Book Antiqua" w:eastAsia="宋体" w:hAnsi="Book Antiqua"/>
          <w:sz w:val="24"/>
          <w:szCs w:val="24"/>
          <w:lang w:eastAsia="zh-CN"/>
        </w:rPr>
        <w:t xml:space="preserve"> J</w:t>
      </w:r>
      <w:r w:rsidRPr="006A4D75">
        <w:rPr>
          <w:rFonts w:ascii="Book Antiqua" w:hAnsi="Book Antiqua"/>
          <w:sz w:val="24"/>
          <w:szCs w:val="24"/>
        </w:rPr>
        <w:t>, Matsumoto</w:t>
      </w:r>
      <w:r w:rsidRPr="006A4D75">
        <w:rPr>
          <w:rFonts w:ascii="Book Antiqua" w:eastAsia="宋体" w:hAnsi="Book Antiqua"/>
          <w:sz w:val="24"/>
          <w:szCs w:val="24"/>
          <w:lang w:eastAsia="zh-CN"/>
        </w:rPr>
        <w:t xml:space="preserve"> K</w:t>
      </w:r>
      <w:r w:rsidRPr="006A4D75">
        <w:rPr>
          <w:rFonts w:ascii="Book Antiqua" w:hAnsi="Book Antiqua"/>
          <w:sz w:val="24"/>
          <w:szCs w:val="24"/>
        </w:rPr>
        <w:t>, Uemura</w:t>
      </w:r>
      <w:r w:rsidRPr="006A4D75">
        <w:rPr>
          <w:rFonts w:ascii="Book Antiqua" w:eastAsia="宋体" w:hAnsi="Book Antiqua"/>
          <w:sz w:val="24"/>
          <w:szCs w:val="24"/>
          <w:lang w:eastAsia="zh-CN"/>
        </w:rPr>
        <w:t xml:space="preserve"> M</w:t>
      </w:r>
      <w:r w:rsidRPr="006A4D75">
        <w:rPr>
          <w:rFonts w:ascii="Book Antiqua" w:hAnsi="Book Antiqua"/>
          <w:sz w:val="24"/>
          <w:szCs w:val="24"/>
        </w:rPr>
        <w:t>, Yamaoka</w:t>
      </w:r>
      <w:r w:rsidRPr="006A4D75">
        <w:rPr>
          <w:rFonts w:ascii="Book Antiqua" w:eastAsia="宋体" w:hAnsi="Book Antiqua"/>
          <w:sz w:val="24"/>
          <w:szCs w:val="24"/>
          <w:lang w:eastAsia="zh-CN"/>
        </w:rPr>
        <w:t xml:space="preserve"> G</w:t>
      </w:r>
      <w:r w:rsidRPr="006A4D75">
        <w:rPr>
          <w:rFonts w:ascii="Book Antiqua" w:hAnsi="Book Antiqua"/>
          <w:sz w:val="24"/>
          <w:szCs w:val="24"/>
        </w:rPr>
        <w:t>, Miyai</w:t>
      </w:r>
      <w:r w:rsidRPr="006A4D75">
        <w:rPr>
          <w:rFonts w:ascii="Book Antiqua" w:eastAsia="宋体" w:hAnsi="Book Antiqua"/>
          <w:sz w:val="24"/>
          <w:szCs w:val="24"/>
          <w:lang w:eastAsia="zh-CN"/>
        </w:rPr>
        <w:t xml:space="preserve"> Y</w:t>
      </w:r>
      <w:r w:rsidRPr="006A4D75">
        <w:rPr>
          <w:rFonts w:ascii="Book Antiqua" w:hAnsi="Book Antiqua"/>
          <w:sz w:val="24"/>
          <w:szCs w:val="24"/>
        </w:rPr>
        <w:t>, Haba</w:t>
      </w:r>
      <w:r w:rsidRPr="006A4D75">
        <w:rPr>
          <w:rFonts w:ascii="Book Antiqua" w:eastAsia="宋体" w:hAnsi="Book Antiqua"/>
          <w:sz w:val="24"/>
          <w:szCs w:val="24"/>
          <w:lang w:eastAsia="zh-CN"/>
        </w:rPr>
        <w:t xml:space="preserve"> R</w:t>
      </w:r>
      <w:r w:rsidRPr="006A4D75">
        <w:rPr>
          <w:rFonts w:ascii="Book Antiqua" w:hAnsi="Book Antiqua"/>
          <w:sz w:val="24"/>
          <w:szCs w:val="24"/>
        </w:rPr>
        <w:t>, Imataki</w:t>
      </w:r>
      <w:r w:rsidRPr="006A4D75">
        <w:rPr>
          <w:rFonts w:ascii="Book Antiqua" w:eastAsia="宋体" w:hAnsi="Book Antiqua"/>
          <w:sz w:val="24"/>
          <w:szCs w:val="24"/>
          <w:lang w:eastAsia="zh-CN"/>
        </w:rPr>
        <w:t xml:space="preserve"> O. </w:t>
      </w:r>
      <w:r w:rsidRPr="006A4D75">
        <w:rPr>
          <w:rFonts w:ascii="Book Antiqua" w:hAnsi="Book Antiqua"/>
          <w:sz w:val="24"/>
          <w:szCs w:val="24"/>
        </w:rPr>
        <w:t>Intravascular proliferating anaplastic lymphoma kinase-positive anaplastic large-cell lymphoma</w:t>
      </w:r>
      <w:r w:rsidRPr="006A4D75">
        <w:rPr>
          <w:rFonts w:ascii="Book Antiqua" w:eastAsia="宋体" w:hAnsi="Book Antiqua"/>
          <w:sz w:val="24"/>
          <w:szCs w:val="24"/>
          <w:lang w:eastAsia="zh-CN"/>
        </w:rPr>
        <w:t xml:space="preserve">. </w:t>
      </w:r>
      <w:r w:rsidRPr="006A4D75">
        <w:rPr>
          <w:rFonts w:ascii="Book Antiqua" w:hAnsi="Book Antiqua"/>
          <w:i/>
          <w:iCs/>
          <w:sz w:val="24"/>
          <w:szCs w:val="24"/>
        </w:rPr>
        <w:t>World J Hematol</w:t>
      </w:r>
      <w:r w:rsidRPr="006A4D75">
        <w:rPr>
          <w:rFonts w:ascii="Book Antiqua" w:eastAsia="宋体" w:hAnsi="Book Antiqua"/>
          <w:iCs/>
          <w:sz w:val="24"/>
          <w:szCs w:val="24"/>
          <w:lang w:eastAsia="zh-CN"/>
        </w:rPr>
        <w:t xml:space="preserve"> 2015; </w:t>
      </w:r>
      <w:r w:rsidRPr="006A4D75">
        <w:rPr>
          <w:rFonts w:ascii="Book Antiqua" w:hAnsi="Book Antiqua"/>
          <w:iCs/>
          <w:sz w:val="24"/>
        </w:rPr>
        <w:t>In press</w:t>
      </w:r>
    </w:p>
    <w:p w:rsidR="00986F53" w:rsidRPr="0084577B" w:rsidRDefault="00986F53" w:rsidP="0037002B">
      <w:pPr>
        <w:widowControl/>
        <w:spacing w:line="360" w:lineRule="auto"/>
        <w:rPr>
          <w:rFonts w:ascii="Book Antiqua" w:eastAsia="宋体" w:hAnsi="Book Antiqua"/>
          <w:b/>
          <w:sz w:val="24"/>
          <w:szCs w:val="24"/>
          <w:lang w:eastAsia="zh-CN"/>
        </w:rPr>
      </w:pPr>
    </w:p>
    <w:p w:rsidR="00986F53" w:rsidRPr="006A4D75" w:rsidRDefault="00986F53" w:rsidP="0037002B">
      <w:pPr>
        <w:spacing w:line="360" w:lineRule="auto"/>
        <w:rPr>
          <w:rFonts w:ascii="Book Antiqua" w:eastAsia="宋体" w:hAnsi="Book Antiqua"/>
          <w:b/>
          <w:sz w:val="24"/>
          <w:szCs w:val="24"/>
          <w:lang w:eastAsia="zh-CN"/>
        </w:rPr>
      </w:pPr>
      <w:r w:rsidRPr="006A4D75">
        <w:rPr>
          <w:rFonts w:ascii="Book Antiqua" w:eastAsia="宋体" w:hAnsi="Book Antiqua"/>
          <w:b/>
          <w:sz w:val="24"/>
          <w:szCs w:val="24"/>
          <w:lang w:eastAsia="zh-CN"/>
        </w:rPr>
        <w:t>INTRODUCTION</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B-cell intravascular lymphoma (B-IVL) is a rare and special subtype of diffuse large B-cell lymphoma (DLBCL). B-IVL is characterized by the selective growth of lymphoma cells within the lumina of vessels. Intravascular large B-cell lymphoma is categorized as a distinct clinical entity in the World Health Organization (WHO) classification</w:t>
      </w:r>
      <w:r w:rsidRPr="006A4D75">
        <w:rPr>
          <w:rFonts w:ascii="Book Antiqua" w:hAnsi="Book Antiqua"/>
          <w:sz w:val="24"/>
          <w:szCs w:val="24"/>
          <w:vertAlign w:val="superscript"/>
        </w:rPr>
        <w:t>[1,2]</w:t>
      </w:r>
      <w:r w:rsidRPr="006A4D75">
        <w:rPr>
          <w:rFonts w:ascii="Book Antiqua" w:hAnsi="Book Antiqua"/>
          <w:sz w:val="24"/>
          <w:szCs w:val="24"/>
        </w:rPr>
        <w:t>. The lymphoma cells are widely disseminated in and involved with extranodal sites, but lymph nodes are usually exclusively spared. The sites of involvement vary and may include organs such as bone marrow, liver, spleen, lung, brain and skin. IVL tumor cells are immunophenotypically positive for mature B-cell markers such as CD19, CD20, CD21 and CD79a, but negative for the homing receptors CD29 (β1 integrin) and CD54 [intercellular adhesion molecule 1 (ICAM-1)]. These molecular features of the cell surface are thought to hinder the extravasated infiltration of tumor cells.</w:t>
      </w:r>
    </w:p>
    <w:p w:rsidR="00986F53" w:rsidRPr="006A4D75" w:rsidRDefault="00986F53" w:rsidP="0084577B">
      <w:pPr>
        <w:widowControl/>
        <w:spacing w:line="360" w:lineRule="auto"/>
        <w:ind w:firstLineChars="100" w:firstLine="240"/>
        <w:rPr>
          <w:rFonts w:ascii="Book Antiqua" w:eastAsia="Times New Roman" w:hAnsi="Book Antiqua"/>
          <w:b/>
          <w:sz w:val="24"/>
          <w:szCs w:val="24"/>
          <w:lang w:eastAsia="zh-CN"/>
        </w:rPr>
      </w:pPr>
      <w:r w:rsidRPr="006A4D75">
        <w:rPr>
          <w:rFonts w:ascii="Book Antiqua" w:hAnsi="Book Antiqua"/>
          <w:sz w:val="24"/>
          <w:szCs w:val="24"/>
        </w:rPr>
        <w:t>A few anecdotal cases of intravascular T-cell lymphoma (T-IVL) have been reported</w:t>
      </w:r>
      <w:r w:rsidRPr="006A4D75">
        <w:rPr>
          <w:rFonts w:ascii="Book Antiqua" w:hAnsi="Book Antiqua"/>
          <w:sz w:val="24"/>
          <w:szCs w:val="24"/>
          <w:vertAlign w:val="superscript"/>
        </w:rPr>
        <w:t>[3,4]</w:t>
      </w:r>
      <w:r w:rsidRPr="006A4D75">
        <w:rPr>
          <w:rFonts w:ascii="Book Antiqua" w:hAnsi="Book Antiqua"/>
          <w:sz w:val="24"/>
          <w:szCs w:val="24"/>
        </w:rPr>
        <w:t xml:space="preserve">. In these cases the tumor cells expressed T-cell markers, but not the differentiated markers CD4 and CD8. CD30 was also positive. Pleomorphic morphology resulted in the diagnosis of anaplastic large-cell lymphoma. Among these T-IVL cases, none harbored the gene of anaplastic lymphoma kinase (ALK). Here we report the first case of a patient with ALK-positive T-IVL, and we suggest a distinct clinical entity for T-IVL and propose the elucidation of its clinicopathological features. </w:t>
      </w:r>
    </w:p>
    <w:p w:rsidR="00986F53" w:rsidRPr="006A4D75" w:rsidRDefault="00986F53" w:rsidP="0037002B">
      <w:pPr>
        <w:widowControl/>
        <w:spacing w:line="360" w:lineRule="auto"/>
        <w:rPr>
          <w:rFonts w:ascii="Book Antiqua" w:eastAsia="Times New Roman" w:hAnsi="Book Antiqua"/>
          <w:sz w:val="24"/>
          <w:szCs w:val="24"/>
          <w:lang w:eastAsia="zh-CN"/>
        </w:rPr>
      </w:pPr>
    </w:p>
    <w:p w:rsidR="00986F53" w:rsidRPr="006A4D75" w:rsidRDefault="00986F53" w:rsidP="00716233">
      <w:pPr>
        <w:spacing w:line="360" w:lineRule="auto"/>
        <w:rPr>
          <w:rFonts w:ascii="Book Antiqua" w:hAnsi="Book Antiqua"/>
          <w:b/>
          <w:sz w:val="24"/>
        </w:rPr>
      </w:pPr>
      <w:r w:rsidRPr="006A4D75">
        <w:rPr>
          <w:rFonts w:ascii="Book Antiqua" w:hAnsi="Book Antiqua"/>
          <w:b/>
          <w:sz w:val="24"/>
        </w:rPr>
        <w:t>CASE REPORT</w:t>
      </w:r>
    </w:p>
    <w:p w:rsidR="00986F53" w:rsidRPr="006A4D75" w:rsidRDefault="00986F53" w:rsidP="0037002B">
      <w:pPr>
        <w:spacing w:line="360" w:lineRule="auto"/>
        <w:rPr>
          <w:rFonts w:ascii="Book Antiqua" w:hAnsi="Book Antiqua"/>
          <w:sz w:val="24"/>
          <w:szCs w:val="24"/>
        </w:rPr>
      </w:pPr>
      <w:r w:rsidRPr="006A4D75">
        <w:rPr>
          <w:rFonts w:ascii="Book Antiqua" w:hAnsi="Book Antiqua"/>
          <w:sz w:val="24"/>
          <w:szCs w:val="24"/>
        </w:rPr>
        <w:t>An 82-y</w:t>
      </w:r>
      <w:r w:rsidRPr="006A4D75">
        <w:rPr>
          <w:rFonts w:ascii="Book Antiqua" w:eastAsia="宋体" w:hAnsi="Book Antiqua"/>
          <w:sz w:val="24"/>
          <w:szCs w:val="24"/>
          <w:lang w:eastAsia="zh-CN"/>
        </w:rPr>
        <w:t>ea</w:t>
      </w:r>
      <w:r w:rsidRPr="006A4D75">
        <w:rPr>
          <w:rFonts w:ascii="Book Antiqua" w:hAnsi="Book Antiqua"/>
          <w:sz w:val="24"/>
          <w:szCs w:val="24"/>
        </w:rPr>
        <w:t>r-old Japanese man with no notable medical history came to the ambulatory emergency unit of our hospital because of difficulty in breathing that had persisted for the prior 4 d. In addition to his chief complaint of dyspnea, he had been suffering from anorexia due to nausea, and diarrhea. The dyspnea was progressive and became urgent just 2 h prior to his admission to our emergency unit. A physical examination showed that he was febrile (38.1</w:t>
      </w:r>
      <w:r w:rsidRPr="006A4D75">
        <w:rPr>
          <w:rFonts w:ascii="Book Antiqua" w:eastAsia="宋体" w:hAnsi="Book Antiqua"/>
          <w:sz w:val="24"/>
          <w:szCs w:val="24"/>
          <w:lang w:eastAsia="zh-CN"/>
        </w:rPr>
        <w:t xml:space="preserve"> </w:t>
      </w:r>
      <w:r w:rsidRPr="006A4D75">
        <w:rPr>
          <w:rFonts w:ascii="Book Antiqua" w:hAnsi="Book Antiqua"/>
          <w:sz w:val="24"/>
          <w:szCs w:val="24"/>
        </w:rPr>
        <w:t>°C). His blood pressure was within the normal range at 132/85 mmHg, but tachycardia (136/min) was observed. The respiration rate was 31 breaths/min and irregular. The oxygen saturation was 90% while he was breathing ambient air.</w:t>
      </w:r>
    </w:p>
    <w:p w:rsidR="00986F53" w:rsidRPr="006A4D75" w:rsidRDefault="00986F53" w:rsidP="0084577B">
      <w:pPr>
        <w:spacing w:line="360" w:lineRule="auto"/>
        <w:ind w:firstLineChars="100" w:firstLine="240"/>
        <w:rPr>
          <w:rFonts w:ascii="Book Antiqua" w:hAnsi="Book Antiqua"/>
          <w:sz w:val="24"/>
          <w:szCs w:val="24"/>
        </w:rPr>
      </w:pPr>
      <w:r w:rsidRPr="006A4D75">
        <w:rPr>
          <w:rFonts w:ascii="Book Antiqua" w:hAnsi="Book Antiqua"/>
          <w:sz w:val="24"/>
          <w:szCs w:val="24"/>
        </w:rPr>
        <w:t>An electrocardiogram revealed arrhythmia at a rate of 130–140 beats/min, with premature atrial contraction and nonsustained ventricular tachycardia, and there was no evidence of ST-segment or T-wave abnormalities. An echocardiogram revealed MR (grade II) and TR (grade I) and hypokinesia in the septum, the posterior wall, and the base of the heart; the ejection fraction was 60% and there was no evidence of systolic function disorder.</w:t>
      </w:r>
    </w:p>
    <w:p w:rsidR="00986F53" w:rsidRPr="006A4D75" w:rsidRDefault="00986F53" w:rsidP="0084577B">
      <w:pPr>
        <w:spacing w:line="360" w:lineRule="auto"/>
        <w:ind w:firstLineChars="100" w:firstLine="240"/>
        <w:rPr>
          <w:rFonts w:ascii="Book Antiqua" w:hAnsi="Book Antiqua"/>
          <w:sz w:val="24"/>
          <w:szCs w:val="24"/>
        </w:rPr>
      </w:pPr>
      <w:r w:rsidRPr="006A4D75">
        <w:rPr>
          <w:rFonts w:ascii="Book Antiqua" w:hAnsi="Book Antiqua"/>
          <w:sz w:val="24"/>
          <w:szCs w:val="24"/>
        </w:rPr>
        <w:t xml:space="preserve">A laboratory examination revealed an elevated white blood cell (WBC) count of 24260/μL and an increase of 13% atypical lymphocytes in the WBC differential count. In a blood smear, the atypical lymphocytes were large round cells and their cytosol was basophilic; they also had some vesicles. Anemia with a hemoglobin level of 12.5 g/dL and thrombocytopenia with a platelet count of 10.8/μL were observed. The C-reactive protein level was 32.0 mg/dL, </w:t>
      </w:r>
      <w:r w:rsidRPr="006A4D75">
        <w:rPr>
          <w:rFonts w:ascii="Book Antiqua" w:hAnsi="Book Antiqua"/>
          <w:i/>
          <w:sz w:val="24"/>
          <w:szCs w:val="24"/>
        </w:rPr>
        <w:t>i.e.</w:t>
      </w:r>
      <w:r w:rsidRPr="006A4D75">
        <w:rPr>
          <w:rFonts w:ascii="Book Antiqua" w:hAnsi="Book Antiqua"/>
          <w:sz w:val="24"/>
          <w:szCs w:val="24"/>
        </w:rPr>
        <w:t>, extremely elevated, and there were slight impairments of liver and renal functions. The prothrombin time international normalized ratio was long, and the d-dimer (7.4 μg/dL) and fibrinogen degradation product (26.8 μg/dL) levels were both elevated. The arterial blood gas test revealed pH 7.46 and metabolic acidosis, accompanied by an elevated level of lactic acid (86 mg/dL), which was compensated for by respiratory alkalosis.</w:t>
      </w:r>
    </w:p>
    <w:p w:rsidR="00986F53" w:rsidRPr="006A4D75" w:rsidRDefault="00986F53" w:rsidP="0084577B">
      <w:pPr>
        <w:spacing w:line="360" w:lineRule="auto"/>
        <w:ind w:firstLineChars="100" w:firstLine="240"/>
        <w:rPr>
          <w:rFonts w:ascii="Book Antiqua" w:hAnsi="Book Antiqua"/>
          <w:sz w:val="24"/>
          <w:szCs w:val="24"/>
        </w:rPr>
      </w:pPr>
      <w:r w:rsidRPr="006A4D75">
        <w:rPr>
          <w:rFonts w:ascii="Book Antiqua" w:hAnsi="Book Antiqua"/>
          <w:sz w:val="24"/>
          <w:szCs w:val="24"/>
        </w:rPr>
        <w:t xml:space="preserve">Soluble interleukin-2 receptor was extremely over-secreted (up to 231900 U/mL). The antigens of </w:t>
      </w:r>
      <w:r w:rsidRPr="006A4D75">
        <w:rPr>
          <w:rFonts w:ascii="Book Antiqua" w:hAnsi="Book Antiqua"/>
          <w:i/>
          <w:sz w:val="24"/>
          <w:szCs w:val="24"/>
        </w:rPr>
        <w:t>Streptococcus pneumonia</w:t>
      </w:r>
      <w:r w:rsidRPr="006A4D75">
        <w:rPr>
          <w:rFonts w:ascii="Book Antiqua" w:hAnsi="Book Antiqua"/>
          <w:sz w:val="24"/>
          <w:szCs w:val="24"/>
        </w:rPr>
        <w:t xml:space="preserve"> and </w:t>
      </w:r>
      <w:r w:rsidRPr="006A4D75">
        <w:rPr>
          <w:rFonts w:ascii="Book Antiqua" w:hAnsi="Book Antiqua"/>
          <w:i/>
          <w:sz w:val="24"/>
          <w:szCs w:val="24"/>
        </w:rPr>
        <w:t>Legionnaire</w:t>
      </w:r>
      <w:r w:rsidRPr="006A4D75">
        <w:rPr>
          <w:rFonts w:ascii="Book Antiqua" w:hAnsi="Book Antiqua"/>
          <w:sz w:val="24"/>
          <w:szCs w:val="24"/>
        </w:rPr>
        <w:t xml:space="preserve"> in the urine and the cultures of blood, sputum, and urine were all negative, as were hepatitis B virus surface antigen and hepatitis C virus antibody. The residual examination findings were intact. X-ray photography elucidated bilateral pleural fluid, an enlarged mediastinum, and swelled bilateral hilar lymph nodes. Chest and abdominal computed tomography confirmed the findings suggested on chest X-ray</w:t>
      </w:r>
      <w:r w:rsidRPr="006A4D75" w:rsidDel="009613BD">
        <w:rPr>
          <w:rFonts w:ascii="Book Antiqua" w:hAnsi="Book Antiqua"/>
          <w:sz w:val="24"/>
          <w:szCs w:val="24"/>
        </w:rPr>
        <w:t xml:space="preserve"> </w:t>
      </w:r>
      <w:r w:rsidRPr="006A4D75">
        <w:rPr>
          <w:rFonts w:ascii="Book Antiqua" w:hAnsi="Book Antiqua"/>
          <w:sz w:val="24"/>
          <w:szCs w:val="24"/>
        </w:rPr>
        <w:t xml:space="preserve">and depicted hepatosplenomegaly and swelling of the hilar, mediastinum, supraclavicular, and left axial lymph nodes. For the management of the patient’s respiratory and circulatory failure, we admitted him to our intensive care unit. </w:t>
      </w:r>
    </w:p>
    <w:p w:rsidR="00986F53" w:rsidRPr="006A4D75" w:rsidRDefault="00986F53" w:rsidP="0084577B">
      <w:pPr>
        <w:spacing w:line="360" w:lineRule="auto"/>
        <w:ind w:firstLineChars="100" w:firstLine="240"/>
        <w:rPr>
          <w:rFonts w:ascii="Book Antiqua" w:hAnsi="Book Antiqua"/>
          <w:sz w:val="24"/>
          <w:szCs w:val="24"/>
        </w:rPr>
      </w:pPr>
      <w:r w:rsidRPr="006A4D75">
        <w:rPr>
          <w:rFonts w:ascii="Book Antiqua" w:hAnsi="Book Antiqua"/>
          <w:sz w:val="24"/>
          <w:szCs w:val="24"/>
        </w:rPr>
        <w:t>Unfortunately, the patient died of respiratory failure 5 d after the initiation of dyspnea</w:t>
      </w:r>
      <w:r w:rsidRPr="006A4D75">
        <w:rPr>
          <w:rFonts w:ascii="Book Antiqua" w:hAnsi="Book Antiqua"/>
          <w:sz w:val="24"/>
          <w:szCs w:val="24"/>
          <w:vertAlign w:val="superscript"/>
        </w:rPr>
        <w:t>[5]</w:t>
      </w:r>
      <w:r w:rsidRPr="006A4D75">
        <w:rPr>
          <w:rFonts w:ascii="Book Antiqua" w:hAnsi="Book Antiqua"/>
          <w:sz w:val="24"/>
          <w:szCs w:val="24"/>
        </w:rPr>
        <w:t xml:space="preserve">. At autopsy, the pathological features revealed a diffuse infiltration of large atypical lymphocytes to systemic organs including lymph nodes (Figure 1), lung and heart. In the lung and heart, tumor cells selectively proliferated in the intra lumina of vessels (Figure 2). Immunohistochemical staining revealed that the tumor cells expressed CD30, TIA-1, ALK (Figure 1), CD5 and CD3. Surface markers for cell adhesion, </w:t>
      </w:r>
      <w:r w:rsidRPr="006A4D75">
        <w:rPr>
          <w:rFonts w:ascii="Book Antiqua" w:hAnsi="Book Antiqua"/>
          <w:i/>
          <w:sz w:val="24"/>
          <w:szCs w:val="24"/>
        </w:rPr>
        <w:t>i.e.</w:t>
      </w:r>
      <w:r w:rsidRPr="006A4D75">
        <w:rPr>
          <w:rFonts w:ascii="Book Antiqua" w:hAnsi="Book Antiqua"/>
          <w:sz w:val="24"/>
          <w:szCs w:val="24"/>
        </w:rPr>
        <w:t>, CD54 (ICAM-1) and CD56 (neural cell adhesion molecule), were negative. Both epithelial membrane antigen and Epstein–Barr virus (EBV)-encoded small RNA (EBER) were also negative. Interestingly, granzyme B and perforin were positive. Ki-67 was strongly positive.</w:t>
      </w:r>
    </w:p>
    <w:p w:rsidR="00986F53" w:rsidRPr="006A4D75" w:rsidRDefault="00986F53" w:rsidP="0037002B">
      <w:pPr>
        <w:spacing w:line="360" w:lineRule="auto"/>
        <w:rPr>
          <w:rFonts w:ascii="Book Antiqua" w:hAnsi="Book Antiqua"/>
          <w:b/>
          <w:sz w:val="24"/>
          <w:szCs w:val="24"/>
        </w:rPr>
      </w:pPr>
    </w:p>
    <w:p w:rsidR="00986F53" w:rsidRPr="006A4D75" w:rsidRDefault="00986F53" w:rsidP="00716233">
      <w:pPr>
        <w:spacing w:line="360" w:lineRule="auto"/>
        <w:rPr>
          <w:rFonts w:ascii="Book Antiqua" w:hAnsi="Book Antiqua"/>
          <w:b/>
          <w:sz w:val="24"/>
        </w:rPr>
      </w:pPr>
      <w:r w:rsidRPr="006A4D75">
        <w:rPr>
          <w:rFonts w:ascii="Book Antiqua" w:hAnsi="Book Antiqua"/>
          <w:b/>
          <w:sz w:val="24"/>
        </w:rPr>
        <w:t>DISCUSSION</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IVL was first described as an angiotropic large-cell lymphoma in which neoplastic lymphoma cells proliferate exclusively within the lumen of small blood vessels</w:t>
      </w:r>
      <w:r w:rsidRPr="006A4D75">
        <w:rPr>
          <w:rFonts w:ascii="Book Antiqua" w:hAnsi="Book Antiqua"/>
          <w:sz w:val="24"/>
          <w:szCs w:val="24"/>
          <w:vertAlign w:val="superscript"/>
        </w:rPr>
        <w:t>[6]</w:t>
      </w:r>
      <w:r w:rsidRPr="006A4D75">
        <w:rPr>
          <w:rFonts w:ascii="Book Antiqua" w:hAnsi="Book Antiqua"/>
          <w:sz w:val="24"/>
          <w:szCs w:val="24"/>
        </w:rPr>
        <w:t>. The majority of IVL cases have a B-cell phenotype; other lymphoma phenotypes including T cells</w:t>
      </w:r>
      <w:r w:rsidRPr="006A4D75">
        <w:rPr>
          <w:rFonts w:ascii="Book Antiqua" w:hAnsi="Book Antiqua"/>
          <w:sz w:val="24"/>
          <w:szCs w:val="24"/>
          <w:vertAlign w:val="superscript"/>
        </w:rPr>
        <w:t>[3,7]</w:t>
      </w:r>
      <w:r w:rsidRPr="006A4D75">
        <w:rPr>
          <w:rFonts w:ascii="Book Antiqua" w:hAnsi="Book Antiqua"/>
          <w:sz w:val="24"/>
          <w:szCs w:val="24"/>
        </w:rPr>
        <w:t>, and NK cells</w:t>
      </w:r>
      <w:r w:rsidRPr="006A4D75">
        <w:rPr>
          <w:rFonts w:ascii="Book Antiqua" w:hAnsi="Book Antiqua"/>
          <w:sz w:val="24"/>
          <w:szCs w:val="24"/>
          <w:vertAlign w:val="superscript"/>
        </w:rPr>
        <w:t>[8]</w:t>
      </w:r>
      <w:r w:rsidRPr="006A4D75">
        <w:rPr>
          <w:rFonts w:ascii="Book Antiqua" w:hAnsi="Book Antiqua"/>
          <w:sz w:val="24"/>
          <w:szCs w:val="24"/>
        </w:rPr>
        <w:t xml:space="preserve"> are rare. T-cell lymphoma with IVL proliferation is nevertheless the second most common phenotype of IVL, followed by the NK-cell subtype. IVL has been reported to be linked to cases of plasmablastic lymphoma</w:t>
      </w:r>
      <w:r w:rsidRPr="006A4D75">
        <w:rPr>
          <w:rFonts w:ascii="Book Antiqua" w:hAnsi="Book Antiqua"/>
          <w:sz w:val="24"/>
          <w:szCs w:val="24"/>
          <w:vertAlign w:val="superscript"/>
        </w:rPr>
        <w:t>[9]</w:t>
      </w:r>
      <w:r w:rsidRPr="006A4D75">
        <w:rPr>
          <w:rFonts w:ascii="Book Antiqua" w:hAnsi="Book Antiqua"/>
          <w:sz w:val="24"/>
          <w:szCs w:val="24"/>
        </w:rPr>
        <w:t xml:space="preserve"> and even histiocytic</w:t>
      </w:r>
      <w:r w:rsidRPr="006A4D75">
        <w:rPr>
          <w:rFonts w:ascii="Book Antiqua" w:hAnsi="Book Antiqua"/>
          <w:sz w:val="24"/>
          <w:szCs w:val="24"/>
          <w:vertAlign w:val="superscript"/>
        </w:rPr>
        <w:t>[10]</w:t>
      </w:r>
      <w:r w:rsidRPr="006A4D75">
        <w:rPr>
          <w:rFonts w:ascii="Book Antiqua" w:hAnsi="Book Antiqua"/>
          <w:sz w:val="24"/>
          <w:szCs w:val="24"/>
        </w:rPr>
        <w:t xml:space="preserve"> and Hodgkin lymphoma</w:t>
      </w:r>
      <w:r w:rsidRPr="006A4D75">
        <w:rPr>
          <w:rFonts w:ascii="Book Antiqua" w:hAnsi="Book Antiqua"/>
          <w:sz w:val="24"/>
          <w:szCs w:val="24"/>
          <w:vertAlign w:val="superscript"/>
        </w:rPr>
        <w:t>[11]</w:t>
      </w:r>
      <w:r w:rsidRPr="006A4D75">
        <w:rPr>
          <w:rFonts w:ascii="Book Antiqua" w:hAnsi="Book Antiqua"/>
          <w:sz w:val="24"/>
          <w:szCs w:val="24"/>
        </w:rPr>
        <w:t>. The aggregate of these cases indicates that IVL can compromise all types of lymphoid malignancies (lymphoid neoplasms) or hematological malignancies, and indeed a genetic analysis of IVL revealed the neoplastic cells to be of lymphoid origin</w:t>
      </w:r>
      <w:r w:rsidRPr="006A4D75">
        <w:rPr>
          <w:rFonts w:ascii="Book Antiqua" w:hAnsi="Book Antiqua"/>
          <w:sz w:val="24"/>
          <w:szCs w:val="24"/>
          <w:vertAlign w:val="superscript"/>
        </w:rPr>
        <w:t>[6,12]</w:t>
      </w:r>
      <w:r w:rsidRPr="006A4D75">
        <w:rPr>
          <w:rFonts w:ascii="Book Antiqua" w:hAnsi="Book Antiqua"/>
          <w:sz w:val="24"/>
          <w:szCs w:val="24"/>
        </w:rPr>
        <w:t>.</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ILV defined by the WHO criteria includes “the presence of neoplastic lymphocytes only in the lumina of small vessels, particularly capillary”</w:t>
      </w:r>
      <w:r w:rsidRPr="006A4D75">
        <w:rPr>
          <w:rFonts w:ascii="Book Antiqua" w:hAnsi="Book Antiqua"/>
          <w:sz w:val="24"/>
          <w:szCs w:val="24"/>
          <w:vertAlign w:val="superscript"/>
        </w:rPr>
        <w:t>[1,2]</w:t>
      </w:r>
      <w:r w:rsidRPr="006A4D75">
        <w:rPr>
          <w:rFonts w:ascii="Book Antiqua" w:hAnsi="Book Antiqua"/>
          <w:sz w:val="24"/>
          <w:szCs w:val="24"/>
        </w:rPr>
        <w:t>. Lymphocyte migration from a blood vessel to tissues is remarkably important for the immune response in the inflammatory area. Therefore, based on the immunobiological behaviors of the lymphocytes, it has been assumed that IVL cells can proliferate and grow mainly in small vessels. However, the mechanism underlying the endotheliotropic invasion of IVL neoplastic cells is not fully elucidated.</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One of the possible explanations for the underlying mechanism was suggested by the results of some B-IVL studies that analyzed the lack of homing receptors (CD44), LFA-1 (CD11a/18), and ICAM-1 (CD54)</w:t>
      </w:r>
      <w:r w:rsidRPr="006A4D75">
        <w:rPr>
          <w:rFonts w:ascii="Book Antiqua" w:hAnsi="Book Antiqua"/>
          <w:sz w:val="24"/>
          <w:szCs w:val="24"/>
          <w:vertAlign w:val="superscript"/>
        </w:rPr>
        <w:t>[2,13]</w:t>
      </w:r>
      <w:r w:rsidRPr="006A4D75">
        <w:rPr>
          <w:rFonts w:ascii="Book Antiqua" w:hAnsi="Book Antiqua"/>
          <w:sz w:val="24"/>
          <w:szCs w:val="24"/>
        </w:rPr>
        <w:t xml:space="preserve"> and CD 29 (β1 integrin) and CD54 (ICAM-1)</w:t>
      </w:r>
      <w:r w:rsidRPr="006A4D75">
        <w:rPr>
          <w:rFonts w:ascii="Book Antiqua" w:hAnsi="Book Antiqua"/>
          <w:sz w:val="24"/>
          <w:szCs w:val="24"/>
          <w:vertAlign w:val="superscript"/>
        </w:rPr>
        <w:t>[14,15]</w:t>
      </w:r>
      <w:r w:rsidRPr="006A4D75">
        <w:rPr>
          <w:rFonts w:ascii="Book Antiqua" w:hAnsi="Book Antiqua"/>
          <w:sz w:val="24"/>
          <w:szCs w:val="24"/>
        </w:rPr>
        <w:t xml:space="preserve"> on neoplastic cells. In our patient’s case, ICAM-1 was not expressed. This is consistent with the past reports of B-IVL. Akamatsu </w:t>
      </w:r>
      <w:r w:rsidRPr="006A4D75">
        <w:rPr>
          <w:rFonts w:ascii="Book Antiqua" w:hAnsi="Book Antiqua"/>
          <w:i/>
          <w:sz w:val="24"/>
          <w:szCs w:val="24"/>
        </w:rPr>
        <w:t>et al</w:t>
      </w:r>
      <w:r w:rsidRPr="006A4D75">
        <w:rPr>
          <w:rFonts w:ascii="Book Antiqua" w:hAnsi="Book Antiqua"/>
          <w:sz w:val="24"/>
          <w:szCs w:val="24"/>
          <w:vertAlign w:val="superscript"/>
        </w:rPr>
        <w:t>[16]</w:t>
      </w:r>
      <w:r w:rsidRPr="006A4D75">
        <w:rPr>
          <w:rFonts w:ascii="Book Antiqua" w:hAnsi="Book Antiqua"/>
          <w:sz w:val="24"/>
          <w:szCs w:val="24"/>
        </w:rPr>
        <w:t xml:space="preserve"> reported adhesion molecules in CD30-positive anaplastic large-cell lymphoma (ALCL), and they revealed that homing receptors were constantly expressed and ICAM-1 was frequently expressed. These findings suggest that the tumor cells of B-IVL and T-IVL may have a common mechanism of selective proliferation in blood vessels. However, the lack of cell adhesion molecules is only part of a hypothesis regarding the tumorigenesis of IVL, and it is not clear whether the lack of adhesion molecules is important for IVL.</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There is the possibility that tumor cells actively proliferate in the vessels; for example, the overexpression of other adhesion molecules or surface proteins may make the tumor cells stay in the vessels. To elucidate the etiology of IVL, a further accumulation of cases in which the adhesion molecules are examined is necessary. If its etiology is revealed, IVL may be classified as a new etiology in the WHO classification, such as cell adhesion molecules lacking lymphoma, or CD54-negative lymphoma.</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As a cause of neoplastic transformation, an association of EBV has been pointed out in the past IVL cases</w:t>
      </w:r>
      <w:r w:rsidRPr="006A4D75">
        <w:rPr>
          <w:rFonts w:ascii="Book Antiqua" w:hAnsi="Book Antiqua"/>
          <w:sz w:val="24"/>
          <w:szCs w:val="24"/>
          <w:vertAlign w:val="superscript"/>
        </w:rPr>
        <w:t>[8]</w:t>
      </w:r>
      <w:r w:rsidRPr="006A4D75">
        <w:rPr>
          <w:rFonts w:ascii="Book Antiqua" w:hAnsi="Book Antiqua"/>
          <w:sz w:val="24"/>
          <w:szCs w:val="24"/>
        </w:rPr>
        <w:t>. Among lymphoid neoplasms, an EBV association has been observed in DLBCL, peripheral T-cell lymphoma-unspecified (PTCL-U), and extra-nodal NK/T cell lymphoma-nasal type</w:t>
      </w:r>
      <w:r w:rsidRPr="006A4D75">
        <w:rPr>
          <w:rFonts w:ascii="Book Antiqua" w:hAnsi="Book Antiqua"/>
          <w:sz w:val="24"/>
          <w:szCs w:val="24"/>
          <w:vertAlign w:val="superscript"/>
        </w:rPr>
        <w:t>[8]</w:t>
      </w:r>
      <w:r w:rsidRPr="006A4D75">
        <w:rPr>
          <w:rFonts w:ascii="Book Antiqua" w:hAnsi="Book Antiqua"/>
          <w:sz w:val="24"/>
          <w:szCs w:val="24"/>
        </w:rPr>
        <w:t>. Our patient’s case revealed no association with EBV. According to past T-IVL case reports, the EBV association is observed only in some cases</w:t>
      </w:r>
      <w:r w:rsidRPr="006A4D75">
        <w:rPr>
          <w:rFonts w:ascii="Book Antiqua" w:hAnsi="Book Antiqua"/>
          <w:sz w:val="24"/>
          <w:szCs w:val="24"/>
          <w:vertAlign w:val="superscript"/>
        </w:rPr>
        <w:t>[8]</w:t>
      </w:r>
      <w:r w:rsidRPr="006A4D75">
        <w:rPr>
          <w:rFonts w:ascii="Book Antiqua" w:hAnsi="Book Antiqua"/>
          <w:sz w:val="24"/>
          <w:szCs w:val="24"/>
        </w:rPr>
        <w:t>. More T-IVL cases should be accumulated to determine the significance of EBV in terms of prognosis and response to chemotherapy, and for a comparison of the nature of the original lymphoma and its intravascular type. Interestingly, NK-IVL showed EBV in most cases</w:t>
      </w:r>
      <w:r w:rsidRPr="006A4D75">
        <w:rPr>
          <w:rFonts w:ascii="Book Antiqua" w:hAnsi="Book Antiqua"/>
          <w:sz w:val="24"/>
          <w:szCs w:val="24"/>
          <w:vertAlign w:val="superscript"/>
        </w:rPr>
        <w:t>[17,18]</w:t>
      </w:r>
      <w:r w:rsidRPr="006A4D75">
        <w:rPr>
          <w:rFonts w:ascii="Book Antiqua" w:hAnsi="Book Antiqua"/>
          <w:sz w:val="24"/>
          <w:szCs w:val="24"/>
        </w:rPr>
        <w:t>, which suggests the possibility that the mechanism of malignant transformation in IVL may be the same as that of the original lymphoma.</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 xml:space="preserve">Ko </w:t>
      </w:r>
      <w:r w:rsidRPr="006A4D75">
        <w:rPr>
          <w:rFonts w:ascii="Book Antiqua" w:hAnsi="Book Antiqua"/>
          <w:i/>
          <w:sz w:val="24"/>
          <w:szCs w:val="24"/>
        </w:rPr>
        <w:t>et al</w:t>
      </w:r>
      <w:r w:rsidRPr="006A4D75">
        <w:rPr>
          <w:rFonts w:ascii="Book Antiqua" w:hAnsi="Book Antiqua"/>
          <w:sz w:val="24"/>
          <w:szCs w:val="24"/>
          <w:vertAlign w:val="superscript"/>
        </w:rPr>
        <w:t>[19]</w:t>
      </w:r>
      <w:r w:rsidRPr="006A4D75">
        <w:rPr>
          <w:rFonts w:ascii="Book Antiqua" w:hAnsi="Book Antiqua"/>
          <w:sz w:val="24"/>
          <w:szCs w:val="24"/>
        </w:rPr>
        <w:t xml:space="preserve"> reported a first case of intravascular ALCL in lung in 1997. However, they did not report the case’s ALK expression. Several subsequent reports of intravascular ALCL showed that ALK was negative in almost all cases</w:t>
      </w:r>
      <w:r w:rsidRPr="006A4D75">
        <w:rPr>
          <w:rFonts w:ascii="Book Antiqua" w:hAnsi="Book Antiqua"/>
          <w:sz w:val="24"/>
          <w:szCs w:val="24"/>
          <w:vertAlign w:val="superscript"/>
        </w:rPr>
        <w:t>[7,20,21]</w:t>
      </w:r>
      <w:r w:rsidRPr="006A4D75">
        <w:rPr>
          <w:rFonts w:ascii="Book Antiqua" w:hAnsi="Book Antiqua"/>
          <w:sz w:val="24"/>
          <w:szCs w:val="24"/>
        </w:rPr>
        <w:t>. Thus, ALK expression is not essential for the etiology of ALCL IVL; however, the ALK phenotype might modify the clinical grade of tumor growth</w:t>
      </w:r>
      <w:r w:rsidRPr="006A4D75">
        <w:rPr>
          <w:rFonts w:ascii="Book Antiqua" w:hAnsi="Book Antiqua"/>
          <w:sz w:val="24"/>
          <w:szCs w:val="24"/>
          <w:vertAlign w:val="superscript"/>
        </w:rPr>
        <w:t>[4,19]</w:t>
      </w:r>
      <w:r w:rsidRPr="006A4D75">
        <w:rPr>
          <w:rFonts w:ascii="Book Antiqua" w:hAnsi="Book Antiqua"/>
          <w:sz w:val="24"/>
          <w:szCs w:val="24"/>
        </w:rPr>
        <w:t>. The question of whether cases of ALK-positive ALCL IVL have poorer clinical outcomes compared to ALK-negative ALCL IVL is a topic for further research. Likewise, the biological role of cytotoxic molecules might be also associated with the aggressive behavior of ALCL IVL.</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 xml:space="preserve">Takahashi </w:t>
      </w:r>
      <w:r w:rsidRPr="006A4D75">
        <w:rPr>
          <w:rFonts w:ascii="Book Antiqua" w:hAnsi="Book Antiqua"/>
          <w:i/>
          <w:sz w:val="24"/>
          <w:szCs w:val="24"/>
        </w:rPr>
        <w:t>et al</w:t>
      </w:r>
      <w:r w:rsidRPr="006A4D75">
        <w:rPr>
          <w:rFonts w:ascii="Book Antiqua" w:hAnsi="Book Antiqua"/>
          <w:sz w:val="24"/>
          <w:szCs w:val="24"/>
          <w:vertAlign w:val="superscript"/>
        </w:rPr>
        <w:t>[3]</w:t>
      </w:r>
      <w:r w:rsidRPr="006A4D75">
        <w:rPr>
          <w:rFonts w:ascii="Book Antiqua" w:hAnsi="Book Antiqua"/>
          <w:sz w:val="24"/>
          <w:szCs w:val="24"/>
        </w:rPr>
        <w:t xml:space="preserve"> reported a CD30-positive and ALK-negative intravascular ALCL case, which was the first report of intravascular ALCL with cytotoxic molecules. The present case strongly expressed TIA-1, granzyme B and perforin, all of which are cytotoxic molecules, and thus our patient’s case is the second with cytotoxic molecules. Krishnan </w:t>
      </w:r>
      <w:r w:rsidRPr="006A4D75">
        <w:rPr>
          <w:rFonts w:ascii="Book Antiqua" w:hAnsi="Book Antiqua"/>
          <w:i/>
          <w:sz w:val="24"/>
          <w:szCs w:val="24"/>
        </w:rPr>
        <w:t>et al</w:t>
      </w:r>
      <w:r w:rsidRPr="006A4D75">
        <w:rPr>
          <w:rFonts w:ascii="Book Antiqua" w:hAnsi="Book Antiqua"/>
          <w:sz w:val="24"/>
          <w:szCs w:val="24"/>
          <w:vertAlign w:val="superscript"/>
        </w:rPr>
        <w:t>[4]</w:t>
      </w:r>
      <w:r w:rsidRPr="006A4D75">
        <w:rPr>
          <w:rFonts w:ascii="Book Antiqua" w:hAnsi="Book Antiqua"/>
          <w:sz w:val="24"/>
          <w:szCs w:val="24"/>
        </w:rPr>
        <w:t xml:space="preserve"> reported the first case of ALK-positive intravascular ALCL in 2009 in breast skin; however, the case did not show an intravascular proliferation pattern in any visceral organs. To our knowledge, therefore, the present case is the first report of ALK-positive ALCL in lung presenting as IVL. Our patient’s case is the first of intravascular ALCL which simultaneously expressed ALK-positive and cytotoxic molecules.</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The significance of cytotoxic molecule expression is controversial. In a PTCL-U study, 20% of the lymphomas expressed cytotoxic molecules such as TIA-1 and granzyme B in lymphoma-associated hemophagocytic syndrome (HPS)</w:t>
      </w:r>
      <w:r w:rsidRPr="006A4D75">
        <w:rPr>
          <w:rFonts w:ascii="Book Antiqua" w:hAnsi="Book Antiqua"/>
          <w:sz w:val="24"/>
          <w:szCs w:val="24"/>
          <w:vertAlign w:val="superscript"/>
        </w:rPr>
        <w:t>[22]</w:t>
      </w:r>
      <w:r w:rsidRPr="006A4D75">
        <w:rPr>
          <w:rFonts w:ascii="Book Antiqua" w:hAnsi="Book Antiqua"/>
          <w:sz w:val="24"/>
          <w:szCs w:val="24"/>
        </w:rPr>
        <w:t>. In our patient’s case, we incidentally detected HPS in the bone marrow, although the criteria of Asian-variant IVL (which was originally established for B-IVL) were not met. These findings suggest that intravascular ALCL that expresses cytotoxic molecules has an aggressive clinical course or is frequently concurrent with lymphoma-associated HPS. In contrast, HPS is frequently observed in B-IVL, especially among the reported Asian-variant cases, which manifested hepatosplenomegaly, pancytopenia and pathological HPS</w:t>
      </w:r>
      <w:r w:rsidRPr="006A4D75">
        <w:rPr>
          <w:rFonts w:ascii="Book Antiqua" w:hAnsi="Book Antiqua"/>
          <w:sz w:val="24"/>
          <w:szCs w:val="24"/>
          <w:vertAlign w:val="superscript"/>
        </w:rPr>
        <w:t>[23]</w:t>
      </w:r>
      <w:r w:rsidRPr="006A4D75">
        <w:rPr>
          <w:rFonts w:ascii="Book Antiqua" w:hAnsi="Book Antiqua"/>
          <w:sz w:val="24"/>
          <w:szCs w:val="24"/>
        </w:rPr>
        <w:t>. It would be interesting to conduct a hematopathology study of the cytotoxic molecules of the Asian variant and compare them with those seen in T-IVL.</w:t>
      </w:r>
    </w:p>
    <w:p w:rsidR="00986F53" w:rsidRPr="006A4D75" w:rsidRDefault="00986F53" w:rsidP="0084577B">
      <w:pPr>
        <w:widowControl/>
        <w:spacing w:line="360" w:lineRule="auto"/>
        <w:ind w:firstLineChars="100" w:firstLine="240"/>
        <w:rPr>
          <w:rFonts w:ascii="Book Antiqua" w:hAnsi="Book Antiqua"/>
          <w:sz w:val="24"/>
          <w:szCs w:val="24"/>
        </w:rPr>
      </w:pPr>
      <w:r w:rsidRPr="006A4D75">
        <w:rPr>
          <w:rFonts w:ascii="Book Antiqua" w:hAnsi="Book Antiqua"/>
          <w:sz w:val="24"/>
          <w:szCs w:val="24"/>
        </w:rPr>
        <w:t>In summary, we treated a patient with intravascular proliferating ALK-positive ALCL with cytotoxic molecules. T-IVL is substantially different from B-IVL in clinical aspects, but not immunophenotypically</w:t>
      </w:r>
      <w:r w:rsidRPr="006A4D75">
        <w:rPr>
          <w:rFonts w:ascii="Book Antiqua" w:hAnsi="Book Antiqua"/>
          <w:sz w:val="24"/>
          <w:szCs w:val="24"/>
          <w:vertAlign w:val="superscript"/>
        </w:rPr>
        <w:t>[24]</w:t>
      </w:r>
      <w:r w:rsidRPr="006A4D75">
        <w:rPr>
          <w:rFonts w:ascii="Book Antiqua" w:hAnsi="Book Antiqua"/>
          <w:sz w:val="24"/>
          <w:szCs w:val="24"/>
        </w:rPr>
        <w:t>. We speculate that the original T-cell function and migration reflect the tumor biology of T-IVL</w:t>
      </w:r>
      <w:r w:rsidRPr="006A4D75">
        <w:rPr>
          <w:rFonts w:ascii="Book Antiqua" w:hAnsi="Book Antiqua"/>
          <w:sz w:val="24"/>
          <w:szCs w:val="24"/>
          <w:vertAlign w:val="superscript"/>
        </w:rPr>
        <w:t>[25]</w:t>
      </w:r>
      <w:r w:rsidRPr="006A4D75">
        <w:rPr>
          <w:rFonts w:ascii="Book Antiqua" w:hAnsi="Book Antiqua"/>
          <w:sz w:val="24"/>
          <w:szCs w:val="24"/>
        </w:rPr>
        <w:t>. Indeed, whichever malignant lymphoma is harboring the intravascular component, it still retains the clinical and biological features of each original subtype of malignant lymphoma</w:t>
      </w:r>
      <w:r w:rsidRPr="006A4D75">
        <w:rPr>
          <w:rFonts w:ascii="Book Antiqua" w:hAnsi="Book Antiqua"/>
          <w:sz w:val="24"/>
          <w:szCs w:val="24"/>
          <w:vertAlign w:val="superscript"/>
        </w:rPr>
        <w:t>[8]</w:t>
      </w:r>
      <w:r w:rsidRPr="006A4D75">
        <w:rPr>
          <w:rFonts w:ascii="Book Antiqua" w:hAnsi="Book Antiqua"/>
          <w:sz w:val="24"/>
          <w:szCs w:val="24"/>
        </w:rPr>
        <w:t>. To elucidate the differences of clinical features between B-IVL and T-IVL, further investigation is mandatory. Many cases of IVL may be identified and reported in the future; not only B-IVL (a subtype of DLBCL) but also T-IVL, NK-IVL, and other IVL-like lymphomas. The further accumulation of cases and studies will contribute to the establishment of the etiology of IVL.</w:t>
      </w:r>
    </w:p>
    <w:p w:rsidR="00986F53" w:rsidRPr="006A4D75" w:rsidRDefault="00986F53" w:rsidP="0037002B">
      <w:pPr>
        <w:widowControl/>
        <w:spacing w:line="360" w:lineRule="auto"/>
        <w:rPr>
          <w:rFonts w:ascii="Book Antiqua" w:hAnsi="Book Antiqua"/>
          <w:sz w:val="24"/>
          <w:szCs w:val="24"/>
        </w:rPr>
      </w:pPr>
    </w:p>
    <w:p w:rsidR="00986F53" w:rsidRPr="006A4D75" w:rsidRDefault="00986F53" w:rsidP="00716233">
      <w:pPr>
        <w:spacing w:line="360" w:lineRule="auto"/>
        <w:rPr>
          <w:rFonts w:ascii="Book Antiqua" w:hAnsi="Book Antiqua"/>
          <w:b/>
          <w:sz w:val="24"/>
        </w:rPr>
      </w:pPr>
      <w:r w:rsidRPr="006A4D75">
        <w:rPr>
          <w:rFonts w:ascii="Book Antiqua" w:hAnsi="Book Antiqua"/>
          <w:b/>
          <w:sz w:val="24"/>
        </w:rPr>
        <w:t>COMMENTS</w:t>
      </w:r>
    </w:p>
    <w:p w:rsidR="00986F53" w:rsidRPr="006A4D75" w:rsidRDefault="00986F53" w:rsidP="00716233">
      <w:pPr>
        <w:spacing w:line="360" w:lineRule="auto"/>
        <w:rPr>
          <w:rFonts w:ascii="Book Antiqua" w:hAnsi="Book Antiqua"/>
          <w:i/>
          <w:sz w:val="24"/>
        </w:rPr>
      </w:pPr>
      <w:r w:rsidRPr="006A4D75">
        <w:rPr>
          <w:rFonts w:ascii="Book Antiqua" w:hAnsi="Book Antiqua"/>
          <w:b/>
          <w:i/>
          <w:sz w:val="24"/>
        </w:rPr>
        <w:t>Case characteristics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An 82-y</w:t>
      </w:r>
      <w:r w:rsidRPr="006A4D75">
        <w:rPr>
          <w:rFonts w:ascii="Book Antiqua" w:eastAsia="宋体" w:hAnsi="Book Antiqua"/>
          <w:sz w:val="24"/>
          <w:szCs w:val="24"/>
          <w:lang w:eastAsia="zh-CN"/>
        </w:rPr>
        <w:t>ear</w:t>
      </w:r>
      <w:r w:rsidRPr="006A4D75">
        <w:rPr>
          <w:rFonts w:ascii="Book Antiqua" w:hAnsi="Book Antiqua"/>
          <w:sz w:val="24"/>
          <w:szCs w:val="24"/>
        </w:rPr>
        <w:t xml:space="preserve">-old Japanese man with no remarkable medical history visited </w:t>
      </w:r>
      <w:r w:rsidRPr="006A4D75">
        <w:rPr>
          <w:rFonts w:ascii="Book Antiqua" w:eastAsia="宋体" w:hAnsi="Book Antiqua"/>
          <w:sz w:val="24"/>
          <w:szCs w:val="24"/>
          <w:lang w:eastAsia="zh-CN"/>
        </w:rPr>
        <w:t>the</w:t>
      </w:r>
      <w:r w:rsidRPr="006A4D75">
        <w:rPr>
          <w:rFonts w:ascii="Book Antiqua" w:hAnsi="Book Antiqua"/>
          <w:sz w:val="24"/>
          <w:szCs w:val="24"/>
        </w:rPr>
        <w:t xml:space="preserve"> emergency unit complaining of severe dyspnea.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宋体"/>
          <w:b/>
          <w:i/>
          <w:color w:val="000000"/>
          <w:sz w:val="24"/>
        </w:rPr>
      </w:pPr>
      <w:r w:rsidRPr="006A4D75">
        <w:rPr>
          <w:rFonts w:ascii="Book Antiqua" w:hAnsi="Book Antiqua" w:cs="Arial"/>
          <w:b/>
          <w:i/>
          <w:color w:val="000000"/>
          <w:sz w:val="24"/>
        </w:rPr>
        <w:t>Clinical diagnosis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The patient was febrile and presented with shortness of breath.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cs="Arial"/>
          <w:b/>
          <w:i/>
          <w:color w:val="000000"/>
          <w:sz w:val="24"/>
        </w:rPr>
        <w:t>Differential diagnosis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Malignant lymphoma, lymphoblastic leukemia and other mature lymphoid neoplasms.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cs="Arial"/>
          <w:b/>
          <w:i/>
          <w:color w:val="000000"/>
          <w:sz w:val="24"/>
        </w:rPr>
        <w:t>Laboratory diagnosis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Laboratory data showed 15% atypical lymphocytes in peripheral blood, and the phenotypical analysis of the atypical lymphocytes, which expressed CD2, CD4, CD30, and intracellular CD3 antigen.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tabs>
          <w:tab w:val="center" w:pos="4153"/>
        </w:tabs>
        <w:spacing w:line="360" w:lineRule="auto"/>
        <w:rPr>
          <w:rFonts w:ascii="Book Antiqua" w:hAnsi="Book Antiqua" w:cs="Arial"/>
          <w:b/>
          <w:i/>
          <w:color w:val="000000"/>
          <w:sz w:val="24"/>
        </w:rPr>
      </w:pPr>
      <w:r w:rsidRPr="006A4D75">
        <w:rPr>
          <w:rFonts w:ascii="Book Antiqua" w:hAnsi="Book Antiqua" w:cs="Arial"/>
          <w:b/>
          <w:i/>
          <w:color w:val="000000"/>
          <w:sz w:val="24"/>
        </w:rPr>
        <w:t>Imaging diagnosis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Chest and abdominal computed tomography depicted hepatosplenomegaly and swelling of hilar, mediastinal, supraclavicular, and left axial lymph nodes.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cs="Arial"/>
          <w:b/>
          <w:i/>
          <w:color w:val="000000"/>
          <w:sz w:val="24"/>
        </w:rPr>
        <w:t>Pathological diagnosis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A diffuse infiltration of large atypical lymphocytes to systemic organs including the spleen and lung and immunohistochemical staining revealed that these cells expressed CD30, TIA-1, anaplastic lymphoma kinase </w:t>
      </w:r>
      <w:r w:rsidRPr="006A4D75">
        <w:rPr>
          <w:rFonts w:ascii="Book Antiqua" w:eastAsia="宋体" w:hAnsi="Book Antiqua"/>
          <w:sz w:val="24"/>
          <w:szCs w:val="24"/>
          <w:lang w:eastAsia="zh-CN"/>
        </w:rPr>
        <w:t>(</w:t>
      </w:r>
      <w:r w:rsidRPr="006A4D75">
        <w:rPr>
          <w:rFonts w:ascii="Book Antiqua" w:hAnsi="Book Antiqua"/>
          <w:sz w:val="24"/>
          <w:szCs w:val="24"/>
        </w:rPr>
        <w:t>ALK</w:t>
      </w:r>
      <w:r w:rsidRPr="006A4D75">
        <w:rPr>
          <w:rFonts w:ascii="Book Antiqua" w:eastAsia="宋体" w:hAnsi="Book Antiqua"/>
          <w:sz w:val="24"/>
          <w:szCs w:val="24"/>
          <w:lang w:eastAsia="zh-CN"/>
        </w:rPr>
        <w:t>)</w:t>
      </w:r>
      <w:r w:rsidRPr="006A4D75">
        <w:rPr>
          <w:rFonts w:ascii="Book Antiqua" w:hAnsi="Book Antiqua"/>
          <w:sz w:val="24"/>
          <w:szCs w:val="24"/>
        </w:rPr>
        <w:t xml:space="preserve">, CD5, CD3 and a lack of CD54 [intercellular adhesion molecule 1 (ICAM-1)] and CD56 (neural cell adhesion molecule).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cs="Arial"/>
          <w:b/>
          <w:i/>
          <w:color w:val="000000"/>
          <w:sz w:val="24"/>
        </w:rPr>
        <w:t>Treatment</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The patient did not receive any treatment for lymphoma and he died of advanced respiratory failure.</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b/>
          <w:i/>
          <w:sz w:val="24"/>
        </w:rPr>
        <w:t>Related reports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The etiology of intravascular lymphoma has been understood as that of a mature B-cell neoplasm which is immunophenotypically negative for homing receptors such as CD29 (β1 integrin) and CD54 (ICAM-1). The majority of intravascular lymphoma </w:t>
      </w:r>
      <w:r w:rsidRPr="006A4D75">
        <w:rPr>
          <w:rFonts w:ascii="Book Antiqua" w:eastAsia="宋体" w:hAnsi="Book Antiqua"/>
          <w:sz w:val="24"/>
          <w:szCs w:val="24"/>
          <w:lang w:eastAsia="zh-CN"/>
        </w:rPr>
        <w:t>(</w:t>
      </w:r>
      <w:r w:rsidRPr="006A4D75">
        <w:rPr>
          <w:rFonts w:ascii="Book Antiqua" w:hAnsi="Book Antiqua"/>
          <w:sz w:val="24"/>
          <w:szCs w:val="24"/>
        </w:rPr>
        <w:t>IVL</w:t>
      </w:r>
      <w:r w:rsidRPr="006A4D75">
        <w:rPr>
          <w:rFonts w:ascii="Book Antiqua" w:eastAsia="宋体" w:hAnsi="Book Antiqua"/>
          <w:sz w:val="24"/>
          <w:szCs w:val="24"/>
          <w:lang w:eastAsia="zh-CN"/>
        </w:rPr>
        <w:t>)</w:t>
      </w:r>
      <w:r w:rsidRPr="006A4D75">
        <w:rPr>
          <w:rFonts w:ascii="Book Antiqua" w:hAnsi="Book Antiqua"/>
          <w:sz w:val="24"/>
          <w:szCs w:val="24"/>
        </w:rPr>
        <w:t xml:space="preserve"> cases have a B-cell phenotype. Some anecdotal cases of intravascular T-cell lymphoma (T-IVL) have been reported, but few cases of intravascular ALK-positive anaplastic large-cell lymphoma have been reported.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b/>
          <w:i/>
          <w:sz w:val="24"/>
        </w:rPr>
      </w:pPr>
      <w:r w:rsidRPr="006A4D75">
        <w:rPr>
          <w:rFonts w:ascii="Book Antiqua" w:hAnsi="Book Antiqua"/>
          <w:b/>
          <w:i/>
          <w:sz w:val="24"/>
        </w:rPr>
        <w:t xml:space="preserve">Term explanation </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Anaplastic large-cell lymphoma (ALCL) is a common subtype of T-cell lymphoma. The homing receptors are cell adhesion molecules targeting endothelial cells and constantly expressed in lymphocytes, even in malignant lymphoma subtypes such as ALCL.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cs="Arial"/>
          <w:b/>
          <w:i/>
          <w:color w:val="000000"/>
          <w:sz w:val="24"/>
        </w:rPr>
      </w:pPr>
      <w:r w:rsidRPr="006A4D75">
        <w:rPr>
          <w:rFonts w:ascii="Book Antiqua" w:hAnsi="Book Antiqua" w:cs="Arial"/>
          <w:b/>
          <w:i/>
          <w:color w:val="000000"/>
          <w:sz w:val="24"/>
        </w:rPr>
        <w:t>Experiences and lessons</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 xml:space="preserve">T-IVL is substantially different from B-IVL in clinical aspects, but not immunophenotypically. The tumor cells of B-IVL and T-IVL may have a common mechanism of selective proliferation in blood vessels due to a lack of homing receptors, and we speculate that the original lymphocyte function reflects the tumor biology of IVL. </w:t>
      </w:r>
    </w:p>
    <w:p w:rsidR="00986F53" w:rsidRPr="006A4D75" w:rsidRDefault="00986F53" w:rsidP="0037002B">
      <w:pPr>
        <w:widowControl/>
        <w:spacing w:line="360" w:lineRule="auto"/>
        <w:rPr>
          <w:rFonts w:ascii="Book Antiqua" w:hAnsi="Book Antiqua"/>
          <w:i/>
          <w:sz w:val="24"/>
          <w:szCs w:val="24"/>
        </w:rPr>
      </w:pPr>
    </w:p>
    <w:p w:rsidR="00986F53" w:rsidRPr="006A4D75" w:rsidRDefault="00986F53" w:rsidP="00716233">
      <w:pPr>
        <w:spacing w:line="360" w:lineRule="auto"/>
        <w:rPr>
          <w:rFonts w:ascii="Book Antiqua" w:hAnsi="Book Antiqua"/>
          <w:b/>
          <w:i/>
          <w:sz w:val="24"/>
        </w:rPr>
      </w:pPr>
      <w:r w:rsidRPr="006A4D75">
        <w:rPr>
          <w:rFonts w:ascii="Book Antiqua" w:hAnsi="Book Antiqua"/>
          <w:b/>
          <w:i/>
          <w:sz w:val="24"/>
        </w:rPr>
        <w:t>Peer</w:t>
      </w:r>
      <w:r w:rsidRPr="006A4D75">
        <w:rPr>
          <w:rFonts w:ascii="Book Antiqua" w:eastAsia="宋体" w:hAnsi="Book Antiqua"/>
          <w:b/>
          <w:i/>
          <w:sz w:val="24"/>
          <w:lang w:eastAsia="zh-CN"/>
        </w:rPr>
        <w:t>-</w:t>
      </w:r>
      <w:r w:rsidRPr="006A4D75">
        <w:rPr>
          <w:rFonts w:ascii="Book Antiqua" w:hAnsi="Book Antiqua"/>
          <w:b/>
          <w:i/>
          <w:sz w:val="24"/>
        </w:rPr>
        <w:t>review</w:t>
      </w:r>
    </w:p>
    <w:p w:rsidR="00986F53" w:rsidRPr="006A4D75" w:rsidRDefault="00986F53" w:rsidP="0037002B">
      <w:pPr>
        <w:widowControl/>
        <w:spacing w:line="360" w:lineRule="auto"/>
        <w:rPr>
          <w:rFonts w:ascii="Book Antiqua" w:hAnsi="Book Antiqua"/>
          <w:sz w:val="24"/>
          <w:szCs w:val="24"/>
        </w:rPr>
      </w:pPr>
      <w:r w:rsidRPr="006A4D75">
        <w:rPr>
          <w:rFonts w:ascii="Book Antiqua" w:hAnsi="Book Antiqua"/>
          <w:sz w:val="24"/>
          <w:szCs w:val="24"/>
        </w:rPr>
        <w:t>The authors presented a case of an 82-year-old man with IVL from ALK-positive anaplastic large cell lymphoma. It caused respiratory failure in his lungs and he also had splenomegaly.</w:t>
      </w:r>
    </w:p>
    <w:p w:rsidR="00986F53" w:rsidRPr="006A4D75" w:rsidRDefault="00986F53" w:rsidP="0037002B">
      <w:pPr>
        <w:widowControl/>
        <w:spacing w:line="360" w:lineRule="auto"/>
        <w:rPr>
          <w:rFonts w:ascii="Book Antiqua" w:hAnsi="Book Antiqua"/>
          <w:sz w:val="24"/>
          <w:szCs w:val="24"/>
        </w:rPr>
      </w:pPr>
    </w:p>
    <w:p w:rsidR="00986F53" w:rsidRPr="006A4D75" w:rsidRDefault="00986F53" w:rsidP="0037002B">
      <w:pPr>
        <w:widowControl/>
        <w:spacing w:line="360" w:lineRule="auto"/>
        <w:rPr>
          <w:rFonts w:ascii="Book Antiqua" w:eastAsia="Times New Roman" w:hAnsi="Book Antiqua"/>
          <w:b/>
          <w:sz w:val="24"/>
          <w:szCs w:val="24"/>
          <w:lang w:eastAsia="zh-CN"/>
        </w:rPr>
      </w:pPr>
      <w:r w:rsidRPr="006A4D75">
        <w:rPr>
          <w:rFonts w:ascii="Book Antiqua" w:eastAsia="Times New Roman" w:hAnsi="Book Antiqua"/>
          <w:b/>
          <w:sz w:val="24"/>
          <w:szCs w:val="24"/>
          <w:lang w:eastAsia="zh-CN"/>
        </w:rPr>
        <w:t>REFERENCES</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 WHO classification of tumors of haematopoietic and lymphoid tissues. Lyon: International Agency for Reseaech on Cancer (IARC), 2008: 40-432</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2 </w:t>
      </w:r>
      <w:r w:rsidRPr="006A4D75">
        <w:rPr>
          <w:rFonts w:ascii="Book Antiqua" w:hAnsi="Book Antiqua" w:cs="宋体"/>
          <w:b/>
          <w:bCs/>
          <w:kern w:val="0"/>
          <w:sz w:val="24"/>
        </w:rPr>
        <w:t>Ponzoni M</w:t>
      </w:r>
      <w:r w:rsidRPr="006A4D75">
        <w:rPr>
          <w:rFonts w:ascii="Book Antiqua" w:hAnsi="Book Antiqua" w:cs="宋体"/>
          <w:kern w:val="0"/>
          <w:sz w:val="24"/>
        </w:rPr>
        <w:t>, Ferreri AJ, Campo E, Facchetti F, Mazzucchelli L, Yoshino T, Murase T, Pileri SA, Doglioni C, Zucca E, Cavalli F, Nakamura S. Definition, diagnosis, and management of intravascular large B-cell lymphoma: proposals and perspectives from an international consensus meeting. </w:t>
      </w:r>
      <w:r w:rsidRPr="006A4D75">
        <w:rPr>
          <w:rFonts w:ascii="Book Antiqua" w:hAnsi="Book Antiqua" w:cs="宋体"/>
          <w:i/>
          <w:iCs/>
          <w:kern w:val="0"/>
          <w:sz w:val="24"/>
        </w:rPr>
        <w:t>J Clin Oncol</w:t>
      </w:r>
      <w:r w:rsidRPr="006A4D75">
        <w:rPr>
          <w:rFonts w:ascii="Book Antiqua" w:hAnsi="Book Antiqua" w:cs="宋体"/>
          <w:kern w:val="0"/>
          <w:sz w:val="24"/>
        </w:rPr>
        <w:t> 2007; </w:t>
      </w:r>
      <w:r w:rsidRPr="006A4D75">
        <w:rPr>
          <w:rFonts w:ascii="Book Antiqua" w:hAnsi="Book Antiqua" w:cs="宋体"/>
          <w:b/>
          <w:bCs/>
          <w:kern w:val="0"/>
          <w:sz w:val="24"/>
        </w:rPr>
        <w:t>25</w:t>
      </w:r>
      <w:r w:rsidRPr="006A4D75">
        <w:rPr>
          <w:rFonts w:ascii="Book Antiqua" w:hAnsi="Book Antiqua" w:cs="宋体"/>
          <w:kern w:val="0"/>
          <w:sz w:val="24"/>
        </w:rPr>
        <w:t>: 3168-3173 [PMID: 17577023 DOI: 10.1200/JCO.2006.08.2313]</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3 </w:t>
      </w:r>
      <w:r w:rsidRPr="006A4D75">
        <w:rPr>
          <w:rFonts w:ascii="Book Antiqua" w:hAnsi="Book Antiqua" w:cs="宋体"/>
          <w:b/>
          <w:bCs/>
          <w:kern w:val="0"/>
          <w:sz w:val="24"/>
        </w:rPr>
        <w:t>Takahashi E</w:t>
      </w:r>
      <w:r w:rsidRPr="006A4D75">
        <w:rPr>
          <w:rFonts w:ascii="Book Antiqua" w:hAnsi="Book Antiqua" w:cs="宋体"/>
          <w:kern w:val="0"/>
          <w:sz w:val="24"/>
        </w:rPr>
        <w:t>, Kajimoto K, Fukatsu T, Yoshida M, Eimoto T, Nakamura S. Intravascular large T-cell lymphoma: a case report of CD30-positive and ALK-negative anaplastic type with cytotoxic molecule expression. </w:t>
      </w:r>
      <w:r w:rsidRPr="006A4D75">
        <w:rPr>
          <w:rFonts w:ascii="Book Antiqua" w:hAnsi="Book Antiqua" w:cs="宋体"/>
          <w:i/>
          <w:iCs/>
          <w:kern w:val="0"/>
          <w:sz w:val="24"/>
        </w:rPr>
        <w:t>Virchows Arch</w:t>
      </w:r>
      <w:r w:rsidRPr="006A4D75">
        <w:rPr>
          <w:rFonts w:ascii="Book Antiqua" w:hAnsi="Book Antiqua" w:cs="宋体"/>
          <w:kern w:val="0"/>
          <w:sz w:val="24"/>
        </w:rPr>
        <w:t> 2005; </w:t>
      </w:r>
      <w:r w:rsidRPr="006A4D75">
        <w:rPr>
          <w:rFonts w:ascii="Book Antiqua" w:hAnsi="Book Antiqua" w:cs="宋体"/>
          <w:b/>
          <w:bCs/>
          <w:kern w:val="0"/>
          <w:sz w:val="24"/>
        </w:rPr>
        <w:t>447</w:t>
      </w:r>
      <w:r w:rsidRPr="006A4D75">
        <w:rPr>
          <w:rFonts w:ascii="Book Antiqua" w:hAnsi="Book Antiqua" w:cs="宋体"/>
          <w:kern w:val="0"/>
          <w:sz w:val="24"/>
        </w:rPr>
        <w:t xml:space="preserve">: 1000-1006 [PMID: 16189700 DOI: </w:t>
      </w:r>
      <w:r w:rsidRPr="006A4D75">
        <w:rPr>
          <w:rFonts w:ascii="Book Antiqua" w:hAnsi="Book Antiqua"/>
          <w:sz w:val="24"/>
          <w:shd w:val="clear" w:color="auto" w:fill="FFFFFF"/>
        </w:rPr>
        <w:t>10.1007/s00428-005-0080-6</w:t>
      </w:r>
      <w:r w:rsidRPr="006A4D75">
        <w:rPr>
          <w:rFonts w:ascii="Book Antiqua" w:hAnsi="Book Antiqua" w:cs="宋体"/>
          <w:kern w:val="0"/>
          <w:sz w:val="24"/>
        </w:rPr>
        <w:t>]</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4 </w:t>
      </w:r>
      <w:r w:rsidRPr="006A4D75">
        <w:rPr>
          <w:rFonts w:ascii="Book Antiqua" w:hAnsi="Book Antiqua" w:cs="宋体"/>
          <w:b/>
          <w:bCs/>
          <w:kern w:val="0"/>
          <w:sz w:val="24"/>
        </w:rPr>
        <w:t>Krishnan C</w:t>
      </w:r>
      <w:r w:rsidRPr="006A4D75">
        <w:rPr>
          <w:rFonts w:ascii="Book Antiqua" w:hAnsi="Book Antiqua" w:cs="宋体"/>
          <w:kern w:val="0"/>
          <w:sz w:val="24"/>
        </w:rPr>
        <w:t>, Moline S, Anders K, Warnke RA. Intravascular ALK-positive anaplastic large-cell lymphoma mimicking inflammatory breast carcinoma. </w:t>
      </w:r>
      <w:r w:rsidRPr="006A4D75">
        <w:rPr>
          <w:rFonts w:ascii="Book Antiqua" w:hAnsi="Book Antiqua" w:cs="宋体"/>
          <w:i/>
          <w:iCs/>
          <w:kern w:val="0"/>
          <w:sz w:val="24"/>
        </w:rPr>
        <w:t>J Clin Oncol</w:t>
      </w:r>
      <w:r w:rsidRPr="006A4D75">
        <w:rPr>
          <w:rFonts w:ascii="Book Antiqua" w:hAnsi="Book Antiqua" w:cs="宋体"/>
          <w:kern w:val="0"/>
          <w:sz w:val="24"/>
        </w:rPr>
        <w:t> 2009; </w:t>
      </w:r>
      <w:r w:rsidRPr="006A4D75">
        <w:rPr>
          <w:rFonts w:ascii="Book Antiqua" w:hAnsi="Book Antiqua" w:cs="宋体"/>
          <w:b/>
          <w:bCs/>
          <w:kern w:val="0"/>
          <w:sz w:val="24"/>
        </w:rPr>
        <w:t>27</w:t>
      </w:r>
      <w:r w:rsidRPr="006A4D75">
        <w:rPr>
          <w:rFonts w:ascii="Book Antiqua" w:hAnsi="Book Antiqua" w:cs="宋体"/>
          <w:kern w:val="0"/>
          <w:sz w:val="24"/>
        </w:rPr>
        <w:t>: 2563-2565 [PMID: 19364961 DOI: 10.1200/JCO.2008.20.3984]</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5 </w:t>
      </w:r>
      <w:r w:rsidRPr="006A4D75">
        <w:rPr>
          <w:rFonts w:ascii="Book Antiqua" w:hAnsi="Book Antiqua" w:cs="宋体"/>
          <w:b/>
          <w:bCs/>
          <w:kern w:val="0"/>
          <w:sz w:val="24"/>
        </w:rPr>
        <w:t>Fonkem E</w:t>
      </w:r>
      <w:r w:rsidRPr="006A4D75">
        <w:rPr>
          <w:rFonts w:ascii="Book Antiqua" w:hAnsi="Book Antiqua" w:cs="宋体"/>
          <w:kern w:val="0"/>
          <w:sz w:val="24"/>
        </w:rPr>
        <w:t>, Lok E, Robison D, Gautam S, Wong ET. The natural history of intravascular lymphomatosis. </w:t>
      </w:r>
      <w:r w:rsidRPr="006A4D75">
        <w:rPr>
          <w:rFonts w:ascii="Book Antiqua" w:hAnsi="Book Antiqua" w:cs="宋体"/>
          <w:i/>
          <w:iCs/>
          <w:kern w:val="0"/>
          <w:sz w:val="24"/>
        </w:rPr>
        <w:t>Cancer Med</w:t>
      </w:r>
      <w:r w:rsidRPr="006A4D75">
        <w:rPr>
          <w:rFonts w:ascii="Book Antiqua" w:hAnsi="Book Antiqua" w:cs="宋体"/>
          <w:kern w:val="0"/>
          <w:sz w:val="24"/>
        </w:rPr>
        <w:t> 2014; </w:t>
      </w:r>
      <w:r w:rsidRPr="006A4D75">
        <w:rPr>
          <w:rFonts w:ascii="Book Antiqua" w:hAnsi="Book Antiqua" w:cs="宋体"/>
          <w:b/>
          <w:bCs/>
          <w:kern w:val="0"/>
          <w:sz w:val="24"/>
        </w:rPr>
        <w:t>3</w:t>
      </w:r>
      <w:r w:rsidRPr="006A4D75">
        <w:rPr>
          <w:rFonts w:ascii="Book Antiqua" w:hAnsi="Book Antiqua" w:cs="宋体"/>
          <w:kern w:val="0"/>
          <w:sz w:val="24"/>
        </w:rPr>
        <w:t>: 1010-1024 [PMID: 24931821]</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6 </w:t>
      </w:r>
      <w:r w:rsidRPr="006A4D75">
        <w:rPr>
          <w:rFonts w:ascii="Book Antiqua" w:hAnsi="Book Antiqua" w:cs="宋体"/>
          <w:b/>
          <w:bCs/>
          <w:kern w:val="0"/>
          <w:sz w:val="24"/>
        </w:rPr>
        <w:t>Sheibani K</w:t>
      </w:r>
      <w:r w:rsidRPr="006A4D75">
        <w:rPr>
          <w:rFonts w:ascii="Book Antiqua" w:hAnsi="Book Antiqua" w:cs="宋体"/>
          <w:kern w:val="0"/>
          <w:sz w:val="24"/>
        </w:rPr>
        <w:t>, Battifora H, Winberg CD, Burke JS, Ben-Ezra J, Ellinger GM, Quigley NJ, Fernandez BB, Morrow D, Rappaport H. Further evidence that "malignant angioendotheliomatosis" is an angiotropic large-cell lymphoma. </w:t>
      </w:r>
      <w:r w:rsidRPr="006A4D75">
        <w:rPr>
          <w:rFonts w:ascii="Book Antiqua" w:hAnsi="Book Antiqua" w:cs="宋体"/>
          <w:i/>
          <w:iCs/>
          <w:kern w:val="0"/>
          <w:sz w:val="24"/>
        </w:rPr>
        <w:t>N Engl J Med</w:t>
      </w:r>
      <w:r w:rsidRPr="006A4D75">
        <w:rPr>
          <w:rFonts w:ascii="Book Antiqua" w:hAnsi="Book Antiqua" w:cs="宋体"/>
          <w:kern w:val="0"/>
          <w:sz w:val="24"/>
        </w:rPr>
        <w:t> 1986; </w:t>
      </w:r>
      <w:r w:rsidRPr="006A4D75">
        <w:rPr>
          <w:rFonts w:ascii="Book Antiqua" w:hAnsi="Book Antiqua" w:cs="宋体"/>
          <w:b/>
          <w:bCs/>
          <w:kern w:val="0"/>
          <w:sz w:val="24"/>
        </w:rPr>
        <w:t>314</w:t>
      </w:r>
      <w:r w:rsidRPr="006A4D75">
        <w:rPr>
          <w:rFonts w:ascii="Book Antiqua" w:hAnsi="Book Antiqua" w:cs="宋体"/>
          <w:kern w:val="0"/>
          <w:sz w:val="24"/>
        </w:rPr>
        <w:t>: 943-948 [PMID: 3485768 DOI: 10.1056/NEJM198604103141502]</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7 </w:t>
      </w:r>
      <w:r w:rsidRPr="006A4D75">
        <w:rPr>
          <w:rFonts w:ascii="Book Antiqua" w:hAnsi="Book Antiqua" w:cs="宋体"/>
          <w:b/>
          <w:bCs/>
          <w:kern w:val="0"/>
          <w:sz w:val="24"/>
        </w:rPr>
        <w:t>Wang L</w:t>
      </w:r>
      <w:r w:rsidRPr="006A4D75">
        <w:rPr>
          <w:rFonts w:ascii="Book Antiqua" w:hAnsi="Book Antiqua" w:cs="宋体"/>
          <w:kern w:val="0"/>
          <w:sz w:val="24"/>
        </w:rPr>
        <w:t>, Li C, Gao T. Cutaneous intravascular anaplastic large cell lymphoma. </w:t>
      </w:r>
      <w:r w:rsidRPr="006A4D75">
        <w:rPr>
          <w:rFonts w:ascii="Book Antiqua" w:hAnsi="Book Antiqua" w:cs="宋体"/>
          <w:i/>
          <w:iCs/>
          <w:kern w:val="0"/>
          <w:sz w:val="24"/>
        </w:rPr>
        <w:t>J Cutan Pathol</w:t>
      </w:r>
      <w:r w:rsidRPr="006A4D75">
        <w:rPr>
          <w:rFonts w:ascii="Book Antiqua" w:hAnsi="Book Antiqua" w:cs="宋体"/>
          <w:kern w:val="0"/>
          <w:sz w:val="24"/>
        </w:rPr>
        <w:t> 2011; </w:t>
      </w:r>
      <w:r w:rsidRPr="006A4D75">
        <w:rPr>
          <w:rFonts w:ascii="Book Antiqua" w:hAnsi="Book Antiqua" w:cs="宋体"/>
          <w:b/>
          <w:bCs/>
          <w:kern w:val="0"/>
          <w:sz w:val="24"/>
        </w:rPr>
        <w:t>38</w:t>
      </w:r>
      <w:r w:rsidRPr="006A4D75">
        <w:rPr>
          <w:rFonts w:ascii="Book Antiqua" w:hAnsi="Book Antiqua" w:cs="宋体"/>
          <w:kern w:val="0"/>
          <w:sz w:val="24"/>
        </w:rPr>
        <w:t>: 221-226 [PMID: 20337769 DOI: 10.1111/j.1600-0560.2010.01538.x]</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8 </w:t>
      </w:r>
      <w:r w:rsidRPr="006A4D75">
        <w:rPr>
          <w:rFonts w:ascii="Book Antiqua" w:hAnsi="Book Antiqua" w:cs="宋体"/>
          <w:b/>
          <w:bCs/>
          <w:kern w:val="0"/>
          <w:sz w:val="24"/>
        </w:rPr>
        <w:t>Nakamichi N</w:t>
      </w:r>
      <w:r w:rsidRPr="006A4D75">
        <w:rPr>
          <w:rFonts w:ascii="Book Antiqua" w:hAnsi="Book Antiqua" w:cs="宋体"/>
          <w:kern w:val="0"/>
          <w:sz w:val="24"/>
        </w:rPr>
        <w:t>, Fukuhara S, Aozasa K, Morii E. NK-cell intravascular lymphomatosis--a mini-review. </w:t>
      </w:r>
      <w:r w:rsidRPr="006A4D75">
        <w:rPr>
          <w:rFonts w:ascii="Book Antiqua" w:hAnsi="Book Antiqua" w:cs="宋体"/>
          <w:i/>
          <w:iCs/>
          <w:kern w:val="0"/>
          <w:sz w:val="24"/>
        </w:rPr>
        <w:t>Eur J Haematol</w:t>
      </w:r>
      <w:r w:rsidRPr="006A4D75">
        <w:rPr>
          <w:rFonts w:ascii="Book Antiqua" w:hAnsi="Book Antiqua" w:cs="宋体"/>
          <w:kern w:val="0"/>
          <w:sz w:val="24"/>
        </w:rPr>
        <w:t> 2008; </w:t>
      </w:r>
      <w:r w:rsidRPr="006A4D75">
        <w:rPr>
          <w:rFonts w:ascii="Book Antiqua" w:hAnsi="Book Antiqua" w:cs="宋体"/>
          <w:b/>
          <w:bCs/>
          <w:kern w:val="0"/>
          <w:sz w:val="24"/>
        </w:rPr>
        <w:t>81</w:t>
      </w:r>
      <w:r w:rsidRPr="006A4D75">
        <w:rPr>
          <w:rFonts w:ascii="Book Antiqua" w:hAnsi="Book Antiqua" w:cs="宋体"/>
          <w:kern w:val="0"/>
          <w:sz w:val="24"/>
        </w:rPr>
        <w:t>: 1-7 [PMID: 18462254 DOI: 10.1111/j.1600-0609.2008.01089.x]</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9 </w:t>
      </w:r>
      <w:r w:rsidRPr="006A4D75">
        <w:rPr>
          <w:rFonts w:ascii="Book Antiqua" w:hAnsi="Book Antiqua" w:cs="宋体"/>
          <w:b/>
          <w:bCs/>
          <w:kern w:val="0"/>
          <w:sz w:val="24"/>
        </w:rPr>
        <w:t>Chapman-Fredricks J</w:t>
      </w:r>
      <w:r w:rsidRPr="006A4D75">
        <w:rPr>
          <w:rFonts w:ascii="Book Antiqua" w:hAnsi="Book Antiqua" w:cs="宋体"/>
          <w:kern w:val="0"/>
          <w:sz w:val="24"/>
        </w:rPr>
        <w:t>, Montague N, Akunyili I, Ikpatt O. Extraoral plasmablastic lymphoma with intravascular component and MYC translocation. </w:t>
      </w:r>
      <w:r w:rsidRPr="006A4D75">
        <w:rPr>
          <w:rFonts w:ascii="Book Antiqua" w:hAnsi="Book Antiqua" w:cs="宋体"/>
          <w:i/>
          <w:iCs/>
          <w:kern w:val="0"/>
          <w:sz w:val="24"/>
        </w:rPr>
        <w:t>Ann Diagn Pathol</w:t>
      </w:r>
      <w:r w:rsidRPr="006A4D75">
        <w:rPr>
          <w:rFonts w:ascii="Book Antiqua" w:hAnsi="Book Antiqua" w:cs="宋体"/>
          <w:kern w:val="0"/>
          <w:sz w:val="24"/>
        </w:rPr>
        <w:t> 2012; </w:t>
      </w:r>
      <w:r w:rsidRPr="006A4D75">
        <w:rPr>
          <w:rFonts w:ascii="Book Antiqua" w:hAnsi="Book Antiqua" w:cs="宋体"/>
          <w:b/>
          <w:bCs/>
          <w:kern w:val="0"/>
          <w:sz w:val="24"/>
        </w:rPr>
        <w:t>16</w:t>
      </w:r>
      <w:r w:rsidRPr="006A4D75">
        <w:rPr>
          <w:rFonts w:ascii="Book Antiqua" w:hAnsi="Book Antiqua" w:cs="宋体"/>
          <w:kern w:val="0"/>
          <w:sz w:val="24"/>
        </w:rPr>
        <w:t>: 48-53 [PMID: 21239197 DOI: 10.1016/j.anndiagpath.2010.11.002]</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10 </w:t>
      </w:r>
      <w:r w:rsidRPr="006A4D75">
        <w:rPr>
          <w:rFonts w:ascii="Book Antiqua" w:hAnsi="Book Antiqua" w:cs="宋体"/>
          <w:b/>
          <w:bCs/>
          <w:kern w:val="0"/>
          <w:sz w:val="24"/>
        </w:rPr>
        <w:t>Snowden JA</w:t>
      </w:r>
      <w:r w:rsidRPr="006A4D75">
        <w:rPr>
          <w:rFonts w:ascii="Book Antiqua" w:hAnsi="Book Antiqua" w:cs="宋体"/>
          <w:kern w:val="0"/>
          <w:sz w:val="24"/>
        </w:rPr>
        <w:t>, Angel CA, Winfield DA, Pringle JH, West KP. Angiotropic lymphoma: report of a case with histiocytic features. </w:t>
      </w:r>
      <w:r w:rsidRPr="006A4D75">
        <w:rPr>
          <w:rFonts w:ascii="Book Antiqua" w:hAnsi="Book Antiqua" w:cs="宋体"/>
          <w:i/>
          <w:iCs/>
          <w:kern w:val="0"/>
          <w:sz w:val="24"/>
        </w:rPr>
        <w:t>J Clin Pathol</w:t>
      </w:r>
      <w:r w:rsidRPr="006A4D75">
        <w:rPr>
          <w:rFonts w:ascii="Book Antiqua" w:hAnsi="Book Antiqua" w:cs="宋体"/>
          <w:kern w:val="0"/>
          <w:sz w:val="24"/>
        </w:rPr>
        <w:t> 1997; </w:t>
      </w:r>
      <w:r w:rsidRPr="006A4D75">
        <w:rPr>
          <w:rFonts w:ascii="Book Antiqua" w:hAnsi="Book Antiqua" w:cs="宋体"/>
          <w:b/>
          <w:bCs/>
          <w:kern w:val="0"/>
          <w:sz w:val="24"/>
        </w:rPr>
        <w:t>50</w:t>
      </w:r>
      <w:r w:rsidRPr="006A4D75">
        <w:rPr>
          <w:rFonts w:ascii="Book Antiqua" w:hAnsi="Book Antiqua" w:cs="宋体"/>
          <w:kern w:val="0"/>
          <w:sz w:val="24"/>
        </w:rPr>
        <w:t>: 67-70 [PMID: 9059361 DOI: 10.1136/jcp.50.1.67]</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11 </w:t>
      </w:r>
      <w:r w:rsidRPr="006A4D75">
        <w:rPr>
          <w:rFonts w:ascii="Book Antiqua" w:hAnsi="Book Antiqua" w:cs="宋体"/>
          <w:b/>
          <w:bCs/>
          <w:kern w:val="0"/>
          <w:sz w:val="24"/>
        </w:rPr>
        <w:t>Saab J</w:t>
      </w:r>
      <w:r w:rsidRPr="006A4D75">
        <w:rPr>
          <w:rFonts w:ascii="Book Antiqua" w:hAnsi="Book Antiqua" w:cs="宋体"/>
          <w:kern w:val="0"/>
          <w:sz w:val="24"/>
        </w:rPr>
        <w:t>, Nassif S, Boulos F. Asian-type intravascular large B-cell lymphoma of the spleen and bone marrow with Hodgkin-like morphology and immunophenotype. </w:t>
      </w:r>
      <w:r w:rsidRPr="006A4D75">
        <w:rPr>
          <w:rFonts w:ascii="Book Antiqua" w:hAnsi="Book Antiqua" w:cs="宋体"/>
          <w:i/>
          <w:iCs/>
          <w:kern w:val="0"/>
          <w:sz w:val="24"/>
        </w:rPr>
        <w:t>Br J Haematol</w:t>
      </w:r>
      <w:r w:rsidRPr="006A4D75">
        <w:rPr>
          <w:rFonts w:ascii="Book Antiqua" w:hAnsi="Book Antiqua" w:cs="宋体"/>
          <w:kern w:val="0"/>
          <w:sz w:val="24"/>
        </w:rPr>
        <w:t> 2013; </w:t>
      </w:r>
      <w:r w:rsidRPr="006A4D75">
        <w:rPr>
          <w:rFonts w:ascii="Book Antiqua" w:hAnsi="Book Antiqua" w:cs="宋体"/>
          <w:b/>
          <w:bCs/>
          <w:kern w:val="0"/>
          <w:sz w:val="24"/>
        </w:rPr>
        <w:t>163</w:t>
      </w:r>
      <w:r w:rsidRPr="006A4D75">
        <w:rPr>
          <w:rFonts w:ascii="Book Antiqua" w:hAnsi="Book Antiqua" w:cs="宋体"/>
          <w:kern w:val="0"/>
          <w:sz w:val="24"/>
        </w:rPr>
        <w:t>: 294 [PMID: 23961992 DOI: 10.1111/bjh.12536]</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12 </w:t>
      </w:r>
      <w:r w:rsidRPr="006A4D75">
        <w:rPr>
          <w:rFonts w:ascii="Book Antiqua" w:hAnsi="Book Antiqua" w:cs="宋体"/>
          <w:b/>
          <w:bCs/>
          <w:kern w:val="0"/>
          <w:sz w:val="24"/>
        </w:rPr>
        <w:t>Sepp N</w:t>
      </w:r>
      <w:r w:rsidRPr="006A4D75">
        <w:rPr>
          <w:rFonts w:ascii="Book Antiqua" w:hAnsi="Book Antiqua" w:cs="宋体"/>
          <w:kern w:val="0"/>
          <w:sz w:val="24"/>
        </w:rPr>
        <w:t>, Schuler G, Romani N, Geissler D, Gattringer C, Burg G, Bartram CR, Fritsch P. "Intravascular lymphomatosis" (angioendotheliomatosis): evidence for a T-cell origin in two cases. </w:t>
      </w:r>
      <w:r w:rsidRPr="006A4D75">
        <w:rPr>
          <w:rFonts w:ascii="Book Antiqua" w:hAnsi="Book Antiqua" w:cs="宋体"/>
          <w:i/>
          <w:iCs/>
          <w:kern w:val="0"/>
          <w:sz w:val="24"/>
        </w:rPr>
        <w:t>Hum Pathol</w:t>
      </w:r>
      <w:r w:rsidRPr="006A4D75">
        <w:rPr>
          <w:rFonts w:ascii="Book Antiqua" w:hAnsi="Book Antiqua" w:cs="宋体"/>
          <w:kern w:val="0"/>
          <w:sz w:val="24"/>
        </w:rPr>
        <w:t> 1990; </w:t>
      </w:r>
      <w:r w:rsidRPr="006A4D75">
        <w:rPr>
          <w:rFonts w:ascii="Book Antiqua" w:hAnsi="Book Antiqua" w:cs="宋体"/>
          <w:b/>
          <w:bCs/>
          <w:kern w:val="0"/>
          <w:sz w:val="24"/>
        </w:rPr>
        <w:t>21</w:t>
      </w:r>
      <w:r w:rsidRPr="006A4D75">
        <w:rPr>
          <w:rFonts w:ascii="Book Antiqua" w:hAnsi="Book Antiqua" w:cs="宋体"/>
          <w:kern w:val="0"/>
          <w:sz w:val="24"/>
        </w:rPr>
        <w:t xml:space="preserve">: 1051-1058 [PMID: 2210728 DOI: </w:t>
      </w:r>
      <w:r w:rsidRPr="006A4D75">
        <w:rPr>
          <w:rFonts w:ascii="Book Antiqua" w:hAnsi="Book Antiqua"/>
          <w:sz w:val="24"/>
          <w:shd w:val="clear" w:color="auto" w:fill="FFFFFF"/>
        </w:rPr>
        <w:t>10.1016/0046-8177(90)90255-4</w:t>
      </w:r>
      <w:r w:rsidRPr="006A4D75">
        <w:rPr>
          <w:rFonts w:ascii="Book Antiqua" w:hAnsi="Book Antiqua" w:cs="宋体"/>
          <w:kern w:val="0"/>
          <w:sz w:val="24"/>
        </w:rPr>
        <w:t>]</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13 </w:t>
      </w:r>
      <w:r w:rsidRPr="006A4D75">
        <w:rPr>
          <w:rFonts w:ascii="Book Antiqua" w:hAnsi="Book Antiqua" w:cs="宋体"/>
          <w:b/>
          <w:bCs/>
          <w:kern w:val="0"/>
          <w:sz w:val="24"/>
        </w:rPr>
        <w:t>Horst E</w:t>
      </w:r>
      <w:r w:rsidRPr="006A4D75">
        <w:rPr>
          <w:rFonts w:ascii="Book Antiqua" w:hAnsi="Book Antiqua" w:cs="宋体"/>
          <w:kern w:val="0"/>
          <w:sz w:val="24"/>
        </w:rPr>
        <w:t>, Meijer CJ, Radaszkiewicz T, Ossekoppele GJ, Van Krieken JH, Pals ST. Adhesion molecules in the prognosis of diffuse large-cell lymphoma: expression of a lymphocyte homing receptor (CD44), LFA-1 (CD11a/18), and ICAM-1 (CD54). </w:t>
      </w:r>
      <w:r w:rsidRPr="006A4D75">
        <w:rPr>
          <w:rFonts w:ascii="Book Antiqua" w:hAnsi="Book Antiqua" w:cs="宋体"/>
          <w:i/>
          <w:iCs/>
          <w:kern w:val="0"/>
          <w:sz w:val="24"/>
        </w:rPr>
        <w:t>Leukemia</w:t>
      </w:r>
      <w:r w:rsidRPr="006A4D75">
        <w:rPr>
          <w:rFonts w:ascii="Book Antiqua" w:hAnsi="Book Antiqua" w:cs="宋体"/>
          <w:kern w:val="0"/>
          <w:sz w:val="24"/>
        </w:rPr>
        <w:t> 1990; </w:t>
      </w:r>
      <w:r w:rsidRPr="006A4D75">
        <w:rPr>
          <w:rFonts w:ascii="Book Antiqua" w:hAnsi="Book Antiqua" w:cs="宋体"/>
          <w:b/>
          <w:bCs/>
          <w:kern w:val="0"/>
          <w:sz w:val="24"/>
        </w:rPr>
        <w:t>4</w:t>
      </w:r>
      <w:r w:rsidRPr="006A4D75">
        <w:rPr>
          <w:rFonts w:ascii="Book Antiqua" w:hAnsi="Book Antiqua" w:cs="宋体"/>
          <w:kern w:val="0"/>
          <w:sz w:val="24"/>
        </w:rPr>
        <w:t>: 595-599 [PMID: 1974938]</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14 </w:t>
      </w:r>
      <w:r w:rsidRPr="006A4D75">
        <w:rPr>
          <w:rFonts w:ascii="Book Antiqua" w:hAnsi="Book Antiqua" w:cs="宋体"/>
          <w:b/>
          <w:bCs/>
          <w:kern w:val="0"/>
          <w:sz w:val="24"/>
        </w:rPr>
        <w:t>Ferry JA</w:t>
      </w:r>
      <w:r w:rsidRPr="006A4D75">
        <w:rPr>
          <w:rFonts w:ascii="Book Antiqua" w:hAnsi="Book Antiqua" w:cs="宋体"/>
          <w:kern w:val="0"/>
          <w:sz w:val="24"/>
        </w:rPr>
        <w:t>, Harris NL, Picker LJ, Weinberg DS, Rosales RK, Tapia J, Richardson EP. Intravascular lymphomatosis (malignant angioendotheliomatosis). A B-cell neoplasm expressing surface homing receptors. </w:t>
      </w:r>
      <w:r w:rsidRPr="006A4D75">
        <w:rPr>
          <w:rFonts w:ascii="Book Antiqua" w:hAnsi="Book Antiqua" w:cs="宋体"/>
          <w:i/>
          <w:iCs/>
          <w:kern w:val="0"/>
          <w:sz w:val="24"/>
        </w:rPr>
        <w:t>Mod Pathol</w:t>
      </w:r>
      <w:r w:rsidRPr="006A4D75">
        <w:rPr>
          <w:rFonts w:ascii="Book Antiqua" w:hAnsi="Book Antiqua" w:cs="宋体"/>
          <w:kern w:val="0"/>
          <w:sz w:val="24"/>
        </w:rPr>
        <w:t> 1988; </w:t>
      </w:r>
      <w:r w:rsidRPr="006A4D75">
        <w:rPr>
          <w:rFonts w:ascii="Book Antiqua" w:hAnsi="Book Antiqua" w:cs="宋体"/>
          <w:b/>
          <w:bCs/>
          <w:kern w:val="0"/>
          <w:sz w:val="24"/>
        </w:rPr>
        <w:t>1</w:t>
      </w:r>
      <w:r w:rsidRPr="006A4D75">
        <w:rPr>
          <w:rFonts w:ascii="Book Antiqua" w:hAnsi="Book Antiqua" w:cs="宋体"/>
          <w:kern w:val="0"/>
          <w:sz w:val="24"/>
        </w:rPr>
        <w:t>: 444-452 [PMID: 3065781]</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15 </w:t>
      </w:r>
      <w:r w:rsidRPr="006A4D75">
        <w:rPr>
          <w:rFonts w:ascii="Book Antiqua" w:hAnsi="Book Antiqua" w:cs="宋体"/>
          <w:b/>
          <w:bCs/>
          <w:kern w:val="0"/>
          <w:sz w:val="24"/>
        </w:rPr>
        <w:t>Ponzoni M</w:t>
      </w:r>
      <w:r w:rsidRPr="006A4D75">
        <w:rPr>
          <w:rFonts w:ascii="Book Antiqua" w:hAnsi="Book Antiqua" w:cs="宋体"/>
          <w:kern w:val="0"/>
          <w:sz w:val="24"/>
        </w:rPr>
        <w:t>, Arrigoni G, Gould VE, Del Curto B, Maggioni M, Scapinello A, Paolino S, Cassisa A, Patriarca C. Lack of CD 29 (beta1 integrin) and CD 54 (ICAM-1) adhesion molecules in intravascular lymphomatosis. </w:t>
      </w:r>
      <w:r w:rsidRPr="006A4D75">
        <w:rPr>
          <w:rFonts w:ascii="Book Antiqua" w:hAnsi="Book Antiqua" w:cs="宋体"/>
          <w:i/>
          <w:iCs/>
          <w:kern w:val="0"/>
          <w:sz w:val="24"/>
        </w:rPr>
        <w:t>Hum Pathol</w:t>
      </w:r>
      <w:r w:rsidRPr="006A4D75">
        <w:rPr>
          <w:rFonts w:ascii="Book Antiqua" w:hAnsi="Book Antiqua" w:cs="宋体"/>
          <w:kern w:val="0"/>
          <w:sz w:val="24"/>
        </w:rPr>
        <w:t> 2000; </w:t>
      </w:r>
      <w:r w:rsidRPr="006A4D75">
        <w:rPr>
          <w:rFonts w:ascii="Book Antiqua" w:hAnsi="Book Antiqua" w:cs="宋体"/>
          <w:b/>
          <w:bCs/>
          <w:kern w:val="0"/>
          <w:sz w:val="24"/>
        </w:rPr>
        <w:t>31</w:t>
      </w:r>
      <w:r w:rsidRPr="006A4D75">
        <w:rPr>
          <w:rFonts w:ascii="Book Antiqua" w:hAnsi="Book Antiqua" w:cs="宋体"/>
          <w:kern w:val="0"/>
          <w:sz w:val="24"/>
        </w:rPr>
        <w:t xml:space="preserve">: 220-226 [PMID: 10685637 DOI: </w:t>
      </w:r>
      <w:r w:rsidRPr="006A4D75">
        <w:rPr>
          <w:rFonts w:ascii="Book Antiqua" w:hAnsi="Book Antiqua"/>
          <w:sz w:val="24"/>
          <w:shd w:val="clear" w:color="auto" w:fill="FFFFFF"/>
        </w:rPr>
        <w:t>10.1016/S0046-8177(00)80223-3</w:t>
      </w:r>
      <w:r w:rsidRPr="006A4D75">
        <w:rPr>
          <w:rFonts w:ascii="Book Antiqua" w:hAnsi="Book Antiqua" w:cs="宋体"/>
          <w:kern w:val="0"/>
          <w:sz w:val="24"/>
        </w:rPr>
        <w:t>]</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16 </w:t>
      </w:r>
      <w:r w:rsidRPr="006A4D75">
        <w:rPr>
          <w:rFonts w:ascii="Book Antiqua" w:hAnsi="Book Antiqua" w:cs="宋体"/>
          <w:b/>
          <w:bCs/>
          <w:kern w:val="0"/>
          <w:sz w:val="24"/>
        </w:rPr>
        <w:t>Akamatsu M</w:t>
      </w:r>
      <w:r w:rsidRPr="006A4D75">
        <w:rPr>
          <w:rFonts w:ascii="Book Antiqua" w:hAnsi="Book Antiqua" w:cs="宋体"/>
          <w:kern w:val="0"/>
          <w:sz w:val="24"/>
        </w:rPr>
        <w:t>, Takeshita M, Ohshima K, Kikuchi M, Suzumiya J. Analysis of adhesion molecules in Ki-1 anaplastic large-cell lymphoma. </w:t>
      </w:r>
      <w:r w:rsidRPr="006A4D75">
        <w:rPr>
          <w:rFonts w:ascii="Book Antiqua" w:hAnsi="Book Antiqua" w:cs="宋体"/>
          <w:i/>
          <w:iCs/>
          <w:kern w:val="0"/>
          <w:sz w:val="24"/>
        </w:rPr>
        <w:t>Virchows Arch</w:t>
      </w:r>
      <w:r w:rsidRPr="006A4D75">
        <w:rPr>
          <w:rFonts w:ascii="Book Antiqua" w:hAnsi="Book Antiqua" w:cs="宋体"/>
          <w:kern w:val="0"/>
          <w:sz w:val="24"/>
        </w:rPr>
        <w:t> 1994; </w:t>
      </w:r>
      <w:r w:rsidRPr="006A4D75">
        <w:rPr>
          <w:rFonts w:ascii="Book Antiqua" w:hAnsi="Book Antiqua" w:cs="宋体"/>
          <w:b/>
          <w:bCs/>
          <w:kern w:val="0"/>
          <w:sz w:val="24"/>
        </w:rPr>
        <w:t>425</w:t>
      </w:r>
      <w:r w:rsidRPr="006A4D75">
        <w:rPr>
          <w:rFonts w:ascii="Book Antiqua" w:hAnsi="Book Antiqua" w:cs="宋体"/>
          <w:kern w:val="0"/>
          <w:sz w:val="24"/>
        </w:rPr>
        <w:t xml:space="preserve">: 33-39 [PMID: 7921411 DOI: </w:t>
      </w:r>
      <w:r w:rsidRPr="006A4D75">
        <w:rPr>
          <w:rFonts w:ascii="Book Antiqua" w:hAnsi="Book Antiqua"/>
          <w:sz w:val="24"/>
          <w:shd w:val="clear" w:color="auto" w:fill="FFFFFF"/>
        </w:rPr>
        <w:t>10.1007/BF00193946</w:t>
      </w:r>
      <w:r w:rsidRPr="006A4D75">
        <w:rPr>
          <w:rFonts w:ascii="Book Antiqua" w:hAnsi="Book Antiqua" w:cs="宋体"/>
          <w:kern w:val="0"/>
          <w:sz w:val="24"/>
        </w:rPr>
        <w:t>]</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17 </w:t>
      </w:r>
      <w:r w:rsidRPr="006A4D75">
        <w:rPr>
          <w:rFonts w:ascii="Book Antiqua" w:hAnsi="Book Antiqua" w:cs="宋体"/>
          <w:b/>
          <w:bCs/>
          <w:kern w:val="0"/>
          <w:sz w:val="24"/>
        </w:rPr>
        <w:t>Au WY</w:t>
      </w:r>
      <w:r w:rsidRPr="006A4D75">
        <w:rPr>
          <w:rFonts w:ascii="Book Antiqua" w:hAnsi="Book Antiqua" w:cs="宋体"/>
          <w:kern w:val="0"/>
          <w:sz w:val="24"/>
        </w:rPr>
        <w:t>, Shek WH, Nicholls J, Tse KM, Todd D, Kwong YL. T-cell intravascular lymphomatosis (angiotropic large cell lymphoma): association with Epstein-Barr viral infection. </w:t>
      </w:r>
      <w:r w:rsidRPr="006A4D75">
        <w:rPr>
          <w:rFonts w:ascii="Book Antiqua" w:hAnsi="Book Antiqua" w:cs="宋体"/>
          <w:i/>
          <w:iCs/>
          <w:kern w:val="0"/>
          <w:sz w:val="24"/>
        </w:rPr>
        <w:t>Histopathology</w:t>
      </w:r>
      <w:r w:rsidRPr="006A4D75">
        <w:rPr>
          <w:rFonts w:ascii="Book Antiqua" w:hAnsi="Book Antiqua" w:cs="宋体"/>
          <w:kern w:val="0"/>
          <w:sz w:val="24"/>
        </w:rPr>
        <w:t> 1997; </w:t>
      </w:r>
      <w:r w:rsidRPr="006A4D75">
        <w:rPr>
          <w:rFonts w:ascii="Book Antiqua" w:hAnsi="Book Antiqua" w:cs="宋体"/>
          <w:b/>
          <w:bCs/>
          <w:kern w:val="0"/>
          <w:sz w:val="24"/>
        </w:rPr>
        <w:t>31</w:t>
      </w:r>
      <w:r w:rsidRPr="006A4D75">
        <w:rPr>
          <w:rFonts w:ascii="Book Antiqua" w:hAnsi="Book Antiqua" w:cs="宋体"/>
          <w:kern w:val="0"/>
          <w:sz w:val="24"/>
        </w:rPr>
        <w:t xml:space="preserve">: 563-567 [PMID: 9447389 DOI: </w:t>
      </w:r>
      <w:r w:rsidRPr="006A4D75">
        <w:rPr>
          <w:rFonts w:ascii="Book Antiqua" w:hAnsi="Book Antiqua"/>
          <w:sz w:val="24"/>
          <w:shd w:val="clear" w:color="auto" w:fill="FFFFFF"/>
        </w:rPr>
        <w:t>10.1046/j.1365-2559.1997.3050903.x</w:t>
      </w:r>
      <w:r w:rsidRPr="006A4D75">
        <w:rPr>
          <w:rFonts w:ascii="Book Antiqua" w:hAnsi="Book Antiqua" w:cs="宋体"/>
          <w:kern w:val="0"/>
          <w:sz w:val="24"/>
        </w:rPr>
        <w:t>]</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18 </w:t>
      </w:r>
      <w:r w:rsidRPr="006A4D75">
        <w:rPr>
          <w:rFonts w:ascii="Book Antiqua" w:hAnsi="Book Antiqua" w:cs="宋体"/>
          <w:b/>
          <w:bCs/>
          <w:kern w:val="0"/>
          <w:sz w:val="24"/>
        </w:rPr>
        <w:t>Gleason BC</w:t>
      </w:r>
      <w:r w:rsidRPr="006A4D75">
        <w:rPr>
          <w:rFonts w:ascii="Book Antiqua" w:hAnsi="Book Antiqua" w:cs="宋体"/>
          <w:kern w:val="0"/>
          <w:sz w:val="24"/>
        </w:rPr>
        <w:t>, Brinster NK, Granter SR, Pinkus GS, Lindeman NI, Miller DM. Intravascular cytotoxic T-cell lymphoma: A case report and review of the literature. </w:t>
      </w:r>
      <w:r w:rsidRPr="006A4D75">
        <w:rPr>
          <w:rFonts w:ascii="Book Antiqua" w:hAnsi="Book Antiqua" w:cs="宋体"/>
          <w:i/>
          <w:iCs/>
          <w:kern w:val="0"/>
          <w:sz w:val="24"/>
        </w:rPr>
        <w:t>J Am Acad Dermatol</w:t>
      </w:r>
      <w:r w:rsidRPr="006A4D75">
        <w:rPr>
          <w:rFonts w:ascii="Book Antiqua" w:hAnsi="Book Antiqua" w:cs="宋体"/>
          <w:kern w:val="0"/>
          <w:sz w:val="24"/>
        </w:rPr>
        <w:t> 2008; </w:t>
      </w:r>
      <w:r w:rsidRPr="006A4D75">
        <w:rPr>
          <w:rFonts w:ascii="Book Antiqua" w:hAnsi="Book Antiqua" w:cs="宋体"/>
          <w:b/>
          <w:bCs/>
          <w:kern w:val="0"/>
          <w:sz w:val="24"/>
        </w:rPr>
        <w:t>58</w:t>
      </w:r>
      <w:r w:rsidRPr="006A4D75">
        <w:rPr>
          <w:rFonts w:ascii="Book Antiqua" w:hAnsi="Book Antiqua" w:cs="宋体"/>
          <w:kern w:val="0"/>
          <w:sz w:val="24"/>
        </w:rPr>
        <w:t>: 290-294 [PMID: 18222325 DOI: 10.1016/j.jaad.2006.12.022]</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19 </w:t>
      </w:r>
      <w:r w:rsidRPr="006A4D75">
        <w:rPr>
          <w:rFonts w:ascii="Book Antiqua" w:hAnsi="Book Antiqua" w:cs="宋体"/>
          <w:b/>
          <w:bCs/>
          <w:kern w:val="0"/>
          <w:sz w:val="24"/>
        </w:rPr>
        <w:t>Ko YH</w:t>
      </w:r>
      <w:r w:rsidRPr="006A4D75">
        <w:rPr>
          <w:rFonts w:ascii="Book Antiqua" w:hAnsi="Book Antiqua" w:cs="宋体"/>
          <w:kern w:val="0"/>
          <w:sz w:val="24"/>
        </w:rPr>
        <w:t>, Han JH, Go JH, Kim DS, Kwon OJ, Yang WI, Shin DH, Ree HJ. Intravascular lymphomatosis: a clinicopathological study of two cases presenting as an interstitial lung disease. </w:t>
      </w:r>
      <w:r w:rsidRPr="006A4D75">
        <w:rPr>
          <w:rFonts w:ascii="Book Antiqua" w:hAnsi="Book Antiqua" w:cs="宋体"/>
          <w:i/>
          <w:iCs/>
          <w:kern w:val="0"/>
          <w:sz w:val="24"/>
        </w:rPr>
        <w:t>Histopathology</w:t>
      </w:r>
      <w:r w:rsidRPr="006A4D75">
        <w:rPr>
          <w:rFonts w:ascii="Book Antiqua" w:hAnsi="Book Antiqua" w:cs="宋体"/>
          <w:kern w:val="0"/>
          <w:sz w:val="24"/>
        </w:rPr>
        <w:t> 1997; </w:t>
      </w:r>
      <w:r w:rsidRPr="006A4D75">
        <w:rPr>
          <w:rFonts w:ascii="Book Antiqua" w:hAnsi="Book Antiqua" w:cs="宋体"/>
          <w:b/>
          <w:bCs/>
          <w:kern w:val="0"/>
          <w:sz w:val="24"/>
        </w:rPr>
        <w:t>31</w:t>
      </w:r>
      <w:r w:rsidRPr="006A4D75">
        <w:rPr>
          <w:rFonts w:ascii="Book Antiqua" w:hAnsi="Book Antiqua" w:cs="宋体"/>
          <w:kern w:val="0"/>
          <w:sz w:val="24"/>
        </w:rPr>
        <w:t>: 555-562 [PMID: 9447388]</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20 </w:t>
      </w:r>
      <w:r w:rsidRPr="006A4D75">
        <w:rPr>
          <w:rFonts w:ascii="Book Antiqua" w:hAnsi="Book Antiqua" w:cs="宋体"/>
          <w:b/>
          <w:bCs/>
          <w:kern w:val="0"/>
          <w:sz w:val="24"/>
        </w:rPr>
        <w:t>Merchant SH</w:t>
      </w:r>
      <w:r w:rsidRPr="006A4D75">
        <w:rPr>
          <w:rFonts w:ascii="Book Antiqua" w:hAnsi="Book Antiqua" w:cs="宋体"/>
          <w:kern w:val="0"/>
          <w:sz w:val="24"/>
        </w:rPr>
        <w:t>, Viswanatha DS, Zumwalt RE, Foucar K. Epstein-Barr virus-associated intravascular large T-cell lymphoma presenting as acute renal failure in a patient with acquired immune deficiency syndrome. </w:t>
      </w:r>
      <w:r w:rsidRPr="006A4D75">
        <w:rPr>
          <w:rFonts w:ascii="Book Antiqua" w:hAnsi="Book Antiqua" w:cs="宋体"/>
          <w:i/>
          <w:iCs/>
          <w:kern w:val="0"/>
          <w:sz w:val="24"/>
        </w:rPr>
        <w:t>Hum Pathol</w:t>
      </w:r>
      <w:r w:rsidRPr="006A4D75">
        <w:rPr>
          <w:rFonts w:ascii="Book Antiqua" w:hAnsi="Book Antiqua" w:cs="宋体"/>
          <w:kern w:val="0"/>
          <w:sz w:val="24"/>
        </w:rPr>
        <w:t> 2003; </w:t>
      </w:r>
      <w:r w:rsidRPr="006A4D75">
        <w:rPr>
          <w:rFonts w:ascii="Book Antiqua" w:hAnsi="Book Antiqua" w:cs="宋体"/>
          <w:b/>
          <w:bCs/>
          <w:kern w:val="0"/>
          <w:sz w:val="24"/>
        </w:rPr>
        <w:t>34</w:t>
      </w:r>
      <w:r w:rsidRPr="006A4D75">
        <w:rPr>
          <w:rFonts w:ascii="Book Antiqua" w:hAnsi="Book Antiqua" w:cs="宋体"/>
          <w:kern w:val="0"/>
          <w:sz w:val="24"/>
        </w:rPr>
        <w:t>: 950-954 [PMID: 14562294 DOI: 10.1016/S0046-8177(03)00346-0]</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21 </w:t>
      </w:r>
      <w:r w:rsidRPr="006A4D75">
        <w:rPr>
          <w:rFonts w:ascii="Book Antiqua" w:hAnsi="Book Antiqua" w:cs="宋体"/>
          <w:b/>
          <w:bCs/>
          <w:kern w:val="0"/>
          <w:sz w:val="24"/>
        </w:rPr>
        <w:t>Iacobelli J</w:t>
      </w:r>
      <w:r w:rsidRPr="006A4D75">
        <w:rPr>
          <w:rFonts w:ascii="Book Antiqua" w:hAnsi="Book Antiqua" w:cs="宋体"/>
          <w:kern w:val="0"/>
          <w:sz w:val="24"/>
        </w:rPr>
        <w:t>, Spagnolo DV, Tesfai Y, Giardina TM, Chan JJ, Joske D, Wood BA. Cutaneous intravascular anaplastic large T-cell lymphoma: a case report and review of the literature. </w:t>
      </w:r>
      <w:r w:rsidRPr="006A4D75">
        <w:rPr>
          <w:rFonts w:ascii="Book Antiqua" w:hAnsi="Book Antiqua" w:cs="宋体"/>
          <w:i/>
          <w:iCs/>
          <w:kern w:val="0"/>
          <w:sz w:val="24"/>
        </w:rPr>
        <w:t>Am J Dermatopathol</w:t>
      </w:r>
      <w:r w:rsidRPr="006A4D75">
        <w:rPr>
          <w:rFonts w:ascii="Book Antiqua" w:hAnsi="Book Antiqua" w:cs="宋体"/>
          <w:kern w:val="0"/>
          <w:sz w:val="24"/>
        </w:rPr>
        <w:t> 2012; </w:t>
      </w:r>
      <w:r w:rsidRPr="006A4D75">
        <w:rPr>
          <w:rFonts w:ascii="Book Antiqua" w:hAnsi="Book Antiqua" w:cs="宋体"/>
          <w:b/>
          <w:bCs/>
          <w:kern w:val="0"/>
          <w:sz w:val="24"/>
        </w:rPr>
        <w:t>34</w:t>
      </w:r>
      <w:r w:rsidRPr="006A4D75">
        <w:rPr>
          <w:rFonts w:ascii="Book Antiqua" w:hAnsi="Book Antiqua" w:cs="宋体"/>
          <w:kern w:val="0"/>
          <w:sz w:val="24"/>
        </w:rPr>
        <w:t>: e133-e138 [PMID: 23023016 DOI: 10.1097/DAD.0b013e31824fec43]</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22 </w:t>
      </w:r>
      <w:r w:rsidRPr="006A4D75">
        <w:rPr>
          <w:rFonts w:ascii="Book Antiqua" w:hAnsi="Book Antiqua" w:cs="宋体"/>
          <w:b/>
          <w:bCs/>
          <w:kern w:val="0"/>
          <w:sz w:val="24"/>
        </w:rPr>
        <w:t>Asano N</w:t>
      </w:r>
      <w:r w:rsidRPr="006A4D75">
        <w:rPr>
          <w:rFonts w:ascii="Book Antiqua" w:hAnsi="Book Antiqua" w:cs="宋体"/>
          <w:kern w:val="0"/>
          <w:sz w:val="24"/>
        </w:rPr>
        <w:t>, Suzuki R, Kagami Y, Ishida F, Kitamura K, Fukutani H, Morishima Y, Takeuchi K, Nakamura S. Clinicopathologic and prognostic significance of cytotoxic molecule expression in nodal peripheral T-cell lymphoma, unspecified. </w:t>
      </w:r>
      <w:r w:rsidRPr="006A4D75">
        <w:rPr>
          <w:rFonts w:ascii="Book Antiqua" w:hAnsi="Book Antiqua" w:cs="宋体"/>
          <w:i/>
          <w:iCs/>
          <w:kern w:val="0"/>
          <w:sz w:val="24"/>
        </w:rPr>
        <w:t>Am J Surg Pathol</w:t>
      </w:r>
      <w:r w:rsidRPr="006A4D75">
        <w:rPr>
          <w:rFonts w:ascii="Book Antiqua" w:hAnsi="Book Antiqua" w:cs="宋体"/>
          <w:kern w:val="0"/>
          <w:sz w:val="24"/>
        </w:rPr>
        <w:t> 2005; </w:t>
      </w:r>
      <w:r w:rsidRPr="006A4D75">
        <w:rPr>
          <w:rFonts w:ascii="Book Antiqua" w:hAnsi="Book Antiqua" w:cs="宋体"/>
          <w:b/>
          <w:bCs/>
          <w:kern w:val="0"/>
          <w:sz w:val="24"/>
        </w:rPr>
        <w:t>29</w:t>
      </w:r>
      <w:r w:rsidRPr="006A4D75">
        <w:rPr>
          <w:rFonts w:ascii="Book Antiqua" w:hAnsi="Book Antiqua" w:cs="宋体"/>
          <w:kern w:val="0"/>
          <w:sz w:val="24"/>
        </w:rPr>
        <w:t>: 1284-1293 [PMID: 16160469]</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23 </w:t>
      </w:r>
      <w:r w:rsidRPr="006A4D75">
        <w:rPr>
          <w:rFonts w:ascii="Book Antiqua" w:hAnsi="Book Antiqua" w:cs="宋体"/>
          <w:b/>
          <w:bCs/>
          <w:kern w:val="0"/>
          <w:sz w:val="24"/>
        </w:rPr>
        <w:t>Murase T</w:t>
      </w:r>
      <w:r w:rsidRPr="006A4D75">
        <w:rPr>
          <w:rFonts w:ascii="Book Antiqua" w:hAnsi="Book Antiqua" w:cs="宋体"/>
          <w:kern w:val="0"/>
          <w:sz w:val="24"/>
        </w:rPr>
        <w:t>, Nakamura S, Kawauchi K, Matsuzaki H, Sakai C, Inaba T, Nasu K, Tashiro K, Suchi T, Saito H. An Asian variant of intravascular large B-cell lymphoma: clinical, pathological and cytogenetic approaches to diffuse large B-cell lymphoma associated with haemophagocytic syndrome. </w:t>
      </w:r>
      <w:r w:rsidRPr="006A4D75">
        <w:rPr>
          <w:rFonts w:ascii="Book Antiqua" w:hAnsi="Book Antiqua" w:cs="宋体"/>
          <w:i/>
          <w:iCs/>
          <w:kern w:val="0"/>
          <w:sz w:val="24"/>
        </w:rPr>
        <w:t>Br J Haematol</w:t>
      </w:r>
      <w:r w:rsidRPr="006A4D75">
        <w:rPr>
          <w:rFonts w:ascii="Book Antiqua" w:hAnsi="Book Antiqua" w:cs="宋体"/>
          <w:kern w:val="0"/>
          <w:sz w:val="24"/>
        </w:rPr>
        <w:t> 2000; </w:t>
      </w:r>
      <w:r w:rsidRPr="006A4D75">
        <w:rPr>
          <w:rFonts w:ascii="Book Antiqua" w:hAnsi="Book Antiqua" w:cs="宋体"/>
          <w:b/>
          <w:bCs/>
          <w:kern w:val="0"/>
          <w:sz w:val="24"/>
        </w:rPr>
        <w:t>111</w:t>
      </w:r>
      <w:r w:rsidRPr="006A4D75">
        <w:rPr>
          <w:rFonts w:ascii="Book Antiqua" w:hAnsi="Book Antiqua" w:cs="宋体"/>
          <w:kern w:val="0"/>
          <w:sz w:val="24"/>
        </w:rPr>
        <w:t>: 826-834 [PMID: 11122144 DOI: 10.1111/j.1365-2141.2000.02426.x]</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24 </w:t>
      </w:r>
      <w:r w:rsidRPr="006A4D75">
        <w:rPr>
          <w:rFonts w:ascii="Book Antiqua" w:hAnsi="Book Antiqua" w:cs="宋体"/>
          <w:b/>
          <w:bCs/>
          <w:kern w:val="0"/>
          <w:sz w:val="24"/>
        </w:rPr>
        <w:t>Ponzoni M</w:t>
      </w:r>
      <w:r w:rsidRPr="006A4D75">
        <w:rPr>
          <w:rFonts w:ascii="Book Antiqua" w:hAnsi="Book Antiqua" w:cs="宋体"/>
          <w:kern w:val="0"/>
          <w:sz w:val="24"/>
        </w:rPr>
        <w:t>, Ferreri AJ. Intravascular lymphoma: a neoplasm of 'homeless' lymphocytes? </w:t>
      </w:r>
      <w:r w:rsidRPr="006A4D75">
        <w:rPr>
          <w:rFonts w:ascii="Book Antiqua" w:hAnsi="Book Antiqua" w:cs="宋体"/>
          <w:i/>
          <w:iCs/>
          <w:kern w:val="0"/>
          <w:sz w:val="24"/>
        </w:rPr>
        <w:t>Hematol Oncol</w:t>
      </w:r>
      <w:r w:rsidRPr="006A4D75">
        <w:rPr>
          <w:rFonts w:ascii="Book Antiqua" w:hAnsi="Book Antiqua" w:cs="宋体"/>
          <w:kern w:val="0"/>
          <w:sz w:val="24"/>
        </w:rPr>
        <w:t> 2006; </w:t>
      </w:r>
      <w:r w:rsidRPr="006A4D75">
        <w:rPr>
          <w:rFonts w:ascii="Book Antiqua" w:hAnsi="Book Antiqua" w:cs="宋体"/>
          <w:b/>
          <w:bCs/>
          <w:kern w:val="0"/>
          <w:sz w:val="24"/>
        </w:rPr>
        <w:t>24</w:t>
      </w:r>
      <w:r w:rsidRPr="006A4D75">
        <w:rPr>
          <w:rFonts w:ascii="Book Antiqua" w:hAnsi="Book Antiqua" w:cs="宋体"/>
          <w:kern w:val="0"/>
          <w:sz w:val="24"/>
        </w:rPr>
        <w:t>: 105-112 [PMID: 16721900 DOI: 10.1002/hon.776]</w:t>
      </w:r>
    </w:p>
    <w:p w:rsidR="00986F53" w:rsidRPr="006A4D75" w:rsidRDefault="00986F53" w:rsidP="0014367A">
      <w:pPr>
        <w:widowControl/>
        <w:spacing w:line="360" w:lineRule="auto"/>
        <w:rPr>
          <w:rFonts w:ascii="Book Antiqua" w:hAnsi="Book Antiqua" w:cs="宋体"/>
          <w:kern w:val="0"/>
          <w:sz w:val="24"/>
        </w:rPr>
      </w:pPr>
      <w:r w:rsidRPr="006A4D75">
        <w:rPr>
          <w:rFonts w:ascii="Book Antiqua" w:hAnsi="Book Antiqua" w:cs="宋体"/>
          <w:kern w:val="0"/>
          <w:sz w:val="24"/>
        </w:rPr>
        <w:t>25 </w:t>
      </w:r>
      <w:r w:rsidRPr="006A4D75">
        <w:rPr>
          <w:rFonts w:ascii="Book Antiqua" w:hAnsi="Book Antiqua" w:cs="宋体"/>
          <w:b/>
          <w:bCs/>
          <w:kern w:val="0"/>
          <w:sz w:val="24"/>
        </w:rPr>
        <w:t>von Andrian UH</w:t>
      </w:r>
      <w:r w:rsidRPr="006A4D75">
        <w:rPr>
          <w:rFonts w:ascii="Book Antiqua" w:hAnsi="Book Antiqua" w:cs="宋体"/>
          <w:kern w:val="0"/>
          <w:sz w:val="24"/>
        </w:rPr>
        <w:t>, Mackay CR. T-cell function and migration. Two sides of the same coin. </w:t>
      </w:r>
      <w:r w:rsidRPr="006A4D75">
        <w:rPr>
          <w:rFonts w:ascii="Book Antiqua" w:hAnsi="Book Antiqua" w:cs="宋体"/>
          <w:i/>
          <w:iCs/>
          <w:kern w:val="0"/>
          <w:sz w:val="24"/>
        </w:rPr>
        <w:t>N Engl J Med</w:t>
      </w:r>
      <w:r w:rsidRPr="006A4D75">
        <w:rPr>
          <w:rFonts w:ascii="Book Antiqua" w:hAnsi="Book Antiqua" w:cs="宋体"/>
          <w:kern w:val="0"/>
          <w:sz w:val="24"/>
        </w:rPr>
        <w:t> 2000; </w:t>
      </w:r>
      <w:r w:rsidRPr="006A4D75">
        <w:rPr>
          <w:rFonts w:ascii="Book Antiqua" w:hAnsi="Book Antiqua" w:cs="宋体"/>
          <w:b/>
          <w:bCs/>
          <w:kern w:val="0"/>
          <w:sz w:val="24"/>
        </w:rPr>
        <w:t>343</w:t>
      </w:r>
      <w:r w:rsidRPr="006A4D75">
        <w:rPr>
          <w:rFonts w:ascii="Book Antiqua" w:hAnsi="Book Antiqua" w:cs="宋体"/>
          <w:kern w:val="0"/>
          <w:sz w:val="24"/>
        </w:rPr>
        <w:t>: 1020-1034 [PMID: 11018170 DOI: 10.1056/NEJM200010053431407]</w:t>
      </w:r>
    </w:p>
    <w:p w:rsidR="00986F53" w:rsidRPr="006A4D75" w:rsidRDefault="00986F53" w:rsidP="0037002B">
      <w:pPr>
        <w:widowControl/>
        <w:spacing w:line="360" w:lineRule="auto"/>
        <w:rPr>
          <w:rFonts w:ascii="Book Antiqua" w:eastAsia="宋体" w:hAnsi="Book Antiqua"/>
          <w:kern w:val="0"/>
          <w:sz w:val="24"/>
          <w:szCs w:val="24"/>
          <w:lang w:eastAsia="zh-CN"/>
        </w:rPr>
      </w:pPr>
    </w:p>
    <w:p w:rsidR="00986F53" w:rsidRPr="006A4D75" w:rsidRDefault="00986F53" w:rsidP="00351AAB">
      <w:pPr>
        <w:spacing w:line="360" w:lineRule="auto"/>
        <w:ind w:left="520" w:hangingChars="200" w:hanging="520"/>
        <w:jc w:val="right"/>
        <w:rPr>
          <w:rFonts w:ascii="Book Antiqua" w:hAnsi="Book Antiqua"/>
          <w:color w:val="000000"/>
          <w:sz w:val="24"/>
        </w:rPr>
      </w:pPr>
      <w:r w:rsidRPr="006A4D75">
        <w:rPr>
          <w:rFonts w:ascii="Book Antiqua" w:hAnsi="Book Antiqua"/>
          <w:b/>
          <w:sz w:val="24"/>
        </w:rPr>
        <w:t>P- Reviewer:</w:t>
      </w:r>
      <w:r>
        <w:rPr>
          <w:rFonts w:ascii="Book Antiqua" w:eastAsia="宋体" w:hAnsi="Book Antiqua"/>
          <w:b/>
          <w:sz w:val="24"/>
          <w:lang w:eastAsia="zh-CN"/>
        </w:rPr>
        <w:t xml:space="preserve"> </w:t>
      </w:r>
      <w:r w:rsidRPr="006A4D75">
        <w:rPr>
          <w:rFonts w:ascii="Book Antiqua" w:hAnsi="Book Antiqua" w:cs="宋体"/>
          <w:kern w:val="0"/>
          <w:sz w:val="24"/>
        </w:rPr>
        <w:t xml:space="preserve">Wong ET </w:t>
      </w:r>
      <w:r w:rsidRPr="006A4D75">
        <w:rPr>
          <w:rFonts w:ascii="Book Antiqua" w:hAnsi="Book Antiqua"/>
          <w:color w:val="000000"/>
          <w:sz w:val="24"/>
        </w:rPr>
        <w:t xml:space="preserve">    </w:t>
      </w:r>
      <w:r w:rsidRPr="006A4D75">
        <w:rPr>
          <w:rFonts w:ascii="Book Antiqua" w:hAnsi="Book Antiqua"/>
          <w:b/>
          <w:sz w:val="24"/>
        </w:rPr>
        <w:t>S- Editor:</w:t>
      </w:r>
      <w:r w:rsidRPr="006A4D75">
        <w:rPr>
          <w:rFonts w:ascii="Book Antiqua" w:hAnsi="Book Antiqua"/>
          <w:sz w:val="24"/>
        </w:rPr>
        <w:t xml:space="preserve"> Gong XM</w:t>
      </w:r>
    </w:p>
    <w:p w:rsidR="00986F53" w:rsidRPr="006A4D75" w:rsidRDefault="00986F53" w:rsidP="00351AAB">
      <w:pPr>
        <w:spacing w:line="360" w:lineRule="auto"/>
        <w:ind w:left="520" w:hangingChars="200" w:hanging="520"/>
        <w:jc w:val="right"/>
        <w:rPr>
          <w:rFonts w:ascii="Book Antiqua" w:eastAsia="宋体" w:hAnsi="Book Antiqua"/>
          <w:b/>
          <w:sz w:val="24"/>
          <w:lang w:eastAsia="zh-CN"/>
        </w:rPr>
      </w:pPr>
      <w:r w:rsidRPr="006A4D75">
        <w:rPr>
          <w:rFonts w:ascii="Book Antiqua" w:hAnsi="Book Antiqua"/>
          <w:b/>
          <w:sz w:val="24"/>
        </w:rPr>
        <w:t>L- Editor:</w:t>
      </w:r>
      <w:r w:rsidRPr="006A4D75">
        <w:rPr>
          <w:rFonts w:ascii="Book Antiqua" w:hAnsi="Book Antiqua"/>
          <w:sz w:val="24"/>
        </w:rPr>
        <w:t xml:space="preserve"> </w:t>
      </w:r>
      <w:r w:rsidRPr="006A4D75">
        <w:rPr>
          <w:rFonts w:ascii="Book Antiqua" w:hAnsi="Book Antiqua"/>
          <w:b/>
          <w:sz w:val="24"/>
        </w:rPr>
        <w:t>E- Editor:</w:t>
      </w:r>
    </w:p>
    <w:p w:rsidR="00986F53" w:rsidRPr="006A4D75" w:rsidRDefault="00351AAB" w:rsidP="0014367A">
      <w:pPr>
        <w:widowControl/>
        <w:spacing w:line="360" w:lineRule="auto"/>
        <w:rPr>
          <w:rFonts w:ascii="Book Antiqua" w:eastAsia="宋体" w:hAnsi="Book Antiqua"/>
          <w:noProof/>
          <w:sz w:val="24"/>
          <w:szCs w:val="24"/>
          <w:lang w:eastAsia="zh-CN"/>
        </w:rPr>
      </w:pPr>
      <w:r>
        <w:rPr>
          <w:rFonts w:ascii="Book Antiqua" w:hAnsi="Book Antiqua"/>
          <w:noProof/>
          <w:sz w:val="24"/>
          <w:szCs w:val="24"/>
          <w:lang w:eastAsia="en-US"/>
        </w:rPr>
        <w:drawing>
          <wp:inline distT="0" distB="0" distL="0" distR="0">
            <wp:extent cx="5671185" cy="425069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1185" cy="4250690"/>
                    </a:xfrm>
                    <a:prstGeom prst="rect">
                      <a:avLst/>
                    </a:prstGeom>
                    <a:noFill/>
                    <a:ln>
                      <a:noFill/>
                    </a:ln>
                  </pic:spPr>
                </pic:pic>
              </a:graphicData>
            </a:graphic>
          </wp:inline>
        </w:drawing>
      </w:r>
    </w:p>
    <w:p w:rsidR="00986F53" w:rsidRPr="006A4D75" w:rsidRDefault="00986F53" w:rsidP="0014367A">
      <w:pPr>
        <w:spacing w:line="360" w:lineRule="auto"/>
        <w:rPr>
          <w:rFonts w:ascii="Book Antiqua" w:hAnsi="Book Antiqua"/>
          <w:sz w:val="24"/>
          <w:szCs w:val="24"/>
        </w:rPr>
      </w:pPr>
      <w:r w:rsidRPr="006A4D75">
        <w:rPr>
          <w:rFonts w:ascii="Book Antiqua" w:eastAsia="宋体" w:hAnsi="Book Antiqua"/>
          <w:b/>
          <w:sz w:val="24"/>
          <w:szCs w:val="24"/>
          <w:lang w:eastAsia="zh-CN"/>
        </w:rPr>
        <w:t xml:space="preserve">Figure 1 </w:t>
      </w:r>
      <w:r w:rsidRPr="006A4D75">
        <w:rPr>
          <w:rFonts w:ascii="Book Antiqua" w:hAnsi="Book Antiqua"/>
          <w:b/>
          <w:sz w:val="24"/>
          <w:szCs w:val="24"/>
        </w:rPr>
        <w:t>Autopsy was performed.</w:t>
      </w:r>
      <w:r w:rsidRPr="006A4D75">
        <w:rPr>
          <w:rFonts w:ascii="Book Antiqua" w:hAnsi="Book Antiqua"/>
          <w:sz w:val="24"/>
          <w:szCs w:val="24"/>
        </w:rPr>
        <w:t xml:space="preserve"> Hematoxylin-eosin staining in lymph node revealed diffuse proliferation of tumor cells in low power field (top).</w:t>
      </w:r>
      <w:r w:rsidRPr="006A4D75">
        <w:rPr>
          <w:rFonts w:ascii="Book Antiqua" w:eastAsia="宋体" w:hAnsi="Book Antiqua"/>
          <w:sz w:val="24"/>
          <w:szCs w:val="24"/>
          <w:lang w:eastAsia="zh-CN"/>
        </w:rPr>
        <w:t xml:space="preserve"> </w:t>
      </w:r>
      <w:r w:rsidRPr="006A4D75">
        <w:rPr>
          <w:rFonts w:ascii="Book Antiqua" w:hAnsi="Book Antiqua"/>
          <w:sz w:val="24"/>
          <w:szCs w:val="24"/>
        </w:rPr>
        <w:t>High power field imaging showed infiltrated atypical small lymphocytes (bottom left).</w:t>
      </w:r>
      <w:r w:rsidRPr="006A4D75">
        <w:rPr>
          <w:rFonts w:ascii="Book Antiqua" w:eastAsia="宋体" w:hAnsi="Book Antiqua"/>
          <w:sz w:val="24"/>
          <w:szCs w:val="24"/>
          <w:lang w:eastAsia="zh-CN"/>
        </w:rPr>
        <w:t xml:space="preserve"> </w:t>
      </w:r>
      <w:r w:rsidRPr="006A4D75">
        <w:rPr>
          <w:rFonts w:ascii="Book Antiqua" w:hAnsi="Book Antiqua"/>
          <w:sz w:val="24"/>
          <w:szCs w:val="24"/>
        </w:rPr>
        <w:t>Immunohistochemical staining revealed that the tumor cells expressed anaplastic lymphoma kinase (bottom right).</w:t>
      </w:r>
    </w:p>
    <w:p w:rsidR="00986F53" w:rsidRPr="006A4D75" w:rsidRDefault="00351AAB" w:rsidP="0037002B">
      <w:pPr>
        <w:widowControl/>
        <w:spacing w:line="360" w:lineRule="auto"/>
        <w:rPr>
          <w:rFonts w:ascii="Book Antiqua" w:eastAsia="宋体" w:hAnsi="Book Antiqua"/>
          <w:noProof/>
          <w:sz w:val="24"/>
          <w:szCs w:val="24"/>
          <w:lang w:eastAsia="zh-CN"/>
        </w:rPr>
      </w:pPr>
      <w:r>
        <w:rPr>
          <w:rFonts w:ascii="Book Antiqua" w:hAnsi="Book Antiqua"/>
          <w:noProof/>
          <w:sz w:val="24"/>
          <w:szCs w:val="24"/>
          <w:lang w:eastAsia="en-US"/>
        </w:rPr>
        <w:drawing>
          <wp:inline distT="0" distB="0" distL="0" distR="0">
            <wp:extent cx="5671185" cy="425069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1185" cy="4250690"/>
                    </a:xfrm>
                    <a:prstGeom prst="rect">
                      <a:avLst/>
                    </a:prstGeom>
                    <a:noFill/>
                    <a:ln>
                      <a:noFill/>
                    </a:ln>
                  </pic:spPr>
                </pic:pic>
              </a:graphicData>
            </a:graphic>
          </wp:inline>
        </w:drawing>
      </w:r>
    </w:p>
    <w:p w:rsidR="00986F53" w:rsidRPr="006A4D75" w:rsidRDefault="00986F53" w:rsidP="0014367A">
      <w:pPr>
        <w:spacing w:line="360" w:lineRule="auto"/>
        <w:rPr>
          <w:rFonts w:ascii="Book Antiqua" w:hAnsi="Book Antiqua"/>
          <w:sz w:val="24"/>
          <w:szCs w:val="24"/>
        </w:rPr>
      </w:pPr>
    </w:p>
    <w:p w:rsidR="00986F53" w:rsidRPr="00E949FE" w:rsidRDefault="00986F53" w:rsidP="0014367A">
      <w:pPr>
        <w:widowControl/>
        <w:spacing w:line="360" w:lineRule="auto"/>
        <w:rPr>
          <w:rFonts w:ascii="Book Antiqua" w:eastAsia="宋体" w:hAnsi="Book Antiqua"/>
          <w:b/>
          <w:sz w:val="24"/>
          <w:szCs w:val="24"/>
        </w:rPr>
      </w:pPr>
      <w:r w:rsidRPr="006A4D75">
        <w:rPr>
          <w:rFonts w:ascii="Book Antiqua" w:hAnsi="Book Antiqua"/>
          <w:b/>
          <w:sz w:val="24"/>
          <w:szCs w:val="24"/>
        </w:rPr>
        <w:t xml:space="preserve">Figure 2 Anaplastic lymphoma kinase positive tumor cells were selectively proliferating in intra lumina of vessels in lung </w:t>
      </w:r>
      <w:r w:rsidRPr="006A4D75">
        <w:rPr>
          <w:rFonts w:ascii="Book Antiqua" w:eastAsia="宋体" w:hAnsi="Times New Roman"/>
          <w:b/>
          <w:sz w:val="24"/>
          <w:szCs w:val="24"/>
          <w:lang w:eastAsia="zh-CN"/>
        </w:rPr>
        <w:t>(</w:t>
      </w:r>
      <w:r w:rsidRPr="006A4D75">
        <w:rPr>
          <w:rFonts w:ascii="Book Antiqua" w:hAnsi="Book Antiqua"/>
          <w:b/>
          <w:sz w:val="24"/>
          <w:szCs w:val="24"/>
        </w:rPr>
        <w:t>A</w:t>
      </w:r>
      <w:r w:rsidRPr="006A4D75">
        <w:rPr>
          <w:rFonts w:ascii="Book Antiqua" w:eastAsia="宋体" w:hAnsi="Times New Roman"/>
          <w:b/>
          <w:sz w:val="24"/>
          <w:szCs w:val="24"/>
          <w:lang w:eastAsia="zh-CN"/>
        </w:rPr>
        <w:t xml:space="preserve">) </w:t>
      </w:r>
      <w:r w:rsidRPr="006A4D75">
        <w:rPr>
          <w:rFonts w:ascii="Book Antiqua" w:hAnsi="Book Antiqua"/>
          <w:b/>
          <w:sz w:val="24"/>
          <w:szCs w:val="24"/>
        </w:rPr>
        <w:t>and heart (B), respectively.</w:t>
      </w:r>
    </w:p>
    <w:sectPr w:rsidR="00986F53" w:rsidRPr="00E949FE" w:rsidSect="0037002B">
      <w:footerReference w:type="default" r:id="rId10"/>
      <w:pgSz w:w="11906" w:h="16838" w:code="9"/>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5DD8" w:rsidRDefault="001B5DD8" w:rsidP="002B2EF3">
      <w:r>
        <w:separator/>
      </w:r>
    </w:p>
  </w:endnote>
  <w:endnote w:type="continuationSeparator" w:id="0">
    <w:p w:rsidR="001B5DD8" w:rsidRDefault="001B5DD8" w:rsidP="002B2E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entury">
    <w:panose1 w:val="020406040505050203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3" w:usb1="080E0000" w:usb2="00000010" w:usb3="00000000" w:csb0="00040001"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F53" w:rsidRDefault="001B5DD8">
    <w:pPr>
      <w:pStyle w:val="Footer"/>
      <w:jc w:val="center"/>
    </w:pPr>
    <w:r>
      <w:fldChar w:fldCharType="begin"/>
    </w:r>
    <w:r>
      <w:instrText>PAGE   \* MERGEFORMAT</w:instrText>
    </w:r>
    <w:r>
      <w:fldChar w:fldCharType="separate"/>
    </w:r>
    <w:r w:rsidR="00351AAB" w:rsidRPr="00351AAB">
      <w:rPr>
        <w:noProof/>
        <w:lang w:val="ja-JP"/>
      </w:rPr>
      <w:t>1</w:t>
    </w:r>
    <w:r>
      <w:rPr>
        <w:noProof/>
        <w:lang w:val="ja-JP"/>
      </w:rPr>
      <w:fldChar w:fldCharType="end"/>
    </w:r>
  </w:p>
  <w:p w:rsidR="00986F53" w:rsidRDefault="00986F5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5DD8" w:rsidRDefault="001B5DD8" w:rsidP="002B2EF3">
      <w:r>
        <w:separator/>
      </w:r>
    </w:p>
  </w:footnote>
  <w:footnote w:type="continuationSeparator" w:id="0">
    <w:p w:rsidR="001B5DD8" w:rsidRDefault="001B5DD8" w:rsidP="002B2EF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683DE8"/>
    <w:multiLevelType w:val="hybridMultilevel"/>
    <w:tmpl w:val="50B6AF4A"/>
    <w:lvl w:ilvl="0" w:tplc="0C72DD16">
      <w:numFmt w:val="bullet"/>
      <w:lvlText w:val=""/>
      <w:lvlJc w:val="left"/>
      <w:pPr>
        <w:ind w:left="360" w:hanging="360"/>
      </w:pPr>
      <w:rPr>
        <w:rFonts w:ascii="Wingdings" w:eastAsia="MS Mincho"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840"/>
  <w:drawingGridHorizontalSpacing w:val="105"/>
  <w:displayHorizontalDrawingGridEvery w:val="0"/>
  <w:displayVerticalDrawingGridEvery w:val="2"/>
  <w:characterSpacingControl w:val="compressPunctuation"/>
  <w:noLineBreaksAfter w:lang="zh-CN" w:val="$([{£¥·‘“〈《「『【〔〖〝﹙﹛﹝＄（．［｛￡￥"/>
  <w:noLineBreaksBefore w:lang="zh-CN" w:val="!%),.:;&gt;?]}¢¨°·ˇˉ―‖’”…‰′″›℃∶、。〃〉》」』】〕〗〞︶︺︾﹀﹄﹚﹜﹞！＂％＇），．：；？］｀｜｝～￠"/>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30BD"/>
    <w:rsid w:val="0000372B"/>
    <w:rsid w:val="0000440B"/>
    <w:rsid w:val="000079F9"/>
    <w:rsid w:val="0001193C"/>
    <w:rsid w:val="00021453"/>
    <w:rsid w:val="000232F0"/>
    <w:rsid w:val="00027D7C"/>
    <w:rsid w:val="00037922"/>
    <w:rsid w:val="000379F9"/>
    <w:rsid w:val="00040766"/>
    <w:rsid w:val="00042D1D"/>
    <w:rsid w:val="0004344B"/>
    <w:rsid w:val="00060049"/>
    <w:rsid w:val="00062A7E"/>
    <w:rsid w:val="00066B52"/>
    <w:rsid w:val="000802BF"/>
    <w:rsid w:val="000826A0"/>
    <w:rsid w:val="0008485A"/>
    <w:rsid w:val="00084EE2"/>
    <w:rsid w:val="00093650"/>
    <w:rsid w:val="000961AD"/>
    <w:rsid w:val="00097BB5"/>
    <w:rsid w:val="000A26FD"/>
    <w:rsid w:val="000A5121"/>
    <w:rsid w:val="000A7F11"/>
    <w:rsid w:val="000B4B2B"/>
    <w:rsid w:val="000B72A7"/>
    <w:rsid w:val="000C3BD3"/>
    <w:rsid w:val="000D46D3"/>
    <w:rsid w:val="000E1F1E"/>
    <w:rsid w:val="000E54BE"/>
    <w:rsid w:val="000E5752"/>
    <w:rsid w:val="000F0584"/>
    <w:rsid w:val="000F125D"/>
    <w:rsid w:val="000F638A"/>
    <w:rsid w:val="001104E0"/>
    <w:rsid w:val="00111892"/>
    <w:rsid w:val="001119A4"/>
    <w:rsid w:val="00120D08"/>
    <w:rsid w:val="00123FB9"/>
    <w:rsid w:val="001244F4"/>
    <w:rsid w:val="00125866"/>
    <w:rsid w:val="001260C7"/>
    <w:rsid w:val="00132321"/>
    <w:rsid w:val="001425E2"/>
    <w:rsid w:val="0014367A"/>
    <w:rsid w:val="00157F80"/>
    <w:rsid w:val="00160B3E"/>
    <w:rsid w:val="00171F59"/>
    <w:rsid w:val="00172F6C"/>
    <w:rsid w:val="00187B39"/>
    <w:rsid w:val="001B01F9"/>
    <w:rsid w:val="001B5DD8"/>
    <w:rsid w:val="001B686A"/>
    <w:rsid w:val="001D03FE"/>
    <w:rsid w:val="001D6A13"/>
    <w:rsid w:val="001E2071"/>
    <w:rsid w:val="001E2212"/>
    <w:rsid w:val="001E4145"/>
    <w:rsid w:val="001E6AD3"/>
    <w:rsid w:val="001E6D43"/>
    <w:rsid w:val="001F0F58"/>
    <w:rsid w:val="001F61DC"/>
    <w:rsid w:val="0020107C"/>
    <w:rsid w:val="002026E4"/>
    <w:rsid w:val="00202B4D"/>
    <w:rsid w:val="00212146"/>
    <w:rsid w:val="00224414"/>
    <w:rsid w:val="00225E02"/>
    <w:rsid w:val="0023030F"/>
    <w:rsid w:val="00247260"/>
    <w:rsid w:val="00250A5D"/>
    <w:rsid w:val="002600D2"/>
    <w:rsid w:val="00261007"/>
    <w:rsid w:val="00263DFD"/>
    <w:rsid w:val="00266301"/>
    <w:rsid w:val="00267AAE"/>
    <w:rsid w:val="0027253B"/>
    <w:rsid w:val="00276897"/>
    <w:rsid w:val="00276DF5"/>
    <w:rsid w:val="0029110F"/>
    <w:rsid w:val="00292D5F"/>
    <w:rsid w:val="002A7910"/>
    <w:rsid w:val="002A7EB2"/>
    <w:rsid w:val="002B08A8"/>
    <w:rsid w:val="002B1198"/>
    <w:rsid w:val="002B2EF3"/>
    <w:rsid w:val="002F1694"/>
    <w:rsid w:val="00303DC8"/>
    <w:rsid w:val="003155BC"/>
    <w:rsid w:val="003205CD"/>
    <w:rsid w:val="0032357A"/>
    <w:rsid w:val="00334E2E"/>
    <w:rsid w:val="00341547"/>
    <w:rsid w:val="00341654"/>
    <w:rsid w:val="00343BA0"/>
    <w:rsid w:val="003440CF"/>
    <w:rsid w:val="0034696D"/>
    <w:rsid w:val="003504F3"/>
    <w:rsid w:val="00351AAB"/>
    <w:rsid w:val="00352008"/>
    <w:rsid w:val="003524E2"/>
    <w:rsid w:val="00357236"/>
    <w:rsid w:val="00363586"/>
    <w:rsid w:val="003647A0"/>
    <w:rsid w:val="0037002B"/>
    <w:rsid w:val="00370FE4"/>
    <w:rsid w:val="00373CB8"/>
    <w:rsid w:val="00386AE0"/>
    <w:rsid w:val="003A2AF7"/>
    <w:rsid w:val="003A3FCB"/>
    <w:rsid w:val="003D0CE5"/>
    <w:rsid w:val="003D1F8A"/>
    <w:rsid w:val="003D2C37"/>
    <w:rsid w:val="003D2F09"/>
    <w:rsid w:val="003D3585"/>
    <w:rsid w:val="003D765B"/>
    <w:rsid w:val="003F051B"/>
    <w:rsid w:val="003F0D91"/>
    <w:rsid w:val="003F31B9"/>
    <w:rsid w:val="004007D4"/>
    <w:rsid w:val="004028B0"/>
    <w:rsid w:val="00406779"/>
    <w:rsid w:val="004126EE"/>
    <w:rsid w:val="00423EE3"/>
    <w:rsid w:val="004400AC"/>
    <w:rsid w:val="00443D22"/>
    <w:rsid w:val="00444EB8"/>
    <w:rsid w:val="00445223"/>
    <w:rsid w:val="004515B0"/>
    <w:rsid w:val="004562F7"/>
    <w:rsid w:val="00457F07"/>
    <w:rsid w:val="00461C7B"/>
    <w:rsid w:val="00464405"/>
    <w:rsid w:val="0048580C"/>
    <w:rsid w:val="004921C5"/>
    <w:rsid w:val="004926FA"/>
    <w:rsid w:val="004B4A75"/>
    <w:rsid w:val="004E1A4A"/>
    <w:rsid w:val="004E3FE4"/>
    <w:rsid w:val="00502850"/>
    <w:rsid w:val="00512048"/>
    <w:rsid w:val="0051238F"/>
    <w:rsid w:val="005137DF"/>
    <w:rsid w:val="00516E78"/>
    <w:rsid w:val="00522FBD"/>
    <w:rsid w:val="00523C77"/>
    <w:rsid w:val="00525388"/>
    <w:rsid w:val="005267C9"/>
    <w:rsid w:val="00532BCF"/>
    <w:rsid w:val="005341A6"/>
    <w:rsid w:val="005374A7"/>
    <w:rsid w:val="00546A94"/>
    <w:rsid w:val="00550290"/>
    <w:rsid w:val="0056471C"/>
    <w:rsid w:val="00564A26"/>
    <w:rsid w:val="005777D5"/>
    <w:rsid w:val="005812F1"/>
    <w:rsid w:val="00581DD8"/>
    <w:rsid w:val="00584F14"/>
    <w:rsid w:val="005A1084"/>
    <w:rsid w:val="005A20B9"/>
    <w:rsid w:val="005A7AA7"/>
    <w:rsid w:val="005C38DF"/>
    <w:rsid w:val="005D2E22"/>
    <w:rsid w:val="005D66B5"/>
    <w:rsid w:val="005D7294"/>
    <w:rsid w:val="005E226F"/>
    <w:rsid w:val="005E4AFA"/>
    <w:rsid w:val="005E6965"/>
    <w:rsid w:val="005F4913"/>
    <w:rsid w:val="00617387"/>
    <w:rsid w:val="00617863"/>
    <w:rsid w:val="00622E8A"/>
    <w:rsid w:val="0062381F"/>
    <w:rsid w:val="00627F33"/>
    <w:rsid w:val="00650355"/>
    <w:rsid w:val="006550D8"/>
    <w:rsid w:val="006559D5"/>
    <w:rsid w:val="00666DEA"/>
    <w:rsid w:val="00672E01"/>
    <w:rsid w:val="00675F8A"/>
    <w:rsid w:val="00677D0B"/>
    <w:rsid w:val="0068756E"/>
    <w:rsid w:val="00687FC0"/>
    <w:rsid w:val="006A4D75"/>
    <w:rsid w:val="006A661E"/>
    <w:rsid w:val="006C15B7"/>
    <w:rsid w:val="006C3413"/>
    <w:rsid w:val="006C5482"/>
    <w:rsid w:val="006D09FB"/>
    <w:rsid w:val="006D29D9"/>
    <w:rsid w:val="006E3327"/>
    <w:rsid w:val="006E3423"/>
    <w:rsid w:val="006F0010"/>
    <w:rsid w:val="006F1544"/>
    <w:rsid w:val="006F2AF8"/>
    <w:rsid w:val="006F2EE6"/>
    <w:rsid w:val="007063CD"/>
    <w:rsid w:val="00710ADB"/>
    <w:rsid w:val="007116C1"/>
    <w:rsid w:val="007119A0"/>
    <w:rsid w:val="00716233"/>
    <w:rsid w:val="00717DF1"/>
    <w:rsid w:val="0072217A"/>
    <w:rsid w:val="0073177E"/>
    <w:rsid w:val="00734A3E"/>
    <w:rsid w:val="00753605"/>
    <w:rsid w:val="007607F5"/>
    <w:rsid w:val="00774600"/>
    <w:rsid w:val="0077561A"/>
    <w:rsid w:val="00780E91"/>
    <w:rsid w:val="00785E62"/>
    <w:rsid w:val="00785EF3"/>
    <w:rsid w:val="00793C0D"/>
    <w:rsid w:val="0079759F"/>
    <w:rsid w:val="007B1D35"/>
    <w:rsid w:val="007C0A54"/>
    <w:rsid w:val="007D0E57"/>
    <w:rsid w:val="007D187B"/>
    <w:rsid w:val="007D3E85"/>
    <w:rsid w:val="007D6C8C"/>
    <w:rsid w:val="007F3402"/>
    <w:rsid w:val="007F5816"/>
    <w:rsid w:val="008018C1"/>
    <w:rsid w:val="00802466"/>
    <w:rsid w:val="00831182"/>
    <w:rsid w:val="00831972"/>
    <w:rsid w:val="00833CA3"/>
    <w:rsid w:val="00833CA6"/>
    <w:rsid w:val="0084577B"/>
    <w:rsid w:val="0084743C"/>
    <w:rsid w:val="008526E2"/>
    <w:rsid w:val="0087053F"/>
    <w:rsid w:val="008734A4"/>
    <w:rsid w:val="00883CAC"/>
    <w:rsid w:val="0088469D"/>
    <w:rsid w:val="008847EA"/>
    <w:rsid w:val="00891171"/>
    <w:rsid w:val="0089125E"/>
    <w:rsid w:val="00895574"/>
    <w:rsid w:val="008A1896"/>
    <w:rsid w:val="008A2A54"/>
    <w:rsid w:val="008A58FE"/>
    <w:rsid w:val="008A6BDB"/>
    <w:rsid w:val="008B51F7"/>
    <w:rsid w:val="008D51BA"/>
    <w:rsid w:val="008E4CE9"/>
    <w:rsid w:val="009007F1"/>
    <w:rsid w:val="00900920"/>
    <w:rsid w:val="009014E3"/>
    <w:rsid w:val="00903EB1"/>
    <w:rsid w:val="00904DB0"/>
    <w:rsid w:val="0091138A"/>
    <w:rsid w:val="009225F6"/>
    <w:rsid w:val="00934BF4"/>
    <w:rsid w:val="00943A3B"/>
    <w:rsid w:val="009451C6"/>
    <w:rsid w:val="009460D5"/>
    <w:rsid w:val="00946812"/>
    <w:rsid w:val="00952AAF"/>
    <w:rsid w:val="00956249"/>
    <w:rsid w:val="009569DF"/>
    <w:rsid w:val="009613BD"/>
    <w:rsid w:val="009720E8"/>
    <w:rsid w:val="00973947"/>
    <w:rsid w:val="00973F63"/>
    <w:rsid w:val="00980B1C"/>
    <w:rsid w:val="00986F53"/>
    <w:rsid w:val="009955E3"/>
    <w:rsid w:val="00996A13"/>
    <w:rsid w:val="009A01CA"/>
    <w:rsid w:val="009A222C"/>
    <w:rsid w:val="009A385F"/>
    <w:rsid w:val="009A5F44"/>
    <w:rsid w:val="009B42C4"/>
    <w:rsid w:val="009C5DE4"/>
    <w:rsid w:val="009E039D"/>
    <w:rsid w:val="009E3ED7"/>
    <w:rsid w:val="009E5E11"/>
    <w:rsid w:val="009F026A"/>
    <w:rsid w:val="009F05AD"/>
    <w:rsid w:val="009F6F5E"/>
    <w:rsid w:val="00A22732"/>
    <w:rsid w:val="00A22B39"/>
    <w:rsid w:val="00A24E42"/>
    <w:rsid w:val="00A33870"/>
    <w:rsid w:val="00A45785"/>
    <w:rsid w:val="00A46B23"/>
    <w:rsid w:val="00A50C3C"/>
    <w:rsid w:val="00A51877"/>
    <w:rsid w:val="00A5467C"/>
    <w:rsid w:val="00A6641A"/>
    <w:rsid w:val="00A73E6C"/>
    <w:rsid w:val="00A75765"/>
    <w:rsid w:val="00A80366"/>
    <w:rsid w:val="00AA3FEB"/>
    <w:rsid w:val="00AA4B1D"/>
    <w:rsid w:val="00AA4E43"/>
    <w:rsid w:val="00AB190D"/>
    <w:rsid w:val="00AC78D9"/>
    <w:rsid w:val="00AD3B30"/>
    <w:rsid w:val="00AD6070"/>
    <w:rsid w:val="00AE2F63"/>
    <w:rsid w:val="00AE57CD"/>
    <w:rsid w:val="00AF06EB"/>
    <w:rsid w:val="00AF6981"/>
    <w:rsid w:val="00B017E1"/>
    <w:rsid w:val="00B01C64"/>
    <w:rsid w:val="00B04BB9"/>
    <w:rsid w:val="00B05E7A"/>
    <w:rsid w:val="00B108A1"/>
    <w:rsid w:val="00B12E78"/>
    <w:rsid w:val="00B1468A"/>
    <w:rsid w:val="00B35523"/>
    <w:rsid w:val="00B40176"/>
    <w:rsid w:val="00B41427"/>
    <w:rsid w:val="00B436F6"/>
    <w:rsid w:val="00B451D6"/>
    <w:rsid w:val="00B511A0"/>
    <w:rsid w:val="00B5435C"/>
    <w:rsid w:val="00B62AEB"/>
    <w:rsid w:val="00B62B30"/>
    <w:rsid w:val="00B71799"/>
    <w:rsid w:val="00B72B9F"/>
    <w:rsid w:val="00B745DE"/>
    <w:rsid w:val="00B74783"/>
    <w:rsid w:val="00B74E4A"/>
    <w:rsid w:val="00B77995"/>
    <w:rsid w:val="00B83448"/>
    <w:rsid w:val="00B95CBC"/>
    <w:rsid w:val="00BA0C8F"/>
    <w:rsid w:val="00BA2A59"/>
    <w:rsid w:val="00BC3E47"/>
    <w:rsid w:val="00BD0151"/>
    <w:rsid w:val="00BD2043"/>
    <w:rsid w:val="00BE3E03"/>
    <w:rsid w:val="00BE4730"/>
    <w:rsid w:val="00BE4909"/>
    <w:rsid w:val="00BF0160"/>
    <w:rsid w:val="00BF5649"/>
    <w:rsid w:val="00BF7BD9"/>
    <w:rsid w:val="00C00AB4"/>
    <w:rsid w:val="00C02496"/>
    <w:rsid w:val="00C06B92"/>
    <w:rsid w:val="00C1473B"/>
    <w:rsid w:val="00C22993"/>
    <w:rsid w:val="00C2495D"/>
    <w:rsid w:val="00C40F76"/>
    <w:rsid w:val="00C62058"/>
    <w:rsid w:val="00C732FB"/>
    <w:rsid w:val="00C73339"/>
    <w:rsid w:val="00C75D7E"/>
    <w:rsid w:val="00C77E06"/>
    <w:rsid w:val="00C82F80"/>
    <w:rsid w:val="00C92482"/>
    <w:rsid w:val="00C93B9E"/>
    <w:rsid w:val="00C94C8A"/>
    <w:rsid w:val="00CA0E40"/>
    <w:rsid w:val="00CB3C66"/>
    <w:rsid w:val="00CB3F30"/>
    <w:rsid w:val="00CB6796"/>
    <w:rsid w:val="00CC30BD"/>
    <w:rsid w:val="00D12B71"/>
    <w:rsid w:val="00D26319"/>
    <w:rsid w:val="00D31CB3"/>
    <w:rsid w:val="00D41C8F"/>
    <w:rsid w:val="00D47790"/>
    <w:rsid w:val="00D506F6"/>
    <w:rsid w:val="00D51401"/>
    <w:rsid w:val="00D54682"/>
    <w:rsid w:val="00D63178"/>
    <w:rsid w:val="00D65484"/>
    <w:rsid w:val="00D65AB1"/>
    <w:rsid w:val="00D66B48"/>
    <w:rsid w:val="00D66B5D"/>
    <w:rsid w:val="00D73082"/>
    <w:rsid w:val="00D747B9"/>
    <w:rsid w:val="00D8165E"/>
    <w:rsid w:val="00D828E0"/>
    <w:rsid w:val="00D8376C"/>
    <w:rsid w:val="00D90E5A"/>
    <w:rsid w:val="00D9451F"/>
    <w:rsid w:val="00DB6B29"/>
    <w:rsid w:val="00DC0436"/>
    <w:rsid w:val="00DC2995"/>
    <w:rsid w:val="00DC32CF"/>
    <w:rsid w:val="00DD4C72"/>
    <w:rsid w:val="00DE27AF"/>
    <w:rsid w:val="00DE47FB"/>
    <w:rsid w:val="00DF2705"/>
    <w:rsid w:val="00E012C9"/>
    <w:rsid w:val="00E06B92"/>
    <w:rsid w:val="00E1039A"/>
    <w:rsid w:val="00E112CB"/>
    <w:rsid w:val="00E134F1"/>
    <w:rsid w:val="00E40080"/>
    <w:rsid w:val="00E44EDC"/>
    <w:rsid w:val="00E4517B"/>
    <w:rsid w:val="00E4579E"/>
    <w:rsid w:val="00E45D9D"/>
    <w:rsid w:val="00E506C4"/>
    <w:rsid w:val="00E56BF5"/>
    <w:rsid w:val="00E62B8E"/>
    <w:rsid w:val="00E6791B"/>
    <w:rsid w:val="00E77EFB"/>
    <w:rsid w:val="00E8272D"/>
    <w:rsid w:val="00E87CA3"/>
    <w:rsid w:val="00E9029F"/>
    <w:rsid w:val="00E9379C"/>
    <w:rsid w:val="00E949FE"/>
    <w:rsid w:val="00E97BE1"/>
    <w:rsid w:val="00EB1B76"/>
    <w:rsid w:val="00EB3BFE"/>
    <w:rsid w:val="00EC796D"/>
    <w:rsid w:val="00ED2884"/>
    <w:rsid w:val="00EE0005"/>
    <w:rsid w:val="00EE0192"/>
    <w:rsid w:val="00EE01D4"/>
    <w:rsid w:val="00EE47F9"/>
    <w:rsid w:val="00EE62F6"/>
    <w:rsid w:val="00EF22E8"/>
    <w:rsid w:val="00EF4E4C"/>
    <w:rsid w:val="00EF60BF"/>
    <w:rsid w:val="00F104B6"/>
    <w:rsid w:val="00F104CC"/>
    <w:rsid w:val="00F10FCD"/>
    <w:rsid w:val="00F11338"/>
    <w:rsid w:val="00F12A6C"/>
    <w:rsid w:val="00F240D7"/>
    <w:rsid w:val="00F26138"/>
    <w:rsid w:val="00F36B29"/>
    <w:rsid w:val="00F6299F"/>
    <w:rsid w:val="00F629F7"/>
    <w:rsid w:val="00F665D1"/>
    <w:rsid w:val="00F7336B"/>
    <w:rsid w:val="00F75D68"/>
    <w:rsid w:val="00F9070C"/>
    <w:rsid w:val="00F92F9F"/>
    <w:rsid w:val="00F96865"/>
    <w:rsid w:val="00FA0920"/>
    <w:rsid w:val="00FA6F44"/>
    <w:rsid w:val="00FB1AB7"/>
    <w:rsid w:val="00FB5E9D"/>
    <w:rsid w:val="00FB7AAE"/>
    <w:rsid w:val="00FC58D3"/>
    <w:rsid w:val="00FD1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MS Mincho" w:hAnsi="Century" w:cs="Times New Roman"/>
        <w:lang w:val="en-US" w:eastAsia="zh-CN"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2BCF"/>
    <w:pPr>
      <w:widowControl w:val="0"/>
      <w:jc w:val="both"/>
    </w:pPr>
    <w:rPr>
      <w:kern w:val="2"/>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B2EF3"/>
    <w:pPr>
      <w:tabs>
        <w:tab w:val="center" w:pos="4252"/>
        <w:tab w:val="right" w:pos="8504"/>
      </w:tabs>
      <w:snapToGrid w:val="0"/>
    </w:pPr>
  </w:style>
  <w:style w:type="character" w:customStyle="1" w:styleId="HeaderChar">
    <w:name w:val="Header Char"/>
    <w:link w:val="Header"/>
    <w:uiPriority w:val="99"/>
    <w:locked/>
    <w:rsid w:val="002B2EF3"/>
    <w:rPr>
      <w:rFonts w:cs="Times New Roman"/>
    </w:rPr>
  </w:style>
  <w:style w:type="paragraph" w:styleId="Footer">
    <w:name w:val="footer"/>
    <w:basedOn w:val="Normal"/>
    <w:link w:val="FooterChar"/>
    <w:uiPriority w:val="99"/>
    <w:rsid w:val="002B2EF3"/>
    <w:pPr>
      <w:tabs>
        <w:tab w:val="center" w:pos="4252"/>
        <w:tab w:val="right" w:pos="8504"/>
      </w:tabs>
      <w:snapToGrid w:val="0"/>
    </w:pPr>
  </w:style>
  <w:style w:type="character" w:customStyle="1" w:styleId="FooterChar">
    <w:name w:val="Footer Char"/>
    <w:link w:val="Footer"/>
    <w:uiPriority w:val="99"/>
    <w:locked/>
    <w:rsid w:val="002B2EF3"/>
    <w:rPr>
      <w:rFonts w:cs="Times New Roman"/>
    </w:rPr>
  </w:style>
  <w:style w:type="character" w:customStyle="1" w:styleId="px13b">
    <w:name w:val="px13b"/>
    <w:uiPriority w:val="99"/>
    <w:rsid w:val="00AF6981"/>
    <w:rPr>
      <w:rFonts w:cs="Times New Roman"/>
    </w:rPr>
  </w:style>
  <w:style w:type="character" w:customStyle="1" w:styleId="px15b">
    <w:name w:val="px15b"/>
    <w:uiPriority w:val="99"/>
    <w:rsid w:val="00AF6981"/>
    <w:rPr>
      <w:rFonts w:cs="Times New Roman"/>
    </w:rPr>
  </w:style>
  <w:style w:type="character" w:customStyle="1" w:styleId="px12">
    <w:name w:val="px12"/>
    <w:uiPriority w:val="99"/>
    <w:rsid w:val="00AF6981"/>
    <w:rPr>
      <w:rFonts w:cs="Times New Roman"/>
    </w:rPr>
  </w:style>
  <w:style w:type="character" w:styleId="Hyperlink">
    <w:name w:val="Hyperlink"/>
    <w:uiPriority w:val="99"/>
    <w:rsid w:val="00AF6981"/>
    <w:rPr>
      <w:rFonts w:cs="Times New Roman"/>
      <w:color w:val="0000FF"/>
      <w:u w:val="single"/>
    </w:rPr>
  </w:style>
  <w:style w:type="paragraph" w:styleId="BalloonText">
    <w:name w:val="Balloon Text"/>
    <w:basedOn w:val="Normal"/>
    <w:link w:val="BalloonTextChar"/>
    <w:uiPriority w:val="99"/>
    <w:semiHidden/>
    <w:rsid w:val="00AF6981"/>
    <w:rPr>
      <w:rFonts w:ascii="Arial" w:eastAsia="MS Gothic" w:hAnsi="Arial"/>
      <w:sz w:val="18"/>
      <w:szCs w:val="18"/>
    </w:rPr>
  </w:style>
  <w:style w:type="character" w:customStyle="1" w:styleId="BalloonTextChar">
    <w:name w:val="Balloon Text Char"/>
    <w:link w:val="BalloonText"/>
    <w:uiPriority w:val="99"/>
    <w:semiHidden/>
    <w:locked/>
    <w:rsid w:val="00AF6981"/>
    <w:rPr>
      <w:rFonts w:ascii="Arial" w:eastAsia="MS Gothic" w:hAnsi="Arial" w:cs="Times New Roman"/>
      <w:sz w:val="18"/>
      <w:szCs w:val="18"/>
    </w:rPr>
  </w:style>
  <w:style w:type="paragraph" w:styleId="HTMLPreformatted">
    <w:name w:val="HTML Preformatted"/>
    <w:basedOn w:val="Normal"/>
    <w:link w:val="HTMLPreformattedChar"/>
    <w:uiPriority w:val="99"/>
    <w:semiHidden/>
    <w:rsid w:val="0079759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MS Gothic" w:eastAsia="MS Gothic" w:hAnsi="MS Gothic" w:cs="MS Gothic"/>
      <w:color w:val="000000"/>
      <w:kern w:val="0"/>
      <w:sz w:val="24"/>
      <w:szCs w:val="24"/>
    </w:rPr>
  </w:style>
  <w:style w:type="character" w:customStyle="1" w:styleId="HTMLPreformattedChar">
    <w:name w:val="HTML Preformatted Char"/>
    <w:link w:val="HTMLPreformatted"/>
    <w:uiPriority w:val="99"/>
    <w:semiHidden/>
    <w:locked/>
    <w:rsid w:val="0079759F"/>
    <w:rPr>
      <w:rFonts w:ascii="MS Gothic" w:eastAsia="MS Gothic" w:hAnsi="MS Gothic" w:cs="MS Gothic"/>
      <w:color w:val="000000"/>
      <w:kern w:val="0"/>
      <w:sz w:val="24"/>
      <w:szCs w:val="24"/>
    </w:rPr>
  </w:style>
  <w:style w:type="character" w:styleId="CommentReference">
    <w:name w:val="annotation reference"/>
    <w:uiPriority w:val="99"/>
    <w:semiHidden/>
    <w:rsid w:val="00F104CC"/>
    <w:rPr>
      <w:rFonts w:cs="Times New Roman"/>
      <w:sz w:val="16"/>
      <w:szCs w:val="16"/>
    </w:rPr>
  </w:style>
  <w:style w:type="paragraph" w:styleId="CommentText">
    <w:name w:val="annotation text"/>
    <w:basedOn w:val="Normal"/>
    <w:link w:val="CommentTextChar"/>
    <w:uiPriority w:val="99"/>
    <w:semiHidden/>
    <w:rsid w:val="00532BCF"/>
    <w:pPr>
      <w:jc w:val="left"/>
    </w:pPr>
    <w:rPr>
      <w:rFonts w:ascii="Arial" w:hAnsi="Arial"/>
      <w:sz w:val="22"/>
      <w:szCs w:val="20"/>
    </w:rPr>
  </w:style>
  <w:style w:type="character" w:customStyle="1" w:styleId="CommentTextChar">
    <w:name w:val="Comment Text Char"/>
    <w:link w:val="CommentText"/>
    <w:uiPriority w:val="99"/>
    <w:semiHidden/>
    <w:locked/>
    <w:rsid w:val="00532BC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F104CC"/>
    <w:rPr>
      <w:b/>
      <w:bCs/>
    </w:rPr>
  </w:style>
  <w:style w:type="character" w:customStyle="1" w:styleId="CommentSubjectChar">
    <w:name w:val="Comment Subject Char"/>
    <w:link w:val="CommentSubject"/>
    <w:uiPriority w:val="99"/>
    <w:semiHidden/>
    <w:locked/>
    <w:rsid w:val="00F104CC"/>
    <w:rPr>
      <w:rFonts w:ascii="Arial" w:hAnsi="Arial" w:cs="Times New Roman"/>
      <w:b/>
      <w:bCs/>
      <w:sz w:val="20"/>
      <w:szCs w:val="20"/>
    </w:rPr>
  </w:style>
  <w:style w:type="paragraph" w:styleId="Revision">
    <w:name w:val="Revision"/>
    <w:hidden/>
    <w:uiPriority w:val="99"/>
    <w:semiHidden/>
    <w:rsid w:val="006C5482"/>
    <w:rPr>
      <w:kern w:val="2"/>
      <w:sz w:val="21"/>
      <w:szCs w:val="21"/>
      <w:lang w:eastAsia="ja-JP"/>
    </w:rPr>
  </w:style>
  <w:style w:type="character" w:styleId="LineNumber">
    <w:name w:val="line number"/>
    <w:uiPriority w:val="99"/>
    <w:semiHidden/>
    <w:rsid w:val="007063CD"/>
    <w:rPr>
      <w:rFonts w:cs="Times New Roman"/>
    </w:rPr>
  </w:style>
  <w:style w:type="paragraph" w:styleId="ListParagraph">
    <w:name w:val="List Paragraph"/>
    <w:basedOn w:val="Normal"/>
    <w:uiPriority w:val="99"/>
    <w:qFormat/>
    <w:rsid w:val="00F12A6C"/>
    <w:pPr>
      <w:ind w:left="851"/>
    </w:pPr>
  </w:style>
  <w:style w:type="paragraph" w:customStyle="1" w:styleId="CharChar2">
    <w:name w:val="Char Char2"/>
    <w:basedOn w:val="Normal"/>
    <w:autoRedefine/>
    <w:uiPriority w:val="99"/>
    <w:rsid w:val="00443D22"/>
    <w:pPr>
      <w:tabs>
        <w:tab w:val="num" w:pos="360"/>
      </w:tabs>
      <w:ind w:left="360" w:hangingChars="200" w:hanging="360"/>
    </w:pPr>
    <w:rPr>
      <w:rFonts w:ascii="Times New Roman" w:hAnsi="Times New Roman"/>
      <w:sz w:val="24"/>
      <w:szCs w:val="24"/>
      <w:lang w:eastAsia="zh-CN"/>
    </w:rPr>
  </w:style>
  <w:style w:type="character" w:customStyle="1" w:styleId="CharChar1">
    <w:name w:val="Char Char1"/>
    <w:uiPriority w:val="99"/>
    <w:semiHidden/>
    <w:rsid w:val="00A45785"/>
    <w:rPr>
      <w:rFonts w:ascii="Calibri" w:hAnsi="Calibri"/>
      <w:sz w:val="22"/>
      <w:lang w:val="en-US" w:eastAsia="ar-SA" w:bidi="ar-SA"/>
    </w:rPr>
  </w:style>
  <w:style w:type="paragraph" w:customStyle="1" w:styleId="CharChar21">
    <w:name w:val="Char Char21"/>
    <w:basedOn w:val="Normal"/>
    <w:autoRedefine/>
    <w:uiPriority w:val="99"/>
    <w:rsid w:val="00A45785"/>
    <w:pPr>
      <w:tabs>
        <w:tab w:val="num" w:pos="360"/>
      </w:tabs>
      <w:ind w:left="360" w:hangingChars="200" w:hanging="360"/>
    </w:pPr>
    <w:rPr>
      <w:rFonts w:ascii="Times New Roman" w:hAnsi="Times New Roman"/>
      <w:sz w:val="24"/>
      <w:szCs w:val="24"/>
      <w:lang w:eastAsia="zh-CN"/>
    </w:rPr>
  </w:style>
  <w:style w:type="character" w:customStyle="1" w:styleId="apple-converted-space">
    <w:name w:val="apple-converted-space"/>
    <w:uiPriority w:val="99"/>
    <w:rsid w:val="00A45785"/>
    <w:rPr>
      <w:rFonts w:cs="Times New Roman"/>
    </w:rPr>
  </w:style>
  <w:style w:type="paragraph" w:styleId="NormalWeb">
    <w:name w:val="Normal (Web)"/>
    <w:basedOn w:val="Normal"/>
    <w:uiPriority w:val="99"/>
    <w:rsid w:val="00B62B30"/>
    <w:pPr>
      <w:widowControl/>
      <w:spacing w:before="100" w:beforeAutospacing="1" w:after="100" w:afterAutospacing="1"/>
      <w:jc w:val="left"/>
    </w:pPr>
    <w:rPr>
      <w:rFonts w:ascii="Times" w:hAnsi="Times"/>
      <w:kern w:val="0"/>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MS Mincho" w:hAnsi="Century" w:cs="Times New Roman"/>
        <w:lang w:val="en-US" w:eastAsia="zh-CN"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2BCF"/>
    <w:pPr>
      <w:widowControl w:val="0"/>
      <w:jc w:val="both"/>
    </w:pPr>
    <w:rPr>
      <w:kern w:val="2"/>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B2EF3"/>
    <w:pPr>
      <w:tabs>
        <w:tab w:val="center" w:pos="4252"/>
        <w:tab w:val="right" w:pos="8504"/>
      </w:tabs>
      <w:snapToGrid w:val="0"/>
    </w:pPr>
  </w:style>
  <w:style w:type="character" w:customStyle="1" w:styleId="HeaderChar">
    <w:name w:val="Header Char"/>
    <w:link w:val="Header"/>
    <w:uiPriority w:val="99"/>
    <w:locked/>
    <w:rsid w:val="002B2EF3"/>
    <w:rPr>
      <w:rFonts w:cs="Times New Roman"/>
    </w:rPr>
  </w:style>
  <w:style w:type="paragraph" w:styleId="Footer">
    <w:name w:val="footer"/>
    <w:basedOn w:val="Normal"/>
    <w:link w:val="FooterChar"/>
    <w:uiPriority w:val="99"/>
    <w:rsid w:val="002B2EF3"/>
    <w:pPr>
      <w:tabs>
        <w:tab w:val="center" w:pos="4252"/>
        <w:tab w:val="right" w:pos="8504"/>
      </w:tabs>
      <w:snapToGrid w:val="0"/>
    </w:pPr>
  </w:style>
  <w:style w:type="character" w:customStyle="1" w:styleId="FooterChar">
    <w:name w:val="Footer Char"/>
    <w:link w:val="Footer"/>
    <w:uiPriority w:val="99"/>
    <w:locked/>
    <w:rsid w:val="002B2EF3"/>
    <w:rPr>
      <w:rFonts w:cs="Times New Roman"/>
    </w:rPr>
  </w:style>
  <w:style w:type="character" w:customStyle="1" w:styleId="px13b">
    <w:name w:val="px13b"/>
    <w:uiPriority w:val="99"/>
    <w:rsid w:val="00AF6981"/>
    <w:rPr>
      <w:rFonts w:cs="Times New Roman"/>
    </w:rPr>
  </w:style>
  <w:style w:type="character" w:customStyle="1" w:styleId="px15b">
    <w:name w:val="px15b"/>
    <w:uiPriority w:val="99"/>
    <w:rsid w:val="00AF6981"/>
    <w:rPr>
      <w:rFonts w:cs="Times New Roman"/>
    </w:rPr>
  </w:style>
  <w:style w:type="character" w:customStyle="1" w:styleId="px12">
    <w:name w:val="px12"/>
    <w:uiPriority w:val="99"/>
    <w:rsid w:val="00AF6981"/>
    <w:rPr>
      <w:rFonts w:cs="Times New Roman"/>
    </w:rPr>
  </w:style>
  <w:style w:type="character" w:styleId="Hyperlink">
    <w:name w:val="Hyperlink"/>
    <w:uiPriority w:val="99"/>
    <w:rsid w:val="00AF6981"/>
    <w:rPr>
      <w:rFonts w:cs="Times New Roman"/>
      <w:color w:val="0000FF"/>
      <w:u w:val="single"/>
    </w:rPr>
  </w:style>
  <w:style w:type="paragraph" w:styleId="BalloonText">
    <w:name w:val="Balloon Text"/>
    <w:basedOn w:val="Normal"/>
    <w:link w:val="BalloonTextChar"/>
    <w:uiPriority w:val="99"/>
    <w:semiHidden/>
    <w:rsid w:val="00AF6981"/>
    <w:rPr>
      <w:rFonts w:ascii="Arial" w:eastAsia="MS Gothic" w:hAnsi="Arial"/>
      <w:sz w:val="18"/>
      <w:szCs w:val="18"/>
    </w:rPr>
  </w:style>
  <w:style w:type="character" w:customStyle="1" w:styleId="BalloonTextChar">
    <w:name w:val="Balloon Text Char"/>
    <w:link w:val="BalloonText"/>
    <w:uiPriority w:val="99"/>
    <w:semiHidden/>
    <w:locked/>
    <w:rsid w:val="00AF6981"/>
    <w:rPr>
      <w:rFonts w:ascii="Arial" w:eastAsia="MS Gothic" w:hAnsi="Arial" w:cs="Times New Roman"/>
      <w:sz w:val="18"/>
      <w:szCs w:val="18"/>
    </w:rPr>
  </w:style>
  <w:style w:type="paragraph" w:styleId="HTMLPreformatted">
    <w:name w:val="HTML Preformatted"/>
    <w:basedOn w:val="Normal"/>
    <w:link w:val="HTMLPreformattedChar"/>
    <w:uiPriority w:val="99"/>
    <w:semiHidden/>
    <w:rsid w:val="0079759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MS Gothic" w:eastAsia="MS Gothic" w:hAnsi="MS Gothic" w:cs="MS Gothic"/>
      <w:color w:val="000000"/>
      <w:kern w:val="0"/>
      <w:sz w:val="24"/>
      <w:szCs w:val="24"/>
    </w:rPr>
  </w:style>
  <w:style w:type="character" w:customStyle="1" w:styleId="HTMLPreformattedChar">
    <w:name w:val="HTML Preformatted Char"/>
    <w:link w:val="HTMLPreformatted"/>
    <w:uiPriority w:val="99"/>
    <w:semiHidden/>
    <w:locked/>
    <w:rsid w:val="0079759F"/>
    <w:rPr>
      <w:rFonts w:ascii="MS Gothic" w:eastAsia="MS Gothic" w:hAnsi="MS Gothic" w:cs="MS Gothic"/>
      <w:color w:val="000000"/>
      <w:kern w:val="0"/>
      <w:sz w:val="24"/>
      <w:szCs w:val="24"/>
    </w:rPr>
  </w:style>
  <w:style w:type="character" w:styleId="CommentReference">
    <w:name w:val="annotation reference"/>
    <w:uiPriority w:val="99"/>
    <w:semiHidden/>
    <w:rsid w:val="00F104CC"/>
    <w:rPr>
      <w:rFonts w:cs="Times New Roman"/>
      <w:sz w:val="16"/>
      <w:szCs w:val="16"/>
    </w:rPr>
  </w:style>
  <w:style w:type="paragraph" w:styleId="CommentText">
    <w:name w:val="annotation text"/>
    <w:basedOn w:val="Normal"/>
    <w:link w:val="CommentTextChar"/>
    <w:uiPriority w:val="99"/>
    <w:semiHidden/>
    <w:rsid w:val="00532BCF"/>
    <w:pPr>
      <w:jc w:val="left"/>
    </w:pPr>
    <w:rPr>
      <w:rFonts w:ascii="Arial" w:hAnsi="Arial"/>
      <w:sz w:val="22"/>
      <w:szCs w:val="20"/>
    </w:rPr>
  </w:style>
  <w:style w:type="character" w:customStyle="1" w:styleId="CommentTextChar">
    <w:name w:val="Comment Text Char"/>
    <w:link w:val="CommentText"/>
    <w:uiPriority w:val="99"/>
    <w:semiHidden/>
    <w:locked/>
    <w:rsid w:val="00532BC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F104CC"/>
    <w:rPr>
      <w:b/>
      <w:bCs/>
    </w:rPr>
  </w:style>
  <w:style w:type="character" w:customStyle="1" w:styleId="CommentSubjectChar">
    <w:name w:val="Comment Subject Char"/>
    <w:link w:val="CommentSubject"/>
    <w:uiPriority w:val="99"/>
    <w:semiHidden/>
    <w:locked/>
    <w:rsid w:val="00F104CC"/>
    <w:rPr>
      <w:rFonts w:ascii="Arial" w:hAnsi="Arial" w:cs="Times New Roman"/>
      <w:b/>
      <w:bCs/>
      <w:sz w:val="20"/>
      <w:szCs w:val="20"/>
    </w:rPr>
  </w:style>
  <w:style w:type="paragraph" w:styleId="Revision">
    <w:name w:val="Revision"/>
    <w:hidden/>
    <w:uiPriority w:val="99"/>
    <w:semiHidden/>
    <w:rsid w:val="006C5482"/>
    <w:rPr>
      <w:kern w:val="2"/>
      <w:sz w:val="21"/>
      <w:szCs w:val="21"/>
      <w:lang w:eastAsia="ja-JP"/>
    </w:rPr>
  </w:style>
  <w:style w:type="character" w:styleId="LineNumber">
    <w:name w:val="line number"/>
    <w:uiPriority w:val="99"/>
    <w:semiHidden/>
    <w:rsid w:val="007063CD"/>
    <w:rPr>
      <w:rFonts w:cs="Times New Roman"/>
    </w:rPr>
  </w:style>
  <w:style w:type="paragraph" w:styleId="ListParagraph">
    <w:name w:val="List Paragraph"/>
    <w:basedOn w:val="Normal"/>
    <w:uiPriority w:val="99"/>
    <w:qFormat/>
    <w:rsid w:val="00F12A6C"/>
    <w:pPr>
      <w:ind w:left="851"/>
    </w:pPr>
  </w:style>
  <w:style w:type="paragraph" w:customStyle="1" w:styleId="CharChar2">
    <w:name w:val="Char Char2"/>
    <w:basedOn w:val="Normal"/>
    <w:autoRedefine/>
    <w:uiPriority w:val="99"/>
    <w:rsid w:val="00443D22"/>
    <w:pPr>
      <w:tabs>
        <w:tab w:val="num" w:pos="360"/>
      </w:tabs>
      <w:ind w:left="360" w:hangingChars="200" w:hanging="360"/>
    </w:pPr>
    <w:rPr>
      <w:rFonts w:ascii="Times New Roman" w:hAnsi="Times New Roman"/>
      <w:sz w:val="24"/>
      <w:szCs w:val="24"/>
      <w:lang w:eastAsia="zh-CN"/>
    </w:rPr>
  </w:style>
  <w:style w:type="character" w:customStyle="1" w:styleId="CharChar1">
    <w:name w:val="Char Char1"/>
    <w:uiPriority w:val="99"/>
    <w:semiHidden/>
    <w:rsid w:val="00A45785"/>
    <w:rPr>
      <w:rFonts w:ascii="Calibri" w:hAnsi="Calibri"/>
      <w:sz w:val="22"/>
      <w:lang w:val="en-US" w:eastAsia="ar-SA" w:bidi="ar-SA"/>
    </w:rPr>
  </w:style>
  <w:style w:type="paragraph" w:customStyle="1" w:styleId="CharChar21">
    <w:name w:val="Char Char21"/>
    <w:basedOn w:val="Normal"/>
    <w:autoRedefine/>
    <w:uiPriority w:val="99"/>
    <w:rsid w:val="00A45785"/>
    <w:pPr>
      <w:tabs>
        <w:tab w:val="num" w:pos="360"/>
      </w:tabs>
      <w:ind w:left="360" w:hangingChars="200" w:hanging="360"/>
    </w:pPr>
    <w:rPr>
      <w:rFonts w:ascii="Times New Roman" w:hAnsi="Times New Roman"/>
      <w:sz w:val="24"/>
      <w:szCs w:val="24"/>
      <w:lang w:eastAsia="zh-CN"/>
    </w:rPr>
  </w:style>
  <w:style w:type="character" w:customStyle="1" w:styleId="apple-converted-space">
    <w:name w:val="apple-converted-space"/>
    <w:uiPriority w:val="99"/>
    <w:rsid w:val="00A45785"/>
    <w:rPr>
      <w:rFonts w:cs="Times New Roman"/>
    </w:rPr>
  </w:style>
  <w:style w:type="paragraph" w:styleId="NormalWeb">
    <w:name w:val="Normal (Web)"/>
    <w:basedOn w:val="Normal"/>
    <w:uiPriority w:val="99"/>
    <w:rsid w:val="00B62B30"/>
    <w:pPr>
      <w:widowControl/>
      <w:spacing w:before="100" w:beforeAutospacing="1" w:after="100" w:afterAutospacing="1"/>
      <w:jc w:val="left"/>
    </w:pPr>
    <w:rPr>
      <w:rFonts w:ascii="Times" w:hAnsi="Times"/>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1677814">
      <w:marLeft w:val="0"/>
      <w:marRight w:val="0"/>
      <w:marTop w:val="0"/>
      <w:marBottom w:val="0"/>
      <w:divBdr>
        <w:top w:val="none" w:sz="0" w:space="0" w:color="auto"/>
        <w:left w:val="none" w:sz="0" w:space="0" w:color="auto"/>
        <w:bottom w:val="none" w:sz="0" w:space="0" w:color="auto"/>
        <w:right w:val="none" w:sz="0" w:space="0" w:color="auto"/>
      </w:divBdr>
    </w:div>
    <w:div w:id="1761677815">
      <w:marLeft w:val="0"/>
      <w:marRight w:val="0"/>
      <w:marTop w:val="0"/>
      <w:marBottom w:val="0"/>
      <w:divBdr>
        <w:top w:val="none" w:sz="0" w:space="0" w:color="auto"/>
        <w:left w:val="none" w:sz="0" w:space="0" w:color="auto"/>
        <w:bottom w:val="none" w:sz="0" w:space="0" w:color="auto"/>
        <w:right w:val="none" w:sz="0" w:space="0" w:color="auto"/>
      </w:divBdr>
    </w:div>
    <w:div w:id="1761677816">
      <w:marLeft w:val="0"/>
      <w:marRight w:val="0"/>
      <w:marTop w:val="0"/>
      <w:marBottom w:val="0"/>
      <w:divBdr>
        <w:top w:val="none" w:sz="0" w:space="0" w:color="auto"/>
        <w:left w:val="none" w:sz="0" w:space="0" w:color="auto"/>
        <w:bottom w:val="none" w:sz="0" w:space="0" w:color="auto"/>
        <w:right w:val="none" w:sz="0" w:space="0" w:color="auto"/>
      </w:divBdr>
    </w:div>
    <w:div w:id="1761677817">
      <w:marLeft w:val="0"/>
      <w:marRight w:val="0"/>
      <w:marTop w:val="0"/>
      <w:marBottom w:val="0"/>
      <w:divBdr>
        <w:top w:val="none" w:sz="0" w:space="0" w:color="auto"/>
        <w:left w:val="none" w:sz="0" w:space="0" w:color="auto"/>
        <w:bottom w:val="none" w:sz="0" w:space="0" w:color="auto"/>
        <w:right w:val="none" w:sz="0" w:space="0" w:color="auto"/>
      </w:divBdr>
    </w:div>
    <w:div w:id="1761677818">
      <w:marLeft w:val="0"/>
      <w:marRight w:val="0"/>
      <w:marTop w:val="0"/>
      <w:marBottom w:val="0"/>
      <w:divBdr>
        <w:top w:val="none" w:sz="0" w:space="0" w:color="auto"/>
        <w:left w:val="none" w:sz="0" w:space="0" w:color="auto"/>
        <w:bottom w:val="none" w:sz="0" w:space="0" w:color="auto"/>
        <w:right w:val="none" w:sz="0" w:space="0" w:color="auto"/>
      </w:divBdr>
    </w:div>
    <w:div w:id="1761677822">
      <w:marLeft w:val="0"/>
      <w:marRight w:val="0"/>
      <w:marTop w:val="0"/>
      <w:marBottom w:val="0"/>
      <w:divBdr>
        <w:top w:val="none" w:sz="0" w:space="0" w:color="auto"/>
        <w:left w:val="none" w:sz="0" w:space="0" w:color="auto"/>
        <w:bottom w:val="none" w:sz="0" w:space="0" w:color="auto"/>
        <w:right w:val="none" w:sz="0" w:space="0" w:color="auto"/>
      </w:divBdr>
      <w:divsChild>
        <w:div w:id="1761677820">
          <w:marLeft w:val="0"/>
          <w:marRight w:val="0"/>
          <w:marTop w:val="0"/>
          <w:marBottom w:val="0"/>
          <w:divBdr>
            <w:top w:val="none" w:sz="0" w:space="0" w:color="auto"/>
            <w:left w:val="none" w:sz="0" w:space="0" w:color="auto"/>
            <w:bottom w:val="none" w:sz="0" w:space="0" w:color="auto"/>
            <w:right w:val="none" w:sz="0" w:space="0" w:color="auto"/>
          </w:divBdr>
          <w:divsChild>
            <w:div w:id="1761677821">
              <w:marLeft w:val="0"/>
              <w:marRight w:val="0"/>
              <w:marTop w:val="0"/>
              <w:marBottom w:val="0"/>
              <w:divBdr>
                <w:top w:val="none" w:sz="0" w:space="0" w:color="auto"/>
                <w:left w:val="none" w:sz="0" w:space="0" w:color="auto"/>
                <w:bottom w:val="none" w:sz="0" w:space="0" w:color="auto"/>
                <w:right w:val="none" w:sz="0" w:space="0" w:color="auto"/>
              </w:divBdr>
              <w:divsChild>
                <w:div w:id="176167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3861</Words>
  <Characters>22013</Characters>
  <Application>Microsoft Macintosh Word</Application>
  <DocSecurity>0</DocSecurity>
  <Lines>183</Lines>
  <Paragraphs>51</Paragraphs>
  <ScaleCrop>false</ScaleCrop>
  <Company>Toshiba</Company>
  <LinksUpToDate>false</LinksUpToDate>
  <CharactersWithSpaces>25823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anonymous</dc:creator>
  <cp:keywords/>
  <dc:description/>
  <cp:lastModifiedBy>NA MA</cp:lastModifiedBy>
  <cp:revision>2</cp:revision>
  <cp:lastPrinted>2014-09-09T18:17:00Z</cp:lastPrinted>
  <dcterms:created xsi:type="dcterms:W3CDTF">2015-03-16T22:36:00Z</dcterms:created>
  <dcterms:modified xsi:type="dcterms:W3CDTF">2015-03-16T22:36:00Z</dcterms:modified>
</cp:coreProperties>
</file>