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8A" w:rsidRPr="00742006" w:rsidRDefault="00601C8A" w:rsidP="006D37F8">
      <w:pPr>
        <w:spacing w:after="0" w:line="360" w:lineRule="auto"/>
        <w:jc w:val="both"/>
        <w:rPr>
          <w:rFonts w:ascii="Book Antiqua" w:hAnsi="Book Antiqua"/>
          <w:b/>
          <w:kern w:val="36"/>
          <w:sz w:val="24"/>
          <w:szCs w:val="24"/>
        </w:rPr>
      </w:pPr>
      <w:bookmarkStart w:id="0" w:name="OLE_LINK313"/>
      <w:bookmarkStart w:id="1" w:name="OLE_LINK319"/>
      <w:bookmarkStart w:id="2" w:name="OLE_LINK320"/>
      <w:bookmarkStart w:id="3" w:name="OLE_LINK355"/>
      <w:r w:rsidRPr="00742006">
        <w:rPr>
          <w:rFonts w:ascii="Book Antiqua" w:hAnsi="Book Antiqua"/>
          <w:b/>
          <w:kern w:val="36"/>
          <w:sz w:val="24"/>
          <w:szCs w:val="24"/>
        </w:rPr>
        <w:t xml:space="preserve">Name of journal: World Journal of </w:t>
      </w:r>
      <w:r w:rsidR="00742006" w:rsidRPr="00742006">
        <w:rPr>
          <w:rFonts w:ascii="Book Antiqua" w:hAnsi="Book Antiqua"/>
          <w:b/>
          <w:kern w:val="36"/>
          <w:sz w:val="24"/>
          <w:szCs w:val="24"/>
        </w:rPr>
        <w:t>Clinical Cases</w:t>
      </w:r>
    </w:p>
    <w:p w:rsidR="00601C8A" w:rsidRPr="00742006" w:rsidRDefault="00601C8A" w:rsidP="006D37F8">
      <w:pPr>
        <w:spacing w:after="0" w:line="360" w:lineRule="auto"/>
        <w:jc w:val="both"/>
        <w:rPr>
          <w:rFonts w:ascii="Book Antiqua" w:hAnsi="Book Antiqua"/>
          <w:b/>
          <w:kern w:val="36"/>
          <w:sz w:val="24"/>
          <w:szCs w:val="24"/>
        </w:rPr>
      </w:pPr>
      <w:r w:rsidRPr="00742006">
        <w:rPr>
          <w:rFonts w:ascii="Book Antiqua" w:hAnsi="Book Antiqua"/>
          <w:b/>
          <w:kern w:val="36"/>
          <w:sz w:val="24"/>
          <w:szCs w:val="24"/>
        </w:rPr>
        <w:t xml:space="preserve">ESPS Manuscript NO: </w:t>
      </w:r>
      <w:r w:rsidR="00742006" w:rsidRPr="00742006">
        <w:rPr>
          <w:rFonts w:ascii="Book Antiqua" w:hAnsi="Book Antiqua" w:hint="eastAsia"/>
          <w:b/>
          <w:kern w:val="36"/>
          <w:sz w:val="24"/>
          <w:szCs w:val="24"/>
        </w:rPr>
        <w:t>12819</w:t>
      </w:r>
    </w:p>
    <w:p w:rsidR="00601C8A" w:rsidRPr="00742006" w:rsidRDefault="00601C8A" w:rsidP="006D37F8">
      <w:pPr>
        <w:spacing w:after="0" w:line="360" w:lineRule="auto"/>
        <w:jc w:val="both"/>
        <w:rPr>
          <w:rFonts w:ascii="Book Antiqua" w:hAnsi="Book Antiqua"/>
          <w:b/>
          <w:kern w:val="36"/>
          <w:sz w:val="24"/>
          <w:szCs w:val="24"/>
        </w:rPr>
      </w:pPr>
      <w:r w:rsidRPr="00742006">
        <w:rPr>
          <w:rFonts w:ascii="Book Antiqua" w:hAnsi="Book Antiqua"/>
          <w:b/>
          <w:kern w:val="36"/>
          <w:sz w:val="24"/>
          <w:szCs w:val="24"/>
        </w:rPr>
        <w:t>Columns: RETROSPECTIVE STUDY</w:t>
      </w:r>
    </w:p>
    <w:p w:rsidR="00601C8A" w:rsidRPr="00D0668B" w:rsidRDefault="00601C8A" w:rsidP="006D37F8">
      <w:pPr>
        <w:spacing w:after="0" w:line="360" w:lineRule="auto"/>
        <w:jc w:val="both"/>
        <w:rPr>
          <w:rFonts w:ascii="Book Antiqua" w:hAnsi="Book Antiqua" w:cs="Tahoma"/>
          <w:b/>
          <w:color w:val="000000"/>
          <w:sz w:val="24"/>
          <w:szCs w:val="24"/>
          <w:lang w:eastAsia="zh-CN"/>
        </w:rPr>
      </w:pPr>
    </w:p>
    <w:bookmarkEnd w:id="0"/>
    <w:bookmarkEnd w:id="1"/>
    <w:bookmarkEnd w:id="2"/>
    <w:bookmarkEnd w:id="3"/>
    <w:p w:rsidR="00601C8A" w:rsidRDefault="00601C8A" w:rsidP="006D37F8">
      <w:pPr>
        <w:spacing w:after="0" w:line="360" w:lineRule="auto"/>
        <w:jc w:val="both"/>
        <w:rPr>
          <w:rFonts w:ascii="Book Antiqua" w:hAnsi="Book Antiqua"/>
          <w:b/>
          <w:kern w:val="36"/>
          <w:sz w:val="24"/>
          <w:szCs w:val="24"/>
          <w:lang w:eastAsia="zh-CN"/>
        </w:rPr>
      </w:pPr>
      <w:r w:rsidRPr="00D0668B">
        <w:rPr>
          <w:rFonts w:ascii="Book Antiqua" w:hAnsi="Book Antiqua"/>
          <w:b/>
          <w:kern w:val="36"/>
          <w:sz w:val="24"/>
          <w:szCs w:val="24"/>
        </w:rPr>
        <w:t>Upper esophageal sphincter abnormalities are strongly predictive of treatment response in patients with achalasia</w:t>
      </w:r>
    </w:p>
    <w:p w:rsidR="00601C8A" w:rsidRPr="00D0668B" w:rsidRDefault="00601C8A" w:rsidP="006D37F8">
      <w:pPr>
        <w:spacing w:after="0" w:line="360" w:lineRule="auto"/>
        <w:jc w:val="both"/>
        <w:rPr>
          <w:rFonts w:ascii="Book Antiqua" w:hAnsi="Book Antiqua"/>
          <w:b/>
          <w:kern w:val="36"/>
          <w:sz w:val="24"/>
          <w:szCs w:val="24"/>
          <w:lang w:eastAsia="zh-CN"/>
        </w:rPr>
      </w:pPr>
    </w:p>
    <w:p w:rsidR="00601C8A" w:rsidRPr="0066185B" w:rsidRDefault="00601C8A" w:rsidP="006D37F8">
      <w:pPr>
        <w:spacing w:after="0" w:line="360" w:lineRule="auto"/>
        <w:jc w:val="both"/>
        <w:rPr>
          <w:rFonts w:ascii="Book Antiqua" w:hAnsi="Book Antiqua" w:cs="Arial Unicode MS"/>
          <w:sz w:val="24"/>
          <w:szCs w:val="24"/>
          <w:lang w:eastAsia="zh-CN"/>
        </w:rPr>
      </w:pPr>
      <w:r w:rsidRPr="00D0668B">
        <w:rPr>
          <w:rFonts w:ascii="Book Antiqua" w:hAnsi="Book Antiqua"/>
          <w:kern w:val="36"/>
          <w:sz w:val="24"/>
          <w:szCs w:val="24"/>
        </w:rPr>
        <w:t>Mathews</w:t>
      </w:r>
      <w:r w:rsidRPr="00D0668B">
        <w:rPr>
          <w:rFonts w:ascii="Book Antiqua" w:hAnsi="Book Antiqua" w:cs="Arial Unicode MS"/>
          <w:b/>
          <w:sz w:val="24"/>
          <w:szCs w:val="24"/>
        </w:rPr>
        <w:t xml:space="preserve"> </w:t>
      </w:r>
      <w:r w:rsidRPr="0066185B">
        <w:rPr>
          <w:rFonts w:ascii="Book Antiqua" w:hAnsi="Book Antiqua" w:cs="Arial Unicode MS"/>
          <w:sz w:val="24"/>
          <w:szCs w:val="24"/>
          <w:lang w:eastAsia="zh-CN"/>
        </w:rPr>
        <w:t xml:space="preserve">SC </w:t>
      </w:r>
      <w:r w:rsidRPr="0066185B">
        <w:rPr>
          <w:rFonts w:ascii="Book Antiqua" w:hAnsi="Book Antiqua" w:cs="Arial Unicode MS"/>
          <w:i/>
          <w:sz w:val="24"/>
          <w:szCs w:val="24"/>
          <w:lang w:eastAsia="zh-CN"/>
        </w:rPr>
        <w:t>et al.</w:t>
      </w:r>
      <w:r w:rsidRPr="0066185B">
        <w:rPr>
          <w:rFonts w:ascii="Book Antiqua" w:hAnsi="Book Antiqua" w:cs="Arial Unicode MS"/>
          <w:sz w:val="24"/>
          <w:szCs w:val="24"/>
          <w:lang w:eastAsia="zh-CN"/>
        </w:rPr>
        <w:t xml:space="preserve"> </w:t>
      </w:r>
      <w:r w:rsidRPr="0066185B">
        <w:rPr>
          <w:rFonts w:ascii="Book Antiqua" w:hAnsi="Book Antiqua" w:cs="Arial Unicode MS"/>
          <w:sz w:val="24"/>
          <w:szCs w:val="24"/>
        </w:rPr>
        <w:t>UES abnormalities predict achalasia treatment response</w:t>
      </w:r>
    </w:p>
    <w:p w:rsidR="00601C8A" w:rsidRPr="00D0668B" w:rsidRDefault="00601C8A" w:rsidP="006D37F8">
      <w:pPr>
        <w:spacing w:after="0" w:line="360" w:lineRule="auto"/>
        <w:jc w:val="both"/>
        <w:rPr>
          <w:rFonts w:ascii="Book Antiqua" w:hAnsi="Book Antiqua" w:cs="Arial Unicode MS"/>
          <w:b/>
          <w:sz w:val="24"/>
          <w:szCs w:val="24"/>
          <w:lang w:eastAsia="zh-CN"/>
        </w:rPr>
      </w:pPr>
    </w:p>
    <w:p w:rsidR="00601C8A" w:rsidRDefault="00601C8A" w:rsidP="006D37F8">
      <w:pPr>
        <w:spacing w:after="0" w:line="360" w:lineRule="auto"/>
        <w:jc w:val="both"/>
        <w:rPr>
          <w:rFonts w:ascii="Book Antiqua" w:hAnsi="Book Antiqua"/>
          <w:kern w:val="36"/>
          <w:sz w:val="24"/>
          <w:szCs w:val="24"/>
          <w:lang w:eastAsia="zh-CN"/>
        </w:rPr>
      </w:pPr>
      <w:r>
        <w:rPr>
          <w:rFonts w:ascii="Book Antiqua" w:hAnsi="Book Antiqua"/>
          <w:kern w:val="36"/>
          <w:sz w:val="24"/>
          <w:szCs w:val="24"/>
        </w:rPr>
        <w:t>Simon C</w:t>
      </w:r>
      <w:r w:rsidRPr="00D0668B">
        <w:rPr>
          <w:rFonts w:ascii="Book Antiqua" w:hAnsi="Book Antiqua"/>
          <w:kern w:val="36"/>
          <w:sz w:val="24"/>
          <w:szCs w:val="24"/>
        </w:rPr>
        <w:t xml:space="preserve"> Mathews, Maria Ciarleglio, Yamile Haito Chavez, </w:t>
      </w:r>
      <w:r>
        <w:rPr>
          <w:rFonts w:ascii="Book Antiqua" w:hAnsi="Book Antiqua"/>
          <w:kern w:val="36"/>
          <w:sz w:val="24"/>
          <w:szCs w:val="24"/>
        </w:rPr>
        <w:t>John O</w:t>
      </w:r>
      <w:r w:rsidRPr="00D0668B">
        <w:rPr>
          <w:rFonts w:ascii="Book Antiqua" w:hAnsi="Book Antiqua"/>
          <w:kern w:val="36"/>
          <w:sz w:val="24"/>
          <w:szCs w:val="24"/>
        </w:rPr>
        <w:t xml:space="preserve"> Clarke, Ellen Stein, </w:t>
      </w:r>
      <w:r>
        <w:rPr>
          <w:rFonts w:ascii="Book Antiqua" w:hAnsi="Book Antiqua"/>
          <w:kern w:val="36"/>
          <w:sz w:val="24"/>
          <w:szCs w:val="24"/>
        </w:rPr>
        <w:t>Bani Chander Roland</w:t>
      </w:r>
    </w:p>
    <w:p w:rsidR="00601C8A" w:rsidRPr="00D0668B" w:rsidRDefault="004767CE" w:rsidP="006D37F8">
      <w:pPr>
        <w:spacing w:after="0" w:line="360" w:lineRule="auto"/>
        <w:jc w:val="both"/>
        <w:rPr>
          <w:rFonts w:ascii="Book Antiqua" w:hAnsi="Book Antiqua"/>
          <w:b/>
          <w:kern w:val="36"/>
          <w:sz w:val="24"/>
          <w:szCs w:val="24"/>
          <w:lang w:eastAsia="zh-CN"/>
        </w:rPr>
      </w:pPr>
      <w:r>
        <w:rPr>
          <w:noProof/>
          <w:lang w:eastAsia="zh-CN"/>
        </w:rPr>
        <w:pict>
          <v:line id="直接连接符 1" o:spid="_x0000_s1026" style="position:absolute;left:0;text-align:left;z-index:1;visibility:visible" from="0,7.85pt" to="474.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" strokecolor="gray" strokeweight="3pt"/>
        </w:pict>
      </w:r>
    </w:p>
    <w:p w:rsidR="00601C8A" w:rsidRDefault="00601C8A" w:rsidP="006D37F8">
      <w:pPr>
        <w:spacing w:after="0" w:line="360" w:lineRule="auto"/>
        <w:jc w:val="both"/>
        <w:rPr>
          <w:rFonts w:ascii="Book Antiqua" w:hAnsi="Book Antiqua"/>
          <w:kern w:val="36"/>
          <w:sz w:val="24"/>
          <w:szCs w:val="24"/>
          <w:lang w:eastAsia="zh-CN"/>
        </w:rPr>
      </w:pPr>
      <w:r w:rsidRPr="00D0668B">
        <w:rPr>
          <w:rFonts w:ascii="Book Antiqua" w:hAnsi="Book Antiqua"/>
          <w:b/>
          <w:kern w:val="36"/>
          <w:sz w:val="24"/>
          <w:szCs w:val="24"/>
        </w:rPr>
        <w:t>Simon C Mathews,</w:t>
      </w:r>
      <w:r>
        <w:rPr>
          <w:rFonts w:ascii="Book Antiqua" w:hAnsi="Book Antiqua"/>
          <w:kern w:val="36"/>
          <w:sz w:val="24"/>
          <w:szCs w:val="24"/>
          <w:lang w:eastAsia="zh-CN"/>
        </w:rPr>
        <w:t xml:space="preserve"> </w:t>
      </w:r>
      <w:r w:rsidRPr="00D0668B">
        <w:rPr>
          <w:rFonts w:ascii="Book Antiqua" w:hAnsi="Book Antiqua"/>
          <w:kern w:val="36"/>
          <w:sz w:val="24"/>
          <w:szCs w:val="24"/>
        </w:rPr>
        <w:t>Department of Medicine</w:t>
      </w:r>
      <w:r>
        <w:rPr>
          <w:rFonts w:ascii="Book Antiqua" w:hAnsi="Book Antiqua"/>
          <w:kern w:val="36"/>
          <w:sz w:val="24"/>
          <w:szCs w:val="24"/>
          <w:lang w:eastAsia="zh-CN"/>
        </w:rPr>
        <w:t>,</w:t>
      </w:r>
      <w:r w:rsidRPr="00D0668B">
        <w:rPr>
          <w:rFonts w:ascii="Book Antiqua" w:hAnsi="Book Antiqua"/>
          <w:kern w:val="36"/>
          <w:sz w:val="24"/>
          <w:szCs w:val="24"/>
        </w:rPr>
        <w:t xml:space="preserve"> Johns Hopkins University School of Medicine</w:t>
      </w:r>
      <w:r>
        <w:rPr>
          <w:rFonts w:ascii="Book Antiqua" w:hAnsi="Book Antiqua"/>
          <w:kern w:val="36"/>
          <w:sz w:val="24"/>
          <w:szCs w:val="24"/>
          <w:lang w:eastAsia="zh-CN"/>
        </w:rPr>
        <w:t xml:space="preserve">, </w:t>
      </w:r>
      <w:r w:rsidRPr="00D0668B">
        <w:rPr>
          <w:rFonts w:ascii="Book Antiqua" w:hAnsi="Book Antiqua"/>
          <w:kern w:val="36"/>
          <w:sz w:val="24"/>
          <w:szCs w:val="24"/>
        </w:rPr>
        <w:t>Baltimore,</w:t>
      </w:r>
      <w:r>
        <w:rPr>
          <w:rFonts w:ascii="Book Antiqua" w:hAnsi="Book Antiqua"/>
          <w:kern w:val="36"/>
          <w:sz w:val="24"/>
          <w:szCs w:val="24"/>
          <w:lang w:eastAsia="zh-CN"/>
        </w:rPr>
        <w:t xml:space="preserve"> </w:t>
      </w:r>
      <w:r w:rsidRPr="00D0668B">
        <w:rPr>
          <w:rFonts w:ascii="Book Antiqua" w:hAnsi="Book Antiqua"/>
          <w:kern w:val="36"/>
          <w:sz w:val="24"/>
          <w:szCs w:val="24"/>
        </w:rPr>
        <w:t>MD</w:t>
      </w:r>
      <w:r>
        <w:rPr>
          <w:rFonts w:ascii="Book Antiqua" w:hAnsi="Book Antiqua"/>
          <w:kern w:val="36"/>
          <w:sz w:val="24"/>
          <w:szCs w:val="24"/>
          <w:lang w:eastAsia="zh-CN"/>
        </w:rPr>
        <w:t xml:space="preserve"> </w:t>
      </w:r>
      <w:r w:rsidRPr="00D0668B">
        <w:rPr>
          <w:rFonts w:ascii="Book Antiqua" w:hAnsi="Book Antiqua"/>
          <w:sz w:val="24"/>
          <w:szCs w:val="24"/>
        </w:rPr>
        <w:t>21224</w:t>
      </w:r>
      <w:r w:rsidRPr="00D0668B">
        <w:rPr>
          <w:rFonts w:ascii="Book Antiqua" w:hAnsi="Book Antiqua"/>
          <w:kern w:val="36"/>
          <w:sz w:val="24"/>
          <w:szCs w:val="24"/>
        </w:rPr>
        <w:t>, United States</w:t>
      </w:r>
    </w:p>
    <w:p w:rsidR="00601C8A" w:rsidRPr="00D0668B" w:rsidRDefault="00601C8A" w:rsidP="006D37F8">
      <w:pPr>
        <w:spacing w:after="0" w:line="360" w:lineRule="auto"/>
        <w:jc w:val="both"/>
        <w:rPr>
          <w:rFonts w:ascii="Book Antiqua" w:hAnsi="Book Antiqua"/>
          <w:kern w:val="36"/>
          <w:sz w:val="24"/>
          <w:szCs w:val="24"/>
          <w:lang w:eastAsia="zh-CN"/>
        </w:rPr>
      </w:pPr>
    </w:p>
    <w:p w:rsidR="00601C8A" w:rsidRDefault="00601C8A" w:rsidP="006D37F8">
      <w:pPr>
        <w:spacing w:after="0" w:line="360" w:lineRule="auto"/>
        <w:jc w:val="both"/>
        <w:rPr>
          <w:rFonts w:ascii="Book Antiqua" w:hAnsi="Book Antiqua"/>
          <w:kern w:val="36"/>
          <w:sz w:val="24"/>
          <w:szCs w:val="24"/>
          <w:lang w:eastAsia="zh-CN"/>
        </w:rPr>
      </w:pPr>
      <w:r w:rsidRPr="00D0668B">
        <w:rPr>
          <w:rFonts w:ascii="Book Antiqua" w:hAnsi="Book Antiqua"/>
          <w:b/>
          <w:kern w:val="36"/>
          <w:sz w:val="24"/>
          <w:szCs w:val="24"/>
        </w:rPr>
        <w:t>Maria Ciarleglio,</w:t>
      </w:r>
      <w:r w:rsidRPr="00D0668B">
        <w:rPr>
          <w:rFonts w:ascii="Book Antiqua" w:hAnsi="Book Antiqua"/>
          <w:b/>
          <w:kern w:val="36"/>
          <w:sz w:val="24"/>
          <w:szCs w:val="24"/>
          <w:lang w:eastAsia="zh-CN"/>
        </w:rPr>
        <w:t xml:space="preserve"> </w:t>
      </w:r>
      <w:r w:rsidRPr="00D0668B">
        <w:rPr>
          <w:rFonts w:ascii="Book Antiqua" w:hAnsi="Book Antiqua"/>
          <w:kern w:val="36"/>
          <w:sz w:val="24"/>
          <w:szCs w:val="24"/>
        </w:rPr>
        <w:t>School of Public Health</w:t>
      </w:r>
      <w:r>
        <w:rPr>
          <w:rFonts w:ascii="Book Antiqua" w:hAnsi="Book Antiqua"/>
          <w:kern w:val="36"/>
          <w:sz w:val="24"/>
          <w:szCs w:val="24"/>
          <w:lang w:eastAsia="zh-CN"/>
        </w:rPr>
        <w:t xml:space="preserve">, </w:t>
      </w:r>
      <w:r w:rsidRPr="00D0668B">
        <w:rPr>
          <w:rFonts w:ascii="Book Antiqua" w:hAnsi="Book Antiqua"/>
          <w:kern w:val="36"/>
          <w:sz w:val="24"/>
          <w:szCs w:val="24"/>
        </w:rPr>
        <w:t>Yale University</w:t>
      </w:r>
      <w:r>
        <w:rPr>
          <w:rFonts w:ascii="Book Antiqua" w:hAnsi="Book Antiqua"/>
          <w:kern w:val="36"/>
          <w:sz w:val="24"/>
          <w:szCs w:val="24"/>
          <w:lang w:eastAsia="zh-CN"/>
        </w:rPr>
        <w:t xml:space="preserve">, </w:t>
      </w:r>
      <w:r w:rsidRPr="00D0668B">
        <w:rPr>
          <w:rFonts w:ascii="Book Antiqua" w:hAnsi="Book Antiqua"/>
          <w:kern w:val="36"/>
          <w:sz w:val="24"/>
          <w:szCs w:val="24"/>
        </w:rPr>
        <w:t>New Haven, CT</w:t>
      </w:r>
      <w:r w:rsidRPr="005B2364">
        <w:t xml:space="preserve"> </w:t>
      </w:r>
      <w:r w:rsidRPr="005B2364">
        <w:rPr>
          <w:rFonts w:ascii="Book Antiqua" w:hAnsi="Book Antiqua"/>
          <w:kern w:val="36"/>
          <w:sz w:val="24"/>
          <w:szCs w:val="24"/>
        </w:rPr>
        <w:t>06520</w:t>
      </w:r>
      <w:r w:rsidRPr="00D0668B">
        <w:rPr>
          <w:rFonts w:ascii="Book Antiqua" w:hAnsi="Book Antiqua"/>
          <w:kern w:val="36"/>
          <w:sz w:val="24"/>
          <w:szCs w:val="24"/>
        </w:rPr>
        <w:t>, United States</w:t>
      </w:r>
    </w:p>
    <w:p w:rsidR="00601C8A" w:rsidRPr="00D0668B" w:rsidRDefault="00601C8A" w:rsidP="006D37F8">
      <w:pPr>
        <w:spacing w:after="0" w:line="360" w:lineRule="auto"/>
        <w:jc w:val="both"/>
        <w:rPr>
          <w:rFonts w:ascii="Book Antiqua" w:hAnsi="Book Antiqua"/>
          <w:kern w:val="36"/>
          <w:sz w:val="24"/>
          <w:szCs w:val="24"/>
          <w:lang w:eastAsia="zh-CN"/>
        </w:rPr>
      </w:pPr>
    </w:p>
    <w:p w:rsidR="00601C8A" w:rsidRDefault="00601C8A" w:rsidP="006D37F8">
      <w:pPr>
        <w:spacing w:after="0" w:line="360" w:lineRule="auto"/>
        <w:jc w:val="both"/>
        <w:rPr>
          <w:rFonts w:ascii="Book Antiqua" w:hAnsi="Book Antiqua"/>
          <w:kern w:val="36"/>
          <w:sz w:val="24"/>
          <w:szCs w:val="24"/>
          <w:lang w:eastAsia="zh-CN"/>
        </w:rPr>
      </w:pPr>
      <w:r w:rsidRPr="00D0668B">
        <w:rPr>
          <w:rFonts w:ascii="Book Antiqua" w:hAnsi="Book Antiqua"/>
          <w:b/>
          <w:kern w:val="36"/>
          <w:sz w:val="24"/>
          <w:szCs w:val="24"/>
        </w:rPr>
        <w:t>Yamile Haito Chavez, John O Clarke, Ellen Stein, Bani Chander Roland,</w:t>
      </w:r>
      <w:r>
        <w:rPr>
          <w:rFonts w:ascii="Book Antiqua" w:hAnsi="Book Antiqua"/>
          <w:b/>
          <w:kern w:val="36"/>
          <w:sz w:val="24"/>
          <w:szCs w:val="24"/>
          <w:lang w:eastAsia="zh-CN"/>
        </w:rPr>
        <w:t xml:space="preserve"> </w:t>
      </w:r>
      <w:r w:rsidRPr="00D0668B">
        <w:rPr>
          <w:rFonts w:ascii="Book Antiqua" w:hAnsi="Book Antiqua"/>
          <w:kern w:val="36"/>
          <w:sz w:val="24"/>
          <w:szCs w:val="24"/>
        </w:rPr>
        <w:t>Division of Gastroenterology and Hepatology</w:t>
      </w:r>
      <w:r>
        <w:rPr>
          <w:rFonts w:ascii="Book Antiqua" w:hAnsi="Book Antiqua"/>
          <w:kern w:val="36"/>
          <w:sz w:val="24"/>
          <w:szCs w:val="24"/>
          <w:lang w:eastAsia="zh-CN"/>
        </w:rPr>
        <w:t xml:space="preserve">, </w:t>
      </w:r>
      <w:r w:rsidRPr="00D0668B">
        <w:rPr>
          <w:rFonts w:ascii="Book Antiqua" w:hAnsi="Book Antiqua"/>
          <w:b/>
          <w:kern w:val="36"/>
          <w:sz w:val="24"/>
          <w:szCs w:val="24"/>
        </w:rPr>
        <w:t>J</w:t>
      </w:r>
      <w:r w:rsidRPr="00D0668B">
        <w:rPr>
          <w:rFonts w:ascii="Book Antiqua" w:hAnsi="Book Antiqua"/>
          <w:kern w:val="36"/>
          <w:sz w:val="24"/>
          <w:szCs w:val="24"/>
        </w:rPr>
        <w:t>ohns Hopkins University School of Medicine</w:t>
      </w:r>
      <w:r>
        <w:rPr>
          <w:rFonts w:ascii="Book Antiqua" w:hAnsi="Book Antiqua"/>
          <w:kern w:val="36"/>
          <w:sz w:val="24"/>
          <w:szCs w:val="24"/>
          <w:lang w:eastAsia="zh-CN"/>
        </w:rPr>
        <w:t xml:space="preserve">, </w:t>
      </w:r>
      <w:r w:rsidRPr="00D0668B">
        <w:rPr>
          <w:rFonts w:ascii="Book Antiqua" w:hAnsi="Book Antiqua"/>
          <w:kern w:val="36"/>
          <w:sz w:val="24"/>
          <w:szCs w:val="24"/>
        </w:rPr>
        <w:t>Baltimore, MD</w:t>
      </w:r>
      <w:r>
        <w:rPr>
          <w:rFonts w:ascii="Book Antiqua" w:hAnsi="Book Antiqua"/>
          <w:kern w:val="36"/>
          <w:sz w:val="24"/>
          <w:szCs w:val="24"/>
          <w:lang w:eastAsia="zh-CN"/>
        </w:rPr>
        <w:t xml:space="preserve"> </w:t>
      </w:r>
      <w:r w:rsidRPr="00D0668B">
        <w:rPr>
          <w:rFonts w:ascii="Book Antiqua" w:hAnsi="Book Antiqua"/>
          <w:sz w:val="24"/>
          <w:szCs w:val="24"/>
        </w:rPr>
        <w:t>21224</w:t>
      </w:r>
      <w:r w:rsidRPr="00D0668B">
        <w:rPr>
          <w:rFonts w:ascii="Book Antiqua" w:hAnsi="Book Antiqua"/>
          <w:kern w:val="36"/>
          <w:sz w:val="24"/>
          <w:szCs w:val="24"/>
        </w:rPr>
        <w:t>, United States</w:t>
      </w:r>
    </w:p>
    <w:p w:rsidR="00601C8A" w:rsidRPr="00D0668B" w:rsidRDefault="00601C8A" w:rsidP="006D37F8">
      <w:pPr>
        <w:spacing w:after="0" w:line="360" w:lineRule="auto"/>
        <w:jc w:val="both"/>
        <w:rPr>
          <w:rFonts w:ascii="Book Antiqua" w:hAnsi="Book Antiqua"/>
          <w:kern w:val="36"/>
          <w:sz w:val="24"/>
          <w:szCs w:val="24"/>
          <w:lang w:eastAsia="zh-CN"/>
        </w:rPr>
      </w:pPr>
    </w:p>
    <w:p w:rsidR="00601C8A" w:rsidRDefault="00601C8A" w:rsidP="006D37F8">
      <w:pPr>
        <w:spacing w:after="0" w:line="360" w:lineRule="auto"/>
        <w:jc w:val="both"/>
        <w:rPr>
          <w:rFonts w:ascii="Book Antiqua" w:hAnsi="Book Antiqua"/>
          <w:kern w:val="36"/>
          <w:sz w:val="24"/>
          <w:szCs w:val="24"/>
          <w:lang w:eastAsia="zh-CN"/>
        </w:rPr>
      </w:pPr>
      <w:bookmarkStart w:id="4" w:name="OLE_LINK231"/>
      <w:bookmarkStart w:id="5" w:name="OLE_LINK234"/>
      <w:bookmarkStart w:id="6" w:name="OLE_LINK342"/>
      <w:r w:rsidRPr="00D0668B">
        <w:rPr>
          <w:rFonts w:ascii="Book Antiqua" w:eastAsia="MS Mincho" w:hAnsi="Book Antiqua"/>
          <w:b/>
          <w:sz w:val="24"/>
          <w:szCs w:val="24"/>
          <w:lang w:eastAsia="ja-JP"/>
        </w:rPr>
        <w:t>Author contributions:</w:t>
      </w:r>
      <w:bookmarkEnd w:id="4"/>
      <w:bookmarkEnd w:id="5"/>
      <w:bookmarkEnd w:id="6"/>
      <w:r>
        <w:rPr>
          <w:rFonts w:ascii="Book Antiqua" w:hAnsi="Book Antiqua"/>
          <w:b/>
          <w:sz w:val="24"/>
          <w:szCs w:val="24"/>
          <w:lang w:eastAsia="zh-CN"/>
        </w:rPr>
        <w:t xml:space="preserve"> </w:t>
      </w:r>
      <w:r w:rsidRPr="00D0668B">
        <w:rPr>
          <w:rFonts w:ascii="Book Antiqua" w:hAnsi="Book Antiqua"/>
          <w:kern w:val="36"/>
          <w:sz w:val="24"/>
          <w:szCs w:val="24"/>
          <w:lang w:eastAsia="zh-CN"/>
        </w:rPr>
        <w:t xml:space="preserve">Roland B designed the study; Roland B and Chavez Y enrolled patients, collected data, and performed chart review; </w:t>
      </w:r>
      <w:r w:rsidRPr="00D0668B">
        <w:rPr>
          <w:rFonts w:ascii="Book Antiqua" w:hAnsi="Book Antiqua"/>
          <w:kern w:val="36"/>
          <w:sz w:val="24"/>
          <w:szCs w:val="24"/>
        </w:rPr>
        <w:t>Ciarleglio M performed the statistical analysis; Mathews S and Roland B wrote the manuscript; Stein E, Clarke J, and Roland B interpreted manometry; Stein E and Clarke J provided critical review of manuscript.</w:t>
      </w:r>
    </w:p>
    <w:p w:rsidR="00601C8A" w:rsidRPr="00D0668B" w:rsidRDefault="00601C8A" w:rsidP="006D37F8">
      <w:pPr>
        <w:spacing w:after="0" w:line="360" w:lineRule="auto"/>
        <w:jc w:val="both"/>
        <w:rPr>
          <w:rFonts w:ascii="Book Antiqua" w:hAnsi="Book Antiqua"/>
          <w:b/>
          <w:sz w:val="24"/>
          <w:szCs w:val="24"/>
          <w:lang w:eastAsia="zh-CN"/>
        </w:rPr>
      </w:pPr>
    </w:p>
    <w:p w:rsidR="00601C8A" w:rsidRPr="006D37F8" w:rsidRDefault="00601C8A" w:rsidP="006D37F8">
      <w:pPr>
        <w:spacing w:line="360" w:lineRule="auto"/>
        <w:jc w:val="both"/>
        <w:rPr>
          <w:rFonts w:ascii="Book Antiqua" w:hAnsi="Book Antiqua"/>
          <w:b/>
          <w:color w:val="000000"/>
          <w:sz w:val="24"/>
        </w:rPr>
      </w:pPr>
      <w:r>
        <w:rPr>
          <w:rFonts w:ascii="Book Antiqua" w:hAnsi="Book Antiqua"/>
          <w:b/>
          <w:color w:val="000000"/>
          <w:sz w:val="24"/>
        </w:rPr>
        <w:lastRenderedPageBreak/>
        <w:t>Correspondence to</w:t>
      </w:r>
      <w:r w:rsidRPr="00D0668B">
        <w:rPr>
          <w:rFonts w:ascii="Book Antiqua" w:hAnsi="Book Antiqua"/>
          <w:b/>
          <w:kern w:val="36"/>
          <w:sz w:val="24"/>
          <w:szCs w:val="24"/>
        </w:rPr>
        <w:t>:</w:t>
      </w:r>
      <w:r w:rsidRPr="00D0668B">
        <w:rPr>
          <w:rFonts w:ascii="Book Antiqua" w:hAnsi="Book Antiqua"/>
          <w:b/>
          <w:kern w:val="36"/>
          <w:sz w:val="24"/>
          <w:szCs w:val="24"/>
          <w:lang w:eastAsia="zh-CN"/>
        </w:rPr>
        <w:t xml:space="preserve"> </w:t>
      </w:r>
      <w:r w:rsidRPr="00D0668B">
        <w:rPr>
          <w:rFonts w:ascii="Book Antiqua" w:hAnsi="Book Antiqua"/>
          <w:b/>
          <w:sz w:val="24"/>
          <w:szCs w:val="24"/>
        </w:rPr>
        <w:t>Bani Chander Roland, MD</w:t>
      </w:r>
      <w:r w:rsidRPr="00D0668B">
        <w:rPr>
          <w:rFonts w:ascii="Book Antiqua" w:hAnsi="Book Antiqua"/>
          <w:b/>
          <w:sz w:val="24"/>
          <w:szCs w:val="24"/>
          <w:lang w:eastAsia="zh-CN"/>
        </w:rPr>
        <w:t xml:space="preserve">, </w:t>
      </w:r>
      <w:r w:rsidRPr="00D0668B">
        <w:rPr>
          <w:rFonts w:ascii="Book Antiqua" w:hAnsi="Book Antiqua"/>
          <w:b/>
          <w:sz w:val="24"/>
          <w:szCs w:val="24"/>
        </w:rPr>
        <w:t>Assistant Professor of Medicine</w:t>
      </w:r>
      <w:r w:rsidRPr="00D0668B">
        <w:rPr>
          <w:rFonts w:ascii="Book Antiqua" w:hAnsi="Book Antiqua"/>
          <w:b/>
          <w:sz w:val="24"/>
          <w:szCs w:val="24"/>
          <w:lang w:eastAsia="zh-CN"/>
        </w:rPr>
        <w:t>,</w:t>
      </w:r>
      <w:r>
        <w:rPr>
          <w:rFonts w:ascii="Book Antiqua" w:hAnsi="Book Antiqua"/>
          <w:b/>
          <w:color w:val="000000"/>
          <w:sz w:val="24"/>
        </w:rPr>
        <w:t xml:space="preserve"> </w:t>
      </w:r>
      <w:r w:rsidRPr="00D0668B">
        <w:rPr>
          <w:rFonts w:ascii="Book Antiqua" w:hAnsi="Book Antiqua"/>
          <w:sz w:val="24"/>
          <w:szCs w:val="24"/>
        </w:rPr>
        <w:t>Division of Gastroenterology and Hepatology</w:t>
      </w:r>
      <w:r w:rsidRPr="00D0668B">
        <w:rPr>
          <w:rFonts w:ascii="Book Antiqua" w:hAnsi="Book Antiqua"/>
          <w:sz w:val="24"/>
          <w:szCs w:val="24"/>
          <w:lang w:eastAsia="zh-CN"/>
        </w:rPr>
        <w:t>,</w:t>
      </w:r>
      <w:r>
        <w:rPr>
          <w:rFonts w:ascii="Book Antiqua" w:hAnsi="Book Antiqua"/>
          <w:sz w:val="24"/>
          <w:szCs w:val="24"/>
          <w:lang w:eastAsia="zh-CN"/>
        </w:rPr>
        <w:t xml:space="preserve"> </w:t>
      </w:r>
      <w:r w:rsidRPr="00D0668B">
        <w:rPr>
          <w:rFonts w:ascii="Book Antiqua" w:hAnsi="Book Antiqua"/>
          <w:sz w:val="24"/>
          <w:szCs w:val="24"/>
        </w:rPr>
        <w:t>Johns Hopkins University School of Medicine</w:t>
      </w:r>
      <w:r w:rsidRPr="00D0668B">
        <w:rPr>
          <w:rFonts w:ascii="Book Antiqua" w:hAnsi="Book Antiqua"/>
          <w:sz w:val="24"/>
          <w:szCs w:val="24"/>
          <w:lang w:eastAsia="zh-CN"/>
        </w:rPr>
        <w:t xml:space="preserve">, </w:t>
      </w:r>
      <w:r w:rsidRPr="00D0668B">
        <w:rPr>
          <w:rFonts w:ascii="Book Antiqua" w:hAnsi="Book Antiqua"/>
          <w:sz w:val="24"/>
          <w:szCs w:val="24"/>
        </w:rPr>
        <w:t>4940 Eastern Avenue A-501</w:t>
      </w:r>
      <w:r w:rsidRPr="00D0668B">
        <w:rPr>
          <w:rFonts w:ascii="Book Antiqua" w:hAnsi="Book Antiqua"/>
          <w:sz w:val="24"/>
          <w:szCs w:val="24"/>
          <w:lang w:eastAsia="zh-CN"/>
        </w:rPr>
        <w:t xml:space="preserve">, </w:t>
      </w:r>
      <w:r w:rsidRPr="00D0668B">
        <w:rPr>
          <w:rFonts w:ascii="Book Antiqua" w:hAnsi="Book Antiqua"/>
          <w:sz w:val="24"/>
          <w:szCs w:val="24"/>
        </w:rPr>
        <w:t>Baltimore, MD 21224</w:t>
      </w:r>
      <w:r>
        <w:rPr>
          <w:rFonts w:ascii="Book Antiqua" w:hAnsi="Book Antiqua"/>
          <w:sz w:val="24"/>
          <w:szCs w:val="24"/>
          <w:lang w:eastAsia="zh-CN"/>
        </w:rPr>
        <w:t xml:space="preserve">, </w:t>
      </w:r>
      <w:r w:rsidRPr="00D0668B">
        <w:rPr>
          <w:rFonts w:ascii="Book Antiqua" w:hAnsi="Book Antiqua"/>
          <w:sz w:val="24"/>
          <w:szCs w:val="24"/>
          <w:lang w:eastAsia="zh-CN"/>
        </w:rPr>
        <w:t>United States</w:t>
      </w:r>
      <w:r>
        <w:rPr>
          <w:rFonts w:ascii="Book Antiqua" w:hAnsi="Book Antiqua"/>
          <w:sz w:val="24"/>
          <w:szCs w:val="24"/>
          <w:lang w:eastAsia="zh-CN"/>
        </w:rPr>
        <w:t xml:space="preserve">. </w:t>
      </w:r>
      <w:hyperlink r:id="rId8" w:history="1">
        <w:r w:rsidRPr="00D0668B">
          <w:rPr>
            <w:rStyle w:val="ab"/>
            <w:rFonts w:ascii="Book Antiqua" w:hAnsi="Book Antiqua"/>
            <w:color w:val="auto"/>
            <w:sz w:val="24"/>
            <w:szCs w:val="24"/>
            <w:u w:val="none"/>
          </w:rPr>
          <w:t>bchande1@jhmi.edu</w:t>
        </w:r>
      </w:hyperlink>
    </w:p>
    <w:p w:rsidR="00601C8A" w:rsidRPr="00D0668B" w:rsidRDefault="00601C8A" w:rsidP="006D37F8">
      <w:pPr>
        <w:spacing w:after="0" w:line="360" w:lineRule="auto"/>
        <w:jc w:val="both"/>
        <w:rPr>
          <w:rFonts w:ascii="Book Antiqua" w:hAnsi="Book Antiqua"/>
          <w:sz w:val="24"/>
          <w:szCs w:val="24"/>
        </w:rPr>
      </w:pPr>
      <w:r w:rsidRPr="00D0668B">
        <w:rPr>
          <w:rFonts w:ascii="Book Antiqua" w:hAnsi="Book Antiqua"/>
          <w:b/>
          <w:sz w:val="24"/>
          <w:szCs w:val="24"/>
          <w:lang w:eastAsia="zh-CN"/>
        </w:rPr>
        <w:t>Telephone</w:t>
      </w:r>
      <w:r>
        <w:rPr>
          <w:rFonts w:ascii="Book Antiqua" w:hAnsi="Book Antiqua"/>
          <w:sz w:val="24"/>
          <w:szCs w:val="24"/>
          <w:lang w:eastAsia="zh-CN"/>
        </w:rPr>
        <w:t>: +1-</w:t>
      </w:r>
      <w:r>
        <w:rPr>
          <w:rFonts w:ascii="Book Antiqua" w:hAnsi="Book Antiqua"/>
          <w:sz w:val="24"/>
          <w:szCs w:val="24"/>
        </w:rPr>
        <w:t>410-550</w:t>
      </w:r>
      <w:r w:rsidRPr="00D0668B">
        <w:rPr>
          <w:rFonts w:ascii="Book Antiqua" w:hAnsi="Book Antiqua"/>
          <w:sz w:val="24"/>
          <w:szCs w:val="24"/>
        </w:rPr>
        <w:t>8124</w:t>
      </w:r>
      <w:r>
        <w:rPr>
          <w:rFonts w:ascii="Book Antiqua" w:hAnsi="Book Antiqua"/>
          <w:sz w:val="24"/>
          <w:szCs w:val="24"/>
          <w:lang w:eastAsia="zh-CN"/>
        </w:rPr>
        <w:tab/>
      </w:r>
      <w:r>
        <w:rPr>
          <w:rFonts w:ascii="Book Antiqua" w:hAnsi="Book Antiqua"/>
          <w:sz w:val="24"/>
          <w:szCs w:val="24"/>
          <w:lang w:eastAsia="zh-CN"/>
        </w:rPr>
        <w:tab/>
      </w:r>
      <w:r w:rsidRPr="00D0668B">
        <w:rPr>
          <w:rFonts w:ascii="Book Antiqua" w:hAnsi="Book Antiqua"/>
          <w:b/>
          <w:sz w:val="24"/>
          <w:szCs w:val="24"/>
          <w:lang w:eastAsia="zh-CN"/>
        </w:rPr>
        <w:t>Fax</w:t>
      </w:r>
      <w:r>
        <w:rPr>
          <w:rFonts w:ascii="Book Antiqua" w:hAnsi="Book Antiqua"/>
          <w:sz w:val="24"/>
          <w:szCs w:val="24"/>
          <w:lang w:eastAsia="zh-CN"/>
        </w:rPr>
        <w:t>: +1-</w:t>
      </w:r>
      <w:r>
        <w:rPr>
          <w:rFonts w:ascii="Book Antiqua" w:hAnsi="Book Antiqua"/>
          <w:sz w:val="24"/>
          <w:szCs w:val="24"/>
        </w:rPr>
        <w:t>410-550</w:t>
      </w:r>
      <w:r w:rsidRPr="00D0668B">
        <w:rPr>
          <w:rFonts w:ascii="Book Antiqua" w:hAnsi="Book Antiqua"/>
          <w:sz w:val="24"/>
          <w:szCs w:val="24"/>
        </w:rPr>
        <w:t>7861</w:t>
      </w:r>
    </w:p>
    <w:p w:rsidR="00601C8A" w:rsidRPr="00D0668B" w:rsidRDefault="00601C8A" w:rsidP="006D37F8">
      <w:pPr>
        <w:spacing w:after="0" w:line="360" w:lineRule="auto"/>
        <w:jc w:val="both"/>
        <w:rPr>
          <w:rFonts w:ascii="Book Antiqua" w:hAnsi="Book Antiqua"/>
          <w:i/>
          <w:sz w:val="24"/>
          <w:szCs w:val="24"/>
          <w:lang w:eastAsia="zh-CN"/>
        </w:rPr>
      </w:pPr>
    </w:p>
    <w:p w:rsidR="00601C8A" w:rsidRPr="00D0668B" w:rsidRDefault="00601C8A" w:rsidP="006D37F8">
      <w:pPr>
        <w:spacing w:after="0" w:line="360" w:lineRule="auto"/>
        <w:jc w:val="both"/>
        <w:rPr>
          <w:rFonts w:ascii="Book Antiqua" w:hAnsi="Book Antiqua"/>
          <w:color w:val="000000"/>
          <w:sz w:val="24"/>
          <w:szCs w:val="24"/>
        </w:rPr>
      </w:pPr>
      <w:bookmarkStart w:id="7" w:name="OLE_LINK4"/>
      <w:bookmarkStart w:id="8" w:name="OLE_LINK5"/>
      <w:bookmarkStart w:id="9" w:name="OLE_LINK332"/>
      <w:bookmarkStart w:id="10" w:name="OLE_LINK329"/>
      <w:r w:rsidRPr="00D0668B">
        <w:rPr>
          <w:rFonts w:ascii="Book Antiqua" w:hAnsi="Book Antiqua"/>
          <w:b/>
          <w:color w:val="000000"/>
          <w:sz w:val="24"/>
          <w:szCs w:val="24"/>
        </w:rPr>
        <w:t xml:space="preserve">Received: </w:t>
      </w:r>
      <w:r w:rsidRPr="00D0668B">
        <w:rPr>
          <w:rFonts w:ascii="Book Antiqua" w:hAnsi="Book Antiqua"/>
          <w:color w:val="000000"/>
          <w:sz w:val="24"/>
          <w:szCs w:val="24"/>
        </w:rPr>
        <w:t xml:space="preserve">January </w:t>
      </w:r>
      <w:r w:rsidRPr="00D0668B">
        <w:rPr>
          <w:rFonts w:ascii="Book Antiqua" w:hAnsi="Book Antiqua"/>
          <w:color w:val="000000"/>
          <w:sz w:val="24"/>
          <w:szCs w:val="24"/>
          <w:lang w:eastAsia="zh-CN"/>
        </w:rPr>
        <w:t>5</w:t>
      </w:r>
      <w:r w:rsidRPr="00D0668B">
        <w:rPr>
          <w:rFonts w:ascii="Book Antiqua" w:hAnsi="Book Antiqua"/>
          <w:color w:val="000000"/>
          <w:sz w:val="24"/>
          <w:szCs w:val="24"/>
        </w:rPr>
        <w:t>, 2014</w:t>
      </w:r>
      <w:r>
        <w:rPr>
          <w:rFonts w:ascii="Book Antiqua" w:hAnsi="Book Antiqua"/>
          <w:color w:val="000000"/>
          <w:sz w:val="24"/>
          <w:szCs w:val="24"/>
          <w:lang w:eastAsia="zh-CN"/>
        </w:rPr>
        <w:tab/>
      </w:r>
      <w:r>
        <w:rPr>
          <w:rFonts w:ascii="Book Antiqua" w:hAnsi="Book Antiqua"/>
          <w:color w:val="000000"/>
          <w:sz w:val="24"/>
          <w:szCs w:val="24"/>
          <w:lang w:eastAsia="zh-CN"/>
        </w:rPr>
        <w:tab/>
      </w:r>
      <w:r w:rsidRPr="00D0668B">
        <w:rPr>
          <w:rFonts w:ascii="Book Antiqua" w:hAnsi="Book Antiqua"/>
          <w:b/>
          <w:color w:val="000000"/>
          <w:sz w:val="24"/>
          <w:szCs w:val="24"/>
        </w:rPr>
        <w:t xml:space="preserve">Revised: </w:t>
      </w:r>
      <w:r w:rsidRPr="00D0668B">
        <w:rPr>
          <w:rFonts w:ascii="Book Antiqua" w:hAnsi="Book Antiqua"/>
          <w:color w:val="000000"/>
          <w:sz w:val="24"/>
          <w:szCs w:val="24"/>
        </w:rPr>
        <w:t xml:space="preserve">March </w:t>
      </w:r>
      <w:r>
        <w:rPr>
          <w:rFonts w:ascii="Book Antiqua" w:hAnsi="Book Antiqua"/>
          <w:color w:val="000000"/>
          <w:sz w:val="24"/>
          <w:szCs w:val="24"/>
          <w:lang w:eastAsia="zh-CN"/>
        </w:rPr>
        <w:t>29</w:t>
      </w:r>
      <w:r w:rsidRPr="00D0668B">
        <w:rPr>
          <w:rFonts w:ascii="Book Antiqua" w:hAnsi="Book Antiqua"/>
          <w:color w:val="000000"/>
          <w:sz w:val="24"/>
          <w:szCs w:val="24"/>
        </w:rPr>
        <w:t>, 2014</w:t>
      </w:r>
    </w:p>
    <w:p w:rsidR="00601C8A" w:rsidRPr="00D67EF8" w:rsidRDefault="00601C8A" w:rsidP="00D67EF8">
      <w:pPr>
        <w:rPr>
          <w:rFonts w:ascii="Book Antiqua" w:hAnsi="Book Antiqua" w:hint="eastAsia"/>
          <w:sz w:val="24"/>
          <w:szCs w:val="24"/>
          <w:lang w:eastAsia="zh-CN"/>
        </w:rPr>
      </w:pPr>
      <w:r w:rsidRPr="00D0668B">
        <w:rPr>
          <w:rFonts w:ascii="Book Antiqua" w:hAnsi="Book Antiqua"/>
          <w:b/>
          <w:color w:val="000000"/>
          <w:sz w:val="24"/>
          <w:szCs w:val="24"/>
        </w:rPr>
        <w:t xml:space="preserve">Accepted: </w:t>
      </w:r>
      <w:r w:rsidR="00D67EF8" w:rsidRPr="00A13FFF">
        <w:rPr>
          <w:rFonts w:ascii="Book Antiqua" w:hAnsi="Book Antiqua"/>
          <w:sz w:val="24"/>
          <w:szCs w:val="24"/>
        </w:rPr>
        <w:t>April 28, 2014</w:t>
      </w:r>
      <w:bookmarkStart w:id="11" w:name="_GoBack"/>
      <w:bookmarkEnd w:id="11"/>
    </w:p>
    <w:p w:rsidR="00601C8A" w:rsidRPr="00D0668B" w:rsidRDefault="00601C8A" w:rsidP="006D37F8">
      <w:pPr>
        <w:spacing w:after="0" w:line="360" w:lineRule="auto"/>
        <w:jc w:val="both"/>
        <w:rPr>
          <w:rFonts w:ascii="Book Antiqua" w:hAnsi="Book Antiqua"/>
          <w:color w:val="000000"/>
          <w:sz w:val="24"/>
          <w:szCs w:val="24"/>
        </w:rPr>
      </w:pPr>
      <w:r w:rsidRPr="00D0668B">
        <w:rPr>
          <w:rFonts w:ascii="Book Antiqua" w:hAnsi="Book Antiqua"/>
          <w:b/>
          <w:color w:val="000000"/>
          <w:sz w:val="24"/>
          <w:szCs w:val="24"/>
        </w:rPr>
        <w:t xml:space="preserve">Published online: </w:t>
      </w:r>
    </w:p>
    <w:bookmarkEnd w:id="7"/>
    <w:bookmarkEnd w:id="8"/>
    <w:bookmarkEnd w:id="9"/>
    <w:bookmarkEnd w:id="10"/>
    <w:p w:rsidR="00601C8A" w:rsidRPr="00D0668B" w:rsidRDefault="00601C8A" w:rsidP="006D37F8">
      <w:pPr>
        <w:spacing w:after="0" w:line="360" w:lineRule="auto"/>
        <w:jc w:val="both"/>
        <w:rPr>
          <w:rFonts w:ascii="Book Antiqua" w:hAnsi="Book Antiqua"/>
          <w:b/>
          <w:sz w:val="24"/>
          <w:szCs w:val="24"/>
        </w:rPr>
      </w:pPr>
      <w:r w:rsidRPr="00D0668B">
        <w:rPr>
          <w:rFonts w:ascii="Book Antiqua" w:hAnsi="Book Antiqua"/>
          <w:b/>
          <w:sz w:val="24"/>
          <w:szCs w:val="24"/>
        </w:rPr>
        <w:br w:type="page"/>
      </w:r>
    </w:p>
    <w:p w:rsidR="00601C8A" w:rsidRPr="00D0668B" w:rsidRDefault="00601C8A" w:rsidP="006D37F8">
      <w:pPr>
        <w:spacing w:after="0" w:line="360" w:lineRule="auto"/>
        <w:jc w:val="both"/>
        <w:rPr>
          <w:rFonts w:ascii="Book Antiqua" w:hAnsi="Book Antiqua"/>
          <w:b/>
          <w:color w:val="000000"/>
          <w:sz w:val="24"/>
          <w:szCs w:val="24"/>
        </w:rPr>
      </w:pPr>
      <w:r w:rsidRPr="00D0668B">
        <w:rPr>
          <w:rFonts w:ascii="Book Antiqua" w:hAnsi="Book Antiqua"/>
          <w:b/>
          <w:color w:val="000000"/>
          <w:sz w:val="24"/>
          <w:szCs w:val="24"/>
        </w:rPr>
        <w:t>Abstract</w:t>
      </w:r>
    </w:p>
    <w:p w:rsidR="00601C8A" w:rsidRDefault="00601C8A" w:rsidP="006D37F8">
      <w:pPr>
        <w:spacing w:after="0" w:line="360" w:lineRule="auto"/>
        <w:jc w:val="both"/>
        <w:rPr>
          <w:rFonts w:ascii="Book Antiqua" w:hAnsi="Book Antiqua"/>
          <w:kern w:val="36"/>
          <w:sz w:val="24"/>
          <w:szCs w:val="24"/>
          <w:lang w:eastAsia="zh-CN"/>
        </w:rPr>
      </w:pPr>
      <w:bookmarkStart w:id="12" w:name="OLE_LINK344"/>
      <w:bookmarkStart w:id="13" w:name="OLE_LINK345"/>
      <w:bookmarkStart w:id="14" w:name="OLE_LINK378"/>
      <w:r w:rsidRPr="00D0668B">
        <w:rPr>
          <w:rFonts w:ascii="Book Antiqua" w:hAnsi="Book Antiqua"/>
          <w:b/>
          <w:sz w:val="24"/>
          <w:szCs w:val="24"/>
        </w:rPr>
        <w:t>AIM</w:t>
      </w:r>
      <w:r w:rsidRPr="00D0668B">
        <w:rPr>
          <w:rFonts w:ascii="Book Antiqua" w:hAnsi="Book Antiqua"/>
          <w:sz w:val="24"/>
          <w:szCs w:val="24"/>
        </w:rPr>
        <w:t>: To investigate the relationship between u</w:t>
      </w:r>
      <w:r w:rsidRPr="00D0668B">
        <w:rPr>
          <w:rFonts w:ascii="Book Antiqua" w:hAnsi="Book Antiqua"/>
          <w:kern w:val="36"/>
          <w:sz w:val="24"/>
          <w:szCs w:val="24"/>
        </w:rPr>
        <w:t xml:space="preserve">pper esophageal sphincter abnormalities achalasia treatment </w:t>
      </w:r>
    </w:p>
    <w:p w:rsidR="00601C8A" w:rsidRPr="00D0668B" w:rsidRDefault="00601C8A" w:rsidP="006D37F8">
      <w:pPr>
        <w:spacing w:after="0" w:line="360" w:lineRule="auto"/>
        <w:jc w:val="both"/>
        <w:rPr>
          <w:rFonts w:ascii="Book Antiqua" w:hAnsi="Book Antiqua"/>
          <w:b/>
          <w:kern w:val="36"/>
          <w:sz w:val="24"/>
          <w:szCs w:val="24"/>
          <w:lang w:eastAsia="zh-CN"/>
        </w:rPr>
      </w:pPr>
    </w:p>
    <w:p w:rsidR="00601C8A" w:rsidRDefault="00601C8A" w:rsidP="006D37F8">
      <w:pPr>
        <w:spacing w:after="0" w:line="360" w:lineRule="auto"/>
        <w:jc w:val="both"/>
        <w:rPr>
          <w:rFonts w:ascii="Book Antiqua" w:hAnsi="Book Antiqua"/>
          <w:bCs/>
          <w:color w:val="000000"/>
          <w:kern w:val="36"/>
          <w:sz w:val="24"/>
          <w:szCs w:val="24"/>
          <w:lang w:eastAsia="zh-CN"/>
        </w:rPr>
      </w:pPr>
      <w:r w:rsidRPr="00D0668B">
        <w:rPr>
          <w:rFonts w:ascii="Book Antiqua" w:hAnsi="Book Antiqua"/>
          <w:b/>
          <w:sz w:val="24"/>
          <w:szCs w:val="24"/>
        </w:rPr>
        <w:t>METHODS</w:t>
      </w:r>
      <w:r w:rsidRPr="00D0668B">
        <w:rPr>
          <w:rFonts w:ascii="Book Antiqua" w:hAnsi="Book Antiqua"/>
          <w:sz w:val="24"/>
          <w:szCs w:val="24"/>
        </w:rPr>
        <w:t xml:space="preserve">: </w:t>
      </w:r>
      <w:r w:rsidRPr="00D0668B">
        <w:rPr>
          <w:rFonts w:ascii="Book Antiqua" w:hAnsi="Book Antiqua"/>
          <w:bCs/>
          <w:color w:val="000000"/>
          <w:kern w:val="36"/>
          <w:sz w:val="24"/>
          <w:szCs w:val="24"/>
        </w:rPr>
        <w:t xml:space="preserve">We performed a retrospective study of 41 consecutive patients referred for high resolution </w:t>
      </w:r>
      <w:r w:rsidRPr="00D0668B">
        <w:rPr>
          <w:rFonts w:ascii="Book Antiqua" w:hAnsi="Book Antiqua"/>
          <w:sz w:val="24"/>
          <w:szCs w:val="24"/>
        </w:rPr>
        <w:t>esophageal</w:t>
      </w:r>
      <w:r w:rsidRPr="00D0668B">
        <w:rPr>
          <w:rFonts w:ascii="Book Antiqua" w:hAnsi="Book Antiqua"/>
          <w:bCs/>
          <w:color w:val="000000"/>
          <w:kern w:val="36"/>
          <w:sz w:val="24"/>
          <w:szCs w:val="24"/>
        </w:rPr>
        <w:t xml:space="preserve"> manometry with a final manometric diagnosis of achalasia. Patients were sub-divided by presence or absence of </w:t>
      </w:r>
      <w:bookmarkStart w:id="15" w:name="OLE_LINK91"/>
      <w:r w:rsidRPr="00D0668B">
        <w:rPr>
          <w:rFonts w:ascii="Book Antiqua" w:hAnsi="Book Antiqua"/>
          <w:bCs/>
          <w:color w:val="000000"/>
          <w:kern w:val="36"/>
          <w:sz w:val="24"/>
          <w:szCs w:val="24"/>
        </w:rPr>
        <w:t xml:space="preserve">Upper esophageal sphincter </w:t>
      </w:r>
      <w:r>
        <w:rPr>
          <w:rFonts w:ascii="Book Antiqua" w:hAnsi="Book Antiqua"/>
          <w:bCs/>
          <w:color w:val="000000"/>
          <w:kern w:val="36"/>
          <w:sz w:val="24"/>
          <w:szCs w:val="24"/>
          <w:lang w:eastAsia="zh-CN"/>
        </w:rPr>
        <w:t>(</w:t>
      </w:r>
      <w:r w:rsidRPr="00D0668B">
        <w:rPr>
          <w:rFonts w:ascii="Book Antiqua" w:hAnsi="Book Antiqua"/>
          <w:bCs/>
          <w:color w:val="000000"/>
          <w:kern w:val="36"/>
          <w:sz w:val="24"/>
          <w:szCs w:val="24"/>
        </w:rPr>
        <w:t>UES</w:t>
      </w:r>
      <w:r>
        <w:rPr>
          <w:rFonts w:ascii="Book Antiqua" w:hAnsi="Book Antiqua"/>
          <w:bCs/>
          <w:color w:val="000000"/>
          <w:kern w:val="36"/>
          <w:sz w:val="24"/>
          <w:szCs w:val="24"/>
          <w:lang w:eastAsia="zh-CN"/>
        </w:rPr>
        <w:t>)</w:t>
      </w:r>
      <w:bookmarkEnd w:id="15"/>
      <w:r w:rsidRPr="00D0668B">
        <w:rPr>
          <w:rFonts w:ascii="Book Antiqua" w:hAnsi="Book Antiqua"/>
          <w:bCs/>
          <w:color w:val="000000"/>
          <w:kern w:val="36"/>
          <w:sz w:val="24"/>
          <w:szCs w:val="24"/>
        </w:rPr>
        <w:t xml:space="preserve"> abnormality, and clinical &amp; manometric profiles were compared. Correlation between UES abnormality and sub-type (</w:t>
      </w:r>
      <w:r w:rsidRPr="00BB059B">
        <w:rPr>
          <w:rFonts w:ascii="Book Antiqua" w:hAnsi="Book Antiqua"/>
          <w:bCs/>
          <w:i/>
          <w:color w:val="000000"/>
          <w:kern w:val="36"/>
          <w:sz w:val="24"/>
          <w:szCs w:val="24"/>
        </w:rPr>
        <w:t>i.e</w:t>
      </w:r>
      <w:r w:rsidRPr="00BB059B">
        <w:rPr>
          <w:rFonts w:ascii="Book Antiqua" w:hAnsi="Book Antiqua"/>
          <w:bCs/>
          <w:i/>
          <w:color w:val="000000"/>
          <w:kern w:val="36"/>
          <w:sz w:val="24"/>
          <w:szCs w:val="24"/>
          <w:lang w:eastAsia="zh-CN"/>
        </w:rPr>
        <w:t>.,</w:t>
      </w:r>
      <w:r w:rsidRPr="00BB059B">
        <w:rPr>
          <w:rFonts w:ascii="Book Antiqua" w:hAnsi="Book Antiqua"/>
          <w:bCs/>
          <w:i/>
          <w:color w:val="000000"/>
          <w:kern w:val="36"/>
          <w:sz w:val="24"/>
          <w:szCs w:val="24"/>
        </w:rPr>
        <w:t xml:space="preserve"> </w:t>
      </w:r>
      <w:r w:rsidRPr="00D0668B">
        <w:rPr>
          <w:rFonts w:ascii="Book Antiqua" w:hAnsi="Book Antiqua"/>
          <w:bCs/>
          <w:color w:val="000000"/>
          <w:kern w:val="36"/>
          <w:sz w:val="24"/>
          <w:szCs w:val="24"/>
        </w:rPr>
        <w:t>hypertensive, hypotensive or impaired relaxation) and a number of variables, including qualitative treatment response, achalasia sub-type, co-morbid medical illness, psychiatric illness, surgical history, dominant presenting symptom, treatment type, age and gender were also evaluated.</w:t>
      </w:r>
    </w:p>
    <w:p w:rsidR="00601C8A" w:rsidRPr="00D0668B" w:rsidRDefault="00601C8A" w:rsidP="006D37F8">
      <w:pPr>
        <w:spacing w:after="0" w:line="360" w:lineRule="auto"/>
        <w:jc w:val="both"/>
        <w:rPr>
          <w:rFonts w:ascii="Book Antiqua" w:hAnsi="Book Antiqua"/>
          <w:bCs/>
          <w:color w:val="000000"/>
          <w:kern w:val="36"/>
          <w:sz w:val="24"/>
          <w:szCs w:val="24"/>
          <w:lang w:eastAsia="zh-CN"/>
        </w:rPr>
      </w:pPr>
    </w:p>
    <w:p w:rsidR="00601C8A" w:rsidRDefault="00601C8A" w:rsidP="006D37F8">
      <w:pPr>
        <w:spacing w:after="0" w:line="360" w:lineRule="auto"/>
        <w:jc w:val="both"/>
        <w:rPr>
          <w:rFonts w:ascii="Book Antiqua" w:hAnsi="Book Antiqua"/>
          <w:bCs/>
          <w:color w:val="000000"/>
          <w:kern w:val="36"/>
          <w:sz w:val="24"/>
          <w:szCs w:val="24"/>
        </w:rPr>
      </w:pPr>
      <w:r w:rsidRPr="00D0668B">
        <w:rPr>
          <w:rFonts w:ascii="Book Antiqua" w:hAnsi="Book Antiqua"/>
          <w:b/>
          <w:bCs/>
          <w:color w:val="000000"/>
          <w:kern w:val="36"/>
          <w:sz w:val="24"/>
          <w:szCs w:val="24"/>
        </w:rPr>
        <w:t>RESULTS</w:t>
      </w:r>
      <w:r w:rsidRPr="00D0668B">
        <w:rPr>
          <w:rFonts w:ascii="Book Antiqua" w:hAnsi="Book Antiqua"/>
          <w:bCs/>
          <w:color w:val="000000"/>
          <w:kern w:val="36"/>
          <w:sz w:val="24"/>
          <w:szCs w:val="24"/>
        </w:rPr>
        <w:t>: Among all 41 patients, 24 (58.54%) had a UES abnormality present. There were no significant differences between the groups in terms of age, gender or any other clinical or demographic profiles. Among those with UES abnormalities, the majority were either hypertensive (41.67%) or had impaired relaxation (37.5%) as compared to hypotensive (20.83%), although this did not reach statistical significance (</w:t>
      </w:r>
      <w:r w:rsidRPr="00D0668B">
        <w:rPr>
          <w:rFonts w:ascii="Book Antiqua" w:hAnsi="Book Antiqua"/>
          <w:bCs/>
          <w:i/>
          <w:color w:val="000000"/>
          <w:kern w:val="36"/>
          <w:sz w:val="24"/>
          <w:szCs w:val="24"/>
        </w:rPr>
        <w:t>P</w:t>
      </w:r>
      <w:r w:rsidRPr="00D0668B">
        <w:rPr>
          <w:rFonts w:ascii="Book Antiqua" w:hAnsi="Book Antiqua"/>
          <w:bCs/>
          <w:color w:val="000000"/>
          <w:kern w:val="36"/>
          <w:sz w:val="24"/>
          <w:szCs w:val="24"/>
        </w:rPr>
        <w:t xml:space="preserve"> = 0.42). There was no specific association between treatment response and treatment type received; however, there was a significant association between UES abnormalities and treatment response. In patients with achalasia and concomitant UES abnormalities, 87.5% had poor treatment response, while only 12.5% had favorable response. In contrast, in patients with achalasia and no UES abnormalities, the majority (78.57%) had good treatment response, as compared to 21.43% with poor treatment response (</w:t>
      </w:r>
      <w:r w:rsidRPr="00D0668B">
        <w:rPr>
          <w:rFonts w:ascii="Book Antiqua" w:hAnsi="Book Antiqua"/>
          <w:bCs/>
          <w:i/>
          <w:color w:val="000000"/>
          <w:kern w:val="36"/>
          <w:sz w:val="24"/>
          <w:szCs w:val="24"/>
        </w:rPr>
        <w:t>P</w:t>
      </w:r>
      <w:r w:rsidRPr="00D0668B">
        <w:rPr>
          <w:rFonts w:ascii="Book Antiqua" w:hAnsi="Book Antiqua"/>
          <w:bCs/>
          <w:color w:val="000000"/>
          <w:kern w:val="36"/>
          <w:sz w:val="24"/>
          <w:szCs w:val="24"/>
        </w:rPr>
        <w:t xml:space="preserve"> = 0.0001). After controlling for achalasia sub-type, those with UES abnormality had 26 times greater odds of poor treatment response than those with no UES abnormality (</w:t>
      </w:r>
      <w:r w:rsidRPr="00D0668B">
        <w:rPr>
          <w:rFonts w:ascii="Book Antiqua" w:hAnsi="Book Antiqua"/>
          <w:bCs/>
          <w:i/>
          <w:color w:val="000000"/>
          <w:kern w:val="36"/>
          <w:sz w:val="24"/>
          <w:szCs w:val="24"/>
        </w:rPr>
        <w:t>P</w:t>
      </w:r>
      <w:r w:rsidRPr="00D0668B">
        <w:rPr>
          <w:rFonts w:ascii="Book Antiqua" w:hAnsi="Book Antiqua"/>
          <w:bCs/>
          <w:color w:val="000000"/>
          <w:kern w:val="36"/>
          <w:sz w:val="24"/>
          <w:szCs w:val="24"/>
        </w:rPr>
        <w:t xml:space="preserve"> = 0.009). Similarly, after controlling for treatment type, those with UES abnormality had 13.9 times greater odds of poor treatment response compared to those with no UES abnormality (</w:t>
      </w:r>
      <w:r w:rsidRPr="00D0668B">
        <w:rPr>
          <w:rFonts w:ascii="Book Antiqua" w:hAnsi="Book Antiqua"/>
          <w:bCs/>
          <w:i/>
          <w:color w:val="000000"/>
          <w:kern w:val="36"/>
          <w:sz w:val="24"/>
          <w:szCs w:val="24"/>
        </w:rPr>
        <w:t xml:space="preserve">P </w:t>
      </w:r>
      <w:r w:rsidRPr="00D0668B">
        <w:rPr>
          <w:rFonts w:ascii="Book Antiqua" w:hAnsi="Book Antiqua"/>
          <w:bCs/>
          <w:color w:val="000000"/>
          <w:kern w:val="36"/>
          <w:sz w:val="24"/>
          <w:szCs w:val="24"/>
        </w:rPr>
        <w:t>= 0.017).</w:t>
      </w:r>
    </w:p>
    <w:p w:rsidR="00601C8A" w:rsidRPr="00D0668B" w:rsidRDefault="00601C8A" w:rsidP="006D37F8">
      <w:pPr>
        <w:spacing w:after="0" w:line="360" w:lineRule="auto"/>
        <w:jc w:val="both"/>
        <w:rPr>
          <w:rFonts w:ascii="Book Antiqua" w:hAnsi="Book Antiqua"/>
          <w:bCs/>
          <w:color w:val="000000"/>
          <w:kern w:val="36"/>
          <w:sz w:val="24"/>
          <w:szCs w:val="24"/>
        </w:rPr>
      </w:pPr>
    </w:p>
    <w:p w:rsidR="00601C8A" w:rsidRDefault="00601C8A" w:rsidP="006D37F8">
      <w:pPr>
        <w:spacing w:after="0" w:line="360" w:lineRule="auto"/>
        <w:jc w:val="both"/>
        <w:rPr>
          <w:rFonts w:ascii="Book Antiqua" w:hAnsi="Book Antiqua"/>
          <w:bCs/>
          <w:color w:val="000000"/>
          <w:kern w:val="36"/>
          <w:sz w:val="24"/>
          <w:szCs w:val="24"/>
          <w:lang w:eastAsia="zh-CN"/>
        </w:rPr>
      </w:pPr>
      <w:r>
        <w:rPr>
          <w:rFonts w:ascii="Book Antiqua" w:hAnsi="Book Antiqua"/>
          <w:b/>
          <w:bCs/>
          <w:color w:val="000000"/>
          <w:kern w:val="36"/>
          <w:sz w:val="24"/>
          <w:szCs w:val="24"/>
        </w:rPr>
        <w:t>CONCLUSION</w:t>
      </w:r>
      <w:r w:rsidRPr="00D0668B">
        <w:rPr>
          <w:rFonts w:ascii="Book Antiqua" w:hAnsi="Book Antiqua"/>
          <w:b/>
          <w:bCs/>
          <w:color w:val="000000"/>
          <w:kern w:val="36"/>
          <w:sz w:val="24"/>
          <w:szCs w:val="24"/>
        </w:rPr>
        <w:t>:</w:t>
      </w:r>
      <w:r w:rsidRPr="00D0668B">
        <w:rPr>
          <w:rFonts w:ascii="Book Antiqua" w:hAnsi="Book Antiqua"/>
          <w:bCs/>
          <w:color w:val="000000"/>
          <w:kern w:val="36"/>
          <w:sz w:val="24"/>
          <w:szCs w:val="24"/>
        </w:rPr>
        <w:t xml:space="preserve"> The presence of UES abnormalities in patients with achalasia significantly predicted poorer treatment response as compared to those with normal UES function. </w:t>
      </w:r>
    </w:p>
    <w:p w:rsidR="00601C8A" w:rsidRPr="00D0668B" w:rsidRDefault="00601C8A" w:rsidP="006D37F8">
      <w:pPr>
        <w:spacing w:after="0" w:line="360" w:lineRule="auto"/>
        <w:jc w:val="both"/>
        <w:rPr>
          <w:rFonts w:ascii="Book Antiqua" w:hAnsi="Book Antiqua"/>
          <w:bCs/>
          <w:color w:val="000000"/>
          <w:kern w:val="36"/>
          <w:sz w:val="24"/>
          <w:szCs w:val="24"/>
          <w:lang w:eastAsia="zh-CN"/>
        </w:rPr>
      </w:pPr>
    </w:p>
    <w:p w:rsidR="00601C8A" w:rsidRPr="00D0668B" w:rsidRDefault="00601C8A" w:rsidP="006D37F8">
      <w:pPr>
        <w:spacing w:after="0" w:line="360" w:lineRule="auto"/>
        <w:jc w:val="both"/>
        <w:rPr>
          <w:rFonts w:ascii="Book Antiqua" w:hAnsi="Book Antiqua"/>
          <w:sz w:val="24"/>
          <w:szCs w:val="24"/>
        </w:rPr>
      </w:pPr>
      <w:r w:rsidRPr="00D0668B">
        <w:rPr>
          <w:rFonts w:ascii="Book Antiqua" w:hAnsi="Book Antiqua"/>
          <w:sz w:val="24"/>
          <w:szCs w:val="24"/>
        </w:rPr>
        <w:t>© 2014 Baishideng Publishing Group Co., Limited. All rights reserved.</w:t>
      </w:r>
    </w:p>
    <w:bookmarkEnd w:id="12"/>
    <w:bookmarkEnd w:id="13"/>
    <w:bookmarkEnd w:id="14"/>
    <w:p w:rsidR="00601C8A" w:rsidRPr="00D0668B" w:rsidRDefault="00601C8A" w:rsidP="006D37F8">
      <w:pPr>
        <w:spacing w:after="0" w:line="360" w:lineRule="auto"/>
        <w:jc w:val="both"/>
        <w:rPr>
          <w:rFonts w:ascii="Book Antiqua" w:hAnsi="Book Antiqua" w:cs="Arial Unicode MS"/>
          <w:b/>
          <w:sz w:val="24"/>
          <w:szCs w:val="24"/>
          <w:lang w:eastAsia="zh-CN"/>
        </w:rPr>
      </w:pPr>
    </w:p>
    <w:p w:rsidR="00601C8A" w:rsidRDefault="00601C8A" w:rsidP="006D37F8">
      <w:pPr>
        <w:spacing w:after="0" w:line="360" w:lineRule="auto"/>
        <w:jc w:val="both"/>
        <w:rPr>
          <w:rFonts w:ascii="Book Antiqua" w:hAnsi="Book Antiqua" w:cs="Arial Unicode MS"/>
          <w:sz w:val="24"/>
          <w:szCs w:val="24"/>
          <w:lang w:eastAsia="zh-CN"/>
        </w:rPr>
      </w:pPr>
      <w:bookmarkStart w:id="16" w:name="OLE_LINK363"/>
      <w:bookmarkStart w:id="17" w:name="OLE_LINK364"/>
      <w:bookmarkStart w:id="18" w:name="OLE_LINK254"/>
      <w:r w:rsidRPr="00D0668B">
        <w:rPr>
          <w:rFonts w:ascii="Book Antiqua" w:hAnsi="Book Antiqua" w:cs="Arial Unicode MS"/>
          <w:b/>
          <w:sz w:val="24"/>
          <w:szCs w:val="24"/>
        </w:rPr>
        <w:t>Key</w:t>
      </w:r>
      <w:r>
        <w:rPr>
          <w:rFonts w:ascii="Book Antiqua" w:hAnsi="Book Antiqua" w:cs="Arial Unicode MS"/>
          <w:b/>
          <w:sz w:val="24"/>
          <w:szCs w:val="24"/>
          <w:lang w:eastAsia="zh-CN"/>
        </w:rPr>
        <w:t xml:space="preserve"> </w:t>
      </w:r>
      <w:r w:rsidRPr="00D0668B">
        <w:rPr>
          <w:rFonts w:ascii="Book Antiqua" w:hAnsi="Book Antiqua" w:cs="Arial Unicode MS"/>
          <w:b/>
          <w:sz w:val="24"/>
          <w:szCs w:val="24"/>
        </w:rPr>
        <w:t>words</w:t>
      </w:r>
      <w:bookmarkStart w:id="19" w:name="OLE_LINK105"/>
      <w:bookmarkStart w:id="20" w:name="OLE_LINK116"/>
      <w:bookmarkEnd w:id="16"/>
      <w:bookmarkEnd w:id="17"/>
      <w:r>
        <w:rPr>
          <w:rFonts w:ascii="Book Antiqua" w:hAnsi="Book Antiqua" w:cs="Arial Unicode MS"/>
          <w:b/>
          <w:sz w:val="24"/>
          <w:szCs w:val="24"/>
          <w:lang w:eastAsia="zh-CN"/>
        </w:rPr>
        <w:t xml:space="preserve">: </w:t>
      </w:r>
      <w:r w:rsidRPr="00D0668B">
        <w:rPr>
          <w:rFonts w:ascii="Book Antiqua" w:hAnsi="Book Antiqua" w:cs="Arial Unicode MS"/>
          <w:sz w:val="24"/>
          <w:szCs w:val="24"/>
        </w:rPr>
        <w:t>Upper esophageal sphincter; Achalasia; Motility; Dysphagia; Esophageal disorders</w:t>
      </w:r>
    </w:p>
    <w:p w:rsidR="00601C8A" w:rsidRPr="00D0668B" w:rsidRDefault="00601C8A" w:rsidP="006D37F8">
      <w:pPr>
        <w:spacing w:after="0" w:line="360" w:lineRule="auto"/>
        <w:jc w:val="both"/>
        <w:rPr>
          <w:rFonts w:ascii="Book Antiqua" w:hAnsi="Book Antiqua" w:cs="Arial Unicode MS"/>
          <w:b/>
          <w:sz w:val="24"/>
          <w:szCs w:val="24"/>
          <w:lang w:eastAsia="zh-CN"/>
        </w:rPr>
      </w:pPr>
    </w:p>
    <w:p w:rsidR="00601C8A" w:rsidRDefault="00601C8A" w:rsidP="006D37F8">
      <w:pPr>
        <w:spacing w:after="0" w:line="360" w:lineRule="auto"/>
        <w:jc w:val="both"/>
        <w:rPr>
          <w:rFonts w:ascii="Book Antiqua" w:hAnsi="Book Antiqua" w:cs="Tahoma"/>
          <w:sz w:val="24"/>
          <w:szCs w:val="24"/>
          <w:lang w:eastAsia="zh-CN"/>
        </w:rPr>
      </w:pPr>
      <w:bookmarkStart w:id="21" w:name="OLE_LINK101"/>
      <w:bookmarkStart w:id="22" w:name="OLE_LINK107"/>
      <w:bookmarkStart w:id="23" w:name="OLE_LINK350"/>
      <w:bookmarkStart w:id="24" w:name="OLE_LINK351"/>
      <w:bookmarkEnd w:id="19"/>
      <w:bookmarkEnd w:id="20"/>
      <w:r w:rsidRPr="00D0668B">
        <w:rPr>
          <w:rFonts w:ascii="Book Antiqua" w:hAnsi="Book Antiqua" w:cs="Arial Unicode MS"/>
          <w:b/>
          <w:sz w:val="24"/>
          <w:szCs w:val="24"/>
        </w:rPr>
        <w:t>Core tip:</w:t>
      </w:r>
      <w:bookmarkEnd w:id="21"/>
      <w:bookmarkEnd w:id="22"/>
      <w:r>
        <w:rPr>
          <w:rFonts w:ascii="Book Antiqua" w:hAnsi="Book Antiqua" w:cs="Arial Unicode MS"/>
          <w:b/>
          <w:sz w:val="24"/>
          <w:szCs w:val="24"/>
          <w:lang w:eastAsia="zh-CN"/>
        </w:rPr>
        <w:t xml:space="preserve"> </w:t>
      </w:r>
      <w:r w:rsidRPr="00D0668B">
        <w:rPr>
          <w:rFonts w:ascii="Book Antiqua" w:hAnsi="Book Antiqua" w:cs="Tahoma"/>
          <w:sz w:val="24"/>
          <w:szCs w:val="24"/>
        </w:rPr>
        <w:t xml:space="preserve">Our study highlights how the presence of </w:t>
      </w:r>
      <w:r w:rsidRPr="00D0668B">
        <w:rPr>
          <w:rFonts w:ascii="Book Antiqua" w:hAnsi="Book Antiqua"/>
          <w:bCs/>
          <w:color w:val="000000"/>
          <w:kern w:val="36"/>
          <w:sz w:val="24"/>
          <w:szCs w:val="24"/>
        </w:rPr>
        <w:t xml:space="preserve">Upper esophageal sphincter </w:t>
      </w:r>
      <w:r>
        <w:rPr>
          <w:rFonts w:ascii="Book Antiqua" w:hAnsi="Book Antiqua"/>
          <w:bCs/>
          <w:color w:val="000000"/>
          <w:kern w:val="36"/>
          <w:sz w:val="24"/>
          <w:szCs w:val="24"/>
          <w:lang w:eastAsia="zh-CN"/>
        </w:rPr>
        <w:t>(</w:t>
      </w:r>
      <w:r w:rsidRPr="00D0668B">
        <w:rPr>
          <w:rFonts w:ascii="Book Antiqua" w:hAnsi="Book Antiqua"/>
          <w:bCs/>
          <w:color w:val="000000"/>
          <w:kern w:val="36"/>
          <w:sz w:val="24"/>
          <w:szCs w:val="24"/>
        </w:rPr>
        <w:t>UES</w:t>
      </w:r>
      <w:r>
        <w:rPr>
          <w:rFonts w:ascii="Book Antiqua" w:hAnsi="Book Antiqua"/>
          <w:bCs/>
          <w:color w:val="000000"/>
          <w:kern w:val="36"/>
          <w:sz w:val="24"/>
          <w:szCs w:val="24"/>
          <w:lang w:eastAsia="zh-CN"/>
        </w:rPr>
        <w:t xml:space="preserve">) </w:t>
      </w:r>
      <w:r w:rsidRPr="00D0668B">
        <w:rPr>
          <w:rFonts w:ascii="Book Antiqua" w:hAnsi="Book Antiqua" w:cs="Tahoma"/>
          <w:sz w:val="24"/>
          <w:szCs w:val="24"/>
        </w:rPr>
        <w:t>abnormalities in patients with achalasia significantly predicted poorer treatment response as compared to those with normal UES function, irrespective of the type of treatment received or achalasia sub-type</w:t>
      </w:r>
      <w:r>
        <w:rPr>
          <w:rFonts w:ascii="Book Antiqua" w:hAnsi="Book Antiqua" w:cs="Tahoma"/>
          <w:sz w:val="24"/>
          <w:szCs w:val="24"/>
        </w:rPr>
        <w:t>.</w:t>
      </w:r>
      <w:r w:rsidRPr="00D0668B">
        <w:rPr>
          <w:rFonts w:ascii="Book Antiqua" w:hAnsi="Book Antiqua" w:cs="Tahoma"/>
          <w:sz w:val="24"/>
          <w:szCs w:val="24"/>
        </w:rPr>
        <w:t xml:space="preserve"> We believe this finding is novel and represents an opportunity to more fully characterize upper esophageal sphincter pathology in a clinical context</w:t>
      </w:r>
      <w:r>
        <w:rPr>
          <w:rFonts w:ascii="Book Antiqua" w:hAnsi="Book Antiqua" w:cs="Tahoma"/>
          <w:sz w:val="24"/>
          <w:szCs w:val="24"/>
          <w:lang w:eastAsia="zh-CN"/>
        </w:rPr>
        <w:t>.</w:t>
      </w:r>
    </w:p>
    <w:p w:rsidR="00601C8A" w:rsidRPr="00D0668B" w:rsidRDefault="00601C8A" w:rsidP="006D37F8">
      <w:pPr>
        <w:spacing w:after="0" w:line="360" w:lineRule="auto"/>
        <w:jc w:val="both"/>
        <w:rPr>
          <w:rFonts w:ascii="Book Antiqua" w:hAnsi="Book Antiqua" w:cs="Arial Unicode MS"/>
          <w:b/>
          <w:sz w:val="24"/>
          <w:szCs w:val="24"/>
          <w:lang w:eastAsia="zh-CN"/>
        </w:rPr>
      </w:pPr>
    </w:p>
    <w:p w:rsidR="00601C8A" w:rsidRPr="005C6EA5" w:rsidRDefault="00601C8A" w:rsidP="006D37F8">
      <w:pPr>
        <w:adjustRightInd w:val="0"/>
        <w:snapToGrid w:val="0"/>
        <w:spacing w:after="0" w:line="360" w:lineRule="auto"/>
        <w:jc w:val="both"/>
        <w:rPr>
          <w:rFonts w:ascii="Book Antiqua" w:hAnsi="Book Antiqua" w:cs="Tahoma"/>
          <w:sz w:val="24"/>
          <w:szCs w:val="24"/>
          <w:lang w:eastAsia="zh-CN"/>
        </w:rPr>
      </w:pPr>
      <w:bookmarkStart w:id="25" w:name="OLE_LINK130"/>
      <w:bookmarkStart w:id="26" w:name="OLE_LINK134"/>
      <w:r w:rsidRPr="00D0668B">
        <w:rPr>
          <w:rFonts w:ascii="Book Antiqua" w:hAnsi="Book Antiqua" w:cs="Tahoma"/>
          <w:sz w:val="24"/>
          <w:szCs w:val="24"/>
        </w:rPr>
        <w:t xml:space="preserve">Mathews SC, </w:t>
      </w:r>
      <w:r w:rsidRPr="00D0668B">
        <w:rPr>
          <w:rFonts w:ascii="Book Antiqua" w:hAnsi="Book Antiqua"/>
          <w:kern w:val="36"/>
          <w:sz w:val="24"/>
          <w:szCs w:val="24"/>
        </w:rPr>
        <w:t>Ciarleglio</w:t>
      </w:r>
      <w:r>
        <w:rPr>
          <w:rFonts w:ascii="Book Antiqua" w:hAnsi="Book Antiqua"/>
          <w:kern w:val="36"/>
          <w:sz w:val="24"/>
          <w:szCs w:val="24"/>
        </w:rPr>
        <w:t xml:space="preserve"> M,</w:t>
      </w:r>
      <w:r w:rsidRPr="00D0668B">
        <w:rPr>
          <w:rFonts w:ascii="Book Antiqua" w:hAnsi="Book Antiqua" w:cs="Tahoma"/>
          <w:sz w:val="24"/>
          <w:szCs w:val="24"/>
        </w:rPr>
        <w:t xml:space="preserve"> </w:t>
      </w:r>
      <w:r w:rsidRPr="00D0668B">
        <w:rPr>
          <w:rFonts w:ascii="Book Antiqua" w:hAnsi="Book Antiqua"/>
          <w:kern w:val="36"/>
          <w:sz w:val="24"/>
          <w:szCs w:val="24"/>
        </w:rPr>
        <w:t>Chavez</w:t>
      </w:r>
      <w:r w:rsidRPr="00D0668B">
        <w:rPr>
          <w:rFonts w:ascii="Book Antiqua" w:hAnsi="Book Antiqua" w:cs="Tahoma"/>
          <w:sz w:val="24"/>
          <w:szCs w:val="24"/>
        </w:rPr>
        <w:t xml:space="preserve"> Y, Clarke JO, Stein E, Roland BC. Upper esophageal sphincter abnormalities are strongly predictive of treatment response in patients with achalasia.</w:t>
      </w:r>
      <w:r>
        <w:rPr>
          <w:rFonts w:ascii="Book Antiqua" w:hAnsi="Book Antiqua" w:cs="Tahoma"/>
          <w:sz w:val="24"/>
          <w:szCs w:val="24"/>
          <w:lang w:eastAsia="zh-CN"/>
        </w:rPr>
        <w:t xml:space="preserve"> </w:t>
      </w:r>
      <w:r w:rsidR="00742006" w:rsidRPr="00B0066F">
        <w:rPr>
          <w:rFonts w:ascii="Book Antiqua" w:hAnsi="Book Antiqua"/>
          <w:i/>
          <w:iCs/>
          <w:sz w:val="24"/>
          <w:szCs w:val="24"/>
        </w:rPr>
        <w:t>World J Clin Cases</w:t>
      </w:r>
      <w:r>
        <w:rPr>
          <w:rFonts w:ascii="Book Antiqua" w:hAnsi="Book Antiqua"/>
          <w:sz w:val="24"/>
          <w:szCs w:val="24"/>
        </w:rPr>
        <w:t xml:space="preserve"> 2014;</w:t>
      </w:r>
      <w:r w:rsidRPr="00D0668B">
        <w:rPr>
          <w:rFonts w:ascii="Book Antiqua" w:hAnsi="Book Antiqua"/>
          <w:sz w:val="24"/>
          <w:szCs w:val="24"/>
        </w:rPr>
        <w:t xml:space="preserve"> </w:t>
      </w:r>
      <w:r w:rsidRPr="005C6EA5">
        <w:rPr>
          <w:rFonts w:ascii="Book Antiqua" w:hAnsi="Book Antiqua"/>
          <w:sz w:val="24"/>
          <w:szCs w:val="24"/>
        </w:rPr>
        <w:t>In press</w:t>
      </w:r>
    </w:p>
    <w:bookmarkEnd w:id="18"/>
    <w:bookmarkEnd w:id="23"/>
    <w:bookmarkEnd w:id="24"/>
    <w:bookmarkEnd w:id="25"/>
    <w:bookmarkEnd w:id="26"/>
    <w:p w:rsidR="00601C8A" w:rsidRPr="00D0668B" w:rsidRDefault="00601C8A" w:rsidP="006D37F8">
      <w:pPr>
        <w:spacing w:after="0" w:line="360" w:lineRule="auto"/>
        <w:jc w:val="both"/>
        <w:rPr>
          <w:rFonts w:ascii="Book Antiqua" w:hAnsi="Book Antiqua"/>
          <w:b/>
          <w:i/>
          <w:sz w:val="24"/>
          <w:szCs w:val="24"/>
        </w:rPr>
      </w:pPr>
      <w:r w:rsidRPr="00D0668B">
        <w:rPr>
          <w:rFonts w:ascii="Book Antiqua" w:hAnsi="Book Antiqua"/>
          <w:b/>
          <w:i/>
          <w:sz w:val="24"/>
          <w:szCs w:val="24"/>
        </w:rPr>
        <w:br w:type="page"/>
      </w:r>
    </w:p>
    <w:p w:rsidR="00601C8A" w:rsidRPr="00D0668B" w:rsidRDefault="00601C8A" w:rsidP="006D37F8">
      <w:pPr>
        <w:spacing w:after="0" w:line="360" w:lineRule="auto"/>
        <w:jc w:val="both"/>
        <w:rPr>
          <w:rFonts w:ascii="Book Antiqua" w:hAnsi="Book Antiqua"/>
          <w:b/>
          <w:sz w:val="24"/>
          <w:szCs w:val="24"/>
        </w:rPr>
      </w:pPr>
      <w:r w:rsidRPr="00D0668B">
        <w:rPr>
          <w:rFonts w:ascii="Book Antiqua" w:hAnsi="Book Antiqua"/>
          <w:b/>
          <w:sz w:val="24"/>
          <w:szCs w:val="24"/>
        </w:rPr>
        <w:t>INTRODUCTION</w:t>
      </w:r>
    </w:p>
    <w:p w:rsidR="00601C8A" w:rsidRPr="00D0668B" w:rsidRDefault="00601C8A" w:rsidP="006D37F8">
      <w:pPr>
        <w:spacing w:after="0" w:line="360" w:lineRule="auto"/>
        <w:jc w:val="both"/>
        <w:rPr>
          <w:rFonts w:ascii="Book Antiqua" w:hAnsi="Book Antiqua"/>
          <w:sz w:val="24"/>
          <w:szCs w:val="24"/>
        </w:rPr>
      </w:pPr>
      <w:r w:rsidRPr="00D0668B">
        <w:rPr>
          <w:rFonts w:ascii="Book Antiqua" w:hAnsi="Book Antiqua"/>
          <w:sz w:val="24"/>
          <w:szCs w:val="24"/>
        </w:rPr>
        <w:t>Esophageal manometry has primarily been used to evaluate disorders of the esophageal body and lower esophageal sphincter. The introduction of high resolution esophageal manometry (HREM) has allowed the additional ability to assess the function of the upper esophageal sphincter (UES). While a wide spectrum of abnormalities such as alterations of resting UES pressures and impaired relaxation have been described in association with various motility disorders, the current Chicago Classification for manometric disorders</w:t>
      </w:r>
      <w:r w:rsidRPr="00D0668B">
        <w:rPr>
          <w:rFonts w:ascii="Book Antiqua" w:hAnsi="Book Antiqua"/>
          <w:sz w:val="24"/>
          <w:szCs w:val="24"/>
          <w:vertAlign w:val="superscript"/>
          <w:lang w:eastAsia="zh-CN"/>
        </w:rPr>
        <w:t>[</w:t>
      </w:r>
      <w:r w:rsidRPr="00D0668B">
        <w:rPr>
          <w:rFonts w:ascii="Book Antiqua" w:hAnsi="Book Antiqua"/>
          <w:sz w:val="24"/>
          <w:szCs w:val="24"/>
          <w:vertAlign w:val="superscript"/>
        </w:rPr>
        <w:t>1</w:t>
      </w:r>
      <w:r w:rsidRPr="00D0668B">
        <w:rPr>
          <w:rFonts w:ascii="Book Antiqua" w:hAnsi="Book Antiqua"/>
          <w:sz w:val="24"/>
          <w:szCs w:val="24"/>
          <w:vertAlign w:val="superscript"/>
          <w:lang w:eastAsia="zh-CN"/>
        </w:rPr>
        <w:t>]</w:t>
      </w:r>
      <w:r w:rsidRPr="00D0668B">
        <w:rPr>
          <w:rFonts w:ascii="Book Antiqua" w:hAnsi="Book Antiqua"/>
          <w:sz w:val="24"/>
          <w:szCs w:val="24"/>
        </w:rPr>
        <w:t xml:space="preserve"> does not comment on UES findings. In addition, these abnormalities are often interpreted as incidental findings with no clearly defined clinical significance</w:t>
      </w:r>
      <w:r w:rsidRPr="00D0668B">
        <w:rPr>
          <w:rFonts w:ascii="Book Antiqua" w:hAnsi="Book Antiqua"/>
          <w:sz w:val="24"/>
          <w:szCs w:val="24"/>
          <w:vertAlign w:val="superscript"/>
        </w:rPr>
        <w:t>[2]</w:t>
      </w:r>
      <w:r w:rsidRPr="00D0668B">
        <w:rPr>
          <w:rFonts w:ascii="Book Antiqua" w:hAnsi="Book Antiqua"/>
          <w:sz w:val="24"/>
          <w:szCs w:val="24"/>
        </w:rPr>
        <w:t xml:space="preserve">. </w:t>
      </w:r>
    </w:p>
    <w:p w:rsidR="00601C8A" w:rsidRPr="00D0668B" w:rsidRDefault="00601C8A" w:rsidP="006D37F8">
      <w:pPr>
        <w:spacing w:after="0" w:line="360" w:lineRule="auto"/>
        <w:ind w:firstLineChars="200" w:firstLine="480"/>
        <w:jc w:val="both"/>
        <w:rPr>
          <w:rFonts w:ascii="Book Antiqua" w:hAnsi="Book Antiqua"/>
          <w:sz w:val="24"/>
          <w:szCs w:val="24"/>
        </w:rPr>
      </w:pPr>
      <w:r w:rsidRPr="00D0668B">
        <w:rPr>
          <w:rFonts w:ascii="Book Antiqua" w:hAnsi="Book Antiqua"/>
          <w:sz w:val="24"/>
          <w:szCs w:val="24"/>
        </w:rPr>
        <w:t>Manometric abnormalities of the UES have been documented in numerous settings, including as a function of aging</w:t>
      </w:r>
      <w:r w:rsidRPr="00D0668B">
        <w:rPr>
          <w:rFonts w:ascii="Book Antiqua" w:hAnsi="Book Antiqua"/>
          <w:sz w:val="24"/>
          <w:szCs w:val="24"/>
          <w:vertAlign w:val="superscript"/>
        </w:rPr>
        <w:t>[3-6]</w:t>
      </w:r>
      <w:r w:rsidRPr="00D0668B">
        <w:rPr>
          <w:rFonts w:ascii="Book Antiqua" w:hAnsi="Book Antiqua"/>
          <w:sz w:val="24"/>
          <w:szCs w:val="24"/>
        </w:rPr>
        <w:t>. They have also been reported in association with specific motility disorders and symptoms including achalasia</w:t>
      </w:r>
      <w:r w:rsidRPr="00D0668B">
        <w:rPr>
          <w:rFonts w:ascii="Book Antiqua" w:hAnsi="Book Antiqua"/>
          <w:sz w:val="24"/>
          <w:szCs w:val="24"/>
          <w:vertAlign w:val="superscript"/>
        </w:rPr>
        <w:t>[7-10]</w:t>
      </w:r>
      <w:r w:rsidRPr="00D0668B">
        <w:rPr>
          <w:rFonts w:ascii="Book Antiqua" w:hAnsi="Book Antiqua"/>
          <w:sz w:val="24"/>
          <w:szCs w:val="24"/>
        </w:rPr>
        <w:t>, dysphagia</w:t>
      </w:r>
      <w:r w:rsidRPr="00D0668B">
        <w:rPr>
          <w:rFonts w:ascii="Book Antiqua" w:hAnsi="Book Antiqua"/>
          <w:sz w:val="24"/>
          <w:szCs w:val="24"/>
          <w:vertAlign w:val="superscript"/>
        </w:rPr>
        <w:t>[11-13]</w:t>
      </w:r>
      <w:r w:rsidRPr="00D0668B">
        <w:rPr>
          <w:rFonts w:ascii="Book Antiqua" w:hAnsi="Book Antiqua"/>
          <w:sz w:val="24"/>
          <w:szCs w:val="24"/>
        </w:rPr>
        <w:t>, Parkinson’s disease</w:t>
      </w:r>
      <w:r w:rsidRPr="00D0668B">
        <w:rPr>
          <w:rFonts w:ascii="Book Antiqua" w:hAnsi="Book Antiqua"/>
          <w:sz w:val="24"/>
          <w:szCs w:val="24"/>
          <w:vertAlign w:val="superscript"/>
        </w:rPr>
        <w:t>[14-16]</w:t>
      </w:r>
      <w:r w:rsidRPr="00D0668B">
        <w:rPr>
          <w:rFonts w:ascii="Book Antiqua" w:hAnsi="Book Antiqua"/>
          <w:sz w:val="24"/>
          <w:szCs w:val="24"/>
        </w:rPr>
        <w:t>, oculopharyngeal muscular dystrophy</w:t>
      </w:r>
      <w:r w:rsidRPr="00D0668B">
        <w:rPr>
          <w:rFonts w:ascii="Book Antiqua" w:hAnsi="Book Antiqua"/>
          <w:sz w:val="24"/>
          <w:szCs w:val="24"/>
          <w:vertAlign w:val="superscript"/>
        </w:rPr>
        <w:t>[17]</w:t>
      </w:r>
      <w:r w:rsidRPr="00D0668B">
        <w:rPr>
          <w:rFonts w:ascii="Book Antiqua" w:hAnsi="Book Antiqua"/>
          <w:sz w:val="24"/>
          <w:szCs w:val="24"/>
        </w:rPr>
        <w:t>, cricopharyngeal bar</w:t>
      </w:r>
      <w:r w:rsidRPr="00D0668B">
        <w:rPr>
          <w:rFonts w:ascii="Book Antiqua" w:hAnsi="Book Antiqua"/>
          <w:sz w:val="24"/>
          <w:szCs w:val="24"/>
          <w:vertAlign w:val="superscript"/>
        </w:rPr>
        <w:t>[18]</w:t>
      </w:r>
      <w:r w:rsidRPr="00D0668B">
        <w:rPr>
          <w:rFonts w:ascii="Book Antiqua" w:hAnsi="Book Antiqua"/>
          <w:sz w:val="24"/>
          <w:szCs w:val="24"/>
        </w:rPr>
        <w:t>, globus</w:t>
      </w:r>
      <w:r w:rsidRPr="00D0668B">
        <w:rPr>
          <w:rFonts w:ascii="Book Antiqua" w:hAnsi="Book Antiqua"/>
          <w:sz w:val="24"/>
          <w:szCs w:val="24"/>
          <w:vertAlign w:val="superscript"/>
        </w:rPr>
        <w:t>[19]</w:t>
      </w:r>
      <w:r w:rsidRPr="00D0668B">
        <w:rPr>
          <w:rFonts w:ascii="Book Antiqua" w:hAnsi="Book Antiqua"/>
          <w:sz w:val="24"/>
          <w:szCs w:val="24"/>
        </w:rPr>
        <w:t>, Zenker’s diverticulum</w:t>
      </w:r>
      <w:r w:rsidRPr="00D0668B">
        <w:rPr>
          <w:rFonts w:ascii="Book Antiqua" w:hAnsi="Book Antiqua"/>
          <w:sz w:val="24"/>
          <w:szCs w:val="24"/>
          <w:vertAlign w:val="superscript"/>
        </w:rPr>
        <w:t>[20]</w:t>
      </w:r>
      <w:r w:rsidRPr="00D0668B">
        <w:rPr>
          <w:rFonts w:ascii="Book Antiqua" w:hAnsi="Book Antiqua"/>
          <w:sz w:val="24"/>
          <w:szCs w:val="24"/>
        </w:rPr>
        <w:t>, and scleroderma</w:t>
      </w:r>
      <w:r w:rsidRPr="00D0668B">
        <w:rPr>
          <w:rFonts w:ascii="Book Antiqua" w:hAnsi="Book Antiqua"/>
          <w:sz w:val="24"/>
          <w:szCs w:val="24"/>
          <w:vertAlign w:val="superscript"/>
        </w:rPr>
        <w:t>[21]</w:t>
      </w:r>
      <w:r w:rsidRPr="00D0668B">
        <w:rPr>
          <w:rFonts w:ascii="Book Antiqua" w:hAnsi="Book Antiqua"/>
          <w:sz w:val="24"/>
          <w:szCs w:val="24"/>
        </w:rPr>
        <w:t>. However, the relationship and role of UES abnormalities in the context of motility disorders, specifically achalasia, remain unclear. While prior studies have demonstrated manometric UES abnormalities in achalasia</w:t>
      </w:r>
      <w:r w:rsidRPr="00D0668B">
        <w:rPr>
          <w:rFonts w:ascii="Book Antiqua" w:hAnsi="Book Antiqua"/>
          <w:sz w:val="24"/>
          <w:szCs w:val="24"/>
          <w:vertAlign w:val="superscript"/>
        </w:rPr>
        <w:t>[7-10]</w:t>
      </w:r>
      <w:r w:rsidRPr="00D0668B">
        <w:rPr>
          <w:rFonts w:ascii="Book Antiqua" w:hAnsi="Book Antiqua"/>
          <w:sz w:val="24"/>
          <w:szCs w:val="24"/>
        </w:rPr>
        <w:t>, its clinical relevance and effects on therapeutic outcomes has not been fully characterized and remains poorly understood</w:t>
      </w:r>
      <w:r w:rsidRPr="00D0668B">
        <w:rPr>
          <w:rFonts w:ascii="Book Antiqua" w:hAnsi="Book Antiqua"/>
          <w:sz w:val="24"/>
          <w:szCs w:val="24"/>
          <w:vertAlign w:val="superscript"/>
        </w:rPr>
        <w:t>[22]</w:t>
      </w:r>
      <w:r w:rsidRPr="00D0668B">
        <w:rPr>
          <w:rFonts w:ascii="Book Antiqua" w:hAnsi="Book Antiqua"/>
          <w:sz w:val="24"/>
          <w:szCs w:val="24"/>
        </w:rPr>
        <w:t>.</w:t>
      </w:r>
    </w:p>
    <w:p w:rsidR="00601C8A" w:rsidRPr="00D0668B" w:rsidRDefault="00601C8A" w:rsidP="006D37F8">
      <w:pPr>
        <w:spacing w:after="0" w:line="360" w:lineRule="auto"/>
        <w:ind w:firstLineChars="200" w:firstLine="480"/>
        <w:jc w:val="both"/>
        <w:rPr>
          <w:rFonts w:ascii="Book Antiqua" w:hAnsi="Book Antiqua"/>
          <w:sz w:val="24"/>
          <w:szCs w:val="24"/>
        </w:rPr>
      </w:pPr>
      <w:r w:rsidRPr="00D0668B">
        <w:rPr>
          <w:rFonts w:ascii="Book Antiqua" w:hAnsi="Book Antiqua"/>
          <w:sz w:val="24"/>
          <w:szCs w:val="24"/>
        </w:rPr>
        <w:t>We hypothesized that UES abnormalities in association with achalasia may have significant clinical implications and may be useful as a predictor of treatment response. The primary aim of this study was therefore to assess the frequency and type of UES abnormalities in patients referred for HREM with a manometric diagnosis of achalasia. The secondary aims were to further characterize the correlation of specific UES abnormalities with achalasia sub-type and clinical characteristics and to additionally assess for differences in treatment response based on the presence or absence of UES abnormality.</w:t>
      </w:r>
    </w:p>
    <w:p w:rsidR="00601C8A" w:rsidRPr="00D0668B" w:rsidRDefault="00601C8A" w:rsidP="006D37F8">
      <w:pPr>
        <w:spacing w:after="0" w:line="360" w:lineRule="auto"/>
        <w:jc w:val="both"/>
        <w:rPr>
          <w:rFonts w:ascii="Book Antiqua" w:hAnsi="Book Antiqua"/>
          <w:sz w:val="24"/>
          <w:szCs w:val="24"/>
        </w:rPr>
      </w:pPr>
    </w:p>
    <w:p w:rsidR="00601C8A" w:rsidRPr="00D0668B" w:rsidRDefault="00601C8A" w:rsidP="006D37F8">
      <w:pPr>
        <w:spacing w:after="0" w:line="360" w:lineRule="auto"/>
        <w:jc w:val="both"/>
        <w:rPr>
          <w:rFonts w:ascii="Book Antiqua" w:hAnsi="Book Antiqua"/>
          <w:b/>
          <w:sz w:val="24"/>
          <w:szCs w:val="24"/>
        </w:rPr>
      </w:pPr>
      <w:bookmarkStart w:id="27" w:name="OLE_LINK337"/>
      <w:bookmarkStart w:id="28" w:name="OLE_LINK338"/>
      <w:r w:rsidRPr="00D0668B">
        <w:rPr>
          <w:rFonts w:ascii="Book Antiqua" w:hAnsi="Book Antiqua"/>
          <w:b/>
          <w:sz w:val="24"/>
          <w:szCs w:val="24"/>
        </w:rPr>
        <w:t>MATERIALS AND METHODS</w:t>
      </w:r>
    </w:p>
    <w:bookmarkEnd w:id="27"/>
    <w:bookmarkEnd w:id="28"/>
    <w:p w:rsidR="00601C8A" w:rsidRPr="00D0668B" w:rsidRDefault="00601C8A" w:rsidP="006D37F8">
      <w:pPr>
        <w:spacing w:after="0" w:line="360" w:lineRule="auto"/>
        <w:jc w:val="both"/>
        <w:rPr>
          <w:rFonts w:ascii="Book Antiqua" w:hAnsi="Book Antiqua"/>
          <w:b/>
          <w:i/>
          <w:sz w:val="24"/>
          <w:szCs w:val="24"/>
          <w:lang w:eastAsia="zh-CN"/>
        </w:rPr>
      </w:pPr>
      <w:r w:rsidRPr="00D0668B">
        <w:rPr>
          <w:rFonts w:ascii="Book Antiqua" w:hAnsi="Book Antiqua"/>
          <w:b/>
          <w:i/>
          <w:sz w:val="24"/>
          <w:szCs w:val="24"/>
        </w:rPr>
        <w:t>Subjects and study protocol</w:t>
      </w:r>
    </w:p>
    <w:p w:rsidR="00601C8A" w:rsidRDefault="00601C8A" w:rsidP="006D37F8">
      <w:pPr>
        <w:spacing w:after="0" w:line="360" w:lineRule="auto"/>
        <w:jc w:val="both"/>
        <w:rPr>
          <w:rFonts w:ascii="Book Antiqua" w:hAnsi="Book Antiqua"/>
          <w:sz w:val="24"/>
          <w:szCs w:val="24"/>
          <w:lang w:eastAsia="zh-CN"/>
        </w:rPr>
      </w:pPr>
      <w:r w:rsidRPr="00D0668B">
        <w:rPr>
          <w:rFonts w:ascii="Book Antiqua" w:hAnsi="Book Antiqua"/>
          <w:sz w:val="24"/>
          <w:szCs w:val="24"/>
        </w:rPr>
        <w:t xml:space="preserve">We performed a retrospective study of consecutive patients from October 2011 to November 2012 who underwent high resolution esophageal manometry at the Johns Hopkins Center for Neurogastroenterology and were subsequently diagnosed with Achalasia (Type I, II, or III) defined as based per the current Chicago Classification. Patients with a manometric diagnosis that was consistent with achalasia were subsequently sub-divided into those with normal and abnormal UES function. Primary indications for HREM in these patients included dysphagia, atypical chest pain, cough, belching, globus, regurgitation, nausea and vomiting. The study protocol was approved by the John Hopkins University School of Medicine Institutional Review Board (IRB). Our protocol was in compliance with the Health Insurance Portability and Accountability Act (HIPAA).  </w:t>
      </w:r>
    </w:p>
    <w:p w:rsidR="00601C8A" w:rsidRPr="00D0668B" w:rsidRDefault="00601C8A" w:rsidP="006D37F8">
      <w:pPr>
        <w:spacing w:after="0" w:line="360" w:lineRule="auto"/>
        <w:jc w:val="both"/>
        <w:rPr>
          <w:rFonts w:ascii="Book Antiqua" w:hAnsi="Book Antiqua"/>
          <w:sz w:val="24"/>
          <w:szCs w:val="24"/>
          <w:lang w:eastAsia="zh-CN"/>
        </w:rPr>
      </w:pPr>
    </w:p>
    <w:p w:rsidR="00601C8A" w:rsidRPr="00D0668B" w:rsidRDefault="00601C8A" w:rsidP="006D37F8">
      <w:pPr>
        <w:spacing w:after="0" w:line="360" w:lineRule="auto"/>
        <w:jc w:val="both"/>
        <w:rPr>
          <w:rFonts w:ascii="Book Antiqua" w:hAnsi="Book Antiqua"/>
          <w:b/>
          <w:bCs/>
          <w:i/>
          <w:color w:val="000000"/>
          <w:sz w:val="24"/>
          <w:szCs w:val="24"/>
        </w:rPr>
      </w:pPr>
      <w:r w:rsidRPr="00D0668B">
        <w:rPr>
          <w:rFonts w:ascii="Book Antiqua" w:hAnsi="Book Antiqua"/>
          <w:b/>
          <w:bCs/>
          <w:i/>
          <w:color w:val="000000"/>
          <w:sz w:val="24"/>
          <w:szCs w:val="24"/>
        </w:rPr>
        <w:t>Manometric protocol</w:t>
      </w:r>
    </w:p>
    <w:p w:rsidR="00601C8A" w:rsidRDefault="00601C8A" w:rsidP="006D37F8">
      <w:pPr>
        <w:spacing w:after="0" w:line="360" w:lineRule="auto"/>
        <w:jc w:val="both"/>
        <w:rPr>
          <w:rFonts w:ascii="Book Antiqua" w:hAnsi="Book Antiqua"/>
          <w:bCs/>
          <w:color w:val="000000"/>
          <w:sz w:val="24"/>
          <w:szCs w:val="24"/>
          <w:lang w:eastAsia="zh-CN"/>
        </w:rPr>
      </w:pPr>
      <w:r w:rsidRPr="00D0668B">
        <w:rPr>
          <w:rFonts w:ascii="Book Antiqua" w:hAnsi="Book Antiqua"/>
          <w:bCs/>
          <w:color w:val="000000"/>
          <w:sz w:val="24"/>
          <w:szCs w:val="24"/>
        </w:rPr>
        <w:t>Manometric studies were performed with the patients in the supine position after a minimum 6 hour fasting period. A solid-state high-resolution manometer was used for all data collection (ManoScan360 High Resolution Manometry System, Sierra Scientific Instruments, and Los Angeles, CA). The manometric catheter has an outer diameter of 4 mm and 36 circumferential pressure sensors spaced 1 cm apart. The system is calibrated to record pressures between –20 and 600 mmHg, with fidelity of 2 mmHg. The catheter was positioned so that at least 2 distal sensors were in the stomach and 2 proximal sensors were located above the UES.  The manometric protocol included a 5-min baseline recording, followed by 10 wet swallows of 5 cc water.</w:t>
      </w:r>
    </w:p>
    <w:p w:rsidR="00601C8A" w:rsidRPr="00BC6F1E" w:rsidRDefault="00601C8A" w:rsidP="006D37F8">
      <w:pPr>
        <w:spacing w:after="0" w:line="360" w:lineRule="auto"/>
        <w:jc w:val="both"/>
        <w:rPr>
          <w:rFonts w:ascii="Book Antiqua" w:hAnsi="Book Antiqua"/>
          <w:bCs/>
          <w:color w:val="000000"/>
          <w:sz w:val="24"/>
          <w:szCs w:val="24"/>
          <w:lang w:eastAsia="zh-CN"/>
        </w:rPr>
      </w:pPr>
    </w:p>
    <w:p w:rsidR="00601C8A" w:rsidRPr="00BC6F1E" w:rsidRDefault="00601C8A" w:rsidP="006D37F8">
      <w:pPr>
        <w:spacing w:after="0" w:line="360" w:lineRule="auto"/>
        <w:jc w:val="both"/>
        <w:rPr>
          <w:rFonts w:ascii="Book Antiqua" w:hAnsi="Book Antiqua"/>
          <w:b/>
          <w:bCs/>
          <w:i/>
          <w:color w:val="000000"/>
          <w:sz w:val="24"/>
          <w:szCs w:val="24"/>
        </w:rPr>
      </w:pPr>
      <w:r w:rsidRPr="00BC6F1E">
        <w:rPr>
          <w:rFonts w:ascii="Book Antiqua" w:hAnsi="Book Antiqua"/>
          <w:b/>
          <w:bCs/>
          <w:i/>
          <w:color w:val="000000"/>
          <w:sz w:val="24"/>
          <w:szCs w:val="24"/>
        </w:rPr>
        <w:t>Manometric data analysis</w:t>
      </w:r>
    </w:p>
    <w:p w:rsidR="00601C8A" w:rsidRPr="00D0668B" w:rsidRDefault="00601C8A" w:rsidP="006D37F8">
      <w:pPr>
        <w:spacing w:after="0" w:line="360" w:lineRule="auto"/>
        <w:jc w:val="both"/>
        <w:rPr>
          <w:rFonts w:ascii="Book Antiqua" w:hAnsi="Book Antiqua"/>
          <w:bCs/>
          <w:color w:val="000000"/>
          <w:sz w:val="24"/>
          <w:szCs w:val="24"/>
        </w:rPr>
      </w:pPr>
      <w:r w:rsidRPr="00D0668B">
        <w:rPr>
          <w:rFonts w:ascii="Book Antiqua" w:hAnsi="Book Antiqua"/>
          <w:bCs/>
          <w:color w:val="000000"/>
          <w:sz w:val="24"/>
          <w:szCs w:val="24"/>
        </w:rPr>
        <w:t>All manometry studies were analyzed using ManoView software (</w:t>
      </w:r>
      <w:r w:rsidRPr="00D0668B">
        <w:rPr>
          <w:rFonts w:ascii="Book Antiqua" w:hAnsi="Book Antiqua"/>
          <w:bCs/>
          <w:i/>
          <w:color w:val="000000"/>
          <w:sz w:val="24"/>
          <w:szCs w:val="24"/>
        </w:rPr>
        <w:t>Sierra Scientific Instruments</w:t>
      </w:r>
      <w:r w:rsidRPr="00D0668B">
        <w:rPr>
          <w:rFonts w:ascii="Book Antiqua" w:hAnsi="Book Antiqua"/>
          <w:bCs/>
          <w:color w:val="000000"/>
          <w:sz w:val="24"/>
          <w:szCs w:val="24"/>
        </w:rPr>
        <w:t>) and were appropriately corrected for thermal sensitivity of the pressure-sensing elements using thermal compensation. The esophageal pressure topography plot of each swallow in the HRM study was subsequently analyzed based on the current Chicago Classification scheme</w:t>
      </w:r>
      <w:r>
        <w:rPr>
          <w:rFonts w:ascii="Book Antiqua" w:hAnsi="Book Antiqua"/>
          <w:bCs/>
          <w:color w:val="000000"/>
          <w:sz w:val="24"/>
          <w:szCs w:val="24"/>
          <w:vertAlign w:val="superscript"/>
          <w:lang w:eastAsia="zh-CN"/>
        </w:rPr>
        <w:t>[</w:t>
      </w:r>
      <w:r w:rsidRPr="00D0668B">
        <w:rPr>
          <w:rFonts w:ascii="Book Antiqua" w:hAnsi="Book Antiqua"/>
          <w:bCs/>
          <w:color w:val="000000"/>
          <w:sz w:val="24"/>
          <w:szCs w:val="24"/>
          <w:vertAlign w:val="superscript"/>
        </w:rPr>
        <w:t>1</w:t>
      </w:r>
      <w:r>
        <w:rPr>
          <w:rFonts w:ascii="Book Antiqua" w:hAnsi="Book Antiqua"/>
          <w:bCs/>
          <w:color w:val="000000"/>
          <w:sz w:val="24"/>
          <w:szCs w:val="24"/>
          <w:vertAlign w:val="superscript"/>
          <w:lang w:eastAsia="zh-CN"/>
        </w:rPr>
        <w:t>]</w:t>
      </w:r>
      <w:r>
        <w:rPr>
          <w:rFonts w:ascii="Book Antiqua" w:hAnsi="Book Antiqua"/>
          <w:bCs/>
          <w:color w:val="000000"/>
          <w:sz w:val="24"/>
          <w:szCs w:val="24"/>
          <w:lang w:eastAsia="zh-CN"/>
        </w:rPr>
        <w:t xml:space="preserve">. </w:t>
      </w:r>
      <w:r w:rsidRPr="00D0668B">
        <w:rPr>
          <w:rFonts w:ascii="Book Antiqua" w:hAnsi="Book Antiqua"/>
          <w:bCs/>
          <w:color w:val="000000"/>
          <w:sz w:val="24"/>
          <w:szCs w:val="24"/>
        </w:rPr>
        <w:t>Sub-classification of achalasia was defined based on the scheme put forth by Pandolfino</w:t>
      </w:r>
      <w:r w:rsidRPr="00A613CF">
        <w:rPr>
          <w:rFonts w:ascii="Book Antiqua" w:hAnsi="Book Antiqua"/>
          <w:bCs/>
          <w:i/>
          <w:color w:val="000000"/>
          <w:sz w:val="24"/>
          <w:szCs w:val="24"/>
        </w:rPr>
        <w:t xml:space="preserve"> et al</w:t>
      </w:r>
      <w:r w:rsidRPr="00A613CF">
        <w:rPr>
          <w:rFonts w:ascii="Book Antiqua" w:hAnsi="Book Antiqua"/>
          <w:bCs/>
          <w:color w:val="000000"/>
          <w:sz w:val="24"/>
          <w:szCs w:val="24"/>
          <w:vertAlign w:val="superscript"/>
          <w:lang w:eastAsia="zh-CN"/>
        </w:rPr>
        <w:t>[24]</w:t>
      </w:r>
      <w:r w:rsidRPr="00D0668B">
        <w:rPr>
          <w:rFonts w:ascii="Book Antiqua" w:hAnsi="Book Antiqua"/>
          <w:bCs/>
          <w:color w:val="000000"/>
          <w:sz w:val="24"/>
          <w:szCs w:val="24"/>
        </w:rPr>
        <w:t xml:space="preserve"> after the introduction of Chicago Classification: T</w:t>
      </w:r>
      <w:r w:rsidRPr="00D0668B">
        <w:rPr>
          <w:rFonts w:ascii="Book Antiqua" w:hAnsi="Book Antiqua"/>
          <w:color w:val="000000"/>
          <w:sz w:val="24"/>
          <w:szCs w:val="24"/>
        </w:rPr>
        <w:t>ype I representing classic achalasia with minimal esophageal contractility and low intraesophageal pressure, type II representing absent peristalsis and panesophageal pressure elevations, and type III representing lumen-obliterating esophageal spasm.</w:t>
      </w:r>
    </w:p>
    <w:p w:rsidR="00601C8A" w:rsidRPr="00D0668B" w:rsidRDefault="00601C8A" w:rsidP="006D37F8">
      <w:pPr>
        <w:spacing w:after="0" w:line="360" w:lineRule="auto"/>
        <w:jc w:val="both"/>
        <w:rPr>
          <w:rFonts w:ascii="Book Antiqua" w:hAnsi="Book Antiqua"/>
          <w:b/>
          <w:bCs/>
          <w:color w:val="000000"/>
          <w:sz w:val="24"/>
          <w:szCs w:val="24"/>
        </w:rPr>
      </w:pPr>
    </w:p>
    <w:p w:rsidR="00601C8A" w:rsidRPr="00BC6F1E" w:rsidRDefault="00601C8A" w:rsidP="006D37F8">
      <w:pPr>
        <w:spacing w:after="0" w:line="360" w:lineRule="auto"/>
        <w:jc w:val="both"/>
        <w:rPr>
          <w:rFonts w:ascii="Book Antiqua" w:hAnsi="Book Antiqua"/>
          <w:b/>
          <w:bCs/>
          <w:i/>
          <w:color w:val="000000"/>
          <w:sz w:val="24"/>
          <w:szCs w:val="24"/>
        </w:rPr>
      </w:pPr>
      <w:r w:rsidRPr="00BC6F1E">
        <w:rPr>
          <w:rFonts w:ascii="Book Antiqua" w:hAnsi="Book Antiqua"/>
          <w:b/>
          <w:bCs/>
          <w:i/>
          <w:color w:val="000000"/>
          <w:sz w:val="24"/>
          <w:szCs w:val="24"/>
        </w:rPr>
        <w:t xml:space="preserve">Definition of UES pressure and abnormalities </w:t>
      </w:r>
    </w:p>
    <w:p w:rsidR="00601C8A" w:rsidRPr="00D0668B" w:rsidRDefault="00601C8A" w:rsidP="006D37F8">
      <w:pPr>
        <w:spacing w:after="0" w:line="360" w:lineRule="auto"/>
        <w:jc w:val="both"/>
        <w:rPr>
          <w:rFonts w:ascii="Book Antiqua" w:hAnsi="Book Antiqua"/>
          <w:sz w:val="24"/>
          <w:szCs w:val="24"/>
        </w:rPr>
      </w:pPr>
      <w:r w:rsidRPr="00D0668B">
        <w:rPr>
          <w:rFonts w:ascii="Book Antiqua" w:hAnsi="Book Antiqua"/>
          <w:bCs/>
          <w:color w:val="000000"/>
          <w:sz w:val="24"/>
          <w:szCs w:val="24"/>
        </w:rPr>
        <w:t xml:space="preserve">UES pressures were measured throughout the study prior to each of the 10 wet swallows and </w:t>
      </w:r>
      <w:r w:rsidRPr="00D0668B">
        <w:rPr>
          <w:rFonts w:ascii="Book Antiqua" w:hAnsi="Book Antiqua"/>
          <w:color w:val="000000"/>
          <w:sz w:val="24"/>
          <w:szCs w:val="24"/>
        </w:rPr>
        <w:t>abnormalities recorded included: hypotensive upper esophageal sphincter pressure, hypertensive upper esophageal sphincter pressure</w:t>
      </w:r>
      <w:r>
        <w:rPr>
          <w:rFonts w:ascii="Book Antiqua" w:hAnsi="Book Antiqua"/>
          <w:color w:val="000000"/>
          <w:sz w:val="24"/>
          <w:szCs w:val="24"/>
        </w:rPr>
        <w:t xml:space="preserve">, and impaired UES relaxation. </w:t>
      </w:r>
      <w:r w:rsidRPr="00D0668B">
        <w:rPr>
          <w:rFonts w:ascii="Book Antiqua" w:hAnsi="Book Antiqua"/>
          <w:color w:val="000000"/>
          <w:sz w:val="24"/>
          <w:szCs w:val="24"/>
        </w:rPr>
        <w:t xml:space="preserve">UES resting pressure during the first 5 minutes of the study (while establishing the baseline), was excluded from our study.  While there is some discrepancy in the literature regarding normal UES baseline values, normal ranges </w:t>
      </w:r>
      <w:r w:rsidRPr="00D0668B">
        <w:rPr>
          <w:rFonts w:ascii="Cambria Math" w:hAnsi="Cambria Math" w:cs="Cambria Math"/>
          <w:color w:val="000000"/>
          <w:sz w:val="24"/>
          <w:szCs w:val="24"/>
        </w:rPr>
        <w:t>​​</w:t>
      </w:r>
      <w:r w:rsidRPr="00D0668B">
        <w:rPr>
          <w:rFonts w:ascii="Book Antiqua" w:hAnsi="Book Antiqua"/>
          <w:color w:val="000000"/>
          <w:sz w:val="24"/>
          <w:szCs w:val="24"/>
        </w:rPr>
        <w:t>were established based on a prior study that sought the UES pressures in 73 healthy subjects. The normal range was defined by the 5</w:t>
      </w:r>
      <w:r w:rsidRPr="00D0668B">
        <w:rPr>
          <w:rFonts w:ascii="Book Antiqua" w:hAnsi="Book Antiqua"/>
          <w:color w:val="000000"/>
          <w:sz w:val="24"/>
          <w:szCs w:val="24"/>
          <w:vertAlign w:val="superscript"/>
        </w:rPr>
        <w:t>th</w:t>
      </w:r>
      <w:r w:rsidRPr="00D0668B">
        <w:rPr>
          <w:rFonts w:ascii="Book Antiqua" w:hAnsi="Book Antiqua"/>
          <w:color w:val="000000"/>
          <w:sz w:val="24"/>
          <w:szCs w:val="24"/>
        </w:rPr>
        <w:t xml:space="preserve"> and /or 95</w:t>
      </w:r>
      <w:r w:rsidRPr="00D0668B">
        <w:rPr>
          <w:rFonts w:ascii="Book Antiqua" w:hAnsi="Book Antiqua"/>
          <w:color w:val="000000"/>
          <w:sz w:val="24"/>
          <w:szCs w:val="24"/>
          <w:vertAlign w:val="superscript"/>
        </w:rPr>
        <w:t>th</w:t>
      </w:r>
      <w:r w:rsidRPr="00D0668B">
        <w:rPr>
          <w:rFonts w:ascii="Book Antiqua" w:hAnsi="Book Antiqua"/>
          <w:color w:val="000000"/>
          <w:sz w:val="24"/>
          <w:szCs w:val="24"/>
        </w:rPr>
        <w:t xml:space="preserve"> percentile value of the parameters found</w:t>
      </w:r>
      <w:r w:rsidRPr="00D0668B">
        <w:rPr>
          <w:rFonts w:ascii="Book Antiqua" w:hAnsi="Book Antiqua"/>
          <w:color w:val="000000"/>
          <w:sz w:val="24"/>
          <w:szCs w:val="24"/>
          <w:vertAlign w:val="superscript"/>
        </w:rPr>
        <w:t>[23]</w:t>
      </w:r>
      <w:r w:rsidRPr="00D0668B">
        <w:rPr>
          <w:rFonts w:ascii="Book Antiqua" w:hAnsi="Book Antiqua"/>
          <w:color w:val="000000"/>
          <w:sz w:val="24"/>
          <w:szCs w:val="24"/>
        </w:rPr>
        <w:t>. Based on these values, our patients were divided into those with normal UES function and abnormal function including: impaired UES relaxation (residual pressure &gt;</w:t>
      </w:r>
      <w:r>
        <w:rPr>
          <w:rFonts w:ascii="Book Antiqua" w:hAnsi="Book Antiqua"/>
          <w:color w:val="000000"/>
          <w:sz w:val="24"/>
          <w:szCs w:val="24"/>
          <w:lang w:eastAsia="zh-CN"/>
        </w:rPr>
        <w:t xml:space="preserve"> </w:t>
      </w:r>
      <w:r w:rsidRPr="00D0668B">
        <w:rPr>
          <w:rFonts w:ascii="Book Antiqua" w:hAnsi="Book Antiqua"/>
          <w:color w:val="000000"/>
          <w:sz w:val="24"/>
          <w:szCs w:val="24"/>
        </w:rPr>
        <w:t>12 mmHg), hypertensive resting UES pressure (&gt;</w:t>
      </w:r>
      <w:r>
        <w:rPr>
          <w:rFonts w:ascii="Book Antiqua" w:hAnsi="Book Antiqua"/>
          <w:color w:val="000000"/>
          <w:sz w:val="24"/>
          <w:szCs w:val="24"/>
          <w:lang w:eastAsia="zh-CN"/>
        </w:rPr>
        <w:t xml:space="preserve"> </w:t>
      </w:r>
      <w:r w:rsidRPr="00D0668B">
        <w:rPr>
          <w:rFonts w:ascii="Book Antiqua" w:hAnsi="Book Antiqua"/>
          <w:color w:val="000000"/>
          <w:sz w:val="24"/>
          <w:szCs w:val="24"/>
        </w:rPr>
        <w:t>104 mmHg), and hypotensive resting UES pressure (&lt;</w:t>
      </w:r>
      <w:r>
        <w:rPr>
          <w:rFonts w:ascii="Book Antiqua" w:hAnsi="Book Antiqua"/>
          <w:color w:val="000000"/>
          <w:sz w:val="24"/>
          <w:szCs w:val="24"/>
          <w:lang w:eastAsia="zh-CN"/>
        </w:rPr>
        <w:t xml:space="preserve"> </w:t>
      </w:r>
      <w:r w:rsidRPr="00D0668B">
        <w:rPr>
          <w:rFonts w:ascii="Book Antiqua" w:hAnsi="Book Antiqua"/>
          <w:color w:val="000000"/>
          <w:sz w:val="24"/>
          <w:szCs w:val="24"/>
        </w:rPr>
        <w:t xml:space="preserve">34 </w:t>
      </w:r>
      <w:r w:rsidRPr="00D0668B">
        <w:rPr>
          <w:rFonts w:ascii="Book Antiqua" w:hAnsi="Book Antiqua"/>
          <w:sz w:val="24"/>
          <w:szCs w:val="24"/>
        </w:rPr>
        <w:t xml:space="preserve">mm Hg). </w:t>
      </w:r>
      <w:r w:rsidRPr="00D0668B">
        <w:rPr>
          <w:rFonts w:ascii="Book Antiqua" w:hAnsi="Book Antiqua"/>
          <w:color w:val="000000"/>
          <w:sz w:val="24"/>
          <w:szCs w:val="24"/>
        </w:rPr>
        <w:t xml:space="preserve">While there is currently no well-established normal range for UES pressure, for the purposes of this study, we used the normal ranges (as referenced above) put forth by GIVEN imaging for their high resolution esophageal manometry </w:t>
      </w:r>
      <w:r w:rsidRPr="00D0668B">
        <w:rPr>
          <w:rFonts w:ascii="Book Antiqua" w:hAnsi="Book Antiqua"/>
          <w:bCs/>
          <w:color w:val="000000"/>
          <w:sz w:val="24"/>
          <w:szCs w:val="24"/>
        </w:rPr>
        <w:t>ManoView software (</w:t>
      </w:r>
      <w:r w:rsidRPr="00D0668B">
        <w:rPr>
          <w:rFonts w:ascii="Book Antiqua" w:hAnsi="Book Antiqua"/>
          <w:bCs/>
          <w:i/>
          <w:color w:val="000000"/>
          <w:sz w:val="24"/>
          <w:szCs w:val="24"/>
        </w:rPr>
        <w:t>Sierra Scientific Instruments</w:t>
      </w:r>
      <w:r w:rsidRPr="00D0668B">
        <w:rPr>
          <w:rFonts w:ascii="Book Antiqua" w:hAnsi="Book Antiqua"/>
          <w:bCs/>
          <w:color w:val="000000"/>
          <w:sz w:val="24"/>
          <w:szCs w:val="24"/>
        </w:rPr>
        <w:t xml:space="preserve">). </w:t>
      </w:r>
      <w:r w:rsidRPr="00D0668B">
        <w:rPr>
          <w:rFonts w:ascii="Book Antiqua" w:hAnsi="Book Antiqua"/>
          <w:color w:val="000000"/>
          <w:sz w:val="24"/>
          <w:szCs w:val="24"/>
        </w:rPr>
        <w:t xml:space="preserve"> </w:t>
      </w:r>
    </w:p>
    <w:p w:rsidR="00601C8A" w:rsidRPr="00D0668B" w:rsidRDefault="00601C8A" w:rsidP="006D37F8">
      <w:pPr>
        <w:spacing w:after="0" w:line="360" w:lineRule="auto"/>
        <w:ind w:firstLineChars="200" w:firstLine="480"/>
        <w:jc w:val="both"/>
        <w:rPr>
          <w:rFonts w:ascii="Book Antiqua" w:hAnsi="Book Antiqua"/>
          <w:sz w:val="24"/>
          <w:szCs w:val="24"/>
        </w:rPr>
      </w:pPr>
      <w:r w:rsidRPr="00D0668B">
        <w:rPr>
          <w:rFonts w:ascii="Book Antiqua" w:hAnsi="Book Antiqua"/>
          <w:sz w:val="24"/>
          <w:szCs w:val="24"/>
        </w:rPr>
        <w:t>The frequency of UES abnormalities and sub-type of UES abnormality present (</w:t>
      </w:r>
      <w:r w:rsidRPr="00BC6F1E">
        <w:rPr>
          <w:rFonts w:ascii="Book Antiqua" w:hAnsi="Book Antiqua"/>
          <w:i/>
          <w:sz w:val="24"/>
          <w:szCs w:val="24"/>
        </w:rPr>
        <w:t>e.g.</w:t>
      </w:r>
      <w:r w:rsidRPr="00BC6F1E">
        <w:rPr>
          <w:rFonts w:ascii="Book Antiqua" w:hAnsi="Book Antiqua"/>
          <w:i/>
          <w:sz w:val="24"/>
          <w:szCs w:val="24"/>
          <w:lang w:eastAsia="zh-CN"/>
        </w:rPr>
        <w:t>,</w:t>
      </w:r>
      <w:r w:rsidRPr="00BC6F1E">
        <w:rPr>
          <w:rFonts w:ascii="Book Antiqua" w:hAnsi="Book Antiqua"/>
          <w:i/>
          <w:sz w:val="24"/>
          <w:szCs w:val="24"/>
        </w:rPr>
        <w:t xml:space="preserve"> </w:t>
      </w:r>
      <w:r w:rsidRPr="00D0668B">
        <w:rPr>
          <w:rFonts w:ascii="Book Antiqua" w:hAnsi="Book Antiqua"/>
          <w:sz w:val="24"/>
          <w:szCs w:val="24"/>
        </w:rPr>
        <w:t xml:space="preserve">hypotensive, hypertensive, or impaired relaxation) was evaluated in this population of patients with achalasia. Additionally, we looked at the association between sub-types of achalasia </w:t>
      </w:r>
      <w:r w:rsidRPr="00BC6F1E">
        <w:rPr>
          <w:rFonts w:ascii="Book Antiqua" w:hAnsi="Book Antiqua"/>
          <w:i/>
          <w:sz w:val="24"/>
          <w:szCs w:val="24"/>
        </w:rPr>
        <w:t>(e.g.</w:t>
      </w:r>
      <w:r w:rsidRPr="00BC6F1E">
        <w:rPr>
          <w:rFonts w:ascii="Book Antiqua" w:hAnsi="Book Antiqua"/>
          <w:i/>
          <w:sz w:val="24"/>
          <w:szCs w:val="24"/>
          <w:lang w:eastAsia="zh-CN"/>
        </w:rPr>
        <w:t>,</w:t>
      </w:r>
      <w:r w:rsidRPr="00BC6F1E">
        <w:rPr>
          <w:rFonts w:ascii="Book Antiqua" w:hAnsi="Book Antiqua"/>
          <w:i/>
          <w:sz w:val="24"/>
          <w:szCs w:val="24"/>
        </w:rPr>
        <w:t xml:space="preserve"> </w:t>
      </w:r>
      <w:r w:rsidRPr="00D0668B">
        <w:rPr>
          <w:rFonts w:ascii="Book Antiqua" w:hAnsi="Book Antiqua"/>
          <w:sz w:val="24"/>
          <w:szCs w:val="24"/>
        </w:rPr>
        <w:t xml:space="preserve">I, II, or III) and the presence of specific UES abnormalities. In addition, clinical and demographic profiles were also examined and correlated with type of UES abnormality present including dominant presenting symptom, age, gender, race, co-morbid medical illness, psychiatric illness, and surgical history. </w:t>
      </w:r>
    </w:p>
    <w:p w:rsidR="00601C8A" w:rsidRPr="00D0668B" w:rsidRDefault="00601C8A" w:rsidP="006D37F8">
      <w:pPr>
        <w:spacing w:after="0" w:line="360" w:lineRule="auto"/>
        <w:ind w:firstLineChars="200" w:firstLine="480"/>
        <w:jc w:val="both"/>
        <w:rPr>
          <w:rFonts w:ascii="Book Antiqua" w:hAnsi="Book Antiqua"/>
          <w:sz w:val="24"/>
          <w:szCs w:val="24"/>
        </w:rPr>
      </w:pPr>
      <w:r w:rsidRPr="00D0668B">
        <w:rPr>
          <w:rFonts w:ascii="Book Antiqua" w:hAnsi="Book Antiqua"/>
          <w:sz w:val="24"/>
          <w:szCs w:val="24"/>
        </w:rPr>
        <w:t>Lastly, we sought to determine whether or not the presence of an UES abnormality was predictive of either treatment received or treatment response in our patient population.  Types of treatment included: endoscopic pneumatic dilation (PD), targeted endoscopic botulinum toxin (Botox) injections to the lower esophageal sphincter, medical therapy (</w:t>
      </w:r>
      <w:r w:rsidRPr="00BC6F1E">
        <w:rPr>
          <w:rFonts w:ascii="Book Antiqua" w:hAnsi="Book Antiqua"/>
          <w:i/>
          <w:sz w:val="24"/>
          <w:szCs w:val="24"/>
        </w:rPr>
        <w:t>e.g.</w:t>
      </w:r>
      <w:r w:rsidRPr="00BC6F1E">
        <w:rPr>
          <w:rFonts w:ascii="Book Antiqua" w:hAnsi="Book Antiqua"/>
          <w:i/>
          <w:sz w:val="24"/>
          <w:szCs w:val="24"/>
          <w:lang w:eastAsia="zh-CN"/>
        </w:rPr>
        <w:t>,</w:t>
      </w:r>
      <w:r w:rsidRPr="00D0668B">
        <w:rPr>
          <w:rFonts w:ascii="Book Antiqua" w:hAnsi="Book Antiqua"/>
          <w:sz w:val="24"/>
          <w:szCs w:val="24"/>
        </w:rPr>
        <w:t xml:space="preserve"> calcium channel blockers), Surgical myotomy with fundoplication, and Per Oral Endoscopic Myotomy (POEM).  The majority of patients underwent surgical (</w:t>
      </w:r>
      <w:r w:rsidRPr="00BC6F1E">
        <w:rPr>
          <w:rFonts w:ascii="Book Antiqua" w:hAnsi="Book Antiqua"/>
          <w:i/>
          <w:sz w:val="24"/>
          <w:szCs w:val="24"/>
        </w:rPr>
        <w:t>e.g.</w:t>
      </w:r>
      <w:r w:rsidRPr="00BC6F1E">
        <w:rPr>
          <w:rFonts w:ascii="Book Antiqua" w:hAnsi="Book Antiqua"/>
          <w:i/>
          <w:sz w:val="24"/>
          <w:szCs w:val="24"/>
          <w:lang w:eastAsia="zh-CN"/>
        </w:rPr>
        <w:t>,</w:t>
      </w:r>
      <w:r w:rsidRPr="00BC6F1E">
        <w:rPr>
          <w:rFonts w:ascii="Book Antiqua" w:hAnsi="Book Antiqua"/>
          <w:i/>
          <w:sz w:val="24"/>
          <w:szCs w:val="24"/>
        </w:rPr>
        <w:t xml:space="preserve"> </w:t>
      </w:r>
      <w:r w:rsidRPr="00D0668B">
        <w:rPr>
          <w:rFonts w:ascii="Book Antiqua" w:hAnsi="Book Antiqua"/>
          <w:sz w:val="24"/>
          <w:szCs w:val="24"/>
        </w:rPr>
        <w:t>Heller myotomy) or endoscopic myotomy (</w:t>
      </w:r>
      <w:r w:rsidRPr="00BC6F1E">
        <w:rPr>
          <w:rFonts w:ascii="Book Antiqua" w:hAnsi="Book Antiqua"/>
          <w:i/>
          <w:sz w:val="24"/>
          <w:szCs w:val="24"/>
        </w:rPr>
        <w:t>e.g.</w:t>
      </w:r>
      <w:r w:rsidRPr="00BC6F1E">
        <w:rPr>
          <w:rFonts w:ascii="Book Antiqua" w:hAnsi="Book Antiqua"/>
          <w:i/>
          <w:sz w:val="24"/>
          <w:szCs w:val="24"/>
          <w:lang w:eastAsia="zh-CN"/>
        </w:rPr>
        <w:t>,</w:t>
      </w:r>
      <w:r w:rsidRPr="00D0668B">
        <w:rPr>
          <w:rFonts w:ascii="Book Antiqua" w:hAnsi="Book Antiqua"/>
          <w:sz w:val="24"/>
          <w:szCs w:val="24"/>
        </w:rPr>
        <w:t xml:space="preserve"> POEM</w:t>
      </w:r>
      <w:r>
        <w:rPr>
          <w:rFonts w:ascii="Book Antiqua" w:hAnsi="Book Antiqua"/>
          <w:sz w:val="24"/>
          <w:szCs w:val="24"/>
        </w:rPr>
        <w:t>) for definitive treatment.</w:t>
      </w:r>
      <w:r w:rsidRPr="00D0668B">
        <w:rPr>
          <w:rFonts w:ascii="Book Antiqua" w:hAnsi="Book Antiqua"/>
          <w:sz w:val="24"/>
          <w:szCs w:val="24"/>
        </w:rPr>
        <w:t xml:space="preserve"> Only those patients deemed “higher risk” for invasive procedures were treated with PD, pharmacotherapy or LES botox injections. All treatment decisions were made by the primary gastroenterologist who evaluated the patient and discussed treatment options which each individual at the time of a clinical office visit.  Also of note, individual therapeutic options were decided by the gastroenterologist and patient independent of the presence of a UES abnormality on their manometry study. </w:t>
      </w:r>
    </w:p>
    <w:p w:rsidR="00601C8A" w:rsidRPr="00D0668B" w:rsidRDefault="00601C8A" w:rsidP="006D37F8">
      <w:pPr>
        <w:spacing w:after="0" w:line="360" w:lineRule="auto"/>
        <w:ind w:firstLineChars="200" w:firstLine="480"/>
        <w:jc w:val="both"/>
        <w:rPr>
          <w:rFonts w:ascii="Book Antiqua" w:hAnsi="Book Antiqua"/>
          <w:sz w:val="24"/>
          <w:szCs w:val="24"/>
        </w:rPr>
      </w:pPr>
      <w:r w:rsidRPr="00D0668B">
        <w:rPr>
          <w:rFonts w:ascii="Book Antiqua" w:hAnsi="Book Antiqua"/>
          <w:sz w:val="24"/>
          <w:szCs w:val="24"/>
        </w:rPr>
        <w:t>Treatment response was defined qualitatively by patients as being either “favorable” or “poor,” as based on significant improvement in post-treatment dysphagia rates and other primary associated symptoms (</w:t>
      </w:r>
      <w:r w:rsidRPr="00BC6F1E">
        <w:rPr>
          <w:rFonts w:ascii="Book Antiqua" w:hAnsi="Book Antiqua"/>
          <w:i/>
          <w:sz w:val="24"/>
          <w:szCs w:val="24"/>
        </w:rPr>
        <w:t>e.g.</w:t>
      </w:r>
      <w:r w:rsidRPr="00BC6F1E">
        <w:rPr>
          <w:rFonts w:ascii="Book Antiqua" w:hAnsi="Book Antiqua"/>
          <w:i/>
          <w:sz w:val="24"/>
          <w:szCs w:val="24"/>
          <w:lang w:eastAsia="zh-CN"/>
        </w:rPr>
        <w:t>,</w:t>
      </w:r>
      <w:r w:rsidRPr="00BC6F1E">
        <w:rPr>
          <w:rFonts w:ascii="Book Antiqua" w:hAnsi="Book Antiqua"/>
          <w:i/>
          <w:sz w:val="24"/>
          <w:szCs w:val="24"/>
        </w:rPr>
        <w:t xml:space="preserve"> </w:t>
      </w:r>
      <w:r w:rsidRPr="00D0668B">
        <w:rPr>
          <w:rFonts w:ascii="Book Antiqua" w:hAnsi="Book Antiqua"/>
          <w:sz w:val="24"/>
          <w:szCs w:val="24"/>
        </w:rPr>
        <w:t>regurgitation, weight loss, chest pain)  with satisfactory improvement in symptoms and/or Eckardt score</w:t>
      </w:r>
      <w:r>
        <w:rPr>
          <w:rFonts w:ascii="Book Antiqua" w:hAnsi="Book Antiqua"/>
          <w:sz w:val="24"/>
          <w:szCs w:val="24"/>
        </w:rPr>
        <w:t xml:space="preserve">. </w:t>
      </w:r>
      <w:r w:rsidRPr="00D0668B">
        <w:rPr>
          <w:rFonts w:ascii="Book Antiqua" w:hAnsi="Book Antiqua"/>
          <w:sz w:val="24"/>
          <w:szCs w:val="24"/>
        </w:rPr>
        <w:t>This response was assessed in each individual patient by a gastroenterologist during a clinical office visit. A single gastroenterologist subsequently reviewed charts to document outcome data; this individual was blinded to the presence or absence of UES abnormalities.</w:t>
      </w:r>
    </w:p>
    <w:p w:rsidR="00601C8A" w:rsidRPr="00D0668B" w:rsidRDefault="00601C8A" w:rsidP="006D37F8">
      <w:pPr>
        <w:spacing w:after="0" w:line="360" w:lineRule="auto"/>
        <w:jc w:val="both"/>
        <w:rPr>
          <w:rFonts w:ascii="Book Antiqua" w:hAnsi="Book Antiqua"/>
          <w:sz w:val="24"/>
          <w:szCs w:val="24"/>
        </w:rPr>
      </w:pPr>
    </w:p>
    <w:p w:rsidR="00601C8A" w:rsidRPr="00D0668B" w:rsidRDefault="00601C8A" w:rsidP="006D37F8">
      <w:pPr>
        <w:spacing w:after="0" w:line="360" w:lineRule="auto"/>
        <w:jc w:val="both"/>
        <w:rPr>
          <w:rFonts w:ascii="Book Antiqua" w:hAnsi="Book Antiqua"/>
          <w:b/>
          <w:bCs/>
          <w:i/>
          <w:color w:val="000000"/>
          <w:sz w:val="24"/>
          <w:szCs w:val="24"/>
        </w:rPr>
      </w:pPr>
      <w:r w:rsidRPr="00D0668B">
        <w:rPr>
          <w:rFonts w:ascii="Book Antiqua" w:hAnsi="Book Antiqua"/>
          <w:b/>
          <w:bCs/>
          <w:i/>
          <w:color w:val="000000"/>
          <w:sz w:val="24"/>
          <w:szCs w:val="24"/>
        </w:rPr>
        <w:t xml:space="preserve">Statistical analysis </w:t>
      </w:r>
    </w:p>
    <w:p w:rsidR="00601C8A" w:rsidRPr="00D0668B" w:rsidRDefault="00601C8A" w:rsidP="006D37F8">
      <w:pPr>
        <w:spacing w:after="0" w:line="360" w:lineRule="auto"/>
        <w:jc w:val="both"/>
        <w:rPr>
          <w:rFonts w:ascii="Book Antiqua" w:hAnsi="Book Antiqua"/>
          <w:sz w:val="24"/>
          <w:szCs w:val="24"/>
        </w:rPr>
      </w:pPr>
      <w:r w:rsidRPr="00D0668B">
        <w:rPr>
          <w:rFonts w:ascii="Book Antiqua" w:hAnsi="Book Antiqua"/>
          <w:sz w:val="24"/>
          <w:szCs w:val="24"/>
        </w:rPr>
        <w:t>Counts and percentages are reported.  Fisher’s exact test was used to investigate the association between presence of UES abnormality and categorical variables of interest.  Age was compa</w:t>
      </w:r>
      <w:r>
        <w:rPr>
          <w:rFonts w:ascii="Book Antiqua" w:hAnsi="Book Antiqua"/>
          <w:sz w:val="24"/>
          <w:szCs w:val="24"/>
        </w:rPr>
        <w:t>red using a two-sample</w:t>
      </w:r>
      <w:r w:rsidRPr="00690331">
        <w:rPr>
          <w:rFonts w:ascii="Book Antiqua" w:hAnsi="Book Antiqua"/>
          <w:i/>
          <w:sz w:val="24"/>
          <w:szCs w:val="24"/>
        </w:rPr>
        <w:t xml:space="preserve"> t</w:t>
      </w:r>
      <w:r>
        <w:rPr>
          <w:rFonts w:ascii="Book Antiqua" w:hAnsi="Book Antiqua"/>
          <w:sz w:val="24"/>
          <w:szCs w:val="24"/>
        </w:rPr>
        <w:t xml:space="preserve">-test. </w:t>
      </w:r>
      <w:r w:rsidRPr="00D0668B">
        <w:rPr>
          <w:rFonts w:ascii="Book Antiqua" w:hAnsi="Book Antiqua"/>
          <w:sz w:val="24"/>
          <w:szCs w:val="24"/>
        </w:rPr>
        <w:t xml:space="preserve">A multivariate logistic regression model was used to assess the relationship between presence of UES abnormality and treatment response, while controlling for the type of achalasia, given that Type II achalasia is known to have the best treatment response.  Two-sided </w:t>
      </w:r>
      <w:r w:rsidRPr="00BC6F1E">
        <w:rPr>
          <w:rFonts w:ascii="Book Antiqua" w:hAnsi="Book Antiqua"/>
          <w:i/>
          <w:sz w:val="24"/>
          <w:szCs w:val="24"/>
        </w:rPr>
        <w:t>P</w:t>
      </w:r>
      <w:r w:rsidRPr="00D0668B">
        <w:rPr>
          <w:rFonts w:ascii="Book Antiqua" w:hAnsi="Book Antiqua"/>
          <w:sz w:val="24"/>
          <w:szCs w:val="24"/>
        </w:rPr>
        <w:t xml:space="preserve">-values </w:t>
      </w:r>
      <w:r w:rsidRPr="00BC6F1E">
        <w:rPr>
          <w:rFonts w:ascii="Book Antiqua" w:hAnsi="Book Antiqua"/>
          <w:sz w:val="24"/>
          <w:szCs w:val="24"/>
        </w:rPr>
        <w:sym w:font="Symbol" w:char="F0A3"/>
      </w:r>
      <w:r w:rsidRPr="00D0668B">
        <w:rPr>
          <w:rFonts w:ascii="Book Antiqua" w:hAnsi="Book Antiqua"/>
          <w:sz w:val="24"/>
          <w:szCs w:val="24"/>
        </w:rPr>
        <w:t xml:space="preserve"> 0.05 were considered statistically significant. All analyses were conducted using SAS v. 9.3 (SAS Institute; Cary, NC).</w:t>
      </w:r>
    </w:p>
    <w:p w:rsidR="00601C8A" w:rsidRPr="00D0668B" w:rsidRDefault="00601C8A" w:rsidP="006D37F8">
      <w:pPr>
        <w:spacing w:after="0" w:line="360" w:lineRule="auto"/>
        <w:jc w:val="both"/>
        <w:rPr>
          <w:rFonts w:ascii="Book Antiqua" w:hAnsi="Book Antiqua"/>
          <w:sz w:val="24"/>
          <w:szCs w:val="24"/>
        </w:rPr>
      </w:pPr>
    </w:p>
    <w:p w:rsidR="00601C8A" w:rsidRPr="00D0668B" w:rsidRDefault="00601C8A" w:rsidP="006D37F8">
      <w:pPr>
        <w:spacing w:after="0" w:line="360" w:lineRule="auto"/>
        <w:jc w:val="both"/>
        <w:rPr>
          <w:rFonts w:ascii="Book Antiqua" w:hAnsi="Book Antiqua"/>
          <w:b/>
          <w:bCs/>
          <w:color w:val="000000"/>
          <w:sz w:val="24"/>
          <w:szCs w:val="24"/>
        </w:rPr>
      </w:pPr>
      <w:r w:rsidRPr="00D0668B">
        <w:rPr>
          <w:rFonts w:ascii="Book Antiqua" w:hAnsi="Book Antiqua"/>
          <w:b/>
          <w:bCs/>
          <w:color w:val="000000"/>
          <w:sz w:val="24"/>
          <w:szCs w:val="24"/>
        </w:rPr>
        <w:t>RESULTS</w:t>
      </w:r>
    </w:p>
    <w:p w:rsidR="00601C8A" w:rsidRPr="00D0668B" w:rsidRDefault="00601C8A" w:rsidP="006D37F8">
      <w:pPr>
        <w:spacing w:after="0" w:line="360" w:lineRule="auto"/>
        <w:jc w:val="both"/>
        <w:rPr>
          <w:rFonts w:ascii="Book Antiqua" w:hAnsi="Book Antiqua"/>
          <w:sz w:val="24"/>
          <w:szCs w:val="24"/>
        </w:rPr>
      </w:pPr>
      <w:r w:rsidRPr="00D0668B">
        <w:rPr>
          <w:rFonts w:ascii="Book Antiqua" w:hAnsi="Book Antiqua"/>
          <w:sz w:val="24"/>
          <w:szCs w:val="24"/>
        </w:rPr>
        <w:t>A total of 41 patients with a diagnosis of achalasia were identified during the study period, of which 24 (58.5%) had an upper esophageal sphincter abnormality present on their HREM.  There were no significant differences between the groups in terms of age or gender. When comparing individuals with no UES abnormality to individuals with UES abnormality, there were no significant differences in terms of age or gender [</w:t>
      </w:r>
      <w:r>
        <w:rPr>
          <w:rFonts w:ascii="Book Antiqua" w:hAnsi="Book Antiqua"/>
          <w:sz w:val="24"/>
          <w:szCs w:val="24"/>
        </w:rPr>
        <w:t xml:space="preserve">mean age 55.81 </w:t>
      </w:r>
      <w:r w:rsidRPr="00953190">
        <w:rPr>
          <w:rFonts w:ascii="Book Antiqua" w:hAnsi="Book Antiqua"/>
          <w:i/>
          <w:sz w:val="24"/>
          <w:szCs w:val="24"/>
        </w:rPr>
        <w:t>vs</w:t>
      </w:r>
      <w:r>
        <w:rPr>
          <w:rFonts w:ascii="Book Antiqua" w:hAnsi="Book Antiqua"/>
          <w:sz w:val="24"/>
          <w:szCs w:val="24"/>
          <w:lang w:eastAsia="zh-CN"/>
        </w:rPr>
        <w:t xml:space="preserve"> </w:t>
      </w:r>
      <w:r w:rsidRPr="00D0668B">
        <w:rPr>
          <w:rFonts w:ascii="Book Antiqua" w:hAnsi="Book Antiqua"/>
          <w:sz w:val="24"/>
          <w:szCs w:val="24"/>
        </w:rPr>
        <w:t>53.32 (</w:t>
      </w:r>
      <w:r w:rsidRPr="00953190">
        <w:rPr>
          <w:rFonts w:ascii="Book Antiqua" w:hAnsi="Book Antiqua"/>
          <w:i/>
          <w:sz w:val="24"/>
          <w:szCs w:val="24"/>
        </w:rPr>
        <w:t>P</w:t>
      </w:r>
      <w:r w:rsidRPr="00D0668B">
        <w:rPr>
          <w:rFonts w:ascii="Book Antiqua" w:hAnsi="Book Antiqua"/>
          <w:sz w:val="24"/>
          <w:szCs w:val="24"/>
        </w:rPr>
        <w:t xml:space="preserve"> = 0.6492) and 53.</w:t>
      </w:r>
      <w:r>
        <w:rPr>
          <w:rFonts w:ascii="Book Antiqua" w:hAnsi="Book Antiqua"/>
          <w:sz w:val="24"/>
          <w:szCs w:val="24"/>
        </w:rPr>
        <w:t xml:space="preserve">94% male </w:t>
      </w:r>
      <w:r w:rsidRPr="00953190">
        <w:rPr>
          <w:rFonts w:ascii="Book Antiqua" w:hAnsi="Book Antiqua"/>
          <w:i/>
          <w:sz w:val="24"/>
          <w:szCs w:val="24"/>
        </w:rPr>
        <w:t>vs</w:t>
      </w:r>
      <w:r w:rsidRPr="00D0668B">
        <w:rPr>
          <w:rFonts w:ascii="Book Antiqua" w:hAnsi="Book Antiqua"/>
          <w:sz w:val="24"/>
          <w:szCs w:val="24"/>
        </w:rPr>
        <w:t xml:space="preserve"> 50.00% respectively (</w:t>
      </w:r>
      <w:r w:rsidRPr="00BC6F1E">
        <w:rPr>
          <w:rFonts w:ascii="Book Antiqua" w:hAnsi="Book Antiqua"/>
          <w:i/>
          <w:sz w:val="24"/>
          <w:szCs w:val="24"/>
        </w:rPr>
        <w:t>P</w:t>
      </w:r>
      <w:r w:rsidRPr="00D0668B">
        <w:rPr>
          <w:rFonts w:ascii="Book Antiqua" w:hAnsi="Book Antiqua"/>
          <w:sz w:val="24"/>
          <w:szCs w:val="24"/>
        </w:rPr>
        <w:t xml:space="preserve"> = </w:t>
      </w:r>
      <w:r>
        <w:rPr>
          <w:rFonts w:ascii="Book Antiqua" w:hAnsi="Book Antiqua"/>
          <w:sz w:val="24"/>
          <w:szCs w:val="24"/>
        </w:rPr>
        <w:t>1.0000)</w:t>
      </w:r>
      <w:r w:rsidRPr="00D0668B">
        <w:rPr>
          <w:rFonts w:ascii="Book Antiqua" w:hAnsi="Book Antiqua"/>
          <w:sz w:val="24"/>
          <w:szCs w:val="24"/>
        </w:rPr>
        <w:t xml:space="preserve">]  </w:t>
      </w:r>
    </w:p>
    <w:p w:rsidR="00601C8A" w:rsidRPr="00D0668B" w:rsidRDefault="00601C8A" w:rsidP="006D37F8">
      <w:pPr>
        <w:spacing w:after="0" w:line="360" w:lineRule="auto"/>
        <w:ind w:firstLine="720"/>
        <w:jc w:val="both"/>
        <w:rPr>
          <w:rFonts w:ascii="Book Antiqua" w:hAnsi="Book Antiqua"/>
          <w:sz w:val="24"/>
          <w:szCs w:val="24"/>
        </w:rPr>
      </w:pPr>
      <w:r w:rsidRPr="00D0668B">
        <w:rPr>
          <w:rFonts w:ascii="Book Antiqua" w:hAnsi="Book Antiqua"/>
          <w:sz w:val="24"/>
          <w:szCs w:val="24"/>
        </w:rPr>
        <w:t xml:space="preserve">Among those patients with UES dysfunction present, the majority of those with abnormalities had a hypertensive basal UES pressure (41.67%) followed by impaired UES relaxation (37.5%) and a hypotensive basal UES pressure (20.83%). Patients with achalasia were also significantly more likely to have either a hypertensive UES resting pressure or have impaired UES relaxation as compared to having low UES basal pressures (20.83% </w:t>
      </w:r>
      <w:r w:rsidRPr="00953190">
        <w:rPr>
          <w:rFonts w:ascii="Book Antiqua" w:hAnsi="Book Antiqua"/>
          <w:i/>
          <w:sz w:val="24"/>
          <w:szCs w:val="24"/>
        </w:rPr>
        <w:t>vs</w:t>
      </w:r>
      <w:r w:rsidRPr="00D0668B">
        <w:rPr>
          <w:rFonts w:ascii="Book Antiqua" w:hAnsi="Book Antiqua"/>
          <w:sz w:val="24"/>
          <w:szCs w:val="24"/>
        </w:rPr>
        <w:t xml:space="preserve"> 79.17%, </w:t>
      </w:r>
      <w:r w:rsidRPr="00953190">
        <w:rPr>
          <w:rFonts w:ascii="Book Antiqua" w:hAnsi="Book Antiqua"/>
          <w:i/>
          <w:sz w:val="24"/>
          <w:szCs w:val="24"/>
        </w:rPr>
        <w:t>P</w:t>
      </w:r>
      <w:r w:rsidRPr="00D0668B">
        <w:rPr>
          <w:rFonts w:ascii="Book Antiqua" w:hAnsi="Book Antiqua"/>
          <w:sz w:val="24"/>
          <w:szCs w:val="24"/>
        </w:rPr>
        <w:t xml:space="preserve"> = 0.004).</w:t>
      </w:r>
      <w:r w:rsidRPr="00D0668B">
        <w:rPr>
          <w:rFonts w:ascii="Book Antiqua" w:hAnsi="Book Antiqua"/>
          <w:b/>
          <w:sz w:val="24"/>
          <w:szCs w:val="24"/>
        </w:rPr>
        <w:t xml:space="preserve"> </w:t>
      </w:r>
    </w:p>
    <w:p w:rsidR="00601C8A" w:rsidRPr="00D0668B" w:rsidRDefault="00601C8A" w:rsidP="006D37F8">
      <w:pPr>
        <w:spacing w:after="0" w:line="360" w:lineRule="auto"/>
        <w:ind w:firstLine="720"/>
        <w:jc w:val="both"/>
        <w:rPr>
          <w:rFonts w:ascii="Book Antiqua" w:hAnsi="Book Antiqua"/>
          <w:sz w:val="24"/>
          <w:szCs w:val="24"/>
        </w:rPr>
      </w:pPr>
      <w:r w:rsidRPr="00D0668B">
        <w:rPr>
          <w:rFonts w:ascii="Book Antiqua" w:hAnsi="Book Antiqua"/>
          <w:sz w:val="24"/>
          <w:szCs w:val="24"/>
        </w:rPr>
        <w:t xml:space="preserve">The majority of our cohort with UES abnormalities had type II achalasia (Type II 65% </w:t>
      </w:r>
      <w:r w:rsidRPr="00953190">
        <w:rPr>
          <w:rFonts w:ascii="Book Antiqua" w:hAnsi="Book Antiqua"/>
          <w:i/>
          <w:sz w:val="24"/>
          <w:szCs w:val="24"/>
        </w:rPr>
        <w:t>vs</w:t>
      </w:r>
      <w:r w:rsidRPr="00D0668B">
        <w:rPr>
          <w:rFonts w:ascii="Book Antiqua" w:hAnsi="Book Antiqua"/>
          <w:sz w:val="24"/>
          <w:szCs w:val="24"/>
        </w:rPr>
        <w:t xml:space="preserve"> Type I 20 % </w:t>
      </w:r>
      <w:r w:rsidRPr="00953190">
        <w:rPr>
          <w:rFonts w:ascii="Book Antiqua" w:hAnsi="Book Antiqua"/>
          <w:i/>
          <w:sz w:val="24"/>
          <w:szCs w:val="24"/>
        </w:rPr>
        <w:t>vs</w:t>
      </w:r>
      <w:r w:rsidRPr="00D0668B">
        <w:rPr>
          <w:rFonts w:ascii="Book Antiqua" w:hAnsi="Book Antiqua"/>
          <w:sz w:val="24"/>
          <w:szCs w:val="24"/>
        </w:rPr>
        <w:t xml:space="preserve"> Type III 15%), which was also the case in patients with no UES abnormalities (Type</w:t>
      </w:r>
      <w:r>
        <w:rPr>
          <w:rFonts w:ascii="Book Antiqua" w:hAnsi="Book Antiqua"/>
          <w:sz w:val="24"/>
          <w:szCs w:val="24"/>
        </w:rPr>
        <w:t xml:space="preserve"> II 56.25% </w:t>
      </w:r>
      <w:r w:rsidRPr="00953190">
        <w:rPr>
          <w:rFonts w:ascii="Book Antiqua" w:hAnsi="Book Antiqua"/>
          <w:i/>
          <w:sz w:val="24"/>
          <w:szCs w:val="24"/>
        </w:rPr>
        <w:t>vs</w:t>
      </w:r>
      <w:r>
        <w:rPr>
          <w:rFonts w:ascii="Book Antiqua" w:hAnsi="Book Antiqua"/>
          <w:sz w:val="24"/>
          <w:szCs w:val="24"/>
        </w:rPr>
        <w:t xml:space="preserve"> Type I 18.75% </w:t>
      </w:r>
      <w:r w:rsidRPr="00953190">
        <w:rPr>
          <w:rFonts w:ascii="Book Antiqua" w:hAnsi="Book Antiqua"/>
          <w:i/>
          <w:sz w:val="24"/>
          <w:szCs w:val="24"/>
        </w:rPr>
        <w:t>vs</w:t>
      </w:r>
      <w:r w:rsidRPr="00D0668B">
        <w:rPr>
          <w:rFonts w:ascii="Book Antiqua" w:hAnsi="Book Antiqua"/>
          <w:sz w:val="24"/>
          <w:szCs w:val="24"/>
        </w:rPr>
        <w:t xml:space="preserve"> Type III 25%). There was no significant association seen between sub-type of achalasia and the presence or absence of UES abnormality (</w:t>
      </w:r>
      <w:r w:rsidRPr="00953190">
        <w:rPr>
          <w:rFonts w:ascii="Book Antiqua" w:hAnsi="Book Antiqua"/>
          <w:i/>
          <w:sz w:val="24"/>
          <w:szCs w:val="24"/>
        </w:rPr>
        <w:t>P</w:t>
      </w:r>
      <w:r w:rsidRPr="00D0668B">
        <w:rPr>
          <w:rFonts w:ascii="Book Antiqua" w:hAnsi="Book Antiqua"/>
          <w:sz w:val="24"/>
          <w:szCs w:val="24"/>
        </w:rPr>
        <w:t xml:space="preserve"> = 0.8916).There was no significant association between type of achalasia and sub-type of UES abnormality (</w:t>
      </w:r>
      <w:r w:rsidRPr="00953190">
        <w:rPr>
          <w:rFonts w:ascii="Book Antiqua" w:hAnsi="Book Antiqua"/>
          <w:i/>
          <w:sz w:val="24"/>
          <w:szCs w:val="24"/>
        </w:rPr>
        <w:t>e.g.</w:t>
      </w:r>
      <w:r w:rsidRPr="00953190">
        <w:rPr>
          <w:rFonts w:ascii="Book Antiqua" w:hAnsi="Book Antiqua"/>
          <w:i/>
          <w:sz w:val="24"/>
          <w:szCs w:val="24"/>
          <w:lang w:eastAsia="zh-CN"/>
        </w:rPr>
        <w:t>,</w:t>
      </w:r>
      <w:r w:rsidRPr="00D0668B">
        <w:rPr>
          <w:rFonts w:ascii="Book Antiqua" w:hAnsi="Book Antiqua"/>
          <w:sz w:val="24"/>
          <w:szCs w:val="24"/>
        </w:rPr>
        <w:t xml:space="preserve"> hypertensive, hypotensive, or impaired relaxation, p = 0.3345) (</w:t>
      </w:r>
      <w:r w:rsidRPr="00953190">
        <w:rPr>
          <w:rFonts w:ascii="Book Antiqua" w:hAnsi="Book Antiqua"/>
          <w:sz w:val="24"/>
          <w:szCs w:val="24"/>
        </w:rPr>
        <w:t>Table 1)</w:t>
      </w:r>
      <w:r w:rsidRPr="00D0668B">
        <w:rPr>
          <w:rFonts w:ascii="Book Antiqua" w:hAnsi="Book Antiqua"/>
          <w:sz w:val="24"/>
          <w:szCs w:val="24"/>
        </w:rPr>
        <w:t xml:space="preserve">. </w:t>
      </w:r>
    </w:p>
    <w:p w:rsidR="00601C8A" w:rsidRPr="00D0668B" w:rsidRDefault="00601C8A" w:rsidP="006D37F8">
      <w:pPr>
        <w:spacing w:after="0" w:line="360" w:lineRule="auto"/>
        <w:ind w:firstLine="720"/>
        <w:jc w:val="both"/>
        <w:rPr>
          <w:rFonts w:ascii="Book Antiqua" w:hAnsi="Book Antiqua"/>
          <w:sz w:val="24"/>
          <w:szCs w:val="24"/>
        </w:rPr>
      </w:pPr>
      <w:r w:rsidRPr="00D0668B">
        <w:rPr>
          <w:rFonts w:ascii="Book Antiqua" w:hAnsi="Book Antiqua"/>
          <w:sz w:val="24"/>
          <w:szCs w:val="24"/>
        </w:rPr>
        <w:t>There were no significant differences observed between presence or absence of UES abnormality and type of treatment that patients received (</w:t>
      </w:r>
      <w:r w:rsidRPr="00953190">
        <w:rPr>
          <w:rFonts w:ascii="Book Antiqua" w:hAnsi="Book Antiqua"/>
          <w:i/>
          <w:sz w:val="24"/>
          <w:szCs w:val="24"/>
        </w:rPr>
        <w:t>e.g.</w:t>
      </w:r>
      <w:r w:rsidRPr="00953190">
        <w:rPr>
          <w:rFonts w:ascii="Book Antiqua" w:hAnsi="Book Antiqua"/>
          <w:i/>
          <w:sz w:val="24"/>
          <w:szCs w:val="24"/>
          <w:lang w:eastAsia="zh-CN"/>
        </w:rPr>
        <w:t>,</w:t>
      </w:r>
      <w:r w:rsidRPr="00D0668B">
        <w:rPr>
          <w:rFonts w:ascii="Book Antiqua" w:hAnsi="Book Antiqua"/>
          <w:sz w:val="24"/>
          <w:szCs w:val="24"/>
        </w:rPr>
        <w:t xml:space="preserve"> endoscopic dilatation, endoscopic Botulinum toxin injections, medical therapy, POEM, or surgical myotomy) (</w:t>
      </w:r>
      <w:r w:rsidRPr="00953190">
        <w:rPr>
          <w:rFonts w:ascii="Book Antiqua" w:hAnsi="Book Antiqua"/>
          <w:i/>
          <w:sz w:val="24"/>
          <w:szCs w:val="24"/>
        </w:rPr>
        <w:t>P</w:t>
      </w:r>
      <w:r w:rsidRPr="00D0668B">
        <w:rPr>
          <w:rFonts w:ascii="Book Antiqua" w:hAnsi="Book Antiqua"/>
          <w:sz w:val="24"/>
          <w:szCs w:val="24"/>
        </w:rPr>
        <w:t xml:space="preserve"> = 0.40). Similarly, there was no association when examining therapeutic treatment response when each treatment was compared individually (endoscopic dilatation, </w:t>
      </w:r>
      <w:r w:rsidRPr="00953190">
        <w:rPr>
          <w:rFonts w:ascii="Book Antiqua" w:hAnsi="Book Antiqua"/>
          <w:i/>
          <w:sz w:val="24"/>
          <w:szCs w:val="24"/>
        </w:rPr>
        <w:t>P</w:t>
      </w:r>
      <w:r w:rsidRPr="00D0668B">
        <w:rPr>
          <w:rFonts w:ascii="Book Antiqua" w:hAnsi="Book Antiqua"/>
          <w:sz w:val="24"/>
          <w:szCs w:val="24"/>
        </w:rPr>
        <w:t xml:space="preserve"> = 0.69; endoscopic Botox, </w:t>
      </w:r>
      <w:r w:rsidRPr="00953190">
        <w:rPr>
          <w:rFonts w:ascii="Book Antiqua" w:hAnsi="Book Antiqua"/>
          <w:i/>
          <w:sz w:val="24"/>
          <w:szCs w:val="24"/>
        </w:rPr>
        <w:t>P</w:t>
      </w:r>
      <w:r w:rsidRPr="00D0668B">
        <w:rPr>
          <w:rFonts w:ascii="Book Antiqua" w:hAnsi="Book Antiqua"/>
          <w:sz w:val="24"/>
          <w:szCs w:val="24"/>
        </w:rPr>
        <w:t xml:space="preserve"> = 0.63; medical therapy, p = 0.21; POEM, p = 1.00; surgical myotomy, </w:t>
      </w:r>
      <w:r w:rsidRPr="00953190">
        <w:rPr>
          <w:rFonts w:ascii="Book Antiqua" w:hAnsi="Book Antiqua"/>
          <w:i/>
          <w:sz w:val="24"/>
          <w:szCs w:val="24"/>
        </w:rPr>
        <w:t>P</w:t>
      </w:r>
      <w:r w:rsidRPr="00D0668B">
        <w:rPr>
          <w:rFonts w:ascii="Book Antiqua" w:hAnsi="Book Antiqua"/>
          <w:sz w:val="24"/>
          <w:szCs w:val="24"/>
        </w:rPr>
        <w:t xml:space="preserve"> = 0.08). Additionally, there was no association between type of UES abnormality and specific treatment type of received (</w:t>
      </w:r>
      <w:r w:rsidRPr="00953190">
        <w:rPr>
          <w:rFonts w:ascii="Book Antiqua" w:hAnsi="Book Antiqua"/>
          <w:i/>
          <w:sz w:val="24"/>
          <w:szCs w:val="24"/>
        </w:rPr>
        <w:t>P</w:t>
      </w:r>
      <w:r w:rsidRPr="00D0668B">
        <w:rPr>
          <w:rFonts w:ascii="Book Antiqua" w:hAnsi="Book Antiqua"/>
          <w:sz w:val="24"/>
          <w:szCs w:val="24"/>
        </w:rPr>
        <w:t xml:space="preserve"> = 0.79) (</w:t>
      </w:r>
      <w:r w:rsidRPr="00953190">
        <w:rPr>
          <w:rFonts w:ascii="Book Antiqua" w:hAnsi="Book Antiqua"/>
          <w:sz w:val="24"/>
          <w:szCs w:val="24"/>
        </w:rPr>
        <w:t>Table 2</w:t>
      </w:r>
      <w:r w:rsidRPr="00D0668B">
        <w:rPr>
          <w:rFonts w:ascii="Book Antiqua" w:hAnsi="Book Antiqua"/>
          <w:sz w:val="24"/>
          <w:szCs w:val="24"/>
        </w:rPr>
        <w:t>).</w:t>
      </w:r>
    </w:p>
    <w:p w:rsidR="00601C8A" w:rsidRPr="00D0668B" w:rsidRDefault="00601C8A" w:rsidP="006D37F8">
      <w:pPr>
        <w:spacing w:after="0" w:line="360" w:lineRule="auto"/>
        <w:ind w:firstLine="720"/>
        <w:jc w:val="both"/>
        <w:rPr>
          <w:rFonts w:ascii="Book Antiqua" w:hAnsi="Book Antiqua"/>
          <w:sz w:val="24"/>
          <w:szCs w:val="24"/>
        </w:rPr>
      </w:pPr>
      <w:r w:rsidRPr="00D0668B">
        <w:rPr>
          <w:rFonts w:ascii="Book Antiqua" w:hAnsi="Book Antiqua"/>
          <w:sz w:val="24"/>
          <w:szCs w:val="24"/>
        </w:rPr>
        <w:t>With respect to treatment response, patients with achalasia and a UES abnormality present had a significantly poorer treatment response as compared to those with no UES abnormality present. Specifically, in patients with achalasia and a concomitant UES abnormality, 87.5% rated their treatment response as poor, while only 12.5% rated it favorable</w:t>
      </w:r>
      <w:r>
        <w:rPr>
          <w:rFonts w:ascii="Book Antiqua" w:hAnsi="Book Antiqua"/>
          <w:sz w:val="24"/>
          <w:szCs w:val="24"/>
          <w:lang w:eastAsia="zh-CN"/>
        </w:rPr>
        <w:t xml:space="preserve"> </w:t>
      </w:r>
      <w:r w:rsidRPr="00D0668B">
        <w:rPr>
          <w:rFonts w:ascii="Book Antiqua" w:hAnsi="Book Antiqua"/>
          <w:sz w:val="24"/>
          <w:szCs w:val="24"/>
        </w:rPr>
        <w:t>(</w:t>
      </w:r>
      <w:r w:rsidRPr="00953190">
        <w:rPr>
          <w:rFonts w:ascii="Book Antiqua" w:hAnsi="Book Antiqua"/>
          <w:i/>
          <w:sz w:val="24"/>
          <w:szCs w:val="24"/>
        </w:rPr>
        <w:t>P</w:t>
      </w:r>
      <w:r>
        <w:rPr>
          <w:rFonts w:ascii="Book Antiqua" w:hAnsi="Book Antiqua"/>
          <w:sz w:val="24"/>
          <w:szCs w:val="24"/>
          <w:lang w:eastAsia="zh-CN"/>
        </w:rPr>
        <w:t xml:space="preserve"> </w:t>
      </w:r>
      <w:r w:rsidRPr="00D0668B">
        <w:rPr>
          <w:rFonts w:ascii="Book Antiqua" w:hAnsi="Book Antiqua"/>
          <w:sz w:val="24"/>
          <w:szCs w:val="24"/>
        </w:rPr>
        <w:t>&lt;</w:t>
      </w:r>
      <w:r>
        <w:rPr>
          <w:rFonts w:ascii="Book Antiqua" w:hAnsi="Book Antiqua"/>
          <w:sz w:val="24"/>
          <w:szCs w:val="24"/>
          <w:lang w:eastAsia="zh-CN"/>
        </w:rPr>
        <w:t xml:space="preserve"> </w:t>
      </w:r>
      <w:r w:rsidRPr="00D0668B">
        <w:rPr>
          <w:rFonts w:ascii="Book Antiqua" w:hAnsi="Book Antiqua"/>
          <w:sz w:val="24"/>
          <w:szCs w:val="24"/>
        </w:rPr>
        <w:t>0.0001). In contrast, in patients with achalasia and no UES abnormality present, only 21.43% reported a poor treatment response while  the majority (78.57%) rated it favorable (</w:t>
      </w:r>
      <w:r w:rsidRPr="00953190">
        <w:rPr>
          <w:rFonts w:ascii="Book Antiqua" w:hAnsi="Book Antiqua"/>
          <w:i/>
          <w:sz w:val="24"/>
          <w:szCs w:val="24"/>
        </w:rPr>
        <w:t>P</w:t>
      </w:r>
      <w:r w:rsidRPr="00D0668B">
        <w:rPr>
          <w:rFonts w:ascii="Book Antiqua" w:hAnsi="Book Antiqua"/>
          <w:sz w:val="24"/>
          <w:szCs w:val="24"/>
        </w:rPr>
        <w:t xml:space="preserve"> =</w:t>
      </w:r>
      <w:r>
        <w:rPr>
          <w:rFonts w:ascii="Book Antiqua" w:hAnsi="Book Antiqua"/>
          <w:sz w:val="24"/>
          <w:szCs w:val="24"/>
          <w:lang w:eastAsia="zh-CN"/>
        </w:rPr>
        <w:t xml:space="preserve"> </w:t>
      </w:r>
      <w:r w:rsidRPr="00D0668B">
        <w:rPr>
          <w:rFonts w:ascii="Book Antiqua" w:hAnsi="Book Antiqua"/>
          <w:sz w:val="24"/>
          <w:szCs w:val="24"/>
        </w:rPr>
        <w:t>0.0001) (</w:t>
      </w:r>
      <w:r w:rsidRPr="00953190">
        <w:rPr>
          <w:rFonts w:ascii="Book Antiqua" w:hAnsi="Book Antiqua"/>
          <w:sz w:val="24"/>
          <w:szCs w:val="24"/>
        </w:rPr>
        <w:t>Table 3)</w:t>
      </w:r>
      <w:r>
        <w:rPr>
          <w:rFonts w:ascii="Book Antiqua" w:hAnsi="Book Antiqua"/>
          <w:sz w:val="24"/>
          <w:szCs w:val="24"/>
        </w:rPr>
        <w:t xml:space="preserve">. </w:t>
      </w:r>
      <w:r w:rsidRPr="00D0668B">
        <w:rPr>
          <w:rFonts w:ascii="Book Antiqua" w:hAnsi="Book Antiqua"/>
          <w:sz w:val="24"/>
          <w:szCs w:val="24"/>
        </w:rPr>
        <w:t>However, individual UES abnormality type was not significantly associated with treatment response (</w:t>
      </w:r>
      <w:r w:rsidRPr="00953190">
        <w:rPr>
          <w:rFonts w:ascii="Book Antiqua" w:hAnsi="Book Antiqua"/>
          <w:i/>
          <w:sz w:val="24"/>
          <w:szCs w:val="24"/>
        </w:rPr>
        <w:t>P</w:t>
      </w:r>
      <w:r w:rsidRPr="00D0668B">
        <w:rPr>
          <w:rFonts w:ascii="Book Antiqua" w:hAnsi="Book Antiqua"/>
          <w:sz w:val="24"/>
          <w:szCs w:val="24"/>
        </w:rPr>
        <w:t xml:space="preserve"> = 0.70).  In addition, after controlling for achalasia sub-type, those with UES abnormality had a 26 times greater odds of poor treatment response than those with no UES abnormality (</w:t>
      </w:r>
      <w:r w:rsidRPr="00953190">
        <w:rPr>
          <w:rFonts w:ascii="Book Antiqua" w:hAnsi="Book Antiqua"/>
          <w:i/>
          <w:sz w:val="24"/>
          <w:szCs w:val="24"/>
        </w:rPr>
        <w:t>P</w:t>
      </w:r>
      <w:r>
        <w:rPr>
          <w:rFonts w:ascii="Book Antiqua" w:hAnsi="Book Antiqua"/>
          <w:i/>
          <w:sz w:val="24"/>
          <w:szCs w:val="24"/>
          <w:lang w:eastAsia="zh-CN"/>
        </w:rPr>
        <w:t xml:space="preserve"> </w:t>
      </w:r>
      <w:r w:rsidRPr="00D0668B">
        <w:rPr>
          <w:rFonts w:ascii="Book Antiqua" w:hAnsi="Book Antiqua"/>
          <w:sz w:val="24"/>
          <w:szCs w:val="24"/>
        </w:rPr>
        <w:t>= 0.0099). Similarly, after controlling for treatment type, those with a UES abnormality present had a 13.9 times greater odds of poor treatment response compared to those without (</w:t>
      </w:r>
      <w:r w:rsidRPr="00953190">
        <w:rPr>
          <w:rFonts w:ascii="Book Antiqua" w:hAnsi="Book Antiqua"/>
          <w:i/>
          <w:sz w:val="24"/>
          <w:szCs w:val="24"/>
        </w:rPr>
        <w:t>P</w:t>
      </w:r>
      <w:r w:rsidRPr="00D0668B">
        <w:rPr>
          <w:rFonts w:ascii="Book Antiqua" w:hAnsi="Book Antiqua"/>
          <w:sz w:val="24"/>
          <w:szCs w:val="24"/>
        </w:rPr>
        <w:t xml:space="preserve"> = 0.0173). There was no significant relationship observed when comparing treatment response with achalasia sub-type (</w:t>
      </w:r>
      <w:r w:rsidRPr="00953190">
        <w:rPr>
          <w:rFonts w:ascii="Book Antiqua" w:hAnsi="Book Antiqua"/>
          <w:i/>
          <w:sz w:val="24"/>
          <w:szCs w:val="24"/>
        </w:rPr>
        <w:t>P</w:t>
      </w:r>
      <w:r w:rsidRPr="00D0668B">
        <w:rPr>
          <w:rFonts w:ascii="Book Antiqua" w:hAnsi="Book Antiqua"/>
          <w:sz w:val="24"/>
          <w:szCs w:val="24"/>
        </w:rPr>
        <w:t xml:space="preserve"> = 0.2163).</w:t>
      </w:r>
    </w:p>
    <w:p w:rsidR="00601C8A" w:rsidRPr="00D0668B" w:rsidRDefault="00601C8A" w:rsidP="006D37F8">
      <w:pPr>
        <w:spacing w:after="0" w:line="360" w:lineRule="auto"/>
        <w:ind w:firstLine="720"/>
        <w:jc w:val="both"/>
        <w:rPr>
          <w:rFonts w:ascii="Book Antiqua" w:hAnsi="Book Antiqua"/>
          <w:sz w:val="24"/>
          <w:szCs w:val="24"/>
        </w:rPr>
      </w:pPr>
      <w:r w:rsidRPr="00D0668B">
        <w:rPr>
          <w:rFonts w:ascii="Book Antiqua" w:hAnsi="Book Antiqua"/>
          <w:sz w:val="24"/>
          <w:szCs w:val="24"/>
        </w:rPr>
        <w:t>There was no significant association between initial dominant symptom presentation (dysphagia, chest pain, GERD, globus sensation, hiccups, or “other” dominant symptom) and presence or absence of UES abnormality (</w:t>
      </w:r>
      <w:r w:rsidRPr="00953190">
        <w:rPr>
          <w:rFonts w:ascii="Book Antiqua" w:hAnsi="Book Antiqua"/>
          <w:i/>
          <w:sz w:val="24"/>
          <w:szCs w:val="24"/>
        </w:rPr>
        <w:t>P</w:t>
      </w:r>
      <w:r w:rsidRPr="00D0668B">
        <w:rPr>
          <w:rFonts w:ascii="Book Antiqua" w:hAnsi="Book Antiqua"/>
          <w:sz w:val="24"/>
          <w:szCs w:val="24"/>
        </w:rPr>
        <w:t xml:space="preserve"> = 0.87). Similarly, when examining these symptoms individually, there was no association between presence of UES abnormalities with any primary symptoms (dysphagia, </w:t>
      </w:r>
      <w:r w:rsidRPr="00953190">
        <w:rPr>
          <w:rFonts w:ascii="Book Antiqua" w:hAnsi="Book Antiqua"/>
          <w:i/>
          <w:sz w:val="24"/>
          <w:szCs w:val="24"/>
        </w:rPr>
        <w:t>P</w:t>
      </w:r>
      <w:r w:rsidRPr="00D0668B">
        <w:rPr>
          <w:rFonts w:ascii="Book Antiqua" w:hAnsi="Book Antiqua"/>
          <w:sz w:val="24"/>
          <w:szCs w:val="24"/>
        </w:rPr>
        <w:t xml:space="preserve"> = 0.7289; chest pain, </w:t>
      </w:r>
      <w:r w:rsidRPr="00953190">
        <w:rPr>
          <w:rFonts w:ascii="Book Antiqua" w:hAnsi="Book Antiqua"/>
          <w:i/>
          <w:sz w:val="24"/>
          <w:szCs w:val="24"/>
        </w:rPr>
        <w:t>P</w:t>
      </w:r>
      <w:r w:rsidRPr="00D0668B">
        <w:rPr>
          <w:rFonts w:ascii="Book Antiqua" w:hAnsi="Book Antiqua"/>
          <w:sz w:val="24"/>
          <w:szCs w:val="24"/>
        </w:rPr>
        <w:t xml:space="preserve"> = 1.000; GERD,</w:t>
      </w:r>
      <w:r w:rsidRPr="00953190">
        <w:rPr>
          <w:rFonts w:ascii="Book Antiqua" w:hAnsi="Book Antiqua"/>
          <w:i/>
          <w:sz w:val="24"/>
          <w:szCs w:val="24"/>
        </w:rPr>
        <w:t xml:space="preserve"> P</w:t>
      </w:r>
      <w:r w:rsidRPr="00D0668B">
        <w:rPr>
          <w:rFonts w:ascii="Book Antiqua" w:hAnsi="Book Antiqua"/>
          <w:sz w:val="24"/>
          <w:szCs w:val="24"/>
        </w:rPr>
        <w:t xml:space="preserve"> = 0.5598; globus sensation, </w:t>
      </w:r>
      <w:r w:rsidRPr="00953190">
        <w:rPr>
          <w:rFonts w:ascii="Book Antiqua" w:hAnsi="Book Antiqua"/>
          <w:i/>
          <w:sz w:val="24"/>
          <w:szCs w:val="24"/>
        </w:rPr>
        <w:t>P</w:t>
      </w:r>
      <w:r w:rsidRPr="00D0668B">
        <w:rPr>
          <w:rFonts w:ascii="Book Antiqua" w:hAnsi="Book Antiqua"/>
          <w:sz w:val="24"/>
          <w:szCs w:val="24"/>
        </w:rPr>
        <w:t xml:space="preserve"> = 1.000; hiccups, </w:t>
      </w:r>
      <w:r w:rsidRPr="00953190">
        <w:rPr>
          <w:rFonts w:ascii="Book Antiqua" w:hAnsi="Book Antiqua"/>
          <w:i/>
          <w:sz w:val="24"/>
          <w:szCs w:val="24"/>
        </w:rPr>
        <w:t>P</w:t>
      </w:r>
      <w:r w:rsidRPr="00D0668B">
        <w:rPr>
          <w:rFonts w:ascii="Book Antiqua" w:hAnsi="Book Antiqua"/>
          <w:sz w:val="24"/>
          <w:szCs w:val="24"/>
        </w:rPr>
        <w:t xml:space="preserve"> = 1.0000; other dominant symptom, </w:t>
      </w:r>
      <w:r w:rsidRPr="00953190">
        <w:rPr>
          <w:rFonts w:ascii="Book Antiqua" w:hAnsi="Book Antiqua"/>
          <w:i/>
          <w:sz w:val="24"/>
          <w:szCs w:val="24"/>
        </w:rPr>
        <w:t>P</w:t>
      </w:r>
      <w:r w:rsidRPr="00D0668B">
        <w:rPr>
          <w:rFonts w:ascii="Book Antiqua" w:hAnsi="Book Antiqua"/>
          <w:sz w:val="24"/>
          <w:szCs w:val="24"/>
        </w:rPr>
        <w:t xml:space="preserve"> = 1.000). </w:t>
      </w:r>
    </w:p>
    <w:p w:rsidR="00601C8A" w:rsidRDefault="00601C8A" w:rsidP="006D37F8">
      <w:pPr>
        <w:spacing w:after="0" w:line="360" w:lineRule="auto"/>
        <w:ind w:firstLine="720"/>
        <w:jc w:val="both"/>
        <w:rPr>
          <w:rFonts w:ascii="Book Antiqua" w:hAnsi="Book Antiqua"/>
          <w:sz w:val="24"/>
          <w:szCs w:val="24"/>
          <w:lang w:eastAsia="zh-CN"/>
        </w:rPr>
      </w:pPr>
      <w:r w:rsidRPr="00D0668B">
        <w:rPr>
          <w:rFonts w:ascii="Book Antiqua" w:hAnsi="Book Antiqua"/>
          <w:sz w:val="24"/>
          <w:szCs w:val="24"/>
        </w:rPr>
        <w:t xml:space="preserve">The relationship between underlying medical co-morbidities with presence of absence of UES abnormalities was also assessed, and no significant associations were observed (diabetes, </w:t>
      </w:r>
      <w:r w:rsidRPr="00953190">
        <w:rPr>
          <w:rFonts w:ascii="Book Antiqua" w:hAnsi="Book Antiqua"/>
          <w:i/>
          <w:sz w:val="24"/>
          <w:szCs w:val="24"/>
        </w:rPr>
        <w:t>P</w:t>
      </w:r>
      <w:r w:rsidRPr="00D0668B">
        <w:rPr>
          <w:rFonts w:ascii="Book Antiqua" w:hAnsi="Book Antiqua"/>
          <w:sz w:val="24"/>
          <w:szCs w:val="24"/>
        </w:rPr>
        <w:t xml:space="preserve"> = 0.2072; scleroderma, </w:t>
      </w:r>
      <w:r w:rsidRPr="00953190">
        <w:rPr>
          <w:rFonts w:ascii="Book Antiqua" w:hAnsi="Book Antiqua"/>
          <w:i/>
          <w:sz w:val="24"/>
          <w:szCs w:val="24"/>
        </w:rPr>
        <w:t>P</w:t>
      </w:r>
      <w:r w:rsidRPr="00D0668B">
        <w:rPr>
          <w:rFonts w:ascii="Book Antiqua" w:hAnsi="Book Antiqua"/>
          <w:sz w:val="24"/>
          <w:szCs w:val="24"/>
        </w:rPr>
        <w:t xml:space="preserve"> = 1.0000; asthma, </w:t>
      </w:r>
      <w:r w:rsidRPr="00953190">
        <w:rPr>
          <w:rFonts w:ascii="Book Antiqua" w:hAnsi="Book Antiqua"/>
          <w:i/>
          <w:sz w:val="24"/>
          <w:szCs w:val="24"/>
        </w:rPr>
        <w:t>P</w:t>
      </w:r>
      <w:r w:rsidRPr="00D0668B">
        <w:rPr>
          <w:rFonts w:ascii="Book Antiqua" w:hAnsi="Book Antiqua"/>
          <w:sz w:val="24"/>
          <w:szCs w:val="24"/>
        </w:rPr>
        <w:t xml:space="preserve"> = 1.0000; stroke, </w:t>
      </w:r>
      <w:r w:rsidRPr="00953190">
        <w:rPr>
          <w:rFonts w:ascii="Book Antiqua" w:hAnsi="Book Antiqua"/>
          <w:i/>
          <w:sz w:val="24"/>
          <w:szCs w:val="24"/>
        </w:rPr>
        <w:t>P</w:t>
      </w:r>
      <w:r w:rsidRPr="00D0668B">
        <w:rPr>
          <w:rFonts w:ascii="Book Antiqua" w:hAnsi="Book Antiqua"/>
          <w:sz w:val="24"/>
          <w:szCs w:val="24"/>
        </w:rPr>
        <w:t xml:space="preserve"> = 0.4146; dementia, </w:t>
      </w:r>
      <w:r w:rsidRPr="00953190">
        <w:rPr>
          <w:rFonts w:ascii="Book Antiqua" w:hAnsi="Book Antiqua"/>
          <w:i/>
          <w:sz w:val="24"/>
          <w:szCs w:val="24"/>
        </w:rPr>
        <w:t>P</w:t>
      </w:r>
      <w:r w:rsidRPr="00D0668B">
        <w:rPr>
          <w:rFonts w:ascii="Book Antiqua" w:hAnsi="Book Antiqua"/>
          <w:sz w:val="24"/>
          <w:szCs w:val="24"/>
        </w:rPr>
        <w:t xml:space="preserve"> = 0.4146; gastroparesis, </w:t>
      </w:r>
      <w:r w:rsidRPr="00953190">
        <w:rPr>
          <w:rFonts w:ascii="Book Antiqua" w:hAnsi="Book Antiqua"/>
          <w:i/>
          <w:sz w:val="24"/>
          <w:szCs w:val="24"/>
        </w:rPr>
        <w:t>P</w:t>
      </w:r>
      <w:r w:rsidRPr="00D0668B">
        <w:rPr>
          <w:rFonts w:ascii="Book Antiqua" w:hAnsi="Book Antiqua"/>
          <w:sz w:val="24"/>
          <w:szCs w:val="24"/>
        </w:rPr>
        <w:t xml:space="preserve"> = 1.0000; achalasia, </w:t>
      </w:r>
      <w:r w:rsidRPr="00953190">
        <w:rPr>
          <w:rFonts w:ascii="Book Antiqua" w:hAnsi="Book Antiqua"/>
          <w:i/>
          <w:sz w:val="24"/>
          <w:szCs w:val="24"/>
        </w:rPr>
        <w:t>P</w:t>
      </w:r>
      <w:r w:rsidRPr="00D0668B">
        <w:rPr>
          <w:rFonts w:ascii="Book Antiqua" w:hAnsi="Book Antiqua"/>
          <w:sz w:val="24"/>
          <w:szCs w:val="24"/>
        </w:rPr>
        <w:t xml:space="preserve"> = 0.4328). Additionally, we found no association between psychiatric disorders and presence or absence of UES abnormalities (psychiatric disorders, </w:t>
      </w:r>
      <w:r w:rsidRPr="00953190">
        <w:rPr>
          <w:rFonts w:ascii="Book Antiqua" w:hAnsi="Book Antiqua"/>
          <w:i/>
          <w:sz w:val="24"/>
          <w:szCs w:val="24"/>
        </w:rPr>
        <w:t>P</w:t>
      </w:r>
      <w:r w:rsidRPr="00D0668B">
        <w:rPr>
          <w:rFonts w:ascii="Book Antiqua" w:hAnsi="Book Antiqua"/>
          <w:sz w:val="24"/>
          <w:szCs w:val="24"/>
        </w:rPr>
        <w:t xml:space="preserve"> = 0.7364; depression, </w:t>
      </w:r>
      <w:r w:rsidRPr="00953190">
        <w:rPr>
          <w:rFonts w:ascii="Book Antiqua" w:hAnsi="Book Antiqua"/>
          <w:i/>
          <w:sz w:val="24"/>
          <w:szCs w:val="24"/>
        </w:rPr>
        <w:t>P</w:t>
      </w:r>
      <w:r w:rsidRPr="00D0668B">
        <w:rPr>
          <w:rFonts w:ascii="Book Antiqua" w:hAnsi="Book Antiqua"/>
          <w:sz w:val="24"/>
          <w:szCs w:val="24"/>
        </w:rPr>
        <w:t xml:space="preserve"> = 1.0000; anxiety, </w:t>
      </w:r>
      <w:r w:rsidRPr="00953190">
        <w:rPr>
          <w:rFonts w:ascii="Book Antiqua" w:hAnsi="Book Antiqua"/>
          <w:i/>
          <w:sz w:val="24"/>
          <w:szCs w:val="24"/>
        </w:rPr>
        <w:t>P</w:t>
      </w:r>
      <w:r w:rsidRPr="00D0668B">
        <w:rPr>
          <w:rFonts w:ascii="Book Antiqua" w:hAnsi="Book Antiqua"/>
          <w:sz w:val="24"/>
          <w:szCs w:val="24"/>
        </w:rPr>
        <w:t xml:space="preserve"> = 0.6293; other psychiatric disorders [including bipolar disorder and schizophrenia], </w:t>
      </w:r>
      <w:r w:rsidRPr="00953190">
        <w:rPr>
          <w:rFonts w:ascii="Book Antiqua" w:hAnsi="Book Antiqua"/>
          <w:i/>
          <w:sz w:val="24"/>
          <w:szCs w:val="24"/>
        </w:rPr>
        <w:t>P</w:t>
      </w:r>
      <w:r w:rsidRPr="00D0668B">
        <w:rPr>
          <w:rFonts w:ascii="Book Antiqua" w:hAnsi="Book Antiqua"/>
          <w:sz w:val="24"/>
          <w:szCs w:val="24"/>
        </w:rPr>
        <w:t xml:space="preserve"> = 1.0000). There was also no significant association observed between history of prior esophageal or other relevant surgeries and presence or absence of UES abnormality (History of any prior surgery, </w:t>
      </w:r>
      <w:r w:rsidRPr="00953190">
        <w:rPr>
          <w:rFonts w:ascii="Book Antiqua" w:hAnsi="Book Antiqua"/>
          <w:i/>
          <w:sz w:val="24"/>
          <w:szCs w:val="24"/>
        </w:rPr>
        <w:t>P</w:t>
      </w:r>
      <w:r w:rsidRPr="00D0668B">
        <w:rPr>
          <w:rFonts w:ascii="Book Antiqua" w:hAnsi="Book Antiqua"/>
          <w:sz w:val="24"/>
          <w:szCs w:val="24"/>
        </w:rPr>
        <w:t xml:space="preserve"> = 0.752; larynx surgery, </w:t>
      </w:r>
      <w:r w:rsidRPr="00953190">
        <w:rPr>
          <w:rFonts w:ascii="Book Antiqua" w:hAnsi="Book Antiqua"/>
          <w:i/>
          <w:sz w:val="24"/>
          <w:szCs w:val="24"/>
        </w:rPr>
        <w:t>P</w:t>
      </w:r>
      <w:r w:rsidRPr="00D0668B">
        <w:rPr>
          <w:rFonts w:ascii="Book Antiqua" w:hAnsi="Book Antiqua"/>
          <w:sz w:val="24"/>
          <w:szCs w:val="24"/>
        </w:rPr>
        <w:t xml:space="preserve"> = 1.0000; esophageal surgery, </w:t>
      </w:r>
      <w:r w:rsidRPr="00953190">
        <w:rPr>
          <w:rFonts w:ascii="Book Antiqua" w:hAnsi="Book Antiqua"/>
          <w:i/>
          <w:sz w:val="24"/>
          <w:szCs w:val="24"/>
        </w:rPr>
        <w:t>P</w:t>
      </w:r>
      <w:r w:rsidRPr="00D0668B">
        <w:rPr>
          <w:rFonts w:ascii="Book Antiqua" w:hAnsi="Book Antiqua"/>
          <w:sz w:val="24"/>
          <w:szCs w:val="24"/>
        </w:rPr>
        <w:t xml:space="preserve"> = 0.3725; spine surgery, </w:t>
      </w:r>
      <w:r w:rsidRPr="00953190">
        <w:rPr>
          <w:rFonts w:ascii="Book Antiqua" w:hAnsi="Book Antiqua"/>
          <w:i/>
          <w:sz w:val="24"/>
          <w:szCs w:val="24"/>
        </w:rPr>
        <w:t>P</w:t>
      </w:r>
      <w:r w:rsidRPr="00D0668B">
        <w:rPr>
          <w:rFonts w:ascii="Book Antiqua" w:hAnsi="Book Antiqua"/>
          <w:sz w:val="24"/>
          <w:szCs w:val="24"/>
        </w:rPr>
        <w:t xml:space="preserve"> = 0.5024; all additional surgeries,</w:t>
      </w:r>
      <w:r w:rsidRPr="00953190">
        <w:rPr>
          <w:rFonts w:ascii="Book Antiqua" w:hAnsi="Book Antiqua"/>
          <w:i/>
          <w:sz w:val="24"/>
          <w:szCs w:val="24"/>
        </w:rPr>
        <w:t xml:space="preserve"> P</w:t>
      </w:r>
      <w:r w:rsidRPr="00D0668B">
        <w:rPr>
          <w:rFonts w:ascii="Book Antiqua" w:hAnsi="Book Antiqua"/>
          <w:sz w:val="24"/>
          <w:szCs w:val="24"/>
        </w:rPr>
        <w:t xml:space="preserve"> = 1.0000).  </w:t>
      </w:r>
    </w:p>
    <w:p w:rsidR="00601C8A" w:rsidRPr="00D0668B" w:rsidRDefault="00601C8A" w:rsidP="006D37F8">
      <w:pPr>
        <w:spacing w:after="0" w:line="360" w:lineRule="auto"/>
        <w:ind w:firstLine="720"/>
        <w:jc w:val="both"/>
        <w:rPr>
          <w:rFonts w:ascii="Book Antiqua" w:hAnsi="Book Antiqua"/>
          <w:b/>
          <w:i/>
          <w:sz w:val="24"/>
          <w:szCs w:val="24"/>
          <w:lang w:eastAsia="zh-CN"/>
        </w:rPr>
      </w:pPr>
    </w:p>
    <w:p w:rsidR="00601C8A" w:rsidRPr="00D0668B" w:rsidRDefault="00601C8A" w:rsidP="006D37F8">
      <w:pPr>
        <w:spacing w:after="0" w:line="360" w:lineRule="auto"/>
        <w:jc w:val="both"/>
        <w:rPr>
          <w:rFonts w:ascii="Book Antiqua" w:hAnsi="Book Antiqua"/>
          <w:b/>
          <w:sz w:val="24"/>
          <w:szCs w:val="24"/>
        </w:rPr>
      </w:pPr>
      <w:r w:rsidRPr="00D0668B">
        <w:rPr>
          <w:rFonts w:ascii="Book Antiqua" w:hAnsi="Book Antiqua"/>
          <w:b/>
          <w:sz w:val="24"/>
          <w:szCs w:val="24"/>
        </w:rPr>
        <w:t>DISCUSSION</w:t>
      </w:r>
    </w:p>
    <w:p w:rsidR="00601C8A" w:rsidRPr="00D0668B" w:rsidRDefault="00601C8A" w:rsidP="006D37F8">
      <w:pPr>
        <w:spacing w:after="0" w:line="360" w:lineRule="auto"/>
        <w:jc w:val="both"/>
        <w:rPr>
          <w:rFonts w:ascii="Book Antiqua" w:hAnsi="Book Antiqua"/>
          <w:sz w:val="24"/>
          <w:szCs w:val="24"/>
        </w:rPr>
      </w:pPr>
      <w:r w:rsidRPr="00D0668B">
        <w:rPr>
          <w:rFonts w:ascii="Book Antiqua" w:hAnsi="Book Antiqua"/>
          <w:sz w:val="24"/>
          <w:szCs w:val="24"/>
        </w:rPr>
        <w:t>The pathophysiology of disorders affecting the upper esophageal sphincter is incompletely understood.  The advent of solid state, high resolution esophageal manometry has improved our understanding and ability to evaluate the UES and pharyngeal region.  In the present study, upper esophageal sphincter abnormalities were not only a frequent finding in patients with achalasia, but additionally were useful in predicting treatment response. The association of UES abnormalities with treatment response remained even after adjusting for type of treatment received. Interestingly, among patients with achalasia, UES abnormalities were more common than normal UES function in this population.  Further, the presence of UES abnormalities in patients with achalasia significantly predicted poorer treatment response when compared to those with normal UES function, irrespective of the type of treatment received or the sub-type of achalasia that was being treated. Similar to prior studies, the present study also demonstrated that in patients with UES abnormalities, Type II achalasia was the most common sub-type</w:t>
      </w:r>
      <w:r w:rsidRPr="00D0668B">
        <w:rPr>
          <w:rFonts w:ascii="Book Antiqua" w:hAnsi="Book Antiqua"/>
          <w:sz w:val="24"/>
          <w:szCs w:val="24"/>
          <w:vertAlign w:val="superscript"/>
        </w:rPr>
        <w:t>[24-26]</w:t>
      </w:r>
      <w:r w:rsidRPr="00D0668B">
        <w:rPr>
          <w:rFonts w:ascii="Book Antiqua" w:hAnsi="Book Antiqua"/>
          <w:sz w:val="24"/>
          <w:szCs w:val="24"/>
        </w:rPr>
        <w:t>;</w:t>
      </w:r>
      <w:r>
        <w:rPr>
          <w:rFonts w:ascii="Book Antiqua" w:hAnsi="Book Antiqua"/>
          <w:sz w:val="24"/>
          <w:szCs w:val="24"/>
        </w:rPr>
        <w:t xml:space="preserve"> </w:t>
      </w:r>
      <w:r w:rsidRPr="00D0668B">
        <w:rPr>
          <w:rFonts w:ascii="Book Antiqua" w:hAnsi="Book Antiqua"/>
          <w:sz w:val="24"/>
          <w:szCs w:val="24"/>
        </w:rPr>
        <w:t>however, there was no association observed between sub-type of achalasia and presence of UES dysfunction.</w:t>
      </w:r>
    </w:p>
    <w:p w:rsidR="00601C8A" w:rsidRPr="00D0668B" w:rsidRDefault="00601C8A" w:rsidP="006D37F8">
      <w:pPr>
        <w:spacing w:after="0" w:line="360" w:lineRule="auto"/>
        <w:ind w:firstLine="720"/>
        <w:jc w:val="both"/>
        <w:rPr>
          <w:rFonts w:ascii="Book Antiqua" w:hAnsi="Book Antiqua"/>
          <w:sz w:val="24"/>
          <w:szCs w:val="24"/>
        </w:rPr>
      </w:pPr>
      <w:r w:rsidRPr="00D0668B">
        <w:rPr>
          <w:rFonts w:ascii="Book Antiqua" w:hAnsi="Book Antiqua"/>
          <w:sz w:val="24"/>
          <w:szCs w:val="24"/>
        </w:rPr>
        <w:t>Malhi-Chowla</w:t>
      </w:r>
      <w:r w:rsidRPr="00953190">
        <w:rPr>
          <w:rFonts w:ascii="Book Antiqua" w:hAnsi="Book Antiqua"/>
          <w:i/>
          <w:sz w:val="24"/>
          <w:szCs w:val="24"/>
        </w:rPr>
        <w:t xml:space="preserve"> et al</w:t>
      </w:r>
      <w:r w:rsidRPr="00D0668B">
        <w:rPr>
          <w:rFonts w:ascii="Book Antiqua" w:hAnsi="Book Antiqua"/>
          <w:sz w:val="24"/>
          <w:szCs w:val="24"/>
          <w:vertAlign w:val="superscript"/>
        </w:rPr>
        <w:t>[22]</w:t>
      </w:r>
      <w:r>
        <w:rPr>
          <w:rFonts w:ascii="Book Antiqua" w:hAnsi="Book Antiqua"/>
          <w:sz w:val="24"/>
          <w:szCs w:val="24"/>
          <w:vertAlign w:val="superscript"/>
          <w:lang w:eastAsia="zh-CN"/>
        </w:rPr>
        <w:t xml:space="preserve"> </w:t>
      </w:r>
      <w:r w:rsidRPr="00D0668B">
        <w:rPr>
          <w:rFonts w:ascii="Book Antiqua" w:hAnsi="Book Antiqua"/>
          <w:sz w:val="24"/>
          <w:szCs w:val="24"/>
        </w:rPr>
        <w:t>previously reported that UES abnormalities are a common incidental finding on manometric studies, even in the absence of abnormal radiographic signs or upper esophageal sphincter symptoms. These authors concluded that routine UES manometry with esophageal manometry was therefore not always useful, particularly when UES dysfunction was not suspected clinically. In contrast to their findings, with our assessment of clinical outcomes in a large group of patients with achalasia, the present study provides direct evidence that UES abnormalities may be clinically relevant, specifically in predicting treatment response in individuals with achalasia. As a result, our findings suggest a direct association between UES dysfunction and poorer outcomes in this patient population, and further provide support for careful manometic UES evaluation even when a motility disorder with a predominantly lower esophageal pathology (</w:t>
      </w:r>
      <w:r w:rsidRPr="00953190">
        <w:rPr>
          <w:rFonts w:ascii="Book Antiqua" w:hAnsi="Book Antiqua"/>
          <w:i/>
          <w:sz w:val="24"/>
          <w:szCs w:val="24"/>
        </w:rPr>
        <w:t>i.e.</w:t>
      </w:r>
      <w:r w:rsidRPr="00953190">
        <w:rPr>
          <w:rFonts w:ascii="Book Antiqua" w:hAnsi="Book Antiqua"/>
          <w:i/>
          <w:sz w:val="24"/>
          <w:szCs w:val="24"/>
          <w:lang w:eastAsia="zh-CN"/>
        </w:rPr>
        <w:t>,</w:t>
      </w:r>
      <w:r w:rsidRPr="00D0668B">
        <w:rPr>
          <w:rFonts w:ascii="Book Antiqua" w:hAnsi="Book Antiqua"/>
          <w:sz w:val="24"/>
          <w:szCs w:val="24"/>
        </w:rPr>
        <w:t xml:space="preserve"> achalasia) is suspected. </w:t>
      </w:r>
    </w:p>
    <w:p w:rsidR="00601C8A" w:rsidRPr="00D0668B" w:rsidRDefault="00601C8A" w:rsidP="006D37F8">
      <w:pPr>
        <w:spacing w:after="0" w:line="360" w:lineRule="auto"/>
        <w:ind w:firstLine="720"/>
        <w:jc w:val="both"/>
        <w:rPr>
          <w:rFonts w:ascii="Book Antiqua" w:hAnsi="Book Antiqua"/>
          <w:sz w:val="24"/>
          <w:szCs w:val="24"/>
        </w:rPr>
      </w:pPr>
      <w:r w:rsidRPr="00D0668B">
        <w:rPr>
          <w:rFonts w:ascii="Book Antiqua" w:hAnsi="Book Antiqua"/>
          <w:sz w:val="24"/>
          <w:szCs w:val="24"/>
        </w:rPr>
        <w:t>The finding that UES abnormalities in achalasia is strongly predictive of poorer treatment response suggests that this sub-population with UES dysfunction may have more severe disease with potentially more extensive and further proximal esophageal involvement. While prior studies have suggested that UES abnormalities appear to be associated with achalasia and other</w:t>
      </w:r>
      <w:r>
        <w:rPr>
          <w:rFonts w:ascii="Book Antiqua" w:hAnsi="Book Antiqua"/>
          <w:sz w:val="24"/>
          <w:szCs w:val="24"/>
        </w:rPr>
        <w:t xml:space="preserve"> esophageal motility disorders</w:t>
      </w:r>
      <w:r>
        <w:rPr>
          <w:rFonts w:ascii="Book Antiqua" w:hAnsi="Book Antiqua"/>
          <w:sz w:val="24"/>
          <w:szCs w:val="24"/>
          <w:vertAlign w:val="superscript"/>
          <w:lang w:eastAsia="zh-CN"/>
        </w:rPr>
        <w:t>[</w:t>
      </w:r>
      <w:r w:rsidRPr="00D0668B">
        <w:rPr>
          <w:rFonts w:ascii="Book Antiqua" w:hAnsi="Book Antiqua"/>
          <w:sz w:val="24"/>
          <w:szCs w:val="24"/>
          <w:vertAlign w:val="superscript"/>
        </w:rPr>
        <w:t>11-21</w:t>
      </w:r>
      <w:r>
        <w:rPr>
          <w:rFonts w:ascii="Book Antiqua" w:hAnsi="Book Antiqua"/>
          <w:sz w:val="24"/>
          <w:szCs w:val="24"/>
          <w:vertAlign w:val="superscript"/>
          <w:lang w:eastAsia="zh-CN"/>
        </w:rPr>
        <w:t>]</w:t>
      </w:r>
      <w:r>
        <w:rPr>
          <w:rFonts w:ascii="Book Antiqua" w:hAnsi="Book Antiqua"/>
          <w:sz w:val="24"/>
          <w:szCs w:val="24"/>
          <w:lang w:eastAsia="zh-CN"/>
        </w:rPr>
        <w:t>,</w:t>
      </w:r>
      <w:r w:rsidRPr="00D0668B">
        <w:rPr>
          <w:rFonts w:ascii="Book Antiqua" w:hAnsi="Book Antiqua"/>
          <w:sz w:val="24"/>
          <w:szCs w:val="24"/>
        </w:rPr>
        <w:t xml:space="preserve"> none of those studies directly assessed clinical significance or response to treatment. </w:t>
      </w:r>
    </w:p>
    <w:p w:rsidR="00601C8A" w:rsidRPr="00D0668B" w:rsidRDefault="00601C8A" w:rsidP="006D37F8">
      <w:pPr>
        <w:spacing w:after="0" w:line="360" w:lineRule="auto"/>
        <w:ind w:firstLine="720"/>
        <w:jc w:val="both"/>
        <w:rPr>
          <w:rFonts w:ascii="Book Antiqua" w:hAnsi="Book Antiqua"/>
          <w:sz w:val="24"/>
          <w:szCs w:val="24"/>
        </w:rPr>
      </w:pPr>
      <w:r w:rsidRPr="00D0668B">
        <w:rPr>
          <w:rFonts w:ascii="Book Antiqua" w:hAnsi="Book Antiqua"/>
          <w:sz w:val="24"/>
          <w:szCs w:val="24"/>
        </w:rPr>
        <w:t>Better treatment response in patients with type II achalasia has been well described in several studies</w:t>
      </w:r>
      <w:r w:rsidRPr="00D0668B">
        <w:rPr>
          <w:rFonts w:ascii="Book Antiqua" w:hAnsi="Book Antiqua"/>
          <w:sz w:val="24"/>
          <w:szCs w:val="24"/>
          <w:vertAlign w:val="superscript"/>
        </w:rPr>
        <w:t>[26-28]</w:t>
      </w:r>
      <w:r w:rsidRPr="00D0668B">
        <w:rPr>
          <w:rFonts w:ascii="Book Antiqua" w:hAnsi="Book Antiqua"/>
          <w:sz w:val="24"/>
          <w:szCs w:val="24"/>
        </w:rPr>
        <w:t>. It is additionally well known that patients with type III achalasia have the worst response to all therapies. However, even after controlling for type of achalasia, our results still demonstrated that treatment response was significantly better in all types of achalasia without UES abnormalities as compared to patients with concurrent achalasia and UES dysfunction.  In other words, UES dysfunction appeared to independently predict treatment failure and normal UES function independently predicted better treatment response, irregardless of achalasia sub-type.</w:t>
      </w:r>
    </w:p>
    <w:p w:rsidR="00601C8A" w:rsidRPr="00953190" w:rsidRDefault="00601C8A" w:rsidP="006D37F8">
      <w:pPr>
        <w:spacing w:after="0" w:line="360" w:lineRule="auto"/>
        <w:ind w:firstLine="720"/>
        <w:jc w:val="both"/>
        <w:rPr>
          <w:rFonts w:ascii="Book Antiqua" w:hAnsi="Book Antiqua"/>
          <w:sz w:val="24"/>
          <w:szCs w:val="24"/>
          <w:lang w:eastAsia="zh-CN"/>
        </w:rPr>
      </w:pPr>
      <w:r w:rsidRPr="00D0668B">
        <w:rPr>
          <w:rFonts w:ascii="Book Antiqua" w:hAnsi="Book Antiqua"/>
          <w:sz w:val="24"/>
          <w:szCs w:val="24"/>
        </w:rPr>
        <w:t xml:space="preserve">UES dysfunction in achalasia has previously been described, specifically with impaired UES relaxation reported as the most common abnormality among patients with achalasia.  Yoneyama </w:t>
      </w:r>
      <w:r w:rsidRPr="00953190">
        <w:rPr>
          <w:rFonts w:ascii="Book Antiqua" w:hAnsi="Book Antiqua"/>
          <w:i/>
          <w:sz w:val="24"/>
          <w:szCs w:val="24"/>
        </w:rPr>
        <w:t>et al</w:t>
      </w:r>
      <w:r w:rsidRPr="00D0668B">
        <w:rPr>
          <w:rFonts w:ascii="Book Antiqua" w:hAnsi="Book Antiqua"/>
          <w:sz w:val="24"/>
          <w:szCs w:val="24"/>
          <w:vertAlign w:val="superscript"/>
        </w:rPr>
        <w:t>[10]</w:t>
      </w:r>
      <w:r w:rsidRPr="00D0668B">
        <w:rPr>
          <w:rFonts w:ascii="Book Antiqua" w:hAnsi="Book Antiqua"/>
          <w:sz w:val="24"/>
          <w:szCs w:val="24"/>
        </w:rPr>
        <w:t xml:space="preserve"> compared the UES manometric characteristics of 15 patients with diagnosis of achalasia as compared to 10 healthy volunteers and concluded that UES relaxation in patients with achalasia is incomplete. In the present study, we found a very high frequency of concomitant UES abnormalities among patients with achalasia (54%).  Further, these individuals with UES abnormalities were more likely to have either impairment of UES relaxation or a hypertensive resting pressure as compared to being hypotensive. Although achalasia classically spares striated muscle, both prior literature and the results of the present study demonstrate a high frequency of upper esophageal sphincter involvement in this specific patient population.</w:t>
      </w:r>
    </w:p>
    <w:p w:rsidR="00601C8A" w:rsidRPr="00953190" w:rsidRDefault="00601C8A" w:rsidP="006D37F8">
      <w:pPr>
        <w:spacing w:after="0" w:line="360" w:lineRule="auto"/>
        <w:ind w:firstLine="720"/>
        <w:jc w:val="both"/>
        <w:rPr>
          <w:rFonts w:ascii="Book Antiqua" w:hAnsi="Book Antiqua"/>
          <w:sz w:val="24"/>
          <w:szCs w:val="24"/>
          <w:lang w:eastAsia="zh-CN"/>
        </w:rPr>
      </w:pPr>
      <w:r w:rsidRPr="00D0668B">
        <w:rPr>
          <w:rFonts w:ascii="Book Antiqua" w:hAnsi="Book Antiqua"/>
          <w:sz w:val="24"/>
          <w:szCs w:val="24"/>
        </w:rPr>
        <w:t>In exploring what may account for this finding, it is plausible that increased UES pressure represents a compensatory or protective effect toward inadequate esophageal clearance in achalasia.  Prior studies have also reported a reflexive hypertensive upper esophageal resting pressures after intraesophageal distension</w:t>
      </w:r>
      <w:r w:rsidRPr="00D0668B">
        <w:rPr>
          <w:rFonts w:ascii="Book Antiqua" w:hAnsi="Book Antiqua"/>
          <w:sz w:val="24"/>
          <w:szCs w:val="24"/>
          <w:vertAlign w:val="superscript"/>
        </w:rPr>
        <w:t>[29]</w:t>
      </w:r>
      <w:r w:rsidRPr="00D0668B">
        <w:rPr>
          <w:rFonts w:ascii="Book Antiqua" w:hAnsi="Book Antiqua"/>
          <w:sz w:val="24"/>
          <w:szCs w:val="24"/>
        </w:rPr>
        <w:t xml:space="preserve">. These investigators proposed that this may be a result of the UES serving as a dynamic barrier to esophagopharyngeal reflux and subsequent bronchial aspiration.  Another possibility is that a neural feedback mechanism exists between UES relaxation and tension in the esophageal wall, such that increased resting pressure in the esophageal body transmits directly to the UES. </w:t>
      </w:r>
    </w:p>
    <w:p w:rsidR="00601C8A" w:rsidRPr="00D0668B" w:rsidRDefault="00601C8A" w:rsidP="00332F13">
      <w:pPr>
        <w:spacing w:after="0" w:line="360" w:lineRule="auto"/>
        <w:ind w:firstLine="720"/>
        <w:jc w:val="both"/>
        <w:rPr>
          <w:rFonts w:ascii="Book Antiqua" w:hAnsi="Book Antiqua"/>
          <w:sz w:val="24"/>
          <w:szCs w:val="24"/>
        </w:rPr>
      </w:pPr>
      <w:r w:rsidRPr="00D0668B">
        <w:rPr>
          <w:rFonts w:ascii="Book Antiqua" w:hAnsi="Book Antiqua"/>
          <w:sz w:val="24"/>
          <w:szCs w:val="24"/>
        </w:rPr>
        <w:t>A paradoxical increase in UES pressure may also result from the loss of inhibitory neurons more proximally in patients with achalasia who may have more extensive esophageal involvement.  A subset of patients with achalasia may also have more significant vagal involvement with Wallerian degeneration in the vagal fibers that supply the esophagus.  In this context, the presence or severity of UES abnormalities may potentially be useful as a predictor to treatment response in achalasia.  It is also possible that UES dysfunction in achalasia is simply a reflection of more severe disease and may reverse with treatment.  In fact, prior studies have demonstrated that UES abnormalities disappear after pneumatic dilation</w:t>
      </w:r>
      <w:r w:rsidRPr="00D0668B">
        <w:rPr>
          <w:rFonts w:ascii="Book Antiqua" w:hAnsi="Book Antiqua"/>
          <w:sz w:val="24"/>
          <w:szCs w:val="24"/>
          <w:vertAlign w:val="superscript"/>
        </w:rPr>
        <w:t>[13]</w:t>
      </w:r>
      <w:r w:rsidRPr="00D0668B">
        <w:rPr>
          <w:rFonts w:ascii="Book Antiqua" w:hAnsi="Book Antiqua"/>
          <w:sz w:val="24"/>
          <w:szCs w:val="24"/>
        </w:rPr>
        <w:t>, suggesting that reversal of UES dysfunction may be used as one of the predictors of treatment response.  Lastly, although it is generally believed that the upper third of the esophagus, is composed primarily of striated muscle, this may not necessarily be the case in all individuals. Interestingly, in one autopsy study, smooth muscle fibers in the circular muscle up to the level of the upper esophageal sphincter were found in 45% of specimens</w:t>
      </w:r>
      <w:r w:rsidRPr="00D0668B">
        <w:rPr>
          <w:rFonts w:ascii="Book Antiqua" w:hAnsi="Book Antiqua"/>
          <w:sz w:val="24"/>
          <w:szCs w:val="24"/>
          <w:vertAlign w:val="superscript"/>
        </w:rPr>
        <w:t>[30]</w:t>
      </w:r>
      <w:r w:rsidRPr="00D0668B">
        <w:rPr>
          <w:rFonts w:ascii="Book Antiqua" w:hAnsi="Book Antiqua"/>
          <w:sz w:val="24"/>
          <w:szCs w:val="24"/>
        </w:rPr>
        <w:t xml:space="preserve">. </w:t>
      </w:r>
    </w:p>
    <w:p w:rsidR="00601C8A" w:rsidRPr="00D0668B" w:rsidRDefault="00601C8A" w:rsidP="006D37F8">
      <w:pPr>
        <w:spacing w:after="0" w:line="360" w:lineRule="auto"/>
        <w:ind w:firstLine="720"/>
        <w:jc w:val="both"/>
        <w:rPr>
          <w:rFonts w:ascii="Book Antiqua" w:hAnsi="Book Antiqua"/>
          <w:b/>
          <w:sz w:val="24"/>
          <w:szCs w:val="24"/>
        </w:rPr>
      </w:pPr>
      <w:r w:rsidRPr="00D0668B">
        <w:rPr>
          <w:rFonts w:ascii="Book Antiqua" w:hAnsi="Book Antiqua"/>
          <w:sz w:val="24"/>
          <w:szCs w:val="24"/>
        </w:rPr>
        <w:t>Our study is the first to directly report on the potential clinical significance of UES abnormalities in treatment outcome in patients with achalasia; however, the authors acknowledge that there were significant limitations to the present study.  First, this was a retrospective analysis which inherently limits the ability to draw causative conclusions. However, given the limited literature on UES abnormalities and clinical outcomes in patients with achalasia, it adds significant value in identifying key areas of further study in a l</w:t>
      </w:r>
      <w:r>
        <w:rPr>
          <w:rFonts w:ascii="Book Antiqua" w:hAnsi="Book Antiqua"/>
          <w:sz w:val="24"/>
          <w:szCs w:val="24"/>
        </w:rPr>
        <w:t xml:space="preserve">arger, prospective evaluation. </w:t>
      </w:r>
      <w:r w:rsidRPr="00D0668B">
        <w:rPr>
          <w:rFonts w:ascii="Book Antiqua" w:hAnsi="Book Antiqua"/>
          <w:sz w:val="24"/>
          <w:szCs w:val="24"/>
        </w:rPr>
        <w:t>Another limitation is that treatment response was based on subjective evaluation by the patient of improvement in primary symptoms (and Eckardt scores were not assessed in all patients), which was collected by chart review based on the assessment of the clinical provider. A more objective measure such as a pre and post-treatment Eckardt score, barium esophogram, or repeat manometric study would have provided more objective outcome data; however, this was not possible given the retrospective nature of the study. In addition, further correlation with presence or resolution of UES abnormality post procedure would have been ideal, but this was not feasible in this retrospective setting. Nevertheless, our subjective measure was able to reliably demonstrate a significant clinical difference.   It is also important to note that this study took place at a tertiary care/motility referral center. Consequently, the results of this study may not be as generalizable to the general patient population. However, the demographics and presentation profile of our patient population appear largely similar to those in non-academic settings.  Lastly, given that UES findings are not routinely reported on esophageal manometry studies and not formally included in any manometry classification systems at this time, it is likely that some studies that were interpreted as “normal,” actually had UES abnormalities present. Thus, this study may even under-represent the true frequency of UES dysfunction among patients with achalasia.</w:t>
      </w:r>
    </w:p>
    <w:p w:rsidR="00601C8A" w:rsidRPr="00D0668B" w:rsidRDefault="00601C8A" w:rsidP="006D37F8">
      <w:pPr>
        <w:spacing w:after="0" w:line="360" w:lineRule="auto"/>
        <w:ind w:firstLine="720"/>
        <w:jc w:val="both"/>
        <w:rPr>
          <w:rFonts w:ascii="Book Antiqua" w:hAnsi="Book Antiqua"/>
          <w:sz w:val="24"/>
          <w:szCs w:val="24"/>
        </w:rPr>
      </w:pPr>
      <w:r w:rsidRPr="00D0668B">
        <w:rPr>
          <w:rFonts w:ascii="Book Antiqua" w:hAnsi="Book Antiqua"/>
          <w:sz w:val="24"/>
          <w:szCs w:val="24"/>
        </w:rPr>
        <w:t xml:space="preserve">In conclusion, our study illustrates that upper esophageal sphincter abnormalities in patients with achalasia have significant value in predicting treatment outcome. Our findings not only suggest a direct association between UES dysfunction and poorer outcomes in this population, but additionally provide support for manometic UES evaluation in all patients referred for HREM in whom an esophageal motility is suspected. Further, large scale studies are needed to determine whether specific UES abnormalities have additional prognostic value and may also clarify the underlying pathophysiologic mechanism driving the poorer outcomes seen in our study.  Prospective evaluation is also needed to further delineate the underlying mechanism and natural history of UES dysfunction in achalasia in order to optimize therapeutic treatment modalities. </w:t>
      </w:r>
    </w:p>
    <w:p w:rsidR="00601C8A" w:rsidRPr="00D0668B" w:rsidRDefault="00601C8A" w:rsidP="006D37F8">
      <w:pPr>
        <w:spacing w:after="0" w:line="360" w:lineRule="auto"/>
        <w:jc w:val="both"/>
        <w:rPr>
          <w:rFonts w:ascii="Book Antiqua" w:hAnsi="Book Antiqua"/>
          <w:sz w:val="24"/>
          <w:szCs w:val="24"/>
        </w:rPr>
      </w:pPr>
    </w:p>
    <w:p w:rsidR="00601C8A" w:rsidRPr="00D0668B" w:rsidRDefault="00601C8A" w:rsidP="0016259E">
      <w:pPr>
        <w:jc w:val="both"/>
        <w:rPr>
          <w:rFonts w:ascii="Book Antiqua" w:hAnsi="Book Antiqua"/>
          <w:b/>
          <w:sz w:val="24"/>
          <w:szCs w:val="24"/>
        </w:rPr>
      </w:pPr>
      <w:bookmarkStart w:id="29" w:name="OLE_LINK13"/>
      <w:bookmarkStart w:id="30" w:name="OLE_LINK323"/>
      <w:bookmarkStart w:id="31" w:name="OLE_LINK349"/>
      <w:bookmarkStart w:id="32" w:name="OLE_LINK377"/>
      <w:r w:rsidRPr="00D0668B">
        <w:rPr>
          <w:rFonts w:ascii="Book Antiqua" w:hAnsi="Book Antiqua"/>
          <w:b/>
          <w:sz w:val="24"/>
          <w:szCs w:val="24"/>
        </w:rPr>
        <w:t>COMMENTS</w:t>
      </w:r>
    </w:p>
    <w:p w:rsidR="00601C8A" w:rsidRPr="00D0668B" w:rsidRDefault="00601C8A" w:rsidP="006D37F8">
      <w:pPr>
        <w:spacing w:after="0" w:line="360" w:lineRule="auto"/>
        <w:jc w:val="both"/>
        <w:rPr>
          <w:rFonts w:ascii="Book Antiqua" w:hAnsi="Book Antiqua"/>
          <w:b/>
          <w:i/>
          <w:sz w:val="24"/>
          <w:szCs w:val="24"/>
        </w:rPr>
      </w:pPr>
      <w:r w:rsidRPr="00D0668B">
        <w:rPr>
          <w:rFonts w:ascii="Book Antiqua" w:hAnsi="Book Antiqua"/>
          <w:b/>
          <w:i/>
          <w:sz w:val="24"/>
          <w:szCs w:val="24"/>
        </w:rPr>
        <w:t>Background</w:t>
      </w:r>
    </w:p>
    <w:p w:rsidR="00601C8A" w:rsidRDefault="00601C8A" w:rsidP="006D37F8">
      <w:pPr>
        <w:spacing w:after="0" w:line="360" w:lineRule="auto"/>
        <w:jc w:val="both"/>
        <w:rPr>
          <w:rFonts w:ascii="Book Antiqua" w:hAnsi="Book Antiqua"/>
          <w:bCs/>
          <w:color w:val="000000"/>
          <w:kern w:val="36"/>
          <w:sz w:val="24"/>
          <w:szCs w:val="24"/>
          <w:lang w:eastAsia="zh-CN"/>
        </w:rPr>
      </w:pPr>
      <w:r w:rsidRPr="00D0668B">
        <w:rPr>
          <w:rFonts w:ascii="Book Antiqua" w:hAnsi="Book Antiqua"/>
          <w:bCs/>
          <w:color w:val="000000"/>
          <w:kern w:val="36"/>
          <w:sz w:val="24"/>
          <w:szCs w:val="24"/>
        </w:rPr>
        <w:t>High resolution esophageal manometry has allowed the ability to assess the upper esophageal sphincter (UES). However, UES abnormalities are often interpreted as incidental findings with no defined clinical significance</w:t>
      </w:r>
      <w:r>
        <w:rPr>
          <w:rFonts w:ascii="Book Antiqua" w:hAnsi="Book Antiqua"/>
          <w:bCs/>
          <w:color w:val="000000"/>
          <w:kern w:val="36"/>
          <w:sz w:val="24"/>
          <w:szCs w:val="24"/>
          <w:lang w:eastAsia="zh-CN"/>
        </w:rPr>
        <w:t>.</w:t>
      </w:r>
    </w:p>
    <w:p w:rsidR="00601C8A" w:rsidRPr="00D0668B" w:rsidRDefault="00601C8A" w:rsidP="006D37F8">
      <w:pPr>
        <w:spacing w:after="0" w:line="360" w:lineRule="auto"/>
        <w:jc w:val="both"/>
        <w:rPr>
          <w:rFonts w:ascii="Book Antiqua" w:hAnsi="Book Antiqua"/>
          <w:sz w:val="24"/>
          <w:szCs w:val="24"/>
          <w:lang w:eastAsia="zh-CN"/>
        </w:rPr>
      </w:pPr>
    </w:p>
    <w:p w:rsidR="00601C8A" w:rsidRPr="00D0668B" w:rsidRDefault="00601C8A" w:rsidP="006D37F8">
      <w:pPr>
        <w:spacing w:after="0" w:line="360" w:lineRule="auto"/>
        <w:jc w:val="both"/>
        <w:rPr>
          <w:rFonts w:ascii="Book Antiqua" w:hAnsi="Book Antiqua"/>
          <w:b/>
          <w:i/>
          <w:sz w:val="24"/>
          <w:szCs w:val="24"/>
        </w:rPr>
      </w:pPr>
      <w:r w:rsidRPr="00D0668B">
        <w:rPr>
          <w:rFonts w:ascii="Book Antiqua" w:hAnsi="Book Antiqua"/>
          <w:b/>
          <w:i/>
          <w:sz w:val="24"/>
          <w:szCs w:val="24"/>
        </w:rPr>
        <w:t>Research frontiers</w:t>
      </w:r>
    </w:p>
    <w:p w:rsidR="00601C8A" w:rsidRDefault="00601C8A" w:rsidP="006D37F8">
      <w:pPr>
        <w:spacing w:after="0" w:line="360" w:lineRule="auto"/>
        <w:jc w:val="both"/>
        <w:rPr>
          <w:rFonts w:ascii="Book Antiqua" w:hAnsi="Book Antiqua"/>
          <w:bCs/>
          <w:color w:val="000000"/>
          <w:kern w:val="36"/>
          <w:sz w:val="24"/>
          <w:szCs w:val="24"/>
          <w:lang w:eastAsia="zh-CN"/>
        </w:rPr>
      </w:pPr>
      <w:r w:rsidRPr="00D0668B">
        <w:rPr>
          <w:rFonts w:ascii="Book Antiqua" w:hAnsi="Book Antiqua"/>
          <w:sz w:val="24"/>
          <w:szCs w:val="24"/>
        </w:rPr>
        <w:t xml:space="preserve">The way in which UES abnormalities impact clinical outcomes in achalasia is unknown. </w:t>
      </w:r>
      <w:r w:rsidRPr="00D0668B">
        <w:rPr>
          <w:rFonts w:ascii="Book Antiqua" w:hAnsi="Book Antiqua"/>
          <w:bCs/>
          <w:color w:val="000000"/>
          <w:kern w:val="36"/>
          <w:sz w:val="24"/>
          <w:szCs w:val="24"/>
        </w:rPr>
        <w:t>We hypothesized that UES abnormalities have clinical significance and may predict treatment response in patients with achalasia</w:t>
      </w:r>
      <w:r>
        <w:rPr>
          <w:rFonts w:ascii="Book Antiqua" w:hAnsi="Book Antiqua"/>
          <w:bCs/>
          <w:color w:val="000000"/>
          <w:kern w:val="36"/>
          <w:sz w:val="24"/>
          <w:szCs w:val="24"/>
          <w:lang w:eastAsia="zh-CN"/>
        </w:rPr>
        <w:t>.</w:t>
      </w:r>
    </w:p>
    <w:p w:rsidR="00601C8A" w:rsidRPr="00D0668B" w:rsidRDefault="00601C8A" w:rsidP="006D37F8">
      <w:pPr>
        <w:spacing w:after="0" w:line="360" w:lineRule="auto"/>
        <w:jc w:val="both"/>
        <w:rPr>
          <w:rFonts w:ascii="Book Antiqua" w:hAnsi="Book Antiqua"/>
          <w:bCs/>
          <w:color w:val="000000"/>
          <w:kern w:val="36"/>
          <w:sz w:val="24"/>
          <w:szCs w:val="24"/>
          <w:lang w:eastAsia="zh-CN"/>
        </w:rPr>
      </w:pPr>
    </w:p>
    <w:p w:rsidR="00601C8A" w:rsidRPr="00D0668B" w:rsidRDefault="00601C8A" w:rsidP="006D37F8">
      <w:pPr>
        <w:spacing w:after="0" w:line="360" w:lineRule="auto"/>
        <w:jc w:val="both"/>
        <w:rPr>
          <w:rFonts w:ascii="Book Antiqua" w:hAnsi="Book Antiqua"/>
          <w:b/>
          <w:i/>
          <w:sz w:val="24"/>
          <w:szCs w:val="24"/>
        </w:rPr>
      </w:pPr>
      <w:r w:rsidRPr="00D0668B">
        <w:rPr>
          <w:rFonts w:ascii="Book Antiqua" w:hAnsi="Book Antiqua"/>
          <w:b/>
          <w:i/>
          <w:sz w:val="24"/>
          <w:szCs w:val="24"/>
        </w:rPr>
        <w:t>Innovations and breakthroughs</w:t>
      </w:r>
    </w:p>
    <w:p w:rsidR="00601C8A" w:rsidRDefault="00601C8A" w:rsidP="006D37F8">
      <w:pPr>
        <w:spacing w:after="0" w:line="360" w:lineRule="auto"/>
        <w:jc w:val="both"/>
        <w:rPr>
          <w:rFonts w:ascii="Book Antiqua" w:hAnsi="Book Antiqua"/>
          <w:sz w:val="24"/>
          <w:szCs w:val="24"/>
          <w:lang w:eastAsia="zh-CN"/>
        </w:rPr>
      </w:pPr>
      <w:r w:rsidRPr="00D0668B">
        <w:rPr>
          <w:rFonts w:ascii="Book Antiqua" w:hAnsi="Book Antiqua"/>
          <w:sz w:val="24"/>
          <w:szCs w:val="24"/>
        </w:rPr>
        <w:t>We found that UES abnormalities were associated with worse treatment outcomes in achalasia patients. Prior studies do not focus on specific clinical outcomes.</w:t>
      </w:r>
    </w:p>
    <w:p w:rsidR="00601C8A" w:rsidRPr="00D0668B" w:rsidRDefault="00601C8A" w:rsidP="006D37F8">
      <w:pPr>
        <w:spacing w:after="0" w:line="360" w:lineRule="auto"/>
        <w:jc w:val="both"/>
        <w:rPr>
          <w:rFonts w:ascii="Book Antiqua" w:hAnsi="Book Antiqua"/>
          <w:sz w:val="24"/>
          <w:szCs w:val="24"/>
          <w:lang w:eastAsia="zh-CN"/>
        </w:rPr>
      </w:pPr>
    </w:p>
    <w:p w:rsidR="00601C8A" w:rsidRPr="00D0668B" w:rsidRDefault="00601C8A" w:rsidP="006D37F8">
      <w:pPr>
        <w:spacing w:after="0" w:line="360" w:lineRule="auto"/>
        <w:jc w:val="both"/>
        <w:rPr>
          <w:rFonts w:ascii="Book Antiqua" w:hAnsi="Book Antiqua"/>
          <w:b/>
          <w:i/>
          <w:sz w:val="24"/>
          <w:szCs w:val="24"/>
        </w:rPr>
      </w:pPr>
      <w:r w:rsidRPr="00D0668B">
        <w:rPr>
          <w:rFonts w:ascii="Book Antiqua" w:hAnsi="Book Antiqua"/>
          <w:b/>
          <w:i/>
          <w:sz w:val="24"/>
          <w:szCs w:val="24"/>
        </w:rPr>
        <w:t>Applications</w:t>
      </w:r>
    </w:p>
    <w:p w:rsidR="00601C8A" w:rsidRDefault="00601C8A" w:rsidP="006D37F8">
      <w:pPr>
        <w:spacing w:after="0" w:line="360" w:lineRule="auto"/>
        <w:jc w:val="both"/>
        <w:rPr>
          <w:rFonts w:ascii="Book Antiqua" w:hAnsi="Book Antiqua"/>
          <w:sz w:val="24"/>
          <w:szCs w:val="24"/>
          <w:lang w:eastAsia="zh-CN"/>
        </w:rPr>
      </w:pPr>
      <w:r w:rsidRPr="00D0668B">
        <w:rPr>
          <w:rFonts w:ascii="Book Antiqua" w:hAnsi="Book Antiqua"/>
          <w:sz w:val="24"/>
          <w:szCs w:val="24"/>
        </w:rPr>
        <w:t>These results, in combination with future studies, could aid in identifying which patients are more likely to succeed with achalasia treatment and could further direct treatment of UES conditions.</w:t>
      </w:r>
    </w:p>
    <w:p w:rsidR="00601C8A" w:rsidRPr="00D0668B" w:rsidRDefault="00601C8A" w:rsidP="006D37F8">
      <w:pPr>
        <w:spacing w:after="0" w:line="360" w:lineRule="auto"/>
        <w:jc w:val="both"/>
        <w:rPr>
          <w:rFonts w:ascii="Book Antiqua" w:hAnsi="Book Antiqua"/>
          <w:sz w:val="24"/>
          <w:szCs w:val="24"/>
          <w:lang w:eastAsia="zh-CN"/>
        </w:rPr>
      </w:pPr>
    </w:p>
    <w:p w:rsidR="00601C8A" w:rsidRPr="00D0668B" w:rsidRDefault="00601C8A" w:rsidP="006D37F8">
      <w:pPr>
        <w:spacing w:after="0" w:line="360" w:lineRule="auto"/>
        <w:jc w:val="both"/>
        <w:rPr>
          <w:rFonts w:ascii="Book Antiqua" w:hAnsi="Book Antiqua"/>
          <w:b/>
          <w:i/>
          <w:sz w:val="24"/>
          <w:szCs w:val="24"/>
        </w:rPr>
      </w:pPr>
      <w:r w:rsidRPr="00D0668B">
        <w:rPr>
          <w:rFonts w:ascii="Book Antiqua" w:hAnsi="Book Antiqua"/>
          <w:b/>
          <w:i/>
          <w:sz w:val="24"/>
          <w:szCs w:val="24"/>
        </w:rPr>
        <w:t>Terminology</w:t>
      </w:r>
    </w:p>
    <w:p w:rsidR="00601C8A" w:rsidRDefault="00601C8A" w:rsidP="006D37F8">
      <w:pPr>
        <w:spacing w:after="0" w:line="360" w:lineRule="auto"/>
        <w:jc w:val="both"/>
        <w:rPr>
          <w:rFonts w:ascii="Book Antiqua" w:hAnsi="Book Antiqua"/>
          <w:sz w:val="24"/>
          <w:szCs w:val="24"/>
          <w:lang w:eastAsia="zh-CN"/>
        </w:rPr>
      </w:pPr>
      <w:r w:rsidRPr="00D0668B">
        <w:rPr>
          <w:rFonts w:ascii="Book Antiqua" w:hAnsi="Book Antiqua"/>
          <w:sz w:val="24"/>
          <w:szCs w:val="24"/>
        </w:rPr>
        <w:t xml:space="preserve">UES refers to the upper esophageal sphincter. </w:t>
      </w:r>
    </w:p>
    <w:p w:rsidR="00601C8A" w:rsidRPr="00D0668B" w:rsidRDefault="00601C8A" w:rsidP="006D37F8">
      <w:pPr>
        <w:spacing w:after="0" w:line="360" w:lineRule="auto"/>
        <w:jc w:val="both"/>
        <w:rPr>
          <w:rFonts w:ascii="Book Antiqua" w:hAnsi="Book Antiqua"/>
          <w:sz w:val="24"/>
          <w:szCs w:val="24"/>
          <w:lang w:eastAsia="zh-CN"/>
        </w:rPr>
      </w:pPr>
    </w:p>
    <w:p w:rsidR="00601C8A" w:rsidRPr="00D0668B" w:rsidRDefault="00601C8A" w:rsidP="006D37F8">
      <w:pPr>
        <w:spacing w:after="0" w:line="360" w:lineRule="auto"/>
        <w:jc w:val="both"/>
        <w:rPr>
          <w:rFonts w:ascii="Book Antiqua" w:hAnsi="Book Antiqua"/>
          <w:b/>
          <w:i/>
          <w:sz w:val="24"/>
          <w:szCs w:val="24"/>
        </w:rPr>
      </w:pPr>
      <w:r w:rsidRPr="00D0668B">
        <w:rPr>
          <w:rFonts w:ascii="Book Antiqua" w:hAnsi="Book Antiqua"/>
          <w:b/>
          <w:i/>
          <w:sz w:val="24"/>
          <w:szCs w:val="24"/>
        </w:rPr>
        <w:t>Peer review</w:t>
      </w:r>
    </w:p>
    <w:bookmarkEnd w:id="29"/>
    <w:bookmarkEnd w:id="30"/>
    <w:bookmarkEnd w:id="31"/>
    <w:bookmarkEnd w:id="32"/>
    <w:p w:rsidR="00601C8A" w:rsidRPr="00D0668B" w:rsidRDefault="00601C8A" w:rsidP="006D37F8">
      <w:pPr>
        <w:spacing w:after="0" w:line="360" w:lineRule="auto"/>
        <w:jc w:val="both"/>
        <w:rPr>
          <w:rFonts w:ascii="Book Antiqua" w:hAnsi="Book Antiqua"/>
          <w:sz w:val="24"/>
          <w:szCs w:val="24"/>
        </w:rPr>
      </w:pPr>
      <w:r w:rsidRPr="00D0668B">
        <w:rPr>
          <w:rFonts w:ascii="Book Antiqua" w:hAnsi="Book Antiqua"/>
          <w:sz w:val="24"/>
          <w:szCs w:val="24"/>
        </w:rPr>
        <w:t>This manuscript assesses the function of UES in patients with achalasia. It is interesting. Manuscript is well written and easy to follow.</w:t>
      </w:r>
    </w:p>
    <w:p w:rsidR="00601C8A" w:rsidRPr="00D0668B" w:rsidRDefault="00601C8A" w:rsidP="006D37F8">
      <w:pPr>
        <w:spacing w:after="0" w:line="360" w:lineRule="auto"/>
        <w:jc w:val="both"/>
        <w:rPr>
          <w:rFonts w:ascii="Book Antiqua" w:hAnsi="Book Antiqua"/>
          <w:sz w:val="24"/>
          <w:szCs w:val="24"/>
        </w:rPr>
      </w:pPr>
    </w:p>
    <w:p w:rsidR="00601C8A" w:rsidRDefault="00601C8A" w:rsidP="006D37F8">
      <w:pPr>
        <w:jc w:val="both"/>
        <w:rPr>
          <w:rFonts w:ascii="Book Antiqua" w:hAnsi="Book Antiqua"/>
          <w:sz w:val="24"/>
          <w:szCs w:val="24"/>
        </w:rPr>
      </w:pPr>
      <w:r>
        <w:rPr>
          <w:rFonts w:ascii="Book Antiqua" w:hAnsi="Book Antiqua"/>
          <w:sz w:val="24"/>
          <w:szCs w:val="24"/>
        </w:rPr>
        <w:br w:type="page"/>
      </w:r>
    </w:p>
    <w:p w:rsidR="00601C8A" w:rsidRDefault="00601C8A" w:rsidP="006D37F8">
      <w:pPr>
        <w:spacing w:after="0" w:line="360" w:lineRule="auto"/>
        <w:jc w:val="both"/>
        <w:rPr>
          <w:rFonts w:ascii="Book Antiqua" w:hAnsi="Book Antiqua"/>
          <w:b/>
          <w:bCs/>
          <w:color w:val="000000"/>
          <w:sz w:val="24"/>
          <w:szCs w:val="24"/>
          <w:lang w:eastAsia="zh-CN"/>
        </w:rPr>
      </w:pPr>
      <w:r w:rsidRPr="00D0668B">
        <w:rPr>
          <w:rFonts w:ascii="Book Antiqua" w:hAnsi="Book Antiqua"/>
          <w:b/>
          <w:bCs/>
          <w:color w:val="000000"/>
          <w:sz w:val="24"/>
          <w:szCs w:val="24"/>
        </w:rPr>
        <w:t>REFERENCES</w:t>
      </w:r>
    </w:p>
    <w:p w:rsidR="00601C8A" w:rsidRDefault="00601C8A" w:rsidP="006D37F8">
      <w:pPr>
        <w:spacing w:line="360" w:lineRule="auto"/>
        <w:jc w:val="both"/>
        <w:rPr>
          <w:rFonts w:ascii="Book Antiqua" w:hAnsi="Book Antiqua" w:cs="宋体"/>
          <w:sz w:val="24"/>
          <w:szCs w:val="24"/>
        </w:rPr>
      </w:pPr>
      <w:r>
        <w:rPr>
          <w:rFonts w:ascii="Book Antiqua" w:hAnsi="Book Antiqua" w:cs="宋体"/>
          <w:sz w:val="24"/>
          <w:szCs w:val="24"/>
        </w:rPr>
        <w:t xml:space="preserve">1 </w:t>
      </w:r>
      <w:r w:rsidRPr="005D6ED5">
        <w:rPr>
          <w:rFonts w:ascii="Book Antiqua" w:hAnsi="Book Antiqua" w:cs="宋体"/>
          <w:b/>
          <w:sz w:val="24"/>
          <w:szCs w:val="24"/>
        </w:rPr>
        <w:t>Bredenoord AJ,</w:t>
      </w:r>
      <w:r>
        <w:rPr>
          <w:rFonts w:ascii="Book Antiqua" w:hAnsi="Book Antiqua" w:cs="宋体"/>
          <w:sz w:val="24"/>
          <w:szCs w:val="24"/>
        </w:rPr>
        <w:t xml:space="preserve"> Fox M, Kahrilas PJ.</w:t>
      </w:r>
      <w:r w:rsidRPr="005D6ED5">
        <w:rPr>
          <w:rFonts w:ascii="Book Antiqua" w:hAnsi="Book Antiqua" w:cs="宋体"/>
          <w:sz w:val="24"/>
          <w:szCs w:val="24"/>
        </w:rPr>
        <w:t xml:space="preserve"> International High Resolution Manometry Working Group. Chicago classification criteria of esophageal motility disorders defined in high resolution esophageal pressure topography. </w:t>
      </w:r>
      <w:r w:rsidRPr="004774DE">
        <w:rPr>
          <w:rFonts w:ascii="Book Antiqua" w:hAnsi="Book Antiqua" w:cs="宋体"/>
          <w:i/>
          <w:sz w:val="24"/>
          <w:szCs w:val="24"/>
        </w:rPr>
        <w:t>Neurogastroenterol Motil</w:t>
      </w:r>
      <w:r>
        <w:rPr>
          <w:rFonts w:ascii="Book Antiqua" w:hAnsi="Book Antiqua" w:cs="宋体"/>
          <w:sz w:val="24"/>
          <w:szCs w:val="24"/>
        </w:rPr>
        <w:t xml:space="preserve"> </w:t>
      </w:r>
      <w:r w:rsidRPr="005D6ED5">
        <w:rPr>
          <w:rFonts w:ascii="Book Antiqua" w:hAnsi="Book Antiqua" w:cs="宋体"/>
          <w:sz w:val="24"/>
          <w:szCs w:val="24"/>
        </w:rPr>
        <w:t>2012;</w:t>
      </w:r>
      <w:r>
        <w:rPr>
          <w:rFonts w:ascii="Book Antiqua" w:hAnsi="Book Antiqua" w:cs="宋体"/>
          <w:sz w:val="24"/>
          <w:szCs w:val="24"/>
        </w:rPr>
        <w:t xml:space="preserve"> </w:t>
      </w:r>
      <w:r w:rsidRPr="005D6ED5">
        <w:rPr>
          <w:rFonts w:ascii="Book Antiqua" w:hAnsi="Book Antiqua" w:cs="宋体"/>
          <w:b/>
          <w:sz w:val="24"/>
          <w:szCs w:val="24"/>
        </w:rPr>
        <w:t>24</w:t>
      </w:r>
      <w:r w:rsidRPr="005D6ED5">
        <w:rPr>
          <w:rFonts w:ascii="Book Antiqua" w:hAnsi="Book Antiqua" w:cs="宋体"/>
          <w:sz w:val="24"/>
          <w:szCs w:val="24"/>
        </w:rPr>
        <w:t xml:space="preserve"> Suppl 1:</w:t>
      </w:r>
      <w:r>
        <w:rPr>
          <w:rFonts w:ascii="Book Antiqua" w:hAnsi="Book Antiqua" w:cs="宋体"/>
          <w:sz w:val="24"/>
          <w:szCs w:val="24"/>
        </w:rPr>
        <w:t xml:space="preserve"> 57-65</w:t>
      </w:r>
      <w:r w:rsidRPr="005D6ED5">
        <w:rPr>
          <w:rFonts w:ascii="Book Antiqua" w:hAnsi="Book Antiqua" w:cs="宋体"/>
          <w:sz w:val="24"/>
          <w:szCs w:val="24"/>
        </w:rPr>
        <w:t xml:space="preserve"> </w:t>
      </w:r>
      <w:r>
        <w:rPr>
          <w:rFonts w:ascii="Book Antiqua" w:hAnsi="Book Antiqua" w:cs="宋体"/>
          <w:sz w:val="24"/>
          <w:szCs w:val="24"/>
        </w:rPr>
        <w:t>[</w:t>
      </w:r>
      <w:r w:rsidRPr="005D6ED5">
        <w:rPr>
          <w:rFonts w:ascii="Book Antiqua" w:hAnsi="Book Antiqua" w:cs="宋体"/>
          <w:sz w:val="24"/>
          <w:szCs w:val="24"/>
        </w:rPr>
        <w:t>PMID:</w:t>
      </w:r>
      <w:r>
        <w:rPr>
          <w:rFonts w:ascii="Book Antiqua" w:hAnsi="Book Antiqua" w:cs="宋体"/>
          <w:sz w:val="24"/>
          <w:szCs w:val="24"/>
        </w:rPr>
        <w:t xml:space="preserve"> 22248109</w:t>
      </w:r>
      <w:r w:rsidRPr="005D6ED5">
        <w:rPr>
          <w:rFonts w:ascii="Book Antiqua" w:hAnsi="Book Antiqua" w:cs="宋体"/>
          <w:sz w:val="24"/>
          <w:szCs w:val="24"/>
        </w:rPr>
        <w:t xml:space="preserve"> DOI: 1</w:t>
      </w:r>
      <w:r>
        <w:rPr>
          <w:rFonts w:ascii="Book Antiqua" w:hAnsi="Book Antiqua" w:cs="宋体"/>
          <w:sz w:val="24"/>
          <w:szCs w:val="24"/>
        </w:rPr>
        <w:t>0.1111/j.1365-2982.2011.01834.x]</w:t>
      </w:r>
    </w:p>
    <w:p w:rsidR="00601C8A" w:rsidRPr="006D37F8" w:rsidRDefault="00601C8A" w:rsidP="006D37F8">
      <w:pPr>
        <w:spacing w:line="360" w:lineRule="auto"/>
        <w:jc w:val="both"/>
        <w:rPr>
          <w:rFonts w:ascii="Book Antiqua" w:hAnsi="Book Antiqua" w:cs="宋体"/>
          <w:sz w:val="24"/>
          <w:szCs w:val="24"/>
          <w:lang w:val="de-DE"/>
        </w:rPr>
      </w:pPr>
      <w:r w:rsidRPr="005D6ED5">
        <w:rPr>
          <w:rFonts w:ascii="Book Antiqua" w:hAnsi="Book Antiqua" w:cs="宋体"/>
          <w:sz w:val="24"/>
          <w:szCs w:val="24"/>
        </w:rPr>
        <w:t>2 </w:t>
      </w:r>
      <w:r w:rsidRPr="005D6ED5">
        <w:rPr>
          <w:rFonts w:ascii="Book Antiqua" w:hAnsi="Book Antiqua" w:cs="宋体"/>
          <w:b/>
          <w:bCs/>
          <w:sz w:val="24"/>
          <w:szCs w:val="24"/>
        </w:rPr>
        <w:t>Wang YT</w:t>
      </w:r>
      <w:r w:rsidRPr="005D6ED5">
        <w:rPr>
          <w:rFonts w:ascii="Book Antiqua" w:hAnsi="Book Antiqua" w:cs="宋体"/>
          <w:sz w:val="24"/>
          <w:szCs w:val="24"/>
        </w:rPr>
        <w:t>, Yazaki E, Sifrim D. High-resolution Manometry: Esophageal Disorders Not Addressed by the "Chicago Classification". </w:t>
      </w:r>
      <w:r w:rsidRPr="006D37F8">
        <w:rPr>
          <w:rFonts w:ascii="Book Antiqua" w:hAnsi="Book Antiqua" w:cs="宋体"/>
          <w:i/>
          <w:iCs/>
          <w:sz w:val="24"/>
          <w:szCs w:val="24"/>
          <w:lang w:val="de-DE"/>
        </w:rPr>
        <w:t>J Neurogastroenterol Motil</w:t>
      </w:r>
      <w:r w:rsidRPr="006D37F8">
        <w:rPr>
          <w:rFonts w:ascii="Book Antiqua" w:hAnsi="Book Antiqua" w:cs="宋体"/>
          <w:sz w:val="24"/>
          <w:szCs w:val="24"/>
          <w:lang w:val="de-DE"/>
        </w:rPr>
        <w:t> 2012; </w:t>
      </w:r>
      <w:r w:rsidRPr="006D37F8">
        <w:rPr>
          <w:rFonts w:ascii="Book Antiqua" w:hAnsi="Book Antiqua" w:cs="宋体"/>
          <w:b/>
          <w:bCs/>
          <w:sz w:val="24"/>
          <w:szCs w:val="24"/>
          <w:lang w:val="de-DE"/>
        </w:rPr>
        <w:t>18</w:t>
      </w:r>
      <w:r w:rsidRPr="006D37F8">
        <w:rPr>
          <w:rFonts w:ascii="Book Antiqua" w:hAnsi="Book Antiqua" w:cs="宋体"/>
          <w:sz w:val="24"/>
          <w:szCs w:val="24"/>
          <w:lang w:val="de-DE"/>
        </w:rPr>
        <w:t>: 365-372 [PMID: 23105996 DOI: 10.5056/jnm.2012.18.4.365]</w:t>
      </w:r>
    </w:p>
    <w:p w:rsidR="00601C8A" w:rsidRPr="005D6ED5" w:rsidRDefault="00601C8A" w:rsidP="006D37F8">
      <w:pPr>
        <w:spacing w:line="360" w:lineRule="auto"/>
        <w:jc w:val="both"/>
        <w:rPr>
          <w:rFonts w:ascii="Book Antiqua" w:hAnsi="Book Antiqua" w:cs="宋体"/>
          <w:sz w:val="24"/>
          <w:szCs w:val="24"/>
        </w:rPr>
      </w:pPr>
      <w:r w:rsidRPr="006D37F8">
        <w:rPr>
          <w:rFonts w:ascii="Book Antiqua" w:hAnsi="Book Antiqua" w:cs="宋体"/>
          <w:sz w:val="24"/>
          <w:szCs w:val="24"/>
          <w:lang w:val="de-DE"/>
        </w:rPr>
        <w:t>3 </w:t>
      </w:r>
      <w:r w:rsidRPr="006D37F8">
        <w:rPr>
          <w:rFonts w:ascii="Book Antiqua" w:hAnsi="Book Antiqua" w:cs="宋体"/>
          <w:b/>
          <w:bCs/>
          <w:sz w:val="24"/>
          <w:szCs w:val="24"/>
          <w:lang w:val="de-DE"/>
        </w:rPr>
        <w:t>Meier-Ewert HK</w:t>
      </w:r>
      <w:r w:rsidRPr="006D37F8">
        <w:rPr>
          <w:rFonts w:ascii="Book Antiqua" w:hAnsi="Book Antiqua" w:cs="宋体"/>
          <w:sz w:val="24"/>
          <w:szCs w:val="24"/>
          <w:lang w:val="de-DE"/>
        </w:rPr>
        <w:t xml:space="preserve">, Van Herwaarden MA, Gideon RM, Castell JA, Achem S, Castell DO. </w:t>
      </w:r>
      <w:r w:rsidRPr="005D6ED5">
        <w:rPr>
          <w:rFonts w:ascii="Book Antiqua" w:hAnsi="Book Antiqua" w:cs="宋体"/>
          <w:sz w:val="24"/>
          <w:szCs w:val="24"/>
        </w:rPr>
        <w:t>Effect of age on differences in upper esophageal sphincter and pharynx pressures between patients with dysphagia and control subjects. </w:t>
      </w:r>
      <w:r w:rsidRPr="005D6ED5">
        <w:rPr>
          <w:rFonts w:ascii="Book Antiqua" w:hAnsi="Book Antiqua" w:cs="宋体"/>
          <w:i/>
          <w:iCs/>
          <w:sz w:val="24"/>
          <w:szCs w:val="24"/>
        </w:rPr>
        <w:t>Am J Gastroenterol</w:t>
      </w:r>
      <w:r w:rsidRPr="005D6ED5">
        <w:rPr>
          <w:rFonts w:ascii="Book Antiqua" w:hAnsi="Book Antiqua" w:cs="宋体"/>
          <w:sz w:val="24"/>
          <w:szCs w:val="24"/>
        </w:rPr>
        <w:t> 2001; </w:t>
      </w:r>
      <w:r w:rsidRPr="005D6ED5">
        <w:rPr>
          <w:rFonts w:ascii="Book Antiqua" w:hAnsi="Book Antiqua" w:cs="宋体"/>
          <w:b/>
          <w:bCs/>
          <w:sz w:val="24"/>
          <w:szCs w:val="24"/>
        </w:rPr>
        <w:t>96</w:t>
      </w:r>
      <w:r w:rsidRPr="005D6ED5">
        <w:rPr>
          <w:rFonts w:ascii="Book Antiqua" w:hAnsi="Book Antiqua" w:cs="宋体"/>
          <w:sz w:val="24"/>
          <w:szCs w:val="24"/>
        </w:rPr>
        <w:t>: 35-40 [PMID: 11197284</w:t>
      </w:r>
      <w:r>
        <w:rPr>
          <w:rFonts w:ascii="Book Antiqua" w:hAnsi="Book Antiqua" w:cs="宋体"/>
          <w:sz w:val="24"/>
          <w:szCs w:val="24"/>
        </w:rPr>
        <w:t xml:space="preserve"> </w:t>
      </w:r>
      <w:r w:rsidRPr="005D6ED5">
        <w:rPr>
          <w:rFonts w:ascii="Book Antiqua" w:hAnsi="Book Antiqua" w:cs="宋体"/>
          <w:sz w:val="24"/>
          <w:szCs w:val="24"/>
        </w:rPr>
        <w:t>DOI</w:t>
      </w:r>
      <w:r>
        <w:rPr>
          <w:rFonts w:ascii="Book Antiqua" w:hAnsi="Book Antiqua" w:cs="宋体"/>
          <w:sz w:val="24"/>
          <w:szCs w:val="24"/>
        </w:rPr>
        <w:t xml:space="preserve">: </w:t>
      </w:r>
      <w:r w:rsidRPr="005D6ED5">
        <w:rPr>
          <w:rFonts w:ascii="Book Antiqua" w:hAnsi="Book Antiqua" w:cs="宋体"/>
          <w:sz w:val="24"/>
          <w:szCs w:val="24"/>
        </w:rPr>
        <w:t>10.1111/j.1572-0241.2001.03448.x]</w:t>
      </w:r>
    </w:p>
    <w:p w:rsidR="00601C8A" w:rsidRPr="005D6ED5" w:rsidRDefault="00601C8A" w:rsidP="006D37F8">
      <w:pPr>
        <w:spacing w:line="360" w:lineRule="auto"/>
        <w:jc w:val="both"/>
        <w:rPr>
          <w:rFonts w:ascii="Book Antiqua" w:hAnsi="Book Antiqua" w:cs="宋体"/>
          <w:sz w:val="24"/>
          <w:szCs w:val="24"/>
        </w:rPr>
      </w:pPr>
      <w:r w:rsidRPr="005D6ED5">
        <w:rPr>
          <w:rFonts w:ascii="Book Antiqua" w:hAnsi="Book Antiqua" w:cs="宋体"/>
          <w:sz w:val="24"/>
          <w:szCs w:val="24"/>
        </w:rPr>
        <w:t>4 </w:t>
      </w:r>
      <w:r w:rsidRPr="005D6ED5">
        <w:rPr>
          <w:rFonts w:ascii="Book Antiqua" w:hAnsi="Book Antiqua" w:cs="宋体"/>
          <w:b/>
          <w:bCs/>
          <w:sz w:val="24"/>
          <w:szCs w:val="24"/>
        </w:rPr>
        <w:t>Fulp SR</w:t>
      </w:r>
      <w:r w:rsidRPr="005D6ED5">
        <w:rPr>
          <w:rFonts w:ascii="Book Antiqua" w:hAnsi="Book Antiqua" w:cs="宋体"/>
          <w:sz w:val="24"/>
          <w:szCs w:val="24"/>
        </w:rPr>
        <w:t>, Dalton CB, Castell JA, Castell DO. Aging-related alterations in human upper esophageal sphincter function. </w:t>
      </w:r>
      <w:r w:rsidRPr="005D6ED5">
        <w:rPr>
          <w:rFonts w:ascii="Book Antiqua" w:hAnsi="Book Antiqua" w:cs="宋体"/>
          <w:i/>
          <w:iCs/>
          <w:sz w:val="24"/>
          <w:szCs w:val="24"/>
        </w:rPr>
        <w:t>Am J Gastroenterol</w:t>
      </w:r>
      <w:r w:rsidRPr="005D6ED5">
        <w:rPr>
          <w:rFonts w:ascii="Book Antiqua" w:hAnsi="Book Antiqua" w:cs="宋体"/>
          <w:sz w:val="24"/>
          <w:szCs w:val="24"/>
        </w:rPr>
        <w:t> 1990; </w:t>
      </w:r>
      <w:r w:rsidRPr="005D6ED5">
        <w:rPr>
          <w:rFonts w:ascii="Book Antiqua" w:hAnsi="Book Antiqua" w:cs="宋体"/>
          <w:b/>
          <w:bCs/>
          <w:sz w:val="24"/>
          <w:szCs w:val="24"/>
        </w:rPr>
        <w:t>85</w:t>
      </w:r>
      <w:r w:rsidRPr="005D6ED5">
        <w:rPr>
          <w:rFonts w:ascii="Book Antiqua" w:hAnsi="Book Antiqua" w:cs="宋体"/>
          <w:sz w:val="24"/>
          <w:szCs w:val="24"/>
        </w:rPr>
        <w:t>: 1569-1572 [PMID: 2252018]</w:t>
      </w:r>
    </w:p>
    <w:p w:rsidR="00601C8A" w:rsidRPr="005D6ED5" w:rsidRDefault="00601C8A" w:rsidP="006D37F8">
      <w:pPr>
        <w:spacing w:line="360" w:lineRule="auto"/>
        <w:jc w:val="both"/>
        <w:rPr>
          <w:rFonts w:ascii="Book Antiqua" w:hAnsi="Book Antiqua" w:cs="宋体"/>
          <w:sz w:val="24"/>
          <w:szCs w:val="24"/>
        </w:rPr>
      </w:pPr>
      <w:r w:rsidRPr="005D6ED5">
        <w:rPr>
          <w:rFonts w:ascii="Book Antiqua" w:hAnsi="Book Antiqua" w:cs="宋体"/>
          <w:sz w:val="24"/>
          <w:szCs w:val="24"/>
        </w:rPr>
        <w:t>5 </w:t>
      </w:r>
      <w:r w:rsidRPr="005D6ED5">
        <w:rPr>
          <w:rFonts w:ascii="Book Antiqua" w:hAnsi="Book Antiqua" w:cs="宋体"/>
          <w:b/>
          <w:bCs/>
          <w:sz w:val="24"/>
          <w:szCs w:val="24"/>
        </w:rPr>
        <w:t>Ribeiro AC</w:t>
      </w:r>
      <w:r w:rsidRPr="005D6ED5">
        <w:rPr>
          <w:rFonts w:ascii="Book Antiqua" w:hAnsi="Book Antiqua" w:cs="宋体"/>
          <w:sz w:val="24"/>
          <w:szCs w:val="24"/>
        </w:rPr>
        <w:t>, Klingler PJ, Hinder RA, DeVault K. Esophageal manometry: a comparison of findings in younger and older patients. </w:t>
      </w:r>
      <w:r w:rsidRPr="005D6ED5">
        <w:rPr>
          <w:rFonts w:ascii="Book Antiqua" w:hAnsi="Book Antiqua" w:cs="宋体"/>
          <w:i/>
          <w:iCs/>
          <w:sz w:val="24"/>
          <w:szCs w:val="24"/>
        </w:rPr>
        <w:t>Am J Gastroenterol</w:t>
      </w:r>
      <w:r w:rsidRPr="005D6ED5">
        <w:rPr>
          <w:rFonts w:ascii="Book Antiqua" w:hAnsi="Book Antiqua" w:cs="宋体"/>
          <w:sz w:val="24"/>
          <w:szCs w:val="24"/>
        </w:rPr>
        <w:t> 1998; </w:t>
      </w:r>
      <w:r w:rsidRPr="005D6ED5">
        <w:rPr>
          <w:rFonts w:ascii="Book Antiqua" w:hAnsi="Book Antiqua" w:cs="宋体"/>
          <w:b/>
          <w:bCs/>
          <w:sz w:val="24"/>
          <w:szCs w:val="24"/>
        </w:rPr>
        <w:t>93</w:t>
      </w:r>
      <w:r w:rsidRPr="005D6ED5">
        <w:rPr>
          <w:rFonts w:ascii="Book Antiqua" w:hAnsi="Book Antiqua" w:cs="宋体"/>
          <w:sz w:val="24"/>
          <w:szCs w:val="24"/>
        </w:rPr>
        <w:t>: 706-710 [PMID: 9625113</w:t>
      </w:r>
      <w:r>
        <w:rPr>
          <w:rFonts w:ascii="Book Antiqua" w:hAnsi="Book Antiqua" w:cs="宋体"/>
          <w:sz w:val="24"/>
          <w:szCs w:val="24"/>
        </w:rPr>
        <w:t xml:space="preserve"> </w:t>
      </w:r>
      <w:r w:rsidRPr="005D6ED5">
        <w:rPr>
          <w:rFonts w:ascii="Book Antiqua" w:hAnsi="Book Antiqua" w:cs="宋体"/>
          <w:sz w:val="24"/>
          <w:szCs w:val="24"/>
        </w:rPr>
        <w:t>DOI</w:t>
      </w:r>
      <w:r>
        <w:rPr>
          <w:rFonts w:ascii="Book Antiqua" w:hAnsi="Book Antiqua" w:cs="宋体"/>
          <w:sz w:val="24"/>
          <w:szCs w:val="24"/>
        </w:rPr>
        <w:t xml:space="preserve">: </w:t>
      </w:r>
      <w:r w:rsidRPr="005D6ED5">
        <w:rPr>
          <w:rFonts w:ascii="Book Antiqua" w:hAnsi="Book Antiqua" w:cs="宋体"/>
          <w:sz w:val="24"/>
          <w:szCs w:val="24"/>
        </w:rPr>
        <w:t>10.1111/j.1572-0241.1998.210_a.x</w:t>
      </w:r>
      <w:r>
        <w:rPr>
          <w:rFonts w:ascii="Book Antiqua" w:hAnsi="Book Antiqua" w:cs="宋体"/>
          <w:sz w:val="24"/>
          <w:szCs w:val="24"/>
        </w:rPr>
        <w:t>]</w:t>
      </w:r>
    </w:p>
    <w:p w:rsidR="00601C8A" w:rsidRPr="005D6ED5" w:rsidRDefault="00601C8A" w:rsidP="006D37F8">
      <w:pPr>
        <w:spacing w:line="360" w:lineRule="auto"/>
        <w:jc w:val="both"/>
        <w:rPr>
          <w:rFonts w:ascii="Book Antiqua" w:hAnsi="Book Antiqua" w:cs="宋体"/>
          <w:sz w:val="24"/>
          <w:szCs w:val="24"/>
        </w:rPr>
      </w:pPr>
      <w:r w:rsidRPr="005D6ED5">
        <w:rPr>
          <w:rFonts w:ascii="Book Antiqua" w:hAnsi="Book Antiqua" w:cs="宋体"/>
          <w:sz w:val="24"/>
          <w:szCs w:val="24"/>
        </w:rPr>
        <w:t>6 </w:t>
      </w:r>
      <w:r w:rsidRPr="005D6ED5">
        <w:rPr>
          <w:rFonts w:ascii="Book Antiqua" w:hAnsi="Book Antiqua" w:cs="宋体"/>
          <w:b/>
          <w:bCs/>
          <w:sz w:val="24"/>
          <w:szCs w:val="24"/>
        </w:rPr>
        <w:t>Ren J</w:t>
      </w:r>
      <w:r w:rsidRPr="005D6ED5">
        <w:rPr>
          <w:rFonts w:ascii="Book Antiqua" w:hAnsi="Book Antiqua" w:cs="宋体"/>
          <w:sz w:val="24"/>
          <w:szCs w:val="24"/>
        </w:rPr>
        <w:t>, Shaker R, Zamir Z, Dodds WJ, Hogan WJ, Hoffmann RG. Effect of age and bolus variables on the coordination of the glottis and upper esophageal sphincter during swallowing. </w:t>
      </w:r>
      <w:r w:rsidRPr="005D6ED5">
        <w:rPr>
          <w:rFonts w:ascii="Book Antiqua" w:hAnsi="Book Antiqua" w:cs="宋体"/>
          <w:i/>
          <w:iCs/>
          <w:sz w:val="24"/>
          <w:szCs w:val="24"/>
        </w:rPr>
        <w:t>Am J Gastroenterol</w:t>
      </w:r>
      <w:r w:rsidRPr="005D6ED5">
        <w:rPr>
          <w:rFonts w:ascii="Book Antiqua" w:hAnsi="Book Antiqua" w:cs="宋体"/>
          <w:sz w:val="24"/>
          <w:szCs w:val="24"/>
        </w:rPr>
        <w:t> 1993; </w:t>
      </w:r>
      <w:r w:rsidRPr="005D6ED5">
        <w:rPr>
          <w:rFonts w:ascii="Book Antiqua" w:hAnsi="Book Antiqua" w:cs="宋体"/>
          <w:b/>
          <w:bCs/>
          <w:sz w:val="24"/>
          <w:szCs w:val="24"/>
        </w:rPr>
        <w:t>88</w:t>
      </w:r>
      <w:r w:rsidRPr="005D6ED5">
        <w:rPr>
          <w:rFonts w:ascii="Book Antiqua" w:hAnsi="Book Antiqua" w:cs="宋体"/>
          <w:sz w:val="24"/>
          <w:szCs w:val="24"/>
        </w:rPr>
        <w:t>: 665-669 [PMID: 8480728]</w:t>
      </w:r>
    </w:p>
    <w:p w:rsidR="00601C8A" w:rsidRPr="005D6ED5" w:rsidRDefault="00601C8A" w:rsidP="006D37F8">
      <w:pPr>
        <w:spacing w:line="360" w:lineRule="auto"/>
        <w:jc w:val="both"/>
        <w:rPr>
          <w:rFonts w:ascii="Book Antiqua" w:hAnsi="Book Antiqua" w:cs="宋体"/>
          <w:sz w:val="24"/>
          <w:szCs w:val="24"/>
        </w:rPr>
      </w:pPr>
      <w:r>
        <w:rPr>
          <w:rFonts w:ascii="Book Antiqua" w:hAnsi="Book Antiqua" w:cs="宋体"/>
          <w:sz w:val="24"/>
          <w:szCs w:val="24"/>
        </w:rPr>
        <w:t xml:space="preserve">7 </w:t>
      </w:r>
      <w:r w:rsidRPr="005D6ED5">
        <w:rPr>
          <w:rFonts w:ascii="Book Antiqua" w:hAnsi="Book Antiqua" w:cs="宋体"/>
          <w:b/>
          <w:sz w:val="24"/>
          <w:szCs w:val="24"/>
        </w:rPr>
        <w:t>DeVault KR.</w:t>
      </w:r>
      <w:r w:rsidRPr="005D6ED5">
        <w:rPr>
          <w:rFonts w:ascii="Book Antiqua" w:hAnsi="Book Antiqua" w:cs="宋体"/>
          <w:sz w:val="24"/>
          <w:szCs w:val="24"/>
        </w:rPr>
        <w:t xml:space="preserve"> Incomplete upper esophageal sphincter relaxation: association with achalasia but no other esophagea</w:t>
      </w:r>
      <w:r>
        <w:rPr>
          <w:rFonts w:ascii="Book Antiqua" w:hAnsi="Book Antiqua" w:cs="宋体"/>
          <w:sz w:val="24"/>
          <w:szCs w:val="24"/>
        </w:rPr>
        <w:t xml:space="preserve">l motility disorders. </w:t>
      </w:r>
      <w:r w:rsidRPr="0044487E">
        <w:rPr>
          <w:rFonts w:ascii="Book Antiqua" w:hAnsi="Book Antiqua" w:cs="宋体"/>
          <w:i/>
          <w:sz w:val="24"/>
          <w:szCs w:val="24"/>
        </w:rPr>
        <w:t>Dysphagia</w:t>
      </w:r>
      <w:r w:rsidRPr="005D6ED5">
        <w:rPr>
          <w:rFonts w:ascii="Book Antiqua" w:hAnsi="Book Antiqua" w:cs="宋体"/>
          <w:sz w:val="24"/>
          <w:szCs w:val="24"/>
        </w:rPr>
        <w:t xml:space="preserve"> 1997;</w:t>
      </w:r>
      <w:r>
        <w:rPr>
          <w:rFonts w:ascii="Book Antiqua" w:hAnsi="Book Antiqua" w:cs="宋体"/>
          <w:sz w:val="24"/>
          <w:szCs w:val="24"/>
        </w:rPr>
        <w:t xml:space="preserve"> </w:t>
      </w:r>
      <w:r w:rsidRPr="005D6ED5">
        <w:rPr>
          <w:rFonts w:ascii="Book Antiqua" w:hAnsi="Book Antiqua" w:cs="宋体"/>
          <w:b/>
          <w:sz w:val="24"/>
          <w:szCs w:val="24"/>
        </w:rPr>
        <w:t>12</w:t>
      </w:r>
      <w:r w:rsidRPr="005D6ED5">
        <w:rPr>
          <w:rFonts w:ascii="Book Antiqua" w:hAnsi="Book Antiqua" w:cs="宋体"/>
          <w:sz w:val="24"/>
          <w:szCs w:val="24"/>
        </w:rPr>
        <w:t>:</w:t>
      </w:r>
      <w:r>
        <w:rPr>
          <w:rFonts w:ascii="Book Antiqua" w:hAnsi="Book Antiqua" w:cs="宋体"/>
          <w:sz w:val="24"/>
          <w:szCs w:val="24"/>
        </w:rPr>
        <w:t xml:space="preserve"> 157-60</w:t>
      </w:r>
      <w:r w:rsidRPr="005D6ED5">
        <w:rPr>
          <w:rFonts w:ascii="Book Antiqua" w:hAnsi="Book Antiqua" w:cs="宋体"/>
          <w:sz w:val="24"/>
          <w:szCs w:val="24"/>
        </w:rPr>
        <w:t xml:space="preserve"> </w:t>
      </w:r>
      <w:r>
        <w:rPr>
          <w:rFonts w:ascii="Book Antiqua" w:hAnsi="Book Antiqua" w:cs="宋体"/>
          <w:sz w:val="24"/>
          <w:szCs w:val="24"/>
        </w:rPr>
        <w:t xml:space="preserve">[PMID: 9190101 </w:t>
      </w:r>
      <w:r w:rsidRPr="005D6ED5">
        <w:rPr>
          <w:rFonts w:ascii="Book Antiqua" w:hAnsi="Book Antiqua" w:cs="宋体"/>
          <w:sz w:val="24"/>
          <w:szCs w:val="24"/>
        </w:rPr>
        <w:t>DOI</w:t>
      </w:r>
      <w:r>
        <w:rPr>
          <w:rFonts w:ascii="Book Antiqua" w:hAnsi="Book Antiqua" w:cs="宋体"/>
          <w:sz w:val="24"/>
          <w:szCs w:val="24"/>
        </w:rPr>
        <w:t xml:space="preserve">: </w:t>
      </w:r>
      <w:r w:rsidRPr="005D6ED5">
        <w:rPr>
          <w:rFonts w:ascii="Book Antiqua" w:hAnsi="Book Antiqua" w:cs="宋体"/>
          <w:sz w:val="24"/>
          <w:szCs w:val="24"/>
        </w:rPr>
        <w:t>10.1007/PL00009530</w:t>
      </w:r>
      <w:r>
        <w:rPr>
          <w:rFonts w:ascii="Book Antiqua" w:hAnsi="Book Antiqua" w:cs="宋体"/>
          <w:sz w:val="24"/>
          <w:szCs w:val="24"/>
        </w:rPr>
        <w:t>]</w:t>
      </w:r>
    </w:p>
    <w:p w:rsidR="00601C8A" w:rsidRDefault="00601C8A" w:rsidP="006D37F8">
      <w:pPr>
        <w:spacing w:line="360" w:lineRule="auto"/>
        <w:jc w:val="both"/>
        <w:rPr>
          <w:rFonts w:ascii="Book Antiqua" w:hAnsi="Book Antiqua" w:cs="宋体"/>
          <w:sz w:val="24"/>
          <w:szCs w:val="24"/>
        </w:rPr>
      </w:pPr>
      <w:r>
        <w:rPr>
          <w:rFonts w:ascii="Book Antiqua" w:hAnsi="Book Antiqua" w:cs="宋体"/>
          <w:sz w:val="24"/>
          <w:szCs w:val="24"/>
        </w:rPr>
        <w:t xml:space="preserve">8 </w:t>
      </w:r>
      <w:r w:rsidRPr="005D6ED5">
        <w:rPr>
          <w:rFonts w:ascii="Book Antiqua" w:hAnsi="Book Antiqua" w:cs="宋体"/>
          <w:b/>
          <w:sz w:val="24"/>
          <w:szCs w:val="24"/>
        </w:rPr>
        <w:t xml:space="preserve">Dudnick RS, </w:t>
      </w:r>
      <w:r w:rsidRPr="005D6ED5">
        <w:rPr>
          <w:rFonts w:ascii="Book Antiqua" w:hAnsi="Book Antiqua" w:cs="宋体"/>
          <w:sz w:val="24"/>
          <w:szCs w:val="24"/>
        </w:rPr>
        <w:t xml:space="preserve">Castell JA, Castell DO. Abnormal upper esophageal sphincter function in achalasia. </w:t>
      </w:r>
      <w:r w:rsidRPr="005D6ED5">
        <w:rPr>
          <w:rFonts w:ascii="Book Antiqua" w:hAnsi="Book Antiqua" w:cs="宋体"/>
          <w:i/>
          <w:sz w:val="24"/>
          <w:szCs w:val="24"/>
        </w:rPr>
        <w:t>Am J Gastroenterol</w:t>
      </w:r>
      <w:r w:rsidRPr="005D6ED5">
        <w:rPr>
          <w:rFonts w:ascii="Book Antiqua" w:hAnsi="Book Antiqua" w:cs="宋体"/>
          <w:sz w:val="24"/>
          <w:szCs w:val="24"/>
        </w:rPr>
        <w:t xml:space="preserve"> 1992;</w:t>
      </w:r>
      <w:r>
        <w:rPr>
          <w:rFonts w:ascii="Book Antiqua" w:hAnsi="Book Antiqua" w:cs="宋体"/>
          <w:sz w:val="24"/>
          <w:szCs w:val="24"/>
        </w:rPr>
        <w:t xml:space="preserve"> </w:t>
      </w:r>
      <w:r w:rsidRPr="005D6ED5">
        <w:rPr>
          <w:rFonts w:ascii="Book Antiqua" w:hAnsi="Book Antiqua" w:cs="宋体"/>
          <w:b/>
          <w:sz w:val="24"/>
          <w:szCs w:val="24"/>
        </w:rPr>
        <w:t>87</w:t>
      </w:r>
      <w:r w:rsidRPr="005D6ED5">
        <w:rPr>
          <w:rFonts w:ascii="Book Antiqua" w:hAnsi="Book Antiqua" w:cs="宋体"/>
          <w:sz w:val="24"/>
          <w:szCs w:val="24"/>
        </w:rPr>
        <w:t>:</w:t>
      </w:r>
      <w:r>
        <w:rPr>
          <w:rFonts w:ascii="Book Antiqua" w:hAnsi="Book Antiqua" w:cs="宋体"/>
          <w:sz w:val="24"/>
          <w:szCs w:val="24"/>
        </w:rPr>
        <w:t xml:space="preserve"> </w:t>
      </w:r>
      <w:r w:rsidRPr="005D6ED5">
        <w:rPr>
          <w:rFonts w:ascii="Book Antiqua" w:hAnsi="Book Antiqua" w:cs="宋体"/>
          <w:sz w:val="24"/>
          <w:szCs w:val="24"/>
        </w:rPr>
        <w:t>1712-</w:t>
      </w:r>
      <w:r>
        <w:rPr>
          <w:rFonts w:ascii="Book Antiqua" w:hAnsi="Book Antiqua" w:cs="宋体"/>
          <w:sz w:val="24"/>
          <w:szCs w:val="24"/>
        </w:rPr>
        <w:t>1715</w:t>
      </w:r>
      <w:r w:rsidRPr="005D6ED5">
        <w:rPr>
          <w:rFonts w:ascii="Book Antiqua" w:hAnsi="Book Antiqua" w:cs="宋体"/>
          <w:sz w:val="24"/>
          <w:szCs w:val="24"/>
        </w:rPr>
        <w:t xml:space="preserve"> </w:t>
      </w:r>
      <w:r>
        <w:rPr>
          <w:rFonts w:ascii="Book Antiqua" w:hAnsi="Book Antiqua" w:cs="宋体"/>
          <w:sz w:val="24"/>
          <w:szCs w:val="24"/>
        </w:rPr>
        <w:t>[PMID: 1449131]</w:t>
      </w:r>
    </w:p>
    <w:p w:rsidR="00601C8A" w:rsidRDefault="00601C8A" w:rsidP="006D37F8">
      <w:pPr>
        <w:spacing w:line="360" w:lineRule="auto"/>
        <w:jc w:val="both"/>
        <w:rPr>
          <w:rFonts w:ascii="Book Antiqua" w:hAnsi="Book Antiqua" w:cs="宋体"/>
          <w:sz w:val="24"/>
          <w:szCs w:val="24"/>
        </w:rPr>
      </w:pPr>
      <w:r>
        <w:rPr>
          <w:rFonts w:ascii="Book Antiqua" w:hAnsi="Book Antiqua" w:cs="宋体"/>
          <w:sz w:val="24"/>
          <w:szCs w:val="24"/>
        </w:rPr>
        <w:t>9</w:t>
      </w:r>
      <w:r w:rsidRPr="005D6ED5">
        <w:t xml:space="preserve"> </w:t>
      </w:r>
      <w:r w:rsidRPr="005D6ED5">
        <w:rPr>
          <w:rFonts w:ascii="Book Antiqua" w:hAnsi="Book Antiqua" w:cs="宋体"/>
          <w:b/>
          <w:sz w:val="24"/>
          <w:szCs w:val="24"/>
        </w:rPr>
        <w:t xml:space="preserve">Zhang ZG, </w:t>
      </w:r>
      <w:r w:rsidRPr="005D6ED5">
        <w:rPr>
          <w:rFonts w:ascii="Book Antiqua" w:hAnsi="Book Antiqua" w:cs="宋体"/>
          <w:sz w:val="24"/>
          <w:szCs w:val="24"/>
        </w:rPr>
        <w:t>Diamant NE. Repetitive contractions of the upper esophageal body and sp</w:t>
      </w:r>
      <w:r>
        <w:rPr>
          <w:rFonts w:ascii="Book Antiqua" w:hAnsi="Book Antiqua" w:cs="宋体"/>
          <w:sz w:val="24"/>
          <w:szCs w:val="24"/>
        </w:rPr>
        <w:t xml:space="preserve">hincter in achalasia. </w:t>
      </w:r>
      <w:r w:rsidRPr="005D6ED5">
        <w:rPr>
          <w:rFonts w:ascii="Book Antiqua" w:hAnsi="Book Antiqua" w:cs="宋体"/>
          <w:i/>
          <w:sz w:val="24"/>
          <w:szCs w:val="24"/>
        </w:rPr>
        <w:t>Dysphagia</w:t>
      </w:r>
      <w:r w:rsidRPr="005D6ED5">
        <w:rPr>
          <w:rFonts w:ascii="Book Antiqua" w:hAnsi="Book Antiqua" w:cs="宋体"/>
          <w:sz w:val="24"/>
          <w:szCs w:val="24"/>
        </w:rPr>
        <w:t xml:space="preserve"> 1994;</w:t>
      </w:r>
      <w:r>
        <w:rPr>
          <w:rFonts w:ascii="Book Antiqua" w:hAnsi="Book Antiqua" w:cs="宋体"/>
          <w:sz w:val="24"/>
          <w:szCs w:val="24"/>
        </w:rPr>
        <w:t xml:space="preserve"> </w:t>
      </w:r>
      <w:r w:rsidRPr="005D6ED5">
        <w:rPr>
          <w:rFonts w:ascii="Book Antiqua" w:hAnsi="Book Antiqua" w:cs="宋体"/>
          <w:b/>
          <w:sz w:val="24"/>
          <w:szCs w:val="24"/>
        </w:rPr>
        <w:t>9</w:t>
      </w:r>
      <w:r w:rsidRPr="005D6ED5">
        <w:rPr>
          <w:rFonts w:ascii="Book Antiqua" w:hAnsi="Book Antiqua" w:cs="宋体"/>
          <w:sz w:val="24"/>
          <w:szCs w:val="24"/>
        </w:rPr>
        <w:t>:</w:t>
      </w:r>
      <w:r>
        <w:rPr>
          <w:rFonts w:ascii="Book Antiqua" w:hAnsi="Book Antiqua" w:cs="宋体"/>
          <w:sz w:val="24"/>
          <w:szCs w:val="24"/>
        </w:rPr>
        <w:t xml:space="preserve"> </w:t>
      </w:r>
      <w:r w:rsidRPr="005D6ED5">
        <w:rPr>
          <w:rFonts w:ascii="Book Antiqua" w:hAnsi="Book Antiqua" w:cs="宋体"/>
          <w:sz w:val="24"/>
          <w:szCs w:val="24"/>
        </w:rPr>
        <w:t>12-</w:t>
      </w:r>
      <w:r>
        <w:rPr>
          <w:rFonts w:ascii="Book Antiqua" w:hAnsi="Book Antiqua" w:cs="宋体"/>
          <w:sz w:val="24"/>
          <w:szCs w:val="24"/>
        </w:rPr>
        <w:t>19 [</w:t>
      </w:r>
      <w:r w:rsidRPr="005D6ED5">
        <w:rPr>
          <w:rFonts w:ascii="Book Antiqua" w:hAnsi="Book Antiqua" w:cs="宋体"/>
          <w:sz w:val="24"/>
          <w:szCs w:val="24"/>
        </w:rPr>
        <w:t>PMID: 8131419</w:t>
      </w:r>
      <w:r>
        <w:rPr>
          <w:rFonts w:ascii="Book Antiqua" w:hAnsi="Book Antiqua" w:cs="宋体"/>
          <w:sz w:val="24"/>
          <w:szCs w:val="24"/>
        </w:rPr>
        <w:t xml:space="preserve"> </w:t>
      </w:r>
      <w:r w:rsidRPr="005D6ED5">
        <w:rPr>
          <w:rFonts w:ascii="Book Antiqua" w:hAnsi="Book Antiqua" w:cs="宋体"/>
          <w:sz w:val="24"/>
          <w:szCs w:val="24"/>
        </w:rPr>
        <w:t>DOI</w:t>
      </w:r>
      <w:r>
        <w:rPr>
          <w:rFonts w:ascii="Book Antiqua" w:hAnsi="Book Antiqua" w:cs="宋体"/>
          <w:sz w:val="24"/>
          <w:szCs w:val="24"/>
        </w:rPr>
        <w:t xml:space="preserve">: </w:t>
      </w:r>
      <w:r w:rsidRPr="005D6ED5">
        <w:rPr>
          <w:rFonts w:ascii="Book Antiqua" w:hAnsi="Book Antiqua" w:cs="宋体"/>
          <w:sz w:val="24"/>
          <w:szCs w:val="24"/>
        </w:rPr>
        <w:t>10.1007/BF00262753</w:t>
      </w:r>
      <w:r>
        <w:rPr>
          <w:rFonts w:ascii="Book Antiqua" w:hAnsi="Book Antiqua" w:cs="宋体"/>
          <w:sz w:val="24"/>
          <w:szCs w:val="24"/>
        </w:rPr>
        <w:t>]</w:t>
      </w:r>
    </w:p>
    <w:p w:rsidR="00601C8A" w:rsidRPr="005D6ED5" w:rsidRDefault="00601C8A" w:rsidP="006D37F8">
      <w:pPr>
        <w:spacing w:line="360" w:lineRule="auto"/>
        <w:jc w:val="both"/>
        <w:rPr>
          <w:rFonts w:ascii="Book Antiqua" w:hAnsi="Book Antiqua" w:cs="宋体"/>
          <w:sz w:val="24"/>
          <w:szCs w:val="24"/>
        </w:rPr>
      </w:pPr>
      <w:r w:rsidRPr="005D6ED5">
        <w:rPr>
          <w:rFonts w:ascii="Book Antiqua" w:hAnsi="Book Antiqua" w:cs="宋体"/>
          <w:sz w:val="24"/>
          <w:szCs w:val="24"/>
        </w:rPr>
        <w:t>10 </w:t>
      </w:r>
      <w:r w:rsidRPr="005D6ED5">
        <w:rPr>
          <w:rFonts w:ascii="Book Antiqua" w:hAnsi="Book Antiqua" w:cs="宋体"/>
          <w:b/>
          <w:bCs/>
          <w:sz w:val="24"/>
          <w:szCs w:val="24"/>
        </w:rPr>
        <w:t>Yoneyama F</w:t>
      </w:r>
      <w:r w:rsidRPr="005D6ED5">
        <w:rPr>
          <w:rFonts w:ascii="Book Antiqua" w:hAnsi="Book Antiqua" w:cs="宋体"/>
          <w:sz w:val="24"/>
          <w:szCs w:val="24"/>
        </w:rPr>
        <w:t>, Miyachi M, Nimura Y. Manometric findings of the upper esophageal sphincter in esophageal achalasia. </w:t>
      </w:r>
      <w:r w:rsidRPr="005D6ED5">
        <w:rPr>
          <w:rFonts w:ascii="Book Antiqua" w:hAnsi="Book Antiqua" w:cs="宋体"/>
          <w:i/>
          <w:iCs/>
          <w:sz w:val="24"/>
          <w:szCs w:val="24"/>
        </w:rPr>
        <w:t>World J Surg</w:t>
      </w:r>
      <w:r w:rsidRPr="005D6ED5">
        <w:rPr>
          <w:rFonts w:ascii="Book Antiqua" w:hAnsi="Book Antiqua" w:cs="宋体"/>
          <w:sz w:val="24"/>
          <w:szCs w:val="24"/>
        </w:rPr>
        <w:t> 1998; </w:t>
      </w:r>
      <w:r w:rsidRPr="005D6ED5">
        <w:rPr>
          <w:rFonts w:ascii="Book Antiqua" w:hAnsi="Book Antiqua" w:cs="宋体"/>
          <w:b/>
          <w:bCs/>
          <w:sz w:val="24"/>
          <w:szCs w:val="24"/>
        </w:rPr>
        <w:t>22</w:t>
      </w:r>
      <w:r w:rsidRPr="005D6ED5">
        <w:rPr>
          <w:rFonts w:ascii="Book Antiqua" w:hAnsi="Book Antiqua" w:cs="宋体"/>
          <w:sz w:val="24"/>
          <w:szCs w:val="24"/>
        </w:rPr>
        <w:t>: 1043-106; discussion 1043-106; [PMID: 9747164</w:t>
      </w:r>
      <w:r>
        <w:rPr>
          <w:rFonts w:ascii="Book Antiqua" w:hAnsi="Book Antiqua" w:cs="宋体"/>
          <w:sz w:val="24"/>
          <w:szCs w:val="24"/>
        </w:rPr>
        <w:t xml:space="preserve"> </w:t>
      </w:r>
      <w:r w:rsidRPr="005D6ED5">
        <w:rPr>
          <w:rFonts w:ascii="Book Antiqua" w:hAnsi="Book Antiqua" w:cs="宋体"/>
          <w:sz w:val="24"/>
          <w:szCs w:val="24"/>
        </w:rPr>
        <w:t>DOI</w:t>
      </w:r>
      <w:r>
        <w:rPr>
          <w:rFonts w:ascii="Book Antiqua" w:hAnsi="Book Antiqua" w:cs="宋体"/>
          <w:sz w:val="24"/>
          <w:szCs w:val="24"/>
        </w:rPr>
        <w:t xml:space="preserve">: </w:t>
      </w:r>
      <w:r w:rsidRPr="005D6ED5">
        <w:rPr>
          <w:rFonts w:ascii="Book Antiqua" w:hAnsi="Book Antiqua" w:cs="宋体"/>
          <w:sz w:val="24"/>
          <w:szCs w:val="24"/>
        </w:rPr>
        <w:t>10.1007/s002689900514]</w:t>
      </w:r>
    </w:p>
    <w:p w:rsidR="00601C8A" w:rsidRPr="005D6ED5" w:rsidRDefault="00601C8A" w:rsidP="006D37F8">
      <w:pPr>
        <w:spacing w:line="360" w:lineRule="auto"/>
        <w:jc w:val="both"/>
        <w:rPr>
          <w:rFonts w:ascii="Book Antiqua" w:hAnsi="Book Antiqua" w:cs="宋体"/>
          <w:sz w:val="24"/>
          <w:szCs w:val="24"/>
        </w:rPr>
      </w:pPr>
      <w:r w:rsidRPr="005D6ED5">
        <w:rPr>
          <w:rFonts w:ascii="Book Antiqua" w:hAnsi="Book Antiqua" w:cs="宋体"/>
          <w:sz w:val="24"/>
          <w:szCs w:val="24"/>
        </w:rPr>
        <w:t>11 </w:t>
      </w:r>
      <w:r w:rsidRPr="005D6ED5">
        <w:rPr>
          <w:rFonts w:ascii="Book Antiqua" w:hAnsi="Book Antiqua" w:cs="宋体"/>
          <w:b/>
          <w:bCs/>
          <w:sz w:val="24"/>
          <w:szCs w:val="24"/>
        </w:rPr>
        <w:t>Hila A</w:t>
      </w:r>
      <w:r w:rsidRPr="005D6ED5">
        <w:rPr>
          <w:rFonts w:ascii="Book Antiqua" w:hAnsi="Book Antiqua" w:cs="宋体"/>
          <w:sz w:val="24"/>
          <w:szCs w:val="24"/>
        </w:rPr>
        <w:t>, Castell JA, Castell DO. Pharyngeal and upper esophageal sphincter manometry in the evaluation of dysphagia. </w:t>
      </w:r>
      <w:r w:rsidRPr="005D6ED5">
        <w:rPr>
          <w:rFonts w:ascii="Book Antiqua" w:hAnsi="Book Antiqua" w:cs="宋体"/>
          <w:i/>
          <w:iCs/>
          <w:sz w:val="24"/>
          <w:szCs w:val="24"/>
        </w:rPr>
        <w:t>J Clin Gastroenterol</w:t>
      </w:r>
      <w:r w:rsidRPr="005D6ED5">
        <w:rPr>
          <w:rFonts w:ascii="Book Antiqua" w:hAnsi="Book Antiqua" w:cs="宋体"/>
          <w:sz w:val="24"/>
          <w:szCs w:val="24"/>
        </w:rPr>
        <w:t> ; </w:t>
      </w:r>
      <w:r w:rsidRPr="005D6ED5">
        <w:rPr>
          <w:rFonts w:ascii="Book Antiqua" w:hAnsi="Book Antiqua" w:cs="宋体"/>
          <w:b/>
          <w:bCs/>
          <w:sz w:val="24"/>
          <w:szCs w:val="24"/>
        </w:rPr>
        <w:t>33</w:t>
      </w:r>
      <w:r w:rsidRPr="005D6ED5">
        <w:rPr>
          <w:rFonts w:ascii="Book Antiqua" w:hAnsi="Book Antiqua" w:cs="宋体"/>
          <w:sz w:val="24"/>
          <w:szCs w:val="24"/>
        </w:rPr>
        <w:t>: 355-361 [PMID: 11606849</w:t>
      </w:r>
      <w:r w:rsidRPr="005D6ED5">
        <w:t xml:space="preserve"> </w:t>
      </w:r>
      <w:r w:rsidRPr="005D6ED5">
        <w:rPr>
          <w:rFonts w:ascii="Book Antiqua" w:hAnsi="Book Antiqua" w:cs="宋体"/>
          <w:sz w:val="24"/>
          <w:szCs w:val="24"/>
        </w:rPr>
        <w:t>DOI</w:t>
      </w:r>
      <w:r>
        <w:rPr>
          <w:rFonts w:ascii="Book Antiqua" w:hAnsi="Book Antiqua" w:cs="宋体"/>
          <w:sz w:val="24"/>
          <w:szCs w:val="24"/>
        </w:rPr>
        <w:t xml:space="preserve">: </w:t>
      </w:r>
      <w:r w:rsidRPr="005D6ED5">
        <w:rPr>
          <w:rFonts w:ascii="Book Antiqua" w:hAnsi="Book Antiqua" w:cs="宋体"/>
          <w:sz w:val="24"/>
          <w:szCs w:val="24"/>
        </w:rPr>
        <w:t>10.1097/00004836-200111000-00003]</w:t>
      </w:r>
    </w:p>
    <w:p w:rsidR="00601C8A" w:rsidRPr="005D6ED5" w:rsidRDefault="00601C8A" w:rsidP="006D37F8">
      <w:pPr>
        <w:spacing w:line="360" w:lineRule="auto"/>
        <w:jc w:val="both"/>
        <w:rPr>
          <w:rFonts w:ascii="Book Antiqua" w:hAnsi="Book Antiqua" w:cs="宋体"/>
          <w:sz w:val="24"/>
          <w:szCs w:val="24"/>
        </w:rPr>
      </w:pPr>
      <w:r>
        <w:rPr>
          <w:rFonts w:ascii="Book Antiqua" w:hAnsi="Book Antiqua" w:cs="宋体"/>
          <w:sz w:val="24"/>
          <w:szCs w:val="24"/>
        </w:rPr>
        <w:t xml:space="preserve">12 </w:t>
      </w:r>
      <w:r w:rsidRPr="005D6ED5">
        <w:rPr>
          <w:rFonts w:ascii="Book Antiqua" w:hAnsi="Book Antiqua" w:cs="宋体"/>
          <w:b/>
          <w:sz w:val="24"/>
          <w:szCs w:val="24"/>
        </w:rPr>
        <w:t>Xue S,</w:t>
      </w:r>
      <w:r w:rsidRPr="005D6ED5">
        <w:rPr>
          <w:rFonts w:ascii="Book Antiqua" w:hAnsi="Book Antiqua" w:cs="宋体"/>
          <w:sz w:val="24"/>
          <w:szCs w:val="24"/>
        </w:rPr>
        <w:t xml:space="preserve"> Katz PO, Castell JA, Castell DO. Upper esophageal sphincter and pharyngeal manometry: which patients? American Gastroenterological Association Annual Meeting. San Diego, CA, USA. May, 2000; 118: A410.</w:t>
      </w:r>
    </w:p>
    <w:p w:rsidR="00601C8A" w:rsidRPr="005D6ED5" w:rsidRDefault="00601C8A" w:rsidP="006D37F8">
      <w:pPr>
        <w:spacing w:line="360" w:lineRule="auto"/>
        <w:jc w:val="both"/>
        <w:rPr>
          <w:rFonts w:ascii="Book Antiqua" w:hAnsi="Book Antiqua" w:cs="宋体"/>
          <w:sz w:val="24"/>
          <w:szCs w:val="24"/>
        </w:rPr>
      </w:pPr>
      <w:r w:rsidRPr="006D37F8">
        <w:rPr>
          <w:rFonts w:ascii="Book Antiqua" w:hAnsi="Book Antiqua" w:cs="宋体"/>
          <w:sz w:val="24"/>
          <w:szCs w:val="24"/>
          <w:lang w:val="de-DE"/>
        </w:rPr>
        <w:t>13 </w:t>
      </w:r>
      <w:r w:rsidRPr="006D37F8">
        <w:rPr>
          <w:rFonts w:ascii="Book Antiqua" w:hAnsi="Book Antiqua" w:cs="宋体"/>
          <w:b/>
          <w:bCs/>
          <w:sz w:val="24"/>
          <w:szCs w:val="24"/>
          <w:lang w:val="de-DE"/>
        </w:rPr>
        <w:t>Hatlebakk JG</w:t>
      </w:r>
      <w:r w:rsidRPr="006D37F8">
        <w:rPr>
          <w:rFonts w:ascii="Book Antiqua" w:hAnsi="Book Antiqua" w:cs="宋体"/>
          <w:sz w:val="24"/>
          <w:szCs w:val="24"/>
          <w:lang w:val="de-DE"/>
        </w:rPr>
        <w:t xml:space="preserve">, Castell JA, Spiegel J, Paoletti V, Katz PO, Castell DO. </w:t>
      </w:r>
      <w:r w:rsidRPr="005D6ED5">
        <w:rPr>
          <w:rFonts w:ascii="Book Antiqua" w:hAnsi="Book Antiqua" w:cs="宋体"/>
          <w:sz w:val="24"/>
          <w:szCs w:val="24"/>
        </w:rPr>
        <w:t>Dilatation therapy for dysphagia in patients with upper esophageal sphincter dysfunction--manometric and symptomatic response. </w:t>
      </w:r>
      <w:r w:rsidRPr="005D6ED5">
        <w:rPr>
          <w:rFonts w:ascii="Book Antiqua" w:hAnsi="Book Antiqua" w:cs="宋体"/>
          <w:i/>
          <w:iCs/>
          <w:sz w:val="24"/>
          <w:szCs w:val="24"/>
        </w:rPr>
        <w:t>Dis Esophagus</w:t>
      </w:r>
      <w:r w:rsidRPr="005D6ED5">
        <w:rPr>
          <w:rFonts w:ascii="Book Antiqua" w:hAnsi="Book Antiqua" w:cs="宋体"/>
          <w:sz w:val="24"/>
          <w:szCs w:val="24"/>
        </w:rPr>
        <w:t> 1998; </w:t>
      </w:r>
      <w:r w:rsidRPr="005D6ED5">
        <w:rPr>
          <w:rFonts w:ascii="Book Antiqua" w:hAnsi="Book Antiqua" w:cs="宋体"/>
          <w:b/>
          <w:bCs/>
          <w:sz w:val="24"/>
          <w:szCs w:val="24"/>
        </w:rPr>
        <w:t>11</w:t>
      </w:r>
      <w:r w:rsidRPr="005D6ED5">
        <w:rPr>
          <w:rFonts w:ascii="Book Antiqua" w:hAnsi="Book Antiqua" w:cs="宋体"/>
          <w:sz w:val="24"/>
          <w:szCs w:val="24"/>
        </w:rPr>
        <w:t>: 254-259 [PMID: 10071809]</w:t>
      </w:r>
    </w:p>
    <w:p w:rsidR="00601C8A" w:rsidRPr="005D6ED5" w:rsidRDefault="00601C8A" w:rsidP="006D37F8">
      <w:pPr>
        <w:spacing w:line="360" w:lineRule="auto"/>
        <w:jc w:val="both"/>
        <w:rPr>
          <w:rFonts w:ascii="Book Antiqua" w:hAnsi="Book Antiqua" w:cs="宋体"/>
          <w:sz w:val="24"/>
          <w:szCs w:val="24"/>
        </w:rPr>
      </w:pPr>
      <w:r>
        <w:rPr>
          <w:rFonts w:ascii="Book Antiqua" w:hAnsi="Book Antiqua" w:cs="宋体"/>
          <w:sz w:val="24"/>
          <w:szCs w:val="24"/>
        </w:rPr>
        <w:t>14</w:t>
      </w:r>
      <w:r w:rsidRPr="005D6ED5">
        <w:rPr>
          <w:rFonts w:ascii="Book Antiqua" w:hAnsi="Book Antiqua" w:cs="宋体"/>
          <w:b/>
          <w:sz w:val="24"/>
          <w:szCs w:val="24"/>
        </w:rPr>
        <w:t xml:space="preserve"> Ali GN,</w:t>
      </w:r>
      <w:r w:rsidRPr="005D6ED5">
        <w:rPr>
          <w:rFonts w:ascii="Book Antiqua" w:hAnsi="Book Antiqua" w:cs="宋体"/>
          <w:sz w:val="24"/>
          <w:szCs w:val="24"/>
        </w:rPr>
        <w:t xml:space="preserve"> Wallace KL, Schwartz R, DeCarle DJ, Zagami AS, Cook IJ. Mechanisms of oral-pharyngeal dysphagia in patients with Parkin</w:t>
      </w:r>
      <w:r>
        <w:rPr>
          <w:rFonts w:ascii="Book Antiqua" w:hAnsi="Book Antiqua" w:cs="宋体"/>
          <w:sz w:val="24"/>
          <w:szCs w:val="24"/>
        </w:rPr>
        <w:t xml:space="preserve">son's disease. </w:t>
      </w:r>
      <w:r w:rsidRPr="005D6ED5">
        <w:rPr>
          <w:rFonts w:ascii="Book Antiqua" w:hAnsi="Book Antiqua" w:cs="宋体"/>
          <w:i/>
          <w:sz w:val="24"/>
          <w:szCs w:val="24"/>
        </w:rPr>
        <w:t>Gastroenterology</w:t>
      </w:r>
      <w:r w:rsidRPr="005D6ED5">
        <w:rPr>
          <w:rFonts w:ascii="Book Antiqua" w:hAnsi="Book Antiqua" w:cs="宋体"/>
          <w:sz w:val="24"/>
          <w:szCs w:val="24"/>
        </w:rPr>
        <w:t xml:space="preserve"> 1996;</w:t>
      </w:r>
      <w:r>
        <w:rPr>
          <w:rFonts w:ascii="Book Antiqua" w:hAnsi="Book Antiqua" w:cs="宋体"/>
          <w:sz w:val="24"/>
          <w:szCs w:val="24"/>
        </w:rPr>
        <w:t xml:space="preserve"> </w:t>
      </w:r>
      <w:r w:rsidRPr="005D6ED5">
        <w:rPr>
          <w:rFonts w:ascii="Book Antiqua" w:hAnsi="Book Antiqua" w:cs="宋体"/>
          <w:b/>
          <w:sz w:val="24"/>
          <w:szCs w:val="24"/>
        </w:rPr>
        <w:t>110</w:t>
      </w:r>
      <w:r w:rsidRPr="005D6ED5">
        <w:rPr>
          <w:rFonts w:ascii="Book Antiqua" w:hAnsi="Book Antiqua" w:cs="宋体"/>
          <w:sz w:val="24"/>
          <w:szCs w:val="24"/>
        </w:rPr>
        <w:t>:</w:t>
      </w:r>
      <w:r>
        <w:rPr>
          <w:rFonts w:ascii="Book Antiqua" w:hAnsi="Book Antiqua" w:cs="宋体"/>
          <w:sz w:val="24"/>
          <w:szCs w:val="24"/>
        </w:rPr>
        <w:t xml:space="preserve"> </w:t>
      </w:r>
      <w:r w:rsidRPr="005D6ED5">
        <w:rPr>
          <w:rFonts w:ascii="Book Antiqua" w:hAnsi="Book Antiqua" w:cs="宋体"/>
          <w:sz w:val="24"/>
          <w:szCs w:val="24"/>
        </w:rPr>
        <w:t>383-</w:t>
      </w:r>
      <w:r>
        <w:rPr>
          <w:rFonts w:ascii="Book Antiqua" w:hAnsi="Book Antiqua" w:cs="宋体"/>
          <w:sz w:val="24"/>
          <w:szCs w:val="24"/>
        </w:rPr>
        <w:t>392</w:t>
      </w:r>
      <w:r w:rsidRPr="005D6ED5">
        <w:rPr>
          <w:rFonts w:ascii="Book Antiqua" w:hAnsi="Book Antiqua" w:cs="宋体"/>
          <w:sz w:val="24"/>
          <w:szCs w:val="24"/>
        </w:rPr>
        <w:t xml:space="preserve"> </w:t>
      </w:r>
      <w:r>
        <w:rPr>
          <w:rFonts w:ascii="Book Antiqua" w:hAnsi="Book Antiqua" w:cs="宋体"/>
          <w:sz w:val="24"/>
          <w:szCs w:val="24"/>
        </w:rPr>
        <w:t xml:space="preserve">[PMID: 8566584 </w:t>
      </w:r>
      <w:r w:rsidRPr="005D6ED5">
        <w:rPr>
          <w:rFonts w:ascii="Book Antiqua" w:hAnsi="Book Antiqua" w:cs="宋体"/>
          <w:sz w:val="24"/>
          <w:szCs w:val="24"/>
        </w:rPr>
        <w:t>DOI</w:t>
      </w:r>
      <w:r>
        <w:rPr>
          <w:rFonts w:ascii="Book Antiqua" w:hAnsi="Book Antiqua" w:cs="宋体"/>
          <w:sz w:val="24"/>
          <w:szCs w:val="24"/>
        </w:rPr>
        <w:t xml:space="preserve">: </w:t>
      </w:r>
      <w:r w:rsidRPr="005D6ED5">
        <w:rPr>
          <w:rFonts w:ascii="Book Antiqua" w:hAnsi="Book Antiqua" w:cs="宋体"/>
          <w:sz w:val="24"/>
          <w:szCs w:val="24"/>
        </w:rPr>
        <w:t>10.1053/gast.1996.v110.pm8566584</w:t>
      </w:r>
      <w:r>
        <w:rPr>
          <w:rFonts w:ascii="Book Antiqua" w:hAnsi="Book Antiqua" w:cs="宋体"/>
          <w:sz w:val="24"/>
          <w:szCs w:val="24"/>
        </w:rPr>
        <w:t>]</w:t>
      </w:r>
    </w:p>
    <w:p w:rsidR="00601C8A" w:rsidRPr="005D6ED5" w:rsidRDefault="00601C8A" w:rsidP="006D37F8">
      <w:pPr>
        <w:spacing w:line="360" w:lineRule="auto"/>
        <w:jc w:val="both"/>
        <w:rPr>
          <w:rFonts w:ascii="Book Antiqua" w:hAnsi="Book Antiqua" w:cs="宋体"/>
          <w:sz w:val="24"/>
          <w:szCs w:val="24"/>
        </w:rPr>
      </w:pPr>
      <w:r>
        <w:rPr>
          <w:rFonts w:ascii="Book Antiqua" w:hAnsi="Book Antiqua" w:cs="宋体"/>
          <w:sz w:val="24"/>
          <w:szCs w:val="24"/>
        </w:rPr>
        <w:t xml:space="preserve">15 </w:t>
      </w:r>
      <w:r w:rsidRPr="005D6ED5">
        <w:rPr>
          <w:rFonts w:ascii="Book Antiqua" w:hAnsi="Book Antiqua" w:cs="宋体"/>
          <w:b/>
          <w:sz w:val="24"/>
          <w:szCs w:val="24"/>
        </w:rPr>
        <w:t>Johnston BT,</w:t>
      </w:r>
      <w:r w:rsidRPr="005D6ED5">
        <w:rPr>
          <w:rFonts w:ascii="Book Antiqua" w:hAnsi="Book Antiqua" w:cs="宋体"/>
          <w:sz w:val="24"/>
          <w:szCs w:val="24"/>
        </w:rPr>
        <w:t xml:space="preserve"> Li Q, Castell JA, Castell DO. Swallowing and esophageal function in Parkinson's disease. </w:t>
      </w:r>
      <w:r w:rsidRPr="005D6ED5">
        <w:rPr>
          <w:rFonts w:ascii="Book Antiqua" w:hAnsi="Book Antiqua" w:cs="宋体"/>
          <w:i/>
          <w:sz w:val="24"/>
          <w:szCs w:val="24"/>
        </w:rPr>
        <w:t>Am J Gastroenterol</w:t>
      </w:r>
      <w:r w:rsidRPr="005D6ED5">
        <w:rPr>
          <w:rFonts w:ascii="Book Antiqua" w:hAnsi="Book Antiqua" w:cs="宋体"/>
          <w:sz w:val="24"/>
          <w:szCs w:val="24"/>
        </w:rPr>
        <w:t xml:space="preserve"> 1995;</w:t>
      </w:r>
      <w:r>
        <w:rPr>
          <w:rFonts w:ascii="Book Antiqua" w:hAnsi="Book Antiqua" w:cs="宋体"/>
          <w:sz w:val="24"/>
          <w:szCs w:val="24"/>
        </w:rPr>
        <w:t xml:space="preserve"> </w:t>
      </w:r>
      <w:r w:rsidRPr="005D6ED5">
        <w:rPr>
          <w:rFonts w:ascii="Book Antiqua" w:hAnsi="Book Antiqua" w:cs="宋体"/>
          <w:sz w:val="24"/>
          <w:szCs w:val="24"/>
        </w:rPr>
        <w:t>90:</w:t>
      </w:r>
      <w:r>
        <w:rPr>
          <w:rFonts w:ascii="Book Antiqua" w:hAnsi="Book Antiqua" w:cs="宋体"/>
          <w:sz w:val="24"/>
          <w:szCs w:val="24"/>
        </w:rPr>
        <w:t xml:space="preserve"> </w:t>
      </w:r>
      <w:r w:rsidRPr="005D6ED5">
        <w:rPr>
          <w:rFonts w:ascii="Book Antiqua" w:hAnsi="Book Antiqua" w:cs="宋体"/>
          <w:sz w:val="24"/>
          <w:szCs w:val="24"/>
        </w:rPr>
        <w:t>1741-</w:t>
      </w:r>
      <w:r>
        <w:rPr>
          <w:rFonts w:ascii="Book Antiqua" w:hAnsi="Book Antiqua" w:cs="宋体"/>
          <w:sz w:val="24"/>
          <w:szCs w:val="24"/>
        </w:rPr>
        <w:t>1716</w:t>
      </w:r>
      <w:r w:rsidRPr="005D6ED5">
        <w:rPr>
          <w:rFonts w:ascii="Book Antiqua" w:hAnsi="Book Antiqua" w:cs="宋体"/>
          <w:sz w:val="24"/>
          <w:szCs w:val="24"/>
        </w:rPr>
        <w:t xml:space="preserve"> </w:t>
      </w:r>
      <w:r>
        <w:rPr>
          <w:rFonts w:ascii="Book Antiqua" w:hAnsi="Book Antiqua" w:cs="宋体"/>
          <w:sz w:val="24"/>
          <w:szCs w:val="24"/>
        </w:rPr>
        <w:t>[PMID: 7572887]</w:t>
      </w:r>
    </w:p>
    <w:p w:rsidR="00601C8A" w:rsidRPr="005D6ED5" w:rsidRDefault="00601C8A" w:rsidP="006D37F8">
      <w:pPr>
        <w:spacing w:line="360" w:lineRule="auto"/>
        <w:jc w:val="both"/>
        <w:rPr>
          <w:rFonts w:ascii="Book Antiqua" w:hAnsi="Book Antiqua" w:cs="宋体"/>
          <w:sz w:val="24"/>
          <w:szCs w:val="24"/>
        </w:rPr>
      </w:pPr>
      <w:r w:rsidRPr="005D6ED5">
        <w:rPr>
          <w:rFonts w:ascii="Book Antiqua" w:hAnsi="Book Antiqua" w:cs="宋体"/>
          <w:sz w:val="24"/>
          <w:szCs w:val="24"/>
        </w:rPr>
        <w:t>16 </w:t>
      </w:r>
      <w:r w:rsidRPr="005D6ED5">
        <w:rPr>
          <w:rFonts w:ascii="Book Antiqua" w:hAnsi="Book Antiqua" w:cs="宋体"/>
          <w:b/>
          <w:bCs/>
          <w:sz w:val="24"/>
          <w:szCs w:val="24"/>
        </w:rPr>
        <w:t>Higo R</w:t>
      </w:r>
      <w:r w:rsidRPr="005D6ED5">
        <w:rPr>
          <w:rFonts w:ascii="Book Antiqua" w:hAnsi="Book Antiqua" w:cs="宋体"/>
          <w:sz w:val="24"/>
          <w:szCs w:val="24"/>
        </w:rPr>
        <w:t>, Tayama N, Watanabe T, Niimi S. Abnormal elevation of resting pressure at the upper esophageal sphincter of Parkinson's disease patients. </w:t>
      </w:r>
      <w:r w:rsidRPr="005D6ED5">
        <w:rPr>
          <w:rFonts w:ascii="Book Antiqua" w:hAnsi="Book Antiqua" w:cs="宋体"/>
          <w:i/>
          <w:iCs/>
          <w:sz w:val="24"/>
          <w:szCs w:val="24"/>
        </w:rPr>
        <w:t>Eur Arch Otorhinolaryngol</w:t>
      </w:r>
      <w:r w:rsidRPr="005D6ED5">
        <w:rPr>
          <w:rFonts w:ascii="Book Antiqua" w:hAnsi="Book Antiqua" w:cs="宋体"/>
          <w:sz w:val="24"/>
          <w:szCs w:val="24"/>
        </w:rPr>
        <w:t> 2001; </w:t>
      </w:r>
      <w:r w:rsidRPr="005D6ED5">
        <w:rPr>
          <w:rFonts w:ascii="Book Antiqua" w:hAnsi="Book Antiqua" w:cs="宋体"/>
          <w:b/>
          <w:bCs/>
          <w:sz w:val="24"/>
          <w:szCs w:val="24"/>
        </w:rPr>
        <w:t>258</w:t>
      </w:r>
      <w:r w:rsidRPr="005D6ED5">
        <w:rPr>
          <w:rFonts w:ascii="Book Antiqua" w:hAnsi="Book Antiqua" w:cs="宋体"/>
          <w:sz w:val="24"/>
          <w:szCs w:val="24"/>
        </w:rPr>
        <w:t>: 552-556 [PMID: 11829195</w:t>
      </w:r>
      <w:r>
        <w:rPr>
          <w:rFonts w:ascii="Book Antiqua" w:hAnsi="Book Antiqua" w:cs="宋体"/>
          <w:sz w:val="24"/>
          <w:szCs w:val="24"/>
        </w:rPr>
        <w:t xml:space="preserve"> </w:t>
      </w:r>
      <w:r w:rsidRPr="005D6ED5">
        <w:rPr>
          <w:rFonts w:ascii="Book Antiqua" w:hAnsi="Book Antiqua" w:cs="宋体"/>
          <w:sz w:val="24"/>
          <w:szCs w:val="24"/>
        </w:rPr>
        <w:t>DOI</w:t>
      </w:r>
      <w:r>
        <w:rPr>
          <w:rFonts w:ascii="Book Antiqua" w:hAnsi="Book Antiqua" w:cs="宋体"/>
          <w:sz w:val="24"/>
          <w:szCs w:val="24"/>
        </w:rPr>
        <w:t xml:space="preserve">: </w:t>
      </w:r>
      <w:r w:rsidRPr="005D6ED5">
        <w:rPr>
          <w:rFonts w:ascii="Book Antiqua" w:hAnsi="Book Antiqua" w:cs="宋体"/>
          <w:sz w:val="24"/>
          <w:szCs w:val="24"/>
        </w:rPr>
        <w:t>10.1007/s004050100401]</w:t>
      </w:r>
    </w:p>
    <w:p w:rsidR="00601C8A" w:rsidRPr="005D6ED5" w:rsidRDefault="00601C8A" w:rsidP="006D37F8">
      <w:pPr>
        <w:spacing w:line="360" w:lineRule="auto"/>
        <w:jc w:val="both"/>
        <w:rPr>
          <w:rFonts w:ascii="Book Antiqua" w:hAnsi="Book Antiqua" w:cs="宋体"/>
          <w:sz w:val="24"/>
          <w:szCs w:val="24"/>
        </w:rPr>
      </w:pPr>
      <w:r w:rsidRPr="005D6ED5">
        <w:rPr>
          <w:rFonts w:ascii="Book Antiqua" w:hAnsi="Book Antiqua" w:cs="宋体"/>
          <w:sz w:val="24"/>
          <w:szCs w:val="24"/>
        </w:rPr>
        <w:t>17 </w:t>
      </w:r>
      <w:r w:rsidRPr="005D6ED5">
        <w:rPr>
          <w:rFonts w:ascii="Book Antiqua" w:hAnsi="Book Antiqua" w:cs="宋体"/>
          <w:b/>
          <w:bCs/>
          <w:sz w:val="24"/>
          <w:szCs w:val="24"/>
        </w:rPr>
        <w:t>Castell JA</w:t>
      </w:r>
      <w:r w:rsidRPr="005D6ED5">
        <w:rPr>
          <w:rFonts w:ascii="Book Antiqua" w:hAnsi="Book Antiqua" w:cs="宋体"/>
          <w:sz w:val="24"/>
          <w:szCs w:val="24"/>
        </w:rPr>
        <w:t>, Castell DO, Duranceau CA, Topart P. Manometric characteristics of the pharynx, upper esophageal sphincter, esophagus, and lower esophageal sphincter in patients with oculopharyngeal muscular dystrophy. </w:t>
      </w:r>
      <w:r w:rsidRPr="005D6ED5">
        <w:rPr>
          <w:rFonts w:ascii="Book Antiqua" w:hAnsi="Book Antiqua" w:cs="宋体"/>
          <w:i/>
          <w:iCs/>
          <w:sz w:val="24"/>
          <w:szCs w:val="24"/>
        </w:rPr>
        <w:t>Dysphagia</w:t>
      </w:r>
      <w:r w:rsidRPr="005D6ED5">
        <w:rPr>
          <w:rFonts w:ascii="Book Antiqua" w:hAnsi="Book Antiqua" w:cs="宋体"/>
          <w:sz w:val="24"/>
          <w:szCs w:val="24"/>
        </w:rPr>
        <w:t> 1995; </w:t>
      </w:r>
      <w:r w:rsidRPr="005D6ED5">
        <w:rPr>
          <w:rFonts w:ascii="Book Antiqua" w:hAnsi="Book Antiqua" w:cs="宋体"/>
          <w:b/>
          <w:bCs/>
          <w:sz w:val="24"/>
          <w:szCs w:val="24"/>
        </w:rPr>
        <w:t>10</w:t>
      </w:r>
      <w:r w:rsidRPr="005D6ED5">
        <w:rPr>
          <w:rFonts w:ascii="Book Antiqua" w:hAnsi="Book Antiqua" w:cs="宋体"/>
          <w:sz w:val="24"/>
          <w:szCs w:val="24"/>
        </w:rPr>
        <w:t>: 22-26 [PMID: 7859528</w:t>
      </w:r>
      <w:r>
        <w:rPr>
          <w:rFonts w:ascii="Book Antiqua" w:hAnsi="Book Antiqua" w:cs="宋体"/>
          <w:sz w:val="24"/>
          <w:szCs w:val="24"/>
        </w:rPr>
        <w:t xml:space="preserve"> </w:t>
      </w:r>
      <w:r w:rsidRPr="005D6ED5">
        <w:rPr>
          <w:rFonts w:ascii="Book Antiqua" w:hAnsi="Book Antiqua" w:cs="宋体"/>
          <w:sz w:val="24"/>
          <w:szCs w:val="24"/>
        </w:rPr>
        <w:t>DOI</w:t>
      </w:r>
      <w:r>
        <w:rPr>
          <w:rFonts w:ascii="Book Antiqua" w:hAnsi="Book Antiqua" w:cs="宋体"/>
          <w:sz w:val="24"/>
          <w:szCs w:val="24"/>
        </w:rPr>
        <w:t xml:space="preserve">: </w:t>
      </w:r>
      <w:r w:rsidRPr="005D6ED5">
        <w:rPr>
          <w:rFonts w:ascii="Book Antiqua" w:hAnsi="Book Antiqua" w:cs="宋体"/>
          <w:sz w:val="24"/>
          <w:szCs w:val="24"/>
        </w:rPr>
        <w:t>10.1007/BF00261275]</w:t>
      </w:r>
    </w:p>
    <w:p w:rsidR="00601C8A" w:rsidRPr="005D6ED5" w:rsidRDefault="00601C8A" w:rsidP="006D37F8">
      <w:pPr>
        <w:spacing w:line="360" w:lineRule="auto"/>
        <w:jc w:val="both"/>
        <w:rPr>
          <w:rFonts w:ascii="Book Antiqua" w:hAnsi="Book Antiqua" w:cs="宋体"/>
          <w:sz w:val="24"/>
          <w:szCs w:val="24"/>
        </w:rPr>
      </w:pPr>
      <w:r>
        <w:rPr>
          <w:rFonts w:ascii="Book Antiqua" w:hAnsi="Book Antiqua" w:cs="宋体"/>
          <w:sz w:val="24"/>
          <w:szCs w:val="24"/>
        </w:rPr>
        <w:t xml:space="preserve">18 </w:t>
      </w:r>
      <w:r w:rsidRPr="005D6ED5">
        <w:rPr>
          <w:rFonts w:ascii="Book Antiqua" w:hAnsi="Book Antiqua" w:cs="宋体"/>
          <w:b/>
          <w:sz w:val="24"/>
          <w:szCs w:val="24"/>
        </w:rPr>
        <w:t xml:space="preserve">Hirano I, </w:t>
      </w:r>
      <w:r w:rsidRPr="005D6ED5">
        <w:rPr>
          <w:rFonts w:ascii="Book Antiqua" w:hAnsi="Book Antiqua" w:cs="宋体"/>
          <w:sz w:val="24"/>
          <w:szCs w:val="24"/>
        </w:rPr>
        <w:t>Kahrilas PJ. A 78-year-old man with difficulty swallow</w:t>
      </w:r>
      <w:r>
        <w:rPr>
          <w:rFonts w:ascii="Book Antiqua" w:hAnsi="Book Antiqua" w:cs="宋体"/>
          <w:sz w:val="24"/>
          <w:szCs w:val="24"/>
        </w:rPr>
        <w:t xml:space="preserve">ing. </w:t>
      </w:r>
      <w:r w:rsidRPr="005D6ED5">
        <w:rPr>
          <w:rFonts w:ascii="Book Antiqua" w:hAnsi="Book Antiqua" w:cs="宋体"/>
          <w:i/>
          <w:sz w:val="24"/>
          <w:szCs w:val="24"/>
        </w:rPr>
        <w:t>Clin Gastroenterol Hepatol</w:t>
      </w:r>
      <w:r w:rsidRPr="005D6ED5">
        <w:rPr>
          <w:rFonts w:ascii="Book Antiqua" w:hAnsi="Book Antiqua" w:cs="宋体"/>
          <w:sz w:val="24"/>
          <w:szCs w:val="24"/>
        </w:rPr>
        <w:t xml:space="preserve"> 2011;</w:t>
      </w:r>
      <w:r>
        <w:rPr>
          <w:rFonts w:ascii="Book Antiqua" w:hAnsi="Book Antiqua" w:cs="宋体"/>
          <w:sz w:val="24"/>
          <w:szCs w:val="24"/>
        </w:rPr>
        <w:t xml:space="preserve"> </w:t>
      </w:r>
      <w:r w:rsidRPr="005D6ED5">
        <w:rPr>
          <w:rFonts w:ascii="Book Antiqua" w:hAnsi="Book Antiqua" w:cs="宋体"/>
          <w:b/>
          <w:sz w:val="24"/>
          <w:szCs w:val="24"/>
        </w:rPr>
        <w:t>9</w:t>
      </w:r>
      <w:r w:rsidRPr="005D6ED5">
        <w:rPr>
          <w:rFonts w:ascii="Book Antiqua" w:hAnsi="Book Antiqua" w:cs="宋体"/>
          <w:sz w:val="24"/>
          <w:szCs w:val="24"/>
        </w:rPr>
        <w:t>:</w:t>
      </w:r>
      <w:r>
        <w:rPr>
          <w:rFonts w:ascii="Book Antiqua" w:hAnsi="Book Antiqua" w:cs="宋体"/>
          <w:sz w:val="24"/>
          <w:szCs w:val="24"/>
        </w:rPr>
        <w:t xml:space="preserve"> </w:t>
      </w:r>
      <w:r w:rsidRPr="005D6ED5">
        <w:rPr>
          <w:rFonts w:ascii="Book Antiqua" w:hAnsi="Book Antiqua" w:cs="宋体"/>
          <w:sz w:val="24"/>
          <w:szCs w:val="24"/>
        </w:rPr>
        <w:t>470-</w:t>
      </w:r>
      <w:r>
        <w:rPr>
          <w:rFonts w:ascii="Book Antiqua" w:hAnsi="Book Antiqua" w:cs="宋体"/>
          <w:sz w:val="24"/>
          <w:szCs w:val="24"/>
        </w:rPr>
        <w:t>474</w:t>
      </w:r>
      <w:r w:rsidRPr="005D6ED5">
        <w:rPr>
          <w:rFonts w:ascii="Book Antiqua" w:hAnsi="Book Antiqua" w:cs="宋体"/>
          <w:sz w:val="24"/>
          <w:szCs w:val="24"/>
        </w:rPr>
        <w:t xml:space="preserve"> </w:t>
      </w:r>
      <w:r>
        <w:rPr>
          <w:rFonts w:ascii="Book Antiqua" w:hAnsi="Book Antiqua" w:cs="宋体"/>
          <w:sz w:val="24"/>
          <w:szCs w:val="24"/>
        </w:rPr>
        <w:t>[PMID: 21320642 DOI: 10.1016/j.cgh.2011.02.001]</w:t>
      </w:r>
    </w:p>
    <w:p w:rsidR="00601C8A" w:rsidRPr="005D6ED5" w:rsidRDefault="00601C8A" w:rsidP="006D37F8">
      <w:pPr>
        <w:spacing w:line="360" w:lineRule="auto"/>
        <w:jc w:val="both"/>
        <w:rPr>
          <w:rFonts w:ascii="Book Antiqua" w:hAnsi="Book Antiqua" w:cs="宋体"/>
          <w:sz w:val="24"/>
          <w:szCs w:val="24"/>
        </w:rPr>
      </w:pPr>
      <w:r>
        <w:rPr>
          <w:rFonts w:ascii="Book Antiqua" w:hAnsi="Book Antiqua" w:cs="宋体"/>
          <w:sz w:val="24"/>
          <w:szCs w:val="24"/>
        </w:rPr>
        <w:t>19</w:t>
      </w:r>
      <w:r w:rsidRPr="005D6ED5">
        <w:rPr>
          <w:rFonts w:ascii="Book Antiqua" w:hAnsi="Book Antiqua" w:cs="宋体"/>
          <w:b/>
          <w:sz w:val="24"/>
          <w:szCs w:val="24"/>
        </w:rPr>
        <w:t xml:space="preserve"> Corso MJ</w:t>
      </w:r>
      <w:r w:rsidRPr="005D6ED5">
        <w:rPr>
          <w:rFonts w:ascii="Book Antiqua" w:hAnsi="Book Antiqua" w:cs="宋体"/>
          <w:sz w:val="24"/>
          <w:szCs w:val="24"/>
        </w:rPr>
        <w:t xml:space="preserve">, Pursnani KG, Mohiuddin MA, Gideon RM, Castell JA, Katzka DA, Katz PO, Castell DO. Globus sensation is associated with hypertensive upper esophageal sphincter but not with gastroesophageal reflux. </w:t>
      </w:r>
      <w:r w:rsidRPr="005D6ED5">
        <w:rPr>
          <w:rFonts w:ascii="Book Antiqua" w:hAnsi="Book Antiqua" w:cs="宋体"/>
          <w:i/>
          <w:sz w:val="24"/>
          <w:szCs w:val="24"/>
        </w:rPr>
        <w:t>Dig Dis Sci</w:t>
      </w:r>
      <w:r>
        <w:rPr>
          <w:rFonts w:ascii="Book Antiqua" w:hAnsi="Book Antiqua" w:cs="宋体"/>
          <w:sz w:val="24"/>
          <w:szCs w:val="24"/>
        </w:rPr>
        <w:t xml:space="preserve"> </w:t>
      </w:r>
      <w:r w:rsidRPr="005D6ED5">
        <w:rPr>
          <w:rFonts w:ascii="Book Antiqua" w:hAnsi="Book Antiqua" w:cs="宋体"/>
          <w:sz w:val="24"/>
          <w:szCs w:val="24"/>
        </w:rPr>
        <w:t>1998;</w:t>
      </w:r>
      <w:r>
        <w:rPr>
          <w:rFonts w:ascii="Book Antiqua" w:hAnsi="Book Antiqua" w:cs="宋体"/>
          <w:sz w:val="24"/>
          <w:szCs w:val="24"/>
        </w:rPr>
        <w:t xml:space="preserve"> </w:t>
      </w:r>
      <w:r w:rsidRPr="005D6ED5">
        <w:rPr>
          <w:rFonts w:ascii="Book Antiqua" w:hAnsi="Book Antiqua" w:cs="宋体"/>
          <w:b/>
          <w:sz w:val="24"/>
          <w:szCs w:val="24"/>
        </w:rPr>
        <w:t>43</w:t>
      </w:r>
      <w:r w:rsidRPr="005D6ED5">
        <w:rPr>
          <w:rFonts w:ascii="Book Antiqua" w:hAnsi="Book Antiqua" w:cs="宋体"/>
          <w:sz w:val="24"/>
          <w:szCs w:val="24"/>
        </w:rPr>
        <w:t>:</w:t>
      </w:r>
      <w:r>
        <w:rPr>
          <w:rFonts w:ascii="Book Antiqua" w:hAnsi="Book Antiqua" w:cs="宋体"/>
          <w:sz w:val="24"/>
          <w:szCs w:val="24"/>
        </w:rPr>
        <w:t xml:space="preserve"> </w:t>
      </w:r>
      <w:r w:rsidRPr="005D6ED5">
        <w:rPr>
          <w:rFonts w:ascii="Book Antiqua" w:hAnsi="Book Antiqua" w:cs="宋体"/>
          <w:sz w:val="24"/>
          <w:szCs w:val="24"/>
        </w:rPr>
        <w:t>1513-</w:t>
      </w:r>
      <w:r>
        <w:rPr>
          <w:rFonts w:ascii="Book Antiqua" w:hAnsi="Book Antiqua" w:cs="宋体"/>
          <w:sz w:val="24"/>
          <w:szCs w:val="24"/>
        </w:rPr>
        <w:t>1517</w:t>
      </w:r>
      <w:r w:rsidRPr="005D6ED5">
        <w:rPr>
          <w:rFonts w:ascii="Book Antiqua" w:hAnsi="Book Antiqua" w:cs="宋体"/>
          <w:sz w:val="24"/>
          <w:szCs w:val="24"/>
        </w:rPr>
        <w:t xml:space="preserve"> </w:t>
      </w:r>
      <w:r>
        <w:rPr>
          <w:rFonts w:ascii="Book Antiqua" w:hAnsi="Book Antiqua" w:cs="宋体"/>
          <w:sz w:val="24"/>
          <w:szCs w:val="24"/>
        </w:rPr>
        <w:t xml:space="preserve">[PMID: 9690388 </w:t>
      </w:r>
      <w:r w:rsidRPr="005D6ED5">
        <w:rPr>
          <w:rFonts w:ascii="Book Antiqua" w:hAnsi="Book Antiqua" w:cs="宋体"/>
          <w:sz w:val="24"/>
          <w:szCs w:val="24"/>
        </w:rPr>
        <w:t>DOI</w:t>
      </w:r>
      <w:r>
        <w:rPr>
          <w:rFonts w:ascii="Book Antiqua" w:hAnsi="Book Antiqua" w:cs="宋体"/>
          <w:sz w:val="24"/>
          <w:szCs w:val="24"/>
        </w:rPr>
        <w:t xml:space="preserve">: </w:t>
      </w:r>
      <w:r w:rsidRPr="005D6ED5">
        <w:rPr>
          <w:rFonts w:ascii="Book Antiqua" w:hAnsi="Book Antiqua" w:cs="宋体"/>
          <w:sz w:val="24"/>
          <w:szCs w:val="24"/>
        </w:rPr>
        <w:t>10.1023/A:1018862814873</w:t>
      </w:r>
      <w:r>
        <w:rPr>
          <w:rFonts w:ascii="Book Antiqua" w:hAnsi="Book Antiqua" w:cs="宋体"/>
          <w:sz w:val="24"/>
          <w:szCs w:val="24"/>
        </w:rPr>
        <w:t>]</w:t>
      </w:r>
    </w:p>
    <w:p w:rsidR="00601C8A" w:rsidRPr="005D6ED5" w:rsidRDefault="00601C8A" w:rsidP="006D37F8">
      <w:pPr>
        <w:spacing w:line="360" w:lineRule="auto"/>
        <w:jc w:val="both"/>
        <w:rPr>
          <w:rFonts w:ascii="Book Antiqua" w:hAnsi="Book Antiqua" w:cs="宋体"/>
          <w:sz w:val="24"/>
          <w:szCs w:val="24"/>
        </w:rPr>
      </w:pPr>
      <w:r w:rsidRPr="005D6ED5">
        <w:rPr>
          <w:rFonts w:ascii="Book Antiqua" w:hAnsi="Book Antiqua" w:cs="宋体"/>
          <w:sz w:val="24"/>
          <w:szCs w:val="24"/>
        </w:rPr>
        <w:t>20 </w:t>
      </w:r>
      <w:r w:rsidRPr="005D6ED5">
        <w:rPr>
          <w:rFonts w:ascii="Book Antiqua" w:hAnsi="Book Antiqua" w:cs="宋体"/>
          <w:b/>
          <w:bCs/>
          <w:sz w:val="24"/>
          <w:szCs w:val="24"/>
        </w:rPr>
        <w:t>Cook IJ</w:t>
      </w:r>
      <w:r w:rsidRPr="005D6ED5">
        <w:rPr>
          <w:rFonts w:ascii="Book Antiqua" w:hAnsi="Book Antiqua" w:cs="宋体"/>
          <w:sz w:val="24"/>
          <w:szCs w:val="24"/>
        </w:rPr>
        <w:t>, Gabb M, Panagopoulos V, Jamieson GG, Dodds WJ, Dent J, Shearman DJ. Pharyngeal (Zenker's) diverticulum is a disorder of upper esophageal sphincter opening. </w:t>
      </w:r>
      <w:r w:rsidRPr="005D6ED5">
        <w:rPr>
          <w:rFonts w:ascii="Book Antiqua" w:hAnsi="Book Antiqua" w:cs="宋体"/>
          <w:i/>
          <w:iCs/>
          <w:sz w:val="24"/>
          <w:szCs w:val="24"/>
        </w:rPr>
        <w:t>Gastroenterology</w:t>
      </w:r>
      <w:r w:rsidRPr="005D6ED5">
        <w:rPr>
          <w:rFonts w:ascii="Book Antiqua" w:hAnsi="Book Antiqua" w:cs="宋体"/>
          <w:sz w:val="24"/>
          <w:szCs w:val="24"/>
        </w:rPr>
        <w:t> 1992; </w:t>
      </w:r>
      <w:r w:rsidRPr="005D6ED5">
        <w:rPr>
          <w:rFonts w:ascii="Book Antiqua" w:hAnsi="Book Antiqua" w:cs="宋体"/>
          <w:b/>
          <w:bCs/>
          <w:sz w:val="24"/>
          <w:szCs w:val="24"/>
        </w:rPr>
        <w:t>103</w:t>
      </w:r>
      <w:r w:rsidRPr="005D6ED5">
        <w:rPr>
          <w:rFonts w:ascii="Book Antiqua" w:hAnsi="Book Antiqua" w:cs="宋体"/>
          <w:sz w:val="24"/>
          <w:szCs w:val="24"/>
        </w:rPr>
        <w:t>: 1229-1235 [PMID: 1397879]</w:t>
      </w:r>
    </w:p>
    <w:p w:rsidR="00601C8A" w:rsidRPr="006D37F8" w:rsidRDefault="00601C8A" w:rsidP="006D37F8">
      <w:pPr>
        <w:spacing w:line="360" w:lineRule="auto"/>
        <w:jc w:val="both"/>
        <w:rPr>
          <w:rFonts w:ascii="Book Antiqua" w:hAnsi="Book Antiqua" w:cs="宋体"/>
          <w:sz w:val="24"/>
          <w:szCs w:val="24"/>
          <w:lang w:val="de-DE"/>
        </w:rPr>
      </w:pPr>
      <w:r w:rsidRPr="005D6ED5">
        <w:rPr>
          <w:rFonts w:ascii="Book Antiqua" w:hAnsi="Book Antiqua" w:cs="宋体"/>
          <w:sz w:val="24"/>
          <w:szCs w:val="24"/>
        </w:rPr>
        <w:t>21 </w:t>
      </w:r>
      <w:r w:rsidRPr="005D6ED5">
        <w:rPr>
          <w:rFonts w:ascii="Book Antiqua" w:hAnsi="Book Antiqua" w:cs="宋体"/>
          <w:b/>
          <w:bCs/>
          <w:sz w:val="24"/>
          <w:szCs w:val="24"/>
        </w:rPr>
        <w:t>Yarze JC</w:t>
      </w:r>
      <w:r w:rsidRPr="005D6ED5">
        <w:rPr>
          <w:rFonts w:ascii="Book Antiqua" w:hAnsi="Book Antiqua" w:cs="宋体"/>
          <w:sz w:val="24"/>
          <w:szCs w:val="24"/>
        </w:rPr>
        <w:t>, Varga J, Stampfl D, Castell DO, Jimenez SA. Esophageal function in systemic sclerosis: a prospective evaluation of motility and acid reflux in 36 patients. </w:t>
      </w:r>
      <w:r w:rsidRPr="006D37F8">
        <w:rPr>
          <w:rFonts w:ascii="Book Antiqua" w:hAnsi="Book Antiqua" w:cs="宋体"/>
          <w:i/>
          <w:iCs/>
          <w:sz w:val="24"/>
          <w:szCs w:val="24"/>
          <w:lang w:val="de-DE"/>
        </w:rPr>
        <w:t>Am J Gastroenterol</w:t>
      </w:r>
      <w:r w:rsidRPr="006D37F8">
        <w:rPr>
          <w:rFonts w:ascii="Book Antiqua" w:hAnsi="Book Antiqua" w:cs="宋体"/>
          <w:sz w:val="24"/>
          <w:szCs w:val="24"/>
          <w:lang w:val="de-DE"/>
        </w:rPr>
        <w:t> 1993; </w:t>
      </w:r>
      <w:r w:rsidRPr="006D37F8">
        <w:rPr>
          <w:rFonts w:ascii="Book Antiqua" w:hAnsi="Book Antiqua" w:cs="宋体"/>
          <w:b/>
          <w:bCs/>
          <w:sz w:val="24"/>
          <w:szCs w:val="24"/>
          <w:lang w:val="de-DE"/>
        </w:rPr>
        <w:t>88</w:t>
      </w:r>
      <w:r w:rsidRPr="006D37F8">
        <w:rPr>
          <w:rFonts w:ascii="Book Antiqua" w:hAnsi="Book Antiqua" w:cs="宋体"/>
          <w:sz w:val="24"/>
          <w:szCs w:val="24"/>
          <w:lang w:val="de-DE"/>
        </w:rPr>
        <w:t>: 870-876 [PMID: 8503383]</w:t>
      </w:r>
    </w:p>
    <w:p w:rsidR="00601C8A" w:rsidRPr="005D6ED5" w:rsidRDefault="00601C8A" w:rsidP="006D37F8">
      <w:pPr>
        <w:spacing w:line="360" w:lineRule="auto"/>
        <w:jc w:val="both"/>
        <w:rPr>
          <w:rFonts w:ascii="Book Antiqua" w:hAnsi="Book Antiqua" w:cs="宋体"/>
          <w:sz w:val="24"/>
          <w:szCs w:val="24"/>
        </w:rPr>
      </w:pPr>
      <w:r w:rsidRPr="006D37F8">
        <w:rPr>
          <w:rFonts w:ascii="Book Antiqua" w:hAnsi="Book Antiqua" w:cs="宋体"/>
          <w:sz w:val="24"/>
          <w:szCs w:val="24"/>
          <w:lang w:val="de-DE"/>
        </w:rPr>
        <w:t>22 </w:t>
      </w:r>
      <w:r w:rsidRPr="006D37F8">
        <w:rPr>
          <w:rFonts w:ascii="Book Antiqua" w:hAnsi="Book Antiqua" w:cs="宋体"/>
          <w:b/>
          <w:bCs/>
          <w:sz w:val="24"/>
          <w:szCs w:val="24"/>
          <w:lang w:val="de-DE"/>
        </w:rPr>
        <w:t>Malhi-Chowla N</w:t>
      </w:r>
      <w:r w:rsidRPr="006D37F8">
        <w:rPr>
          <w:rFonts w:ascii="Book Antiqua" w:hAnsi="Book Antiqua" w:cs="宋体"/>
          <w:sz w:val="24"/>
          <w:szCs w:val="24"/>
          <w:lang w:val="de-DE"/>
        </w:rPr>
        <w:t xml:space="preserve">, Achem SR, Stark ME, DeVault KR. </w:t>
      </w:r>
      <w:r w:rsidRPr="005D6ED5">
        <w:rPr>
          <w:rFonts w:ascii="Book Antiqua" w:hAnsi="Book Antiqua" w:cs="宋体"/>
          <w:sz w:val="24"/>
          <w:szCs w:val="24"/>
        </w:rPr>
        <w:t>Manometry of the upper esophageal sphincter and pharynx is not useful in unselected patients referred for esophageal testing. </w:t>
      </w:r>
      <w:r w:rsidRPr="005D6ED5">
        <w:rPr>
          <w:rFonts w:ascii="Book Antiqua" w:hAnsi="Book Antiqua" w:cs="宋体"/>
          <w:i/>
          <w:iCs/>
          <w:sz w:val="24"/>
          <w:szCs w:val="24"/>
        </w:rPr>
        <w:t>Am J Gastroenterol</w:t>
      </w:r>
      <w:r w:rsidRPr="005D6ED5">
        <w:rPr>
          <w:rFonts w:ascii="Book Antiqua" w:hAnsi="Book Antiqua" w:cs="宋体"/>
          <w:sz w:val="24"/>
          <w:szCs w:val="24"/>
        </w:rPr>
        <w:t> 2000; </w:t>
      </w:r>
      <w:r w:rsidRPr="005D6ED5">
        <w:rPr>
          <w:rFonts w:ascii="Book Antiqua" w:hAnsi="Book Antiqua" w:cs="宋体"/>
          <w:b/>
          <w:bCs/>
          <w:sz w:val="24"/>
          <w:szCs w:val="24"/>
        </w:rPr>
        <w:t>95</w:t>
      </w:r>
      <w:r w:rsidRPr="005D6ED5">
        <w:rPr>
          <w:rFonts w:ascii="Book Antiqua" w:hAnsi="Book Antiqua" w:cs="宋体"/>
          <w:sz w:val="24"/>
          <w:szCs w:val="24"/>
        </w:rPr>
        <w:t>: 1417-1421 [PMID: 10894573</w:t>
      </w:r>
      <w:r>
        <w:rPr>
          <w:rFonts w:ascii="Book Antiqua" w:hAnsi="Book Antiqua" w:cs="宋体"/>
          <w:sz w:val="24"/>
          <w:szCs w:val="24"/>
        </w:rPr>
        <w:t xml:space="preserve"> </w:t>
      </w:r>
      <w:r w:rsidRPr="005D6ED5">
        <w:rPr>
          <w:rFonts w:ascii="Book Antiqua" w:hAnsi="Book Antiqua" w:cs="宋体"/>
          <w:sz w:val="24"/>
          <w:szCs w:val="24"/>
        </w:rPr>
        <w:t>DOI</w:t>
      </w:r>
      <w:r>
        <w:rPr>
          <w:rFonts w:ascii="Book Antiqua" w:hAnsi="Book Antiqua" w:cs="宋体"/>
          <w:sz w:val="24"/>
          <w:szCs w:val="24"/>
        </w:rPr>
        <w:t xml:space="preserve">: </w:t>
      </w:r>
      <w:r w:rsidRPr="005D6ED5">
        <w:rPr>
          <w:rFonts w:ascii="Book Antiqua" w:hAnsi="Book Antiqua" w:cs="宋体"/>
          <w:sz w:val="24"/>
          <w:szCs w:val="24"/>
        </w:rPr>
        <w:t>10.1111/j.1572-0241.2000.02072.x]</w:t>
      </w:r>
    </w:p>
    <w:p w:rsidR="00601C8A" w:rsidRPr="005D6ED5" w:rsidRDefault="00601C8A" w:rsidP="006D37F8">
      <w:pPr>
        <w:spacing w:line="360" w:lineRule="auto"/>
        <w:jc w:val="both"/>
        <w:rPr>
          <w:rFonts w:ascii="Book Antiqua" w:hAnsi="Book Antiqua" w:cs="宋体"/>
          <w:sz w:val="24"/>
          <w:szCs w:val="24"/>
        </w:rPr>
      </w:pPr>
      <w:r>
        <w:rPr>
          <w:rFonts w:ascii="Book Antiqua" w:hAnsi="Book Antiqua" w:cs="宋体"/>
          <w:sz w:val="24"/>
          <w:szCs w:val="24"/>
        </w:rPr>
        <w:t xml:space="preserve">23 </w:t>
      </w:r>
      <w:r w:rsidRPr="005D6ED5">
        <w:rPr>
          <w:rFonts w:ascii="Book Antiqua" w:hAnsi="Book Antiqua" w:cs="宋体"/>
          <w:b/>
          <w:sz w:val="24"/>
          <w:szCs w:val="24"/>
        </w:rPr>
        <w:t>Khandelwal S</w:t>
      </w:r>
      <w:r w:rsidRPr="005D6ED5">
        <w:rPr>
          <w:rFonts w:ascii="Book Antiqua" w:hAnsi="Book Antiqua" w:cs="宋体"/>
          <w:sz w:val="24"/>
          <w:szCs w:val="24"/>
        </w:rPr>
        <w:t>, Costarella D, Parks T</w:t>
      </w:r>
      <w:r>
        <w:rPr>
          <w:rFonts w:ascii="Book Antiqua" w:hAnsi="Book Antiqua" w:cs="宋体"/>
          <w:sz w:val="24"/>
          <w:szCs w:val="24"/>
        </w:rPr>
        <w:t>.</w:t>
      </w:r>
      <w:r w:rsidRPr="005D6ED5">
        <w:rPr>
          <w:rFonts w:ascii="Book Antiqua" w:hAnsi="Book Antiqua" w:cs="宋体"/>
          <w:sz w:val="24"/>
          <w:szCs w:val="24"/>
        </w:rPr>
        <w:t xml:space="preserve"> Normal Values of Analytical Parameters for ManoScan/Mano View High-Resolution Esophageal Manometry System, 2007: 1-4.</w:t>
      </w:r>
    </w:p>
    <w:p w:rsidR="00601C8A" w:rsidRPr="005D6ED5" w:rsidRDefault="00601C8A" w:rsidP="006D37F8">
      <w:pPr>
        <w:spacing w:line="360" w:lineRule="auto"/>
        <w:jc w:val="both"/>
        <w:rPr>
          <w:rFonts w:ascii="Book Antiqua" w:hAnsi="Book Antiqua" w:cs="宋体"/>
          <w:sz w:val="24"/>
          <w:szCs w:val="24"/>
        </w:rPr>
      </w:pPr>
      <w:r>
        <w:rPr>
          <w:rFonts w:ascii="Book Antiqua" w:hAnsi="Book Antiqua" w:cs="宋体"/>
          <w:sz w:val="24"/>
          <w:szCs w:val="24"/>
        </w:rPr>
        <w:t xml:space="preserve">24 </w:t>
      </w:r>
      <w:r w:rsidRPr="005D6ED5">
        <w:rPr>
          <w:rFonts w:ascii="Book Antiqua" w:hAnsi="Book Antiqua" w:cs="宋体"/>
          <w:b/>
          <w:sz w:val="24"/>
          <w:szCs w:val="24"/>
        </w:rPr>
        <w:t>Pandolfino JE,</w:t>
      </w:r>
      <w:r w:rsidRPr="005D6ED5">
        <w:rPr>
          <w:rFonts w:ascii="Book Antiqua" w:hAnsi="Book Antiqua" w:cs="宋体"/>
          <w:sz w:val="24"/>
          <w:szCs w:val="24"/>
        </w:rPr>
        <w:t xml:space="preserve"> Kwiatek MA, Nealis T, Bulsiewicz W, Post J, Kahrilas PJ. Achalasia: a new clinically relevant classification by high-resoluti</w:t>
      </w:r>
      <w:r>
        <w:rPr>
          <w:rFonts w:ascii="Book Antiqua" w:hAnsi="Book Antiqua" w:cs="宋体"/>
          <w:sz w:val="24"/>
          <w:szCs w:val="24"/>
        </w:rPr>
        <w:t xml:space="preserve">on manometry. </w:t>
      </w:r>
      <w:r w:rsidRPr="005D6ED5">
        <w:rPr>
          <w:rFonts w:ascii="Book Antiqua" w:hAnsi="Book Antiqua" w:cs="宋体"/>
          <w:i/>
          <w:sz w:val="24"/>
          <w:szCs w:val="24"/>
        </w:rPr>
        <w:t xml:space="preserve">Gastroenterology </w:t>
      </w:r>
      <w:r w:rsidRPr="005D6ED5">
        <w:rPr>
          <w:rFonts w:ascii="Book Antiqua" w:hAnsi="Book Antiqua" w:cs="宋体"/>
          <w:sz w:val="24"/>
          <w:szCs w:val="24"/>
        </w:rPr>
        <w:t>2008;</w:t>
      </w:r>
      <w:r>
        <w:rPr>
          <w:rFonts w:ascii="Book Antiqua" w:hAnsi="Book Antiqua" w:cs="宋体"/>
          <w:sz w:val="24"/>
          <w:szCs w:val="24"/>
        </w:rPr>
        <w:t xml:space="preserve"> </w:t>
      </w:r>
      <w:r w:rsidRPr="005D6ED5">
        <w:rPr>
          <w:rFonts w:ascii="Book Antiqua" w:hAnsi="Book Antiqua" w:cs="宋体"/>
          <w:b/>
          <w:sz w:val="24"/>
          <w:szCs w:val="24"/>
        </w:rPr>
        <w:t>135</w:t>
      </w:r>
      <w:r w:rsidRPr="005D6ED5">
        <w:rPr>
          <w:rFonts w:ascii="Book Antiqua" w:hAnsi="Book Antiqua" w:cs="宋体"/>
          <w:sz w:val="24"/>
          <w:szCs w:val="24"/>
        </w:rPr>
        <w:t>:</w:t>
      </w:r>
      <w:r>
        <w:rPr>
          <w:rFonts w:ascii="Book Antiqua" w:hAnsi="Book Antiqua" w:cs="宋体"/>
          <w:sz w:val="24"/>
          <w:szCs w:val="24"/>
        </w:rPr>
        <w:t xml:space="preserve"> </w:t>
      </w:r>
      <w:r w:rsidRPr="005D6ED5">
        <w:rPr>
          <w:rFonts w:ascii="Book Antiqua" w:hAnsi="Book Antiqua" w:cs="宋体"/>
          <w:sz w:val="24"/>
          <w:szCs w:val="24"/>
        </w:rPr>
        <w:t>1526-</w:t>
      </w:r>
      <w:r>
        <w:rPr>
          <w:rFonts w:ascii="Book Antiqua" w:hAnsi="Book Antiqua" w:cs="宋体"/>
          <w:sz w:val="24"/>
          <w:szCs w:val="24"/>
        </w:rPr>
        <w:t>1533</w:t>
      </w:r>
      <w:r w:rsidRPr="005D6ED5">
        <w:rPr>
          <w:rFonts w:ascii="Book Antiqua" w:hAnsi="Book Antiqua" w:cs="宋体"/>
          <w:sz w:val="24"/>
          <w:szCs w:val="24"/>
        </w:rPr>
        <w:t xml:space="preserve"> </w:t>
      </w:r>
      <w:r>
        <w:rPr>
          <w:rFonts w:ascii="Book Antiqua" w:hAnsi="Book Antiqua" w:cs="宋体"/>
          <w:sz w:val="24"/>
          <w:szCs w:val="24"/>
        </w:rPr>
        <w:t>[PMID: 18722376</w:t>
      </w:r>
      <w:r w:rsidRPr="005D6ED5">
        <w:rPr>
          <w:rFonts w:ascii="Book Antiqua" w:hAnsi="Book Antiqua" w:cs="宋体"/>
          <w:sz w:val="24"/>
          <w:szCs w:val="24"/>
        </w:rPr>
        <w:t xml:space="preserve"> DO</w:t>
      </w:r>
      <w:r>
        <w:rPr>
          <w:rFonts w:ascii="Book Antiqua" w:hAnsi="Book Antiqua" w:cs="宋体"/>
          <w:sz w:val="24"/>
          <w:szCs w:val="24"/>
        </w:rPr>
        <w:t>I: 10.1053/j.gastro.2008.07.022]</w:t>
      </w:r>
    </w:p>
    <w:p w:rsidR="00601C8A" w:rsidRPr="005D6ED5" w:rsidRDefault="00601C8A" w:rsidP="006D37F8">
      <w:pPr>
        <w:spacing w:line="360" w:lineRule="auto"/>
        <w:jc w:val="both"/>
        <w:rPr>
          <w:rFonts w:ascii="Book Antiqua" w:hAnsi="Book Antiqua" w:cs="宋体"/>
          <w:sz w:val="24"/>
          <w:szCs w:val="24"/>
        </w:rPr>
      </w:pPr>
      <w:r w:rsidRPr="005D6ED5">
        <w:rPr>
          <w:rFonts w:ascii="Book Antiqua" w:hAnsi="Book Antiqua" w:cs="宋体"/>
          <w:sz w:val="24"/>
          <w:szCs w:val="24"/>
        </w:rPr>
        <w:t>25 </w:t>
      </w:r>
      <w:r w:rsidRPr="005D6ED5">
        <w:rPr>
          <w:rFonts w:ascii="Book Antiqua" w:hAnsi="Book Antiqua" w:cs="宋体"/>
          <w:b/>
          <w:bCs/>
          <w:sz w:val="24"/>
          <w:szCs w:val="24"/>
        </w:rPr>
        <w:t>Roman S</w:t>
      </w:r>
      <w:r w:rsidRPr="005D6ED5">
        <w:rPr>
          <w:rFonts w:ascii="Book Antiqua" w:hAnsi="Book Antiqua" w:cs="宋体"/>
          <w:sz w:val="24"/>
          <w:szCs w:val="24"/>
        </w:rPr>
        <w:t>, Zerbib F, Quenehervé L, Clermidy H, Varannes SB, Mion F. The Chicago classification for achalasia in a French multicentric cohort. </w:t>
      </w:r>
      <w:r w:rsidRPr="005D6ED5">
        <w:rPr>
          <w:rFonts w:ascii="Book Antiqua" w:hAnsi="Book Antiqua" w:cs="宋体"/>
          <w:i/>
          <w:iCs/>
          <w:sz w:val="24"/>
          <w:szCs w:val="24"/>
        </w:rPr>
        <w:t>Dig Liver Dis</w:t>
      </w:r>
      <w:r w:rsidRPr="005D6ED5">
        <w:rPr>
          <w:rFonts w:ascii="Book Antiqua" w:hAnsi="Book Antiqua" w:cs="宋体"/>
          <w:sz w:val="24"/>
          <w:szCs w:val="24"/>
        </w:rPr>
        <w:t> 2012; </w:t>
      </w:r>
      <w:r w:rsidRPr="005D6ED5">
        <w:rPr>
          <w:rFonts w:ascii="Book Antiqua" w:hAnsi="Book Antiqua" w:cs="宋体"/>
          <w:b/>
          <w:bCs/>
          <w:sz w:val="24"/>
          <w:szCs w:val="24"/>
        </w:rPr>
        <w:t>44</w:t>
      </w:r>
      <w:r w:rsidRPr="005D6ED5">
        <w:rPr>
          <w:rFonts w:ascii="Book Antiqua" w:hAnsi="Book Antiqua" w:cs="宋体"/>
          <w:sz w:val="24"/>
          <w:szCs w:val="24"/>
        </w:rPr>
        <w:t>: 976-980 [PMID: 22938702 DOI: 10.1016/j.dld.2012.07.019]</w:t>
      </w:r>
    </w:p>
    <w:p w:rsidR="00601C8A" w:rsidRPr="005D6ED5" w:rsidRDefault="00601C8A" w:rsidP="006D37F8">
      <w:pPr>
        <w:spacing w:line="360" w:lineRule="auto"/>
        <w:jc w:val="both"/>
        <w:rPr>
          <w:rFonts w:ascii="Book Antiqua" w:hAnsi="Book Antiqua" w:cs="宋体"/>
          <w:sz w:val="24"/>
          <w:szCs w:val="24"/>
        </w:rPr>
      </w:pPr>
      <w:r w:rsidRPr="005D6ED5">
        <w:rPr>
          <w:rFonts w:ascii="Book Antiqua" w:hAnsi="Book Antiqua" w:cs="宋体"/>
          <w:sz w:val="24"/>
          <w:szCs w:val="24"/>
        </w:rPr>
        <w:t>26 </w:t>
      </w:r>
      <w:r w:rsidRPr="005D6ED5">
        <w:rPr>
          <w:rFonts w:ascii="Book Antiqua" w:hAnsi="Book Antiqua" w:cs="宋体"/>
          <w:b/>
          <w:bCs/>
          <w:sz w:val="24"/>
          <w:szCs w:val="24"/>
        </w:rPr>
        <w:t>Min M</w:t>
      </w:r>
      <w:r w:rsidRPr="005D6ED5">
        <w:rPr>
          <w:rFonts w:ascii="Book Antiqua" w:hAnsi="Book Antiqua" w:cs="宋体"/>
          <w:sz w:val="24"/>
          <w:szCs w:val="24"/>
        </w:rPr>
        <w:t>, Peng LH, Yang YS, Hou XH, Guo RB, Wang WF, Sun G, Wang XX. Characteristics of achalasia subtypes in untreated Chinese patients: a high-resolution manometry study. </w:t>
      </w:r>
      <w:r w:rsidRPr="005D6ED5">
        <w:rPr>
          <w:rFonts w:ascii="Book Antiqua" w:hAnsi="Book Antiqua" w:cs="宋体"/>
          <w:i/>
          <w:iCs/>
          <w:sz w:val="24"/>
          <w:szCs w:val="24"/>
        </w:rPr>
        <w:t>J Dig Dis</w:t>
      </w:r>
      <w:r w:rsidRPr="005D6ED5">
        <w:rPr>
          <w:rFonts w:ascii="Book Antiqua" w:hAnsi="Book Antiqua" w:cs="宋体"/>
          <w:sz w:val="24"/>
          <w:szCs w:val="24"/>
        </w:rPr>
        <w:t> 2012; </w:t>
      </w:r>
      <w:r w:rsidRPr="005D6ED5">
        <w:rPr>
          <w:rFonts w:ascii="Book Antiqua" w:hAnsi="Book Antiqua" w:cs="宋体"/>
          <w:b/>
          <w:bCs/>
          <w:sz w:val="24"/>
          <w:szCs w:val="24"/>
        </w:rPr>
        <w:t>13</w:t>
      </w:r>
      <w:r w:rsidRPr="005D6ED5">
        <w:rPr>
          <w:rFonts w:ascii="Book Antiqua" w:hAnsi="Book Antiqua" w:cs="宋体"/>
          <w:sz w:val="24"/>
          <w:szCs w:val="24"/>
        </w:rPr>
        <w:t>: 504-509 [PMID: 22988923 DOI: 10.1111/j.1751-2980.2012.00622.x]</w:t>
      </w:r>
    </w:p>
    <w:p w:rsidR="00601C8A" w:rsidRPr="005D6ED5" w:rsidRDefault="00601C8A" w:rsidP="006D37F8">
      <w:pPr>
        <w:spacing w:line="360" w:lineRule="auto"/>
        <w:jc w:val="both"/>
        <w:rPr>
          <w:rFonts w:ascii="Book Antiqua" w:hAnsi="Book Antiqua" w:cs="宋体"/>
          <w:sz w:val="24"/>
          <w:szCs w:val="24"/>
        </w:rPr>
      </w:pPr>
      <w:r w:rsidRPr="005D6ED5">
        <w:rPr>
          <w:rFonts w:ascii="Book Antiqua" w:hAnsi="Book Antiqua" w:cs="宋体"/>
          <w:sz w:val="24"/>
          <w:szCs w:val="24"/>
        </w:rPr>
        <w:t>27 </w:t>
      </w:r>
      <w:r w:rsidRPr="005D6ED5">
        <w:rPr>
          <w:rFonts w:ascii="Book Antiqua" w:hAnsi="Book Antiqua" w:cs="宋体"/>
          <w:b/>
          <w:bCs/>
          <w:sz w:val="24"/>
          <w:szCs w:val="24"/>
        </w:rPr>
        <w:t>Rohof WO</w:t>
      </w:r>
      <w:r w:rsidRPr="005D6ED5">
        <w:rPr>
          <w:rFonts w:ascii="Book Antiqua" w:hAnsi="Book Antiqua" w:cs="宋体"/>
          <w:sz w:val="24"/>
          <w:szCs w:val="24"/>
        </w:rPr>
        <w:t>, Salvador R, Annese V, Bruley des Varannes S, Chaussade S, Costantini M, Elizalde JI, Gaudric M, Smout AJ, Tack J, Busch OR, Zaninotto G, Boeckxstaens GE. Outcomes of treatment for achalasia depend on manometric subtype. </w:t>
      </w:r>
      <w:r w:rsidRPr="005D6ED5">
        <w:rPr>
          <w:rFonts w:ascii="Book Antiqua" w:hAnsi="Book Antiqua" w:cs="宋体"/>
          <w:i/>
          <w:iCs/>
          <w:sz w:val="24"/>
          <w:szCs w:val="24"/>
        </w:rPr>
        <w:t>Gastroenterology</w:t>
      </w:r>
      <w:r w:rsidRPr="005D6ED5">
        <w:rPr>
          <w:rFonts w:ascii="Book Antiqua" w:hAnsi="Book Antiqua" w:cs="宋体"/>
          <w:sz w:val="24"/>
          <w:szCs w:val="24"/>
        </w:rPr>
        <w:t> 2013; </w:t>
      </w:r>
      <w:r w:rsidRPr="005D6ED5">
        <w:rPr>
          <w:rFonts w:ascii="Book Antiqua" w:hAnsi="Book Antiqua" w:cs="宋体"/>
          <w:b/>
          <w:bCs/>
          <w:sz w:val="24"/>
          <w:szCs w:val="24"/>
        </w:rPr>
        <w:t>144</w:t>
      </w:r>
      <w:r w:rsidRPr="005D6ED5">
        <w:rPr>
          <w:rFonts w:ascii="Book Antiqua" w:hAnsi="Book Antiqua" w:cs="宋体"/>
          <w:sz w:val="24"/>
          <w:szCs w:val="24"/>
        </w:rPr>
        <w:t>: 718-25; quiz e13-4 [PMID: 23277105 DO</w:t>
      </w:r>
      <w:r>
        <w:rPr>
          <w:rFonts w:ascii="Book Antiqua" w:hAnsi="Book Antiqua" w:cs="宋体"/>
          <w:sz w:val="24"/>
          <w:szCs w:val="24"/>
        </w:rPr>
        <w:t>I: 10.1053/j.gastro.2012.12.027</w:t>
      </w:r>
      <w:r w:rsidRPr="005D6ED5">
        <w:rPr>
          <w:rFonts w:ascii="Book Antiqua" w:hAnsi="Book Antiqua" w:cs="宋体"/>
          <w:sz w:val="24"/>
          <w:szCs w:val="24"/>
        </w:rPr>
        <w:t>]</w:t>
      </w:r>
    </w:p>
    <w:p w:rsidR="00601C8A" w:rsidRPr="005D6ED5" w:rsidRDefault="00601C8A" w:rsidP="006D37F8">
      <w:pPr>
        <w:spacing w:line="360" w:lineRule="auto"/>
        <w:jc w:val="both"/>
        <w:rPr>
          <w:rFonts w:ascii="Book Antiqua" w:hAnsi="Book Antiqua" w:cs="宋体"/>
          <w:sz w:val="24"/>
          <w:szCs w:val="24"/>
        </w:rPr>
      </w:pPr>
      <w:r w:rsidRPr="005D6ED5">
        <w:rPr>
          <w:rFonts w:ascii="Book Antiqua" w:hAnsi="Book Antiqua" w:cs="宋体"/>
          <w:sz w:val="24"/>
          <w:szCs w:val="24"/>
        </w:rPr>
        <w:t>28 </w:t>
      </w:r>
      <w:r w:rsidRPr="005D6ED5">
        <w:rPr>
          <w:rFonts w:ascii="Book Antiqua" w:hAnsi="Book Antiqua" w:cs="宋体"/>
          <w:b/>
          <w:bCs/>
          <w:sz w:val="24"/>
          <w:szCs w:val="24"/>
        </w:rPr>
        <w:t>Pratap N</w:t>
      </w:r>
      <w:r w:rsidRPr="005D6ED5">
        <w:rPr>
          <w:rFonts w:ascii="Book Antiqua" w:hAnsi="Book Antiqua" w:cs="宋体"/>
          <w:sz w:val="24"/>
          <w:szCs w:val="24"/>
        </w:rPr>
        <w:t>, Kalapala R, Darisetty S, Joshi N, Ramchandani M, Banerjee R, Lakhtakia S, Gupta R, Tandan M, Rao GV, Reddy DN. Achalasia cardia subtyping by high-resolution manometry predicts the therapeutic outcome of pneumatic balloon dilatation. </w:t>
      </w:r>
      <w:r w:rsidRPr="005D6ED5">
        <w:rPr>
          <w:rFonts w:ascii="Book Antiqua" w:hAnsi="Book Antiqua" w:cs="宋体"/>
          <w:i/>
          <w:iCs/>
          <w:sz w:val="24"/>
          <w:szCs w:val="24"/>
        </w:rPr>
        <w:t>J Neurogastroenterol Motil</w:t>
      </w:r>
      <w:r w:rsidRPr="005D6ED5">
        <w:rPr>
          <w:rFonts w:ascii="Book Antiqua" w:hAnsi="Book Antiqua" w:cs="宋体"/>
          <w:sz w:val="24"/>
          <w:szCs w:val="24"/>
        </w:rPr>
        <w:t> 2011; </w:t>
      </w:r>
      <w:r w:rsidRPr="005D6ED5">
        <w:rPr>
          <w:rFonts w:ascii="Book Antiqua" w:hAnsi="Book Antiqua" w:cs="宋体"/>
          <w:b/>
          <w:bCs/>
          <w:sz w:val="24"/>
          <w:szCs w:val="24"/>
        </w:rPr>
        <w:t>17</w:t>
      </w:r>
      <w:r w:rsidRPr="005D6ED5">
        <w:rPr>
          <w:rFonts w:ascii="Book Antiqua" w:hAnsi="Book Antiqua" w:cs="宋体"/>
          <w:sz w:val="24"/>
          <w:szCs w:val="24"/>
        </w:rPr>
        <w:t>: 48-53 [PMID: 21369491 DOI: 10.5056/jnm.2011.17.1.48]</w:t>
      </w:r>
    </w:p>
    <w:p w:rsidR="00601C8A" w:rsidRPr="005D6ED5" w:rsidRDefault="00601C8A" w:rsidP="006D37F8">
      <w:pPr>
        <w:spacing w:line="360" w:lineRule="auto"/>
        <w:jc w:val="both"/>
        <w:rPr>
          <w:rFonts w:ascii="Book Antiqua" w:hAnsi="Book Antiqua" w:cs="宋体"/>
          <w:sz w:val="24"/>
          <w:szCs w:val="24"/>
        </w:rPr>
      </w:pPr>
      <w:r w:rsidRPr="005D6ED5">
        <w:rPr>
          <w:rFonts w:ascii="Book Antiqua" w:hAnsi="Book Antiqua" w:cs="宋体"/>
          <w:sz w:val="24"/>
          <w:szCs w:val="24"/>
        </w:rPr>
        <w:t>29 </w:t>
      </w:r>
      <w:r w:rsidRPr="005D6ED5">
        <w:rPr>
          <w:rFonts w:ascii="Book Antiqua" w:hAnsi="Book Antiqua" w:cs="宋体"/>
          <w:b/>
          <w:bCs/>
          <w:sz w:val="24"/>
          <w:szCs w:val="24"/>
        </w:rPr>
        <w:t>Enzmann DR</w:t>
      </w:r>
      <w:r w:rsidRPr="005D6ED5">
        <w:rPr>
          <w:rFonts w:ascii="Book Antiqua" w:hAnsi="Book Antiqua" w:cs="宋体"/>
          <w:sz w:val="24"/>
          <w:szCs w:val="24"/>
        </w:rPr>
        <w:t>, Harell GS, Zboralske FF. Upper esophageal responses to intraluminal distention in man. </w:t>
      </w:r>
      <w:r w:rsidRPr="005D6ED5">
        <w:rPr>
          <w:rFonts w:ascii="Book Antiqua" w:hAnsi="Book Antiqua" w:cs="宋体"/>
          <w:i/>
          <w:iCs/>
          <w:sz w:val="24"/>
          <w:szCs w:val="24"/>
        </w:rPr>
        <w:t>Gastroenterology</w:t>
      </w:r>
      <w:r w:rsidRPr="005D6ED5">
        <w:rPr>
          <w:rFonts w:ascii="Book Antiqua" w:hAnsi="Book Antiqua" w:cs="宋体"/>
          <w:sz w:val="24"/>
          <w:szCs w:val="24"/>
        </w:rPr>
        <w:t> 1977; </w:t>
      </w:r>
      <w:r w:rsidRPr="005D6ED5">
        <w:rPr>
          <w:rFonts w:ascii="Book Antiqua" w:hAnsi="Book Antiqua" w:cs="宋体"/>
          <w:b/>
          <w:bCs/>
          <w:sz w:val="24"/>
          <w:szCs w:val="24"/>
        </w:rPr>
        <w:t>72</w:t>
      </w:r>
      <w:r w:rsidRPr="005D6ED5">
        <w:rPr>
          <w:rFonts w:ascii="Book Antiqua" w:hAnsi="Book Antiqua" w:cs="宋体"/>
          <w:sz w:val="24"/>
          <w:szCs w:val="24"/>
        </w:rPr>
        <w:t>: 1292-1298 [PMID: 858473]</w:t>
      </w:r>
    </w:p>
    <w:p w:rsidR="00601C8A" w:rsidRPr="00D83F75" w:rsidRDefault="00601C8A" w:rsidP="006D37F8">
      <w:pPr>
        <w:spacing w:line="360" w:lineRule="auto"/>
        <w:jc w:val="both"/>
        <w:rPr>
          <w:rFonts w:ascii="Book Antiqua" w:hAnsi="Book Antiqua" w:cs="宋体"/>
          <w:sz w:val="24"/>
          <w:szCs w:val="24"/>
          <w:lang w:eastAsia="zh-CN"/>
        </w:rPr>
      </w:pPr>
      <w:r>
        <w:rPr>
          <w:rFonts w:ascii="Book Antiqua" w:hAnsi="Book Antiqua" w:cs="宋体"/>
          <w:sz w:val="24"/>
          <w:szCs w:val="24"/>
        </w:rPr>
        <w:t xml:space="preserve">30 </w:t>
      </w:r>
      <w:r w:rsidRPr="005D6ED5">
        <w:rPr>
          <w:rFonts w:ascii="Book Antiqua" w:hAnsi="Book Antiqua" w:cs="宋体"/>
          <w:b/>
          <w:sz w:val="24"/>
          <w:szCs w:val="24"/>
        </w:rPr>
        <w:t>Meyer GM,</w:t>
      </w:r>
      <w:r w:rsidRPr="005D6ED5">
        <w:rPr>
          <w:rFonts w:ascii="Book Antiqua" w:hAnsi="Book Antiqua" w:cs="宋体"/>
          <w:sz w:val="24"/>
          <w:szCs w:val="24"/>
        </w:rPr>
        <w:t xml:space="preserve"> Castell DO, Anatomy and physiology of the esophageal body. In: Castell DO, Johnson LF (eds.): Esophageal Function in Health and Disease. New York: Elsevier Biomedical, 1983, pp 1-16.</w:t>
      </w:r>
    </w:p>
    <w:p w:rsidR="00601C8A" w:rsidRDefault="00601C8A" w:rsidP="006D37F8">
      <w:pPr>
        <w:pStyle w:val="aa"/>
        <w:spacing w:after="0" w:line="360" w:lineRule="auto"/>
        <w:ind w:left="0"/>
        <w:jc w:val="both"/>
        <w:rPr>
          <w:rStyle w:val="ac"/>
          <w:rFonts w:ascii="Book Antiqua" w:hAnsi="Book Antiqua" w:cs="Arial"/>
          <w:noProof/>
          <w:color w:val="000000"/>
          <w:sz w:val="24"/>
          <w:szCs w:val="24"/>
          <w:lang w:eastAsia="zh-CN"/>
        </w:rPr>
      </w:pPr>
      <w:bookmarkStart w:id="33" w:name="OLE_LINK277"/>
      <w:bookmarkStart w:id="34" w:name="OLE_LINK278"/>
      <w:bookmarkStart w:id="35" w:name="OLE_LINK279"/>
      <w:bookmarkStart w:id="36" w:name="OLE_LINK290"/>
      <w:bookmarkStart w:id="37" w:name="OLE_LINK301"/>
      <w:bookmarkStart w:id="38" w:name="OLE_LINK312"/>
      <w:bookmarkStart w:id="39" w:name="OLE_LINK315"/>
      <w:bookmarkStart w:id="40" w:name="OLE_LINK316"/>
      <w:bookmarkStart w:id="41" w:name="OLE_LINK317"/>
      <w:bookmarkStart w:id="42" w:name="OLE_LINK318"/>
      <w:bookmarkStart w:id="43" w:name="OLE_LINK326"/>
      <w:bookmarkStart w:id="44" w:name="OLE_LINK335"/>
      <w:bookmarkStart w:id="45" w:name="OLE_LINK339"/>
      <w:bookmarkStart w:id="46" w:name="OLE_LINK348"/>
      <w:bookmarkStart w:id="47" w:name="OLE_LINK379"/>
    </w:p>
    <w:p w:rsidR="00601C8A" w:rsidRDefault="00601C8A" w:rsidP="0044487E">
      <w:pPr>
        <w:pStyle w:val="aa"/>
        <w:spacing w:after="0" w:line="360" w:lineRule="auto"/>
        <w:ind w:left="0"/>
        <w:jc w:val="right"/>
        <w:rPr>
          <w:rFonts w:ascii="Book Antiqua" w:hAnsi="Book Antiqua"/>
          <w:b/>
          <w:bCs/>
          <w:color w:val="000000"/>
          <w:sz w:val="24"/>
          <w:szCs w:val="24"/>
          <w:lang w:eastAsia="zh-CN"/>
        </w:rPr>
      </w:pPr>
      <w:r w:rsidRPr="00D0668B">
        <w:rPr>
          <w:rStyle w:val="ac"/>
          <w:rFonts w:ascii="Book Antiqua" w:hAnsi="Book Antiqua" w:cs="Arial"/>
          <w:noProof/>
          <w:color w:val="000000"/>
          <w:sz w:val="24"/>
          <w:szCs w:val="24"/>
        </w:rPr>
        <w:t>P-Reviewers</w:t>
      </w:r>
      <w:r w:rsidRPr="00D0668B">
        <w:rPr>
          <w:rStyle w:val="ac"/>
          <w:rFonts w:ascii="Book Antiqua" w:hAnsi="Book Antiqua" w:cs="Arial"/>
          <w:noProof/>
          <w:color w:val="000000"/>
          <w:sz w:val="24"/>
          <w:szCs w:val="24"/>
          <w:lang w:eastAsia="zh-CN"/>
        </w:rPr>
        <w:t>:</w:t>
      </w:r>
      <w:r w:rsidRPr="00953190">
        <w:t xml:space="preserve"> </w:t>
      </w:r>
      <w:r w:rsidRPr="00953190">
        <w:rPr>
          <w:rStyle w:val="ac"/>
          <w:rFonts w:ascii="Book Antiqua" w:hAnsi="Book Antiqua" w:cs="Arial"/>
          <w:b w:val="0"/>
          <w:noProof/>
          <w:color w:val="000000"/>
          <w:sz w:val="24"/>
          <w:szCs w:val="24"/>
          <w:lang w:eastAsia="zh-CN"/>
        </w:rPr>
        <w:t>Fujino Y</w:t>
      </w:r>
      <w:r>
        <w:rPr>
          <w:rStyle w:val="ac"/>
          <w:rFonts w:ascii="Book Antiqua" w:hAnsi="Book Antiqua" w:cs="Arial"/>
          <w:noProof/>
          <w:color w:val="000000"/>
          <w:sz w:val="24"/>
          <w:szCs w:val="24"/>
          <w:lang w:eastAsia="zh-CN"/>
        </w:rPr>
        <w:t>,</w:t>
      </w:r>
      <w:r w:rsidRPr="00D0668B">
        <w:rPr>
          <w:rFonts w:ascii="Book Antiqua" w:hAnsi="Book Antiqua"/>
          <w:bCs/>
          <w:color w:val="000000"/>
          <w:sz w:val="24"/>
          <w:szCs w:val="24"/>
        </w:rPr>
        <w:t xml:space="preserve"> </w:t>
      </w:r>
      <w:r w:rsidRPr="00953190">
        <w:rPr>
          <w:rFonts w:ascii="Book Antiqua" w:hAnsi="Book Antiqua"/>
          <w:bCs/>
          <w:color w:val="000000"/>
          <w:sz w:val="24"/>
          <w:szCs w:val="24"/>
        </w:rPr>
        <w:t>Kim</w:t>
      </w:r>
      <w:r>
        <w:rPr>
          <w:rFonts w:ascii="Book Antiqua" w:hAnsi="Book Antiqua"/>
          <w:bCs/>
          <w:color w:val="000000"/>
          <w:sz w:val="24"/>
          <w:szCs w:val="24"/>
          <w:lang w:eastAsia="zh-CN"/>
        </w:rPr>
        <w:t xml:space="preserve"> JS,</w:t>
      </w:r>
      <w:r w:rsidRPr="00D0668B">
        <w:rPr>
          <w:rFonts w:ascii="Book Antiqua" w:hAnsi="Book Antiqua"/>
          <w:bCs/>
          <w:color w:val="000000"/>
          <w:sz w:val="24"/>
          <w:szCs w:val="24"/>
        </w:rPr>
        <w:t xml:space="preserve"> </w:t>
      </w:r>
      <w:r w:rsidRPr="00953190">
        <w:rPr>
          <w:rFonts w:ascii="Book Antiqua" w:hAnsi="Book Antiqua"/>
          <w:bCs/>
          <w:color w:val="000000"/>
          <w:sz w:val="24"/>
          <w:szCs w:val="24"/>
        </w:rPr>
        <w:t>Morales-Gonzalez</w:t>
      </w:r>
      <w:r>
        <w:rPr>
          <w:rFonts w:ascii="Book Antiqua" w:hAnsi="Book Antiqua"/>
          <w:bCs/>
          <w:color w:val="000000"/>
          <w:sz w:val="24"/>
          <w:szCs w:val="24"/>
          <w:lang w:eastAsia="zh-CN"/>
        </w:rPr>
        <w:t xml:space="preserve"> JA</w:t>
      </w:r>
      <w:r w:rsidRPr="00D0668B">
        <w:rPr>
          <w:rFonts w:ascii="Book Antiqua" w:hAnsi="Book Antiqua"/>
          <w:bCs/>
          <w:color w:val="000000"/>
          <w:sz w:val="24"/>
          <w:szCs w:val="24"/>
        </w:rPr>
        <w:t xml:space="preserve"> </w:t>
      </w:r>
      <w:r w:rsidRPr="00D0668B">
        <w:rPr>
          <w:rFonts w:ascii="Book Antiqua" w:hAnsi="Book Antiqua"/>
          <w:b/>
          <w:bCs/>
          <w:color w:val="000000"/>
          <w:sz w:val="24"/>
          <w:szCs w:val="24"/>
        </w:rPr>
        <w:t>S-Editor</w:t>
      </w:r>
      <w:r w:rsidRPr="00D0668B">
        <w:rPr>
          <w:rFonts w:ascii="Book Antiqua" w:hAnsi="Book Antiqua"/>
          <w:b/>
          <w:bCs/>
          <w:color w:val="000000"/>
          <w:sz w:val="24"/>
          <w:szCs w:val="24"/>
          <w:lang w:eastAsia="zh-CN"/>
        </w:rPr>
        <w:t>:</w:t>
      </w:r>
      <w:r w:rsidRPr="00D0668B">
        <w:rPr>
          <w:rFonts w:ascii="Book Antiqua" w:hAnsi="Book Antiqua"/>
          <w:bCs/>
          <w:color w:val="000000"/>
          <w:sz w:val="24"/>
          <w:szCs w:val="24"/>
        </w:rPr>
        <w:t xml:space="preserve"> </w:t>
      </w:r>
      <w:r w:rsidRPr="00D0668B">
        <w:rPr>
          <w:rFonts w:ascii="Book Antiqua" w:hAnsi="Book Antiqua"/>
          <w:bCs/>
          <w:color w:val="000000"/>
          <w:sz w:val="24"/>
          <w:szCs w:val="24"/>
          <w:lang w:eastAsia="zh-CN"/>
        </w:rPr>
        <w:t>Qi Y</w:t>
      </w:r>
    </w:p>
    <w:p w:rsidR="00601C8A" w:rsidRDefault="00601C8A" w:rsidP="0044487E">
      <w:pPr>
        <w:pStyle w:val="aa"/>
        <w:spacing w:after="0" w:line="360" w:lineRule="auto"/>
        <w:ind w:left="0"/>
        <w:jc w:val="right"/>
        <w:rPr>
          <w:rFonts w:ascii="Book Antiqua" w:hAnsi="Book Antiqua"/>
          <w:b/>
          <w:bCs/>
          <w:color w:val="000000"/>
          <w:sz w:val="24"/>
          <w:szCs w:val="24"/>
          <w:lang w:eastAsia="zh-CN"/>
        </w:rPr>
      </w:pPr>
      <w:r w:rsidRPr="00D0668B">
        <w:rPr>
          <w:rFonts w:ascii="Book Antiqua" w:hAnsi="Book Antiqua"/>
          <w:b/>
          <w:bCs/>
          <w:color w:val="000000"/>
          <w:sz w:val="24"/>
          <w:szCs w:val="24"/>
        </w:rPr>
        <w:t>L-Editor</w:t>
      </w:r>
      <w:r w:rsidRPr="00D0668B">
        <w:rPr>
          <w:rFonts w:ascii="Book Antiqua" w:hAnsi="Book Antiqua"/>
          <w:b/>
          <w:bCs/>
          <w:color w:val="000000"/>
          <w:sz w:val="24"/>
          <w:szCs w:val="24"/>
          <w:lang w:eastAsia="zh-CN"/>
        </w:rPr>
        <w:t>:</w:t>
      </w:r>
      <w:r w:rsidRPr="00D0668B">
        <w:rPr>
          <w:rFonts w:ascii="Book Antiqua" w:hAnsi="Book Antiqua"/>
          <w:b/>
          <w:bCs/>
          <w:color w:val="000000"/>
          <w:sz w:val="24"/>
          <w:szCs w:val="24"/>
        </w:rPr>
        <w:t xml:space="preserve">   E-Editor</w:t>
      </w:r>
      <w:r w:rsidRPr="00D0668B">
        <w:rPr>
          <w:rFonts w:ascii="Book Antiqua" w:hAnsi="Book Antiqua"/>
          <w:b/>
          <w:bCs/>
          <w:color w:val="000000"/>
          <w:sz w:val="24"/>
          <w:szCs w:val="24"/>
          <w:lang w:eastAsia="zh-CN"/>
        </w:rPr>
        <w:t>:</w:t>
      </w:r>
    </w:p>
    <w:p w:rsidR="00601C8A" w:rsidRDefault="00601C8A" w:rsidP="006D37F8">
      <w:pPr>
        <w:jc w:val="both"/>
        <w:rPr>
          <w:rFonts w:ascii="Book Antiqua" w:hAnsi="Book Antiqua"/>
          <w:b/>
          <w:bCs/>
          <w:color w:val="000000"/>
          <w:sz w:val="24"/>
          <w:szCs w:val="24"/>
          <w:lang w:eastAsia="zh-CN"/>
        </w:rPr>
      </w:pPr>
      <w:r>
        <w:rPr>
          <w:rFonts w:ascii="Book Antiqua" w:hAnsi="Book Antiqua"/>
          <w:b/>
          <w:bCs/>
          <w:color w:val="000000"/>
          <w:sz w:val="24"/>
          <w:szCs w:val="24"/>
          <w:lang w:eastAsia="zh-CN"/>
        </w:rPr>
        <w:br w:type="page"/>
      </w:r>
    </w:p>
    <w:p w:rsidR="00601C8A" w:rsidRPr="00D0668B" w:rsidRDefault="00601C8A" w:rsidP="006D37F8">
      <w:pPr>
        <w:pStyle w:val="aa"/>
        <w:spacing w:after="0" w:line="360" w:lineRule="auto"/>
        <w:ind w:left="0"/>
        <w:jc w:val="both"/>
        <w:rPr>
          <w:rFonts w:ascii="Book Antiqua" w:hAnsi="Book Antiqua"/>
          <w:b/>
          <w:bCs/>
          <w:color w:val="000000"/>
          <w:sz w:val="24"/>
          <w:szCs w:val="24"/>
          <w:lang w:eastAsia="zh-CN"/>
        </w:rPr>
      </w:pP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rsidR="00601C8A" w:rsidRPr="00D0668B" w:rsidRDefault="00601C8A" w:rsidP="006D37F8">
      <w:pPr>
        <w:spacing w:after="0" w:line="360" w:lineRule="auto"/>
        <w:jc w:val="both"/>
        <w:rPr>
          <w:rFonts w:ascii="Book Antiqua" w:hAnsi="Book Antiqua"/>
          <w:b/>
          <w:bCs/>
          <w:color w:val="000000"/>
          <w:sz w:val="24"/>
          <w:szCs w:val="24"/>
        </w:rPr>
      </w:pPr>
      <w:r w:rsidRPr="00D0668B">
        <w:rPr>
          <w:rFonts w:ascii="Book Antiqua" w:hAnsi="Book Antiqua"/>
          <w:b/>
          <w:bCs/>
          <w:color w:val="000000"/>
          <w:sz w:val="24"/>
          <w:szCs w:val="24"/>
        </w:rPr>
        <w:t xml:space="preserve">Table 1 Distribution of </w:t>
      </w:r>
      <w:r w:rsidRPr="00D83F75">
        <w:rPr>
          <w:rFonts w:ascii="Book Antiqua" w:hAnsi="Book Antiqua"/>
          <w:b/>
          <w:bCs/>
          <w:color w:val="000000"/>
          <w:sz w:val="24"/>
          <w:szCs w:val="24"/>
        </w:rPr>
        <w:t xml:space="preserve">upper esophageal sphincter </w:t>
      </w:r>
      <w:r w:rsidRPr="00D0668B">
        <w:rPr>
          <w:rFonts w:ascii="Book Antiqua" w:hAnsi="Book Antiqua"/>
          <w:b/>
          <w:bCs/>
          <w:color w:val="000000"/>
          <w:sz w:val="24"/>
          <w:szCs w:val="24"/>
        </w:rPr>
        <w:t>abnormality by achalasia sub-type</w:t>
      </w:r>
    </w:p>
    <w:p w:rsidR="00601C8A" w:rsidRPr="00D0668B" w:rsidRDefault="00601C8A" w:rsidP="006D37F8">
      <w:pPr>
        <w:spacing w:after="0" w:line="360" w:lineRule="auto"/>
        <w:jc w:val="both"/>
        <w:rPr>
          <w:rFonts w:ascii="Book Antiqua" w:hAnsi="Book Antiqua"/>
          <w:sz w:val="24"/>
          <w:szCs w:val="24"/>
        </w:rPr>
      </w:pPr>
    </w:p>
    <w:tbl>
      <w:tblPr>
        <w:tblW w:w="8283" w:type="dxa"/>
        <w:tblInd w:w="91" w:type="dxa"/>
        <w:tblBorders>
          <w:top w:val="single" w:sz="4" w:space="0" w:color="auto" w:shadow="1" w:frame="1"/>
          <w:bottom w:val="single" w:sz="4" w:space="0" w:color="auto" w:shadow="1" w:frame="1"/>
        </w:tblBorders>
        <w:tblLook w:val="00A0" w:firstRow="1" w:lastRow="0" w:firstColumn="1" w:lastColumn="0" w:noHBand="0" w:noVBand="0"/>
      </w:tblPr>
      <w:tblGrid>
        <w:gridCol w:w="1769"/>
        <w:gridCol w:w="1696"/>
        <w:gridCol w:w="1616"/>
        <w:gridCol w:w="2122"/>
        <w:gridCol w:w="1080"/>
      </w:tblGrid>
      <w:tr w:rsidR="00601C8A" w:rsidRPr="00491BE2" w:rsidTr="00690331">
        <w:trPr>
          <w:trHeight w:val="300"/>
        </w:trPr>
        <w:tc>
          <w:tcPr>
            <w:tcW w:w="1769" w:type="dxa"/>
            <w:tcBorders>
              <w:top w:val="single" w:sz="4" w:space="0" w:color="auto"/>
              <w:bottom w:val="nil"/>
            </w:tcBorders>
            <w:noWrap/>
            <w:vAlign w:val="bottom"/>
          </w:tcPr>
          <w:p w:rsidR="00601C8A" w:rsidRPr="00953190" w:rsidRDefault="00601C8A" w:rsidP="006D37F8">
            <w:pPr>
              <w:spacing w:after="0" w:line="360" w:lineRule="auto"/>
              <w:jc w:val="both"/>
              <w:rPr>
                <w:rFonts w:ascii="Book Antiqua" w:hAnsi="Book Antiqua"/>
                <w:b/>
                <w:color w:val="000000"/>
                <w:sz w:val="24"/>
                <w:szCs w:val="24"/>
              </w:rPr>
            </w:pPr>
          </w:p>
        </w:tc>
        <w:tc>
          <w:tcPr>
            <w:tcW w:w="5434" w:type="dxa"/>
            <w:gridSpan w:val="3"/>
            <w:tcBorders>
              <w:top w:val="single" w:sz="4" w:space="0" w:color="auto"/>
              <w:bottom w:val="nil"/>
            </w:tcBorders>
            <w:noWrap/>
            <w:vAlign w:val="bottom"/>
          </w:tcPr>
          <w:p w:rsidR="00601C8A" w:rsidRPr="00953190" w:rsidRDefault="00601C8A" w:rsidP="006D37F8">
            <w:pPr>
              <w:spacing w:after="0" w:line="360" w:lineRule="auto"/>
              <w:jc w:val="both"/>
              <w:rPr>
                <w:rFonts w:ascii="Book Antiqua" w:hAnsi="Book Antiqua"/>
                <w:b/>
                <w:color w:val="000000"/>
                <w:sz w:val="24"/>
                <w:szCs w:val="24"/>
              </w:rPr>
            </w:pPr>
            <w:r w:rsidRPr="00953190">
              <w:rPr>
                <w:rFonts w:ascii="Book Antiqua" w:hAnsi="Book Antiqua"/>
                <w:b/>
                <w:color w:val="000000"/>
                <w:sz w:val="24"/>
                <w:szCs w:val="24"/>
              </w:rPr>
              <w:t xml:space="preserve">UES Abnormality </w:t>
            </w:r>
          </w:p>
        </w:tc>
        <w:tc>
          <w:tcPr>
            <w:tcW w:w="1080" w:type="dxa"/>
            <w:tcBorders>
              <w:top w:val="single" w:sz="4" w:space="0" w:color="auto"/>
              <w:bottom w:val="nil"/>
            </w:tcBorders>
            <w:noWrap/>
            <w:vAlign w:val="bottom"/>
          </w:tcPr>
          <w:p w:rsidR="00601C8A" w:rsidRPr="00953190" w:rsidRDefault="00601C8A" w:rsidP="006D37F8">
            <w:pPr>
              <w:spacing w:after="0" w:line="360" w:lineRule="auto"/>
              <w:jc w:val="both"/>
              <w:rPr>
                <w:rFonts w:ascii="Book Antiqua" w:hAnsi="Book Antiqua"/>
                <w:b/>
                <w:color w:val="000000"/>
                <w:sz w:val="24"/>
                <w:szCs w:val="24"/>
              </w:rPr>
            </w:pPr>
            <w:r w:rsidRPr="00953190">
              <w:rPr>
                <w:rFonts w:ascii="Book Antiqua" w:hAnsi="Book Antiqua"/>
                <w:b/>
                <w:i/>
                <w:color w:val="000000"/>
                <w:sz w:val="24"/>
                <w:szCs w:val="24"/>
              </w:rPr>
              <w:t>P</w:t>
            </w:r>
            <w:r w:rsidRPr="00953190">
              <w:rPr>
                <w:rFonts w:ascii="Book Antiqua" w:hAnsi="Book Antiqua"/>
                <w:b/>
                <w:color w:val="000000"/>
                <w:sz w:val="24"/>
                <w:szCs w:val="24"/>
              </w:rPr>
              <w:t>-value</w:t>
            </w:r>
          </w:p>
        </w:tc>
      </w:tr>
      <w:tr w:rsidR="00601C8A" w:rsidRPr="00491BE2" w:rsidTr="00690331">
        <w:trPr>
          <w:trHeight w:val="300"/>
        </w:trPr>
        <w:tc>
          <w:tcPr>
            <w:tcW w:w="1769" w:type="dxa"/>
            <w:tcBorders>
              <w:top w:val="nil"/>
              <w:bottom w:val="single" w:sz="4" w:space="0" w:color="auto"/>
            </w:tcBorders>
            <w:noWrap/>
            <w:vAlign w:val="bottom"/>
          </w:tcPr>
          <w:p w:rsidR="00601C8A" w:rsidRPr="00953190" w:rsidRDefault="00601C8A" w:rsidP="006D37F8">
            <w:pPr>
              <w:spacing w:after="0" w:line="360" w:lineRule="auto"/>
              <w:jc w:val="both"/>
              <w:rPr>
                <w:rFonts w:ascii="Book Antiqua" w:hAnsi="Book Antiqua"/>
                <w:b/>
                <w:color w:val="000000"/>
                <w:sz w:val="24"/>
                <w:szCs w:val="24"/>
              </w:rPr>
            </w:pPr>
          </w:p>
        </w:tc>
        <w:tc>
          <w:tcPr>
            <w:tcW w:w="1696" w:type="dxa"/>
            <w:tcBorders>
              <w:top w:val="nil"/>
              <w:bottom w:val="single" w:sz="4" w:space="0" w:color="auto"/>
            </w:tcBorders>
            <w:noWrap/>
            <w:vAlign w:val="bottom"/>
          </w:tcPr>
          <w:p w:rsidR="00601C8A" w:rsidRPr="00953190" w:rsidRDefault="00601C8A" w:rsidP="006D37F8">
            <w:pPr>
              <w:spacing w:after="0" w:line="360" w:lineRule="auto"/>
              <w:jc w:val="both"/>
              <w:rPr>
                <w:rFonts w:ascii="Book Antiqua" w:hAnsi="Book Antiqua"/>
                <w:b/>
                <w:color w:val="000000"/>
                <w:sz w:val="24"/>
                <w:szCs w:val="24"/>
              </w:rPr>
            </w:pPr>
            <w:r w:rsidRPr="00953190">
              <w:rPr>
                <w:rFonts w:ascii="Book Antiqua" w:hAnsi="Book Antiqua"/>
                <w:b/>
                <w:color w:val="000000"/>
                <w:sz w:val="24"/>
                <w:szCs w:val="24"/>
              </w:rPr>
              <w:t>Hypertensive</w:t>
            </w:r>
          </w:p>
        </w:tc>
        <w:tc>
          <w:tcPr>
            <w:tcW w:w="1616" w:type="dxa"/>
            <w:tcBorders>
              <w:top w:val="nil"/>
              <w:bottom w:val="single" w:sz="4" w:space="0" w:color="auto"/>
            </w:tcBorders>
            <w:noWrap/>
            <w:vAlign w:val="bottom"/>
          </w:tcPr>
          <w:p w:rsidR="00601C8A" w:rsidRPr="00953190" w:rsidRDefault="00601C8A" w:rsidP="006D37F8">
            <w:pPr>
              <w:spacing w:after="0" w:line="360" w:lineRule="auto"/>
              <w:jc w:val="both"/>
              <w:rPr>
                <w:rFonts w:ascii="Book Antiqua" w:hAnsi="Book Antiqua"/>
                <w:b/>
                <w:color w:val="000000"/>
                <w:sz w:val="24"/>
                <w:szCs w:val="24"/>
              </w:rPr>
            </w:pPr>
            <w:r w:rsidRPr="00953190">
              <w:rPr>
                <w:rFonts w:ascii="Book Antiqua" w:hAnsi="Book Antiqua"/>
                <w:b/>
                <w:color w:val="000000"/>
                <w:sz w:val="24"/>
                <w:szCs w:val="24"/>
              </w:rPr>
              <w:t>Hypotensive</w:t>
            </w:r>
          </w:p>
        </w:tc>
        <w:tc>
          <w:tcPr>
            <w:tcW w:w="2122" w:type="dxa"/>
            <w:tcBorders>
              <w:top w:val="nil"/>
              <w:bottom w:val="single" w:sz="4" w:space="0" w:color="auto"/>
            </w:tcBorders>
            <w:noWrap/>
            <w:vAlign w:val="bottom"/>
          </w:tcPr>
          <w:p w:rsidR="00601C8A" w:rsidRPr="00953190" w:rsidRDefault="00601C8A" w:rsidP="006D37F8">
            <w:pPr>
              <w:spacing w:after="0" w:line="360" w:lineRule="auto"/>
              <w:jc w:val="both"/>
              <w:rPr>
                <w:rFonts w:ascii="Book Antiqua" w:hAnsi="Book Antiqua"/>
                <w:b/>
                <w:color w:val="000000"/>
                <w:sz w:val="24"/>
                <w:szCs w:val="24"/>
              </w:rPr>
            </w:pPr>
            <w:r w:rsidRPr="00953190">
              <w:rPr>
                <w:rFonts w:ascii="Book Antiqua" w:hAnsi="Book Antiqua"/>
                <w:b/>
                <w:color w:val="000000"/>
                <w:sz w:val="24"/>
                <w:szCs w:val="24"/>
              </w:rPr>
              <w:t>Impaired Relaxation</w:t>
            </w:r>
          </w:p>
        </w:tc>
        <w:tc>
          <w:tcPr>
            <w:tcW w:w="1080" w:type="dxa"/>
            <w:vMerge w:val="restart"/>
            <w:tcBorders>
              <w:top w:val="nil"/>
              <w:bottom w:val="single" w:sz="4" w:space="0" w:color="auto"/>
            </w:tcBorders>
            <w:noWrap/>
            <w:vAlign w:val="center"/>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0.3345</w:t>
            </w:r>
          </w:p>
        </w:tc>
      </w:tr>
      <w:tr w:rsidR="00601C8A" w:rsidRPr="00491BE2" w:rsidTr="00690331">
        <w:trPr>
          <w:trHeight w:val="300"/>
        </w:trPr>
        <w:tc>
          <w:tcPr>
            <w:tcW w:w="1769" w:type="dxa"/>
            <w:tcBorders>
              <w:top w:val="single" w:sz="4" w:space="0" w:color="auto"/>
              <w:bottom w:val="nil"/>
            </w:tcBorders>
            <w:noWrap/>
            <w:vAlign w:val="bottom"/>
          </w:tcPr>
          <w:p w:rsidR="00601C8A" w:rsidRPr="00D0668B" w:rsidRDefault="00601C8A" w:rsidP="006D37F8">
            <w:pPr>
              <w:spacing w:after="0" w:line="360" w:lineRule="auto"/>
              <w:jc w:val="both"/>
              <w:rPr>
                <w:rFonts w:ascii="Book Antiqua" w:hAnsi="Book Antiqua"/>
                <w:color w:val="000000"/>
                <w:sz w:val="24"/>
                <w:szCs w:val="24"/>
              </w:rPr>
            </w:pPr>
          </w:p>
        </w:tc>
        <w:tc>
          <w:tcPr>
            <w:tcW w:w="1696" w:type="dxa"/>
            <w:vMerge w:val="restart"/>
            <w:tcBorders>
              <w:top w:val="single" w:sz="4" w:space="0" w:color="auto"/>
              <w:bottom w:val="nil"/>
            </w:tcBorders>
            <w:noWrap/>
            <w:vAlign w:val="center"/>
          </w:tcPr>
          <w:p w:rsidR="00601C8A" w:rsidRPr="00D0668B" w:rsidRDefault="00601C8A" w:rsidP="006D37F8">
            <w:pPr>
              <w:spacing w:after="0" w:line="360" w:lineRule="auto"/>
              <w:jc w:val="both"/>
              <w:rPr>
                <w:rFonts w:ascii="Book Antiqua" w:hAnsi="Book Antiqua"/>
                <w:b/>
                <w:color w:val="000000"/>
                <w:sz w:val="24"/>
                <w:szCs w:val="24"/>
              </w:rPr>
            </w:pPr>
            <w:r w:rsidRPr="00D0668B">
              <w:rPr>
                <w:rFonts w:ascii="Book Antiqua" w:hAnsi="Book Antiqua"/>
                <w:b/>
                <w:color w:val="000000"/>
                <w:sz w:val="24"/>
                <w:szCs w:val="24"/>
              </w:rPr>
              <w:t>%</w:t>
            </w:r>
          </w:p>
        </w:tc>
        <w:tc>
          <w:tcPr>
            <w:tcW w:w="1616" w:type="dxa"/>
            <w:vMerge w:val="restart"/>
            <w:tcBorders>
              <w:top w:val="single" w:sz="4" w:space="0" w:color="auto"/>
              <w:bottom w:val="nil"/>
            </w:tcBorders>
            <w:noWrap/>
            <w:vAlign w:val="center"/>
          </w:tcPr>
          <w:p w:rsidR="00601C8A" w:rsidRPr="00D0668B" w:rsidRDefault="00601C8A" w:rsidP="006D37F8">
            <w:pPr>
              <w:spacing w:after="0" w:line="360" w:lineRule="auto"/>
              <w:jc w:val="both"/>
              <w:rPr>
                <w:rFonts w:ascii="Book Antiqua" w:hAnsi="Book Antiqua"/>
                <w:b/>
                <w:color w:val="000000"/>
                <w:sz w:val="24"/>
                <w:szCs w:val="24"/>
              </w:rPr>
            </w:pPr>
            <w:r w:rsidRPr="00D0668B">
              <w:rPr>
                <w:rFonts w:ascii="Book Antiqua" w:hAnsi="Book Antiqua"/>
                <w:b/>
                <w:color w:val="000000"/>
                <w:sz w:val="24"/>
                <w:szCs w:val="24"/>
              </w:rPr>
              <w:t>%</w:t>
            </w:r>
          </w:p>
        </w:tc>
        <w:tc>
          <w:tcPr>
            <w:tcW w:w="2122" w:type="dxa"/>
            <w:vMerge w:val="restart"/>
            <w:tcBorders>
              <w:top w:val="single" w:sz="4" w:space="0" w:color="auto"/>
              <w:bottom w:val="nil"/>
            </w:tcBorders>
            <w:noWrap/>
            <w:vAlign w:val="center"/>
          </w:tcPr>
          <w:p w:rsidR="00601C8A" w:rsidRPr="00D0668B" w:rsidRDefault="00601C8A" w:rsidP="006D37F8">
            <w:pPr>
              <w:spacing w:after="0" w:line="360" w:lineRule="auto"/>
              <w:jc w:val="both"/>
              <w:rPr>
                <w:rFonts w:ascii="Book Antiqua" w:hAnsi="Book Antiqua"/>
                <w:b/>
                <w:color w:val="000000"/>
                <w:sz w:val="24"/>
                <w:szCs w:val="24"/>
              </w:rPr>
            </w:pPr>
            <w:r w:rsidRPr="00D0668B">
              <w:rPr>
                <w:rFonts w:ascii="Book Antiqua" w:hAnsi="Book Antiqua"/>
                <w:b/>
                <w:color w:val="000000"/>
                <w:sz w:val="24"/>
                <w:szCs w:val="24"/>
              </w:rPr>
              <w:t>%</w:t>
            </w:r>
          </w:p>
        </w:tc>
        <w:tc>
          <w:tcPr>
            <w:tcW w:w="1080" w:type="dxa"/>
            <w:vMerge/>
            <w:tcBorders>
              <w:bottom w:val="nil"/>
            </w:tcBorders>
            <w:vAlign w:val="center"/>
          </w:tcPr>
          <w:p w:rsidR="00601C8A" w:rsidRPr="00D0668B" w:rsidRDefault="00601C8A" w:rsidP="006D37F8">
            <w:pPr>
              <w:spacing w:after="0" w:line="360" w:lineRule="auto"/>
              <w:jc w:val="both"/>
              <w:rPr>
                <w:rFonts w:ascii="Book Antiqua" w:hAnsi="Book Antiqua"/>
                <w:b/>
                <w:color w:val="000000"/>
                <w:sz w:val="24"/>
                <w:szCs w:val="24"/>
              </w:rPr>
            </w:pPr>
          </w:p>
        </w:tc>
      </w:tr>
      <w:tr w:rsidR="00601C8A" w:rsidRPr="00491BE2" w:rsidTr="00690331">
        <w:trPr>
          <w:trHeight w:val="300"/>
        </w:trPr>
        <w:tc>
          <w:tcPr>
            <w:tcW w:w="1769" w:type="dxa"/>
            <w:tcBorders>
              <w:top w:val="nil"/>
              <w:bottom w:val="nil"/>
            </w:tcBorders>
            <w:noWrap/>
            <w:vAlign w:val="bottom"/>
          </w:tcPr>
          <w:p w:rsidR="00601C8A" w:rsidRPr="00D0668B" w:rsidRDefault="00601C8A" w:rsidP="006D37F8">
            <w:pPr>
              <w:spacing w:after="0" w:line="360" w:lineRule="auto"/>
              <w:jc w:val="both"/>
              <w:rPr>
                <w:rFonts w:ascii="Book Antiqua" w:hAnsi="Book Antiqua"/>
                <w:color w:val="000000"/>
                <w:sz w:val="24"/>
                <w:szCs w:val="24"/>
              </w:rPr>
            </w:pPr>
            <w:r w:rsidRPr="00D0668B">
              <w:rPr>
                <w:rFonts w:ascii="Book Antiqua" w:hAnsi="Book Antiqua"/>
                <w:color w:val="000000"/>
                <w:sz w:val="24"/>
                <w:szCs w:val="24"/>
              </w:rPr>
              <w:t>Type of Achalasia</w:t>
            </w:r>
          </w:p>
        </w:tc>
        <w:tc>
          <w:tcPr>
            <w:tcW w:w="1696" w:type="dxa"/>
            <w:vMerge/>
            <w:tcBorders>
              <w:top w:val="nil"/>
              <w:bottom w:val="nil"/>
            </w:tcBorders>
            <w:vAlign w:val="center"/>
          </w:tcPr>
          <w:p w:rsidR="00601C8A" w:rsidRPr="00D0668B" w:rsidRDefault="00601C8A" w:rsidP="006D37F8">
            <w:pPr>
              <w:spacing w:after="0" w:line="360" w:lineRule="auto"/>
              <w:jc w:val="both"/>
              <w:rPr>
                <w:rFonts w:ascii="Book Antiqua" w:hAnsi="Book Antiqua"/>
                <w:b/>
                <w:color w:val="000000"/>
                <w:sz w:val="24"/>
                <w:szCs w:val="24"/>
              </w:rPr>
            </w:pPr>
          </w:p>
        </w:tc>
        <w:tc>
          <w:tcPr>
            <w:tcW w:w="1616" w:type="dxa"/>
            <w:vMerge/>
            <w:tcBorders>
              <w:top w:val="nil"/>
              <w:bottom w:val="nil"/>
            </w:tcBorders>
            <w:vAlign w:val="center"/>
          </w:tcPr>
          <w:p w:rsidR="00601C8A" w:rsidRPr="00D0668B" w:rsidRDefault="00601C8A" w:rsidP="006D37F8">
            <w:pPr>
              <w:spacing w:after="0" w:line="360" w:lineRule="auto"/>
              <w:jc w:val="both"/>
              <w:rPr>
                <w:rFonts w:ascii="Book Antiqua" w:hAnsi="Book Antiqua"/>
                <w:b/>
                <w:color w:val="000000"/>
                <w:sz w:val="24"/>
                <w:szCs w:val="24"/>
              </w:rPr>
            </w:pPr>
          </w:p>
        </w:tc>
        <w:tc>
          <w:tcPr>
            <w:tcW w:w="2122" w:type="dxa"/>
            <w:vMerge/>
            <w:tcBorders>
              <w:top w:val="nil"/>
              <w:bottom w:val="nil"/>
            </w:tcBorders>
            <w:vAlign w:val="center"/>
          </w:tcPr>
          <w:p w:rsidR="00601C8A" w:rsidRPr="00D0668B" w:rsidRDefault="00601C8A" w:rsidP="006D37F8">
            <w:pPr>
              <w:spacing w:after="0" w:line="360" w:lineRule="auto"/>
              <w:jc w:val="both"/>
              <w:rPr>
                <w:rFonts w:ascii="Book Antiqua" w:hAnsi="Book Antiqua"/>
                <w:b/>
                <w:color w:val="000000"/>
                <w:sz w:val="24"/>
                <w:szCs w:val="24"/>
              </w:rPr>
            </w:pPr>
          </w:p>
        </w:tc>
        <w:tc>
          <w:tcPr>
            <w:tcW w:w="1080" w:type="dxa"/>
            <w:vMerge/>
            <w:tcBorders>
              <w:top w:val="nil"/>
              <w:bottom w:val="nil"/>
            </w:tcBorders>
            <w:vAlign w:val="center"/>
          </w:tcPr>
          <w:p w:rsidR="00601C8A" w:rsidRPr="00D0668B" w:rsidRDefault="00601C8A" w:rsidP="006D37F8">
            <w:pPr>
              <w:spacing w:after="0" w:line="360" w:lineRule="auto"/>
              <w:jc w:val="both"/>
              <w:rPr>
                <w:rFonts w:ascii="Book Antiqua" w:hAnsi="Book Antiqua"/>
                <w:b/>
                <w:color w:val="000000"/>
                <w:sz w:val="24"/>
                <w:szCs w:val="24"/>
              </w:rPr>
            </w:pPr>
          </w:p>
        </w:tc>
      </w:tr>
      <w:tr w:rsidR="00601C8A" w:rsidRPr="00491BE2" w:rsidTr="00690331">
        <w:trPr>
          <w:trHeight w:val="300"/>
        </w:trPr>
        <w:tc>
          <w:tcPr>
            <w:tcW w:w="1769" w:type="dxa"/>
            <w:tcBorders>
              <w:top w:val="nil"/>
              <w:bottom w:val="nil"/>
            </w:tcBorders>
            <w:noWrap/>
            <w:vAlign w:val="bottom"/>
          </w:tcPr>
          <w:p w:rsidR="00601C8A" w:rsidRPr="00D0668B" w:rsidRDefault="00601C8A" w:rsidP="006D37F8">
            <w:pPr>
              <w:spacing w:after="0" w:line="360" w:lineRule="auto"/>
              <w:jc w:val="both"/>
              <w:rPr>
                <w:rFonts w:ascii="Book Antiqua" w:hAnsi="Book Antiqua"/>
                <w:color w:val="000000"/>
                <w:sz w:val="24"/>
                <w:szCs w:val="24"/>
              </w:rPr>
            </w:pPr>
            <w:r w:rsidRPr="00D0668B">
              <w:rPr>
                <w:rFonts w:ascii="Book Antiqua" w:hAnsi="Book Antiqua"/>
                <w:color w:val="000000"/>
                <w:sz w:val="24"/>
                <w:szCs w:val="24"/>
              </w:rPr>
              <w:t>Type I</w:t>
            </w:r>
          </w:p>
        </w:tc>
        <w:tc>
          <w:tcPr>
            <w:tcW w:w="1696"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22.22</w:t>
            </w:r>
          </w:p>
        </w:tc>
        <w:tc>
          <w:tcPr>
            <w:tcW w:w="1616"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50.00</w:t>
            </w:r>
          </w:p>
        </w:tc>
        <w:tc>
          <w:tcPr>
            <w:tcW w:w="2122"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0.00</w:t>
            </w:r>
          </w:p>
        </w:tc>
        <w:tc>
          <w:tcPr>
            <w:tcW w:w="1080" w:type="dxa"/>
            <w:vMerge/>
            <w:tcBorders>
              <w:top w:val="nil"/>
              <w:bottom w:val="nil"/>
            </w:tcBorders>
            <w:vAlign w:val="center"/>
          </w:tcPr>
          <w:p w:rsidR="00601C8A" w:rsidRPr="00D0668B" w:rsidRDefault="00601C8A" w:rsidP="006D37F8">
            <w:pPr>
              <w:spacing w:after="0" w:line="360" w:lineRule="auto"/>
              <w:jc w:val="both"/>
              <w:rPr>
                <w:rFonts w:ascii="Book Antiqua" w:hAnsi="Book Antiqua"/>
                <w:b/>
                <w:color w:val="000000"/>
                <w:sz w:val="24"/>
                <w:szCs w:val="24"/>
              </w:rPr>
            </w:pPr>
          </w:p>
        </w:tc>
      </w:tr>
      <w:tr w:rsidR="00601C8A" w:rsidRPr="00491BE2" w:rsidTr="00690331">
        <w:trPr>
          <w:trHeight w:val="300"/>
        </w:trPr>
        <w:tc>
          <w:tcPr>
            <w:tcW w:w="1769" w:type="dxa"/>
            <w:tcBorders>
              <w:top w:val="nil"/>
              <w:bottom w:val="nil"/>
            </w:tcBorders>
            <w:noWrap/>
            <w:vAlign w:val="bottom"/>
          </w:tcPr>
          <w:p w:rsidR="00601C8A" w:rsidRPr="00D0668B" w:rsidRDefault="00601C8A" w:rsidP="006D37F8">
            <w:pPr>
              <w:spacing w:after="0" w:line="360" w:lineRule="auto"/>
              <w:jc w:val="both"/>
              <w:rPr>
                <w:rFonts w:ascii="Book Antiqua" w:hAnsi="Book Antiqua"/>
                <w:color w:val="000000"/>
                <w:sz w:val="24"/>
                <w:szCs w:val="24"/>
              </w:rPr>
            </w:pPr>
            <w:r w:rsidRPr="00D0668B">
              <w:rPr>
                <w:rFonts w:ascii="Book Antiqua" w:hAnsi="Book Antiqua"/>
                <w:color w:val="000000"/>
                <w:sz w:val="24"/>
                <w:szCs w:val="24"/>
              </w:rPr>
              <w:t>Type II</w:t>
            </w:r>
          </w:p>
        </w:tc>
        <w:tc>
          <w:tcPr>
            <w:tcW w:w="1696"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55.56</w:t>
            </w:r>
          </w:p>
        </w:tc>
        <w:tc>
          <w:tcPr>
            <w:tcW w:w="1616"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50.00</w:t>
            </w:r>
          </w:p>
        </w:tc>
        <w:tc>
          <w:tcPr>
            <w:tcW w:w="2122"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85.71</w:t>
            </w:r>
          </w:p>
        </w:tc>
        <w:tc>
          <w:tcPr>
            <w:tcW w:w="1080" w:type="dxa"/>
            <w:vMerge/>
            <w:tcBorders>
              <w:top w:val="nil"/>
              <w:bottom w:val="nil"/>
            </w:tcBorders>
            <w:vAlign w:val="center"/>
          </w:tcPr>
          <w:p w:rsidR="00601C8A" w:rsidRPr="00D0668B" w:rsidRDefault="00601C8A" w:rsidP="006D37F8">
            <w:pPr>
              <w:spacing w:after="0" w:line="360" w:lineRule="auto"/>
              <w:jc w:val="both"/>
              <w:rPr>
                <w:rFonts w:ascii="Book Antiqua" w:hAnsi="Book Antiqua"/>
                <w:b/>
                <w:color w:val="000000"/>
                <w:sz w:val="24"/>
                <w:szCs w:val="24"/>
              </w:rPr>
            </w:pPr>
          </w:p>
        </w:tc>
      </w:tr>
      <w:tr w:rsidR="00601C8A" w:rsidRPr="00491BE2" w:rsidTr="00690331">
        <w:trPr>
          <w:trHeight w:val="300"/>
        </w:trPr>
        <w:tc>
          <w:tcPr>
            <w:tcW w:w="1769" w:type="dxa"/>
            <w:tcBorders>
              <w:top w:val="nil"/>
              <w:bottom w:val="single" w:sz="4" w:space="0" w:color="auto"/>
            </w:tcBorders>
            <w:noWrap/>
            <w:vAlign w:val="bottom"/>
          </w:tcPr>
          <w:p w:rsidR="00601C8A" w:rsidRPr="00D0668B" w:rsidRDefault="00601C8A" w:rsidP="006D37F8">
            <w:pPr>
              <w:spacing w:after="0" w:line="360" w:lineRule="auto"/>
              <w:jc w:val="both"/>
              <w:rPr>
                <w:rFonts w:ascii="Book Antiqua" w:hAnsi="Book Antiqua"/>
                <w:color w:val="000000"/>
                <w:sz w:val="24"/>
                <w:szCs w:val="24"/>
              </w:rPr>
            </w:pPr>
            <w:r w:rsidRPr="00D0668B">
              <w:rPr>
                <w:rFonts w:ascii="Book Antiqua" w:hAnsi="Book Antiqua"/>
                <w:color w:val="000000"/>
                <w:sz w:val="24"/>
                <w:szCs w:val="24"/>
              </w:rPr>
              <w:t>Type III</w:t>
            </w:r>
          </w:p>
        </w:tc>
        <w:tc>
          <w:tcPr>
            <w:tcW w:w="1696" w:type="dxa"/>
            <w:tcBorders>
              <w:top w:val="nil"/>
              <w:bottom w:val="single" w:sz="4" w:space="0" w:color="auto"/>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22.22</w:t>
            </w:r>
          </w:p>
        </w:tc>
        <w:tc>
          <w:tcPr>
            <w:tcW w:w="1616" w:type="dxa"/>
            <w:tcBorders>
              <w:top w:val="nil"/>
              <w:bottom w:val="single" w:sz="4" w:space="0" w:color="auto"/>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0.00</w:t>
            </w:r>
          </w:p>
        </w:tc>
        <w:tc>
          <w:tcPr>
            <w:tcW w:w="2122" w:type="dxa"/>
            <w:tcBorders>
              <w:top w:val="nil"/>
              <w:bottom w:val="single" w:sz="4" w:space="0" w:color="auto"/>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14.29</w:t>
            </w:r>
          </w:p>
        </w:tc>
        <w:tc>
          <w:tcPr>
            <w:tcW w:w="1080" w:type="dxa"/>
            <w:vMerge/>
            <w:tcBorders>
              <w:top w:val="nil"/>
              <w:bottom w:val="single" w:sz="4" w:space="0" w:color="auto"/>
            </w:tcBorders>
            <w:vAlign w:val="center"/>
          </w:tcPr>
          <w:p w:rsidR="00601C8A" w:rsidRPr="00D0668B" w:rsidRDefault="00601C8A" w:rsidP="006D37F8">
            <w:pPr>
              <w:spacing w:after="0" w:line="360" w:lineRule="auto"/>
              <w:jc w:val="both"/>
              <w:rPr>
                <w:rFonts w:ascii="Book Antiqua" w:hAnsi="Book Antiqua"/>
                <w:b/>
                <w:color w:val="000000"/>
                <w:sz w:val="24"/>
                <w:szCs w:val="24"/>
              </w:rPr>
            </w:pPr>
          </w:p>
        </w:tc>
      </w:tr>
    </w:tbl>
    <w:p w:rsidR="00601C8A" w:rsidRDefault="00601C8A" w:rsidP="006D37F8">
      <w:pPr>
        <w:spacing w:after="0" w:line="360" w:lineRule="auto"/>
        <w:jc w:val="both"/>
        <w:rPr>
          <w:rFonts w:ascii="Book Antiqua" w:hAnsi="Book Antiqua"/>
          <w:sz w:val="24"/>
          <w:szCs w:val="24"/>
          <w:lang w:eastAsia="zh-CN"/>
        </w:rPr>
      </w:pPr>
      <w:r w:rsidRPr="00D83F75">
        <w:rPr>
          <w:rFonts w:ascii="Book Antiqua" w:hAnsi="Book Antiqua"/>
          <w:color w:val="000000"/>
          <w:sz w:val="24"/>
          <w:szCs w:val="24"/>
        </w:rPr>
        <w:t>UES</w:t>
      </w:r>
      <w:r>
        <w:rPr>
          <w:rFonts w:ascii="Book Antiqua" w:hAnsi="Book Antiqua"/>
          <w:bCs/>
          <w:color w:val="000000"/>
          <w:kern w:val="36"/>
          <w:sz w:val="24"/>
          <w:szCs w:val="24"/>
          <w:lang w:eastAsia="zh-CN"/>
        </w:rPr>
        <w:t xml:space="preserve">: </w:t>
      </w:r>
      <w:r w:rsidRPr="00D0668B">
        <w:rPr>
          <w:rFonts w:ascii="Book Antiqua" w:hAnsi="Book Antiqua"/>
          <w:bCs/>
          <w:color w:val="000000"/>
          <w:kern w:val="36"/>
          <w:sz w:val="24"/>
          <w:szCs w:val="24"/>
        </w:rPr>
        <w:t>Upper esophageal sphincter</w:t>
      </w:r>
      <w:r>
        <w:rPr>
          <w:rFonts w:ascii="Book Antiqua" w:hAnsi="Book Antiqua"/>
          <w:bCs/>
          <w:color w:val="000000"/>
          <w:kern w:val="36"/>
          <w:sz w:val="24"/>
          <w:szCs w:val="24"/>
          <w:lang w:eastAsia="zh-CN"/>
        </w:rPr>
        <w:t>.</w:t>
      </w:r>
    </w:p>
    <w:p w:rsidR="00601C8A" w:rsidRDefault="00601C8A" w:rsidP="006D37F8">
      <w:pPr>
        <w:jc w:val="both"/>
        <w:rPr>
          <w:rFonts w:ascii="Book Antiqua" w:hAnsi="Book Antiqua" w:cs="Arial"/>
          <w:b/>
          <w:bCs/>
          <w:color w:val="000000"/>
          <w:sz w:val="24"/>
          <w:szCs w:val="24"/>
        </w:rPr>
      </w:pPr>
      <w:r>
        <w:rPr>
          <w:rFonts w:ascii="Book Antiqua" w:hAnsi="Book Antiqua" w:cs="Arial"/>
          <w:b/>
          <w:bCs/>
          <w:color w:val="000000"/>
          <w:sz w:val="24"/>
          <w:szCs w:val="24"/>
        </w:rPr>
        <w:br w:type="page"/>
      </w:r>
    </w:p>
    <w:p w:rsidR="00601C8A" w:rsidRPr="00D0668B" w:rsidRDefault="00601C8A" w:rsidP="006D37F8">
      <w:pPr>
        <w:spacing w:after="0" w:line="360" w:lineRule="auto"/>
        <w:jc w:val="both"/>
        <w:rPr>
          <w:rFonts w:ascii="Book Antiqua" w:hAnsi="Book Antiqua" w:cs="Arial"/>
          <w:b/>
          <w:bCs/>
          <w:color w:val="000000"/>
          <w:sz w:val="24"/>
          <w:szCs w:val="24"/>
        </w:rPr>
      </w:pPr>
      <w:r w:rsidRPr="00D0668B">
        <w:rPr>
          <w:rFonts w:ascii="Book Antiqua" w:hAnsi="Book Antiqua" w:cs="Arial"/>
          <w:b/>
          <w:bCs/>
          <w:color w:val="000000"/>
          <w:sz w:val="24"/>
          <w:szCs w:val="24"/>
        </w:rPr>
        <w:t xml:space="preserve">Table 2 Type of Treatment Received Based on </w:t>
      </w:r>
      <w:r w:rsidRPr="00D83F75">
        <w:rPr>
          <w:rFonts w:ascii="Book Antiqua" w:hAnsi="Book Antiqua" w:cs="Arial"/>
          <w:b/>
          <w:bCs/>
          <w:color w:val="000000"/>
          <w:sz w:val="24"/>
          <w:szCs w:val="24"/>
        </w:rPr>
        <w:t xml:space="preserve">upper esophageal sphincter </w:t>
      </w:r>
      <w:r w:rsidRPr="00D0668B">
        <w:rPr>
          <w:rFonts w:ascii="Book Antiqua" w:hAnsi="Book Antiqua" w:cs="Arial"/>
          <w:b/>
          <w:bCs/>
          <w:color w:val="000000"/>
          <w:sz w:val="24"/>
          <w:szCs w:val="24"/>
        </w:rPr>
        <w:t>abnormality sub-type</w:t>
      </w:r>
    </w:p>
    <w:p w:rsidR="00601C8A" w:rsidRPr="00953190" w:rsidRDefault="00601C8A" w:rsidP="006D37F8">
      <w:pPr>
        <w:spacing w:after="0" w:line="360" w:lineRule="auto"/>
        <w:jc w:val="both"/>
        <w:rPr>
          <w:rFonts w:ascii="Book Antiqua" w:hAnsi="Book Antiqua"/>
          <w:sz w:val="24"/>
          <w:szCs w:val="24"/>
          <w:lang w:eastAsia="zh-CN"/>
        </w:rPr>
      </w:pPr>
    </w:p>
    <w:tbl>
      <w:tblPr>
        <w:tblW w:w="9485" w:type="dxa"/>
        <w:tblInd w:w="91" w:type="dxa"/>
        <w:tblBorders>
          <w:top w:val="single" w:sz="4" w:space="0" w:color="auto"/>
          <w:bottom w:val="single" w:sz="4" w:space="0" w:color="auto"/>
        </w:tblBorders>
        <w:tblLook w:val="00A0" w:firstRow="1" w:lastRow="0" w:firstColumn="1" w:lastColumn="0" w:noHBand="0" w:noVBand="0"/>
      </w:tblPr>
      <w:tblGrid>
        <w:gridCol w:w="2818"/>
        <w:gridCol w:w="1696"/>
        <w:gridCol w:w="1616"/>
        <w:gridCol w:w="2411"/>
        <w:gridCol w:w="944"/>
      </w:tblGrid>
      <w:tr w:rsidR="00601C8A" w:rsidRPr="00491BE2" w:rsidTr="00D83F75">
        <w:trPr>
          <w:trHeight w:val="300"/>
        </w:trPr>
        <w:tc>
          <w:tcPr>
            <w:tcW w:w="2818" w:type="dxa"/>
            <w:tcBorders>
              <w:top w:val="single" w:sz="4" w:space="0" w:color="auto"/>
              <w:bottom w:val="nil"/>
            </w:tcBorders>
            <w:noWrap/>
            <w:vAlign w:val="bottom"/>
          </w:tcPr>
          <w:p w:rsidR="00601C8A" w:rsidRPr="00D0668B" w:rsidRDefault="00601C8A" w:rsidP="006D37F8">
            <w:pPr>
              <w:spacing w:after="0" w:line="360" w:lineRule="auto"/>
              <w:jc w:val="both"/>
              <w:rPr>
                <w:rFonts w:ascii="Book Antiqua" w:hAnsi="Book Antiqua" w:cs="Arial"/>
                <w:b/>
                <w:bCs/>
                <w:color w:val="000000"/>
                <w:sz w:val="24"/>
                <w:szCs w:val="24"/>
              </w:rPr>
            </w:pPr>
          </w:p>
        </w:tc>
        <w:tc>
          <w:tcPr>
            <w:tcW w:w="5723" w:type="dxa"/>
            <w:gridSpan w:val="3"/>
            <w:tcBorders>
              <w:top w:val="single" w:sz="4" w:space="0" w:color="auto"/>
              <w:bottom w:val="nil"/>
            </w:tcBorders>
            <w:noWrap/>
            <w:vAlign w:val="bottom"/>
          </w:tcPr>
          <w:p w:rsidR="00601C8A" w:rsidRPr="00D0668B" w:rsidRDefault="00601C8A" w:rsidP="006D37F8">
            <w:pPr>
              <w:spacing w:after="0" w:line="360" w:lineRule="auto"/>
              <w:jc w:val="both"/>
              <w:rPr>
                <w:rFonts w:ascii="Book Antiqua" w:hAnsi="Book Antiqua"/>
                <w:b/>
                <w:color w:val="000000"/>
                <w:sz w:val="24"/>
                <w:szCs w:val="24"/>
              </w:rPr>
            </w:pPr>
            <w:r w:rsidRPr="00D0668B">
              <w:rPr>
                <w:rFonts w:ascii="Book Antiqua" w:hAnsi="Book Antiqua"/>
                <w:b/>
                <w:color w:val="000000"/>
                <w:sz w:val="24"/>
                <w:szCs w:val="24"/>
              </w:rPr>
              <w:t>UES Abnormality</w:t>
            </w:r>
          </w:p>
        </w:tc>
        <w:tc>
          <w:tcPr>
            <w:tcW w:w="944" w:type="dxa"/>
            <w:tcBorders>
              <w:top w:val="single" w:sz="4" w:space="0" w:color="auto"/>
              <w:bottom w:val="nil"/>
            </w:tcBorders>
            <w:noWrap/>
            <w:vAlign w:val="bottom"/>
          </w:tcPr>
          <w:p w:rsidR="00601C8A" w:rsidRPr="00953190" w:rsidRDefault="00601C8A" w:rsidP="006D37F8">
            <w:pPr>
              <w:spacing w:after="0" w:line="360" w:lineRule="auto"/>
              <w:jc w:val="both"/>
              <w:rPr>
                <w:rFonts w:ascii="Book Antiqua" w:hAnsi="Book Antiqua"/>
                <w:b/>
                <w:color w:val="000000"/>
                <w:sz w:val="24"/>
                <w:szCs w:val="24"/>
              </w:rPr>
            </w:pPr>
            <w:r w:rsidRPr="00953190">
              <w:rPr>
                <w:rFonts w:ascii="Book Antiqua" w:hAnsi="Book Antiqua"/>
                <w:b/>
                <w:i/>
                <w:color w:val="000000"/>
                <w:sz w:val="24"/>
                <w:szCs w:val="24"/>
              </w:rPr>
              <w:t>P</w:t>
            </w:r>
            <w:r w:rsidRPr="00953190">
              <w:rPr>
                <w:rFonts w:ascii="Book Antiqua" w:hAnsi="Book Antiqua"/>
                <w:b/>
                <w:color w:val="000000"/>
                <w:sz w:val="24"/>
                <w:szCs w:val="24"/>
              </w:rPr>
              <w:t>-value</w:t>
            </w:r>
          </w:p>
        </w:tc>
      </w:tr>
      <w:tr w:rsidR="00601C8A" w:rsidRPr="00491BE2" w:rsidTr="00D83F75">
        <w:trPr>
          <w:trHeight w:val="300"/>
        </w:trPr>
        <w:tc>
          <w:tcPr>
            <w:tcW w:w="2818" w:type="dxa"/>
            <w:tcBorders>
              <w:top w:val="nil"/>
              <w:bottom w:val="single" w:sz="4" w:space="0" w:color="auto"/>
            </w:tcBorders>
            <w:noWrap/>
            <w:vAlign w:val="bottom"/>
          </w:tcPr>
          <w:p w:rsidR="00601C8A" w:rsidRPr="00D0668B" w:rsidRDefault="00601C8A" w:rsidP="006D37F8">
            <w:pPr>
              <w:spacing w:after="0" w:line="360" w:lineRule="auto"/>
              <w:jc w:val="both"/>
              <w:rPr>
                <w:rFonts w:ascii="Book Antiqua" w:hAnsi="Book Antiqua"/>
                <w:b/>
                <w:color w:val="000000"/>
                <w:sz w:val="24"/>
                <w:szCs w:val="24"/>
              </w:rPr>
            </w:pPr>
          </w:p>
        </w:tc>
        <w:tc>
          <w:tcPr>
            <w:tcW w:w="1696" w:type="dxa"/>
            <w:tcBorders>
              <w:top w:val="nil"/>
              <w:bottom w:val="single" w:sz="4" w:space="0" w:color="auto"/>
            </w:tcBorders>
            <w:noWrap/>
            <w:vAlign w:val="bottom"/>
          </w:tcPr>
          <w:p w:rsidR="00601C8A" w:rsidRPr="00D0668B" w:rsidRDefault="00601C8A" w:rsidP="006D37F8">
            <w:pPr>
              <w:spacing w:after="0" w:line="360" w:lineRule="auto"/>
              <w:jc w:val="both"/>
              <w:rPr>
                <w:rFonts w:ascii="Book Antiqua" w:hAnsi="Book Antiqua"/>
                <w:b/>
                <w:color w:val="000000"/>
                <w:sz w:val="24"/>
                <w:szCs w:val="24"/>
              </w:rPr>
            </w:pPr>
            <w:r w:rsidRPr="00D0668B">
              <w:rPr>
                <w:rFonts w:ascii="Book Antiqua" w:hAnsi="Book Antiqua"/>
                <w:b/>
                <w:color w:val="000000"/>
                <w:sz w:val="24"/>
                <w:szCs w:val="24"/>
              </w:rPr>
              <w:t>Hypertensive</w:t>
            </w:r>
          </w:p>
        </w:tc>
        <w:tc>
          <w:tcPr>
            <w:tcW w:w="1616" w:type="dxa"/>
            <w:tcBorders>
              <w:top w:val="nil"/>
              <w:bottom w:val="single" w:sz="4" w:space="0" w:color="auto"/>
            </w:tcBorders>
            <w:noWrap/>
            <w:vAlign w:val="bottom"/>
          </w:tcPr>
          <w:p w:rsidR="00601C8A" w:rsidRPr="00D0668B" w:rsidRDefault="00601C8A" w:rsidP="006D37F8">
            <w:pPr>
              <w:spacing w:after="0" w:line="360" w:lineRule="auto"/>
              <w:jc w:val="both"/>
              <w:rPr>
                <w:rFonts w:ascii="Book Antiqua" w:hAnsi="Book Antiqua"/>
                <w:b/>
                <w:color w:val="000000"/>
                <w:sz w:val="24"/>
                <w:szCs w:val="24"/>
              </w:rPr>
            </w:pPr>
            <w:r w:rsidRPr="00D0668B">
              <w:rPr>
                <w:rFonts w:ascii="Book Antiqua" w:hAnsi="Book Antiqua"/>
                <w:b/>
                <w:color w:val="000000"/>
                <w:sz w:val="24"/>
                <w:szCs w:val="24"/>
              </w:rPr>
              <w:t>Hypotensive</w:t>
            </w:r>
          </w:p>
        </w:tc>
        <w:tc>
          <w:tcPr>
            <w:tcW w:w="2411" w:type="dxa"/>
            <w:tcBorders>
              <w:top w:val="nil"/>
              <w:bottom w:val="single" w:sz="4" w:space="0" w:color="auto"/>
            </w:tcBorders>
            <w:noWrap/>
            <w:vAlign w:val="bottom"/>
          </w:tcPr>
          <w:p w:rsidR="00601C8A" w:rsidRPr="00D0668B" w:rsidRDefault="00601C8A" w:rsidP="006D37F8">
            <w:pPr>
              <w:spacing w:after="0" w:line="360" w:lineRule="auto"/>
              <w:jc w:val="both"/>
              <w:rPr>
                <w:rFonts w:ascii="Book Antiqua" w:hAnsi="Book Antiqua"/>
                <w:b/>
                <w:color w:val="000000"/>
                <w:sz w:val="24"/>
                <w:szCs w:val="24"/>
              </w:rPr>
            </w:pPr>
            <w:r w:rsidRPr="00D0668B">
              <w:rPr>
                <w:rFonts w:ascii="Book Antiqua" w:hAnsi="Book Antiqua"/>
                <w:b/>
                <w:color w:val="000000"/>
                <w:sz w:val="24"/>
                <w:szCs w:val="24"/>
              </w:rPr>
              <w:t>Impaired Relaxation</w:t>
            </w:r>
          </w:p>
        </w:tc>
        <w:tc>
          <w:tcPr>
            <w:tcW w:w="944" w:type="dxa"/>
            <w:vMerge w:val="restart"/>
            <w:tcBorders>
              <w:top w:val="nil"/>
              <w:bottom w:val="single" w:sz="4" w:space="0" w:color="auto"/>
            </w:tcBorders>
            <w:noWrap/>
            <w:vAlign w:val="center"/>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0.3967</w:t>
            </w:r>
          </w:p>
        </w:tc>
      </w:tr>
      <w:tr w:rsidR="00601C8A" w:rsidRPr="00491BE2" w:rsidTr="00D83F75">
        <w:trPr>
          <w:trHeight w:val="300"/>
        </w:trPr>
        <w:tc>
          <w:tcPr>
            <w:tcW w:w="2818" w:type="dxa"/>
            <w:tcBorders>
              <w:top w:val="single" w:sz="4" w:space="0" w:color="auto"/>
              <w:bottom w:val="nil"/>
            </w:tcBorders>
            <w:noWrap/>
            <w:vAlign w:val="bottom"/>
          </w:tcPr>
          <w:p w:rsidR="00601C8A" w:rsidRPr="00D0668B" w:rsidRDefault="00601C8A" w:rsidP="006D37F8">
            <w:pPr>
              <w:spacing w:after="0" w:line="360" w:lineRule="auto"/>
              <w:jc w:val="both"/>
              <w:rPr>
                <w:rFonts w:ascii="Book Antiqua" w:hAnsi="Book Antiqua"/>
                <w:b/>
                <w:color w:val="000000"/>
                <w:sz w:val="24"/>
                <w:szCs w:val="24"/>
              </w:rPr>
            </w:pPr>
          </w:p>
        </w:tc>
        <w:tc>
          <w:tcPr>
            <w:tcW w:w="1696" w:type="dxa"/>
            <w:vMerge w:val="restart"/>
            <w:tcBorders>
              <w:top w:val="single" w:sz="4" w:space="0" w:color="auto"/>
              <w:bottom w:val="nil"/>
            </w:tcBorders>
            <w:noWrap/>
            <w:vAlign w:val="center"/>
          </w:tcPr>
          <w:p w:rsidR="00601C8A" w:rsidRPr="00D0668B" w:rsidRDefault="00601C8A" w:rsidP="006D37F8">
            <w:pPr>
              <w:spacing w:after="0" w:line="360" w:lineRule="auto"/>
              <w:jc w:val="both"/>
              <w:rPr>
                <w:rFonts w:ascii="Book Antiqua" w:hAnsi="Book Antiqua"/>
                <w:b/>
                <w:color w:val="000000"/>
                <w:sz w:val="24"/>
                <w:szCs w:val="24"/>
              </w:rPr>
            </w:pPr>
            <w:r w:rsidRPr="00D0668B">
              <w:rPr>
                <w:rFonts w:ascii="Book Antiqua" w:hAnsi="Book Antiqua"/>
                <w:b/>
                <w:color w:val="000000"/>
                <w:sz w:val="24"/>
                <w:szCs w:val="24"/>
              </w:rPr>
              <w:t>%</w:t>
            </w:r>
          </w:p>
        </w:tc>
        <w:tc>
          <w:tcPr>
            <w:tcW w:w="1616" w:type="dxa"/>
            <w:vMerge w:val="restart"/>
            <w:tcBorders>
              <w:top w:val="single" w:sz="4" w:space="0" w:color="auto"/>
              <w:bottom w:val="nil"/>
            </w:tcBorders>
            <w:noWrap/>
            <w:vAlign w:val="center"/>
          </w:tcPr>
          <w:p w:rsidR="00601C8A" w:rsidRPr="00D0668B" w:rsidRDefault="00601C8A" w:rsidP="006D37F8">
            <w:pPr>
              <w:spacing w:after="0" w:line="360" w:lineRule="auto"/>
              <w:jc w:val="both"/>
              <w:rPr>
                <w:rFonts w:ascii="Book Antiqua" w:hAnsi="Book Antiqua"/>
                <w:b/>
                <w:color w:val="000000"/>
                <w:sz w:val="24"/>
                <w:szCs w:val="24"/>
              </w:rPr>
            </w:pPr>
            <w:r w:rsidRPr="00D0668B">
              <w:rPr>
                <w:rFonts w:ascii="Book Antiqua" w:hAnsi="Book Antiqua"/>
                <w:b/>
                <w:color w:val="000000"/>
                <w:sz w:val="24"/>
                <w:szCs w:val="24"/>
              </w:rPr>
              <w:t>%</w:t>
            </w:r>
          </w:p>
        </w:tc>
        <w:tc>
          <w:tcPr>
            <w:tcW w:w="2411" w:type="dxa"/>
            <w:vMerge w:val="restart"/>
            <w:tcBorders>
              <w:top w:val="single" w:sz="4" w:space="0" w:color="auto"/>
              <w:bottom w:val="nil"/>
            </w:tcBorders>
            <w:noWrap/>
            <w:vAlign w:val="center"/>
          </w:tcPr>
          <w:p w:rsidR="00601C8A" w:rsidRPr="00D0668B" w:rsidRDefault="00601C8A" w:rsidP="006D37F8">
            <w:pPr>
              <w:spacing w:after="0" w:line="360" w:lineRule="auto"/>
              <w:jc w:val="both"/>
              <w:rPr>
                <w:rFonts w:ascii="Book Antiqua" w:hAnsi="Book Antiqua"/>
                <w:b/>
                <w:color w:val="000000"/>
                <w:sz w:val="24"/>
                <w:szCs w:val="24"/>
              </w:rPr>
            </w:pPr>
            <w:r w:rsidRPr="00D0668B">
              <w:rPr>
                <w:rFonts w:ascii="Book Antiqua" w:hAnsi="Book Antiqua"/>
                <w:b/>
                <w:color w:val="000000"/>
                <w:sz w:val="24"/>
                <w:szCs w:val="24"/>
              </w:rPr>
              <w:t>%</w:t>
            </w:r>
          </w:p>
        </w:tc>
        <w:tc>
          <w:tcPr>
            <w:tcW w:w="944" w:type="dxa"/>
            <w:vMerge/>
            <w:tcBorders>
              <w:top w:val="single" w:sz="4" w:space="0" w:color="auto"/>
              <w:bottom w:val="nil"/>
            </w:tcBorders>
            <w:vAlign w:val="center"/>
          </w:tcPr>
          <w:p w:rsidR="00601C8A" w:rsidRPr="00D0668B" w:rsidRDefault="00601C8A" w:rsidP="006D37F8">
            <w:pPr>
              <w:spacing w:after="0" w:line="360" w:lineRule="auto"/>
              <w:jc w:val="both"/>
              <w:rPr>
                <w:rFonts w:ascii="Book Antiqua" w:hAnsi="Book Antiqua"/>
                <w:b/>
                <w:color w:val="000000"/>
                <w:sz w:val="24"/>
                <w:szCs w:val="24"/>
              </w:rPr>
            </w:pPr>
          </w:p>
        </w:tc>
      </w:tr>
      <w:tr w:rsidR="00601C8A" w:rsidRPr="00491BE2" w:rsidTr="00D83F75">
        <w:trPr>
          <w:trHeight w:val="300"/>
        </w:trPr>
        <w:tc>
          <w:tcPr>
            <w:tcW w:w="2818" w:type="dxa"/>
            <w:tcBorders>
              <w:top w:val="nil"/>
              <w:bottom w:val="nil"/>
            </w:tcBorders>
            <w:noWrap/>
            <w:vAlign w:val="bottom"/>
          </w:tcPr>
          <w:p w:rsidR="00601C8A" w:rsidRPr="00953190" w:rsidRDefault="00601C8A" w:rsidP="006D37F8">
            <w:pPr>
              <w:spacing w:after="0" w:line="360" w:lineRule="auto"/>
              <w:jc w:val="both"/>
              <w:rPr>
                <w:rFonts w:ascii="Book Antiqua" w:hAnsi="Book Antiqua"/>
                <w:i/>
                <w:iCs/>
                <w:color w:val="000000"/>
                <w:sz w:val="24"/>
                <w:szCs w:val="24"/>
              </w:rPr>
            </w:pPr>
            <w:r w:rsidRPr="00953190">
              <w:rPr>
                <w:rFonts w:ascii="Book Antiqua" w:hAnsi="Book Antiqua"/>
                <w:i/>
                <w:iCs/>
                <w:color w:val="000000"/>
                <w:sz w:val="24"/>
                <w:szCs w:val="24"/>
              </w:rPr>
              <w:t xml:space="preserve">Treatment </w:t>
            </w:r>
          </w:p>
        </w:tc>
        <w:tc>
          <w:tcPr>
            <w:tcW w:w="1696" w:type="dxa"/>
            <w:vMerge/>
            <w:tcBorders>
              <w:top w:val="nil"/>
              <w:bottom w:val="nil"/>
            </w:tcBorders>
            <w:vAlign w:val="center"/>
          </w:tcPr>
          <w:p w:rsidR="00601C8A" w:rsidRPr="00953190" w:rsidRDefault="00601C8A" w:rsidP="006D37F8">
            <w:pPr>
              <w:spacing w:after="0" w:line="360" w:lineRule="auto"/>
              <w:jc w:val="both"/>
              <w:rPr>
                <w:rFonts w:ascii="Book Antiqua" w:hAnsi="Book Antiqua"/>
                <w:color w:val="000000"/>
                <w:sz w:val="24"/>
                <w:szCs w:val="24"/>
              </w:rPr>
            </w:pPr>
          </w:p>
        </w:tc>
        <w:tc>
          <w:tcPr>
            <w:tcW w:w="1616" w:type="dxa"/>
            <w:vMerge/>
            <w:tcBorders>
              <w:top w:val="nil"/>
              <w:bottom w:val="nil"/>
            </w:tcBorders>
            <w:vAlign w:val="center"/>
          </w:tcPr>
          <w:p w:rsidR="00601C8A" w:rsidRPr="00953190" w:rsidRDefault="00601C8A" w:rsidP="006D37F8">
            <w:pPr>
              <w:spacing w:after="0" w:line="360" w:lineRule="auto"/>
              <w:jc w:val="both"/>
              <w:rPr>
                <w:rFonts w:ascii="Book Antiqua" w:hAnsi="Book Antiqua"/>
                <w:color w:val="000000"/>
                <w:sz w:val="24"/>
                <w:szCs w:val="24"/>
              </w:rPr>
            </w:pPr>
          </w:p>
        </w:tc>
        <w:tc>
          <w:tcPr>
            <w:tcW w:w="2411" w:type="dxa"/>
            <w:vMerge/>
            <w:tcBorders>
              <w:top w:val="nil"/>
              <w:bottom w:val="nil"/>
            </w:tcBorders>
            <w:vAlign w:val="center"/>
          </w:tcPr>
          <w:p w:rsidR="00601C8A" w:rsidRPr="00953190" w:rsidRDefault="00601C8A" w:rsidP="006D37F8">
            <w:pPr>
              <w:spacing w:after="0" w:line="360" w:lineRule="auto"/>
              <w:jc w:val="both"/>
              <w:rPr>
                <w:rFonts w:ascii="Book Antiqua" w:hAnsi="Book Antiqua"/>
                <w:color w:val="000000"/>
                <w:sz w:val="24"/>
                <w:szCs w:val="24"/>
              </w:rPr>
            </w:pPr>
          </w:p>
        </w:tc>
        <w:tc>
          <w:tcPr>
            <w:tcW w:w="944" w:type="dxa"/>
            <w:vMerge/>
            <w:tcBorders>
              <w:top w:val="nil"/>
              <w:bottom w:val="nil"/>
            </w:tcBorders>
            <w:vAlign w:val="center"/>
          </w:tcPr>
          <w:p w:rsidR="00601C8A" w:rsidRPr="00953190" w:rsidRDefault="00601C8A" w:rsidP="006D37F8">
            <w:pPr>
              <w:spacing w:after="0" w:line="360" w:lineRule="auto"/>
              <w:jc w:val="both"/>
              <w:rPr>
                <w:rFonts w:ascii="Book Antiqua" w:hAnsi="Book Antiqua"/>
                <w:color w:val="000000"/>
                <w:sz w:val="24"/>
                <w:szCs w:val="24"/>
              </w:rPr>
            </w:pPr>
          </w:p>
        </w:tc>
      </w:tr>
      <w:tr w:rsidR="00601C8A" w:rsidRPr="00491BE2" w:rsidTr="00D83F75">
        <w:trPr>
          <w:trHeight w:val="300"/>
        </w:trPr>
        <w:tc>
          <w:tcPr>
            <w:tcW w:w="2818"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Pneumatic Dilatation</w:t>
            </w:r>
          </w:p>
        </w:tc>
        <w:tc>
          <w:tcPr>
            <w:tcW w:w="1696"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0.00</w:t>
            </w:r>
          </w:p>
        </w:tc>
        <w:tc>
          <w:tcPr>
            <w:tcW w:w="1616"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25.00</w:t>
            </w:r>
          </w:p>
        </w:tc>
        <w:tc>
          <w:tcPr>
            <w:tcW w:w="2411"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11.11</w:t>
            </w:r>
          </w:p>
        </w:tc>
        <w:tc>
          <w:tcPr>
            <w:tcW w:w="944" w:type="dxa"/>
            <w:vMerge/>
            <w:tcBorders>
              <w:top w:val="nil"/>
              <w:bottom w:val="nil"/>
            </w:tcBorders>
            <w:vAlign w:val="center"/>
          </w:tcPr>
          <w:p w:rsidR="00601C8A" w:rsidRPr="00953190" w:rsidRDefault="00601C8A" w:rsidP="006D37F8">
            <w:pPr>
              <w:spacing w:after="0" w:line="360" w:lineRule="auto"/>
              <w:jc w:val="both"/>
              <w:rPr>
                <w:rFonts w:ascii="Book Antiqua" w:hAnsi="Book Antiqua"/>
                <w:color w:val="000000"/>
                <w:sz w:val="24"/>
                <w:szCs w:val="24"/>
              </w:rPr>
            </w:pPr>
          </w:p>
        </w:tc>
      </w:tr>
      <w:tr w:rsidR="00601C8A" w:rsidRPr="00491BE2" w:rsidTr="00D83F75">
        <w:trPr>
          <w:trHeight w:val="300"/>
        </w:trPr>
        <w:tc>
          <w:tcPr>
            <w:tcW w:w="2818"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 xml:space="preserve">Endoscopic Botox Treatment </w:t>
            </w:r>
          </w:p>
        </w:tc>
        <w:tc>
          <w:tcPr>
            <w:tcW w:w="1696"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25.00</w:t>
            </w:r>
          </w:p>
        </w:tc>
        <w:tc>
          <w:tcPr>
            <w:tcW w:w="1616"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0.00</w:t>
            </w:r>
          </w:p>
        </w:tc>
        <w:tc>
          <w:tcPr>
            <w:tcW w:w="2411"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22.22</w:t>
            </w:r>
          </w:p>
        </w:tc>
        <w:tc>
          <w:tcPr>
            <w:tcW w:w="944" w:type="dxa"/>
            <w:vMerge/>
            <w:tcBorders>
              <w:top w:val="nil"/>
              <w:bottom w:val="nil"/>
            </w:tcBorders>
            <w:vAlign w:val="center"/>
          </w:tcPr>
          <w:p w:rsidR="00601C8A" w:rsidRPr="00953190" w:rsidRDefault="00601C8A" w:rsidP="006D37F8">
            <w:pPr>
              <w:spacing w:after="0" w:line="360" w:lineRule="auto"/>
              <w:jc w:val="both"/>
              <w:rPr>
                <w:rFonts w:ascii="Book Antiqua" w:hAnsi="Book Antiqua"/>
                <w:color w:val="000000"/>
                <w:sz w:val="24"/>
                <w:szCs w:val="24"/>
              </w:rPr>
            </w:pPr>
          </w:p>
        </w:tc>
      </w:tr>
      <w:tr w:rsidR="00601C8A" w:rsidRPr="00491BE2" w:rsidTr="00D83F75">
        <w:trPr>
          <w:trHeight w:val="300"/>
        </w:trPr>
        <w:tc>
          <w:tcPr>
            <w:tcW w:w="2818"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Medical Therapy</w:t>
            </w:r>
          </w:p>
        </w:tc>
        <w:tc>
          <w:tcPr>
            <w:tcW w:w="1696"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0.00</w:t>
            </w:r>
          </w:p>
        </w:tc>
        <w:tc>
          <w:tcPr>
            <w:tcW w:w="1616"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0.00</w:t>
            </w:r>
          </w:p>
        </w:tc>
        <w:tc>
          <w:tcPr>
            <w:tcW w:w="2411"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22.22</w:t>
            </w:r>
          </w:p>
        </w:tc>
        <w:tc>
          <w:tcPr>
            <w:tcW w:w="944" w:type="dxa"/>
            <w:vMerge/>
            <w:tcBorders>
              <w:top w:val="nil"/>
              <w:bottom w:val="nil"/>
            </w:tcBorders>
            <w:vAlign w:val="center"/>
          </w:tcPr>
          <w:p w:rsidR="00601C8A" w:rsidRPr="00953190" w:rsidRDefault="00601C8A" w:rsidP="006D37F8">
            <w:pPr>
              <w:spacing w:after="0" w:line="360" w:lineRule="auto"/>
              <w:jc w:val="both"/>
              <w:rPr>
                <w:rFonts w:ascii="Book Antiqua" w:hAnsi="Book Antiqua"/>
                <w:color w:val="000000"/>
                <w:sz w:val="24"/>
                <w:szCs w:val="24"/>
              </w:rPr>
            </w:pPr>
          </w:p>
        </w:tc>
      </w:tr>
      <w:tr w:rsidR="00601C8A" w:rsidRPr="00491BE2" w:rsidTr="00D83F75">
        <w:trPr>
          <w:trHeight w:val="300"/>
        </w:trPr>
        <w:tc>
          <w:tcPr>
            <w:tcW w:w="2818"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POEM</w:t>
            </w:r>
          </w:p>
        </w:tc>
        <w:tc>
          <w:tcPr>
            <w:tcW w:w="1696"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12.50</w:t>
            </w:r>
          </w:p>
        </w:tc>
        <w:tc>
          <w:tcPr>
            <w:tcW w:w="1616"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0.00</w:t>
            </w:r>
          </w:p>
        </w:tc>
        <w:tc>
          <w:tcPr>
            <w:tcW w:w="2411" w:type="dxa"/>
            <w:tcBorders>
              <w:top w:val="nil"/>
              <w:bottom w:val="nil"/>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11.11</w:t>
            </w:r>
          </w:p>
        </w:tc>
        <w:tc>
          <w:tcPr>
            <w:tcW w:w="944" w:type="dxa"/>
            <w:vMerge/>
            <w:tcBorders>
              <w:top w:val="nil"/>
              <w:bottom w:val="nil"/>
            </w:tcBorders>
            <w:vAlign w:val="center"/>
          </w:tcPr>
          <w:p w:rsidR="00601C8A" w:rsidRPr="00953190" w:rsidRDefault="00601C8A" w:rsidP="006D37F8">
            <w:pPr>
              <w:spacing w:after="0" w:line="360" w:lineRule="auto"/>
              <w:jc w:val="both"/>
              <w:rPr>
                <w:rFonts w:ascii="Book Antiqua" w:hAnsi="Book Antiqua"/>
                <w:color w:val="000000"/>
                <w:sz w:val="24"/>
                <w:szCs w:val="24"/>
              </w:rPr>
            </w:pPr>
          </w:p>
        </w:tc>
      </w:tr>
      <w:tr w:rsidR="00601C8A" w:rsidRPr="00491BE2" w:rsidTr="00D83F75">
        <w:trPr>
          <w:trHeight w:val="300"/>
        </w:trPr>
        <w:tc>
          <w:tcPr>
            <w:tcW w:w="2818" w:type="dxa"/>
            <w:tcBorders>
              <w:top w:val="nil"/>
              <w:bottom w:val="single" w:sz="4" w:space="0" w:color="auto"/>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Surgical Myotomy</w:t>
            </w:r>
          </w:p>
        </w:tc>
        <w:tc>
          <w:tcPr>
            <w:tcW w:w="1696" w:type="dxa"/>
            <w:tcBorders>
              <w:top w:val="nil"/>
              <w:bottom w:val="single" w:sz="4" w:space="0" w:color="auto"/>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62.50</w:t>
            </w:r>
          </w:p>
        </w:tc>
        <w:tc>
          <w:tcPr>
            <w:tcW w:w="1616" w:type="dxa"/>
            <w:tcBorders>
              <w:top w:val="nil"/>
              <w:bottom w:val="single" w:sz="4" w:space="0" w:color="auto"/>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75.00</w:t>
            </w:r>
          </w:p>
        </w:tc>
        <w:tc>
          <w:tcPr>
            <w:tcW w:w="2411" w:type="dxa"/>
            <w:tcBorders>
              <w:top w:val="nil"/>
              <w:bottom w:val="single" w:sz="4" w:space="0" w:color="auto"/>
            </w:tcBorders>
            <w:noWrap/>
            <w:vAlign w:val="bottom"/>
          </w:tcPr>
          <w:p w:rsidR="00601C8A" w:rsidRPr="00953190" w:rsidRDefault="00601C8A" w:rsidP="006D37F8">
            <w:pPr>
              <w:spacing w:after="0" w:line="360" w:lineRule="auto"/>
              <w:jc w:val="both"/>
              <w:rPr>
                <w:rFonts w:ascii="Book Antiqua" w:hAnsi="Book Antiqua"/>
                <w:color w:val="000000"/>
                <w:sz w:val="24"/>
                <w:szCs w:val="24"/>
              </w:rPr>
            </w:pPr>
            <w:r w:rsidRPr="00953190">
              <w:rPr>
                <w:rFonts w:ascii="Book Antiqua" w:hAnsi="Book Antiqua"/>
                <w:color w:val="000000"/>
                <w:sz w:val="24"/>
                <w:szCs w:val="24"/>
              </w:rPr>
              <w:t>33.33</w:t>
            </w:r>
          </w:p>
        </w:tc>
        <w:tc>
          <w:tcPr>
            <w:tcW w:w="944" w:type="dxa"/>
            <w:vMerge/>
            <w:tcBorders>
              <w:top w:val="nil"/>
              <w:bottom w:val="single" w:sz="4" w:space="0" w:color="auto"/>
            </w:tcBorders>
            <w:vAlign w:val="center"/>
          </w:tcPr>
          <w:p w:rsidR="00601C8A" w:rsidRPr="00953190" w:rsidRDefault="00601C8A" w:rsidP="006D37F8">
            <w:pPr>
              <w:spacing w:after="0" w:line="360" w:lineRule="auto"/>
              <w:jc w:val="both"/>
              <w:rPr>
                <w:rFonts w:ascii="Book Antiqua" w:hAnsi="Book Antiqua"/>
                <w:color w:val="000000"/>
                <w:sz w:val="24"/>
                <w:szCs w:val="24"/>
              </w:rPr>
            </w:pPr>
          </w:p>
        </w:tc>
      </w:tr>
    </w:tbl>
    <w:p w:rsidR="00601C8A" w:rsidRDefault="00601C8A" w:rsidP="006D37F8">
      <w:pPr>
        <w:spacing w:after="0" w:line="360" w:lineRule="auto"/>
        <w:jc w:val="both"/>
        <w:rPr>
          <w:rFonts w:ascii="Book Antiqua" w:hAnsi="Book Antiqua"/>
          <w:sz w:val="24"/>
          <w:szCs w:val="24"/>
          <w:lang w:eastAsia="zh-CN"/>
        </w:rPr>
      </w:pPr>
      <w:r w:rsidRPr="00D83F75">
        <w:rPr>
          <w:rFonts w:ascii="Book Antiqua" w:hAnsi="Book Antiqua"/>
          <w:color w:val="000000"/>
          <w:sz w:val="24"/>
          <w:szCs w:val="24"/>
        </w:rPr>
        <w:t>UES</w:t>
      </w:r>
      <w:r>
        <w:rPr>
          <w:rFonts w:ascii="Book Antiqua" w:hAnsi="Book Antiqua"/>
          <w:bCs/>
          <w:color w:val="000000"/>
          <w:kern w:val="36"/>
          <w:sz w:val="24"/>
          <w:szCs w:val="24"/>
          <w:lang w:eastAsia="zh-CN"/>
        </w:rPr>
        <w:t xml:space="preserve">: </w:t>
      </w:r>
      <w:r w:rsidRPr="00D0668B">
        <w:rPr>
          <w:rFonts w:ascii="Book Antiqua" w:hAnsi="Book Antiqua"/>
          <w:bCs/>
          <w:color w:val="000000"/>
          <w:kern w:val="36"/>
          <w:sz w:val="24"/>
          <w:szCs w:val="24"/>
        </w:rPr>
        <w:t>Upper esophageal sphincter</w:t>
      </w:r>
      <w:r>
        <w:rPr>
          <w:rFonts w:ascii="Book Antiqua" w:hAnsi="Book Antiqua"/>
          <w:bCs/>
          <w:color w:val="000000"/>
          <w:kern w:val="36"/>
          <w:sz w:val="24"/>
          <w:szCs w:val="24"/>
          <w:lang w:eastAsia="zh-CN"/>
        </w:rPr>
        <w:t>.</w:t>
      </w:r>
    </w:p>
    <w:p w:rsidR="00601C8A" w:rsidRPr="00D0668B" w:rsidRDefault="00601C8A" w:rsidP="006D37F8">
      <w:pPr>
        <w:spacing w:after="0" w:line="360" w:lineRule="auto"/>
        <w:jc w:val="both"/>
        <w:rPr>
          <w:rFonts w:ascii="Book Antiqua" w:hAnsi="Book Antiqua"/>
          <w:b/>
          <w:bCs/>
          <w:i/>
          <w:color w:val="000000"/>
          <w:sz w:val="24"/>
          <w:szCs w:val="24"/>
        </w:rPr>
      </w:pPr>
    </w:p>
    <w:p w:rsidR="00601C8A" w:rsidRDefault="00601C8A" w:rsidP="006D37F8">
      <w:pPr>
        <w:jc w:val="both"/>
        <w:rPr>
          <w:rFonts w:ascii="Book Antiqua" w:hAnsi="Book Antiqua" w:cs="Arial"/>
          <w:b/>
          <w:bCs/>
          <w:color w:val="000000"/>
          <w:sz w:val="24"/>
          <w:szCs w:val="24"/>
        </w:rPr>
      </w:pPr>
      <w:r>
        <w:rPr>
          <w:rFonts w:ascii="Book Antiqua" w:hAnsi="Book Antiqua" w:cs="Arial"/>
          <w:b/>
          <w:bCs/>
          <w:color w:val="000000"/>
          <w:sz w:val="24"/>
          <w:szCs w:val="24"/>
        </w:rPr>
        <w:br w:type="page"/>
      </w:r>
    </w:p>
    <w:p w:rsidR="00601C8A" w:rsidRPr="00953190" w:rsidRDefault="00601C8A" w:rsidP="006D37F8">
      <w:pPr>
        <w:spacing w:after="0" w:line="360" w:lineRule="auto"/>
        <w:jc w:val="both"/>
        <w:rPr>
          <w:rFonts w:ascii="Book Antiqua" w:hAnsi="Book Antiqua" w:cs="Arial"/>
          <w:b/>
          <w:bCs/>
          <w:color w:val="000000"/>
          <w:sz w:val="24"/>
          <w:szCs w:val="24"/>
        </w:rPr>
      </w:pPr>
      <w:r w:rsidRPr="00953190">
        <w:rPr>
          <w:rFonts w:ascii="Book Antiqua" w:hAnsi="Book Antiqua" w:cs="Arial"/>
          <w:b/>
          <w:bCs/>
          <w:color w:val="000000"/>
          <w:sz w:val="24"/>
          <w:szCs w:val="24"/>
        </w:rPr>
        <w:t>Table 3</w:t>
      </w:r>
      <w:r w:rsidRPr="00953190">
        <w:rPr>
          <w:rFonts w:ascii="Book Antiqua" w:hAnsi="Book Antiqua" w:cs="Arial"/>
          <w:b/>
          <w:bCs/>
          <w:color w:val="000000"/>
          <w:sz w:val="24"/>
          <w:szCs w:val="24"/>
          <w:lang w:eastAsia="zh-CN"/>
        </w:rPr>
        <w:t xml:space="preserve"> </w:t>
      </w:r>
      <w:r w:rsidRPr="00953190">
        <w:rPr>
          <w:rFonts w:ascii="Book Antiqua" w:hAnsi="Book Antiqua" w:cs="Arial"/>
          <w:b/>
          <w:bCs/>
          <w:color w:val="000000"/>
          <w:sz w:val="24"/>
          <w:szCs w:val="24"/>
        </w:rPr>
        <w:t xml:space="preserve">Treatment Response based on presence of </w:t>
      </w:r>
      <w:r w:rsidRPr="00D83F75">
        <w:rPr>
          <w:rFonts w:ascii="Book Antiqua" w:hAnsi="Book Antiqua" w:cs="Arial"/>
          <w:b/>
          <w:bCs/>
          <w:color w:val="000000"/>
          <w:sz w:val="24"/>
          <w:szCs w:val="24"/>
        </w:rPr>
        <w:t xml:space="preserve">upper esophageal sphincter </w:t>
      </w:r>
      <w:r w:rsidRPr="00953190">
        <w:rPr>
          <w:rFonts w:ascii="Book Antiqua" w:hAnsi="Book Antiqua" w:cs="Arial"/>
          <w:b/>
          <w:bCs/>
          <w:color w:val="000000"/>
          <w:sz w:val="24"/>
          <w:szCs w:val="24"/>
        </w:rPr>
        <w:t>abnormality</w:t>
      </w:r>
    </w:p>
    <w:tbl>
      <w:tblPr>
        <w:tblW w:w="7670" w:type="dxa"/>
        <w:tblInd w:w="93" w:type="dxa"/>
        <w:tblLook w:val="00A0" w:firstRow="1" w:lastRow="0" w:firstColumn="1" w:lastColumn="0" w:noHBand="0" w:noVBand="0"/>
      </w:tblPr>
      <w:tblGrid>
        <w:gridCol w:w="2197"/>
        <w:gridCol w:w="1630"/>
        <w:gridCol w:w="1630"/>
        <w:gridCol w:w="2213"/>
      </w:tblGrid>
      <w:tr w:rsidR="00601C8A" w:rsidRPr="00491BE2" w:rsidTr="004412F3">
        <w:trPr>
          <w:trHeight w:val="990"/>
        </w:trPr>
        <w:tc>
          <w:tcPr>
            <w:tcW w:w="2197" w:type="dxa"/>
            <w:tcBorders>
              <w:top w:val="single" w:sz="8" w:space="0" w:color="auto"/>
              <w:left w:val="nil"/>
              <w:bottom w:val="single" w:sz="8" w:space="0" w:color="auto"/>
              <w:right w:val="nil"/>
            </w:tcBorders>
            <w:noWrap/>
            <w:vAlign w:val="bottom"/>
          </w:tcPr>
          <w:p w:rsidR="00601C8A" w:rsidRPr="00953190" w:rsidRDefault="00601C8A" w:rsidP="006D37F8">
            <w:pPr>
              <w:spacing w:after="0" w:line="240" w:lineRule="auto"/>
              <w:jc w:val="both"/>
              <w:rPr>
                <w:rFonts w:cs="Calibri"/>
                <w:color w:val="000000"/>
                <w:lang w:eastAsia="zh-CN"/>
              </w:rPr>
            </w:pPr>
            <w:r w:rsidRPr="00953190">
              <w:rPr>
                <w:rFonts w:cs="Calibri" w:hint="eastAsia"/>
                <w:color w:val="000000"/>
                <w:lang w:eastAsia="zh-CN"/>
              </w:rPr>
              <w:t xml:space="preserve">　</w:t>
            </w:r>
          </w:p>
        </w:tc>
        <w:tc>
          <w:tcPr>
            <w:tcW w:w="1630" w:type="dxa"/>
            <w:tcBorders>
              <w:top w:val="single" w:sz="8" w:space="0" w:color="auto"/>
              <w:left w:val="nil"/>
              <w:bottom w:val="single" w:sz="8" w:space="0" w:color="auto"/>
              <w:right w:val="nil"/>
            </w:tcBorders>
            <w:noWrap/>
            <w:vAlign w:val="center"/>
          </w:tcPr>
          <w:p w:rsidR="00601C8A" w:rsidRPr="00953190" w:rsidRDefault="00601C8A" w:rsidP="006D37F8">
            <w:pPr>
              <w:spacing w:after="0" w:line="240" w:lineRule="auto"/>
              <w:jc w:val="both"/>
              <w:rPr>
                <w:rFonts w:ascii="Book Antiqua" w:hAnsi="Book Antiqua" w:cs="宋体"/>
                <w:b/>
                <w:bCs/>
                <w:color w:val="000000"/>
                <w:sz w:val="24"/>
                <w:szCs w:val="24"/>
                <w:lang w:eastAsia="zh-CN"/>
              </w:rPr>
            </w:pPr>
            <w:r w:rsidRPr="00953190">
              <w:rPr>
                <w:rFonts w:ascii="Book Antiqua" w:hAnsi="Book Antiqua" w:cs="宋体"/>
                <w:b/>
                <w:bCs/>
                <w:color w:val="000000"/>
                <w:sz w:val="24"/>
                <w:szCs w:val="24"/>
                <w:lang w:eastAsia="zh-CN"/>
              </w:rPr>
              <w:t xml:space="preserve">No UES abnormality </w:t>
            </w:r>
          </w:p>
        </w:tc>
        <w:tc>
          <w:tcPr>
            <w:tcW w:w="1630" w:type="dxa"/>
            <w:tcBorders>
              <w:top w:val="single" w:sz="8" w:space="0" w:color="auto"/>
              <w:left w:val="nil"/>
              <w:bottom w:val="single" w:sz="8" w:space="0" w:color="auto"/>
              <w:right w:val="nil"/>
            </w:tcBorders>
            <w:noWrap/>
            <w:vAlign w:val="center"/>
          </w:tcPr>
          <w:p w:rsidR="00601C8A" w:rsidRPr="00953190" w:rsidRDefault="00601C8A" w:rsidP="006D37F8">
            <w:pPr>
              <w:spacing w:after="0" w:line="240" w:lineRule="auto"/>
              <w:jc w:val="both"/>
              <w:rPr>
                <w:rFonts w:ascii="Book Antiqua" w:hAnsi="Book Antiqua" w:cs="宋体"/>
                <w:b/>
                <w:bCs/>
                <w:color w:val="000000"/>
                <w:sz w:val="24"/>
                <w:szCs w:val="24"/>
                <w:lang w:eastAsia="zh-CN"/>
              </w:rPr>
            </w:pPr>
            <w:r w:rsidRPr="00953190">
              <w:rPr>
                <w:rFonts w:ascii="Book Antiqua" w:hAnsi="Book Antiqua" w:cs="宋体"/>
                <w:b/>
                <w:bCs/>
                <w:color w:val="000000"/>
                <w:sz w:val="24"/>
                <w:szCs w:val="24"/>
                <w:lang w:eastAsia="zh-CN"/>
              </w:rPr>
              <w:t xml:space="preserve">UES abnormality </w:t>
            </w:r>
          </w:p>
        </w:tc>
        <w:tc>
          <w:tcPr>
            <w:tcW w:w="2213" w:type="dxa"/>
            <w:tcBorders>
              <w:top w:val="single" w:sz="8" w:space="0" w:color="auto"/>
              <w:left w:val="nil"/>
              <w:bottom w:val="single" w:sz="8" w:space="0" w:color="auto"/>
              <w:right w:val="nil"/>
            </w:tcBorders>
            <w:noWrap/>
            <w:vAlign w:val="center"/>
          </w:tcPr>
          <w:p w:rsidR="00601C8A" w:rsidRPr="00953190" w:rsidRDefault="00601C8A" w:rsidP="006D37F8">
            <w:pPr>
              <w:spacing w:after="0" w:line="240" w:lineRule="auto"/>
              <w:jc w:val="both"/>
              <w:rPr>
                <w:rFonts w:ascii="Book Antiqua" w:hAnsi="Book Antiqua" w:cs="宋体"/>
                <w:b/>
                <w:color w:val="000000"/>
                <w:sz w:val="24"/>
                <w:szCs w:val="24"/>
                <w:lang w:eastAsia="zh-CN"/>
              </w:rPr>
            </w:pPr>
            <w:r w:rsidRPr="00953190">
              <w:rPr>
                <w:rFonts w:ascii="Book Antiqua" w:hAnsi="Book Antiqua" w:cs="宋体"/>
                <w:b/>
                <w:i/>
                <w:color w:val="000000"/>
                <w:sz w:val="24"/>
                <w:szCs w:val="24"/>
                <w:lang w:eastAsia="zh-CN"/>
              </w:rPr>
              <w:t>P</w:t>
            </w:r>
            <w:r w:rsidRPr="00953190">
              <w:rPr>
                <w:rFonts w:ascii="Book Antiqua" w:hAnsi="Book Antiqua" w:cs="宋体"/>
                <w:b/>
                <w:color w:val="000000"/>
                <w:sz w:val="24"/>
                <w:szCs w:val="24"/>
                <w:lang w:eastAsia="zh-CN"/>
              </w:rPr>
              <w:t>-value</w:t>
            </w:r>
          </w:p>
        </w:tc>
      </w:tr>
      <w:tr w:rsidR="00601C8A" w:rsidRPr="00491BE2" w:rsidTr="004412F3">
        <w:trPr>
          <w:trHeight w:val="300"/>
        </w:trPr>
        <w:tc>
          <w:tcPr>
            <w:tcW w:w="2197" w:type="dxa"/>
            <w:tcBorders>
              <w:top w:val="single" w:sz="8" w:space="0" w:color="auto"/>
              <w:left w:val="nil"/>
              <w:bottom w:val="nil"/>
              <w:right w:val="nil"/>
            </w:tcBorders>
            <w:noWrap/>
            <w:vAlign w:val="bottom"/>
          </w:tcPr>
          <w:p w:rsidR="00601C8A" w:rsidRPr="00953190" w:rsidRDefault="00601C8A" w:rsidP="006D37F8">
            <w:pPr>
              <w:spacing w:after="0" w:line="240" w:lineRule="auto"/>
              <w:jc w:val="both"/>
              <w:rPr>
                <w:rFonts w:cs="Calibri"/>
                <w:color w:val="000000"/>
                <w:lang w:eastAsia="zh-CN"/>
              </w:rPr>
            </w:pPr>
          </w:p>
        </w:tc>
        <w:tc>
          <w:tcPr>
            <w:tcW w:w="1630" w:type="dxa"/>
            <w:vMerge w:val="restart"/>
            <w:tcBorders>
              <w:top w:val="single" w:sz="8" w:space="0" w:color="auto"/>
              <w:left w:val="nil"/>
              <w:bottom w:val="nil"/>
              <w:right w:val="nil"/>
            </w:tcBorders>
            <w:noWrap/>
            <w:vAlign w:val="center"/>
          </w:tcPr>
          <w:p w:rsidR="00601C8A" w:rsidRPr="00953190" w:rsidRDefault="00601C8A" w:rsidP="006D37F8">
            <w:pPr>
              <w:spacing w:after="0" w:line="240" w:lineRule="auto"/>
              <w:jc w:val="both"/>
              <w:rPr>
                <w:rFonts w:ascii="Book Antiqua" w:hAnsi="Book Antiqua" w:cs="宋体"/>
                <w:bCs/>
                <w:color w:val="000000"/>
                <w:sz w:val="24"/>
                <w:szCs w:val="24"/>
                <w:lang w:eastAsia="zh-CN"/>
              </w:rPr>
            </w:pPr>
          </w:p>
        </w:tc>
        <w:tc>
          <w:tcPr>
            <w:tcW w:w="1630" w:type="dxa"/>
            <w:vMerge w:val="restart"/>
            <w:tcBorders>
              <w:top w:val="single" w:sz="8" w:space="0" w:color="auto"/>
              <w:left w:val="nil"/>
              <w:bottom w:val="nil"/>
              <w:right w:val="nil"/>
            </w:tcBorders>
            <w:noWrap/>
            <w:vAlign w:val="center"/>
          </w:tcPr>
          <w:p w:rsidR="00601C8A" w:rsidRPr="00953190" w:rsidRDefault="00601C8A" w:rsidP="006D37F8">
            <w:pPr>
              <w:spacing w:after="0" w:line="240" w:lineRule="auto"/>
              <w:jc w:val="both"/>
              <w:rPr>
                <w:rFonts w:ascii="Book Antiqua" w:hAnsi="Book Antiqua" w:cs="宋体"/>
                <w:bCs/>
                <w:color w:val="000000"/>
                <w:sz w:val="24"/>
                <w:szCs w:val="24"/>
                <w:lang w:eastAsia="zh-CN"/>
              </w:rPr>
            </w:pPr>
          </w:p>
        </w:tc>
        <w:tc>
          <w:tcPr>
            <w:tcW w:w="2213" w:type="dxa"/>
            <w:vMerge w:val="restart"/>
            <w:tcBorders>
              <w:top w:val="single" w:sz="8" w:space="0" w:color="auto"/>
              <w:left w:val="nil"/>
              <w:bottom w:val="single" w:sz="8" w:space="0" w:color="000000"/>
              <w:right w:val="nil"/>
            </w:tcBorders>
            <w:noWrap/>
            <w:vAlign w:val="center"/>
          </w:tcPr>
          <w:p w:rsidR="00601C8A" w:rsidRPr="00953190" w:rsidRDefault="00601C8A" w:rsidP="006D37F8">
            <w:pPr>
              <w:spacing w:after="0" w:line="240" w:lineRule="auto"/>
              <w:jc w:val="both"/>
              <w:rPr>
                <w:rFonts w:ascii="Book Antiqua" w:hAnsi="Book Antiqua" w:cs="宋体"/>
                <w:bCs/>
                <w:color w:val="000000"/>
                <w:sz w:val="24"/>
                <w:szCs w:val="24"/>
                <w:lang w:eastAsia="zh-CN"/>
              </w:rPr>
            </w:pPr>
            <w:r w:rsidRPr="00953190">
              <w:rPr>
                <w:rFonts w:ascii="Book Antiqua" w:hAnsi="Book Antiqua" w:cs="宋体"/>
                <w:bCs/>
                <w:color w:val="000000"/>
                <w:sz w:val="24"/>
                <w:szCs w:val="24"/>
                <w:lang w:eastAsia="zh-CN"/>
              </w:rPr>
              <w:t>&lt;</w:t>
            </w:r>
            <w:r>
              <w:rPr>
                <w:rFonts w:ascii="Book Antiqua" w:hAnsi="Book Antiqua" w:cs="宋体"/>
                <w:bCs/>
                <w:color w:val="000000"/>
                <w:sz w:val="24"/>
                <w:szCs w:val="24"/>
                <w:lang w:eastAsia="zh-CN"/>
              </w:rPr>
              <w:t xml:space="preserve"> </w:t>
            </w:r>
            <w:r w:rsidRPr="00953190">
              <w:rPr>
                <w:rFonts w:ascii="Book Antiqua" w:hAnsi="Book Antiqua" w:cs="宋体"/>
                <w:bCs/>
                <w:color w:val="000000"/>
                <w:sz w:val="24"/>
                <w:szCs w:val="24"/>
                <w:lang w:eastAsia="zh-CN"/>
              </w:rPr>
              <w:t>0.0001</w:t>
            </w:r>
          </w:p>
        </w:tc>
      </w:tr>
      <w:tr w:rsidR="00601C8A" w:rsidRPr="00491BE2" w:rsidTr="004412F3">
        <w:trPr>
          <w:trHeight w:val="1260"/>
        </w:trPr>
        <w:tc>
          <w:tcPr>
            <w:tcW w:w="2197" w:type="dxa"/>
            <w:tcBorders>
              <w:top w:val="nil"/>
              <w:left w:val="nil"/>
              <w:bottom w:val="nil"/>
              <w:right w:val="nil"/>
            </w:tcBorders>
            <w:noWrap/>
            <w:vAlign w:val="center"/>
          </w:tcPr>
          <w:p w:rsidR="00601C8A" w:rsidRPr="00AB340B" w:rsidRDefault="00601C8A" w:rsidP="006D37F8">
            <w:pPr>
              <w:spacing w:after="0" w:line="240" w:lineRule="auto"/>
              <w:jc w:val="both"/>
              <w:rPr>
                <w:rFonts w:ascii="Book Antiqua" w:hAnsi="Book Antiqua" w:cs="宋体"/>
                <w:bCs/>
                <w:iCs/>
                <w:color w:val="000000"/>
                <w:sz w:val="24"/>
                <w:szCs w:val="24"/>
                <w:lang w:eastAsia="zh-CN"/>
              </w:rPr>
            </w:pPr>
            <w:r w:rsidRPr="00AB340B">
              <w:rPr>
                <w:rFonts w:ascii="Book Antiqua" w:hAnsi="Book Antiqua" w:cs="宋体"/>
                <w:bCs/>
                <w:iCs/>
                <w:color w:val="000000"/>
                <w:sz w:val="24"/>
                <w:szCs w:val="24"/>
                <w:lang w:eastAsia="zh-CN"/>
              </w:rPr>
              <w:t>Treatment response</w:t>
            </w:r>
          </w:p>
        </w:tc>
        <w:tc>
          <w:tcPr>
            <w:tcW w:w="1630" w:type="dxa"/>
            <w:vMerge/>
            <w:tcBorders>
              <w:top w:val="nil"/>
              <w:left w:val="nil"/>
              <w:bottom w:val="nil"/>
              <w:right w:val="nil"/>
            </w:tcBorders>
            <w:vAlign w:val="center"/>
          </w:tcPr>
          <w:p w:rsidR="00601C8A" w:rsidRPr="00953190" w:rsidRDefault="00601C8A" w:rsidP="006D37F8">
            <w:pPr>
              <w:spacing w:after="0" w:line="240" w:lineRule="auto"/>
              <w:jc w:val="both"/>
              <w:rPr>
                <w:rFonts w:ascii="Book Antiqua" w:hAnsi="Book Antiqua" w:cs="宋体"/>
                <w:bCs/>
                <w:color w:val="000000"/>
                <w:sz w:val="24"/>
                <w:szCs w:val="24"/>
                <w:lang w:eastAsia="zh-CN"/>
              </w:rPr>
            </w:pPr>
          </w:p>
        </w:tc>
        <w:tc>
          <w:tcPr>
            <w:tcW w:w="1630" w:type="dxa"/>
            <w:vMerge/>
            <w:tcBorders>
              <w:top w:val="nil"/>
              <w:left w:val="nil"/>
              <w:bottom w:val="nil"/>
              <w:right w:val="nil"/>
            </w:tcBorders>
            <w:vAlign w:val="center"/>
          </w:tcPr>
          <w:p w:rsidR="00601C8A" w:rsidRPr="00953190" w:rsidRDefault="00601C8A" w:rsidP="006D37F8">
            <w:pPr>
              <w:spacing w:after="0" w:line="240" w:lineRule="auto"/>
              <w:jc w:val="both"/>
              <w:rPr>
                <w:rFonts w:ascii="Book Antiqua" w:hAnsi="Book Antiqua" w:cs="宋体"/>
                <w:bCs/>
                <w:color w:val="000000"/>
                <w:sz w:val="24"/>
                <w:szCs w:val="24"/>
                <w:lang w:eastAsia="zh-CN"/>
              </w:rPr>
            </w:pPr>
          </w:p>
        </w:tc>
        <w:tc>
          <w:tcPr>
            <w:tcW w:w="2213" w:type="dxa"/>
            <w:vMerge/>
            <w:tcBorders>
              <w:top w:val="nil"/>
              <w:left w:val="nil"/>
              <w:bottom w:val="single" w:sz="8" w:space="0" w:color="000000"/>
              <w:right w:val="nil"/>
            </w:tcBorders>
            <w:vAlign w:val="center"/>
          </w:tcPr>
          <w:p w:rsidR="00601C8A" w:rsidRPr="00953190" w:rsidRDefault="00601C8A" w:rsidP="006D37F8">
            <w:pPr>
              <w:spacing w:after="0" w:line="240" w:lineRule="auto"/>
              <w:jc w:val="both"/>
              <w:rPr>
                <w:rFonts w:ascii="Book Antiqua" w:hAnsi="Book Antiqua" w:cs="宋体"/>
                <w:bCs/>
                <w:color w:val="000000"/>
                <w:sz w:val="24"/>
                <w:szCs w:val="24"/>
                <w:lang w:eastAsia="zh-CN"/>
              </w:rPr>
            </w:pPr>
          </w:p>
        </w:tc>
      </w:tr>
      <w:tr w:rsidR="00601C8A" w:rsidRPr="00491BE2" w:rsidTr="004412F3">
        <w:trPr>
          <w:trHeight w:val="660"/>
        </w:trPr>
        <w:tc>
          <w:tcPr>
            <w:tcW w:w="2197" w:type="dxa"/>
            <w:tcBorders>
              <w:top w:val="nil"/>
              <w:left w:val="nil"/>
              <w:bottom w:val="nil"/>
              <w:right w:val="nil"/>
            </w:tcBorders>
            <w:noWrap/>
            <w:vAlign w:val="center"/>
          </w:tcPr>
          <w:p w:rsidR="00601C8A" w:rsidRPr="00953190" w:rsidRDefault="00601C8A" w:rsidP="006D37F8">
            <w:pPr>
              <w:spacing w:after="0" w:line="240" w:lineRule="auto"/>
              <w:jc w:val="both"/>
              <w:rPr>
                <w:rFonts w:ascii="Book Antiqua" w:hAnsi="Book Antiqua" w:cs="宋体"/>
                <w:bCs/>
                <w:color w:val="000000"/>
                <w:sz w:val="24"/>
                <w:szCs w:val="24"/>
                <w:lang w:eastAsia="zh-CN"/>
              </w:rPr>
            </w:pPr>
            <w:r w:rsidRPr="00953190">
              <w:rPr>
                <w:rFonts w:ascii="Book Antiqua" w:hAnsi="Book Antiqua" w:cs="宋体"/>
                <w:bCs/>
                <w:color w:val="000000"/>
                <w:sz w:val="24"/>
                <w:szCs w:val="24"/>
                <w:lang w:eastAsia="zh-CN"/>
              </w:rPr>
              <w:t>Favorable</w:t>
            </w:r>
          </w:p>
        </w:tc>
        <w:tc>
          <w:tcPr>
            <w:tcW w:w="1630" w:type="dxa"/>
            <w:tcBorders>
              <w:top w:val="nil"/>
              <w:left w:val="nil"/>
              <w:bottom w:val="nil"/>
              <w:right w:val="nil"/>
            </w:tcBorders>
            <w:noWrap/>
            <w:vAlign w:val="center"/>
          </w:tcPr>
          <w:p w:rsidR="00601C8A" w:rsidRPr="00953190" w:rsidRDefault="00601C8A" w:rsidP="006D37F8">
            <w:pPr>
              <w:spacing w:after="0" w:line="240" w:lineRule="auto"/>
              <w:jc w:val="both"/>
              <w:rPr>
                <w:rFonts w:ascii="Book Antiqua" w:hAnsi="Book Antiqua" w:cs="宋体"/>
                <w:bCs/>
                <w:color w:val="000000"/>
                <w:sz w:val="24"/>
                <w:szCs w:val="24"/>
                <w:lang w:eastAsia="zh-CN"/>
              </w:rPr>
            </w:pPr>
            <w:r w:rsidRPr="00953190">
              <w:rPr>
                <w:rFonts w:ascii="Book Antiqua" w:hAnsi="Book Antiqua" w:cs="宋体"/>
                <w:bCs/>
                <w:color w:val="000000"/>
                <w:sz w:val="24"/>
                <w:szCs w:val="24"/>
                <w:lang w:eastAsia="zh-CN"/>
              </w:rPr>
              <w:t>78.57</w:t>
            </w:r>
            <w:r w:rsidRPr="00953190">
              <w:rPr>
                <w:rFonts w:ascii="Book Antiqua" w:hAnsi="Book Antiqua" w:cs="宋体"/>
                <w:b/>
                <w:bCs/>
                <w:color w:val="000000"/>
                <w:sz w:val="24"/>
                <w:szCs w:val="24"/>
                <w:lang w:eastAsia="zh-CN"/>
              </w:rPr>
              <w:t>%</w:t>
            </w:r>
          </w:p>
        </w:tc>
        <w:tc>
          <w:tcPr>
            <w:tcW w:w="1630" w:type="dxa"/>
            <w:tcBorders>
              <w:top w:val="nil"/>
              <w:left w:val="nil"/>
              <w:bottom w:val="nil"/>
              <w:right w:val="nil"/>
            </w:tcBorders>
            <w:noWrap/>
            <w:vAlign w:val="center"/>
          </w:tcPr>
          <w:p w:rsidR="00601C8A" w:rsidRPr="00953190" w:rsidRDefault="00601C8A" w:rsidP="006D37F8">
            <w:pPr>
              <w:spacing w:after="0" w:line="240" w:lineRule="auto"/>
              <w:jc w:val="both"/>
              <w:rPr>
                <w:rFonts w:ascii="Book Antiqua" w:hAnsi="Book Antiqua" w:cs="宋体"/>
                <w:bCs/>
                <w:color w:val="000000"/>
                <w:sz w:val="24"/>
                <w:szCs w:val="24"/>
                <w:lang w:eastAsia="zh-CN"/>
              </w:rPr>
            </w:pPr>
            <w:r w:rsidRPr="00953190">
              <w:rPr>
                <w:rFonts w:ascii="Book Antiqua" w:hAnsi="Book Antiqua" w:cs="宋体"/>
                <w:bCs/>
                <w:color w:val="000000"/>
                <w:sz w:val="24"/>
                <w:szCs w:val="24"/>
                <w:lang w:eastAsia="zh-CN"/>
              </w:rPr>
              <w:t>12.5</w:t>
            </w:r>
            <w:r w:rsidRPr="00953190">
              <w:rPr>
                <w:rFonts w:ascii="Book Antiqua" w:hAnsi="Book Antiqua" w:cs="宋体"/>
                <w:b/>
                <w:bCs/>
                <w:color w:val="000000"/>
                <w:sz w:val="24"/>
                <w:szCs w:val="24"/>
                <w:lang w:eastAsia="zh-CN"/>
              </w:rPr>
              <w:t>%</w:t>
            </w:r>
          </w:p>
        </w:tc>
        <w:tc>
          <w:tcPr>
            <w:tcW w:w="2213" w:type="dxa"/>
            <w:vMerge/>
            <w:tcBorders>
              <w:top w:val="nil"/>
              <w:left w:val="nil"/>
              <w:bottom w:val="single" w:sz="8" w:space="0" w:color="000000"/>
              <w:right w:val="nil"/>
            </w:tcBorders>
            <w:vAlign w:val="center"/>
          </w:tcPr>
          <w:p w:rsidR="00601C8A" w:rsidRPr="00953190" w:rsidRDefault="00601C8A" w:rsidP="006D37F8">
            <w:pPr>
              <w:spacing w:after="0" w:line="240" w:lineRule="auto"/>
              <w:jc w:val="both"/>
              <w:rPr>
                <w:rFonts w:ascii="Book Antiqua" w:hAnsi="Book Antiqua" w:cs="宋体"/>
                <w:b/>
                <w:bCs/>
                <w:color w:val="000000"/>
                <w:sz w:val="24"/>
                <w:szCs w:val="24"/>
                <w:lang w:eastAsia="zh-CN"/>
              </w:rPr>
            </w:pPr>
          </w:p>
        </w:tc>
      </w:tr>
      <w:tr w:rsidR="00601C8A" w:rsidRPr="00491BE2" w:rsidTr="004412F3">
        <w:trPr>
          <w:trHeight w:val="345"/>
        </w:trPr>
        <w:tc>
          <w:tcPr>
            <w:tcW w:w="2197" w:type="dxa"/>
            <w:tcBorders>
              <w:top w:val="nil"/>
              <w:left w:val="nil"/>
              <w:bottom w:val="single" w:sz="8" w:space="0" w:color="auto"/>
              <w:right w:val="nil"/>
            </w:tcBorders>
            <w:noWrap/>
            <w:vAlign w:val="center"/>
          </w:tcPr>
          <w:p w:rsidR="00601C8A" w:rsidRPr="00953190" w:rsidRDefault="00601C8A" w:rsidP="006D37F8">
            <w:pPr>
              <w:spacing w:after="0" w:line="240" w:lineRule="auto"/>
              <w:jc w:val="both"/>
              <w:rPr>
                <w:rFonts w:ascii="Book Antiqua" w:hAnsi="Book Antiqua" w:cs="宋体"/>
                <w:bCs/>
                <w:color w:val="000000"/>
                <w:sz w:val="24"/>
                <w:szCs w:val="24"/>
                <w:lang w:eastAsia="zh-CN"/>
              </w:rPr>
            </w:pPr>
            <w:r w:rsidRPr="00953190">
              <w:rPr>
                <w:rFonts w:ascii="Book Antiqua" w:hAnsi="Book Antiqua" w:cs="宋体"/>
                <w:bCs/>
                <w:color w:val="000000"/>
                <w:sz w:val="24"/>
                <w:szCs w:val="24"/>
                <w:lang w:eastAsia="zh-CN"/>
              </w:rPr>
              <w:t>Poor</w:t>
            </w:r>
          </w:p>
        </w:tc>
        <w:tc>
          <w:tcPr>
            <w:tcW w:w="1630" w:type="dxa"/>
            <w:tcBorders>
              <w:top w:val="nil"/>
              <w:left w:val="nil"/>
              <w:bottom w:val="single" w:sz="8" w:space="0" w:color="auto"/>
              <w:right w:val="nil"/>
            </w:tcBorders>
            <w:noWrap/>
            <w:vAlign w:val="center"/>
          </w:tcPr>
          <w:p w:rsidR="00601C8A" w:rsidRPr="00953190" w:rsidRDefault="00601C8A" w:rsidP="006D37F8">
            <w:pPr>
              <w:spacing w:after="0" w:line="240" w:lineRule="auto"/>
              <w:jc w:val="both"/>
              <w:rPr>
                <w:rFonts w:ascii="Book Antiqua" w:hAnsi="Book Antiqua" w:cs="宋体"/>
                <w:bCs/>
                <w:color w:val="000000"/>
                <w:sz w:val="24"/>
                <w:szCs w:val="24"/>
                <w:lang w:eastAsia="zh-CN"/>
              </w:rPr>
            </w:pPr>
            <w:r w:rsidRPr="00953190">
              <w:rPr>
                <w:rFonts w:ascii="Book Antiqua" w:hAnsi="Book Antiqua" w:cs="宋体"/>
                <w:bCs/>
                <w:color w:val="000000"/>
                <w:sz w:val="24"/>
                <w:szCs w:val="24"/>
                <w:lang w:eastAsia="zh-CN"/>
              </w:rPr>
              <w:t>21.43</w:t>
            </w:r>
            <w:r w:rsidRPr="00953190">
              <w:rPr>
                <w:rFonts w:ascii="Book Antiqua" w:hAnsi="Book Antiqua" w:cs="宋体"/>
                <w:b/>
                <w:bCs/>
                <w:color w:val="000000"/>
                <w:sz w:val="24"/>
                <w:szCs w:val="24"/>
                <w:lang w:eastAsia="zh-CN"/>
              </w:rPr>
              <w:t>%</w:t>
            </w:r>
          </w:p>
        </w:tc>
        <w:tc>
          <w:tcPr>
            <w:tcW w:w="1630" w:type="dxa"/>
            <w:tcBorders>
              <w:top w:val="nil"/>
              <w:left w:val="nil"/>
              <w:bottom w:val="single" w:sz="8" w:space="0" w:color="auto"/>
              <w:right w:val="nil"/>
            </w:tcBorders>
            <w:noWrap/>
            <w:vAlign w:val="center"/>
          </w:tcPr>
          <w:p w:rsidR="00601C8A" w:rsidRPr="00953190" w:rsidRDefault="00601C8A" w:rsidP="006D37F8">
            <w:pPr>
              <w:spacing w:after="0" w:line="240" w:lineRule="auto"/>
              <w:jc w:val="both"/>
              <w:rPr>
                <w:rFonts w:ascii="Book Antiqua" w:hAnsi="Book Antiqua" w:cs="宋体"/>
                <w:bCs/>
                <w:color w:val="000000"/>
                <w:sz w:val="24"/>
                <w:szCs w:val="24"/>
                <w:lang w:eastAsia="zh-CN"/>
              </w:rPr>
            </w:pPr>
            <w:r w:rsidRPr="00953190">
              <w:rPr>
                <w:rFonts w:ascii="Book Antiqua" w:hAnsi="Book Antiqua" w:cs="宋体"/>
                <w:bCs/>
                <w:color w:val="000000"/>
                <w:sz w:val="24"/>
                <w:szCs w:val="24"/>
                <w:lang w:eastAsia="zh-CN"/>
              </w:rPr>
              <w:t>87.5</w:t>
            </w:r>
            <w:r w:rsidRPr="00953190">
              <w:rPr>
                <w:rFonts w:ascii="Book Antiqua" w:hAnsi="Book Antiqua" w:cs="宋体"/>
                <w:b/>
                <w:bCs/>
                <w:color w:val="000000"/>
                <w:sz w:val="24"/>
                <w:szCs w:val="24"/>
                <w:lang w:eastAsia="zh-CN"/>
              </w:rPr>
              <w:t>%</w:t>
            </w:r>
          </w:p>
        </w:tc>
        <w:tc>
          <w:tcPr>
            <w:tcW w:w="2213" w:type="dxa"/>
            <w:vMerge/>
            <w:tcBorders>
              <w:top w:val="nil"/>
              <w:left w:val="nil"/>
              <w:bottom w:val="single" w:sz="8" w:space="0" w:color="000000"/>
              <w:right w:val="nil"/>
            </w:tcBorders>
            <w:vAlign w:val="center"/>
          </w:tcPr>
          <w:p w:rsidR="00601C8A" w:rsidRPr="00953190" w:rsidRDefault="00601C8A" w:rsidP="006D37F8">
            <w:pPr>
              <w:spacing w:after="0" w:line="240" w:lineRule="auto"/>
              <w:jc w:val="both"/>
              <w:rPr>
                <w:rFonts w:ascii="Book Antiqua" w:hAnsi="Book Antiqua" w:cs="宋体"/>
                <w:b/>
                <w:bCs/>
                <w:color w:val="000000"/>
                <w:sz w:val="24"/>
                <w:szCs w:val="24"/>
                <w:lang w:eastAsia="zh-CN"/>
              </w:rPr>
            </w:pPr>
          </w:p>
        </w:tc>
      </w:tr>
    </w:tbl>
    <w:p w:rsidR="00601C8A" w:rsidRDefault="00601C8A" w:rsidP="006D37F8">
      <w:pPr>
        <w:spacing w:after="0" w:line="360" w:lineRule="auto"/>
        <w:jc w:val="both"/>
        <w:rPr>
          <w:rFonts w:ascii="Book Antiqua" w:hAnsi="Book Antiqua"/>
          <w:sz w:val="24"/>
          <w:szCs w:val="24"/>
          <w:lang w:eastAsia="zh-CN"/>
        </w:rPr>
      </w:pPr>
      <w:r w:rsidRPr="00D83F75">
        <w:rPr>
          <w:rFonts w:ascii="Book Antiqua" w:hAnsi="Book Antiqua"/>
          <w:color w:val="000000"/>
          <w:sz w:val="24"/>
          <w:szCs w:val="24"/>
        </w:rPr>
        <w:t>UES</w:t>
      </w:r>
      <w:r>
        <w:rPr>
          <w:rFonts w:ascii="Book Antiqua" w:hAnsi="Book Antiqua"/>
          <w:bCs/>
          <w:color w:val="000000"/>
          <w:kern w:val="36"/>
          <w:sz w:val="24"/>
          <w:szCs w:val="24"/>
          <w:lang w:eastAsia="zh-CN"/>
        </w:rPr>
        <w:t xml:space="preserve">: </w:t>
      </w:r>
      <w:r w:rsidRPr="00D0668B">
        <w:rPr>
          <w:rFonts w:ascii="Book Antiqua" w:hAnsi="Book Antiqua"/>
          <w:bCs/>
          <w:color w:val="000000"/>
          <w:kern w:val="36"/>
          <w:sz w:val="24"/>
          <w:szCs w:val="24"/>
        </w:rPr>
        <w:t>Upper esophageal sphincter</w:t>
      </w:r>
      <w:r>
        <w:rPr>
          <w:rFonts w:ascii="Book Antiqua" w:hAnsi="Book Antiqua"/>
          <w:bCs/>
          <w:color w:val="000000"/>
          <w:kern w:val="36"/>
          <w:sz w:val="24"/>
          <w:szCs w:val="24"/>
          <w:lang w:eastAsia="zh-CN"/>
        </w:rPr>
        <w:t>.</w:t>
      </w:r>
    </w:p>
    <w:p w:rsidR="00601C8A" w:rsidRPr="00D83F75" w:rsidRDefault="00601C8A" w:rsidP="006D37F8">
      <w:pPr>
        <w:spacing w:after="0" w:line="360" w:lineRule="auto"/>
        <w:jc w:val="both"/>
        <w:rPr>
          <w:rFonts w:ascii="Book Antiqua" w:hAnsi="Book Antiqua"/>
          <w:b/>
          <w:bCs/>
          <w:i/>
          <w:color w:val="000000"/>
          <w:sz w:val="24"/>
          <w:szCs w:val="24"/>
          <w:lang w:eastAsia="zh-CN"/>
        </w:rPr>
      </w:pPr>
    </w:p>
    <w:sectPr w:rsidR="00601C8A" w:rsidRPr="00D83F75" w:rsidSect="009531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7CE" w:rsidRDefault="004767CE" w:rsidP="0054118D">
      <w:pPr>
        <w:spacing w:after="0" w:line="240" w:lineRule="auto"/>
      </w:pPr>
      <w:r>
        <w:separator/>
      </w:r>
    </w:p>
  </w:endnote>
  <w:endnote w:type="continuationSeparator" w:id="0">
    <w:p w:rsidR="004767CE" w:rsidRDefault="004767CE" w:rsidP="0054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C8A" w:rsidRDefault="00954768">
    <w:pPr>
      <w:pStyle w:val="a5"/>
      <w:jc w:val="right"/>
    </w:pPr>
    <w:r>
      <w:fldChar w:fldCharType="begin"/>
    </w:r>
    <w:r>
      <w:instrText xml:space="preserve"> PAGE   \* MERGEFORMAT </w:instrText>
    </w:r>
    <w:r>
      <w:fldChar w:fldCharType="separate"/>
    </w:r>
    <w:r w:rsidR="004767CE">
      <w:rPr>
        <w:noProof/>
      </w:rPr>
      <w:t>1</w:t>
    </w:r>
    <w:r>
      <w:rPr>
        <w:noProof/>
      </w:rPr>
      <w:fldChar w:fldCharType="end"/>
    </w:r>
  </w:p>
  <w:p w:rsidR="00601C8A" w:rsidRDefault="00601C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7CE" w:rsidRDefault="004767CE" w:rsidP="0054118D">
      <w:pPr>
        <w:spacing w:after="0" w:line="240" w:lineRule="auto"/>
      </w:pPr>
      <w:r>
        <w:separator/>
      </w:r>
    </w:p>
  </w:footnote>
  <w:footnote w:type="continuationSeparator" w:id="0">
    <w:p w:rsidR="004767CE" w:rsidRDefault="004767CE" w:rsidP="00541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4218E"/>
    <w:multiLevelType w:val="hybridMultilevel"/>
    <w:tmpl w:val="7E7CC5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720"/>
  <w:characterSpacingControl w:val="doNotCompress"/>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4BAF"/>
    <w:rsid w:val="0000615C"/>
    <w:rsid w:val="0001006E"/>
    <w:rsid w:val="0002243A"/>
    <w:rsid w:val="00030CB5"/>
    <w:rsid w:val="000371B2"/>
    <w:rsid w:val="00064546"/>
    <w:rsid w:val="000678E0"/>
    <w:rsid w:val="000719F0"/>
    <w:rsid w:val="00075F2D"/>
    <w:rsid w:val="00086E60"/>
    <w:rsid w:val="000A1A7E"/>
    <w:rsid w:val="000A5EC4"/>
    <w:rsid w:val="000B098A"/>
    <w:rsid w:val="000C468C"/>
    <w:rsid w:val="000C65B3"/>
    <w:rsid w:val="000E0FAA"/>
    <w:rsid w:val="000E384C"/>
    <w:rsid w:val="000E4B03"/>
    <w:rsid w:val="00102728"/>
    <w:rsid w:val="00111C2B"/>
    <w:rsid w:val="00123934"/>
    <w:rsid w:val="0016259E"/>
    <w:rsid w:val="0018300E"/>
    <w:rsid w:val="00184003"/>
    <w:rsid w:val="0019025B"/>
    <w:rsid w:val="001A1D09"/>
    <w:rsid w:val="001A7403"/>
    <w:rsid w:val="001A7FB5"/>
    <w:rsid w:val="001C18A3"/>
    <w:rsid w:val="00223EE9"/>
    <w:rsid w:val="00225127"/>
    <w:rsid w:val="00282D62"/>
    <w:rsid w:val="002C7122"/>
    <w:rsid w:val="002F6064"/>
    <w:rsid w:val="002F74AE"/>
    <w:rsid w:val="003120E6"/>
    <w:rsid w:val="003273ED"/>
    <w:rsid w:val="00330306"/>
    <w:rsid w:val="003326A2"/>
    <w:rsid w:val="00332F13"/>
    <w:rsid w:val="00341E63"/>
    <w:rsid w:val="00344687"/>
    <w:rsid w:val="003739DA"/>
    <w:rsid w:val="00380DF5"/>
    <w:rsid w:val="003A68D6"/>
    <w:rsid w:val="003A711F"/>
    <w:rsid w:val="003B2630"/>
    <w:rsid w:val="003D4BAF"/>
    <w:rsid w:val="003D62F5"/>
    <w:rsid w:val="004165BF"/>
    <w:rsid w:val="004204AB"/>
    <w:rsid w:val="004412F3"/>
    <w:rsid w:val="00441479"/>
    <w:rsid w:val="00442973"/>
    <w:rsid w:val="0044487E"/>
    <w:rsid w:val="004605B5"/>
    <w:rsid w:val="004726DD"/>
    <w:rsid w:val="004767CE"/>
    <w:rsid w:val="004774DE"/>
    <w:rsid w:val="00491BE2"/>
    <w:rsid w:val="00492968"/>
    <w:rsid w:val="00495264"/>
    <w:rsid w:val="004A27F8"/>
    <w:rsid w:val="004A790E"/>
    <w:rsid w:val="004D1C11"/>
    <w:rsid w:val="004D3100"/>
    <w:rsid w:val="004D5777"/>
    <w:rsid w:val="004F2671"/>
    <w:rsid w:val="00505DCE"/>
    <w:rsid w:val="0054118D"/>
    <w:rsid w:val="005568C1"/>
    <w:rsid w:val="005577BB"/>
    <w:rsid w:val="005805CB"/>
    <w:rsid w:val="00591E69"/>
    <w:rsid w:val="005A050C"/>
    <w:rsid w:val="005A1C5D"/>
    <w:rsid w:val="005A37DB"/>
    <w:rsid w:val="005B2364"/>
    <w:rsid w:val="005B6C32"/>
    <w:rsid w:val="005C0C4D"/>
    <w:rsid w:val="005C39C0"/>
    <w:rsid w:val="005C6EA5"/>
    <w:rsid w:val="005D6ED5"/>
    <w:rsid w:val="00601C8A"/>
    <w:rsid w:val="006036A9"/>
    <w:rsid w:val="00604171"/>
    <w:rsid w:val="006075A2"/>
    <w:rsid w:val="0061141E"/>
    <w:rsid w:val="00614675"/>
    <w:rsid w:val="006269BD"/>
    <w:rsid w:val="006441B4"/>
    <w:rsid w:val="006501B7"/>
    <w:rsid w:val="006575DE"/>
    <w:rsid w:val="0066185B"/>
    <w:rsid w:val="00674DC7"/>
    <w:rsid w:val="00690331"/>
    <w:rsid w:val="006931AE"/>
    <w:rsid w:val="006A3314"/>
    <w:rsid w:val="006A43E8"/>
    <w:rsid w:val="006A6E96"/>
    <w:rsid w:val="006B01AA"/>
    <w:rsid w:val="006C3012"/>
    <w:rsid w:val="006C6DD6"/>
    <w:rsid w:val="006C7514"/>
    <w:rsid w:val="006D37F8"/>
    <w:rsid w:val="006D5F76"/>
    <w:rsid w:val="006E7F6D"/>
    <w:rsid w:val="00711433"/>
    <w:rsid w:val="00714CD5"/>
    <w:rsid w:val="007206BA"/>
    <w:rsid w:val="00731D52"/>
    <w:rsid w:val="00742006"/>
    <w:rsid w:val="00743283"/>
    <w:rsid w:val="007443B0"/>
    <w:rsid w:val="00745A39"/>
    <w:rsid w:val="00751764"/>
    <w:rsid w:val="00754AEF"/>
    <w:rsid w:val="00764F86"/>
    <w:rsid w:val="00785387"/>
    <w:rsid w:val="007944B6"/>
    <w:rsid w:val="007B5115"/>
    <w:rsid w:val="007C182E"/>
    <w:rsid w:val="007C249B"/>
    <w:rsid w:val="007C78C3"/>
    <w:rsid w:val="007D0AEE"/>
    <w:rsid w:val="007F75CF"/>
    <w:rsid w:val="00805A6C"/>
    <w:rsid w:val="0080614A"/>
    <w:rsid w:val="008114E3"/>
    <w:rsid w:val="00811DDC"/>
    <w:rsid w:val="00817680"/>
    <w:rsid w:val="0082307C"/>
    <w:rsid w:val="008256AA"/>
    <w:rsid w:val="00847D25"/>
    <w:rsid w:val="0086025B"/>
    <w:rsid w:val="0086342F"/>
    <w:rsid w:val="00867E97"/>
    <w:rsid w:val="0087047D"/>
    <w:rsid w:val="0087115A"/>
    <w:rsid w:val="0088642E"/>
    <w:rsid w:val="00891946"/>
    <w:rsid w:val="008A42EB"/>
    <w:rsid w:val="008C0744"/>
    <w:rsid w:val="008C0F6C"/>
    <w:rsid w:val="008C295B"/>
    <w:rsid w:val="008D0541"/>
    <w:rsid w:val="008D0CA5"/>
    <w:rsid w:val="00901F9B"/>
    <w:rsid w:val="009211DA"/>
    <w:rsid w:val="009305B0"/>
    <w:rsid w:val="00936198"/>
    <w:rsid w:val="00941A7A"/>
    <w:rsid w:val="009506B6"/>
    <w:rsid w:val="00952D1F"/>
    <w:rsid w:val="00953190"/>
    <w:rsid w:val="00954768"/>
    <w:rsid w:val="00972EBA"/>
    <w:rsid w:val="00981E5A"/>
    <w:rsid w:val="00982902"/>
    <w:rsid w:val="009B0B52"/>
    <w:rsid w:val="009B5ABD"/>
    <w:rsid w:val="009F401F"/>
    <w:rsid w:val="00A06AE2"/>
    <w:rsid w:val="00A07240"/>
    <w:rsid w:val="00A1543E"/>
    <w:rsid w:val="00A4380B"/>
    <w:rsid w:val="00A479F5"/>
    <w:rsid w:val="00A613CF"/>
    <w:rsid w:val="00A67169"/>
    <w:rsid w:val="00A70852"/>
    <w:rsid w:val="00A84844"/>
    <w:rsid w:val="00A86787"/>
    <w:rsid w:val="00A96129"/>
    <w:rsid w:val="00AB340B"/>
    <w:rsid w:val="00AB3814"/>
    <w:rsid w:val="00AB6880"/>
    <w:rsid w:val="00AB70E7"/>
    <w:rsid w:val="00AC0CB6"/>
    <w:rsid w:val="00AC14BE"/>
    <w:rsid w:val="00AC3A3D"/>
    <w:rsid w:val="00AD3EF3"/>
    <w:rsid w:val="00B008CF"/>
    <w:rsid w:val="00B05939"/>
    <w:rsid w:val="00B22C9B"/>
    <w:rsid w:val="00B37156"/>
    <w:rsid w:val="00B409F4"/>
    <w:rsid w:val="00B45EC9"/>
    <w:rsid w:val="00B549F5"/>
    <w:rsid w:val="00B56D0C"/>
    <w:rsid w:val="00B63001"/>
    <w:rsid w:val="00B666B8"/>
    <w:rsid w:val="00B86648"/>
    <w:rsid w:val="00B94965"/>
    <w:rsid w:val="00BB059B"/>
    <w:rsid w:val="00BB34E6"/>
    <w:rsid w:val="00BC6F1E"/>
    <w:rsid w:val="00BC7689"/>
    <w:rsid w:val="00BD27D6"/>
    <w:rsid w:val="00BD2B61"/>
    <w:rsid w:val="00C159AF"/>
    <w:rsid w:val="00C30BA3"/>
    <w:rsid w:val="00C35077"/>
    <w:rsid w:val="00C43E7E"/>
    <w:rsid w:val="00C57217"/>
    <w:rsid w:val="00C90AB9"/>
    <w:rsid w:val="00CA03CD"/>
    <w:rsid w:val="00CD1B15"/>
    <w:rsid w:val="00CD4261"/>
    <w:rsid w:val="00CE2D51"/>
    <w:rsid w:val="00CF6A9D"/>
    <w:rsid w:val="00D0668B"/>
    <w:rsid w:val="00D13286"/>
    <w:rsid w:val="00D156A0"/>
    <w:rsid w:val="00D24EE0"/>
    <w:rsid w:val="00D402D0"/>
    <w:rsid w:val="00D43A0E"/>
    <w:rsid w:val="00D53F10"/>
    <w:rsid w:val="00D67EF8"/>
    <w:rsid w:val="00D7662D"/>
    <w:rsid w:val="00D81A62"/>
    <w:rsid w:val="00D82598"/>
    <w:rsid w:val="00D83F75"/>
    <w:rsid w:val="00D9492F"/>
    <w:rsid w:val="00DC6EAD"/>
    <w:rsid w:val="00DD0678"/>
    <w:rsid w:val="00E1145D"/>
    <w:rsid w:val="00E22160"/>
    <w:rsid w:val="00E36D50"/>
    <w:rsid w:val="00E36DFB"/>
    <w:rsid w:val="00E36DFE"/>
    <w:rsid w:val="00E52DE1"/>
    <w:rsid w:val="00E57D28"/>
    <w:rsid w:val="00E67593"/>
    <w:rsid w:val="00E8485F"/>
    <w:rsid w:val="00E872AF"/>
    <w:rsid w:val="00E92963"/>
    <w:rsid w:val="00ED08A7"/>
    <w:rsid w:val="00ED2283"/>
    <w:rsid w:val="00EE1486"/>
    <w:rsid w:val="00EF050C"/>
    <w:rsid w:val="00EF3DC2"/>
    <w:rsid w:val="00F503A7"/>
    <w:rsid w:val="00F6278B"/>
    <w:rsid w:val="00F85793"/>
    <w:rsid w:val="00F91AAC"/>
    <w:rsid w:val="00F93CE4"/>
    <w:rsid w:val="00FA2F2B"/>
    <w:rsid w:val="00FB07AE"/>
    <w:rsid w:val="00FB615F"/>
    <w:rsid w:val="00FB6986"/>
    <w:rsid w:val="00FC0A5F"/>
    <w:rsid w:val="00FC0F5E"/>
    <w:rsid w:val="00FC6DDC"/>
    <w:rsid w:val="00FD333F"/>
    <w:rsid w:val="00FD724C"/>
    <w:rsid w:val="00FE02B2"/>
    <w:rsid w:val="00FE4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F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D4BAF"/>
    <w:rPr>
      <w:sz w:val="22"/>
      <w:szCs w:val="22"/>
      <w:lang w:eastAsia="en-US"/>
    </w:rPr>
  </w:style>
  <w:style w:type="paragraph" w:styleId="a4">
    <w:name w:val="header"/>
    <w:basedOn w:val="a"/>
    <w:link w:val="Char"/>
    <w:uiPriority w:val="99"/>
    <w:rsid w:val="003D4BAF"/>
    <w:pPr>
      <w:tabs>
        <w:tab w:val="center" w:pos="4680"/>
        <w:tab w:val="right" w:pos="9360"/>
      </w:tabs>
      <w:spacing w:after="0" w:line="240" w:lineRule="auto"/>
    </w:pPr>
  </w:style>
  <w:style w:type="character" w:customStyle="1" w:styleId="Char">
    <w:name w:val="页眉 Char"/>
    <w:link w:val="a4"/>
    <w:uiPriority w:val="99"/>
    <w:locked/>
    <w:rsid w:val="003D4BAF"/>
    <w:rPr>
      <w:rFonts w:cs="Times New Roman"/>
    </w:rPr>
  </w:style>
  <w:style w:type="paragraph" w:styleId="a5">
    <w:name w:val="footer"/>
    <w:basedOn w:val="a"/>
    <w:link w:val="Char0"/>
    <w:uiPriority w:val="99"/>
    <w:rsid w:val="003D4BAF"/>
    <w:pPr>
      <w:tabs>
        <w:tab w:val="center" w:pos="4680"/>
        <w:tab w:val="right" w:pos="9360"/>
      </w:tabs>
      <w:spacing w:after="0" w:line="240" w:lineRule="auto"/>
    </w:pPr>
  </w:style>
  <w:style w:type="character" w:customStyle="1" w:styleId="Char0">
    <w:name w:val="页脚 Char"/>
    <w:link w:val="a5"/>
    <w:uiPriority w:val="99"/>
    <w:locked/>
    <w:rsid w:val="003D4BAF"/>
    <w:rPr>
      <w:rFonts w:cs="Times New Roman"/>
    </w:rPr>
  </w:style>
  <w:style w:type="paragraph" w:styleId="a6">
    <w:name w:val="Balloon Text"/>
    <w:basedOn w:val="a"/>
    <w:link w:val="Char1"/>
    <w:uiPriority w:val="99"/>
    <w:semiHidden/>
    <w:rsid w:val="003D4BAF"/>
    <w:pPr>
      <w:spacing w:after="0" w:line="240" w:lineRule="auto"/>
    </w:pPr>
    <w:rPr>
      <w:rFonts w:ascii="Tahoma" w:hAnsi="Tahoma" w:cs="Tahoma"/>
      <w:sz w:val="16"/>
      <w:szCs w:val="16"/>
    </w:rPr>
  </w:style>
  <w:style w:type="character" w:customStyle="1" w:styleId="Char1">
    <w:name w:val="批注框文本 Char"/>
    <w:link w:val="a6"/>
    <w:uiPriority w:val="99"/>
    <w:semiHidden/>
    <w:locked/>
    <w:rsid w:val="003D4BAF"/>
    <w:rPr>
      <w:rFonts w:ascii="Tahoma" w:hAnsi="Tahoma" w:cs="Tahoma"/>
      <w:sz w:val="16"/>
      <w:szCs w:val="16"/>
    </w:rPr>
  </w:style>
  <w:style w:type="character" w:styleId="a7">
    <w:name w:val="annotation reference"/>
    <w:uiPriority w:val="99"/>
    <w:rsid w:val="003D4BAF"/>
    <w:rPr>
      <w:rFonts w:cs="Times New Roman"/>
      <w:sz w:val="16"/>
      <w:szCs w:val="16"/>
    </w:rPr>
  </w:style>
  <w:style w:type="paragraph" w:styleId="a8">
    <w:name w:val="annotation text"/>
    <w:basedOn w:val="a"/>
    <w:link w:val="Char2"/>
    <w:uiPriority w:val="99"/>
    <w:rsid w:val="003D4BAF"/>
    <w:pPr>
      <w:spacing w:line="240" w:lineRule="auto"/>
    </w:pPr>
    <w:rPr>
      <w:sz w:val="20"/>
      <w:szCs w:val="20"/>
    </w:rPr>
  </w:style>
  <w:style w:type="character" w:customStyle="1" w:styleId="Char2">
    <w:name w:val="批注文字 Char"/>
    <w:link w:val="a8"/>
    <w:uiPriority w:val="99"/>
    <w:locked/>
    <w:rsid w:val="003D4BAF"/>
    <w:rPr>
      <w:rFonts w:cs="Times New Roman"/>
      <w:sz w:val="20"/>
      <w:szCs w:val="20"/>
    </w:rPr>
  </w:style>
  <w:style w:type="paragraph" w:styleId="a9">
    <w:name w:val="annotation subject"/>
    <w:basedOn w:val="a8"/>
    <w:next w:val="a8"/>
    <w:link w:val="Char3"/>
    <w:uiPriority w:val="99"/>
    <w:semiHidden/>
    <w:rsid w:val="003D4BAF"/>
    <w:rPr>
      <w:b/>
      <w:bCs/>
    </w:rPr>
  </w:style>
  <w:style w:type="character" w:customStyle="1" w:styleId="Char3">
    <w:name w:val="批注主题 Char"/>
    <w:link w:val="a9"/>
    <w:uiPriority w:val="99"/>
    <w:semiHidden/>
    <w:locked/>
    <w:rsid w:val="003D4BAF"/>
    <w:rPr>
      <w:rFonts w:cs="Times New Roman"/>
      <w:b/>
      <w:bCs/>
      <w:sz w:val="20"/>
      <w:szCs w:val="20"/>
    </w:rPr>
  </w:style>
  <w:style w:type="paragraph" w:styleId="aa">
    <w:name w:val="List Paragraph"/>
    <w:basedOn w:val="a"/>
    <w:uiPriority w:val="99"/>
    <w:qFormat/>
    <w:rsid w:val="003D4BAF"/>
    <w:pPr>
      <w:ind w:left="720"/>
      <w:contextualSpacing/>
    </w:pPr>
  </w:style>
  <w:style w:type="character" w:styleId="ab">
    <w:name w:val="Hyperlink"/>
    <w:uiPriority w:val="99"/>
    <w:rsid w:val="00D9492F"/>
    <w:rPr>
      <w:rFonts w:cs="Times New Roman"/>
      <w:color w:val="0000FF"/>
      <w:u w:val="single"/>
    </w:rPr>
  </w:style>
  <w:style w:type="paragraph" w:customStyle="1" w:styleId="p0">
    <w:name w:val="p0"/>
    <w:basedOn w:val="a"/>
    <w:uiPriority w:val="99"/>
    <w:rsid w:val="00D9492F"/>
    <w:pPr>
      <w:spacing w:after="0" w:line="240" w:lineRule="atLeast"/>
    </w:pPr>
    <w:rPr>
      <w:rFonts w:ascii="Century" w:hAnsi="Century" w:cs="宋体"/>
      <w:sz w:val="21"/>
      <w:szCs w:val="21"/>
      <w:lang w:eastAsia="zh-CN"/>
    </w:rPr>
  </w:style>
  <w:style w:type="character" w:styleId="ac">
    <w:name w:val="Strong"/>
    <w:uiPriority w:val="99"/>
    <w:qFormat/>
    <w:rsid w:val="00D9492F"/>
    <w:rPr>
      <w:rFonts w:cs="Times New Roman"/>
      <w:b/>
    </w:rPr>
  </w:style>
  <w:style w:type="character" w:customStyle="1" w:styleId="highlight1">
    <w:name w:val="highlight1"/>
    <w:uiPriority w:val="99"/>
    <w:rsid w:val="00743283"/>
    <w:rPr>
      <w:rFonts w:cs="Times New Roman"/>
      <w:shd w:val="clear" w:color="auto" w:fill="F2F5F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64000">
      <w:marLeft w:val="0"/>
      <w:marRight w:val="0"/>
      <w:marTop w:val="0"/>
      <w:marBottom w:val="0"/>
      <w:divBdr>
        <w:top w:val="none" w:sz="0" w:space="0" w:color="auto"/>
        <w:left w:val="none" w:sz="0" w:space="0" w:color="auto"/>
        <w:bottom w:val="none" w:sz="0" w:space="0" w:color="auto"/>
        <w:right w:val="none" w:sz="0" w:space="0" w:color="auto"/>
      </w:divBdr>
      <w:divsChild>
        <w:div w:id="1818764092">
          <w:marLeft w:val="0"/>
          <w:marRight w:val="1"/>
          <w:marTop w:val="0"/>
          <w:marBottom w:val="0"/>
          <w:divBdr>
            <w:top w:val="none" w:sz="0" w:space="0" w:color="auto"/>
            <w:left w:val="none" w:sz="0" w:space="0" w:color="auto"/>
            <w:bottom w:val="none" w:sz="0" w:space="0" w:color="auto"/>
            <w:right w:val="none" w:sz="0" w:space="0" w:color="auto"/>
          </w:divBdr>
          <w:divsChild>
            <w:div w:id="1818764114">
              <w:marLeft w:val="0"/>
              <w:marRight w:val="0"/>
              <w:marTop w:val="0"/>
              <w:marBottom w:val="0"/>
              <w:divBdr>
                <w:top w:val="none" w:sz="0" w:space="0" w:color="auto"/>
                <w:left w:val="none" w:sz="0" w:space="0" w:color="auto"/>
                <w:bottom w:val="none" w:sz="0" w:space="0" w:color="auto"/>
                <w:right w:val="none" w:sz="0" w:space="0" w:color="auto"/>
              </w:divBdr>
              <w:divsChild>
                <w:div w:id="1818764046">
                  <w:marLeft w:val="0"/>
                  <w:marRight w:val="1"/>
                  <w:marTop w:val="0"/>
                  <w:marBottom w:val="0"/>
                  <w:divBdr>
                    <w:top w:val="none" w:sz="0" w:space="0" w:color="auto"/>
                    <w:left w:val="none" w:sz="0" w:space="0" w:color="auto"/>
                    <w:bottom w:val="none" w:sz="0" w:space="0" w:color="auto"/>
                    <w:right w:val="none" w:sz="0" w:space="0" w:color="auto"/>
                  </w:divBdr>
                  <w:divsChild>
                    <w:div w:id="1818764171">
                      <w:marLeft w:val="0"/>
                      <w:marRight w:val="0"/>
                      <w:marTop w:val="0"/>
                      <w:marBottom w:val="0"/>
                      <w:divBdr>
                        <w:top w:val="none" w:sz="0" w:space="0" w:color="auto"/>
                        <w:left w:val="none" w:sz="0" w:space="0" w:color="auto"/>
                        <w:bottom w:val="none" w:sz="0" w:space="0" w:color="auto"/>
                        <w:right w:val="none" w:sz="0" w:space="0" w:color="auto"/>
                      </w:divBdr>
                      <w:divsChild>
                        <w:div w:id="1818764136">
                          <w:marLeft w:val="0"/>
                          <w:marRight w:val="0"/>
                          <w:marTop w:val="0"/>
                          <w:marBottom w:val="0"/>
                          <w:divBdr>
                            <w:top w:val="none" w:sz="0" w:space="0" w:color="auto"/>
                            <w:left w:val="none" w:sz="0" w:space="0" w:color="auto"/>
                            <w:bottom w:val="none" w:sz="0" w:space="0" w:color="auto"/>
                            <w:right w:val="none" w:sz="0" w:space="0" w:color="auto"/>
                          </w:divBdr>
                          <w:divsChild>
                            <w:div w:id="1818764080">
                              <w:marLeft w:val="0"/>
                              <w:marRight w:val="0"/>
                              <w:marTop w:val="120"/>
                              <w:marBottom w:val="360"/>
                              <w:divBdr>
                                <w:top w:val="none" w:sz="0" w:space="0" w:color="auto"/>
                                <w:left w:val="none" w:sz="0" w:space="0" w:color="auto"/>
                                <w:bottom w:val="none" w:sz="0" w:space="0" w:color="auto"/>
                                <w:right w:val="none" w:sz="0" w:space="0" w:color="auto"/>
                              </w:divBdr>
                              <w:divsChild>
                                <w:div w:id="1818764040">
                                  <w:marLeft w:val="0"/>
                                  <w:marRight w:val="0"/>
                                  <w:marTop w:val="0"/>
                                  <w:marBottom w:val="0"/>
                                  <w:divBdr>
                                    <w:top w:val="none" w:sz="0" w:space="0" w:color="auto"/>
                                    <w:left w:val="none" w:sz="0" w:space="0" w:color="auto"/>
                                    <w:bottom w:val="none" w:sz="0" w:space="0" w:color="auto"/>
                                    <w:right w:val="none" w:sz="0" w:space="0" w:color="auto"/>
                                  </w:divBdr>
                                  <w:divsChild>
                                    <w:div w:id="18187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004">
      <w:marLeft w:val="0"/>
      <w:marRight w:val="0"/>
      <w:marTop w:val="0"/>
      <w:marBottom w:val="0"/>
      <w:divBdr>
        <w:top w:val="none" w:sz="0" w:space="0" w:color="auto"/>
        <w:left w:val="none" w:sz="0" w:space="0" w:color="auto"/>
        <w:bottom w:val="none" w:sz="0" w:space="0" w:color="auto"/>
        <w:right w:val="none" w:sz="0" w:space="0" w:color="auto"/>
      </w:divBdr>
      <w:divsChild>
        <w:div w:id="1818764174">
          <w:marLeft w:val="0"/>
          <w:marRight w:val="1"/>
          <w:marTop w:val="0"/>
          <w:marBottom w:val="0"/>
          <w:divBdr>
            <w:top w:val="none" w:sz="0" w:space="0" w:color="auto"/>
            <w:left w:val="none" w:sz="0" w:space="0" w:color="auto"/>
            <w:bottom w:val="none" w:sz="0" w:space="0" w:color="auto"/>
            <w:right w:val="none" w:sz="0" w:space="0" w:color="auto"/>
          </w:divBdr>
          <w:divsChild>
            <w:div w:id="1818764041">
              <w:marLeft w:val="0"/>
              <w:marRight w:val="0"/>
              <w:marTop w:val="0"/>
              <w:marBottom w:val="0"/>
              <w:divBdr>
                <w:top w:val="none" w:sz="0" w:space="0" w:color="auto"/>
                <w:left w:val="none" w:sz="0" w:space="0" w:color="auto"/>
                <w:bottom w:val="none" w:sz="0" w:space="0" w:color="auto"/>
                <w:right w:val="none" w:sz="0" w:space="0" w:color="auto"/>
              </w:divBdr>
              <w:divsChild>
                <w:div w:id="1818764138">
                  <w:marLeft w:val="0"/>
                  <w:marRight w:val="1"/>
                  <w:marTop w:val="0"/>
                  <w:marBottom w:val="0"/>
                  <w:divBdr>
                    <w:top w:val="none" w:sz="0" w:space="0" w:color="auto"/>
                    <w:left w:val="none" w:sz="0" w:space="0" w:color="auto"/>
                    <w:bottom w:val="none" w:sz="0" w:space="0" w:color="auto"/>
                    <w:right w:val="none" w:sz="0" w:space="0" w:color="auto"/>
                  </w:divBdr>
                  <w:divsChild>
                    <w:div w:id="1818764168">
                      <w:marLeft w:val="0"/>
                      <w:marRight w:val="0"/>
                      <w:marTop w:val="0"/>
                      <w:marBottom w:val="0"/>
                      <w:divBdr>
                        <w:top w:val="none" w:sz="0" w:space="0" w:color="auto"/>
                        <w:left w:val="none" w:sz="0" w:space="0" w:color="auto"/>
                        <w:bottom w:val="none" w:sz="0" w:space="0" w:color="auto"/>
                        <w:right w:val="none" w:sz="0" w:space="0" w:color="auto"/>
                      </w:divBdr>
                      <w:divsChild>
                        <w:div w:id="1818764198">
                          <w:marLeft w:val="0"/>
                          <w:marRight w:val="0"/>
                          <w:marTop w:val="0"/>
                          <w:marBottom w:val="0"/>
                          <w:divBdr>
                            <w:top w:val="none" w:sz="0" w:space="0" w:color="auto"/>
                            <w:left w:val="none" w:sz="0" w:space="0" w:color="auto"/>
                            <w:bottom w:val="none" w:sz="0" w:space="0" w:color="auto"/>
                            <w:right w:val="none" w:sz="0" w:space="0" w:color="auto"/>
                          </w:divBdr>
                          <w:divsChild>
                            <w:div w:id="1818764191">
                              <w:marLeft w:val="0"/>
                              <w:marRight w:val="0"/>
                              <w:marTop w:val="120"/>
                              <w:marBottom w:val="360"/>
                              <w:divBdr>
                                <w:top w:val="none" w:sz="0" w:space="0" w:color="auto"/>
                                <w:left w:val="none" w:sz="0" w:space="0" w:color="auto"/>
                                <w:bottom w:val="none" w:sz="0" w:space="0" w:color="auto"/>
                                <w:right w:val="none" w:sz="0" w:space="0" w:color="auto"/>
                              </w:divBdr>
                              <w:divsChild>
                                <w:div w:id="1818764220">
                                  <w:marLeft w:val="0"/>
                                  <w:marRight w:val="0"/>
                                  <w:marTop w:val="0"/>
                                  <w:marBottom w:val="0"/>
                                  <w:divBdr>
                                    <w:top w:val="none" w:sz="0" w:space="0" w:color="auto"/>
                                    <w:left w:val="none" w:sz="0" w:space="0" w:color="auto"/>
                                    <w:bottom w:val="none" w:sz="0" w:space="0" w:color="auto"/>
                                    <w:right w:val="none" w:sz="0" w:space="0" w:color="auto"/>
                                  </w:divBdr>
                                  <w:divsChild>
                                    <w:div w:id="18187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010">
      <w:marLeft w:val="0"/>
      <w:marRight w:val="0"/>
      <w:marTop w:val="0"/>
      <w:marBottom w:val="0"/>
      <w:divBdr>
        <w:top w:val="none" w:sz="0" w:space="0" w:color="auto"/>
        <w:left w:val="none" w:sz="0" w:space="0" w:color="auto"/>
        <w:bottom w:val="none" w:sz="0" w:space="0" w:color="auto"/>
        <w:right w:val="none" w:sz="0" w:space="0" w:color="auto"/>
      </w:divBdr>
      <w:divsChild>
        <w:div w:id="1818764226">
          <w:marLeft w:val="0"/>
          <w:marRight w:val="1"/>
          <w:marTop w:val="0"/>
          <w:marBottom w:val="0"/>
          <w:divBdr>
            <w:top w:val="none" w:sz="0" w:space="0" w:color="auto"/>
            <w:left w:val="none" w:sz="0" w:space="0" w:color="auto"/>
            <w:bottom w:val="none" w:sz="0" w:space="0" w:color="auto"/>
            <w:right w:val="none" w:sz="0" w:space="0" w:color="auto"/>
          </w:divBdr>
          <w:divsChild>
            <w:div w:id="1818764231">
              <w:marLeft w:val="0"/>
              <w:marRight w:val="0"/>
              <w:marTop w:val="0"/>
              <w:marBottom w:val="0"/>
              <w:divBdr>
                <w:top w:val="none" w:sz="0" w:space="0" w:color="auto"/>
                <w:left w:val="none" w:sz="0" w:space="0" w:color="auto"/>
                <w:bottom w:val="none" w:sz="0" w:space="0" w:color="auto"/>
                <w:right w:val="none" w:sz="0" w:space="0" w:color="auto"/>
              </w:divBdr>
              <w:divsChild>
                <w:div w:id="1818764152">
                  <w:marLeft w:val="0"/>
                  <w:marRight w:val="1"/>
                  <w:marTop w:val="0"/>
                  <w:marBottom w:val="0"/>
                  <w:divBdr>
                    <w:top w:val="none" w:sz="0" w:space="0" w:color="auto"/>
                    <w:left w:val="none" w:sz="0" w:space="0" w:color="auto"/>
                    <w:bottom w:val="none" w:sz="0" w:space="0" w:color="auto"/>
                    <w:right w:val="none" w:sz="0" w:space="0" w:color="auto"/>
                  </w:divBdr>
                  <w:divsChild>
                    <w:div w:id="1818764094">
                      <w:marLeft w:val="0"/>
                      <w:marRight w:val="0"/>
                      <w:marTop w:val="0"/>
                      <w:marBottom w:val="0"/>
                      <w:divBdr>
                        <w:top w:val="none" w:sz="0" w:space="0" w:color="auto"/>
                        <w:left w:val="none" w:sz="0" w:space="0" w:color="auto"/>
                        <w:bottom w:val="none" w:sz="0" w:space="0" w:color="auto"/>
                        <w:right w:val="none" w:sz="0" w:space="0" w:color="auto"/>
                      </w:divBdr>
                      <w:divsChild>
                        <w:div w:id="1818764087">
                          <w:marLeft w:val="0"/>
                          <w:marRight w:val="0"/>
                          <w:marTop w:val="0"/>
                          <w:marBottom w:val="0"/>
                          <w:divBdr>
                            <w:top w:val="none" w:sz="0" w:space="0" w:color="auto"/>
                            <w:left w:val="none" w:sz="0" w:space="0" w:color="auto"/>
                            <w:bottom w:val="none" w:sz="0" w:space="0" w:color="auto"/>
                            <w:right w:val="none" w:sz="0" w:space="0" w:color="auto"/>
                          </w:divBdr>
                          <w:divsChild>
                            <w:div w:id="1818764121">
                              <w:marLeft w:val="0"/>
                              <w:marRight w:val="0"/>
                              <w:marTop w:val="120"/>
                              <w:marBottom w:val="360"/>
                              <w:divBdr>
                                <w:top w:val="none" w:sz="0" w:space="0" w:color="auto"/>
                                <w:left w:val="none" w:sz="0" w:space="0" w:color="auto"/>
                                <w:bottom w:val="none" w:sz="0" w:space="0" w:color="auto"/>
                                <w:right w:val="none" w:sz="0" w:space="0" w:color="auto"/>
                              </w:divBdr>
                              <w:divsChild>
                                <w:div w:id="1818764247">
                                  <w:marLeft w:val="0"/>
                                  <w:marRight w:val="0"/>
                                  <w:marTop w:val="0"/>
                                  <w:marBottom w:val="0"/>
                                  <w:divBdr>
                                    <w:top w:val="none" w:sz="0" w:space="0" w:color="auto"/>
                                    <w:left w:val="none" w:sz="0" w:space="0" w:color="auto"/>
                                    <w:bottom w:val="none" w:sz="0" w:space="0" w:color="auto"/>
                                    <w:right w:val="none" w:sz="0" w:space="0" w:color="auto"/>
                                  </w:divBdr>
                                  <w:divsChild>
                                    <w:div w:id="18187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020">
      <w:marLeft w:val="0"/>
      <w:marRight w:val="0"/>
      <w:marTop w:val="0"/>
      <w:marBottom w:val="0"/>
      <w:divBdr>
        <w:top w:val="none" w:sz="0" w:space="0" w:color="auto"/>
        <w:left w:val="none" w:sz="0" w:space="0" w:color="auto"/>
        <w:bottom w:val="none" w:sz="0" w:space="0" w:color="auto"/>
        <w:right w:val="none" w:sz="0" w:space="0" w:color="auto"/>
      </w:divBdr>
      <w:divsChild>
        <w:div w:id="1818764104">
          <w:marLeft w:val="0"/>
          <w:marRight w:val="1"/>
          <w:marTop w:val="0"/>
          <w:marBottom w:val="0"/>
          <w:divBdr>
            <w:top w:val="none" w:sz="0" w:space="0" w:color="auto"/>
            <w:left w:val="none" w:sz="0" w:space="0" w:color="auto"/>
            <w:bottom w:val="none" w:sz="0" w:space="0" w:color="auto"/>
            <w:right w:val="none" w:sz="0" w:space="0" w:color="auto"/>
          </w:divBdr>
          <w:divsChild>
            <w:div w:id="1818764098">
              <w:marLeft w:val="0"/>
              <w:marRight w:val="0"/>
              <w:marTop w:val="0"/>
              <w:marBottom w:val="0"/>
              <w:divBdr>
                <w:top w:val="none" w:sz="0" w:space="0" w:color="auto"/>
                <w:left w:val="none" w:sz="0" w:space="0" w:color="auto"/>
                <w:bottom w:val="none" w:sz="0" w:space="0" w:color="auto"/>
                <w:right w:val="none" w:sz="0" w:space="0" w:color="auto"/>
              </w:divBdr>
              <w:divsChild>
                <w:div w:id="1818764214">
                  <w:marLeft w:val="0"/>
                  <w:marRight w:val="1"/>
                  <w:marTop w:val="0"/>
                  <w:marBottom w:val="0"/>
                  <w:divBdr>
                    <w:top w:val="none" w:sz="0" w:space="0" w:color="auto"/>
                    <w:left w:val="none" w:sz="0" w:space="0" w:color="auto"/>
                    <w:bottom w:val="none" w:sz="0" w:space="0" w:color="auto"/>
                    <w:right w:val="none" w:sz="0" w:space="0" w:color="auto"/>
                  </w:divBdr>
                  <w:divsChild>
                    <w:div w:id="1818764241">
                      <w:marLeft w:val="0"/>
                      <w:marRight w:val="0"/>
                      <w:marTop w:val="0"/>
                      <w:marBottom w:val="0"/>
                      <w:divBdr>
                        <w:top w:val="none" w:sz="0" w:space="0" w:color="auto"/>
                        <w:left w:val="none" w:sz="0" w:space="0" w:color="auto"/>
                        <w:bottom w:val="none" w:sz="0" w:space="0" w:color="auto"/>
                        <w:right w:val="none" w:sz="0" w:space="0" w:color="auto"/>
                      </w:divBdr>
                      <w:divsChild>
                        <w:div w:id="1818764145">
                          <w:marLeft w:val="0"/>
                          <w:marRight w:val="0"/>
                          <w:marTop w:val="0"/>
                          <w:marBottom w:val="0"/>
                          <w:divBdr>
                            <w:top w:val="none" w:sz="0" w:space="0" w:color="auto"/>
                            <w:left w:val="none" w:sz="0" w:space="0" w:color="auto"/>
                            <w:bottom w:val="none" w:sz="0" w:space="0" w:color="auto"/>
                            <w:right w:val="none" w:sz="0" w:space="0" w:color="auto"/>
                          </w:divBdr>
                          <w:divsChild>
                            <w:div w:id="1818764203">
                              <w:marLeft w:val="0"/>
                              <w:marRight w:val="0"/>
                              <w:marTop w:val="120"/>
                              <w:marBottom w:val="360"/>
                              <w:divBdr>
                                <w:top w:val="none" w:sz="0" w:space="0" w:color="auto"/>
                                <w:left w:val="none" w:sz="0" w:space="0" w:color="auto"/>
                                <w:bottom w:val="none" w:sz="0" w:space="0" w:color="auto"/>
                                <w:right w:val="none" w:sz="0" w:space="0" w:color="auto"/>
                              </w:divBdr>
                              <w:divsChild>
                                <w:div w:id="1818764067">
                                  <w:marLeft w:val="0"/>
                                  <w:marRight w:val="0"/>
                                  <w:marTop w:val="0"/>
                                  <w:marBottom w:val="0"/>
                                  <w:divBdr>
                                    <w:top w:val="none" w:sz="0" w:space="0" w:color="auto"/>
                                    <w:left w:val="none" w:sz="0" w:space="0" w:color="auto"/>
                                    <w:bottom w:val="none" w:sz="0" w:space="0" w:color="auto"/>
                                    <w:right w:val="none" w:sz="0" w:space="0" w:color="auto"/>
                                  </w:divBdr>
                                  <w:divsChild>
                                    <w:div w:id="18187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022">
      <w:marLeft w:val="0"/>
      <w:marRight w:val="0"/>
      <w:marTop w:val="0"/>
      <w:marBottom w:val="0"/>
      <w:divBdr>
        <w:top w:val="none" w:sz="0" w:space="0" w:color="auto"/>
        <w:left w:val="none" w:sz="0" w:space="0" w:color="auto"/>
        <w:bottom w:val="none" w:sz="0" w:space="0" w:color="auto"/>
        <w:right w:val="none" w:sz="0" w:space="0" w:color="auto"/>
      </w:divBdr>
      <w:divsChild>
        <w:div w:id="1818764147">
          <w:marLeft w:val="0"/>
          <w:marRight w:val="1"/>
          <w:marTop w:val="0"/>
          <w:marBottom w:val="0"/>
          <w:divBdr>
            <w:top w:val="none" w:sz="0" w:space="0" w:color="auto"/>
            <w:left w:val="none" w:sz="0" w:space="0" w:color="auto"/>
            <w:bottom w:val="none" w:sz="0" w:space="0" w:color="auto"/>
            <w:right w:val="none" w:sz="0" w:space="0" w:color="auto"/>
          </w:divBdr>
          <w:divsChild>
            <w:div w:id="1818764112">
              <w:marLeft w:val="0"/>
              <w:marRight w:val="0"/>
              <w:marTop w:val="0"/>
              <w:marBottom w:val="0"/>
              <w:divBdr>
                <w:top w:val="none" w:sz="0" w:space="0" w:color="auto"/>
                <w:left w:val="none" w:sz="0" w:space="0" w:color="auto"/>
                <w:bottom w:val="none" w:sz="0" w:space="0" w:color="auto"/>
                <w:right w:val="none" w:sz="0" w:space="0" w:color="auto"/>
              </w:divBdr>
              <w:divsChild>
                <w:div w:id="1818764146">
                  <w:marLeft w:val="0"/>
                  <w:marRight w:val="1"/>
                  <w:marTop w:val="0"/>
                  <w:marBottom w:val="0"/>
                  <w:divBdr>
                    <w:top w:val="none" w:sz="0" w:space="0" w:color="auto"/>
                    <w:left w:val="none" w:sz="0" w:space="0" w:color="auto"/>
                    <w:bottom w:val="none" w:sz="0" w:space="0" w:color="auto"/>
                    <w:right w:val="none" w:sz="0" w:space="0" w:color="auto"/>
                  </w:divBdr>
                  <w:divsChild>
                    <w:div w:id="1818764107">
                      <w:marLeft w:val="0"/>
                      <w:marRight w:val="0"/>
                      <w:marTop w:val="0"/>
                      <w:marBottom w:val="0"/>
                      <w:divBdr>
                        <w:top w:val="none" w:sz="0" w:space="0" w:color="auto"/>
                        <w:left w:val="none" w:sz="0" w:space="0" w:color="auto"/>
                        <w:bottom w:val="none" w:sz="0" w:space="0" w:color="auto"/>
                        <w:right w:val="none" w:sz="0" w:space="0" w:color="auto"/>
                      </w:divBdr>
                      <w:divsChild>
                        <w:div w:id="1818764095">
                          <w:marLeft w:val="0"/>
                          <w:marRight w:val="0"/>
                          <w:marTop w:val="0"/>
                          <w:marBottom w:val="0"/>
                          <w:divBdr>
                            <w:top w:val="none" w:sz="0" w:space="0" w:color="auto"/>
                            <w:left w:val="none" w:sz="0" w:space="0" w:color="auto"/>
                            <w:bottom w:val="none" w:sz="0" w:space="0" w:color="auto"/>
                            <w:right w:val="none" w:sz="0" w:space="0" w:color="auto"/>
                          </w:divBdr>
                          <w:divsChild>
                            <w:div w:id="1818764070">
                              <w:marLeft w:val="0"/>
                              <w:marRight w:val="0"/>
                              <w:marTop w:val="120"/>
                              <w:marBottom w:val="360"/>
                              <w:divBdr>
                                <w:top w:val="none" w:sz="0" w:space="0" w:color="auto"/>
                                <w:left w:val="none" w:sz="0" w:space="0" w:color="auto"/>
                                <w:bottom w:val="none" w:sz="0" w:space="0" w:color="auto"/>
                                <w:right w:val="none" w:sz="0" w:space="0" w:color="auto"/>
                              </w:divBdr>
                              <w:divsChild>
                                <w:div w:id="1818764229">
                                  <w:marLeft w:val="0"/>
                                  <w:marRight w:val="0"/>
                                  <w:marTop w:val="0"/>
                                  <w:marBottom w:val="0"/>
                                  <w:divBdr>
                                    <w:top w:val="none" w:sz="0" w:space="0" w:color="auto"/>
                                    <w:left w:val="none" w:sz="0" w:space="0" w:color="auto"/>
                                    <w:bottom w:val="none" w:sz="0" w:space="0" w:color="auto"/>
                                    <w:right w:val="none" w:sz="0" w:space="0" w:color="auto"/>
                                  </w:divBdr>
                                  <w:divsChild>
                                    <w:div w:id="18187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060">
      <w:marLeft w:val="0"/>
      <w:marRight w:val="0"/>
      <w:marTop w:val="0"/>
      <w:marBottom w:val="0"/>
      <w:divBdr>
        <w:top w:val="none" w:sz="0" w:space="0" w:color="auto"/>
        <w:left w:val="none" w:sz="0" w:space="0" w:color="auto"/>
        <w:bottom w:val="none" w:sz="0" w:space="0" w:color="auto"/>
        <w:right w:val="none" w:sz="0" w:space="0" w:color="auto"/>
      </w:divBdr>
      <w:divsChild>
        <w:div w:id="1818764102">
          <w:marLeft w:val="0"/>
          <w:marRight w:val="1"/>
          <w:marTop w:val="0"/>
          <w:marBottom w:val="0"/>
          <w:divBdr>
            <w:top w:val="none" w:sz="0" w:space="0" w:color="auto"/>
            <w:left w:val="none" w:sz="0" w:space="0" w:color="auto"/>
            <w:bottom w:val="none" w:sz="0" w:space="0" w:color="auto"/>
            <w:right w:val="none" w:sz="0" w:space="0" w:color="auto"/>
          </w:divBdr>
          <w:divsChild>
            <w:div w:id="1818764213">
              <w:marLeft w:val="0"/>
              <w:marRight w:val="0"/>
              <w:marTop w:val="0"/>
              <w:marBottom w:val="0"/>
              <w:divBdr>
                <w:top w:val="none" w:sz="0" w:space="0" w:color="auto"/>
                <w:left w:val="none" w:sz="0" w:space="0" w:color="auto"/>
                <w:bottom w:val="none" w:sz="0" w:space="0" w:color="auto"/>
                <w:right w:val="none" w:sz="0" w:space="0" w:color="auto"/>
              </w:divBdr>
              <w:divsChild>
                <w:div w:id="1818764150">
                  <w:marLeft w:val="0"/>
                  <w:marRight w:val="1"/>
                  <w:marTop w:val="0"/>
                  <w:marBottom w:val="0"/>
                  <w:divBdr>
                    <w:top w:val="none" w:sz="0" w:space="0" w:color="auto"/>
                    <w:left w:val="none" w:sz="0" w:space="0" w:color="auto"/>
                    <w:bottom w:val="none" w:sz="0" w:space="0" w:color="auto"/>
                    <w:right w:val="none" w:sz="0" w:space="0" w:color="auto"/>
                  </w:divBdr>
                  <w:divsChild>
                    <w:div w:id="1818764143">
                      <w:marLeft w:val="0"/>
                      <w:marRight w:val="0"/>
                      <w:marTop w:val="0"/>
                      <w:marBottom w:val="0"/>
                      <w:divBdr>
                        <w:top w:val="none" w:sz="0" w:space="0" w:color="auto"/>
                        <w:left w:val="none" w:sz="0" w:space="0" w:color="auto"/>
                        <w:bottom w:val="none" w:sz="0" w:space="0" w:color="auto"/>
                        <w:right w:val="none" w:sz="0" w:space="0" w:color="auto"/>
                      </w:divBdr>
                      <w:divsChild>
                        <w:div w:id="1818764130">
                          <w:marLeft w:val="0"/>
                          <w:marRight w:val="0"/>
                          <w:marTop w:val="0"/>
                          <w:marBottom w:val="0"/>
                          <w:divBdr>
                            <w:top w:val="none" w:sz="0" w:space="0" w:color="auto"/>
                            <w:left w:val="none" w:sz="0" w:space="0" w:color="auto"/>
                            <w:bottom w:val="none" w:sz="0" w:space="0" w:color="auto"/>
                            <w:right w:val="none" w:sz="0" w:space="0" w:color="auto"/>
                          </w:divBdr>
                          <w:divsChild>
                            <w:div w:id="1818764197">
                              <w:marLeft w:val="0"/>
                              <w:marRight w:val="0"/>
                              <w:marTop w:val="120"/>
                              <w:marBottom w:val="360"/>
                              <w:divBdr>
                                <w:top w:val="none" w:sz="0" w:space="0" w:color="auto"/>
                                <w:left w:val="none" w:sz="0" w:space="0" w:color="auto"/>
                                <w:bottom w:val="none" w:sz="0" w:space="0" w:color="auto"/>
                                <w:right w:val="none" w:sz="0" w:space="0" w:color="auto"/>
                              </w:divBdr>
                              <w:divsChild>
                                <w:div w:id="1818764019">
                                  <w:marLeft w:val="0"/>
                                  <w:marRight w:val="0"/>
                                  <w:marTop w:val="0"/>
                                  <w:marBottom w:val="0"/>
                                  <w:divBdr>
                                    <w:top w:val="none" w:sz="0" w:space="0" w:color="auto"/>
                                    <w:left w:val="none" w:sz="0" w:space="0" w:color="auto"/>
                                    <w:bottom w:val="none" w:sz="0" w:space="0" w:color="auto"/>
                                    <w:right w:val="none" w:sz="0" w:space="0" w:color="auto"/>
                                  </w:divBdr>
                                  <w:divsChild>
                                    <w:div w:id="18187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089">
      <w:marLeft w:val="0"/>
      <w:marRight w:val="0"/>
      <w:marTop w:val="0"/>
      <w:marBottom w:val="0"/>
      <w:divBdr>
        <w:top w:val="none" w:sz="0" w:space="0" w:color="auto"/>
        <w:left w:val="none" w:sz="0" w:space="0" w:color="auto"/>
        <w:bottom w:val="none" w:sz="0" w:space="0" w:color="auto"/>
        <w:right w:val="none" w:sz="0" w:space="0" w:color="auto"/>
      </w:divBdr>
      <w:divsChild>
        <w:div w:id="1818764062">
          <w:marLeft w:val="0"/>
          <w:marRight w:val="1"/>
          <w:marTop w:val="0"/>
          <w:marBottom w:val="0"/>
          <w:divBdr>
            <w:top w:val="none" w:sz="0" w:space="0" w:color="auto"/>
            <w:left w:val="none" w:sz="0" w:space="0" w:color="auto"/>
            <w:bottom w:val="none" w:sz="0" w:space="0" w:color="auto"/>
            <w:right w:val="none" w:sz="0" w:space="0" w:color="auto"/>
          </w:divBdr>
          <w:divsChild>
            <w:div w:id="1818764151">
              <w:marLeft w:val="0"/>
              <w:marRight w:val="0"/>
              <w:marTop w:val="0"/>
              <w:marBottom w:val="0"/>
              <w:divBdr>
                <w:top w:val="none" w:sz="0" w:space="0" w:color="auto"/>
                <w:left w:val="none" w:sz="0" w:space="0" w:color="auto"/>
                <w:bottom w:val="none" w:sz="0" w:space="0" w:color="auto"/>
                <w:right w:val="none" w:sz="0" w:space="0" w:color="auto"/>
              </w:divBdr>
              <w:divsChild>
                <w:div w:id="1818764091">
                  <w:marLeft w:val="0"/>
                  <w:marRight w:val="1"/>
                  <w:marTop w:val="0"/>
                  <w:marBottom w:val="0"/>
                  <w:divBdr>
                    <w:top w:val="none" w:sz="0" w:space="0" w:color="auto"/>
                    <w:left w:val="none" w:sz="0" w:space="0" w:color="auto"/>
                    <w:bottom w:val="none" w:sz="0" w:space="0" w:color="auto"/>
                    <w:right w:val="none" w:sz="0" w:space="0" w:color="auto"/>
                  </w:divBdr>
                  <w:divsChild>
                    <w:div w:id="1818764210">
                      <w:marLeft w:val="0"/>
                      <w:marRight w:val="0"/>
                      <w:marTop w:val="0"/>
                      <w:marBottom w:val="0"/>
                      <w:divBdr>
                        <w:top w:val="none" w:sz="0" w:space="0" w:color="auto"/>
                        <w:left w:val="none" w:sz="0" w:space="0" w:color="auto"/>
                        <w:bottom w:val="none" w:sz="0" w:space="0" w:color="auto"/>
                        <w:right w:val="none" w:sz="0" w:space="0" w:color="auto"/>
                      </w:divBdr>
                      <w:divsChild>
                        <w:div w:id="1818764106">
                          <w:marLeft w:val="0"/>
                          <w:marRight w:val="0"/>
                          <w:marTop w:val="0"/>
                          <w:marBottom w:val="0"/>
                          <w:divBdr>
                            <w:top w:val="none" w:sz="0" w:space="0" w:color="auto"/>
                            <w:left w:val="none" w:sz="0" w:space="0" w:color="auto"/>
                            <w:bottom w:val="none" w:sz="0" w:space="0" w:color="auto"/>
                            <w:right w:val="none" w:sz="0" w:space="0" w:color="auto"/>
                          </w:divBdr>
                          <w:divsChild>
                            <w:div w:id="1818764237">
                              <w:marLeft w:val="0"/>
                              <w:marRight w:val="0"/>
                              <w:marTop w:val="120"/>
                              <w:marBottom w:val="360"/>
                              <w:divBdr>
                                <w:top w:val="none" w:sz="0" w:space="0" w:color="auto"/>
                                <w:left w:val="none" w:sz="0" w:space="0" w:color="auto"/>
                                <w:bottom w:val="none" w:sz="0" w:space="0" w:color="auto"/>
                                <w:right w:val="none" w:sz="0" w:space="0" w:color="auto"/>
                              </w:divBdr>
                              <w:divsChild>
                                <w:div w:id="1818764167">
                                  <w:marLeft w:val="0"/>
                                  <w:marRight w:val="0"/>
                                  <w:marTop w:val="0"/>
                                  <w:marBottom w:val="0"/>
                                  <w:divBdr>
                                    <w:top w:val="none" w:sz="0" w:space="0" w:color="auto"/>
                                    <w:left w:val="none" w:sz="0" w:space="0" w:color="auto"/>
                                    <w:bottom w:val="none" w:sz="0" w:space="0" w:color="auto"/>
                                    <w:right w:val="none" w:sz="0" w:space="0" w:color="auto"/>
                                  </w:divBdr>
                                  <w:divsChild>
                                    <w:div w:id="18187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097">
      <w:marLeft w:val="0"/>
      <w:marRight w:val="0"/>
      <w:marTop w:val="0"/>
      <w:marBottom w:val="0"/>
      <w:divBdr>
        <w:top w:val="none" w:sz="0" w:space="0" w:color="auto"/>
        <w:left w:val="none" w:sz="0" w:space="0" w:color="auto"/>
        <w:bottom w:val="none" w:sz="0" w:space="0" w:color="auto"/>
        <w:right w:val="none" w:sz="0" w:space="0" w:color="auto"/>
      </w:divBdr>
      <w:divsChild>
        <w:div w:id="1818764161">
          <w:marLeft w:val="0"/>
          <w:marRight w:val="0"/>
          <w:marTop w:val="0"/>
          <w:marBottom w:val="0"/>
          <w:divBdr>
            <w:top w:val="none" w:sz="0" w:space="0" w:color="auto"/>
            <w:left w:val="none" w:sz="0" w:space="0" w:color="auto"/>
            <w:bottom w:val="none" w:sz="0" w:space="0" w:color="auto"/>
            <w:right w:val="none" w:sz="0" w:space="0" w:color="auto"/>
          </w:divBdr>
          <w:divsChild>
            <w:div w:id="1818764071">
              <w:marLeft w:val="0"/>
              <w:marRight w:val="0"/>
              <w:marTop w:val="0"/>
              <w:marBottom w:val="0"/>
              <w:divBdr>
                <w:top w:val="none" w:sz="0" w:space="0" w:color="auto"/>
                <w:left w:val="none" w:sz="0" w:space="0" w:color="auto"/>
                <w:bottom w:val="none" w:sz="0" w:space="0" w:color="auto"/>
                <w:right w:val="none" w:sz="0" w:space="0" w:color="auto"/>
              </w:divBdr>
              <w:divsChild>
                <w:div w:id="1818764129">
                  <w:marLeft w:val="0"/>
                  <w:marRight w:val="0"/>
                  <w:marTop w:val="0"/>
                  <w:marBottom w:val="0"/>
                  <w:divBdr>
                    <w:top w:val="none" w:sz="0" w:space="0" w:color="auto"/>
                    <w:left w:val="none" w:sz="0" w:space="0" w:color="auto"/>
                    <w:bottom w:val="none" w:sz="0" w:space="0" w:color="auto"/>
                    <w:right w:val="none" w:sz="0" w:space="0" w:color="auto"/>
                  </w:divBdr>
                  <w:divsChild>
                    <w:div w:id="1818764047">
                      <w:marLeft w:val="0"/>
                      <w:marRight w:val="0"/>
                      <w:marTop w:val="0"/>
                      <w:marBottom w:val="0"/>
                      <w:divBdr>
                        <w:top w:val="none" w:sz="0" w:space="0" w:color="auto"/>
                        <w:left w:val="none" w:sz="0" w:space="0" w:color="auto"/>
                        <w:bottom w:val="none" w:sz="0" w:space="0" w:color="auto"/>
                        <w:right w:val="none" w:sz="0" w:space="0" w:color="auto"/>
                      </w:divBdr>
                      <w:divsChild>
                        <w:div w:id="1818764137">
                          <w:marLeft w:val="0"/>
                          <w:marRight w:val="0"/>
                          <w:marTop w:val="0"/>
                          <w:marBottom w:val="0"/>
                          <w:divBdr>
                            <w:top w:val="none" w:sz="0" w:space="0" w:color="auto"/>
                            <w:left w:val="none" w:sz="0" w:space="0" w:color="auto"/>
                            <w:bottom w:val="none" w:sz="0" w:space="0" w:color="auto"/>
                            <w:right w:val="none" w:sz="0" w:space="0" w:color="auto"/>
                          </w:divBdr>
                          <w:divsChild>
                            <w:div w:id="1818764059">
                              <w:marLeft w:val="0"/>
                              <w:marRight w:val="0"/>
                              <w:marTop w:val="0"/>
                              <w:marBottom w:val="0"/>
                              <w:divBdr>
                                <w:top w:val="none" w:sz="0" w:space="0" w:color="auto"/>
                                <w:left w:val="none" w:sz="0" w:space="0" w:color="auto"/>
                                <w:bottom w:val="none" w:sz="0" w:space="0" w:color="auto"/>
                                <w:right w:val="none" w:sz="0" w:space="0" w:color="auto"/>
                              </w:divBdr>
                              <w:divsChild>
                                <w:div w:id="1818764179">
                                  <w:marLeft w:val="0"/>
                                  <w:marRight w:val="0"/>
                                  <w:marTop w:val="0"/>
                                  <w:marBottom w:val="0"/>
                                  <w:divBdr>
                                    <w:top w:val="none" w:sz="0" w:space="0" w:color="auto"/>
                                    <w:left w:val="none" w:sz="0" w:space="0" w:color="auto"/>
                                    <w:bottom w:val="none" w:sz="0" w:space="0" w:color="auto"/>
                                    <w:right w:val="none" w:sz="0" w:space="0" w:color="auto"/>
                                  </w:divBdr>
                                  <w:divsChild>
                                    <w:div w:id="1818764110">
                                      <w:marLeft w:val="0"/>
                                      <w:marRight w:val="0"/>
                                      <w:marTop w:val="0"/>
                                      <w:marBottom w:val="0"/>
                                      <w:divBdr>
                                        <w:top w:val="none" w:sz="0" w:space="0" w:color="auto"/>
                                        <w:left w:val="none" w:sz="0" w:space="0" w:color="auto"/>
                                        <w:bottom w:val="none" w:sz="0" w:space="0" w:color="auto"/>
                                        <w:right w:val="none" w:sz="0" w:space="0" w:color="auto"/>
                                      </w:divBdr>
                                      <w:divsChild>
                                        <w:div w:id="1818764253">
                                          <w:marLeft w:val="0"/>
                                          <w:marRight w:val="0"/>
                                          <w:marTop w:val="0"/>
                                          <w:marBottom w:val="0"/>
                                          <w:divBdr>
                                            <w:top w:val="none" w:sz="0" w:space="0" w:color="auto"/>
                                            <w:left w:val="none" w:sz="0" w:space="0" w:color="auto"/>
                                            <w:bottom w:val="none" w:sz="0" w:space="0" w:color="auto"/>
                                            <w:right w:val="none" w:sz="0" w:space="0" w:color="auto"/>
                                          </w:divBdr>
                                          <w:divsChild>
                                            <w:div w:id="1818764056">
                                              <w:marLeft w:val="0"/>
                                              <w:marRight w:val="0"/>
                                              <w:marTop w:val="0"/>
                                              <w:marBottom w:val="0"/>
                                              <w:divBdr>
                                                <w:top w:val="none" w:sz="0" w:space="0" w:color="auto"/>
                                                <w:left w:val="none" w:sz="0" w:space="0" w:color="auto"/>
                                                <w:bottom w:val="none" w:sz="0" w:space="0" w:color="auto"/>
                                                <w:right w:val="none" w:sz="0" w:space="0" w:color="auto"/>
                                              </w:divBdr>
                                              <w:divsChild>
                                                <w:div w:id="1818764009">
                                                  <w:marLeft w:val="0"/>
                                                  <w:marRight w:val="0"/>
                                                  <w:marTop w:val="0"/>
                                                  <w:marBottom w:val="0"/>
                                                  <w:divBdr>
                                                    <w:top w:val="none" w:sz="0" w:space="0" w:color="auto"/>
                                                    <w:left w:val="none" w:sz="0" w:space="0" w:color="auto"/>
                                                    <w:bottom w:val="none" w:sz="0" w:space="0" w:color="auto"/>
                                                    <w:right w:val="none" w:sz="0" w:space="0" w:color="auto"/>
                                                  </w:divBdr>
                                                  <w:divsChild>
                                                    <w:div w:id="1818764025">
                                                      <w:marLeft w:val="0"/>
                                                      <w:marRight w:val="0"/>
                                                      <w:marTop w:val="0"/>
                                                      <w:marBottom w:val="0"/>
                                                      <w:divBdr>
                                                        <w:top w:val="none" w:sz="0" w:space="0" w:color="auto"/>
                                                        <w:left w:val="none" w:sz="0" w:space="0" w:color="auto"/>
                                                        <w:bottom w:val="none" w:sz="0" w:space="0" w:color="auto"/>
                                                        <w:right w:val="none" w:sz="0" w:space="0" w:color="auto"/>
                                                      </w:divBdr>
                                                      <w:divsChild>
                                                        <w:div w:id="1818764118">
                                                          <w:marLeft w:val="0"/>
                                                          <w:marRight w:val="0"/>
                                                          <w:marTop w:val="0"/>
                                                          <w:marBottom w:val="0"/>
                                                          <w:divBdr>
                                                            <w:top w:val="none" w:sz="0" w:space="0" w:color="auto"/>
                                                            <w:left w:val="none" w:sz="0" w:space="0" w:color="auto"/>
                                                            <w:bottom w:val="none" w:sz="0" w:space="0" w:color="auto"/>
                                                            <w:right w:val="none" w:sz="0" w:space="0" w:color="auto"/>
                                                          </w:divBdr>
                                                          <w:divsChild>
                                                            <w:div w:id="1818764222">
                                                              <w:marLeft w:val="0"/>
                                                              <w:marRight w:val="0"/>
                                                              <w:marTop w:val="0"/>
                                                              <w:marBottom w:val="0"/>
                                                              <w:divBdr>
                                                                <w:top w:val="none" w:sz="0" w:space="0" w:color="auto"/>
                                                                <w:left w:val="none" w:sz="0" w:space="0" w:color="auto"/>
                                                                <w:bottom w:val="none" w:sz="0" w:space="0" w:color="auto"/>
                                                                <w:right w:val="none" w:sz="0" w:space="0" w:color="auto"/>
                                                              </w:divBdr>
                                                              <w:divsChild>
                                                                <w:div w:id="1818764248">
                                                                  <w:marLeft w:val="0"/>
                                                                  <w:marRight w:val="0"/>
                                                                  <w:marTop w:val="0"/>
                                                                  <w:marBottom w:val="0"/>
                                                                  <w:divBdr>
                                                                    <w:top w:val="none" w:sz="0" w:space="0" w:color="auto"/>
                                                                    <w:left w:val="none" w:sz="0" w:space="0" w:color="auto"/>
                                                                    <w:bottom w:val="none" w:sz="0" w:space="0" w:color="auto"/>
                                                                    <w:right w:val="none" w:sz="0" w:space="0" w:color="auto"/>
                                                                  </w:divBdr>
                                                                  <w:divsChild>
                                                                    <w:div w:id="1818764200">
                                                                      <w:marLeft w:val="0"/>
                                                                      <w:marRight w:val="0"/>
                                                                      <w:marTop w:val="0"/>
                                                                      <w:marBottom w:val="0"/>
                                                                      <w:divBdr>
                                                                        <w:top w:val="none" w:sz="0" w:space="0" w:color="auto"/>
                                                                        <w:left w:val="none" w:sz="0" w:space="0" w:color="auto"/>
                                                                        <w:bottom w:val="none" w:sz="0" w:space="0" w:color="auto"/>
                                                                        <w:right w:val="none" w:sz="0" w:space="0" w:color="auto"/>
                                                                      </w:divBdr>
                                                                      <w:divsChild>
                                                                        <w:div w:id="1818764103">
                                                                          <w:marLeft w:val="0"/>
                                                                          <w:marRight w:val="0"/>
                                                                          <w:marTop w:val="0"/>
                                                                          <w:marBottom w:val="0"/>
                                                                          <w:divBdr>
                                                                            <w:top w:val="none" w:sz="0" w:space="0" w:color="auto"/>
                                                                            <w:left w:val="none" w:sz="0" w:space="0" w:color="auto"/>
                                                                            <w:bottom w:val="none" w:sz="0" w:space="0" w:color="auto"/>
                                                                            <w:right w:val="none" w:sz="0" w:space="0" w:color="auto"/>
                                                                          </w:divBdr>
                                                                          <w:divsChild>
                                                                            <w:div w:id="1818764224">
                                                                              <w:marLeft w:val="0"/>
                                                                              <w:marRight w:val="0"/>
                                                                              <w:marTop w:val="0"/>
                                                                              <w:marBottom w:val="0"/>
                                                                              <w:divBdr>
                                                                                <w:top w:val="none" w:sz="0" w:space="0" w:color="auto"/>
                                                                                <w:left w:val="none" w:sz="0" w:space="0" w:color="auto"/>
                                                                                <w:bottom w:val="none" w:sz="0" w:space="0" w:color="auto"/>
                                                                                <w:right w:val="none" w:sz="0" w:space="0" w:color="auto"/>
                                                                              </w:divBdr>
                                                                              <w:divsChild>
                                                                                <w:div w:id="1818764030">
                                                                                  <w:marLeft w:val="0"/>
                                                                                  <w:marRight w:val="0"/>
                                                                                  <w:marTop w:val="0"/>
                                                                                  <w:marBottom w:val="0"/>
                                                                                  <w:divBdr>
                                                                                    <w:top w:val="none" w:sz="0" w:space="0" w:color="auto"/>
                                                                                    <w:left w:val="none" w:sz="0" w:space="0" w:color="auto"/>
                                                                                    <w:bottom w:val="none" w:sz="0" w:space="0" w:color="auto"/>
                                                                                    <w:right w:val="none" w:sz="0" w:space="0" w:color="auto"/>
                                                                                  </w:divBdr>
                                                                                  <w:divsChild>
                                                                                    <w:div w:id="181876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764116">
      <w:marLeft w:val="0"/>
      <w:marRight w:val="0"/>
      <w:marTop w:val="0"/>
      <w:marBottom w:val="0"/>
      <w:divBdr>
        <w:top w:val="none" w:sz="0" w:space="0" w:color="auto"/>
        <w:left w:val="none" w:sz="0" w:space="0" w:color="auto"/>
        <w:bottom w:val="none" w:sz="0" w:space="0" w:color="auto"/>
        <w:right w:val="none" w:sz="0" w:space="0" w:color="auto"/>
      </w:divBdr>
      <w:divsChild>
        <w:div w:id="1818764088">
          <w:marLeft w:val="0"/>
          <w:marRight w:val="1"/>
          <w:marTop w:val="0"/>
          <w:marBottom w:val="0"/>
          <w:divBdr>
            <w:top w:val="none" w:sz="0" w:space="0" w:color="auto"/>
            <w:left w:val="none" w:sz="0" w:space="0" w:color="auto"/>
            <w:bottom w:val="none" w:sz="0" w:space="0" w:color="auto"/>
            <w:right w:val="none" w:sz="0" w:space="0" w:color="auto"/>
          </w:divBdr>
          <w:divsChild>
            <w:div w:id="1818764026">
              <w:marLeft w:val="0"/>
              <w:marRight w:val="0"/>
              <w:marTop w:val="0"/>
              <w:marBottom w:val="0"/>
              <w:divBdr>
                <w:top w:val="none" w:sz="0" w:space="0" w:color="auto"/>
                <w:left w:val="none" w:sz="0" w:space="0" w:color="auto"/>
                <w:bottom w:val="none" w:sz="0" w:space="0" w:color="auto"/>
                <w:right w:val="none" w:sz="0" w:space="0" w:color="auto"/>
              </w:divBdr>
              <w:divsChild>
                <w:div w:id="1818764037">
                  <w:marLeft w:val="0"/>
                  <w:marRight w:val="1"/>
                  <w:marTop w:val="0"/>
                  <w:marBottom w:val="0"/>
                  <w:divBdr>
                    <w:top w:val="none" w:sz="0" w:space="0" w:color="auto"/>
                    <w:left w:val="none" w:sz="0" w:space="0" w:color="auto"/>
                    <w:bottom w:val="none" w:sz="0" w:space="0" w:color="auto"/>
                    <w:right w:val="none" w:sz="0" w:space="0" w:color="auto"/>
                  </w:divBdr>
                  <w:divsChild>
                    <w:div w:id="1818764182">
                      <w:marLeft w:val="0"/>
                      <w:marRight w:val="0"/>
                      <w:marTop w:val="0"/>
                      <w:marBottom w:val="0"/>
                      <w:divBdr>
                        <w:top w:val="none" w:sz="0" w:space="0" w:color="auto"/>
                        <w:left w:val="none" w:sz="0" w:space="0" w:color="auto"/>
                        <w:bottom w:val="none" w:sz="0" w:space="0" w:color="auto"/>
                        <w:right w:val="none" w:sz="0" w:space="0" w:color="auto"/>
                      </w:divBdr>
                      <w:divsChild>
                        <w:div w:id="1818764217">
                          <w:marLeft w:val="0"/>
                          <w:marRight w:val="0"/>
                          <w:marTop w:val="0"/>
                          <w:marBottom w:val="0"/>
                          <w:divBdr>
                            <w:top w:val="none" w:sz="0" w:space="0" w:color="auto"/>
                            <w:left w:val="none" w:sz="0" w:space="0" w:color="auto"/>
                            <w:bottom w:val="none" w:sz="0" w:space="0" w:color="auto"/>
                            <w:right w:val="none" w:sz="0" w:space="0" w:color="auto"/>
                          </w:divBdr>
                          <w:divsChild>
                            <w:div w:id="1818764177">
                              <w:marLeft w:val="0"/>
                              <w:marRight w:val="0"/>
                              <w:marTop w:val="120"/>
                              <w:marBottom w:val="360"/>
                              <w:divBdr>
                                <w:top w:val="none" w:sz="0" w:space="0" w:color="auto"/>
                                <w:left w:val="none" w:sz="0" w:space="0" w:color="auto"/>
                                <w:bottom w:val="none" w:sz="0" w:space="0" w:color="auto"/>
                                <w:right w:val="none" w:sz="0" w:space="0" w:color="auto"/>
                              </w:divBdr>
                              <w:divsChild>
                                <w:div w:id="1818764093">
                                  <w:marLeft w:val="0"/>
                                  <w:marRight w:val="0"/>
                                  <w:marTop w:val="0"/>
                                  <w:marBottom w:val="0"/>
                                  <w:divBdr>
                                    <w:top w:val="none" w:sz="0" w:space="0" w:color="auto"/>
                                    <w:left w:val="none" w:sz="0" w:space="0" w:color="auto"/>
                                    <w:bottom w:val="none" w:sz="0" w:space="0" w:color="auto"/>
                                    <w:right w:val="none" w:sz="0" w:space="0" w:color="auto"/>
                                  </w:divBdr>
                                  <w:divsChild>
                                    <w:div w:id="18187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119">
      <w:marLeft w:val="0"/>
      <w:marRight w:val="0"/>
      <w:marTop w:val="0"/>
      <w:marBottom w:val="0"/>
      <w:divBdr>
        <w:top w:val="none" w:sz="0" w:space="0" w:color="auto"/>
        <w:left w:val="none" w:sz="0" w:space="0" w:color="auto"/>
        <w:bottom w:val="none" w:sz="0" w:space="0" w:color="auto"/>
        <w:right w:val="none" w:sz="0" w:space="0" w:color="auto"/>
      </w:divBdr>
      <w:divsChild>
        <w:div w:id="1818764144">
          <w:marLeft w:val="0"/>
          <w:marRight w:val="1"/>
          <w:marTop w:val="0"/>
          <w:marBottom w:val="0"/>
          <w:divBdr>
            <w:top w:val="none" w:sz="0" w:space="0" w:color="auto"/>
            <w:left w:val="none" w:sz="0" w:space="0" w:color="auto"/>
            <w:bottom w:val="none" w:sz="0" w:space="0" w:color="auto"/>
            <w:right w:val="none" w:sz="0" w:space="0" w:color="auto"/>
          </w:divBdr>
          <w:divsChild>
            <w:div w:id="1818764158">
              <w:marLeft w:val="0"/>
              <w:marRight w:val="0"/>
              <w:marTop w:val="0"/>
              <w:marBottom w:val="0"/>
              <w:divBdr>
                <w:top w:val="none" w:sz="0" w:space="0" w:color="auto"/>
                <w:left w:val="none" w:sz="0" w:space="0" w:color="auto"/>
                <w:bottom w:val="none" w:sz="0" w:space="0" w:color="auto"/>
                <w:right w:val="none" w:sz="0" w:space="0" w:color="auto"/>
              </w:divBdr>
              <w:divsChild>
                <w:div w:id="1818764259">
                  <w:marLeft w:val="0"/>
                  <w:marRight w:val="1"/>
                  <w:marTop w:val="0"/>
                  <w:marBottom w:val="0"/>
                  <w:divBdr>
                    <w:top w:val="none" w:sz="0" w:space="0" w:color="auto"/>
                    <w:left w:val="none" w:sz="0" w:space="0" w:color="auto"/>
                    <w:bottom w:val="none" w:sz="0" w:space="0" w:color="auto"/>
                    <w:right w:val="none" w:sz="0" w:space="0" w:color="auto"/>
                  </w:divBdr>
                  <w:divsChild>
                    <w:div w:id="1818764117">
                      <w:marLeft w:val="0"/>
                      <w:marRight w:val="0"/>
                      <w:marTop w:val="0"/>
                      <w:marBottom w:val="0"/>
                      <w:divBdr>
                        <w:top w:val="none" w:sz="0" w:space="0" w:color="auto"/>
                        <w:left w:val="none" w:sz="0" w:space="0" w:color="auto"/>
                        <w:bottom w:val="none" w:sz="0" w:space="0" w:color="auto"/>
                        <w:right w:val="none" w:sz="0" w:space="0" w:color="auto"/>
                      </w:divBdr>
                      <w:divsChild>
                        <w:div w:id="1818764215">
                          <w:marLeft w:val="0"/>
                          <w:marRight w:val="0"/>
                          <w:marTop w:val="0"/>
                          <w:marBottom w:val="0"/>
                          <w:divBdr>
                            <w:top w:val="none" w:sz="0" w:space="0" w:color="auto"/>
                            <w:left w:val="none" w:sz="0" w:space="0" w:color="auto"/>
                            <w:bottom w:val="none" w:sz="0" w:space="0" w:color="auto"/>
                            <w:right w:val="none" w:sz="0" w:space="0" w:color="auto"/>
                          </w:divBdr>
                          <w:divsChild>
                            <w:div w:id="1818763998">
                              <w:marLeft w:val="0"/>
                              <w:marRight w:val="0"/>
                              <w:marTop w:val="120"/>
                              <w:marBottom w:val="360"/>
                              <w:divBdr>
                                <w:top w:val="none" w:sz="0" w:space="0" w:color="auto"/>
                                <w:left w:val="none" w:sz="0" w:space="0" w:color="auto"/>
                                <w:bottom w:val="none" w:sz="0" w:space="0" w:color="auto"/>
                                <w:right w:val="none" w:sz="0" w:space="0" w:color="auto"/>
                              </w:divBdr>
                              <w:divsChild>
                                <w:div w:id="1818764223">
                                  <w:marLeft w:val="0"/>
                                  <w:marRight w:val="0"/>
                                  <w:marTop w:val="0"/>
                                  <w:marBottom w:val="0"/>
                                  <w:divBdr>
                                    <w:top w:val="none" w:sz="0" w:space="0" w:color="auto"/>
                                    <w:left w:val="none" w:sz="0" w:space="0" w:color="auto"/>
                                    <w:bottom w:val="none" w:sz="0" w:space="0" w:color="auto"/>
                                    <w:right w:val="none" w:sz="0" w:space="0" w:color="auto"/>
                                  </w:divBdr>
                                  <w:divsChild>
                                    <w:div w:id="18187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122">
      <w:marLeft w:val="0"/>
      <w:marRight w:val="0"/>
      <w:marTop w:val="0"/>
      <w:marBottom w:val="0"/>
      <w:divBdr>
        <w:top w:val="none" w:sz="0" w:space="0" w:color="auto"/>
        <w:left w:val="none" w:sz="0" w:space="0" w:color="auto"/>
        <w:bottom w:val="none" w:sz="0" w:space="0" w:color="auto"/>
        <w:right w:val="none" w:sz="0" w:space="0" w:color="auto"/>
      </w:divBdr>
      <w:divsChild>
        <w:div w:id="1818764024">
          <w:marLeft w:val="0"/>
          <w:marRight w:val="1"/>
          <w:marTop w:val="0"/>
          <w:marBottom w:val="0"/>
          <w:divBdr>
            <w:top w:val="none" w:sz="0" w:space="0" w:color="auto"/>
            <w:left w:val="none" w:sz="0" w:space="0" w:color="auto"/>
            <w:bottom w:val="none" w:sz="0" w:space="0" w:color="auto"/>
            <w:right w:val="none" w:sz="0" w:space="0" w:color="auto"/>
          </w:divBdr>
          <w:divsChild>
            <w:div w:id="1818764085">
              <w:marLeft w:val="0"/>
              <w:marRight w:val="0"/>
              <w:marTop w:val="0"/>
              <w:marBottom w:val="0"/>
              <w:divBdr>
                <w:top w:val="none" w:sz="0" w:space="0" w:color="auto"/>
                <w:left w:val="none" w:sz="0" w:space="0" w:color="auto"/>
                <w:bottom w:val="none" w:sz="0" w:space="0" w:color="auto"/>
                <w:right w:val="none" w:sz="0" w:space="0" w:color="auto"/>
              </w:divBdr>
              <w:divsChild>
                <w:div w:id="1818764096">
                  <w:marLeft w:val="0"/>
                  <w:marRight w:val="1"/>
                  <w:marTop w:val="0"/>
                  <w:marBottom w:val="0"/>
                  <w:divBdr>
                    <w:top w:val="none" w:sz="0" w:space="0" w:color="auto"/>
                    <w:left w:val="none" w:sz="0" w:space="0" w:color="auto"/>
                    <w:bottom w:val="none" w:sz="0" w:space="0" w:color="auto"/>
                    <w:right w:val="none" w:sz="0" w:space="0" w:color="auto"/>
                  </w:divBdr>
                  <w:divsChild>
                    <w:div w:id="1818764249">
                      <w:marLeft w:val="0"/>
                      <w:marRight w:val="0"/>
                      <w:marTop w:val="0"/>
                      <w:marBottom w:val="0"/>
                      <w:divBdr>
                        <w:top w:val="none" w:sz="0" w:space="0" w:color="auto"/>
                        <w:left w:val="none" w:sz="0" w:space="0" w:color="auto"/>
                        <w:bottom w:val="none" w:sz="0" w:space="0" w:color="auto"/>
                        <w:right w:val="none" w:sz="0" w:space="0" w:color="auto"/>
                      </w:divBdr>
                      <w:divsChild>
                        <w:div w:id="181876420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120"/>
                              <w:marBottom w:val="360"/>
                              <w:divBdr>
                                <w:top w:val="none" w:sz="0" w:space="0" w:color="auto"/>
                                <w:left w:val="none" w:sz="0" w:space="0" w:color="auto"/>
                                <w:bottom w:val="none" w:sz="0" w:space="0" w:color="auto"/>
                                <w:right w:val="none" w:sz="0" w:space="0" w:color="auto"/>
                              </w:divBdr>
                              <w:divsChild>
                                <w:div w:id="1818764195">
                                  <w:marLeft w:val="0"/>
                                  <w:marRight w:val="0"/>
                                  <w:marTop w:val="0"/>
                                  <w:marBottom w:val="0"/>
                                  <w:divBdr>
                                    <w:top w:val="none" w:sz="0" w:space="0" w:color="auto"/>
                                    <w:left w:val="none" w:sz="0" w:space="0" w:color="auto"/>
                                    <w:bottom w:val="none" w:sz="0" w:space="0" w:color="auto"/>
                                    <w:right w:val="none" w:sz="0" w:space="0" w:color="auto"/>
                                  </w:divBdr>
                                  <w:divsChild>
                                    <w:div w:id="18187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123">
      <w:marLeft w:val="0"/>
      <w:marRight w:val="0"/>
      <w:marTop w:val="0"/>
      <w:marBottom w:val="0"/>
      <w:divBdr>
        <w:top w:val="none" w:sz="0" w:space="0" w:color="auto"/>
        <w:left w:val="none" w:sz="0" w:space="0" w:color="auto"/>
        <w:bottom w:val="none" w:sz="0" w:space="0" w:color="auto"/>
        <w:right w:val="none" w:sz="0" w:space="0" w:color="auto"/>
      </w:divBdr>
      <w:divsChild>
        <w:div w:id="1818764029">
          <w:marLeft w:val="0"/>
          <w:marRight w:val="1"/>
          <w:marTop w:val="0"/>
          <w:marBottom w:val="0"/>
          <w:divBdr>
            <w:top w:val="none" w:sz="0" w:space="0" w:color="auto"/>
            <w:left w:val="none" w:sz="0" w:space="0" w:color="auto"/>
            <w:bottom w:val="none" w:sz="0" w:space="0" w:color="auto"/>
            <w:right w:val="none" w:sz="0" w:space="0" w:color="auto"/>
          </w:divBdr>
          <w:divsChild>
            <w:div w:id="1818764260">
              <w:marLeft w:val="0"/>
              <w:marRight w:val="0"/>
              <w:marTop w:val="0"/>
              <w:marBottom w:val="0"/>
              <w:divBdr>
                <w:top w:val="none" w:sz="0" w:space="0" w:color="auto"/>
                <w:left w:val="none" w:sz="0" w:space="0" w:color="auto"/>
                <w:bottom w:val="none" w:sz="0" w:space="0" w:color="auto"/>
                <w:right w:val="none" w:sz="0" w:space="0" w:color="auto"/>
              </w:divBdr>
              <w:divsChild>
                <w:div w:id="1818764132">
                  <w:marLeft w:val="0"/>
                  <w:marRight w:val="1"/>
                  <w:marTop w:val="0"/>
                  <w:marBottom w:val="0"/>
                  <w:divBdr>
                    <w:top w:val="none" w:sz="0" w:space="0" w:color="auto"/>
                    <w:left w:val="none" w:sz="0" w:space="0" w:color="auto"/>
                    <w:bottom w:val="none" w:sz="0" w:space="0" w:color="auto"/>
                    <w:right w:val="none" w:sz="0" w:space="0" w:color="auto"/>
                  </w:divBdr>
                  <w:divsChild>
                    <w:div w:id="1818764082">
                      <w:marLeft w:val="0"/>
                      <w:marRight w:val="0"/>
                      <w:marTop w:val="0"/>
                      <w:marBottom w:val="0"/>
                      <w:divBdr>
                        <w:top w:val="none" w:sz="0" w:space="0" w:color="auto"/>
                        <w:left w:val="none" w:sz="0" w:space="0" w:color="auto"/>
                        <w:bottom w:val="none" w:sz="0" w:space="0" w:color="auto"/>
                        <w:right w:val="none" w:sz="0" w:space="0" w:color="auto"/>
                      </w:divBdr>
                      <w:divsChild>
                        <w:div w:id="1818764074">
                          <w:marLeft w:val="0"/>
                          <w:marRight w:val="0"/>
                          <w:marTop w:val="0"/>
                          <w:marBottom w:val="0"/>
                          <w:divBdr>
                            <w:top w:val="none" w:sz="0" w:space="0" w:color="auto"/>
                            <w:left w:val="none" w:sz="0" w:space="0" w:color="auto"/>
                            <w:bottom w:val="none" w:sz="0" w:space="0" w:color="auto"/>
                            <w:right w:val="none" w:sz="0" w:space="0" w:color="auto"/>
                          </w:divBdr>
                          <w:divsChild>
                            <w:div w:id="1818764236">
                              <w:marLeft w:val="0"/>
                              <w:marRight w:val="0"/>
                              <w:marTop w:val="120"/>
                              <w:marBottom w:val="360"/>
                              <w:divBdr>
                                <w:top w:val="none" w:sz="0" w:space="0" w:color="auto"/>
                                <w:left w:val="none" w:sz="0" w:space="0" w:color="auto"/>
                                <w:bottom w:val="none" w:sz="0" w:space="0" w:color="auto"/>
                                <w:right w:val="none" w:sz="0" w:space="0" w:color="auto"/>
                              </w:divBdr>
                              <w:divsChild>
                                <w:div w:id="1818764049">
                                  <w:marLeft w:val="0"/>
                                  <w:marRight w:val="0"/>
                                  <w:marTop w:val="0"/>
                                  <w:marBottom w:val="0"/>
                                  <w:divBdr>
                                    <w:top w:val="none" w:sz="0" w:space="0" w:color="auto"/>
                                    <w:left w:val="none" w:sz="0" w:space="0" w:color="auto"/>
                                    <w:bottom w:val="none" w:sz="0" w:space="0" w:color="auto"/>
                                    <w:right w:val="none" w:sz="0" w:space="0" w:color="auto"/>
                                  </w:divBdr>
                                  <w:divsChild>
                                    <w:div w:id="18187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125">
      <w:marLeft w:val="0"/>
      <w:marRight w:val="0"/>
      <w:marTop w:val="0"/>
      <w:marBottom w:val="0"/>
      <w:divBdr>
        <w:top w:val="none" w:sz="0" w:space="0" w:color="auto"/>
        <w:left w:val="none" w:sz="0" w:space="0" w:color="auto"/>
        <w:bottom w:val="none" w:sz="0" w:space="0" w:color="auto"/>
        <w:right w:val="none" w:sz="0" w:space="0" w:color="auto"/>
      </w:divBdr>
      <w:divsChild>
        <w:div w:id="1818764027">
          <w:marLeft w:val="0"/>
          <w:marRight w:val="1"/>
          <w:marTop w:val="0"/>
          <w:marBottom w:val="0"/>
          <w:divBdr>
            <w:top w:val="none" w:sz="0" w:space="0" w:color="auto"/>
            <w:left w:val="none" w:sz="0" w:space="0" w:color="auto"/>
            <w:bottom w:val="none" w:sz="0" w:space="0" w:color="auto"/>
            <w:right w:val="none" w:sz="0" w:space="0" w:color="auto"/>
          </w:divBdr>
          <w:divsChild>
            <w:div w:id="1818764178">
              <w:marLeft w:val="0"/>
              <w:marRight w:val="0"/>
              <w:marTop w:val="0"/>
              <w:marBottom w:val="0"/>
              <w:divBdr>
                <w:top w:val="none" w:sz="0" w:space="0" w:color="auto"/>
                <w:left w:val="none" w:sz="0" w:space="0" w:color="auto"/>
                <w:bottom w:val="none" w:sz="0" w:space="0" w:color="auto"/>
                <w:right w:val="none" w:sz="0" w:space="0" w:color="auto"/>
              </w:divBdr>
              <w:divsChild>
                <w:div w:id="1818764157">
                  <w:marLeft w:val="0"/>
                  <w:marRight w:val="1"/>
                  <w:marTop w:val="0"/>
                  <w:marBottom w:val="0"/>
                  <w:divBdr>
                    <w:top w:val="none" w:sz="0" w:space="0" w:color="auto"/>
                    <w:left w:val="none" w:sz="0" w:space="0" w:color="auto"/>
                    <w:bottom w:val="none" w:sz="0" w:space="0" w:color="auto"/>
                    <w:right w:val="none" w:sz="0" w:space="0" w:color="auto"/>
                  </w:divBdr>
                  <w:divsChild>
                    <w:div w:id="1818764108">
                      <w:marLeft w:val="0"/>
                      <w:marRight w:val="0"/>
                      <w:marTop w:val="0"/>
                      <w:marBottom w:val="0"/>
                      <w:divBdr>
                        <w:top w:val="none" w:sz="0" w:space="0" w:color="auto"/>
                        <w:left w:val="none" w:sz="0" w:space="0" w:color="auto"/>
                        <w:bottom w:val="none" w:sz="0" w:space="0" w:color="auto"/>
                        <w:right w:val="none" w:sz="0" w:space="0" w:color="auto"/>
                      </w:divBdr>
                      <w:divsChild>
                        <w:div w:id="1818764154">
                          <w:marLeft w:val="0"/>
                          <w:marRight w:val="0"/>
                          <w:marTop w:val="0"/>
                          <w:marBottom w:val="0"/>
                          <w:divBdr>
                            <w:top w:val="none" w:sz="0" w:space="0" w:color="auto"/>
                            <w:left w:val="none" w:sz="0" w:space="0" w:color="auto"/>
                            <w:bottom w:val="none" w:sz="0" w:space="0" w:color="auto"/>
                            <w:right w:val="none" w:sz="0" w:space="0" w:color="auto"/>
                          </w:divBdr>
                          <w:divsChild>
                            <w:div w:id="1818764126">
                              <w:marLeft w:val="0"/>
                              <w:marRight w:val="0"/>
                              <w:marTop w:val="120"/>
                              <w:marBottom w:val="360"/>
                              <w:divBdr>
                                <w:top w:val="none" w:sz="0" w:space="0" w:color="auto"/>
                                <w:left w:val="none" w:sz="0" w:space="0" w:color="auto"/>
                                <w:bottom w:val="none" w:sz="0" w:space="0" w:color="auto"/>
                                <w:right w:val="none" w:sz="0" w:space="0" w:color="auto"/>
                              </w:divBdr>
                              <w:divsChild>
                                <w:div w:id="1818764227">
                                  <w:marLeft w:val="0"/>
                                  <w:marRight w:val="0"/>
                                  <w:marTop w:val="0"/>
                                  <w:marBottom w:val="0"/>
                                  <w:divBdr>
                                    <w:top w:val="none" w:sz="0" w:space="0" w:color="auto"/>
                                    <w:left w:val="none" w:sz="0" w:space="0" w:color="auto"/>
                                    <w:bottom w:val="none" w:sz="0" w:space="0" w:color="auto"/>
                                    <w:right w:val="none" w:sz="0" w:space="0" w:color="auto"/>
                                  </w:divBdr>
                                  <w:divsChild>
                                    <w:div w:id="18187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133">
      <w:marLeft w:val="0"/>
      <w:marRight w:val="0"/>
      <w:marTop w:val="0"/>
      <w:marBottom w:val="0"/>
      <w:divBdr>
        <w:top w:val="none" w:sz="0" w:space="0" w:color="auto"/>
        <w:left w:val="none" w:sz="0" w:space="0" w:color="auto"/>
        <w:bottom w:val="none" w:sz="0" w:space="0" w:color="auto"/>
        <w:right w:val="none" w:sz="0" w:space="0" w:color="auto"/>
      </w:divBdr>
      <w:divsChild>
        <w:div w:id="1818764054">
          <w:marLeft w:val="0"/>
          <w:marRight w:val="1"/>
          <w:marTop w:val="0"/>
          <w:marBottom w:val="0"/>
          <w:divBdr>
            <w:top w:val="none" w:sz="0" w:space="0" w:color="auto"/>
            <w:left w:val="none" w:sz="0" w:space="0" w:color="auto"/>
            <w:bottom w:val="none" w:sz="0" w:space="0" w:color="auto"/>
            <w:right w:val="none" w:sz="0" w:space="0" w:color="auto"/>
          </w:divBdr>
          <w:divsChild>
            <w:div w:id="1818764078">
              <w:marLeft w:val="0"/>
              <w:marRight w:val="0"/>
              <w:marTop w:val="0"/>
              <w:marBottom w:val="0"/>
              <w:divBdr>
                <w:top w:val="none" w:sz="0" w:space="0" w:color="auto"/>
                <w:left w:val="none" w:sz="0" w:space="0" w:color="auto"/>
                <w:bottom w:val="none" w:sz="0" w:space="0" w:color="auto"/>
                <w:right w:val="none" w:sz="0" w:space="0" w:color="auto"/>
              </w:divBdr>
              <w:divsChild>
                <w:div w:id="1818764207">
                  <w:marLeft w:val="0"/>
                  <w:marRight w:val="1"/>
                  <w:marTop w:val="0"/>
                  <w:marBottom w:val="0"/>
                  <w:divBdr>
                    <w:top w:val="none" w:sz="0" w:space="0" w:color="auto"/>
                    <w:left w:val="none" w:sz="0" w:space="0" w:color="auto"/>
                    <w:bottom w:val="none" w:sz="0" w:space="0" w:color="auto"/>
                    <w:right w:val="none" w:sz="0" w:space="0" w:color="auto"/>
                  </w:divBdr>
                  <w:divsChild>
                    <w:div w:id="1818764005">
                      <w:marLeft w:val="0"/>
                      <w:marRight w:val="0"/>
                      <w:marTop w:val="0"/>
                      <w:marBottom w:val="0"/>
                      <w:divBdr>
                        <w:top w:val="none" w:sz="0" w:space="0" w:color="auto"/>
                        <w:left w:val="none" w:sz="0" w:space="0" w:color="auto"/>
                        <w:bottom w:val="none" w:sz="0" w:space="0" w:color="auto"/>
                        <w:right w:val="none" w:sz="0" w:space="0" w:color="auto"/>
                      </w:divBdr>
                      <w:divsChild>
                        <w:div w:id="1818764084">
                          <w:marLeft w:val="0"/>
                          <w:marRight w:val="0"/>
                          <w:marTop w:val="0"/>
                          <w:marBottom w:val="0"/>
                          <w:divBdr>
                            <w:top w:val="none" w:sz="0" w:space="0" w:color="auto"/>
                            <w:left w:val="none" w:sz="0" w:space="0" w:color="auto"/>
                            <w:bottom w:val="none" w:sz="0" w:space="0" w:color="auto"/>
                            <w:right w:val="none" w:sz="0" w:space="0" w:color="auto"/>
                          </w:divBdr>
                          <w:divsChild>
                            <w:div w:id="1818764202">
                              <w:marLeft w:val="0"/>
                              <w:marRight w:val="0"/>
                              <w:marTop w:val="120"/>
                              <w:marBottom w:val="360"/>
                              <w:divBdr>
                                <w:top w:val="none" w:sz="0" w:space="0" w:color="auto"/>
                                <w:left w:val="none" w:sz="0" w:space="0" w:color="auto"/>
                                <w:bottom w:val="none" w:sz="0" w:space="0" w:color="auto"/>
                                <w:right w:val="none" w:sz="0" w:space="0" w:color="auto"/>
                              </w:divBdr>
                              <w:divsChild>
                                <w:div w:id="1818764235">
                                  <w:marLeft w:val="0"/>
                                  <w:marRight w:val="0"/>
                                  <w:marTop w:val="0"/>
                                  <w:marBottom w:val="0"/>
                                  <w:divBdr>
                                    <w:top w:val="none" w:sz="0" w:space="0" w:color="auto"/>
                                    <w:left w:val="none" w:sz="0" w:space="0" w:color="auto"/>
                                    <w:bottom w:val="none" w:sz="0" w:space="0" w:color="auto"/>
                                    <w:right w:val="none" w:sz="0" w:space="0" w:color="auto"/>
                                  </w:divBdr>
                                  <w:divsChild>
                                    <w:div w:id="18187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141">
      <w:marLeft w:val="0"/>
      <w:marRight w:val="0"/>
      <w:marTop w:val="0"/>
      <w:marBottom w:val="0"/>
      <w:divBdr>
        <w:top w:val="none" w:sz="0" w:space="0" w:color="auto"/>
        <w:left w:val="none" w:sz="0" w:space="0" w:color="auto"/>
        <w:bottom w:val="none" w:sz="0" w:space="0" w:color="auto"/>
        <w:right w:val="none" w:sz="0" w:space="0" w:color="auto"/>
      </w:divBdr>
      <w:divsChild>
        <w:div w:id="1818764183">
          <w:marLeft w:val="0"/>
          <w:marRight w:val="1"/>
          <w:marTop w:val="0"/>
          <w:marBottom w:val="0"/>
          <w:divBdr>
            <w:top w:val="none" w:sz="0" w:space="0" w:color="auto"/>
            <w:left w:val="none" w:sz="0" w:space="0" w:color="auto"/>
            <w:bottom w:val="none" w:sz="0" w:space="0" w:color="auto"/>
            <w:right w:val="none" w:sz="0" w:space="0" w:color="auto"/>
          </w:divBdr>
          <w:divsChild>
            <w:div w:id="1818764233">
              <w:marLeft w:val="0"/>
              <w:marRight w:val="0"/>
              <w:marTop w:val="0"/>
              <w:marBottom w:val="0"/>
              <w:divBdr>
                <w:top w:val="none" w:sz="0" w:space="0" w:color="auto"/>
                <w:left w:val="none" w:sz="0" w:space="0" w:color="auto"/>
                <w:bottom w:val="none" w:sz="0" w:space="0" w:color="auto"/>
                <w:right w:val="none" w:sz="0" w:space="0" w:color="auto"/>
              </w:divBdr>
              <w:divsChild>
                <w:div w:id="1818764033">
                  <w:marLeft w:val="0"/>
                  <w:marRight w:val="1"/>
                  <w:marTop w:val="0"/>
                  <w:marBottom w:val="0"/>
                  <w:divBdr>
                    <w:top w:val="none" w:sz="0" w:space="0" w:color="auto"/>
                    <w:left w:val="none" w:sz="0" w:space="0" w:color="auto"/>
                    <w:bottom w:val="none" w:sz="0" w:space="0" w:color="auto"/>
                    <w:right w:val="none" w:sz="0" w:space="0" w:color="auto"/>
                  </w:divBdr>
                  <w:divsChild>
                    <w:div w:id="1818764187">
                      <w:marLeft w:val="0"/>
                      <w:marRight w:val="0"/>
                      <w:marTop w:val="0"/>
                      <w:marBottom w:val="0"/>
                      <w:divBdr>
                        <w:top w:val="none" w:sz="0" w:space="0" w:color="auto"/>
                        <w:left w:val="none" w:sz="0" w:space="0" w:color="auto"/>
                        <w:bottom w:val="none" w:sz="0" w:space="0" w:color="auto"/>
                        <w:right w:val="none" w:sz="0" w:space="0" w:color="auto"/>
                      </w:divBdr>
                      <w:divsChild>
                        <w:div w:id="1818764017">
                          <w:marLeft w:val="0"/>
                          <w:marRight w:val="0"/>
                          <w:marTop w:val="0"/>
                          <w:marBottom w:val="0"/>
                          <w:divBdr>
                            <w:top w:val="none" w:sz="0" w:space="0" w:color="auto"/>
                            <w:left w:val="none" w:sz="0" w:space="0" w:color="auto"/>
                            <w:bottom w:val="none" w:sz="0" w:space="0" w:color="auto"/>
                            <w:right w:val="none" w:sz="0" w:space="0" w:color="auto"/>
                          </w:divBdr>
                          <w:divsChild>
                            <w:div w:id="1818764016">
                              <w:marLeft w:val="0"/>
                              <w:marRight w:val="0"/>
                              <w:marTop w:val="120"/>
                              <w:marBottom w:val="360"/>
                              <w:divBdr>
                                <w:top w:val="none" w:sz="0" w:space="0" w:color="auto"/>
                                <w:left w:val="none" w:sz="0" w:space="0" w:color="auto"/>
                                <w:bottom w:val="none" w:sz="0" w:space="0" w:color="auto"/>
                                <w:right w:val="none" w:sz="0" w:space="0" w:color="auto"/>
                              </w:divBdr>
                              <w:divsChild>
                                <w:div w:id="1818764086">
                                  <w:marLeft w:val="0"/>
                                  <w:marRight w:val="0"/>
                                  <w:marTop w:val="0"/>
                                  <w:marBottom w:val="0"/>
                                  <w:divBdr>
                                    <w:top w:val="none" w:sz="0" w:space="0" w:color="auto"/>
                                    <w:left w:val="none" w:sz="0" w:space="0" w:color="auto"/>
                                    <w:bottom w:val="none" w:sz="0" w:space="0" w:color="auto"/>
                                    <w:right w:val="none" w:sz="0" w:space="0" w:color="auto"/>
                                  </w:divBdr>
                                  <w:divsChild>
                                    <w:div w:id="18187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142">
      <w:marLeft w:val="0"/>
      <w:marRight w:val="0"/>
      <w:marTop w:val="0"/>
      <w:marBottom w:val="0"/>
      <w:divBdr>
        <w:top w:val="none" w:sz="0" w:space="0" w:color="auto"/>
        <w:left w:val="none" w:sz="0" w:space="0" w:color="auto"/>
        <w:bottom w:val="none" w:sz="0" w:space="0" w:color="auto"/>
        <w:right w:val="none" w:sz="0" w:space="0" w:color="auto"/>
      </w:divBdr>
      <w:divsChild>
        <w:div w:id="1818764006">
          <w:marLeft w:val="0"/>
          <w:marRight w:val="1"/>
          <w:marTop w:val="0"/>
          <w:marBottom w:val="0"/>
          <w:divBdr>
            <w:top w:val="none" w:sz="0" w:space="0" w:color="auto"/>
            <w:left w:val="none" w:sz="0" w:space="0" w:color="auto"/>
            <w:bottom w:val="none" w:sz="0" w:space="0" w:color="auto"/>
            <w:right w:val="none" w:sz="0" w:space="0" w:color="auto"/>
          </w:divBdr>
          <w:divsChild>
            <w:div w:id="1818764023">
              <w:marLeft w:val="0"/>
              <w:marRight w:val="0"/>
              <w:marTop w:val="0"/>
              <w:marBottom w:val="0"/>
              <w:divBdr>
                <w:top w:val="none" w:sz="0" w:space="0" w:color="auto"/>
                <w:left w:val="none" w:sz="0" w:space="0" w:color="auto"/>
                <w:bottom w:val="none" w:sz="0" w:space="0" w:color="auto"/>
                <w:right w:val="none" w:sz="0" w:space="0" w:color="auto"/>
              </w:divBdr>
              <w:divsChild>
                <w:div w:id="1818764140">
                  <w:marLeft w:val="0"/>
                  <w:marRight w:val="1"/>
                  <w:marTop w:val="0"/>
                  <w:marBottom w:val="0"/>
                  <w:divBdr>
                    <w:top w:val="none" w:sz="0" w:space="0" w:color="auto"/>
                    <w:left w:val="none" w:sz="0" w:space="0" w:color="auto"/>
                    <w:bottom w:val="none" w:sz="0" w:space="0" w:color="auto"/>
                    <w:right w:val="none" w:sz="0" w:space="0" w:color="auto"/>
                  </w:divBdr>
                  <w:divsChild>
                    <w:div w:id="1818764015">
                      <w:marLeft w:val="0"/>
                      <w:marRight w:val="0"/>
                      <w:marTop w:val="0"/>
                      <w:marBottom w:val="0"/>
                      <w:divBdr>
                        <w:top w:val="none" w:sz="0" w:space="0" w:color="auto"/>
                        <w:left w:val="none" w:sz="0" w:space="0" w:color="auto"/>
                        <w:bottom w:val="none" w:sz="0" w:space="0" w:color="auto"/>
                        <w:right w:val="none" w:sz="0" w:space="0" w:color="auto"/>
                      </w:divBdr>
                      <w:divsChild>
                        <w:div w:id="1818764240">
                          <w:marLeft w:val="0"/>
                          <w:marRight w:val="0"/>
                          <w:marTop w:val="0"/>
                          <w:marBottom w:val="0"/>
                          <w:divBdr>
                            <w:top w:val="none" w:sz="0" w:space="0" w:color="auto"/>
                            <w:left w:val="none" w:sz="0" w:space="0" w:color="auto"/>
                            <w:bottom w:val="none" w:sz="0" w:space="0" w:color="auto"/>
                            <w:right w:val="none" w:sz="0" w:space="0" w:color="auto"/>
                          </w:divBdr>
                          <w:divsChild>
                            <w:div w:id="1818764066">
                              <w:marLeft w:val="0"/>
                              <w:marRight w:val="0"/>
                              <w:marTop w:val="120"/>
                              <w:marBottom w:val="360"/>
                              <w:divBdr>
                                <w:top w:val="none" w:sz="0" w:space="0" w:color="auto"/>
                                <w:left w:val="none" w:sz="0" w:space="0" w:color="auto"/>
                                <w:bottom w:val="none" w:sz="0" w:space="0" w:color="auto"/>
                                <w:right w:val="none" w:sz="0" w:space="0" w:color="auto"/>
                              </w:divBdr>
                              <w:divsChild>
                                <w:div w:id="1818764038">
                                  <w:marLeft w:val="0"/>
                                  <w:marRight w:val="0"/>
                                  <w:marTop w:val="0"/>
                                  <w:marBottom w:val="0"/>
                                  <w:divBdr>
                                    <w:top w:val="none" w:sz="0" w:space="0" w:color="auto"/>
                                    <w:left w:val="none" w:sz="0" w:space="0" w:color="auto"/>
                                    <w:bottom w:val="none" w:sz="0" w:space="0" w:color="auto"/>
                                    <w:right w:val="none" w:sz="0" w:space="0" w:color="auto"/>
                                  </w:divBdr>
                                  <w:divsChild>
                                    <w:div w:id="18187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148">
      <w:marLeft w:val="0"/>
      <w:marRight w:val="0"/>
      <w:marTop w:val="0"/>
      <w:marBottom w:val="0"/>
      <w:divBdr>
        <w:top w:val="none" w:sz="0" w:space="0" w:color="auto"/>
        <w:left w:val="none" w:sz="0" w:space="0" w:color="auto"/>
        <w:bottom w:val="none" w:sz="0" w:space="0" w:color="auto"/>
        <w:right w:val="none" w:sz="0" w:space="0" w:color="auto"/>
      </w:divBdr>
      <w:divsChild>
        <w:div w:id="1818764018">
          <w:marLeft w:val="0"/>
          <w:marRight w:val="1"/>
          <w:marTop w:val="0"/>
          <w:marBottom w:val="0"/>
          <w:divBdr>
            <w:top w:val="none" w:sz="0" w:space="0" w:color="auto"/>
            <w:left w:val="none" w:sz="0" w:space="0" w:color="auto"/>
            <w:bottom w:val="none" w:sz="0" w:space="0" w:color="auto"/>
            <w:right w:val="none" w:sz="0" w:space="0" w:color="auto"/>
          </w:divBdr>
          <w:divsChild>
            <w:div w:id="1818764156">
              <w:marLeft w:val="0"/>
              <w:marRight w:val="0"/>
              <w:marTop w:val="0"/>
              <w:marBottom w:val="0"/>
              <w:divBdr>
                <w:top w:val="none" w:sz="0" w:space="0" w:color="auto"/>
                <w:left w:val="none" w:sz="0" w:space="0" w:color="auto"/>
                <w:bottom w:val="none" w:sz="0" w:space="0" w:color="auto"/>
                <w:right w:val="none" w:sz="0" w:space="0" w:color="auto"/>
              </w:divBdr>
              <w:divsChild>
                <w:div w:id="1818764165">
                  <w:marLeft w:val="0"/>
                  <w:marRight w:val="1"/>
                  <w:marTop w:val="0"/>
                  <w:marBottom w:val="0"/>
                  <w:divBdr>
                    <w:top w:val="none" w:sz="0" w:space="0" w:color="auto"/>
                    <w:left w:val="none" w:sz="0" w:space="0" w:color="auto"/>
                    <w:bottom w:val="none" w:sz="0" w:space="0" w:color="auto"/>
                    <w:right w:val="none" w:sz="0" w:space="0" w:color="auto"/>
                  </w:divBdr>
                  <w:divsChild>
                    <w:div w:id="1818764007">
                      <w:marLeft w:val="0"/>
                      <w:marRight w:val="0"/>
                      <w:marTop w:val="0"/>
                      <w:marBottom w:val="0"/>
                      <w:divBdr>
                        <w:top w:val="none" w:sz="0" w:space="0" w:color="auto"/>
                        <w:left w:val="none" w:sz="0" w:space="0" w:color="auto"/>
                        <w:bottom w:val="none" w:sz="0" w:space="0" w:color="auto"/>
                        <w:right w:val="none" w:sz="0" w:space="0" w:color="auto"/>
                      </w:divBdr>
                      <w:divsChild>
                        <w:div w:id="1818764120">
                          <w:marLeft w:val="0"/>
                          <w:marRight w:val="0"/>
                          <w:marTop w:val="0"/>
                          <w:marBottom w:val="0"/>
                          <w:divBdr>
                            <w:top w:val="none" w:sz="0" w:space="0" w:color="auto"/>
                            <w:left w:val="none" w:sz="0" w:space="0" w:color="auto"/>
                            <w:bottom w:val="none" w:sz="0" w:space="0" w:color="auto"/>
                            <w:right w:val="none" w:sz="0" w:space="0" w:color="auto"/>
                          </w:divBdr>
                          <w:divsChild>
                            <w:div w:id="1818764256">
                              <w:marLeft w:val="0"/>
                              <w:marRight w:val="0"/>
                              <w:marTop w:val="120"/>
                              <w:marBottom w:val="360"/>
                              <w:divBdr>
                                <w:top w:val="none" w:sz="0" w:space="0" w:color="auto"/>
                                <w:left w:val="none" w:sz="0" w:space="0" w:color="auto"/>
                                <w:bottom w:val="none" w:sz="0" w:space="0" w:color="auto"/>
                                <w:right w:val="none" w:sz="0" w:space="0" w:color="auto"/>
                              </w:divBdr>
                              <w:divsChild>
                                <w:div w:id="1818764013">
                                  <w:marLeft w:val="0"/>
                                  <w:marRight w:val="0"/>
                                  <w:marTop w:val="0"/>
                                  <w:marBottom w:val="0"/>
                                  <w:divBdr>
                                    <w:top w:val="none" w:sz="0" w:space="0" w:color="auto"/>
                                    <w:left w:val="none" w:sz="0" w:space="0" w:color="auto"/>
                                    <w:bottom w:val="none" w:sz="0" w:space="0" w:color="auto"/>
                                    <w:right w:val="none" w:sz="0" w:space="0" w:color="auto"/>
                                  </w:divBdr>
                                  <w:divsChild>
                                    <w:div w:id="18187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159">
      <w:marLeft w:val="0"/>
      <w:marRight w:val="0"/>
      <w:marTop w:val="0"/>
      <w:marBottom w:val="0"/>
      <w:divBdr>
        <w:top w:val="none" w:sz="0" w:space="0" w:color="auto"/>
        <w:left w:val="none" w:sz="0" w:space="0" w:color="auto"/>
        <w:bottom w:val="none" w:sz="0" w:space="0" w:color="auto"/>
        <w:right w:val="none" w:sz="0" w:space="0" w:color="auto"/>
      </w:divBdr>
      <w:divsChild>
        <w:div w:id="1818764208">
          <w:marLeft w:val="0"/>
          <w:marRight w:val="1"/>
          <w:marTop w:val="0"/>
          <w:marBottom w:val="0"/>
          <w:divBdr>
            <w:top w:val="none" w:sz="0" w:space="0" w:color="auto"/>
            <w:left w:val="none" w:sz="0" w:space="0" w:color="auto"/>
            <w:bottom w:val="none" w:sz="0" w:space="0" w:color="auto"/>
            <w:right w:val="none" w:sz="0" w:space="0" w:color="auto"/>
          </w:divBdr>
          <w:divsChild>
            <w:div w:id="1818764173">
              <w:marLeft w:val="0"/>
              <w:marRight w:val="0"/>
              <w:marTop w:val="0"/>
              <w:marBottom w:val="0"/>
              <w:divBdr>
                <w:top w:val="none" w:sz="0" w:space="0" w:color="auto"/>
                <w:left w:val="none" w:sz="0" w:space="0" w:color="auto"/>
                <w:bottom w:val="none" w:sz="0" w:space="0" w:color="auto"/>
                <w:right w:val="none" w:sz="0" w:space="0" w:color="auto"/>
              </w:divBdr>
              <w:divsChild>
                <w:div w:id="1818764035">
                  <w:marLeft w:val="0"/>
                  <w:marRight w:val="1"/>
                  <w:marTop w:val="0"/>
                  <w:marBottom w:val="0"/>
                  <w:divBdr>
                    <w:top w:val="none" w:sz="0" w:space="0" w:color="auto"/>
                    <w:left w:val="none" w:sz="0" w:space="0" w:color="auto"/>
                    <w:bottom w:val="none" w:sz="0" w:space="0" w:color="auto"/>
                    <w:right w:val="none" w:sz="0" w:space="0" w:color="auto"/>
                  </w:divBdr>
                  <w:divsChild>
                    <w:div w:id="1818764176">
                      <w:marLeft w:val="0"/>
                      <w:marRight w:val="0"/>
                      <w:marTop w:val="0"/>
                      <w:marBottom w:val="0"/>
                      <w:divBdr>
                        <w:top w:val="none" w:sz="0" w:space="0" w:color="auto"/>
                        <w:left w:val="none" w:sz="0" w:space="0" w:color="auto"/>
                        <w:bottom w:val="none" w:sz="0" w:space="0" w:color="auto"/>
                        <w:right w:val="none" w:sz="0" w:space="0" w:color="auto"/>
                      </w:divBdr>
                      <w:divsChild>
                        <w:div w:id="1818764175">
                          <w:marLeft w:val="0"/>
                          <w:marRight w:val="0"/>
                          <w:marTop w:val="0"/>
                          <w:marBottom w:val="0"/>
                          <w:divBdr>
                            <w:top w:val="none" w:sz="0" w:space="0" w:color="auto"/>
                            <w:left w:val="none" w:sz="0" w:space="0" w:color="auto"/>
                            <w:bottom w:val="none" w:sz="0" w:space="0" w:color="auto"/>
                            <w:right w:val="none" w:sz="0" w:space="0" w:color="auto"/>
                          </w:divBdr>
                          <w:divsChild>
                            <w:div w:id="1818764149">
                              <w:marLeft w:val="0"/>
                              <w:marRight w:val="0"/>
                              <w:marTop w:val="120"/>
                              <w:marBottom w:val="360"/>
                              <w:divBdr>
                                <w:top w:val="none" w:sz="0" w:space="0" w:color="auto"/>
                                <w:left w:val="none" w:sz="0" w:space="0" w:color="auto"/>
                                <w:bottom w:val="none" w:sz="0" w:space="0" w:color="auto"/>
                                <w:right w:val="none" w:sz="0" w:space="0" w:color="auto"/>
                              </w:divBdr>
                              <w:divsChild>
                                <w:div w:id="1818764053">
                                  <w:marLeft w:val="0"/>
                                  <w:marRight w:val="0"/>
                                  <w:marTop w:val="0"/>
                                  <w:marBottom w:val="0"/>
                                  <w:divBdr>
                                    <w:top w:val="none" w:sz="0" w:space="0" w:color="auto"/>
                                    <w:left w:val="none" w:sz="0" w:space="0" w:color="auto"/>
                                    <w:bottom w:val="none" w:sz="0" w:space="0" w:color="auto"/>
                                    <w:right w:val="none" w:sz="0" w:space="0" w:color="auto"/>
                                  </w:divBdr>
                                  <w:divsChild>
                                    <w:div w:id="18187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166">
      <w:marLeft w:val="0"/>
      <w:marRight w:val="0"/>
      <w:marTop w:val="0"/>
      <w:marBottom w:val="0"/>
      <w:divBdr>
        <w:top w:val="none" w:sz="0" w:space="0" w:color="auto"/>
        <w:left w:val="none" w:sz="0" w:space="0" w:color="auto"/>
        <w:bottom w:val="none" w:sz="0" w:space="0" w:color="auto"/>
        <w:right w:val="none" w:sz="0" w:space="0" w:color="auto"/>
      </w:divBdr>
    </w:div>
    <w:div w:id="1818764172">
      <w:marLeft w:val="0"/>
      <w:marRight w:val="0"/>
      <w:marTop w:val="0"/>
      <w:marBottom w:val="0"/>
      <w:divBdr>
        <w:top w:val="none" w:sz="0" w:space="0" w:color="auto"/>
        <w:left w:val="none" w:sz="0" w:space="0" w:color="auto"/>
        <w:bottom w:val="none" w:sz="0" w:space="0" w:color="auto"/>
        <w:right w:val="none" w:sz="0" w:space="0" w:color="auto"/>
      </w:divBdr>
      <w:divsChild>
        <w:div w:id="1818764090">
          <w:marLeft w:val="0"/>
          <w:marRight w:val="1"/>
          <w:marTop w:val="0"/>
          <w:marBottom w:val="0"/>
          <w:divBdr>
            <w:top w:val="none" w:sz="0" w:space="0" w:color="auto"/>
            <w:left w:val="none" w:sz="0" w:space="0" w:color="auto"/>
            <w:bottom w:val="none" w:sz="0" w:space="0" w:color="auto"/>
            <w:right w:val="none" w:sz="0" w:space="0" w:color="auto"/>
          </w:divBdr>
          <w:divsChild>
            <w:div w:id="1818764012">
              <w:marLeft w:val="0"/>
              <w:marRight w:val="0"/>
              <w:marTop w:val="0"/>
              <w:marBottom w:val="0"/>
              <w:divBdr>
                <w:top w:val="none" w:sz="0" w:space="0" w:color="auto"/>
                <w:left w:val="none" w:sz="0" w:space="0" w:color="auto"/>
                <w:bottom w:val="none" w:sz="0" w:space="0" w:color="auto"/>
                <w:right w:val="none" w:sz="0" w:space="0" w:color="auto"/>
              </w:divBdr>
              <w:divsChild>
                <w:div w:id="1818764064">
                  <w:marLeft w:val="0"/>
                  <w:marRight w:val="1"/>
                  <w:marTop w:val="0"/>
                  <w:marBottom w:val="0"/>
                  <w:divBdr>
                    <w:top w:val="none" w:sz="0" w:space="0" w:color="auto"/>
                    <w:left w:val="none" w:sz="0" w:space="0" w:color="auto"/>
                    <w:bottom w:val="none" w:sz="0" w:space="0" w:color="auto"/>
                    <w:right w:val="none" w:sz="0" w:space="0" w:color="auto"/>
                  </w:divBdr>
                  <w:divsChild>
                    <w:div w:id="1818764250">
                      <w:marLeft w:val="0"/>
                      <w:marRight w:val="0"/>
                      <w:marTop w:val="0"/>
                      <w:marBottom w:val="0"/>
                      <w:divBdr>
                        <w:top w:val="none" w:sz="0" w:space="0" w:color="auto"/>
                        <w:left w:val="none" w:sz="0" w:space="0" w:color="auto"/>
                        <w:bottom w:val="none" w:sz="0" w:space="0" w:color="auto"/>
                        <w:right w:val="none" w:sz="0" w:space="0" w:color="auto"/>
                      </w:divBdr>
                      <w:divsChild>
                        <w:div w:id="1818763997">
                          <w:marLeft w:val="0"/>
                          <w:marRight w:val="0"/>
                          <w:marTop w:val="0"/>
                          <w:marBottom w:val="0"/>
                          <w:divBdr>
                            <w:top w:val="none" w:sz="0" w:space="0" w:color="auto"/>
                            <w:left w:val="none" w:sz="0" w:space="0" w:color="auto"/>
                            <w:bottom w:val="none" w:sz="0" w:space="0" w:color="auto"/>
                            <w:right w:val="none" w:sz="0" w:space="0" w:color="auto"/>
                          </w:divBdr>
                          <w:divsChild>
                            <w:div w:id="1818763999">
                              <w:marLeft w:val="0"/>
                              <w:marRight w:val="0"/>
                              <w:marTop w:val="120"/>
                              <w:marBottom w:val="360"/>
                              <w:divBdr>
                                <w:top w:val="none" w:sz="0" w:space="0" w:color="auto"/>
                                <w:left w:val="none" w:sz="0" w:space="0" w:color="auto"/>
                                <w:bottom w:val="none" w:sz="0" w:space="0" w:color="auto"/>
                                <w:right w:val="none" w:sz="0" w:space="0" w:color="auto"/>
                              </w:divBdr>
                              <w:divsChild>
                                <w:div w:id="1818764065">
                                  <w:marLeft w:val="0"/>
                                  <w:marRight w:val="0"/>
                                  <w:marTop w:val="0"/>
                                  <w:marBottom w:val="0"/>
                                  <w:divBdr>
                                    <w:top w:val="none" w:sz="0" w:space="0" w:color="auto"/>
                                    <w:left w:val="none" w:sz="0" w:space="0" w:color="auto"/>
                                    <w:bottom w:val="none" w:sz="0" w:space="0" w:color="auto"/>
                                    <w:right w:val="none" w:sz="0" w:space="0" w:color="auto"/>
                                  </w:divBdr>
                                  <w:divsChild>
                                    <w:div w:id="18187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185">
      <w:marLeft w:val="0"/>
      <w:marRight w:val="0"/>
      <w:marTop w:val="0"/>
      <w:marBottom w:val="0"/>
      <w:divBdr>
        <w:top w:val="none" w:sz="0" w:space="0" w:color="auto"/>
        <w:left w:val="none" w:sz="0" w:space="0" w:color="auto"/>
        <w:bottom w:val="none" w:sz="0" w:space="0" w:color="auto"/>
        <w:right w:val="none" w:sz="0" w:space="0" w:color="auto"/>
      </w:divBdr>
      <w:divsChild>
        <w:div w:id="1818764181">
          <w:marLeft w:val="0"/>
          <w:marRight w:val="1"/>
          <w:marTop w:val="0"/>
          <w:marBottom w:val="0"/>
          <w:divBdr>
            <w:top w:val="none" w:sz="0" w:space="0" w:color="auto"/>
            <w:left w:val="none" w:sz="0" w:space="0" w:color="auto"/>
            <w:bottom w:val="none" w:sz="0" w:space="0" w:color="auto"/>
            <w:right w:val="none" w:sz="0" w:space="0" w:color="auto"/>
          </w:divBdr>
          <w:divsChild>
            <w:div w:id="1818764221">
              <w:marLeft w:val="0"/>
              <w:marRight w:val="0"/>
              <w:marTop w:val="0"/>
              <w:marBottom w:val="0"/>
              <w:divBdr>
                <w:top w:val="none" w:sz="0" w:space="0" w:color="auto"/>
                <w:left w:val="none" w:sz="0" w:space="0" w:color="auto"/>
                <w:bottom w:val="none" w:sz="0" w:space="0" w:color="auto"/>
                <w:right w:val="none" w:sz="0" w:space="0" w:color="auto"/>
              </w:divBdr>
              <w:divsChild>
                <w:div w:id="1818764189">
                  <w:marLeft w:val="0"/>
                  <w:marRight w:val="1"/>
                  <w:marTop w:val="0"/>
                  <w:marBottom w:val="0"/>
                  <w:divBdr>
                    <w:top w:val="none" w:sz="0" w:space="0" w:color="auto"/>
                    <w:left w:val="none" w:sz="0" w:space="0" w:color="auto"/>
                    <w:bottom w:val="none" w:sz="0" w:space="0" w:color="auto"/>
                    <w:right w:val="none" w:sz="0" w:space="0" w:color="auto"/>
                  </w:divBdr>
                  <w:divsChild>
                    <w:div w:id="1818764063">
                      <w:marLeft w:val="0"/>
                      <w:marRight w:val="0"/>
                      <w:marTop w:val="0"/>
                      <w:marBottom w:val="0"/>
                      <w:divBdr>
                        <w:top w:val="none" w:sz="0" w:space="0" w:color="auto"/>
                        <w:left w:val="none" w:sz="0" w:space="0" w:color="auto"/>
                        <w:bottom w:val="none" w:sz="0" w:space="0" w:color="auto"/>
                        <w:right w:val="none" w:sz="0" w:space="0" w:color="auto"/>
                      </w:divBdr>
                      <w:divsChild>
                        <w:div w:id="1818764115">
                          <w:marLeft w:val="0"/>
                          <w:marRight w:val="0"/>
                          <w:marTop w:val="0"/>
                          <w:marBottom w:val="0"/>
                          <w:divBdr>
                            <w:top w:val="none" w:sz="0" w:space="0" w:color="auto"/>
                            <w:left w:val="none" w:sz="0" w:space="0" w:color="auto"/>
                            <w:bottom w:val="none" w:sz="0" w:space="0" w:color="auto"/>
                            <w:right w:val="none" w:sz="0" w:space="0" w:color="auto"/>
                          </w:divBdr>
                          <w:divsChild>
                            <w:div w:id="1818764225">
                              <w:marLeft w:val="0"/>
                              <w:marRight w:val="0"/>
                              <w:marTop w:val="120"/>
                              <w:marBottom w:val="360"/>
                              <w:divBdr>
                                <w:top w:val="none" w:sz="0" w:space="0" w:color="auto"/>
                                <w:left w:val="none" w:sz="0" w:space="0" w:color="auto"/>
                                <w:bottom w:val="none" w:sz="0" w:space="0" w:color="auto"/>
                                <w:right w:val="none" w:sz="0" w:space="0" w:color="auto"/>
                              </w:divBdr>
                              <w:divsChild>
                                <w:div w:id="1818764230">
                                  <w:marLeft w:val="0"/>
                                  <w:marRight w:val="0"/>
                                  <w:marTop w:val="0"/>
                                  <w:marBottom w:val="0"/>
                                  <w:divBdr>
                                    <w:top w:val="none" w:sz="0" w:space="0" w:color="auto"/>
                                    <w:left w:val="none" w:sz="0" w:space="0" w:color="auto"/>
                                    <w:bottom w:val="none" w:sz="0" w:space="0" w:color="auto"/>
                                    <w:right w:val="none" w:sz="0" w:space="0" w:color="auto"/>
                                  </w:divBdr>
                                  <w:divsChild>
                                    <w:div w:id="18187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204">
      <w:marLeft w:val="0"/>
      <w:marRight w:val="0"/>
      <w:marTop w:val="0"/>
      <w:marBottom w:val="0"/>
      <w:divBdr>
        <w:top w:val="none" w:sz="0" w:space="0" w:color="auto"/>
        <w:left w:val="none" w:sz="0" w:space="0" w:color="auto"/>
        <w:bottom w:val="none" w:sz="0" w:space="0" w:color="auto"/>
        <w:right w:val="none" w:sz="0" w:space="0" w:color="auto"/>
      </w:divBdr>
      <w:divsChild>
        <w:div w:id="1818764045">
          <w:marLeft w:val="0"/>
          <w:marRight w:val="1"/>
          <w:marTop w:val="0"/>
          <w:marBottom w:val="0"/>
          <w:divBdr>
            <w:top w:val="none" w:sz="0" w:space="0" w:color="auto"/>
            <w:left w:val="none" w:sz="0" w:space="0" w:color="auto"/>
            <w:bottom w:val="none" w:sz="0" w:space="0" w:color="auto"/>
            <w:right w:val="none" w:sz="0" w:space="0" w:color="auto"/>
          </w:divBdr>
          <w:divsChild>
            <w:div w:id="1818764252">
              <w:marLeft w:val="0"/>
              <w:marRight w:val="0"/>
              <w:marTop w:val="0"/>
              <w:marBottom w:val="0"/>
              <w:divBdr>
                <w:top w:val="none" w:sz="0" w:space="0" w:color="auto"/>
                <w:left w:val="none" w:sz="0" w:space="0" w:color="auto"/>
                <w:bottom w:val="none" w:sz="0" w:space="0" w:color="auto"/>
                <w:right w:val="none" w:sz="0" w:space="0" w:color="auto"/>
              </w:divBdr>
              <w:divsChild>
                <w:div w:id="1818764153">
                  <w:marLeft w:val="0"/>
                  <w:marRight w:val="1"/>
                  <w:marTop w:val="0"/>
                  <w:marBottom w:val="0"/>
                  <w:divBdr>
                    <w:top w:val="none" w:sz="0" w:space="0" w:color="auto"/>
                    <w:left w:val="none" w:sz="0" w:space="0" w:color="auto"/>
                    <w:bottom w:val="none" w:sz="0" w:space="0" w:color="auto"/>
                    <w:right w:val="none" w:sz="0" w:space="0" w:color="auto"/>
                  </w:divBdr>
                  <w:divsChild>
                    <w:div w:id="1818764251">
                      <w:marLeft w:val="0"/>
                      <w:marRight w:val="0"/>
                      <w:marTop w:val="0"/>
                      <w:marBottom w:val="0"/>
                      <w:divBdr>
                        <w:top w:val="none" w:sz="0" w:space="0" w:color="auto"/>
                        <w:left w:val="none" w:sz="0" w:space="0" w:color="auto"/>
                        <w:bottom w:val="none" w:sz="0" w:space="0" w:color="auto"/>
                        <w:right w:val="none" w:sz="0" w:space="0" w:color="auto"/>
                      </w:divBdr>
                      <w:divsChild>
                        <w:div w:id="1818764205">
                          <w:marLeft w:val="0"/>
                          <w:marRight w:val="0"/>
                          <w:marTop w:val="0"/>
                          <w:marBottom w:val="0"/>
                          <w:divBdr>
                            <w:top w:val="none" w:sz="0" w:space="0" w:color="auto"/>
                            <w:left w:val="none" w:sz="0" w:space="0" w:color="auto"/>
                            <w:bottom w:val="none" w:sz="0" w:space="0" w:color="auto"/>
                            <w:right w:val="none" w:sz="0" w:space="0" w:color="auto"/>
                          </w:divBdr>
                          <w:divsChild>
                            <w:div w:id="1818764219">
                              <w:marLeft w:val="0"/>
                              <w:marRight w:val="0"/>
                              <w:marTop w:val="120"/>
                              <w:marBottom w:val="360"/>
                              <w:divBdr>
                                <w:top w:val="none" w:sz="0" w:space="0" w:color="auto"/>
                                <w:left w:val="none" w:sz="0" w:space="0" w:color="auto"/>
                                <w:bottom w:val="none" w:sz="0" w:space="0" w:color="auto"/>
                                <w:right w:val="none" w:sz="0" w:space="0" w:color="auto"/>
                              </w:divBdr>
                              <w:divsChild>
                                <w:div w:id="1818764001">
                                  <w:marLeft w:val="0"/>
                                  <w:marRight w:val="0"/>
                                  <w:marTop w:val="0"/>
                                  <w:marBottom w:val="0"/>
                                  <w:divBdr>
                                    <w:top w:val="none" w:sz="0" w:space="0" w:color="auto"/>
                                    <w:left w:val="none" w:sz="0" w:space="0" w:color="auto"/>
                                    <w:bottom w:val="none" w:sz="0" w:space="0" w:color="auto"/>
                                    <w:right w:val="none" w:sz="0" w:space="0" w:color="auto"/>
                                  </w:divBdr>
                                  <w:divsChild>
                                    <w:div w:id="18187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211">
      <w:marLeft w:val="0"/>
      <w:marRight w:val="0"/>
      <w:marTop w:val="0"/>
      <w:marBottom w:val="0"/>
      <w:divBdr>
        <w:top w:val="none" w:sz="0" w:space="0" w:color="auto"/>
        <w:left w:val="none" w:sz="0" w:space="0" w:color="auto"/>
        <w:bottom w:val="none" w:sz="0" w:space="0" w:color="auto"/>
        <w:right w:val="none" w:sz="0" w:space="0" w:color="auto"/>
      </w:divBdr>
      <w:divsChild>
        <w:div w:id="1818764199">
          <w:marLeft w:val="0"/>
          <w:marRight w:val="1"/>
          <w:marTop w:val="0"/>
          <w:marBottom w:val="0"/>
          <w:divBdr>
            <w:top w:val="none" w:sz="0" w:space="0" w:color="auto"/>
            <w:left w:val="none" w:sz="0" w:space="0" w:color="auto"/>
            <w:bottom w:val="none" w:sz="0" w:space="0" w:color="auto"/>
            <w:right w:val="none" w:sz="0" w:space="0" w:color="auto"/>
          </w:divBdr>
          <w:divsChild>
            <w:div w:id="1818764003">
              <w:marLeft w:val="0"/>
              <w:marRight w:val="0"/>
              <w:marTop w:val="0"/>
              <w:marBottom w:val="0"/>
              <w:divBdr>
                <w:top w:val="none" w:sz="0" w:space="0" w:color="auto"/>
                <w:left w:val="none" w:sz="0" w:space="0" w:color="auto"/>
                <w:bottom w:val="none" w:sz="0" w:space="0" w:color="auto"/>
                <w:right w:val="none" w:sz="0" w:space="0" w:color="auto"/>
              </w:divBdr>
              <w:divsChild>
                <w:div w:id="1818764162">
                  <w:marLeft w:val="0"/>
                  <w:marRight w:val="1"/>
                  <w:marTop w:val="0"/>
                  <w:marBottom w:val="0"/>
                  <w:divBdr>
                    <w:top w:val="none" w:sz="0" w:space="0" w:color="auto"/>
                    <w:left w:val="none" w:sz="0" w:space="0" w:color="auto"/>
                    <w:bottom w:val="none" w:sz="0" w:space="0" w:color="auto"/>
                    <w:right w:val="none" w:sz="0" w:space="0" w:color="auto"/>
                  </w:divBdr>
                  <w:divsChild>
                    <w:div w:id="1818764128">
                      <w:marLeft w:val="0"/>
                      <w:marRight w:val="0"/>
                      <w:marTop w:val="0"/>
                      <w:marBottom w:val="0"/>
                      <w:divBdr>
                        <w:top w:val="none" w:sz="0" w:space="0" w:color="auto"/>
                        <w:left w:val="none" w:sz="0" w:space="0" w:color="auto"/>
                        <w:bottom w:val="none" w:sz="0" w:space="0" w:color="auto"/>
                        <w:right w:val="none" w:sz="0" w:space="0" w:color="auto"/>
                      </w:divBdr>
                      <w:divsChild>
                        <w:div w:id="1818764061">
                          <w:marLeft w:val="0"/>
                          <w:marRight w:val="0"/>
                          <w:marTop w:val="0"/>
                          <w:marBottom w:val="0"/>
                          <w:divBdr>
                            <w:top w:val="none" w:sz="0" w:space="0" w:color="auto"/>
                            <w:left w:val="none" w:sz="0" w:space="0" w:color="auto"/>
                            <w:bottom w:val="none" w:sz="0" w:space="0" w:color="auto"/>
                            <w:right w:val="none" w:sz="0" w:space="0" w:color="auto"/>
                          </w:divBdr>
                          <w:divsChild>
                            <w:div w:id="1818764105">
                              <w:marLeft w:val="0"/>
                              <w:marRight w:val="0"/>
                              <w:marTop w:val="120"/>
                              <w:marBottom w:val="360"/>
                              <w:divBdr>
                                <w:top w:val="none" w:sz="0" w:space="0" w:color="auto"/>
                                <w:left w:val="none" w:sz="0" w:space="0" w:color="auto"/>
                                <w:bottom w:val="none" w:sz="0" w:space="0" w:color="auto"/>
                                <w:right w:val="none" w:sz="0" w:space="0" w:color="auto"/>
                              </w:divBdr>
                              <w:divsChild>
                                <w:div w:id="1818764127">
                                  <w:marLeft w:val="0"/>
                                  <w:marRight w:val="0"/>
                                  <w:marTop w:val="0"/>
                                  <w:marBottom w:val="0"/>
                                  <w:divBdr>
                                    <w:top w:val="none" w:sz="0" w:space="0" w:color="auto"/>
                                    <w:left w:val="none" w:sz="0" w:space="0" w:color="auto"/>
                                    <w:bottom w:val="none" w:sz="0" w:space="0" w:color="auto"/>
                                    <w:right w:val="none" w:sz="0" w:space="0" w:color="auto"/>
                                  </w:divBdr>
                                  <w:divsChild>
                                    <w:div w:id="18187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216">
      <w:marLeft w:val="0"/>
      <w:marRight w:val="0"/>
      <w:marTop w:val="0"/>
      <w:marBottom w:val="0"/>
      <w:divBdr>
        <w:top w:val="none" w:sz="0" w:space="0" w:color="auto"/>
        <w:left w:val="none" w:sz="0" w:space="0" w:color="auto"/>
        <w:bottom w:val="none" w:sz="0" w:space="0" w:color="auto"/>
        <w:right w:val="none" w:sz="0" w:space="0" w:color="auto"/>
      </w:divBdr>
      <w:divsChild>
        <w:div w:id="1818764194">
          <w:marLeft w:val="0"/>
          <w:marRight w:val="1"/>
          <w:marTop w:val="0"/>
          <w:marBottom w:val="0"/>
          <w:divBdr>
            <w:top w:val="none" w:sz="0" w:space="0" w:color="auto"/>
            <w:left w:val="none" w:sz="0" w:space="0" w:color="auto"/>
            <w:bottom w:val="none" w:sz="0" w:space="0" w:color="auto"/>
            <w:right w:val="none" w:sz="0" w:space="0" w:color="auto"/>
          </w:divBdr>
          <w:divsChild>
            <w:div w:id="1818764111">
              <w:marLeft w:val="0"/>
              <w:marRight w:val="0"/>
              <w:marTop w:val="0"/>
              <w:marBottom w:val="0"/>
              <w:divBdr>
                <w:top w:val="none" w:sz="0" w:space="0" w:color="auto"/>
                <w:left w:val="none" w:sz="0" w:space="0" w:color="auto"/>
                <w:bottom w:val="none" w:sz="0" w:space="0" w:color="auto"/>
                <w:right w:val="none" w:sz="0" w:space="0" w:color="auto"/>
              </w:divBdr>
              <w:divsChild>
                <w:div w:id="1818764193">
                  <w:marLeft w:val="0"/>
                  <w:marRight w:val="1"/>
                  <w:marTop w:val="0"/>
                  <w:marBottom w:val="0"/>
                  <w:divBdr>
                    <w:top w:val="none" w:sz="0" w:space="0" w:color="auto"/>
                    <w:left w:val="none" w:sz="0" w:space="0" w:color="auto"/>
                    <w:bottom w:val="none" w:sz="0" w:space="0" w:color="auto"/>
                    <w:right w:val="none" w:sz="0" w:space="0" w:color="auto"/>
                  </w:divBdr>
                  <w:divsChild>
                    <w:div w:id="1818764073">
                      <w:marLeft w:val="0"/>
                      <w:marRight w:val="0"/>
                      <w:marTop w:val="0"/>
                      <w:marBottom w:val="0"/>
                      <w:divBdr>
                        <w:top w:val="none" w:sz="0" w:space="0" w:color="auto"/>
                        <w:left w:val="none" w:sz="0" w:space="0" w:color="auto"/>
                        <w:bottom w:val="none" w:sz="0" w:space="0" w:color="auto"/>
                        <w:right w:val="none" w:sz="0" w:space="0" w:color="auto"/>
                      </w:divBdr>
                      <w:divsChild>
                        <w:div w:id="1818764246">
                          <w:marLeft w:val="0"/>
                          <w:marRight w:val="0"/>
                          <w:marTop w:val="0"/>
                          <w:marBottom w:val="0"/>
                          <w:divBdr>
                            <w:top w:val="none" w:sz="0" w:space="0" w:color="auto"/>
                            <w:left w:val="none" w:sz="0" w:space="0" w:color="auto"/>
                            <w:bottom w:val="none" w:sz="0" w:space="0" w:color="auto"/>
                            <w:right w:val="none" w:sz="0" w:space="0" w:color="auto"/>
                          </w:divBdr>
                          <w:divsChild>
                            <w:div w:id="1818764081">
                              <w:marLeft w:val="0"/>
                              <w:marRight w:val="0"/>
                              <w:marTop w:val="120"/>
                              <w:marBottom w:val="360"/>
                              <w:divBdr>
                                <w:top w:val="none" w:sz="0" w:space="0" w:color="auto"/>
                                <w:left w:val="none" w:sz="0" w:space="0" w:color="auto"/>
                                <w:bottom w:val="none" w:sz="0" w:space="0" w:color="auto"/>
                                <w:right w:val="none" w:sz="0" w:space="0" w:color="auto"/>
                              </w:divBdr>
                              <w:divsChild>
                                <w:div w:id="1818764051">
                                  <w:marLeft w:val="0"/>
                                  <w:marRight w:val="0"/>
                                  <w:marTop w:val="0"/>
                                  <w:marBottom w:val="0"/>
                                  <w:divBdr>
                                    <w:top w:val="none" w:sz="0" w:space="0" w:color="auto"/>
                                    <w:left w:val="none" w:sz="0" w:space="0" w:color="auto"/>
                                    <w:bottom w:val="none" w:sz="0" w:space="0" w:color="auto"/>
                                    <w:right w:val="none" w:sz="0" w:space="0" w:color="auto"/>
                                  </w:divBdr>
                                  <w:divsChild>
                                    <w:div w:id="18187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232">
      <w:marLeft w:val="0"/>
      <w:marRight w:val="0"/>
      <w:marTop w:val="0"/>
      <w:marBottom w:val="0"/>
      <w:divBdr>
        <w:top w:val="none" w:sz="0" w:space="0" w:color="auto"/>
        <w:left w:val="none" w:sz="0" w:space="0" w:color="auto"/>
        <w:bottom w:val="none" w:sz="0" w:space="0" w:color="auto"/>
        <w:right w:val="none" w:sz="0" w:space="0" w:color="auto"/>
      </w:divBdr>
      <w:divsChild>
        <w:div w:id="1818764218">
          <w:marLeft w:val="0"/>
          <w:marRight w:val="1"/>
          <w:marTop w:val="0"/>
          <w:marBottom w:val="0"/>
          <w:divBdr>
            <w:top w:val="none" w:sz="0" w:space="0" w:color="auto"/>
            <w:left w:val="none" w:sz="0" w:space="0" w:color="auto"/>
            <w:bottom w:val="none" w:sz="0" w:space="0" w:color="auto"/>
            <w:right w:val="none" w:sz="0" w:space="0" w:color="auto"/>
          </w:divBdr>
          <w:divsChild>
            <w:div w:id="1818764039">
              <w:marLeft w:val="0"/>
              <w:marRight w:val="0"/>
              <w:marTop w:val="0"/>
              <w:marBottom w:val="0"/>
              <w:divBdr>
                <w:top w:val="none" w:sz="0" w:space="0" w:color="auto"/>
                <w:left w:val="none" w:sz="0" w:space="0" w:color="auto"/>
                <w:bottom w:val="none" w:sz="0" w:space="0" w:color="auto"/>
                <w:right w:val="none" w:sz="0" w:space="0" w:color="auto"/>
              </w:divBdr>
              <w:divsChild>
                <w:div w:id="1818764262">
                  <w:marLeft w:val="0"/>
                  <w:marRight w:val="1"/>
                  <w:marTop w:val="0"/>
                  <w:marBottom w:val="0"/>
                  <w:divBdr>
                    <w:top w:val="none" w:sz="0" w:space="0" w:color="auto"/>
                    <w:left w:val="none" w:sz="0" w:space="0" w:color="auto"/>
                    <w:bottom w:val="none" w:sz="0" w:space="0" w:color="auto"/>
                    <w:right w:val="none" w:sz="0" w:space="0" w:color="auto"/>
                  </w:divBdr>
                  <w:divsChild>
                    <w:div w:id="1818764258">
                      <w:marLeft w:val="0"/>
                      <w:marRight w:val="0"/>
                      <w:marTop w:val="0"/>
                      <w:marBottom w:val="0"/>
                      <w:divBdr>
                        <w:top w:val="none" w:sz="0" w:space="0" w:color="auto"/>
                        <w:left w:val="none" w:sz="0" w:space="0" w:color="auto"/>
                        <w:bottom w:val="none" w:sz="0" w:space="0" w:color="auto"/>
                        <w:right w:val="none" w:sz="0" w:space="0" w:color="auto"/>
                      </w:divBdr>
                      <w:divsChild>
                        <w:div w:id="1818764228">
                          <w:marLeft w:val="0"/>
                          <w:marRight w:val="0"/>
                          <w:marTop w:val="0"/>
                          <w:marBottom w:val="0"/>
                          <w:divBdr>
                            <w:top w:val="none" w:sz="0" w:space="0" w:color="auto"/>
                            <w:left w:val="none" w:sz="0" w:space="0" w:color="auto"/>
                            <w:bottom w:val="none" w:sz="0" w:space="0" w:color="auto"/>
                            <w:right w:val="none" w:sz="0" w:space="0" w:color="auto"/>
                          </w:divBdr>
                          <w:divsChild>
                            <w:div w:id="1818764021">
                              <w:marLeft w:val="0"/>
                              <w:marRight w:val="0"/>
                              <w:marTop w:val="120"/>
                              <w:marBottom w:val="360"/>
                              <w:divBdr>
                                <w:top w:val="none" w:sz="0" w:space="0" w:color="auto"/>
                                <w:left w:val="none" w:sz="0" w:space="0" w:color="auto"/>
                                <w:bottom w:val="none" w:sz="0" w:space="0" w:color="auto"/>
                                <w:right w:val="none" w:sz="0" w:space="0" w:color="auto"/>
                              </w:divBdr>
                              <w:divsChild>
                                <w:div w:id="1818764135">
                                  <w:marLeft w:val="0"/>
                                  <w:marRight w:val="0"/>
                                  <w:marTop w:val="0"/>
                                  <w:marBottom w:val="0"/>
                                  <w:divBdr>
                                    <w:top w:val="none" w:sz="0" w:space="0" w:color="auto"/>
                                    <w:left w:val="none" w:sz="0" w:space="0" w:color="auto"/>
                                    <w:bottom w:val="none" w:sz="0" w:space="0" w:color="auto"/>
                                    <w:right w:val="none" w:sz="0" w:space="0" w:color="auto"/>
                                  </w:divBdr>
                                  <w:divsChild>
                                    <w:div w:id="18187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239">
      <w:marLeft w:val="0"/>
      <w:marRight w:val="0"/>
      <w:marTop w:val="0"/>
      <w:marBottom w:val="0"/>
      <w:divBdr>
        <w:top w:val="none" w:sz="0" w:space="0" w:color="auto"/>
        <w:left w:val="none" w:sz="0" w:space="0" w:color="auto"/>
        <w:bottom w:val="none" w:sz="0" w:space="0" w:color="auto"/>
        <w:right w:val="none" w:sz="0" w:space="0" w:color="auto"/>
      </w:divBdr>
      <w:divsChild>
        <w:div w:id="1818764028">
          <w:marLeft w:val="0"/>
          <w:marRight w:val="1"/>
          <w:marTop w:val="0"/>
          <w:marBottom w:val="0"/>
          <w:divBdr>
            <w:top w:val="none" w:sz="0" w:space="0" w:color="auto"/>
            <w:left w:val="none" w:sz="0" w:space="0" w:color="auto"/>
            <w:bottom w:val="none" w:sz="0" w:space="0" w:color="auto"/>
            <w:right w:val="none" w:sz="0" w:space="0" w:color="auto"/>
          </w:divBdr>
          <w:divsChild>
            <w:div w:id="1818764186">
              <w:marLeft w:val="0"/>
              <w:marRight w:val="0"/>
              <w:marTop w:val="0"/>
              <w:marBottom w:val="0"/>
              <w:divBdr>
                <w:top w:val="none" w:sz="0" w:space="0" w:color="auto"/>
                <w:left w:val="none" w:sz="0" w:space="0" w:color="auto"/>
                <w:bottom w:val="none" w:sz="0" w:space="0" w:color="auto"/>
                <w:right w:val="none" w:sz="0" w:space="0" w:color="auto"/>
              </w:divBdr>
              <w:divsChild>
                <w:div w:id="1818764075">
                  <w:marLeft w:val="0"/>
                  <w:marRight w:val="1"/>
                  <w:marTop w:val="0"/>
                  <w:marBottom w:val="0"/>
                  <w:divBdr>
                    <w:top w:val="none" w:sz="0" w:space="0" w:color="auto"/>
                    <w:left w:val="none" w:sz="0" w:space="0" w:color="auto"/>
                    <w:bottom w:val="none" w:sz="0" w:space="0" w:color="auto"/>
                    <w:right w:val="none" w:sz="0" w:space="0" w:color="auto"/>
                  </w:divBdr>
                  <w:divsChild>
                    <w:div w:id="1818764048">
                      <w:marLeft w:val="0"/>
                      <w:marRight w:val="0"/>
                      <w:marTop w:val="0"/>
                      <w:marBottom w:val="0"/>
                      <w:divBdr>
                        <w:top w:val="none" w:sz="0" w:space="0" w:color="auto"/>
                        <w:left w:val="none" w:sz="0" w:space="0" w:color="auto"/>
                        <w:bottom w:val="none" w:sz="0" w:space="0" w:color="auto"/>
                        <w:right w:val="none" w:sz="0" w:space="0" w:color="auto"/>
                      </w:divBdr>
                      <w:divsChild>
                        <w:div w:id="1818764058">
                          <w:marLeft w:val="0"/>
                          <w:marRight w:val="0"/>
                          <w:marTop w:val="0"/>
                          <w:marBottom w:val="0"/>
                          <w:divBdr>
                            <w:top w:val="none" w:sz="0" w:space="0" w:color="auto"/>
                            <w:left w:val="none" w:sz="0" w:space="0" w:color="auto"/>
                            <w:bottom w:val="none" w:sz="0" w:space="0" w:color="auto"/>
                            <w:right w:val="none" w:sz="0" w:space="0" w:color="auto"/>
                          </w:divBdr>
                          <w:divsChild>
                            <w:div w:id="1818764076">
                              <w:marLeft w:val="0"/>
                              <w:marRight w:val="0"/>
                              <w:marTop w:val="120"/>
                              <w:marBottom w:val="360"/>
                              <w:divBdr>
                                <w:top w:val="none" w:sz="0" w:space="0" w:color="auto"/>
                                <w:left w:val="none" w:sz="0" w:space="0" w:color="auto"/>
                                <w:bottom w:val="none" w:sz="0" w:space="0" w:color="auto"/>
                                <w:right w:val="none" w:sz="0" w:space="0" w:color="auto"/>
                              </w:divBdr>
                              <w:divsChild>
                                <w:div w:id="1818764099">
                                  <w:marLeft w:val="0"/>
                                  <w:marRight w:val="0"/>
                                  <w:marTop w:val="0"/>
                                  <w:marBottom w:val="0"/>
                                  <w:divBdr>
                                    <w:top w:val="none" w:sz="0" w:space="0" w:color="auto"/>
                                    <w:left w:val="none" w:sz="0" w:space="0" w:color="auto"/>
                                    <w:bottom w:val="none" w:sz="0" w:space="0" w:color="auto"/>
                                    <w:right w:val="none" w:sz="0" w:space="0" w:color="auto"/>
                                  </w:divBdr>
                                  <w:divsChild>
                                    <w:div w:id="18187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242">
      <w:marLeft w:val="0"/>
      <w:marRight w:val="0"/>
      <w:marTop w:val="0"/>
      <w:marBottom w:val="0"/>
      <w:divBdr>
        <w:top w:val="none" w:sz="0" w:space="0" w:color="auto"/>
        <w:left w:val="none" w:sz="0" w:space="0" w:color="auto"/>
        <w:bottom w:val="none" w:sz="0" w:space="0" w:color="auto"/>
        <w:right w:val="none" w:sz="0" w:space="0" w:color="auto"/>
      </w:divBdr>
    </w:div>
    <w:div w:id="1818764243">
      <w:marLeft w:val="0"/>
      <w:marRight w:val="0"/>
      <w:marTop w:val="0"/>
      <w:marBottom w:val="0"/>
      <w:divBdr>
        <w:top w:val="none" w:sz="0" w:space="0" w:color="auto"/>
        <w:left w:val="none" w:sz="0" w:space="0" w:color="auto"/>
        <w:bottom w:val="none" w:sz="0" w:space="0" w:color="auto"/>
        <w:right w:val="none" w:sz="0" w:space="0" w:color="auto"/>
      </w:divBdr>
      <w:divsChild>
        <w:div w:id="1818764163">
          <w:marLeft w:val="0"/>
          <w:marRight w:val="1"/>
          <w:marTop w:val="0"/>
          <w:marBottom w:val="0"/>
          <w:divBdr>
            <w:top w:val="none" w:sz="0" w:space="0" w:color="auto"/>
            <w:left w:val="none" w:sz="0" w:space="0" w:color="auto"/>
            <w:bottom w:val="none" w:sz="0" w:space="0" w:color="auto"/>
            <w:right w:val="none" w:sz="0" w:space="0" w:color="auto"/>
          </w:divBdr>
          <w:divsChild>
            <w:div w:id="1818764055">
              <w:marLeft w:val="0"/>
              <w:marRight w:val="0"/>
              <w:marTop w:val="0"/>
              <w:marBottom w:val="0"/>
              <w:divBdr>
                <w:top w:val="none" w:sz="0" w:space="0" w:color="auto"/>
                <w:left w:val="none" w:sz="0" w:space="0" w:color="auto"/>
                <w:bottom w:val="none" w:sz="0" w:space="0" w:color="auto"/>
                <w:right w:val="none" w:sz="0" w:space="0" w:color="auto"/>
              </w:divBdr>
              <w:divsChild>
                <w:div w:id="1818764160">
                  <w:marLeft w:val="0"/>
                  <w:marRight w:val="1"/>
                  <w:marTop w:val="0"/>
                  <w:marBottom w:val="0"/>
                  <w:divBdr>
                    <w:top w:val="none" w:sz="0" w:space="0" w:color="auto"/>
                    <w:left w:val="none" w:sz="0" w:space="0" w:color="auto"/>
                    <w:bottom w:val="none" w:sz="0" w:space="0" w:color="auto"/>
                    <w:right w:val="none" w:sz="0" w:space="0" w:color="auto"/>
                  </w:divBdr>
                  <w:divsChild>
                    <w:div w:id="1818764032">
                      <w:marLeft w:val="0"/>
                      <w:marRight w:val="0"/>
                      <w:marTop w:val="0"/>
                      <w:marBottom w:val="0"/>
                      <w:divBdr>
                        <w:top w:val="none" w:sz="0" w:space="0" w:color="auto"/>
                        <w:left w:val="none" w:sz="0" w:space="0" w:color="auto"/>
                        <w:bottom w:val="none" w:sz="0" w:space="0" w:color="auto"/>
                        <w:right w:val="none" w:sz="0" w:space="0" w:color="auto"/>
                      </w:divBdr>
                      <w:divsChild>
                        <w:div w:id="1818764196">
                          <w:marLeft w:val="0"/>
                          <w:marRight w:val="0"/>
                          <w:marTop w:val="0"/>
                          <w:marBottom w:val="0"/>
                          <w:divBdr>
                            <w:top w:val="none" w:sz="0" w:space="0" w:color="auto"/>
                            <w:left w:val="none" w:sz="0" w:space="0" w:color="auto"/>
                            <w:bottom w:val="none" w:sz="0" w:space="0" w:color="auto"/>
                            <w:right w:val="none" w:sz="0" w:space="0" w:color="auto"/>
                          </w:divBdr>
                          <w:divsChild>
                            <w:div w:id="1818764131">
                              <w:marLeft w:val="0"/>
                              <w:marRight w:val="0"/>
                              <w:marTop w:val="120"/>
                              <w:marBottom w:val="360"/>
                              <w:divBdr>
                                <w:top w:val="none" w:sz="0" w:space="0" w:color="auto"/>
                                <w:left w:val="none" w:sz="0" w:space="0" w:color="auto"/>
                                <w:bottom w:val="none" w:sz="0" w:space="0" w:color="auto"/>
                                <w:right w:val="none" w:sz="0" w:space="0" w:color="auto"/>
                              </w:divBdr>
                              <w:divsChild>
                                <w:div w:id="1818764192">
                                  <w:marLeft w:val="0"/>
                                  <w:marRight w:val="0"/>
                                  <w:marTop w:val="0"/>
                                  <w:marBottom w:val="0"/>
                                  <w:divBdr>
                                    <w:top w:val="none" w:sz="0" w:space="0" w:color="auto"/>
                                    <w:left w:val="none" w:sz="0" w:space="0" w:color="auto"/>
                                    <w:bottom w:val="none" w:sz="0" w:space="0" w:color="auto"/>
                                    <w:right w:val="none" w:sz="0" w:space="0" w:color="auto"/>
                                  </w:divBdr>
                                  <w:divsChild>
                                    <w:div w:id="18187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244">
      <w:marLeft w:val="0"/>
      <w:marRight w:val="0"/>
      <w:marTop w:val="0"/>
      <w:marBottom w:val="0"/>
      <w:divBdr>
        <w:top w:val="none" w:sz="0" w:space="0" w:color="auto"/>
        <w:left w:val="none" w:sz="0" w:space="0" w:color="auto"/>
        <w:bottom w:val="none" w:sz="0" w:space="0" w:color="auto"/>
        <w:right w:val="none" w:sz="0" w:space="0" w:color="auto"/>
      </w:divBdr>
      <w:divsChild>
        <w:div w:id="1818764101">
          <w:marLeft w:val="0"/>
          <w:marRight w:val="1"/>
          <w:marTop w:val="0"/>
          <w:marBottom w:val="0"/>
          <w:divBdr>
            <w:top w:val="none" w:sz="0" w:space="0" w:color="auto"/>
            <w:left w:val="none" w:sz="0" w:space="0" w:color="auto"/>
            <w:bottom w:val="none" w:sz="0" w:space="0" w:color="auto"/>
            <w:right w:val="none" w:sz="0" w:space="0" w:color="auto"/>
          </w:divBdr>
          <w:divsChild>
            <w:div w:id="1818764014">
              <w:marLeft w:val="0"/>
              <w:marRight w:val="0"/>
              <w:marTop w:val="0"/>
              <w:marBottom w:val="0"/>
              <w:divBdr>
                <w:top w:val="none" w:sz="0" w:space="0" w:color="auto"/>
                <w:left w:val="none" w:sz="0" w:space="0" w:color="auto"/>
                <w:bottom w:val="none" w:sz="0" w:space="0" w:color="auto"/>
                <w:right w:val="none" w:sz="0" w:space="0" w:color="auto"/>
              </w:divBdr>
              <w:divsChild>
                <w:div w:id="1818764206">
                  <w:marLeft w:val="0"/>
                  <w:marRight w:val="1"/>
                  <w:marTop w:val="0"/>
                  <w:marBottom w:val="0"/>
                  <w:divBdr>
                    <w:top w:val="none" w:sz="0" w:space="0" w:color="auto"/>
                    <w:left w:val="none" w:sz="0" w:space="0" w:color="auto"/>
                    <w:bottom w:val="none" w:sz="0" w:space="0" w:color="auto"/>
                    <w:right w:val="none" w:sz="0" w:space="0" w:color="auto"/>
                  </w:divBdr>
                  <w:divsChild>
                    <w:div w:id="1818764057">
                      <w:marLeft w:val="0"/>
                      <w:marRight w:val="0"/>
                      <w:marTop w:val="0"/>
                      <w:marBottom w:val="0"/>
                      <w:divBdr>
                        <w:top w:val="none" w:sz="0" w:space="0" w:color="auto"/>
                        <w:left w:val="none" w:sz="0" w:space="0" w:color="auto"/>
                        <w:bottom w:val="none" w:sz="0" w:space="0" w:color="auto"/>
                        <w:right w:val="none" w:sz="0" w:space="0" w:color="auto"/>
                      </w:divBdr>
                      <w:divsChild>
                        <w:div w:id="1818764031">
                          <w:marLeft w:val="0"/>
                          <w:marRight w:val="0"/>
                          <w:marTop w:val="0"/>
                          <w:marBottom w:val="0"/>
                          <w:divBdr>
                            <w:top w:val="none" w:sz="0" w:space="0" w:color="auto"/>
                            <w:left w:val="none" w:sz="0" w:space="0" w:color="auto"/>
                            <w:bottom w:val="none" w:sz="0" w:space="0" w:color="auto"/>
                            <w:right w:val="none" w:sz="0" w:space="0" w:color="auto"/>
                          </w:divBdr>
                          <w:divsChild>
                            <w:div w:id="1818764072">
                              <w:marLeft w:val="0"/>
                              <w:marRight w:val="0"/>
                              <w:marTop w:val="120"/>
                              <w:marBottom w:val="360"/>
                              <w:divBdr>
                                <w:top w:val="none" w:sz="0" w:space="0" w:color="auto"/>
                                <w:left w:val="none" w:sz="0" w:space="0" w:color="auto"/>
                                <w:bottom w:val="none" w:sz="0" w:space="0" w:color="auto"/>
                                <w:right w:val="none" w:sz="0" w:space="0" w:color="auto"/>
                              </w:divBdr>
                              <w:divsChild>
                                <w:div w:id="1818764139">
                                  <w:marLeft w:val="0"/>
                                  <w:marRight w:val="0"/>
                                  <w:marTop w:val="0"/>
                                  <w:marBottom w:val="0"/>
                                  <w:divBdr>
                                    <w:top w:val="none" w:sz="0" w:space="0" w:color="auto"/>
                                    <w:left w:val="none" w:sz="0" w:space="0" w:color="auto"/>
                                    <w:bottom w:val="none" w:sz="0" w:space="0" w:color="auto"/>
                                    <w:right w:val="none" w:sz="0" w:space="0" w:color="auto"/>
                                  </w:divBdr>
                                  <w:divsChild>
                                    <w:div w:id="18187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4255">
      <w:marLeft w:val="0"/>
      <w:marRight w:val="0"/>
      <w:marTop w:val="0"/>
      <w:marBottom w:val="0"/>
      <w:divBdr>
        <w:top w:val="none" w:sz="0" w:space="0" w:color="auto"/>
        <w:left w:val="none" w:sz="0" w:space="0" w:color="auto"/>
        <w:bottom w:val="none" w:sz="0" w:space="0" w:color="auto"/>
        <w:right w:val="none" w:sz="0" w:space="0" w:color="auto"/>
      </w:divBdr>
      <w:divsChild>
        <w:div w:id="1818764034">
          <w:marLeft w:val="0"/>
          <w:marRight w:val="1"/>
          <w:marTop w:val="0"/>
          <w:marBottom w:val="0"/>
          <w:divBdr>
            <w:top w:val="none" w:sz="0" w:space="0" w:color="auto"/>
            <w:left w:val="none" w:sz="0" w:space="0" w:color="auto"/>
            <w:bottom w:val="none" w:sz="0" w:space="0" w:color="auto"/>
            <w:right w:val="none" w:sz="0" w:space="0" w:color="auto"/>
          </w:divBdr>
          <w:divsChild>
            <w:div w:id="1818764079">
              <w:marLeft w:val="0"/>
              <w:marRight w:val="0"/>
              <w:marTop w:val="0"/>
              <w:marBottom w:val="0"/>
              <w:divBdr>
                <w:top w:val="none" w:sz="0" w:space="0" w:color="auto"/>
                <w:left w:val="none" w:sz="0" w:space="0" w:color="auto"/>
                <w:bottom w:val="none" w:sz="0" w:space="0" w:color="auto"/>
                <w:right w:val="none" w:sz="0" w:space="0" w:color="auto"/>
              </w:divBdr>
              <w:divsChild>
                <w:div w:id="1818764188">
                  <w:marLeft w:val="0"/>
                  <w:marRight w:val="1"/>
                  <w:marTop w:val="0"/>
                  <w:marBottom w:val="0"/>
                  <w:divBdr>
                    <w:top w:val="none" w:sz="0" w:space="0" w:color="auto"/>
                    <w:left w:val="none" w:sz="0" w:space="0" w:color="auto"/>
                    <w:bottom w:val="none" w:sz="0" w:space="0" w:color="auto"/>
                    <w:right w:val="none" w:sz="0" w:space="0" w:color="auto"/>
                  </w:divBdr>
                  <w:divsChild>
                    <w:div w:id="1818764238">
                      <w:marLeft w:val="0"/>
                      <w:marRight w:val="0"/>
                      <w:marTop w:val="0"/>
                      <w:marBottom w:val="0"/>
                      <w:divBdr>
                        <w:top w:val="none" w:sz="0" w:space="0" w:color="auto"/>
                        <w:left w:val="none" w:sz="0" w:space="0" w:color="auto"/>
                        <w:bottom w:val="none" w:sz="0" w:space="0" w:color="auto"/>
                        <w:right w:val="none" w:sz="0" w:space="0" w:color="auto"/>
                      </w:divBdr>
                      <w:divsChild>
                        <w:div w:id="1818764083">
                          <w:marLeft w:val="0"/>
                          <w:marRight w:val="0"/>
                          <w:marTop w:val="0"/>
                          <w:marBottom w:val="0"/>
                          <w:divBdr>
                            <w:top w:val="none" w:sz="0" w:space="0" w:color="auto"/>
                            <w:left w:val="none" w:sz="0" w:space="0" w:color="auto"/>
                            <w:bottom w:val="none" w:sz="0" w:space="0" w:color="auto"/>
                            <w:right w:val="none" w:sz="0" w:space="0" w:color="auto"/>
                          </w:divBdr>
                          <w:divsChild>
                            <w:div w:id="1818764261">
                              <w:marLeft w:val="0"/>
                              <w:marRight w:val="0"/>
                              <w:marTop w:val="120"/>
                              <w:marBottom w:val="360"/>
                              <w:divBdr>
                                <w:top w:val="none" w:sz="0" w:space="0" w:color="auto"/>
                                <w:left w:val="none" w:sz="0" w:space="0" w:color="auto"/>
                                <w:bottom w:val="none" w:sz="0" w:space="0" w:color="auto"/>
                                <w:right w:val="none" w:sz="0" w:space="0" w:color="auto"/>
                              </w:divBdr>
                              <w:divsChild>
                                <w:div w:id="1818764008">
                                  <w:marLeft w:val="0"/>
                                  <w:marRight w:val="0"/>
                                  <w:marTop w:val="0"/>
                                  <w:marBottom w:val="0"/>
                                  <w:divBdr>
                                    <w:top w:val="none" w:sz="0" w:space="0" w:color="auto"/>
                                    <w:left w:val="none" w:sz="0" w:space="0" w:color="auto"/>
                                    <w:bottom w:val="none" w:sz="0" w:space="0" w:color="auto"/>
                                    <w:right w:val="none" w:sz="0" w:space="0" w:color="auto"/>
                                  </w:divBdr>
                                  <w:divsChild>
                                    <w:div w:id="18187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chande1@jhmi.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4</Pages>
  <Words>5411</Words>
  <Characters>30843</Characters>
  <Application>Microsoft Office Word</Application>
  <DocSecurity>0</DocSecurity>
  <Lines>257</Lines>
  <Paragraphs>72</Paragraphs>
  <ScaleCrop>false</ScaleCrop>
  <Company>Johns Hopkins Bayview Medical Center</Company>
  <LinksUpToDate>false</LinksUpToDate>
  <CharactersWithSpaces>36182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Bani Chander Roland</dc:creator>
  <cp:keywords/>
  <dc:description/>
  <cp:lastModifiedBy>asdasd</cp:lastModifiedBy>
  <cp:revision>37</cp:revision>
  <cp:lastPrinted>2013-06-04T20:40:00Z</cp:lastPrinted>
  <dcterms:created xsi:type="dcterms:W3CDTF">2014-03-17T15:14:00Z</dcterms:created>
  <dcterms:modified xsi:type="dcterms:W3CDTF">2014-08-01T02:41:00Z</dcterms:modified>
</cp:coreProperties>
</file>